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56CB" w14:textId="77777777" w:rsidR="00277A0F" w:rsidRPr="00EE6E23" w:rsidRDefault="00277A0F" w:rsidP="00277A0F">
      <w:pPr>
        <w:jc w:val="center"/>
        <w:rPr>
          <w:rFonts w:asciiTheme="minorHAnsi" w:eastAsia="Times New Roman" w:hAnsiTheme="minorHAnsi"/>
          <w:b/>
          <w:u w:val="single"/>
          <w:lang w:eastAsia="pl-PL"/>
        </w:rPr>
      </w:pPr>
      <w:r w:rsidRPr="0002263E">
        <w:rPr>
          <w:rFonts w:asciiTheme="minorHAnsi" w:hAnsiTheme="minorHAnsi"/>
          <w:b/>
          <w:u w:val="single"/>
        </w:rPr>
        <w:t>TRANSFERY FINANSOWE POMIĘDZY POLSKĄ A BUDŻETEM UE WEDŁUG STANU NA DZIEŃ</w:t>
      </w:r>
    </w:p>
    <w:p w14:paraId="2B846371" w14:textId="6C52D6C1" w:rsidR="00277A0F" w:rsidRPr="0002263E" w:rsidRDefault="00AC4EDA" w:rsidP="00277A0F">
      <w:pPr>
        <w:pStyle w:val="Tekstpodstawowy"/>
        <w:tabs>
          <w:tab w:val="left" w:pos="357"/>
        </w:tabs>
        <w:spacing w:line="264" w:lineRule="auto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30 CZERWCA</w:t>
      </w:r>
      <w:r w:rsidR="005C3951">
        <w:rPr>
          <w:rFonts w:asciiTheme="minorHAnsi" w:hAnsiTheme="minorHAnsi"/>
          <w:b/>
          <w:szCs w:val="24"/>
          <w:u w:val="single"/>
        </w:rPr>
        <w:t xml:space="preserve"> </w:t>
      </w:r>
      <w:r w:rsidR="00277A0F" w:rsidRPr="0002263E">
        <w:rPr>
          <w:rFonts w:asciiTheme="minorHAnsi" w:hAnsiTheme="minorHAnsi"/>
          <w:b/>
          <w:szCs w:val="24"/>
          <w:u w:val="single"/>
        </w:rPr>
        <w:t>201</w:t>
      </w:r>
      <w:r w:rsidR="00277A0F">
        <w:rPr>
          <w:rFonts w:asciiTheme="minorHAnsi" w:hAnsiTheme="minorHAnsi"/>
          <w:b/>
          <w:szCs w:val="24"/>
          <w:u w:val="single"/>
        </w:rPr>
        <w:t>9</w:t>
      </w:r>
      <w:r w:rsidR="00277A0F" w:rsidRPr="0002263E">
        <w:rPr>
          <w:rFonts w:asciiTheme="minorHAnsi" w:hAnsiTheme="minorHAnsi"/>
          <w:b/>
          <w:szCs w:val="24"/>
          <w:u w:val="single"/>
        </w:rPr>
        <w:t xml:space="preserve"> R.</w:t>
      </w:r>
    </w:p>
    <w:p w14:paraId="10E7BAA6" w14:textId="77777777" w:rsidR="00277A0F" w:rsidRPr="0002263E" w:rsidRDefault="00277A0F" w:rsidP="00277A0F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</w:p>
    <w:p w14:paraId="24F0288E" w14:textId="77777777" w:rsidR="00277A0F" w:rsidRDefault="00277A0F" w:rsidP="00277A0F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</w:p>
    <w:p w14:paraId="2C50968B" w14:textId="77777777" w:rsidR="00277A0F" w:rsidRPr="0002263E" w:rsidRDefault="00277A0F" w:rsidP="00277A0F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</w:p>
    <w:p w14:paraId="2AAC2CDC" w14:textId="77777777" w:rsidR="00277A0F" w:rsidRPr="0002263E" w:rsidRDefault="00277A0F" w:rsidP="00277A0F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  <w:r w:rsidRPr="0002263E">
        <w:rPr>
          <w:rFonts w:asciiTheme="minorHAnsi" w:hAnsiTheme="minorHAnsi"/>
          <w:b/>
          <w:szCs w:val="24"/>
          <w:u w:val="single"/>
        </w:rPr>
        <w:t>I.</w:t>
      </w:r>
      <w:r w:rsidRPr="0002263E">
        <w:rPr>
          <w:rFonts w:asciiTheme="minorHAnsi" w:hAnsiTheme="minorHAnsi"/>
          <w:b/>
          <w:szCs w:val="24"/>
          <w:u w:val="single"/>
        </w:rPr>
        <w:tab/>
        <w:t>ROZLICZENIA POLSKI Z UE</w:t>
      </w:r>
    </w:p>
    <w:p w14:paraId="2A41D003" w14:textId="77777777" w:rsidR="00277A0F" w:rsidRDefault="00277A0F" w:rsidP="00277A0F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CCD4AC5" w14:textId="77777777" w:rsidR="00AC4EDA" w:rsidRPr="005A0229" w:rsidRDefault="00AC4EDA" w:rsidP="00277A0F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9D5BFA2" w14:textId="77777777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  <w:b/>
          <w:sz w:val="10"/>
          <w:szCs w:val="10"/>
        </w:rPr>
      </w:pPr>
    </w:p>
    <w:p w14:paraId="58257AB3" w14:textId="61C6D910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02263E">
        <w:rPr>
          <w:rFonts w:asciiTheme="minorHAnsi" w:hAnsiTheme="minorHAnsi"/>
          <w:b/>
          <w:u w:val="single"/>
        </w:rPr>
        <w:t>I.1</w:t>
      </w:r>
      <w:r w:rsidRPr="0002263E">
        <w:rPr>
          <w:rFonts w:asciiTheme="minorHAnsi" w:hAnsiTheme="minorHAnsi"/>
          <w:b/>
          <w:u w:val="single"/>
        </w:rPr>
        <w:tab/>
        <w:t>Rozliczenia Polski z budżetem UE w</w:t>
      </w:r>
      <w:r>
        <w:rPr>
          <w:rFonts w:asciiTheme="minorHAnsi" w:hAnsiTheme="minorHAnsi"/>
          <w:b/>
          <w:u w:val="single"/>
        </w:rPr>
        <w:t xml:space="preserve"> </w:t>
      </w:r>
      <w:r w:rsidR="00AC4EDA">
        <w:rPr>
          <w:rFonts w:asciiTheme="minorHAnsi" w:hAnsiTheme="minorHAnsi"/>
          <w:b/>
          <w:u w:val="single"/>
        </w:rPr>
        <w:t>czerwcu</w:t>
      </w:r>
      <w:r w:rsidR="001E7E02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2019</w:t>
      </w:r>
      <w:r w:rsidRPr="0002263E">
        <w:rPr>
          <w:rFonts w:asciiTheme="minorHAnsi" w:hAnsiTheme="minorHAnsi"/>
          <w:b/>
          <w:u w:val="single"/>
        </w:rPr>
        <w:t xml:space="preserve"> r. </w:t>
      </w:r>
    </w:p>
    <w:p w14:paraId="30E0FE7E" w14:textId="36844F79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</w:rPr>
      </w:pPr>
      <w:r w:rsidRPr="0002263E">
        <w:rPr>
          <w:rFonts w:asciiTheme="minorHAnsi" w:hAnsiTheme="minorHAnsi"/>
        </w:rPr>
        <w:t xml:space="preserve">W </w:t>
      </w:r>
      <w:r w:rsidR="00AC4EDA">
        <w:rPr>
          <w:rFonts w:asciiTheme="minorHAnsi" w:hAnsiTheme="minorHAnsi"/>
        </w:rPr>
        <w:t>czerwcu</w:t>
      </w:r>
      <w:r w:rsidRPr="0002263E">
        <w:rPr>
          <w:rFonts w:asciiTheme="minorHAnsi" w:hAnsiTheme="minorHAnsi"/>
        </w:rPr>
        <w:t xml:space="preserve"> z budżetu UE do Polski w formie </w:t>
      </w:r>
      <w:r w:rsidR="00C05DEE">
        <w:rPr>
          <w:rFonts w:asciiTheme="minorHAnsi" w:hAnsiTheme="minorHAnsi"/>
        </w:rPr>
        <w:t xml:space="preserve">transferów finansowych wpłynęło </w:t>
      </w:r>
      <w:r w:rsidR="00C05DEE" w:rsidRPr="00C05DEE">
        <w:rPr>
          <w:rFonts w:asciiTheme="minorHAnsi" w:hAnsiTheme="minorHAnsi"/>
          <w:b/>
        </w:rPr>
        <w:t>1,</w:t>
      </w:r>
      <w:r w:rsidR="00AC4EDA">
        <w:rPr>
          <w:rFonts w:asciiTheme="minorHAnsi" w:hAnsiTheme="minorHAnsi"/>
          <w:b/>
        </w:rPr>
        <w:t>2</w:t>
      </w:r>
      <w:r w:rsidR="00017672">
        <w:rPr>
          <w:rFonts w:asciiTheme="minorHAnsi" w:hAnsiTheme="minorHAnsi"/>
          <w:b/>
        </w:rPr>
        <w:t>16</w:t>
      </w:r>
      <w:r w:rsidRPr="00C05DEE">
        <w:rPr>
          <w:rFonts w:asciiTheme="minorHAnsi" w:hAnsiTheme="minorHAnsi"/>
          <w:b/>
        </w:rPr>
        <w:t xml:space="preserve"> </w:t>
      </w:r>
      <w:r w:rsidRPr="0002263E">
        <w:rPr>
          <w:rFonts w:asciiTheme="minorHAnsi" w:hAnsiTheme="minorHAnsi"/>
          <w:b/>
        </w:rPr>
        <w:t>ml</w:t>
      </w:r>
      <w:r w:rsidR="00C05DEE">
        <w:rPr>
          <w:rFonts w:asciiTheme="minorHAnsi" w:hAnsiTheme="minorHAnsi"/>
          <w:b/>
        </w:rPr>
        <w:t>d</w:t>
      </w:r>
      <w:r w:rsidRPr="0002263E">
        <w:rPr>
          <w:rFonts w:asciiTheme="minorHAnsi" w:hAnsiTheme="minorHAnsi"/>
          <w:b/>
        </w:rPr>
        <w:t> EUR</w:t>
      </w:r>
      <w:r w:rsidRPr="0002263E">
        <w:rPr>
          <w:rFonts w:asciiTheme="minorHAnsi" w:hAnsiTheme="minorHAnsi"/>
        </w:rPr>
        <w:t xml:space="preserve">. </w:t>
      </w:r>
    </w:p>
    <w:p w14:paraId="428FFCF8" w14:textId="77777777" w:rsidR="00277A0F" w:rsidRPr="005A0229" w:rsidRDefault="00277A0F" w:rsidP="00277A0F">
      <w:pPr>
        <w:spacing w:line="264" w:lineRule="auto"/>
        <w:jc w:val="both"/>
        <w:rPr>
          <w:rFonts w:asciiTheme="minorHAnsi" w:hAnsiTheme="minorHAnsi"/>
          <w:sz w:val="16"/>
          <w:szCs w:val="16"/>
        </w:rPr>
      </w:pPr>
    </w:p>
    <w:p w14:paraId="28E87DBA" w14:textId="77777777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</w:rPr>
      </w:pPr>
      <w:r w:rsidRPr="0002263E">
        <w:rPr>
          <w:rFonts w:asciiTheme="minorHAnsi" w:hAnsiTheme="minorHAnsi"/>
          <w:u w:val="single"/>
        </w:rPr>
        <w:t xml:space="preserve">Polityka spójności </w:t>
      </w:r>
    </w:p>
    <w:p w14:paraId="7A2C14EB" w14:textId="799382CE" w:rsidR="00277A0F" w:rsidRDefault="00277A0F" w:rsidP="00277A0F">
      <w:pPr>
        <w:spacing w:line="264" w:lineRule="auto"/>
        <w:jc w:val="both"/>
        <w:rPr>
          <w:rFonts w:asciiTheme="minorHAnsi" w:hAnsiTheme="minorHAnsi"/>
        </w:rPr>
      </w:pPr>
      <w:r w:rsidRPr="0002263E">
        <w:rPr>
          <w:rFonts w:asciiTheme="minorHAnsi" w:hAnsiTheme="minorHAnsi"/>
        </w:rPr>
        <w:t>W ramach polityki spójności Polska otrzymała</w:t>
      </w:r>
      <w:r>
        <w:rPr>
          <w:rFonts w:asciiTheme="minorHAnsi" w:hAnsiTheme="minorHAnsi"/>
          <w:b/>
        </w:rPr>
        <w:t xml:space="preserve"> </w:t>
      </w:r>
      <w:r w:rsidR="00017672">
        <w:rPr>
          <w:rFonts w:asciiTheme="minorHAnsi" w:hAnsiTheme="minorHAnsi"/>
          <w:b/>
        </w:rPr>
        <w:t>1,067</w:t>
      </w:r>
      <w:r w:rsidR="00C05DEE">
        <w:rPr>
          <w:rFonts w:asciiTheme="minorHAnsi" w:hAnsiTheme="minorHAnsi"/>
          <w:b/>
        </w:rPr>
        <w:t xml:space="preserve"> mld</w:t>
      </w:r>
      <w:r>
        <w:rPr>
          <w:rFonts w:asciiTheme="minorHAnsi" w:hAnsiTheme="minorHAnsi"/>
          <w:b/>
        </w:rPr>
        <w:t xml:space="preserve"> </w:t>
      </w:r>
      <w:r w:rsidRPr="0002263E">
        <w:rPr>
          <w:rFonts w:asciiTheme="minorHAnsi" w:hAnsiTheme="minorHAnsi"/>
          <w:b/>
        </w:rPr>
        <w:t>EUR</w:t>
      </w:r>
      <w:r w:rsidRPr="008D499A">
        <w:rPr>
          <w:rFonts w:asciiTheme="minorHAnsi" w:hAnsiTheme="minorHAnsi"/>
          <w:b/>
        </w:rPr>
        <w:t>,</w:t>
      </w:r>
      <w:r w:rsidRPr="0002263E">
        <w:rPr>
          <w:rFonts w:asciiTheme="minorHAnsi" w:hAnsiTheme="minorHAnsi"/>
        </w:rPr>
        <w:t xml:space="preserve"> w tym:</w:t>
      </w:r>
    </w:p>
    <w:p w14:paraId="082B7F19" w14:textId="5135C97C" w:rsidR="00277A0F" w:rsidRDefault="00AC4EDA" w:rsidP="00277A0F">
      <w:pPr>
        <w:numPr>
          <w:ilvl w:val="0"/>
          <w:numId w:val="1"/>
        </w:numPr>
        <w:tabs>
          <w:tab w:val="clear" w:pos="360"/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673</w:t>
      </w:r>
      <w:r w:rsidR="00277A0F">
        <w:rPr>
          <w:rFonts w:asciiTheme="minorHAnsi" w:hAnsiTheme="minorHAnsi"/>
          <w:b/>
        </w:rPr>
        <w:t xml:space="preserve"> mln</w:t>
      </w:r>
      <w:r w:rsidR="00277A0F" w:rsidRPr="0002263E">
        <w:rPr>
          <w:rFonts w:asciiTheme="minorHAnsi" w:hAnsiTheme="minorHAnsi"/>
          <w:b/>
        </w:rPr>
        <w:t xml:space="preserve"> EUR</w:t>
      </w:r>
      <w:r w:rsidR="00277A0F" w:rsidRPr="0002263E">
        <w:rPr>
          <w:rFonts w:asciiTheme="minorHAnsi" w:hAnsiTheme="minorHAnsi"/>
        </w:rPr>
        <w:t xml:space="preserve"> z Europejskiego Funduszu Rozwoju Regionalnego,</w:t>
      </w:r>
    </w:p>
    <w:p w14:paraId="65BE8054" w14:textId="2862D056" w:rsidR="00AC4EDA" w:rsidRDefault="00AC4EDA" w:rsidP="00AC4EDA">
      <w:pPr>
        <w:numPr>
          <w:ilvl w:val="0"/>
          <w:numId w:val="1"/>
        </w:numPr>
        <w:tabs>
          <w:tab w:val="clear" w:pos="360"/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237 </w:t>
      </w:r>
      <w:r w:rsidRPr="0002263E">
        <w:rPr>
          <w:rFonts w:asciiTheme="minorHAnsi" w:hAnsiTheme="minorHAnsi"/>
          <w:b/>
        </w:rPr>
        <w:t>mln EUR</w:t>
      </w:r>
      <w:r>
        <w:rPr>
          <w:rFonts w:asciiTheme="minorHAnsi" w:hAnsiTheme="minorHAnsi"/>
        </w:rPr>
        <w:t xml:space="preserve"> z Funduszu Spójności,</w:t>
      </w:r>
    </w:p>
    <w:p w14:paraId="1B57593D" w14:textId="476C289C" w:rsidR="00E34009" w:rsidRPr="00AC4EDA" w:rsidRDefault="00AC4EDA" w:rsidP="00AC4EDA">
      <w:pPr>
        <w:numPr>
          <w:ilvl w:val="0"/>
          <w:numId w:val="1"/>
        </w:numPr>
        <w:tabs>
          <w:tab w:val="clear" w:pos="360"/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151</w:t>
      </w:r>
      <w:r w:rsidR="00E34009" w:rsidRPr="00AC4EDA">
        <w:rPr>
          <w:rFonts w:asciiTheme="minorHAnsi" w:hAnsiTheme="minorHAnsi"/>
          <w:b/>
        </w:rPr>
        <w:t xml:space="preserve"> mln EUR</w:t>
      </w:r>
      <w:r w:rsidR="00E34009" w:rsidRPr="00AC4EDA">
        <w:rPr>
          <w:rFonts w:asciiTheme="minorHAnsi" w:hAnsiTheme="minorHAnsi"/>
        </w:rPr>
        <w:t xml:space="preserve"> z Europejskiego Funduszu Społecznego,</w:t>
      </w:r>
    </w:p>
    <w:p w14:paraId="2D4A0AC9" w14:textId="1DE00730" w:rsidR="00277A0F" w:rsidRPr="00FE7A4F" w:rsidRDefault="00AC4EDA" w:rsidP="004161AE">
      <w:pPr>
        <w:numPr>
          <w:ilvl w:val="0"/>
          <w:numId w:val="1"/>
        </w:numPr>
        <w:tabs>
          <w:tab w:val="clear" w:pos="360"/>
          <w:tab w:val="left" w:pos="709"/>
        </w:tabs>
        <w:spacing w:line="264" w:lineRule="auto"/>
        <w:jc w:val="both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b/>
        </w:rPr>
        <w:t>6</w:t>
      </w:r>
      <w:r w:rsidR="00FE7A4F" w:rsidRPr="00FE7A4F">
        <w:rPr>
          <w:rFonts w:asciiTheme="minorHAnsi" w:hAnsiTheme="minorHAnsi"/>
          <w:b/>
        </w:rPr>
        <w:t xml:space="preserve"> mln EUR </w:t>
      </w:r>
      <w:r w:rsidR="00FE7A4F" w:rsidRPr="007F2044">
        <w:rPr>
          <w:rFonts w:asciiTheme="minorHAnsi" w:hAnsiTheme="minorHAnsi"/>
        </w:rPr>
        <w:t>z</w:t>
      </w:r>
      <w:r w:rsidR="00FE7A4F" w:rsidRPr="00FE7A4F">
        <w:rPr>
          <w:rFonts w:asciiTheme="minorHAnsi" w:hAnsiTheme="minorHAnsi"/>
          <w:b/>
        </w:rPr>
        <w:t xml:space="preserve"> </w:t>
      </w:r>
      <w:r w:rsidR="00FE7A4F" w:rsidRPr="00FE7A4F">
        <w:rPr>
          <w:rFonts w:asciiTheme="minorHAnsi" w:hAnsiTheme="minorHAnsi"/>
        </w:rPr>
        <w:t>Europejskiego Funduszu Pomocy Najbardziej Potrzebującym</w:t>
      </w:r>
      <w:r w:rsidR="00FE7A4F">
        <w:rPr>
          <w:rFonts w:asciiTheme="minorHAnsi" w:hAnsiTheme="minorHAnsi"/>
        </w:rPr>
        <w:t>.</w:t>
      </w:r>
    </w:p>
    <w:p w14:paraId="73ADAF8A" w14:textId="77777777" w:rsidR="00FE7A4F" w:rsidRPr="00FE7A4F" w:rsidRDefault="00FE7A4F" w:rsidP="00FE7A4F">
      <w:pPr>
        <w:tabs>
          <w:tab w:val="left" w:pos="709"/>
        </w:tabs>
        <w:spacing w:line="264" w:lineRule="auto"/>
        <w:ind w:left="340"/>
        <w:jc w:val="both"/>
        <w:rPr>
          <w:rFonts w:asciiTheme="minorHAnsi" w:hAnsiTheme="minorHAnsi"/>
          <w:sz w:val="16"/>
          <w:szCs w:val="16"/>
          <w:u w:val="single"/>
        </w:rPr>
      </w:pPr>
    </w:p>
    <w:p w14:paraId="0C8C8176" w14:textId="77777777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  <w:u w:val="single"/>
        </w:rPr>
      </w:pPr>
      <w:r w:rsidRPr="0002263E">
        <w:rPr>
          <w:rFonts w:asciiTheme="minorHAnsi" w:hAnsiTheme="minorHAnsi"/>
          <w:u w:val="single"/>
        </w:rPr>
        <w:t>Wspólna polityka rolna</w:t>
      </w:r>
    </w:p>
    <w:p w14:paraId="29A62086" w14:textId="61027E0A" w:rsidR="00C05DEE" w:rsidRPr="0002263E" w:rsidRDefault="00277A0F" w:rsidP="00C05DEE">
      <w:pPr>
        <w:spacing w:line="264" w:lineRule="auto"/>
        <w:jc w:val="both"/>
        <w:rPr>
          <w:rFonts w:asciiTheme="minorHAnsi" w:hAnsiTheme="minorHAnsi"/>
        </w:rPr>
      </w:pPr>
      <w:r w:rsidRPr="0002263E">
        <w:rPr>
          <w:rFonts w:asciiTheme="minorHAnsi" w:hAnsiTheme="minorHAnsi"/>
        </w:rPr>
        <w:t>W ramach wspólnej polityki rolnej do Polski wpłynęło</w:t>
      </w:r>
      <w:r w:rsidRPr="0002263E">
        <w:rPr>
          <w:rFonts w:asciiTheme="minorHAnsi" w:hAnsiTheme="minorHAnsi"/>
          <w:b/>
        </w:rPr>
        <w:t xml:space="preserve"> </w:t>
      </w:r>
      <w:r w:rsidR="00AC4EDA">
        <w:rPr>
          <w:rFonts w:asciiTheme="minorHAnsi" w:hAnsiTheme="minorHAnsi"/>
          <w:b/>
        </w:rPr>
        <w:t>148</w:t>
      </w:r>
      <w:r>
        <w:rPr>
          <w:rFonts w:asciiTheme="minorHAnsi" w:hAnsiTheme="minorHAnsi"/>
          <w:b/>
        </w:rPr>
        <w:t xml:space="preserve"> mln</w:t>
      </w:r>
      <w:r w:rsidRPr="0002263E">
        <w:rPr>
          <w:rFonts w:asciiTheme="minorHAnsi" w:hAnsiTheme="minorHAnsi"/>
          <w:b/>
        </w:rPr>
        <w:t xml:space="preserve"> EUR</w:t>
      </w:r>
      <w:r w:rsidR="00C05DEE">
        <w:rPr>
          <w:rFonts w:asciiTheme="minorHAnsi" w:hAnsiTheme="minorHAnsi"/>
        </w:rPr>
        <w:t xml:space="preserve">, </w:t>
      </w:r>
      <w:r w:rsidR="00C05DEE" w:rsidRPr="0002263E">
        <w:rPr>
          <w:rFonts w:asciiTheme="minorHAnsi" w:hAnsiTheme="minorHAnsi"/>
        </w:rPr>
        <w:t>w tym:</w:t>
      </w:r>
    </w:p>
    <w:p w14:paraId="0E782429" w14:textId="14F371B8" w:rsidR="00C05DEE" w:rsidRDefault="00AC4EDA" w:rsidP="00C05DEE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145</w:t>
      </w:r>
      <w:r w:rsidR="00C05DEE">
        <w:rPr>
          <w:rFonts w:asciiTheme="minorHAnsi" w:hAnsiTheme="minorHAnsi"/>
          <w:b/>
        </w:rPr>
        <w:t xml:space="preserve"> mln</w:t>
      </w:r>
      <w:r w:rsidR="00C05DEE" w:rsidRPr="0002263E">
        <w:rPr>
          <w:rFonts w:asciiTheme="minorHAnsi" w:hAnsiTheme="minorHAnsi"/>
          <w:b/>
        </w:rPr>
        <w:t xml:space="preserve"> EUR </w:t>
      </w:r>
      <w:r w:rsidR="00C05DEE" w:rsidRPr="0002263E">
        <w:rPr>
          <w:rFonts w:asciiTheme="minorHAnsi" w:hAnsiTheme="minorHAnsi"/>
        </w:rPr>
        <w:t>z tytułu działań realizowanych przez ARiMR (płatności bezpośrednie),</w:t>
      </w:r>
    </w:p>
    <w:p w14:paraId="5A5E4FB9" w14:textId="0D5D3BD6" w:rsidR="00AC4EDA" w:rsidRPr="00FD1FEA" w:rsidRDefault="00AC4EDA" w:rsidP="00AC4EDA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 mln EUR </w:t>
      </w:r>
      <w:r w:rsidRPr="007F2044">
        <w:rPr>
          <w:rFonts w:asciiTheme="minorHAnsi" w:hAnsiTheme="minorHAnsi"/>
        </w:rPr>
        <w:t>z</w:t>
      </w:r>
      <w:r>
        <w:rPr>
          <w:rFonts w:asciiTheme="minorHAnsi" w:hAnsiTheme="minorHAnsi"/>
          <w:b/>
        </w:rPr>
        <w:t xml:space="preserve"> </w:t>
      </w:r>
      <w:r w:rsidRPr="00AC4EDA">
        <w:rPr>
          <w:rFonts w:asciiTheme="minorHAnsi" w:hAnsiTheme="minorHAnsi"/>
        </w:rPr>
        <w:t>Europejski</w:t>
      </w:r>
      <w:r>
        <w:rPr>
          <w:rFonts w:asciiTheme="minorHAnsi" w:hAnsiTheme="minorHAnsi"/>
        </w:rPr>
        <w:t>ego</w:t>
      </w:r>
      <w:r w:rsidRPr="00AC4EDA">
        <w:rPr>
          <w:rFonts w:asciiTheme="minorHAnsi" w:hAnsiTheme="minorHAnsi"/>
        </w:rPr>
        <w:t xml:space="preserve"> Fundusz</w:t>
      </w:r>
      <w:r>
        <w:rPr>
          <w:rFonts w:asciiTheme="minorHAnsi" w:hAnsiTheme="minorHAnsi"/>
        </w:rPr>
        <w:t>u</w:t>
      </w:r>
      <w:r w:rsidRPr="00AC4EDA">
        <w:rPr>
          <w:rFonts w:asciiTheme="minorHAnsi" w:hAnsiTheme="minorHAnsi"/>
        </w:rPr>
        <w:t xml:space="preserve"> Morski</w:t>
      </w:r>
      <w:r>
        <w:rPr>
          <w:rFonts w:asciiTheme="minorHAnsi" w:hAnsiTheme="minorHAnsi"/>
        </w:rPr>
        <w:t>ego</w:t>
      </w:r>
      <w:r w:rsidRPr="00AC4EDA">
        <w:rPr>
          <w:rFonts w:asciiTheme="minorHAnsi" w:hAnsiTheme="minorHAnsi"/>
        </w:rPr>
        <w:t xml:space="preserve"> i Rybacki</w:t>
      </w:r>
      <w:r>
        <w:rPr>
          <w:rFonts w:asciiTheme="minorHAnsi" w:hAnsiTheme="minorHAnsi"/>
        </w:rPr>
        <w:t>ego.</w:t>
      </w:r>
    </w:p>
    <w:p w14:paraId="320FF956" w14:textId="2A5B5AFE" w:rsidR="00C05DEE" w:rsidRPr="00482D49" w:rsidRDefault="00C05DEE" w:rsidP="00AC4EDA">
      <w:pPr>
        <w:spacing w:line="264" w:lineRule="auto"/>
        <w:ind w:left="340"/>
        <w:jc w:val="both"/>
        <w:rPr>
          <w:rFonts w:asciiTheme="minorHAnsi" w:hAnsiTheme="minorHAnsi"/>
        </w:rPr>
      </w:pPr>
    </w:p>
    <w:p w14:paraId="13F00E38" w14:textId="77777777" w:rsidR="00277A0F" w:rsidRPr="005A0229" w:rsidRDefault="00277A0F" w:rsidP="00277A0F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14:paraId="7B5E4964" w14:textId="77777777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  <w:u w:val="single"/>
        </w:rPr>
      </w:pPr>
      <w:r w:rsidRPr="0002263E">
        <w:rPr>
          <w:rFonts w:asciiTheme="minorHAnsi" w:hAnsiTheme="minorHAnsi"/>
          <w:u w:val="single"/>
        </w:rPr>
        <w:t>Wpłaty do budżetu ogólnego UE</w:t>
      </w:r>
    </w:p>
    <w:p w14:paraId="6B328A5F" w14:textId="591265EE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</w:rPr>
      </w:pPr>
      <w:r w:rsidRPr="0002263E">
        <w:rPr>
          <w:rFonts w:asciiTheme="minorHAnsi" w:hAnsiTheme="minorHAnsi"/>
        </w:rPr>
        <w:t>Składka przekazana przez Polskę do budżetu ogólnego UE wyniosła</w:t>
      </w:r>
      <w:r w:rsidRPr="0002263E">
        <w:rPr>
          <w:rFonts w:asciiTheme="minorHAnsi" w:hAnsiTheme="minorHAnsi"/>
          <w:b/>
        </w:rPr>
        <w:t xml:space="preserve"> </w:t>
      </w:r>
      <w:r w:rsidR="00AC4EDA">
        <w:rPr>
          <w:rFonts w:asciiTheme="minorHAnsi" w:hAnsiTheme="minorHAnsi"/>
          <w:b/>
        </w:rPr>
        <w:t>464</w:t>
      </w:r>
      <w:r>
        <w:rPr>
          <w:rFonts w:asciiTheme="minorHAnsi" w:hAnsiTheme="minorHAnsi"/>
          <w:b/>
        </w:rPr>
        <w:t xml:space="preserve"> mln </w:t>
      </w:r>
      <w:r w:rsidRPr="0002263E">
        <w:rPr>
          <w:rFonts w:asciiTheme="minorHAnsi" w:hAnsiTheme="minorHAnsi"/>
          <w:b/>
        </w:rPr>
        <w:t>EUR</w:t>
      </w:r>
      <w:r w:rsidRPr="0002263E">
        <w:rPr>
          <w:rFonts w:asciiTheme="minorHAnsi" w:hAnsiTheme="minorHAnsi"/>
        </w:rPr>
        <w:t>.</w:t>
      </w:r>
    </w:p>
    <w:p w14:paraId="0CF340E5" w14:textId="77777777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  <w:u w:val="single"/>
        </w:rPr>
      </w:pPr>
    </w:p>
    <w:p w14:paraId="6B0D57B2" w14:textId="77777777" w:rsidR="00277A0F" w:rsidRPr="0002263E" w:rsidRDefault="00277A0F" w:rsidP="00277A0F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02263E">
        <w:rPr>
          <w:rFonts w:asciiTheme="minorHAnsi" w:hAnsiTheme="minorHAnsi"/>
          <w:b/>
          <w:u w:val="single"/>
        </w:rPr>
        <w:t>Podsumowanie</w:t>
      </w:r>
    </w:p>
    <w:p w14:paraId="79EA44F1" w14:textId="112CD7C4" w:rsidR="00277A0F" w:rsidRPr="0002263E" w:rsidRDefault="00277A0F" w:rsidP="00277A0F">
      <w:pPr>
        <w:pStyle w:val="Tekstpodstawowy"/>
        <w:tabs>
          <w:tab w:val="left" w:pos="284"/>
        </w:tabs>
        <w:spacing w:line="264" w:lineRule="auto"/>
        <w:rPr>
          <w:rFonts w:asciiTheme="minorHAnsi" w:hAnsiTheme="minorHAnsi"/>
          <w:szCs w:val="24"/>
        </w:rPr>
      </w:pPr>
      <w:r w:rsidRPr="0002263E">
        <w:rPr>
          <w:rFonts w:asciiTheme="minorHAnsi" w:hAnsiTheme="minorHAnsi"/>
          <w:szCs w:val="24"/>
        </w:rPr>
        <w:t>W</w:t>
      </w:r>
      <w:r w:rsidR="00AC4EDA">
        <w:rPr>
          <w:rFonts w:asciiTheme="minorHAnsi" w:hAnsiTheme="minorHAnsi"/>
          <w:szCs w:val="24"/>
        </w:rPr>
        <w:t xml:space="preserve"> czerwcu</w:t>
      </w:r>
      <w:r>
        <w:rPr>
          <w:rFonts w:asciiTheme="minorHAnsi" w:hAnsiTheme="minorHAnsi"/>
          <w:szCs w:val="24"/>
        </w:rPr>
        <w:t xml:space="preserve"> </w:t>
      </w:r>
      <w:r w:rsidRPr="0002263E">
        <w:rPr>
          <w:rFonts w:asciiTheme="minorHAnsi" w:hAnsiTheme="minorHAnsi"/>
          <w:szCs w:val="24"/>
        </w:rPr>
        <w:t>saldo rozliczeń pomiędzy Polską a budżetem UE wyniosło</w:t>
      </w:r>
      <w:r w:rsidRPr="0002263E">
        <w:rPr>
          <w:rFonts w:asciiTheme="minorHAnsi" w:hAnsiTheme="minorHAnsi"/>
          <w:b/>
          <w:szCs w:val="24"/>
        </w:rPr>
        <w:t xml:space="preserve">:  </w:t>
      </w:r>
      <w:r>
        <w:rPr>
          <w:rFonts w:asciiTheme="minorHAnsi" w:hAnsiTheme="minorHAnsi"/>
          <w:b/>
          <w:szCs w:val="24"/>
        </w:rPr>
        <w:t xml:space="preserve">+ </w:t>
      </w:r>
      <w:r w:rsidR="00017672">
        <w:rPr>
          <w:rFonts w:asciiTheme="minorHAnsi" w:hAnsiTheme="minorHAnsi"/>
          <w:b/>
          <w:szCs w:val="24"/>
        </w:rPr>
        <w:t xml:space="preserve">752 </w:t>
      </w:r>
      <w:r w:rsidRPr="0002263E">
        <w:rPr>
          <w:rFonts w:asciiTheme="minorHAnsi" w:hAnsiTheme="minorHAnsi"/>
          <w:b/>
          <w:szCs w:val="24"/>
        </w:rPr>
        <w:t>ml</w:t>
      </w:r>
      <w:r w:rsidR="00AC4EDA">
        <w:rPr>
          <w:rFonts w:asciiTheme="minorHAnsi" w:hAnsiTheme="minorHAnsi"/>
          <w:b/>
          <w:szCs w:val="24"/>
        </w:rPr>
        <w:t>n</w:t>
      </w:r>
      <w:r w:rsidRPr="0002263E">
        <w:rPr>
          <w:rFonts w:asciiTheme="minorHAnsi" w:hAnsiTheme="minorHAnsi"/>
          <w:b/>
          <w:szCs w:val="24"/>
        </w:rPr>
        <w:t xml:space="preserve"> EUR</w:t>
      </w:r>
      <w:r w:rsidRPr="0002263E">
        <w:rPr>
          <w:rFonts w:asciiTheme="minorHAnsi" w:hAnsiTheme="minorHAnsi"/>
          <w:szCs w:val="24"/>
        </w:rPr>
        <w:t>.</w:t>
      </w:r>
    </w:p>
    <w:p w14:paraId="2B63C65E" w14:textId="77777777" w:rsidR="00277A0F" w:rsidRPr="00817104" w:rsidRDefault="00277A0F" w:rsidP="00277A0F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i/>
          <w:sz w:val="20"/>
        </w:rPr>
      </w:pPr>
    </w:p>
    <w:p w14:paraId="2DBDBE85" w14:textId="77777777" w:rsidR="00277A0F" w:rsidRDefault="00277A0F" w:rsidP="00277A0F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i/>
          <w:szCs w:val="24"/>
        </w:rPr>
      </w:pPr>
    </w:p>
    <w:p w14:paraId="6342BAE6" w14:textId="77777777" w:rsidR="00277A0F" w:rsidRPr="000B6A37" w:rsidRDefault="00277A0F" w:rsidP="00277A0F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i/>
          <w:szCs w:val="24"/>
        </w:rPr>
      </w:pPr>
    </w:p>
    <w:p w14:paraId="1208E771" w14:textId="77777777" w:rsidR="00277A0F" w:rsidRPr="000B6A37" w:rsidRDefault="00277A0F" w:rsidP="00277A0F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0B6A37">
        <w:rPr>
          <w:rFonts w:asciiTheme="minorHAnsi" w:hAnsiTheme="minorHAnsi"/>
          <w:b/>
          <w:u w:val="single"/>
        </w:rPr>
        <w:t>I.2</w:t>
      </w:r>
      <w:r w:rsidRPr="000B6A37">
        <w:rPr>
          <w:rFonts w:asciiTheme="minorHAnsi" w:hAnsiTheme="minorHAnsi"/>
          <w:b/>
          <w:u w:val="single"/>
        </w:rPr>
        <w:tab/>
        <w:t xml:space="preserve">Rozliczenia Polski z budżetem UE od początku członkostwa Polski w UE </w:t>
      </w:r>
    </w:p>
    <w:p w14:paraId="7AA3A460" w14:textId="40005A93" w:rsidR="00277A0F" w:rsidRPr="000B6A37" w:rsidRDefault="00277A0F" w:rsidP="00277A0F">
      <w:pPr>
        <w:spacing w:line="264" w:lineRule="auto"/>
        <w:jc w:val="both"/>
        <w:rPr>
          <w:rFonts w:asciiTheme="minorHAnsi" w:hAnsiTheme="minorHAnsi"/>
        </w:rPr>
      </w:pPr>
      <w:r w:rsidRPr="000B6A37">
        <w:rPr>
          <w:rFonts w:asciiTheme="minorHAnsi" w:hAnsiTheme="minorHAnsi"/>
        </w:rPr>
        <w:t xml:space="preserve">W </w:t>
      </w:r>
      <w:r w:rsidR="00017672">
        <w:rPr>
          <w:rFonts w:asciiTheme="minorHAnsi" w:hAnsiTheme="minorHAnsi"/>
        </w:rPr>
        <w:t>czerwcu</w:t>
      </w:r>
      <w:r w:rsidRPr="000B6A37">
        <w:rPr>
          <w:rFonts w:asciiTheme="minorHAnsi" w:hAnsiTheme="minorHAnsi"/>
        </w:rPr>
        <w:t xml:space="preserve"> saldo rozliczeń pomiędzy Polską a budżetem UE osiągnęło </w:t>
      </w:r>
      <w:r w:rsidR="00017672">
        <w:rPr>
          <w:rFonts w:asciiTheme="minorHAnsi" w:hAnsiTheme="minorHAnsi"/>
          <w:b/>
        </w:rPr>
        <w:t>+ 112,88</w:t>
      </w:r>
      <w:r w:rsidRPr="000B6A37">
        <w:rPr>
          <w:rFonts w:asciiTheme="minorHAnsi" w:hAnsiTheme="minorHAnsi"/>
        </w:rPr>
        <w:t xml:space="preserve"> </w:t>
      </w:r>
      <w:r w:rsidRPr="000B6A37">
        <w:rPr>
          <w:rFonts w:asciiTheme="minorHAnsi" w:hAnsiTheme="minorHAnsi"/>
          <w:b/>
        </w:rPr>
        <w:t>mld EUR</w:t>
      </w:r>
      <w:r w:rsidRPr="000B6A37">
        <w:rPr>
          <w:rFonts w:asciiTheme="minorHAnsi" w:hAnsiTheme="minorHAnsi"/>
        </w:rPr>
        <w:t>. Całkowita wartość transferów z budżetu UE do Polski wyniosła</w:t>
      </w:r>
      <w:r w:rsidR="00C1156E" w:rsidRPr="000B6A37">
        <w:rPr>
          <w:rFonts w:asciiTheme="minorHAnsi" w:hAnsiTheme="minorHAnsi"/>
        </w:rPr>
        <w:t xml:space="preserve"> </w:t>
      </w:r>
      <w:r w:rsidR="00017672">
        <w:rPr>
          <w:rFonts w:asciiTheme="minorHAnsi" w:hAnsiTheme="minorHAnsi"/>
          <w:b/>
        </w:rPr>
        <w:t>167,79</w:t>
      </w:r>
      <w:r w:rsidR="00017672">
        <w:rPr>
          <w:rFonts w:asciiTheme="minorHAnsi" w:hAnsiTheme="minorHAnsi"/>
        </w:rPr>
        <w:t xml:space="preserve"> </w:t>
      </w:r>
      <w:r w:rsidRPr="000B6A37">
        <w:rPr>
          <w:rFonts w:asciiTheme="minorHAnsi" w:hAnsiTheme="minorHAnsi"/>
          <w:b/>
        </w:rPr>
        <w:t>mld EUR</w:t>
      </w:r>
      <w:r w:rsidRPr="000B6A37">
        <w:rPr>
          <w:rFonts w:asciiTheme="minorHAnsi" w:hAnsiTheme="minorHAnsi"/>
        </w:rPr>
        <w:t>. Składka odprowadzona do budżetu UE osiągnęła</w:t>
      </w:r>
      <w:r w:rsidR="00C1156E" w:rsidRPr="000B6A37">
        <w:rPr>
          <w:rFonts w:asciiTheme="minorHAnsi" w:hAnsiTheme="minorHAnsi"/>
          <w:b/>
        </w:rPr>
        <w:t xml:space="preserve"> 54</w:t>
      </w:r>
      <w:r w:rsidR="00017672">
        <w:rPr>
          <w:rFonts w:asciiTheme="minorHAnsi" w:hAnsiTheme="minorHAnsi"/>
          <w:b/>
        </w:rPr>
        <w:t>,74</w:t>
      </w:r>
      <w:r w:rsidRPr="000B6A37">
        <w:rPr>
          <w:rFonts w:asciiTheme="minorHAnsi" w:hAnsiTheme="minorHAnsi"/>
          <w:b/>
        </w:rPr>
        <w:t xml:space="preserve"> mld EUR</w:t>
      </w:r>
      <w:r w:rsidRPr="000B6A37">
        <w:rPr>
          <w:rFonts w:asciiTheme="minorHAnsi" w:hAnsiTheme="minorHAnsi"/>
        </w:rPr>
        <w:t xml:space="preserve">, natomiast kwota zwrócona do budżetu UE wyniosła </w:t>
      </w:r>
      <w:r w:rsidR="001108B8">
        <w:rPr>
          <w:rFonts w:asciiTheme="minorHAnsi" w:hAnsiTheme="minorHAnsi"/>
          <w:b/>
        </w:rPr>
        <w:t>170 </w:t>
      </w:r>
      <w:r w:rsidRPr="000B6A37">
        <w:rPr>
          <w:rFonts w:asciiTheme="minorHAnsi" w:hAnsiTheme="minorHAnsi"/>
          <w:b/>
        </w:rPr>
        <w:t>mln EUR</w:t>
      </w:r>
      <w:r w:rsidRPr="000B6A37">
        <w:rPr>
          <w:rFonts w:asciiTheme="minorHAnsi" w:hAnsiTheme="minorHAnsi"/>
        </w:rPr>
        <w:t xml:space="preserve">. </w:t>
      </w:r>
    </w:p>
    <w:p w14:paraId="72E5FE45" w14:textId="77777777" w:rsidR="00277A0F" w:rsidRPr="000B6A37" w:rsidRDefault="00277A0F" w:rsidP="00277A0F">
      <w:pPr>
        <w:spacing w:line="264" w:lineRule="auto"/>
        <w:jc w:val="both"/>
        <w:rPr>
          <w:rFonts w:asciiTheme="minorHAnsi" w:hAnsiTheme="minorHAnsi"/>
        </w:rPr>
      </w:pPr>
    </w:p>
    <w:p w14:paraId="7C587F98" w14:textId="77777777" w:rsidR="00277A0F" w:rsidRPr="000B6A37" w:rsidRDefault="00277A0F" w:rsidP="00277A0F">
      <w:pPr>
        <w:spacing w:line="264" w:lineRule="auto"/>
        <w:jc w:val="both"/>
        <w:rPr>
          <w:rFonts w:asciiTheme="minorHAnsi" w:hAnsiTheme="minorHAnsi"/>
        </w:rPr>
      </w:pPr>
    </w:p>
    <w:p w14:paraId="6A23E506" w14:textId="77777777" w:rsidR="00277A0F" w:rsidRPr="000B6A37" w:rsidRDefault="00277A0F" w:rsidP="00277A0F">
      <w:pPr>
        <w:spacing w:line="264" w:lineRule="auto"/>
        <w:jc w:val="both"/>
        <w:rPr>
          <w:rFonts w:asciiTheme="minorHAnsi" w:hAnsiTheme="minorHAnsi"/>
        </w:rPr>
      </w:pPr>
    </w:p>
    <w:p w14:paraId="2EE26F6A" w14:textId="77777777" w:rsidR="00277A0F" w:rsidRPr="000B6A37" w:rsidRDefault="00277A0F" w:rsidP="00277A0F">
      <w:pPr>
        <w:spacing w:line="264" w:lineRule="auto"/>
        <w:jc w:val="both"/>
        <w:rPr>
          <w:rFonts w:asciiTheme="minorHAnsi" w:hAnsiTheme="minorHAnsi"/>
        </w:rPr>
      </w:pPr>
    </w:p>
    <w:p w14:paraId="489624E0" w14:textId="11A325BD" w:rsidR="00277A0F" w:rsidRPr="000A2E14" w:rsidRDefault="00277A0F" w:rsidP="0088565B">
      <w:pPr>
        <w:pStyle w:val="Tekstpodstawowy"/>
        <w:spacing w:line="264" w:lineRule="auto"/>
        <w:ind w:left="709" w:hanging="709"/>
        <w:rPr>
          <w:rFonts w:asciiTheme="minorHAnsi" w:hAnsiTheme="minorHAnsi"/>
          <w:b/>
          <w:szCs w:val="24"/>
          <w:u w:val="single"/>
        </w:rPr>
      </w:pPr>
      <w:r w:rsidRPr="000B6A37">
        <w:rPr>
          <w:rFonts w:asciiTheme="minorHAnsi" w:hAnsiTheme="minorHAnsi"/>
          <w:b/>
          <w:szCs w:val="24"/>
          <w:u w:val="single"/>
        </w:rPr>
        <w:lastRenderedPageBreak/>
        <w:t>II.</w:t>
      </w:r>
      <w:r w:rsidRPr="000B6A37">
        <w:rPr>
          <w:rFonts w:asciiTheme="minorHAnsi" w:hAnsiTheme="minorHAnsi"/>
          <w:b/>
          <w:szCs w:val="24"/>
          <w:u w:val="single"/>
        </w:rPr>
        <w:tab/>
        <w:t xml:space="preserve">ZAGADNIENIA </w:t>
      </w:r>
      <w:r w:rsidRPr="000A2E14">
        <w:rPr>
          <w:rFonts w:asciiTheme="minorHAnsi" w:hAnsiTheme="minorHAnsi"/>
          <w:b/>
          <w:szCs w:val="24"/>
          <w:u w:val="single"/>
        </w:rPr>
        <w:t>ZWIĄZANE Z BUDŻETEM UNII EUROPEJSKIEJ, TRANSFERY  FINANSOWE BUDŻET UE – PAŃSTWA CZŁONKOWSKIE</w:t>
      </w:r>
    </w:p>
    <w:p w14:paraId="1A45466C" w14:textId="77777777" w:rsidR="008B7DF0" w:rsidRPr="00A06FF8" w:rsidRDefault="008B7DF0" w:rsidP="00277A0F">
      <w:pPr>
        <w:tabs>
          <w:tab w:val="left" w:pos="357"/>
          <w:tab w:val="left" w:pos="709"/>
        </w:tabs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14:paraId="1725953A" w14:textId="77777777" w:rsidR="00DF39B3" w:rsidRDefault="004161AE" w:rsidP="009C2D50">
      <w:pPr>
        <w:tabs>
          <w:tab w:val="left" w:pos="567"/>
        </w:tabs>
        <w:spacing w:line="264" w:lineRule="auto"/>
        <w:ind w:left="567" w:hanging="567"/>
        <w:rPr>
          <w:rFonts w:asciiTheme="minorHAnsi" w:hAnsiTheme="minorHAnsi"/>
          <w:b/>
          <w:szCs w:val="20"/>
          <w:u w:val="single"/>
        </w:rPr>
      </w:pPr>
      <w:r w:rsidRPr="000A2E14">
        <w:rPr>
          <w:rFonts w:asciiTheme="minorHAnsi" w:hAnsiTheme="minorHAnsi"/>
          <w:b/>
          <w:szCs w:val="20"/>
          <w:u w:val="single"/>
        </w:rPr>
        <w:t xml:space="preserve">II.1  </w:t>
      </w:r>
      <w:r w:rsidRPr="000A2E14">
        <w:rPr>
          <w:rFonts w:asciiTheme="minorHAnsi" w:hAnsiTheme="minorHAnsi"/>
          <w:b/>
          <w:szCs w:val="20"/>
          <w:u w:val="single"/>
        </w:rPr>
        <w:tab/>
      </w:r>
      <w:r w:rsidR="00017672">
        <w:rPr>
          <w:rFonts w:asciiTheme="minorHAnsi" w:hAnsiTheme="minorHAnsi"/>
          <w:b/>
          <w:szCs w:val="20"/>
          <w:u w:val="single"/>
        </w:rPr>
        <w:t>Porozumienie w Radzie w sprawie</w:t>
      </w:r>
      <w:r w:rsidRPr="000A2E14">
        <w:rPr>
          <w:rFonts w:asciiTheme="minorHAnsi" w:hAnsiTheme="minorHAnsi"/>
          <w:b/>
          <w:szCs w:val="20"/>
          <w:u w:val="single"/>
        </w:rPr>
        <w:t xml:space="preserve"> stanowiska do projektu budżetu ogólnego UE </w:t>
      </w:r>
    </w:p>
    <w:p w14:paraId="3DFFB198" w14:textId="387DF849" w:rsidR="004161AE" w:rsidRPr="009C2D50" w:rsidRDefault="00DF39B3" w:rsidP="009C2D50">
      <w:pPr>
        <w:tabs>
          <w:tab w:val="left" w:pos="567"/>
        </w:tabs>
        <w:spacing w:line="264" w:lineRule="auto"/>
        <w:ind w:left="567" w:hanging="567"/>
        <w:rPr>
          <w:rFonts w:asciiTheme="minorHAnsi" w:eastAsia="Calibri" w:hAnsiTheme="minorHAnsi"/>
          <w:sz w:val="22"/>
          <w:szCs w:val="22"/>
        </w:rPr>
      </w:pPr>
      <w:r w:rsidRPr="00DF39B3">
        <w:rPr>
          <w:rFonts w:asciiTheme="minorHAnsi" w:hAnsiTheme="minorHAnsi"/>
          <w:b/>
          <w:szCs w:val="20"/>
        </w:rPr>
        <w:tab/>
      </w:r>
      <w:r w:rsidR="004161AE" w:rsidRPr="000A2E14">
        <w:rPr>
          <w:rFonts w:asciiTheme="minorHAnsi" w:hAnsiTheme="minorHAnsi"/>
          <w:b/>
          <w:szCs w:val="20"/>
          <w:u w:val="single"/>
        </w:rPr>
        <w:t>na rok 2020</w:t>
      </w:r>
    </w:p>
    <w:p w14:paraId="66509EAD" w14:textId="77777777" w:rsidR="008C317C" w:rsidRPr="009B7BF7" w:rsidRDefault="008C317C" w:rsidP="008C317C">
      <w:pPr>
        <w:spacing w:line="264" w:lineRule="auto"/>
        <w:jc w:val="both"/>
        <w:rPr>
          <w:rFonts w:asciiTheme="minorHAnsi" w:hAnsiTheme="minorHAnsi"/>
          <w:color w:val="000000"/>
          <w:sz w:val="10"/>
          <w:szCs w:val="10"/>
          <w:bdr w:val="none" w:sz="0" w:space="0" w:color="auto" w:frame="1"/>
        </w:rPr>
      </w:pPr>
    </w:p>
    <w:p w14:paraId="7A85EE5B" w14:textId="3C1F1783" w:rsidR="00D37B53" w:rsidRDefault="008C317C" w:rsidP="00E96FD2">
      <w:pPr>
        <w:jc w:val="both"/>
        <w:rPr>
          <w:rFonts w:asciiTheme="minorHAnsi" w:hAnsiTheme="minorHAnsi"/>
          <w:color w:val="000000"/>
          <w:bdr w:val="none" w:sz="0" w:space="0" w:color="auto" w:frame="1"/>
        </w:rPr>
      </w:pPr>
      <w:r w:rsidRPr="000A2E14">
        <w:rPr>
          <w:rFonts w:asciiTheme="minorHAnsi" w:hAnsiTheme="minorHAnsi"/>
          <w:color w:val="000000"/>
          <w:bdr w:val="none" w:sz="0" w:space="0" w:color="auto" w:frame="1"/>
        </w:rPr>
        <w:t xml:space="preserve">5 czerwca Komisja Europejska (KE) opublikowała projektu budżetu ogólnego UE na rok 2020 (DB 2020). </w:t>
      </w:r>
      <w:r w:rsidR="00017672" w:rsidRPr="00017672">
        <w:rPr>
          <w:rFonts w:asciiTheme="minorHAnsi" w:hAnsiTheme="minorHAnsi"/>
        </w:rPr>
        <w:t xml:space="preserve">10 lipca </w:t>
      </w:r>
      <w:r w:rsidR="00017672">
        <w:rPr>
          <w:rFonts w:asciiTheme="minorHAnsi" w:hAnsiTheme="minorHAnsi"/>
        </w:rPr>
        <w:t>państwa członkowskie (P.Cz)</w:t>
      </w:r>
      <w:r w:rsidR="006669BE">
        <w:rPr>
          <w:rFonts w:asciiTheme="minorHAnsi" w:hAnsiTheme="minorHAnsi"/>
        </w:rPr>
        <w:t xml:space="preserve"> osiągnęły porozumienie przyjmując swe stanowisko wobec ww.</w:t>
      </w:r>
      <w:r w:rsidR="00017672" w:rsidRPr="00017672">
        <w:rPr>
          <w:rFonts w:asciiTheme="minorHAnsi" w:hAnsiTheme="minorHAnsi"/>
        </w:rPr>
        <w:t xml:space="preserve"> projektu</w:t>
      </w:r>
      <w:r w:rsidR="00017672" w:rsidRPr="00E96FD2">
        <w:rPr>
          <w:rFonts w:asciiTheme="minorHAnsi" w:hAnsiTheme="minorHAnsi"/>
        </w:rPr>
        <w:t>.</w:t>
      </w:r>
      <w:r w:rsidR="006669BE" w:rsidRPr="00E96FD2">
        <w:rPr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="00680307" w:rsidRPr="00E96FD2">
        <w:rPr>
          <w:rFonts w:asciiTheme="minorHAnsi" w:hAnsiTheme="minorHAnsi"/>
          <w:color w:val="000000"/>
          <w:bdr w:val="none" w:sz="0" w:space="0" w:color="auto" w:frame="1"/>
        </w:rPr>
        <w:t>W porównaniu do propozycji KE</w:t>
      </w:r>
      <w:r w:rsidR="00680307">
        <w:rPr>
          <w:rFonts w:asciiTheme="minorHAnsi" w:hAnsiTheme="minorHAnsi"/>
          <w:color w:val="000000"/>
          <w:bdr w:val="none" w:sz="0" w:space="0" w:color="auto" w:frame="1"/>
        </w:rPr>
        <w:t xml:space="preserve"> p</w:t>
      </w:r>
      <w:r w:rsidR="00D37B53">
        <w:rPr>
          <w:rFonts w:asciiTheme="minorHAnsi" w:hAnsiTheme="minorHAnsi"/>
          <w:color w:val="000000"/>
          <w:bdr w:val="none" w:sz="0" w:space="0" w:color="auto" w:frame="1"/>
        </w:rPr>
        <w:t>orozumienie zakłada</w:t>
      </w:r>
      <w:r w:rsidR="00680307">
        <w:rPr>
          <w:rFonts w:asciiTheme="minorHAnsi" w:hAnsiTheme="minorHAnsi"/>
          <w:color w:val="000000"/>
          <w:bdr w:val="none" w:sz="0" w:space="0" w:color="auto" w:frame="1"/>
        </w:rPr>
        <w:t xml:space="preserve"> obniżenie środków na zobowiązania</w:t>
      </w:r>
      <w:r w:rsidR="00A06FF8">
        <w:rPr>
          <w:rFonts w:asciiTheme="minorHAnsi" w:hAnsiTheme="minorHAnsi"/>
          <w:color w:val="000000"/>
          <w:bdr w:val="none" w:sz="0" w:space="0" w:color="auto" w:frame="1"/>
        </w:rPr>
        <w:t xml:space="preserve"> (CA)</w:t>
      </w:r>
      <w:r w:rsidR="00680307">
        <w:rPr>
          <w:rFonts w:asciiTheme="minorHAnsi" w:hAnsiTheme="minorHAnsi"/>
          <w:color w:val="000000"/>
          <w:bdr w:val="none" w:sz="0" w:space="0" w:color="auto" w:frame="1"/>
        </w:rPr>
        <w:t xml:space="preserve"> o </w:t>
      </w:r>
      <w:r w:rsidR="00680307" w:rsidRPr="00E96FD2">
        <w:rPr>
          <w:rFonts w:asciiTheme="minorHAnsi" w:hAnsiTheme="minorHAnsi"/>
          <w:b/>
          <w:color w:val="000000"/>
          <w:bdr w:val="none" w:sz="0" w:space="0" w:color="auto" w:frame="1"/>
        </w:rPr>
        <w:t>1,5 mld EUR</w:t>
      </w:r>
      <w:r w:rsidR="00680307">
        <w:rPr>
          <w:rFonts w:asciiTheme="minorHAnsi" w:hAnsiTheme="minorHAnsi"/>
          <w:color w:val="000000"/>
          <w:bdr w:val="none" w:sz="0" w:space="0" w:color="auto" w:frame="1"/>
        </w:rPr>
        <w:t xml:space="preserve"> do poziomu </w:t>
      </w:r>
      <w:r w:rsidR="00680307" w:rsidRPr="00E96FD2">
        <w:rPr>
          <w:rFonts w:asciiTheme="minorHAnsi" w:hAnsiTheme="minorHAnsi"/>
          <w:b/>
          <w:color w:val="000000"/>
          <w:bdr w:val="none" w:sz="0" w:space="0" w:color="auto" w:frame="1"/>
        </w:rPr>
        <w:t>166,7 mld EUR</w:t>
      </w:r>
      <w:r w:rsidR="00680307">
        <w:rPr>
          <w:rFonts w:asciiTheme="minorHAnsi" w:hAnsiTheme="minorHAnsi"/>
          <w:color w:val="000000"/>
          <w:bdr w:val="none" w:sz="0" w:space="0" w:color="auto" w:frame="1"/>
        </w:rPr>
        <w:t xml:space="preserve"> oraz obniżenie środków na płatności</w:t>
      </w:r>
      <w:r w:rsidR="00A06FF8">
        <w:rPr>
          <w:rFonts w:asciiTheme="minorHAnsi" w:hAnsiTheme="minorHAnsi"/>
          <w:color w:val="000000"/>
          <w:bdr w:val="none" w:sz="0" w:space="0" w:color="auto" w:frame="1"/>
        </w:rPr>
        <w:t xml:space="preserve"> (PA)</w:t>
      </w:r>
      <w:r w:rsidR="00680307">
        <w:rPr>
          <w:rFonts w:asciiTheme="minorHAnsi" w:hAnsiTheme="minorHAnsi"/>
          <w:color w:val="000000"/>
          <w:bdr w:val="none" w:sz="0" w:space="0" w:color="auto" w:frame="1"/>
        </w:rPr>
        <w:t xml:space="preserve"> o </w:t>
      </w:r>
      <w:r w:rsidR="00680307" w:rsidRPr="00E96FD2">
        <w:rPr>
          <w:rFonts w:asciiTheme="minorHAnsi" w:hAnsiTheme="minorHAnsi"/>
          <w:b/>
          <w:color w:val="000000"/>
          <w:bdr w:val="none" w:sz="0" w:space="0" w:color="auto" w:frame="1"/>
        </w:rPr>
        <w:t>0,5 mld EUR</w:t>
      </w:r>
      <w:r w:rsidR="00680307">
        <w:rPr>
          <w:rFonts w:asciiTheme="minorHAnsi" w:hAnsiTheme="minorHAnsi"/>
          <w:color w:val="000000"/>
          <w:bdr w:val="none" w:sz="0" w:space="0" w:color="auto" w:frame="1"/>
        </w:rPr>
        <w:t xml:space="preserve"> do poziomu </w:t>
      </w:r>
      <w:r w:rsidR="00680307" w:rsidRPr="00E96FD2">
        <w:rPr>
          <w:rFonts w:asciiTheme="minorHAnsi" w:hAnsiTheme="minorHAnsi"/>
          <w:b/>
          <w:color w:val="000000"/>
          <w:bdr w:val="none" w:sz="0" w:space="0" w:color="auto" w:frame="1"/>
        </w:rPr>
        <w:t>153,1 mld EUR</w:t>
      </w:r>
      <w:r w:rsidR="007F2044">
        <w:rPr>
          <w:rFonts w:asciiTheme="minorHAnsi" w:hAnsiTheme="minorHAnsi"/>
          <w:color w:val="000000"/>
          <w:bdr w:val="none" w:sz="0" w:space="0" w:color="auto" w:frame="1"/>
        </w:rPr>
        <w:t>.</w:t>
      </w:r>
    </w:p>
    <w:p w14:paraId="1A5864E9" w14:textId="77777777" w:rsidR="00A06FF8" w:rsidRDefault="00D37B53" w:rsidP="00A06FF8">
      <w:pPr>
        <w:spacing w:before="120"/>
        <w:jc w:val="both"/>
        <w:rPr>
          <w:rFonts w:asciiTheme="minorHAnsi" w:hAnsiTheme="minorHAnsi"/>
          <w:color w:val="000000"/>
          <w:bdr w:val="none" w:sz="0" w:space="0" w:color="auto" w:frame="1"/>
        </w:rPr>
      </w:pPr>
      <w:r w:rsidRPr="00017672">
        <w:rPr>
          <w:rFonts w:asciiTheme="minorHAnsi" w:hAnsiTheme="minorHAnsi"/>
        </w:rPr>
        <w:t xml:space="preserve">Budżet </w:t>
      </w:r>
      <w:r>
        <w:rPr>
          <w:rFonts w:asciiTheme="minorHAnsi" w:hAnsiTheme="minorHAnsi"/>
        </w:rPr>
        <w:t xml:space="preserve">UE </w:t>
      </w:r>
      <w:r w:rsidRPr="00017672">
        <w:rPr>
          <w:rFonts w:asciiTheme="minorHAnsi" w:hAnsiTheme="minorHAnsi"/>
        </w:rPr>
        <w:t xml:space="preserve">na rok 2020 jest </w:t>
      </w:r>
      <w:r>
        <w:rPr>
          <w:rFonts w:asciiTheme="minorHAnsi" w:hAnsiTheme="minorHAnsi"/>
        </w:rPr>
        <w:t xml:space="preserve">istotny, bo jest ostatnim w obecnych Wieloletnich Ramach Finansowych UE </w:t>
      </w:r>
      <w:r w:rsidRPr="00017672">
        <w:rPr>
          <w:rFonts w:asciiTheme="minorHAnsi" w:hAnsiTheme="minorHAnsi"/>
        </w:rPr>
        <w:t xml:space="preserve">na lata 2014-2020. </w:t>
      </w:r>
      <w:r>
        <w:rPr>
          <w:rFonts w:asciiTheme="minorHAnsi" w:hAnsiTheme="minorHAnsi"/>
        </w:rPr>
        <w:t>W trakcie prac nad ww. stanowiskiem d</w:t>
      </w:r>
      <w:r w:rsidR="00017672" w:rsidRPr="00017672">
        <w:rPr>
          <w:rFonts w:asciiTheme="minorHAnsi" w:hAnsiTheme="minorHAnsi"/>
        </w:rPr>
        <w:t xml:space="preserve">la Polski istotne było </w:t>
      </w:r>
      <w:r>
        <w:rPr>
          <w:rFonts w:asciiTheme="minorHAnsi" w:hAnsiTheme="minorHAnsi"/>
        </w:rPr>
        <w:t>zapobiegnięcie</w:t>
      </w:r>
      <w:r w:rsidR="00017672" w:rsidRPr="00017672">
        <w:rPr>
          <w:rFonts w:asciiTheme="minorHAnsi" w:hAnsiTheme="minorHAnsi"/>
        </w:rPr>
        <w:t xml:space="preserve"> zmniejszeniu środków w funduszach strukturalnych i Funduszu Spójności oraz </w:t>
      </w:r>
      <w:r w:rsidR="00A06FF8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Programie Rozwoju Obszarów Wiejskich</w:t>
      </w:r>
      <w:r w:rsidR="00017672" w:rsidRPr="00017672">
        <w:rPr>
          <w:rFonts w:asciiTheme="minorHAnsi" w:hAnsiTheme="minorHAnsi"/>
        </w:rPr>
        <w:t>. Udało się także utrzymać środki zaproponowane przez K</w:t>
      </w:r>
      <w:r>
        <w:rPr>
          <w:rFonts w:asciiTheme="minorHAnsi" w:hAnsiTheme="minorHAnsi"/>
        </w:rPr>
        <w:t>E</w:t>
      </w:r>
      <w:r w:rsidR="00017672" w:rsidRPr="00017672">
        <w:rPr>
          <w:rFonts w:asciiTheme="minorHAnsi" w:hAnsiTheme="minorHAnsi"/>
        </w:rPr>
        <w:t xml:space="preserve"> na program na rzecz kształcenia, szkolenia, młodzieży i sp</w:t>
      </w:r>
      <w:r w:rsidR="00A06FF8">
        <w:rPr>
          <w:rFonts w:asciiTheme="minorHAnsi" w:hAnsiTheme="minorHAnsi"/>
        </w:rPr>
        <w:t>ortu w </w:t>
      </w:r>
      <w:r w:rsidR="00E96FD2">
        <w:rPr>
          <w:rFonts w:asciiTheme="minorHAnsi" w:hAnsiTheme="minorHAnsi"/>
        </w:rPr>
        <w:t>Europie (Erasmus+) oraz na I</w:t>
      </w:r>
      <w:r w:rsidR="00017672" w:rsidRPr="00017672">
        <w:rPr>
          <w:rFonts w:asciiTheme="minorHAnsi" w:hAnsiTheme="minorHAnsi"/>
        </w:rPr>
        <w:t>nstrument „Łącząc Europę” wspierający rozwój infrastruktury energetycznej (CEF – Energia).</w:t>
      </w:r>
      <w:r>
        <w:rPr>
          <w:rFonts w:asciiTheme="minorHAnsi" w:hAnsiTheme="minorHAnsi"/>
        </w:rPr>
        <w:t xml:space="preserve"> </w:t>
      </w:r>
      <w:r w:rsidR="00017672" w:rsidRPr="00017672">
        <w:rPr>
          <w:rFonts w:asciiTheme="minorHAnsi" w:hAnsiTheme="minorHAnsi"/>
        </w:rPr>
        <w:t xml:space="preserve">W trakcie prac udało się </w:t>
      </w:r>
      <w:r>
        <w:rPr>
          <w:rFonts w:asciiTheme="minorHAnsi" w:hAnsiTheme="minorHAnsi"/>
        </w:rPr>
        <w:t>też</w:t>
      </w:r>
      <w:r w:rsidR="00017672" w:rsidRPr="00017672">
        <w:rPr>
          <w:rFonts w:asciiTheme="minorHAnsi" w:hAnsiTheme="minorHAnsi"/>
        </w:rPr>
        <w:t xml:space="preserve"> wypracować wzmocnioną deklarację o płatnościach wskazującą, że w przypadku braku wystarczających środków, </w:t>
      </w:r>
      <w:r>
        <w:rPr>
          <w:rFonts w:asciiTheme="minorHAnsi" w:hAnsiTheme="minorHAnsi"/>
        </w:rPr>
        <w:t>KE</w:t>
      </w:r>
      <w:r w:rsidR="00017672" w:rsidRPr="00017672">
        <w:rPr>
          <w:rFonts w:asciiTheme="minorHAnsi" w:hAnsiTheme="minorHAnsi"/>
        </w:rPr>
        <w:t xml:space="preserve"> niezwłocznie zaprezentuje</w:t>
      </w:r>
      <w:r w:rsidR="00A06FF8">
        <w:rPr>
          <w:rFonts w:asciiTheme="minorHAnsi" w:hAnsiTheme="minorHAnsi"/>
        </w:rPr>
        <w:t>,</w:t>
      </w:r>
      <w:r w:rsidR="00017672" w:rsidRPr="00017672">
        <w:rPr>
          <w:rFonts w:asciiTheme="minorHAnsi" w:hAnsiTheme="minorHAnsi"/>
        </w:rPr>
        <w:t xml:space="preserve"> </w:t>
      </w:r>
      <w:r w:rsidR="00A06FF8" w:rsidRPr="00017672">
        <w:rPr>
          <w:rFonts w:asciiTheme="minorHAnsi" w:hAnsiTheme="minorHAnsi"/>
        </w:rPr>
        <w:t xml:space="preserve">w trakcie </w:t>
      </w:r>
      <w:r w:rsidR="00A06FF8">
        <w:rPr>
          <w:rFonts w:asciiTheme="minorHAnsi" w:hAnsiTheme="minorHAnsi"/>
        </w:rPr>
        <w:t>roku,</w:t>
      </w:r>
      <w:r w:rsidR="00A06FF8" w:rsidRPr="00017672">
        <w:rPr>
          <w:rFonts w:asciiTheme="minorHAnsi" w:hAnsiTheme="minorHAnsi"/>
        </w:rPr>
        <w:t xml:space="preserve"> </w:t>
      </w:r>
      <w:r w:rsidR="00017672" w:rsidRPr="00017672">
        <w:rPr>
          <w:rFonts w:asciiTheme="minorHAnsi" w:hAnsiTheme="minorHAnsi"/>
        </w:rPr>
        <w:t xml:space="preserve">zmiany w budżecie UE. </w:t>
      </w:r>
      <w:r w:rsidR="00333E2F">
        <w:rPr>
          <w:rFonts w:asciiTheme="minorHAnsi" w:hAnsiTheme="minorHAnsi"/>
        </w:rPr>
        <w:t>P</w:t>
      </w:r>
      <w:r w:rsidR="00A06FF8">
        <w:rPr>
          <w:rFonts w:asciiTheme="minorHAnsi" w:hAnsiTheme="minorHAnsi"/>
        </w:rPr>
        <w:t xml:space="preserve">rzewiduje się szybką ścieżkę w </w:t>
      </w:r>
      <w:r w:rsidR="00017672" w:rsidRPr="00017672">
        <w:rPr>
          <w:rFonts w:asciiTheme="minorHAnsi" w:hAnsiTheme="minorHAnsi"/>
        </w:rPr>
        <w:t>przyjmowaniu przez Radę UE i Parlament Europejski</w:t>
      </w:r>
      <w:r w:rsidR="008B7DF0">
        <w:rPr>
          <w:rFonts w:asciiTheme="minorHAnsi" w:hAnsiTheme="minorHAnsi"/>
        </w:rPr>
        <w:t xml:space="preserve"> (PE)</w:t>
      </w:r>
      <w:r w:rsidR="00017672" w:rsidRPr="00017672">
        <w:rPr>
          <w:rFonts w:asciiTheme="minorHAnsi" w:hAnsiTheme="minorHAnsi"/>
        </w:rPr>
        <w:t xml:space="preserve"> budżetu korygującego, gdy zostanie </w:t>
      </w:r>
      <w:r>
        <w:rPr>
          <w:rFonts w:asciiTheme="minorHAnsi" w:hAnsiTheme="minorHAnsi"/>
        </w:rPr>
        <w:t xml:space="preserve">on </w:t>
      </w:r>
      <w:r w:rsidR="00017672" w:rsidRPr="00017672">
        <w:rPr>
          <w:rFonts w:asciiTheme="minorHAnsi" w:hAnsiTheme="minorHAnsi"/>
        </w:rPr>
        <w:t xml:space="preserve">zaproponowany. Ma to nastąpić w przypadku znaczącego przyspieszenia realizacji projektów przez </w:t>
      </w:r>
      <w:r>
        <w:rPr>
          <w:rFonts w:asciiTheme="minorHAnsi" w:hAnsiTheme="minorHAnsi"/>
        </w:rPr>
        <w:t>P.Cz</w:t>
      </w:r>
      <w:r w:rsidR="00017672" w:rsidRPr="00017672">
        <w:rPr>
          <w:rFonts w:asciiTheme="minorHAnsi" w:hAnsiTheme="minorHAnsi"/>
        </w:rPr>
        <w:t>.</w:t>
      </w:r>
      <w:r w:rsidR="008B7DF0">
        <w:rPr>
          <w:rFonts w:asciiTheme="minorHAnsi" w:hAnsiTheme="minorHAnsi"/>
          <w:color w:val="000000"/>
          <w:bdr w:val="none" w:sz="0" w:space="0" w:color="auto" w:frame="1"/>
        </w:rPr>
        <w:t xml:space="preserve"> </w:t>
      </w:r>
    </w:p>
    <w:p w14:paraId="2CFAC35B" w14:textId="4C240082" w:rsidR="00017672" w:rsidRDefault="00D37B53" w:rsidP="00A06FF8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Przyjęty kompromis jest podstawą</w:t>
      </w:r>
      <w:r w:rsidR="00017672" w:rsidRPr="00017672">
        <w:rPr>
          <w:rFonts w:asciiTheme="minorHAnsi" w:hAnsiTheme="minorHAnsi"/>
        </w:rPr>
        <w:t xml:space="preserve"> do dalszych negocjacji </w:t>
      </w:r>
      <w:r w:rsidR="008B7DF0">
        <w:rPr>
          <w:rFonts w:asciiTheme="minorHAnsi" w:hAnsiTheme="minorHAnsi"/>
        </w:rPr>
        <w:t>z PE</w:t>
      </w:r>
      <w:r>
        <w:rPr>
          <w:rFonts w:asciiTheme="minorHAnsi" w:hAnsiTheme="minorHAnsi"/>
        </w:rPr>
        <w:t>, który przyjmie swe stanowisko</w:t>
      </w:r>
      <w:r w:rsidR="00017672" w:rsidRPr="0001767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pod koniec października. </w:t>
      </w:r>
      <w:r w:rsidR="00333E2F">
        <w:rPr>
          <w:rFonts w:asciiTheme="minorHAnsi" w:hAnsiTheme="minorHAnsi"/>
        </w:rPr>
        <w:t>Negocj</w:t>
      </w:r>
      <w:r w:rsidR="009B7BF7">
        <w:rPr>
          <w:rFonts w:asciiTheme="minorHAnsi" w:hAnsiTheme="minorHAnsi"/>
        </w:rPr>
        <w:t>a</w:t>
      </w:r>
      <w:r w:rsidR="00333E2F">
        <w:rPr>
          <w:rFonts w:asciiTheme="minorHAnsi" w:hAnsiTheme="minorHAnsi"/>
        </w:rPr>
        <w:t>cje</w:t>
      </w:r>
      <w:r>
        <w:rPr>
          <w:rFonts w:asciiTheme="minorHAnsi" w:hAnsiTheme="minorHAnsi"/>
        </w:rPr>
        <w:t xml:space="preserve"> w ramach </w:t>
      </w:r>
      <w:r w:rsidR="00017672" w:rsidRPr="00017672">
        <w:rPr>
          <w:rFonts w:asciiTheme="minorHAnsi" w:hAnsiTheme="minorHAnsi"/>
        </w:rPr>
        <w:t>tzw. procedur</w:t>
      </w:r>
      <w:r>
        <w:rPr>
          <w:rFonts w:asciiTheme="minorHAnsi" w:hAnsiTheme="minorHAnsi"/>
        </w:rPr>
        <w:t>y</w:t>
      </w:r>
      <w:r w:rsidR="00017672" w:rsidRPr="00017672">
        <w:rPr>
          <w:rFonts w:asciiTheme="minorHAnsi" w:hAnsiTheme="minorHAnsi"/>
        </w:rPr>
        <w:t xml:space="preserve"> pojednawcz</w:t>
      </w:r>
      <w:r>
        <w:rPr>
          <w:rFonts w:asciiTheme="minorHAnsi" w:hAnsiTheme="minorHAnsi"/>
        </w:rPr>
        <w:t>ej</w:t>
      </w:r>
      <w:r w:rsidR="00017672" w:rsidRPr="00017672">
        <w:rPr>
          <w:rFonts w:asciiTheme="minorHAnsi" w:hAnsiTheme="minorHAnsi"/>
        </w:rPr>
        <w:t xml:space="preserve"> Rada UE i P</w:t>
      </w:r>
      <w:r w:rsidR="008B7DF0">
        <w:rPr>
          <w:rFonts w:asciiTheme="minorHAnsi" w:hAnsiTheme="minorHAnsi"/>
        </w:rPr>
        <w:t xml:space="preserve">E </w:t>
      </w:r>
      <w:r w:rsidR="00333E2F">
        <w:rPr>
          <w:rFonts w:asciiTheme="minorHAnsi" w:hAnsiTheme="minorHAnsi"/>
        </w:rPr>
        <w:t xml:space="preserve">planowane </w:t>
      </w:r>
      <w:r w:rsidR="009B7BF7">
        <w:rPr>
          <w:rFonts w:asciiTheme="minorHAnsi" w:hAnsiTheme="minorHAnsi"/>
        </w:rPr>
        <w:t>są</w:t>
      </w:r>
      <w:r w:rsidR="00333E2F">
        <w:rPr>
          <w:rFonts w:asciiTheme="minorHAnsi" w:hAnsiTheme="minorHAnsi"/>
        </w:rPr>
        <w:t xml:space="preserve"> na listopad. Po ich pozytywnym zakończeniu przyjęcie</w:t>
      </w:r>
      <w:r>
        <w:rPr>
          <w:rFonts w:asciiTheme="minorHAnsi" w:hAnsiTheme="minorHAnsi"/>
        </w:rPr>
        <w:t xml:space="preserve"> budżet</w:t>
      </w:r>
      <w:r w:rsidR="004053C1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UE na rok 2020</w:t>
      </w:r>
      <w:r w:rsidR="00333E2F">
        <w:rPr>
          <w:rFonts w:asciiTheme="minorHAnsi" w:hAnsiTheme="minorHAnsi"/>
        </w:rPr>
        <w:t xml:space="preserve"> </w:t>
      </w:r>
      <w:r w:rsidR="009B7BF7">
        <w:rPr>
          <w:rFonts w:asciiTheme="minorHAnsi" w:hAnsiTheme="minorHAnsi"/>
        </w:rPr>
        <w:t>nastąpiłoby</w:t>
      </w:r>
      <w:r>
        <w:rPr>
          <w:rFonts w:asciiTheme="minorHAnsi" w:hAnsiTheme="minorHAnsi"/>
        </w:rPr>
        <w:t xml:space="preserve"> na </w:t>
      </w:r>
      <w:r w:rsidR="00017672" w:rsidRPr="00017672">
        <w:rPr>
          <w:rFonts w:asciiTheme="minorHAnsi" w:hAnsiTheme="minorHAnsi"/>
        </w:rPr>
        <w:t>przełom</w:t>
      </w:r>
      <w:r>
        <w:rPr>
          <w:rFonts w:asciiTheme="minorHAnsi" w:hAnsiTheme="minorHAnsi"/>
        </w:rPr>
        <w:t>ie listopada i grudnia</w:t>
      </w:r>
      <w:r w:rsidR="00017672" w:rsidRPr="00017672">
        <w:rPr>
          <w:rFonts w:asciiTheme="minorHAnsi" w:hAnsiTheme="minorHAnsi"/>
        </w:rPr>
        <w:t>.</w:t>
      </w:r>
    </w:p>
    <w:p w14:paraId="264407CA" w14:textId="698C34A2" w:rsidR="008B7DF0" w:rsidRPr="00A06FF8" w:rsidRDefault="008B7DF0" w:rsidP="00A06FF8">
      <w:pPr>
        <w:spacing w:before="120"/>
        <w:jc w:val="both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A06FF8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Tabela przedstawia porównanie środków DB 2020 w projek</w:t>
      </w:r>
      <w:r w:rsidR="007F2044" w:rsidRPr="00A06FF8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cie zaproponowanym przez KE i w porozumieniu</w:t>
      </w:r>
      <w:r w:rsidRPr="00A06FF8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przyjętym przez Radę UE</w:t>
      </w:r>
      <w:r w:rsidR="00FD02D6" w:rsidRPr="00A06FF8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</w:t>
      </w:r>
      <w:r w:rsidRPr="00A06FF8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w rozbiciu na poszczególne działy (w mln EUR).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940"/>
        <w:gridCol w:w="920"/>
        <w:gridCol w:w="1000"/>
        <w:gridCol w:w="920"/>
        <w:gridCol w:w="740"/>
        <w:gridCol w:w="640"/>
        <w:gridCol w:w="760"/>
        <w:gridCol w:w="720"/>
      </w:tblGrid>
      <w:tr w:rsidR="00EC1ED2" w:rsidRPr="00EC1ED2" w14:paraId="5BA24718" w14:textId="77777777" w:rsidTr="008B7DF0">
        <w:trPr>
          <w:trHeight w:val="70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BCA7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Działy budżetu UE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7180D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Projekt budżetu UE na rok 2020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28C35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Projekt budżetu UE na rok 2020 przyjęty przez Radę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98CCB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Różnica kwotowa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B22C8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Różnica %</w:t>
            </w:r>
          </w:p>
        </w:tc>
      </w:tr>
      <w:tr w:rsidR="008B7DF0" w:rsidRPr="00EC1ED2" w14:paraId="7300851B" w14:textId="77777777" w:rsidTr="008B7DF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E47E5" w14:textId="77777777" w:rsidR="00EC1ED2" w:rsidRPr="00EC1ED2" w:rsidRDefault="00EC1ED2" w:rsidP="00EC1ED2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6916C7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69B8A11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0C6361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E4D325E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92077A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735D087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68D9287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03B0376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PA</w:t>
            </w:r>
          </w:p>
        </w:tc>
      </w:tr>
      <w:tr w:rsidR="00EC1ED2" w:rsidRPr="00EC1ED2" w14:paraId="297AF152" w14:textId="77777777" w:rsidTr="00EC1ED2">
        <w:trPr>
          <w:trHeight w:hRule="exact" w:val="48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4256" w14:textId="77777777" w:rsidR="00EC1ED2" w:rsidRPr="00EC1ED2" w:rsidRDefault="00EC1ED2" w:rsidP="00EC1ED2">
            <w:pP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1A. Konkurencyjność na rzecz wzrostu i zatrudnienia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A43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24 716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5145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22 109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13D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23 969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D4CF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22 004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895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-747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7EB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CDA2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-3,0%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A9CE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-0,5%</w:t>
            </w:r>
          </w:p>
        </w:tc>
      </w:tr>
      <w:tr w:rsidR="00EC1ED2" w:rsidRPr="00EC1ED2" w14:paraId="2C932783" w14:textId="77777777" w:rsidTr="00EC1ED2">
        <w:trPr>
          <w:trHeight w:val="4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9414" w14:textId="77777777" w:rsidR="00EC1ED2" w:rsidRPr="00EC1ED2" w:rsidRDefault="00EC1ED2" w:rsidP="00EC1ED2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1B. Spójność gospodarcza,   społeczna i terytorialna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EEF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58 612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BC34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50 042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784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58 470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7783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50 007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E26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-142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7E50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9F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-0,2%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00A3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-0,1%</w:t>
            </w:r>
          </w:p>
        </w:tc>
      </w:tr>
      <w:tr w:rsidR="00EC1ED2" w:rsidRPr="00EC1ED2" w14:paraId="4CD0AD14" w14:textId="77777777" w:rsidTr="00EC1ED2">
        <w:trPr>
          <w:trHeight w:val="4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8C35" w14:textId="77777777" w:rsidR="00EC1ED2" w:rsidRPr="00EC1ED2" w:rsidRDefault="00EC1ED2" w:rsidP="00EC1ED2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2. Trwały wzrost - zasoby naturalne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88E7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59 995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A983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58 014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C4C9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59 751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08D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57 774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93B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-244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7124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281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-0,4%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A570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-0,4%</w:t>
            </w:r>
          </w:p>
        </w:tc>
      </w:tr>
      <w:tr w:rsidR="00EC1ED2" w:rsidRPr="00EC1ED2" w14:paraId="7C58FD64" w14:textId="77777777" w:rsidTr="00EC1ED2">
        <w:trPr>
          <w:trHeight w:val="4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A79C" w14:textId="77777777" w:rsidR="00EC1ED2" w:rsidRPr="00EC1ED2" w:rsidRDefault="00EC1ED2" w:rsidP="00EC1ED2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3. Bezpieczeństwo i obywatelstwo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996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3 729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6A88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3 724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B17B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3 603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9FDE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3 689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594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-126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D5DE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B7A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-3,4%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9B77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-0,9%</w:t>
            </w:r>
          </w:p>
        </w:tc>
      </w:tr>
      <w:tr w:rsidR="00EC1ED2" w:rsidRPr="00EC1ED2" w14:paraId="1835A84B" w14:textId="77777777" w:rsidTr="00EC1ED2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B5F" w14:textId="77777777" w:rsidR="00EC1ED2" w:rsidRPr="00EC1ED2" w:rsidRDefault="00EC1ED2" w:rsidP="00EC1ED2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4. Globalny wymiar Europy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A11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10 308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5012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8 986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B0D6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10 114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C39A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8 946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E30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-193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9901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C5E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-1,9%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240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-0,4%</w:t>
            </w:r>
          </w:p>
        </w:tc>
      </w:tr>
      <w:tr w:rsidR="00EC1ED2" w:rsidRPr="00EC1ED2" w14:paraId="2FD7BA71" w14:textId="77777777" w:rsidTr="00EC1ED2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071B" w14:textId="77777777" w:rsidR="00EC1ED2" w:rsidRPr="00EC1ED2" w:rsidRDefault="00EC1ED2" w:rsidP="00EC1ED2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5. Administracja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8A0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10 324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D623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10 327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637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10 269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3374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10 272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AC34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102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430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-0,5%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E4DD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-0,5%</w:t>
            </w:r>
          </w:p>
        </w:tc>
      </w:tr>
      <w:tr w:rsidR="00EC1ED2" w:rsidRPr="00EC1ED2" w14:paraId="4158089B" w14:textId="77777777" w:rsidTr="00EC1ED2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57D2" w14:textId="77777777" w:rsidR="00EC1ED2" w:rsidRPr="00543FB5" w:rsidRDefault="00EC1ED2" w:rsidP="00EC1ED2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543FB5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3CD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167 684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4861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153 202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60D1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166 176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18E1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152 693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964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-1 508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A05F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-509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3DD8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-0,9%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65F6F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-0,3%</w:t>
            </w:r>
          </w:p>
        </w:tc>
      </w:tr>
      <w:tr w:rsidR="00EC1ED2" w:rsidRPr="00EC1ED2" w14:paraId="03259FD7" w14:textId="77777777" w:rsidTr="00EC1ED2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EFA2" w14:textId="77777777" w:rsidR="00EC1ED2" w:rsidRPr="00EC1ED2" w:rsidRDefault="00EC1ED2" w:rsidP="00EC1ED2">
            <w:pP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Instrumenty specjalne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0514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587,8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80F8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418,5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67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587,8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F51A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418,5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6CF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2E2A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85E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8016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C1ED2" w:rsidRPr="00EC1ED2" w14:paraId="5FC8FCCE" w14:textId="77777777" w:rsidTr="00EC1ED2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B865" w14:textId="77777777" w:rsidR="00EC1ED2" w:rsidRPr="00EC1ED2" w:rsidRDefault="00EC1ED2" w:rsidP="00EC1ED2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EADD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168 272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E78A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153 621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F5E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166 764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FB43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153 112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2BAD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-1 508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9319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-509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450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-0,9%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DDAC" w14:textId="77777777" w:rsidR="00EC1ED2" w:rsidRPr="00EC1ED2" w:rsidRDefault="00EC1ED2" w:rsidP="00EC1ED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EC1ED2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-0,3%</w:t>
            </w:r>
          </w:p>
        </w:tc>
      </w:tr>
    </w:tbl>
    <w:p w14:paraId="38DD1500" w14:textId="77777777" w:rsidR="00626881" w:rsidRDefault="00626881" w:rsidP="00F65475">
      <w:pPr>
        <w:pStyle w:val="Tekstpodstawowy"/>
        <w:spacing w:line="288" w:lineRule="auto"/>
        <w:rPr>
          <w:rFonts w:asciiTheme="minorHAnsi" w:hAnsiTheme="minorHAnsi"/>
          <w:b/>
          <w:u w:val="single"/>
        </w:rPr>
      </w:pPr>
    </w:p>
    <w:p w14:paraId="34B64BB1" w14:textId="04EFE8FB" w:rsidR="00F65475" w:rsidRPr="00680307" w:rsidRDefault="00F65475" w:rsidP="00F65475">
      <w:pPr>
        <w:pStyle w:val="Tekstpodstawowy"/>
        <w:spacing w:line="288" w:lineRule="auto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lastRenderedPageBreak/>
        <w:t>II.2</w:t>
      </w:r>
      <w:r w:rsidRPr="00680307">
        <w:rPr>
          <w:rFonts w:asciiTheme="minorHAnsi" w:hAnsiTheme="minorHAnsi"/>
          <w:b/>
          <w:u w:val="single"/>
        </w:rPr>
        <w:t xml:space="preserve"> </w:t>
      </w:r>
      <w:r w:rsidRPr="00680307">
        <w:rPr>
          <w:rFonts w:asciiTheme="minorHAnsi" w:hAnsiTheme="minorHAnsi"/>
          <w:b/>
          <w:u w:val="single"/>
        </w:rPr>
        <w:tab/>
        <w:t xml:space="preserve">Sprawozdanie z realizacji pomocy </w:t>
      </w:r>
      <w:proofErr w:type="spellStart"/>
      <w:r w:rsidRPr="00680307">
        <w:rPr>
          <w:rFonts w:asciiTheme="minorHAnsi" w:hAnsiTheme="minorHAnsi"/>
          <w:b/>
          <w:u w:val="single"/>
        </w:rPr>
        <w:t>makrofinansowej</w:t>
      </w:r>
      <w:proofErr w:type="spellEnd"/>
      <w:r w:rsidRPr="00680307">
        <w:rPr>
          <w:rFonts w:asciiTheme="minorHAnsi" w:hAnsiTheme="minorHAnsi"/>
          <w:b/>
          <w:u w:val="single"/>
        </w:rPr>
        <w:t xml:space="preserve"> dla państw trzecich w 201</w:t>
      </w:r>
      <w:r>
        <w:rPr>
          <w:rFonts w:asciiTheme="minorHAnsi" w:hAnsiTheme="minorHAnsi"/>
          <w:b/>
          <w:u w:val="single"/>
        </w:rPr>
        <w:t>8</w:t>
      </w:r>
      <w:r w:rsidRPr="00680307">
        <w:rPr>
          <w:rFonts w:asciiTheme="minorHAnsi" w:hAnsiTheme="minorHAnsi"/>
          <w:b/>
          <w:u w:val="single"/>
        </w:rPr>
        <w:t xml:space="preserve"> r.</w:t>
      </w:r>
    </w:p>
    <w:p w14:paraId="5082A642" w14:textId="77777777" w:rsidR="00F65475" w:rsidRPr="009C2D50" w:rsidRDefault="00F65475" w:rsidP="00F65475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u w:val="single"/>
        </w:rPr>
      </w:pPr>
    </w:p>
    <w:p w14:paraId="3F310D77" w14:textId="0FD5CD97" w:rsidR="00F65475" w:rsidRPr="001322DA" w:rsidRDefault="00F65475" w:rsidP="00F65475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</w:rPr>
      </w:pPr>
      <w:r w:rsidRPr="00680307">
        <w:rPr>
          <w:rFonts w:asciiTheme="minorHAnsi" w:hAnsiTheme="minorHAnsi"/>
        </w:rPr>
        <w:t xml:space="preserve">Pomoc </w:t>
      </w:r>
      <w:proofErr w:type="spellStart"/>
      <w:r w:rsidRPr="00680307">
        <w:rPr>
          <w:rFonts w:asciiTheme="minorHAnsi" w:hAnsiTheme="minorHAnsi"/>
        </w:rPr>
        <w:t>makrofinansowa</w:t>
      </w:r>
      <w:proofErr w:type="spellEnd"/>
      <w:r w:rsidR="00A06FF8">
        <w:rPr>
          <w:rFonts w:asciiTheme="minorHAnsi" w:hAnsiTheme="minorHAnsi"/>
        </w:rPr>
        <w:t xml:space="preserve"> UE</w:t>
      </w:r>
      <w:r w:rsidRPr="00680307">
        <w:rPr>
          <w:rFonts w:asciiTheme="minorHAnsi" w:hAnsiTheme="minorHAnsi"/>
        </w:rPr>
        <w:t xml:space="preserve"> jest instrumentem finansowania zewnętrznego dla państw bliskich UE</w:t>
      </w:r>
      <w:r w:rsidRPr="00680307">
        <w:rPr>
          <w:rStyle w:val="Odwoanieprzypisudolnego"/>
          <w:rFonts w:asciiTheme="minorHAnsi" w:hAnsiTheme="minorHAnsi"/>
        </w:rPr>
        <w:footnoteReference w:id="1"/>
      </w:r>
      <w:r w:rsidRPr="00680307">
        <w:rPr>
          <w:rFonts w:asciiTheme="minorHAnsi" w:hAnsiTheme="minorHAnsi"/>
        </w:rPr>
        <w:t xml:space="preserve"> pod względem geograficznym, gospodarczym i politycznym. Pomoc przyznawana jest w celu </w:t>
      </w:r>
      <w:r w:rsidRPr="001322DA">
        <w:rPr>
          <w:rFonts w:asciiTheme="minorHAnsi" w:hAnsiTheme="minorHAnsi"/>
        </w:rPr>
        <w:t>wzmocnienia stabilności makroekonomicznej i finansowej oraz wspierania rea</w:t>
      </w:r>
      <w:r>
        <w:rPr>
          <w:rFonts w:asciiTheme="minorHAnsi" w:hAnsiTheme="minorHAnsi"/>
        </w:rPr>
        <w:t xml:space="preserve">lizacji reform strukturalnych. Dokumentem z </w:t>
      </w:r>
      <w:r w:rsidR="004053C1">
        <w:rPr>
          <w:rFonts w:asciiTheme="minorHAnsi" w:hAnsiTheme="minorHAnsi"/>
        </w:rPr>
        <w:t>8 lipca</w:t>
      </w:r>
      <w:r w:rsidRPr="001322DA">
        <w:rPr>
          <w:rFonts w:asciiTheme="minorHAnsi" w:hAnsiTheme="minorHAnsi"/>
        </w:rPr>
        <w:t xml:space="preserve"> KE przedstawiła sprawozdanie</w:t>
      </w:r>
      <w:r w:rsidRPr="001322DA">
        <w:rPr>
          <w:rFonts w:asciiTheme="minorHAnsi" w:hAnsiTheme="minorHAnsi"/>
          <w:vertAlign w:val="superscript"/>
        </w:rPr>
        <w:footnoteReference w:id="2"/>
      </w:r>
      <w:r w:rsidRPr="001322DA">
        <w:rPr>
          <w:rFonts w:asciiTheme="minorHAnsi" w:hAnsiTheme="minorHAnsi"/>
          <w:vertAlign w:val="superscript"/>
        </w:rPr>
        <w:t xml:space="preserve"> </w:t>
      </w:r>
      <w:r w:rsidRPr="001322DA">
        <w:rPr>
          <w:rFonts w:asciiTheme="minorHAnsi" w:hAnsiTheme="minorHAnsi"/>
        </w:rPr>
        <w:t xml:space="preserve">z realizacji pomocy </w:t>
      </w:r>
      <w:proofErr w:type="spellStart"/>
      <w:r w:rsidRPr="001322DA">
        <w:rPr>
          <w:rFonts w:asciiTheme="minorHAnsi" w:hAnsiTheme="minorHAnsi"/>
        </w:rPr>
        <w:t>makrofinansowej</w:t>
      </w:r>
      <w:proofErr w:type="spellEnd"/>
      <w:r w:rsidRPr="001322DA">
        <w:rPr>
          <w:rFonts w:asciiTheme="minorHAnsi" w:hAnsiTheme="minorHAnsi"/>
        </w:rPr>
        <w:t xml:space="preserve"> dla państw trzecich w 2018 r.</w:t>
      </w:r>
    </w:p>
    <w:p w14:paraId="57DE5FC0" w14:textId="7B4629F1" w:rsidR="00F65475" w:rsidRDefault="00F65475" w:rsidP="00F65475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</w:rPr>
      </w:pPr>
      <w:r w:rsidRPr="001322DA">
        <w:rPr>
          <w:rFonts w:asciiTheme="minorHAnsi" w:hAnsiTheme="minorHAnsi"/>
        </w:rPr>
        <w:t xml:space="preserve">Tabela przedstawia stan zobowiązań i płatności w ramach pomocy </w:t>
      </w:r>
      <w:proofErr w:type="spellStart"/>
      <w:r w:rsidRPr="001322DA">
        <w:rPr>
          <w:rFonts w:asciiTheme="minorHAnsi" w:hAnsiTheme="minorHAnsi"/>
        </w:rPr>
        <w:t>m</w:t>
      </w:r>
      <w:r>
        <w:rPr>
          <w:rFonts w:asciiTheme="minorHAnsi" w:hAnsiTheme="minorHAnsi"/>
        </w:rPr>
        <w:t>akrofinansowej</w:t>
      </w:r>
      <w:proofErr w:type="spellEnd"/>
      <w:r>
        <w:rPr>
          <w:rFonts w:asciiTheme="minorHAnsi" w:hAnsiTheme="minorHAnsi"/>
        </w:rPr>
        <w:t xml:space="preserve"> w formie dotacji i</w:t>
      </w:r>
      <w:r w:rsidRPr="001322DA">
        <w:rPr>
          <w:rFonts w:asciiTheme="minorHAnsi" w:hAnsiTheme="minorHAnsi"/>
        </w:rPr>
        <w:t xml:space="preserve"> wypłat pożyczek w latach 2017</w:t>
      </w:r>
      <w:r>
        <w:rPr>
          <w:rFonts w:asciiTheme="minorHAnsi" w:hAnsiTheme="minorHAnsi"/>
        </w:rPr>
        <w:t xml:space="preserve"> - </w:t>
      </w:r>
      <w:r w:rsidRPr="001322DA">
        <w:rPr>
          <w:rFonts w:asciiTheme="minorHAnsi" w:hAnsiTheme="minorHAnsi"/>
        </w:rPr>
        <w:t xml:space="preserve">2019 (dane w </w:t>
      </w:r>
      <w:r w:rsidR="00AB1788">
        <w:rPr>
          <w:rFonts w:asciiTheme="minorHAnsi" w:hAnsiTheme="minorHAnsi"/>
        </w:rPr>
        <w:t xml:space="preserve">mln </w:t>
      </w:r>
      <w:r w:rsidRPr="001322DA">
        <w:rPr>
          <w:rFonts w:asciiTheme="minorHAnsi" w:hAnsiTheme="minorHAnsi"/>
        </w:rPr>
        <w:t>EUR).</w:t>
      </w:r>
    </w:p>
    <w:p w14:paraId="090C3A92" w14:textId="77777777" w:rsidR="00F65475" w:rsidRPr="007C06D0" w:rsidRDefault="00F65475" w:rsidP="00F65475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  <w:sz w:val="20"/>
          <w:szCs w:val="20"/>
        </w:rPr>
      </w:pPr>
    </w:p>
    <w:p w14:paraId="352FA325" w14:textId="77777777" w:rsidR="00F65475" w:rsidRPr="001322DA" w:rsidRDefault="00F65475" w:rsidP="00F65475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  <w:sz w:val="6"/>
          <w:szCs w:val="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88"/>
        <w:gridCol w:w="1489"/>
        <w:gridCol w:w="1672"/>
      </w:tblGrid>
      <w:tr w:rsidR="00F65475" w:rsidRPr="001322DA" w14:paraId="24B983EE" w14:textId="77777777" w:rsidTr="00AB1788">
        <w:tc>
          <w:tcPr>
            <w:tcW w:w="5245" w:type="dxa"/>
            <w:shd w:val="clear" w:color="auto" w:fill="auto"/>
          </w:tcPr>
          <w:p w14:paraId="7F928D71" w14:textId="77777777" w:rsidR="00F65475" w:rsidRPr="001322DA" w:rsidRDefault="00F65475" w:rsidP="00EC4763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4492170" w14:textId="77777777" w:rsidR="00F65475" w:rsidRPr="001322DA" w:rsidRDefault="00F65475" w:rsidP="00EC4763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1322DA">
              <w:rPr>
                <w:rFonts w:asciiTheme="minorHAnsi" w:hAnsiTheme="minorHAnsi" w:cs="Times New Roman"/>
              </w:rPr>
              <w:t>2017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494830D" w14:textId="77777777" w:rsidR="00F65475" w:rsidRPr="001322DA" w:rsidRDefault="00F65475" w:rsidP="00EC4763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1322DA">
              <w:rPr>
                <w:rFonts w:asciiTheme="minorHAnsi" w:hAnsiTheme="minorHAnsi" w:cs="Times New Roman"/>
              </w:rPr>
              <w:t>2018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07480DD" w14:textId="77777777" w:rsidR="00F65475" w:rsidRPr="001322DA" w:rsidRDefault="00F65475" w:rsidP="00EC4763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1322DA">
              <w:rPr>
                <w:rFonts w:asciiTheme="minorHAnsi" w:hAnsiTheme="minorHAnsi" w:cs="Times New Roman"/>
              </w:rPr>
              <w:t>2019</w:t>
            </w:r>
          </w:p>
          <w:p w14:paraId="10804A92" w14:textId="77777777" w:rsidR="00F65475" w:rsidRPr="001322DA" w:rsidRDefault="00F65475" w:rsidP="00EC4763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322DA">
              <w:rPr>
                <w:rFonts w:asciiTheme="minorHAnsi" w:hAnsiTheme="minorHAnsi" w:cs="Times New Roman"/>
                <w:sz w:val="20"/>
                <w:szCs w:val="20"/>
              </w:rPr>
              <w:t>(dane wstępne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*</w:t>
            </w:r>
            <w:r w:rsidRPr="001322DA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AB1788" w:rsidRPr="001322DA" w14:paraId="71E4BD8B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7C070BF9" w14:textId="77777777" w:rsidR="00AB1788" w:rsidRPr="001322DA" w:rsidRDefault="00AB1788" w:rsidP="00AB178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322DA">
              <w:rPr>
                <w:rFonts w:asciiTheme="minorHAnsi" w:eastAsia="Times New Roman" w:hAnsiTheme="minorHAnsi"/>
                <w:color w:val="000000"/>
                <w:lang w:eastAsia="pl-PL"/>
              </w:rPr>
              <w:t>Środki w budżecie na zobowiązania – dotacje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35635518" w14:textId="1C97DEC6" w:rsidR="00AB1788" w:rsidRPr="00AB1788" w:rsidRDefault="00AB1788" w:rsidP="00AB17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l-PL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45,8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3EC43EBA" w14:textId="79E33FC0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42,1</w:t>
            </w:r>
          </w:p>
        </w:tc>
        <w:tc>
          <w:tcPr>
            <w:tcW w:w="1672" w:type="dxa"/>
            <w:shd w:val="clear" w:color="auto" w:fill="auto"/>
            <w:vAlign w:val="bottom"/>
          </w:tcPr>
          <w:p w14:paraId="09A74A94" w14:textId="23806D5D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27,0</w:t>
            </w:r>
          </w:p>
        </w:tc>
      </w:tr>
      <w:tr w:rsidR="00AB1788" w:rsidRPr="001322DA" w14:paraId="362D6AD0" w14:textId="77777777" w:rsidTr="00EC4763">
        <w:trPr>
          <w:trHeight w:hRule="exact"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F487D06" w14:textId="77777777" w:rsidR="00AB1788" w:rsidRPr="001322DA" w:rsidRDefault="00AB1788" w:rsidP="00AB178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322DA">
              <w:rPr>
                <w:rFonts w:asciiTheme="minorHAnsi" w:eastAsia="Times New Roman" w:hAnsiTheme="minorHAnsi"/>
                <w:color w:val="000000"/>
                <w:lang w:eastAsia="pl-PL"/>
              </w:rPr>
              <w:t>W tym środki niezaangażowane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F12F03" w14:textId="6BD7416A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5,6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56C38" w14:textId="515FBB40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31,7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3569EC" w14:textId="5CEE4742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27,0</w:t>
            </w:r>
          </w:p>
        </w:tc>
      </w:tr>
      <w:tr w:rsidR="00F65475" w:rsidRPr="001322DA" w14:paraId="50264564" w14:textId="77777777" w:rsidTr="00EC4763">
        <w:trPr>
          <w:trHeight w:hRule="exact" w:val="170"/>
        </w:trPr>
        <w:tc>
          <w:tcPr>
            <w:tcW w:w="5245" w:type="dxa"/>
            <w:shd w:val="pct12" w:color="auto" w:fill="auto"/>
          </w:tcPr>
          <w:p w14:paraId="07676C82" w14:textId="77777777" w:rsidR="00F65475" w:rsidRPr="001322DA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488" w:type="dxa"/>
            <w:shd w:val="pct12" w:color="auto" w:fill="auto"/>
            <w:vAlign w:val="center"/>
          </w:tcPr>
          <w:p w14:paraId="25BA5A85" w14:textId="77777777" w:rsidR="00F65475" w:rsidRPr="001322DA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pct12" w:color="auto" w:fill="auto"/>
            <w:vAlign w:val="center"/>
          </w:tcPr>
          <w:p w14:paraId="792F68FE" w14:textId="77777777" w:rsidR="00F65475" w:rsidRPr="001322DA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pct12" w:color="auto" w:fill="auto"/>
            <w:vAlign w:val="center"/>
          </w:tcPr>
          <w:p w14:paraId="2ADBDFD2" w14:textId="77777777" w:rsidR="00F65475" w:rsidRPr="001322DA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B1788" w:rsidRPr="001322DA" w14:paraId="10E81E35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6740FFD1" w14:textId="77777777" w:rsidR="00AB1788" w:rsidRPr="001322DA" w:rsidRDefault="00AB1788" w:rsidP="00AB178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322DA">
              <w:rPr>
                <w:rFonts w:asciiTheme="minorHAnsi" w:eastAsia="Times New Roman" w:hAnsiTheme="minorHAnsi"/>
                <w:color w:val="000000"/>
                <w:lang w:eastAsia="pl-PL"/>
              </w:rPr>
              <w:t>Środki w budżecie na płatności – dotacje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43A2E3BF" w14:textId="6CD67617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45,8</w:t>
            </w:r>
          </w:p>
        </w:tc>
        <w:tc>
          <w:tcPr>
            <w:tcW w:w="1489" w:type="dxa"/>
            <w:shd w:val="clear" w:color="auto" w:fill="auto"/>
            <w:vAlign w:val="bottom"/>
          </w:tcPr>
          <w:p w14:paraId="5B07E2AA" w14:textId="34B08DE3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42,1</w:t>
            </w:r>
          </w:p>
        </w:tc>
        <w:tc>
          <w:tcPr>
            <w:tcW w:w="1672" w:type="dxa"/>
            <w:shd w:val="clear" w:color="auto" w:fill="auto"/>
            <w:vAlign w:val="bottom"/>
          </w:tcPr>
          <w:p w14:paraId="588F6A26" w14:textId="57E232FE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27,0</w:t>
            </w:r>
          </w:p>
        </w:tc>
      </w:tr>
      <w:tr w:rsidR="00AB1788" w:rsidRPr="001322DA" w14:paraId="19A38516" w14:textId="77777777" w:rsidTr="00EC4763">
        <w:trPr>
          <w:trHeight w:hRule="exact" w:val="284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3DB8809" w14:textId="77777777" w:rsidR="00AB1788" w:rsidRPr="001322DA" w:rsidRDefault="00AB1788" w:rsidP="00AB1788">
            <w:pPr>
              <w:pStyle w:val="Default"/>
              <w:rPr>
                <w:rFonts w:asciiTheme="minorHAnsi" w:hAnsiTheme="minorHAnsi" w:cs="Times New Roman"/>
              </w:rPr>
            </w:pPr>
            <w:r w:rsidRPr="001322DA">
              <w:rPr>
                <w:rFonts w:asciiTheme="minorHAnsi" w:hAnsiTheme="minorHAnsi" w:cs="Times New Roman"/>
              </w:rPr>
              <w:t>W tym środki niewykorzystane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E7E44" w14:textId="5A3F5DA7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35,5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EA4A2" w14:textId="1EEA621F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37,0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EC1F5" w14:textId="76FA53E0" w:rsidR="00AB1788" w:rsidRPr="00AB1788" w:rsidRDefault="00AB1788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1,7</w:t>
            </w:r>
          </w:p>
        </w:tc>
      </w:tr>
      <w:tr w:rsidR="00F65475" w:rsidRPr="001322DA" w14:paraId="6994871E" w14:textId="77777777" w:rsidTr="00EC4763">
        <w:trPr>
          <w:trHeight w:hRule="exact" w:val="170"/>
        </w:trPr>
        <w:tc>
          <w:tcPr>
            <w:tcW w:w="5245" w:type="dxa"/>
            <w:shd w:val="pct12" w:color="auto" w:fill="auto"/>
          </w:tcPr>
          <w:p w14:paraId="31354F7F" w14:textId="77777777" w:rsidR="00F65475" w:rsidRPr="001322DA" w:rsidRDefault="00F65475" w:rsidP="00EC4763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1488" w:type="dxa"/>
            <w:shd w:val="pct12" w:color="auto" w:fill="auto"/>
            <w:vAlign w:val="center"/>
          </w:tcPr>
          <w:p w14:paraId="653795F3" w14:textId="77777777" w:rsidR="00F65475" w:rsidRPr="00AB1788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pct12" w:color="auto" w:fill="auto"/>
            <w:vAlign w:val="center"/>
          </w:tcPr>
          <w:p w14:paraId="20806AD0" w14:textId="77777777" w:rsidR="00F65475" w:rsidRPr="00AB1788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pct12" w:color="auto" w:fill="auto"/>
            <w:vAlign w:val="center"/>
          </w:tcPr>
          <w:p w14:paraId="798E77BD" w14:textId="77777777" w:rsidR="00F65475" w:rsidRPr="00AB1788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65475" w:rsidRPr="001322DA" w14:paraId="536760B0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021074AD" w14:textId="77777777" w:rsidR="00F65475" w:rsidRPr="001322DA" w:rsidRDefault="00F65475" w:rsidP="00EC4763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1322DA">
              <w:rPr>
                <w:rFonts w:asciiTheme="minorHAnsi" w:hAnsiTheme="minorHAnsi" w:cs="Times New Roman"/>
                <w:sz w:val="22"/>
                <w:szCs w:val="22"/>
              </w:rPr>
              <w:t xml:space="preserve">Wypłaty pożyczek w ramach pomocy </w:t>
            </w:r>
            <w:proofErr w:type="spellStart"/>
            <w:r w:rsidRPr="001322DA">
              <w:rPr>
                <w:rFonts w:asciiTheme="minorHAnsi" w:hAnsiTheme="minorHAnsi" w:cs="Times New Roman"/>
                <w:sz w:val="22"/>
                <w:szCs w:val="22"/>
              </w:rPr>
              <w:t>makrofinansowej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14:paraId="4C58BE1B" w14:textId="77777777" w:rsidR="00F65475" w:rsidRPr="00AB1788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381E091" w14:textId="77777777" w:rsidR="00F65475" w:rsidRPr="00AB1788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890BB1F" w14:textId="77777777" w:rsidR="00F65475" w:rsidRPr="00AB1788" w:rsidRDefault="00F65475" w:rsidP="00EC4763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65475" w:rsidRPr="001322DA" w14:paraId="36618D36" w14:textId="77777777" w:rsidTr="00AB1788">
        <w:trPr>
          <w:trHeight w:hRule="exact" w:val="319"/>
        </w:trPr>
        <w:tc>
          <w:tcPr>
            <w:tcW w:w="5245" w:type="dxa"/>
            <w:shd w:val="clear" w:color="auto" w:fill="auto"/>
          </w:tcPr>
          <w:p w14:paraId="3FF52444" w14:textId="77777777" w:rsidR="00F65475" w:rsidRPr="00B57EE0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57EE0">
              <w:rPr>
                <w:rFonts w:asciiTheme="minorHAnsi" w:eastAsia="Times New Roman" w:hAnsiTheme="minorHAnsi"/>
                <w:color w:val="000000"/>
                <w:lang w:eastAsia="pl-PL"/>
              </w:rPr>
              <w:t>Gruzja 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A7D26DC" w14:textId="5DD7C062" w:rsidR="00F65475" w:rsidRPr="00AB1788" w:rsidRDefault="00F65475" w:rsidP="00AB178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  <w:p w14:paraId="6E489DCF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2DB10DF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92332D2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65475" w:rsidRPr="001322DA" w14:paraId="18B38D95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5773322C" w14:textId="77777777" w:rsidR="00F65475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57EE0">
              <w:rPr>
                <w:rFonts w:asciiTheme="minorHAnsi" w:eastAsia="Times New Roman" w:hAnsiTheme="minorHAnsi"/>
                <w:color w:val="000000"/>
                <w:lang w:eastAsia="pl-PL"/>
              </w:rPr>
              <w:t>Gruzja I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I</w:t>
            </w:r>
          </w:p>
          <w:p w14:paraId="7958AEDA" w14:textId="77777777" w:rsidR="00F65475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14:paraId="5A38DE79" w14:textId="77777777" w:rsidR="00F65475" w:rsidRPr="00B57EE0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57EE0">
              <w:rPr>
                <w:rFonts w:asciiTheme="minorHAnsi" w:eastAsia="Times New Roman" w:hAnsiTheme="minorHAnsi"/>
                <w:color w:val="000000"/>
                <w:lang w:eastAsia="pl-PL"/>
              </w:rPr>
              <w:t>Gruzja II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BBBCC5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745B23A" w14:textId="38FC4F96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7D31AB0" w14:textId="4286121F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F65475" w:rsidRPr="001322DA" w14:paraId="21A9006F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3B4B5715" w14:textId="77777777" w:rsidR="00F65475" w:rsidRPr="001322DA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322DA">
              <w:rPr>
                <w:rFonts w:asciiTheme="minorHAnsi" w:hAnsiTheme="minorHAnsi"/>
              </w:rPr>
              <w:t>Tunezja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58A52F" w14:textId="2C7206EE" w:rsidR="00F65475" w:rsidRPr="00AB1788" w:rsidRDefault="00F65475" w:rsidP="00AB178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  <w:p w14:paraId="67C5CCC5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A4D9376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D1ECCF0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</w:p>
        </w:tc>
      </w:tr>
      <w:tr w:rsidR="00F65475" w:rsidRPr="001322DA" w14:paraId="1FD6BBC6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6B8275DE" w14:textId="77777777" w:rsidR="00F65475" w:rsidRPr="001322DA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322DA">
              <w:rPr>
                <w:rFonts w:asciiTheme="minorHAnsi" w:hAnsiTheme="minorHAnsi"/>
              </w:rPr>
              <w:t>Tunezja II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6F0B3CC" w14:textId="2D809FDE" w:rsidR="00F65475" w:rsidRPr="00AB1788" w:rsidRDefault="00F65475" w:rsidP="00AB17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B2E4D2F" w14:textId="3A81E576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A53E722" w14:textId="2B83474F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 xml:space="preserve">300 </w:t>
            </w:r>
          </w:p>
        </w:tc>
      </w:tr>
      <w:tr w:rsidR="00F65475" w:rsidRPr="001322DA" w14:paraId="63D4AD24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0BEE6C28" w14:textId="77777777" w:rsidR="00F65475" w:rsidRPr="001322DA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322DA">
              <w:rPr>
                <w:rFonts w:asciiTheme="minorHAnsi" w:eastAsia="Times New Roman" w:hAnsiTheme="minorHAnsi"/>
                <w:color w:val="000000"/>
                <w:lang w:eastAsia="pl-PL"/>
              </w:rPr>
              <w:t>Ukraina III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4B7EA1C" w14:textId="244CA33B" w:rsidR="00F65475" w:rsidRPr="00AB1788" w:rsidRDefault="00F65475" w:rsidP="00AB178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>600</w:t>
            </w:r>
          </w:p>
          <w:p w14:paraId="2E9D1B20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C266421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7DC2718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</w:p>
        </w:tc>
      </w:tr>
      <w:tr w:rsidR="00F65475" w:rsidRPr="001322DA" w14:paraId="14759CD3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71032DB8" w14:textId="77777777" w:rsidR="00F65475" w:rsidRPr="001322DA" w:rsidRDefault="00F65475" w:rsidP="00EC4763">
            <w:pPr>
              <w:pStyle w:val="Default"/>
              <w:rPr>
                <w:rFonts w:asciiTheme="minorHAnsi" w:hAnsiTheme="minorHAnsi" w:cs="Times New Roman"/>
              </w:rPr>
            </w:pPr>
            <w:r w:rsidRPr="001322DA">
              <w:rPr>
                <w:rFonts w:asciiTheme="minorHAnsi" w:eastAsia="Times New Roman" w:hAnsiTheme="minorHAnsi"/>
              </w:rPr>
              <w:t xml:space="preserve">Ukraina </w:t>
            </w:r>
            <w:r>
              <w:rPr>
                <w:rFonts w:asciiTheme="minorHAnsi" w:eastAsia="Times New Roman" w:hAnsiTheme="minorHAnsi"/>
              </w:rPr>
              <w:t>I</w:t>
            </w:r>
            <w:r w:rsidRPr="001322DA">
              <w:rPr>
                <w:rFonts w:asciiTheme="minorHAnsi" w:eastAsia="Times New Roman" w:hAnsiTheme="minorHAnsi"/>
              </w:rPr>
              <w:t>V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1FDDE69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34A31A5" w14:textId="57B3E5C9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 xml:space="preserve">500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05F5610" w14:textId="66535BC4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 xml:space="preserve">500 </w:t>
            </w:r>
          </w:p>
        </w:tc>
      </w:tr>
      <w:tr w:rsidR="00F65475" w:rsidRPr="001322DA" w14:paraId="6E4450D6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7F0E0B9D" w14:textId="77777777" w:rsidR="00F65475" w:rsidRPr="001322DA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322DA">
              <w:rPr>
                <w:rFonts w:asciiTheme="minorHAnsi" w:hAnsiTheme="minorHAnsi"/>
              </w:rPr>
              <w:t>Jordania II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8E07261" w14:textId="08EC0C9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 xml:space="preserve">100 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590E641" w14:textId="2B1ECD3A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2DE1E7D" w14:textId="26F465A4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 xml:space="preserve">100 </w:t>
            </w:r>
          </w:p>
        </w:tc>
      </w:tr>
      <w:tr w:rsidR="00F65475" w:rsidRPr="001322DA" w14:paraId="7D063A12" w14:textId="77777777" w:rsidTr="00EC4763">
        <w:trPr>
          <w:trHeight w:hRule="exact" w:val="284"/>
        </w:trPr>
        <w:tc>
          <w:tcPr>
            <w:tcW w:w="5245" w:type="dxa"/>
            <w:shd w:val="clear" w:color="auto" w:fill="auto"/>
          </w:tcPr>
          <w:p w14:paraId="4DDE211F" w14:textId="77777777" w:rsidR="00F65475" w:rsidRPr="001322DA" w:rsidRDefault="00F65475" w:rsidP="00EC4763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322DA">
              <w:rPr>
                <w:rFonts w:asciiTheme="minorHAnsi" w:eastAsia="Times New Roman" w:hAnsiTheme="minorHAnsi"/>
                <w:color w:val="000000"/>
                <w:lang w:eastAsia="pl-PL"/>
              </w:rPr>
              <w:t>Mołdawia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DA97402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8D45116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4378319" w14:textId="62AB9F52" w:rsidR="00F65475" w:rsidRPr="00AB1788" w:rsidRDefault="00F65475" w:rsidP="00AB1788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AB1788">
              <w:rPr>
                <w:rFonts w:asciiTheme="minorHAnsi" w:hAnsiTheme="minorHAnsi" w:cs="Arial"/>
                <w:sz w:val="22"/>
                <w:szCs w:val="22"/>
              </w:rPr>
              <w:t xml:space="preserve">40 </w:t>
            </w:r>
          </w:p>
          <w:p w14:paraId="30AD2236" w14:textId="77777777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65475" w:rsidRPr="001322DA" w14:paraId="12522453" w14:textId="77777777" w:rsidTr="00EC4763">
        <w:trPr>
          <w:trHeight w:hRule="exact" w:val="363"/>
        </w:trPr>
        <w:tc>
          <w:tcPr>
            <w:tcW w:w="5245" w:type="dxa"/>
            <w:shd w:val="clear" w:color="auto" w:fill="auto"/>
          </w:tcPr>
          <w:p w14:paraId="72EEB72D" w14:textId="77777777" w:rsidR="00F65475" w:rsidRPr="00AB1788" w:rsidRDefault="00F65475" w:rsidP="00EC4763">
            <w:pPr>
              <w:pStyle w:val="Default"/>
              <w:rPr>
                <w:rFonts w:asciiTheme="minorHAnsi" w:hAnsiTheme="minorHAnsi" w:cs="Times New Roman"/>
                <w:b/>
              </w:rPr>
            </w:pPr>
            <w:r w:rsidRPr="00AB1788">
              <w:rPr>
                <w:rFonts w:asciiTheme="minorHAnsi" w:hAnsiTheme="minorHAnsi" w:cs="Times New Roman"/>
                <w:b/>
              </w:rPr>
              <w:t>Łącznie wypłaty pożyczek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AF63641" w14:textId="6D0BFBE8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b/>
                <w:sz w:val="22"/>
                <w:szCs w:val="22"/>
              </w:rPr>
              <w:t xml:space="preserve">1 013 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8C2DA8" w14:textId="7FCBDB6E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b/>
                <w:sz w:val="22"/>
                <w:szCs w:val="22"/>
              </w:rPr>
              <w:t xml:space="preserve">515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6C08243" w14:textId="4AADF762" w:rsidR="00F65475" w:rsidRPr="00AB1788" w:rsidRDefault="00F65475" w:rsidP="00AB1788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B1788">
              <w:rPr>
                <w:rFonts w:asciiTheme="minorHAnsi" w:hAnsiTheme="minorHAnsi" w:cs="Arial"/>
                <w:b/>
                <w:sz w:val="22"/>
                <w:szCs w:val="22"/>
              </w:rPr>
              <w:t xml:space="preserve">960 </w:t>
            </w:r>
          </w:p>
        </w:tc>
      </w:tr>
    </w:tbl>
    <w:p w14:paraId="744851C6" w14:textId="5CC2C0A5" w:rsidR="00F65475" w:rsidRDefault="00F65475" w:rsidP="00F654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9C2D50">
        <w:rPr>
          <w:rFonts w:asciiTheme="minorHAnsi" w:hAnsiTheme="minorHAnsi"/>
          <w:sz w:val="20"/>
          <w:szCs w:val="20"/>
        </w:rPr>
        <w:t>* Dane na 2019 r. mają charakter wstępny i obejmuj</w:t>
      </w:r>
      <w:r>
        <w:rPr>
          <w:rFonts w:asciiTheme="minorHAnsi" w:hAnsiTheme="minorHAnsi"/>
          <w:sz w:val="20"/>
          <w:szCs w:val="20"/>
        </w:rPr>
        <w:t>ą tylko</w:t>
      </w:r>
      <w:r w:rsidRPr="009C2D50">
        <w:rPr>
          <w:rFonts w:asciiTheme="minorHAnsi" w:hAnsiTheme="minorHAnsi"/>
          <w:sz w:val="20"/>
          <w:szCs w:val="20"/>
        </w:rPr>
        <w:t xml:space="preserve"> te operacje</w:t>
      </w:r>
      <w:r w:rsidR="00A56FA8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dla </w:t>
      </w:r>
      <w:r w:rsidRPr="009C2D50">
        <w:rPr>
          <w:rFonts w:asciiTheme="minorHAnsi" w:hAnsiTheme="minorHAnsi"/>
          <w:sz w:val="20"/>
          <w:szCs w:val="20"/>
        </w:rPr>
        <w:t xml:space="preserve">których odpowiednia decyzja została przyjęta przez </w:t>
      </w:r>
      <w:proofErr w:type="spellStart"/>
      <w:r w:rsidRPr="009C2D50">
        <w:rPr>
          <w:rFonts w:asciiTheme="minorHAnsi" w:hAnsiTheme="minorHAnsi"/>
          <w:sz w:val="20"/>
          <w:szCs w:val="20"/>
        </w:rPr>
        <w:t>współprawodawców</w:t>
      </w:r>
      <w:proofErr w:type="spellEnd"/>
      <w:r w:rsidRPr="001322DA">
        <w:rPr>
          <w:rFonts w:asciiTheme="minorHAnsi" w:hAnsiTheme="minorHAnsi"/>
        </w:rPr>
        <w:t>.</w:t>
      </w:r>
    </w:p>
    <w:p w14:paraId="15762007" w14:textId="77777777" w:rsidR="00F65475" w:rsidRPr="0030079B" w:rsidRDefault="00F65475" w:rsidP="00F65475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  <w:sz w:val="20"/>
          <w:szCs w:val="20"/>
        </w:rPr>
      </w:pPr>
    </w:p>
    <w:p w14:paraId="183CDAE5" w14:textId="77777777" w:rsidR="00A06FF8" w:rsidRDefault="00F65475" w:rsidP="00F65475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roku 2019 wypłacane będą ostatnie</w:t>
      </w:r>
      <w:r w:rsidRPr="001322DA">
        <w:rPr>
          <w:rFonts w:asciiTheme="minorHAnsi" w:hAnsiTheme="minorHAnsi"/>
        </w:rPr>
        <w:t xml:space="preserve"> transz</w:t>
      </w:r>
      <w:r>
        <w:rPr>
          <w:rFonts w:asciiTheme="minorHAnsi" w:hAnsiTheme="minorHAnsi"/>
        </w:rPr>
        <w:t>e</w:t>
      </w:r>
      <w:r w:rsidRPr="001322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pomocy </w:t>
      </w:r>
      <w:proofErr w:type="spellStart"/>
      <w:r>
        <w:rPr>
          <w:rFonts w:asciiTheme="minorHAnsi" w:hAnsiTheme="minorHAnsi"/>
        </w:rPr>
        <w:t>makrofinansowej</w:t>
      </w:r>
      <w:proofErr w:type="spellEnd"/>
      <w:r>
        <w:rPr>
          <w:rFonts w:asciiTheme="minorHAnsi" w:hAnsiTheme="minorHAnsi"/>
        </w:rPr>
        <w:t xml:space="preserve"> </w:t>
      </w:r>
      <w:r w:rsidRPr="001322DA">
        <w:rPr>
          <w:rFonts w:asciiTheme="minorHAnsi" w:hAnsiTheme="minorHAnsi"/>
        </w:rPr>
        <w:t xml:space="preserve">dla operacji </w:t>
      </w:r>
      <w:r>
        <w:rPr>
          <w:rFonts w:asciiTheme="minorHAnsi" w:hAnsiTheme="minorHAnsi"/>
        </w:rPr>
        <w:t>Jordania II</w:t>
      </w:r>
      <w:r w:rsidRPr="001322D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Tunezja II</w:t>
      </w:r>
      <w:r w:rsidRPr="001322D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Gruzja III, Ukraina IV, oraz rozpoczną się</w:t>
      </w:r>
      <w:r w:rsidRPr="001322DA">
        <w:rPr>
          <w:rFonts w:asciiTheme="minorHAnsi" w:hAnsiTheme="minorHAnsi"/>
        </w:rPr>
        <w:t xml:space="preserve"> wypłat</w:t>
      </w:r>
      <w:r>
        <w:rPr>
          <w:rFonts w:asciiTheme="minorHAnsi" w:hAnsiTheme="minorHAnsi"/>
        </w:rPr>
        <w:t>y</w:t>
      </w:r>
      <w:r w:rsidRPr="001322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dla Mołdawii, o ile spełnione zostaną </w:t>
      </w:r>
      <w:r w:rsidRPr="001322DA">
        <w:rPr>
          <w:rFonts w:asciiTheme="minorHAnsi" w:hAnsiTheme="minorHAnsi"/>
        </w:rPr>
        <w:t>niezbędne warunki.</w:t>
      </w:r>
      <w:r>
        <w:rPr>
          <w:rFonts w:asciiTheme="minorHAnsi" w:hAnsiTheme="minorHAnsi"/>
        </w:rPr>
        <w:t xml:space="preserve"> W</w:t>
      </w:r>
      <w:r w:rsidRPr="001322DA">
        <w:rPr>
          <w:rFonts w:asciiTheme="minorHAnsi" w:hAnsiTheme="minorHAnsi"/>
        </w:rPr>
        <w:t xml:space="preserve"> 2019 r</w:t>
      </w:r>
      <w:r>
        <w:rPr>
          <w:rFonts w:asciiTheme="minorHAnsi" w:hAnsiTheme="minorHAnsi"/>
        </w:rPr>
        <w:t xml:space="preserve"> oczekiwane ł</w:t>
      </w:r>
      <w:r w:rsidRPr="001322DA">
        <w:rPr>
          <w:rFonts w:asciiTheme="minorHAnsi" w:hAnsiTheme="minorHAnsi"/>
        </w:rPr>
        <w:t xml:space="preserve">ączne wypłaty pożyczek w ramach pomocy </w:t>
      </w:r>
      <w:proofErr w:type="spellStart"/>
      <w:r w:rsidRPr="001322DA">
        <w:rPr>
          <w:rFonts w:asciiTheme="minorHAnsi" w:hAnsiTheme="minorHAnsi"/>
        </w:rPr>
        <w:t>makrofinansowej</w:t>
      </w:r>
      <w:proofErr w:type="spellEnd"/>
      <w:r w:rsidRPr="001322DA">
        <w:rPr>
          <w:rFonts w:asciiTheme="minorHAnsi" w:hAnsiTheme="minorHAnsi"/>
        </w:rPr>
        <w:t xml:space="preserve"> wyniosą</w:t>
      </w:r>
      <w:r>
        <w:rPr>
          <w:rFonts w:asciiTheme="minorHAnsi" w:hAnsiTheme="minorHAnsi"/>
        </w:rPr>
        <w:t xml:space="preserve"> </w:t>
      </w:r>
      <w:r w:rsidRPr="00A56FA8">
        <w:rPr>
          <w:rFonts w:asciiTheme="minorHAnsi" w:hAnsiTheme="minorHAnsi"/>
          <w:b/>
        </w:rPr>
        <w:t>960 mln EUR</w:t>
      </w:r>
      <w:r>
        <w:rPr>
          <w:rFonts w:asciiTheme="minorHAnsi" w:hAnsiTheme="minorHAnsi"/>
        </w:rPr>
        <w:t xml:space="preserve"> (</w:t>
      </w:r>
      <w:r w:rsidRPr="001322DA">
        <w:rPr>
          <w:rFonts w:asciiTheme="minorHAnsi" w:hAnsiTheme="minorHAnsi"/>
        </w:rPr>
        <w:t>w 2018 r. było to 515 mln EUR</w:t>
      </w:r>
      <w:r>
        <w:rPr>
          <w:rFonts w:asciiTheme="minorHAnsi" w:hAnsiTheme="minorHAnsi"/>
        </w:rPr>
        <w:t>)</w:t>
      </w:r>
      <w:r w:rsidRPr="001322DA">
        <w:rPr>
          <w:rFonts w:asciiTheme="minorHAnsi" w:hAnsiTheme="minorHAnsi"/>
        </w:rPr>
        <w:t xml:space="preserve">. </w:t>
      </w:r>
    </w:p>
    <w:p w14:paraId="6FB77333" w14:textId="71A65024" w:rsidR="00F65475" w:rsidRPr="0030079B" w:rsidRDefault="00F65475" w:rsidP="00A06FF8">
      <w:pPr>
        <w:pStyle w:val="NormalnyWeb"/>
        <w:shd w:val="clear" w:color="auto" w:fill="FFFFFF"/>
        <w:spacing w:before="120" w:beforeAutospacing="0" w:after="0" w:afterAutospacing="0"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Najwyższe wsparcie w 2019 r. wynosi 500 mln EUR – jest to druga</w:t>
      </w:r>
      <w:r w:rsidRPr="0030079B">
        <w:rPr>
          <w:rFonts w:asciiTheme="minorHAnsi" w:hAnsiTheme="minorHAnsi"/>
        </w:rPr>
        <w:t xml:space="preserve"> transz</w:t>
      </w:r>
      <w:r>
        <w:rPr>
          <w:rFonts w:asciiTheme="minorHAnsi" w:hAnsiTheme="minorHAnsi"/>
        </w:rPr>
        <w:t>a operacji</w:t>
      </w:r>
      <w:r w:rsidRPr="003007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Ukraina IV. </w:t>
      </w:r>
      <w:r w:rsidRPr="0030079B">
        <w:rPr>
          <w:rFonts w:asciiTheme="minorHAnsi" w:hAnsiTheme="minorHAnsi"/>
        </w:rPr>
        <w:t>W latach 2014</w:t>
      </w:r>
      <w:r>
        <w:rPr>
          <w:rFonts w:asciiTheme="minorHAnsi" w:hAnsiTheme="minorHAnsi"/>
        </w:rPr>
        <w:t xml:space="preserve"> - </w:t>
      </w:r>
      <w:r w:rsidRPr="0030079B">
        <w:rPr>
          <w:rFonts w:asciiTheme="minorHAnsi" w:hAnsiTheme="minorHAnsi"/>
        </w:rPr>
        <w:t xml:space="preserve">2018 w ramach czterech operacji pomocy </w:t>
      </w:r>
      <w:proofErr w:type="spellStart"/>
      <w:r w:rsidRPr="0030079B">
        <w:rPr>
          <w:rFonts w:asciiTheme="minorHAnsi" w:hAnsiTheme="minorHAnsi"/>
        </w:rPr>
        <w:t>makrofinansowej</w:t>
      </w:r>
      <w:proofErr w:type="spellEnd"/>
      <w:r w:rsidRPr="0030079B">
        <w:rPr>
          <w:rFonts w:asciiTheme="minorHAnsi" w:hAnsiTheme="minorHAnsi"/>
        </w:rPr>
        <w:t xml:space="preserve"> udostępn</w:t>
      </w:r>
      <w:r>
        <w:rPr>
          <w:rFonts w:asciiTheme="minorHAnsi" w:hAnsiTheme="minorHAnsi"/>
        </w:rPr>
        <w:t xml:space="preserve">iono Ukrainie łącznie kwotę </w:t>
      </w:r>
      <w:r w:rsidRPr="00D41807">
        <w:rPr>
          <w:rFonts w:asciiTheme="minorHAnsi" w:hAnsiTheme="minorHAnsi"/>
          <w:b/>
        </w:rPr>
        <w:t>4,4 mld EUR</w:t>
      </w:r>
      <w:r w:rsidRPr="0030079B">
        <w:rPr>
          <w:rFonts w:asciiTheme="minorHAnsi" w:hAnsiTheme="minorHAnsi"/>
        </w:rPr>
        <w:t xml:space="preserve"> – jest to najwyższa kwota pomocy </w:t>
      </w:r>
      <w:proofErr w:type="spellStart"/>
      <w:r w:rsidRPr="0030079B">
        <w:rPr>
          <w:rFonts w:asciiTheme="minorHAnsi" w:hAnsiTheme="minorHAnsi"/>
        </w:rPr>
        <w:t>makrofinansowej</w:t>
      </w:r>
      <w:proofErr w:type="spellEnd"/>
      <w:r w:rsidRPr="0030079B">
        <w:rPr>
          <w:rFonts w:asciiTheme="minorHAnsi" w:hAnsiTheme="minorHAnsi"/>
        </w:rPr>
        <w:t xml:space="preserve">, jaką </w:t>
      </w:r>
      <w:r w:rsidR="00333E2F" w:rsidRPr="0030079B">
        <w:rPr>
          <w:rFonts w:asciiTheme="minorHAnsi" w:hAnsiTheme="minorHAnsi"/>
        </w:rPr>
        <w:t xml:space="preserve">w tak krótkim okresie </w:t>
      </w:r>
      <w:r w:rsidRPr="0030079B">
        <w:rPr>
          <w:rFonts w:asciiTheme="minorHAnsi" w:hAnsiTheme="minorHAnsi"/>
        </w:rPr>
        <w:t>kiedykolwiek przyznano państwu niebędącemu członkiem UE.</w:t>
      </w:r>
    </w:p>
    <w:p w14:paraId="6BCB5061" w14:textId="77777777" w:rsidR="00F65475" w:rsidRDefault="00F65475" w:rsidP="00F65475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</w:rPr>
      </w:pPr>
    </w:p>
    <w:p w14:paraId="366567B6" w14:textId="77777777" w:rsidR="00A56FA8" w:rsidRDefault="00A56FA8" w:rsidP="008B7DF0">
      <w:pPr>
        <w:pStyle w:val="Tekstpodstawowy"/>
        <w:spacing w:line="288" w:lineRule="auto"/>
        <w:rPr>
          <w:rFonts w:asciiTheme="minorHAnsi" w:hAnsiTheme="minorHAnsi"/>
          <w:b/>
          <w:u w:val="single"/>
        </w:rPr>
      </w:pPr>
    </w:p>
    <w:p w14:paraId="1A792612" w14:textId="77777777" w:rsidR="00F65475" w:rsidRDefault="00F65475" w:rsidP="008B7DF0">
      <w:pPr>
        <w:pStyle w:val="Tekstpodstawowy"/>
        <w:spacing w:line="288" w:lineRule="auto"/>
        <w:rPr>
          <w:rFonts w:asciiTheme="minorHAnsi" w:hAnsiTheme="minorHAnsi"/>
          <w:b/>
          <w:u w:val="single"/>
        </w:rPr>
      </w:pPr>
    </w:p>
    <w:p w14:paraId="730822D4" w14:textId="0B82169B" w:rsidR="00680307" w:rsidRPr="00C85445" w:rsidRDefault="00F65475" w:rsidP="008B7DF0">
      <w:pPr>
        <w:pStyle w:val="Tekstpodstawowy"/>
        <w:spacing w:line="288" w:lineRule="auto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II.3</w:t>
      </w:r>
      <w:r w:rsidR="00680307" w:rsidRPr="000A2E14">
        <w:rPr>
          <w:rFonts w:asciiTheme="minorHAnsi" w:hAnsiTheme="minorHAnsi"/>
          <w:b/>
          <w:u w:val="single"/>
        </w:rPr>
        <w:t xml:space="preserve">  </w:t>
      </w:r>
      <w:r w:rsidR="00680307">
        <w:rPr>
          <w:rFonts w:asciiTheme="minorHAnsi" w:hAnsiTheme="minorHAnsi"/>
          <w:b/>
          <w:u w:val="single"/>
        </w:rPr>
        <w:tab/>
      </w:r>
      <w:r w:rsidR="00680307" w:rsidRPr="00C85445">
        <w:rPr>
          <w:rFonts w:asciiTheme="minorHAnsi" w:hAnsiTheme="minorHAnsi"/>
          <w:b/>
          <w:szCs w:val="24"/>
          <w:u w:val="single"/>
        </w:rPr>
        <w:t>Projekt budżet</w:t>
      </w:r>
      <w:r w:rsidR="00680307">
        <w:rPr>
          <w:rFonts w:asciiTheme="minorHAnsi" w:hAnsiTheme="minorHAnsi"/>
          <w:b/>
          <w:szCs w:val="24"/>
          <w:u w:val="single"/>
        </w:rPr>
        <w:t>u</w:t>
      </w:r>
      <w:r w:rsidR="00680307" w:rsidRPr="00C85445">
        <w:rPr>
          <w:rFonts w:asciiTheme="minorHAnsi" w:hAnsiTheme="minorHAnsi"/>
          <w:b/>
          <w:szCs w:val="24"/>
          <w:u w:val="single"/>
        </w:rPr>
        <w:t xml:space="preserve"> korygując</w:t>
      </w:r>
      <w:r w:rsidR="00680307">
        <w:rPr>
          <w:rFonts w:asciiTheme="minorHAnsi" w:hAnsiTheme="minorHAnsi"/>
          <w:b/>
          <w:szCs w:val="24"/>
          <w:u w:val="single"/>
        </w:rPr>
        <w:t>ego</w:t>
      </w:r>
      <w:r w:rsidR="00680307" w:rsidRPr="00C85445">
        <w:rPr>
          <w:rFonts w:asciiTheme="minorHAnsi" w:hAnsiTheme="minorHAnsi"/>
          <w:b/>
          <w:szCs w:val="24"/>
          <w:u w:val="single"/>
        </w:rPr>
        <w:t xml:space="preserve"> nr </w:t>
      </w:r>
      <w:r w:rsidR="00680307">
        <w:rPr>
          <w:rFonts w:asciiTheme="minorHAnsi" w:hAnsiTheme="minorHAnsi"/>
          <w:b/>
          <w:szCs w:val="24"/>
          <w:u w:val="single"/>
        </w:rPr>
        <w:t>4</w:t>
      </w:r>
      <w:r w:rsidR="00680307" w:rsidRPr="00C85445">
        <w:rPr>
          <w:rFonts w:asciiTheme="minorHAnsi" w:hAnsiTheme="minorHAnsi"/>
          <w:b/>
          <w:szCs w:val="24"/>
          <w:u w:val="single"/>
        </w:rPr>
        <w:t xml:space="preserve"> do budżetu ogólnego UE na rok 2019 (DAB</w:t>
      </w:r>
      <w:r w:rsidR="00680307">
        <w:rPr>
          <w:rFonts w:asciiTheme="minorHAnsi" w:hAnsiTheme="minorHAnsi"/>
          <w:b/>
          <w:szCs w:val="24"/>
          <w:u w:val="single"/>
        </w:rPr>
        <w:t>4</w:t>
      </w:r>
      <w:r w:rsidR="00680307" w:rsidRPr="00C85445">
        <w:rPr>
          <w:rFonts w:asciiTheme="minorHAnsi" w:hAnsiTheme="minorHAnsi"/>
          <w:b/>
          <w:szCs w:val="24"/>
          <w:u w:val="single"/>
        </w:rPr>
        <w:t>/2019)</w:t>
      </w:r>
    </w:p>
    <w:p w14:paraId="1A2D06CB" w14:textId="77777777" w:rsidR="00680307" w:rsidRPr="00440125" w:rsidRDefault="00680307" w:rsidP="00680307">
      <w:pPr>
        <w:spacing w:line="264" w:lineRule="auto"/>
        <w:jc w:val="both"/>
        <w:rPr>
          <w:rFonts w:asciiTheme="minorHAnsi" w:hAnsiTheme="minorHAnsi"/>
          <w:color w:val="1F497D"/>
          <w:sz w:val="20"/>
          <w:szCs w:val="20"/>
        </w:rPr>
      </w:pPr>
    </w:p>
    <w:p w14:paraId="55980923" w14:textId="73DF8375" w:rsidR="00FE575E" w:rsidRDefault="00680307" w:rsidP="002F0FCA">
      <w:pPr>
        <w:spacing w:line="264" w:lineRule="auto"/>
        <w:jc w:val="both"/>
        <w:rPr>
          <w:rFonts w:asciiTheme="minorHAnsi" w:hAnsiTheme="minorHAnsi"/>
        </w:rPr>
      </w:pPr>
      <w:r w:rsidRPr="003A2E71">
        <w:rPr>
          <w:rFonts w:asciiTheme="minorHAnsi" w:hAnsiTheme="minorHAnsi"/>
        </w:rPr>
        <w:t>Dokumentem COM(2019)</w:t>
      </w:r>
      <w:r w:rsidR="00D41807" w:rsidRPr="003A2E71">
        <w:rPr>
          <w:rFonts w:asciiTheme="minorHAnsi" w:hAnsiTheme="minorHAnsi"/>
        </w:rPr>
        <w:t>610</w:t>
      </w:r>
      <w:r w:rsidRPr="003A2E71">
        <w:rPr>
          <w:rFonts w:asciiTheme="minorHAnsi" w:hAnsiTheme="minorHAnsi"/>
        </w:rPr>
        <w:t xml:space="preserve"> z </w:t>
      </w:r>
      <w:r w:rsidR="00D41807" w:rsidRPr="003A2E71">
        <w:rPr>
          <w:rFonts w:asciiTheme="minorHAnsi" w:hAnsiTheme="minorHAnsi"/>
        </w:rPr>
        <w:t>2 lipca</w:t>
      </w:r>
      <w:r w:rsidRPr="003A2E71">
        <w:rPr>
          <w:rFonts w:asciiTheme="minorHAnsi" w:hAnsiTheme="minorHAnsi"/>
        </w:rPr>
        <w:t xml:space="preserve"> KE przestawiła projekt budżetu korygującego nr </w:t>
      </w:r>
      <w:r w:rsidR="00D41807" w:rsidRPr="003A2E71">
        <w:rPr>
          <w:rFonts w:asciiTheme="minorHAnsi" w:hAnsiTheme="minorHAnsi"/>
        </w:rPr>
        <w:t>4</w:t>
      </w:r>
      <w:r w:rsidRPr="003A2E71">
        <w:rPr>
          <w:rFonts w:asciiTheme="minorHAnsi" w:hAnsiTheme="minorHAnsi"/>
        </w:rPr>
        <w:t xml:space="preserve"> (DAB</w:t>
      </w:r>
      <w:r w:rsidR="00D41807" w:rsidRPr="003A2E71">
        <w:rPr>
          <w:rFonts w:asciiTheme="minorHAnsi" w:hAnsiTheme="minorHAnsi"/>
        </w:rPr>
        <w:t>4</w:t>
      </w:r>
      <w:r w:rsidRPr="003A2E71">
        <w:rPr>
          <w:rFonts w:asciiTheme="minorHAnsi" w:hAnsiTheme="minorHAnsi"/>
        </w:rPr>
        <w:t>/2019) do b</w:t>
      </w:r>
      <w:r w:rsidR="002F0FCA" w:rsidRPr="003A2E71">
        <w:rPr>
          <w:rFonts w:asciiTheme="minorHAnsi" w:hAnsiTheme="minorHAnsi"/>
        </w:rPr>
        <w:t>udżetu ogólnego UE na rok 2019. DAB 4/201</w:t>
      </w:r>
      <w:r w:rsidR="00A56FA8">
        <w:rPr>
          <w:rFonts w:asciiTheme="minorHAnsi" w:hAnsiTheme="minorHAnsi"/>
        </w:rPr>
        <w:t>9</w:t>
      </w:r>
      <w:r w:rsidR="002F0FCA" w:rsidRPr="003A2E71">
        <w:rPr>
          <w:rFonts w:asciiTheme="minorHAnsi" w:hAnsiTheme="minorHAnsi"/>
        </w:rPr>
        <w:t xml:space="preserve"> odnosi się do </w:t>
      </w:r>
      <w:r w:rsidR="00333E2F">
        <w:rPr>
          <w:rFonts w:asciiTheme="minorHAnsi" w:hAnsiTheme="minorHAnsi"/>
        </w:rPr>
        <w:t xml:space="preserve">zarówno do </w:t>
      </w:r>
      <w:r w:rsidR="002F0FCA" w:rsidRPr="003A2E71">
        <w:rPr>
          <w:rFonts w:asciiTheme="minorHAnsi" w:hAnsiTheme="minorHAnsi"/>
        </w:rPr>
        <w:t>strony dochodowej</w:t>
      </w:r>
      <w:r w:rsidR="00A06FF8">
        <w:rPr>
          <w:rFonts w:asciiTheme="minorHAnsi" w:hAnsiTheme="minorHAnsi"/>
        </w:rPr>
        <w:t>, jak</w:t>
      </w:r>
      <w:r w:rsidR="002F0FCA" w:rsidRPr="003A2E71">
        <w:rPr>
          <w:rFonts w:asciiTheme="minorHAnsi" w:hAnsiTheme="minorHAnsi"/>
        </w:rPr>
        <w:t xml:space="preserve"> i wydatkowej </w:t>
      </w:r>
      <w:r w:rsidR="003A2E71">
        <w:rPr>
          <w:rFonts w:asciiTheme="minorHAnsi" w:hAnsiTheme="minorHAnsi"/>
        </w:rPr>
        <w:t>budżetu UE i zakłada</w:t>
      </w:r>
      <w:r w:rsidR="002F0FCA" w:rsidRPr="003A2E71">
        <w:rPr>
          <w:rFonts w:asciiTheme="minorHAnsi" w:hAnsiTheme="minorHAnsi"/>
        </w:rPr>
        <w:t xml:space="preserve">: </w:t>
      </w:r>
    </w:p>
    <w:p w14:paraId="43775BB4" w14:textId="51826CEC" w:rsidR="003A2E71" w:rsidRDefault="003A2E71" w:rsidP="00333E2F">
      <w:pPr>
        <w:pStyle w:val="Akapitzlist"/>
        <w:numPr>
          <w:ilvl w:val="0"/>
          <w:numId w:val="4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/>
        </w:rPr>
      </w:pPr>
      <w:r w:rsidRPr="008B7DF0">
        <w:rPr>
          <w:rFonts w:asciiTheme="minorHAnsi" w:hAnsiTheme="minorHAnsi"/>
        </w:rPr>
        <w:t xml:space="preserve">Po </w:t>
      </w:r>
      <w:r w:rsidRPr="00A06FF8">
        <w:rPr>
          <w:rFonts w:asciiTheme="minorHAnsi" w:hAnsiTheme="minorHAnsi"/>
          <w:u w:val="single"/>
        </w:rPr>
        <w:t>stronie wydatkowej</w:t>
      </w:r>
      <w:r w:rsidRPr="008B7DF0">
        <w:rPr>
          <w:rFonts w:asciiTheme="minorHAnsi" w:hAnsiTheme="minorHAnsi"/>
        </w:rPr>
        <w:t xml:space="preserve"> d</w:t>
      </w:r>
      <w:r w:rsidR="005050D6" w:rsidRPr="008B7DF0">
        <w:rPr>
          <w:rFonts w:asciiTheme="minorHAnsi" w:hAnsiTheme="minorHAnsi"/>
        </w:rPr>
        <w:t>ostosowanie</w:t>
      </w:r>
      <w:r w:rsidR="008B7DF0" w:rsidRPr="008B7DF0">
        <w:rPr>
          <w:rFonts w:asciiTheme="minorHAnsi" w:hAnsiTheme="minorHAnsi"/>
        </w:rPr>
        <w:t xml:space="preserve"> wysokości wydatków </w:t>
      </w:r>
      <w:r w:rsidR="005050D6" w:rsidRPr="008B7DF0">
        <w:rPr>
          <w:rFonts w:asciiTheme="minorHAnsi" w:hAnsiTheme="minorHAnsi"/>
        </w:rPr>
        <w:t>(za</w:t>
      </w:r>
      <w:r w:rsidR="00A06FF8">
        <w:rPr>
          <w:rFonts w:asciiTheme="minorHAnsi" w:hAnsiTheme="minorHAnsi"/>
        </w:rPr>
        <w:t>równo środków na zobowiązania</w:t>
      </w:r>
      <w:r w:rsidR="005050D6" w:rsidRPr="008B7DF0">
        <w:rPr>
          <w:rFonts w:asciiTheme="minorHAnsi" w:hAnsiTheme="minorHAnsi"/>
        </w:rPr>
        <w:t>,</w:t>
      </w:r>
      <w:r w:rsidR="00A06FF8">
        <w:rPr>
          <w:rFonts w:asciiTheme="minorHAnsi" w:hAnsiTheme="minorHAnsi"/>
        </w:rPr>
        <w:t xml:space="preserve"> jak i środków na płatności</w:t>
      </w:r>
      <w:r w:rsidR="005050D6" w:rsidRPr="008B7DF0">
        <w:rPr>
          <w:rFonts w:asciiTheme="minorHAnsi" w:hAnsiTheme="minorHAnsi"/>
        </w:rPr>
        <w:t xml:space="preserve">) w działach 1A, 1B, </w:t>
      </w:r>
      <w:r w:rsidR="00830040" w:rsidRPr="008B7DF0">
        <w:rPr>
          <w:rFonts w:asciiTheme="minorHAnsi" w:hAnsiTheme="minorHAnsi"/>
        </w:rPr>
        <w:t>3, 4 oraz w Funduszu Solidarności UE</w:t>
      </w:r>
      <w:r w:rsidR="00A06FF8">
        <w:rPr>
          <w:rFonts w:asciiTheme="minorHAnsi" w:hAnsiTheme="minorHAnsi"/>
        </w:rPr>
        <w:t>, a także</w:t>
      </w:r>
      <w:r w:rsidR="00830040" w:rsidRPr="008B7DF0">
        <w:rPr>
          <w:rFonts w:asciiTheme="minorHAnsi" w:hAnsiTheme="minorHAnsi"/>
        </w:rPr>
        <w:t xml:space="preserve"> w niektórych instytucjach</w:t>
      </w:r>
      <w:r w:rsidR="00333E2F">
        <w:rPr>
          <w:rFonts w:asciiTheme="minorHAnsi" w:hAnsiTheme="minorHAnsi"/>
        </w:rPr>
        <w:t xml:space="preserve"> (dział 5)</w:t>
      </w:r>
      <w:r w:rsidR="00830040" w:rsidRPr="008B7DF0">
        <w:rPr>
          <w:rFonts w:asciiTheme="minorHAnsi" w:hAnsiTheme="minorHAnsi"/>
        </w:rPr>
        <w:t>.</w:t>
      </w:r>
      <w:r w:rsidRPr="008B7DF0">
        <w:rPr>
          <w:rFonts w:asciiTheme="minorHAnsi" w:hAnsiTheme="minorHAnsi"/>
        </w:rPr>
        <w:t xml:space="preserve"> Łączny wpływ DAB4/2019 na wydatki to obniżenie </w:t>
      </w:r>
      <w:r w:rsidR="00A06FF8">
        <w:rPr>
          <w:rFonts w:asciiTheme="minorHAnsi" w:hAnsiTheme="minorHAnsi"/>
        </w:rPr>
        <w:t>zobowiązań</w:t>
      </w:r>
      <w:r w:rsidRPr="008B7DF0">
        <w:rPr>
          <w:rFonts w:asciiTheme="minorHAnsi" w:hAnsiTheme="minorHAnsi"/>
        </w:rPr>
        <w:t xml:space="preserve"> o 100 mln EUR (z czego 29,7 mln EUR na Fundusz Solidarności UE) </w:t>
      </w:r>
      <w:r w:rsidR="0052339A">
        <w:rPr>
          <w:rFonts w:asciiTheme="minorHAnsi" w:hAnsiTheme="minorHAnsi"/>
        </w:rPr>
        <w:t xml:space="preserve">oraz obniżenie </w:t>
      </w:r>
      <w:r w:rsidR="00A06FF8">
        <w:rPr>
          <w:rFonts w:asciiTheme="minorHAnsi" w:hAnsiTheme="minorHAnsi"/>
        </w:rPr>
        <w:t xml:space="preserve">płatności o 55,6 </w:t>
      </w:r>
      <w:r w:rsidRPr="008B7DF0">
        <w:rPr>
          <w:rFonts w:asciiTheme="minorHAnsi" w:hAnsiTheme="minorHAnsi"/>
        </w:rPr>
        <w:t>mln EUR.</w:t>
      </w:r>
    </w:p>
    <w:p w14:paraId="690820AB" w14:textId="7AE9504A" w:rsidR="002F0FCA" w:rsidRPr="00F65475" w:rsidRDefault="00FE575E" w:rsidP="00333E2F">
      <w:pPr>
        <w:pStyle w:val="Akapitzlist"/>
        <w:numPr>
          <w:ilvl w:val="0"/>
          <w:numId w:val="4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/>
        </w:rPr>
      </w:pPr>
      <w:r w:rsidRPr="008B7DF0">
        <w:rPr>
          <w:rFonts w:asciiTheme="minorHAnsi" w:hAnsiTheme="minorHAnsi"/>
        </w:rPr>
        <w:t xml:space="preserve">Po </w:t>
      </w:r>
      <w:r w:rsidR="003A2E71" w:rsidRPr="00A06FF8">
        <w:rPr>
          <w:rFonts w:asciiTheme="minorHAnsi" w:hAnsiTheme="minorHAnsi"/>
          <w:u w:val="single"/>
        </w:rPr>
        <w:t>stronie dochodowej</w:t>
      </w:r>
      <w:r w:rsidR="003A2E71" w:rsidRPr="008B7DF0">
        <w:rPr>
          <w:rFonts w:asciiTheme="minorHAnsi" w:hAnsiTheme="minorHAnsi"/>
        </w:rPr>
        <w:t xml:space="preserve"> </w:t>
      </w:r>
      <w:r w:rsidR="002F0FCA" w:rsidRPr="008B7DF0">
        <w:rPr>
          <w:rFonts w:asciiTheme="minorHAnsi" w:hAnsiTheme="minorHAnsi"/>
        </w:rPr>
        <w:t>rewizję prognoz wysokości tra</w:t>
      </w:r>
      <w:r w:rsidR="0052339A">
        <w:rPr>
          <w:rFonts w:asciiTheme="minorHAnsi" w:hAnsiTheme="minorHAnsi"/>
        </w:rPr>
        <w:t>dycyjnych zasobów własnych UE i </w:t>
      </w:r>
      <w:r w:rsidR="002F0FCA" w:rsidRPr="008B7DF0">
        <w:rPr>
          <w:rFonts w:asciiTheme="minorHAnsi" w:hAnsiTheme="minorHAnsi"/>
        </w:rPr>
        <w:t xml:space="preserve">podstaw zasobów własnych VAT i DNB, aktualizację wysokości rabatu brytyjskiego oraz wynikających z tego obciążeń budżetów pozostałych państw członkowskich. </w:t>
      </w:r>
      <w:r w:rsidR="003A2E71" w:rsidRPr="008B7DF0">
        <w:rPr>
          <w:rFonts w:asciiTheme="minorHAnsi" w:hAnsiTheme="minorHAnsi"/>
        </w:rPr>
        <w:t>S</w:t>
      </w:r>
      <w:r w:rsidR="00E16754" w:rsidRPr="008B7DF0">
        <w:rPr>
          <w:rFonts w:asciiTheme="minorHAnsi" w:hAnsiTheme="minorHAnsi"/>
        </w:rPr>
        <w:t>powoduj</w:t>
      </w:r>
      <w:r w:rsidR="00BC33E1">
        <w:rPr>
          <w:rFonts w:asciiTheme="minorHAnsi" w:hAnsiTheme="minorHAnsi"/>
        </w:rPr>
        <w:t>e to </w:t>
      </w:r>
      <w:r w:rsidR="003A2E71" w:rsidRPr="008B7DF0">
        <w:rPr>
          <w:rFonts w:asciiTheme="minorHAnsi" w:hAnsiTheme="minorHAnsi"/>
        </w:rPr>
        <w:t>obniżenie składek państw członkowskich</w:t>
      </w:r>
      <w:r w:rsidR="00E16754" w:rsidRPr="008B7DF0">
        <w:rPr>
          <w:rFonts w:asciiTheme="minorHAnsi" w:hAnsiTheme="minorHAnsi"/>
        </w:rPr>
        <w:t xml:space="preserve"> do budżetu UE na rok 2019</w:t>
      </w:r>
      <w:r w:rsidR="003A2E71" w:rsidRPr="008B7DF0">
        <w:rPr>
          <w:rFonts w:asciiTheme="minorHAnsi" w:hAnsiTheme="minorHAnsi"/>
        </w:rPr>
        <w:t xml:space="preserve"> o 55</w:t>
      </w:r>
      <w:r w:rsidR="009A6162">
        <w:rPr>
          <w:rFonts w:asciiTheme="minorHAnsi" w:hAnsiTheme="minorHAnsi"/>
        </w:rPr>
        <w:t>,6</w:t>
      </w:r>
      <w:r w:rsidR="003A2E71" w:rsidRPr="008B7DF0">
        <w:rPr>
          <w:rFonts w:asciiTheme="minorHAnsi" w:hAnsiTheme="minorHAnsi"/>
        </w:rPr>
        <w:t xml:space="preserve"> mln EUR.</w:t>
      </w:r>
    </w:p>
    <w:p w14:paraId="578273D7" w14:textId="77777777" w:rsidR="00333E2F" w:rsidRDefault="00333E2F" w:rsidP="003A2E71">
      <w:pPr>
        <w:spacing w:line="264" w:lineRule="auto"/>
        <w:jc w:val="both"/>
        <w:rPr>
          <w:rFonts w:asciiTheme="minorHAnsi" w:hAnsiTheme="minorHAnsi"/>
        </w:rPr>
      </w:pPr>
    </w:p>
    <w:p w14:paraId="26403D95" w14:textId="02E7C993" w:rsidR="005050D6" w:rsidRDefault="005050D6" w:rsidP="003A2E71">
      <w:pPr>
        <w:spacing w:line="264" w:lineRule="auto"/>
        <w:jc w:val="both"/>
        <w:rPr>
          <w:rFonts w:asciiTheme="minorHAnsi" w:hAnsiTheme="minorHAnsi"/>
        </w:rPr>
      </w:pPr>
      <w:r w:rsidRPr="003A2E71">
        <w:rPr>
          <w:rFonts w:asciiTheme="minorHAnsi" w:hAnsiTheme="minorHAnsi"/>
        </w:rPr>
        <w:t>W związku z powyższymi redukcjami, obniżeniu ulega wykorzystan</w:t>
      </w:r>
      <w:r w:rsidR="003A2E71">
        <w:rPr>
          <w:rFonts w:asciiTheme="minorHAnsi" w:hAnsiTheme="minorHAnsi"/>
        </w:rPr>
        <w:t>ie Instrumentu Elastyczności w działach 1A</w:t>
      </w:r>
      <w:r w:rsidRPr="003A2E71">
        <w:rPr>
          <w:rFonts w:asciiTheme="minorHAnsi" w:hAnsiTheme="minorHAnsi"/>
        </w:rPr>
        <w:t xml:space="preserve"> i 3</w:t>
      </w:r>
      <w:r w:rsidR="002547D2">
        <w:rPr>
          <w:rFonts w:asciiTheme="minorHAnsi" w:hAnsiTheme="minorHAnsi"/>
        </w:rPr>
        <w:t xml:space="preserve"> łącznie</w:t>
      </w:r>
      <w:r w:rsidR="003A2E71">
        <w:rPr>
          <w:rFonts w:asciiTheme="minorHAnsi" w:hAnsiTheme="minorHAnsi"/>
        </w:rPr>
        <w:t xml:space="preserve"> </w:t>
      </w:r>
      <w:r w:rsidR="00A06FF8">
        <w:rPr>
          <w:rFonts w:asciiTheme="minorHAnsi" w:hAnsiTheme="minorHAnsi"/>
        </w:rPr>
        <w:t>o</w:t>
      </w:r>
      <w:r w:rsidR="003A2E71">
        <w:rPr>
          <w:rFonts w:asciiTheme="minorHAnsi" w:hAnsiTheme="minorHAnsi"/>
        </w:rPr>
        <w:t xml:space="preserve"> 73,9 mln EUR.</w:t>
      </w:r>
      <w:r w:rsidR="002547D2">
        <w:rPr>
          <w:rFonts w:asciiTheme="minorHAnsi" w:hAnsiTheme="minorHAnsi"/>
        </w:rPr>
        <w:t xml:space="preserve"> </w:t>
      </w:r>
      <w:r w:rsidR="00F65475">
        <w:rPr>
          <w:rFonts w:asciiTheme="minorHAnsi" w:hAnsiTheme="minorHAnsi"/>
        </w:rPr>
        <w:t>O</w:t>
      </w:r>
      <w:r w:rsidRPr="003A2E71">
        <w:rPr>
          <w:rFonts w:asciiTheme="minorHAnsi" w:hAnsiTheme="minorHAnsi"/>
        </w:rPr>
        <w:t>bniża się</w:t>
      </w:r>
      <w:r w:rsidR="00F65475">
        <w:rPr>
          <w:rFonts w:asciiTheme="minorHAnsi" w:hAnsiTheme="minorHAnsi"/>
        </w:rPr>
        <w:t xml:space="preserve"> także</w:t>
      </w:r>
      <w:r w:rsidR="002547D2">
        <w:rPr>
          <w:rFonts w:asciiTheme="minorHAnsi" w:hAnsiTheme="minorHAnsi"/>
        </w:rPr>
        <w:t xml:space="preserve"> wykorzystanie łącznego marginesu na zobowiązani</w:t>
      </w:r>
      <w:r w:rsidR="00F65475">
        <w:rPr>
          <w:rFonts w:asciiTheme="minorHAnsi" w:hAnsiTheme="minorHAnsi"/>
        </w:rPr>
        <w:t>a o</w:t>
      </w:r>
      <w:r w:rsidRPr="003A2E71">
        <w:rPr>
          <w:rFonts w:asciiTheme="minorHAnsi" w:hAnsiTheme="minorHAnsi"/>
        </w:rPr>
        <w:t xml:space="preserve"> 8,3 mln EUR.</w:t>
      </w:r>
    </w:p>
    <w:p w14:paraId="509181D5" w14:textId="77777777" w:rsidR="001C324B" w:rsidRDefault="001C324B" w:rsidP="001C324B">
      <w:pPr>
        <w:spacing w:line="264" w:lineRule="auto"/>
        <w:jc w:val="both"/>
        <w:rPr>
          <w:rFonts w:asciiTheme="minorHAnsi" w:hAnsiTheme="minorHAnsi"/>
          <w:b/>
          <w:u w:val="single"/>
        </w:rPr>
      </w:pPr>
    </w:p>
    <w:p w14:paraId="187A44B7" w14:textId="77777777" w:rsidR="00696287" w:rsidRDefault="00696287" w:rsidP="001C324B">
      <w:pPr>
        <w:spacing w:line="264" w:lineRule="auto"/>
        <w:jc w:val="both"/>
        <w:rPr>
          <w:rFonts w:asciiTheme="minorHAnsi" w:hAnsiTheme="minorHAnsi"/>
          <w:b/>
          <w:u w:val="single"/>
        </w:rPr>
      </w:pPr>
    </w:p>
    <w:p w14:paraId="6E46571F" w14:textId="1F15C767" w:rsidR="001C324B" w:rsidRPr="001C324B" w:rsidRDefault="001C324B" w:rsidP="001C324B">
      <w:pPr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II.4</w:t>
      </w:r>
      <w:r w:rsidRPr="000A2E14">
        <w:rPr>
          <w:rFonts w:asciiTheme="minorHAnsi" w:hAnsiTheme="minorHAnsi"/>
          <w:b/>
          <w:u w:val="single"/>
        </w:rPr>
        <w:t xml:space="preserve"> 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bCs/>
          <w:u w:val="single"/>
        </w:rPr>
        <w:t>Komisja Europejska nakłada 6</w:t>
      </w:r>
      <w:r w:rsidR="00696287">
        <w:rPr>
          <w:rFonts w:asciiTheme="minorHAnsi" w:hAnsiTheme="minorHAnsi"/>
          <w:b/>
          <w:bCs/>
          <w:u w:val="single"/>
        </w:rPr>
        <w:t>,2</w:t>
      </w:r>
      <w:r>
        <w:rPr>
          <w:rFonts w:asciiTheme="minorHAnsi" w:hAnsiTheme="minorHAnsi"/>
          <w:b/>
          <w:bCs/>
          <w:u w:val="single"/>
        </w:rPr>
        <w:t xml:space="preserve"> mln EUR grzywny na firmę </w:t>
      </w:r>
      <w:proofErr w:type="spellStart"/>
      <w:r>
        <w:rPr>
          <w:rFonts w:asciiTheme="minorHAnsi" w:hAnsiTheme="minorHAnsi"/>
          <w:b/>
          <w:bCs/>
          <w:u w:val="single"/>
        </w:rPr>
        <w:t>Sanrio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</w:t>
      </w:r>
    </w:p>
    <w:p w14:paraId="1B89318E" w14:textId="77777777" w:rsidR="001C324B" w:rsidRPr="001C324B" w:rsidRDefault="001C324B" w:rsidP="001C324B">
      <w:pPr>
        <w:pStyle w:val="Akapitzlist"/>
        <w:tabs>
          <w:tab w:val="left" w:pos="426"/>
        </w:tabs>
        <w:spacing w:line="264" w:lineRule="auto"/>
        <w:ind w:left="0"/>
        <w:jc w:val="both"/>
        <w:rPr>
          <w:rFonts w:asciiTheme="minorHAnsi" w:hAnsiTheme="minorHAnsi"/>
        </w:rPr>
      </w:pPr>
    </w:p>
    <w:p w14:paraId="1D9A39BA" w14:textId="17701337" w:rsidR="001C324B" w:rsidRDefault="001C324B" w:rsidP="001C324B">
      <w:pPr>
        <w:pStyle w:val="Akapitzlist"/>
        <w:tabs>
          <w:tab w:val="left" w:pos="426"/>
        </w:tabs>
        <w:spacing w:line="264" w:lineRule="auto"/>
        <w:ind w:left="0"/>
        <w:jc w:val="both"/>
        <w:rPr>
          <w:rFonts w:asciiTheme="minorHAnsi" w:hAnsiTheme="minorHAnsi"/>
        </w:rPr>
      </w:pPr>
      <w:r w:rsidRPr="001C324B">
        <w:rPr>
          <w:rFonts w:asciiTheme="minorHAnsi" w:hAnsiTheme="minorHAnsi"/>
        </w:rPr>
        <w:t>Komunikatem z 9 lipca br. Komisja Europejska (KE) poin</w:t>
      </w:r>
      <w:r w:rsidR="00696287">
        <w:rPr>
          <w:rFonts w:asciiTheme="minorHAnsi" w:hAnsiTheme="minorHAnsi"/>
        </w:rPr>
        <w:t>formowała o nałożeniu grzywny w </w:t>
      </w:r>
      <w:r w:rsidRPr="001C324B">
        <w:rPr>
          <w:rFonts w:asciiTheme="minorHAnsi" w:hAnsiTheme="minorHAnsi"/>
        </w:rPr>
        <w:t xml:space="preserve">wysokości </w:t>
      </w:r>
      <w:r w:rsidRPr="00696287">
        <w:rPr>
          <w:rFonts w:asciiTheme="minorHAnsi" w:hAnsiTheme="minorHAnsi"/>
          <w:b/>
        </w:rPr>
        <w:t>6</w:t>
      </w:r>
      <w:r w:rsidR="00696287">
        <w:rPr>
          <w:rFonts w:asciiTheme="minorHAnsi" w:hAnsiTheme="minorHAnsi"/>
          <w:b/>
        </w:rPr>
        <w:t>,2</w:t>
      </w:r>
      <w:r w:rsidRPr="00696287">
        <w:rPr>
          <w:rFonts w:asciiTheme="minorHAnsi" w:hAnsiTheme="minorHAnsi"/>
          <w:b/>
        </w:rPr>
        <w:t xml:space="preserve"> mln EUR</w:t>
      </w:r>
      <w:r w:rsidRPr="001C324B">
        <w:rPr>
          <w:rFonts w:asciiTheme="minorHAnsi" w:hAnsiTheme="minorHAnsi"/>
        </w:rPr>
        <w:t xml:space="preserve"> na firmę </w:t>
      </w:r>
      <w:proofErr w:type="spellStart"/>
      <w:r>
        <w:rPr>
          <w:rFonts w:asciiTheme="minorHAnsi" w:hAnsiTheme="minorHAnsi"/>
        </w:rPr>
        <w:t>Sanrio</w:t>
      </w:r>
      <w:proofErr w:type="spellEnd"/>
      <w:r w:rsidRPr="001C324B">
        <w:rPr>
          <w:rFonts w:asciiTheme="minorHAnsi" w:hAnsiTheme="minorHAnsi"/>
        </w:rPr>
        <w:t>, z</w:t>
      </w:r>
      <w:r>
        <w:rPr>
          <w:rFonts w:asciiTheme="minorHAnsi" w:hAnsiTheme="minorHAnsi"/>
        </w:rPr>
        <w:t xml:space="preserve">a pozbawianie detalistów możliwości sprzedaży jej produktów (także on-line) do innych państw w </w:t>
      </w:r>
      <w:r w:rsidRPr="001C324B">
        <w:rPr>
          <w:rFonts w:asciiTheme="minorHAnsi" w:hAnsiTheme="minorHAnsi"/>
        </w:rPr>
        <w:t>Europejskim Obszarze Gospodarczym</w:t>
      </w:r>
      <w:r w:rsidR="00EC4763">
        <w:rPr>
          <w:rFonts w:asciiTheme="minorHAnsi" w:hAnsiTheme="minorHAnsi"/>
        </w:rPr>
        <w:t xml:space="preserve"> (EOG)</w:t>
      </w:r>
      <w:r>
        <w:rPr>
          <w:rFonts w:asciiTheme="minorHAnsi" w:hAnsiTheme="minorHAnsi"/>
        </w:rPr>
        <w:t xml:space="preserve">. Dotyczyło </w:t>
      </w:r>
      <w:r w:rsidR="00696287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produktów licencjonowanych (takich jak kubki, torby, zabawki), wykorzystujących </w:t>
      </w:r>
      <w:r w:rsidR="00696287">
        <w:rPr>
          <w:rFonts w:asciiTheme="minorHAnsi" w:hAnsiTheme="minorHAnsi"/>
        </w:rPr>
        <w:t xml:space="preserve">m.in. </w:t>
      </w:r>
      <w:r>
        <w:rPr>
          <w:rFonts w:asciiTheme="minorHAnsi" w:hAnsiTheme="minorHAnsi"/>
        </w:rPr>
        <w:t>postać Hello Kitty.</w:t>
      </w:r>
      <w:r w:rsidR="00EC4763">
        <w:rPr>
          <w:rFonts w:asciiTheme="minorHAnsi" w:hAnsiTheme="minorHAnsi"/>
        </w:rPr>
        <w:t xml:space="preserve"> </w:t>
      </w:r>
      <w:proofErr w:type="spellStart"/>
      <w:r w:rsidR="00EC4763">
        <w:rPr>
          <w:rFonts w:asciiTheme="minorHAnsi" w:hAnsiTheme="minorHAnsi"/>
        </w:rPr>
        <w:t>Sanrio</w:t>
      </w:r>
      <w:proofErr w:type="spellEnd"/>
      <w:r w:rsidR="00EC4763">
        <w:rPr>
          <w:rFonts w:asciiTheme="minorHAnsi" w:hAnsiTheme="minorHAnsi"/>
        </w:rPr>
        <w:t xml:space="preserve"> dopuszczało możliwość sprzedaży ww. produktów tylko na przydzielonym dla danego detalisty obszarze (np. w jednym państwie EOG), a w przypadku niestosowania się do tego ograniczenia</w:t>
      </w:r>
      <w:r w:rsidR="00A1404E">
        <w:rPr>
          <w:rFonts w:asciiTheme="minorHAnsi" w:hAnsiTheme="minorHAnsi"/>
        </w:rPr>
        <w:t>,</w:t>
      </w:r>
      <w:r w:rsidR="00EC4763">
        <w:rPr>
          <w:rFonts w:asciiTheme="minorHAnsi" w:hAnsiTheme="minorHAnsi"/>
        </w:rPr>
        <w:t xml:space="preserve"> kończyło współpracę z danym detalistą. </w:t>
      </w:r>
    </w:p>
    <w:p w14:paraId="793EE0A3" w14:textId="07322AA9" w:rsidR="001C324B" w:rsidRPr="00696287" w:rsidRDefault="001C324B" w:rsidP="001C324B">
      <w:pPr>
        <w:pStyle w:val="Akapitzlist"/>
        <w:tabs>
          <w:tab w:val="left" w:pos="426"/>
        </w:tabs>
        <w:spacing w:line="264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Działania </w:t>
      </w:r>
      <w:r w:rsidR="00EC4763">
        <w:rPr>
          <w:rFonts w:asciiTheme="minorHAnsi" w:hAnsiTheme="minorHAnsi"/>
        </w:rPr>
        <w:t>te trwały ok 10 lat i</w:t>
      </w:r>
      <w:r>
        <w:rPr>
          <w:rFonts w:asciiTheme="minorHAnsi" w:hAnsiTheme="minorHAnsi"/>
        </w:rPr>
        <w:t xml:space="preserve"> </w:t>
      </w:r>
      <w:r w:rsidR="00EC4763">
        <w:rPr>
          <w:rFonts w:asciiTheme="minorHAnsi" w:hAnsiTheme="minorHAnsi"/>
        </w:rPr>
        <w:t>ograniczały</w:t>
      </w:r>
      <w:r>
        <w:rPr>
          <w:rFonts w:asciiTheme="minorHAnsi" w:hAnsiTheme="minorHAnsi"/>
        </w:rPr>
        <w:t xml:space="preserve"> </w:t>
      </w:r>
      <w:r w:rsidR="00EC4763">
        <w:rPr>
          <w:rFonts w:asciiTheme="minorHAnsi" w:hAnsiTheme="minorHAnsi"/>
        </w:rPr>
        <w:t xml:space="preserve">działanie wolnego rynku </w:t>
      </w:r>
      <w:r w:rsidR="00EC4763" w:rsidRPr="001C324B">
        <w:rPr>
          <w:rFonts w:asciiTheme="minorHAnsi" w:hAnsiTheme="minorHAnsi"/>
        </w:rPr>
        <w:t>stanowi</w:t>
      </w:r>
      <w:r w:rsidR="00EC4763">
        <w:rPr>
          <w:rFonts w:asciiTheme="minorHAnsi" w:hAnsiTheme="minorHAnsi"/>
        </w:rPr>
        <w:t>ąc</w:t>
      </w:r>
      <w:r w:rsidR="00EC4763" w:rsidRPr="001C324B">
        <w:rPr>
          <w:rFonts w:asciiTheme="minorHAnsi" w:hAnsiTheme="minorHAnsi"/>
        </w:rPr>
        <w:t xml:space="preserve"> naruszenie unijnych przepisów z zakresu konkurencji.</w:t>
      </w:r>
      <w:r w:rsidR="00696287">
        <w:rPr>
          <w:rFonts w:asciiTheme="minorHAnsi" w:hAnsiTheme="minorHAnsi"/>
        </w:rPr>
        <w:t xml:space="preserve"> I</w:t>
      </w:r>
      <w:r w:rsidR="00EC4763">
        <w:rPr>
          <w:rFonts w:asciiTheme="minorHAnsi" w:hAnsiTheme="minorHAnsi"/>
        </w:rPr>
        <w:t xml:space="preserve">ch rezultatem </w:t>
      </w:r>
      <w:r w:rsidR="00696287">
        <w:rPr>
          <w:rFonts w:asciiTheme="minorHAnsi" w:hAnsiTheme="minorHAnsi"/>
        </w:rPr>
        <w:t>było</w:t>
      </w:r>
      <w:r w:rsidR="00EC4763">
        <w:rPr>
          <w:rFonts w:asciiTheme="minorHAnsi" w:hAnsiTheme="minorHAnsi"/>
        </w:rPr>
        <w:t xml:space="preserve"> </w:t>
      </w:r>
      <w:r w:rsidR="00696287">
        <w:rPr>
          <w:rFonts w:asciiTheme="minorHAnsi" w:hAnsiTheme="minorHAnsi"/>
          <w:sz w:val="23"/>
          <w:szCs w:val="23"/>
        </w:rPr>
        <w:t>ograniczenie</w:t>
      </w:r>
      <w:r>
        <w:rPr>
          <w:rFonts w:asciiTheme="minorHAnsi" w:hAnsiTheme="minorHAnsi"/>
          <w:sz w:val="23"/>
          <w:szCs w:val="23"/>
        </w:rPr>
        <w:t xml:space="preserve"> europejskim klientom możliwość dokonywania zakupów przez Internet </w:t>
      </w:r>
      <w:r w:rsidR="00696287">
        <w:rPr>
          <w:rFonts w:asciiTheme="minorHAnsi" w:hAnsiTheme="minorHAnsi"/>
          <w:sz w:val="23"/>
          <w:szCs w:val="23"/>
        </w:rPr>
        <w:t>oraz zawyżenie</w:t>
      </w:r>
      <w:r>
        <w:rPr>
          <w:rFonts w:asciiTheme="minorHAnsi" w:hAnsiTheme="minorHAnsi"/>
          <w:sz w:val="23"/>
          <w:szCs w:val="23"/>
        </w:rPr>
        <w:t xml:space="preserve"> cen.</w:t>
      </w:r>
    </w:p>
    <w:p w14:paraId="205A9469" w14:textId="77777777" w:rsidR="00333E2F" w:rsidRDefault="00333E2F" w:rsidP="001C3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3"/>
          <w:szCs w:val="23"/>
        </w:rPr>
      </w:pPr>
    </w:p>
    <w:p w14:paraId="78F5C368" w14:textId="419DD05D" w:rsidR="001C324B" w:rsidRPr="00696287" w:rsidRDefault="001C324B" w:rsidP="001C32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A06FF8">
        <w:rPr>
          <w:rFonts w:asciiTheme="minorHAnsi" w:hAnsiTheme="minorHAnsi"/>
          <w:u w:val="single"/>
        </w:rPr>
        <w:t>Kary nałożone z tytułu naruszenia zasad konkurencji, po wyczerpaniu długotrwałej procedury</w:t>
      </w:r>
      <w:r w:rsidR="00A1404E" w:rsidRPr="00A06FF8">
        <w:rPr>
          <w:rFonts w:asciiTheme="minorHAnsi" w:hAnsiTheme="minorHAnsi"/>
          <w:u w:val="single"/>
        </w:rPr>
        <w:t>,</w:t>
      </w:r>
      <w:r w:rsidRPr="00A06FF8">
        <w:rPr>
          <w:rFonts w:asciiTheme="minorHAnsi" w:hAnsiTheme="minorHAnsi"/>
          <w:u w:val="single"/>
        </w:rPr>
        <w:t xml:space="preserve"> zasilają budżet UE</w:t>
      </w:r>
      <w:r w:rsidRPr="00696287">
        <w:rPr>
          <w:rFonts w:asciiTheme="minorHAnsi" w:hAnsiTheme="minorHAnsi"/>
        </w:rPr>
        <w:t xml:space="preserve">. </w:t>
      </w:r>
    </w:p>
    <w:p w14:paraId="440F03B8" w14:textId="77777777" w:rsidR="005050D6" w:rsidRDefault="005050D6" w:rsidP="00EE3609">
      <w:pPr>
        <w:pStyle w:val="Tekstpodstawowy"/>
        <w:spacing w:line="288" w:lineRule="auto"/>
        <w:rPr>
          <w:rFonts w:asciiTheme="minorHAnsi" w:hAnsiTheme="minorHAnsi"/>
          <w:b/>
          <w:u w:val="single"/>
        </w:rPr>
      </w:pPr>
    </w:p>
    <w:p w14:paraId="48B382F9" w14:textId="77777777" w:rsidR="0030079B" w:rsidRDefault="0030079B" w:rsidP="00680307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</w:rPr>
      </w:pPr>
    </w:p>
    <w:p w14:paraId="3D316FFA" w14:textId="77777777" w:rsidR="00F65475" w:rsidRDefault="00F65475" w:rsidP="00680307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</w:rPr>
      </w:pPr>
    </w:p>
    <w:p w14:paraId="3B4D9087" w14:textId="0370351E" w:rsidR="00277A0F" w:rsidRPr="000A2E14" w:rsidRDefault="00CD21B1" w:rsidP="00185926">
      <w:pPr>
        <w:spacing w:line="264" w:lineRule="auto"/>
        <w:ind w:left="720" w:hanging="720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b/>
          <w:u w:val="single"/>
          <w:lang w:eastAsia="pl-PL"/>
        </w:rPr>
        <w:lastRenderedPageBreak/>
        <w:t>II.</w:t>
      </w:r>
      <w:r w:rsidR="00AD7C0A">
        <w:rPr>
          <w:rFonts w:asciiTheme="minorHAnsi" w:eastAsia="Calibri" w:hAnsiTheme="minorHAnsi"/>
          <w:b/>
          <w:u w:val="single"/>
          <w:lang w:eastAsia="pl-PL"/>
        </w:rPr>
        <w:t>5</w:t>
      </w:r>
      <w:r w:rsidR="00277A0F" w:rsidRPr="000A2E14">
        <w:rPr>
          <w:rFonts w:asciiTheme="minorHAnsi" w:eastAsia="Calibri" w:hAnsiTheme="minorHAnsi"/>
          <w:b/>
          <w:u w:val="single"/>
          <w:lang w:eastAsia="pl-PL"/>
        </w:rPr>
        <w:tab/>
      </w:r>
      <w:r w:rsidR="00277A0F" w:rsidRPr="000A2E14">
        <w:rPr>
          <w:rFonts w:asciiTheme="minorHAnsi" w:hAnsiTheme="minorHAnsi"/>
          <w:b/>
          <w:u w:val="single"/>
        </w:rPr>
        <w:t>Informacja KE nt. płatności pośrednich dla Europejskich Funduszy Strukturalnych</w:t>
      </w:r>
      <w:r w:rsidR="00277A0F" w:rsidRPr="000A2E14">
        <w:rPr>
          <w:rFonts w:asciiTheme="minorHAnsi" w:hAnsiTheme="minorHAnsi"/>
          <w:b/>
        </w:rPr>
        <w:t xml:space="preserve"> </w:t>
      </w:r>
      <w:r w:rsidR="00277A0F" w:rsidRPr="000A2E14">
        <w:rPr>
          <w:rFonts w:asciiTheme="minorHAnsi" w:hAnsiTheme="minorHAnsi"/>
          <w:b/>
          <w:u w:val="single"/>
        </w:rPr>
        <w:t>i Inwestycyjnych</w:t>
      </w:r>
      <w:r w:rsidR="00277A0F" w:rsidRPr="000A2E14">
        <w:rPr>
          <w:rStyle w:val="Odwoanieprzypisudolnego"/>
          <w:rFonts w:asciiTheme="minorHAnsi" w:hAnsiTheme="minorHAnsi"/>
          <w:b/>
          <w:u w:val="single"/>
        </w:rPr>
        <w:footnoteReference w:id="3"/>
      </w:r>
      <w:r w:rsidR="00277A0F" w:rsidRPr="000A2E14">
        <w:rPr>
          <w:rFonts w:asciiTheme="minorHAnsi" w:hAnsiTheme="minorHAnsi"/>
          <w:b/>
          <w:u w:val="single"/>
        </w:rPr>
        <w:t xml:space="preserve"> (EFSI), w ramach alokacji 2014</w:t>
      </w:r>
      <w:r w:rsidR="00297653" w:rsidRPr="000A2E14">
        <w:rPr>
          <w:rFonts w:asciiTheme="minorHAnsi" w:hAnsiTheme="minorHAnsi"/>
          <w:b/>
          <w:u w:val="single"/>
        </w:rPr>
        <w:t xml:space="preserve"> </w:t>
      </w:r>
      <w:r w:rsidR="00277A0F" w:rsidRPr="000A2E14">
        <w:rPr>
          <w:rFonts w:asciiTheme="minorHAnsi" w:hAnsiTheme="minorHAnsi"/>
          <w:b/>
          <w:u w:val="single"/>
        </w:rPr>
        <w:t>–</w:t>
      </w:r>
      <w:r w:rsidR="00297653" w:rsidRPr="000A2E14">
        <w:rPr>
          <w:rFonts w:asciiTheme="minorHAnsi" w:hAnsiTheme="minorHAnsi"/>
          <w:b/>
          <w:u w:val="single"/>
        </w:rPr>
        <w:t xml:space="preserve"> </w:t>
      </w:r>
      <w:r w:rsidR="00277A0F" w:rsidRPr="000A2E14">
        <w:rPr>
          <w:rFonts w:asciiTheme="minorHAnsi" w:hAnsiTheme="minorHAnsi"/>
          <w:b/>
          <w:u w:val="single"/>
        </w:rPr>
        <w:t xml:space="preserve">2020 na koniec </w:t>
      </w:r>
      <w:r w:rsidR="00680307">
        <w:rPr>
          <w:rFonts w:asciiTheme="minorHAnsi" w:hAnsiTheme="minorHAnsi"/>
          <w:b/>
          <w:u w:val="single"/>
        </w:rPr>
        <w:t>czerwca</w:t>
      </w:r>
      <w:r w:rsidR="00C73D89" w:rsidRPr="000A2E14">
        <w:rPr>
          <w:rFonts w:asciiTheme="minorHAnsi" w:hAnsiTheme="minorHAnsi"/>
          <w:b/>
          <w:u w:val="single"/>
        </w:rPr>
        <w:t xml:space="preserve"> </w:t>
      </w:r>
      <w:r w:rsidR="00277A0F" w:rsidRPr="000A2E14">
        <w:rPr>
          <w:rFonts w:asciiTheme="minorHAnsi" w:hAnsiTheme="minorHAnsi"/>
          <w:b/>
          <w:u w:val="single"/>
        </w:rPr>
        <w:t>2019 r.</w:t>
      </w:r>
    </w:p>
    <w:p w14:paraId="71BC308E" w14:textId="77777777" w:rsidR="00856706" w:rsidRPr="000A2E14" w:rsidRDefault="00856706" w:rsidP="00277A0F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14:paraId="210DD309" w14:textId="6A00F3B5" w:rsidR="00277A0F" w:rsidRPr="000A2E14" w:rsidRDefault="00277A0F" w:rsidP="00277A0F">
      <w:pPr>
        <w:spacing w:line="264" w:lineRule="auto"/>
        <w:jc w:val="both"/>
        <w:rPr>
          <w:rFonts w:asciiTheme="minorHAnsi" w:hAnsiTheme="minorHAnsi"/>
        </w:rPr>
      </w:pPr>
      <w:r w:rsidRPr="000A2E14">
        <w:rPr>
          <w:rFonts w:asciiTheme="minorHAnsi" w:hAnsiTheme="minorHAnsi"/>
        </w:rPr>
        <w:t xml:space="preserve">Poniższa tabela zawiera informacje nt. płatności pośrednich dla programów EFSI w podziale na państwa członkowskie (P.Cz.). Od roku 2014 w formie płatności pośrednich do P.Cz. napłynęło  </w:t>
      </w:r>
      <w:r w:rsidR="00BE373C">
        <w:rPr>
          <w:rFonts w:asciiTheme="minorHAnsi" w:hAnsiTheme="minorHAnsi"/>
          <w:b/>
        </w:rPr>
        <w:t>125</w:t>
      </w:r>
      <w:r w:rsidR="00182157" w:rsidRPr="000A2E14">
        <w:rPr>
          <w:rFonts w:asciiTheme="minorHAnsi" w:hAnsiTheme="minorHAnsi"/>
          <w:b/>
        </w:rPr>
        <w:t>,</w:t>
      </w:r>
      <w:r w:rsidR="00BE373C">
        <w:rPr>
          <w:rFonts w:asciiTheme="minorHAnsi" w:hAnsiTheme="minorHAnsi"/>
          <w:b/>
        </w:rPr>
        <w:t>2</w:t>
      </w:r>
      <w:r w:rsidRPr="000A2E14">
        <w:rPr>
          <w:rFonts w:asciiTheme="minorHAnsi" w:hAnsiTheme="minorHAnsi"/>
        </w:rPr>
        <w:t xml:space="preserve"> </w:t>
      </w:r>
      <w:r w:rsidRPr="000A2E14">
        <w:rPr>
          <w:rFonts w:asciiTheme="minorHAnsi" w:hAnsiTheme="minorHAnsi"/>
          <w:b/>
        </w:rPr>
        <w:t>mld EUR</w:t>
      </w:r>
      <w:r w:rsidRPr="000A2E14">
        <w:rPr>
          <w:rFonts w:asciiTheme="minorHAnsi" w:hAnsiTheme="minorHAnsi"/>
        </w:rPr>
        <w:t>. W samym roku 2019 płatności te wyniosły</w:t>
      </w:r>
      <w:r w:rsidRPr="000A2E14">
        <w:rPr>
          <w:rFonts w:asciiTheme="minorHAnsi" w:hAnsiTheme="minorHAnsi"/>
          <w:b/>
        </w:rPr>
        <w:t xml:space="preserve"> </w:t>
      </w:r>
      <w:r w:rsidR="00BE373C">
        <w:rPr>
          <w:rFonts w:asciiTheme="minorHAnsi" w:hAnsiTheme="minorHAnsi"/>
          <w:b/>
        </w:rPr>
        <w:t>23,4</w:t>
      </w:r>
      <w:r w:rsidRPr="000A2E14">
        <w:rPr>
          <w:rFonts w:asciiTheme="minorHAnsi" w:hAnsiTheme="minorHAnsi"/>
          <w:b/>
        </w:rPr>
        <w:t xml:space="preserve"> mld EUR.</w:t>
      </w:r>
      <w:r w:rsidRPr="000A2E14">
        <w:rPr>
          <w:rFonts w:asciiTheme="minorHAnsi" w:hAnsiTheme="minorHAnsi"/>
        </w:rPr>
        <w:t xml:space="preserve"> </w:t>
      </w:r>
    </w:p>
    <w:p w14:paraId="2A65CD39" w14:textId="303F8C6F" w:rsidR="00277A0F" w:rsidRPr="000A2E14" w:rsidRDefault="00277A0F" w:rsidP="00A06FF8">
      <w:pPr>
        <w:spacing w:before="60" w:after="60" w:line="264" w:lineRule="auto"/>
        <w:jc w:val="both"/>
        <w:rPr>
          <w:rFonts w:asciiTheme="minorHAnsi" w:hAnsiTheme="minorHAnsi"/>
        </w:rPr>
      </w:pPr>
      <w:r w:rsidRPr="000A2E14">
        <w:rPr>
          <w:rFonts w:asciiTheme="minorHAnsi" w:hAnsiTheme="minorHAnsi"/>
        </w:rPr>
        <w:t xml:space="preserve">Od roku 2014 do Polski napłynęło najwięcej środków: </w:t>
      </w:r>
      <w:r w:rsidR="00182157" w:rsidRPr="000A2E14">
        <w:rPr>
          <w:rFonts w:asciiTheme="minorHAnsi" w:hAnsiTheme="minorHAnsi"/>
          <w:b/>
        </w:rPr>
        <w:t>2</w:t>
      </w:r>
      <w:r w:rsidR="00BE373C">
        <w:rPr>
          <w:rFonts w:asciiTheme="minorHAnsi" w:hAnsiTheme="minorHAnsi"/>
          <w:b/>
        </w:rPr>
        <w:t>4,1</w:t>
      </w:r>
      <w:r w:rsidRPr="000A2E14">
        <w:rPr>
          <w:rFonts w:asciiTheme="minorHAnsi" w:hAnsiTheme="minorHAnsi"/>
        </w:rPr>
        <w:t xml:space="preserve"> </w:t>
      </w:r>
      <w:r w:rsidRPr="000A2E14">
        <w:rPr>
          <w:rFonts w:asciiTheme="minorHAnsi" w:hAnsiTheme="minorHAnsi"/>
          <w:b/>
        </w:rPr>
        <w:t>mld EUR</w:t>
      </w:r>
      <w:r w:rsidRPr="000A2E14">
        <w:rPr>
          <w:rFonts w:asciiTheme="minorHAnsi" w:hAnsiTheme="minorHAnsi"/>
        </w:rPr>
        <w:t>, co stanowi 19</w:t>
      </w:r>
      <w:r w:rsidRPr="000A2E14">
        <w:rPr>
          <w:rFonts w:asciiTheme="minorHAnsi" w:hAnsiTheme="minorHAnsi"/>
          <w:b/>
        </w:rPr>
        <w:t>%</w:t>
      </w:r>
      <w:r w:rsidRPr="000A2E14">
        <w:rPr>
          <w:rFonts w:asciiTheme="minorHAnsi" w:hAnsiTheme="minorHAnsi"/>
        </w:rPr>
        <w:t xml:space="preserve"> całkowitej kwoty płatności pośrednich dotychczas przekazanych P.Cz.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2131"/>
        <w:gridCol w:w="1984"/>
      </w:tblGrid>
      <w:tr w:rsidR="00277A0F" w:rsidRPr="000A2E14" w14:paraId="7D489535" w14:textId="77777777" w:rsidTr="00B2051A">
        <w:trPr>
          <w:trHeight w:hRule="exact" w:val="680"/>
          <w:jc w:val="center"/>
        </w:trPr>
        <w:tc>
          <w:tcPr>
            <w:tcW w:w="2689" w:type="dxa"/>
            <w:vMerge w:val="restart"/>
            <w:shd w:val="clear" w:color="auto" w:fill="auto"/>
            <w:hideMark/>
          </w:tcPr>
          <w:p w14:paraId="016853AB" w14:textId="77777777" w:rsidR="00277A0F" w:rsidRPr="000A2E14" w:rsidRDefault="00277A0F" w:rsidP="00883039">
            <w:pPr>
              <w:spacing w:line="288" w:lineRule="auto"/>
              <w:rPr>
                <w:rFonts w:asciiTheme="minorHAnsi" w:eastAsia="Times New Roman" w:hAnsiTheme="minorHAnsi"/>
                <w:i/>
                <w:sz w:val="22"/>
                <w:szCs w:val="22"/>
                <w:lang w:eastAsia="pl-PL"/>
              </w:rPr>
            </w:pPr>
            <w:r w:rsidRPr="000A2E14">
              <w:rPr>
                <w:rFonts w:asciiTheme="minorHAnsi" w:eastAsia="Times New Roman" w:hAnsiTheme="minorHAnsi"/>
                <w:i/>
                <w:sz w:val="22"/>
                <w:szCs w:val="22"/>
                <w:lang w:eastAsia="pl-PL"/>
              </w:rPr>
              <w:t>(W mln EUR)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A5E7B46" w14:textId="77777777" w:rsidR="00277A0F" w:rsidRPr="000A2E14" w:rsidRDefault="00277A0F" w:rsidP="00883039">
            <w:pPr>
              <w:spacing w:line="288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eastAsia="Times New Roman" w:hAnsiTheme="minorHAnsi"/>
                <w:lang w:eastAsia="pl-PL"/>
              </w:rPr>
              <w:t>Całkowita alokacja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  <w:hideMark/>
          </w:tcPr>
          <w:p w14:paraId="35ABF018" w14:textId="77777777" w:rsidR="00277A0F" w:rsidRPr="000A2E14" w:rsidRDefault="00277A0F" w:rsidP="00883039">
            <w:pPr>
              <w:spacing w:line="288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eastAsia="Times New Roman" w:hAnsiTheme="minorHAnsi"/>
                <w:lang w:eastAsia="pl-PL"/>
              </w:rPr>
              <w:t>Płatności pośrednie w latach</w:t>
            </w:r>
          </w:p>
          <w:p w14:paraId="20268886" w14:textId="77777777" w:rsidR="00277A0F" w:rsidRPr="000A2E14" w:rsidRDefault="00277A0F" w:rsidP="00883039">
            <w:pPr>
              <w:spacing w:line="288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eastAsia="Times New Roman" w:hAnsiTheme="minorHAnsi"/>
                <w:lang w:eastAsia="pl-PL"/>
              </w:rPr>
              <w:t>2014 - 2019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1503687" w14:textId="77777777" w:rsidR="00277A0F" w:rsidRPr="000A2E14" w:rsidRDefault="00277A0F" w:rsidP="00883039">
            <w:pPr>
              <w:spacing w:line="288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eastAsia="Times New Roman" w:hAnsiTheme="minorHAnsi"/>
                <w:lang w:eastAsia="pl-PL"/>
              </w:rPr>
              <w:t>W tym płatności pośrednie w roku 2019</w:t>
            </w:r>
          </w:p>
        </w:tc>
      </w:tr>
      <w:tr w:rsidR="00277A0F" w:rsidRPr="000A2E14" w14:paraId="245F59FD" w14:textId="77777777" w:rsidTr="00B2051A">
        <w:trPr>
          <w:trHeight w:hRule="exact" w:val="628"/>
          <w:jc w:val="center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14:paraId="64910CFC" w14:textId="77777777" w:rsidR="00277A0F" w:rsidRPr="000A2E14" w:rsidRDefault="00277A0F" w:rsidP="00883039">
            <w:pPr>
              <w:spacing w:line="288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BAC1928" w14:textId="77777777" w:rsidR="00277A0F" w:rsidRPr="000A2E14" w:rsidRDefault="00277A0F" w:rsidP="00883039">
            <w:pPr>
              <w:spacing w:line="288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4DE5CE" w14:textId="77777777" w:rsidR="00277A0F" w:rsidRPr="000A2E14" w:rsidRDefault="00277A0F" w:rsidP="00883039">
            <w:pPr>
              <w:spacing w:line="288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eastAsia="Times New Roman" w:hAnsiTheme="minorHAnsi"/>
                <w:lang w:eastAsia="pl-PL"/>
              </w:rPr>
              <w:t>Kwota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3B75D43F" w14:textId="18339FF5" w:rsidR="00277A0F" w:rsidRPr="000A2E14" w:rsidRDefault="00B2051A" w:rsidP="00883039">
            <w:pPr>
              <w:spacing w:line="288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eastAsia="Times New Roman" w:hAnsiTheme="minorHAnsi"/>
                <w:lang w:eastAsia="pl-PL"/>
              </w:rPr>
              <w:t>Jako % płatności</w:t>
            </w:r>
            <w:r w:rsidR="00277A0F" w:rsidRPr="000A2E1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14:paraId="325C4882" w14:textId="016379F4" w:rsidR="00277A0F" w:rsidRPr="000A2E14" w:rsidRDefault="00277A0F" w:rsidP="00B2051A">
            <w:pPr>
              <w:spacing w:line="288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eastAsia="Times New Roman" w:hAnsiTheme="minorHAnsi"/>
                <w:lang w:eastAsia="pl-PL"/>
              </w:rPr>
              <w:t>d</w:t>
            </w:r>
            <w:r w:rsidR="00B2051A" w:rsidRPr="000A2E14">
              <w:rPr>
                <w:rFonts w:asciiTheme="minorHAnsi" w:eastAsia="Times New Roman" w:hAnsiTheme="minorHAnsi"/>
                <w:lang w:eastAsia="pl-PL"/>
              </w:rPr>
              <w:t>la</w:t>
            </w:r>
            <w:r w:rsidRPr="000A2E14">
              <w:rPr>
                <w:rFonts w:asciiTheme="minorHAnsi" w:eastAsia="Times New Roman" w:hAnsiTheme="minorHAnsi"/>
                <w:lang w:eastAsia="pl-PL"/>
              </w:rPr>
              <w:t xml:space="preserve"> P.Cz.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95671FB" w14:textId="77777777" w:rsidR="00277A0F" w:rsidRPr="000A2E14" w:rsidRDefault="00277A0F" w:rsidP="00883039">
            <w:pPr>
              <w:spacing w:line="288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D03EC" w:rsidRPr="000A2E14" w14:paraId="7B10B62E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90C1466" w14:textId="62486D03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0A2E14">
              <w:rPr>
                <w:rFonts w:asciiTheme="minorHAnsi" w:hAnsiTheme="minorHAnsi" w:cs="Arial"/>
                <w:b/>
                <w:bCs/>
              </w:rPr>
              <w:t>Polska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796EC" w14:textId="143ED4FD" w:rsidR="00DD03EC" w:rsidRPr="00DD03EC" w:rsidRDefault="00DD03EC" w:rsidP="00DD03EC">
            <w:pPr>
              <w:jc w:val="center"/>
              <w:rPr>
                <w:rFonts w:asciiTheme="minorHAnsi" w:hAnsiTheme="minorHAnsi"/>
                <w:b/>
              </w:rPr>
            </w:pPr>
            <w:r w:rsidRPr="00DD03EC">
              <w:rPr>
                <w:rFonts w:asciiTheme="minorHAnsi" w:hAnsiTheme="minorHAnsi" w:cs="Arial"/>
                <w:b/>
                <w:bCs/>
              </w:rPr>
              <w:t>86 585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5BDF8" w14:textId="75CA2BEF" w:rsidR="00DD03EC" w:rsidRPr="00DD03EC" w:rsidRDefault="00DD03EC" w:rsidP="00DD03EC">
            <w:pPr>
              <w:jc w:val="center"/>
              <w:rPr>
                <w:rFonts w:asciiTheme="minorHAnsi" w:hAnsiTheme="minorHAnsi"/>
                <w:b/>
              </w:rPr>
            </w:pPr>
            <w:r w:rsidRPr="00DD03EC">
              <w:rPr>
                <w:rFonts w:asciiTheme="minorHAnsi" w:hAnsiTheme="minorHAnsi" w:cs="Arial"/>
                <w:b/>
                <w:bCs/>
              </w:rPr>
              <w:t>24 098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DB58B97" w14:textId="0A3F9144" w:rsidR="00DD03EC" w:rsidRPr="00DD03EC" w:rsidRDefault="00DD03EC" w:rsidP="00DD03EC">
            <w:pPr>
              <w:jc w:val="center"/>
              <w:rPr>
                <w:rFonts w:asciiTheme="minorHAnsi" w:hAnsiTheme="minorHAnsi"/>
                <w:b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19%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B8F80C" w14:textId="01C4FCCB" w:rsidR="00DD03EC" w:rsidRPr="00DD03EC" w:rsidRDefault="00DD03EC" w:rsidP="00DD03EC">
            <w:pPr>
              <w:jc w:val="center"/>
              <w:rPr>
                <w:rFonts w:asciiTheme="minorHAnsi" w:hAnsiTheme="minorHAnsi"/>
                <w:b/>
              </w:rPr>
            </w:pPr>
            <w:r w:rsidRPr="00DD03EC">
              <w:rPr>
                <w:rFonts w:asciiTheme="minorHAnsi" w:hAnsiTheme="minorHAnsi" w:cs="Arial"/>
                <w:b/>
                <w:bCs/>
              </w:rPr>
              <w:t>4 425</w:t>
            </w:r>
          </w:p>
        </w:tc>
      </w:tr>
      <w:tr w:rsidR="00DD03EC" w:rsidRPr="000A2E14" w14:paraId="54729211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B29EA09" w14:textId="27CB3B6E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Włochy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447B1" w14:textId="333DFBD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45 327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F24C6" w14:textId="7139F11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9 101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67280BF" w14:textId="7E30E99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C1D770" w14:textId="36A8EAB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2 272</w:t>
            </w:r>
          </w:p>
        </w:tc>
      </w:tr>
      <w:tr w:rsidR="00DD03EC" w:rsidRPr="000A2E14" w14:paraId="5524E0D8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A5A80B9" w14:textId="2A3E72AE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Hiszpania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091E4A" w14:textId="136156B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40 514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BB1A2" w14:textId="3CD067CC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8 787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43A68E5" w14:textId="624285E7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D6F93F" w14:textId="066ED5C7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1 927</w:t>
            </w:r>
          </w:p>
        </w:tc>
      </w:tr>
      <w:tr w:rsidR="00DD03EC" w:rsidRPr="000A2E14" w14:paraId="6C17A21C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2D29B16" w14:textId="272FBF89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Rumunia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943B96" w14:textId="16F3EA7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31 324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EC3DC" w14:textId="36C67F6C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7 350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26C9BA7" w14:textId="106F5F05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9C0925" w14:textId="7150998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1 157</w:t>
            </w:r>
          </w:p>
        </w:tc>
      </w:tr>
      <w:tr w:rsidR="00DD03EC" w:rsidRPr="000A2E14" w14:paraId="6AB02FCF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1B30BEC" w14:textId="5BAB79EE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Niemcy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D5166" w14:textId="7330A18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28 014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888C7" w14:textId="7EB6AA71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8 227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DF40227" w14:textId="14AE845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34D11" w14:textId="4425314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1 699</w:t>
            </w:r>
          </w:p>
        </w:tc>
      </w:tr>
      <w:tr w:rsidR="00DD03EC" w:rsidRPr="000A2E14" w14:paraId="0C42AE55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426FF9B" w14:textId="1593814B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Francja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883E5" w14:textId="7BCE879F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28 022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8D6F0" w14:textId="577812E3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9 542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33A7A80" w14:textId="31865FCB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8%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A34A7" w14:textId="5ADFF52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2 181</w:t>
            </w:r>
          </w:p>
        </w:tc>
      </w:tr>
      <w:tr w:rsidR="00DD03EC" w:rsidRPr="000A2E14" w14:paraId="00D9FB6E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526A72D" w14:textId="16808F02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Portugalia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8614E" w14:textId="24ED72D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26 033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E9E631" w14:textId="6DEC2AB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9 068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730E57A" w14:textId="0802AC79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E066F2" w14:textId="20687C79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1 606</w:t>
            </w:r>
          </w:p>
        </w:tc>
      </w:tr>
      <w:tr w:rsidR="00DD03EC" w:rsidRPr="000A2E14" w14:paraId="6946E97D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8F5033" w14:textId="18A11A20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Węgry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0498EF" w14:textId="23D481DE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25 108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BD70D" w14:textId="1415027F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6 420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925D979" w14:textId="6FC7C0D1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5%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4E94D" w14:textId="0A54F4AB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-168</w:t>
            </w:r>
          </w:p>
        </w:tc>
      </w:tr>
      <w:tr w:rsidR="00DD03EC" w:rsidRPr="000A2E14" w14:paraId="071A2400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0785B4A" w14:textId="72E389D2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Czechy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5321E5" w14:textId="097B974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23 888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7F2E9" w14:textId="4BBCAE1F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6 005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73E8845" w14:textId="2141DCB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5%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E9EAE" w14:textId="3D7D801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1 225</w:t>
            </w:r>
          </w:p>
        </w:tc>
      </w:tr>
      <w:tr w:rsidR="00DD03EC" w:rsidRPr="000A2E14" w14:paraId="53B96A85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0E3BC9D" w14:textId="18575AC9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Grecja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797BF" w14:textId="510E1E3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21 663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54385" w14:textId="2B0D423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5 893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1CC0395" w14:textId="08518729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5%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B242CC" w14:textId="3174A55F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1 055</w:t>
            </w:r>
          </w:p>
        </w:tc>
      </w:tr>
      <w:tr w:rsidR="00DD03EC" w:rsidRPr="000A2E14" w14:paraId="6AF43665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B384510" w14:textId="0A048D1F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Wlk. Brytania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BE3B00" w14:textId="0417F657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16 452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A2DB8" w14:textId="373082F0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4 529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6E8A098" w14:textId="5EFF504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4%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5BC43" w14:textId="3AEB3F0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752</w:t>
            </w:r>
          </w:p>
        </w:tc>
      </w:tr>
      <w:tr w:rsidR="00DD03EC" w:rsidRPr="000A2E14" w14:paraId="231240EE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5D7BBA6" w14:textId="3473C729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Słowacja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6ABFE" w14:textId="5C1F7121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15 315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0FD33" w14:textId="6F498A07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3 320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23E63C5" w14:textId="275D5F1E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3%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65908" w14:textId="392A13A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408</w:t>
            </w:r>
          </w:p>
        </w:tc>
      </w:tr>
      <w:tr w:rsidR="00DD03EC" w:rsidRPr="000A2E14" w14:paraId="4B50D407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E51A6B5" w14:textId="5475FC80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  <w:bCs/>
              </w:rPr>
              <w:t>Chorwacja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522BA" w14:textId="468BDB9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10 764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22385" w14:textId="537CD85E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1 861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FD97929" w14:textId="53D0A822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09FD8C" w14:textId="4EFEE8D9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653</w:t>
            </w:r>
          </w:p>
        </w:tc>
      </w:tr>
      <w:tr w:rsidR="00DD03EC" w:rsidRPr="000A2E14" w14:paraId="0A9346B9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6E2E728" w14:textId="0E4E5E19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Bułgaria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CAE8D5" w14:textId="08FE83C2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9 981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32498" w14:textId="628932E5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2 624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AFC6BE" w14:textId="72711759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833AC" w14:textId="5F399B22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632</w:t>
            </w:r>
          </w:p>
        </w:tc>
      </w:tr>
      <w:tr w:rsidR="00DD03EC" w:rsidRPr="000A2E14" w14:paraId="5A0755E1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F0CD6C9" w14:textId="6F3AE8C7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 w:cs="Arial"/>
              </w:rPr>
              <w:t>Współpraca terytorialna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8C3F9" w14:textId="0F5096E2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9 410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2F0F7" w14:textId="5638142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1 489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302EE7A" w14:textId="5DB378F0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838162" w14:textId="55313920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479</w:t>
            </w:r>
          </w:p>
        </w:tc>
      </w:tr>
      <w:tr w:rsidR="00DD03EC" w:rsidRPr="000A2E14" w14:paraId="6BD96109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6768B4D" w14:textId="1AB0AE9F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Litwa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CAFEC2" w14:textId="5441308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8 513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C46FF" w14:textId="1BFFB731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2 664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05C7B7C" w14:textId="39D7A3FC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F9E52A" w14:textId="371A122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317</w:t>
            </w:r>
          </w:p>
        </w:tc>
      </w:tr>
      <w:tr w:rsidR="00DD03EC" w:rsidRPr="000A2E14" w14:paraId="3E8C9FB3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D6C8A56" w14:textId="5A3A61D1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Łotwa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03C6A8" w14:textId="4A845D1C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5 675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8E476" w14:textId="1591264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1 849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8915D01" w14:textId="63A77BD9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A9DCE8" w14:textId="5FE4512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590</w:t>
            </w:r>
          </w:p>
        </w:tc>
      </w:tr>
      <w:tr w:rsidR="00DD03EC" w:rsidRPr="000A2E14" w14:paraId="1BE58E8E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3D773C4" w14:textId="7714620D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Austria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0E298" w14:textId="0602DFF7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4 941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1CA7E" w14:textId="1315ED3E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2 323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042258D" w14:textId="35FC608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79400" w14:textId="235221A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400</w:t>
            </w:r>
          </w:p>
        </w:tc>
      </w:tr>
      <w:tr w:rsidR="00DD03EC" w:rsidRPr="000A2E14" w14:paraId="35A802BC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09AAD29" w14:textId="1B816CC4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Estonia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F1D3FC" w14:textId="1F80D136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4 432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E5F6F" w14:textId="51A38F2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1 570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F800CF3" w14:textId="6755A45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7DA821" w14:textId="27A5822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273</w:t>
            </w:r>
          </w:p>
        </w:tc>
      </w:tr>
      <w:tr w:rsidR="00DD03EC" w:rsidRPr="000A2E14" w14:paraId="039B1BA0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97DACCF" w14:textId="246E4931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Słowenia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5B31C1" w14:textId="26EC2CE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3 951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08791" w14:textId="661CC4A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1 019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1AD7FF8" w14:textId="43688075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33313" w14:textId="0C391043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256</w:t>
            </w:r>
          </w:p>
        </w:tc>
      </w:tr>
      <w:tr w:rsidR="00DD03EC" w:rsidRPr="000A2E14" w14:paraId="49585DA7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07F73AF" w14:textId="45C105A6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Finlandia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5E101" w14:textId="7F2DF929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3 788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5DADF" w14:textId="58E12050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2 071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47A925A" w14:textId="0429C1C1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4D4B8D" w14:textId="3BAC3AD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236</w:t>
            </w:r>
          </w:p>
        </w:tc>
      </w:tr>
      <w:tr w:rsidR="00DD03EC" w:rsidRPr="000A2E14" w14:paraId="5F3AC2FD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E0DAC34" w14:textId="18B8A9AA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Szwecja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942D3E" w14:textId="00954626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3 635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88202" w14:textId="0E22344B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1 383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DC06271" w14:textId="2488DC97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D491D" w14:textId="156FB5B9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278</w:t>
            </w:r>
          </w:p>
        </w:tc>
      </w:tr>
      <w:tr w:rsidR="00DD03EC" w:rsidRPr="000A2E14" w14:paraId="0F626EC8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C573BA6" w14:textId="16BD2795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Irlandia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8440A" w14:textId="534B0C31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3 384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733D7" w14:textId="32951DBC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1 574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50C6A6A" w14:textId="7DD06C1D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B3DE5" w14:textId="3DE00FC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194</w:t>
            </w:r>
          </w:p>
        </w:tc>
      </w:tr>
      <w:tr w:rsidR="00DD03EC" w:rsidRPr="000A2E14" w14:paraId="3CCBB42B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E40BA69" w14:textId="184DD96F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Belgia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3C1A20" w14:textId="0F55DD8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2 816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2F825" w14:textId="31FD8A6B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755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2B677F6" w14:textId="23874765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0,6%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24EE02" w14:textId="55842A0C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155</w:t>
            </w:r>
          </w:p>
        </w:tc>
      </w:tr>
      <w:tr w:rsidR="00DD03EC" w:rsidRPr="000A2E14" w14:paraId="782DB946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DCBAFC2" w14:textId="23EBA35E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Holandia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229306" w14:textId="2CC2DC51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1 951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F163C" w14:textId="4D3DB1B8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575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FB4D975" w14:textId="3C53D9B5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0,5%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07394A" w14:textId="1386F072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137</w:t>
            </w:r>
          </w:p>
        </w:tc>
      </w:tr>
      <w:tr w:rsidR="00DD03EC" w:rsidRPr="000A2E14" w14:paraId="06D726DE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D29BA21" w14:textId="531E6B9F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Dania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635AB" w14:textId="667101E0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1 551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5A501" w14:textId="7D475540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466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72806EF" w14:textId="3B2172B0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0,4%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9EC423" w14:textId="73D4A2EC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94</w:t>
            </w:r>
          </w:p>
        </w:tc>
      </w:tr>
      <w:tr w:rsidR="00DD03EC" w:rsidRPr="000A2E14" w14:paraId="5D0D547F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6FAD650" w14:textId="1CF5DBB3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Cypr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FC6F5C" w14:textId="762917D4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921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91461" w14:textId="64D1F64B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333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89FC605" w14:textId="3E562046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0,3%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7CA687" w14:textId="4F4254AE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70</w:t>
            </w:r>
          </w:p>
        </w:tc>
      </w:tr>
      <w:tr w:rsidR="00DD03EC" w:rsidRPr="000A2E14" w14:paraId="4A5332CF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36F629A" w14:textId="11E38290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Malta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69F50" w14:textId="1ED1ED63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832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A9315" w14:textId="10094F25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202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FA9705B" w14:textId="0C702403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0,2%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84A32" w14:textId="5091B74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81</w:t>
            </w:r>
          </w:p>
        </w:tc>
      </w:tr>
      <w:tr w:rsidR="00DD03EC" w:rsidRPr="000A2E14" w14:paraId="571DC3B8" w14:textId="77777777" w:rsidTr="00B2051A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4D11673" w14:textId="32C89B53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  <w:r w:rsidRPr="000A2E14">
              <w:rPr>
                <w:rFonts w:asciiTheme="minorHAnsi" w:hAnsiTheme="minorHAnsi" w:cs="Arial"/>
              </w:rPr>
              <w:t>Luksemburg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571F29" w14:textId="632345A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3123A" w14:textId="093FA275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70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6EF2CF7" w14:textId="0BE5025A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0,1%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9CB6CE" w14:textId="4001F482" w:rsidR="00DD03EC" w:rsidRPr="00DD03EC" w:rsidRDefault="00DD03EC" w:rsidP="00DD03EC">
            <w:pPr>
              <w:jc w:val="center"/>
              <w:rPr>
                <w:rFonts w:asciiTheme="minorHAnsi" w:hAnsiTheme="minorHAnsi"/>
              </w:rPr>
            </w:pPr>
            <w:r w:rsidRPr="00DD03EC">
              <w:rPr>
                <w:rFonts w:asciiTheme="minorHAnsi" w:hAnsiTheme="minorHAnsi" w:cs="Arial"/>
              </w:rPr>
              <w:t>12</w:t>
            </w:r>
          </w:p>
        </w:tc>
      </w:tr>
      <w:tr w:rsidR="00DD03EC" w:rsidRPr="000A2E14" w14:paraId="2C88A810" w14:textId="77777777" w:rsidTr="00B2051A">
        <w:trPr>
          <w:trHeight w:hRule="exact" w:val="397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2BEA3D3E" w14:textId="492F890F" w:rsidR="00DD03EC" w:rsidRPr="000A2E14" w:rsidRDefault="00DD03EC" w:rsidP="00DD03EC">
            <w:pPr>
              <w:spacing w:line="264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0A2E14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3C2D5E" w14:textId="7FBA229F" w:rsidR="00DD03EC" w:rsidRPr="00DD03EC" w:rsidRDefault="00DD03EC" w:rsidP="00DD03EC">
            <w:pPr>
              <w:jc w:val="center"/>
              <w:rPr>
                <w:rFonts w:asciiTheme="minorHAnsi" w:hAnsiTheme="minorHAnsi"/>
                <w:b/>
              </w:rPr>
            </w:pPr>
            <w:r w:rsidRPr="00DD03EC">
              <w:rPr>
                <w:rFonts w:asciiTheme="minorHAnsi" w:hAnsiTheme="minorHAnsi" w:cs="Arial"/>
                <w:b/>
                <w:bCs/>
              </w:rPr>
              <w:t>464 934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551AE" w14:textId="01AD2846" w:rsidR="00DD03EC" w:rsidRPr="00DD03EC" w:rsidRDefault="00DD03EC" w:rsidP="00DD03EC">
            <w:pPr>
              <w:jc w:val="center"/>
              <w:rPr>
                <w:rFonts w:asciiTheme="minorHAnsi" w:hAnsiTheme="minorHAnsi"/>
                <w:b/>
              </w:rPr>
            </w:pPr>
            <w:r w:rsidRPr="00DD03EC">
              <w:rPr>
                <w:rFonts w:asciiTheme="minorHAnsi" w:hAnsiTheme="minorHAnsi" w:cs="Arial"/>
                <w:b/>
                <w:bCs/>
              </w:rPr>
              <w:t>125 168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83B5495" w14:textId="634C8D0C" w:rsidR="00DD03EC" w:rsidRPr="00DD03EC" w:rsidRDefault="00DD03EC" w:rsidP="00DD03EC">
            <w:pPr>
              <w:jc w:val="center"/>
              <w:rPr>
                <w:rFonts w:asciiTheme="minorHAnsi" w:hAnsiTheme="minorHAnsi"/>
                <w:b/>
              </w:rPr>
            </w:pPr>
            <w:r w:rsidRPr="00DD03EC">
              <w:rPr>
                <w:rFonts w:asciiTheme="minorHAnsi" w:hAnsiTheme="minorHAnsi" w:cs="Arial"/>
                <w:color w:val="000000"/>
              </w:rPr>
              <w:t>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289FD6" w14:textId="4F0CC1D9" w:rsidR="00DD03EC" w:rsidRPr="00DD03EC" w:rsidRDefault="00DD03EC" w:rsidP="00DD03EC">
            <w:pPr>
              <w:jc w:val="center"/>
              <w:rPr>
                <w:rFonts w:asciiTheme="minorHAnsi" w:hAnsiTheme="minorHAnsi"/>
                <w:b/>
              </w:rPr>
            </w:pPr>
            <w:r w:rsidRPr="00DD03EC">
              <w:rPr>
                <w:rFonts w:asciiTheme="minorHAnsi" w:hAnsiTheme="minorHAnsi" w:cs="Arial"/>
                <w:b/>
                <w:bCs/>
              </w:rPr>
              <w:t>23 396</w:t>
            </w:r>
          </w:p>
        </w:tc>
      </w:tr>
    </w:tbl>
    <w:p w14:paraId="1652430E" w14:textId="77777777" w:rsidR="00B10C15" w:rsidRPr="000A2E14" w:rsidRDefault="00B10C15" w:rsidP="00871FB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6"/>
          <w:szCs w:val="6"/>
          <w:u w:val="single"/>
        </w:rPr>
      </w:pPr>
    </w:p>
    <w:sectPr w:rsidR="00B10C15" w:rsidRPr="000A2E14" w:rsidSect="008B7DF0">
      <w:footerReference w:type="default" r:id="rId8"/>
      <w:footerReference w:type="first" r:id="rId9"/>
      <w:pgSz w:w="11900" w:h="16840"/>
      <w:pgMar w:top="1701" w:right="1268" w:bottom="1701" w:left="1418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E929" w14:textId="77777777" w:rsidR="00F05531" w:rsidRDefault="00F05531">
      <w:r>
        <w:separator/>
      </w:r>
    </w:p>
  </w:endnote>
  <w:endnote w:type="continuationSeparator" w:id="0">
    <w:p w14:paraId="141899BE" w14:textId="77777777" w:rsidR="00F05531" w:rsidRDefault="00F0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570D" w14:textId="77777777" w:rsidR="00EC4763" w:rsidRDefault="00EC4763" w:rsidP="004B7AFD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626881">
      <w:rPr>
        <w:rFonts w:ascii="Arial" w:hAnsi="Arial" w:cs="Arial"/>
        <w:noProof/>
        <w:color w:val="7F7F7F"/>
        <w:sz w:val="16"/>
        <w:szCs w:val="16"/>
      </w:rPr>
      <w:t>4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054E7C19" w14:textId="77777777" w:rsidR="00EC4763" w:rsidRDefault="00EC47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F16C" w14:textId="1C6025A5" w:rsidR="00EC4763" w:rsidRDefault="00EC476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B14063" wp14:editId="2D2BD133">
              <wp:simplePos x="0" y="0"/>
              <wp:positionH relativeFrom="column">
                <wp:posOffset>-9884</wp:posOffset>
              </wp:positionH>
              <wp:positionV relativeFrom="paragraph">
                <wp:posOffset>176530</wp:posOffset>
              </wp:positionV>
              <wp:extent cx="5837003" cy="291465"/>
              <wp:effectExtent l="0" t="0" r="11430" b="133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7003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2A76A" w14:textId="3416D8B5" w:rsidR="00EC4763" w:rsidRPr="00A5084F" w:rsidRDefault="00EC4763" w:rsidP="007454B7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  <w:r w:rsidRPr="00731DF8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O</w:t>
                          </w:r>
                          <w:bookmarkStart w:id="1" w:name="ezdAutorNazwa"/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pracowanie: </w:t>
                          </w:r>
                          <w:r w:rsidRPr="00731DF8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Bernard Rumowski</w:t>
                          </w:r>
                          <w:bookmarkStart w:id="2" w:name="ezdAutorStanowisko"/>
                          <w:bookmarkEnd w:id="1"/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|</w:t>
                          </w:r>
                          <w:bookmarkEnd w:id="2"/>
                          <w:r w:rsidRPr="00731DF8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Departam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>ent Współpracy Międzynarodowej</w:t>
                          </w:r>
                          <w:r w:rsidRPr="00A5084F"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EF2644" w14:textId="2AB58005" w:rsidR="00EC4763" w:rsidRPr="00A5084F" w:rsidRDefault="00EC4763" w:rsidP="004B7AFD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140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8pt;margin-top:13.9pt;width:459.6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PhoQIAAJc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" filled="f" stroked="f">
              <v:textbox inset="0,0,0,0">
                <w:txbxContent>
                  <w:p w14:paraId="5182A76A" w14:textId="3416D8B5" w:rsidR="00EC4763" w:rsidRPr="00A5084F" w:rsidRDefault="00EC4763" w:rsidP="007454B7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  <w:r w:rsidRPr="00731DF8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O</w:t>
                    </w:r>
                    <w:bookmarkStart w:id="3" w:name="ezdAutorNazwa"/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pracowanie: </w:t>
                    </w:r>
                    <w:r w:rsidRPr="00731DF8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Bernard Rumowski</w:t>
                    </w:r>
                    <w:bookmarkStart w:id="4" w:name="ezdAutorStanowisko"/>
                    <w:bookmarkEnd w:id="3"/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|</w:t>
                    </w:r>
                    <w:bookmarkEnd w:id="4"/>
                    <w:r w:rsidRPr="00731DF8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Departam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>ent Współpracy Międzynarodowej</w:t>
                    </w:r>
                    <w:r w:rsidRPr="00A5084F"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</w:p>
                  <w:p w14:paraId="0BEF2644" w14:textId="2AB58005" w:rsidR="00EC4763" w:rsidRPr="00A5084F" w:rsidRDefault="00EC4763" w:rsidP="004B7AFD">
                    <w:pP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96287F1" wp14:editId="050568AC">
          <wp:simplePos x="0" y="0"/>
          <wp:positionH relativeFrom="column">
            <wp:posOffset>-5080</wp:posOffset>
          </wp:positionH>
          <wp:positionV relativeFrom="paragraph">
            <wp:posOffset>-262890</wp:posOffset>
          </wp:positionV>
          <wp:extent cx="457200" cy="438150"/>
          <wp:effectExtent l="0" t="0" r="0" b="0"/>
          <wp:wrapNone/>
          <wp:docPr id="10" name="Picture 8" descr="mf logo dl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f logo dla pi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CCF25" wp14:editId="3B8D4B7A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24F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OiZ78k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69EEA" w14:textId="77777777" w:rsidR="00F05531" w:rsidRDefault="00F05531">
      <w:r>
        <w:separator/>
      </w:r>
    </w:p>
  </w:footnote>
  <w:footnote w:type="continuationSeparator" w:id="0">
    <w:p w14:paraId="3B33B12A" w14:textId="77777777" w:rsidR="00F05531" w:rsidRDefault="00F05531">
      <w:r>
        <w:continuationSeparator/>
      </w:r>
    </w:p>
  </w:footnote>
  <w:footnote w:id="1">
    <w:p w14:paraId="71D785F5" w14:textId="77777777" w:rsidR="00EC4763" w:rsidRPr="009B7BF7" w:rsidRDefault="00EC4763" w:rsidP="00F6547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B7BF7">
        <w:rPr>
          <w:rFonts w:asciiTheme="minorHAnsi" w:hAnsiTheme="minorHAnsi"/>
          <w:sz w:val="18"/>
          <w:szCs w:val="18"/>
          <w:vertAlign w:val="superscript"/>
        </w:rPr>
        <w:footnoteRef/>
      </w:r>
      <w:r w:rsidRPr="009B7BF7">
        <w:rPr>
          <w:rFonts w:asciiTheme="minorHAnsi" w:hAnsiTheme="minorHAnsi"/>
          <w:sz w:val="18"/>
          <w:szCs w:val="18"/>
        </w:rPr>
        <w:t xml:space="preserve"> Np. państwa kandydujące, potencjalnie kandydujące oraz objęte europejską polityką sąsiedztwa.</w:t>
      </w:r>
    </w:p>
  </w:footnote>
  <w:footnote w:id="2">
    <w:p w14:paraId="743AF76B" w14:textId="50419174" w:rsidR="00EC4763" w:rsidRPr="00752A1C" w:rsidRDefault="00EC4763" w:rsidP="00F654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B7BF7">
        <w:rPr>
          <w:rFonts w:asciiTheme="minorHAnsi" w:hAnsiTheme="minorHAnsi"/>
          <w:sz w:val="18"/>
          <w:szCs w:val="18"/>
          <w:vertAlign w:val="superscript"/>
        </w:rPr>
        <w:footnoteRef/>
      </w:r>
      <w:r w:rsidRPr="009B7BF7">
        <w:rPr>
          <w:rFonts w:asciiTheme="minorHAnsi" w:hAnsiTheme="minorHAnsi"/>
          <w:sz w:val="18"/>
          <w:szCs w:val="18"/>
        </w:rPr>
        <w:t xml:space="preserve"> Dokument COM(2019)324 </w:t>
      </w:r>
      <w:proofErr w:type="spellStart"/>
      <w:r w:rsidRPr="009B7BF7">
        <w:rPr>
          <w:rFonts w:asciiTheme="minorHAnsi" w:hAnsiTheme="minorHAnsi"/>
          <w:sz w:val="18"/>
          <w:szCs w:val="18"/>
        </w:rPr>
        <w:t>final</w:t>
      </w:r>
      <w:proofErr w:type="spellEnd"/>
      <w:r w:rsidR="00543FB5">
        <w:rPr>
          <w:rFonts w:asciiTheme="minorHAnsi" w:hAnsiTheme="minorHAnsi"/>
          <w:sz w:val="18"/>
          <w:szCs w:val="18"/>
        </w:rPr>
        <w:t>.</w:t>
      </w:r>
      <w:r w:rsidRPr="00752A1C">
        <w:rPr>
          <w:sz w:val="18"/>
          <w:szCs w:val="18"/>
        </w:rPr>
        <w:t xml:space="preserve"> </w:t>
      </w:r>
    </w:p>
  </w:footnote>
  <w:footnote w:id="3">
    <w:p w14:paraId="2E60D75C" w14:textId="77777777" w:rsidR="00EC4763" w:rsidRPr="00747856" w:rsidRDefault="00EC4763" w:rsidP="00277A0F">
      <w:pPr>
        <w:jc w:val="both"/>
        <w:rPr>
          <w:rFonts w:asciiTheme="minorHAnsi" w:hAnsiTheme="minorHAnsi"/>
          <w:sz w:val="16"/>
          <w:szCs w:val="16"/>
        </w:rPr>
      </w:pPr>
      <w:r w:rsidRPr="00F34DC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34DCF">
        <w:rPr>
          <w:rFonts w:asciiTheme="minorHAnsi" w:hAnsiTheme="minorHAnsi"/>
          <w:sz w:val="18"/>
          <w:szCs w:val="18"/>
        </w:rPr>
        <w:t xml:space="preserve"> </w:t>
      </w:r>
      <w:r w:rsidRPr="00747856">
        <w:rPr>
          <w:rFonts w:asciiTheme="minorHAnsi" w:hAnsiTheme="minorHAnsi"/>
          <w:sz w:val="18"/>
          <w:szCs w:val="18"/>
        </w:rPr>
        <w:t>Europejski Fundusz Rozwoju Regionalnego, Europejski Fundusz Społeczny, Fundusz Spójności, Europejski Fundusz Rolny na rzecz Rozwoju Obszarów Wiejskich oraz Europejski Fundusz Morski i Rybacki.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B43"/>
    <w:multiLevelType w:val="hybridMultilevel"/>
    <w:tmpl w:val="AC36FFA8"/>
    <w:lvl w:ilvl="0" w:tplc="97D43D80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3E0"/>
    <w:multiLevelType w:val="multilevel"/>
    <w:tmpl w:val="9A3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22D5D"/>
    <w:multiLevelType w:val="hybridMultilevel"/>
    <w:tmpl w:val="EAF2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F1C"/>
    <w:multiLevelType w:val="hybridMultilevel"/>
    <w:tmpl w:val="37DA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F46"/>
    <w:multiLevelType w:val="hybridMultilevel"/>
    <w:tmpl w:val="52B2FD6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AEE43E3"/>
    <w:multiLevelType w:val="hybridMultilevel"/>
    <w:tmpl w:val="68E0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1B80396D"/>
    <w:multiLevelType w:val="hybridMultilevel"/>
    <w:tmpl w:val="BA643E02"/>
    <w:lvl w:ilvl="0" w:tplc="A3CA0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4F0"/>
    <w:multiLevelType w:val="hybridMultilevel"/>
    <w:tmpl w:val="EEEEB882"/>
    <w:lvl w:ilvl="0" w:tplc="04150001">
      <w:start w:val="9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027"/>
    <w:multiLevelType w:val="hybridMultilevel"/>
    <w:tmpl w:val="6DD2955E"/>
    <w:lvl w:ilvl="0" w:tplc="5D24A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7A84"/>
    <w:multiLevelType w:val="hybridMultilevel"/>
    <w:tmpl w:val="C1124830"/>
    <w:lvl w:ilvl="0" w:tplc="5C50D1F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630B"/>
    <w:multiLevelType w:val="hybridMultilevel"/>
    <w:tmpl w:val="F2821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7544E8"/>
    <w:multiLevelType w:val="hybridMultilevel"/>
    <w:tmpl w:val="A65CA91C"/>
    <w:lvl w:ilvl="0" w:tplc="0415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62FA"/>
    <w:multiLevelType w:val="hybridMultilevel"/>
    <w:tmpl w:val="CA1085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5714D0"/>
    <w:multiLevelType w:val="hybridMultilevel"/>
    <w:tmpl w:val="2AFC4F2C"/>
    <w:lvl w:ilvl="0" w:tplc="7310A82C">
      <w:numFmt w:val="bullet"/>
      <w:lvlText w:val="•"/>
      <w:lvlJc w:val="left"/>
      <w:pPr>
        <w:ind w:left="780" w:hanging="42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B5AEC"/>
    <w:multiLevelType w:val="hybridMultilevel"/>
    <w:tmpl w:val="18BC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55E5"/>
    <w:multiLevelType w:val="hybridMultilevel"/>
    <w:tmpl w:val="D450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F4573"/>
    <w:multiLevelType w:val="hybridMultilevel"/>
    <w:tmpl w:val="1374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C0820"/>
    <w:multiLevelType w:val="hybridMultilevel"/>
    <w:tmpl w:val="D56E975C"/>
    <w:lvl w:ilvl="0" w:tplc="E9CAA1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02429"/>
    <w:multiLevelType w:val="hybridMultilevel"/>
    <w:tmpl w:val="FB32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12343"/>
    <w:multiLevelType w:val="hybridMultilevel"/>
    <w:tmpl w:val="F564A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FC6F88"/>
    <w:multiLevelType w:val="multilevel"/>
    <w:tmpl w:val="FB8CE2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4EEF68D0"/>
    <w:multiLevelType w:val="hybridMultilevel"/>
    <w:tmpl w:val="65EC88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731E0F"/>
    <w:multiLevelType w:val="hybridMultilevel"/>
    <w:tmpl w:val="ABFC5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01607"/>
    <w:multiLevelType w:val="hybridMultilevel"/>
    <w:tmpl w:val="6940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F7654"/>
    <w:multiLevelType w:val="hybridMultilevel"/>
    <w:tmpl w:val="A70A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6646"/>
    <w:multiLevelType w:val="hybridMultilevel"/>
    <w:tmpl w:val="C93806D2"/>
    <w:lvl w:ilvl="0" w:tplc="61D6C3CA">
      <w:start w:val="1"/>
      <w:numFmt w:val="lowerRoman"/>
      <w:lvlText w:val="%1)"/>
      <w:lvlJc w:val="left"/>
      <w:pPr>
        <w:ind w:left="773" w:hanging="720"/>
      </w:pPr>
    </w:lvl>
    <w:lvl w:ilvl="1" w:tplc="04150019">
      <w:start w:val="1"/>
      <w:numFmt w:val="lowerLetter"/>
      <w:lvlText w:val="%2."/>
      <w:lvlJc w:val="left"/>
      <w:pPr>
        <w:ind w:left="1133" w:hanging="360"/>
      </w:pPr>
    </w:lvl>
    <w:lvl w:ilvl="2" w:tplc="0415001B">
      <w:start w:val="1"/>
      <w:numFmt w:val="lowerRoman"/>
      <w:lvlText w:val="%3."/>
      <w:lvlJc w:val="right"/>
      <w:pPr>
        <w:ind w:left="1853" w:hanging="180"/>
      </w:pPr>
    </w:lvl>
    <w:lvl w:ilvl="3" w:tplc="0415000F">
      <w:start w:val="1"/>
      <w:numFmt w:val="decimal"/>
      <w:lvlText w:val="%4."/>
      <w:lvlJc w:val="left"/>
      <w:pPr>
        <w:ind w:left="2573" w:hanging="360"/>
      </w:pPr>
    </w:lvl>
    <w:lvl w:ilvl="4" w:tplc="04150019">
      <w:start w:val="1"/>
      <w:numFmt w:val="lowerLetter"/>
      <w:lvlText w:val="%5."/>
      <w:lvlJc w:val="left"/>
      <w:pPr>
        <w:ind w:left="3293" w:hanging="360"/>
      </w:pPr>
    </w:lvl>
    <w:lvl w:ilvl="5" w:tplc="0415001B">
      <w:start w:val="1"/>
      <w:numFmt w:val="lowerRoman"/>
      <w:lvlText w:val="%6."/>
      <w:lvlJc w:val="right"/>
      <w:pPr>
        <w:ind w:left="4013" w:hanging="180"/>
      </w:pPr>
    </w:lvl>
    <w:lvl w:ilvl="6" w:tplc="0415000F">
      <w:start w:val="1"/>
      <w:numFmt w:val="decimal"/>
      <w:lvlText w:val="%7."/>
      <w:lvlJc w:val="left"/>
      <w:pPr>
        <w:ind w:left="4733" w:hanging="360"/>
      </w:pPr>
    </w:lvl>
    <w:lvl w:ilvl="7" w:tplc="04150019">
      <w:start w:val="1"/>
      <w:numFmt w:val="lowerLetter"/>
      <w:lvlText w:val="%8."/>
      <w:lvlJc w:val="left"/>
      <w:pPr>
        <w:ind w:left="5453" w:hanging="360"/>
      </w:pPr>
    </w:lvl>
    <w:lvl w:ilvl="8" w:tplc="0415001B">
      <w:start w:val="1"/>
      <w:numFmt w:val="lowerRoman"/>
      <w:lvlText w:val="%9."/>
      <w:lvlJc w:val="right"/>
      <w:pPr>
        <w:ind w:left="6173" w:hanging="180"/>
      </w:pPr>
    </w:lvl>
  </w:abstractNum>
  <w:abstractNum w:abstractNumId="27" w15:restartNumberingAfterBreak="0">
    <w:nsid w:val="571C0785"/>
    <w:multiLevelType w:val="hybridMultilevel"/>
    <w:tmpl w:val="4F86592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585C7700"/>
    <w:multiLevelType w:val="hybridMultilevel"/>
    <w:tmpl w:val="25C2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44585"/>
    <w:multiLevelType w:val="hybridMultilevel"/>
    <w:tmpl w:val="6FD6CF74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603F12F8"/>
    <w:multiLevelType w:val="hybridMultilevel"/>
    <w:tmpl w:val="EEFCD328"/>
    <w:name w:val="List Dash__1"/>
    <w:lvl w:ilvl="0" w:tplc="FFFFFFFF">
      <w:start w:val="4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i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67802"/>
    <w:multiLevelType w:val="hybridMultilevel"/>
    <w:tmpl w:val="81B4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71DAB"/>
    <w:multiLevelType w:val="hybridMultilevel"/>
    <w:tmpl w:val="9DDCA0F4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F2B05E1"/>
    <w:multiLevelType w:val="hybridMultilevel"/>
    <w:tmpl w:val="81308FD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6F891B6E"/>
    <w:multiLevelType w:val="hybridMultilevel"/>
    <w:tmpl w:val="5336C872"/>
    <w:lvl w:ilvl="0" w:tplc="E9CAA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61FFA"/>
    <w:multiLevelType w:val="hybridMultilevel"/>
    <w:tmpl w:val="C80E3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B3453"/>
    <w:multiLevelType w:val="hybridMultilevel"/>
    <w:tmpl w:val="0DD27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84467"/>
    <w:multiLevelType w:val="hybridMultilevel"/>
    <w:tmpl w:val="E7E4D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C65322"/>
    <w:multiLevelType w:val="hybridMultilevel"/>
    <w:tmpl w:val="E74E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8650A"/>
    <w:multiLevelType w:val="hybridMultilevel"/>
    <w:tmpl w:val="0728FC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C4048"/>
    <w:multiLevelType w:val="hybridMultilevel"/>
    <w:tmpl w:val="F352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47E6"/>
    <w:multiLevelType w:val="hybridMultilevel"/>
    <w:tmpl w:val="0916F9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41"/>
  </w:num>
  <w:num w:numId="5">
    <w:abstractNumId w:val="9"/>
  </w:num>
  <w:num w:numId="6">
    <w:abstractNumId w:val="29"/>
  </w:num>
  <w:num w:numId="7">
    <w:abstractNumId w:val="28"/>
  </w:num>
  <w:num w:numId="8">
    <w:abstractNumId w:val="2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31"/>
  </w:num>
  <w:num w:numId="16">
    <w:abstractNumId w:val="7"/>
  </w:num>
  <w:num w:numId="17">
    <w:abstractNumId w:val="2"/>
  </w:num>
  <w:num w:numId="18">
    <w:abstractNumId w:val="24"/>
  </w:num>
  <w:num w:numId="19">
    <w:abstractNumId w:val="0"/>
  </w:num>
  <w:num w:numId="20">
    <w:abstractNumId w:val="3"/>
  </w:num>
  <w:num w:numId="21">
    <w:abstractNumId w:val="32"/>
  </w:num>
  <w:num w:numId="22">
    <w:abstractNumId w:val="35"/>
  </w:num>
  <w:num w:numId="23">
    <w:abstractNumId w:val="2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2"/>
  </w:num>
  <w:num w:numId="27">
    <w:abstractNumId w:val="5"/>
  </w:num>
  <w:num w:numId="28">
    <w:abstractNumId w:val="15"/>
  </w:num>
  <w:num w:numId="29">
    <w:abstractNumId w:val="40"/>
  </w:num>
  <w:num w:numId="30">
    <w:abstractNumId w:val="25"/>
  </w:num>
  <w:num w:numId="31">
    <w:abstractNumId w:val="4"/>
  </w:num>
  <w:num w:numId="32">
    <w:abstractNumId w:val="21"/>
  </w:num>
  <w:num w:numId="33">
    <w:abstractNumId w:val="13"/>
  </w:num>
  <w:num w:numId="34">
    <w:abstractNumId w:val="34"/>
  </w:num>
  <w:num w:numId="35">
    <w:abstractNumId w:val="1"/>
  </w:num>
  <w:num w:numId="36">
    <w:abstractNumId w:val="18"/>
  </w:num>
  <w:num w:numId="37">
    <w:abstractNumId w:val="16"/>
  </w:num>
  <w:num w:numId="38">
    <w:abstractNumId w:val="19"/>
  </w:num>
  <w:num w:numId="39">
    <w:abstractNumId w:val="14"/>
  </w:num>
  <w:num w:numId="40">
    <w:abstractNumId w:val="20"/>
  </w:num>
  <w:num w:numId="41">
    <w:abstractNumId w:val="39"/>
  </w:num>
  <w:num w:numId="42">
    <w:abstractNumId w:val="8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9"/>
  <w:drawingGridVerticalSpacing w:val="357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A"/>
    <w:rsid w:val="0000102D"/>
    <w:rsid w:val="00001A35"/>
    <w:rsid w:val="00002476"/>
    <w:rsid w:val="00002A53"/>
    <w:rsid w:val="000048D7"/>
    <w:rsid w:val="00010093"/>
    <w:rsid w:val="00010D05"/>
    <w:rsid w:val="0001104E"/>
    <w:rsid w:val="00011EA1"/>
    <w:rsid w:val="00011F31"/>
    <w:rsid w:val="000121D2"/>
    <w:rsid w:val="000123A8"/>
    <w:rsid w:val="00013029"/>
    <w:rsid w:val="0001533F"/>
    <w:rsid w:val="00015857"/>
    <w:rsid w:val="0001695A"/>
    <w:rsid w:val="00016E53"/>
    <w:rsid w:val="00016EB6"/>
    <w:rsid w:val="00017672"/>
    <w:rsid w:val="0002071E"/>
    <w:rsid w:val="00022218"/>
    <w:rsid w:val="00022251"/>
    <w:rsid w:val="0002263E"/>
    <w:rsid w:val="000234D4"/>
    <w:rsid w:val="000272C7"/>
    <w:rsid w:val="000275F0"/>
    <w:rsid w:val="00027DBD"/>
    <w:rsid w:val="000310A7"/>
    <w:rsid w:val="000322C4"/>
    <w:rsid w:val="00032E6A"/>
    <w:rsid w:val="0003363B"/>
    <w:rsid w:val="00034845"/>
    <w:rsid w:val="000367EF"/>
    <w:rsid w:val="00040793"/>
    <w:rsid w:val="000412B4"/>
    <w:rsid w:val="00041880"/>
    <w:rsid w:val="00042DE5"/>
    <w:rsid w:val="000431B8"/>
    <w:rsid w:val="000431CF"/>
    <w:rsid w:val="00045B2D"/>
    <w:rsid w:val="000503A6"/>
    <w:rsid w:val="00052123"/>
    <w:rsid w:val="000532A6"/>
    <w:rsid w:val="00053503"/>
    <w:rsid w:val="000544C6"/>
    <w:rsid w:val="000545D6"/>
    <w:rsid w:val="000565AD"/>
    <w:rsid w:val="00061D9D"/>
    <w:rsid w:val="000631C3"/>
    <w:rsid w:val="000676C4"/>
    <w:rsid w:val="00067A28"/>
    <w:rsid w:val="00071DCE"/>
    <w:rsid w:val="00074F4E"/>
    <w:rsid w:val="00075D50"/>
    <w:rsid w:val="0007621C"/>
    <w:rsid w:val="000820B5"/>
    <w:rsid w:val="000830BB"/>
    <w:rsid w:val="00086F03"/>
    <w:rsid w:val="00087DA6"/>
    <w:rsid w:val="00092D76"/>
    <w:rsid w:val="00093020"/>
    <w:rsid w:val="00094F39"/>
    <w:rsid w:val="00096BC2"/>
    <w:rsid w:val="000A0A58"/>
    <w:rsid w:val="000A0D29"/>
    <w:rsid w:val="000A2E14"/>
    <w:rsid w:val="000A5C32"/>
    <w:rsid w:val="000A72F8"/>
    <w:rsid w:val="000B127A"/>
    <w:rsid w:val="000B1B82"/>
    <w:rsid w:val="000B2D96"/>
    <w:rsid w:val="000B4DCC"/>
    <w:rsid w:val="000B6A37"/>
    <w:rsid w:val="000B6C52"/>
    <w:rsid w:val="000B6DBA"/>
    <w:rsid w:val="000B7807"/>
    <w:rsid w:val="000C5DF8"/>
    <w:rsid w:val="000C786B"/>
    <w:rsid w:val="000D0431"/>
    <w:rsid w:val="000D0615"/>
    <w:rsid w:val="000D0FCE"/>
    <w:rsid w:val="000D2133"/>
    <w:rsid w:val="000D2831"/>
    <w:rsid w:val="000D2A14"/>
    <w:rsid w:val="000D39F0"/>
    <w:rsid w:val="000D5667"/>
    <w:rsid w:val="000D5F0D"/>
    <w:rsid w:val="000D6E17"/>
    <w:rsid w:val="000E31F6"/>
    <w:rsid w:val="000E3921"/>
    <w:rsid w:val="000E4641"/>
    <w:rsid w:val="000E5135"/>
    <w:rsid w:val="000F0413"/>
    <w:rsid w:val="000F1603"/>
    <w:rsid w:val="000F196B"/>
    <w:rsid w:val="000F1ACB"/>
    <w:rsid w:val="000F240A"/>
    <w:rsid w:val="000F28CC"/>
    <w:rsid w:val="000F2CBC"/>
    <w:rsid w:val="000F34A9"/>
    <w:rsid w:val="000F3A3F"/>
    <w:rsid w:val="000F3E58"/>
    <w:rsid w:val="000F4B96"/>
    <w:rsid w:val="000F7842"/>
    <w:rsid w:val="00102AFD"/>
    <w:rsid w:val="00104FDD"/>
    <w:rsid w:val="0010692E"/>
    <w:rsid w:val="00107783"/>
    <w:rsid w:val="00107A6A"/>
    <w:rsid w:val="00107E8C"/>
    <w:rsid w:val="001108B8"/>
    <w:rsid w:val="00115ED9"/>
    <w:rsid w:val="001162DA"/>
    <w:rsid w:val="001165C4"/>
    <w:rsid w:val="001175EE"/>
    <w:rsid w:val="0012096E"/>
    <w:rsid w:val="00120D35"/>
    <w:rsid w:val="001229D2"/>
    <w:rsid w:val="00122B2C"/>
    <w:rsid w:val="001231EE"/>
    <w:rsid w:val="001235F5"/>
    <w:rsid w:val="001269B0"/>
    <w:rsid w:val="001278F7"/>
    <w:rsid w:val="001322DA"/>
    <w:rsid w:val="00132912"/>
    <w:rsid w:val="00137724"/>
    <w:rsid w:val="001415EA"/>
    <w:rsid w:val="0014164A"/>
    <w:rsid w:val="001436E7"/>
    <w:rsid w:val="00144BB9"/>
    <w:rsid w:val="001452D5"/>
    <w:rsid w:val="00145735"/>
    <w:rsid w:val="00147AAE"/>
    <w:rsid w:val="00147D59"/>
    <w:rsid w:val="001516FB"/>
    <w:rsid w:val="00152C49"/>
    <w:rsid w:val="0015305E"/>
    <w:rsid w:val="001539DA"/>
    <w:rsid w:val="001548E8"/>
    <w:rsid w:val="00155623"/>
    <w:rsid w:val="00156848"/>
    <w:rsid w:val="00160A61"/>
    <w:rsid w:val="00160D47"/>
    <w:rsid w:val="001612BA"/>
    <w:rsid w:val="0016173F"/>
    <w:rsid w:val="00162B91"/>
    <w:rsid w:val="0016359F"/>
    <w:rsid w:val="001650E8"/>
    <w:rsid w:val="001651A9"/>
    <w:rsid w:val="00165943"/>
    <w:rsid w:val="001665C9"/>
    <w:rsid w:val="00167199"/>
    <w:rsid w:val="00170093"/>
    <w:rsid w:val="00170A8B"/>
    <w:rsid w:val="00171DCE"/>
    <w:rsid w:val="001721D5"/>
    <w:rsid w:val="001732CC"/>
    <w:rsid w:val="00173389"/>
    <w:rsid w:val="00173D48"/>
    <w:rsid w:val="001748EE"/>
    <w:rsid w:val="00174B75"/>
    <w:rsid w:val="00174CB6"/>
    <w:rsid w:val="00177137"/>
    <w:rsid w:val="001811EA"/>
    <w:rsid w:val="00181698"/>
    <w:rsid w:val="00182157"/>
    <w:rsid w:val="00182526"/>
    <w:rsid w:val="00182E37"/>
    <w:rsid w:val="001839C6"/>
    <w:rsid w:val="0018434D"/>
    <w:rsid w:val="00185154"/>
    <w:rsid w:val="00185926"/>
    <w:rsid w:val="00187E77"/>
    <w:rsid w:val="00190456"/>
    <w:rsid w:val="001904C1"/>
    <w:rsid w:val="001908D5"/>
    <w:rsid w:val="001911E2"/>
    <w:rsid w:val="0019128D"/>
    <w:rsid w:val="001937F4"/>
    <w:rsid w:val="00195869"/>
    <w:rsid w:val="00196213"/>
    <w:rsid w:val="00196616"/>
    <w:rsid w:val="001A05CB"/>
    <w:rsid w:val="001A1BC6"/>
    <w:rsid w:val="001A2351"/>
    <w:rsid w:val="001A6423"/>
    <w:rsid w:val="001B47F3"/>
    <w:rsid w:val="001B5F69"/>
    <w:rsid w:val="001B744E"/>
    <w:rsid w:val="001C0B05"/>
    <w:rsid w:val="001C0B1E"/>
    <w:rsid w:val="001C1BE4"/>
    <w:rsid w:val="001C324B"/>
    <w:rsid w:val="001C32A5"/>
    <w:rsid w:val="001C6019"/>
    <w:rsid w:val="001C67FD"/>
    <w:rsid w:val="001D26C1"/>
    <w:rsid w:val="001D274D"/>
    <w:rsid w:val="001D3209"/>
    <w:rsid w:val="001D3A9E"/>
    <w:rsid w:val="001D641C"/>
    <w:rsid w:val="001D7617"/>
    <w:rsid w:val="001E00EA"/>
    <w:rsid w:val="001E017D"/>
    <w:rsid w:val="001E10D4"/>
    <w:rsid w:val="001E427A"/>
    <w:rsid w:val="001E47A3"/>
    <w:rsid w:val="001E7CE4"/>
    <w:rsid w:val="001E7E02"/>
    <w:rsid w:val="001F18ED"/>
    <w:rsid w:val="001F1E84"/>
    <w:rsid w:val="001F209D"/>
    <w:rsid w:val="001F4462"/>
    <w:rsid w:val="001F7A7D"/>
    <w:rsid w:val="001F7E88"/>
    <w:rsid w:val="00200CD6"/>
    <w:rsid w:val="00200D1F"/>
    <w:rsid w:val="00202B16"/>
    <w:rsid w:val="00206297"/>
    <w:rsid w:val="002112ED"/>
    <w:rsid w:val="00211488"/>
    <w:rsid w:val="00212CC7"/>
    <w:rsid w:val="00213F46"/>
    <w:rsid w:val="002177E9"/>
    <w:rsid w:val="00222B89"/>
    <w:rsid w:val="00222F64"/>
    <w:rsid w:val="00224F00"/>
    <w:rsid w:val="00227011"/>
    <w:rsid w:val="00227948"/>
    <w:rsid w:val="00230E68"/>
    <w:rsid w:val="00231EBD"/>
    <w:rsid w:val="002328E6"/>
    <w:rsid w:val="00234342"/>
    <w:rsid w:val="00235B10"/>
    <w:rsid w:val="002369FC"/>
    <w:rsid w:val="00236C37"/>
    <w:rsid w:val="00236D87"/>
    <w:rsid w:val="00237211"/>
    <w:rsid w:val="002375C5"/>
    <w:rsid w:val="00237804"/>
    <w:rsid w:val="002420A1"/>
    <w:rsid w:val="00242627"/>
    <w:rsid w:val="00243A43"/>
    <w:rsid w:val="0024614A"/>
    <w:rsid w:val="00246460"/>
    <w:rsid w:val="00247FD5"/>
    <w:rsid w:val="00250769"/>
    <w:rsid w:val="00251849"/>
    <w:rsid w:val="00252D7E"/>
    <w:rsid w:val="00254143"/>
    <w:rsid w:val="002545E6"/>
    <w:rsid w:val="00254683"/>
    <w:rsid w:val="002547D2"/>
    <w:rsid w:val="002558D6"/>
    <w:rsid w:val="002573E1"/>
    <w:rsid w:val="0026342C"/>
    <w:rsid w:val="00263CEC"/>
    <w:rsid w:val="00265E23"/>
    <w:rsid w:val="00266E44"/>
    <w:rsid w:val="00267B19"/>
    <w:rsid w:val="0027092C"/>
    <w:rsid w:val="00271A35"/>
    <w:rsid w:val="002743A7"/>
    <w:rsid w:val="00274BA2"/>
    <w:rsid w:val="002777B0"/>
    <w:rsid w:val="00277A0F"/>
    <w:rsid w:val="00281C6E"/>
    <w:rsid w:val="002820C7"/>
    <w:rsid w:val="00282A4E"/>
    <w:rsid w:val="00283FD0"/>
    <w:rsid w:val="002906AF"/>
    <w:rsid w:val="00290A92"/>
    <w:rsid w:val="00291114"/>
    <w:rsid w:val="002921C3"/>
    <w:rsid w:val="002923B3"/>
    <w:rsid w:val="00294F6B"/>
    <w:rsid w:val="002971CD"/>
    <w:rsid w:val="0029727F"/>
    <w:rsid w:val="00297653"/>
    <w:rsid w:val="002A1554"/>
    <w:rsid w:val="002A347B"/>
    <w:rsid w:val="002A6F60"/>
    <w:rsid w:val="002A787D"/>
    <w:rsid w:val="002B012D"/>
    <w:rsid w:val="002B1C5D"/>
    <w:rsid w:val="002B1C84"/>
    <w:rsid w:val="002B25FD"/>
    <w:rsid w:val="002B2FF3"/>
    <w:rsid w:val="002B3918"/>
    <w:rsid w:val="002B49A8"/>
    <w:rsid w:val="002B7ED5"/>
    <w:rsid w:val="002C04E7"/>
    <w:rsid w:val="002C1695"/>
    <w:rsid w:val="002C2ABE"/>
    <w:rsid w:val="002C612F"/>
    <w:rsid w:val="002D27DA"/>
    <w:rsid w:val="002D4311"/>
    <w:rsid w:val="002D45B1"/>
    <w:rsid w:val="002D511C"/>
    <w:rsid w:val="002D5E8F"/>
    <w:rsid w:val="002D5FFD"/>
    <w:rsid w:val="002D655E"/>
    <w:rsid w:val="002D6CB5"/>
    <w:rsid w:val="002E187B"/>
    <w:rsid w:val="002E1BFF"/>
    <w:rsid w:val="002E372B"/>
    <w:rsid w:val="002E3CE7"/>
    <w:rsid w:val="002E3D0E"/>
    <w:rsid w:val="002E45CD"/>
    <w:rsid w:val="002E4A7A"/>
    <w:rsid w:val="002E563A"/>
    <w:rsid w:val="002E5F1C"/>
    <w:rsid w:val="002E76E7"/>
    <w:rsid w:val="002F0FCA"/>
    <w:rsid w:val="002F189F"/>
    <w:rsid w:val="002F4168"/>
    <w:rsid w:val="002F5B65"/>
    <w:rsid w:val="002F6208"/>
    <w:rsid w:val="002F7281"/>
    <w:rsid w:val="002F75BD"/>
    <w:rsid w:val="002F7E79"/>
    <w:rsid w:val="0030079B"/>
    <w:rsid w:val="003007D0"/>
    <w:rsid w:val="00300887"/>
    <w:rsid w:val="00300E4B"/>
    <w:rsid w:val="00301BBF"/>
    <w:rsid w:val="003026EC"/>
    <w:rsid w:val="003051AC"/>
    <w:rsid w:val="003067F5"/>
    <w:rsid w:val="00306E47"/>
    <w:rsid w:val="00306F0F"/>
    <w:rsid w:val="003070C6"/>
    <w:rsid w:val="0031064F"/>
    <w:rsid w:val="00310724"/>
    <w:rsid w:val="00310B61"/>
    <w:rsid w:val="0031241D"/>
    <w:rsid w:val="00312C31"/>
    <w:rsid w:val="003130CD"/>
    <w:rsid w:val="00313C79"/>
    <w:rsid w:val="00314D87"/>
    <w:rsid w:val="003150B7"/>
    <w:rsid w:val="00315965"/>
    <w:rsid w:val="00320F13"/>
    <w:rsid w:val="00322380"/>
    <w:rsid w:val="00323F6D"/>
    <w:rsid w:val="00324DB2"/>
    <w:rsid w:val="0032779F"/>
    <w:rsid w:val="00327EF4"/>
    <w:rsid w:val="003300D4"/>
    <w:rsid w:val="003306F3"/>
    <w:rsid w:val="00331A59"/>
    <w:rsid w:val="00331D53"/>
    <w:rsid w:val="00333E2F"/>
    <w:rsid w:val="0033476E"/>
    <w:rsid w:val="00335F2A"/>
    <w:rsid w:val="003402BA"/>
    <w:rsid w:val="003415BD"/>
    <w:rsid w:val="00341D79"/>
    <w:rsid w:val="003429EC"/>
    <w:rsid w:val="00342D8A"/>
    <w:rsid w:val="003449C1"/>
    <w:rsid w:val="00346700"/>
    <w:rsid w:val="00346E8B"/>
    <w:rsid w:val="00351475"/>
    <w:rsid w:val="003515B8"/>
    <w:rsid w:val="00351E9D"/>
    <w:rsid w:val="0035231A"/>
    <w:rsid w:val="003542C7"/>
    <w:rsid w:val="00356103"/>
    <w:rsid w:val="00356914"/>
    <w:rsid w:val="00357C40"/>
    <w:rsid w:val="0036208E"/>
    <w:rsid w:val="003628E9"/>
    <w:rsid w:val="003647DB"/>
    <w:rsid w:val="00364861"/>
    <w:rsid w:val="00365522"/>
    <w:rsid w:val="00367FE5"/>
    <w:rsid w:val="003707FA"/>
    <w:rsid w:val="003721C3"/>
    <w:rsid w:val="00373755"/>
    <w:rsid w:val="00374283"/>
    <w:rsid w:val="003751CF"/>
    <w:rsid w:val="0037633F"/>
    <w:rsid w:val="00376A69"/>
    <w:rsid w:val="003839B4"/>
    <w:rsid w:val="00384D4B"/>
    <w:rsid w:val="003862BC"/>
    <w:rsid w:val="00391FD0"/>
    <w:rsid w:val="00392582"/>
    <w:rsid w:val="00393720"/>
    <w:rsid w:val="00395243"/>
    <w:rsid w:val="00397651"/>
    <w:rsid w:val="003A2172"/>
    <w:rsid w:val="003A2E71"/>
    <w:rsid w:val="003A7CA7"/>
    <w:rsid w:val="003A7EE3"/>
    <w:rsid w:val="003B0E19"/>
    <w:rsid w:val="003B2F2A"/>
    <w:rsid w:val="003B4A37"/>
    <w:rsid w:val="003B57A2"/>
    <w:rsid w:val="003C051A"/>
    <w:rsid w:val="003C061C"/>
    <w:rsid w:val="003C290D"/>
    <w:rsid w:val="003C3053"/>
    <w:rsid w:val="003C3484"/>
    <w:rsid w:val="003D0EC8"/>
    <w:rsid w:val="003D1560"/>
    <w:rsid w:val="003D51C9"/>
    <w:rsid w:val="003D52AB"/>
    <w:rsid w:val="003D61F2"/>
    <w:rsid w:val="003D6B73"/>
    <w:rsid w:val="003D7A7C"/>
    <w:rsid w:val="003E10C4"/>
    <w:rsid w:val="003E1D8C"/>
    <w:rsid w:val="003E217E"/>
    <w:rsid w:val="003E4174"/>
    <w:rsid w:val="003E4E4D"/>
    <w:rsid w:val="003E6A25"/>
    <w:rsid w:val="003F0F0B"/>
    <w:rsid w:val="003F3889"/>
    <w:rsid w:val="003F4DB8"/>
    <w:rsid w:val="003F5784"/>
    <w:rsid w:val="003F586C"/>
    <w:rsid w:val="003F6BB4"/>
    <w:rsid w:val="003F78A6"/>
    <w:rsid w:val="003F7A07"/>
    <w:rsid w:val="0040063E"/>
    <w:rsid w:val="00402540"/>
    <w:rsid w:val="00403E4D"/>
    <w:rsid w:val="004053C1"/>
    <w:rsid w:val="00407864"/>
    <w:rsid w:val="00411709"/>
    <w:rsid w:val="004138A9"/>
    <w:rsid w:val="00413B66"/>
    <w:rsid w:val="0041429D"/>
    <w:rsid w:val="0041478B"/>
    <w:rsid w:val="004161AE"/>
    <w:rsid w:val="00417A82"/>
    <w:rsid w:val="0042133D"/>
    <w:rsid w:val="00422912"/>
    <w:rsid w:val="00422D03"/>
    <w:rsid w:val="00423192"/>
    <w:rsid w:val="0042667F"/>
    <w:rsid w:val="004310E2"/>
    <w:rsid w:val="00431CD1"/>
    <w:rsid w:val="00433693"/>
    <w:rsid w:val="00433950"/>
    <w:rsid w:val="0043553D"/>
    <w:rsid w:val="00437263"/>
    <w:rsid w:val="00437378"/>
    <w:rsid w:val="004377D4"/>
    <w:rsid w:val="00440125"/>
    <w:rsid w:val="004411E0"/>
    <w:rsid w:val="0044143C"/>
    <w:rsid w:val="00441548"/>
    <w:rsid w:val="00441D99"/>
    <w:rsid w:val="00442B2E"/>
    <w:rsid w:val="004447F7"/>
    <w:rsid w:val="0044546D"/>
    <w:rsid w:val="00446B5B"/>
    <w:rsid w:val="004509E9"/>
    <w:rsid w:val="00451A5B"/>
    <w:rsid w:val="00451CBA"/>
    <w:rsid w:val="00453797"/>
    <w:rsid w:val="0045548B"/>
    <w:rsid w:val="004561F7"/>
    <w:rsid w:val="004576B2"/>
    <w:rsid w:val="00457E1A"/>
    <w:rsid w:val="004616FF"/>
    <w:rsid w:val="004628B4"/>
    <w:rsid w:val="004657B4"/>
    <w:rsid w:val="004669D5"/>
    <w:rsid w:val="00467E68"/>
    <w:rsid w:val="00472CCF"/>
    <w:rsid w:val="0047366D"/>
    <w:rsid w:val="0047475B"/>
    <w:rsid w:val="00475512"/>
    <w:rsid w:val="004768EA"/>
    <w:rsid w:val="00477D76"/>
    <w:rsid w:val="00480885"/>
    <w:rsid w:val="004808B5"/>
    <w:rsid w:val="00481576"/>
    <w:rsid w:val="00481601"/>
    <w:rsid w:val="00482195"/>
    <w:rsid w:val="00482AE5"/>
    <w:rsid w:val="00482D49"/>
    <w:rsid w:val="00484CB9"/>
    <w:rsid w:val="0048692D"/>
    <w:rsid w:val="004870A1"/>
    <w:rsid w:val="0049036B"/>
    <w:rsid w:val="00492220"/>
    <w:rsid w:val="0049224D"/>
    <w:rsid w:val="00493A5A"/>
    <w:rsid w:val="004948D4"/>
    <w:rsid w:val="00497B80"/>
    <w:rsid w:val="00497DC2"/>
    <w:rsid w:val="004A217B"/>
    <w:rsid w:val="004A2384"/>
    <w:rsid w:val="004A37F7"/>
    <w:rsid w:val="004A7899"/>
    <w:rsid w:val="004A7D29"/>
    <w:rsid w:val="004B2F25"/>
    <w:rsid w:val="004B2F71"/>
    <w:rsid w:val="004B4451"/>
    <w:rsid w:val="004B445B"/>
    <w:rsid w:val="004B7AFD"/>
    <w:rsid w:val="004C1FD0"/>
    <w:rsid w:val="004C4401"/>
    <w:rsid w:val="004C4BFE"/>
    <w:rsid w:val="004C4F56"/>
    <w:rsid w:val="004D0CEC"/>
    <w:rsid w:val="004D1D45"/>
    <w:rsid w:val="004D271B"/>
    <w:rsid w:val="004D2C50"/>
    <w:rsid w:val="004D4A03"/>
    <w:rsid w:val="004D546E"/>
    <w:rsid w:val="004D5CE3"/>
    <w:rsid w:val="004D705C"/>
    <w:rsid w:val="004D7654"/>
    <w:rsid w:val="004E188D"/>
    <w:rsid w:val="004E381F"/>
    <w:rsid w:val="004E4D47"/>
    <w:rsid w:val="004E50BD"/>
    <w:rsid w:val="004E68AE"/>
    <w:rsid w:val="004E711D"/>
    <w:rsid w:val="004E7660"/>
    <w:rsid w:val="004E77F8"/>
    <w:rsid w:val="004F0D2D"/>
    <w:rsid w:val="004F1C36"/>
    <w:rsid w:val="004F21EF"/>
    <w:rsid w:val="004F2274"/>
    <w:rsid w:val="004F28C8"/>
    <w:rsid w:val="004F4FF7"/>
    <w:rsid w:val="004F5C02"/>
    <w:rsid w:val="004F5FBA"/>
    <w:rsid w:val="004F686F"/>
    <w:rsid w:val="004F7B74"/>
    <w:rsid w:val="00500A4A"/>
    <w:rsid w:val="00501BE7"/>
    <w:rsid w:val="00502C9D"/>
    <w:rsid w:val="00502ED5"/>
    <w:rsid w:val="00503B0D"/>
    <w:rsid w:val="005050D6"/>
    <w:rsid w:val="005058E0"/>
    <w:rsid w:val="00506D25"/>
    <w:rsid w:val="0050762B"/>
    <w:rsid w:val="005112D1"/>
    <w:rsid w:val="005128B7"/>
    <w:rsid w:val="0051312E"/>
    <w:rsid w:val="00513AF2"/>
    <w:rsid w:val="0051409D"/>
    <w:rsid w:val="005141DB"/>
    <w:rsid w:val="005144BB"/>
    <w:rsid w:val="00515418"/>
    <w:rsid w:val="00516797"/>
    <w:rsid w:val="00516865"/>
    <w:rsid w:val="005168B5"/>
    <w:rsid w:val="005177E1"/>
    <w:rsid w:val="00517B1F"/>
    <w:rsid w:val="0052197E"/>
    <w:rsid w:val="0052339A"/>
    <w:rsid w:val="005245F1"/>
    <w:rsid w:val="00524848"/>
    <w:rsid w:val="005266EF"/>
    <w:rsid w:val="00526DD2"/>
    <w:rsid w:val="00527596"/>
    <w:rsid w:val="005275FB"/>
    <w:rsid w:val="005307D2"/>
    <w:rsid w:val="00530AE3"/>
    <w:rsid w:val="0053253B"/>
    <w:rsid w:val="00535F3B"/>
    <w:rsid w:val="00536D69"/>
    <w:rsid w:val="0054089F"/>
    <w:rsid w:val="00541B3F"/>
    <w:rsid w:val="005425E1"/>
    <w:rsid w:val="0054289B"/>
    <w:rsid w:val="00542BD7"/>
    <w:rsid w:val="00543A9F"/>
    <w:rsid w:val="00543FB5"/>
    <w:rsid w:val="005454D5"/>
    <w:rsid w:val="00545808"/>
    <w:rsid w:val="00546D98"/>
    <w:rsid w:val="00547A56"/>
    <w:rsid w:val="005505CB"/>
    <w:rsid w:val="005510D9"/>
    <w:rsid w:val="0055110D"/>
    <w:rsid w:val="005529CB"/>
    <w:rsid w:val="00552C06"/>
    <w:rsid w:val="00557143"/>
    <w:rsid w:val="005577B3"/>
    <w:rsid w:val="0056003B"/>
    <w:rsid w:val="00560498"/>
    <w:rsid w:val="00560F5D"/>
    <w:rsid w:val="005638D9"/>
    <w:rsid w:val="0056406D"/>
    <w:rsid w:val="00564377"/>
    <w:rsid w:val="0056463A"/>
    <w:rsid w:val="00565381"/>
    <w:rsid w:val="00566871"/>
    <w:rsid w:val="00570188"/>
    <w:rsid w:val="005712E1"/>
    <w:rsid w:val="00573F72"/>
    <w:rsid w:val="0057427C"/>
    <w:rsid w:val="0057553C"/>
    <w:rsid w:val="00576829"/>
    <w:rsid w:val="00576904"/>
    <w:rsid w:val="00580473"/>
    <w:rsid w:val="0058694F"/>
    <w:rsid w:val="00586C3B"/>
    <w:rsid w:val="00587702"/>
    <w:rsid w:val="00590C3C"/>
    <w:rsid w:val="00590C54"/>
    <w:rsid w:val="00591933"/>
    <w:rsid w:val="00591A77"/>
    <w:rsid w:val="00592237"/>
    <w:rsid w:val="00592F7C"/>
    <w:rsid w:val="005936A0"/>
    <w:rsid w:val="00594322"/>
    <w:rsid w:val="00595E8B"/>
    <w:rsid w:val="00596314"/>
    <w:rsid w:val="00597525"/>
    <w:rsid w:val="005A0229"/>
    <w:rsid w:val="005A1CD3"/>
    <w:rsid w:val="005A6E63"/>
    <w:rsid w:val="005B14A4"/>
    <w:rsid w:val="005B18C8"/>
    <w:rsid w:val="005B3EA0"/>
    <w:rsid w:val="005B5064"/>
    <w:rsid w:val="005B511C"/>
    <w:rsid w:val="005B5A20"/>
    <w:rsid w:val="005B5D8B"/>
    <w:rsid w:val="005B6182"/>
    <w:rsid w:val="005C0708"/>
    <w:rsid w:val="005C36D3"/>
    <w:rsid w:val="005C3951"/>
    <w:rsid w:val="005C5BF4"/>
    <w:rsid w:val="005C650A"/>
    <w:rsid w:val="005C6C61"/>
    <w:rsid w:val="005D02B2"/>
    <w:rsid w:val="005D0364"/>
    <w:rsid w:val="005D283D"/>
    <w:rsid w:val="005D3EB4"/>
    <w:rsid w:val="005D578F"/>
    <w:rsid w:val="005D6091"/>
    <w:rsid w:val="005D7B8B"/>
    <w:rsid w:val="005E005F"/>
    <w:rsid w:val="005E1862"/>
    <w:rsid w:val="005E2BC9"/>
    <w:rsid w:val="005E3783"/>
    <w:rsid w:val="005E4172"/>
    <w:rsid w:val="005E43C1"/>
    <w:rsid w:val="005F153D"/>
    <w:rsid w:val="005F26FF"/>
    <w:rsid w:val="005F55F3"/>
    <w:rsid w:val="005F63A5"/>
    <w:rsid w:val="005F66D8"/>
    <w:rsid w:val="005F72BE"/>
    <w:rsid w:val="00601B6F"/>
    <w:rsid w:val="00602A37"/>
    <w:rsid w:val="00602D58"/>
    <w:rsid w:val="00605484"/>
    <w:rsid w:val="00605745"/>
    <w:rsid w:val="0060651F"/>
    <w:rsid w:val="00606F34"/>
    <w:rsid w:val="00607FB8"/>
    <w:rsid w:val="0061093B"/>
    <w:rsid w:val="00610940"/>
    <w:rsid w:val="00610F45"/>
    <w:rsid w:val="00612D61"/>
    <w:rsid w:val="00614427"/>
    <w:rsid w:val="00615683"/>
    <w:rsid w:val="0061664D"/>
    <w:rsid w:val="00624FFB"/>
    <w:rsid w:val="00625809"/>
    <w:rsid w:val="00626821"/>
    <w:rsid w:val="00626881"/>
    <w:rsid w:val="006270FE"/>
    <w:rsid w:val="006339ED"/>
    <w:rsid w:val="00634DAA"/>
    <w:rsid w:val="00634F59"/>
    <w:rsid w:val="00640091"/>
    <w:rsid w:val="00640949"/>
    <w:rsid w:val="00640D7D"/>
    <w:rsid w:val="00641918"/>
    <w:rsid w:val="006427C8"/>
    <w:rsid w:val="00642B8D"/>
    <w:rsid w:val="00642D7A"/>
    <w:rsid w:val="00645846"/>
    <w:rsid w:val="006460AD"/>
    <w:rsid w:val="00646480"/>
    <w:rsid w:val="0064743F"/>
    <w:rsid w:val="006479DE"/>
    <w:rsid w:val="00647F51"/>
    <w:rsid w:val="0065041F"/>
    <w:rsid w:val="00654CD5"/>
    <w:rsid w:val="00656255"/>
    <w:rsid w:val="00661046"/>
    <w:rsid w:val="00661174"/>
    <w:rsid w:val="006623D0"/>
    <w:rsid w:val="006628C4"/>
    <w:rsid w:val="00665AA1"/>
    <w:rsid w:val="006669BE"/>
    <w:rsid w:val="00667FB5"/>
    <w:rsid w:val="00673F68"/>
    <w:rsid w:val="00675C77"/>
    <w:rsid w:val="00675FB3"/>
    <w:rsid w:val="00680307"/>
    <w:rsid w:val="006815C0"/>
    <w:rsid w:val="0068483C"/>
    <w:rsid w:val="00684A4C"/>
    <w:rsid w:val="00686730"/>
    <w:rsid w:val="0068680B"/>
    <w:rsid w:val="0068728F"/>
    <w:rsid w:val="006872F8"/>
    <w:rsid w:val="006939EA"/>
    <w:rsid w:val="00693D8E"/>
    <w:rsid w:val="00694B42"/>
    <w:rsid w:val="00695821"/>
    <w:rsid w:val="00695A80"/>
    <w:rsid w:val="006960D2"/>
    <w:rsid w:val="006961FB"/>
    <w:rsid w:val="00696287"/>
    <w:rsid w:val="006965AE"/>
    <w:rsid w:val="00697114"/>
    <w:rsid w:val="006A0B92"/>
    <w:rsid w:val="006A0F6C"/>
    <w:rsid w:val="006A2380"/>
    <w:rsid w:val="006A2C82"/>
    <w:rsid w:val="006A4108"/>
    <w:rsid w:val="006A7BAD"/>
    <w:rsid w:val="006B1D07"/>
    <w:rsid w:val="006B44D6"/>
    <w:rsid w:val="006B481B"/>
    <w:rsid w:val="006B5D6F"/>
    <w:rsid w:val="006B6A57"/>
    <w:rsid w:val="006C0D58"/>
    <w:rsid w:val="006C0EA1"/>
    <w:rsid w:val="006C23E4"/>
    <w:rsid w:val="006C36D7"/>
    <w:rsid w:val="006C37F7"/>
    <w:rsid w:val="006C3AD5"/>
    <w:rsid w:val="006C6B1F"/>
    <w:rsid w:val="006C7FA4"/>
    <w:rsid w:val="006D293C"/>
    <w:rsid w:val="006D3D3D"/>
    <w:rsid w:val="006D4A9C"/>
    <w:rsid w:val="006D5A74"/>
    <w:rsid w:val="006D7AD2"/>
    <w:rsid w:val="006E083E"/>
    <w:rsid w:val="006E1A8F"/>
    <w:rsid w:val="006E21B2"/>
    <w:rsid w:val="006E4635"/>
    <w:rsid w:val="006E4D6F"/>
    <w:rsid w:val="006E7048"/>
    <w:rsid w:val="006E785C"/>
    <w:rsid w:val="006F02D0"/>
    <w:rsid w:val="006F11DD"/>
    <w:rsid w:val="006F19B8"/>
    <w:rsid w:val="006F27E8"/>
    <w:rsid w:val="006F4B96"/>
    <w:rsid w:val="006F5042"/>
    <w:rsid w:val="006F6300"/>
    <w:rsid w:val="006F6667"/>
    <w:rsid w:val="006F782E"/>
    <w:rsid w:val="00702F43"/>
    <w:rsid w:val="00703950"/>
    <w:rsid w:val="00710825"/>
    <w:rsid w:val="007108DD"/>
    <w:rsid w:val="007117B6"/>
    <w:rsid w:val="0071391E"/>
    <w:rsid w:val="00716538"/>
    <w:rsid w:val="007169B3"/>
    <w:rsid w:val="00723F40"/>
    <w:rsid w:val="00725C10"/>
    <w:rsid w:val="00725FDF"/>
    <w:rsid w:val="0072757D"/>
    <w:rsid w:val="00731DF8"/>
    <w:rsid w:val="007325E8"/>
    <w:rsid w:val="00732B7B"/>
    <w:rsid w:val="007338B8"/>
    <w:rsid w:val="00733CFC"/>
    <w:rsid w:val="007359CB"/>
    <w:rsid w:val="007365D1"/>
    <w:rsid w:val="007416E6"/>
    <w:rsid w:val="00741768"/>
    <w:rsid w:val="007423F1"/>
    <w:rsid w:val="007454B7"/>
    <w:rsid w:val="00746A71"/>
    <w:rsid w:val="00747856"/>
    <w:rsid w:val="00750A6F"/>
    <w:rsid w:val="00752291"/>
    <w:rsid w:val="007530A6"/>
    <w:rsid w:val="007534E5"/>
    <w:rsid w:val="00753518"/>
    <w:rsid w:val="00755484"/>
    <w:rsid w:val="00755B31"/>
    <w:rsid w:val="007562FB"/>
    <w:rsid w:val="00756D42"/>
    <w:rsid w:val="00762D5B"/>
    <w:rsid w:val="00762E4F"/>
    <w:rsid w:val="007638B5"/>
    <w:rsid w:val="00764BB2"/>
    <w:rsid w:val="0076505C"/>
    <w:rsid w:val="00765F56"/>
    <w:rsid w:val="00766736"/>
    <w:rsid w:val="007669D8"/>
    <w:rsid w:val="00766BC0"/>
    <w:rsid w:val="00770340"/>
    <w:rsid w:val="007708B4"/>
    <w:rsid w:val="00770DC9"/>
    <w:rsid w:val="007716D3"/>
    <w:rsid w:val="00771E78"/>
    <w:rsid w:val="00772464"/>
    <w:rsid w:val="00772844"/>
    <w:rsid w:val="00774CDC"/>
    <w:rsid w:val="00775010"/>
    <w:rsid w:val="00776F98"/>
    <w:rsid w:val="007803A6"/>
    <w:rsid w:val="00780D60"/>
    <w:rsid w:val="0078169F"/>
    <w:rsid w:val="00782DE6"/>
    <w:rsid w:val="00782E0B"/>
    <w:rsid w:val="00782F04"/>
    <w:rsid w:val="007834C7"/>
    <w:rsid w:val="007840C6"/>
    <w:rsid w:val="007853A8"/>
    <w:rsid w:val="007856E9"/>
    <w:rsid w:val="00785BE5"/>
    <w:rsid w:val="007862A5"/>
    <w:rsid w:val="0078728A"/>
    <w:rsid w:val="0078769C"/>
    <w:rsid w:val="00791220"/>
    <w:rsid w:val="00791AC3"/>
    <w:rsid w:val="00791B6B"/>
    <w:rsid w:val="00793F6B"/>
    <w:rsid w:val="00794620"/>
    <w:rsid w:val="007957A7"/>
    <w:rsid w:val="0079785A"/>
    <w:rsid w:val="007A2C65"/>
    <w:rsid w:val="007A33D6"/>
    <w:rsid w:val="007A35BC"/>
    <w:rsid w:val="007A3B35"/>
    <w:rsid w:val="007A6A93"/>
    <w:rsid w:val="007A720F"/>
    <w:rsid w:val="007B1438"/>
    <w:rsid w:val="007B306B"/>
    <w:rsid w:val="007B4519"/>
    <w:rsid w:val="007B54FF"/>
    <w:rsid w:val="007B6FB6"/>
    <w:rsid w:val="007C0685"/>
    <w:rsid w:val="007C06D0"/>
    <w:rsid w:val="007C11B6"/>
    <w:rsid w:val="007C1218"/>
    <w:rsid w:val="007C2323"/>
    <w:rsid w:val="007C30EE"/>
    <w:rsid w:val="007C3536"/>
    <w:rsid w:val="007C3BFF"/>
    <w:rsid w:val="007C3C61"/>
    <w:rsid w:val="007C4832"/>
    <w:rsid w:val="007C6CB9"/>
    <w:rsid w:val="007D1FA5"/>
    <w:rsid w:val="007D2D14"/>
    <w:rsid w:val="007D3FE0"/>
    <w:rsid w:val="007D458F"/>
    <w:rsid w:val="007D59F8"/>
    <w:rsid w:val="007D666B"/>
    <w:rsid w:val="007D7650"/>
    <w:rsid w:val="007D7839"/>
    <w:rsid w:val="007D796D"/>
    <w:rsid w:val="007E0C02"/>
    <w:rsid w:val="007E30EE"/>
    <w:rsid w:val="007E3CCC"/>
    <w:rsid w:val="007E4B0C"/>
    <w:rsid w:val="007E4BA5"/>
    <w:rsid w:val="007E51CD"/>
    <w:rsid w:val="007E615B"/>
    <w:rsid w:val="007E6D4D"/>
    <w:rsid w:val="007E79BD"/>
    <w:rsid w:val="007F2044"/>
    <w:rsid w:val="007F2B4E"/>
    <w:rsid w:val="007F6932"/>
    <w:rsid w:val="007F7789"/>
    <w:rsid w:val="007F7A53"/>
    <w:rsid w:val="00800B8F"/>
    <w:rsid w:val="00805496"/>
    <w:rsid w:val="00806CB5"/>
    <w:rsid w:val="00807380"/>
    <w:rsid w:val="008073B0"/>
    <w:rsid w:val="00811B9C"/>
    <w:rsid w:val="00813782"/>
    <w:rsid w:val="008150D1"/>
    <w:rsid w:val="00817104"/>
    <w:rsid w:val="008203A5"/>
    <w:rsid w:val="00820FA7"/>
    <w:rsid w:val="008213B7"/>
    <w:rsid w:val="008215F9"/>
    <w:rsid w:val="0082178A"/>
    <w:rsid w:val="00824992"/>
    <w:rsid w:val="00830040"/>
    <w:rsid w:val="00830C30"/>
    <w:rsid w:val="00832E42"/>
    <w:rsid w:val="008336EB"/>
    <w:rsid w:val="0083394C"/>
    <w:rsid w:val="00833B91"/>
    <w:rsid w:val="00834119"/>
    <w:rsid w:val="00834257"/>
    <w:rsid w:val="00834484"/>
    <w:rsid w:val="00835A7D"/>
    <w:rsid w:val="008376EB"/>
    <w:rsid w:val="008410D0"/>
    <w:rsid w:val="0084133E"/>
    <w:rsid w:val="00842A6E"/>
    <w:rsid w:val="00844E38"/>
    <w:rsid w:val="00845AA8"/>
    <w:rsid w:val="008462AE"/>
    <w:rsid w:val="00846BDA"/>
    <w:rsid w:val="00847962"/>
    <w:rsid w:val="00850435"/>
    <w:rsid w:val="008511BC"/>
    <w:rsid w:val="00851EEF"/>
    <w:rsid w:val="00852DCA"/>
    <w:rsid w:val="00853E25"/>
    <w:rsid w:val="00855838"/>
    <w:rsid w:val="00856706"/>
    <w:rsid w:val="0085764D"/>
    <w:rsid w:val="00857F4B"/>
    <w:rsid w:val="0086162A"/>
    <w:rsid w:val="00861D59"/>
    <w:rsid w:val="00861E8C"/>
    <w:rsid w:val="00862E40"/>
    <w:rsid w:val="008631A1"/>
    <w:rsid w:val="00863DFB"/>
    <w:rsid w:val="00863E52"/>
    <w:rsid w:val="00864364"/>
    <w:rsid w:val="0086510E"/>
    <w:rsid w:val="008662C6"/>
    <w:rsid w:val="0086663B"/>
    <w:rsid w:val="00867B2F"/>
    <w:rsid w:val="00871FB8"/>
    <w:rsid w:val="00872FCD"/>
    <w:rsid w:val="00874013"/>
    <w:rsid w:val="00874F81"/>
    <w:rsid w:val="00883039"/>
    <w:rsid w:val="008833BA"/>
    <w:rsid w:val="00883615"/>
    <w:rsid w:val="00883E2A"/>
    <w:rsid w:val="00884133"/>
    <w:rsid w:val="0088565B"/>
    <w:rsid w:val="0088667C"/>
    <w:rsid w:val="008873CD"/>
    <w:rsid w:val="00887B3A"/>
    <w:rsid w:val="00891000"/>
    <w:rsid w:val="00892090"/>
    <w:rsid w:val="008920AA"/>
    <w:rsid w:val="00893241"/>
    <w:rsid w:val="00893D07"/>
    <w:rsid w:val="008954D7"/>
    <w:rsid w:val="00896D60"/>
    <w:rsid w:val="00896D80"/>
    <w:rsid w:val="00897A35"/>
    <w:rsid w:val="008A118E"/>
    <w:rsid w:val="008A1EF8"/>
    <w:rsid w:val="008A407C"/>
    <w:rsid w:val="008A4357"/>
    <w:rsid w:val="008A605F"/>
    <w:rsid w:val="008A6B06"/>
    <w:rsid w:val="008A7CF7"/>
    <w:rsid w:val="008B0322"/>
    <w:rsid w:val="008B2A9D"/>
    <w:rsid w:val="008B31B6"/>
    <w:rsid w:val="008B46AE"/>
    <w:rsid w:val="008B4726"/>
    <w:rsid w:val="008B7DF0"/>
    <w:rsid w:val="008C0EED"/>
    <w:rsid w:val="008C252E"/>
    <w:rsid w:val="008C2886"/>
    <w:rsid w:val="008C317C"/>
    <w:rsid w:val="008C31FD"/>
    <w:rsid w:val="008C3FC2"/>
    <w:rsid w:val="008C4F9B"/>
    <w:rsid w:val="008C53BE"/>
    <w:rsid w:val="008C5726"/>
    <w:rsid w:val="008C5F84"/>
    <w:rsid w:val="008C701E"/>
    <w:rsid w:val="008D06B5"/>
    <w:rsid w:val="008D2D99"/>
    <w:rsid w:val="008D499A"/>
    <w:rsid w:val="008D648A"/>
    <w:rsid w:val="008D6DFB"/>
    <w:rsid w:val="008D7CC2"/>
    <w:rsid w:val="008E08BE"/>
    <w:rsid w:val="008E140C"/>
    <w:rsid w:val="008E72EB"/>
    <w:rsid w:val="008F1749"/>
    <w:rsid w:val="008F2B26"/>
    <w:rsid w:val="008F3B06"/>
    <w:rsid w:val="008F3C33"/>
    <w:rsid w:val="008F4243"/>
    <w:rsid w:val="008F4709"/>
    <w:rsid w:val="008F4CE7"/>
    <w:rsid w:val="008F5C13"/>
    <w:rsid w:val="008F5FEB"/>
    <w:rsid w:val="008F6076"/>
    <w:rsid w:val="008F6931"/>
    <w:rsid w:val="008F6E0D"/>
    <w:rsid w:val="00900C3D"/>
    <w:rsid w:val="009014DF"/>
    <w:rsid w:val="009015DB"/>
    <w:rsid w:val="00902350"/>
    <w:rsid w:val="00903D7F"/>
    <w:rsid w:val="00904D96"/>
    <w:rsid w:val="009054AB"/>
    <w:rsid w:val="0090567B"/>
    <w:rsid w:val="009066D9"/>
    <w:rsid w:val="00906866"/>
    <w:rsid w:val="00911CBB"/>
    <w:rsid w:val="00912596"/>
    <w:rsid w:val="0091298B"/>
    <w:rsid w:val="009129A9"/>
    <w:rsid w:val="00914BB8"/>
    <w:rsid w:val="0091635C"/>
    <w:rsid w:val="00917B64"/>
    <w:rsid w:val="00920D40"/>
    <w:rsid w:val="00922232"/>
    <w:rsid w:val="00922F75"/>
    <w:rsid w:val="00923586"/>
    <w:rsid w:val="00923E58"/>
    <w:rsid w:val="009246F7"/>
    <w:rsid w:val="009250E7"/>
    <w:rsid w:val="00926075"/>
    <w:rsid w:val="00926B44"/>
    <w:rsid w:val="009304D4"/>
    <w:rsid w:val="009324B4"/>
    <w:rsid w:val="0093381B"/>
    <w:rsid w:val="0093436E"/>
    <w:rsid w:val="0093547C"/>
    <w:rsid w:val="00935933"/>
    <w:rsid w:val="00935FC3"/>
    <w:rsid w:val="009363B4"/>
    <w:rsid w:val="00936FC6"/>
    <w:rsid w:val="009378F7"/>
    <w:rsid w:val="0094078C"/>
    <w:rsid w:val="00940F62"/>
    <w:rsid w:val="0094325C"/>
    <w:rsid w:val="00944CAA"/>
    <w:rsid w:val="0094782D"/>
    <w:rsid w:val="00952019"/>
    <w:rsid w:val="00953062"/>
    <w:rsid w:val="00955398"/>
    <w:rsid w:val="00955B8F"/>
    <w:rsid w:val="00957D63"/>
    <w:rsid w:val="0096087F"/>
    <w:rsid w:val="00962905"/>
    <w:rsid w:val="009632DA"/>
    <w:rsid w:val="00964E38"/>
    <w:rsid w:val="009651B5"/>
    <w:rsid w:val="00965A98"/>
    <w:rsid w:val="00966B32"/>
    <w:rsid w:val="00966CA1"/>
    <w:rsid w:val="00966F7A"/>
    <w:rsid w:val="00967EC7"/>
    <w:rsid w:val="00970E47"/>
    <w:rsid w:val="009723BA"/>
    <w:rsid w:val="009725DB"/>
    <w:rsid w:val="00973526"/>
    <w:rsid w:val="00974260"/>
    <w:rsid w:val="00975D7E"/>
    <w:rsid w:val="00977ADE"/>
    <w:rsid w:val="00980332"/>
    <w:rsid w:val="00980381"/>
    <w:rsid w:val="00980AFB"/>
    <w:rsid w:val="00980BBC"/>
    <w:rsid w:val="009811C9"/>
    <w:rsid w:val="0098239E"/>
    <w:rsid w:val="009826DC"/>
    <w:rsid w:val="00982BB4"/>
    <w:rsid w:val="009830A0"/>
    <w:rsid w:val="009852D3"/>
    <w:rsid w:val="009857DE"/>
    <w:rsid w:val="00985C20"/>
    <w:rsid w:val="00986868"/>
    <w:rsid w:val="00993F5B"/>
    <w:rsid w:val="00996572"/>
    <w:rsid w:val="00997912"/>
    <w:rsid w:val="00997BE8"/>
    <w:rsid w:val="009A0B70"/>
    <w:rsid w:val="009A6162"/>
    <w:rsid w:val="009B1DE5"/>
    <w:rsid w:val="009B3086"/>
    <w:rsid w:val="009B3A5F"/>
    <w:rsid w:val="009B5A29"/>
    <w:rsid w:val="009B5B95"/>
    <w:rsid w:val="009B6827"/>
    <w:rsid w:val="009B7BF7"/>
    <w:rsid w:val="009C041F"/>
    <w:rsid w:val="009C1AD3"/>
    <w:rsid w:val="009C20C4"/>
    <w:rsid w:val="009C2A22"/>
    <w:rsid w:val="009C2D50"/>
    <w:rsid w:val="009C3405"/>
    <w:rsid w:val="009C3C6C"/>
    <w:rsid w:val="009C6BEC"/>
    <w:rsid w:val="009C7BF7"/>
    <w:rsid w:val="009D0996"/>
    <w:rsid w:val="009D54CB"/>
    <w:rsid w:val="009D58D8"/>
    <w:rsid w:val="009D5DD9"/>
    <w:rsid w:val="009D617C"/>
    <w:rsid w:val="009E0F72"/>
    <w:rsid w:val="009E44C4"/>
    <w:rsid w:val="009E4AC6"/>
    <w:rsid w:val="009E721A"/>
    <w:rsid w:val="009E7A17"/>
    <w:rsid w:val="009F27C4"/>
    <w:rsid w:val="009F2EF1"/>
    <w:rsid w:val="009F430F"/>
    <w:rsid w:val="009F5C43"/>
    <w:rsid w:val="009F61C2"/>
    <w:rsid w:val="00A01557"/>
    <w:rsid w:val="00A02AA0"/>
    <w:rsid w:val="00A03877"/>
    <w:rsid w:val="00A04E2D"/>
    <w:rsid w:val="00A064B7"/>
    <w:rsid w:val="00A06C6A"/>
    <w:rsid w:val="00A06FF8"/>
    <w:rsid w:val="00A0764B"/>
    <w:rsid w:val="00A12788"/>
    <w:rsid w:val="00A1404E"/>
    <w:rsid w:val="00A21850"/>
    <w:rsid w:val="00A21D3D"/>
    <w:rsid w:val="00A23735"/>
    <w:rsid w:val="00A245DF"/>
    <w:rsid w:val="00A252C6"/>
    <w:rsid w:val="00A265DF"/>
    <w:rsid w:val="00A27463"/>
    <w:rsid w:val="00A275E7"/>
    <w:rsid w:val="00A27970"/>
    <w:rsid w:val="00A32E72"/>
    <w:rsid w:val="00A331AB"/>
    <w:rsid w:val="00A3339C"/>
    <w:rsid w:val="00A339A9"/>
    <w:rsid w:val="00A343A2"/>
    <w:rsid w:val="00A34EDE"/>
    <w:rsid w:val="00A354DD"/>
    <w:rsid w:val="00A3571A"/>
    <w:rsid w:val="00A37050"/>
    <w:rsid w:val="00A41184"/>
    <w:rsid w:val="00A41B95"/>
    <w:rsid w:val="00A45F49"/>
    <w:rsid w:val="00A462B8"/>
    <w:rsid w:val="00A5084F"/>
    <w:rsid w:val="00A50F46"/>
    <w:rsid w:val="00A55A6A"/>
    <w:rsid w:val="00A55FEA"/>
    <w:rsid w:val="00A56FA8"/>
    <w:rsid w:val="00A5785B"/>
    <w:rsid w:val="00A617BE"/>
    <w:rsid w:val="00A66B20"/>
    <w:rsid w:val="00A67C27"/>
    <w:rsid w:val="00A706FD"/>
    <w:rsid w:val="00A71920"/>
    <w:rsid w:val="00A728B8"/>
    <w:rsid w:val="00A732AD"/>
    <w:rsid w:val="00A73B58"/>
    <w:rsid w:val="00A74543"/>
    <w:rsid w:val="00A75E7F"/>
    <w:rsid w:val="00A760C4"/>
    <w:rsid w:val="00A77946"/>
    <w:rsid w:val="00A80A70"/>
    <w:rsid w:val="00A810EF"/>
    <w:rsid w:val="00A81521"/>
    <w:rsid w:val="00A826F3"/>
    <w:rsid w:val="00A830CF"/>
    <w:rsid w:val="00A84731"/>
    <w:rsid w:val="00A8494E"/>
    <w:rsid w:val="00A8606C"/>
    <w:rsid w:val="00A90453"/>
    <w:rsid w:val="00A90AD8"/>
    <w:rsid w:val="00A91979"/>
    <w:rsid w:val="00A94866"/>
    <w:rsid w:val="00A94C05"/>
    <w:rsid w:val="00AA073E"/>
    <w:rsid w:val="00AA0EE7"/>
    <w:rsid w:val="00AA1B60"/>
    <w:rsid w:val="00AA21EE"/>
    <w:rsid w:val="00AA293D"/>
    <w:rsid w:val="00AA39C3"/>
    <w:rsid w:val="00AA3A40"/>
    <w:rsid w:val="00AA3D21"/>
    <w:rsid w:val="00AA4F5F"/>
    <w:rsid w:val="00AA6CA4"/>
    <w:rsid w:val="00AB1788"/>
    <w:rsid w:val="00AB4244"/>
    <w:rsid w:val="00AB5293"/>
    <w:rsid w:val="00AB5604"/>
    <w:rsid w:val="00AB6DC2"/>
    <w:rsid w:val="00AB7DAB"/>
    <w:rsid w:val="00AC06FB"/>
    <w:rsid w:val="00AC0B37"/>
    <w:rsid w:val="00AC1C87"/>
    <w:rsid w:val="00AC3CBF"/>
    <w:rsid w:val="00AC4A87"/>
    <w:rsid w:val="00AC4BA6"/>
    <w:rsid w:val="00AC4EDA"/>
    <w:rsid w:val="00AC5160"/>
    <w:rsid w:val="00AD2CB7"/>
    <w:rsid w:val="00AD435F"/>
    <w:rsid w:val="00AD5DD3"/>
    <w:rsid w:val="00AD5E13"/>
    <w:rsid w:val="00AD7C0A"/>
    <w:rsid w:val="00AE2253"/>
    <w:rsid w:val="00AE28B9"/>
    <w:rsid w:val="00AE2EFC"/>
    <w:rsid w:val="00AE3CD2"/>
    <w:rsid w:val="00AE56B3"/>
    <w:rsid w:val="00AE5B19"/>
    <w:rsid w:val="00AE64F2"/>
    <w:rsid w:val="00AF0838"/>
    <w:rsid w:val="00AF0B61"/>
    <w:rsid w:val="00AF2ADA"/>
    <w:rsid w:val="00AF2C1A"/>
    <w:rsid w:val="00AF3717"/>
    <w:rsid w:val="00AF46F6"/>
    <w:rsid w:val="00AF56FA"/>
    <w:rsid w:val="00AF60BA"/>
    <w:rsid w:val="00AF7291"/>
    <w:rsid w:val="00AF76FE"/>
    <w:rsid w:val="00B01093"/>
    <w:rsid w:val="00B013FF"/>
    <w:rsid w:val="00B02229"/>
    <w:rsid w:val="00B052B0"/>
    <w:rsid w:val="00B05575"/>
    <w:rsid w:val="00B068D5"/>
    <w:rsid w:val="00B10C15"/>
    <w:rsid w:val="00B11A6A"/>
    <w:rsid w:val="00B13695"/>
    <w:rsid w:val="00B14367"/>
    <w:rsid w:val="00B14CBC"/>
    <w:rsid w:val="00B163D1"/>
    <w:rsid w:val="00B17A04"/>
    <w:rsid w:val="00B201F9"/>
    <w:rsid w:val="00B202CB"/>
    <w:rsid w:val="00B2047F"/>
    <w:rsid w:val="00B2051A"/>
    <w:rsid w:val="00B24391"/>
    <w:rsid w:val="00B2487B"/>
    <w:rsid w:val="00B24C80"/>
    <w:rsid w:val="00B26098"/>
    <w:rsid w:val="00B27A4F"/>
    <w:rsid w:val="00B31E31"/>
    <w:rsid w:val="00B32800"/>
    <w:rsid w:val="00B3354E"/>
    <w:rsid w:val="00B347B1"/>
    <w:rsid w:val="00B34BE3"/>
    <w:rsid w:val="00B364FD"/>
    <w:rsid w:val="00B36CF6"/>
    <w:rsid w:val="00B370F3"/>
    <w:rsid w:val="00B374F6"/>
    <w:rsid w:val="00B37C55"/>
    <w:rsid w:val="00B405B1"/>
    <w:rsid w:val="00B41B4C"/>
    <w:rsid w:val="00B425BC"/>
    <w:rsid w:val="00B42604"/>
    <w:rsid w:val="00B435A5"/>
    <w:rsid w:val="00B43F0B"/>
    <w:rsid w:val="00B46E14"/>
    <w:rsid w:val="00B50ED9"/>
    <w:rsid w:val="00B51050"/>
    <w:rsid w:val="00B5125D"/>
    <w:rsid w:val="00B512B1"/>
    <w:rsid w:val="00B517C0"/>
    <w:rsid w:val="00B5226E"/>
    <w:rsid w:val="00B5281A"/>
    <w:rsid w:val="00B5458E"/>
    <w:rsid w:val="00B5480B"/>
    <w:rsid w:val="00B5513E"/>
    <w:rsid w:val="00B55738"/>
    <w:rsid w:val="00B562E7"/>
    <w:rsid w:val="00B56A3A"/>
    <w:rsid w:val="00B57EE0"/>
    <w:rsid w:val="00B60BD0"/>
    <w:rsid w:val="00B60DFE"/>
    <w:rsid w:val="00B61CBB"/>
    <w:rsid w:val="00B62099"/>
    <w:rsid w:val="00B6296D"/>
    <w:rsid w:val="00B63EDA"/>
    <w:rsid w:val="00B64993"/>
    <w:rsid w:val="00B6614A"/>
    <w:rsid w:val="00B671D4"/>
    <w:rsid w:val="00B679E6"/>
    <w:rsid w:val="00B71245"/>
    <w:rsid w:val="00B73C4E"/>
    <w:rsid w:val="00B74330"/>
    <w:rsid w:val="00B7512E"/>
    <w:rsid w:val="00B753CF"/>
    <w:rsid w:val="00B7633E"/>
    <w:rsid w:val="00B76860"/>
    <w:rsid w:val="00B76EA8"/>
    <w:rsid w:val="00B7703B"/>
    <w:rsid w:val="00B83A40"/>
    <w:rsid w:val="00B840CB"/>
    <w:rsid w:val="00B8645A"/>
    <w:rsid w:val="00B91CB5"/>
    <w:rsid w:val="00B92FA8"/>
    <w:rsid w:val="00B96731"/>
    <w:rsid w:val="00B96C1D"/>
    <w:rsid w:val="00B97F7C"/>
    <w:rsid w:val="00BA0414"/>
    <w:rsid w:val="00BA044F"/>
    <w:rsid w:val="00BA1664"/>
    <w:rsid w:val="00BA16A7"/>
    <w:rsid w:val="00BA230F"/>
    <w:rsid w:val="00BA268E"/>
    <w:rsid w:val="00BA2886"/>
    <w:rsid w:val="00BA3E27"/>
    <w:rsid w:val="00BA4B66"/>
    <w:rsid w:val="00BA4D4D"/>
    <w:rsid w:val="00BA5B3E"/>
    <w:rsid w:val="00BA6270"/>
    <w:rsid w:val="00BA6E0F"/>
    <w:rsid w:val="00BB119C"/>
    <w:rsid w:val="00BB14D8"/>
    <w:rsid w:val="00BB34AB"/>
    <w:rsid w:val="00BB38A8"/>
    <w:rsid w:val="00BB4455"/>
    <w:rsid w:val="00BB498F"/>
    <w:rsid w:val="00BB4CC9"/>
    <w:rsid w:val="00BB6DE3"/>
    <w:rsid w:val="00BB75B0"/>
    <w:rsid w:val="00BC1DE3"/>
    <w:rsid w:val="00BC2534"/>
    <w:rsid w:val="00BC2E20"/>
    <w:rsid w:val="00BC33E1"/>
    <w:rsid w:val="00BC5512"/>
    <w:rsid w:val="00BC5681"/>
    <w:rsid w:val="00BC5F54"/>
    <w:rsid w:val="00BC7229"/>
    <w:rsid w:val="00BD09E5"/>
    <w:rsid w:val="00BD1E21"/>
    <w:rsid w:val="00BD204B"/>
    <w:rsid w:val="00BD20D2"/>
    <w:rsid w:val="00BD2244"/>
    <w:rsid w:val="00BD553B"/>
    <w:rsid w:val="00BD721C"/>
    <w:rsid w:val="00BD78EF"/>
    <w:rsid w:val="00BD7B51"/>
    <w:rsid w:val="00BE1126"/>
    <w:rsid w:val="00BE18C5"/>
    <w:rsid w:val="00BE373C"/>
    <w:rsid w:val="00BE54CF"/>
    <w:rsid w:val="00BE64B6"/>
    <w:rsid w:val="00BF32E3"/>
    <w:rsid w:val="00BF3BA3"/>
    <w:rsid w:val="00BF6744"/>
    <w:rsid w:val="00C00A95"/>
    <w:rsid w:val="00C05CBB"/>
    <w:rsid w:val="00C05DEE"/>
    <w:rsid w:val="00C065EE"/>
    <w:rsid w:val="00C06BCB"/>
    <w:rsid w:val="00C07004"/>
    <w:rsid w:val="00C07233"/>
    <w:rsid w:val="00C1156E"/>
    <w:rsid w:val="00C12E3B"/>
    <w:rsid w:val="00C13108"/>
    <w:rsid w:val="00C14E0A"/>
    <w:rsid w:val="00C15358"/>
    <w:rsid w:val="00C161FE"/>
    <w:rsid w:val="00C167A1"/>
    <w:rsid w:val="00C17B57"/>
    <w:rsid w:val="00C202B6"/>
    <w:rsid w:val="00C20F2E"/>
    <w:rsid w:val="00C20FDB"/>
    <w:rsid w:val="00C21250"/>
    <w:rsid w:val="00C2244C"/>
    <w:rsid w:val="00C25291"/>
    <w:rsid w:val="00C25B33"/>
    <w:rsid w:val="00C261F9"/>
    <w:rsid w:val="00C33DC6"/>
    <w:rsid w:val="00C36825"/>
    <w:rsid w:val="00C368B2"/>
    <w:rsid w:val="00C404DB"/>
    <w:rsid w:val="00C41A11"/>
    <w:rsid w:val="00C4290E"/>
    <w:rsid w:val="00C503E6"/>
    <w:rsid w:val="00C5108A"/>
    <w:rsid w:val="00C5129B"/>
    <w:rsid w:val="00C522D6"/>
    <w:rsid w:val="00C52FFD"/>
    <w:rsid w:val="00C53E2C"/>
    <w:rsid w:val="00C546CB"/>
    <w:rsid w:val="00C55405"/>
    <w:rsid w:val="00C55CA1"/>
    <w:rsid w:val="00C56193"/>
    <w:rsid w:val="00C57498"/>
    <w:rsid w:val="00C619CD"/>
    <w:rsid w:val="00C6230A"/>
    <w:rsid w:val="00C62A68"/>
    <w:rsid w:val="00C64AF3"/>
    <w:rsid w:val="00C653DA"/>
    <w:rsid w:val="00C65DE5"/>
    <w:rsid w:val="00C6635B"/>
    <w:rsid w:val="00C67B0D"/>
    <w:rsid w:val="00C67DCD"/>
    <w:rsid w:val="00C7020D"/>
    <w:rsid w:val="00C706EE"/>
    <w:rsid w:val="00C71156"/>
    <w:rsid w:val="00C71D3A"/>
    <w:rsid w:val="00C736B3"/>
    <w:rsid w:val="00C7372F"/>
    <w:rsid w:val="00C73D89"/>
    <w:rsid w:val="00C75EAC"/>
    <w:rsid w:val="00C761DF"/>
    <w:rsid w:val="00C7642D"/>
    <w:rsid w:val="00C85445"/>
    <w:rsid w:val="00C9726A"/>
    <w:rsid w:val="00C9771E"/>
    <w:rsid w:val="00C97E81"/>
    <w:rsid w:val="00CA0B39"/>
    <w:rsid w:val="00CA0F12"/>
    <w:rsid w:val="00CA1C98"/>
    <w:rsid w:val="00CA2A42"/>
    <w:rsid w:val="00CA3348"/>
    <w:rsid w:val="00CA3576"/>
    <w:rsid w:val="00CA7BA3"/>
    <w:rsid w:val="00CB0BB7"/>
    <w:rsid w:val="00CB19DE"/>
    <w:rsid w:val="00CB1A1A"/>
    <w:rsid w:val="00CB345B"/>
    <w:rsid w:val="00CB506B"/>
    <w:rsid w:val="00CB54AD"/>
    <w:rsid w:val="00CB5F11"/>
    <w:rsid w:val="00CB788B"/>
    <w:rsid w:val="00CC379E"/>
    <w:rsid w:val="00CC3917"/>
    <w:rsid w:val="00CC4B72"/>
    <w:rsid w:val="00CC5EB3"/>
    <w:rsid w:val="00CC606F"/>
    <w:rsid w:val="00CC758A"/>
    <w:rsid w:val="00CC76BE"/>
    <w:rsid w:val="00CD2085"/>
    <w:rsid w:val="00CD21B1"/>
    <w:rsid w:val="00CD2BB0"/>
    <w:rsid w:val="00CD2C3C"/>
    <w:rsid w:val="00CD4D18"/>
    <w:rsid w:val="00CD4E21"/>
    <w:rsid w:val="00CD553C"/>
    <w:rsid w:val="00CD5CCB"/>
    <w:rsid w:val="00CD6CA1"/>
    <w:rsid w:val="00CD703B"/>
    <w:rsid w:val="00CE12E7"/>
    <w:rsid w:val="00CE298C"/>
    <w:rsid w:val="00CE46F5"/>
    <w:rsid w:val="00CE4936"/>
    <w:rsid w:val="00CE5717"/>
    <w:rsid w:val="00CE5AFE"/>
    <w:rsid w:val="00CE5EAF"/>
    <w:rsid w:val="00CE5EC6"/>
    <w:rsid w:val="00CF0435"/>
    <w:rsid w:val="00CF28B6"/>
    <w:rsid w:val="00CF4581"/>
    <w:rsid w:val="00D001B3"/>
    <w:rsid w:val="00D00F0B"/>
    <w:rsid w:val="00D01D3F"/>
    <w:rsid w:val="00D03029"/>
    <w:rsid w:val="00D05606"/>
    <w:rsid w:val="00D0774F"/>
    <w:rsid w:val="00D12904"/>
    <w:rsid w:val="00D13AD0"/>
    <w:rsid w:val="00D13F8F"/>
    <w:rsid w:val="00D14403"/>
    <w:rsid w:val="00D15200"/>
    <w:rsid w:val="00D15A28"/>
    <w:rsid w:val="00D21B28"/>
    <w:rsid w:val="00D24FA0"/>
    <w:rsid w:val="00D25834"/>
    <w:rsid w:val="00D27158"/>
    <w:rsid w:val="00D30B5A"/>
    <w:rsid w:val="00D31281"/>
    <w:rsid w:val="00D31BAD"/>
    <w:rsid w:val="00D32548"/>
    <w:rsid w:val="00D33D51"/>
    <w:rsid w:val="00D34E8F"/>
    <w:rsid w:val="00D35DA1"/>
    <w:rsid w:val="00D371D4"/>
    <w:rsid w:val="00D37B53"/>
    <w:rsid w:val="00D40920"/>
    <w:rsid w:val="00D41807"/>
    <w:rsid w:val="00D42C10"/>
    <w:rsid w:val="00D43983"/>
    <w:rsid w:val="00D45F57"/>
    <w:rsid w:val="00D4680D"/>
    <w:rsid w:val="00D46E71"/>
    <w:rsid w:val="00D47CC3"/>
    <w:rsid w:val="00D47F8B"/>
    <w:rsid w:val="00D510D1"/>
    <w:rsid w:val="00D517C5"/>
    <w:rsid w:val="00D517F6"/>
    <w:rsid w:val="00D527A6"/>
    <w:rsid w:val="00D548AB"/>
    <w:rsid w:val="00D54E35"/>
    <w:rsid w:val="00D551E7"/>
    <w:rsid w:val="00D60313"/>
    <w:rsid w:val="00D60F32"/>
    <w:rsid w:val="00D61E83"/>
    <w:rsid w:val="00D630CC"/>
    <w:rsid w:val="00D6457F"/>
    <w:rsid w:val="00D64EB2"/>
    <w:rsid w:val="00D6563F"/>
    <w:rsid w:val="00D65EBC"/>
    <w:rsid w:val="00D67359"/>
    <w:rsid w:val="00D70E3E"/>
    <w:rsid w:val="00D71139"/>
    <w:rsid w:val="00D73270"/>
    <w:rsid w:val="00D745F2"/>
    <w:rsid w:val="00D7754D"/>
    <w:rsid w:val="00D8100D"/>
    <w:rsid w:val="00D81FCF"/>
    <w:rsid w:val="00D8382F"/>
    <w:rsid w:val="00D8514F"/>
    <w:rsid w:val="00D855D1"/>
    <w:rsid w:val="00D860FC"/>
    <w:rsid w:val="00D86266"/>
    <w:rsid w:val="00D9094E"/>
    <w:rsid w:val="00D90D22"/>
    <w:rsid w:val="00D91DF1"/>
    <w:rsid w:val="00DA0280"/>
    <w:rsid w:val="00DA133B"/>
    <w:rsid w:val="00DA2EF7"/>
    <w:rsid w:val="00DA41A0"/>
    <w:rsid w:val="00DA4606"/>
    <w:rsid w:val="00DA481D"/>
    <w:rsid w:val="00DA4886"/>
    <w:rsid w:val="00DA4D35"/>
    <w:rsid w:val="00DA5406"/>
    <w:rsid w:val="00DA6362"/>
    <w:rsid w:val="00DA7969"/>
    <w:rsid w:val="00DA7FAA"/>
    <w:rsid w:val="00DB0685"/>
    <w:rsid w:val="00DB24BA"/>
    <w:rsid w:val="00DB5234"/>
    <w:rsid w:val="00DB78B9"/>
    <w:rsid w:val="00DB7C1C"/>
    <w:rsid w:val="00DC1ACD"/>
    <w:rsid w:val="00DC2311"/>
    <w:rsid w:val="00DC325D"/>
    <w:rsid w:val="00DC41DD"/>
    <w:rsid w:val="00DC4276"/>
    <w:rsid w:val="00DC51A5"/>
    <w:rsid w:val="00DC5DC4"/>
    <w:rsid w:val="00DD03EC"/>
    <w:rsid w:val="00DD1A3A"/>
    <w:rsid w:val="00DD33D2"/>
    <w:rsid w:val="00DD36B2"/>
    <w:rsid w:val="00DD3BA3"/>
    <w:rsid w:val="00DD3DFE"/>
    <w:rsid w:val="00DD413F"/>
    <w:rsid w:val="00DD4C65"/>
    <w:rsid w:val="00DD6176"/>
    <w:rsid w:val="00DD6D99"/>
    <w:rsid w:val="00DD705D"/>
    <w:rsid w:val="00DD708C"/>
    <w:rsid w:val="00DE0CC1"/>
    <w:rsid w:val="00DE2990"/>
    <w:rsid w:val="00DE7645"/>
    <w:rsid w:val="00DE77D1"/>
    <w:rsid w:val="00DF06AD"/>
    <w:rsid w:val="00DF0F97"/>
    <w:rsid w:val="00DF1300"/>
    <w:rsid w:val="00DF14BE"/>
    <w:rsid w:val="00DF1761"/>
    <w:rsid w:val="00DF39B3"/>
    <w:rsid w:val="00DF5A39"/>
    <w:rsid w:val="00DF5C06"/>
    <w:rsid w:val="00DF7785"/>
    <w:rsid w:val="00E002FE"/>
    <w:rsid w:val="00E01200"/>
    <w:rsid w:val="00E028CD"/>
    <w:rsid w:val="00E02B00"/>
    <w:rsid w:val="00E02ED3"/>
    <w:rsid w:val="00E0471A"/>
    <w:rsid w:val="00E05144"/>
    <w:rsid w:val="00E067E0"/>
    <w:rsid w:val="00E0793B"/>
    <w:rsid w:val="00E11321"/>
    <w:rsid w:val="00E11C43"/>
    <w:rsid w:val="00E11FAF"/>
    <w:rsid w:val="00E132F5"/>
    <w:rsid w:val="00E14C43"/>
    <w:rsid w:val="00E16754"/>
    <w:rsid w:val="00E20765"/>
    <w:rsid w:val="00E2369D"/>
    <w:rsid w:val="00E24B44"/>
    <w:rsid w:val="00E259EC"/>
    <w:rsid w:val="00E268F9"/>
    <w:rsid w:val="00E32E69"/>
    <w:rsid w:val="00E33221"/>
    <w:rsid w:val="00E34009"/>
    <w:rsid w:val="00E34E24"/>
    <w:rsid w:val="00E352E7"/>
    <w:rsid w:val="00E3779B"/>
    <w:rsid w:val="00E402ED"/>
    <w:rsid w:val="00E4187B"/>
    <w:rsid w:val="00E42870"/>
    <w:rsid w:val="00E436DA"/>
    <w:rsid w:val="00E43FF3"/>
    <w:rsid w:val="00E456E7"/>
    <w:rsid w:val="00E47BFB"/>
    <w:rsid w:val="00E47EC3"/>
    <w:rsid w:val="00E47FB0"/>
    <w:rsid w:val="00E51E06"/>
    <w:rsid w:val="00E522A4"/>
    <w:rsid w:val="00E525CA"/>
    <w:rsid w:val="00E5320A"/>
    <w:rsid w:val="00E53240"/>
    <w:rsid w:val="00E53FBB"/>
    <w:rsid w:val="00E54498"/>
    <w:rsid w:val="00E57A2F"/>
    <w:rsid w:val="00E62498"/>
    <w:rsid w:val="00E62C0E"/>
    <w:rsid w:val="00E62C79"/>
    <w:rsid w:val="00E63DB4"/>
    <w:rsid w:val="00E64711"/>
    <w:rsid w:val="00E64BE9"/>
    <w:rsid w:val="00E64F2F"/>
    <w:rsid w:val="00E65418"/>
    <w:rsid w:val="00E717DF"/>
    <w:rsid w:val="00E72E60"/>
    <w:rsid w:val="00E74996"/>
    <w:rsid w:val="00E74B33"/>
    <w:rsid w:val="00E760FD"/>
    <w:rsid w:val="00E76277"/>
    <w:rsid w:val="00E76EDA"/>
    <w:rsid w:val="00E77CB5"/>
    <w:rsid w:val="00E81EDA"/>
    <w:rsid w:val="00E82AF6"/>
    <w:rsid w:val="00E85C05"/>
    <w:rsid w:val="00E87CC8"/>
    <w:rsid w:val="00E905DC"/>
    <w:rsid w:val="00E9208B"/>
    <w:rsid w:val="00E92FEE"/>
    <w:rsid w:val="00E937E1"/>
    <w:rsid w:val="00E946D5"/>
    <w:rsid w:val="00E96FD2"/>
    <w:rsid w:val="00E97AAA"/>
    <w:rsid w:val="00E97ECF"/>
    <w:rsid w:val="00EA2F63"/>
    <w:rsid w:val="00EA64C9"/>
    <w:rsid w:val="00EA6C31"/>
    <w:rsid w:val="00EB0875"/>
    <w:rsid w:val="00EB096C"/>
    <w:rsid w:val="00EB285C"/>
    <w:rsid w:val="00EB50E0"/>
    <w:rsid w:val="00EB6813"/>
    <w:rsid w:val="00EB79E8"/>
    <w:rsid w:val="00EC1ED2"/>
    <w:rsid w:val="00EC35D9"/>
    <w:rsid w:val="00EC3C7B"/>
    <w:rsid w:val="00EC4264"/>
    <w:rsid w:val="00EC428A"/>
    <w:rsid w:val="00EC4763"/>
    <w:rsid w:val="00EC4BB9"/>
    <w:rsid w:val="00EC5BD6"/>
    <w:rsid w:val="00EC7571"/>
    <w:rsid w:val="00ED0C3B"/>
    <w:rsid w:val="00ED0ECF"/>
    <w:rsid w:val="00ED3334"/>
    <w:rsid w:val="00ED4891"/>
    <w:rsid w:val="00ED5425"/>
    <w:rsid w:val="00EE0929"/>
    <w:rsid w:val="00EE0DE4"/>
    <w:rsid w:val="00EE3609"/>
    <w:rsid w:val="00EE3B18"/>
    <w:rsid w:val="00EE3B33"/>
    <w:rsid w:val="00EE55FA"/>
    <w:rsid w:val="00EE5C59"/>
    <w:rsid w:val="00EE6689"/>
    <w:rsid w:val="00EE6870"/>
    <w:rsid w:val="00EE7C6A"/>
    <w:rsid w:val="00EE7EB8"/>
    <w:rsid w:val="00EF0A38"/>
    <w:rsid w:val="00EF189C"/>
    <w:rsid w:val="00EF1B9A"/>
    <w:rsid w:val="00EF531C"/>
    <w:rsid w:val="00EF620C"/>
    <w:rsid w:val="00EF7D9E"/>
    <w:rsid w:val="00EF7FCE"/>
    <w:rsid w:val="00F000B4"/>
    <w:rsid w:val="00F00186"/>
    <w:rsid w:val="00F00258"/>
    <w:rsid w:val="00F0096E"/>
    <w:rsid w:val="00F01253"/>
    <w:rsid w:val="00F012A7"/>
    <w:rsid w:val="00F0235D"/>
    <w:rsid w:val="00F02663"/>
    <w:rsid w:val="00F034E9"/>
    <w:rsid w:val="00F03D4D"/>
    <w:rsid w:val="00F0401E"/>
    <w:rsid w:val="00F05531"/>
    <w:rsid w:val="00F06575"/>
    <w:rsid w:val="00F07D56"/>
    <w:rsid w:val="00F10581"/>
    <w:rsid w:val="00F1280C"/>
    <w:rsid w:val="00F129CC"/>
    <w:rsid w:val="00F131AF"/>
    <w:rsid w:val="00F13DFB"/>
    <w:rsid w:val="00F143B0"/>
    <w:rsid w:val="00F144D5"/>
    <w:rsid w:val="00F1750D"/>
    <w:rsid w:val="00F17926"/>
    <w:rsid w:val="00F20B55"/>
    <w:rsid w:val="00F213C5"/>
    <w:rsid w:val="00F21498"/>
    <w:rsid w:val="00F24BD4"/>
    <w:rsid w:val="00F2638E"/>
    <w:rsid w:val="00F31541"/>
    <w:rsid w:val="00F33954"/>
    <w:rsid w:val="00F34DCF"/>
    <w:rsid w:val="00F350B1"/>
    <w:rsid w:val="00F360CC"/>
    <w:rsid w:val="00F375CD"/>
    <w:rsid w:val="00F40DD6"/>
    <w:rsid w:val="00F42121"/>
    <w:rsid w:val="00F44A89"/>
    <w:rsid w:val="00F4576B"/>
    <w:rsid w:val="00F4577B"/>
    <w:rsid w:val="00F4582C"/>
    <w:rsid w:val="00F45B37"/>
    <w:rsid w:val="00F46650"/>
    <w:rsid w:val="00F505AB"/>
    <w:rsid w:val="00F507DA"/>
    <w:rsid w:val="00F5101F"/>
    <w:rsid w:val="00F520C5"/>
    <w:rsid w:val="00F524BB"/>
    <w:rsid w:val="00F53DF7"/>
    <w:rsid w:val="00F53E9B"/>
    <w:rsid w:val="00F56A42"/>
    <w:rsid w:val="00F57515"/>
    <w:rsid w:val="00F601D4"/>
    <w:rsid w:val="00F6029F"/>
    <w:rsid w:val="00F6055D"/>
    <w:rsid w:val="00F60CBD"/>
    <w:rsid w:val="00F62A09"/>
    <w:rsid w:val="00F63670"/>
    <w:rsid w:val="00F63B88"/>
    <w:rsid w:val="00F64732"/>
    <w:rsid w:val="00F65475"/>
    <w:rsid w:val="00F664FC"/>
    <w:rsid w:val="00F667B0"/>
    <w:rsid w:val="00F66E45"/>
    <w:rsid w:val="00F6706D"/>
    <w:rsid w:val="00F71BA8"/>
    <w:rsid w:val="00F71D67"/>
    <w:rsid w:val="00F72214"/>
    <w:rsid w:val="00F72373"/>
    <w:rsid w:val="00F725BE"/>
    <w:rsid w:val="00F7427D"/>
    <w:rsid w:val="00F76846"/>
    <w:rsid w:val="00F7749F"/>
    <w:rsid w:val="00F816A1"/>
    <w:rsid w:val="00F82578"/>
    <w:rsid w:val="00F82E8A"/>
    <w:rsid w:val="00F83011"/>
    <w:rsid w:val="00F83231"/>
    <w:rsid w:val="00F837CF"/>
    <w:rsid w:val="00F84546"/>
    <w:rsid w:val="00F87D8B"/>
    <w:rsid w:val="00F87DF5"/>
    <w:rsid w:val="00F91705"/>
    <w:rsid w:val="00F92250"/>
    <w:rsid w:val="00F923C9"/>
    <w:rsid w:val="00F945AE"/>
    <w:rsid w:val="00F962E9"/>
    <w:rsid w:val="00F96D2B"/>
    <w:rsid w:val="00F972C8"/>
    <w:rsid w:val="00FA270E"/>
    <w:rsid w:val="00FA30A2"/>
    <w:rsid w:val="00FA3617"/>
    <w:rsid w:val="00FA3FFF"/>
    <w:rsid w:val="00FA50FE"/>
    <w:rsid w:val="00FA6237"/>
    <w:rsid w:val="00FA62B4"/>
    <w:rsid w:val="00FB0844"/>
    <w:rsid w:val="00FB3146"/>
    <w:rsid w:val="00FB4903"/>
    <w:rsid w:val="00FB525B"/>
    <w:rsid w:val="00FC0D91"/>
    <w:rsid w:val="00FC12B5"/>
    <w:rsid w:val="00FC1575"/>
    <w:rsid w:val="00FC17E1"/>
    <w:rsid w:val="00FC428E"/>
    <w:rsid w:val="00FC4410"/>
    <w:rsid w:val="00FC4745"/>
    <w:rsid w:val="00FC4C7D"/>
    <w:rsid w:val="00FD02D6"/>
    <w:rsid w:val="00FD1FEA"/>
    <w:rsid w:val="00FD2373"/>
    <w:rsid w:val="00FD28D4"/>
    <w:rsid w:val="00FD5429"/>
    <w:rsid w:val="00FD5EA2"/>
    <w:rsid w:val="00FD63EF"/>
    <w:rsid w:val="00FD7DDD"/>
    <w:rsid w:val="00FE09E7"/>
    <w:rsid w:val="00FE11C4"/>
    <w:rsid w:val="00FE178F"/>
    <w:rsid w:val="00FE1D21"/>
    <w:rsid w:val="00FE2034"/>
    <w:rsid w:val="00FE2F98"/>
    <w:rsid w:val="00FE575E"/>
    <w:rsid w:val="00FE7A4F"/>
    <w:rsid w:val="00FF0C5A"/>
    <w:rsid w:val="00FF2841"/>
    <w:rsid w:val="00FF4703"/>
    <w:rsid w:val="00FF5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09D76C"/>
  <w15:docId w15:val="{CFE4222A-EAD6-4D8C-9E49-8CAD9EE3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1259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Tekstpodstawowy">
    <w:name w:val="Body Text"/>
    <w:aliases w:val="bt,b,block style,szaro,Tekst podstawowy Znak Znak Znak Znak Znak Znak Znak Znak,wypunktowanie,b1,aga,Tekst podstawowyG,Body Text Char,Telo besedila Znak1 Char,Telo besedila Znak Znak Char"/>
    <w:basedOn w:val="Normalny"/>
    <w:link w:val="TekstpodstawowyZnak"/>
    <w:rsid w:val="00E436DA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aliases w:val="bt Znak,b Znak,block style Znak,szaro Znak,Tekst podstawowy Znak Znak Znak Znak Znak Znak Znak Znak Znak,wypunktowanie Znak,b1 Znak,aga Znak,Tekst podstawowyG Znak,Body Text Char Znak,Telo besedila Znak1 Char Znak"/>
    <w:basedOn w:val="Domylnaczcionkaakapitu"/>
    <w:link w:val="Tekstpodstawowy"/>
    <w:rsid w:val="00E436DA"/>
    <w:rPr>
      <w:rFonts w:ascii="Times New Roman" w:eastAsia="Times New Roman" w:hAnsi="Times New Roman"/>
      <w:sz w:val="24"/>
    </w:r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Pl,Tekst przypis"/>
    <w:basedOn w:val="Normalny"/>
    <w:link w:val="TekstprzypisudolnegoZnak"/>
    <w:uiPriority w:val="99"/>
    <w:unhideWhenUsed/>
    <w:rsid w:val="008F4709"/>
    <w:rPr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Pl Znak,Tekst przypis Znak"/>
    <w:basedOn w:val="Domylnaczcionkaakapitu"/>
    <w:link w:val="Tekstprzypisudolnego"/>
    <w:uiPriority w:val="99"/>
    <w:rsid w:val="008F4709"/>
    <w:rPr>
      <w:lang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Times 10 Point,Exposant 3 Point,EN Footnote Refer,BVI fnr,(Footnote Reference),Voetnootverwijzing"/>
    <w:basedOn w:val="Domylnaczcionkaakapitu"/>
    <w:uiPriority w:val="99"/>
    <w:unhideWhenUsed/>
    <w:rsid w:val="008F4709"/>
    <w:rPr>
      <w:vertAlign w:val="superscript"/>
    </w:rPr>
  </w:style>
  <w:style w:type="paragraph" w:customStyle="1" w:styleId="Text1">
    <w:name w:val="Text 1"/>
    <w:basedOn w:val="Normalny"/>
    <w:link w:val="Text1Char"/>
    <w:rsid w:val="000B1B82"/>
    <w:pPr>
      <w:spacing w:before="120" w:after="120"/>
      <w:ind w:left="850"/>
      <w:jc w:val="both"/>
    </w:pPr>
    <w:rPr>
      <w:rFonts w:ascii="Times New Roman" w:eastAsia="Times New Roman" w:hAnsi="Times New Roman"/>
      <w:lang w:val="en-GB" w:eastAsia="de-DE"/>
    </w:rPr>
  </w:style>
  <w:style w:type="paragraph" w:styleId="NormalnyWeb">
    <w:name w:val="Normal (Web)"/>
    <w:basedOn w:val="Normalny"/>
    <w:uiPriority w:val="99"/>
    <w:rsid w:val="000B1B8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rsid w:val="000B1B82"/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Akapitzlist">
    <w:name w:val="List Paragraph"/>
    <w:aliases w:val="Listaszerű bekezdés1,List Paragraph à moi,Dot pt,F5 List Paragraph,Numbered Para 1,No Spacing1,List Paragraph Char Char Char,Indicator Text,Bullet Points,MAIN CONTENT,IFCL - List Paragraph,OBC Bullet,LISTA,List Paragraph1,Recommendation,2"/>
    <w:basedOn w:val="Normalny"/>
    <w:link w:val="AkapitzlistZnak"/>
    <w:uiPriority w:val="34"/>
    <w:qFormat/>
    <w:rsid w:val="000B1B82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AkapitzlistZnak">
    <w:name w:val="Akapit z listą Znak"/>
    <w:aliases w:val="Listaszerű bekezdés1 Znak,List Paragraph à moi Znak,Dot pt Znak,F5 List Paragraph Znak,Numbered Para 1 Znak,No Spacing1 Znak,List Paragraph Char Char Char Znak,Indicator Text Znak,Bullet Points Znak,MAIN CONTENT Znak,OBC Bullet Znak"/>
    <w:link w:val="Akapitzlist"/>
    <w:uiPriority w:val="34"/>
    <w:qFormat/>
    <w:rsid w:val="000B1B82"/>
    <w:rPr>
      <w:rFonts w:ascii="Times New Roman" w:eastAsia="Calibr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72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002F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C20F2E"/>
    <w:rPr>
      <w:i/>
      <w:iCs/>
    </w:rPr>
  </w:style>
  <w:style w:type="character" w:styleId="Odwoaniedokomentarza">
    <w:name w:val="annotation reference"/>
    <w:basedOn w:val="Domylnaczcionkaakapitu"/>
    <w:uiPriority w:val="99"/>
    <w:unhideWhenUsed/>
    <w:rsid w:val="00C20F2E"/>
  </w:style>
  <w:style w:type="paragraph" w:styleId="Tekstkomentarza">
    <w:name w:val="annotation text"/>
    <w:basedOn w:val="Normalny"/>
    <w:link w:val="TekstkomentarzaZnak"/>
    <w:uiPriority w:val="99"/>
    <w:unhideWhenUsed/>
    <w:rsid w:val="00795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7A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25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9125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71"/>
    <w:rsid w:val="003007D0"/>
    <w:rPr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592F7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92F7C"/>
    <w:rPr>
      <w:rFonts w:ascii="EUAlbertina" w:hAnsi="EUAlbertina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53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534"/>
    <w:rPr>
      <w:vertAlign w:val="superscript"/>
    </w:rPr>
  </w:style>
  <w:style w:type="paragraph" w:customStyle="1" w:styleId="astandard3320titre">
    <w:name w:val="a_standard__33__20_titre"/>
    <w:basedOn w:val="Normalny"/>
    <w:rsid w:val="00FE2F98"/>
    <w:pPr>
      <w:spacing w:before="240" w:after="60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F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0number">
    <w:name w:val="Point 0 (number)"/>
    <w:basedOn w:val="Normalny"/>
    <w:rsid w:val="00E14C43"/>
    <w:pPr>
      <w:numPr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oint1number">
    <w:name w:val="Point 1 (number)"/>
    <w:basedOn w:val="Normalny"/>
    <w:rsid w:val="00E14C43"/>
    <w:pPr>
      <w:numPr>
        <w:ilvl w:val="2"/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oint2number">
    <w:name w:val="Point 2 (number)"/>
    <w:basedOn w:val="Normalny"/>
    <w:rsid w:val="00E14C43"/>
    <w:pPr>
      <w:numPr>
        <w:ilvl w:val="4"/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oint3number">
    <w:name w:val="Point 3 (number)"/>
    <w:basedOn w:val="Normalny"/>
    <w:rsid w:val="00E14C43"/>
    <w:pPr>
      <w:numPr>
        <w:ilvl w:val="6"/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oint0letter">
    <w:name w:val="Point 0 (letter)"/>
    <w:basedOn w:val="Normalny"/>
    <w:rsid w:val="00E14C43"/>
    <w:pPr>
      <w:numPr>
        <w:ilvl w:val="1"/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oint1letter">
    <w:name w:val="Point 1 (letter)"/>
    <w:basedOn w:val="Normalny"/>
    <w:rsid w:val="00E14C43"/>
    <w:pPr>
      <w:numPr>
        <w:ilvl w:val="3"/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oint2letter">
    <w:name w:val="Point 2 (letter)"/>
    <w:basedOn w:val="Normalny"/>
    <w:rsid w:val="00E14C43"/>
    <w:pPr>
      <w:numPr>
        <w:ilvl w:val="5"/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oint3letter">
    <w:name w:val="Point 3 (letter)"/>
    <w:basedOn w:val="Normalny"/>
    <w:rsid w:val="00E14C43"/>
    <w:pPr>
      <w:numPr>
        <w:ilvl w:val="7"/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oint4letter">
    <w:name w:val="Point 4 (letter)"/>
    <w:basedOn w:val="Normalny"/>
    <w:rsid w:val="00E14C43"/>
    <w:pPr>
      <w:numPr>
        <w:ilvl w:val="8"/>
        <w:numId w:val="12"/>
      </w:numPr>
      <w:spacing w:before="120" w:after="120"/>
      <w:jc w:val="both"/>
    </w:pPr>
    <w:rPr>
      <w:rFonts w:ascii="Times New Roman" w:eastAsiaTheme="minorHAnsi" w:hAnsi="Times New Roman"/>
      <w:szCs w:val="22"/>
      <w:lang w:val="en-GB"/>
    </w:rPr>
  </w:style>
  <w:style w:type="paragraph" w:customStyle="1" w:styleId="Pa14">
    <w:name w:val="Pa14"/>
    <w:basedOn w:val="Default"/>
    <w:next w:val="Default"/>
    <w:uiPriority w:val="99"/>
    <w:rsid w:val="00766736"/>
    <w:pPr>
      <w:spacing w:line="201" w:lineRule="atLeast"/>
    </w:pPr>
    <w:rPr>
      <w:rFonts w:ascii="Myriad Pro" w:hAnsi="Myriad Pro" w:cs="Times New Roman"/>
      <w:color w:val="auto"/>
    </w:rPr>
  </w:style>
  <w:style w:type="paragraph" w:customStyle="1" w:styleId="astandard3520normal">
    <w:name w:val="a_standard__35__20_normal"/>
    <w:basedOn w:val="Normalny"/>
    <w:rsid w:val="0029727F"/>
    <w:pPr>
      <w:spacing w:after="120"/>
      <w:ind w:right="57"/>
      <w:jc w:val="both"/>
    </w:pPr>
    <w:rPr>
      <w:rFonts w:ascii="Times New Roman" w:eastAsia="Times New Roman" w:hAnsi="Times New Roman"/>
      <w:lang w:eastAsia="pl-PL"/>
    </w:rPr>
  </w:style>
  <w:style w:type="paragraph" w:customStyle="1" w:styleId="NormalCentered">
    <w:name w:val="Normal Centered"/>
    <w:basedOn w:val="Normalny"/>
    <w:rsid w:val="009C20C4"/>
    <w:pPr>
      <w:spacing w:before="120" w:after="120"/>
      <w:jc w:val="center"/>
    </w:pPr>
    <w:rPr>
      <w:rFonts w:ascii="Times New Roman" w:eastAsia="Times New Roman" w:hAnsi="Times New Roman"/>
      <w:lang w:val="en-GB" w:eastAsia="en-GB"/>
    </w:rPr>
  </w:style>
  <w:style w:type="paragraph" w:customStyle="1" w:styleId="NormalRight">
    <w:name w:val="Normal Right"/>
    <w:basedOn w:val="Normalny"/>
    <w:rsid w:val="009C20C4"/>
    <w:pPr>
      <w:spacing w:before="120" w:after="120"/>
      <w:jc w:val="right"/>
    </w:pPr>
    <w:rPr>
      <w:rFonts w:ascii="Times New Roman" w:eastAsia="Times New Roman" w:hAnsi="Times New Roman"/>
      <w:lang w:val="en-GB" w:eastAsia="en-GB"/>
    </w:rPr>
  </w:style>
  <w:style w:type="paragraph" w:customStyle="1" w:styleId="NormalLeft">
    <w:name w:val="Normal Left"/>
    <w:basedOn w:val="Normalny"/>
    <w:rsid w:val="009C20C4"/>
    <w:pPr>
      <w:spacing w:before="120" w:after="120"/>
    </w:pPr>
    <w:rPr>
      <w:rFonts w:ascii="Times New Roman" w:eastAsia="Times New Roman" w:hAnsi="Times New Roman"/>
      <w:lang w:val="en-GB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48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8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47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0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6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7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3977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1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015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9151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FFFFF"/>
                                    <w:left w:val="none" w:sz="0" w:space="8" w:color="FFFFFF"/>
                                    <w:bottom w:val="none" w:sz="0" w:space="8" w:color="FFFFFF"/>
                                    <w:right w:val="none" w:sz="0" w:space="8" w:color="FFFFFF"/>
                                  </w:divBdr>
                                  <w:divsChild>
                                    <w:div w:id="1689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35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2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9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531">
          <w:marLeft w:val="0"/>
          <w:marRight w:val="0"/>
          <w:marTop w:val="0"/>
          <w:marBottom w:val="0"/>
          <w:divBdr>
            <w:top w:val="single" w:sz="6" w:space="2" w:color="BDCADF"/>
            <w:left w:val="single" w:sz="6" w:space="2" w:color="BDCADF"/>
            <w:bottom w:val="single" w:sz="6" w:space="2" w:color="BDCADF"/>
            <w:right w:val="single" w:sz="6" w:space="2" w:color="BDCADF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oje%20dokumenty\Szablony\ok\Serwer\Pismo_podpis_z_upowaz_lub_w_zast_Ministra_Finansow_mf_p1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293B-355A-4BD4-ADD2-61FE2B38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Pismo_podpis_z_upowaz_lub_w_zast_Ministra_Finansow_mf_p1-2</Template>
  <TotalTime>0</TotalTime>
  <Pages>5</Pages>
  <Words>1622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Kempiński Karol</cp:lastModifiedBy>
  <cp:revision>3</cp:revision>
  <cp:lastPrinted>2019-07-12T13:44:00Z</cp:lastPrinted>
  <dcterms:created xsi:type="dcterms:W3CDTF">2019-07-26T08:04:00Z</dcterms:created>
  <dcterms:modified xsi:type="dcterms:W3CDTF">2019-07-26T08:07:00Z</dcterms:modified>
</cp:coreProperties>
</file>