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0AF4" w14:textId="382FBBD6" w:rsidR="005C22E9" w:rsidRDefault="00E02B18" w:rsidP="00024C5E">
      <w:pPr>
        <w:spacing w:after="0" w:line="360" w:lineRule="auto"/>
        <w:rPr>
          <w:rFonts w:ascii="Arial" w:hAnsi="Arial" w:cs="Arial"/>
          <w:b/>
        </w:rPr>
      </w:pPr>
      <w:r>
        <w:rPr>
          <w:rFonts w:ascii="Arial" w:hAnsi="Arial" w:cs="Arial"/>
          <w:b/>
        </w:rPr>
        <w:t xml:space="preserve">Załącznik nr </w:t>
      </w:r>
      <w:r w:rsidR="00FA127B">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39CC8375"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w:t>
      </w:r>
      <w:r w:rsidR="00F678A6">
        <w:rPr>
          <w:rFonts w:ascii="Arial" w:hAnsi="Arial" w:cs="Arial"/>
        </w:rPr>
        <w:t xml:space="preserve"> </w:t>
      </w:r>
      <w:r w:rsidR="002754F9" w:rsidRPr="005652E8">
        <w:rPr>
          <w:rFonts w:ascii="Arial" w:hAnsi="Arial" w:cs="Arial"/>
        </w:rPr>
        <w:t xml:space="preserve">nałożenia obowiązku przeprowadzenia działań naprawczych w związku z wystąpieniem szkody w środowisku w powierzchni ziemi </w:t>
      </w:r>
      <w:r w:rsidR="00024C5E">
        <w:rPr>
          <w:rFonts w:ascii="Arial" w:hAnsi="Arial" w:cs="Arial"/>
        </w:rPr>
        <w:t xml:space="preserve">w tym do danych </w:t>
      </w:r>
      <w:r w:rsidR="00F678A6">
        <w:rPr>
          <w:rFonts w:ascii="Arial" w:hAnsi="Arial" w:cs="Arial"/>
        </w:rPr>
        <w:t>osób fizycznych prowadzących lub które prowadziły działalność gospodarczą na terenie badań</w:t>
      </w:r>
      <w:r w:rsidR="00024C5E" w:rsidRPr="0082515B">
        <w:rPr>
          <w:rFonts w:ascii="Arial" w:hAnsi="Arial" w:cs="Arial"/>
        </w:rPr>
        <w:t xml:space="preserve">. Dane </w:t>
      </w:r>
      <w:r w:rsidR="00024C5E" w:rsidRPr="0082515B">
        <w:rPr>
          <w:rFonts w:ascii="Arial" w:hAnsi="Arial" w:cs="Arial"/>
        </w:rPr>
        <w:lastRenderedPageBreak/>
        <w:t xml:space="preserve">będą miały formę  </w:t>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lastRenderedPageBreak/>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6445E"/>
    <w:rsid w:val="00164D1B"/>
    <w:rsid w:val="0017034F"/>
    <w:rsid w:val="00176400"/>
    <w:rsid w:val="001B0505"/>
    <w:rsid w:val="001B2B2D"/>
    <w:rsid w:val="001C25C8"/>
    <w:rsid w:val="001E60C7"/>
    <w:rsid w:val="0021432C"/>
    <w:rsid w:val="00237C92"/>
    <w:rsid w:val="002754F9"/>
    <w:rsid w:val="00293713"/>
    <w:rsid w:val="00293B42"/>
    <w:rsid w:val="00297502"/>
    <w:rsid w:val="00303377"/>
    <w:rsid w:val="003411B6"/>
    <w:rsid w:val="00345C41"/>
    <w:rsid w:val="00364D1D"/>
    <w:rsid w:val="00381A57"/>
    <w:rsid w:val="0039057D"/>
    <w:rsid w:val="003A2579"/>
    <w:rsid w:val="003D07E0"/>
    <w:rsid w:val="003E058C"/>
    <w:rsid w:val="003F02F7"/>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A31E4"/>
    <w:rsid w:val="009C1A05"/>
    <w:rsid w:val="009D3998"/>
    <w:rsid w:val="009D3E2F"/>
    <w:rsid w:val="00A05509"/>
    <w:rsid w:val="00A1465F"/>
    <w:rsid w:val="00A15C40"/>
    <w:rsid w:val="00A87B11"/>
    <w:rsid w:val="00AA3707"/>
    <w:rsid w:val="00AC097A"/>
    <w:rsid w:val="00AC5D29"/>
    <w:rsid w:val="00B759AF"/>
    <w:rsid w:val="00BB5773"/>
    <w:rsid w:val="00BF1823"/>
    <w:rsid w:val="00C04812"/>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678A6"/>
    <w:rsid w:val="00F70694"/>
    <w:rsid w:val="00FA127B"/>
    <w:rsid w:val="00FA61DA"/>
    <w:rsid w:val="00FB23B5"/>
    <w:rsid w:val="00FC1698"/>
    <w:rsid w:val="00FE66BE"/>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1360</Words>
  <Characters>8162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2024-05-15T07:02:00Z</cp:lastPrinted>
  <dcterms:created xsi:type="dcterms:W3CDTF">2024-05-14T10:12:00Z</dcterms:created>
  <dcterms:modified xsi:type="dcterms:W3CDTF">2024-05-15T07:10:00Z</dcterms:modified>
</cp:coreProperties>
</file>