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75E7" w14:textId="77777777" w:rsidR="00C53D74" w:rsidRDefault="00000000">
      <w:pPr>
        <w:ind w:left="8523" w:right="-29"/>
        <w:rPr>
          <w:rFonts w:ascii="Times New Roman"/>
          <w:sz w:val="20"/>
        </w:rPr>
      </w:pPr>
      <w:r>
        <w:rPr>
          <w:rFonts w:ascii="Times New Roman"/>
          <w:noProof/>
          <w:sz w:val="20"/>
        </w:rPr>
        <w:drawing>
          <wp:inline distT="0" distB="0" distL="0" distR="0" wp14:anchorId="1FFDC5EE" wp14:editId="659EEDD0">
            <wp:extent cx="1415408" cy="37299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15408" cy="372999"/>
                    </a:xfrm>
                    <a:prstGeom prst="rect">
                      <a:avLst/>
                    </a:prstGeom>
                  </pic:spPr>
                </pic:pic>
              </a:graphicData>
            </a:graphic>
          </wp:inline>
        </w:drawing>
      </w:r>
    </w:p>
    <w:p w14:paraId="75870FAF" w14:textId="77777777" w:rsidR="00C53D74" w:rsidRDefault="00C53D74">
      <w:pPr>
        <w:pStyle w:val="Tekstpodstawowy"/>
        <w:ind w:left="0"/>
        <w:jc w:val="left"/>
        <w:rPr>
          <w:rFonts w:ascii="Times New Roman"/>
        </w:rPr>
      </w:pPr>
    </w:p>
    <w:p w14:paraId="59719493" w14:textId="77777777" w:rsidR="00C53D74" w:rsidRDefault="00C53D74">
      <w:pPr>
        <w:pStyle w:val="Tekstpodstawowy"/>
        <w:ind w:left="0"/>
        <w:jc w:val="left"/>
        <w:rPr>
          <w:rFonts w:ascii="Times New Roman"/>
        </w:rPr>
      </w:pPr>
    </w:p>
    <w:p w14:paraId="755DA9BC" w14:textId="77777777" w:rsidR="00C53D74" w:rsidRDefault="00C53D74">
      <w:pPr>
        <w:pStyle w:val="Tekstpodstawowy"/>
        <w:spacing w:before="62"/>
        <w:ind w:left="0"/>
        <w:jc w:val="left"/>
        <w:rPr>
          <w:rFonts w:ascii="Times New Roman"/>
        </w:rPr>
      </w:pPr>
    </w:p>
    <w:p w14:paraId="25458570" w14:textId="77777777" w:rsidR="00C53D74" w:rsidRPr="00556C86" w:rsidRDefault="00000000">
      <w:pPr>
        <w:pStyle w:val="Tekstpodstawowy"/>
        <w:ind w:left="0" w:right="32"/>
        <w:jc w:val="right"/>
        <w:rPr>
          <w:lang w:val="pl-PL"/>
        </w:rPr>
      </w:pPr>
      <w:r>
        <w:rPr>
          <w:noProof/>
        </w:rPr>
        <mc:AlternateContent>
          <mc:Choice Requires="wps">
            <w:drawing>
              <wp:anchor distT="0" distB="0" distL="0" distR="0" simplePos="0" relativeHeight="251658240" behindDoc="0" locked="0" layoutInCell="1" allowOverlap="1" wp14:anchorId="1D1620CD" wp14:editId="74F522F3">
                <wp:simplePos x="0" y="0"/>
                <wp:positionH relativeFrom="page">
                  <wp:posOffset>429768</wp:posOffset>
                </wp:positionH>
                <wp:positionV relativeFrom="paragraph">
                  <wp:posOffset>165135</wp:posOffset>
                </wp:positionV>
                <wp:extent cx="6764020" cy="12700"/>
                <wp:effectExtent l="0" t="0" r="0" b="0"/>
                <wp:wrapNone/>
                <wp:docPr id="2" name="Graphic 2"/>
                <wp:cNvGraphicFramePr/>
                <a:graphic xmlns:a="http://schemas.openxmlformats.org/drawingml/2006/main">
                  <a:graphicData uri="http://schemas.microsoft.com/office/word/2010/wordprocessingShape">
                    <wps:wsp>
                      <wps:cNvSpPr/>
                      <wps:spPr>
                        <a:xfrm>
                          <a:off x="0" y="0"/>
                          <a:ext cx="6764020" cy="12700"/>
                        </a:xfrm>
                        <a:custGeom>
                          <a:avLst/>
                          <a:gdLst/>
                          <a:ahLst/>
                          <a:cxnLst/>
                          <a:rect l="l" t="t" r="r" b="b"/>
                          <a:pathLst>
                            <a:path w="6764020" h="12700">
                              <a:moveTo>
                                <a:pt x="6763499" y="0"/>
                              </a:moveTo>
                              <a:lnTo>
                                <a:pt x="6763499" y="0"/>
                              </a:lnTo>
                              <a:lnTo>
                                <a:pt x="0" y="0"/>
                              </a:lnTo>
                              <a:lnTo>
                                <a:pt x="0" y="12192"/>
                              </a:lnTo>
                              <a:lnTo>
                                <a:pt x="6763499" y="12192"/>
                              </a:lnTo>
                              <a:lnTo>
                                <a:pt x="6763499"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7E575182" id="Graphic 2" o:spid="_x0000_s1026" style="position:absolute;margin-left:33.85pt;margin-top:13pt;width:532.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764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" path="m6763499,r,l,,,12192r6763499,l6763499,xe" fillcolor="gray" stroked="f">
                <v:path arrowok="t"/>
                <w10:wrap anchorx="page"/>
              </v:shape>
            </w:pict>
          </mc:Fallback>
        </mc:AlternateContent>
      </w:r>
      <w:r>
        <w:rPr>
          <w:noProof/>
        </w:rPr>
        <w:drawing>
          <wp:anchor distT="0" distB="0" distL="0" distR="0" simplePos="0" relativeHeight="251660288" behindDoc="0" locked="0" layoutInCell="1" allowOverlap="1" wp14:anchorId="7B4AB33E" wp14:editId="7BCB522C">
            <wp:simplePos x="0" y="0"/>
            <wp:positionH relativeFrom="page">
              <wp:posOffset>442595</wp:posOffset>
            </wp:positionH>
            <wp:positionV relativeFrom="paragraph">
              <wp:posOffset>-767894</wp:posOffset>
            </wp:positionV>
            <wp:extent cx="2391409" cy="88454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91409" cy="884549"/>
                    </a:xfrm>
                    <a:prstGeom prst="rect">
                      <a:avLst/>
                    </a:prstGeom>
                  </pic:spPr>
                </pic:pic>
              </a:graphicData>
            </a:graphic>
          </wp:anchor>
        </w:drawing>
      </w:r>
      <w:r w:rsidRPr="00556C86">
        <w:rPr>
          <w:w w:val="125"/>
          <w:lang w:val="pl-PL"/>
        </w:rPr>
        <w:t xml:space="preserve">Arkusz informacyjny – Sport a </w:t>
      </w:r>
      <w:r w:rsidRPr="00556C86">
        <w:rPr>
          <w:spacing w:val="-4"/>
          <w:w w:val="125"/>
          <w:lang w:val="pl-PL"/>
        </w:rPr>
        <w:t>EKPC</w:t>
      </w:r>
    </w:p>
    <w:p w14:paraId="771CE224" w14:textId="77777777" w:rsidR="00C53D74" w:rsidRPr="00556C86" w:rsidRDefault="00C53D74">
      <w:pPr>
        <w:pStyle w:val="Tekstpodstawowy"/>
        <w:spacing w:before="116"/>
        <w:ind w:left="0"/>
        <w:jc w:val="left"/>
        <w:rPr>
          <w:sz w:val="18"/>
          <w:lang w:val="pl-PL"/>
        </w:rPr>
      </w:pPr>
    </w:p>
    <w:p w14:paraId="2A1C71B8" w14:textId="77777777" w:rsidR="00C53D74" w:rsidRPr="00556C86" w:rsidRDefault="00000000">
      <w:pPr>
        <w:spacing w:before="1"/>
        <w:ind w:left="4387" w:right="869" w:firstLine="4063"/>
        <w:rPr>
          <w:sz w:val="18"/>
          <w:lang w:val="pl-PL"/>
        </w:rPr>
      </w:pPr>
      <w:r w:rsidRPr="00556C86">
        <w:rPr>
          <w:color w:val="EB7E12"/>
          <w:spacing w:val="-2"/>
          <w:w w:val="125"/>
          <w:sz w:val="18"/>
          <w:lang w:val="pl-PL"/>
        </w:rPr>
        <w:t xml:space="preserve">Listopad 2023 </w:t>
      </w:r>
      <w:r w:rsidRPr="00556C86">
        <w:rPr>
          <w:color w:val="EB7E12"/>
          <w:w w:val="125"/>
          <w:sz w:val="18"/>
          <w:lang w:val="pl-PL"/>
        </w:rPr>
        <w:t xml:space="preserve">Niniejsza nota informacyjna nie jest wiążąca dla Trybunału i nie ma </w:t>
      </w:r>
      <w:r w:rsidRPr="00556C86">
        <w:rPr>
          <w:color w:val="EB7E12"/>
          <w:spacing w:val="-2"/>
          <w:w w:val="125"/>
          <w:sz w:val="18"/>
          <w:lang w:val="pl-PL"/>
        </w:rPr>
        <w:t>charakteru wyczerpującego.</w:t>
      </w:r>
    </w:p>
    <w:p w14:paraId="20437663" w14:textId="77777777" w:rsidR="00C53D74" w:rsidRPr="00556C86" w:rsidRDefault="00C53D74">
      <w:pPr>
        <w:pStyle w:val="Tekstpodstawowy"/>
        <w:spacing w:before="36"/>
        <w:ind w:left="0"/>
        <w:jc w:val="left"/>
        <w:rPr>
          <w:sz w:val="18"/>
          <w:lang w:val="pl-PL"/>
        </w:rPr>
      </w:pPr>
    </w:p>
    <w:p w14:paraId="572185EF" w14:textId="63137AE2" w:rsidR="00C53D74" w:rsidRPr="00556C86" w:rsidRDefault="00000000">
      <w:pPr>
        <w:pStyle w:val="Tytu"/>
        <w:rPr>
          <w:lang w:val="pl-PL"/>
        </w:rPr>
      </w:pPr>
      <w:r w:rsidRPr="00556C86">
        <w:rPr>
          <w:color w:val="0071BB"/>
          <w:w w:val="120"/>
          <w:sz w:val="46"/>
          <w:lang w:val="pl-PL"/>
        </w:rPr>
        <w:t xml:space="preserve">Sport </w:t>
      </w:r>
      <w:r w:rsidR="000B0258" w:rsidRPr="00556C86">
        <w:rPr>
          <w:color w:val="0071BB"/>
          <w:w w:val="120"/>
          <w:sz w:val="46"/>
          <w:lang w:val="pl-PL"/>
        </w:rPr>
        <w:t>i</w:t>
      </w:r>
      <w:r w:rsidRPr="00556C86">
        <w:rPr>
          <w:color w:val="0071BB"/>
          <w:w w:val="120"/>
          <w:sz w:val="46"/>
          <w:lang w:val="pl-PL"/>
        </w:rPr>
        <w:t xml:space="preserve"> Europejska konwencja praw człowieka</w:t>
      </w:r>
    </w:p>
    <w:p w14:paraId="3C1C1716" w14:textId="77777777" w:rsidR="00C53D74" w:rsidRDefault="00000000">
      <w:pPr>
        <w:spacing w:line="60" w:lineRule="exact"/>
        <w:ind w:left="845"/>
        <w:rPr>
          <w:sz w:val="6"/>
        </w:rPr>
      </w:pPr>
      <w:r>
        <w:rPr>
          <w:noProof/>
          <w:sz w:val="6"/>
        </w:rPr>
        <mc:AlternateContent>
          <mc:Choice Requires="wpg">
            <w:drawing>
              <wp:inline distT="0" distB="0" distL="0" distR="0" wp14:anchorId="421C5D8B" wp14:editId="553D6534">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74B1FAC6"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1CAE8B19" w14:textId="77777777" w:rsidR="00C53D74" w:rsidRPr="00556C86" w:rsidRDefault="00000000">
      <w:pPr>
        <w:pStyle w:val="Nagwek1"/>
        <w:spacing w:before="249"/>
        <w:rPr>
          <w:lang w:val="pl-PL"/>
        </w:rPr>
      </w:pPr>
      <w:r>
        <w:rPr>
          <w:noProof/>
        </w:rPr>
        <mc:AlternateContent>
          <mc:Choice Requires="wps">
            <w:drawing>
              <wp:anchor distT="0" distB="0" distL="0" distR="0" simplePos="0" relativeHeight="251661312" behindDoc="1" locked="0" layoutInCell="1" allowOverlap="1" wp14:anchorId="2F604F36" wp14:editId="1CCBA3DC">
                <wp:simplePos x="0" y="0"/>
                <wp:positionH relativeFrom="page">
                  <wp:posOffset>896111</wp:posOffset>
                </wp:positionH>
                <wp:positionV relativeFrom="paragraph">
                  <wp:posOffset>413125</wp:posOffset>
                </wp:positionV>
                <wp:extent cx="5768340" cy="18415"/>
                <wp:effectExtent l="0" t="0" r="0" b="0"/>
                <wp:wrapTopAndBottom/>
                <wp:docPr id="6" name="Graphic 6"/>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02B4C85" id="Graphic 6" o:spid="_x0000_s1026" style="position:absolute;margin-left:70.55pt;margin-top:32.55pt;width:454.2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 xml:space="preserve">Prawo do życia (art. 2 </w:t>
      </w:r>
      <w:r w:rsidRPr="00556C86">
        <w:rPr>
          <w:color w:val="0071BB"/>
          <w:spacing w:val="-2"/>
          <w:w w:val="120"/>
          <w:sz w:val="29"/>
          <w:lang w:val="pl-PL"/>
        </w:rPr>
        <w:t>Konwencji)</w:t>
      </w:r>
    </w:p>
    <w:p w14:paraId="6F1B0B55" w14:textId="77777777" w:rsidR="00C53D74" w:rsidRPr="00556C86" w:rsidRDefault="00C53D74">
      <w:pPr>
        <w:pStyle w:val="Nagwek2"/>
        <w:rPr>
          <w:u w:val="none"/>
          <w:lang w:val="pl-PL"/>
        </w:rPr>
      </w:pPr>
      <w:hyperlink r:id="rId8">
        <w:r w:rsidRPr="00556C86">
          <w:rPr>
            <w:color w:val="0071BB"/>
            <w:w w:val="135"/>
            <w:u w:color="0071BB"/>
            <w:lang w:val="pl-PL"/>
          </w:rPr>
          <w:t xml:space="preserve">Harrison i inni przeciwko Zjednoczonemu </w:t>
        </w:r>
        <w:r w:rsidRPr="00556C86">
          <w:rPr>
            <w:color w:val="0071BB"/>
            <w:spacing w:val="-2"/>
            <w:w w:val="135"/>
            <w:u w:color="0071BB"/>
            <w:lang w:val="pl-PL"/>
          </w:rPr>
          <w:t>Królestwu</w:t>
        </w:r>
      </w:hyperlink>
    </w:p>
    <w:p w14:paraId="7B8EA021" w14:textId="77777777" w:rsidR="00C53D74" w:rsidRPr="00556C86" w:rsidRDefault="00000000">
      <w:pPr>
        <w:spacing w:before="56"/>
        <w:ind w:left="874"/>
        <w:jc w:val="both"/>
        <w:rPr>
          <w:sz w:val="18"/>
          <w:lang w:val="pl-PL"/>
        </w:rPr>
      </w:pPr>
      <w:r w:rsidRPr="00556C86">
        <w:rPr>
          <w:color w:val="808080"/>
          <w:w w:val="120"/>
          <w:sz w:val="18"/>
          <w:lang w:val="pl-PL"/>
        </w:rPr>
        <w:t xml:space="preserve">25 marca 2014 r. (orzeczenie w sprawie </w:t>
      </w:r>
      <w:r w:rsidRPr="00556C86">
        <w:rPr>
          <w:color w:val="808080"/>
          <w:spacing w:val="-2"/>
          <w:w w:val="120"/>
          <w:sz w:val="18"/>
          <w:lang w:val="pl-PL"/>
        </w:rPr>
        <w:t>dopuszczalności)</w:t>
      </w:r>
    </w:p>
    <w:p w14:paraId="29A213B1" w14:textId="00618B41" w:rsidR="00C53D74" w:rsidRPr="00556C86" w:rsidRDefault="00BD3B70">
      <w:pPr>
        <w:pStyle w:val="Tekstpodstawowy"/>
        <w:spacing w:before="4"/>
        <w:ind w:left="874" w:right="869"/>
        <w:rPr>
          <w:lang w:val="pl-PL"/>
        </w:rPr>
      </w:pPr>
      <w:r w:rsidRPr="00556C86">
        <w:rPr>
          <w:w w:val="120"/>
          <w:lang w:val="pl-PL"/>
        </w:rPr>
        <w:t>Skarżący, krewni 96 kibiców, którzy zginęli w katastrofie na stadionie Hillsborough w 1989 r., złożyli skargę na podstawie art. 2 (prawo do życia) Europejskiej konwencji praw człowieka, twierdząc, że pierwotne śledztwo było nie</w:t>
      </w:r>
      <w:r w:rsidR="007A77AD" w:rsidRPr="00556C86">
        <w:rPr>
          <w:w w:val="120"/>
          <w:lang w:val="pl-PL"/>
        </w:rPr>
        <w:t>wystarczające,</w:t>
      </w:r>
      <w:r w:rsidRPr="00556C86">
        <w:rPr>
          <w:w w:val="120"/>
          <w:lang w:val="pl-PL"/>
        </w:rPr>
        <w:t xml:space="preserve"> i że mimo zarządzenia nowych dochodzeń</w:t>
      </w:r>
      <w:r w:rsidR="007A77AD" w:rsidRPr="00556C86">
        <w:rPr>
          <w:w w:val="120"/>
          <w:lang w:val="pl-PL"/>
        </w:rPr>
        <w:t>,</w:t>
      </w:r>
      <w:r w:rsidRPr="00556C86">
        <w:rPr>
          <w:w w:val="120"/>
          <w:lang w:val="pl-PL"/>
        </w:rPr>
        <w:t xml:space="preserve"> musieli czekać ponad 24 lata na dochodzenie w sprawie śmierci zgodne z art. 2.</w:t>
      </w:r>
    </w:p>
    <w:p w14:paraId="49DA30F6" w14:textId="654C0ED0" w:rsidR="00C53D74" w:rsidRPr="00556C86" w:rsidRDefault="00000000">
      <w:pPr>
        <w:pStyle w:val="Tekstpodstawowy"/>
        <w:ind w:left="874" w:right="870"/>
        <w:rPr>
          <w:lang w:val="pl-PL"/>
        </w:rPr>
      </w:pPr>
      <w:r w:rsidRPr="00556C86">
        <w:rPr>
          <w:color w:val="0071BB"/>
          <w:w w:val="120"/>
          <w:lang w:val="pl-PL"/>
        </w:rPr>
        <w:t>Biorąc pod uwagę zarówno zrozumiały brak krytyki ze strony skarżących wobec szybkich i skutecznych działań podjętych dotychczas przez różne organy Wielkiej Brytanii w celu dalszego zbadania okoliczności śmierci ich krewnych po utworzeniu niezależnej komisji ds. Hillsborough we wrześniu 2012 r., jak i toczące się dochodzenia i śledztwa,</w:t>
      </w:r>
      <w:r w:rsidRPr="00556C86">
        <w:rPr>
          <w:color w:val="0071BB"/>
          <w:spacing w:val="40"/>
          <w:w w:val="120"/>
          <w:lang w:val="pl-PL"/>
        </w:rPr>
        <w:t xml:space="preserve"> </w:t>
      </w:r>
      <w:r w:rsidRPr="00556C86">
        <w:rPr>
          <w:color w:val="0071BB"/>
          <w:w w:val="120"/>
          <w:lang w:val="pl-PL"/>
        </w:rPr>
        <w:t>Europejski Trybunał Praw Człowieka</w:t>
      </w:r>
      <w:r w:rsidR="000C7282" w:rsidRPr="00556C86">
        <w:rPr>
          <w:color w:val="0071BB"/>
          <w:w w:val="120"/>
          <w:lang w:val="pl-PL"/>
        </w:rPr>
        <w:t xml:space="preserve"> orzekł</w:t>
      </w:r>
      <w:r w:rsidRPr="00556C86">
        <w:rPr>
          <w:color w:val="0071BB"/>
          <w:w w:val="120"/>
          <w:lang w:val="pl-PL"/>
        </w:rPr>
        <w:t>, że skargi należy uznać za przedwczesne i uznał je za</w:t>
      </w:r>
      <w:r w:rsidRPr="00556C86">
        <w:rPr>
          <w:b/>
          <w:color w:val="0071BB"/>
          <w:w w:val="120"/>
          <w:lang w:val="pl-PL"/>
        </w:rPr>
        <w:t xml:space="preserve"> niedopuszczalne </w:t>
      </w:r>
      <w:r w:rsidRPr="00556C86">
        <w:rPr>
          <w:color w:val="0071BB"/>
          <w:w w:val="120"/>
          <w:lang w:val="pl-PL"/>
        </w:rPr>
        <w:t>zgodnie z art. 35 (kryteria dopuszczalności) Konwencji. Trybunał zauważył ponadto, że jeżeli skarżący nie będą zadowoleni z postępów w sprawie</w:t>
      </w:r>
      <w:r w:rsidR="000C7282" w:rsidRPr="00556C86">
        <w:rPr>
          <w:color w:val="0071BB"/>
          <w:w w:val="120"/>
          <w:lang w:val="pl-PL"/>
        </w:rPr>
        <w:t>,</w:t>
      </w:r>
      <w:r w:rsidRPr="00556C86">
        <w:rPr>
          <w:color w:val="0071BB"/>
          <w:w w:val="120"/>
          <w:lang w:val="pl-PL"/>
        </w:rPr>
        <w:t xml:space="preserve"> lub po zakończeniu dochodzeń i śledztw nie będą zadowoleni z ich wyników, będą </w:t>
      </w:r>
      <w:r w:rsidR="00C20C89" w:rsidRPr="00556C86">
        <w:rPr>
          <w:color w:val="0071BB"/>
          <w:w w:val="120"/>
          <w:lang w:val="pl-PL"/>
        </w:rPr>
        <w:t>mogli wnieść do Trybunału kolejne skargi.</w:t>
      </w:r>
    </w:p>
    <w:p w14:paraId="52952808" w14:textId="77777777" w:rsidR="00C53D74" w:rsidRPr="00556C86" w:rsidRDefault="00000000">
      <w:pPr>
        <w:pStyle w:val="Nagwek1"/>
        <w:spacing w:before="229"/>
        <w:ind w:right="869"/>
        <w:rPr>
          <w:lang w:val="pl-PL"/>
        </w:rPr>
      </w:pPr>
      <w:r>
        <w:rPr>
          <w:noProof/>
        </w:rPr>
        <mc:AlternateContent>
          <mc:Choice Requires="wps">
            <w:drawing>
              <wp:anchor distT="0" distB="0" distL="0" distR="0" simplePos="0" relativeHeight="251663360" behindDoc="1" locked="0" layoutInCell="1" allowOverlap="1" wp14:anchorId="4B59EF36" wp14:editId="543ABE9C">
                <wp:simplePos x="0" y="0"/>
                <wp:positionH relativeFrom="page">
                  <wp:posOffset>896111</wp:posOffset>
                </wp:positionH>
                <wp:positionV relativeFrom="paragraph">
                  <wp:posOffset>616345</wp:posOffset>
                </wp:positionV>
                <wp:extent cx="5768340" cy="18415"/>
                <wp:effectExtent l="0" t="0" r="0" b="0"/>
                <wp:wrapTopAndBottom/>
                <wp:docPr id="7" name="Graphic 7"/>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375BC57" id="Graphic 7" o:spid="_x0000_s1026" style="position:absolute;margin-left:70.55pt;margin-top:48.55pt;width:454.2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 xml:space="preserve">Zakaz nieludzkiego lub poniżającego traktowania (art. 3 </w:t>
      </w:r>
      <w:r w:rsidRPr="00556C86">
        <w:rPr>
          <w:color w:val="0071BB"/>
          <w:spacing w:val="-2"/>
          <w:w w:val="120"/>
          <w:sz w:val="29"/>
          <w:lang w:val="pl-PL"/>
        </w:rPr>
        <w:t>Konwencji)</w:t>
      </w:r>
    </w:p>
    <w:p w14:paraId="3F2D8C81" w14:textId="77777777" w:rsidR="00C53D74" w:rsidRPr="00556C86" w:rsidRDefault="00C53D74">
      <w:pPr>
        <w:pStyle w:val="Nagwek2"/>
        <w:jc w:val="left"/>
        <w:rPr>
          <w:u w:val="none"/>
          <w:lang w:val="pl-PL"/>
        </w:rPr>
      </w:pPr>
      <w:hyperlink r:id="rId9">
        <w:r w:rsidRPr="00556C86">
          <w:rPr>
            <w:color w:val="0071BB"/>
            <w:w w:val="135"/>
            <w:u w:color="0071BB"/>
            <w:lang w:val="pl-PL"/>
          </w:rPr>
          <w:t xml:space="preserve">Hentschel i Stark przeciwko </w:t>
        </w:r>
        <w:r w:rsidRPr="00556C86">
          <w:rPr>
            <w:color w:val="0071BB"/>
            <w:spacing w:val="-2"/>
            <w:w w:val="135"/>
            <w:u w:color="0071BB"/>
            <w:lang w:val="pl-PL"/>
          </w:rPr>
          <w:t>Niemcom</w:t>
        </w:r>
      </w:hyperlink>
    </w:p>
    <w:p w14:paraId="51740349" w14:textId="77777777" w:rsidR="00C53D74" w:rsidRPr="00556C86" w:rsidRDefault="00000000">
      <w:pPr>
        <w:spacing w:before="56"/>
        <w:ind w:left="874"/>
        <w:rPr>
          <w:sz w:val="18"/>
          <w:lang w:val="pl-PL"/>
        </w:rPr>
      </w:pPr>
      <w:r w:rsidRPr="00556C86">
        <w:rPr>
          <w:color w:val="808080"/>
          <w:spacing w:val="-2"/>
          <w:w w:val="125"/>
          <w:sz w:val="18"/>
          <w:lang w:val="pl-PL"/>
        </w:rPr>
        <w:t>9 listopada</w:t>
      </w:r>
      <w:r w:rsidRPr="00556C86">
        <w:rPr>
          <w:color w:val="808080"/>
          <w:spacing w:val="-4"/>
          <w:w w:val="125"/>
          <w:sz w:val="18"/>
          <w:lang w:val="pl-PL"/>
        </w:rPr>
        <w:t xml:space="preserve"> 2017 r</w:t>
      </w:r>
      <w:r w:rsidRPr="00556C86">
        <w:rPr>
          <w:color w:val="808080"/>
          <w:spacing w:val="-2"/>
          <w:w w:val="125"/>
          <w:sz w:val="18"/>
          <w:lang w:val="pl-PL"/>
        </w:rPr>
        <w:t>.</w:t>
      </w:r>
    </w:p>
    <w:p w14:paraId="6AAED9DD" w14:textId="312A5BF1" w:rsidR="00C53D74" w:rsidRPr="00556C86" w:rsidRDefault="00000000">
      <w:pPr>
        <w:pStyle w:val="Tekstpodstawowy"/>
        <w:spacing w:before="4"/>
        <w:ind w:left="874" w:right="869"/>
        <w:jc w:val="left"/>
        <w:rPr>
          <w:lang w:val="pl-PL"/>
        </w:rPr>
      </w:pPr>
      <w:r w:rsidRPr="00556C86">
        <w:rPr>
          <w:w w:val="120"/>
          <w:lang w:val="pl-PL"/>
        </w:rPr>
        <w:t>Sprawa dotyczyła skargi dwóch kibiców piłkarskich, którzy twierdzili, że po meczu zostali źle potraktowani przez policję, a dochodzenie w tej sprawie było nie</w:t>
      </w:r>
      <w:r w:rsidR="004C56A8" w:rsidRPr="00556C86">
        <w:rPr>
          <w:w w:val="120"/>
          <w:lang w:val="pl-PL"/>
        </w:rPr>
        <w:t>adekwatne</w:t>
      </w:r>
      <w:r w:rsidRPr="00556C86">
        <w:rPr>
          <w:w w:val="120"/>
          <w:lang w:val="pl-PL"/>
        </w:rPr>
        <w:t>.</w:t>
      </w:r>
    </w:p>
    <w:p w14:paraId="50E8E507" w14:textId="77777777" w:rsidR="00C53D74" w:rsidRPr="00556C86" w:rsidRDefault="00000000">
      <w:pPr>
        <w:pStyle w:val="Tekstpodstawowy"/>
        <w:ind w:right="869"/>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3 </w:t>
      </w:r>
      <w:r w:rsidRPr="00556C86">
        <w:rPr>
          <w:color w:val="0071BB"/>
          <w:w w:val="120"/>
          <w:lang w:val="pl-PL"/>
        </w:rPr>
        <w:t xml:space="preserve">(zakaz nieludzkiego lub poniżającego traktowania) Konwencji w odniesieniu do traktowania skarżących przez policję, ponieważ nie można było ustalić ponad wszelką wątpliwość, że wydarzenia miały miejsce w sposób opisany przez skarżących. Trybunał uznał jednak,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naruszenia art</w:t>
      </w:r>
      <w:r w:rsidRPr="00556C86">
        <w:rPr>
          <w:color w:val="0071BB"/>
          <w:w w:val="120"/>
          <w:lang w:val="pl-PL"/>
        </w:rPr>
        <w:t>.</w:t>
      </w:r>
      <w:r w:rsidRPr="00556C86">
        <w:rPr>
          <w:b/>
          <w:color w:val="0071BB"/>
          <w:w w:val="120"/>
          <w:lang w:val="pl-PL"/>
        </w:rPr>
        <w:t xml:space="preserve"> 3 </w:t>
      </w:r>
      <w:r w:rsidRPr="00556C86">
        <w:rPr>
          <w:color w:val="0071BB"/>
          <w:w w:val="120"/>
          <w:lang w:val="pl-PL"/>
        </w:rPr>
        <w:t>Konwencji w odniesieniu do dochodzenia w sprawie zarzutów skarżących.</w:t>
      </w:r>
      <w:r w:rsidRPr="00556C86">
        <w:rPr>
          <w:color w:val="0071BB"/>
          <w:spacing w:val="40"/>
          <w:w w:val="120"/>
          <w:lang w:val="pl-PL"/>
        </w:rPr>
        <w:t xml:space="preserve"> </w:t>
      </w:r>
      <w:r w:rsidRPr="00556C86">
        <w:rPr>
          <w:color w:val="0071BB"/>
          <w:w w:val="120"/>
          <w:lang w:val="pl-PL"/>
        </w:rPr>
        <w:t>W tym względzie Trybunał zwrócił w szczególności uwagę, że policjanci z oddziałów prewencyjnych wyposażeni w hełmy nie nosili żadnych plakietek z imieniem i nazwiskiem ani innych znaków umożliwiających identyfikację poszczególnych osób, a jedynie numery identyfikacyjne umieszczone z tyłu hełmów. W związku z tym szczególne znaczenie miały inne środki służące ustaleniu tożsamości osób odpowiedzialnych za domniemane złe traktowanie. Trudności wynikające z braku znaków identyfikacyjnych nie zostały jednak w wystarczającym stopniu zrównoważone innymi środkami śledczymi. W szczególności jednostce śledczej przekazano jedynie fragmenty materiału wideo nagranego przez jednostki prewencyjne, a niektórzy potencjalnie istotni świadkowie nie zostali zidentyfikowani i przesłuchani.</w:t>
      </w:r>
    </w:p>
    <w:p w14:paraId="11A70D0C" w14:textId="77777777" w:rsidR="00C53D74" w:rsidRPr="00556C86" w:rsidRDefault="00000000">
      <w:pPr>
        <w:pStyle w:val="Tekstpodstawowy"/>
        <w:spacing w:before="56"/>
        <w:ind w:left="0"/>
        <w:jc w:val="left"/>
        <w:rPr>
          <w:lang w:val="pl-PL"/>
        </w:rPr>
      </w:pPr>
      <w:r>
        <w:rPr>
          <w:noProof/>
        </w:rPr>
        <w:drawing>
          <wp:anchor distT="0" distB="0" distL="0" distR="0" simplePos="0" relativeHeight="251665408" behindDoc="1" locked="0" layoutInCell="1" allowOverlap="1" wp14:anchorId="6CAF5843" wp14:editId="1DD9EA45">
            <wp:simplePos x="0" y="0"/>
            <wp:positionH relativeFrom="page">
              <wp:posOffset>3399154</wp:posOffset>
            </wp:positionH>
            <wp:positionV relativeFrom="paragraph">
              <wp:posOffset>205910</wp:posOffset>
            </wp:positionV>
            <wp:extent cx="738934" cy="590550"/>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738934" cy="590550"/>
                    </a:xfrm>
                    <a:prstGeom prst="rect">
                      <a:avLst/>
                    </a:prstGeom>
                  </pic:spPr>
                </pic:pic>
              </a:graphicData>
            </a:graphic>
          </wp:anchor>
        </w:drawing>
      </w:r>
    </w:p>
    <w:p w14:paraId="50AC2E1F" w14:textId="77777777" w:rsidR="00C53D74" w:rsidRPr="00556C86" w:rsidRDefault="00C53D74">
      <w:pPr>
        <w:pStyle w:val="Tekstpodstawowy"/>
        <w:jc w:val="left"/>
        <w:rPr>
          <w:lang w:val="pl-PL"/>
        </w:rPr>
        <w:sectPr w:rsidR="00C53D74" w:rsidRPr="00556C86">
          <w:type w:val="continuous"/>
          <w:pgSz w:w="11910" w:h="16840"/>
          <w:pgMar w:top="720" w:right="566" w:bottom="280" w:left="566" w:header="708" w:footer="708" w:gutter="0"/>
          <w:cols w:space="708"/>
        </w:sectPr>
      </w:pPr>
    </w:p>
    <w:p w14:paraId="78722DE8" w14:textId="77777777" w:rsidR="00C53D74" w:rsidRPr="00556C86" w:rsidRDefault="00000000">
      <w:pPr>
        <w:pStyle w:val="Nagwek1"/>
        <w:spacing w:before="309"/>
        <w:rPr>
          <w:lang w:val="pl-PL"/>
        </w:rPr>
      </w:pPr>
      <w:r>
        <w:rPr>
          <w:noProof/>
        </w:rPr>
        <w:lastRenderedPageBreak/>
        <mc:AlternateContent>
          <mc:Choice Requires="wps">
            <w:drawing>
              <wp:anchor distT="0" distB="0" distL="0" distR="0" simplePos="0" relativeHeight="251666432" behindDoc="1" locked="0" layoutInCell="1" allowOverlap="1" wp14:anchorId="4BFD0A25" wp14:editId="457B064E">
                <wp:simplePos x="0" y="0"/>
                <wp:positionH relativeFrom="page">
                  <wp:posOffset>896111</wp:posOffset>
                </wp:positionH>
                <wp:positionV relativeFrom="paragraph">
                  <wp:posOffset>451104</wp:posOffset>
                </wp:positionV>
                <wp:extent cx="5768340" cy="18415"/>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78769773" id="Graphic 13" o:spid="_x0000_s1026" style="position:absolute;margin-left:70.55pt;margin-top:35.5pt;width:454.2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 xml:space="preserve">Prawo do wolności i bezpieczeństwa (art. 5 </w:t>
      </w:r>
      <w:r w:rsidRPr="00556C86">
        <w:rPr>
          <w:color w:val="0071BB"/>
          <w:spacing w:val="-2"/>
          <w:w w:val="120"/>
          <w:sz w:val="29"/>
          <w:lang w:val="pl-PL"/>
        </w:rPr>
        <w:t>Konwencji)</w:t>
      </w:r>
    </w:p>
    <w:p w14:paraId="4F580488" w14:textId="77777777" w:rsidR="00C53D74" w:rsidRPr="00556C86" w:rsidRDefault="00C53D74">
      <w:pPr>
        <w:pStyle w:val="Nagwek2"/>
        <w:rPr>
          <w:u w:val="none"/>
          <w:lang w:val="pl-PL"/>
        </w:rPr>
      </w:pPr>
      <w:hyperlink r:id="rId11">
        <w:r w:rsidRPr="00556C86">
          <w:rPr>
            <w:color w:val="0071BB"/>
            <w:w w:val="135"/>
            <w:u w:color="0071BB"/>
            <w:lang w:val="pl-PL"/>
          </w:rPr>
          <w:t xml:space="preserve">Ostendorf przeciwko </w:t>
        </w:r>
        <w:r w:rsidRPr="00556C86">
          <w:rPr>
            <w:color w:val="0071BB"/>
            <w:spacing w:val="-2"/>
            <w:w w:val="135"/>
            <w:u w:color="0071BB"/>
            <w:lang w:val="pl-PL"/>
          </w:rPr>
          <w:t>Niemcom</w:t>
        </w:r>
      </w:hyperlink>
    </w:p>
    <w:p w14:paraId="7EB2BAEE" w14:textId="77777777" w:rsidR="00C53D74" w:rsidRPr="00556C86" w:rsidRDefault="00000000">
      <w:pPr>
        <w:spacing w:before="58"/>
        <w:ind w:left="874"/>
        <w:jc w:val="both"/>
        <w:rPr>
          <w:sz w:val="18"/>
          <w:lang w:val="pl-PL"/>
        </w:rPr>
      </w:pPr>
      <w:r w:rsidRPr="00556C86">
        <w:rPr>
          <w:color w:val="808080"/>
          <w:w w:val="120"/>
          <w:sz w:val="18"/>
          <w:lang w:val="pl-PL"/>
        </w:rPr>
        <w:t>7 marca</w:t>
      </w:r>
      <w:r w:rsidRPr="00556C86">
        <w:rPr>
          <w:color w:val="808080"/>
          <w:spacing w:val="-4"/>
          <w:w w:val="120"/>
          <w:sz w:val="18"/>
          <w:lang w:val="pl-PL"/>
        </w:rPr>
        <w:t xml:space="preserve"> 2013 r</w:t>
      </w:r>
      <w:r w:rsidRPr="00556C86">
        <w:rPr>
          <w:color w:val="808080"/>
          <w:spacing w:val="1"/>
          <w:w w:val="120"/>
          <w:sz w:val="18"/>
          <w:lang w:val="pl-PL"/>
        </w:rPr>
        <w:t>.</w:t>
      </w:r>
    </w:p>
    <w:p w14:paraId="29BA4163" w14:textId="32EAE717" w:rsidR="00C53D74" w:rsidRPr="00556C86" w:rsidRDefault="004C56A8">
      <w:pPr>
        <w:pStyle w:val="Tekstpodstawowy"/>
        <w:spacing w:before="2"/>
        <w:ind w:left="874" w:right="875"/>
        <w:rPr>
          <w:lang w:val="pl-PL"/>
        </w:rPr>
      </w:pPr>
      <w:r w:rsidRPr="00556C86">
        <w:rPr>
          <w:w w:val="120"/>
          <w:lang w:val="pl-PL"/>
        </w:rPr>
        <w:t>Skarż</w:t>
      </w:r>
      <w:r w:rsidR="005A6993" w:rsidRPr="00556C86">
        <w:rPr>
          <w:w w:val="120"/>
          <w:lang w:val="pl-PL"/>
        </w:rPr>
        <w:t>ą</w:t>
      </w:r>
      <w:r w:rsidRPr="00556C86">
        <w:rPr>
          <w:w w:val="120"/>
          <w:lang w:val="pl-PL"/>
        </w:rPr>
        <w:t>cy, kibic piłkarski, złożył skargę w związku z czterogodzinnym zatrzymaniem przez policję, które miało na celu uniemożliwienie mu zorganizowania i wzięcia udziału w brutalnej bójce między chuliganami piłkarskimi.</w:t>
      </w:r>
    </w:p>
    <w:p w14:paraId="696B2F6E" w14:textId="1D2A3DA0" w:rsidR="00C53D74" w:rsidRPr="00556C86" w:rsidRDefault="00000000">
      <w:pPr>
        <w:pStyle w:val="Tekstpodstawowy"/>
        <w:spacing w:line="237" w:lineRule="auto"/>
        <w:ind w:left="874" w:right="872" w:hanging="1"/>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5 § 1 </w:t>
      </w:r>
      <w:r w:rsidRPr="00556C86">
        <w:rPr>
          <w:color w:val="0071BB"/>
          <w:w w:val="120"/>
          <w:lang w:val="pl-PL"/>
        </w:rPr>
        <w:t>(prawo do wolności i bezpieczeństwa) Konwencji, stwierdzając, że zatrzymanie skarżącego przez policję było uzasadnione na mocy tego artykułu jako zatrzymanie „w celu zapewnienia wykonania obowiązku przewidzianego przez prawo”.</w:t>
      </w:r>
      <w:r w:rsidRPr="00556C86">
        <w:rPr>
          <w:color w:val="0071BB"/>
          <w:spacing w:val="40"/>
          <w:w w:val="120"/>
          <w:lang w:val="pl-PL"/>
        </w:rPr>
        <w:t xml:space="preserve"> </w:t>
      </w:r>
      <w:r w:rsidRPr="00556C86">
        <w:rPr>
          <w:color w:val="0071BB"/>
          <w:w w:val="120"/>
          <w:lang w:val="pl-PL"/>
        </w:rPr>
        <w:t>Trybunał uznał w szczególności, że zatrzymanie służyło wypełnieniu</w:t>
      </w:r>
      <w:r w:rsidR="003C6CBE" w:rsidRPr="00556C86">
        <w:rPr>
          <w:color w:val="0071BB"/>
          <w:w w:val="120"/>
          <w:lang w:val="pl-PL"/>
        </w:rPr>
        <w:t xml:space="preserve"> </w:t>
      </w:r>
      <w:r w:rsidR="001F3492" w:rsidRPr="00556C86">
        <w:rPr>
          <w:color w:val="0071BB"/>
          <w:w w:val="120"/>
          <w:lang w:val="pl-PL"/>
        </w:rPr>
        <w:t>szczególnego</w:t>
      </w:r>
      <w:r w:rsidRPr="00556C86">
        <w:rPr>
          <w:color w:val="0071BB"/>
          <w:w w:val="120"/>
          <w:lang w:val="pl-PL"/>
        </w:rPr>
        <w:t xml:space="preserve"> i </w:t>
      </w:r>
      <w:r w:rsidR="003C6CBE" w:rsidRPr="00556C86">
        <w:rPr>
          <w:color w:val="0071BB"/>
          <w:w w:val="120"/>
          <w:lang w:val="pl-PL"/>
        </w:rPr>
        <w:t xml:space="preserve">konkretnego </w:t>
      </w:r>
      <w:r w:rsidRPr="00556C86">
        <w:rPr>
          <w:color w:val="0071BB"/>
          <w:w w:val="120"/>
          <w:lang w:val="pl-PL"/>
        </w:rPr>
        <w:t>obowiązku skarżącego, polegającego na powstrzymaniu się od organizowania bójek między przeciwnymi grupami chuliganów podczas meczu piłki nożnej.</w:t>
      </w:r>
    </w:p>
    <w:p w14:paraId="50077F34" w14:textId="77777777" w:rsidR="00C53D74" w:rsidRPr="00556C86" w:rsidRDefault="00C53D74">
      <w:pPr>
        <w:pStyle w:val="Nagwek2"/>
        <w:spacing w:before="124"/>
        <w:ind w:right="876"/>
        <w:rPr>
          <w:u w:val="none"/>
          <w:lang w:val="pl-PL"/>
        </w:rPr>
      </w:pPr>
      <w:hyperlink r:id="rId12">
        <w:r w:rsidRPr="00556C86">
          <w:rPr>
            <w:color w:val="0071BB"/>
            <w:w w:val="135"/>
            <w:u w:color="0071BB"/>
            <w:lang w:val="pl-PL"/>
          </w:rPr>
          <w:t>S., V. i A. przeciwko Danii (skargi nr 35553/12, 36678/12 i</w:t>
        </w:r>
      </w:hyperlink>
      <w:hyperlink r:id="rId13">
        <w:r w:rsidRPr="00556C86">
          <w:rPr>
            <w:color w:val="0071BB"/>
            <w:spacing w:val="-2"/>
            <w:w w:val="135"/>
            <w:u w:color="0071BB"/>
            <w:lang w:val="pl-PL"/>
          </w:rPr>
          <w:t xml:space="preserve"> 36711/12)</w:t>
        </w:r>
      </w:hyperlink>
    </w:p>
    <w:p w14:paraId="4AA7CB7A" w14:textId="77777777" w:rsidR="00C53D74" w:rsidRPr="00556C86" w:rsidRDefault="00000000">
      <w:pPr>
        <w:spacing w:before="56"/>
        <w:ind w:left="874"/>
        <w:jc w:val="both"/>
        <w:rPr>
          <w:sz w:val="18"/>
          <w:lang w:val="pl-PL"/>
        </w:rPr>
      </w:pPr>
      <w:r w:rsidRPr="00556C86">
        <w:rPr>
          <w:color w:val="808080"/>
          <w:w w:val="125"/>
          <w:sz w:val="18"/>
          <w:lang w:val="pl-PL"/>
        </w:rPr>
        <w:t>22 października 2018 r</w:t>
      </w:r>
      <w:r w:rsidRPr="00556C86">
        <w:rPr>
          <w:color w:val="808080"/>
          <w:spacing w:val="-1"/>
          <w:w w:val="125"/>
          <w:sz w:val="18"/>
          <w:lang w:val="pl-PL"/>
        </w:rPr>
        <w:t xml:space="preserve">. </w:t>
      </w:r>
      <w:r w:rsidRPr="00556C86">
        <w:rPr>
          <w:color w:val="808080"/>
          <w:w w:val="125"/>
          <w:sz w:val="18"/>
          <w:lang w:val="pl-PL"/>
        </w:rPr>
        <w:t xml:space="preserve">(Wielka </w:t>
      </w:r>
      <w:r w:rsidRPr="00556C86">
        <w:rPr>
          <w:color w:val="808080"/>
          <w:spacing w:val="-2"/>
          <w:w w:val="125"/>
          <w:sz w:val="18"/>
          <w:lang w:val="pl-PL"/>
        </w:rPr>
        <w:t>Izba)</w:t>
      </w:r>
    </w:p>
    <w:p w14:paraId="2235DC24" w14:textId="77777777" w:rsidR="00C53D74" w:rsidRPr="00556C86" w:rsidRDefault="00000000">
      <w:pPr>
        <w:pStyle w:val="Tekstpodstawowy"/>
        <w:spacing w:before="1"/>
        <w:ind w:right="871"/>
        <w:rPr>
          <w:lang w:val="pl-PL"/>
        </w:rPr>
      </w:pPr>
      <w:r w:rsidRPr="00556C86">
        <w:rPr>
          <w:w w:val="120"/>
          <w:lang w:val="pl-PL"/>
        </w:rPr>
        <w:t>Sprawa dotyczyła zatrzymania skarżących w październiku 2009 r. na ponad siedem godzin, kiedy przebywali w Kopenhadze, aby obejrzeć mecz piłki nożnej pomiędzy Danią a Szwecją. Władze zatrzymały skarżących, aby zapobiec aktom przemocy ze strony chuliganów.</w:t>
      </w:r>
      <w:r w:rsidRPr="00556C86">
        <w:rPr>
          <w:spacing w:val="40"/>
          <w:w w:val="120"/>
          <w:lang w:val="pl-PL"/>
        </w:rPr>
        <w:t xml:space="preserve">  </w:t>
      </w:r>
      <w:r w:rsidRPr="00556C86">
        <w:rPr>
          <w:w w:val="120"/>
          <w:lang w:val="pl-PL"/>
        </w:rPr>
        <w:t xml:space="preserve"> skarżący</w:t>
      </w:r>
      <w:r w:rsidRPr="00556C86">
        <w:rPr>
          <w:spacing w:val="40"/>
          <w:w w:val="120"/>
          <w:lang w:val="pl-PL"/>
        </w:rPr>
        <w:t xml:space="preserve">  </w:t>
      </w:r>
      <w:r w:rsidRPr="00556C86">
        <w:rPr>
          <w:w w:val="120"/>
          <w:lang w:val="pl-PL"/>
        </w:rPr>
        <w:t xml:space="preserve"> bezskutecznie</w:t>
      </w:r>
      <w:r w:rsidRPr="00556C86">
        <w:rPr>
          <w:spacing w:val="40"/>
          <w:w w:val="120"/>
          <w:lang w:val="pl-PL"/>
        </w:rPr>
        <w:t xml:space="preserve">  </w:t>
      </w:r>
      <w:r w:rsidRPr="00556C86">
        <w:rPr>
          <w:w w:val="120"/>
          <w:lang w:val="pl-PL"/>
        </w:rPr>
        <w:t xml:space="preserve"> domagali się</w:t>
      </w:r>
      <w:r w:rsidRPr="00556C86">
        <w:rPr>
          <w:spacing w:val="40"/>
          <w:w w:val="120"/>
          <w:lang w:val="pl-PL"/>
        </w:rPr>
        <w:t xml:space="preserve">  </w:t>
      </w:r>
      <w:r w:rsidRPr="00556C86">
        <w:rPr>
          <w:w w:val="120"/>
          <w:lang w:val="pl-PL"/>
        </w:rPr>
        <w:t xml:space="preserve"> odszkodowania</w:t>
      </w:r>
      <w:r w:rsidRPr="00556C86">
        <w:rPr>
          <w:spacing w:val="40"/>
          <w:w w:val="120"/>
          <w:lang w:val="pl-PL"/>
        </w:rPr>
        <w:t xml:space="preserve">  </w:t>
      </w:r>
      <w:r w:rsidRPr="00556C86">
        <w:rPr>
          <w:w w:val="120"/>
          <w:lang w:val="pl-PL"/>
        </w:rPr>
        <w:t xml:space="preserve"> przed</w:t>
      </w:r>
      <w:r w:rsidRPr="00556C86">
        <w:rPr>
          <w:spacing w:val="40"/>
          <w:w w:val="120"/>
          <w:lang w:val="pl-PL"/>
        </w:rPr>
        <w:t xml:space="preserve">  </w:t>
      </w:r>
      <w:r w:rsidRPr="00556C86">
        <w:rPr>
          <w:w w:val="120"/>
          <w:lang w:val="pl-PL"/>
        </w:rPr>
        <w:t xml:space="preserve"> </w:t>
      </w:r>
      <w:r w:rsidRPr="00556C86">
        <w:rPr>
          <w:spacing w:val="40"/>
          <w:w w:val="120"/>
          <w:lang w:val="pl-PL"/>
        </w:rPr>
        <w:t xml:space="preserve">  </w:t>
      </w:r>
      <w:r w:rsidRPr="00556C86">
        <w:rPr>
          <w:w w:val="120"/>
          <w:lang w:val="pl-PL"/>
        </w:rPr>
        <w:t xml:space="preserve"> duńskimi</w:t>
      </w:r>
      <w:r w:rsidRPr="00556C86">
        <w:rPr>
          <w:spacing w:val="40"/>
          <w:w w:val="120"/>
          <w:lang w:val="pl-PL"/>
        </w:rPr>
        <w:t xml:space="preserve">  </w:t>
      </w:r>
      <w:r w:rsidRPr="00556C86">
        <w:rPr>
          <w:w w:val="120"/>
          <w:lang w:val="pl-PL"/>
        </w:rPr>
        <w:t xml:space="preserve"> sądami. Skarżyli się w szczególności, że ich zatrzymanie było niezgodne z prawem, ponieważ przekroczyło termin przewidziany w prawie krajowym.</w:t>
      </w:r>
    </w:p>
    <w:p w14:paraId="074B1C3C" w14:textId="22C8FF1C" w:rsidR="00C53D74" w:rsidRPr="00556C86" w:rsidRDefault="00000000">
      <w:pPr>
        <w:pStyle w:val="Tekstpodstawowy"/>
        <w:ind w:left="874" w:right="869"/>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5 § 1 </w:t>
      </w:r>
      <w:r w:rsidRPr="00556C86">
        <w:rPr>
          <w:color w:val="0071BB"/>
          <w:w w:val="120"/>
          <w:lang w:val="pl-PL"/>
        </w:rPr>
        <w:t>(prawo do wolności i bezpieczeństwa) Konwencji, stwierdzając, że duńskie sądy zachowały właściw</w:t>
      </w:r>
      <w:r w:rsidR="00DC4EC7" w:rsidRPr="00556C86">
        <w:rPr>
          <w:color w:val="0071BB"/>
          <w:w w:val="120"/>
          <w:lang w:val="pl-PL"/>
        </w:rPr>
        <w:t>y balans,</w:t>
      </w:r>
      <w:r w:rsidRPr="00556C86">
        <w:rPr>
          <w:color w:val="0071BB"/>
          <w:w w:val="120"/>
          <w:lang w:val="pl-PL"/>
        </w:rPr>
        <w:t xml:space="preserve"> między prawem skarżących do wolności a znaczeniem zapobiegania chuligaństwu. W szczególności sądy dokładnie zbadały strategię policji mającą na celu uniknięcie starć w dniu, o którym mowa, stwierdzając, że: uwzględniła ona sześciogodzinny limit czasu dla aresztu prewencyjnego zgodnie z prawem krajowym, mimo że został on nieznacznie przekroczony; podjęła proaktywny dialog z kibicami/zwolennikami przed zastosowaniem bardziej drastycznych środków, takich jak aresztowanie;</w:t>
      </w:r>
      <w:r w:rsidRPr="00556C86">
        <w:rPr>
          <w:color w:val="0071BB"/>
          <w:spacing w:val="40"/>
          <w:w w:val="120"/>
          <w:lang w:val="pl-PL"/>
        </w:rPr>
        <w:t xml:space="preserve"> </w:t>
      </w:r>
      <w:r w:rsidRPr="00556C86">
        <w:rPr>
          <w:color w:val="0071BB"/>
          <w:w w:val="120"/>
          <w:lang w:val="pl-PL"/>
        </w:rPr>
        <w:t>dążyły do zatrzymania wyłącznie osób, takich jak skarżący, które zostały zidentyfikowane jako stanowiące zagrożenie dla bezpieczeństwa publicznego; oraz uważnie monitorowały sytuację, aby skarżący mogli zostać zwolnieni, gdy tylko sytuacja się uspokoi. Ponadto władze przedstawiły konkretne dowody określające czas, miejsce i ofiary przestępstwa chuligaństwa, w które skarżący najprawdopodobniej byliby zaangażowani, gdyby nie zapobiegło temu ich zatrzymanie. Uznając, że zatrzymanie skarżących było dopuszczalne na mocy Konwencji, Trybunał zastosował elastyczne podejście, tak aby stosowanie przez policję krótkotrwałego zatrzymania w celu ochrony społeczeństwa nie stało się niemożliwe w praktyce.</w:t>
      </w:r>
      <w:r w:rsidRPr="00556C86">
        <w:rPr>
          <w:color w:val="0071BB"/>
          <w:spacing w:val="40"/>
          <w:w w:val="120"/>
          <w:lang w:val="pl-PL"/>
        </w:rPr>
        <w:t xml:space="preserve"> </w:t>
      </w:r>
      <w:r w:rsidRPr="00556C86">
        <w:rPr>
          <w:color w:val="0071BB"/>
          <w:w w:val="120"/>
          <w:lang w:val="pl-PL"/>
        </w:rPr>
        <w:t>W szczególności wyjaśnił i dostosował swoje orzecznictwo w zakresie art. 5 § 1 lit. c) Konwencji, stwierdzając, że druga część tego przepisu, a mianowicie „gdy jest to uzasadnione koniecznością zapobieżenia popełnieniu przestępstwa”, może być postrzegana jako odrębna podstawa pozbawienia wolności, poza kontekstem postępowania karnego.</w:t>
      </w:r>
    </w:p>
    <w:p w14:paraId="6786E464" w14:textId="55296F54" w:rsidR="00C53D74" w:rsidRPr="00556C86" w:rsidRDefault="00000000">
      <w:pPr>
        <w:pStyle w:val="Nagwek1"/>
        <w:rPr>
          <w:lang w:val="pl-PL"/>
        </w:rPr>
      </w:pPr>
      <w:r>
        <w:rPr>
          <w:noProof/>
        </w:rPr>
        <mc:AlternateContent>
          <mc:Choice Requires="wps">
            <w:drawing>
              <wp:anchor distT="0" distB="0" distL="0" distR="0" simplePos="0" relativeHeight="251668480" behindDoc="1" locked="0" layoutInCell="1" allowOverlap="1" wp14:anchorId="1BADC883" wp14:editId="74F20BD3">
                <wp:simplePos x="0" y="0"/>
                <wp:positionH relativeFrom="page">
                  <wp:posOffset>896111</wp:posOffset>
                </wp:positionH>
                <wp:positionV relativeFrom="paragraph">
                  <wp:posOffset>394113</wp:posOffset>
                </wp:positionV>
                <wp:extent cx="5768340" cy="18415"/>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3483CAB" id="Graphic 14" o:spid="_x0000_s1026" style="position:absolute;margin-left:70.55pt;margin-top:31.05pt;width:454.2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" path="m5768340,l,,,18287r5768340,l5768340,xe" fillcolor="#999" stroked="f">
                <v:path arrowok="t"/>
                <w10:wrap type="topAndBottom" anchorx="page"/>
              </v:shape>
            </w:pict>
          </mc:Fallback>
        </mc:AlternateContent>
      </w:r>
      <w:r w:rsidRPr="00556C86">
        <w:rPr>
          <w:color w:val="0071BB"/>
          <w:w w:val="120"/>
          <w:sz w:val="29"/>
          <w:lang w:val="pl-PL"/>
        </w:rPr>
        <w:t xml:space="preserve">Prawo do </w:t>
      </w:r>
      <w:r w:rsidR="005A6993" w:rsidRPr="00556C86">
        <w:rPr>
          <w:color w:val="0071BB"/>
          <w:w w:val="120"/>
          <w:sz w:val="29"/>
          <w:lang w:val="pl-PL"/>
        </w:rPr>
        <w:t>sprawiedliwego</w:t>
      </w:r>
      <w:r w:rsidRPr="00556C86">
        <w:rPr>
          <w:color w:val="0071BB"/>
          <w:w w:val="120"/>
          <w:sz w:val="29"/>
          <w:lang w:val="pl-PL"/>
        </w:rPr>
        <w:t xml:space="preserve"> procesu sądowego (art. 6 </w:t>
      </w:r>
      <w:r w:rsidRPr="00556C86">
        <w:rPr>
          <w:color w:val="0071BB"/>
          <w:spacing w:val="-2"/>
          <w:w w:val="120"/>
          <w:sz w:val="29"/>
          <w:lang w:val="pl-PL"/>
        </w:rPr>
        <w:t>Konwencji)</w:t>
      </w:r>
    </w:p>
    <w:p w14:paraId="3CF4ABD1" w14:textId="77777777" w:rsidR="00C53D74" w:rsidRPr="00556C86" w:rsidRDefault="00C53D74">
      <w:pPr>
        <w:pStyle w:val="Nagwek2"/>
        <w:rPr>
          <w:u w:val="none"/>
          <w:lang w:val="pl-PL"/>
        </w:rPr>
      </w:pPr>
      <w:hyperlink r:id="rId14">
        <w:r w:rsidRPr="00556C86">
          <w:rPr>
            <w:color w:val="0071BB"/>
            <w:w w:val="135"/>
            <w:u w:color="0071BB"/>
            <w:lang w:val="pl-PL"/>
          </w:rPr>
          <w:t xml:space="preserve">FC Mretebi przeciwko </w:t>
        </w:r>
        <w:r w:rsidRPr="00556C86">
          <w:rPr>
            <w:color w:val="0071BB"/>
            <w:spacing w:val="-2"/>
            <w:w w:val="135"/>
            <w:u w:color="0071BB"/>
            <w:lang w:val="pl-PL"/>
          </w:rPr>
          <w:t>Gruzji</w:t>
        </w:r>
      </w:hyperlink>
    </w:p>
    <w:p w14:paraId="11704273" w14:textId="77777777" w:rsidR="00C53D74" w:rsidRPr="00556C86" w:rsidRDefault="00000000">
      <w:pPr>
        <w:spacing w:before="56"/>
        <w:ind w:left="874"/>
        <w:jc w:val="both"/>
        <w:rPr>
          <w:sz w:val="18"/>
          <w:lang w:val="pl-PL"/>
        </w:rPr>
      </w:pPr>
      <w:r w:rsidRPr="00556C86">
        <w:rPr>
          <w:color w:val="808080"/>
          <w:w w:val="125"/>
          <w:sz w:val="18"/>
          <w:lang w:val="pl-PL"/>
        </w:rPr>
        <w:t>31 lipca</w:t>
      </w:r>
      <w:r w:rsidRPr="00556C86">
        <w:rPr>
          <w:color w:val="808080"/>
          <w:spacing w:val="-4"/>
          <w:w w:val="125"/>
          <w:sz w:val="18"/>
          <w:lang w:val="pl-PL"/>
        </w:rPr>
        <w:t xml:space="preserve"> 2007 r.</w:t>
      </w:r>
    </w:p>
    <w:p w14:paraId="1AB2013C" w14:textId="69C1F4E8" w:rsidR="00C53D74" w:rsidRPr="00556C86" w:rsidRDefault="00000000">
      <w:pPr>
        <w:pStyle w:val="Tekstpodstawowy"/>
        <w:spacing w:before="1"/>
        <w:ind w:right="870"/>
        <w:rPr>
          <w:lang w:val="pl-PL"/>
        </w:rPr>
      </w:pPr>
      <w:r w:rsidRPr="00556C86">
        <w:rPr>
          <w:w w:val="120"/>
          <w:lang w:val="pl-PL"/>
        </w:rPr>
        <w:t xml:space="preserve">Sprawa </w:t>
      </w:r>
      <w:r w:rsidR="00135ECB" w:rsidRPr="00556C86">
        <w:rPr>
          <w:w w:val="120"/>
          <w:lang w:val="pl-PL"/>
        </w:rPr>
        <w:t xml:space="preserve">ta </w:t>
      </w:r>
      <w:r w:rsidRPr="00556C86">
        <w:rPr>
          <w:w w:val="120"/>
          <w:lang w:val="pl-PL"/>
        </w:rPr>
        <w:t xml:space="preserve">dotyczyła dużych </w:t>
      </w:r>
      <w:r w:rsidR="001F3492" w:rsidRPr="00556C86">
        <w:rPr>
          <w:w w:val="120"/>
          <w:lang w:val="pl-PL"/>
        </w:rPr>
        <w:t>kwot</w:t>
      </w:r>
      <w:r w:rsidRPr="00556C86">
        <w:rPr>
          <w:w w:val="120"/>
          <w:lang w:val="pl-PL"/>
        </w:rPr>
        <w:t xml:space="preserve"> związanych z transferem piłkarza między klub</w:t>
      </w:r>
      <w:r w:rsidR="00F1465E" w:rsidRPr="00556C86">
        <w:rPr>
          <w:w w:val="120"/>
          <w:lang w:val="pl-PL"/>
        </w:rPr>
        <w:t>em</w:t>
      </w:r>
      <w:r w:rsidRPr="00556C86">
        <w:rPr>
          <w:w w:val="120"/>
          <w:lang w:val="pl-PL"/>
        </w:rPr>
        <w:t xml:space="preserve"> gruzińskim </w:t>
      </w:r>
      <w:r w:rsidR="00F1465E" w:rsidRPr="00556C86">
        <w:rPr>
          <w:w w:val="120"/>
          <w:lang w:val="pl-PL"/>
        </w:rPr>
        <w:t>a</w:t>
      </w:r>
      <w:r w:rsidRPr="00556C86">
        <w:rPr>
          <w:w w:val="120"/>
          <w:lang w:val="pl-PL"/>
        </w:rPr>
        <w:t xml:space="preserve"> zagranicznym. W tej sprawie </w:t>
      </w:r>
      <w:r w:rsidR="001F3492" w:rsidRPr="00556C86">
        <w:rPr>
          <w:w w:val="120"/>
          <w:lang w:val="pl-PL"/>
        </w:rPr>
        <w:t>skarżący</w:t>
      </w:r>
      <w:r w:rsidR="005A6993" w:rsidRPr="00556C86">
        <w:rPr>
          <w:w w:val="120"/>
          <w:lang w:val="pl-PL"/>
        </w:rPr>
        <w:t xml:space="preserve"> klub</w:t>
      </w:r>
      <w:r w:rsidRPr="00556C86">
        <w:rPr>
          <w:w w:val="120"/>
          <w:lang w:val="pl-PL"/>
        </w:rPr>
        <w:t xml:space="preserve"> nie uzyskał od Sądu Najwyższego zwolnienia z opłat sądowych, w wyniku czego jego odwołanie nie zostało rozpatrzone. </w:t>
      </w:r>
      <w:r w:rsidR="001F3492" w:rsidRPr="00556C86">
        <w:rPr>
          <w:w w:val="120"/>
          <w:lang w:val="pl-PL"/>
        </w:rPr>
        <w:t>Skarżący</w:t>
      </w:r>
      <w:r w:rsidR="005A6993" w:rsidRPr="00556C86">
        <w:rPr>
          <w:w w:val="120"/>
          <w:lang w:val="pl-PL"/>
        </w:rPr>
        <w:t xml:space="preserve"> klub</w:t>
      </w:r>
      <w:r w:rsidRPr="00556C86">
        <w:rPr>
          <w:w w:val="120"/>
          <w:lang w:val="pl-PL"/>
        </w:rPr>
        <w:t xml:space="preserve"> zarzucał w szczególności, że odmówiono mu dostępu do sądu.</w:t>
      </w:r>
    </w:p>
    <w:p w14:paraId="39E60AE7" w14:textId="77777777" w:rsidR="00C53D74" w:rsidRPr="00556C86" w:rsidRDefault="00000000">
      <w:pPr>
        <w:pStyle w:val="Tekstpodstawowy"/>
        <w:spacing w:line="237" w:lineRule="auto"/>
        <w:ind w:right="871" w:hanging="1"/>
        <w:rPr>
          <w:lang w:val="pl-PL"/>
        </w:rPr>
      </w:pPr>
      <w:r w:rsidRPr="00556C86">
        <w:rPr>
          <w:color w:val="0071BB"/>
          <w:w w:val="125"/>
          <w:lang w:val="pl-PL"/>
        </w:rPr>
        <w:t xml:space="preserve">Trybunał uznał, że doszło </w:t>
      </w:r>
      <w:r w:rsidRPr="00556C86">
        <w:rPr>
          <w:b/>
          <w:color w:val="0071BB"/>
          <w:w w:val="125"/>
          <w:lang w:val="pl-PL"/>
        </w:rPr>
        <w:t>do</w:t>
      </w:r>
      <w:r w:rsidRPr="00556C86">
        <w:rPr>
          <w:color w:val="0071BB"/>
          <w:w w:val="125"/>
          <w:lang w:val="pl-PL"/>
        </w:rPr>
        <w:t xml:space="preserve"> </w:t>
      </w:r>
      <w:r w:rsidRPr="00556C86">
        <w:rPr>
          <w:b/>
          <w:color w:val="0071BB"/>
          <w:w w:val="125"/>
          <w:lang w:val="pl-PL"/>
        </w:rPr>
        <w:t xml:space="preserve">naruszenia art. 6 § 1 </w:t>
      </w:r>
      <w:r w:rsidRPr="00556C86">
        <w:rPr>
          <w:color w:val="0071BB"/>
          <w:w w:val="125"/>
          <w:lang w:val="pl-PL"/>
        </w:rPr>
        <w:t xml:space="preserve">(prawo do rzetelnego procesu sądowego) Konwencji, stwierdzając, że odmowa dostępu do </w:t>
      </w:r>
      <w:r w:rsidRPr="00556C86">
        <w:rPr>
          <w:color w:val="0071BB"/>
          <w:spacing w:val="-2"/>
          <w:w w:val="125"/>
          <w:lang w:val="pl-PL"/>
        </w:rPr>
        <w:t xml:space="preserve">sądu </w:t>
      </w:r>
      <w:r w:rsidRPr="00556C86">
        <w:rPr>
          <w:color w:val="0071BB"/>
          <w:w w:val="125"/>
          <w:lang w:val="pl-PL"/>
        </w:rPr>
        <w:t>była nieuzasadniona</w:t>
      </w:r>
      <w:r w:rsidRPr="00556C86">
        <w:rPr>
          <w:color w:val="0071BB"/>
          <w:spacing w:val="-2"/>
          <w:w w:val="125"/>
          <w:lang w:val="pl-PL"/>
        </w:rPr>
        <w:t>.</w:t>
      </w:r>
    </w:p>
    <w:p w14:paraId="493D0AEC" w14:textId="77777777" w:rsidR="00C53D74" w:rsidRPr="00556C86" w:rsidRDefault="00C53D74">
      <w:pPr>
        <w:pStyle w:val="Tekstpodstawowy"/>
        <w:spacing w:line="237" w:lineRule="auto"/>
        <w:rPr>
          <w:lang w:val="pl-PL"/>
        </w:rPr>
        <w:sectPr w:rsidR="00C53D74" w:rsidRPr="00556C86">
          <w:headerReference w:type="default" r:id="rId15"/>
          <w:footerReference w:type="default" r:id="rId16"/>
          <w:pgSz w:w="11910" w:h="16840"/>
          <w:pgMar w:top="1400" w:right="566" w:bottom="680" w:left="566" w:header="720" w:footer="497" w:gutter="0"/>
          <w:pgNumType w:start="2"/>
          <w:cols w:space="708"/>
        </w:sectPr>
      </w:pPr>
    </w:p>
    <w:p w14:paraId="45D8D2C1" w14:textId="77777777" w:rsidR="00C53D74" w:rsidRPr="00556C86" w:rsidRDefault="00C53D74">
      <w:pPr>
        <w:pStyle w:val="Tekstpodstawowy"/>
        <w:spacing w:before="59"/>
        <w:ind w:left="0"/>
        <w:jc w:val="left"/>
        <w:rPr>
          <w:lang w:val="pl-PL"/>
        </w:rPr>
      </w:pPr>
    </w:p>
    <w:p w14:paraId="2C747E92" w14:textId="240F4B6F" w:rsidR="00BD3051" w:rsidRPr="00BD3051" w:rsidRDefault="00BD3051" w:rsidP="00BD3051">
      <w:pPr>
        <w:pStyle w:val="Tekstpodstawowy"/>
        <w:spacing w:before="1"/>
        <w:ind w:left="874" w:right="872"/>
        <w:rPr>
          <w:color w:val="0071BB"/>
          <w:w w:val="120"/>
          <w:lang w:val="pl-PL"/>
        </w:rPr>
      </w:pPr>
      <w:r w:rsidRPr="00BD3051">
        <w:rPr>
          <w:color w:val="0071BB"/>
          <w:w w:val="120"/>
          <w:lang w:val="pl-PL"/>
        </w:rPr>
        <w:t>Sąd zauważył w szczególności, że Sąd Najwyższy nie zapewnił właściwej równowagi między interesami państwa w zakresie zapewnienia rozsądnych opłat sądowych z jednej strony, a interesami skarżącego w zakresie dochodzenia swoich roszczeń na drodze sądowej z drugiej strony</w:t>
      </w:r>
    </w:p>
    <w:p w14:paraId="465E443E" w14:textId="77777777" w:rsidR="00C53D74" w:rsidRPr="00556C86" w:rsidRDefault="00C53D74">
      <w:pPr>
        <w:pStyle w:val="Nagwek2"/>
        <w:spacing w:before="115"/>
        <w:rPr>
          <w:u w:val="none"/>
          <w:lang w:val="pl-PL"/>
        </w:rPr>
      </w:pPr>
      <w:hyperlink r:id="rId17">
        <w:r w:rsidRPr="00556C86">
          <w:rPr>
            <w:color w:val="0071BB"/>
            <w:w w:val="135"/>
            <w:u w:color="0071BB"/>
            <w:lang w:val="pl-PL"/>
          </w:rPr>
          <w:t xml:space="preserve">Liga Portuguesa de Futebol Profissional przeciwko </w:t>
        </w:r>
        <w:r w:rsidRPr="00556C86">
          <w:rPr>
            <w:color w:val="0071BB"/>
            <w:spacing w:val="-2"/>
            <w:w w:val="135"/>
            <w:u w:color="0071BB"/>
            <w:lang w:val="pl-PL"/>
          </w:rPr>
          <w:t>Portugalii</w:t>
        </w:r>
      </w:hyperlink>
    </w:p>
    <w:p w14:paraId="296CD105" w14:textId="77777777" w:rsidR="00C53D74" w:rsidRPr="00556C86" w:rsidRDefault="00000000">
      <w:pPr>
        <w:spacing w:before="56"/>
        <w:ind w:left="874"/>
        <w:jc w:val="both"/>
        <w:rPr>
          <w:sz w:val="18"/>
          <w:lang w:val="pl-PL"/>
        </w:rPr>
      </w:pPr>
      <w:r w:rsidRPr="00556C86">
        <w:rPr>
          <w:color w:val="808080"/>
          <w:w w:val="125"/>
          <w:sz w:val="18"/>
          <w:lang w:val="pl-PL"/>
        </w:rPr>
        <w:t xml:space="preserve">27 kwietnia 2012 r. (orzeczenie w sprawie </w:t>
      </w:r>
      <w:r w:rsidRPr="00556C86">
        <w:rPr>
          <w:color w:val="808080"/>
          <w:spacing w:val="-2"/>
          <w:w w:val="125"/>
          <w:sz w:val="18"/>
          <w:lang w:val="pl-PL"/>
        </w:rPr>
        <w:t>dopuszczalności)</w:t>
      </w:r>
    </w:p>
    <w:p w14:paraId="4E9B8621" w14:textId="479EC67D" w:rsidR="00C53D74" w:rsidRPr="00556C86" w:rsidRDefault="00000000">
      <w:pPr>
        <w:pStyle w:val="Tekstpodstawowy"/>
        <w:spacing w:before="1"/>
        <w:ind w:left="874" w:right="871"/>
        <w:rPr>
          <w:lang w:val="pl-PL"/>
        </w:rPr>
      </w:pPr>
      <w:r w:rsidRPr="00556C86">
        <w:rPr>
          <w:w w:val="120"/>
          <w:lang w:val="pl-PL"/>
        </w:rPr>
        <w:t>Powołując się w szczególności na art. 6 § 1 (prawo do rzetelnego procesu sądowego) Konwencji, skarżący, który organizuje profesjonalne rozgrywki piłkarskie w Portugalii, zarzucał między innymi, że w sprawie przeciwko portugalskim organom podatkowym nie przekazano mu opinii prokuratury.</w:t>
      </w:r>
    </w:p>
    <w:p w14:paraId="3F758D9C" w14:textId="77777777" w:rsidR="00C53D74" w:rsidRPr="00556C86" w:rsidRDefault="00000000">
      <w:pPr>
        <w:pStyle w:val="Tekstpodstawowy"/>
        <w:ind w:left="874" w:right="869"/>
        <w:rPr>
          <w:lang w:val="pl-PL"/>
        </w:rPr>
      </w:pPr>
      <w:r w:rsidRPr="00556C86">
        <w:rPr>
          <w:color w:val="0071BB"/>
          <w:w w:val="120"/>
          <w:lang w:val="pl-PL"/>
        </w:rPr>
        <w:t xml:space="preserve">Stwierdziwszy, że skarżący nie poniósł żadnej istotnej szkody w zakresie wykonywania swojego prawa do odpowiedniego udziału w przedmiotowym postępowaniu, w szczególności ze względu na to, że opinia prokuratury nie zawierała żadnych nowych elementów, oraz po stwierdzeniu, że poszanowanie praw człowieka gwarantowanych przez Konwencję nie wymagało rozpatrzenia skargi co do meritum, a sprawa skarżącego została rozpatrzona co do meritum w pierwszej instancji i w postępowaniu odwoławczym, Trybunał uznał skargę skarżącego na podstawie art. 6 Konwencji </w:t>
      </w:r>
      <w:r w:rsidRPr="00556C86">
        <w:rPr>
          <w:b/>
          <w:color w:val="0071BB"/>
          <w:w w:val="120"/>
          <w:lang w:val="pl-PL"/>
        </w:rPr>
        <w:t>za niedopuszczalną</w:t>
      </w:r>
      <w:r w:rsidRPr="00556C86">
        <w:rPr>
          <w:color w:val="0071BB"/>
          <w:w w:val="120"/>
          <w:lang w:val="pl-PL"/>
        </w:rPr>
        <w:t>.</w:t>
      </w:r>
    </w:p>
    <w:p w14:paraId="1BC6698C" w14:textId="77777777" w:rsidR="00C53D74" w:rsidRPr="00556C86" w:rsidRDefault="00C53D74">
      <w:pPr>
        <w:pStyle w:val="Nagwek2"/>
        <w:spacing w:before="108"/>
        <w:rPr>
          <w:u w:val="none"/>
          <w:lang w:val="pl-PL"/>
        </w:rPr>
      </w:pPr>
      <w:hyperlink r:id="rId18">
        <w:r w:rsidRPr="00556C86">
          <w:rPr>
            <w:color w:val="0071BB"/>
            <w:w w:val="135"/>
            <w:u w:color="0071BB"/>
            <w:lang w:val="pl-PL"/>
          </w:rPr>
          <w:t xml:space="preserve">Mutu i Pechstein przeciwko </w:t>
        </w:r>
        <w:r w:rsidRPr="00556C86">
          <w:rPr>
            <w:color w:val="0071BB"/>
            <w:spacing w:val="-2"/>
            <w:w w:val="135"/>
            <w:u w:color="0071BB"/>
            <w:lang w:val="pl-PL"/>
          </w:rPr>
          <w:t>Szwajcarii</w:t>
        </w:r>
      </w:hyperlink>
    </w:p>
    <w:p w14:paraId="25CBEB77" w14:textId="77777777" w:rsidR="00C53D74" w:rsidRPr="00556C86" w:rsidRDefault="00000000">
      <w:pPr>
        <w:spacing w:before="58"/>
        <w:ind w:left="874"/>
        <w:jc w:val="both"/>
        <w:rPr>
          <w:sz w:val="18"/>
          <w:lang w:val="pl-PL"/>
        </w:rPr>
      </w:pPr>
      <w:r w:rsidRPr="00556C86">
        <w:rPr>
          <w:color w:val="808080"/>
          <w:w w:val="120"/>
          <w:sz w:val="18"/>
          <w:lang w:val="pl-PL"/>
        </w:rPr>
        <w:t>2 października</w:t>
      </w:r>
      <w:r w:rsidRPr="00556C86">
        <w:rPr>
          <w:color w:val="808080"/>
          <w:spacing w:val="-4"/>
          <w:w w:val="120"/>
          <w:sz w:val="18"/>
          <w:lang w:val="pl-PL"/>
        </w:rPr>
        <w:t xml:space="preserve"> 2018 r.</w:t>
      </w:r>
    </w:p>
    <w:p w14:paraId="1B14F246" w14:textId="0B352D2A" w:rsidR="00C53D74" w:rsidRPr="00556C86" w:rsidRDefault="00000000">
      <w:pPr>
        <w:pStyle w:val="Tekstpodstawowy"/>
        <w:spacing w:before="1"/>
        <w:ind w:right="870"/>
        <w:rPr>
          <w:lang w:val="pl-PL"/>
        </w:rPr>
      </w:pPr>
      <w:r w:rsidRPr="00556C86">
        <w:rPr>
          <w:w w:val="125"/>
          <w:lang w:val="pl-PL"/>
        </w:rPr>
        <w:t>Sprawa dotyczyła zgodności z prawem postępowania wszczętego przez zawodowych sportowców przed Trybunałem Arbitrażowym ds. Sportu (CAS). Skarżący, zawodowy piłkarz i zawodowa łyżwiarka, twierdzili w szczególności, że CAS nie może być uznany za niezależny i bezstronny trybunał. Druga skarżąca zarzucała również, że nie odbyła się publiczna rozprawa przed komisją dyscyplinarną Międzynarodowej Unii Łyżwiarskiej, CAS ani szwajcarskim Federalnym Trybunałem Najwyższym, pomimo jej wyraźnych wniosków w tej sprawie.</w:t>
      </w:r>
    </w:p>
    <w:p w14:paraId="0D9F2A32" w14:textId="77777777" w:rsidR="00C53D74" w:rsidRPr="00556C86" w:rsidRDefault="00000000">
      <w:pPr>
        <w:pStyle w:val="Tekstpodstawowy"/>
        <w:ind w:right="870"/>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do naruszenia art</w:t>
      </w:r>
      <w:r w:rsidRPr="00556C86">
        <w:rPr>
          <w:b/>
          <w:color w:val="0071BB"/>
          <w:spacing w:val="30"/>
          <w:w w:val="120"/>
          <w:lang w:val="pl-PL"/>
        </w:rPr>
        <w:t>.</w:t>
      </w:r>
      <w:r w:rsidRPr="00556C86">
        <w:rPr>
          <w:b/>
          <w:color w:val="0071BB"/>
          <w:w w:val="120"/>
          <w:lang w:val="pl-PL"/>
        </w:rPr>
        <w:t xml:space="preserve"> 6 § 1 </w:t>
      </w:r>
      <w:r w:rsidRPr="00556C86">
        <w:rPr>
          <w:color w:val="0071BB"/>
          <w:w w:val="120"/>
          <w:lang w:val="pl-PL"/>
        </w:rPr>
        <w:t xml:space="preserve">(prawo do rzetelnego procesu sądowego) Konwencji w odniesieniu do zarzucanego braku niezależności Sądu Arbitrażowego ds. Sportu (CAS). Uznał, że postępowanie arbitrażowe przed CAS, w którym uczestniczyli skarżący, musiało zapewniać wszystkie gwarancje rzetelnego procesu, a zarzuty drugiego skarżącego dotyczące strukturalnego braku niezależności i bezstronności CAS, podobnie jak krytyka pierwszego skarżącego dotycząca bezstronności niektórych arbitrów, musiały zostać odrzucone. Natomiast Trybunał uznał, że w przypadku drugiej skarżącej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 xml:space="preserve">naruszenia art. 6 § 1 </w:t>
      </w:r>
      <w:r w:rsidRPr="00556C86">
        <w:rPr>
          <w:color w:val="0071BB"/>
          <w:w w:val="120"/>
          <w:lang w:val="pl-PL"/>
        </w:rPr>
        <w:t>Konwencji w związku z brakiem jawnego postępowania przed CAS, stwierdzając, że kwestie dotyczące zasadności sankcji nałożonej na nią za doping, rozpatrywane przed CAS, wymagały postępowania podlegającego kontroli publicznej.</w:t>
      </w:r>
    </w:p>
    <w:p w14:paraId="2E226D92" w14:textId="7B7FC998" w:rsidR="00C53D74" w:rsidRPr="00556C86" w:rsidRDefault="00000000">
      <w:pPr>
        <w:spacing w:before="43" w:line="237" w:lineRule="auto"/>
        <w:ind w:left="874" w:right="871" w:hanging="1"/>
        <w:jc w:val="both"/>
        <w:rPr>
          <w:sz w:val="20"/>
          <w:lang w:val="pl-PL"/>
        </w:rPr>
      </w:pPr>
      <w:r w:rsidRPr="00556C86">
        <w:rPr>
          <w:i/>
          <w:color w:val="404040"/>
          <w:w w:val="120"/>
          <w:sz w:val="20"/>
          <w:lang w:val="pl-PL"/>
        </w:rPr>
        <w:t>Zob.</w:t>
      </w:r>
      <w:r w:rsidR="005771B5" w:rsidRPr="00556C86">
        <w:rPr>
          <w:i/>
          <w:color w:val="404040"/>
          <w:spacing w:val="34"/>
          <w:w w:val="120"/>
          <w:sz w:val="20"/>
          <w:lang w:val="pl-PL"/>
        </w:rPr>
        <w:t xml:space="preserve"> </w:t>
      </w:r>
      <w:r w:rsidR="005771B5" w:rsidRPr="00556C86">
        <w:rPr>
          <w:i/>
          <w:color w:val="404040"/>
          <w:w w:val="120"/>
          <w:sz w:val="20"/>
          <w:lang w:val="pl-PL"/>
        </w:rPr>
        <w:t>także</w:t>
      </w:r>
      <w:r w:rsidRPr="00556C86">
        <w:rPr>
          <w:color w:val="404040"/>
          <w:w w:val="120"/>
          <w:sz w:val="20"/>
          <w:lang w:val="pl-PL"/>
        </w:rPr>
        <w:t>:</w:t>
      </w:r>
      <w:hyperlink r:id="rId19">
        <w:r w:rsidR="00C53D74" w:rsidRPr="00556C86">
          <w:rPr>
            <w:rFonts w:ascii="Arial"/>
            <w:b/>
            <w:i/>
            <w:color w:val="0071BB"/>
            <w:w w:val="120"/>
            <w:sz w:val="20"/>
            <w:u w:val="single" w:color="0071BB"/>
            <w:lang w:val="pl-PL"/>
          </w:rPr>
          <w:t xml:space="preserve"> Bakker przeciwko Szwajcarii</w:t>
        </w:r>
        <w:r w:rsidR="00C53D74" w:rsidRPr="00556C86">
          <w:rPr>
            <w:color w:val="404040"/>
            <w:w w:val="120"/>
            <w:sz w:val="20"/>
            <w:lang w:val="pl-PL"/>
          </w:rPr>
          <w:t>,</w:t>
        </w:r>
      </w:hyperlink>
      <w:r w:rsidR="005771B5" w:rsidRPr="00556C86">
        <w:rPr>
          <w:color w:val="404040"/>
          <w:spacing w:val="33"/>
          <w:w w:val="120"/>
          <w:sz w:val="20"/>
          <w:lang w:val="pl-PL"/>
        </w:rPr>
        <w:t xml:space="preserve"> </w:t>
      </w:r>
      <w:r w:rsidRPr="00556C86">
        <w:rPr>
          <w:color w:val="404040"/>
          <w:w w:val="120"/>
          <w:sz w:val="20"/>
          <w:lang w:val="pl-PL"/>
        </w:rPr>
        <w:t>decyzja (Komitet</w:t>
      </w:r>
      <w:r w:rsidR="005771B5" w:rsidRPr="00556C86">
        <w:rPr>
          <w:color w:val="404040"/>
          <w:w w:val="120"/>
          <w:sz w:val="20"/>
          <w:lang w:val="pl-PL"/>
        </w:rPr>
        <w:t>u</w:t>
      </w:r>
      <w:r w:rsidRPr="00556C86">
        <w:rPr>
          <w:color w:val="404040"/>
          <w:w w:val="120"/>
          <w:sz w:val="20"/>
          <w:lang w:val="pl-PL"/>
        </w:rPr>
        <w:t>)</w:t>
      </w:r>
      <w:r w:rsidR="005771B5" w:rsidRPr="00556C86">
        <w:rPr>
          <w:color w:val="404040"/>
          <w:w w:val="120"/>
          <w:sz w:val="20"/>
          <w:lang w:val="pl-PL"/>
        </w:rPr>
        <w:t xml:space="preserve"> </w:t>
      </w:r>
      <w:r w:rsidRPr="00556C86">
        <w:rPr>
          <w:color w:val="404040"/>
          <w:w w:val="120"/>
          <w:sz w:val="20"/>
          <w:lang w:val="pl-PL"/>
        </w:rPr>
        <w:t>na stronie</w:t>
      </w:r>
      <w:r w:rsidRPr="00556C86">
        <w:rPr>
          <w:color w:val="404040"/>
          <w:spacing w:val="34"/>
          <w:w w:val="120"/>
          <w:sz w:val="20"/>
          <w:lang w:val="pl-PL"/>
        </w:rPr>
        <w:t xml:space="preserve">  </w:t>
      </w:r>
      <w:r w:rsidRPr="00556C86">
        <w:rPr>
          <w:color w:val="404040"/>
          <w:w w:val="120"/>
          <w:sz w:val="20"/>
          <w:lang w:val="pl-PL"/>
        </w:rPr>
        <w:t xml:space="preserve"> </w:t>
      </w:r>
      <w:r w:rsidRPr="00556C86">
        <w:rPr>
          <w:color w:val="404040"/>
          <w:spacing w:val="33"/>
          <w:w w:val="120"/>
          <w:sz w:val="20"/>
          <w:lang w:val="pl-PL"/>
        </w:rPr>
        <w:t xml:space="preserve">  </w:t>
      </w:r>
      <w:r w:rsidRPr="00556C86">
        <w:rPr>
          <w:color w:val="404040"/>
          <w:w w:val="120"/>
          <w:sz w:val="20"/>
          <w:lang w:val="pl-PL"/>
        </w:rPr>
        <w:t xml:space="preserve"> </w:t>
      </w:r>
      <w:r w:rsidR="001F3492" w:rsidRPr="00556C86">
        <w:rPr>
          <w:color w:val="404040"/>
          <w:w w:val="120"/>
          <w:sz w:val="20"/>
          <w:lang w:val="pl-PL"/>
        </w:rPr>
        <w:t>dopuszczalność</w:t>
      </w:r>
      <w:r w:rsidR="001F3492" w:rsidRPr="00556C86">
        <w:rPr>
          <w:color w:val="404040"/>
          <w:spacing w:val="34"/>
          <w:w w:val="120"/>
          <w:sz w:val="20"/>
          <w:lang w:val="pl-PL"/>
        </w:rPr>
        <w:t xml:space="preserve"> </w:t>
      </w:r>
      <w:r w:rsidR="001F3492" w:rsidRPr="00556C86">
        <w:rPr>
          <w:color w:val="404040"/>
          <w:w w:val="120"/>
          <w:sz w:val="20"/>
          <w:lang w:val="pl-PL"/>
        </w:rPr>
        <w:t>z</w:t>
      </w:r>
      <w:r w:rsidRPr="00556C86">
        <w:rPr>
          <w:color w:val="404040"/>
          <w:w w:val="120"/>
          <w:sz w:val="20"/>
          <w:lang w:val="pl-PL"/>
        </w:rPr>
        <w:t xml:space="preserve"> dnia 3 września 2019 r.</w:t>
      </w:r>
    </w:p>
    <w:p w14:paraId="79D256B9" w14:textId="77777777" w:rsidR="00C53D74" w:rsidRPr="00556C86" w:rsidRDefault="00C53D74">
      <w:pPr>
        <w:pStyle w:val="Nagwek2"/>
        <w:spacing w:before="119"/>
        <w:ind w:left="873"/>
        <w:rPr>
          <w:u w:val="none"/>
          <w:lang w:val="pl-PL"/>
        </w:rPr>
      </w:pPr>
      <w:hyperlink r:id="rId20">
        <w:r w:rsidRPr="00556C86">
          <w:rPr>
            <w:color w:val="0071BB"/>
            <w:w w:val="135"/>
            <w:u w:color="0071BB"/>
            <w:lang w:val="pl-PL"/>
          </w:rPr>
          <w:t xml:space="preserve">Ali Riza i inni przeciwko </w:t>
        </w:r>
        <w:r w:rsidRPr="00556C86">
          <w:rPr>
            <w:color w:val="0071BB"/>
            <w:spacing w:val="-2"/>
            <w:w w:val="135"/>
            <w:u w:color="0071BB"/>
            <w:lang w:val="pl-PL"/>
          </w:rPr>
          <w:t>Turcji</w:t>
        </w:r>
      </w:hyperlink>
    </w:p>
    <w:p w14:paraId="1555EB80" w14:textId="77777777" w:rsidR="00C53D74" w:rsidRPr="00556C86" w:rsidRDefault="00000000">
      <w:pPr>
        <w:spacing w:before="58"/>
        <w:ind w:left="874"/>
        <w:jc w:val="both"/>
        <w:rPr>
          <w:sz w:val="18"/>
          <w:lang w:val="pl-PL"/>
        </w:rPr>
      </w:pPr>
      <w:r w:rsidRPr="00556C86">
        <w:rPr>
          <w:color w:val="808080"/>
          <w:w w:val="125"/>
          <w:sz w:val="18"/>
          <w:lang w:val="pl-PL"/>
        </w:rPr>
        <w:t>28 stycznia</w:t>
      </w:r>
      <w:r w:rsidRPr="00556C86">
        <w:rPr>
          <w:color w:val="808080"/>
          <w:spacing w:val="-4"/>
          <w:w w:val="125"/>
          <w:sz w:val="18"/>
          <w:lang w:val="pl-PL"/>
        </w:rPr>
        <w:t xml:space="preserve"> 2020 r.</w:t>
      </w:r>
    </w:p>
    <w:p w14:paraId="1C383D62" w14:textId="77777777" w:rsidR="00C53D74" w:rsidRPr="00556C86" w:rsidRDefault="00000000">
      <w:pPr>
        <w:pStyle w:val="Tekstpodstawowy"/>
        <w:spacing w:before="2"/>
        <w:ind w:left="874" w:right="870" w:hanging="1"/>
        <w:rPr>
          <w:lang w:val="pl-PL"/>
        </w:rPr>
      </w:pPr>
      <w:r w:rsidRPr="00556C86">
        <w:rPr>
          <w:w w:val="120"/>
          <w:lang w:val="pl-PL"/>
        </w:rPr>
        <w:t>Sprawa dotyczyła sporów związanych z piłką nożną. Skarżący – zawodowy piłkarz, trzech piłkarzy amatorów i sędzia piłkarski – twierdzili w szczególności, że postępowanie przed komisją arbitrażową Tureckiej Federacji Piłki Nożnej („TFF”) nie było niezależne i bezstronne.</w:t>
      </w:r>
      <w:r w:rsidRPr="00556C86">
        <w:rPr>
          <w:spacing w:val="40"/>
          <w:w w:val="120"/>
          <w:lang w:val="pl-PL"/>
        </w:rPr>
        <w:t xml:space="preserve"> </w:t>
      </w:r>
      <w:r w:rsidRPr="00556C86">
        <w:rPr>
          <w:w w:val="120"/>
          <w:lang w:val="pl-PL"/>
        </w:rPr>
        <w:t>Twierdzili oni między innymi, że członkowie komisji, którzy rozstrzygali ich sprawy, byli stronniczy wobec klubów piłkarskich, ponieważ zostali powołani przez zarząd TFF, w skład którego wchodzili głównie byli członkowie lub kierownictwo klubów piłkarskich.</w:t>
      </w:r>
    </w:p>
    <w:p w14:paraId="34978EB3" w14:textId="77777777" w:rsidR="00C53D74" w:rsidRPr="00556C86" w:rsidRDefault="00000000">
      <w:pPr>
        <w:pStyle w:val="Tekstpodstawowy"/>
        <w:spacing w:line="237" w:lineRule="auto"/>
        <w:ind w:left="874" w:right="870" w:hanging="1"/>
        <w:rPr>
          <w:lang w:val="pl-PL"/>
        </w:rPr>
      </w:pPr>
      <w:r w:rsidRPr="00556C86">
        <w:rPr>
          <w:color w:val="0071BB"/>
          <w:w w:val="120"/>
          <w:lang w:val="pl-PL"/>
        </w:rPr>
        <w:t xml:space="preserve">Trybunał uznał,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 xml:space="preserve">naruszenia art. 6 § 1 </w:t>
      </w:r>
      <w:r w:rsidRPr="00556C86">
        <w:rPr>
          <w:color w:val="0071BB"/>
          <w:w w:val="120"/>
          <w:lang w:val="pl-PL"/>
        </w:rPr>
        <w:t>(prawo do rzetelnego procesu sądowego) Konwencji ze względu na brak niezależności i bezstronności TFF w odniesieniu do pierwszego i piątego skarżącego. Spór pierwszego skarżącego dotyczył jego umowy, natomiast spór drugiego skarżącego dotyczył obniżenia jego stanowiska.</w:t>
      </w:r>
      <w:r w:rsidRPr="00556C86">
        <w:rPr>
          <w:color w:val="0071BB"/>
          <w:spacing w:val="40"/>
          <w:w w:val="120"/>
          <w:lang w:val="pl-PL"/>
        </w:rPr>
        <w:t xml:space="preserve"> </w:t>
      </w:r>
      <w:r w:rsidRPr="00556C86">
        <w:rPr>
          <w:color w:val="0071BB"/>
          <w:w w:val="120"/>
          <w:lang w:val="pl-PL"/>
        </w:rPr>
        <w:t>Decyzje TFF w ich sprawach nie podlegały kontroli sądowej. Trybunał stwierdził w szczególności, że organ wykonawczy TFF, Rada Dyrektorów, która zawsze składała się w większości z członków lub</w:t>
      </w:r>
    </w:p>
    <w:p w14:paraId="354A4869" w14:textId="77777777" w:rsidR="00C53D74" w:rsidRPr="00556C86" w:rsidRDefault="00C53D74">
      <w:pPr>
        <w:pStyle w:val="Tekstpodstawowy"/>
        <w:spacing w:line="237" w:lineRule="auto"/>
        <w:rPr>
          <w:lang w:val="pl-PL"/>
        </w:rPr>
        <w:sectPr w:rsidR="00C53D74" w:rsidRPr="00556C86">
          <w:pgSz w:w="11910" w:h="16840"/>
          <w:pgMar w:top="1400" w:right="566" w:bottom="680" w:left="566" w:header="720" w:footer="497" w:gutter="0"/>
          <w:cols w:space="708"/>
        </w:sectPr>
      </w:pPr>
    </w:p>
    <w:p w14:paraId="7DC8C6BF" w14:textId="77777777" w:rsidR="00C53D74" w:rsidRPr="00556C86" w:rsidRDefault="00C53D74">
      <w:pPr>
        <w:pStyle w:val="Tekstpodstawowy"/>
        <w:spacing w:before="59"/>
        <w:ind w:left="0"/>
        <w:jc w:val="left"/>
        <w:rPr>
          <w:lang w:val="pl-PL"/>
        </w:rPr>
      </w:pPr>
    </w:p>
    <w:p w14:paraId="1A7D8F17" w14:textId="77777777" w:rsidR="00C53D74" w:rsidRPr="00556C86" w:rsidRDefault="00000000">
      <w:pPr>
        <w:pStyle w:val="Tekstpodstawowy"/>
        <w:spacing w:before="1"/>
        <w:ind w:right="871"/>
        <w:rPr>
          <w:lang w:val="pl-PL"/>
        </w:rPr>
      </w:pPr>
      <w:r w:rsidRPr="00556C86">
        <w:rPr>
          <w:color w:val="0071BB"/>
          <w:w w:val="120"/>
          <w:lang w:val="pl-PL"/>
        </w:rPr>
        <w:t xml:space="preserve">kierownictwo klubów piłkarskich miało zbyt duży wpływ na organizację i funkcjonowanie Komisji Arbitrażowej. Prawo TFF nie zapewniało również odpowiednich zabezpieczeń chroniących członków Komisji Arbitrażowej przed presją zewnętrzną. Trybunał uznał ponadto skargi trzech amatorskich piłkarzy </w:t>
      </w:r>
      <w:r w:rsidRPr="00556C86">
        <w:rPr>
          <w:b/>
          <w:color w:val="0071BB"/>
          <w:w w:val="120"/>
          <w:lang w:val="pl-PL"/>
        </w:rPr>
        <w:t>za niedopuszczalne</w:t>
      </w:r>
      <w:r w:rsidRPr="00556C86">
        <w:rPr>
          <w:color w:val="0071BB"/>
          <w:w w:val="120"/>
          <w:lang w:val="pl-PL"/>
        </w:rPr>
        <w:t>, w szczególności dlatego, że art. 6 Konwencji nie miał zastosowania w ich sprawach. Wreszcie, zauważając, że sprawa ujawniła systemowy problem dotyczący rozstrzygania sporów piłkarskich w Turcji, Trybunał wskazał na podstawie art. 46 (wiążąca moc i wykonywanie wyroków) Konwencji, że państwo powinno podjąć środki w celu zapewnienia strukturalnej niezależności Komisji Arbitrażowej.</w:t>
      </w:r>
    </w:p>
    <w:p w14:paraId="5DE72904" w14:textId="77777777" w:rsidR="00C53D74" w:rsidRPr="00556C86" w:rsidRDefault="00000000">
      <w:pPr>
        <w:spacing w:before="49"/>
        <w:ind w:left="874" w:right="874" w:hanging="1"/>
        <w:jc w:val="both"/>
        <w:rPr>
          <w:sz w:val="20"/>
          <w:lang w:val="pl-PL"/>
        </w:rPr>
      </w:pPr>
      <w:r w:rsidRPr="00556C86">
        <w:rPr>
          <w:i/>
          <w:color w:val="404040"/>
          <w:w w:val="120"/>
          <w:sz w:val="20"/>
          <w:lang w:val="pl-PL"/>
        </w:rPr>
        <w:t>Zob. również</w:t>
      </w:r>
      <w:r w:rsidRPr="00556C86">
        <w:rPr>
          <w:color w:val="404040"/>
          <w:w w:val="120"/>
          <w:sz w:val="20"/>
          <w:lang w:val="pl-PL"/>
        </w:rPr>
        <w:t xml:space="preserve">: </w:t>
      </w:r>
      <w:hyperlink r:id="rId21">
        <w:r w:rsidR="00C53D74" w:rsidRPr="00556C86">
          <w:rPr>
            <w:rFonts w:ascii="Arial" w:hAnsi="Arial"/>
            <w:b/>
            <w:i/>
            <w:color w:val="0071BB"/>
            <w:w w:val="120"/>
            <w:sz w:val="20"/>
            <w:u w:val="thick" w:color="0071BB"/>
            <w:lang w:val="pl-PL"/>
          </w:rPr>
          <w:t>Sedat Doğan przeciwko Turcji</w:t>
        </w:r>
        <w:r w:rsidR="00C53D74" w:rsidRPr="00556C86">
          <w:rPr>
            <w:b/>
            <w:color w:val="0071BB"/>
            <w:w w:val="120"/>
            <w:sz w:val="20"/>
            <w:lang w:val="pl-PL"/>
          </w:rPr>
          <w:t xml:space="preserve">, </w:t>
        </w:r>
        <w:r w:rsidR="00C53D74" w:rsidRPr="00556C86">
          <w:rPr>
            <w:rFonts w:ascii="Arial" w:hAnsi="Arial"/>
            <w:b/>
            <w:i/>
            <w:color w:val="0071BB"/>
            <w:w w:val="120"/>
            <w:sz w:val="20"/>
            <w:u w:val="thick" w:color="0071BB"/>
            <w:lang w:val="pl-PL"/>
          </w:rPr>
          <w:t xml:space="preserve">Naki i Amed Sportif Faaliyetler Kulübü </w:t>
        </w:r>
      </w:hyperlink>
      <w:hyperlink r:id="rId22">
        <w:r w:rsidR="00C53D74" w:rsidRPr="00556C86">
          <w:rPr>
            <w:rFonts w:ascii="Arial" w:hAnsi="Arial"/>
            <w:b/>
            <w:i/>
            <w:color w:val="0071BB"/>
            <w:w w:val="120"/>
            <w:sz w:val="20"/>
            <w:u w:val="thick" w:color="0071BB"/>
            <w:lang w:val="pl-PL"/>
          </w:rPr>
          <w:t xml:space="preserve">Derneği przeciwko Turcji </w:t>
        </w:r>
        <w:r w:rsidR="00C53D74" w:rsidRPr="00556C86">
          <w:rPr>
            <w:b/>
            <w:color w:val="0071BB"/>
            <w:w w:val="120"/>
            <w:sz w:val="20"/>
            <w:lang w:val="pl-PL"/>
          </w:rPr>
          <w:t xml:space="preserve">oraz </w:t>
        </w:r>
        <w:r w:rsidR="00C53D74" w:rsidRPr="00556C86">
          <w:rPr>
            <w:rFonts w:ascii="Arial" w:hAnsi="Arial"/>
            <w:b/>
            <w:i/>
            <w:color w:val="0071BB"/>
            <w:w w:val="120"/>
            <w:sz w:val="20"/>
            <w:u w:val="thick" w:color="0071BB"/>
            <w:lang w:val="pl-PL"/>
          </w:rPr>
          <w:t>Ibrahim Tokmak przeciwko Turcji</w:t>
        </w:r>
        <w:r w:rsidR="00C53D74" w:rsidRPr="00556C86">
          <w:rPr>
            <w:color w:val="404040"/>
            <w:w w:val="120"/>
            <w:sz w:val="20"/>
            <w:lang w:val="pl-PL"/>
          </w:rPr>
          <w:t>,</w:t>
        </w:r>
      </w:hyperlink>
      <w:r w:rsidRPr="00556C86">
        <w:rPr>
          <w:color w:val="404040"/>
          <w:w w:val="120"/>
          <w:sz w:val="20"/>
          <w:lang w:val="pl-PL"/>
        </w:rPr>
        <w:t xml:space="preserve"> wyroki z dnia 18 maja 2021 r.</w:t>
      </w:r>
    </w:p>
    <w:p w14:paraId="081D591F" w14:textId="77777777" w:rsidR="00C53D74" w:rsidRPr="00556C86" w:rsidRDefault="00C53D74">
      <w:pPr>
        <w:pStyle w:val="Nagwek2"/>
        <w:spacing w:before="119"/>
        <w:jc w:val="left"/>
        <w:rPr>
          <w:u w:val="none"/>
          <w:lang w:val="pl-PL"/>
        </w:rPr>
      </w:pPr>
      <w:hyperlink r:id="rId23">
        <w:r w:rsidRPr="00556C86">
          <w:rPr>
            <w:color w:val="0071BB"/>
            <w:w w:val="135"/>
            <w:u w:color="0071BB"/>
            <w:lang w:val="pl-PL"/>
          </w:rPr>
          <w:t xml:space="preserve">Platini przeciwko </w:t>
        </w:r>
        <w:r w:rsidRPr="00556C86">
          <w:rPr>
            <w:color w:val="0071BB"/>
            <w:spacing w:val="-2"/>
            <w:w w:val="135"/>
            <w:u w:color="0071BB"/>
            <w:lang w:val="pl-PL"/>
          </w:rPr>
          <w:t>Szwajcarii</w:t>
        </w:r>
      </w:hyperlink>
    </w:p>
    <w:p w14:paraId="68F0A57E" w14:textId="77777777" w:rsidR="00C53D74" w:rsidRPr="00556C86" w:rsidRDefault="00000000">
      <w:pPr>
        <w:spacing w:before="55"/>
        <w:ind w:left="874"/>
        <w:rPr>
          <w:sz w:val="18"/>
          <w:lang w:val="pl-PL"/>
        </w:rPr>
      </w:pPr>
      <w:r w:rsidRPr="00556C86">
        <w:rPr>
          <w:color w:val="808080"/>
          <w:w w:val="125"/>
          <w:sz w:val="18"/>
          <w:lang w:val="pl-PL"/>
        </w:rPr>
        <w:t>11 lutego 2020 r</w:t>
      </w:r>
      <w:r w:rsidRPr="00556C86">
        <w:rPr>
          <w:color w:val="808080"/>
          <w:spacing w:val="-2"/>
          <w:w w:val="125"/>
          <w:sz w:val="18"/>
          <w:lang w:val="pl-PL"/>
        </w:rPr>
        <w:t xml:space="preserve">. </w:t>
      </w:r>
      <w:r w:rsidRPr="00556C86">
        <w:rPr>
          <w:color w:val="808080"/>
          <w:w w:val="125"/>
          <w:sz w:val="18"/>
          <w:lang w:val="pl-PL"/>
        </w:rPr>
        <w:t xml:space="preserve">(decyzja w sprawie </w:t>
      </w:r>
      <w:r w:rsidRPr="00556C86">
        <w:rPr>
          <w:color w:val="808080"/>
          <w:spacing w:val="-2"/>
          <w:w w:val="125"/>
          <w:sz w:val="18"/>
          <w:lang w:val="pl-PL"/>
        </w:rPr>
        <w:t>dopuszczalności)</w:t>
      </w:r>
    </w:p>
    <w:p w14:paraId="7309CB8E" w14:textId="6A5E120D" w:rsidR="00C53D74" w:rsidRPr="00556C86" w:rsidRDefault="00000000">
      <w:pPr>
        <w:pStyle w:val="Tekstpodstawowy"/>
        <w:spacing w:before="2"/>
        <w:ind w:left="874" w:right="869" w:hanging="1"/>
        <w:jc w:val="left"/>
        <w:rPr>
          <w:lang w:val="pl-PL"/>
        </w:rPr>
      </w:pPr>
      <w:r w:rsidRPr="00556C86">
        <w:rPr>
          <w:w w:val="120"/>
          <w:lang w:val="pl-PL"/>
        </w:rPr>
        <w:t xml:space="preserve">Zob. poniżej, w sekcji „Prawo do poszanowania życia prywatnego i rodzinnego oraz domu (art. 8 </w:t>
      </w:r>
      <w:r w:rsidRPr="00556C86">
        <w:rPr>
          <w:spacing w:val="-2"/>
          <w:w w:val="120"/>
          <w:lang w:val="pl-PL"/>
        </w:rPr>
        <w:t>Konwencji)”.</w:t>
      </w:r>
    </w:p>
    <w:p w14:paraId="59D2FF4B" w14:textId="77777777" w:rsidR="00C53D74" w:rsidRPr="00556C86" w:rsidRDefault="00C53D74">
      <w:pPr>
        <w:pStyle w:val="Nagwek2"/>
        <w:spacing w:before="118"/>
        <w:jc w:val="left"/>
        <w:rPr>
          <w:u w:val="none"/>
          <w:lang w:val="pl-PL"/>
        </w:rPr>
      </w:pPr>
      <w:hyperlink r:id="rId24">
        <w:r w:rsidRPr="00556C86">
          <w:rPr>
            <w:color w:val="0071BB"/>
            <w:w w:val="135"/>
            <w:u w:val="thick" w:color="0071BB"/>
            <w:lang w:val="pl-PL"/>
          </w:rPr>
          <w:t xml:space="preserve">Ali Rıza przeciwko </w:t>
        </w:r>
        <w:r w:rsidRPr="00556C86">
          <w:rPr>
            <w:color w:val="0071BB"/>
            <w:spacing w:val="-2"/>
            <w:w w:val="135"/>
            <w:u w:val="thick" w:color="0071BB"/>
            <w:lang w:val="pl-PL"/>
          </w:rPr>
          <w:t>Szwajcarii</w:t>
        </w:r>
      </w:hyperlink>
    </w:p>
    <w:p w14:paraId="0E98D211" w14:textId="77777777" w:rsidR="00C53D74" w:rsidRPr="00556C86" w:rsidRDefault="00000000">
      <w:pPr>
        <w:spacing w:before="56"/>
        <w:ind w:left="874"/>
        <w:rPr>
          <w:sz w:val="18"/>
          <w:lang w:val="pl-PL"/>
        </w:rPr>
      </w:pPr>
      <w:r w:rsidRPr="00556C86">
        <w:rPr>
          <w:color w:val="808080"/>
          <w:w w:val="125"/>
          <w:sz w:val="18"/>
          <w:lang w:val="pl-PL"/>
        </w:rPr>
        <w:t>13 lipca</w:t>
      </w:r>
      <w:r w:rsidRPr="00556C86">
        <w:rPr>
          <w:color w:val="808080"/>
          <w:spacing w:val="-4"/>
          <w:w w:val="125"/>
          <w:sz w:val="18"/>
          <w:lang w:val="pl-PL"/>
        </w:rPr>
        <w:t xml:space="preserve"> 2021 r</w:t>
      </w:r>
      <w:r w:rsidRPr="00556C86">
        <w:rPr>
          <w:color w:val="808080"/>
          <w:spacing w:val="14"/>
          <w:w w:val="125"/>
          <w:sz w:val="18"/>
          <w:lang w:val="pl-PL"/>
        </w:rPr>
        <w:t>.</w:t>
      </w:r>
    </w:p>
    <w:p w14:paraId="17BF8648" w14:textId="089B73BC" w:rsidR="00C53D74" w:rsidRPr="00556C86" w:rsidRDefault="00000000">
      <w:pPr>
        <w:pStyle w:val="Tekstpodstawowy"/>
        <w:spacing w:before="1"/>
        <w:ind w:left="874" w:right="872"/>
        <w:rPr>
          <w:lang w:val="pl-PL"/>
        </w:rPr>
      </w:pPr>
      <w:r w:rsidRPr="00556C86">
        <w:rPr>
          <w:w w:val="120"/>
          <w:lang w:val="pl-PL"/>
        </w:rPr>
        <w:t xml:space="preserve">Sprawa dotyczyła sporu między zawodowym piłkarzem a jego byłym klubem z ligi tureckiej, Trabzonspor. Skarżący twierdził, że Turecka Federacja Piłki Nożnej nakazała mu zapłacić odszkodowanie za opuszczenie klubu bez wypowiedzenia przed wygaśnięciem </w:t>
      </w:r>
      <w:r w:rsidR="00713813" w:rsidRPr="00556C86">
        <w:rPr>
          <w:w w:val="120"/>
          <w:lang w:val="pl-PL"/>
        </w:rPr>
        <w:t>kontraktu</w:t>
      </w:r>
      <w:r w:rsidRPr="00556C86">
        <w:rPr>
          <w:w w:val="120"/>
          <w:lang w:val="pl-PL"/>
        </w:rPr>
        <w:t>. Zwrócił się</w:t>
      </w:r>
      <w:r w:rsidR="00713813" w:rsidRPr="00556C86">
        <w:rPr>
          <w:w w:val="120"/>
          <w:lang w:val="pl-PL"/>
        </w:rPr>
        <w:t xml:space="preserve"> on</w:t>
      </w:r>
      <w:r w:rsidRPr="00556C86">
        <w:rPr>
          <w:w w:val="120"/>
          <w:lang w:val="pl-PL"/>
        </w:rPr>
        <w:t xml:space="preserve"> do Trybunału Arbitrażowego ds. Sportu (CAS) z siedzibą w Lozannie, który orzekł, że nie jest właściwy do rozpatrzenia sprawy. Decyzja ta została utrzymana w mocy przez Federalny Sąd Najwyższy.</w:t>
      </w:r>
      <w:r w:rsidRPr="00556C86">
        <w:rPr>
          <w:spacing w:val="32"/>
          <w:w w:val="120"/>
          <w:lang w:val="pl-PL"/>
        </w:rPr>
        <w:t xml:space="preserve"> </w:t>
      </w:r>
      <w:r w:rsidR="003E1AC8" w:rsidRPr="00556C86">
        <w:rPr>
          <w:w w:val="120"/>
          <w:lang w:val="pl-PL"/>
        </w:rPr>
        <w:t>Skarżący</w:t>
      </w:r>
      <w:r w:rsidRPr="00556C86">
        <w:rPr>
          <w:w w:val="120"/>
          <w:lang w:val="pl-PL"/>
        </w:rPr>
        <w:t xml:space="preserve"> twierdził, że nie miał możliwości wniesienia sprawy do bezstronnego i niezależnego trybunału, w wyniku czego naruszono jego prawo dostępu do sądu. Skarżył się również, że nie udzielono mu prawa do bycia wysłuchanym oraz że przed Federalnym Sądem Najwyższym nie przestrzegano zasady równości stron.</w:t>
      </w:r>
    </w:p>
    <w:p w14:paraId="298F4329" w14:textId="489E2E46" w:rsidR="00C53D74" w:rsidRPr="00556C86" w:rsidRDefault="00000000">
      <w:pPr>
        <w:pStyle w:val="Tekstpodstawowy"/>
        <w:ind w:right="869"/>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6 § 1 </w:t>
      </w:r>
      <w:r w:rsidRPr="00556C86">
        <w:rPr>
          <w:color w:val="0071BB"/>
          <w:w w:val="120"/>
          <w:lang w:val="pl-PL"/>
        </w:rPr>
        <w:t xml:space="preserve">(prawo do rzetelnego procesu sądowego) Konwencji w odniesieniu do prawa dostępu do sądu. W szczególności stwierdził, że CAS przedstawił przekonujące wyjaśnienie, w szczegółowej i uzasadnionej decyzji, dlaczego nie był w stanie rozpatrzyć sporu, a w </w:t>
      </w:r>
      <w:r w:rsidR="001F3492" w:rsidRPr="00556C86">
        <w:rPr>
          <w:color w:val="0071BB"/>
          <w:w w:val="120"/>
          <w:lang w:val="pl-PL"/>
        </w:rPr>
        <w:t>szczególności,</w:t>
      </w:r>
      <w:r w:rsidRPr="00556C86">
        <w:rPr>
          <w:color w:val="0071BB"/>
          <w:w w:val="120"/>
          <w:lang w:val="pl-PL"/>
        </w:rPr>
        <w:t xml:space="preserve"> dlaczego spór nie miał charakteru międzynarodowego.</w:t>
      </w:r>
      <w:r w:rsidRPr="00556C86">
        <w:rPr>
          <w:color w:val="0071BB"/>
          <w:spacing w:val="40"/>
          <w:w w:val="120"/>
          <w:lang w:val="pl-PL"/>
        </w:rPr>
        <w:t xml:space="preserve"> </w:t>
      </w:r>
      <w:r w:rsidRPr="00556C86">
        <w:rPr>
          <w:color w:val="0071BB"/>
          <w:w w:val="120"/>
          <w:lang w:val="pl-PL"/>
        </w:rPr>
        <w:t>W związku z tym skarżący zwrócił się do sądu, który nie był właściwy do rozpatrzenia jego skarg. Wyrok Federalnego Sądu Najwyższego również zawierał uzasadnienie, odnoszące się do wszystkich podstaw odwołania podniesionych przez skarżącego. Orzeczenia obu sądów nie były ani arbitralne, ani w sposób oczywisty nieuzasadnione.</w:t>
      </w:r>
      <w:r w:rsidRPr="00556C86">
        <w:rPr>
          <w:color w:val="0071BB"/>
          <w:spacing w:val="40"/>
          <w:w w:val="120"/>
          <w:lang w:val="pl-PL"/>
        </w:rPr>
        <w:t xml:space="preserve"> </w:t>
      </w:r>
      <w:r w:rsidRPr="00556C86">
        <w:rPr>
          <w:color w:val="0071BB"/>
          <w:w w:val="120"/>
          <w:lang w:val="pl-PL"/>
        </w:rPr>
        <w:t xml:space="preserve">W niniejszej sprawie Trybunał uznał, biorąc pod uwagę powyższe względy, niezwykle słaby związek sporu skarżącego ze Szwajcarią oraz specyfikę postępowania przed CAS i Federalnym Trybunałem Najwyższym, że ograniczenie prawa dostępu do sądu nie było nieproporcjonalne do zamierzonego celu, jakim było właściwe administrowanie wymiarem sprawiedliwości i skuteczność orzeczeń sądów krajowych. Trybunał uznał ponadto </w:t>
      </w:r>
      <w:r w:rsidRPr="00556C86">
        <w:rPr>
          <w:b/>
          <w:color w:val="0071BB"/>
          <w:w w:val="120"/>
          <w:lang w:val="pl-PL"/>
        </w:rPr>
        <w:t xml:space="preserve">za niedopuszczalne </w:t>
      </w:r>
      <w:r w:rsidRPr="00556C86">
        <w:rPr>
          <w:color w:val="0071BB"/>
          <w:w w:val="120"/>
          <w:lang w:val="pl-PL"/>
        </w:rPr>
        <w:t>skargi dotyczące nieprzeprowadzenia rozprawy i rzekomego naruszenia zasady równości stron, stwierdzając, że skargi te były w sposób oczywisty bez</w:t>
      </w:r>
      <w:r w:rsidR="006848C6" w:rsidRPr="00556C86">
        <w:rPr>
          <w:color w:val="0071BB"/>
          <w:w w:val="120"/>
          <w:lang w:val="pl-PL"/>
        </w:rPr>
        <w:t>podstawne</w:t>
      </w:r>
      <w:r w:rsidRPr="00556C86">
        <w:rPr>
          <w:color w:val="0071BB"/>
          <w:w w:val="120"/>
          <w:lang w:val="pl-PL"/>
        </w:rPr>
        <w:t>.</w:t>
      </w:r>
    </w:p>
    <w:p w14:paraId="78104EE9" w14:textId="77777777" w:rsidR="00C53D74" w:rsidRPr="00556C86" w:rsidRDefault="00000000">
      <w:pPr>
        <w:pStyle w:val="Nagwek1"/>
        <w:ind w:right="869"/>
        <w:jc w:val="left"/>
        <w:rPr>
          <w:lang w:val="pl-PL"/>
        </w:rPr>
      </w:pPr>
      <w:r>
        <w:rPr>
          <w:noProof/>
        </w:rPr>
        <mc:AlternateContent>
          <mc:Choice Requires="wps">
            <w:drawing>
              <wp:anchor distT="0" distB="0" distL="0" distR="0" simplePos="0" relativeHeight="251670528" behindDoc="1" locked="0" layoutInCell="1" allowOverlap="1" wp14:anchorId="04BC8D60" wp14:editId="508848C2">
                <wp:simplePos x="0" y="0"/>
                <wp:positionH relativeFrom="page">
                  <wp:posOffset>896111</wp:posOffset>
                </wp:positionH>
                <wp:positionV relativeFrom="paragraph">
                  <wp:posOffset>610768</wp:posOffset>
                </wp:positionV>
                <wp:extent cx="5768340" cy="18415"/>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0054F41" id="Graphic 15" o:spid="_x0000_s1026" style="position:absolute;margin-left:70.55pt;margin-top:48.1pt;width:454.2pt;height:1.4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Prawo do poszanowania życia prywatnego i rodzinnego oraz domu (art. 8 Konwencji)</w:t>
      </w:r>
    </w:p>
    <w:p w14:paraId="24B04ABD" w14:textId="77777777" w:rsidR="00C53D74" w:rsidRPr="00556C86" w:rsidRDefault="00C53D74">
      <w:pPr>
        <w:pStyle w:val="Nagwek2"/>
        <w:rPr>
          <w:u w:val="none"/>
          <w:lang w:val="pl-PL"/>
        </w:rPr>
      </w:pPr>
      <w:hyperlink r:id="rId25">
        <w:r w:rsidRPr="00556C86">
          <w:rPr>
            <w:color w:val="0071BB"/>
            <w:w w:val="135"/>
            <w:u w:color="0071BB"/>
            <w:lang w:val="pl-PL"/>
          </w:rPr>
          <w:t xml:space="preserve">Friend i inni przeciwko Zjednoczonemu </w:t>
        </w:r>
        <w:r w:rsidRPr="00556C86">
          <w:rPr>
            <w:color w:val="0071BB"/>
            <w:spacing w:val="-2"/>
            <w:w w:val="135"/>
            <w:u w:color="0071BB"/>
            <w:lang w:val="pl-PL"/>
          </w:rPr>
          <w:t>Królestwu</w:t>
        </w:r>
      </w:hyperlink>
    </w:p>
    <w:p w14:paraId="1A300583" w14:textId="77777777" w:rsidR="00C53D74" w:rsidRPr="00556C86" w:rsidRDefault="00000000">
      <w:pPr>
        <w:spacing w:before="56"/>
        <w:ind w:left="874"/>
        <w:jc w:val="both"/>
        <w:rPr>
          <w:sz w:val="18"/>
          <w:lang w:val="pl-PL"/>
        </w:rPr>
      </w:pPr>
      <w:r w:rsidRPr="00556C86">
        <w:rPr>
          <w:color w:val="808080"/>
          <w:w w:val="125"/>
          <w:sz w:val="18"/>
          <w:lang w:val="pl-PL"/>
        </w:rPr>
        <w:t xml:space="preserve">24 listopada 2009 r. (decyzja w sprawie </w:t>
      </w:r>
      <w:r w:rsidRPr="00556C86">
        <w:rPr>
          <w:color w:val="808080"/>
          <w:spacing w:val="-2"/>
          <w:w w:val="125"/>
          <w:sz w:val="18"/>
          <w:lang w:val="pl-PL"/>
        </w:rPr>
        <w:t>dopuszczalności)</w:t>
      </w:r>
    </w:p>
    <w:p w14:paraId="3F5025B1" w14:textId="48BAFD4E" w:rsidR="00C53D74" w:rsidRPr="00556C86" w:rsidRDefault="00D44A76">
      <w:pPr>
        <w:pStyle w:val="Tekstpodstawowy"/>
        <w:spacing w:before="1"/>
        <w:ind w:right="871"/>
        <w:rPr>
          <w:lang w:val="pl-PL"/>
        </w:rPr>
      </w:pPr>
      <w:r w:rsidRPr="00556C86">
        <w:rPr>
          <w:w w:val="120"/>
          <w:lang w:val="pl-PL"/>
        </w:rPr>
        <w:t xml:space="preserve">Skargi te dotyczyły wprowadzonych w Wielkiej Brytanii ustawowych zakazów tradycyjnej praktyki polowań z psami, wynikających z ustawy o ochronie dzikich ssaków (Szkocja) z 2002 r. oraz ustawy o polowaniach z 2004 r. </w:t>
      </w:r>
      <w:r w:rsidR="00BD3B70" w:rsidRPr="00556C86">
        <w:rPr>
          <w:w w:val="120"/>
          <w:lang w:val="pl-PL"/>
        </w:rPr>
        <w:t>Skarżący</w:t>
      </w:r>
      <w:r w:rsidRPr="00556C86">
        <w:rPr>
          <w:w w:val="120"/>
          <w:lang w:val="pl-PL"/>
        </w:rPr>
        <w:t>, organizacja pozarządowa i jedenaście osób prywatnych, zakwestionowali te przepisy w krajowy</w:t>
      </w:r>
      <w:r w:rsidR="00357BC0" w:rsidRPr="00556C86">
        <w:rPr>
          <w:w w:val="120"/>
          <w:lang w:val="pl-PL"/>
        </w:rPr>
        <w:t>ch</w:t>
      </w:r>
    </w:p>
    <w:p w14:paraId="00C2CC80" w14:textId="77777777" w:rsidR="00C53D74" w:rsidRPr="00556C86" w:rsidRDefault="00C53D74">
      <w:pPr>
        <w:pStyle w:val="Tekstpodstawowy"/>
        <w:rPr>
          <w:lang w:val="pl-PL"/>
        </w:rPr>
        <w:sectPr w:rsidR="00C53D74" w:rsidRPr="00556C86">
          <w:pgSz w:w="11910" w:h="16840"/>
          <w:pgMar w:top="1400" w:right="566" w:bottom="680" w:left="566" w:header="720" w:footer="497" w:gutter="0"/>
          <w:cols w:space="708"/>
        </w:sectPr>
      </w:pPr>
    </w:p>
    <w:p w14:paraId="4C2BEBC5" w14:textId="77777777" w:rsidR="00C53D74" w:rsidRPr="00556C86" w:rsidRDefault="00C53D74">
      <w:pPr>
        <w:pStyle w:val="Tekstpodstawowy"/>
        <w:spacing w:before="59"/>
        <w:ind w:left="0"/>
        <w:jc w:val="left"/>
        <w:rPr>
          <w:lang w:val="pl-PL"/>
        </w:rPr>
      </w:pPr>
    </w:p>
    <w:p w14:paraId="4C00B0EB" w14:textId="77777777" w:rsidR="00C53D74" w:rsidRPr="00556C86" w:rsidRDefault="00000000">
      <w:pPr>
        <w:pStyle w:val="Tekstpodstawowy"/>
        <w:spacing w:before="1"/>
        <w:ind w:right="872"/>
        <w:rPr>
          <w:lang w:val="pl-PL"/>
        </w:rPr>
      </w:pPr>
      <w:r w:rsidRPr="00556C86">
        <w:rPr>
          <w:w w:val="120"/>
          <w:lang w:val="pl-PL"/>
        </w:rPr>
        <w:t>sądach, ale ich odwołania do Izby Lordów zostały oddalone. Skarżący zarzucali w szczególności naruszenie ich prawa do poszanowania życia prywatnego, a w niektórych przypadkach również ich domów.</w:t>
      </w:r>
    </w:p>
    <w:p w14:paraId="51901032" w14:textId="304C0509" w:rsidR="00C53D74" w:rsidRPr="00556C86" w:rsidRDefault="00000000">
      <w:pPr>
        <w:pStyle w:val="Tekstpodstawowy"/>
        <w:ind w:right="868"/>
        <w:rPr>
          <w:lang w:val="pl-PL"/>
        </w:rPr>
      </w:pPr>
      <w:r w:rsidRPr="00556C86">
        <w:rPr>
          <w:color w:val="0071BB"/>
          <w:spacing w:val="40"/>
          <w:w w:val="120"/>
          <w:lang w:val="pl-PL"/>
        </w:rPr>
        <w:t xml:space="preserve">  </w:t>
      </w:r>
      <w:r w:rsidRPr="00556C86">
        <w:rPr>
          <w:color w:val="0071BB"/>
          <w:w w:val="120"/>
          <w:lang w:val="pl-PL"/>
        </w:rPr>
        <w:t>Trybunał uznał skargi skarżących na podstawie art. 8 (prawo do poszanowania życia prywatnego</w:t>
      </w:r>
      <w:r w:rsidRPr="00556C86">
        <w:rPr>
          <w:color w:val="0071BB"/>
          <w:spacing w:val="40"/>
          <w:w w:val="120"/>
          <w:lang w:val="pl-PL"/>
        </w:rPr>
        <w:t xml:space="preserve">  </w:t>
      </w:r>
      <w:r w:rsidRPr="00556C86">
        <w:rPr>
          <w:color w:val="0071BB"/>
          <w:w w:val="120"/>
          <w:lang w:val="pl-PL"/>
        </w:rPr>
        <w:t xml:space="preserve"> i</w:t>
      </w:r>
      <w:r w:rsidRPr="00556C86">
        <w:rPr>
          <w:color w:val="0071BB"/>
          <w:spacing w:val="40"/>
          <w:w w:val="120"/>
          <w:lang w:val="pl-PL"/>
        </w:rPr>
        <w:t xml:space="preserve">  </w:t>
      </w:r>
      <w:r w:rsidRPr="00556C86">
        <w:rPr>
          <w:color w:val="0071BB"/>
          <w:w w:val="120"/>
          <w:lang w:val="pl-PL"/>
        </w:rPr>
        <w:t xml:space="preserve"> </w:t>
      </w:r>
      <w:r w:rsidR="001F3492" w:rsidRPr="00556C86">
        <w:rPr>
          <w:color w:val="0071BB"/>
          <w:w w:val="120"/>
          <w:lang w:val="pl-PL"/>
        </w:rPr>
        <w:t>domowego)</w:t>
      </w:r>
      <w:r w:rsidR="001F3492" w:rsidRPr="00556C86">
        <w:rPr>
          <w:color w:val="0071BB"/>
          <w:spacing w:val="40"/>
          <w:w w:val="120"/>
          <w:lang w:val="pl-PL"/>
        </w:rPr>
        <w:t xml:space="preserve"> z</w:t>
      </w:r>
      <w:r w:rsidRPr="00556C86">
        <w:rPr>
          <w:color w:val="0071BB"/>
          <w:spacing w:val="40"/>
          <w:w w:val="120"/>
          <w:lang w:val="pl-PL"/>
        </w:rPr>
        <w:t xml:space="preserve">  </w:t>
      </w:r>
      <w:r w:rsidRPr="00556C86">
        <w:rPr>
          <w:color w:val="0071BB"/>
          <w:w w:val="120"/>
          <w:lang w:val="pl-PL"/>
        </w:rPr>
        <w:t xml:space="preserve"> Konwencji</w:t>
      </w:r>
      <w:r w:rsidRPr="00556C86">
        <w:rPr>
          <w:color w:val="0071BB"/>
          <w:spacing w:val="40"/>
          <w:w w:val="120"/>
          <w:lang w:val="pl-PL"/>
        </w:rPr>
        <w:t xml:space="preserve">  </w:t>
      </w:r>
      <w:r w:rsidRPr="00556C86">
        <w:rPr>
          <w:b/>
          <w:color w:val="0071BB"/>
          <w:w w:val="120"/>
          <w:lang w:val="pl-PL"/>
        </w:rPr>
        <w:t xml:space="preserve"> niedopuszczalnymi</w:t>
      </w:r>
      <w:r w:rsidRPr="00556C86">
        <w:rPr>
          <w:b/>
          <w:color w:val="0071BB"/>
          <w:spacing w:val="40"/>
          <w:w w:val="120"/>
          <w:lang w:val="pl-PL"/>
        </w:rPr>
        <w:t xml:space="preserve">  </w:t>
      </w:r>
      <w:r w:rsidRPr="00556C86">
        <w:rPr>
          <w:color w:val="0071BB"/>
          <w:w w:val="120"/>
          <w:lang w:val="pl-PL"/>
        </w:rPr>
        <w:t xml:space="preserve"> jako</w:t>
      </w:r>
      <w:r w:rsidRPr="00556C86">
        <w:rPr>
          <w:color w:val="0071BB"/>
          <w:spacing w:val="40"/>
          <w:w w:val="120"/>
          <w:lang w:val="pl-PL"/>
        </w:rPr>
        <w:t xml:space="preserve">  </w:t>
      </w:r>
      <w:r w:rsidRPr="00556C86">
        <w:rPr>
          <w:color w:val="0071BB"/>
          <w:w w:val="120"/>
          <w:lang w:val="pl-PL"/>
        </w:rPr>
        <w:t xml:space="preserve"> będącymi</w:t>
      </w:r>
      <w:r w:rsidRPr="00556C86">
        <w:rPr>
          <w:color w:val="0071BB"/>
          <w:spacing w:val="40"/>
          <w:w w:val="120"/>
          <w:lang w:val="pl-PL"/>
        </w:rPr>
        <w:t xml:space="preserve">  </w:t>
      </w:r>
      <w:r w:rsidRPr="00556C86">
        <w:rPr>
          <w:color w:val="0071BB"/>
          <w:w w:val="120"/>
          <w:lang w:val="pl-PL"/>
        </w:rPr>
        <w:t xml:space="preserve"> ewidentnie</w:t>
      </w:r>
      <w:r w:rsidRPr="00556C86">
        <w:rPr>
          <w:color w:val="0071BB"/>
          <w:spacing w:val="40"/>
          <w:w w:val="120"/>
          <w:lang w:val="pl-PL"/>
        </w:rPr>
        <w:t xml:space="preserve">  </w:t>
      </w:r>
      <w:r w:rsidRPr="00556C86">
        <w:rPr>
          <w:color w:val="0071BB"/>
          <w:w w:val="120"/>
          <w:lang w:val="pl-PL"/>
        </w:rPr>
        <w:t xml:space="preserve"> </w:t>
      </w:r>
      <w:r w:rsidR="001F3492" w:rsidRPr="00556C86">
        <w:rPr>
          <w:color w:val="0071BB"/>
          <w:w w:val="120"/>
          <w:lang w:val="pl-PL"/>
        </w:rPr>
        <w:t>bezpodstawnymi</w:t>
      </w:r>
      <w:r w:rsidRPr="00556C86">
        <w:rPr>
          <w:color w:val="0071BB"/>
          <w:w w:val="120"/>
          <w:lang w:val="pl-PL"/>
        </w:rPr>
        <w:t>. Trybunał zauważył w szczególności, że chociaż życie prywatne jest pojęciem szerokim, nie oznacza to, że chroni ono każdą działalność, którą dana osoba może podjąć z innymi ludźmi w celu nawiązania i rozwijania z nimi relacji.</w:t>
      </w:r>
      <w:r w:rsidRPr="00556C86">
        <w:rPr>
          <w:color w:val="0071BB"/>
          <w:spacing w:val="40"/>
          <w:w w:val="120"/>
          <w:lang w:val="pl-PL"/>
        </w:rPr>
        <w:t xml:space="preserve"> </w:t>
      </w:r>
      <w:r w:rsidRPr="00556C86">
        <w:rPr>
          <w:color w:val="0071BB"/>
          <w:w w:val="120"/>
          <w:lang w:val="pl-PL"/>
        </w:rPr>
        <w:t xml:space="preserve">Pomimo oczywistego poczucia radości i osobistej satysfakcji, jakie czerpali z tego </w:t>
      </w:r>
      <w:r w:rsidR="001F3492" w:rsidRPr="00556C86">
        <w:rPr>
          <w:color w:val="0071BB"/>
          <w:w w:val="120"/>
          <w:lang w:val="pl-PL"/>
        </w:rPr>
        <w:t>skarżący</w:t>
      </w:r>
      <w:r w:rsidRPr="00556C86">
        <w:rPr>
          <w:color w:val="0071BB"/>
          <w:w w:val="120"/>
          <w:lang w:val="pl-PL"/>
        </w:rPr>
        <w:t xml:space="preserve">, oraz relacji międzyludzkich, które dzięki temu nawiązali, polowanie było zbyt odległe od osobistej autonomii </w:t>
      </w:r>
      <w:r w:rsidR="004306BD" w:rsidRPr="00556C86">
        <w:rPr>
          <w:color w:val="0071BB"/>
          <w:w w:val="120"/>
          <w:lang w:val="pl-PL"/>
        </w:rPr>
        <w:t>skarżących</w:t>
      </w:r>
      <w:r w:rsidRPr="00556C86">
        <w:rPr>
          <w:color w:val="0071BB"/>
          <w:w w:val="120"/>
          <w:lang w:val="pl-PL"/>
        </w:rPr>
        <w:t>, a relacje międzyludzkie, na których się opierali, były zbyt szerokie i nieokreślone, aby zakaz polowań stanowił ingerencję w ich prawa wynikające z art. 8. W odniesieniu do skarżących, którzy twierdzili, że niemożność polowania na ich gruntach stanowi ingerencję w ich domy, Trybunał zauważył w szczególności, że pojęcie domu nie obejmuje gruntów, na których właściciel zezwalał na uprawianie sportu lub powodował jego uprawianie, a rozszerzenie tego pojęcia w ten sposób nadwyrężyłoby jego znaczenie.</w:t>
      </w:r>
    </w:p>
    <w:p w14:paraId="1ECA2C6D" w14:textId="77777777" w:rsidR="00C53D74" w:rsidRPr="00556C86" w:rsidRDefault="00C53D74">
      <w:pPr>
        <w:spacing w:before="106" w:line="235" w:lineRule="auto"/>
        <w:ind w:left="874" w:right="872"/>
        <w:jc w:val="both"/>
        <w:rPr>
          <w:sz w:val="16"/>
          <w:lang w:val="pl-PL"/>
        </w:rPr>
      </w:pPr>
      <w:hyperlink r:id="rId26">
        <w:r w:rsidRPr="00556C86">
          <w:rPr>
            <w:b/>
            <w:color w:val="0071BB"/>
            <w:w w:val="130"/>
            <w:sz w:val="20"/>
            <w:u w:val="single" w:color="0071BB"/>
            <w:lang w:val="pl-PL"/>
          </w:rPr>
          <w:t>Fédération Nationale des Syndicats Sportifs (FNASS) i inni przeciwko Francji</w:t>
        </w:r>
      </w:hyperlink>
      <w:r w:rsidRPr="00556C86">
        <w:rPr>
          <w:color w:val="808080"/>
          <w:w w:val="130"/>
          <w:sz w:val="16"/>
          <w:lang w:val="pl-PL"/>
        </w:rPr>
        <w:t xml:space="preserve"> (zob. również poniżej, w sekcji „Swoboda przemieszczania się”)</w:t>
      </w:r>
    </w:p>
    <w:p w14:paraId="4D171868" w14:textId="77777777" w:rsidR="00C53D74" w:rsidRPr="00556C86" w:rsidRDefault="00000000">
      <w:pPr>
        <w:spacing w:before="60"/>
        <w:ind w:left="874"/>
        <w:jc w:val="both"/>
        <w:rPr>
          <w:sz w:val="18"/>
          <w:lang w:val="pl-PL"/>
        </w:rPr>
      </w:pPr>
      <w:r w:rsidRPr="00556C86">
        <w:rPr>
          <w:color w:val="808080"/>
          <w:w w:val="125"/>
          <w:sz w:val="18"/>
          <w:lang w:val="pl-PL"/>
        </w:rPr>
        <w:t>18 stycznia</w:t>
      </w:r>
      <w:r w:rsidRPr="00556C86">
        <w:rPr>
          <w:color w:val="808080"/>
          <w:spacing w:val="-4"/>
          <w:w w:val="125"/>
          <w:sz w:val="18"/>
          <w:lang w:val="pl-PL"/>
        </w:rPr>
        <w:t xml:space="preserve"> 2018 r.</w:t>
      </w:r>
    </w:p>
    <w:p w14:paraId="0A101A36" w14:textId="7D3DD1EA" w:rsidR="00C53D74" w:rsidRPr="00556C86" w:rsidRDefault="00000000">
      <w:pPr>
        <w:pStyle w:val="Tekstpodstawowy"/>
        <w:spacing w:before="1"/>
        <w:ind w:right="871"/>
        <w:rPr>
          <w:lang w:val="pl-PL"/>
        </w:rPr>
      </w:pPr>
      <w:r w:rsidRPr="00556C86">
        <w:rPr>
          <w:spacing w:val="40"/>
          <w:w w:val="120"/>
          <w:lang w:val="pl-PL"/>
        </w:rPr>
        <w:t xml:space="preserve">  </w:t>
      </w:r>
      <w:r w:rsidRPr="00556C86">
        <w:rPr>
          <w:w w:val="120"/>
          <w:lang w:val="pl-PL"/>
        </w:rPr>
        <w:t>Sprawa dotyczyła wymogu, zgodnie z którym określona grupa zawodowych sportowców miała obowiązek zgłaszania</w:t>
      </w:r>
      <w:r w:rsidRPr="00556C86">
        <w:rPr>
          <w:spacing w:val="40"/>
          <w:w w:val="120"/>
          <w:lang w:val="pl-PL"/>
        </w:rPr>
        <w:t xml:space="preserve">  </w:t>
      </w:r>
      <w:r w:rsidRPr="00556C86">
        <w:rPr>
          <w:w w:val="120"/>
          <w:lang w:val="pl-PL"/>
        </w:rPr>
        <w:t xml:space="preserve"> swojego miejsca pobytu</w:t>
      </w:r>
      <w:r w:rsidRPr="00556C86">
        <w:rPr>
          <w:spacing w:val="40"/>
          <w:w w:val="120"/>
          <w:lang w:val="pl-PL"/>
        </w:rPr>
        <w:t xml:space="preserve">  </w:t>
      </w:r>
      <w:r w:rsidRPr="00556C86">
        <w:rPr>
          <w:w w:val="120"/>
          <w:lang w:val="pl-PL"/>
        </w:rPr>
        <w:t xml:space="preserve"> </w:t>
      </w:r>
      <w:r w:rsidRPr="00556C86">
        <w:rPr>
          <w:spacing w:val="40"/>
          <w:w w:val="120"/>
          <w:lang w:val="pl-PL"/>
        </w:rPr>
        <w:t xml:space="preserve">  </w:t>
      </w:r>
      <w:r w:rsidRPr="00556C86">
        <w:rPr>
          <w:w w:val="120"/>
          <w:lang w:val="pl-PL"/>
        </w:rPr>
        <w:t xml:space="preserve"> w celu</w:t>
      </w:r>
      <w:r w:rsidRPr="00556C86">
        <w:rPr>
          <w:spacing w:val="40"/>
          <w:w w:val="120"/>
          <w:lang w:val="pl-PL"/>
        </w:rPr>
        <w:t xml:space="preserve">  </w:t>
      </w:r>
      <w:r w:rsidRPr="00556C86">
        <w:rPr>
          <w:w w:val="120"/>
          <w:lang w:val="pl-PL"/>
        </w:rPr>
        <w:t xml:space="preserve"> przeprowadzania</w:t>
      </w:r>
      <w:r w:rsidRPr="00556C86">
        <w:rPr>
          <w:spacing w:val="40"/>
          <w:w w:val="120"/>
          <w:lang w:val="pl-PL"/>
        </w:rPr>
        <w:t xml:space="preserve">  </w:t>
      </w:r>
      <w:r w:rsidRPr="00556C86">
        <w:rPr>
          <w:w w:val="120"/>
          <w:lang w:val="pl-PL"/>
        </w:rPr>
        <w:t xml:space="preserve"> testów antydopingowych</w:t>
      </w:r>
      <w:r w:rsidRPr="00556C86">
        <w:rPr>
          <w:spacing w:val="40"/>
          <w:w w:val="120"/>
          <w:lang w:val="pl-PL"/>
        </w:rPr>
        <w:t xml:space="preserve">  </w:t>
      </w:r>
      <w:r w:rsidRPr="00556C86">
        <w:rPr>
          <w:w w:val="120"/>
          <w:lang w:val="pl-PL"/>
        </w:rPr>
        <w:t xml:space="preserve"> bez uprzedzeni</w:t>
      </w:r>
      <w:r w:rsidR="004306BD" w:rsidRPr="00556C86">
        <w:rPr>
          <w:w w:val="120"/>
          <w:lang w:val="pl-PL"/>
        </w:rPr>
        <w:t>a</w:t>
      </w:r>
      <w:r w:rsidRPr="00556C86">
        <w:rPr>
          <w:w w:val="120"/>
          <w:lang w:val="pl-PL"/>
        </w:rPr>
        <w:t>. Skarżący twierdzili w szczególności, że mechanizm wymagający od nich składania co kwartał kompletnych informacji o miejscu pobytu oraz wskazywania dla każdego dnia 60-minutowego przedziału czasowego, w którym będą dostępni do przeprowadzenia testów, stanowił nieuzasadnioną ingerencję w ich prawo do poszanowania życia prywatnego i rodzinnego oraz domu.</w:t>
      </w:r>
    </w:p>
    <w:p w14:paraId="26CA4796" w14:textId="77777777" w:rsidR="00C53D74" w:rsidRPr="00556C86" w:rsidRDefault="00000000">
      <w:pPr>
        <w:pStyle w:val="Tekstpodstawowy"/>
        <w:spacing w:line="237" w:lineRule="auto"/>
        <w:ind w:right="871"/>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8 </w:t>
      </w:r>
      <w:r w:rsidRPr="00556C86">
        <w:rPr>
          <w:color w:val="0071BB"/>
          <w:w w:val="120"/>
          <w:lang w:val="pl-PL"/>
        </w:rPr>
        <w:t>(prawo do poszanowania życia prywatnego i rodzinnego oraz domu) Konwencji w odniesieniu do skargi 17 indywidualnych skarżących</w:t>
      </w:r>
      <w:hyperlink w:anchor="_bookmark0" w:history="1">
        <w:r w:rsidR="00C53D74" w:rsidRPr="00556C86">
          <w:rPr>
            <w:color w:val="0071BB"/>
            <w:w w:val="120"/>
            <w:position w:val="7"/>
            <w:sz w:val="13"/>
            <w:lang w:val="pl-PL"/>
          </w:rPr>
          <w:t>1</w:t>
        </w:r>
      </w:hyperlink>
      <w:r w:rsidRPr="00556C86">
        <w:rPr>
          <w:color w:val="0071BB"/>
          <w:w w:val="120"/>
          <w:lang w:val="pl-PL"/>
        </w:rPr>
        <w:t>, stwierdzając, że państwo francuskie osiągnęło właściwą równowagę między różnymi interesami, które były przedmiotem sporu. W szczególności, biorąc pod uwagę wpływ wymogu przebywania w określonym miejscu na życie prywatne skarżących, Trybunał uznał jednak, że względy interesu publicznego, które sprawiły, że wymóg ten był konieczny, miały szczególne znaczenie i uzasadniały ograniczenia nałożone na prawa skarżących wynikające z art. 8. Trybunał uznał również, że ograniczenie lub zniesienie odpowiednich obowiązków doprowadziłoby do zwiększenia zagrożeń związanych z dopingiem dla zdrowia zawodowych sportowców i wszystkich osób uprawiających sport oraz byłoby sprzeczne z europejskim i międzynarodowym konsensusem w sprawie konieczności przeprowadzania niezapowiedzianych testów w ramach kontroli antydopingowej.</w:t>
      </w:r>
    </w:p>
    <w:p w14:paraId="39290149" w14:textId="77777777" w:rsidR="00C53D74" w:rsidRPr="00556C86" w:rsidRDefault="00C53D74">
      <w:pPr>
        <w:pStyle w:val="Nagwek2"/>
        <w:spacing w:before="126"/>
        <w:ind w:left="873"/>
        <w:rPr>
          <w:u w:val="none"/>
          <w:lang w:val="pl-PL"/>
        </w:rPr>
      </w:pPr>
      <w:hyperlink r:id="rId27">
        <w:r w:rsidRPr="00556C86">
          <w:rPr>
            <w:color w:val="0071BB"/>
            <w:w w:val="135"/>
            <w:u w:color="0071BB"/>
            <w:lang w:val="pl-PL"/>
          </w:rPr>
          <w:t xml:space="preserve">Platini przeciwko </w:t>
        </w:r>
        <w:r w:rsidRPr="00556C86">
          <w:rPr>
            <w:color w:val="0071BB"/>
            <w:spacing w:val="-2"/>
            <w:w w:val="135"/>
            <w:u w:color="0071BB"/>
            <w:lang w:val="pl-PL"/>
          </w:rPr>
          <w:t>Szwajcarii</w:t>
        </w:r>
      </w:hyperlink>
    </w:p>
    <w:p w14:paraId="75232568" w14:textId="77777777" w:rsidR="00C53D74" w:rsidRPr="00556C86" w:rsidRDefault="00000000">
      <w:pPr>
        <w:spacing w:before="55"/>
        <w:ind w:left="874"/>
        <w:jc w:val="both"/>
        <w:rPr>
          <w:sz w:val="18"/>
          <w:lang w:val="pl-PL"/>
        </w:rPr>
      </w:pPr>
      <w:r w:rsidRPr="00556C86">
        <w:rPr>
          <w:color w:val="808080"/>
          <w:w w:val="125"/>
          <w:sz w:val="18"/>
          <w:lang w:val="pl-PL"/>
        </w:rPr>
        <w:t>11 lutego 2020 r</w:t>
      </w:r>
      <w:r w:rsidRPr="00556C86">
        <w:rPr>
          <w:color w:val="808080"/>
          <w:spacing w:val="-2"/>
          <w:w w:val="125"/>
          <w:sz w:val="18"/>
          <w:lang w:val="pl-PL"/>
        </w:rPr>
        <w:t xml:space="preserve">. </w:t>
      </w:r>
      <w:r w:rsidRPr="00556C86">
        <w:rPr>
          <w:color w:val="808080"/>
          <w:w w:val="125"/>
          <w:sz w:val="18"/>
          <w:lang w:val="pl-PL"/>
        </w:rPr>
        <w:t xml:space="preserve">(decyzja w sprawie </w:t>
      </w:r>
      <w:r w:rsidRPr="00556C86">
        <w:rPr>
          <w:color w:val="808080"/>
          <w:spacing w:val="-2"/>
          <w:w w:val="125"/>
          <w:sz w:val="18"/>
          <w:lang w:val="pl-PL"/>
        </w:rPr>
        <w:t>dopuszczalności)</w:t>
      </w:r>
    </w:p>
    <w:p w14:paraId="605F0974" w14:textId="77777777" w:rsidR="00C53D74" w:rsidRPr="00556C86" w:rsidRDefault="00000000">
      <w:pPr>
        <w:pStyle w:val="Tekstpodstawowy"/>
        <w:spacing w:before="2"/>
        <w:ind w:right="872"/>
        <w:rPr>
          <w:lang w:val="pl-PL"/>
        </w:rPr>
      </w:pPr>
      <w:r w:rsidRPr="00556C86">
        <w:rPr>
          <w:w w:val="120"/>
          <w:lang w:val="pl-PL"/>
        </w:rPr>
        <w:t>Wobec skarżącego, byłego zawodowego piłkarza, prezesa UEFA i wiceprezesa FIFA, wszczęto postępowanie dyscyplinarne w związku z „dodatkiem” do wynagrodzenia w wysokości 2 mln franków szwajcarskich (CHF), otrzymanym w 2011 r. w ramach ustnej umowy między nim a byłym prezesem FIFA. Został on zawieszony w wykonywaniu wszelkich czynności związanych z piłką nożną</w:t>
      </w:r>
      <w:r w:rsidRPr="00556C86">
        <w:rPr>
          <w:spacing w:val="33"/>
          <w:w w:val="120"/>
          <w:lang w:val="pl-PL"/>
        </w:rPr>
        <w:t xml:space="preserve">  </w:t>
      </w:r>
      <w:r w:rsidRPr="00556C86">
        <w:rPr>
          <w:w w:val="120"/>
          <w:lang w:val="pl-PL"/>
        </w:rPr>
        <w:t xml:space="preserve"> profesjonalnych</w:t>
      </w:r>
      <w:r w:rsidRPr="00556C86">
        <w:rPr>
          <w:spacing w:val="33"/>
          <w:w w:val="120"/>
          <w:lang w:val="pl-PL"/>
        </w:rPr>
        <w:t xml:space="preserve">  </w:t>
      </w:r>
      <w:r w:rsidRPr="00556C86">
        <w:rPr>
          <w:w w:val="120"/>
          <w:lang w:val="pl-PL"/>
        </w:rPr>
        <w:t xml:space="preserve"> działalności</w:t>
      </w:r>
      <w:r w:rsidRPr="00556C86">
        <w:rPr>
          <w:spacing w:val="32"/>
          <w:w w:val="120"/>
          <w:lang w:val="pl-PL"/>
        </w:rPr>
        <w:t xml:space="preserve">  </w:t>
      </w:r>
      <w:r w:rsidRPr="00556C86">
        <w:rPr>
          <w:w w:val="120"/>
          <w:lang w:val="pl-PL"/>
        </w:rPr>
        <w:t xml:space="preserve"> na okres</w:t>
      </w:r>
      <w:r w:rsidRPr="00556C86">
        <w:rPr>
          <w:spacing w:val="33"/>
          <w:w w:val="120"/>
          <w:lang w:val="pl-PL"/>
        </w:rPr>
        <w:t xml:space="preserve">  </w:t>
      </w:r>
      <w:r w:rsidRPr="00556C86">
        <w:rPr>
          <w:w w:val="120"/>
          <w:lang w:val="pl-PL"/>
        </w:rPr>
        <w:t xml:space="preserve"> czterech</w:t>
      </w:r>
      <w:r w:rsidRPr="00556C86">
        <w:rPr>
          <w:spacing w:val="33"/>
          <w:w w:val="120"/>
          <w:lang w:val="pl-PL"/>
        </w:rPr>
        <w:t xml:space="preserve">  </w:t>
      </w:r>
      <w:r w:rsidRPr="00556C86">
        <w:rPr>
          <w:w w:val="120"/>
          <w:lang w:val="pl-PL"/>
        </w:rPr>
        <w:t xml:space="preserve"> lat</w:t>
      </w:r>
      <w:r w:rsidRPr="00556C86">
        <w:rPr>
          <w:spacing w:val="33"/>
          <w:w w:val="120"/>
          <w:lang w:val="pl-PL"/>
        </w:rPr>
        <w:t xml:space="preserve">  </w:t>
      </w:r>
      <w:r w:rsidRPr="00556C86">
        <w:rPr>
          <w:w w:val="120"/>
          <w:lang w:val="pl-PL"/>
        </w:rPr>
        <w:t xml:space="preserve"> i</w:t>
      </w:r>
      <w:r w:rsidRPr="00556C86">
        <w:rPr>
          <w:spacing w:val="33"/>
          <w:w w:val="120"/>
          <w:lang w:val="pl-PL"/>
        </w:rPr>
        <w:t xml:space="preserve">  </w:t>
      </w:r>
      <w:r w:rsidRPr="00556C86">
        <w:rPr>
          <w:w w:val="120"/>
          <w:lang w:val="pl-PL"/>
        </w:rPr>
        <w:t xml:space="preserve"> ukarany grzywną</w:t>
      </w:r>
      <w:r w:rsidRPr="00556C86">
        <w:rPr>
          <w:spacing w:val="34"/>
          <w:w w:val="120"/>
          <w:lang w:val="pl-PL"/>
        </w:rPr>
        <w:t xml:space="preserve">  </w:t>
      </w:r>
      <w:r w:rsidRPr="00556C86">
        <w:rPr>
          <w:w w:val="120"/>
          <w:lang w:val="pl-PL"/>
        </w:rPr>
        <w:t xml:space="preserve"> w wysokości</w:t>
      </w:r>
      <w:r w:rsidRPr="00556C86">
        <w:rPr>
          <w:spacing w:val="34"/>
          <w:w w:val="120"/>
          <w:lang w:val="pl-PL"/>
        </w:rPr>
        <w:t xml:space="preserve">  </w:t>
      </w:r>
      <w:r w:rsidRPr="00556C86">
        <w:rPr>
          <w:w w:val="120"/>
          <w:lang w:val="pl-PL"/>
        </w:rPr>
        <w:t xml:space="preserve"> 60 000 CHF.</w:t>
      </w:r>
      <w:r w:rsidRPr="00556C86">
        <w:rPr>
          <w:spacing w:val="32"/>
          <w:w w:val="120"/>
          <w:lang w:val="pl-PL"/>
        </w:rPr>
        <w:t xml:space="preserve">  </w:t>
      </w:r>
      <w:r w:rsidRPr="00556C86">
        <w:rPr>
          <w:w w:val="120"/>
          <w:lang w:val="pl-PL"/>
        </w:rPr>
        <w:t xml:space="preserve"> Wniósł on w szczególności, że czteroletnie zawieszenie było niezgodne z jego swobodą wykonywania działalności zawodowej.</w:t>
      </w:r>
      <w:r w:rsidRPr="00556C86">
        <w:rPr>
          <w:spacing w:val="33"/>
          <w:w w:val="120"/>
          <w:lang w:val="pl-PL"/>
        </w:rPr>
        <w:t xml:space="preserve">  </w:t>
      </w:r>
      <w:r w:rsidRPr="00556C86">
        <w:rPr>
          <w:w w:val="120"/>
          <w:lang w:val="pl-PL"/>
        </w:rPr>
        <w:t xml:space="preserve"> </w:t>
      </w:r>
    </w:p>
    <w:p w14:paraId="38FA9EF4" w14:textId="4840CE0D" w:rsidR="00C53D74" w:rsidRPr="00556C86" w:rsidRDefault="00000000">
      <w:pPr>
        <w:pStyle w:val="Tekstpodstawowy"/>
        <w:spacing w:line="237" w:lineRule="auto"/>
        <w:ind w:right="869"/>
        <w:rPr>
          <w:lang w:val="pl-PL"/>
        </w:rPr>
      </w:pPr>
      <w:r w:rsidRPr="00556C86">
        <w:rPr>
          <w:color w:val="0071BB"/>
          <w:w w:val="120"/>
          <w:lang w:val="pl-PL"/>
        </w:rPr>
        <w:t xml:space="preserve">Sąd uznał wniosek </w:t>
      </w:r>
      <w:r w:rsidRPr="00556C86">
        <w:rPr>
          <w:b/>
          <w:color w:val="0071BB"/>
          <w:w w:val="120"/>
          <w:lang w:val="pl-PL"/>
        </w:rPr>
        <w:t>za niedopuszczalny</w:t>
      </w:r>
      <w:r w:rsidRPr="00556C86">
        <w:rPr>
          <w:color w:val="0071BB"/>
          <w:w w:val="120"/>
          <w:lang w:val="pl-PL"/>
        </w:rPr>
        <w:t xml:space="preserve">. Stwierdził w szczególności, że biorąc pod uwagę powagę wykroczenia, wysokie stanowisko zajmowane przez wnioskodawcę w organach zarządzających piłką nożną oraz potrzebę przywrócenia reputacji tego sportu i FIFA, sankcja nie wydawała się nadmierna ani arbitralna. Organy krajowe uwzględniły wszystkie interesy, które były przedmiotem sporu, potwierdzając środek podjęty przez FIFA, a następnie </w:t>
      </w:r>
      <w:r w:rsidR="00502EC4" w:rsidRPr="00556C86">
        <w:rPr>
          <w:color w:val="0071BB"/>
          <w:w w:val="120"/>
          <w:lang w:val="pl-PL"/>
        </w:rPr>
        <w:t>obniżony</w:t>
      </w:r>
      <w:r w:rsidRPr="00556C86">
        <w:rPr>
          <w:color w:val="0071BB"/>
          <w:w w:val="120"/>
          <w:lang w:val="pl-PL"/>
        </w:rPr>
        <w:t xml:space="preserve"> przez Sąd Arbitrażowy ds. Sportu. Sąd zauważył również</w:t>
      </w:r>
      <w:r w:rsidRPr="00556C86">
        <w:rPr>
          <w:color w:val="0071BB"/>
          <w:spacing w:val="-5"/>
          <w:w w:val="120"/>
          <w:lang w:val="pl-PL"/>
        </w:rPr>
        <w:t>, że</w:t>
      </w:r>
    </w:p>
    <w:p w14:paraId="01B0BB21" w14:textId="77777777" w:rsidR="00C53D74" w:rsidRPr="00556C86" w:rsidRDefault="00000000">
      <w:pPr>
        <w:pStyle w:val="Tekstpodstawowy"/>
        <w:spacing w:before="12"/>
        <w:ind w:left="0"/>
        <w:jc w:val="left"/>
        <w:rPr>
          <w:lang w:val="pl-PL"/>
        </w:rPr>
      </w:pPr>
      <w:r>
        <w:rPr>
          <w:noProof/>
        </w:rPr>
        <mc:AlternateContent>
          <mc:Choice Requires="wps">
            <w:drawing>
              <wp:anchor distT="0" distB="0" distL="0" distR="0" simplePos="0" relativeHeight="251672576" behindDoc="1" locked="0" layoutInCell="1" allowOverlap="1" wp14:anchorId="175C0CC0" wp14:editId="4161E629">
                <wp:simplePos x="0" y="0"/>
                <wp:positionH relativeFrom="page">
                  <wp:posOffset>914400</wp:posOffset>
                </wp:positionH>
                <wp:positionV relativeFrom="paragraph">
                  <wp:posOffset>178274</wp:posOffset>
                </wp:positionV>
                <wp:extent cx="1828800" cy="762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05ED484" id="Graphic 16" o:spid="_x0000_s1026" style="position:absolute;margin-left:1in;margin-top:14.05pt;width:2in;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" path="m1828800,l,,,7620r1828800,l1828800,xe" fillcolor="black" stroked="f">
                <v:path arrowok="t"/>
                <w10:wrap type="topAndBottom" anchorx="page"/>
              </v:shape>
            </w:pict>
          </mc:Fallback>
        </mc:AlternateContent>
      </w:r>
    </w:p>
    <w:p w14:paraId="61F4299C" w14:textId="4CFC4815" w:rsidR="00C53D74" w:rsidRPr="00556C86" w:rsidRDefault="00000000" w:rsidP="001F3492">
      <w:pPr>
        <w:spacing w:before="104" w:line="195" w:lineRule="exact"/>
        <w:ind w:left="874"/>
        <w:rPr>
          <w:sz w:val="16"/>
          <w:lang w:val="pl-PL"/>
        </w:rPr>
      </w:pPr>
      <w:bookmarkStart w:id="0" w:name="_bookmark0"/>
      <w:bookmarkEnd w:id="0"/>
      <w:r w:rsidRPr="00556C86">
        <w:rPr>
          <w:w w:val="125"/>
          <w:sz w:val="16"/>
          <w:lang w:val="pl-PL"/>
        </w:rPr>
        <w:t>(</w:t>
      </w:r>
      <w:r w:rsidRPr="00556C86">
        <w:rPr>
          <w:w w:val="125"/>
          <w:sz w:val="16"/>
          <w:vertAlign w:val="superscript"/>
          <w:lang w:val="pl-PL"/>
        </w:rPr>
        <w:t>1)</w:t>
      </w:r>
      <w:r w:rsidRPr="00556C86">
        <w:rPr>
          <w:w w:val="125"/>
          <w:sz w:val="16"/>
          <w:lang w:val="pl-PL"/>
        </w:rPr>
        <w:t xml:space="preserve"> . W odniesieniu do pozostałych wnioskodawców Trybunał odrzucił wniosek jako </w:t>
      </w:r>
      <w:r w:rsidRPr="00556C86">
        <w:rPr>
          <w:spacing w:val="-2"/>
          <w:w w:val="125"/>
          <w:sz w:val="16"/>
          <w:lang w:val="pl-PL"/>
        </w:rPr>
        <w:t>niezgodny</w:t>
      </w:r>
      <w:r w:rsidR="001F3492">
        <w:rPr>
          <w:sz w:val="16"/>
          <w:lang w:val="pl-PL"/>
        </w:rPr>
        <w:t xml:space="preserve"> </w:t>
      </w:r>
      <w:r w:rsidRPr="00556C86">
        <w:rPr>
          <w:i/>
          <w:w w:val="125"/>
          <w:sz w:val="16"/>
          <w:lang w:val="pl-PL"/>
        </w:rPr>
        <w:t>ratione personae</w:t>
      </w:r>
      <w:r w:rsidRPr="00556C86">
        <w:rPr>
          <w:w w:val="125"/>
          <w:sz w:val="16"/>
          <w:lang w:val="pl-PL"/>
        </w:rPr>
        <w:t xml:space="preserve">, zgodnie z art. 35 (kryteria dopuszczalności) </w:t>
      </w:r>
      <w:r w:rsidRPr="00556C86">
        <w:rPr>
          <w:spacing w:val="-2"/>
          <w:w w:val="125"/>
          <w:sz w:val="16"/>
          <w:lang w:val="pl-PL"/>
        </w:rPr>
        <w:t>Konwencji.</w:t>
      </w:r>
    </w:p>
    <w:p w14:paraId="6EED334A" w14:textId="77777777" w:rsidR="00C53D74" w:rsidRPr="00556C86" w:rsidRDefault="00C53D74">
      <w:pPr>
        <w:spacing w:line="195" w:lineRule="exact"/>
        <w:rPr>
          <w:sz w:val="16"/>
          <w:lang w:val="pl-PL"/>
        </w:rPr>
        <w:sectPr w:rsidR="00C53D74" w:rsidRPr="00556C86">
          <w:pgSz w:w="11910" w:h="16840"/>
          <w:pgMar w:top="1400" w:right="566" w:bottom="680" w:left="566" w:header="720" w:footer="497" w:gutter="0"/>
          <w:cols w:space="708"/>
        </w:sectPr>
      </w:pPr>
    </w:p>
    <w:p w14:paraId="1CD5941F" w14:textId="77777777" w:rsidR="00C53D74" w:rsidRPr="00556C86" w:rsidRDefault="00C53D74">
      <w:pPr>
        <w:pStyle w:val="Tekstpodstawowy"/>
        <w:spacing w:before="59"/>
        <w:ind w:left="0"/>
        <w:jc w:val="left"/>
        <w:rPr>
          <w:lang w:val="pl-PL"/>
        </w:rPr>
      </w:pPr>
    </w:p>
    <w:p w14:paraId="48A03504" w14:textId="41E1A24B" w:rsidR="00C53D74" w:rsidRPr="00556C86" w:rsidRDefault="004306BD">
      <w:pPr>
        <w:pStyle w:val="Tekstpodstawowy"/>
        <w:spacing w:before="1"/>
        <w:ind w:left="874" w:right="869"/>
        <w:jc w:val="left"/>
        <w:rPr>
          <w:lang w:val="pl-PL"/>
        </w:rPr>
      </w:pPr>
      <w:r w:rsidRPr="00556C86">
        <w:rPr>
          <w:color w:val="0071BB"/>
          <w:w w:val="120"/>
          <w:lang w:val="pl-PL"/>
        </w:rPr>
        <w:t>skarżącemu zapewniono krajowe gwarancje instytucjonalne i proceduralne, umożliwiające mu zakwestionowanie decyzji FIFA i przedstawienie argumentów na swoją obronę.</w:t>
      </w:r>
    </w:p>
    <w:p w14:paraId="451EA66E" w14:textId="77777777" w:rsidR="00C53D74" w:rsidRPr="00556C86" w:rsidRDefault="00C53D74">
      <w:pPr>
        <w:pStyle w:val="Nagwek2"/>
        <w:spacing w:before="116"/>
        <w:jc w:val="left"/>
        <w:rPr>
          <w:u w:val="none"/>
          <w:lang w:val="pl-PL"/>
        </w:rPr>
      </w:pPr>
      <w:hyperlink r:id="rId28">
        <w:r w:rsidRPr="00556C86">
          <w:rPr>
            <w:color w:val="0071BB"/>
            <w:w w:val="135"/>
            <w:u w:color="0071BB"/>
            <w:lang w:val="pl-PL"/>
          </w:rPr>
          <w:t xml:space="preserve">Athletics South Africa przeciwko </w:t>
        </w:r>
        <w:r w:rsidRPr="00556C86">
          <w:rPr>
            <w:color w:val="0071BB"/>
            <w:spacing w:val="-2"/>
            <w:w w:val="135"/>
            <w:u w:color="0071BB"/>
            <w:lang w:val="pl-PL"/>
          </w:rPr>
          <w:t>Szwajcarii</w:t>
        </w:r>
      </w:hyperlink>
    </w:p>
    <w:p w14:paraId="43E3AAD8" w14:textId="77777777" w:rsidR="00C53D74" w:rsidRPr="00556C86" w:rsidRDefault="00000000">
      <w:pPr>
        <w:spacing w:before="58"/>
        <w:ind w:left="874"/>
        <w:rPr>
          <w:sz w:val="18"/>
          <w:lang w:val="pl-PL"/>
        </w:rPr>
      </w:pPr>
      <w:r w:rsidRPr="00556C86">
        <w:rPr>
          <w:color w:val="808080"/>
          <w:w w:val="120"/>
          <w:sz w:val="18"/>
          <w:lang w:val="pl-PL"/>
        </w:rPr>
        <w:t>5 października 2021 r</w:t>
      </w:r>
      <w:r w:rsidRPr="00556C86">
        <w:rPr>
          <w:color w:val="808080"/>
          <w:spacing w:val="16"/>
          <w:w w:val="120"/>
          <w:sz w:val="18"/>
          <w:lang w:val="pl-PL"/>
        </w:rPr>
        <w:t xml:space="preserve">. </w:t>
      </w:r>
      <w:r w:rsidRPr="00556C86">
        <w:rPr>
          <w:color w:val="808080"/>
          <w:w w:val="120"/>
          <w:sz w:val="18"/>
          <w:lang w:val="pl-PL"/>
        </w:rPr>
        <w:t xml:space="preserve">(decyzja w sprawie </w:t>
      </w:r>
      <w:r w:rsidRPr="00556C86">
        <w:rPr>
          <w:color w:val="808080"/>
          <w:spacing w:val="-2"/>
          <w:w w:val="120"/>
          <w:sz w:val="18"/>
          <w:lang w:val="pl-PL"/>
        </w:rPr>
        <w:t>dopuszczalności)</w:t>
      </w:r>
    </w:p>
    <w:p w14:paraId="101DF4FE" w14:textId="34F58AD0" w:rsidR="00C53D74" w:rsidRPr="00375F04" w:rsidRDefault="00000000" w:rsidP="00375F04">
      <w:pPr>
        <w:pStyle w:val="Tekstpodstawowy"/>
        <w:tabs>
          <w:tab w:val="left" w:pos="2438"/>
          <w:tab w:val="left" w:pos="3120"/>
          <w:tab w:val="left" w:pos="4279"/>
          <w:tab w:val="left" w:pos="4987"/>
          <w:tab w:val="left" w:pos="6588"/>
          <w:tab w:val="left" w:pos="7696"/>
          <w:tab w:val="left" w:pos="8210"/>
          <w:tab w:val="left" w:pos="9530"/>
        </w:tabs>
        <w:spacing w:before="1"/>
        <w:ind w:left="874" w:right="869"/>
        <w:rPr>
          <w:w w:val="120"/>
          <w:lang w:val="pl-PL"/>
        </w:rPr>
      </w:pPr>
      <w:r w:rsidRPr="00556C86">
        <w:rPr>
          <w:spacing w:val="40"/>
          <w:w w:val="120"/>
          <w:lang w:val="pl-PL"/>
        </w:rPr>
        <w:t xml:space="preserve">  </w:t>
      </w:r>
      <w:r w:rsidRPr="00556C86">
        <w:rPr>
          <w:w w:val="120"/>
          <w:lang w:val="pl-PL"/>
        </w:rPr>
        <w:t xml:space="preserve">Wniosek ten był ściśle powiązany ze sprawą </w:t>
      </w:r>
      <w:hyperlink r:id="rId29">
        <w:r w:rsidR="00C53D74" w:rsidRPr="00556C86">
          <w:rPr>
            <w:color w:val="0071BB"/>
            <w:w w:val="120"/>
            <w:lang w:val="pl-PL"/>
          </w:rPr>
          <w:t>Semenya</w:t>
        </w:r>
      </w:hyperlink>
      <w:r w:rsidRPr="00556C86">
        <w:rPr>
          <w:w w:val="120"/>
          <w:lang w:val="pl-PL"/>
        </w:rPr>
        <w:t xml:space="preserve"> </w:t>
      </w:r>
      <w:hyperlink r:id="rId30">
        <w:r w:rsidR="00C53D74" w:rsidRPr="00556C86">
          <w:rPr>
            <w:color w:val="0071BB"/>
            <w:w w:val="120"/>
            <w:lang w:val="pl-PL"/>
          </w:rPr>
          <w:t>przeciwko Szwajcarii</w:t>
        </w:r>
      </w:hyperlink>
      <w:r w:rsidRPr="00556C86">
        <w:rPr>
          <w:w w:val="120"/>
          <w:lang w:val="pl-PL"/>
        </w:rPr>
        <w:t xml:space="preserve"> (patrz poniżej, w sekcji „Zakaz dyskryminacji”). </w:t>
      </w:r>
      <w:r w:rsidR="004306BD" w:rsidRPr="00556C86">
        <w:rPr>
          <w:w w:val="120"/>
          <w:lang w:val="pl-PL"/>
        </w:rPr>
        <w:t>Skarżące stowarzyszenie</w:t>
      </w:r>
      <w:r w:rsidRPr="00556C86">
        <w:rPr>
          <w:w w:val="120"/>
          <w:lang w:val="pl-PL"/>
        </w:rPr>
        <w:t xml:space="preserve">, organ regulacyjny lekkoatletyki w Republice Południowej Afryki, </w:t>
      </w:r>
      <w:r w:rsidR="001F3492" w:rsidRPr="00556C86">
        <w:rPr>
          <w:w w:val="120"/>
          <w:lang w:val="pl-PL"/>
        </w:rPr>
        <w:t>argumentowało,</w:t>
      </w:r>
      <w:r w:rsidRPr="00556C86">
        <w:rPr>
          <w:w w:val="120"/>
          <w:lang w:val="pl-PL"/>
        </w:rPr>
        <w:t xml:space="preserve"> </w:t>
      </w:r>
      <w:r w:rsidR="00456380" w:rsidRPr="00556C86">
        <w:rPr>
          <w:w w:val="120"/>
          <w:lang w:val="pl-PL"/>
        </w:rPr>
        <w:t xml:space="preserve">iż </w:t>
      </w:r>
      <w:r w:rsidRPr="00556C86">
        <w:rPr>
          <w:w w:val="120"/>
          <w:lang w:val="pl-PL"/>
        </w:rPr>
        <w:t>nowe przepisy wydane przez Międzynarodową Federację Lekkoatletyczną (IAAF),</w:t>
      </w:r>
      <w:r w:rsidR="00E20B33" w:rsidRPr="00556C86">
        <w:rPr>
          <w:spacing w:val="40"/>
          <w:w w:val="120"/>
          <w:lang w:val="pl-PL"/>
        </w:rPr>
        <w:t xml:space="preserve"> </w:t>
      </w:r>
      <w:r w:rsidR="00375F04" w:rsidRPr="00375F04">
        <w:rPr>
          <w:w w:val="120"/>
          <w:lang w:val="pl-PL"/>
        </w:rPr>
        <w:t>regulujące wymogi kwalifikacyjne w zakresie klasyfikacji jako kobiety dla sportowców z odmiennymi cechami rozwoju płciowego</w:t>
      </w:r>
      <w:r w:rsidR="00375F04">
        <w:rPr>
          <w:w w:val="120"/>
          <w:lang w:val="pl-PL"/>
        </w:rPr>
        <w:t xml:space="preserve"> </w:t>
      </w:r>
      <w:r w:rsidRPr="00556C86">
        <w:rPr>
          <w:spacing w:val="-4"/>
          <w:w w:val="120"/>
          <w:lang w:val="pl-PL"/>
        </w:rPr>
        <w:t>(</w:t>
      </w:r>
      <w:r w:rsidRPr="00556C86">
        <w:rPr>
          <w:spacing w:val="-2"/>
          <w:w w:val="120"/>
          <w:lang w:val="pl-PL"/>
        </w:rPr>
        <w:t>tak zwane</w:t>
      </w:r>
      <w:r w:rsidR="003D0ECE" w:rsidRPr="00556C86">
        <w:rPr>
          <w:spacing w:val="-2"/>
          <w:w w:val="120"/>
          <w:lang w:val="pl-PL"/>
        </w:rPr>
        <w:t xml:space="preserve"> </w:t>
      </w:r>
      <w:r w:rsidR="0038499D">
        <w:rPr>
          <w:spacing w:val="-2"/>
          <w:w w:val="120"/>
          <w:lang w:val="pl-PL"/>
        </w:rPr>
        <w:t>przepisy</w:t>
      </w:r>
      <w:r w:rsidR="003D0ECE" w:rsidRPr="00556C86">
        <w:rPr>
          <w:lang w:val="pl-PL"/>
        </w:rPr>
        <w:t xml:space="preserve"> </w:t>
      </w:r>
      <w:r w:rsidRPr="00556C86">
        <w:rPr>
          <w:spacing w:val="-4"/>
          <w:w w:val="120"/>
          <w:lang w:val="pl-PL"/>
        </w:rPr>
        <w:t>DSD</w:t>
      </w:r>
      <w:r w:rsidRPr="00556C86">
        <w:rPr>
          <w:spacing w:val="-2"/>
          <w:w w:val="120"/>
          <w:lang w:val="pl-PL"/>
        </w:rPr>
        <w:t>),</w:t>
      </w:r>
      <w:r w:rsidR="003D0ECE" w:rsidRPr="00556C86">
        <w:rPr>
          <w:lang w:val="pl-PL"/>
        </w:rPr>
        <w:t xml:space="preserve"> </w:t>
      </w:r>
      <w:r w:rsidRPr="00556C86">
        <w:rPr>
          <w:spacing w:val="-2"/>
          <w:w w:val="120"/>
          <w:lang w:val="pl-PL"/>
        </w:rPr>
        <w:t>nałożone</w:t>
      </w:r>
      <w:r w:rsidR="003D0ECE" w:rsidRPr="00556C86">
        <w:rPr>
          <w:lang w:val="pl-PL"/>
        </w:rPr>
        <w:t xml:space="preserve"> </w:t>
      </w:r>
      <w:r w:rsidRPr="00556C86">
        <w:rPr>
          <w:spacing w:val="-2"/>
          <w:w w:val="120"/>
          <w:lang w:val="pl-PL"/>
        </w:rPr>
        <w:t>nieuzasadnioną</w:t>
      </w:r>
      <w:r w:rsidR="003D0ECE" w:rsidRPr="00556C86">
        <w:rPr>
          <w:lang w:val="pl-PL"/>
        </w:rPr>
        <w:t xml:space="preserve"> </w:t>
      </w:r>
      <w:r w:rsidRPr="00556C86">
        <w:rPr>
          <w:spacing w:val="-4"/>
          <w:w w:val="120"/>
          <w:lang w:val="pl-PL"/>
        </w:rPr>
        <w:t xml:space="preserve">i </w:t>
      </w:r>
      <w:r w:rsidRPr="00556C86">
        <w:rPr>
          <w:w w:val="120"/>
          <w:lang w:val="pl-PL"/>
        </w:rPr>
        <w:t xml:space="preserve">nieproporcjonalną ingerencję w istotę prawa do fizycznej, moralnej i psychicznej integralności sportowca. </w:t>
      </w:r>
      <w:r w:rsidR="004306BD" w:rsidRPr="00556C86">
        <w:rPr>
          <w:w w:val="120"/>
          <w:lang w:val="pl-PL"/>
        </w:rPr>
        <w:t>Skarżące stowarzyszenie</w:t>
      </w:r>
      <w:r w:rsidRPr="00556C86">
        <w:rPr>
          <w:w w:val="120"/>
          <w:lang w:val="pl-PL"/>
        </w:rPr>
        <w:t xml:space="preserve"> argumentowało również, że sportowiec, o którym mowa, </w:t>
      </w:r>
      <w:r w:rsidR="00000483" w:rsidRPr="00556C86">
        <w:rPr>
          <w:w w:val="120"/>
          <w:lang w:val="pl-PL"/>
        </w:rPr>
        <w:t>u</w:t>
      </w:r>
      <w:r w:rsidRPr="00556C86">
        <w:rPr>
          <w:w w:val="120"/>
          <w:lang w:val="pl-PL"/>
        </w:rPr>
        <w:t>cierpiał z powodu</w:t>
      </w:r>
      <w:r w:rsidR="00000483" w:rsidRPr="00556C86">
        <w:rPr>
          <w:w w:val="120"/>
          <w:lang w:val="pl-PL"/>
        </w:rPr>
        <w:t xml:space="preserve"> nieuzasadnionych ograniczeń w wykonywaniu swojego zawodu z powodu przepisów DSD, które uniemożliwiały mu rywalizację na szc</w:t>
      </w:r>
      <w:r w:rsidR="0038499D">
        <w:rPr>
          <w:w w:val="120"/>
          <w:lang w:val="pl-PL"/>
        </w:rPr>
        <w:t>z</w:t>
      </w:r>
      <w:r w:rsidR="00000483" w:rsidRPr="00556C86">
        <w:rPr>
          <w:w w:val="120"/>
          <w:lang w:val="pl-PL"/>
        </w:rPr>
        <w:t>eblu międzynarodowym</w:t>
      </w:r>
      <w:r w:rsidRPr="00556C86">
        <w:rPr>
          <w:w w:val="120"/>
          <w:lang w:val="pl-PL"/>
        </w:rPr>
        <w:t>.</w:t>
      </w:r>
      <w:r w:rsidRPr="00556C86">
        <w:rPr>
          <w:spacing w:val="40"/>
          <w:w w:val="120"/>
          <w:lang w:val="pl-PL"/>
        </w:rPr>
        <w:t xml:space="preserve"> </w:t>
      </w:r>
      <w:r w:rsidR="004306BD" w:rsidRPr="00556C86">
        <w:rPr>
          <w:color w:val="0071BB"/>
          <w:w w:val="120"/>
          <w:lang w:val="pl-PL"/>
        </w:rPr>
        <w:t>Europejski</w:t>
      </w:r>
      <w:r w:rsidR="004306BD" w:rsidRPr="00556C86">
        <w:rPr>
          <w:spacing w:val="40"/>
          <w:w w:val="120"/>
          <w:lang w:val="pl-PL"/>
        </w:rPr>
        <w:t xml:space="preserve"> </w:t>
      </w:r>
      <w:r w:rsidRPr="00556C86">
        <w:rPr>
          <w:color w:val="0071BB"/>
          <w:w w:val="120"/>
          <w:lang w:val="pl-PL"/>
        </w:rPr>
        <w:t>Trybunał Praw Człowieka</w:t>
      </w:r>
      <w:r w:rsidRPr="00556C86">
        <w:rPr>
          <w:color w:val="0071BB"/>
          <w:spacing w:val="40"/>
          <w:w w:val="120"/>
          <w:lang w:val="pl-PL"/>
        </w:rPr>
        <w:t xml:space="preserve">  </w:t>
      </w:r>
      <w:r w:rsidRPr="00556C86">
        <w:rPr>
          <w:color w:val="0071BB"/>
          <w:w w:val="120"/>
          <w:lang w:val="pl-PL"/>
        </w:rPr>
        <w:t xml:space="preserve"> uznał</w:t>
      </w:r>
      <w:r w:rsidRPr="00556C86">
        <w:rPr>
          <w:color w:val="0071BB"/>
          <w:spacing w:val="40"/>
          <w:w w:val="120"/>
          <w:lang w:val="pl-PL"/>
        </w:rPr>
        <w:t xml:space="preserve">  </w:t>
      </w:r>
      <w:r w:rsidRPr="00556C86">
        <w:rPr>
          <w:b/>
          <w:color w:val="0071BB"/>
          <w:w w:val="120"/>
          <w:lang w:val="pl-PL"/>
        </w:rPr>
        <w:t xml:space="preserve"> </w:t>
      </w:r>
      <w:r w:rsidR="004306BD" w:rsidRPr="00556C86">
        <w:rPr>
          <w:color w:val="0071BB"/>
          <w:w w:val="120"/>
          <w:lang w:val="pl-PL"/>
        </w:rPr>
        <w:t>skargę</w:t>
      </w:r>
      <w:r w:rsidRPr="00556C86">
        <w:rPr>
          <w:color w:val="0071BB"/>
          <w:spacing w:val="40"/>
          <w:w w:val="120"/>
          <w:lang w:val="pl-PL"/>
        </w:rPr>
        <w:t xml:space="preserve">  </w:t>
      </w:r>
      <w:r w:rsidRPr="00556C86">
        <w:rPr>
          <w:b/>
          <w:color w:val="0071BB"/>
          <w:w w:val="120"/>
          <w:lang w:val="pl-PL"/>
        </w:rPr>
        <w:t xml:space="preserve"> </w:t>
      </w:r>
      <w:r w:rsidRPr="00556C86">
        <w:rPr>
          <w:color w:val="0071BB"/>
          <w:spacing w:val="40"/>
          <w:w w:val="120"/>
          <w:lang w:val="pl-PL"/>
        </w:rPr>
        <w:t xml:space="preserve">  </w:t>
      </w:r>
      <w:r w:rsidRPr="00556C86">
        <w:rPr>
          <w:color w:val="0071BB"/>
          <w:w w:val="120"/>
          <w:lang w:val="pl-PL"/>
        </w:rPr>
        <w:t xml:space="preserve"> za</w:t>
      </w:r>
      <w:r w:rsidRPr="00556C86">
        <w:rPr>
          <w:b/>
          <w:color w:val="0071BB"/>
          <w:w w:val="120"/>
          <w:lang w:val="pl-PL"/>
        </w:rPr>
        <w:t xml:space="preserve"> niedopuszczaln</w:t>
      </w:r>
      <w:r w:rsidR="004306BD" w:rsidRPr="00556C86">
        <w:rPr>
          <w:b/>
          <w:color w:val="0071BB"/>
          <w:w w:val="120"/>
          <w:lang w:val="pl-PL"/>
        </w:rPr>
        <w:t>ą</w:t>
      </w:r>
      <w:r w:rsidRPr="00556C86">
        <w:rPr>
          <w:b/>
          <w:color w:val="0071BB"/>
          <w:spacing w:val="40"/>
          <w:w w:val="120"/>
          <w:lang w:val="pl-PL"/>
        </w:rPr>
        <w:t xml:space="preserve">  </w:t>
      </w:r>
      <w:r w:rsidRPr="00556C86">
        <w:rPr>
          <w:color w:val="0071BB"/>
          <w:w w:val="120"/>
          <w:lang w:val="pl-PL"/>
        </w:rPr>
        <w:t xml:space="preserve"> jako</w:t>
      </w:r>
      <w:r w:rsidRPr="00556C86">
        <w:rPr>
          <w:color w:val="0071BB"/>
          <w:spacing w:val="40"/>
          <w:w w:val="120"/>
          <w:lang w:val="pl-PL"/>
        </w:rPr>
        <w:t xml:space="preserve">  </w:t>
      </w:r>
      <w:r w:rsidRPr="00556C86">
        <w:rPr>
          <w:i/>
          <w:color w:val="0071BB"/>
          <w:w w:val="120"/>
          <w:lang w:val="pl-PL"/>
        </w:rPr>
        <w:t xml:space="preserve"> </w:t>
      </w:r>
      <w:r w:rsidRPr="00556C86">
        <w:rPr>
          <w:color w:val="0071BB"/>
          <w:w w:val="120"/>
          <w:lang w:val="pl-PL"/>
        </w:rPr>
        <w:t>niezgodn</w:t>
      </w:r>
      <w:r w:rsidR="004306BD" w:rsidRPr="00556C86">
        <w:rPr>
          <w:color w:val="0071BB"/>
          <w:w w:val="120"/>
          <w:lang w:val="pl-PL"/>
        </w:rPr>
        <w:t>ą</w:t>
      </w:r>
      <w:r w:rsidRPr="00556C86">
        <w:rPr>
          <w:color w:val="0071BB"/>
          <w:spacing w:val="40"/>
          <w:w w:val="120"/>
          <w:lang w:val="pl-PL"/>
        </w:rPr>
        <w:t xml:space="preserve">  </w:t>
      </w:r>
      <w:r w:rsidRPr="00556C86">
        <w:rPr>
          <w:i/>
          <w:color w:val="0071BB"/>
          <w:w w:val="120"/>
          <w:lang w:val="pl-PL"/>
        </w:rPr>
        <w:t xml:space="preserve"> </w:t>
      </w:r>
      <w:r w:rsidRPr="00556C86">
        <w:rPr>
          <w:color w:val="0071BB"/>
          <w:spacing w:val="40"/>
          <w:w w:val="120"/>
          <w:lang w:val="pl-PL"/>
        </w:rPr>
        <w:t xml:space="preserve">  </w:t>
      </w:r>
      <w:r w:rsidRPr="00556C86">
        <w:rPr>
          <w:i/>
          <w:color w:val="0071BB"/>
          <w:w w:val="120"/>
          <w:lang w:val="pl-PL"/>
        </w:rPr>
        <w:t xml:space="preserve"> ratione </w:t>
      </w:r>
      <w:r w:rsidRPr="00556C86">
        <w:rPr>
          <w:color w:val="0071BB"/>
          <w:w w:val="120"/>
          <w:lang w:val="pl-PL"/>
        </w:rPr>
        <w:t xml:space="preserve">personae z postanowieniami Konwencji. W szczególności zauważył, że chociaż </w:t>
      </w:r>
      <w:r w:rsidR="004306BD" w:rsidRPr="00556C86">
        <w:rPr>
          <w:color w:val="0071BB"/>
          <w:w w:val="120"/>
          <w:lang w:val="pl-PL"/>
        </w:rPr>
        <w:t>skarżące stowarzyszenie</w:t>
      </w:r>
      <w:r w:rsidRPr="00556C86">
        <w:rPr>
          <w:color w:val="0071BB"/>
          <w:w w:val="120"/>
          <w:lang w:val="pl-PL"/>
        </w:rPr>
        <w:t xml:space="preserve"> zostało uznane przez Federalny Trybunał Szwajcarski za uprawnione do zaskarżenia przepisów DSD, nie było to wystarczające, aby uznać je za ofiarę w rozumieniu art. 34 (</w:t>
      </w:r>
      <w:r w:rsidR="004306BD" w:rsidRPr="00556C86">
        <w:rPr>
          <w:color w:val="0071BB"/>
          <w:w w:val="120"/>
          <w:lang w:val="pl-PL"/>
        </w:rPr>
        <w:t>skargi</w:t>
      </w:r>
      <w:r w:rsidRPr="00556C86">
        <w:rPr>
          <w:color w:val="0071BB"/>
          <w:w w:val="120"/>
          <w:lang w:val="pl-PL"/>
        </w:rPr>
        <w:t xml:space="preserve"> indywidualne) Konwencji. </w:t>
      </w:r>
      <w:r w:rsidR="004306BD" w:rsidRPr="00556C86">
        <w:rPr>
          <w:color w:val="0071BB"/>
          <w:w w:val="120"/>
          <w:lang w:val="pl-PL"/>
        </w:rPr>
        <w:t>Skarżące stowarzysze</w:t>
      </w:r>
      <w:r w:rsidR="00CE5CFC" w:rsidRPr="00556C86">
        <w:rPr>
          <w:color w:val="0071BB"/>
          <w:w w:val="120"/>
          <w:lang w:val="pl-PL"/>
        </w:rPr>
        <w:t>nie</w:t>
      </w:r>
      <w:r w:rsidRPr="00556C86">
        <w:rPr>
          <w:color w:val="0071BB"/>
          <w:w w:val="120"/>
          <w:lang w:val="pl-PL"/>
        </w:rPr>
        <w:t>, jako osoba prawna, nie było bezpośrednią i osobistą ofiarą domniemanych naruszeń.</w:t>
      </w:r>
    </w:p>
    <w:p w14:paraId="684C638D" w14:textId="77777777" w:rsidR="00C53D74" w:rsidRPr="00556C86" w:rsidRDefault="00000000">
      <w:pPr>
        <w:pStyle w:val="Nagwek1"/>
        <w:spacing w:before="226"/>
        <w:ind w:right="869"/>
        <w:jc w:val="left"/>
        <w:rPr>
          <w:lang w:val="pl-PL"/>
        </w:rPr>
      </w:pPr>
      <w:r>
        <w:rPr>
          <w:noProof/>
        </w:rPr>
        <mc:AlternateContent>
          <mc:Choice Requires="wps">
            <w:drawing>
              <wp:anchor distT="0" distB="0" distL="0" distR="0" simplePos="0" relativeHeight="251674624" behindDoc="1" locked="0" layoutInCell="1" allowOverlap="1" wp14:anchorId="63C78683" wp14:editId="788044B3">
                <wp:simplePos x="0" y="0"/>
                <wp:positionH relativeFrom="page">
                  <wp:posOffset>896111</wp:posOffset>
                </wp:positionH>
                <wp:positionV relativeFrom="paragraph">
                  <wp:posOffset>616153</wp:posOffset>
                </wp:positionV>
                <wp:extent cx="5768340" cy="18415"/>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50110913" id="Graphic 17" o:spid="_x0000_s1026" style="position:absolute;margin-left:70.55pt;margin-top:48.5pt;width:454.2pt;height:1.4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" path="m5768340,l,,,18287r5768340,l5768340,xe" fillcolor="#999" stroked="f">
                <v:path arrowok="t"/>
                <w10:wrap type="topAndBottom" anchorx="page"/>
              </v:shape>
            </w:pict>
          </mc:Fallback>
        </mc:AlternateContent>
      </w:r>
      <w:r w:rsidRPr="00556C86">
        <w:rPr>
          <w:color w:val="0071BB"/>
          <w:w w:val="120"/>
          <w:sz w:val="29"/>
          <w:lang w:val="pl-PL"/>
        </w:rPr>
        <w:t xml:space="preserve">Wolność myśli, sumienia i wyznania (art. 9 </w:t>
      </w:r>
      <w:r w:rsidRPr="00556C86">
        <w:rPr>
          <w:color w:val="0071BB"/>
          <w:spacing w:val="-2"/>
          <w:w w:val="120"/>
          <w:sz w:val="29"/>
          <w:lang w:val="pl-PL"/>
        </w:rPr>
        <w:t>Konwencji)</w:t>
      </w:r>
    </w:p>
    <w:p w14:paraId="559409AA" w14:textId="77777777" w:rsidR="00C53D74" w:rsidRPr="00556C86" w:rsidRDefault="00C53D74">
      <w:pPr>
        <w:pStyle w:val="Nagwek2"/>
        <w:rPr>
          <w:u w:val="none"/>
          <w:lang w:val="pl-PL"/>
        </w:rPr>
      </w:pPr>
      <w:hyperlink r:id="rId31">
        <w:r w:rsidRPr="00556C86">
          <w:rPr>
            <w:color w:val="0071BB"/>
            <w:w w:val="135"/>
            <w:u w:color="0071BB"/>
            <w:lang w:val="pl-PL"/>
          </w:rPr>
          <w:t xml:space="preserve">Dogru przeciwko Francji </w:t>
        </w:r>
        <w:r w:rsidRPr="00556C86">
          <w:rPr>
            <w:color w:val="0071BB"/>
            <w:w w:val="135"/>
            <w:u w:val="none"/>
            <w:lang w:val="pl-PL"/>
          </w:rPr>
          <w:t xml:space="preserve">i </w:t>
        </w:r>
        <w:r w:rsidRPr="00556C86">
          <w:rPr>
            <w:color w:val="0071BB"/>
            <w:w w:val="135"/>
            <w:u w:color="0071BB"/>
            <w:lang w:val="pl-PL"/>
          </w:rPr>
          <w:t xml:space="preserve">Kervanci przeciwko </w:t>
        </w:r>
        <w:r w:rsidRPr="00556C86">
          <w:rPr>
            <w:color w:val="0071BB"/>
            <w:spacing w:val="-2"/>
            <w:w w:val="135"/>
            <w:u w:color="0071BB"/>
            <w:lang w:val="pl-PL"/>
          </w:rPr>
          <w:t>Francji</w:t>
        </w:r>
      </w:hyperlink>
    </w:p>
    <w:p w14:paraId="2B4398C0" w14:textId="77777777" w:rsidR="00C53D74" w:rsidRDefault="00000000">
      <w:pPr>
        <w:spacing w:before="56"/>
        <w:ind w:left="874"/>
        <w:jc w:val="both"/>
        <w:rPr>
          <w:sz w:val="18"/>
        </w:rPr>
      </w:pPr>
      <w:r>
        <w:rPr>
          <w:color w:val="808080"/>
          <w:w w:val="125"/>
          <w:sz w:val="18"/>
        </w:rPr>
        <w:t>4 grudnia</w:t>
      </w:r>
      <w:r>
        <w:rPr>
          <w:color w:val="808080"/>
          <w:spacing w:val="-4"/>
          <w:w w:val="125"/>
          <w:sz w:val="18"/>
        </w:rPr>
        <w:t xml:space="preserve"> 2008 r.</w:t>
      </w:r>
    </w:p>
    <w:p w14:paraId="5B47B6FE" w14:textId="2976764B" w:rsidR="00C53D74" w:rsidRPr="00556C86" w:rsidRDefault="0038499D">
      <w:pPr>
        <w:pStyle w:val="Tekstpodstawowy"/>
        <w:spacing w:before="1"/>
        <w:ind w:right="871"/>
        <w:rPr>
          <w:lang w:val="pl-PL"/>
        </w:rPr>
      </w:pPr>
      <w:r w:rsidRPr="00556C86">
        <w:rPr>
          <w:w w:val="120"/>
          <w:lang w:val="pl-PL"/>
        </w:rPr>
        <w:t>Skarżący</w:t>
      </w:r>
      <w:r w:rsidR="00BD3B70" w:rsidRPr="00556C86">
        <w:rPr>
          <w:w w:val="120"/>
          <w:lang w:val="pl-PL"/>
        </w:rPr>
        <w:t xml:space="preserve">, oboje wyznania muzułmańskiego, byli </w:t>
      </w:r>
      <w:r w:rsidR="003B5F50" w:rsidRPr="00556C86">
        <w:rPr>
          <w:w w:val="120"/>
          <w:lang w:val="pl-PL"/>
        </w:rPr>
        <w:t xml:space="preserve">przyjęci </w:t>
      </w:r>
      <w:r w:rsidR="00A023BB" w:rsidRPr="00556C86">
        <w:rPr>
          <w:w w:val="120"/>
          <w:lang w:val="pl-PL"/>
        </w:rPr>
        <w:t xml:space="preserve">do pierwszej </w:t>
      </w:r>
      <w:r w:rsidR="001F3492" w:rsidRPr="00556C86">
        <w:rPr>
          <w:w w:val="120"/>
          <w:lang w:val="pl-PL"/>
        </w:rPr>
        <w:t>klasy państwowej</w:t>
      </w:r>
      <w:r w:rsidR="00BD3B70" w:rsidRPr="00556C86">
        <w:rPr>
          <w:w w:val="120"/>
          <w:lang w:val="pl-PL"/>
        </w:rPr>
        <w:t xml:space="preserve"> szkoły średniej w latach 1998–1999. Wielokrotnie uczestniczyli w zajęciach wychowania fizycznego w chustach na głowie i odmawiali ich zdjęcia pomimo wielokrotnych próśb nauczyciela. Komisja dyscyplinarna szkoły podjęła decyzję o wydaleniu ich ze szkoły za naruszenie obowiązku sumiennego uczestnictwa w zajęciach poprzez brak aktywnego udziału w tych zajęciach. Decyzja ta została utrzymana w mocy przez sądy.</w:t>
      </w:r>
    </w:p>
    <w:p w14:paraId="694425C8" w14:textId="1F802295" w:rsidR="00C53D74" w:rsidRPr="00556C86" w:rsidRDefault="00000000">
      <w:pPr>
        <w:pStyle w:val="Tekstpodstawowy"/>
        <w:ind w:right="870"/>
        <w:rPr>
          <w:lang w:val="pl-PL"/>
        </w:rPr>
      </w:pPr>
      <w:r w:rsidRPr="00556C86">
        <w:rPr>
          <w:color w:val="0071BB"/>
          <w:w w:val="120"/>
          <w:lang w:val="pl-PL"/>
        </w:rPr>
        <w:t xml:space="preserve">Trybunał uznał, że w obu sprawach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9 </w:t>
      </w:r>
      <w:r w:rsidRPr="00556C86">
        <w:rPr>
          <w:color w:val="0071BB"/>
          <w:w w:val="120"/>
          <w:lang w:val="pl-PL"/>
        </w:rPr>
        <w:t xml:space="preserve">(wolność myśli, sumienia i wyznania) Konwencji, stwierdzając w szczególności, że wniosek wyciągnięty przez władze krajowe, iż noszenie </w:t>
      </w:r>
      <w:r w:rsidR="00D04432" w:rsidRPr="00556C86">
        <w:rPr>
          <w:color w:val="0071BB"/>
          <w:w w:val="120"/>
          <w:lang w:val="pl-PL"/>
        </w:rPr>
        <w:t>chusty</w:t>
      </w:r>
      <w:r w:rsidRPr="00556C86">
        <w:rPr>
          <w:color w:val="0071BB"/>
          <w:w w:val="120"/>
          <w:lang w:val="pl-PL"/>
        </w:rPr>
        <w:t xml:space="preserve">, takiej jak islamska </w:t>
      </w:r>
      <w:r w:rsidR="00D04432" w:rsidRPr="00556C86">
        <w:rPr>
          <w:color w:val="0071BB"/>
          <w:w w:val="120"/>
          <w:lang w:val="pl-PL"/>
        </w:rPr>
        <w:t>kefija</w:t>
      </w:r>
      <w:r w:rsidRPr="00556C86">
        <w:rPr>
          <w:color w:val="0071BB"/>
          <w:w w:val="120"/>
          <w:lang w:val="pl-PL"/>
        </w:rPr>
        <w:t xml:space="preserve">, jest niezgodne z zajęciami sportowymi </w:t>
      </w:r>
      <w:r w:rsidR="00063FFF" w:rsidRPr="00556C86">
        <w:rPr>
          <w:color w:val="0071BB"/>
          <w:w w:val="120"/>
          <w:lang w:val="pl-PL"/>
        </w:rPr>
        <w:t>na</w:t>
      </w:r>
      <w:r w:rsidRPr="00556C86">
        <w:rPr>
          <w:color w:val="0071BB"/>
          <w:w w:val="120"/>
          <w:lang w:val="pl-PL"/>
        </w:rPr>
        <w:t xml:space="preserve"> wzgl</w:t>
      </w:r>
      <w:r w:rsidR="00063FFF" w:rsidRPr="00556C86">
        <w:rPr>
          <w:color w:val="0071BB"/>
          <w:w w:val="120"/>
          <w:lang w:val="pl-PL"/>
        </w:rPr>
        <w:t>ę</w:t>
      </w:r>
      <w:r w:rsidRPr="00556C86">
        <w:rPr>
          <w:color w:val="0071BB"/>
          <w:w w:val="120"/>
          <w:lang w:val="pl-PL"/>
        </w:rPr>
        <w:t>d</w:t>
      </w:r>
      <w:r w:rsidR="00063FFF" w:rsidRPr="00556C86">
        <w:rPr>
          <w:color w:val="0071BB"/>
          <w:w w:val="120"/>
          <w:lang w:val="pl-PL"/>
        </w:rPr>
        <w:t>y</w:t>
      </w:r>
      <w:r w:rsidRPr="00556C86">
        <w:rPr>
          <w:color w:val="0071BB"/>
          <w:w w:val="120"/>
          <w:lang w:val="pl-PL"/>
        </w:rPr>
        <w:t xml:space="preserve"> zdrowotn</w:t>
      </w:r>
      <w:r w:rsidR="00063FFF" w:rsidRPr="00556C86">
        <w:rPr>
          <w:color w:val="0071BB"/>
          <w:w w:val="120"/>
          <w:lang w:val="pl-PL"/>
        </w:rPr>
        <w:t>e</w:t>
      </w:r>
      <w:r w:rsidRPr="00556C86">
        <w:rPr>
          <w:color w:val="0071BB"/>
          <w:w w:val="120"/>
          <w:lang w:val="pl-PL"/>
        </w:rPr>
        <w:t xml:space="preserve"> lub bezpieczeństwa, nie był</w:t>
      </w:r>
      <w:r w:rsidR="00063FFF" w:rsidRPr="00556C86">
        <w:rPr>
          <w:color w:val="0071BB"/>
          <w:w w:val="120"/>
          <w:lang w:val="pl-PL"/>
        </w:rPr>
        <w:t>o</w:t>
      </w:r>
      <w:r w:rsidRPr="00556C86">
        <w:rPr>
          <w:color w:val="0071BB"/>
          <w:w w:val="120"/>
          <w:lang w:val="pl-PL"/>
        </w:rPr>
        <w:t xml:space="preserve"> nieuzasadnion</w:t>
      </w:r>
      <w:r w:rsidR="00063FFF" w:rsidRPr="00556C86">
        <w:rPr>
          <w:color w:val="0071BB"/>
          <w:w w:val="120"/>
          <w:lang w:val="pl-PL"/>
        </w:rPr>
        <w:t>e</w:t>
      </w:r>
      <w:r w:rsidRPr="00556C86">
        <w:rPr>
          <w:color w:val="0071BB"/>
          <w:w w:val="120"/>
          <w:lang w:val="pl-PL"/>
        </w:rPr>
        <w:t>. Przyjął, że nałożona kara była konsekwencją odmowy zastosowania się przez skarżąc</w:t>
      </w:r>
      <w:r w:rsidR="00063FFF" w:rsidRPr="00556C86">
        <w:rPr>
          <w:color w:val="0071BB"/>
          <w:w w:val="120"/>
          <w:lang w:val="pl-PL"/>
        </w:rPr>
        <w:t>ych</w:t>
      </w:r>
      <w:r w:rsidRPr="00556C86">
        <w:rPr>
          <w:color w:val="0071BB"/>
          <w:w w:val="120"/>
          <w:lang w:val="pl-PL"/>
        </w:rPr>
        <w:t xml:space="preserve"> do zasad obowiązujących na terenie szkoły – o których zosta</w:t>
      </w:r>
      <w:r w:rsidR="00063FFF" w:rsidRPr="00556C86">
        <w:rPr>
          <w:color w:val="0071BB"/>
          <w:w w:val="120"/>
          <w:lang w:val="pl-PL"/>
        </w:rPr>
        <w:t>li</w:t>
      </w:r>
      <w:r w:rsidRPr="00556C86">
        <w:rPr>
          <w:color w:val="0071BB"/>
          <w:w w:val="120"/>
          <w:lang w:val="pl-PL"/>
        </w:rPr>
        <w:t xml:space="preserve"> o</w:t>
      </w:r>
      <w:r w:rsidR="00063FFF" w:rsidRPr="00556C86">
        <w:rPr>
          <w:color w:val="0071BB"/>
          <w:w w:val="120"/>
          <w:lang w:val="pl-PL"/>
        </w:rPr>
        <w:t>ni</w:t>
      </w:r>
      <w:r w:rsidRPr="00556C86">
        <w:rPr>
          <w:color w:val="0071BB"/>
          <w:w w:val="120"/>
          <w:lang w:val="pl-PL"/>
        </w:rPr>
        <w:t xml:space="preserve"> należycie poinformowan</w:t>
      </w:r>
      <w:r w:rsidR="00063FFF" w:rsidRPr="00556C86">
        <w:rPr>
          <w:color w:val="0071BB"/>
          <w:w w:val="120"/>
          <w:lang w:val="pl-PL"/>
        </w:rPr>
        <w:t>i</w:t>
      </w:r>
      <w:r w:rsidRPr="00556C86">
        <w:rPr>
          <w:color w:val="0071BB"/>
          <w:w w:val="120"/>
          <w:lang w:val="pl-PL"/>
        </w:rPr>
        <w:t xml:space="preserve"> – a nie ich przekonań religijnych, jak twierdzi</w:t>
      </w:r>
      <w:r w:rsidR="00CE5CFC" w:rsidRPr="00556C86">
        <w:rPr>
          <w:color w:val="0071BB"/>
          <w:w w:val="120"/>
          <w:lang w:val="pl-PL"/>
        </w:rPr>
        <w:t>li</w:t>
      </w:r>
      <w:r w:rsidRPr="00556C86">
        <w:rPr>
          <w:color w:val="0071BB"/>
          <w:w w:val="120"/>
          <w:lang w:val="pl-PL"/>
        </w:rPr>
        <w:t>.</w:t>
      </w:r>
    </w:p>
    <w:p w14:paraId="766A5EFE" w14:textId="77777777" w:rsidR="00C53D74" w:rsidRPr="00556C86" w:rsidRDefault="00C53D74">
      <w:pPr>
        <w:pStyle w:val="Nagwek2"/>
        <w:spacing w:before="105"/>
        <w:rPr>
          <w:u w:val="none"/>
          <w:lang w:val="pl-PL"/>
        </w:rPr>
      </w:pPr>
      <w:hyperlink r:id="rId32">
        <w:r w:rsidRPr="00556C86">
          <w:rPr>
            <w:color w:val="0071BB"/>
            <w:w w:val="135"/>
            <w:u w:color="0071BB"/>
            <w:lang w:val="pl-PL"/>
          </w:rPr>
          <w:t xml:space="preserve">Osmanoǧlu i Kocabaş przeciwko </w:t>
        </w:r>
        <w:r w:rsidRPr="00556C86">
          <w:rPr>
            <w:color w:val="0071BB"/>
            <w:spacing w:val="-2"/>
            <w:w w:val="135"/>
            <w:u w:color="0071BB"/>
            <w:lang w:val="pl-PL"/>
          </w:rPr>
          <w:t>Szwajcarii</w:t>
        </w:r>
      </w:hyperlink>
    </w:p>
    <w:p w14:paraId="69CB2158" w14:textId="77777777" w:rsidR="00C53D74" w:rsidRPr="00556C86" w:rsidRDefault="00000000">
      <w:pPr>
        <w:spacing w:before="58"/>
        <w:ind w:left="874"/>
        <w:jc w:val="both"/>
        <w:rPr>
          <w:sz w:val="18"/>
          <w:lang w:val="pl-PL"/>
        </w:rPr>
      </w:pPr>
      <w:r w:rsidRPr="00556C86">
        <w:rPr>
          <w:color w:val="808080"/>
          <w:w w:val="125"/>
          <w:sz w:val="18"/>
          <w:lang w:val="pl-PL"/>
        </w:rPr>
        <w:t>10 stycznia</w:t>
      </w:r>
      <w:r w:rsidRPr="00556C86">
        <w:rPr>
          <w:color w:val="808080"/>
          <w:spacing w:val="-4"/>
          <w:w w:val="125"/>
          <w:sz w:val="18"/>
          <w:lang w:val="pl-PL"/>
        </w:rPr>
        <w:t xml:space="preserve"> 2017 r.</w:t>
      </w:r>
    </w:p>
    <w:p w14:paraId="30CB1C8A" w14:textId="77777777" w:rsidR="00C53D74" w:rsidRPr="00556C86" w:rsidRDefault="00000000">
      <w:pPr>
        <w:pStyle w:val="Tekstpodstawowy"/>
        <w:spacing w:before="4"/>
        <w:ind w:left="874" w:right="872"/>
        <w:rPr>
          <w:lang w:val="pl-PL"/>
        </w:rPr>
      </w:pPr>
      <w:r w:rsidRPr="00556C86">
        <w:rPr>
          <w:w w:val="120"/>
          <w:lang w:val="pl-PL"/>
        </w:rPr>
        <w:t>Sprawa dotyczyła odmowy wysłania przez muzułmańskich rodziców swoich córek, które nie osiągnęły jeszcze wieku dojrzałości płciowej, na obowiązkowe zajęcia pływania mieszanego w ramach programu nauczania oraz odmowy przyznania im zwolnienia przez władze.</w:t>
      </w:r>
    </w:p>
    <w:p w14:paraId="7B129F5D" w14:textId="35E6447E" w:rsidR="00C53D74" w:rsidRPr="00556C86" w:rsidRDefault="00000000">
      <w:pPr>
        <w:pStyle w:val="Tekstpodstawowy"/>
        <w:ind w:right="870"/>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do naruszenia art</w:t>
      </w:r>
      <w:r w:rsidRPr="00556C86">
        <w:rPr>
          <w:color w:val="0071BB"/>
          <w:w w:val="120"/>
          <w:lang w:val="pl-PL"/>
        </w:rPr>
        <w:t>.</w:t>
      </w:r>
      <w:r w:rsidRPr="00556C86">
        <w:rPr>
          <w:b/>
          <w:color w:val="0071BB"/>
          <w:w w:val="120"/>
          <w:lang w:val="pl-PL"/>
        </w:rPr>
        <w:t xml:space="preserve"> 9 </w:t>
      </w:r>
      <w:r w:rsidRPr="00556C86">
        <w:rPr>
          <w:color w:val="0071BB"/>
          <w:w w:val="120"/>
          <w:lang w:val="pl-PL"/>
        </w:rPr>
        <w:t xml:space="preserve">(wolność myśli, sumienia i wyznania) Konwencji, stwierdzając, że przyznając pierwszeństwo obowiązkowi dzieci do realizacji pełnego programu nauczania i ich pomyślnej integracji przed prywatnym interesem skarżących w uzyskaniu zwolnienia ich córek z </w:t>
      </w:r>
      <w:r w:rsidR="00CE5CFC" w:rsidRPr="00556C86">
        <w:rPr>
          <w:color w:val="0071BB"/>
          <w:w w:val="120"/>
          <w:lang w:val="pl-PL"/>
        </w:rPr>
        <w:t>koedukacyjnych</w:t>
      </w:r>
      <w:r w:rsidRPr="00556C86">
        <w:rPr>
          <w:color w:val="0071BB"/>
          <w:w w:val="120"/>
          <w:lang w:val="pl-PL"/>
        </w:rPr>
        <w:t xml:space="preserve"> lekcji pływania ze względów religijnych, władze szwajcarskie nie przekroczyły znacznej swobody oceny przysługującej im w niniejszej sprawie, która dotyczyła obowiązkowej edukacji.</w:t>
      </w:r>
      <w:r w:rsidRPr="00556C86">
        <w:rPr>
          <w:color w:val="0071BB"/>
          <w:spacing w:val="40"/>
          <w:w w:val="120"/>
          <w:lang w:val="pl-PL"/>
        </w:rPr>
        <w:t xml:space="preserve"> </w:t>
      </w:r>
      <w:r w:rsidRPr="00556C86">
        <w:rPr>
          <w:color w:val="0071BB"/>
          <w:w w:val="120"/>
          <w:lang w:val="pl-PL"/>
        </w:rPr>
        <w:t>Trybunał zwrócił w szczególności uwagę, że interes dzieci w pełnym wykształceniu, ułatwiającym ich pomyślną integrację społeczną zgodnie z lokalnymi zwyczajami i obyczajami, przeważał nad życzeniem rodziców, aby ich dzieci</w:t>
      </w:r>
    </w:p>
    <w:p w14:paraId="1478ACB2" w14:textId="77777777" w:rsidR="00C53D74" w:rsidRPr="00556C86" w:rsidRDefault="00C53D74">
      <w:pPr>
        <w:pStyle w:val="Tekstpodstawowy"/>
        <w:rPr>
          <w:lang w:val="pl-PL"/>
        </w:rPr>
        <w:sectPr w:rsidR="00C53D74" w:rsidRPr="00556C86">
          <w:pgSz w:w="11910" w:h="16840"/>
          <w:pgMar w:top="1400" w:right="566" w:bottom="680" w:left="566" w:header="720" w:footer="497" w:gutter="0"/>
          <w:cols w:space="708"/>
        </w:sectPr>
      </w:pPr>
    </w:p>
    <w:p w14:paraId="7485F084" w14:textId="77777777" w:rsidR="00C53D74" w:rsidRPr="00556C86" w:rsidRDefault="00C53D74">
      <w:pPr>
        <w:pStyle w:val="Tekstpodstawowy"/>
        <w:spacing w:before="59"/>
        <w:ind w:left="0"/>
        <w:jc w:val="left"/>
        <w:rPr>
          <w:lang w:val="pl-PL"/>
        </w:rPr>
      </w:pPr>
    </w:p>
    <w:p w14:paraId="5168FF93" w14:textId="60C550EA" w:rsidR="00C53D74" w:rsidRPr="00556C86" w:rsidRDefault="00000000">
      <w:pPr>
        <w:pStyle w:val="Tekstpodstawowy"/>
        <w:spacing w:before="1"/>
        <w:ind w:right="871"/>
        <w:rPr>
          <w:lang w:val="pl-PL"/>
        </w:rPr>
      </w:pPr>
      <w:r w:rsidRPr="00556C86">
        <w:rPr>
          <w:color w:val="0071BB"/>
          <w:w w:val="120"/>
          <w:lang w:val="pl-PL"/>
        </w:rPr>
        <w:t xml:space="preserve">zwolnione </w:t>
      </w:r>
      <w:r w:rsidR="00CE5CFC" w:rsidRPr="00556C86">
        <w:rPr>
          <w:color w:val="0071BB"/>
          <w:w w:val="120"/>
          <w:lang w:val="pl-PL"/>
        </w:rPr>
        <w:t xml:space="preserve">zostały </w:t>
      </w:r>
      <w:r w:rsidRPr="00556C86">
        <w:rPr>
          <w:color w:val="0071BB"/>
          <w:w w:val="120"/>
          <w:lang w:val="pl-PL"/>
        </w:rPr>
        <w:t xml:space="preserve">z </w:t>
      </w:r>
      <w:r w:rsidR="00CE5CFC" w:rsidRPr="00556C86">
        <w:rPr>
          <w:color w:val="0071BB"/>
          <w:w w:val="120"/>
          <w:lang w:val="pl-PL"/>
        </w:rPr>
        <w:t>koedukacyjnych</w:t>
      </w:r>
      <w:r w:rsidRPr="00556C86">
        <w:rPr>
          <w:color w:val="0071BB"/>
          <w:w w:val="120"/>
          <w:lang w:val="pl-PL"/>
        </w:rPr>
        <w:t xml:space="preserve"> lekcji pływania. Edukacja sportowa, której integralną częścią było pływanie w szkole uczęszczanej przez dzieci skarżących, miała szczególne znaczenie dla rozwoju i zdrowia dzieci. Zainteresowanie dziecka uczestnictwem w tych lekcjach wynikało nie tylko z chęci nauki pływania i uprawiania ćwiczeń fizycznych, ale przede wszystkim z chęci uczestniczenia w tej aktywności wraz z innymi uczniami, bez wyjątku ze względu na pochodzenie dziecka lub przekonania religijne lub filozoficzne rodziców. Ponadto władze zaproponowały skarżącym bardzo elastyczne rozwiązania: ich córki mogły nosić burki podczas lekcji pływania i przebierać się bez obecności chłopców. Rozwiązania te miały na celu zmniejszenie wpływu uczestnictwa dzieci w </w:t>
      </w:r>
      <w:r w:rsidR="00CE5CFC" w:rsidRPr="00556C86">
        <w:rPr>
          <w:color w:val="0071BB"/>
          <w:w w:val="120"/>
          <w:lang w:val="pl-PL"/>
        </w:rPr>
        <w:t>koedukacyjnych</w:t>
      </w:r>
      <w:r w:rsidRPr="00556C86">
        <w:rPr>
          <w:color w:val="0071BB"/>
          <w:w w:val="120"/>
          <w:lang w:val="pl-PL"/>
        </w:rPr>
        <w:t xml:space="preserve"> zajęciach pływania na przekonania religijne ich rodziców.</w:t>
      </w:r>
    </w:p>
    <w:p w14:paraId="396F2016" w14:textId="77777777" w:rsidR="00D755EF" w:rsidRDefault="00000000" w:rsidP="00D755EF">
      <w:pPr>
        <w:pStyle w:val="Nagwek1"/>
        <w:spacing w:before="235"/>
        <w:rPr>
          <w:color w:val="0071BB"/>
          <w:spacing w:val="-2"/>
          <w:w w:val="120"/>
          <w:sz w:val="29"/>
          <w:lang w:val="pl-PL"/>
        </w:rPr>
      </w:pPr>
      <w:r>
        <w:rPr>
          <w:noProof/>
        </w:rPr>
        <mc:AlternateContent>
          <mc:Choice Requires="wps">
            <w:drawing>
              <wp:anchor distT="0" distB="0" distL="0" distR="0" simplePos="0" relativeHeight="251676672" behindDoc="1" locked="0" layoutInCell="1" allowOverlap="1" wp14:anchorId="6BD8838E" wp14:editId="6C3BDA97">
                <wp:simplePos x="0" y="0"/>
                <wp:positionH relativeFrom="page">
                  <wp:posOffset>896111</wp:posOffset>
                </wp:positionH>
                <wp:positionV relativeFrom="paragraph">
                  <wp:posOffset>403893</wp:posOffset>
                </wp:positionV>
                <wp:extent cx="5768340" cy="18415"/>
                <wp:effectExtent l="0" t="0" r="0" b="0"/>
                <wp:wrapTopAndBottom/>
                <wp:docPr id="18" name="Graphic 18"/>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67EAB3F" id="Graphic 18" o:spid="_x0000_s1026" style="position:absolute;margin-left:70.55pt;margin-top:31.8pt;width:454.2pt;height:1.4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 xml:space="preserve">Wolność wypowiedzi (art. 10 </w:t>
      </w:r>
      <w:r w:rsidRPr="00556C86">
        <w:rPr>
          <w:color w:val="0071BB"/>
          <w:spacing w:val="-2"/>
          <w:w w:val="120"/>
          <w:sz w:val="29"/>
          <w:lang w:val="pl-PL"/>
        </w:rPr>
        <w:t>Konwencji)</w:t>
      </w:r>
    </w:p>
    <w:p w14:paraId="538D9F32" w14:textId="5F5E22EF" w:rsidR="00C53D74" w:rsidRPr="00D755EF" w:rsidRDefault="00C53D74" w:rsidP="00D755EF">
      <w:pPr>
        <w:pStyle w:val="Nagwek1"/>
        <w:spacing w:before="235"/>
        <w:ind w:right="855"/>
        <w:rPr>
          <w:lang w:val="pl-PL"/>
        </w:rPr>
      </w:pPr>
      <w:r w:rsidRPr="00D755EF">
        <w:rPr>
          <w:color w:val="0071BB"/>
          <w:w w:val="130"/>
          <w:sz w:val="20"/>
          <w:szCs w:val="20"/>
          <w:u w:color="0071BB"/>
          <w:lang w:val="pl-PL"/>
        </w:rPr>
        <w:t xml:space="preserve">Hachette Filipacchi Presse Automobile i Dupuy przeciwko Francji </w:t>
      </w:r>
      <w:hyperlink r:id="rId33">
        <w:r w:rsidRPr="00D755EF">
          <w:rPr>
            <w:color w:val="0071BB"/>
            <w:w w:val="130"/>
            <w:sz w:val="20"/>
            <w:szCs w:val="20"/>
            <w:u w:color="0071BB"/>
            <w:lang w:val="pl-PL"/>
          </w:rPr>
          <w:t>Société de conception de presse et d’édition i Ponson przeciwko Francji</w:t>
        </w:r>
      </w:hyperlink>
      <w:r w:rsidRPr="00556C86">
        <w:rPr>
          <w:color w:val="808080"/>
          <w:w w:val="130"/>
          <w:sz w:val="18"/>
          <w:lang w:val="pl-PL"/>
        </w:rPr>
        <w:t xml:space="preserve"> 5 marca 2009 r.</w:t>
      </w:r>
    </w:p>
    <w:p w14:paraId="42AAE94A" w14:textId="6F8AF5C2" w:rsidR="00C53D74" w:rsidRPr="00556C86" w:rsidRDefault="00000000" w:rsidP="00556C86">
      <w:pPr>
        <w:pStyle w:val="Tekstpodstawowy"/>
        <w:spacing w:line="207" w:lineRule="exact"/>
        <w:ind w:left="874" w:right="855"/>
        <w:rPr>
          <w:lang w:val="pl-PL"/>
        </w:rPr>
      </w:pPr>
      <w:r w:rsidRPr="00556C86">
        <w:rPr>
          <w:w w:val="120"/>
          <w:lang w:val="pl-PL"/>
        </w:rPr>
        <w:t xml:space="preserve">Sprawy te dotyczyły skazania </w:t>
      </w:r>
      <w:r w:rsidR="000F3E01" w:rsidRPr="00556C86">
        <w:rPr>
          <w:w w:val="120"/>
          <w:lang w:val="pl-PL"/>
        </w:rPr>
        <w:t xml:space="preserve">wydawców dwóch czasopism </w:t>
      </w:r>
      <w:r w:rsidRPr="00556C86">
        <w:rPr>
          <w:w w:val="120"/>
          <w:lang w:val="pl-PL"/>
        </w:rPr>
        <w:t xml:space="preserve">oraz </w:t>
      </w:r>
      <w:r w:rsidRPr="00556C86">
        <w:rPr>
          <w:spacing w:val="-2"/>
          <w:w w:val="120"/>
          <w:lang w:val="pl-PL"/>
        </w:rPr>
        <w:t>ich</w:t>
      </w:r>
      <w:r w:rsidR="00CE5CFC" w:rsidRPr="00556C86">
        <w:rPr>
          <w:lang w:val="pl-PL"/>
        </w:rPr>
        <w:t xml:space="preserve"> </w:t>
      </w:r>
      <w:r w:rsidRPr="00556C86">
        <w:rPr>
          <w:w w:val="120"/>
          <w:lang w:val="pl-PL"/>
        </w:rPr>
        <w:t>dyrektor</w:t>
      </w:r>
      <w:r w:rsidR="00BD3B70" w:rsidRPr="00556C86">
        <w:rPr>
          <w:w w:val="120"/>
          <w:lang w:val="pl-PL"/>
        </w:rPr>
        <w:t>ó</w:t>
      </w:r>
      <w:r w:rsidR="000F3E01" w:rsidRPr="00556C86">
        <w:rPr>
          <w:w w:val="120"/>
          <w:lang w:val="pl-PL"/>
        </w:rPr>
        <w:t>w</w:t>
      </w:r>
      <w:r w:rsidRPr="00556C86">
        <w:rPr>
          <w:spacing w:val="40"/>
          <w:w w:val="120"/>
          <w:lang w:val="pl-PL"/>
        </w:rPr>
        <w:t xml:space="preserve"> </w:t>
      </w:r>
      <w:r w:rsidRPr="00556C86">
        <w:rPr>
          <w:w w:val="120"/>
          <w:lang w:val="pl-PL"/>
        </w:rPr>
        <w:t>d</w:t>
      </w:r>
      <w:r w:rsidR="000F3E01" w:rsidRPr="00556C86">
        <w:rPr>
          <w:w w:val="120"/>
          <w:lang w:val="pl-PL"/>
        </w:rPr>
        <w:t>o spraw publikacji za</w:t>
      </w:r>
      <w:r w:rsidR="000F3E01" w:rsidRPr="00556C86">
        <w:rPr>
          <w:spacing w:val="40"/>
          <w:w w:val="120"/>
          <w:lang w:val="pl-PL"/>
        </w:rPr>
        <w:t xml:space="preserve"> </w:t>
      </w:r>
      <w:r w:rsidRPr="00556C86">
        <w:rPr>
          <w:w w:val="120"/>
          <w:lang w:val="pl-PL"/>
        </w:rPr>
        <w:t>pośredni</w:t>
      </w:r>
      <w:r w:rsidR="000F3E01" w:rsidRPr="00556C86">
        <w:rPr>
          <w:w w:val="120"/>
          <w:lang w:val="pl-PL"/>
        </w:rPr>
        <w:t>e</w:t>
      </w:r>
      <w:r w:rsidRPr="00556C86">
        <w:rPr>
          <w:w w:val="120"/>
          <w:lang w:val="pl-PL"/>
        </w:rPr>
        <w:t xml:space="preserve"> lub niezgodnie z prawe</w:t>
      </w:r>
      <w:r w:rsidRPr="00556C86">
        <w:rPr>
          <w:spacing w:val="40"/>
          <w:w w:val="120"/>
          <w:lang w:val="pl-PL"/>
        </w:rPr>
        <w:t xml:space="preserve"> </w:t>
      </w:r>
      <w:r w:rsidRPr="00556C86">
        <w:rPr>
          <w:w w:val="120"/>
          <w:lang w:val="pl-PL"/>
        </w:rPr>
        <w:t>publikowanie</w:t>
      </w:r>
      <w:r w:rsidRPr="00556C86">
        <w:rPr>
          <w:spacing w:val="40"/>
          <w:w w:val="120"/>
          <w:lang w:val="pl-PL"/>
        </w:rPr>
        <w:t xml:space="preserve">  </w:t>
      </w:r>
      <w:r w:rsidRPr="00556C86">
        <w:rPr>
          <w:w w:val="120"/>
          <w:lang w:val="pl-PL"/>
        </w:rPr>
        <w:t xml:space="preserve"> </w:t>
      </w:r>
      <w:r w:rsidR="000F3E01" w:rsidRPr="00556C86">
        <w:rPr>
          <w:w w:val="120"/>
          <w:lang w:val="pl-PL"/>
        </w:rPr>
        <w:t>reklam tytoniu</w:t>
      </w:r>
      <w:r w:rsidRPr="00556C86">
        <w:rPr>
          <w:w w:val="120"/>
          <w:lang w:val="pl-PL"/>
        </w:rPr>
        <w:t xml:space="preserve">, w szczególności po opublikowaniu w 2002 r. w magazynach </w:t>
      </w:r>
      <w:r w:rsidRPr="00556C86">
        <w:rPr>
          <w:i/>
          <w:w w:val="120"/>
          <w:lang w:val="pl-PL"/>
        </w:rPr>
        <w:t xml:space="preserve">Action Auto Moto </w:t>
      </w:r>
      <w:r w:rsidRPr="00556C86">
        <w:rPr>
          <w:w w:val="120"/>
          <w:lang w:val="pl-PL"/>
        </w:rPr>
        <w:t xml:space="preserve">i </w:t>
      </w:r>
      <w:r w:rsidRPr="00556C86">
        <w:rPr>
          <w:i/>
          <w:w w:val="120"/>
          <w:lang w:val="pl-PL"/>
        </w:rPr>
        <w:t xml:space="preserve">Entrevue </w:t>
      </w:r>
      <w:r w:rsidRPr="00556C86">
        <w:rPr>
          <w:w w:val="120"/>
          <w:lang w:val="pl-PL"/>
        </w:rPr>
        <w:t>zdjęć kierowcy Formuły</w:t>
      </w:r>
      <w:r w:rsidR="005C7F80" w:rsidRPr="00556C86">
        <w:rPr>
          <w:w w:val="120"/>
          <w:lang w:val="pl-PL"/>
        </w:rPr>
        <w:t xml:space="preserve"> </w:t>
      </w:r>
      <w:r w:rsidRPr="00556C86">
        <w:rPr>
          <w:w w:val="120"/>
          <w:lang w:val="pl-PL"/>
        </w:rPr>
        <w:t>1 Michaela Schumachera noszącego logo marki papierosów. Skarżący zarzucali również różnicę w traktowaniu w odniesieniu do transmisji sportów motorowych nadawanych przez media audiowizualne w kraju, w którym reklama wyrobów tytoniowych nie jest zabroniona.</w:t>
      </w:r>
    </w:p>
    <w:p w14:paraId="31C4A083" w14:textId="4D04808A" w:rsidR="00C53D74" w:rsidRPr="00556C86" w:rsidRDefault="00000000">
      <w:pPr>
        <w:pStyle w:val="Tekstpodstawowy"/>
        <w:ind w:right="871"/>
        <w:rPr>
          <w:lang w:val="pl-PL"/>
        </w:rPr>
      </w:pPr>
      <w:r w:rsidRPr="00556C86">
        <w:rPr>
          <w:color w:val="4F81BD" w:themeColor="accent1"/>
          <w:w w:val="120"/>
          <w:lang w:val="pl-PL"/>
        </w:rPr>
        <w:t xml:space="preserve">Trybunał </w:t>
      </w:r>
      <w:r w:rsidRPr="00556C86">
        <w:rPr>
          <w:color w:val="0071BB"/>
          <w:w w:val="120"/>
          <w:lang w:val="pl-PL"/>
        </w:rPr>
        <w:t xml:space="preserve">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10 </w:t>
      </w:r>
      <w:r w:rsidRPr="00556C86">
        <w:rPr>
          <w:color w:val="0071BB"/>
          <w:w w:val="120"/>
          <w:lang w:val="pl-PL"/>
        </w:rPr>
        <w:t xml:space="preserve">(wolność wypowiedzi) Konwencji. Mając na uwadze znaczenie ochrony zdrowia publicznego, pilną potrzebę podjęcia działań mających na celu ochronę społeczeństw przed plagą </w:t>
      </w:r>
      <w:r w:rsidR="005C7F80" w:rsidRPr="00556C86">
        <w:rPr>
          <w:color w:val="0071BB"/>
          <w:w w:val="120"/>
          <w:lang w:val="pl-PL"/>
        </w:rPr>
        <w:t>wyrobów</w:t>
      </w:r>
      <w:r w:rsidRPr="00556C86">
        <w:rPr>
          <w:color w:val="0071BB"/>
          <w:w w:val="120"/>
          <w:lang w:val="pl-PL"/>
        </w:rPr>
        <w:t xml:space="preserve"> tytoni</w:t>
      </w:r>
      <w:r w:rsidR="005C7F80" w:rsidRPr="00556C86">
        <w:rPr>
          <w:color w:val="0071BB"/>
          <w:w w:val="120"/>
          <w:lang w:val="pl-PL"/>
        </w:rPr>
        <w:t>owych</w:t>
      </w:r>
      <w:r w:rsidRPr="00556C86">
        <w:rPr>
          <w:color w:val="0071BB"/>
          <w:w w:val="120"/>
          <w:lang w:val="pl-PL"/>
        </w:rPr>
        <w:t xml:space="preserve"> oraz istnienie konsensusu na szczeblu europejskim w sprawie zakazu reklamy wyrobów tytoniowych, Trybunał uznał, że ograniczenia nałożone na wolność wypowiedzi skarżących w niniejszej sprawie odpowiadały pilnej potrzebie społecznej i nie były nieproporcjonalne do uzasadnionego celu, jaki miały osiągnąć.</w:t>
      </w:r>
      <w:r w:rsidRPr="00556C86">
        <w:rPr>
          <w:color w:val="0071BB"/>
          <w:spacing w:val="39"/>
          <w:w w:val="120"/>
          <w:lang w:val="pl-PL"/>
        </w:rPr>
        <w:t xml:space="preserve"> </w:t>
      </w:r>
      <w:r w:rsidRPr="00556C86">
        <w:rPr>
          <w:color w:val="0071BB"/>
          <w:w w:val="120"/>
          <w:lang w:val="pl-PL"/>
        </w:rPr>
        <w:t xml:space="preserve">Trybunał uznał również,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14 </w:t>
      </w:r>
      <w:r w:rsidRPr="00556C86">
        <w:rPr>
          <w:color w:val="0071BB"/>
          <w:w w:val="120"/>
          <w:lang w:val="pl-PL"/>
        </w:rPr>
        <w:t xml:space="preserve">(zakaz dyskryminacji) </w:t>
      </w:r>
      <w:r w:rsidRPr="00556C86">
        <w:rPr>
          <w:b/>
          <w:color w:val="0071BB"/>
          <w:w w:val="120"/>
          <w:lang w:val="pl-PL"/>
        </w:rPr>
        <w:t>w związku z art</w:t>
      </w:r>
      <w:r w:rsidRPr="00556C86">
        <w:rPr>
          <w:color w:val="0071BB"/>
          <w:w w:val="120"/>
          <w:lang w:val="pl-PL"/>
        </w:rPr>
        <w:t>.</w:t>
      </w:r>
      <w:r w:rsidRPr="00556C86">
        <w:rPr>
          <w:b/>
          <w:color w:val="0071BB"/>
          <w:w w:val="120"/>
          <w:lang w:val="pl-PL"/>
        </w:rPr>
        <w:t xml:space="preserve"> 10</w:t>
      </w:r>
      <w:r w:rsidRPr="00556C86">
        <w:rPr>
          <w:color w:val="0071BB"/>
          <w:w w:val="120"/>
          <w:lang w:val="pl-PL"/>
        </w:rPr>
        <w:t xml:space="preserve">, </w:t>
      </w:r>
      <w:r w:rsidR="008A108D" w:rsidRPr="00556C86">
        <w:rPr>
          <w:color w:val="0071BB"/>
          <w:w w:val="120"/>
          <w:lang w:val="pl-PL"/>
        </w:rPr>
        <w:t xml:space="preserve">stwierdzając, że media audiowizualne I media drukowane nie znajdowały się w podobnych lub porównywalnych sytuacjach. Trybunał zauważył w szczególności, że – jak ustaliły sądy </w:t>
      </w:r>
      <w:r w:rsidR="00556C86">
        <w:rPr>
          <w:color w:val="0071BB"/>
          <w:w w:val="120"/>
          <w:lang w:val="pl-PL"/>
        </w:rPr>
        <w:t>f</w:t>
      </w:r>
      <w:r w:rsidR="008A108D" w:rsidRPr="00556C86">
        <w:rPr>
          <w:color w:val="0071BB"/>
          <w:w w:val="120"/>
          <w:lang w:val="pl-PL"/>
        </w:rPr>
        <w:t xml:space="preserve">rancuskie – w tamtym czasie nie było możliwe, ukrycie napisów, logo lub reklam na materiałach filmowych za pomocą środków technicznych. Można było jednak powstrzymać się od fotografowania takich znaków, ukryć je lub zamazać na </w:t>
      </w:r>
      <w:r w:rsidR="00556C86">
        <w:rPr>
          <w:color w:val="0071BB"/>
          <w:w w:val="120"/>
          <w:lang w:val="pl-PL"/>
        </w:rPr>
        <w:t>s</w:t>
      </w:r>
      <w:r w:rsidR="008A108D" w:rsidRPr="00556C86">
        <w:rPr>
          <w:color w:val="0071BB"/>
          <w:w w:val="120"/>
          <w:lang w:val="pl-PL"/>
        </w:rPr>
        <w:t>tronach czasopism. Trybunał zauważył ponadto, że w związku ze sporem dotyczącym materiałów filmowych z wydarzeń sportowych pokazywanych kilka godzin lub dni po ich nagraniu, francuski Sąd Kasacyjny potwierdził, że transmisja na żywo wyścigu stanowi jedyny wyjątek od zakazu pośredniej reklamy wyrobów tytoniowych.</w:t>
      </w:r>
    </w:p>
    <w:p w14:paraId="5F4E9941" w14:textId="77777777" w:rsidR="00C53D74" w:rsidRPr="00556C86" w:rsidRDefault="00C53D74">
      <w:pPr>
        <w:pStyle w:val="Nagwek2"/>
        <w:spacing w:before="95"/>
        <w:ind w:left="873"/>
        <w:rPr>
          <w:u w:val="none"/>
          <w:lang w:val="pl-PL"/>
        </w:rPr>
      </w:pPr>
      <w:hyperlink r:id="rId34">
        <w:r w:rsidRPr="00556C86">
          <w:rPr>
            <w:color w:val="0071BB"/>
            <w:w w:val="135"/>
            <w:u w:color="0071BB"/>
            <w:lang w:val="pl-PL"/>
          </w:rPr>
          <w:t xml:space="preserve">Ressiot i inni przeciwko </w:t>
        </w:r>
        <w:r w:rsidRPr="00556C86">
          <w:rPr>
            <w:color w:val="0071BB"/>
            <w:spacing w:val="-2"/>
            <w:w w:val="135"/>
            <w:u w:color="0071BB"/>
            <w:lang w:val="pl-PL"/>
          </w:rPr>
          <w:t>Francji</w:t>
        </w:r>
      </w:hyperlink>
    </w:p>
    <w:p w14:paraId="655A4062" w14:textId="77777777" w:rsidR="00C53D74" w:rsidRPr="00556C86" w:rsidRDefault="00000000">
      <w:pPr>
        <w:spacing w:before="55"/>
        <w:ind w:left="874"/>
        <w:jc w:val="both"/>
        <w:rPr>
          <w:sz w:val="18"/>
          <w:lang w:val="pl-PL"/>
        </w:rPr>
      </w:pPr>
      <w:r w:rsidRPr="00556C86">
        <w:rPr>
          <w:color w:val="808080"/>
          <w:w w:val="125"/>
          <w:sz w:val="18"/>
          <w:lang w:val="pl-PL"/>
        </w:rPr>
        <w:t>28 czerwca</w:t>
      </w:r>
      <w:r w:rsidRPr="00556C86">
        <w:rPr>
          <w:color w:val="808080"/>
          <w:spacing w:val="-4"/>
          <w:w w:val="125"/>
          <w:sz w:val="18"/>
          <w:lang w:val="pl-PL"/>
        </w:rPr>
        <w:t xml:space="preserve"> 2012 r</w:t>
      </w:r>
      <w:r w:rsidRPr="00556C86">
        <w:rPr>
          <w:color w:val="808080"/>
          <w:spacing w:val="7"/>
          <w:w w:val="125"/>
          <w:sz w:val="18"/>
          <w:lang w:val="pl-PL"/>
        </w:rPr>
        <w:t>.</w:t>
      </w:r>
    </w:p>
    <w:p w14:paraId="5264CD69" w14:textId="77777777" w:rsidR="00C53D74" w:rsidRPr="00556C86" w:rsidRDefault="00000000">
      <w:pPr>
        <w:pStyle w:val="Tekstpodstawowy"/>
        <w:spacing w:before="1"/>
        <w:ind w:right="871"/>
        <w:rPr>
          <w:lang w:val="pl-PL"/>
        </w:rPr>
      </w:pPr>
      <w:r w:rsidRPr="00556C86">
        <w:rPr>
          <w:w w:val="120"/>
          <w:lang w:val="pl-PL"/>
        </w:rPr>
        <w:t xml:space="preserve">Sprawa dotyczyła dochodzeń przeprowadzonych w siedzibach gazet </w:t>
      </w:r>
      <w:r w:rsidRPr="00556C86">
        <w:rPr>
          <w:i/>
          <w:w w:val="120"/>
          <w:lang w:val="pl-PL"/>
        </w:rPr>
        <w:t xml:space="preserve">L’Equipe </w:t>
      </w:r>
      <w:r w:rsidRPr="00556C86">
        <w:rPr>
          <w:w w:val="120"/>
          <w:lang w:val="pl-PL"/>
        </w:rPr>
        <w:t xml:space="preserve">i </w:t>
      </w:r>
      <w:r w:rsidRPr="00556C86">
        <w:rPr>
          <w:i/>
          <w:w w:val="120"/>
          <w:lang w:val="pl-PL"/>
        </w:rPr>
        <w:t xml:space="preserve">Le Point </w:t>
      </w:r>
      <w:r w:rsidRPr="00556C86">
        <w:rPr>
          <w:w w:val="120"/>
          <w:lang w:val="pl-PL"/>
        </w:rPr>
        <w:t>oraz w domach dziennikarzy oskarżonych o naruszenie poufności dochodzenia sądowego. Władze chciały ustalić źródło przecieków w dochodzeniu dotyczącym możliwego stosowania dopingu w kolarstwie. Skarżący twierdzili, że dochodzenia przeciwko nim zostały przeprowadzone z naruszeniem ich prawa do wolności wypowiedzi.</w:t>
      </w:r>
    </w:p>
    <w:p w14:paraId="00291EDF" w14:textId="77777777" w:rsidR="00C53D74" w:rsidRPr="00556C86" w:rsidRDefault="00000000">
      <w:pPr>
        <w:pStyle w:val="Tekstpodstawowy"/>
        <w:spacing w:line="237" w:lineRule="auto"/>
        <w:ind w:right="870"/>
        <w:rPr>
          <w:lang w:val="pl-PL"/>
        </w:rPr>
      </w:pPr>
      <w:r w:rsidRPr="00556C86">
        <w:rPr>
          <w:color w:val="0071BB"/>
          <w:w w:val="120"/>
          <w:lang w:val="pl-PL"/>
        </w:rPr>
        <w:t xml:space="preserve">Trybunał uznał,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 xml:space="preserve">naruszenia art. 10 </w:t>
      </w:r>
      <w:r w:rsidRPr="00556C86">
        <w:rPr>
          <w:color w:val="0071BB"/>
          <w:w w:val="120"/>
          <w:lang w:val="pl-PL"/>
        </w:rPr>
        <w:t>(wolność wypowiedzi) Konwencji, stwierdzając, że rząd francuski nie wykazał, iż osiągnięto właściwą równowagę między różnymi interesami, a podjęte środki nie były racjonalnie proporcjonalne do uzasadnionego celu, biorąc pod uwagę interes demokratycznego społeczeństwa w zapewnieniu i utrzymaniu wolności prasy. Zwrócił szczególną uwagę na fakt, że przedmiotem artykułów było stosowanie dopingu w sporcie zawodowym.</w:t>
      </w:r>
    </w:p>
    <w:p w14:paraId="44920FCD" w14:textId="77777777" w:rsidR="00C53D74" w:rsidRPr="00556C86" w:rsidRDefault="00C53D74">
      <w:pPr>
        <w:pStyle w:val="Tekstpodstawowy"/>
        <w:spacing w:line="237" w:lineRule="auto"/>
        <w:rPr>
          <w:lang w:val="pl-PL"/>
        </w:rPr>
        <w:sectPr w:rsidR="00C53D74" w:rsidRPr="00556C86">
          <w:pgSz w:w="11910" w:h="16840"/>
          <w:pgMar w:top="1400" w:right="566" w:bottom="680" w:left="566" w:header="720" w:footer="497" w:gutter="0"/>
          <w:cols w:space="708"/>
        </w:sectPr>
      </w:pPr>
    </w:p>
    <w:p w14:paraId="32750D8E" w14:textId="77777777" w:rsidR="00C53D74" w:rsidRPr="00556C86" w:rsidRDefault="00C53D74">
      <w:pPr>
        <w:pStyle w:val="Tekstpodstawowy"/>
        <w:spacing w:before="59"/>
        <w:ind w:left="0"/>
        <w:jc w:val="left"/>
        <w:rPr>
          <w:lang w:val="pl-PL"/>
        </w:rPr>
      </w:pPr>
    </w:p>
    <w:p w14:paraId="4F95DFE5" w14:textId="3AE013BA" w:rsidR="00C53D74" w:rsidRPr="00556C86" w:rsidRDefault="00556C86">
      <w:pPr>
        <w:pStyle w:val="Tekstpodstawowy"/>
        <w:spacing w:before="1"/>
        <w:ind w:left="874" w:right="872"/>
        <w:rPr>
          <w:lang w:val="pl-PL"/>
        </w:rPr>
      </w:pPr>
      <w:r>
        <w:rPr>
          <w:color w:val="0071BB"/>
          <w:w w:val="120"/>
          <w:lang w:val="pl-PL"/>
        </w:rPr>
        <w:t>S</w:t>
      </w:r>
      <w:r w:rsidR="00000000" w:rsidRPr="00556C86">
        <w:rPr>
          <w:color w:val="0071BB"/>
          <w:w w:val="120"/>
          <w:lang w:val="pl-PL"/>
        </w:rPr>
        <w:t>port, w tym przypadku kolarstwo, – oraz związane z nim problemy dotyczyły kwestii interesu publicznego. Ponadto artykuły te stanowiły odpowiedź na rosnące i uzasadnione zapotrzebowanie opinii publicznej na informacje dotyczące dopingu w sporcie, a zwłaszcza w kolarstwie.</w:t>
      </w:r>
    </w:p>
    <w:p w14:paraId="43BB2FD4" w14:textId="77777777" w:rsidR="00C53D74" w:rsidRPr="00556C86" w:rsidRDefault="00C53D74">
      <w:pPr>
        <w:pStyle w:val="Nagwek2"/>
        <w:spacing w:before="117"/>
        <w:rPr>
          <w:u w:val="none"/>
          <w:lang w:val="pl-PL"/>
        </w:rPr>
      </w:pPr>
      <w:hyperlink r:id="rId35">
        <w:r w:rsidRPr="00556C86">
          <w:rPr>
            <w:color w:val="0071BB"/>
            <w:w w:val="135"/>
            <w:u w:val="thick" w:color="0071BB"/>
            <w:lang w:val="pl-PL"/>
          </w:rPr>
          <w:t xml:space="preserve">Šimunić przeciwko </w:t>
        </w:r>
        <w:r w:rsidRPr="00556C86">
          <w:rPr>
            <w:color w:val="0071BB"/>
            <w:spacing w:val="-2"/>
            <w:w w:val="135"/>
            <w:u w:val="thick" w:color="0071BB"/>
            <w:lang w:val="pl-PL"/>
          </w:rPr>
          <w:t>Chorwacji</w:t>
        </w:r>
      </w:hyperlink>
    </w:p>
    <w:p w14:paraId="7F26B779" w14:textId="77777777" w:rsidR="00C53D74" w:rsidRPr="00556C86" w:rsidRDefault="00000000">
      <w:pPr>
        <w:spacing w:before="55"/>
        <w:ind w:left="874"/>
        <w:jc w:val="both"/>
        <w:rPr>
          <w:sz w:val="18"/>
          <w:lang w:val="pl-PL"/>
        </w:rPr>
      </w:pPr>
      <w:r w:rsidRPr="00556C86">
        <w:rPr>
          <w:color w:val="808080"/>
          <w:w w:val="125"/>
          <w:sz w:val="18"/>
          <w:lang w:val="pl-PL"/>
        </w:rPr>
        <w:t xml:space="preserve">22 stycznia 2019 r. (orzeczenie w sprawie </w:t>
      </w:r>
      <w:r w:rsidRPr="00556C86">
        <w:rPr>
          <w:color w:val="808080"/>
          <w:spacing w:val="-2"/>
          <w:w w:val="125"/>
          <w:sz w:val="18"/>
          <w:lang w:val="pl-PL"/>
        </w:rPr>
        <w:t>dopuszczalności)</w:t>
      </w:r>
    </w:p>
    <w:p w14:paraId="0B598689" w14:textId="4EE60111" w:rsidR="00C53D74" w:rsidRPr="00556C86" w:rsidRDefault="00BD3B70">
      <w:pPr>
        <w:pStyle w:val="Tekstpodstawowy"/>
        <w:spacing w:before="2"/>
        <w:ind w:left="874" w:right="870"/>
        <w:rPr>
          <w:lang w:val="pl-PL"/>
        </w:rPr>
      </w:pPr>
      <w:r w:rsidRPr="00556C86">
        <w:rPr>
          <w:w w:val="120"/>
          <w:lang w:val="pl-PL"/>
        </w:rPr>
        <w:t>Skarżący, piłkarz, został skazany za drobne wykroczenie polegające na kierowaniu do widzów meczu piłki nożnej wiadomości, których treść wyrażała lub podżegała do nienawiści ze względu na rasę, narodowość i wyznanie. Twierdził on w szczególności, że naruszono jego prawo do wolności wypowiedzi.</w:t>
      </w:r>
    </w:p>
    <w:p w14:paraId="048AE6B4" w14:textId="1C36DDC3" w:rsidR="00C53D74" w:rsidRPr="00556C86" w:rsidRDefault="00000000">
      <w:pPr>
        <w:pStyle w:val="Tekstpodstawowy"/>
        <w:ind w:right="868"/>
        <w:rPr>
          <w:lang w:val="pl-PL"/>
        </w:rPr>
      </w:pPr>
      <w:r w:rsidRPr="00556C86">
        <w:rPr>
          <w:color w:val="0071BB"/>
          <w:w w:val="120"/>
          <w:lang w:val="pl-PL"/>
        </w:rPr>
        <w:t>Trybunał uznał skargę skarżącego na podstawie art. 10 (wolność wypowiedzi) Konwencji za</w:t>
      </w:r>
      <w:r w:rsidRPr="00556C86">
        <w:rPr>
          <w:b/>
          <w:color w:val="0071BB"/>
          <w:w w:val="120"/>
          <w:lang w:val="pl-PL"/>
        </w:rPr>
        <w:t xml:space="preserve"> niedopuszczalną </w:t>
      </w:r>
      <w:r w:rsidRPr="00556C86">
        <w:rPr>
          <w:color w:val="0071BB"/>
          <w:w w:val="120"/>
          <w:lang w:val="pl-PL"/>
        </w:rPr>
        <w:t>jako oczywiście bezzasadną, stwierdzając, że ingerencja w jego prawo do wolności wypowiedzi była poparta istotnymi i wystarczającymi powodami oraz że władze chorwackie, biorąc pod uwagę stosunkowo niewielką wysokość grzywny nałożonej na skarżącego oraz kontekst, w jakim wykrzykiwał on kwestionowane hasło, osiągnęły właściwą równowagę między jego interesem w zakresie wolności wypowiedzi a interesem społeczeństwa w zakresie promowania tolerancji i wzajemnego szacunku podczas wydarzeń sportowych, a także zwalczania dyskryminacji poprzez sport, działając tym samym w granicach przysługującego im marginesu oceny.</w:t>
      </w:r>
      <w:r w:rsidRPr="00556C86">
        <w:rPr>
          <w:color w:val="0071BB"/>
          <w:spacing w:val="34"/>
          <w:w w:val="120"/>
          <w:lang w:val="pl-PL"/>
        </w:rPr>
        <w:t xml:space="preserve"> </w:t>
      </w:r>
      <w:r w:rsidRPr="00556C86">
        <w:rPr>
          <w:color w:val="0071BB"/>
          <w:w w:val="120"/>
          <w:lang w:val="pl-PL"/>
        </w:rPr>
        <w:t>Trybunał zauważył w szczególności, że skarżący, będący znanym piłkarzem i wzorem do naśladowania dla wielu kibiców piłkarskich, powinien był być świadom możliw</w:t>
      </w:r>
      <w:r w:rsidR="00F814C0" w:rsidRPr="00556C86">
        <w:rPr>
          <w:color w:val="0071BB"/>
          <w:w w:val="120"/>
          <w:lang w:val="pl-PL"/>
        </w:rPr>
        <w:t>ie</w:t>
      </w:r>
      <w:r w:rsidRPr="00556C86">
        <w:rPr>
          <w:color w:val="0071BB"/>
          <w:w w:val="120"/>
          <w:lang w:val="pl-PL"/>
        </w:rPr>
        <w:t xml:space="preserve"> negatywnego wpływu prowokacyjnych okrzyków na zachowanie widzów</w:t>
      </w:r>
      <w:r w:rsidR="00F814C0" w:rsidRPr="00556C86">
        <w:rPr>
          <w:color w:val="0071BB"/>
          <w:w w:val="120"/>
          <w:lang w:val="pl-PL"/>
        </w:rPr>
        <w:t>,</w:t>
      </w:r>
      <w:r w:rsidRPr="00556C86">
        <w:rPr>
          <w:color w:val="0071BB"/>
          <w:w w:val="120"/>
          <w:lang w:val="pl-PL"/>
        </w:rPr>
        <w:t xml:space="preserve"> i </w:t>
      </w:r>
      <w:r w:rsidR="00F814C0" w:rsidRPr="00556C86">
        <w:rPr>
          <w:color w:val="0071BB"/>
          <w:w w:val="120"/>
          <w:lang w:val="pl-PL"/>
        </w:rPr>
        <w:t xml:space="preserve">powinien </w:t>
      </w:r>
      <w:r w:rsidRPr="00556C86">
        <w:rPr>
          <w:color w:val="0071BB"/>
          <w:w w:val="120"/>
          <w:lang w:val="pl-PL"/>
        </w:rPr>
        <w:t>powstrzymać się od takiego zachowania.</w:t>
      </w:r>
    </w:p>
    <w:p w14:paraId="5FC12BF4" w14:textId="77777777" w:rsidR="00C53D74" w:rsidRPr="00556C86" w:rsidRDefault="00C53D74">
      <w:pPr>
        <w:pStyle w:val="Nagwek2"/>
        <w:spacing w:before="102"/>
        <w:jc w:val="left"/>
        <w:rPr>
          <w:u w:val="none"/>
          <w:lang w:val="pl-PL"/>
        </w:rPr>
      </w:pPr>
      <w:hyperlink r:id="rId36">
        <w:r w:rsidRPr="00556C86">
          <w:rPr>
            <w:color w:val="0071BB"/>
            <w:w w:val="135"/>
            <w:u w:val="thick" w:color="0071BB"/>
            <w:lang w:val="pl-PL"/>
          </w:rPr>
          <w:t>Sedat Doğan przeciwko Turcji</w:t>
        </w:r>
        <w:r w:rsidRPr="00556C86">
          <w:rPr>
            <w:color w:val="0071BB"/>
            <w:w w:val="135"/>
            <w:u w:val="none"/>
            <w:lang w:val="pl-PL"/>
          </w:rPr>
          <w:t xml:space="preserve">, </w:t>
        </w:r>
        <w:r w:rsidRPr="00556C86">
          <w:rPr>
            <w:color w:val="0071BB"/>
            <w:w w:val="135"/>
            <w:u w:color="0071BB"/>
            <w:lang w:val="pl-PL"/>
          </w:rPr>
          <w:t>Naki i Amed Sportif Faaliyetler Kulübü Derneği</w:t>
        </w:r>
        <w:r w:rsidRPr="00556C86">
          <w:rPr>
            <w:color w:val="0071BB"/>
            <w:w w:val="135"/>
            <w:u w:color="0071BB"/>
            <w:lang w:val="pl-PL"/>
          </w:rPr>
          <w:t xml:space="preserve"> </w:t>
        </w:r>
        <w:r w:rsidRPr="00556C86">
          <w:rPr>
            <w:color w:val="0071BB"/>
            <w:spacing w:val="-5"/>
            <w:w w:val="135"/>
            <w:u w:color="0071BB"/>
            <w:lang w:val="pl-PL"/>
          </w:rPr>
          <w:t>przeciwko</w:t>
        </w:r>
      </w:hyperlink>
    </w:p>
    <w:p w14:paraId="10C0220F" w14:textId="38F22411" w:rsidR="00C53D74" w:rsidRPr="00556C86" w:rsidRDefault="00C53D74">
      <w:pPr>
        <w:ind w:left="874"/>
        <w:rPr>
          <w:b/>
          <w:sz w:val="20"/>
          <w:lang w:val="pl-PL"/>
        </w:rPr>
      </w:pPr>
      <w:hyperlink r:id="rId37">
        <w:r w:rsidRPr="00556C86">
          <w:rPr>
            <w:b/>
            <w:color w:val="0071BB"/>
            <w:w w:val="135"/>
            <w:sz w:val="20"/>
            <w:u w:val="single" w:color="0071BB"/>
            <w:lang w:val="pl-PL"/>
          </w:rPr>
          <w:t>Turcj</w:t>
        </w:r>
        <w:r w:rsidR="00BD3B70" w:rsidRPr="00556C86">
          <w:rPr>
            <w:b/>
            <w:color w:val="0071BB"/>
            <w:w w:val="135"/>
            <w:sz w:val="20"/>
            <w:u w:val="single" w:color="0071BB"/>
            <w:lang w:val="pl-PL"/>
          </w:rPr>
          <w:t>i</w:t>
        </w:r>
        <w:r w:rsidRPr="00556C86">
          <w:rPr>
            <w:b/>
            <w:color w:val="0071BB"/>
            <w:w w:val="135"/>
            <w:sz w:val="20"/>
            <w:u w:val="single" w:color="0071BB"/>
            <w:lang w:val="pl-PL"/>
          </w:rPr>
          <w:t xml:space="preserve"> </w:t>
        </w:r>
        <w:r w:rsidRPr="00556C86">
          <w:rPr>
            <w:b/>
            <w:color w:val="0071BB"/>
            <w:w w:val="135"/>
            <w:sz w:val="20"/>
            <w:lang w:val="pl-PL"/>
          </w:rPr>
          <w:t xml:space="preserve">oraz </w:t>
        </w:r>
        <w:r w:rsidRPr="00556C86">
          <w:rPr>
            <w:b/>
            <w:color w:val="0071BB"/>
            <w:w w:val="135"/>
            <w:sz w:val="20"/>
            <w:u w:val="single" w:color="0071BB"/>
            <w:lang w:val="pl-PL"/>
          </w:rPr>
          <w:t xml:space="preserve">Ibrahim Tokmak przeciwko </w:t>
        </w:r>
        <w:r w:rsidRPr="00556C86">
          <w:rPr>
            <w:b/>
            <w:color w:val="0071BB"/>
            <w:spacing w:val="-2"/>
            <w:w w:val="135"/>
            <w:sz w:val="20"/>
            <w:u w:val="single" w:color="0071BB"/>
            <w:lang w:val="pl-PL"/>
          </w:rPr>
          <w:t>Turcji</w:t>
        </w:r>
      </w:hyperlink>
    </w:p>
    <w:p w14:paraId="35E75AF0" w14:textId="77777777" w:rsidR="00C53D74" w:rsidRDefault="00000000">
      <w:pPr>
        <w:spacing w:before="56"/>
        <w:ind w:left="874"/>
        <w:rPr>
          <w:sz w:val="18"/>
        </w:rPr>
      </w:pPr>
      <w:r>
        <w:rPr>
          <w:color w:val="808080"/>
          <w:w w:val="125"/>
          <w:sz w:val="18"/>
        </w:rPr>
        <w:t>18 maja</w:t>
      </w:r>
      <w:r>
        <w:rPr>
          <w:color w:val="808080"/>
          <w:spacing w:val="-4"/>
          <w:w w:val="125"/>
          <w:sz w:val="18"/>
        </w:rPr>
        <w:t xml:space="preserve"> 2021 r.</w:t>
      </w:r>
    </w:p>
    <w:p w14:paraId="07987997" w14:textId="77777777" w:rsidR="00C53D74" w:rsidRPr="00556C86" w:rsidRDefault="00000000">
      <w:pPr>
        <w:pStyle w:val="Tekstpodstawowy"/>
        <w:spacing w:before="3" w:line="237" w:lineRule="auto"/>
        <w:ind w:right="871"/>
        <w:rPr>
          <w:lang w:val="pl-PL"/>
        </w:rPr>
      </w:pPr>
      <w:r w:rsidRPr="00556C86">
        <w:rPr>
          <w:w w:val="120"/>
          <w:lang w:val="pl-PL"/>
        </w:rPr>
        <w:t>Te trzy sprawy dotyczyły sankcji sportowych i kar finansowych nałożonych na skarżących</w:t>
      </w:r>
      <w:hyperlink w:anchor="_bookmark1" w:history="1">
        <w:r w:rsidR="00C53D74" w:rsidRPr="00556C86">
          <w:rPr>
            <w:w w:val="120"/>
            <w:position w:val="7"/>
            <w:sz w:val="13"/>
            <w:lang w:val="pl-PL"/>
          </w:rPr>
          <w:t>2</w:t>
        </w:r>
      </w:hyperlink>
      <w:r w:rsidRPr="00556C86">
        <w:rPr>
          <w:w w:val="120"/>
          <w:lang w:val="pl-PL"/>
        </w:rPr>
        <w:t xml:space="preserve">  przez Turecką Federację Piłki Nożnej (TFF) z powodu wypowiedzi w mediach lub wiadomości opublikowanych lub udostępnionych w mediach społecznościowych oraz postępowania odwoławczego wszczętego przez skarżących przed komisją arbitrażową federacji w związku z tymi sankcjami. Wszyscy skarżący kwestionowali w szczególności niezależność i bezstronność Komisji Arbitrażowej, zarówno z organizacyjnego, jak i finansowego punktu widzenia. Twierdzili oni również, że nałożone na nich sankcje naruszyły ich prawo do wolności wypowiedzi.</w:t>
      </w:r>
    </w:p>
    <w:p w14:paraId="41A81242" w14:textId="3058D088" w:rsidR="006201B1" w:rsidRPr="005D244B" w:rsidRDefault="00000000" w:rsidP="005D244B">
      <w:pPr>
        <w:pStyle w:val="Tekstpodstawowy"/>
        <w:spacing w:before="5"/>
        <w:ind w:left="874" w:right="870"/>
        <w:rPr>
          <w:i/>
          <w:lang w:val="pl-PL"/>
        </w:rPr>
      </w:pPr>
      <w:r w:rsidRPr="00556C86">
        <w:rPr>
          <w:color w:val="0071BB"/>
          <w:w w:val="125"/>
          <w:lang w:val="pl-PL"/>
        </w:rPr>
        <w:t xml:space="preserve">W tych sprawach Trybunał uznał, że doszło </w:t>
      </w:r>
      <w:r w:rsidRPr="00556C86">
        <w:rPr>
          <w:b/>
          <w:color w:val="0071BB"/>
          <w:w w:val="125"/>
          <w:lang w:val="pl-PL"/>
        </w:rPr>
        <w:t>do</w:t>
      </w:r>
      <w:r w:rsidRPr="00556C86">
        <w:rPr>
          <w:color w:val="0071BB"/>
          <w:w w:val="125"/>
          <w:lang w:val="pl-PL"/>
        </w:rPr>
        <w:t xml:space="preserve"> </w:t>
      </w:r>
      <w:r w:rsidRPr="00556C86">
        <w:rPr>
          <w:b/>
          <w:color w:val="0071BB"/>
          <w:w w:val="125"/>
          <w:lang w:val="pl-PL"/>
        </w:rPr>
        <w:t xml:space="preserve">naruszenia art. 6 § 1 </w:t>
      </w:r>
      <w:r w:rsidRPr="00556C86">
        <w:rPr>
          <w:color w:val="0071BB"/>
          <w:w w:val="125"/>
          <w:lang w:val="pl-PL"/>
        </w:rPr>
        <w:t xml:space="preserve">(prawo do rzetelnego procesu sądowego) Konwencji ze względu na brak niezależności i bezstronności Komisji Arbitrażowej Federacji. Odwołując się do swojego orzecznictwa w sprawie </w:t>
      </w:r>
      <w:r w:rsidRPr="00556C86">
        <w:rPr>
          <w:i/>
          <w:color w:val="0071BB"/>
          <w:w w:val="125"/>
          <w:lang w:val="pl-PL"/>
        </w:rPr>
        <w:t>Ali Rıza i inni</w:t>
      </w:r>
      <w:r w:rsidR="005D244B">
        <w:rPr>
          <w:i/>
          <w:lang w:val="pl-PL"/>
        </w:rPr>
        <w:t xml:space="preserve"> </w:t>
      </w:r>
      <w:r w:rsidR="005D244B" w:rsidRPr="005D244B">
        <w:rPr>
          <w:color w:val="0071BB"/>
          <w:w w:val="120"/>
          <w:lang w:val="pl-PL"/>
        </w:rPr>
        <w:t>przeciwko</w:t>
      </w:r>
      <w:r w:rsidR="004A6B42">
        <w:rPr>
          <w:color w:val="0071BB"/>
          <w:w w:val="120"/>
          <w:lang w:val="pl-PL"/>
        </w:rPr>
        <w:t xml:space="preserve"> </w:t>
      </w:r>
      <w:r w:rsidRPr="005D244B">
        <w:rPr>
          <w:color w:val="0071BB"/>
          <w:w w:val="120"/>
          <w:lang w:val="pl-PL"/>
        </w:rPr>
        <w:t>T</w:t>
      </w:r>
      <w:r w:rsidRPr="00556C86">
        <w:rPr>
          <w:i/>
          <w:color w:val="0071BB"/>
          <w:w w:val="120"/>
          <w:lang w:val="pl-PL"/>
        </w:rPr>
        <w:t xml:space="preserve">urcji </w:t>
      </w:r>
      <w:r w:rsidRPr="00556C86">
        <w:rPr>
          <w:color w:val="0071BB"/>
          <w:w w:val="120"/>
          <w:lang w:val="pl-PL"/>
        </w:rPr>
        <w:t xml:space="preserve">(patrz powyżej, w sekcji „Prawo do rzetelnego procesu sądowego”) Trybunał zwrócił uwagę na strukturalne niedociągnięcia Komisji Arbitrażowej oraz brak odpowiednich zabezpieczeń chroniących członków Komisji przed presją zewnętrzną. W sprawach tych Trybunał uznał również,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 xml:space="preserve">naruszenia art. 10 </w:t>
      </w:r>
      <w:r w:rsidRPr="00556C86">
        <w:rPr>
          <w:color w:val="0071BB"/>
          <w:w w:val="120"/>
          <w:lang w:val="pl-PL"/>
        </w:rPr>
        <w:t>(wolność wypowiedzi) Konwencji.</w:t>
      </w:r>
      <w:r w:rsidR="001A5331" w:rsidRPr="001A5331">
        <w:rPr>
          <w:rFonts w:ascii="inherit" w:eastAsia="Times New Roman" w:hAnsi="inherit" w:cs="Courier New"/>
          <w:color w:val="1F1F1F"/>
          <w:sz w:val="42"/>
          <w:szCs w:val="42"/>
          <w:lang w:val="pl-PL" w:eastAsia="pl-PL"/>
        </w:rPr>
        <w:t xml:space="preserve"> </w:t>
      </w:r>
      <w:r w:rsidR="001A5331" w:rsidRPr="001A5331">
        <w:rPr>
          <w:color w:val="0071BB"/>
          <w:w w:val="120"/>
          <w:lang w:val="pl-PL"/>
        </w:rPr>
        <w:t>W szczególności zauważył, że w każdym z trzech przypadków uzasadnienie podane przez organy krajowe w ich decyzjach o nałożeniu sankcji na skarżących wykazało brak przeprowadzenia odpowiedniej analizy równowagi między, z jednej strony, prawem skarżących do wolności wypowiedzi, a z drugiej strony prawem kierownictwa TFF do poszanowania ich życia prywatnego i innych wchodzących w grę interesów, takich jak utrzymanie porządku i pokoju w społeczności piłkarskiej.</w:t>
      </w:r>
      <w:r w:rsidR="001A5331">
        <w:rPr>
          <w:color w:val="0071BB"/>
          <w:w w:val="120"/>
          <w:lang w:val="pl-PL"/>
        </w:rPr>
        <w:t xml:space="preserve"> </w:t>
      </w:r>
      <w:r w:rsidRPr="00556C86">
        <w:rPr>
          <w:color w:val="0071BB"/>
          <w:w w:val="120"/>
          <w:lang w:val="pl-PL"/>
        </w:rPr>
        <w:t xml:space="preserve">W każdej z tych spraw Trybunał uznał, że władze krajowe nie przeprowadziły odpowiedniej </w:t>
      </w:r>
      <w:r w:rsidR="001F3492" w:rsidRPr="00556C86">
        <w:rPr>
          <w:color w:val="0071BB"/>
          <w:w w:val="120"/>
          <w:lang w:val="pl-PL"/>
        </w:rPr>
        <w:t>analizy,</w:t>
      </w:r>
      <w:r w:rsidR="001F3492" w:rsidRPr="00556C86">
        <w:rPr>
          <w:color w:val="0071BB"/>
          <w:spacing w:val="35"/>
          <w:w w:val="120"/>
          <w:lang w:val="pl-PL"/>
        </w:rPr>
        <w:t xml:space="preserve">  </w:t>
      </w:r>
      <w:r w:rsidRPr="00556C86">
        <w:rPr>
          <w:color w:val="0071BB"/>
          <w:w w:val="120"/>
          <w:lang w:val="pl-PL"/>
        </w:rPr>
        <w:t>mając</w:t>
      </w:r>
      <w:r w:rsidRPr="00556C86">
        <w:rPr>
          <w:color w:val="0071BB"/>
          <w:spacing w:val="35"/>
          <w:w w:val="120"/>
          <w:lang w:val="pl-PL"/>
        </w:rPr>
        <w:t xml:space="preserve">  </w:t>
      </w:r>
      <w:r w:rsidRPr="00556C86">
        <w:rPr>
          <w:color w:val="0071BB"/>
          <w:w w:val="120"/>
          <w:lang w:val="pl-PL"/>
        </w:rPr>
        <w:t xml:space="preserve"> na uwadze</w:t>
      </w:r>
      <w:r w:rsidRPr="00556C86">
        <w:rPr>
          <w:color w:val="0071BB"/>
          <w:spacing w:val="35"/>
          <w:w w:val="120"/>
          <w:lang w:val="pl-PL"/>
        </w:rPr>
        <w:t xml:space="preserve">  </w:t>
      </w:r>
      <w:r w:rsidRPr="00556C86">
        <w:rPr>
          <w:color w:val="0071BB"/>
          <w:w w:val="120"/>
          <w:lang w:val="pl-PL"/>
        </w:rPr>
        <w:t xml:space="preserve"> wszystkie</w:t>
      </w:r>
      <w:r w:rsidRPr="00556C86">
        <w:rPr>
          <w:color w:val="0071BB"/>
          <w:spacing w:val="35"/>
          <w:w w:val="120"/>
          <w:lang w:val="pl-PL"/>
        </w:rPr>
        <w:t xml:space="preserve">  </w:t>
      </w:r>
      <w:r w:rsidRPr="00556C86">
        <w:rPr>
          <w:color w:val="0071BB"/>
          <w:w w:val="120"/>
          <w:lang w:val="pl-PL"/>
        </w:rPr>
        <w:t xml:space="preserve"> kryteria</w:t>
      </w:r>
      <w:r w:rsidRPr="00556C86">
        <w:rPr>
          <w:color w:val="0071BB"/>
          <w:spacing w:val="34"/>
          <w:w w:val="120"/>
          <w:lang w:val="pl-PL"/>
        </w:rPr>
        <w:t xml:space="preserve">  </w:t>
      </w:r>
      <w:r w:rsidRPr="00556C86">
        <w:rPr>
          <w:color w:val="0071BB"/>
          <w:w w:val="120"/>
          <w:lang w:val="pl-PL"/>
        </w:rPr>
        <w:t xml:space="preserve"> określone</w:t>
      </w:r>
      <w:r w:rsidRPr="00556C86">
        <w:rPr>
          <w:color w:val="0071BB"/>
          <w:spacing w:val="35"/>
          <w:w w:val="120"/>
          <w:lang w:val="pl-PL"/>
        </w:rPr>
        <w:t xml:space="preserve">  </w:t>
      </w:r>
      <w:r w:rsidRPr="00556C86">
        <w:rPr>
          <w:color w:val="0071BB"/>
          <w:w w:val="120"/>
          <w:lang w:val="pl-PL"/>
        </w:rPr>
        <w:t xml:space="preserve"> </w:t>
      </w:r>
      <w:r w:rsidRPr="00556C86">
        <w:rPr>
          <w:color w:val="0071BB"/>
          <w:spacing w:val="35"/>
          <w:w w:val="120"/>
          <w:lang w:val="pl-PL"/>
        </w:rPr>
        <w:t xml:space="preserve">  </w:t>
      </w:r>
      <w:r w:rsidRPr="00556C86">
        <w:rPr>
          <w:color w:val="0071BB"/>
          <w:w w:val="120"/>
          <w:lang w:val="pl-PL"/>
        </w:rPr>
        <w:t xml:space="preserve"> i</w:t>
      </w:r>
      <w:r w:rsidRPr="00556C86">
        <w:rPr>
          <w:color w:val="0071BB"/>
          <w:spacing w:val="35"/>
          <w:w w:val="120"/>
          <w:lang w:val="pl-PL"/>
        </w:rPr>
        <w:t xml:space="preserve">  </w:t>
      </w:r>
      <w:r w:rsidRPr="00556C86">
        <w:rPr>
          <w:color w:val="0071BB"/>
          <w:w w:val="120"/>
          <w:lang w:val="pl-PL"/>
        </w:rPr>
        <w:t xml:space="preserve"> stosowane przez Trybunał w orzecznictwie dotyczącym wolności wypowiedzi</w:t>
      </w:r>
      <w:r w:rsidR="006201B1" w:rsidRPr="00556C86">
        <w:rPr>
          <w:color w:val="0071BB"/>
          <w:w w:val="120"/>
          <w:lang w:val="pl-PL"/>
        </w:rPr>
        <w:t xml:space="preserve">. </w:t>
      </w:r>
      <w:r w:rsidR="006201B1" w:rsidRPr="006201B1">
        <w:rPr>
          <w:color w:val="0071BB"/>
          <w:w w:val="120"/>
          <w:lang w:val="pl-PL"/>
        </w:rPr>
        <w:t>Zdaniem Trybunału rząd Turcji nie wykazał, że powody podane przez władze krajowe w celu uzasadnienia kwestionowanych środków były istotne i wystarczające oraz że środki te były konieczne w demokratycznym społeczeństwie.</w:t>
      </w:r>
    </w:p>
    <w:p w14:paraId="55BAC943" w14:textId="27C12B27" w:rsidR="00C53D74" w:rsidRPr="00556C86" w:rsidRDefault="006201B1" w:rsidP="006201B1">
      <w:pPr>
        <w:pStyle w:val="Tekstpodstawowy"/>
        <w:ind w:right="870"/>
        <w:rPr>
          <w:lang w:val="pl-PL"/>
        </w:rPr>
      </w:pPr>
      <w:r>
        <w:rPr>
          <w:noProof/>
        </w:rPr>
        <mc:AlternateContent>
          <mc:Choice Requires="wps">
            <w:drawing>
              <wp:anchor distT="0" distB="0" distL="0" distR="0" simplePos="0" relativeHeight="251678720" behindDoc="1" locked="0" layoutInCell="1" allowOverlap="1" wp14:anchorId="4F3DC45F" wp14:editId="347872CD">
                <wp:simplePos x="0" y="0"/>
                <wp:positionH relativeFrom="page">
                  <wp:posOffset>923925</wp:posOffset>
                </wp:positionH>
                <wp:positionV relativeFrom="paragraph">
                  <wp:posOffset>160020</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5253415" id="Graphic 19" o:spid="_x0000_s1026" style="position:absolute;margin-left:72.75pt;margin-top:12.6pt;width:2in;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" path="m1828800,l,,,7607r1828800,l1828800,xe" fillcolor="black" stroked="f">
                <v:path arrowok="t"/>
                <w10:wrap type="topAndBottom" anchorx="page"/>
              </v:shape>
            </w:pict>
          </mc:Fallback>
        </mc:AlternateContent>
      </w:r>
    </w:p>
    <w:p w14:paraId="79C7F7C9" w14:textId="647997CB" w:rsidR="00C53D74" w:rsidRPr="00556C86" w:rsidRDefault="00C53D74">
      <w:pPr>
        <w:pStyle w:val="Tekstpodstawowy"/>
        <w:spacing w:before="40"/>
        <w:ind w:left="0"/>
        <w:jc w:val="left"/>
        <w:rPr>
          <w:lang w:val="pl-PL"/>
        </w:rPr>
      </w:pPr>
    </w:p>
    <w:p w14:paraId="0779E22B" w14:textId="5742F26E" w:rsidR="00C53D74" w:rsidRPr="00556C86" w:rsidRDefault="00000000">
      <w:pPr>
        <w:spacing w:before="107"/>
        <w:ind w:left="873" w:right="867"/>
        <w:jc w:val="both"/>
        <w:rPr>
          <w:sz w:val="16"/>
          <w:lang w:val="pl-PL"/>
        </w:rPr>
      </w:pPr>
      <w:bookmarkStart w:id="1" w:name="_bookmark1"/>
      <w:bookmarkEnd w:id="1"/>
      <w:r w:rsidRPr="00556C86">
        <w:rPr>
          <w:w w:val="120"/>
          <w:sz w:val="16"/>
          <w:vertAlign w:val="superscript"/>
          <w:lang w:val="pl-PL"/>
        </w:rPr>
        <w:t>2</w:t>
      </w:r>
      <w:r w:rsidRPr="00556C86">
        <w:rPr>
          <w:w w:val="120"/>
          <w:sz w:val="16"/>
          <w:lang w:val="pl-PL"/>
        </w:rPr>
        <w:t xml:space="preserve"> W pierwszej sprawie </w:t>
      </w:r>
      <w:r w:rsidR="004A6B42">
        <w:rPr>
          <w:w w:val="120"/>
          <w:sz w:val="16"/>
          <w:lang w:val="pl-PL"/>
        </w:rPr>
        <w:t>skarżący</w:t>
      </w:r>
      <w:r w:rsidRPr="00556C86">
        <w:rPr>
          <w:w w:val="120"/>
          <w:sz w:val="16"/>
          <w:lang w:val="pl-PL"/>
        </w:rPr>
        <w:t xml:space="preserve"> był w tamtym czasie członkiem zarządu klubu piłkarskiego Galatasaray; w drugiej sprawie </w:t>
      </w:r>
      <w:r w:rsidR="004A6B42">
        <w:rPr>
          <w:w w:val="120"/>
          <w:sz w:val="16"/>
          <w:lang w:val="pl-PL"/>
        </w:rPr>
        <w:t>skarżącymi</w:t>
      </w:r>
      <w:r w:rsidRPr="00556C86">
        <w:rPr>
          <w:w w:val="120"/>
          <w:sz w:val="16"/>
          <w:lang w:val="pl-PL"/>
        </w:rPr>
        <w:t xml:space="preserve"> byli zawodowy piłkarz i tureckie stowarzyszenie działające jako klub sportowy; natomiast w trzeciej sprawie </w:t>
      </w:r>
      <w:r w:rsidR="004A6B42">
        <w:rPr>
          <w:w w:val="120"/>
          <w:sz w:val="16"/>
          <w:lang w:val="pl-PL"/>
        </w:rPr>
        <w:t>skarżący</w:t>
      </w:r>
      <w:r w:rsidRPr="00556C86">
        <w:rPr>
          <w:w w:val="120"/>
          <w:sz w:val="16"/>
          <w:lang w:val="pl-PL"/>
        </w:rPr>
        <w:t xml:space="preserve"> był sędzią piłkarskim w czasie, gdy miały miejsce opisane wydarzenia.</w:t>
      </w:r>
    </w:p>
    <w:p w14:paraId="69E640BE" w14:textId="77777777" w:rsidR="00C53D74" w:rsidRPr="00556C86" w:rsidRDefault="00C53D74">
      <w:pPr>
        <w:jc w:val="both"/>
        <w:rPr>
          <w:sz w:val="16"/>
          <w:lang w:val="pl-PL"/>
        </w:rPr>
        <w:sectPr w:rsidR="00C53D74" w:rsidRPr="00556C86">
          <w:pgSz w:w="11910" w:h="16840"/>
          <w:pgMar w:top="1400" w:right="566" w:bottom="680" w:left="566" w:header="720" w:footer="497" w:gutter="0"/>
          <w:cols w:space="708"/>
        </w:sectPr>
      </w:pPr>
    </w:p>
    <w:p w14:paraId="414EB0E9" w14:textId="77777777" w:rsidR="00C53D74" w:rsidRPr="00556C86" w:rsidRDefault="00C53D74">
      <w:pPr>
        <w:pStyle w:val="Tekstpodstawowy"/>
        <w:spacing w:before="59"/>
        <w:ind w:left="0"/>
        <w:jc w:val="left"/>
        <w:rPr>
          <w:lang w:val="pl-PL"/>
        </w:rPr>
      </w:pPr>
    </w:p>
    <w:p w14:paraId="3F21E38D" w14:textId="77777777" w:rsidR="00C53D74" w:rsidRPr="00556C86" w:rsidRDefault="00000000">
      <w:pPr>
        <w:pStyle w:val="Tekstpodstawowy"/>
        <w:spacing w:before="7"/>
        <w:ind w:left="0"/>
        <w:jc w:val="left"/>
        <w:rPr>
          <w:sz w:val="6"/>
          <w:lang w:val="pl-PL"/>
        </w:rPr>
      </w:pPr>
      <w:r>
        <w:rPr>
          <w:noProof/>
          <w:sz w:val="6"/>
        </w:rPr>
        <mc:AlternateContent>
          <mc:Choice Requires="wps">
            <w:drawing>
              <wp:anchor distT="0" distB="0" distL="0" distR="0" simplePos="0" relativeHeight="251680768" behindDoc="1" locked="0" layoutInCell="1" allowOverlap="1" wp14:anchorId="077C23F5" wp14:editId="407C150B">
                <wp:simplePos x="0" y="0"/>
                <wp:positionH relativeFrom="page">
                  <wp:posOffset>896111</wp:posOffset>
                </wp:positionH>
                <wp:positionV relativeFrom="paragraph">
                  <wp:posOffset>66788</wp:posOffset>
                </wp:positionV>
                <wp:extent cx="5768340" cy="1952625"/>
                <wp:effectExtent l="0" t="0" r="0" b="0"/>
                <wp:wrapTopAndBottom/>
                <wp:docPr id="20" name="Textbox 20"/>
                <wp:cNvGraphicFramePr/>
                <a:graphic xmlns:a="http://schemas.openxmlformats.org/drawingml/2006/main">
                  <a:graphicData uri="http://schemas.microsoft.com/office/word/2010/wordprocessingShape">
                    <wps:wsp>
                      <wps:cNvSpPr txBox="1"/>
                      <wps:spPr>
                        <a:xfrm>
                          <a:off x="0" y="0"/>
                          <a:ext cx="5768340" cy="1952625"/>
                        </a:xfrm>
                        <a:prstGeom prst="rect">
                          <a:avLst/>
                        </a:prstGeom>
                        <a:solidFill>
                          <a:srgbClr val="F3F3F3"/>
                        </a:solidFill>
                      </wps:spPr>
                      <wps:txbx>
                        <w:txbxContent>
                          <w:p w14:paraId="740CC068" w14:textId="60B6C416" w:rsidR="00C53D74" w:rsidRPr="00556C86" w:rsidRDefault="00F47C48">
                            <w:pPr>
                              <w:spacing w:before="11"/>
                              <w:ind w:left="28"/>
                              <w:rPr>
                                <w:b/>
                                <w:color w:val="000000"/>
                                <w:sz w:val="20"/>
                                <w:lang w:val="pl-PL"/>
                              </w:rPr>
                            </w:pPr>
                            <w:r>
                              <w:rPr>
                                <w:b/>
                                <w:color w:val="5F5F5F"/>
                                <w:spacing w:val="-2"/>
                                <w:w w:val="135"/>
                                <w:sz w:val="20"/>
                                <w:lang w:val="pl-PL"/>
                              </w:rPr>
                              <w:t>Skarga</w:t>
                            </w:r>
                            <w:r w:rsidR="00000000" w:rsidRPr="00556C86">
                              <w:rPr>
                                <w:b/>
                                <w:color w:val="5F5F5F"/>
                                <w:spacing w:val="-2"/>
                                <w:w w:val="135"/>
                                <w:sz w:val="20"/>
                                <w:lang w:val="pl-PL"/>
                              </w:rPr>
                              <w:t xml:space="preserve"> </w:t>
                            </w:r>
                            <w:r w:rsidR="00000000" w:rsidRPr="00556C86">
                              <w:rPr>
                                <w:b/>
                                <w:color w:val="5F5F5F"/>
                                <w:w w:val="135"/>
                                <w:sz w:val="20"/>
                                <w:lang w:val="pl-PL"/>
                              </w:rPr>
                              <w:t>w toku</w:t>
                            </w:r>
                          </w:p>
                          <w:p w14:paraId="283E53F6" w14:textId="77777777" w:rsidR="00C53D74" w:rsidRPr="00556C86" w:rsidRDefault="00C53D74">
                            <w:pPr>
                              <w:spacing w:before="121"/>
                              <w:ind w:left="28"/>
                              <w:rPr>
                                <w:b/>
                                <w:color w:val="000000"/>
                                <w:sz w:val="20"/>
                                <w:lang w:val="pl-PL"/>
                              </w:rPr>
                            </w:pPr>
                            <w:hyperlink r:id="rId38">
                              <w:r w:rsidRPr="00556C86">
                                <w:rPr>
                                  <w:b/>
                                  <w:color w:val="0071BB"/>
                                  <w:w w:val="135"/>
                                  <w:sz w:val="20"/>
                                  <w:u w:val="single" w:color="0071BB"/>
                                  <w:lang w:val="pl-PL"/>
                                </w:rPr>
                                <w:t xml:space="preserve">De Carvalho Marques przeciwko Portugalii (nr 29703/19) i pięć innych </w:t>
                              </w:r>
                              <w:r w:rsidRPr="00556C86">
                                <w:rPr>
                                  <w:b/>
                                  <w:color w:val="0071BB"/>
                                  <w:spacing w:val="-2"/>
                                  <w:w w:val="135"/>
                                  <w:sz w:val="20"/>
                                  <w:u w:val="single" w:color="0071BB"/>
                                  <w:lang w:val="pl-PL"/>
                                </w:rPr>
                                <w:t>skarg</w:t>
                              </w:r>
                            </w:hyperlink>
                          </w:p>
                          <w:p w14:paraId="7A27D9B5" w14:textId="6F67A269" w:rsidR="00C53D74" w:rsidRPr="00556C86" w:rsidRDefault="00F47C48">
                            <w:pPr>
                              <w:spacing w:before="55"/>
                              <w:ind w:left="28"/>
                              <w:rPr>
                                <w:color w:val="000000"/>
                                <w:sz w:val="18"/>
                                <w:lang w:val="pl-PL"/>
                              </w:rPr>
                            </w:pPr>
                            <w:r>
                              <w:rPr>
                                <w:color w:val="808080"/>
                                <w:w w:val="120"/>
                                <w:sz w:val="18"/>
                                <w:lang w:val="pl-PL"/>
                              </w:rPr>
                              <w:t>Skarga zakomunikowana</w:t>
                            </w:r>
                            <w:r w:rsidR="00000000" w:rsidRPr="00556C86">
                              <w:rPr>
                                <w:color w:val="808080"/>
                                <w:w w:val="120"/>
                                <w:sz w:val="18"/>
                                <w:lang w:val="pl-PL"/>
                              </w:rPr>
                              <w:t xml:space="preserve"> rządowi Portugalii w dniu 5 stycznia</w:t>
                            </w:r>
                            <w:r w:rsidR="00000000" w:rsidRPr="00556C86">
                              <w:rPr>
                                <w:color w:val="808080"/>
                                <w:spacing w:val="-4"/>
                                <w:w w:val="120"/>
                                <w:sz w:val="18"/>
                                <w:lang w:val="pl-PL"/>
                              </w:rPr>
                              <w:t xml:space="preserve"> 2023 r.</w:t>
                            </w:r>
                          </w:p>
                          <w:p w14:paraId="65D7F0AF" w14:textId="5FD2C7DE" w:rsidR="00C53D74" w:rsidRPr="00556C86" w:rsidRDefault="00F47C48">
                            <w:pPr>
                              <w:pStyle w:val="Tekstpodstawowy"/>
                              <w:spacing w:before="1"/>
                              <w:ind w:left="28" w:right="26"/>
                              <w:rPr>
                                <w:color w:val="000000"/>
                                <w:lang w:val="pl-PL"/>
                              </w:rPr>
                            </w:pPr>
                            <w:r>
                              <w:rPr>
                                <w:color w:val="000000"/>
                                <w:w w:val="120"/>
                                <w:lang w:val="pl-PL"/>
                              </w:rPr>
                              <w:t>Skarżącymi</w:t>
                            </w:r>
                            <w:r w:rsidR="00000000" w:rsidRPr="00556C86">
                              <w:rPr>
                                <w:color w:val="000000"/>
                                <w:w w:val="120"/>
                                <w:lang w:val="pl-PL"/>
                              </w:rPr>
                              <w:t xml:space="preserve"> w tej sprawie są klub piłkarski Porto, jego dyrektor ds. komunikacji i informacji oraz prezes klubu. </w:t>
                            </w:r>
                            <w:r>
                              <w:rPr>
                                <w:color w:val="000000"/>
                                <w:w w:val="120"/>
                                <w:lang w:val="pl-PL"/>
                              </w:rPr>
                              <w:t>Skargi</w:t>
                            </w:r>
                            <w:r w:rsidR="00000000" w:rsidRPr="00556C86">
                              <w:rPr>
                                <w:color w:val="000000"/>
                                <w:w w:val="120"/>
                                <w:lang w:val="pl-PL"/>
                              </w:rPr>
                              <w:t xml:space="preserve"> dotyczą postępowania dyscyplinarnego wszczętego przeciwko </w:t>
                            </w:r>
                            <w:r>
                              <w:rPr>
                                <w:color w:val="000000"/>
                                <w:w w:val="120"/>
                                <w:lang w:val="pl-PL"/>
                              </w:rPr>
                              <w:t>skarżącym</w:t>
                            </w:r>
                            <w:r w:rsidR="00000000" w:rsidRPr="00556C86">
                              <w:rPr>
                                <w:color w:val="000000"/>
                                <w:w w:val="120"/>
                                <w:lang w:val="pl-PL"/>
                              </w:rPr>
                              <w:t xml:space="preserve"> przez Komisję Dyscyplinarną Portugalskiej Federacji Piłki Nożnej, w wyniku którego zostali oni ukarani grzywnami w wysokości od 459 do 15 300 euro oraz zawieszeniem w pełnieniu funkcji (wniosek nr 29703/19) za wypowiedzi na temat pracy sędziów i całego systemu sędziowskiego. Wypowiedzi te zostały wygłoszone, opublikowane lub wyemitowane w mediach.</w:t>
                            </w:r>
                          </w:p>
                          <w:p w14:paraId="28395433" w14:textId="4AA88921" w:rsidR="00C53D74" w:rsidRPr="00556C86" w:rsidRDefault="00000000">
                            <w:pPr>
                              <w:pStyle w:val="Tekstpodstawowy"/>
                              <w:spacing w:line="237" w:lineRule="auto"/>
                              <w:ind w:left="28" w:right="28"/>
                              <w:rPr>
                                <w:color w:val="000000"/>
                                <w:lang w:val="pl-PL"/>
                              </w:rPr>
                            </w:pPr>
                            <w:r w:rsidRPr="00556C86">
                              <w:rPr>
                                <w:color w:val="0071BB"/>
                                <w:w w:val="120"/>
                                <w:lang w:val="pl-PL"/>
                              </w:rPr>
                              <w:t xml:space="preserve">Trybunał </w:t>
                            </w:r>
                            <w:r w:rsidR="00F47C48">
                              <w:rPr>
                                <w:color w:val="0071BB"/>
                                <w:w w:val="120"/>
                                <w:lang w:val="pl-PL"/>
                              </w:rPr>
                              <w:t xml:space="preserve">zakomunikował </w:t>
                            </w:r>
                            <w:r w:rsidRPr="00556C86">
                              <w:rPr>
                                <w:color w:val="0071BB"/>
                                <w:w w:val="120"/>
                                <w:lang w:val="pl-PL"/>
                              </w:rPr>
                              <w:t>rząd</w:t>
                            </w:r>
                            <w:r w:rsidR="00F47C48">
                              <w:rPr>
                                <w:color w:val="0071BB"/>
                                <w:w w:val="120"/>
                                <w:lang w:val="pl-PL"/>
                              </w:rPr>
                              <w:t>owi</w:t>
                            </w:r>
                            <w:r w:rsidRPr="00556C86">
                              <w:rPr>
                                <w:color w:val="0071BB"/>
                                <w:w w:val="120"/>
                                <w:lang w:val="pl-PL"/>
                              </w:rPr>
                              <w:t xml:space="preserve"> portugalski</w:t>
                            </w:r>
                            <w:r w:rsidR="00F47C48">
                              <w:rPr>
                                <w:color w:val="0071BB"/>
                                <w:w w:val="120"/>
                                <w:lang w:val="pl-PL"/>
                              </w:rPr>
                              <w:t>emu</w:t>
                            </w:r>
                            <w:r w:rsidRPr="00556C86">
                              <w:rPr>
                                <w:color w:val="0071BB"/>
                                <w:w w:val="120"/>
                                <w:lang w:val="pl-PL"/>
                              </w:rPr>
                              <w:t xml:space="preserve"> </w:t>
                            </w:r>
                            <w:r w:rsidR="00F47C48">
                              <w:rPr>
                                <w:color w:val="0071BB"/>
                                <w:w w:val="120"/>
                                <w:lang w:val="pl-PL"/>
                              </w:rPr>
                              <w:t>wniesione skargi</w:t>
                            </w:r>
                            <w:r w:rsidRPr="00556C86">
                              <w:rPr>
                                <w:color w:val="0071BB"/>
                                <w:w w:val="120"/>
                                <w:lang w:val="pl-PL"/>
                              </w:rPr>
                              <w:t xml:space="preserve"> i skierował do stron pytania zgodnie z art. 10 (wolność wypowiedzi) Konwencji.</w:t>
                            </w:r>
                          </w:p>
                        </w:txbxContent>
                      </wps:txbx>
                      <wps:bodyPr wrap="square" lIns="0" tIns="0" rIns="0" bIns="0" rtlCol="0"/>
                    </wps:wsp>
                  </a:graphicData>
                </a:graphic>
              </wp:anchor>
            </w:drawing>
          </mc:Choice>
          <mc:Fallback>
            <w:pict>
              <v:shapetype w14:anchorId="077C23F5" id="_x0000_t202" coordsize="21600,21600" o:spt="202" path="m,l,21600r21600,l21600,xe">
                <v:stroke joinstyle="miter"/>
                <v:path gradientshapeok="t" o:connecttype="rect"/>
              </v:shapetype>
              <v:shape id="Textbox 20" o:spid="_x0000_s1026" type="#_x0000_t202" style="position:absolute;margin-left:70.55pt;margin-top:5.25pt;width:454.2pt;height:153.7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" fillcolor="#f3f3f3" stroked="f">
                <v:textbox inset="0,0,0,0">
                  <w:txbxContent>
                    <w:p w14:paraId="740CC068" w14:textId="60B6C416" w:rsidR="00C53D74" w:rsidRPr="00556C86" w:rsidRDefault="00F47C48">
                      <w:pPr>
                        <w:spacing w:before="11"/>
                        <w:ind w:left="28"/>
                        <w:rPr>
                          <w:b/>
                          <w:color w:val="000000"/>
                          <w:sz w:val="20"/>
                          <w:lang w:val="pl-PL"/>
                        </w:rPr>
                      </w:pPr>
                      <w:r>
                        <w:rPr>
                          <w:b/>
                          <w:color w:val="5F5F5F"/>
                          <w:spacing w:val="-2"/>
                          <w:w w:val="135"/>
                          <w:sz w:val="20"/>
                          <w:lang w:val="pl-PL"/>
                        </w:rPr>
                        <w:t>Skarga</w:t>
                      </w:r>
                      <w:r w:rsidR="00000000" w:rsidRPr="00556C86">
                        <w:rPr>
                          <w:b/>
                          <w:color w:val="5F5F5F"/>
                          <w:spacing w:val="-2"/>
                          <w:w w:val="135"/>
                          <w:sz w:val="20"/>
                          <w:lang w:val="pl-PL"/>
                        </w:rPr>
                        <w:t xml:space="preserve"> </w:t>
                      </w:r>
                      <w:r w:rsidR="00000000" w:rsidRPr="00556C86">
                        <w:rPr>
                          <w:b/>
                          <w:color w:val="5F5F5F"/>
                          <w:w w:val="135"/>
                          <w:sz w:val="20"/>
                          <w:lang w:val="pl-PL"/>
                        </w:rPr>
                        <w:t>w toku</w:t>
                      </w:r>
                    </w:p>
                    <w:p w14:paraId="283E53F6" w14:textId="77777777" w:rsidR="00C53D74" w:rsidRPr="00556C86" w:rsidRDefault="00C53D74">
                      <w:pPr>
                        <w:spacing w:before="121"/>
                        <w:ind w:left="28"/>
                        <w:rPr>
                          <w:b/>
                          <w:color w:val="000000"/>
                          <w:sz w:val="20"/>
                          <w:lang w:val="pl-PL"/>
                        </w:rPr>
                      </w:pPr>
                      <w:hyperlink r:id="rId39">
                        <w:r w:rsidRPr="00556C86">
                          <w:rPr>
                            <w:b/>
                            <w:color w:val="0071BB"/>
                            <w:w w:val="135"/>
                            <w:sz w:val="20"/>
                            <w:u w:val="single" w:color="0071BB"/>
                            <w:lang w:val="pl-PL"/>
                          </w:rPr>
                          <w:t xml:space="preserve">De Carvalho Marques przeciwko Portugalii (nr 29703/19) i pięć innych </w:t>
                        </w:r>
                        <w:r w:rsidRPr="00556C86">
                          <w:rPr>
                            <w:b/>
                            <w:color w:val="0071BB"/>
                            <w:spacing w:val="-2"/>
                            <w:w w:val="135"/>
                            <w:sz w:val="20"/>
                            <w:u w:val="single" w:color="0071BB"/>
                            <w:lang w:val="pl-PL"/>
                          </w:rPr>
                          <w:t>skarg</w:t>
                        </w:r>
                      </w:hyperlink>
                    </w:p>
                    <w:p w14:paraId="7A27D9B5" w14:textId="6F67A269" w:rsidR="00C53D74" w:rsidRPr="00556C86" w:rsidRDefault="00F47C48">
                      <w:pPr>
                        <w:spacing w:before="55"/>
                        <w:ind w:left="28"/>
                        <w:rPr>
                          <w:color w:val="000000"/>
                          <w:sz w:val="18"/>
                          <w:lang w:val="pl-PL"/>
                        </w:rPr>
                      </w:pPr>
                      <w:r>
                        <w:rPr>
                          <w:color w:val="808080"/>
                          <w:w w:val="120"/>
                          <w:sz w:val="18"/>
                          <w:lang w:val="pl-PL"/>
                        </w:rPr>
                        <w:t>Skarga zakomunikowana</w:t>
                      </w:r>
                      <w:r w:rsidR="00000000" w:rsidRPr="00556C86">
                        <w:rPr>
                          <w:color w:val="808080"/>
                          <w:w w:val="120"/>
                          <w:sz w:val="18"/>
                          <w:lang w:val="pl-PL"/>
                        </w:rPr>
                        <w:t xml:space="preserve"> rządowi Portugalii w dniu 5 stycznia</w:t>
                      </w:r>
                      <w:r w:rsidR="00000000" w:rsidRPr="00556C86">
                        <w:rPr>
                          <w:color w:val="808080"/>
                          <w:spacing w:val="-4"/>
                          <w:w w:val="120"/>
                          <w:sz w:val="18"/>
                          <w:lang w:val="pl-PL"/>
                        </w:rPr>
                        <w:t xml:space="preserve"> 2023 r.</w:t>
                      </w:r>
                    </w:p>
                    <w:p w14:paraId="65D7F0AF" w14:textId="5FD2C7DE" w:rsidR="00C53D74" w:rsidRPr="00556C86" w:rsidRDefault="00F47C48">
                      <w:pPr>
                        <w:pStyle w:val="Tekstpodstawowy"/>
                        <w:spacing w:before="1"/>
                        <w:ind w:left="28" w:right="26"/>
                        <w:rPr>
                          <w:color w:val="000000"/>
                          <w:lang w:val="pl-PL"/>
                        </w:rPr>
                      </w:pPr>
                      <w:r>
                        <w:rPr>
                          <w:color w:val="000000"/>
                          <w:w w:val="120"/>
                          <w:lang w:val="pl-PL"/>
                        </w:rPr>
                        <w:t>Skarżącymi</w:t>
                      </w:r>
                      <w:r w:rsidR="00000000" w:rsidRPr="00556C86">
                        <w:rPr>
                          <w:color w:val="000000"/>
                          <w:w w:val="120"/>
                          <w:lang w:val="pl-PL"/>
                        </w:rPr>
                        <w:t xml:space="preserve"> w tej sprawie są klub piłkarski Porto, jego dyrektor ds. komunikacji i informacji oraz prezes klubu. </w:t>
                      </w:r>
                      <w:r>
                        <w:rPr>
                          <w:color w:val="000000"/>
                          <w:w w:val="120"/>
                          <w:lang w:val="pl-PL"/>
                        </w:rPr>
                        <w:t>Skargi</w:t>
                      </w:r>
                      <w:r w:rsidR="00000000" w:rsidRPr="00556C86">
                        <w:rPr>
                          <w:color w:val="000000"/>
                          <w:w w:val="120"/>
                          <w:lang w:val="pl-PL"/>
                        </w:rPr>
                        <w:t xml:space="preserve"> dotyczą postępowania dyscyplinarnego wszczętego przeciwko </w:t>
                      </w:r>
                      <w:r>
                        <w:rPr>
                          <w:color w:val="000000"/>
                          <w:w w:val="120"/>
                          <w:lang w:val="pl-PL"/>
                        </w:rPr>
                        <w:t>skarżącym</w:t>
                      </w:r>
                      <w:r w:rsidR="00000000" w:rsidRPr="00556C86">
                        <w:rPr>
                          <w:color w:val="000000"/>
                          <w:w w:val="120"/>
                          <w:lang w:val="pl-PL"/>
                        </w:rPr>
                        <w:t xml:space="preserve"> przez Komisję Dyscyplinarną Portugalskiej Federacji Piłki Nożnej, w wyniku którego zostali oni ukarani grzywnami w wysokości od 459 do 15 300 euro oraz zawieszeniem w pełnieniu funkcji (wniosek nr 29703/19) za wypowiedzi na temat pracy sędziów i całego systemu sędziowskiego. Wypowiedzi te zostały wygłoszone, opublikowane lub wyemitowane w mediach.</w:t>
                      </w:r>
                    </w:p>
                    <w:p w14:paraId="28395433" w14:textId="4AA88921" w:rsidR="00C53D74" w:rsidRPr="00556C86" w:rsidRDefault="00000000">
                      <w:pPr>
                        <w:pStyle w:val="Tekstpodstawowy"/>
                        <w:spacing w:line="237" w:lineRule="auto"/>
                        <w:ind w:left="28" w:right="28"/>
                        <w:rPr>
                          <w:color w:val="000000"/>
                          <w:lang w:val="pl-PL"/>
                        </w:rPr>
                      </w:pPr>
                      <w:r w:rsidRPr="00556C86">
                        <w:rPr>
                          <w:color w:val="0071BB"/>
                          <w:w w:val="120"/>
                          <w:lang w:val="pl-PL"/>
                        </w:rPr>
                        <w:t xml:space="preserve">Trybunał </w:t>
                      </w:r>
                      <w:r w:rsidR="00F47C48">
                        <w:rPr>
                          <w:color w:val="0071BB"/>
                          <w:w w:val="120"/>
                          <w:lang w:val="pl-PL"/>
                        </w:rPr>
                        <w:t xml:space="preserve">zakomunikował </w:t>
                      </w:r>
                      <w:r w:rsidRPr="00556C86">
                        <w:rPr>
                          <w:color w:val="0071BB"/>
                          <w:w w:val="120"/>
                          <w:lang w:val="pl-PL"/>
                        </w:rPr>
                        <w:t>rząd</w:t>
                      </w:r>
                      <w:r w:rsidR="00F47C48">
                        <w:rPr>
                          <w:color w:val="0071BB"/>
                          <w:w w:val="120"/>
                          <w:lang w:val="pl-PL"/>
                        </w:rPr>
                        <w:t>owi</w:t>
                      </w:r>
                      <w:r w:rsidRPr="00556C86">
                        <w:rPr>
                          <w:color w:val="0071BB"/>
                          <w:w w:val="120"/>
                          <w:lang w:val="pl-PL"/>
                        </w:rPr>
                        <w:t xml:space="preserve"> portugalski</w:t>
                      </w:r>
                      <w:r w:rsidR="00F47C48">
                        <w:rPr>
                          <w:color w:val="0071BB"/>
                          <w:w w:val="120"/>
                          <w:lang w:val="pl-PL"/>
                        </w:rPr>
                        <w:t>emu</w:t>
                      </w:r>
                      <w:r w:rsidRPr="00556C86">
                        <w:rPr>
                          <w:color w:val="0071BB"/>
                          <w:w w:val="120"/>
                          <w:lang w:val="pl-PL"/>
                        </w:rPr>
                        <w:t xml:space="preserve"> </w:t>
                      </w:r>
                      <w:r w:rsidR="00F47C48">
                        <w:rPr>
                          <w:color w:val="0071BB"/>
                          <w:w w:val="120"/>
                          <w:lang w:val="pl-PL"/>
                        </w:rPr>
                        <w:t>wniesione skargi</w:t>
                      </w:r>
                      <w:r w:rsidRPr="00556C86">
                        <w:rPr>
                          <w:color w:val="0071BB"/>
                          <w:w w:val="120"/>
                          <w:lang w:val="pl-PL"/>
                        </w:rPr>
                        <w:t xml:space="preserve"> i skierował do stron pytania zgodnie z art. 10 (wolność wypowiedzi) Konwencji.</w:t>
                      </w:r>
                    </w:p>
                  </w:txbxContent>
                </v:textbox>
                <w10:wrap type="topAndBottom" anchorx="page"/>
              </v:shape>
            </w:pict>
          </mc:Fallback>
        </mc:AlternateContent>
      </w:r>
    </w:p>
    <w:p w14:paraId="1223633B" w14:textId="77777777" w:rsidR="00C53D74" w:rsidRPr="00556C86" w:rsidRDefault="00000000">
      <w:pPr>
        <w:pStyle w:val="Nagwek1"/>
        <w:spacing w:before="254" w:after="61"/>
        <w:ind w:right="873"/>
        <w:rPr>
          <w:lang w:val="pl-PL"/>
        </w:rPr>
      </w:pPr>
      <w:r w:rsidRPr="00556C86">
        <w:rPr>
          <w:color w:val="0071BB"/>
          <w:w w:val="120"/>
          <w:sz w:val="29"/>
          <w:lang w:val="pl-PL"/>
        </w:rPr>
        <w:t xml:space="preserve">Wolność zgromadzeń i stowarzyszania się (art. 11 </w:t>
      </w:r>
      <w:r w:rsidRPr="00556C86">
        <w:rPr>
          <w:color w:val="0071BB"/>
          <w:spacing w:val="-2"/>
          <w:w w:val="120"/>
          <w:sz w:val="29"/>
          <w:lang w:val="pl-PL"/>
        </w:rPr>
        <w:t>Konwencji)</w:t>
      </w:r>
    </w:p>
    <w:p w14:paraId="72A29217" w14:textId="77777777" w:rsidR="00C53D74" w:rsidRDefault="00000000">
      <w:pPr>
        <w:spacing w:line="28" w:lineRule="exact"/>
        <w:ind w:left="845"/>
        <w:rPr>
          <w:sz w:val="2"/>
        </w:rPr>
      </w:pPr>
      <w:r>
        <w:rPr>
          <w:noProof/>
          <w:sz w:val="2"/>
        </w:rPr>
        <mc:AlternateContent>
          <mc:Choice Requires="wpg">
            <w:drawing>
              <wp:inline distT="0" distB="0" distL="0" distR="0" wp14:anchorId="734012D2" wp14:editId="7C1EFB98">
                <wp:extent cx="5768340" cy="18415"/>
                <wp:effectExtent l="0" t="0" r="0" b="0"/>
                <wp:docPr id="21" name="Group 21"/>
                <wp:cNvGraphicFramePr/>
                <a:graphic xmlns:a="http://schemas.openxmlformats.org/drawingml/2006/main">
                  <a:graphicData uri="http://schemas.microsoft.com/office/word/2010/wordprocessingGroup">
                    <wpg:wgp>
                      <wpg:cNvGrpSpPr/>
                      <wpg:grpSpPr>
                        <a:xfrm>
                          <a:off x="0" y="0"/>
                          <a:ext cx="5768340" cy="18415"/>
                          <a:chOff x="0" y="0"/>
                          <a:chExt cx="5768340" cy="18415"/>
                        </a:xfrm>
                      </wpg:grpSpPr>
                      <wps:wsp>
                        <wps:cNvPr id="22" name="Graphic 22"/>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022DF344" id="Group 21" o:spid="_x0000_s1026" style="width:454.2pt;height:1.45pt;mso-position-horizontal-relative:char;mso-position-vertical-relative:line" coordsize="57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">
                <v:shape id="Graphic 22" o:spid="_x0000_s1027" style="position:absolute;width:57683;height:184;visibility:visible;mso-wrap-style:square;v-text-anchor:top" coordsize="5768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" path="m5768340,l,,,18288r5768340,l5768340,xe" fillcolor="#999" stroked="f">
                  <v:path arrowok="t"/>
                </v:shape>
                <w10:anchorlock/>
              </v:group>
            </w:pict>
          </mc:Fallback>
        </mc:AlternateContent>
      </w:r>
    </w:p>
    <w:p w14:paraId="61CB7D61" w14:textId="77777777" w:rsidR="00C53D74" w:rsidRDefault="00C53D74">
      <w:pPr>
        <w:pStyle w:val="Nagwek2"/>
        <w:spacing w:before="134"/>
        <w:rPr>
          <w:u w:val="none"/>
        </w:rPr>
      </w:pPr>
      <w:hyperlink r:id="rId40">
        <w:r>
          <w:rPr>
            <w:color w:val="0071BB"/>
            <w:w w:val="135"/>
            <w:u w:color="0071BB"/>
          </w:rPr>
          <w:t xml:space="preserve">Association Nouvelle Des Boulogne Boys przeciwko </w:t>
        </w:r>
        <w:r>
          <w:rPr>
            <w:color w:val="0071BB"/>
            <w:spacing w:val="-2"/>
            <w:w w:val="135"/>
            <w:u w:color="0071BB"/>
          </w:rPr>
          <w:t>Francji</w:t>
        </w:r>
      </w:hyperlink>
    </w:p>
    <w:p w14:paraId="5695EA59" w14:textId="77777777" w:rsidR="00C53D74" w:rsidRPr="00556C86" w:rsidRDefault="00000000">
      <w:pPr>
        <w:spacing w:before="56"/>
        <w:ind w:left="874"/>
        <w:jc w:val="both"/>
        <w:rPr>
          <w:sz w:val="18"/>
          <w:lang w:val="pl-PL"/>
        </w:rPr>
      </w:pPr>
      <w:r w:rsidRPr="00556C86">
        <w:rPr>
          <w:color w:val="808080"/>
          <w:w w:val="125"/>
          <w:sz w:val="18"/>
          <w:lang w:val="pl-PL"/>
        </w:rPr>
        <w:t>7 marca 2011</w:t>
      </w:r>
      <w:r w:rsidRPr="00556C86">
        <w:rPr>
          <w:color w:val="808080"/>
          <w:spacing w:val="-5"/>
          <w:w w:val="125"/>
          <w:sz w:val="18"/>
          <w:lang w:val="pl-PL"/>
        </w:rPr>
        <w:t xml:space="preserve"> r. </w:t>
      </w:r>
      <w:r w:rsidRPr="00556C86">
        <w:rPr>
          <w:color w:val="808080"/>
          <w:w w:val="125"/>
          <w:sz w:val="18"/>
          <w:lang w:val="pl-PL"/>
        </w:rPr>
        <w:t xml:space="preserve">(decyzja w sprawie </w:t>
      </w:r>
      <w:r w:rsidRPr="00556C86">
        <w:rPr>
          <w:color w:val="808080"/>
          <w:spacing w:val="-2"/>
          <w:w w:val="125"/>
          <w:sz w:val="18"/>
          <w:lang w:val="pl-PL"/>
        </w:rPr>
        <w:t>dopuszczalności)</w:t>
      </w:r>
    </w:p>
    <w:p w14:paraId="504C38B0" w14:textId="3C93EE41" w:rsidR="00C53D74" w:rsidRPr="00556C86" w:rsidRDefault="00000000">
      <w:pPr>
        <w:pStyle w:val="Tekstpodstawowy"/>
        <w:spacing w:before="1"/>
        <w:ind w:right="871"/>
        <w:rPr>
          <w:lang w:val="pl-PL"/>
        </w:rPr>
      </w:pPr>
      <w:r w:rsidRPr="00556C86">
        <w:rPr>
          <w:w w:val="120"/>
          <w:lang w:val="pl-PL"/>
        </w:rPr>
        <w:t xml:space="preserve">Sprawa dotyczyła rozwiązania dekretem premiera klubu kibiców drużyny piłkarskiej Paris Saint Germain (PSG) po tym, jak rozwinęli oni obraźliwy transparent na trybunach podczas finału Pucharu Ligi Francuskiej pomiędzy drużyną Lens z północno-zachodniej Francji a PSG na stadionie Stade de France w dniu 29 marca 2008 r., który był transmitowany na żywo w telewizji. </w:t>
      </w:r>
      <w:r w:rsidR="00CB4CED">
        <w:rPr>
          <w:w w:val="120"/>
          <w:lang w:val="pl-PL"/>
        </w:rPr>
        <w:t>Skarżące stowarzyszenie</w:t>
      </w:r>
      <w:r w:rsidRPr="00556C86">
        <w:rPr>
          <w:w w:val="120"/>
          <w:lang w:val="pl-PL"/>
        </w:rPr>
        <w:t xml:space="preserve"> zarzucało w szczególności naruszenie jego wolności zrzeszania się.</w:t>
      </w:r>
    </w:p>
    <w:p w14:paraId="1727A868" w14:textId="750065DC" w:rsidR="00C53D74" w:rsidRPr="00556C86" w:rsidRDefault="00000000">
      <w:pPr>
        <w:pStyle w:val="Tekstpodstawowy"/>
        <w:ind w:right="871"/>
        <w:rPr>
          <w:lang w:val="pl-PL"/>
        </w:rPr>
      </w:pPr>
      <w:r w:rsidRPr="00556C86">
        <w:rPr>
          <w:color w:val="0071BB"/>
          <w:w w:val="120"/>
          <w:lang w:val="pl-PL"/>
        </w:rPr>
        <w:t>Trybunał uznał skargę za</w:t>
      </w:r>
      <w:r w:rsidRPr="00556C86">
        <w:rPr>
          <w:b/>
          <w:color w:val="0071BB"/>
          <w:w w:val="120"/>
          <w:lang w:val="pl-PL"/>
        </w:rPr>
        <w:t xml:space="preserve"> niedopuszczalną </w:t>
      </w:r>
      <w:r w:rsidR="000D364F" w:rsidRPr="00556C86">
        <w:rPr>
          <w:color w:val="0071BB"/>
          <w:w w:val="120"/>
          <w:lang w:val="pl-PL"/>
        </w:rPr>
        <w:t>jako</w:t>
      </w:r>
      <w:r w:rsidR="000D364F" w:rsidRPr="00556C86">
        <w:rPr>
          <w:color w:val="0071BB"/>
          <w:spacing w:val="40"/>
          <w:w w:val="120"/>
          <w:lang w:val="pl-PL"/>
        </w:rPr>
        <w:t xml:space="preserve"> </w:t>
      </w:r>
      <w:r w:rsidR="000D364F" w:rsidRPr="00556C86">
        <w:rPr>
          <w:color w:val="0071BB"/>
          <w:w w:val="120"/>
          <w:lang w:val="pl-PL"/>
        </w:rPr>
        <w:t>będącą</w:t>
      </w:r>
      <w:r w:rsidR="006201B1" w:rsidRPr="00556C86">
        <w:rPr>
          <w:color w:val="0071BB"/>
          <w:spacing w:val="40"/>
          <w:w w:val="120"/>
          <w:lang w:val="pl-PL"/>
        </w:rPr>
        <w:t xml:space="preserve">  </w:t>
      </w:r>
      <w:r w:rsidR="006201B1" w:rsidRPr="00556C86">
        <w:rPr>
          <w:color w:val="0071BB"/>
          <w:w w:val="120"/>
          <w:lang w:val="pl-PL"/>
        </w:rPr>
        <w:t xml:space="preserve"> ewidentnie</w:t>
      </w:r>
      <w:r w:rsidR="006201B1" w:rsidRPr="00556C86">
        <w:rPr>
          <w:color w:val="0071BB"/>
          <w:spacing w:val="40"/>
          <w:w w:val="120"/>
          <w:lang w:val="pl-PL"/>
        </w:rPr>
        <w:t xml:space="preserve">  </w:t>
      </w:r>
      <w:r w:rsidR="006201B1" w:rsidRPr="00556C86">
        <w:rPr>
          <w:color w:val="0071BB"/>
          <w:w w:val="120"/>
          <w:lang w:val="pl-PL"/>
        </w:rPr>
        <w:t xml:space="preserve"> </w:t>
      </w:r>
      <w:r w:rsidR="000D364F" w:rsidRPr="00556C86">
        <w:rPr>
          <w:color w:val="0071BB"/>
          <w:w w:val="120"/>
          <w:lang w:val="pl-PL"/>
        </w:rPr>
        <w:t>bezpodstawną</w:t>
      </w:r>
      <w:r w:rsidRPr="00556C86">
        <w:rPr>
          <w:color w:val="0071BB"/>
          <w:w w:val="120"/>
          <w:lang w:val="pl-PL"/>
        </w:rPr>
        <w:t xml:space="preserve">. Zwrócił w szczególności uwagę, że środek rozwiązania stanowił ingerencję w prawo skarżącego do wolności zrzeszania się, które zostało określone w kodeksie sportowym i miało na celu zapobieganie zakłóceniom porządku publicznego lub przestępstwom. Trybunał uznał ponadto, że przestępstwa, o które oskarżono </w:t>
      </w:r>
      <w:r w:rsidR="000D364F">
        <w:rPr>
          <w:color w:val="0071BB"/>
          <w:w w:val="120"/>
          <w:lang w:val="pl-PL"/>
        </w:rPr>
        <w:t>skarżące stowarzyszenie</w:t>
      </w:r>
      <w:r w:rsidRPr="00556C86">
        <w:rPr>
          <w:color w:val="0071BB"/>
          <w:w w:val="120"/>
          <w:lang w:val="pl-PL"/>
        </w:rPr>
        <w:t>, były szczególnie poważne i szkodliwe dla porządku publicznego. Ponadto treść transparentu rozwiniętego na stadionie Stade de France w dniu 29 marca 2008 r. była szczególnie obraźliwa dla pewnej grupy ludności. Trybunał uznał zatem, że środek rozwiązania stowarzyszenia był proporcjonalny do zamierzonego celu.</w:t>
      </w:r>
    </w:p>
    <w:p w14:paraId="677469E8" w14:textId="77777777" w:rsidR="00C53D74" w:rsidRPr="00556C86" w:rsidRDefault="00C53D74">
      <w:pPr>
        <w:pStyle w:val="Nagwek2"/>
        <w:spacing w:before="106"/>
        <w:ind w:left="873"/>
        <w:rPr>
          <w:u w:val="none"/>
          <w:lang w:val="pl-PL"/>
        </w:rPr>
      </w:pPr>
      <w:hyperlink r:id="rId41">
        <w:r w:rsidRPr="00556C86">
          <w:rPr>
            <w:color w:val="0071BB"/>
            <w:w w:val="135"/>
            <w:u w:color="0071BB"/>
            <w:lang w:val="pl-PL"/>
          </w:rPr>
          <w:t xml:space="preserve">„Les Authentiks” przeciwko Francji i „Supras Auteuil 91” przeciwko </w:t>
        </w:r>
        <w:r w:rsidRPr="00556C86">
          <w:rPr>
            <w:color w:val="0071BB"/>
            <w:spacing w:val="-2"/>
            <w:w w:val="135"/>
            <w:u w:color="0071BB"/>
            <w:lang w:val="pl-PL"/>
          </w:rPr>
          <w:t>Francji</w:t>
        </w:r>
      </w:hyperlink>
    </w:p>
    <w:p w14:paraId="780FD819" w14:textId="77777777" w:rsidR="00C53D74" w:rsidRPr="00556C86" w:rsidRDefault="00000000">
      <w:pPr>
        <w:spacing w:before="56"/>
        <w:ind w:left="874"/>
        <w:jc w:val="both"/>
        <w:rPr>
          <w:sz w:val="18"/>
          <w:lang w:val="pl-PL"/>
        </w:rPr>
      </w:pPr>
      <w:r w:rsidRPr="00556C86">
        <w:rPr>
          <w:color w:val="808080"/>
          <w:w w:val="120"/>
          <w:sz w:val="18"/>
          <w:lang w:val="pl-PL"/>
        </w:rPr>
        <w:t>27 października</w:t>
      </w:r>
      <w:r w:rsidRPr="00556C86">
        <w:rPr>
          <w:color w:val="808080"/>
          <w:spacing w:val="-4"/>
          <w:w w:val="120"/>
          <w:sz w:val="18"/>
          <w:lang w:val="pl-PL"/>
        </w:rPr>
        <w:t xml:space="preserve"> 2016 r.</w:t>
      </w:r>
    </w:p>
    <w:p w14:paraId="12E229BA" w14:textId="4C926F1E" w:rsidR="00C53D74" w:rsidRPr="00556C86" w:rsidRDefault="00000000">
      <w:pPr>
        <w:pStyle w:val="Tekstpodstawowy"/>
        <w:spacing w:before="1"/>
        <w:ind w:left="874" w:right="871"/>
        <w:rPr>
          <w:lang w:val="pl-PL"/>
        </w:rPr>
      </w:pPr>
      <w:r w:rsidRPr="00556C86">
        <w:rPr>
          <w:w w:val="120"/>
          <w:lang w:val="pl-PL"/>
        </w:rPr>
        <w:t xml:space="preserve">Sprawa dotyczyła rozwiązania dwóch stowarzyszeń kibiców klubu piłkarskiego Paris-Saint-Germain w następstwie zamieszek, </w:t>
      </w:r>
      <w:r w:rsidR="000D364F">
        <w:rPr>
          <w:w w:val="120"/>
          <w:lang w:val="pl-PL"/>
        </w:rPr>
        <w:t>w</w:t>
      </w:r>
      <w:r w:rsidRPr="00556C86">
        <w:rPr>
          <w:w w:val="120"/>
          <w:lang w:val="pl-PL"/>
        </w:rPr>
        <w:t xml:space="preserve"> które w dniu 28 lutego 2010 r. wdała się część ich członków, a które doprowadziły do śmierci jednego z kibiców. Stowarzyszenia skarżące twierdziły w szczególności, że ich rozwiązanie stanowiło nieproporcjonalną ingerencję w ich prawo do wolności zgromadzeń i stowarzyszania się.</w:t>
      </w:r>
    </w:p>
    <w:p w14:paraId="096774C1" w14:textId="65555999" w:rsidR="00C53D74" w:rsidRPr="00556C86" w:rsidRDefault="00000000">
      <w:pPr>
        <w:pStyle w:val="Tekstpodstawowy"/>
        <w:ind w:left="874" w:right="870"/>
        <w:rPr>
          <w:lang w:val="pl-PL"/>
        </w:rPr>
      </w:pPr>
      <w:r w:rsidRPr="00556C86">
        <w:rPr>
          <w:color w:val="0071BB"/>
          <w:w w:val="120"/>
          <w:lang w:val="pl-PL"/>
        </w:rPr>
        <w:t xml:space="preserve">Trybunał uznał, że </w:t>
      </w:r>
      <w:r w:rsidRPr="00556C86">
        <w:rPr>
          <w:b/>
          <w:color w:val="0071BB"/>
          <w:w w:val="120"/>
          <w:lang w:val="pl-PL"/>
        </w:rPr>
        <w:t xml:space="preserve">nie </w:t>
      </w:r>
      <w:r w:rsidRPr="00556C86">
        <w:rPr>
          <w:color w:val="0071BB"/>
          <w:w w:val="120"/>
          <w:lang w:val="pl-PL"/>
        </w:rPr>
        <w:t xml:space="preserve">doszło </w:t>
      </w:r>
      <w:r w:rsidRPr="00556C86">
        <w:rPr>
          <w:b/>
          <w:color w:val="0071BB"/>
          <w:w w:val="120"/>
          <w:lang w:val="pl-PL"/>
        </w:rPr>
        <w:t xml:space="preserve">do naruszenia art. 11 </w:t>
      </w:r>
      <w:r w:rsidRPr="00556C86">
        <w:rPr>
          <w:color w:val="0071BB"/>
          <w:w w:val="120"/>
          <w:lang w:val="pl-PL"/>
        </w:rPr>
        <w:t>(wolność zgromadzeń i stowarzyszania się) Konwencji. W odniesieniu do kontekstu, w jakim podjęto zaskarżone środki, Trybunał uznał, że władze krajowe miały uzasadnione podstawy, aby uznać, że istniała „pilna potrzeba społeczna” wprowadzenia drastycznych ograniczeń wobec grup kibiców, a mianowicie środków zaskarżonych w niniejszej sprawie.</w:t>
      </w:r>
      <w:r w:rsidRPr="00556C86">
        <w:rPr>
          <w:color w:val="0071BB"/>
          <w:spacing w:val="40"/>
          <w:w w:val="120"/>
          <w:lang w:val="pl-PL"/>
        </w:rPr>
        <w:t xml:space="preserve"> </w:t>
      </w:r>
      <w:r w:rsidRPr="00556C86">
        <w:rPr>
          <w:color w:val="0071BB"/>
          <w:w w:val="120"/>
          <w:lang w:val="pl-PL"/>
        </w:rPr>
        <w:t xml:space="preserve">Nakazy rozwiązania stowarzyszeń były zatem konieczne w demokratycznym społeczeństwie w celu zapobiegania zakłóceniom porządku publicznego i przestępczości. Trybunał podkreślił również, że stowarzyszenia, których oficjalnym celem jest promowanie klubu piłkarskiego, mają mniejsze znaczenie dla demokracji niż partie polityczne. Ponadto uznał, że zakres swobody oceny w sprawach dotyczących podżegania do przemocy jest szczególnie szeroki. W tym względzie biorąc pod uwagę kontekst, Trybunał uznał, że nakazy rozwiązania stowarzyszeń mogły </w:t>
      </w:r>
      <w:r w:rsidRPr="00556C86">
        <w:rPr>
          <w:color w:val="0071BB"/>
          <w:spacing w:val="-5"/>
          <w:w w:val="120"/>
          <w:lang w:val="pl-PL"/>
        </w:rPr>
        <w:t>być</w:t>
      </w:r>
    </w:p>
    <w:p w14:paraId="60F6BBB8" w14:textId="77777777" w:rsidR="00C53D74" w:rsidRPr="00556C86" w:rsidRDefault="00C53D74">
      <w:pPr>
        <w:pStyle w:val="Tekstpodstawowy"/>
        <w:rPr>
          <w:lang w:val="pl-PL"/>
        </w:rPr>
        <w:sectPr w:rsidR="00C53D74" w:rsidRPr="00556C86">
          <w:pgSz w:w="11910" w:h="16840"/>
          <w:pgMar w:top="1400" w:right="566" w:bottom="680" w:left="566" w:header="720" w:footer="497" w:gutter="0"/>
          <w:cols w:space="708"/>
        </w:sectPr>
      </w:pPr>
    </w:p>
    <w:p w14:paraId="748C771B" w14:textId="77777777" w:rsidR="00C53D74" w:rsidRPr="00556C86" w:rsidRDefault="00C53D74">
      <w:pPr>
        <w:pStyle w:val="Tekstpodstawowy"/>
        <w:spacing w:before="59"/>
        <w:ind w:left="0"/>
        <w:jc w:val="left"/>
        <w:rPr>
          <w:lang w:val="pl-PL"/>
        </w:rPr>
      </w:pPr>
    </w:p>
    <w:p w14:paraId="72F52042" w14:textId="3C1819D6" w:rsidR="00C53D74" w:rsidRPr="00556C86" w:rsidRDefault="00000000" w:rsidP="000D364F">
      <w:pPr>
        <w:pStyle w:val="Tekstpodstawowy"/>
        <w:spacing w:before="1" w:line="243" w:lineRule="exact"/>
        <w:jc w:val="left"/>
        <w:rPr>
          <w:lang w:val="pl-PL"/>
        </w:rPr>
      </w:pPr>
      <w:r w:rsidRPr="00556C86">
        <w:rPr>
          <w:color w:val="0071BB"/>
          <w:w w:val="120"/>
          <w:lang w:val="pl-PL"/>
        </w:rPr>
        <w:t xml:space="preserve">uznane za proporcjonalne do zamierzonego celu. Trybunał stwierdził również, że w niniejszej sprawie nie </w:t>
      </w:r>
      <w:r w:rsidRPr="00556C86">
        <w:rPr>
          <w:color w:val="0071BB"/>
          <w:spacing w:val="-4"/>
          <w:w w:val="120"/>
          <w:lang w:val="pl-PL"/>
        </w:rPr>
        <w:t>doszło do</w:t>
      </w:r>
      <w:r w:rsidR="000D364F">
        <w:rPr>
          <w:color w:val="0071BB"/>
          <w:spacing w:val="-4"/>
          <w:w w:val="120"/>
          <w:lang w:val="pl-PL"/>
        </w:rPr>
        <w:t xml:space="preserve"> </w:t>
      </w:r>
      <w:r w:rsidRPr="00556C86">
        <w:rPr>
          <w:b/>
          <w:color w:val="0071BB"/>
          <w:w w:val="125"/>
          <w:lang w:val="pl-PL"/>
        </w:rPr>
        <w:t xml:space="preserve">naruszenia art. 6 </w:t>
      </w:r>
      <w:r w:rsidRPr="00556C86">
        <w:rPr>
          <w:color w:val="0071BB"/>
          <w:w w:val="125"/>
          <w:lang w:val="pl-PL"/>
        </w:rPr>
        <w:t>(prawo do rzetelnego procesu sądowego) Konwencji</w:t>
      </w:r>
      <w:r w:rsidR="000D364F">
        <w:rPr>
          <w:color w:val="0071BB"/>
          <w:w w:val="125"/>
          <w:lang w:val="pl-PL"/>
        </w:rPr>
        <w:t>.</w:t>
      </w:r>
    </w:p>
    <w:p w14:paraId="1A6F4495" w14:textId="77777777" w:rsidR="000D364F" w:rsidRDefault="00000000" w:rsidP="000D364F">
      <w:pPr>
        <w:pStyle w:val="Nagwek1"/>
        <w:spacing w:before="243"/>
        <w:ind w:left="873" w:right="869"/>
        <w:jc w:val="left"/>
        <w:rPr>
          <w:color w:val="0071BB"/>
          <w:w w:val="120"/>
          <w:sz w:val="29"/>
          <w:lang w:val="pl-PL"/>
        </w:rPr>
      </w:pPr>
      <w:r>
        <w:rPr>
          <w:noProof/>
        </w:rPr>
        <mc:AlternateContent>
          <mc:Choice Requires="wps">
            <w:drawing>
              <wp:anchor distT="0" distB="0" distL="0" distR="0" simplePos="0" relativeHeight="251682816" behindDoc="1" locked="0" layoutInCell="1" allowOverlap="1" wp14:anchorId="4BA6F96B" wp14:editId="5FBB59CE">
                <wp:simplePos x="0" y="0"/>
                <wp:positionH relativeFrom="page">
                  <wp:posOffset>896111</wp:posOffset>
                </wp:positionH>
                <wp:positionV relativeFrom="paragraph">
                  <wp:posOffset>627184</wp:posOffset>
                </wp:positionV>
                <wp:extent cx="5768340" cy="18415"/>
                <wp:effectExtent l="0" t="0" r="0" b="0"/>
                <wp:wrapTopAndBottom/>
                <wp:docPr id="23" name="Graphic 23"/>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322E2FB" id="Graphic 23" o:spid="_x0000_s1026" style="position:absolute;margin-left:70.55pt;margin-top:49.4pt;width:454.2pt;height:1.45pt;z-index:-251633664;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 xml:space="preserve">Zakaz dyskryminacji (art. 14 Konwencji i art. 1 </w:t>
      </w:r>
      <w:r w:rsidR="000D364F">
        <w:rPr>
          <w:color w:val="0071BB"/>
          <w:w w:val="120"/>
          <w:sz w:val="29"/>
          <w:lang w:val="pl-PL"/>
        </w:rPr>
        <w:t>P</w:t>
      </w:r>
      <w:r w:rsidRPr="00556C86">
        <w:rPr>
          <w:color w:val="0071BB"/>
          <w:w w:val="120"/>
          <w:sz w:val="29"/>
          <w:lang w:val="pl-PL"/>
        </w:rPr>
        <w:t>rotokołu nr 12 do Konwencji)</w:t>
      </w:r>
    </w:p>
    <w:p w14:paraId="6F227AC5" w14:textId="51613D08" w:rsidR="00C53D74" w:rsidRPr="000D364F" w:rsidRDefault="00C53D74" w:rsidP="000D364F">
      <w:pPr>
        <w:pStyle w:val="Nagwek1"/>
        <w:spacing w:before="243"/>
        <w:ind w:left="873" w:right="869"/>
        <w:jc w:val="left"/>
        <w:rPr>
          <w:lang w:val="pl-PL"/>
        </w:rPr>
      </w:pPr>
      <w:r w:rsidRPr="000D364F">
        <w:rPr>
          <w:color w:val="0071BB"/>
          <w:w w:val="130"/>
          <w:sz w:val="20"/>
          <w:szCs w:val="20"/>
          <w:u w:color="0071BB"/>
          <w:lang w:val="pl-PL"/>
        </w:rPr>
        <w:t xml:space="preserve">Hachette Filipacchi Presse Automobile i Dupuy przeciwko Francji </w:t>
      </w:r>
      <w:hyperlink r:id="rId42">
        <w:r w:rsidRPr="000D364F">
          <w:rPr>
            <w:color w:val="0071BB"/>
            <w:w w:val="130"/>
            <w:sz w:val="20"/>
            <w:szCs w:val="20"/>
            <w:u w:color="0071BB"/>
            <w:lang w:val="pl-PL"/>
          </w:rPr>
          <w:t>Société de conception de presse et d’édition i Ponson przeciwko Francji</w:t>
        </w:r>
      </w:hyperlink>
      <w:r w:rsidRPr="00556C86">
        <w:rPr>
          <w:color w:val="808080"/>
          <w:w w:val="130"/>
          <w:sz w:val="18"/>
          <w:lang w:val="pl-PL"/>
        </w:rPr>
        <w:t xml:space="preserve"> 5 marca 2009 r.</w:t>
      </w:r>
    </w:p>
    <w:p w14:paraId="18CCC185" w14:textId="77777777" w:rsidR="00C53D74" w:rsidRPr="00556C86" w:rsidRDefault="00000000">
      <w:pPr>
        <w:pStyle w:val="Tekstpodstawowy"/>
        <w:spacing w:line="206" w:lineRule="exact"/>
        <w:ind w:left="874"/>
        <w:jc w:val="left"/>
        <w:rPr>
          <w:lang w:val="pl-PL"/>
        </w:rPr>
      </w:pPr>
      <w:r w:rsidRPr="00556C86">
        <w:rPr>
          <w:w w:val="125"/>
          <w:lang w:val="pl-PL"/>
        </w:rPr>
        <w:t xml:space="preserve">Zob. powyżej, w sekcji „Wolność </w:t>
      </w:r>
      <w:r w:rsidRPr="00556C86">
        <w:rPr>
          <w:spacing w:val="-2"/>
          <w:w w:val="125"/>
          <w:lang w:val="pl-PL"/>
        </w:rPr>
        <w:t>wypowiedzi”.</w:t>
      </w:r>
    </w:p>
    <w:p w14:paraId="0228B8CD" w14:textId="77777777" w:rsidR="00C53D74" w:rsidRPr="00556C86" w:rsidRDefault="00C53D74">
      <w:pPr>
        <w:pStyle w:val="Nagwek2"/>
        <w:spacing w:before="118"/>
        <w:ind w:left="873"/>
        <w:jc w:val="left"/>
        <w:rPr>
          <w:u w:val="none"/>
          <w:lang w:val="pl-PL"/>
        </w:rPr>
      </w:pPr>
      <w:hyperlink r:id="rId43">
        <w:r w:rsidRPr="00556C86">
          <w:rPr>
            <w:color w:val="0071BB"/>
            <w:w w:val="135"/>
            <w:u w:val="thick" w:color="0071BB"/>
            <w:lang w:val="pl-PL"/>
          </w:rPr>
          <w:t xml:space="preserve">Negovanović i inni przeciwko </w:t>
        </w:r>
        <w:r w:rsidRPr="00556C86">
          <w:rPr>
            <w:color w:val="0071BB"/>
            <w:spacing w:val="-2"/>
            <w:w w:val="135"/>
            <w:u w:val="thick" w:color="0071BB"/>
            <w:lang w:val="pl-PL"/>
          </w:rPr>
          <w:t>Serbii</w:t>
        </w:r>
      </w:hyperlink>
    </w:p>
    <w:p w14:paraId="6F464DC3" w14:textId="77777777" w:rsidR="00C53D74" w:rsidRPr="00556C86" w:rsidRDefault="00000000">
      <w:pPr>
        <w:spacing w:before="59"/>
        <w:ind w:left="874"/>
        <w:rPr>
          <w:sz w:val="18"/>
          <w:lang w:val="pl-PL"/>
        </w:rPr>
      </w:pPr>
      <w:r w:rsidRPr="00556C86">
        <w:rPr>
          <w:color w:val="808080"/>
          <w:w w:val="125"/>
          <w:sz w:val="18"/>
          <w:lang w:val="pl-PL"/>
        </w:rPr>
        <w:t>25 stycznia</w:t>
      </w:r>
      <w:r w:rsidRPr="00556C86">
        <w:rPr>
          <w:color w:val="808080"/>
          <w:spacing w:val="-4"/>
          <w:w w:val="125"/>
          <w:sz w:val="18"/>
          <w:lang w:val="pl-PL"/>
        </w:rPr>
        <w:t xml:space="preserve"> 2021 r.</w:t>
      </w:r>
    </w:p>
    <w:p w14:paraId="77222202" w14:textId="03DE9F45" w:rsidR="00C53D74" w:rsidRPr="00556C86" w:rsidRDefault="00000000">
      <w:pPr>
        <w:pStyle w:val="Tekstpodstawowy"/>
        <w:spacing w:before="1"/>
        <w:ind w:left="874" w:right="869"/>
        <w:rPr>
          <w:lang w:val="pl-PL"/>
        </w:rPr>
      </w:pPr>
      <w:r w:rsidRPr="00556C86">
        <w:rPr>
          <w:w w:val="120"/>
          <w:lang w:val="pl-PL"/>
        </w:rPr>
        <w:t xml:space="preserve">Sprawa dotyczyła domniemanej dyskryminacji przez władze serbskie niewidomych szachistów, obywateli tego kraju, którzy zdobyli medale na ważnych międzynarodowych zawodach, w szczególności na Olimpiadzie Szachowej dla Niewidomych. W przeciwieństwie do innych serbskich sportowców niepełnosprawnych i widzących szachistów, którzy osiągnęli takie same lub podobne wyniki sportowe, </w:t>
      </w:r>
      <w:r w:rsidR="002B7514">
        <w:rPr>
          <w:w w:val="120"/>
          <w:lang w:val="pl-PL"/>
        </w:rPr>
        <w:t>skarżącym</w:t>
      </w:r>
      <w:r w:rsidRPr="00556C86">
        <w:rPr>
          <w:w w:val="120"/>
          <w:lang w:val="pl-PL"/>
        </w:rPr>
        <w:t xml:space="preserve"> odmówiono pewnych korzyści finansowych i nagród za ich osiągnięcia, a także formalnego uznania w postaci honorowego dyplomu, co, jak twierdzili, miało negatywny wpływ na ich reputację.</w:t>
      </w:r>
    </w:p>
    <w:p w14:paraId="737F9458" w14:textId="17E8DBD6" w:rsidR="00C53D74" w:rsidRPr="00556C86" w:rsidRDefault="00000000">
      <w:pPr>
        <w:pStyle w:val="Tekstpodstawowy"/>
        <w:ind w:left="874" w:right="870"/>
        <w:rPr>
          <w:lang w:val="pl-PL"/>
        </w:rPr>
      </w:pPr>
      <w:r w:rsidRPr="00556C86">
        <w:rPr>
          <w:color w:val="0071BB"/>
          <w:w w:val="120"/>
          <w:lang w:val="pl-PL"/>
        </w:rPr>
        <w:t xml:space="preserve">Trybunał uznał,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naruszenia art</w:t>
      </w:r>
      <w:r w:rsidRPr="00556C86">
        <w:rPr>
          <w:color w:val="0071BB"/>
          <w:w w:val="120"/>
          <w:lang w:val="pl-PL"/>
        </w:rPr>
        <w:t>.</w:t>
      </w:r>
      <w:r w:rsidRPr="00556C86">
        <w:rPr>
          <w:b/>
          <w:color w:val="0071BB"/>
          <w:w w:val="120"/>
          <w:lang w:val="pl-PL"/>
        </w:rPr>
        <w:t xml:space="preserve"> 1 </w:t>
      </w:r>
      <w:r w:rsidRPr="00556C86">
        <w:rPr>
          <w:color w:val="0071BB"/>
          <w:w w:val="120"/>
          <w:lang w:val="pl-PL"/>
        </w:rPr>
        <w:t xml:space="preserve">(ogólny zakaz dyskryminacji) </w:t>
      </w:r>
      <w:r w:rsidRPr="00556C86">
        <w:rPr>
          <w:b/>
          <w:color w:val="0071BB"/>
          <w:w w:val="120"/>
          <w:lang w:val="pl-PL"/>
        </w:rPr>
        <w:t xml:space="preserve">protokołu nr 12 </w:t>
      </w:r>
      <w:r w:rsidRPr="00556C86">
        <w:rPr>
          <w:color w:val="0071BB"/>
          <w:w w:val="120"/>
          <w:lang w:val="pl-PL"/>
        </w:rPr>
        <w:t xml:space="preserve">do Konwencji, stwierdzając, że nie istniało obiektywne i uzasadnione </w:t>
      </w:r>
      <w:r w:rsidR="00047DA2" w:rsidRPr="00556C86">
        <w:rPr>
          <w:color w:val="0071BB"/>
          <w:w w:val="120"/>
          <w:lang w:val="pl-PL"/>
        </w:rPr>
        <w:t>wytłumaczenie,</w:t>
      </w:r>
      <w:r w:rsidRPr="00556C86">
        <w:rPr>
          <w:color w:val="0071BB"/>
          <w:w w:val="120"/>
          <w:lang w:val="pl-PL"/>
        </w:rPr>
        <w:t xml:space="preserve"> dla odmiennego traktowania skarżących ze względu na ich niepełnosprawność. W szczególności zauważył, że chociaż władze serbskie miały prawo skupić się w swoim systemie nagród na najwyższych osiągnięciach sportowych i najważniejszych zawodach, nie wykazały one, dlaczego wysokie wyróżnienia zdobyte przez skarżących, jako niewidomych szachistów, były mniej znaczące niż podobne </w:t>
      </w:r>
      <w:r w:rsidR="00047DA2" w:rsidRPr="00556C86">
        <w:rPr>
          <w:color w:val="0071BB"/>
          <w:w w:val="120"/>
          <w:lang w:val="pl-PL"/>
        </w:rPr>
        <w:t xml:space="preserve">osiągnięcia </w:t>
      </w:r>
      <w:r w:rsidRPr="00556C86">
        <w:rPr>
          <w:color w:val="0071BB"/>
          <w:w w:val="120"/>
          <w:lang w:val="pl-PL"/>
        </w:rPr>
        <w:t xml:space="preserve">zdobyte przez widzących szachistów. Prestiż gry lub sportu nie powinien zależeć od tego, czy uprawiają go osoby </w:t>
      </w:r>
      <w:r w:rsidR="002B7514">
        <w:rPr>
          <w:color w:val="0071BB"/>
          <w:w w:val="120"/>
          <w:lang w:val="pl-PL"/>
        </w:rPr>
        <w:t>z niepełnosprawnością</w:t>
      </w:r>
      <w:r w:rsidRPr="00556C86">
        <w:rPr>
          <w:color w:val="0071BB"/>
          <w:w w:val="120"/>
          <w:lang w:val="pl-PL"/>
        </w:rPr>
        <w:t>, czy pełnosprawne.</w:t>
      </w:r>
      <w:r w:rsidRPr="00556C86">
        <w:rPr>
          <w:color w:val="0071BB"/>
          <w:spacing w:val="28"/>
          <w:w w:val="120"/>
          <w:lang w:val="pl-PL"/>
        </w:rPr>
        <w:t xml:space="preserve"> </w:t>
      </w:r>
      <w:r w:rsidRPr="00556C86">
        <w:rPr>
          <w:color w:val="0071BB"/>
          <w:w w:val="120"/>
          <w:lang w:val="pl-PL"/>
        </w:rPr>
        <w:t>W rzeczywistości Trybunał zwrócił uwagę, że sam dekret w sprawie uznania osiągnięć sportowych i nagród, wprowadzony przez Serbię w 2016 r., który przewidywał krajowy system uznania i nagród składający się z honorowego dyplomu, dożywotniej miesięcznej renty pieniężnej i jednorazowej wypłaty pieniężnej, zrównał olimpiadę i paraolimpiadę, uznając tym samym osiągnięcia niepełnosprawnych sportowców za zasługujące na takie samo uznanie. Ponadto rozróżnienie między sportami olimpijskimi i nieolimpijskimi, które zostało wykorzystane jako argument przez rząd serbski, nie miało znaczenia, ponieważ olimpiada szachowa dla widzących szachistów, która znalazła się wśród zawodów wymienionych w dekrecie, nie była częścią igrzysk olimpijskich ani paraolimpijskich.</w:t>
      </w:r>
    </w:p>
    <w:p w14:paraId="006AEA49" w14:textId="77777777" w:rsidR="00C53D74" w:rsidRPr="00556C86" w:rsidRDefault="00000000">
      <w:pPr>
        <w:pStyle w:val="Tekstpodstawowy"/>
        <w:spacing w:before="9"/>
        <w:ind w:left="0"/>
        <w:jc w:val="left"/>
        <w:rPr>
          <w:sz w:val="4"/>
          <w:lang w:val="pl-PL"/>
        </w:rPr>
      </w:pPr>
      <w:r>
        <w:rPr>
          <w:noProof/>
          <w:sz w:val="4"/>
        </w:rPr>
        <mc:AlternateContent>
          <mc:Choice Requires="wps">
            <w:drawing>
              <wp:anchor distT="0" distB="0" distL="0" distR="0" simplePos="0" relativeHeight="251684864" behindDoc="1" locked="0" layoutInCell="1" allowOverlap="1" wp14:anchorId="31712F2B" wp14:editId="5E2B5DB6">
                <wp:simplePos x="0" y="0"/>
                <wp:positionH relativeFrom="page">
                  <wp:posOffset>896111</wp:posOffset>
                </wp:positionH>
                <wp:positionV relativeFrom="paragraph">
                  <wp:posOffset>51960</wp:posOffset>
                </wp:positionV>
                <wp:extent cx="5768340" cy="2567940"/>
                <wp:effectExtent l="0" t="0" r="0" b="0"/>
                <wp:wrapTopAndBottom/>
                <wp:docPr id="24" name="Textbox 24"/>
                <wp:cNvGraphicFramePr/>
                <a:graphic xmlns:a="http://schemas.openxmlformats.org/drawingml/2006/main">
                  <a:graphicData uri="http://schemas.microsoft.com/office/word/2010/wordprocessingShape">
                    <wps:wsp>
                      <wps:cNvSpPr txBox="1"/>
                      <wps:spPr>
                        <a:xfrm>
                          <a:off x="0" y="0"/>
                          <a:ext cx="5768340" cy="2567940"/>
                        </a:xfrm>
                        <a:prstGeom prst="rect">
                          <a:avLst/>
                        </a:prstGeom>
                        <a:solidFill>
                          <a:srgbClr val="F3F3F3"/>
                        </a:solidFill>
                      </wps:spPr>
                      <wps:txbx>
                        <w:txbxContent>
                          <w:p w14:paraId="0D42649D" w14:textId="6DCBFBA5" w:rsidR="00C53D74" w:rsidRPr="00556C86" w:rsidRDefault="00BD3B70">
                            <w:pPr>
                              <w:spacing w:before="11"/>
                              <w:ind w:left="28"/>
                              <w:rPr>
                                <w:b/>
                                <w:color w:val="000000"/>
                                <w:sz w:val="20"/>
                                <w:lang w:val="pl-PL"/>
                              </w:rPr>
                            </w:pPr>
                            <w:r w:rsidRPr="00556C86">
                              <w:rPr>
                                <w:b/>
                                <w:color w:val="5F5F5F"/>
                                <w:w w:val="130"/>
                                <w:sz w:val="20"/>
                                <w:lang w:val="pl-PL"/>
                              </w:rPr>
                              <w:t xml:space="preserve">Skarga oczekująca na rozpatrzenie przez Wielką </w:t>
                            </w:r>
                            <w:r w:rsidRPr="00556C86">
                              <w:rPr>
                                <w:b/>
                                <w:color w:val="5F5F5F"/>
                                <w:spacing w:val="-2"/>
                                <w:w w:val="130"/>
                                <w:sz w:val="20"/>
                                <w:lang w:val="pl-PL"/>
                              </w:rPr>
                              <w:t>Izbę</w:t>
                            </w:r>
                          </w:p>
                          <w:p w14:paraId="471A8A17" w14:textId="77777777" w:rsidR="00C53D74" w:rsidRPr="00556C86" w:rsidRDefault="00C53D74">
                            <w:pPr>
                              <w:spacing w:before="118"/>
                              <w:ind w:left="28"/>
                              <w:rPr>
                                <w:b/>
                                <w:color w:val="000000"/>
                                <w:sz w:val="20"/>
                                <w:lang w:val="pl-PL"/>
                              </w:rPr>
                            </w:pPr>
                            <w:hyperlink r:id="rId44">
                              <w:r w:rsidRPr="00556C86">
                                <w:rPr>
                                  <w:b/>
                                  <w:color w:val="0071BB"/>
                                  <w:w w:val="135"/>
                                  <w:sz w:val="20"/>
                                  <w:u w:val="single" w:color="0071BB"/>
                                  <w:lang w:val="pl-PL"/>
                                </w:rPr>
                                <w:t xml:space="preserve">Semenya przeciwko </w:t>
                              </w:r>
                              <w:r w:rsidRPr="00556C86">
                                <w:rPr>
                                  <w:b/>
                                  <w:color w:val="0071BB"/>
                                  <w:spacing w:val="-2"/>
                                  <w:w w:val="135"/>
                                  <w:sz w:val="20"/>
                                  <w:u w:val="single" w:color="0071BB"/>
                                  <w:lang w:val="pl-PL"/>
                                </w:rPr>
                                <w:t>Szwajcarii</w:t>
                              </w:r>
                            </w:hyperlink>
                          </w:p>
                          <w:p w14:paraId="603070E4" w14:textId="77777777" w:rsidR="00C53D74" w:rsidRPr="00556C86" w:rsidRDefault="00000000">
                            <w:pPr>
                              <w:spacing w:before="56"/>
                              <w:ind w:left="28"/>
                              <w:rPr>
                                <w:color w:val="000000"/>
                                <w:sz w:val="18"/>
                                <w:lang w:val="pl-PL"/>
                              </w:rPr>
                            </w:pPr>
                            <w:r w:rsidRPr="00556C86">
                              <w:rPr>
                                <w:color w:val="808080"/>
                                <w:w w:val="125"/>
                                <w:sz w:val="18"/>
                                <w:lang w:val="pl-PL"/>
                              </w:rPr>
                              <w:t>11 lipca 2023 r. (wyrok Izby) – sprawa przekazana do Wielkiej Izby w listopadzie</w:t>
                            </w:r>
                            <w:r w:rsidRPr="00556C86">
                              <w:rPr>
                                <w:color w:val="808080"/>
                                <w:spacing w:val="-4"/>
                                <w:w w:val="125"/>
                                <w:sz w:val="18"/>
                                <w:lang w:val="pl-PL"/>
                              </w:rPr>
                              <w:t xml:space="preserve"> 2023 r.</w:t>
                            </w:r>
                          </w:p>
                          <w:p w14:paraId="3D67C12E" w14:textId="6FB0D917" w:rsidR="00C53D74" w:rsidRPr="00556C86" w:rsidRDefault="002B7514">
                            <w:pPr>
                              <w:pStyle w:val="Tekstpodstawowy"/>
                              <w:spacing w:before="1"/>
                              <w:ind w:left="28" w:right="25"/>
                              <w:rPr>
                                <w:color w:val="000000"/>
                                <w:lang w:val="pl-PL"/>
                              </w:rPr>
                            </w:pPr>
                            <w:r>
                              <w:rPr>
                                <w:color w:val="000000"/>
                                <w:w w:val="120"/>
                                <w:lang w:val="pl-PL"/>
                              </w:rPr>
                              <w:t>Skarżąca</w:t>
                            </w:r>
                            <w:r w:rsidR="00000000" w:rsidRPr="00556C86">
                              <w:rPr>
                                <w:color w:val="000000"/>
                                <w:w w:val="120"/>
                                <w:lang w:val="pl-PL"/>
                              </w:rPr>
                              <w:t>, międzynarodowa lekkoatletka specjalizująca się w biegach średniodystansowych, skarży się na niektóre przepisy Międzynarodowej Federacji Lekkoatletycznej (IAAF – obecnie World Athletics), które wymagają od niej poddania się terapii hormonalnej w celu obniżenia naturalnego poziomu testosteronu, aby mogła brać udział w międzynarodowych zawodach w kategorii kobiet. Odmówiwszy poddania się terapii, nie może już brać udziału w międzynarodowych zawodach. Jej działania prawne kwestionujące przedmiotowe przepisy przed Trybunałem Arbitrażowym ds. Sportu (CAS) i szwajcarskim Federalnym Trybunałem Sprawiedliwości zostały odrzucone. Skarżąca twierdzi, że została poddana dyskryminacyjnemu traktowaniu ze względu na różnice w rozwoju płciowym, które powodują, że ma naturalnie wyższy poziom testosteronu. Skarży się również na ograniczoną władzę kontrolną Federalnego Trybunału Sprawiedliwości.</w:t>
                            </w:r>
                          </w:p>
                          <w:p w14:paraId="506AE032" w14:textId="77777777" w:rsidR="00C53D74" w:rsidRPr="00556C86" w:rsidRDefault="00000000">
                            <w:pPr>
                              <w:pStyle w:val="Tekstpodstawowy"/>
                              <w:spacing w:line="237" w:lineRule="auto"/>
                              <w:ind w:left="28" w:right="29"/>
                              <w:rPr>
                                <w:color w:val="000000"/>
                                <w:lang w:val="pl-PL"/>
                              </w:rPr>
                            </w:pPr>
                            <w:r w:rsidRPr="00556C86">
                              <w:rPr>
                                <w:color w:val="0071BB"/>
                                <w:w w:val="120"/>
                                <w:lang w:val="pl-PL"/>
                              </w:rPr>
                              <w:t>W wyroku Izby z dnia 11 lipca 2023 r. Trybunał orzekł większością głosów, że doszło do naruszenia art. 14 (zakaz dyskryminacji) w związku z art. 8.</w:t>
                            </w:r>
                          </w:p>
                        </w:txbxContent>
                      </wps:txbx>
                      <wps:bodyPr wrap="square" lIns="0" tIns="0" rIns="0" bIns="0" rtlCol="0"/>
                    </wps:wsp>
                  </a:graphicData>
                </a:graphic>
              </wp:anchor>
            </w:drawing>
          </mc:Choice>
          <mc:Fallback>
            <w:pict>
              <v:shape w14:anchorId="31712F2B" id="Textbox 24" o:spid="_x0000_s1027" type="#_x0000_t202" style="position:absolute;margin-left:70.55pt;margin-top:4.1pt;width:454.2pt;height:202.2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" fillcolor="#f3f3f3" stroked="f">
                <v:textbox inset="0,0,0,0">
                  <w:txbxContent>
                    <w:p w14:paraId="0D42649D" w14:textId="6DCBFBA5" w:rsidR="00C53D74" w:rsidRPr="00556C86" w:rsidRDefault="00BD3B70">
                      <w:pPr>
                        <w:spacing w:before="11"/>
                        <w:ind w:left="28"/>
                        <w:rPr>
                          <w:b/>
                          <w:color w:val="000000"/>
                          <w:sz w:val="20"/>
                          <w:lang w:val="pl-PL"/>
                        </w:rPr>
                      </w:pPr>
                      <w:r w:rsidRPr="00556C86">
                        <w:rPr>
                          <w:b/>
                          <w:color w:val="5F5F5F"/>
                          <w:w w:val="130"/>
                          <w:sz w:val="20"/>
                          <w:lang w:val="pl-PL"/>
                        </w:rPr>
                        <w:t xml:space="preserve">Skarga oczekująca na rozpatrzenie przez Wielką </w:t>
                      </w:r>
                      <w:r w:rsidRPr="00556C86">
                        <w:rPr>
                          <w:b/>
                          <w:color w:val="5F5F5F"/>
                          <w:spacing w:val="-2"/>
                          <w:w w:val="130"/>
                          <w:sz w:val="20"/>
                          <w:lang w:val="pl-PL"/>
                        </w:rPr>
                        <w:t>Izbę</w:t>
                      </w:r>
                    </w:p>
                    <w:p w14:paraId="471A8A17" w14:textId="77777777" w:rsidR="00C53D74" w:rsidRPr="00556C86" w:rsidRDefault="00C53D74">
                      <w:pPr>
                        <w:spacing w:before="118"/>
                        <w:ind w:left="28"/>
                        <w:rPr>
                          <w:b/>
                          <w:color w:val="000000"/>
                          <w:sz w:val="20"/>
                          <w:lang w:val="pl-PL"/>
                        </w:rPr>
                      </w:pPr>
                      <w:hyperlink r:id="rId45">
                        <w:r w:rsidRPr="00556C86">
                          <w:rPr>
                            <w:b/>
                            <w:color w:val="0071BB"/>
                            <w:w w:val="135"/>
                            <w:sz w:val="20"/>
                            <w:u w:val="single" w:color="0071BB"/>
                            <w:lang w:val="pl-PL"/>
                          </w:rPr>
                          <w:t xml:space="preserve">Semenya przeciwko </w:t>
                        </w:r>
                        <w:r w:rsidRPr="00556C86">
                          <w:rPr>
                            <w:b/>
                            <w:color w:val="0071BB"/>
                            <w:spacing w:val="-2"/>
                            <w:w w:val="135"/>
                            <w:sz w:val="20"/>
                            <w:u w:val="single" w:color="0071BB"/>
                            <w:lang w:val="pl-PL"/>
                          </w:rPr>
                          <w:t>Szwajcarii</w:t>
                        </w:r>
                      </w:hyperlink>
                    </w:p>
                    <w:p w14:paraId="603070E4" w14:textId="77777777" w:rsidR="00C53D74" w:rsidRPr="00556C86" w:rsidRDefault="00000000">
                      <w:pPr>
                        <w:spacing w:before="56"/>
                        <w:ind w:left="28"/>
                        <w:rPr>
                          <w:color w:val="000000"/>
                          <w:sz w:val="18"/>
                          <w:lang w:val="pl-PL"/>
                        </w:rPr>
                      </w:pPr>
                      <w:r w:rsidRPr="00556C86">
                        <w:rPr>
                          <w:color w:val="808080"/>
                          <w:w w:val="125"/>
                          <w:sz w:val="18"/>
                          <w:lang w:val="pl-PL"/>
                        </w:rPr>
                        <w:t>11 lipca 2023 r. (wyrok Izby) – sprawa przekazana do Wielkiej Izby w listopadzie</w:t>
                      </w:r>
                      <w:r w:rsidRPr="00556C86">
                        <w:rPr>
                          <w:color w:val="808080"/>
                          <w:spacing w:val="-4"/>
                          <w:w w:val="125"/>
                          <w:sz w:val="18"/>
                          <w:lang w:val="pl-PL"/>
                        </w:rPr>
                        <w:t xml:space="preserve"> 2023 r.</w:t>
                      </w:r>
                    </w:p>
                    <w:p w14:paraId="3D67C12E" w14:textId="6FB0D917" w:rsidR="00C53D74" w:rsidRPr="00556C86" w:rsidRDefault="002B7514">
                      <w:pPr>
                        <w:pStyle w:val="Tekstpodstawowy"/>
                        <w:spacing w:before="1"/>
                        <w:ind w:left="28" w:right="25"/>
                        <w:rPr>
                          <w:color w:val="000000"/>
                          <w:lang w:val="pl-PL"/>
                        </w:rPr>
                      </w:pPr>
                      <w:r>
                        <w:rPr>
                          <w:color w:val="000000"/>
                          <w:w w:val="120"/>
                          <w:lang w:val="pl-PL"/>
                        </w:rPr>
                        <w:t>Skarżąca</w:t>
                      </w:r>
                      <w:r w:rsidR="00000000" w:rsidRPr="00556C86">
                        <w:rPr>
                          <w:color w:val="000000"/>
                          <w:w w:val="120"/>
                          <w:lang w:val="pl-PL"/>
                        </w:rPr>
                        <w:t>, międzynarodowa lekkoatletka specjalizująca się w biegach średniodystansowych, skarży się na niektóre przepisy Międzynarodowej Federacji Lekkoatletycznej (IAAF – obecnie World Athletics), które wymagają od niej poddania się terapii hormonalnej w celu obniżenia naturalnego poziomu testosteronu, aby mogła brać udział w międzynarodowych zawodach w kategorii kobiet. Odmówiwszy poddania się terapii, nie może już brać udziału w międzynarodowych zawodach. Jej działania prawne kwestionujące przedmiotowe przepisy przed Trybunałem Arbitrażowym ds. Sportu (CAS) i szwajcarskim Federalnym Trybunałem Sprawiedliwości zostały odrzucone. Skarżąca twierdzi, że została poddana dyskryminacyjnemu traktowaniu ze względu na różnice w rozwoju płciowym, które powodują, że ma naturalnie wyższy poziom testosteronu. Skarży się również na ograniczoną władzę kontrolną Federalnego Trybunału Sprawiedliwości.</w:t>
                      </w:r>
                    </w:p>
                    <w:p w14:paraId="506AE032" w14:textId="77777777" w:rsidR="00C53D74" w:rsidRPr="00556C86" w:rsidRDefault="00000000">
                      <w:pPr>
                        <w:pStyle w:val="Tekstpodstawowy"/>
                        <w:spacing w:line="237" w:lineRule="auto"/>
                        <w:ind w:left="28" w:right="29"/>
                        <w:rPr>
                          <w:color w:val="000000"/>
                          <w:lang w:val="pl-PL"/>
                        </w:rPr>
                      </w:pPr>
                      <w:r w:rsidRPr="00556C86">
                        <w:rPr>
                          <w:color w:val="0071BB"/>
                          <w:w w:val="120"/>
                          <w:lang w:val="pl-PL"/>
                        </w:rPr>
                        <w:t>W wyroku Izby z dnia 11 lipca 2023 r. Trybunał orzekł większością głosów, że doszło do naruszenia art. 14 (zakaz dyskryminacji) w związku z art. 8.</w:t>
                      </w:r>
                    </w:p>
                  </w:txbxContent>
                </v:textbox>
                <w10:wrap type="topAndBottom" anchorx="page"/>
              </v:shape>
            </w:pict>
          </mc:Fallback>
        </mc:AlternateContent>
      </w:r>
    </w:p>
    <w:p w14:paraId="20AA9ECE" w14:textId="77777777" w:rsidR="00C53D74" w:rsidRPr="00556C86" w:rsidRDefault="00C53D74">
      <w:pPr>
        <w:pStyle w:val="Tekstpodstawowy"/>
        <w:jc w:val="left"/>
        <w:rPr>
          <w:sz w:val="4"/>
          <w:lang w:val="pl-PL"/>
        </w:rPr>
        <w:sectPr w:rsidR="00C53D74" w:rsidRPr="00556C86">
          <w:pgSz w:w="11910" w:h="16840"/>
          <w:pgMar w:top="1400" w:right="566" w:bottom="680" w:left="566" w:header="720" w:footer="497" w:gutter="0"/>
          <w:cols w:space="708"/>
        </w:sectPr>
      </w:pPr>
    </w:p>
    <w:p w14:paraId="4C9B05B9" w14:textId="77777777" w:rsidR="00C53D74" w:rsidRPr="00556C86" w:rsidRDefault="00C53D74">
      <w:pPr>
        <w:pStyle w:val="Tekstpodstawowy"/>
        <w:spacing w:before="48"/>
        <w:ind w:left="0"/>
        <w:jc w:val="left"/>
        <w:rPr>
          <w:lang w:val="pl-PL"/>
        </w:rPr>
      </w:pPr>
    </w:p>
    <w:p w14:paraId="72377B15" w14:textId="77777777" w:rsidR="00C53D74" w:rsidRDefault="00000000">
      <w:pPr>
        <w:ind w:left="845"/>
        <w:rPr>
          <w:sz w:val="20"/>
        </w:rPr>
      </w:pPr>
      <w:r>
        <w:rPr>
          <w:noProof/>
          <w:sz w:val="20"/>
        </w:rPr>
        <mc:AlternateContent>
          <mc:Choice Requires="wps">
            <w:drawing>
              <wp:inline distT="0" distB="0" distL="0" distR="0" wp14:anchorId="40B6E7D5" wp14:editId="43E8B29E">
                <wp:extent cx="5768340" cy="3086100"/>
                <wp:effectExtent l="0" t="0" r="0" b="0"/>
                <wp:docPr id="25" name="Textbox 25"/>
                <wp:cNvGraphicFramePr/>
                <a:graphic xmlns:a="http://schemas.openxmlformats.org/drawingml/2006/main">
                  <a:graphicData uri="http://schemas.microsoft.com/office/word/2010/wordprocessingShape">
                    <wps:wsp>
                      <wps:cNvSpPr txBox="1"/>
                      <wps:spPr>
                        <a:xfrm>
                          <a:off x="0" y="0"/>
                          <a:ext cx="5768340" cy="3086100"/>
                        </a:xfrm>
                        <a:prstGeom prst="rect">
                          <a:avLst/>
                        </a:prstGeom>
                        <a:solidFill>
                          <a:srgbClr val="F3F3F3"/>
                        </a:solidFill>
                      </wps:spPr>
                      <wps:txbx>
                        <w:txbxContent>
                          <w:p w14:paraId="2212ACCE" w14:textId="77777777" w:rsidR="00C53D74" w:rsidRPr="00556C86" w:rsidRDefault="00000000">
                            <w:pPr>
                              <w:pStyle w:val="Tekstpodstawowy"/>
                              <w:spacing w:before="11"/>
                              <w:ind w:left="28" w:right="24"/>
                              <w:rPr>
                                <w:color w:val="000000"/>
                                <w:lang w:val="pl-PL"/>
                              </w:rPr>
                            </w:pPr>
                            <w:r w:rsidRPr="00556C86">
                              <w:rPr>
                                <w:color w:val="0071BB"/>
                                <w:w w:val="120"/>
                                <w:lang w:val="pl-PL"/>
                              </w:rPr>
                              <w:t>(prawo do poszanowania życia prywatnego) Konwencji w odniesieniu do skarżącej. Izba zwróciła szczególną uwagę na fakt, że skarżącej nie zapewniono w Szwajcarii wystarczających gwarancji instytucjonalnych i proceduralnych, które umożliwiłyby jej skuteczne rozpatrzenie skarg, zwłaszcza że dotyczyły one uzasadnionych i wiarygodnych zarzutów dyskryminacji wynikającej ze zwiększonego poziomu testosteronu spowodowanego różnicami w rozwoju płciowym.</w:t>
                            </w:r>
                            <w:r w:rsidRPr="00556C86">
                              <w:rPr>
                                <w:color w:val="0071BB"/>
                                <w:spacing w:val="40"/>
                                <w:w w:val="120"/>
                                <w:lang w:val="pl-PL"/>
                              </w:rPr>
                              <w:t xml:space="preserve"> </w:t>
                            </w:r>
                            <w:r w:rsidRPr="00556C86">
                              <w:rPr>
                                <w:color w:val="0071BB"/>
                                <w:w w:val="120"/>
                                <w:lang w:val="pl-PL"/>
                              </w:rPr>
                              <w:t>W związku z tym, zwłaszcza biorąc pod uwagę wysoką stawkę dla skarżącej – a mianowicie udział w zawodach lekkoatletycznych na poziomie międzynarodowym, a tym samym wykonywanie zawodu – Szwajcaria przekroczyła wąski margines oceny przyznany jej w niniejszej sprawie, która dotyczyła dyskryminacji ze względu na płeć i cechy płciowe, wymagającej „bardzo ważnych powodów” w celu uzasadnienia.</w:t>
                            </w:r>
                            <w:r w:rsidRPr="00556C86">
                              <w:rPr>
                                <w:color w:val="0071BB"/>
                                <w:spacing w:val="40"/>
                                <w:w w:val="120"/>
                                <w:lang w:val="pl-PL"/>
                              </w:rPr>
                              <w:t xml:space="preserve"> </w:t>
                            </w:r>
                            <w:r w:rsidRPr="00556C86">
                              <w:rPr>
                                <w:color w:val="0071BB"/>
                                <w:w w:val="120"/>
                                <w:lang w:val="pl-PL"/>
                              </w:rPr>
                              <w:t>Wysoka stawka sprawy dla skarżącej i wąski margines swobody przyznany państwu pozwanemu powinny były doprowadzić do dokładnej kontroli instytucjonalnej i proceduralnej, ale skarżąca nie była w stanie uzyskać takiej kontroli.</w:t>
                            </w:r>
                            <w:r w:rsidRPr="00556C86">
                              <w:rPr>
                                <w:color w:val="0071BB"/>
                                <w:spacing w:val="40"/>
                                <w:w w:val="120"/>
                                <w:lang w:val="pl-PL"/>
                              </w:rPr>
                              <w:t xml:space="preserve"> </w:t>
                            </w:r>
                            <w:r w:rsidRPr="00556C86">
                              <w:rPr>
                                <w:color w:val="0071BB"/>
                                <w:w w:val="120"/>
                                <w:lang w:val="pl-PL"/>
                              </w:rPr>
                              <w:t>Izba uznała również, że doszło do naruszenia art. 13 (prawo do skutecznego środka odwoławczego) Konwencji w związku z art. 14 w połączeniu z art. 8, stwierdzając, że środki odwoławcze dostępne dla skarżącej nie mogą być uznane za skuteczne w okolicznościach niniejszej sprawy.</w:t>
                            </w:r>
                          </w:p>
                          <w:p w14:paraId="417C19ED" w14:textId="77777777" w:rsidR="00C53D74" w:rsidRPr="00556C86" w:rsidRDefault="00000000">
                            <w:pPr>
                              <w:pStyle w:val="Tekstpodstawowy"/>
                              <w:spacing w:line="224" w:lineRule="exact"/>
                              <w:ind w:left="28"/>
                              <w:rPr>
                                <w:color w:val="000000"/>
                                <w:lang w:val="pl-PL"/>
                              </w:rPr>
                            </w:pPr>
                            <w:r w:rsidRPr="00556C86">
                              <w:rPr>
                                <w:color w:val="0071BB"/>
                                <w:w w:val="120"/>
                                <w:lang w:val="pl-PL"/>
                              </w:rPr>
                              <w:t>W dniu 6 listopada 2023 r</w:t>
                            </w:r>
                            <w:r w:rsidRPr="00556C86">
                              <w:rPr>
                                <w:color w:val="0071BB"/>
                                <w:spacing w:val="30"/>
                                <w:w w:val="120"/>
                                <w:lang w:val="pl-PL"/>
                              </w:rPr>
                              <w:t xml:space="preserve">. </w:t>
                            </w:r>
                            <w:r w:rsidRPr="00556C86">
                              <w:rPr>
                                <w:color w:val="0071BB"/>
                                <w:w w:val="120"/>
                                <w:lang w:val="pl-PL"/>
                              </w:rPr>
                              <w:t xml:space="preserve">skład pięciu sędziów Wielkiej Izby </w:t>
                            </w:r>
                            <w:hyperlink r:id="rId46">
                              <w:r w:rsidR="00C53D74" w:rsidRPr="00556C86">
                                <w:rPr>
                                  <w:color w:val="0071BB"/>
                                  <w:w w:val="120"/>
                                  <w:u w:val="single" w:color="0071BB"/>
                                  <w:lang w:val="pl-PL"/>
                                </w:rPr>
                                <w:t>postanowił</w:t>
                              </w:r>
                            </w:hyperlink>
                            <w:r w:rsidRPr="00556C86">
                              <w:rPr>
                                <w:color w:val="0071BB"/>
                                <w:w w:val="120"/>
                                <w:lang w:val="pl-PL"/>
                              </w:rPr>
                              <w:t xml:space="preserve"> przekazać </w:t>
                            </w:r>
                            <w:r w:rsidRPr="00556C86">
                              <w:rPr>
                                <w:color w:val="0071BB"/>
                                <w:spacing w:val="-4"/>
                                <w:w w:val="120"/>
                                <w:lang w:val="pl-PL"/>
                              </w:rPr>
                              <w:t>sprawę</w:t>
                            </w:r>
                          </w:p>
                          <w:p w14:paraId="50FB70B0" w14:textId="77777777" w:rsidR="00C53D74" w:rsidRDefault="00000000">
                            <w:pPr>
                              <w:pStyle w:val="Tekstpodstawowy"/>
                              <w:spacing w:line="230" w:lineRule="exact"/>
                              <w:ind w:left="28"/>
                              <w:rPr>
                                <w:color w:val="000000"/>
                              </w:rPr>
                            </w:pPr>
                            <w:r>
                              <w:rPr>
                                <w:color w:val="0071BB"/>
                                <w:w w:val="120"/>
                              </w:rPr>
                              <w:t xml:space="preserve">do Wielkiej </w:t>
                            </w:r>
                            <w:r>
                              <w:rPr>
                                <w:color w:val="0071BB"/>
                                <w:spacing w:val="-2"/>
                                <w:w w:val="120"/>
                              </w:rPr>
                              <w:t>Izby.</w:t>
                            </w:r>
                          </w:p>
                        </w:txbxContent>
                      </wps:txbx>
                      <wps:bodyPr wrap="square" lIns="0" tIns="0" rIns="0" bIns="0" rtlCol="0"/>
                    </wps:wsp>
                  </a:graphicData>
                </a:graphic>
              </wp:inline>
            </w:drawing>
          </mc:Choice>
          <mc:Fallback>
            <w:pict>
              <v:shape w14:anchorId="40B6E7D5" id="Textbox 25" o:spid="_x0000_s1028" type="#_x0000_t202" style="width:454.2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" fillcolor="#f3f3f3" stroked="f">
                <v:textbox inset="0,0,0,0">
                  <w:txbxContent>
                    <w:p w14:paraId="2212ACCE" w14:textId="77777777" w:rsidR="00C53D74" w:rsidRPr="00556C86" w:rsidRDefault="00000000">
                      <w:pPr>
                        <w:pStyle w:val="Tekstpodstawowy"/>
                        <w:spacing w:before="11"/>
                        <w:ind w:left="28" w:right="24"/>
                        <w:rPr>
                          <w:color w:val="000000"/>
                          <w:lang w:val="pl-PL"/>
                        </w:rPr>
                      </w:pPr>
                      <w:r w:rsidRPr="00556C86">
                        <w:rPr>
                          <w:color w:val="0071BB"/>
                          <w:w w:val="120"/>
                          <w:lang w:val="pl-PL"/>
                        </w:rPr>
                        <w:t>(prawo do poszanowania życia prywatnego) Konwencji w odniesieniu do skarżącej. Izba zwróciła szczególną uwagę na fakt, że skarżącej nie zapewniono w Szwajcarii wystarczających gwarancji instytucjonalnych i proceduralnych, które umożliwiłyby jej skuteczne rozpatrzenie skarg, zwłaszcza że dotyczyły one uzasadnionych i wiarygodnych zarzutów dyskryminacji wynikającej ze zwiększonego poziomu testosteronu spowodowanego różnicami w rozwoju płciowym.</w:t>
                      </w:r>
                      <w:r w:rsidRPr="00556C86">
                        <w:rPr>
                          <w:color w:val="0071BB"/>
                          <w:spacing w:val="40"/>
                          <w:w w:val="120"/>
                          <w:lang w:val="pl-PL"/>
                        </w:rPr>
                        <w:t xml:space="preserve"> </w:t>
                      </w:r>
                      <w:r w:rsidRPr="00556C86">
                        <w:rPr>
                          <w:color w:val="0071BB"/>
                          <w:w w:val="120"/>
                          <w:lang w:val="pl-PL"/>
                        </w:rPr>
                        <w:t>W związku z tym, zwłaszcza biorąc pod uwagę wysoką stawkę dla skarżącej – a mianowicie udział w zawodach lekkoatletycznych na poziomie międzynarodowym, a tym samym wykonywanie zawodu – Szwajcaria przekroczyła wąski margines oceny przyznany jej w niniejszej sprawie, która dotyczyła dyskryminacji ze względu na płeć i cechy płciowe, wymagającej „bardzo ważnych powodów” w celu uzasadnienia.</w:t>
                      </w:r>
                      <w:r w:rsidRPr="00556C86">
                        <w:rPr>
                          <w:color w:val="0071BB"/>
                          <w:spacing w:val="40"/>
                          <w:w w:val="120"/>
                          <w:lang w:val="pl-PL"/>
                        </w:rPr>
                        <w:t xml:space="preserve"> </w:t>
                      </w:r>
                      <w:r w:rsidRPr="00556C86">
                        <w:rPr>
                          <w:color w:val="0071BB"/>
                          <w:w w:val="120"/>
                          <w:lang w:val="pl-PL"/>
                        </w:rPr>
                        <w:t>Wysoka stawka sprawy dla skarżącej i wąski margines swobody przyznany państwu pozwanemu powinny były doprowadzić do dokładnej kontroli instytucjonalnej i proceduralnej, ale skarżąca nie była w stanie uzyskać takiej kontroli.</w:t>
                      </w:r>
                      <w:r w:rsidRPr="00556C86">
                        <w:rPr>
                          <w:color w:val="0071BB"/>
                          <w:spacing w:val="40"/>
                          <w:w w:val="120"/>
                          <w:lang w:val="pl-PL"/>
                        </w:rPr>
                        <w:t xml:space="preserve"> </w:t>
                      </w:r>
                      <w:r w:rsidRPr="00556C86">
                        <w:rPr>
                          <w:color w:val="0071BB"/>
                          <w:w w:val="120"/>
                          <w:lang w:val="pl-PL"/>
                        </w:rPr>
                        <w:t>Izba uznała również, że doszło do naruszenia art. 13 (prawo do skutecznego środka odwoławczego) Konwencji w związku z art. 14 w połączeniu z art. 8, stwierdzając, że środki odwoławcze dostępne dla skarżącej nie mogą być uznane za skuteczne w okolicznościach niniejszej sprawy.</w:t>
                      </w:r>
                    </w:p>
                    <w:p w14:paraId="417C19ED" w14:textId="77777777" w:rsidR="00C53D74" w:rsidRPr="00556C86" w:rsidRDefault="00000000">
                      <w:pPr>
                        <w:pStyle w:val="Tekstpodstawowy"/>
                        <w:spacing w:line="224" w:lineRule="exact"/>
                        <w:ind w:left="28"/>
                        <w:rPr>
                          <w:color w:val="000000"/>
                          <w:lang w:val="pl-PL"/>
                        </w:rPr>
                      </w:pPr>
                      <w:r w:rsidRPr="00556C86">
                        <w:rPr>
                          <w:color w:val="0071BB"/>
                          <w:w w:val="120"/>
                          <w:lang w:val="pl-PL"/>
                        </w:rPr>
                        <w:t>W dniu 6 listopada 2023 r</w:t>
                      </w:r>
                      <w:r w:rsidRPr="00556C86">
                        <w:rPr>
                          <w:color w:val="0071BB"/>
                          <w:spacing w:val="30"/>
                          <w:w w:val="120"/>
                          <w:lang w:val="pl-PL"/>
                        </w:rPr>
                        <w:t xml:space="preserve">. </w:t>
                      </w:r>
                      <w:r w:rsidRPr="00556C86">
                        <w:rPr>
                          <w:color w:val="0071BB"/>
                          <w:w w:val="120"/>
                          <w:lang w:val="pl-PL"/>
                        </w:rPr>
                        <w:t xml:space="preserve">skład pięciu sędziów Wielkiej Izby </w:t>
                      </w:r>
                      <w:hyperlink r:id="rId47">
                        <w:r w:rsidR="00C53D74" w:rsidRPr="00556C86">
                          <w:rPr>
                            <w:color w:val="0071BB"/>
                            <w:w w:val="120"/>
                            <w:u w:val="single" w:color="0071BB"/>
                            <w:lang w:val="pl-PL"/>
                          </w:rPr>
                          <w:t>postanowił</w:t>
                        </w:r>
                      </w:hyperlink>
                      <w:r w:rsidRPr="00556C86">
                        <w:rPr>
                          <w:color w:val="0071BB"/>
                          <w:w w:val="120"/>
                          <w:lang w:val="pl-PL"/>
                        </w:rPr>
                        <w:t xml:space="preserve"> przekazać </w:t>
                      </w:r>
                      <w:r w:rsidRPr="00556C86">
                        <w:rPr>
                          <w:color w:val="0071BB"/>
                          <w:spacing w:val="-4"/>
                          <w:w w:val="120"/>
                          <w:lang w:val="pl-PL"/>
                        </w:rPr>
                        <w:t>sprawę</w:t>
                      </w:r>
                    </w:p>
                    <w:p w14:paraId="50FB70B0" w14:textId="77777777" w:rsidR="00C53D74" w:rsidRDefault="00000000">
                      <w:pPr>
                        <w:pStyle w:val="Tekstpodstawowy"/>
                        <w:spacing w:line="230" w:lineRule="exact"/>
                        <w:ind w:left="28"/>
                        <w:rPr>
                          <w:color w:val="000000"/>
                        </w:rPr>
                      </w:pPr>
                      <w:r>
                        <w:rPr>
                          <w:color w:val="0071BB"/>
                          <w:w w:val="120"/>
                        </w:rPr>
                        <w:t xml:space="preserve">do Wielkiej </w:t>
                      </w:r>
                      <w:r>
                        <w:rPr>
                          <w:color w:val="0071BB"/>
                          <w:spacing w:val="-2"/>
                          <w:w w:val="120"/>
                        </w:rPr>
                        <w:t>Izby.</w:t>
                      </w:r>
                    </w:p>
                  </w:txbxContent>
                </v:textbox>
                <w10:anchorlock/>
              </v:shape>
            </w:pict>
          </mc:Fallback>
        </mc:AlternateContent>
      </w:r>
    </w:p>
    <w:p w14:paraId="5579DA4D" w14:textId="77777777" w:rsidR="00C53D74" w:rsidRPr="00556C86" w:rsidRDefault="00000000">
      <w:pPr>
        <w:pStyle w:val="Nagwek1"/>
        <w:spacing w:before="241"/>
        <w:rPr>
          <w:lang w:val="pl-PL"/>
        </w:rPr>
      </w:pPr>
      <w:r>
        <w:rPr>
          <w:noProof/>
        </w:rPr>
        <mc:AlternateContent>
          <mc:Choice Requires="wps">
            <w:drawing>
              <wp:anchor distT="0" distB="0" distL="0" distR="0" simplePos="0" relativeHeight="251686912" behindDoc="1" locked="0" layoutInCell="1" allowOverlap="1" wp14:anchorId="511921E0" wp14:editId="4C357D58">
                <wp:simplePos x="0" y="0"/>
                <wp:positionH relativeFrom="page">
                  <wp:posOffset>896111</wp:posOffset>
                </wp:positionH>
                <wp:positionV relativeFrom="paragraph">
                  <wp:posOffset>409575</wp:posOffset>
                </wp:positionV>
                <wp:extent cx="5768340" cy="18415"/>
                <wp:effectExtent l="0" t="0" r="0" b="0"/>
                <wp:wrapTopAndBottom/>
                <wp:docPr id="26" name="Graphic 26"/>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5C0A2942" id="Graphic 26" o:spid="_x0000_s1026" style="position:absolute;margin-left:70.55pt;margin-top:32.25pt;width:454.2pt;height:1.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" path="m5768340,l,,,18287r5768340,l5768340,xe" fillcolor="#999" stroked="f">
                <v:path arrowok="t"/>
                <w10:wrap type="topAndBottom" anchorx="page"/>
              </v:shape>
            </w:pict>
          </mc:Fallback>
        </mc:AlternateContent>
      </w:r>
      <w:r w:rsidRPr="00556C86">
        <w:rPr>
          <w:color w:val="0071BB"/>
          <w:w w:val="120"/>
          <w:sz w:val="29"/>
          <w:lang w:val="pl-PL"/>
        </w:rPr>
        <w:t>Ochrona własności (art. 1 protokołu nr</w:t>
      </w:r>
      <w:r w:rsidRPr="00556C86">
        <w:rPr>
          <w:color w:val="0071BB"/>
          <w:spacing w:val="-5"/>
          <w:w w:val="120"/>
          <w:sz w:val="29"/>
          <w:lang w:val="pl-PL"/>
        </w:rPr>
        <w:t xml:space="preserve"> 1)</w:t>
      </w:r>
    </w:p>
    <w:p w14:paraId="3EB8979C" w14:textId="77777777" w:rsidR="00C53D74" w:rsidRPr="00556C86" w:rsidRDefault="00C53D74">
      <w:pPr>
        <w:pStyle w:val="Nagwek2"/>
        <w:rPr>
          <w:u w:val="none"/>
          <w:lang w:val="pl-PL"/>
        </w:rPr>
      </w:pPr>
      <w:hyperlink r:id="rId48">
        <w:r w:rsidRPr="00556C86">
          <w:rPr>
            <w:color w:val="0071BB"/>
            <w:w w:val="135"/>
            <w:u w:color="0071BB"/>
            <w:lang w:val="pl-PL"/>
          </w:rPr>
          <w:t xml:space="preserve">Herrmann przeciwko </w:t>
        </w:r>
        <w:r w:rsidRPr="00556C86">
          <w:rPr>
            <w:color w:val="0071BB"/>
            <w:spacing w:val="-2"/>
            <w:w w:val="135"/>
            <w:u w:color="0071BB"/>
            <w:lang w:val="pl-PL"/>
          </w:rPr>
          <w:t>Niemcom</w:t>
        </w:r>
      </w:hyperlink>
    </w:p>
    <w:p w14:paraId="4A9D1B21" w14:textId="77777777" w:rsidR="00C53D74" w:rsidRPr="00556C86" w:rsidRDefault="00000000">
      <w:pPr>
        <w:spacing w:before="56"/>
        <w:ind w:left="874"/>
        <w:jc w:val="both"/>
        <w:rPr>
          <w:sz w:val="18"/>
          <w:lang w:val="pl-PL"/>
        </w:rPr>
      </w:pPr>
      <w:r w:rsidRPr="00556C86">
        <w:rPr>
          <w:color w:val="808080"/>
          <w:w w:val="125"/>
          <w:sz w:val="18"/>
          <w:lang w:val="pl-PL"/>
        </w:rPr>
        <w:t>26 czerwca 2012 r</w:t>
      </w:r>
      <w:r w:rsidRPr="00556C86">
        <w:rPr>
          <w:color w:val="808080"/>
          <w:spacing w:val="7"/>
          <w:w w:val="125"/>
          <w:sz w:val="18"/>
          <w:lang w:val="pl-PL"/>
        </w:rPr>
        <w:t xml:space="preserve">. </w:t>
      </w:r>
      <w:r w:rsidRPr="00556C86">
        <w:rPr>
          <w:color w:val="808080"/>
          <w:w w:val="125"/>
          <w:sz w:val="18"/>
          <w:lang w:val="pl-PL"/>
        </w:rPr>
        <w:t xml:space="preserve">(Wielka </w:t>
      </w:r>
      <w:r w:rsidRPr="00556C86">
        <w:rPr>
          <w:color w:val="808080"/>
          <w:spacing w:val="-2"/>
          <w:w w:val="125"/>
          <w:sz w:val="18"/>
          <w:lang w:val="pl-PL"/>
        </w:rPr>
        <w:t>Izba)</w:t>
      </w:r>
    </w:p>
    <w:p w14:paraId="0826AA91" w14:textId="77777777" w:rsidR="00C53D74" w:rsidRPr="00556C86" w:rsidRDefault="00000000">
      <w:pPr>
        <w:pStyle w:val="Tekstpodstawowy"/>
        <w:spacing w:before="1"/>
        <w:ind w:right="870"/>
        <w:rPr>
          <w:lang w:val="pl-PL"/>
        </w:rPr>
      </w:pPr>
      <w:r w:rsidRPr="00556C86">
        <w:rPr>
          <w:w w:val="125"/>
          <w:lang w:val="pl-PL"/>
        </w:rPr>
        <w:t xml:space="preserve">Sprawa dotyczyła skargi właściciela gruntu, który został zmuszony do wyrażenia zgody na polowania na swojej posesji, mimo że był moralnie przeciwny polowaniom. Jego zdaniem taki obowiązek stanowił w szczególności naruszenie jego prawa do spokojnego korzystania z </w:t>
      </w:r>
      <w:r w:rsidRPr="00556C86">
        <w:rPr>
          <w:spacing w:val="-2"/>
          <w:w w:val="125"/>
          <w:lang w:val="pl-PL"/>
        </w:rPr>
        <w:t>posiadłości.</w:t>
      </w:r>
    </w:p>
    <w:p w14:paraId="4E6A2D87" w14:textId="7458F99E" w:rsidR="00C53D74" w:rsidRPr="003E32A1" w:rsidRDefault="00000000" w:rsidP="003E32A1">
      <w:pPr>
        <w:pStyle w:val="Tekstpodstawowy"/>
        <w:spacing w:line="237" w:lineRule="auto"/>
        <w:ind w:right="870"/>
        <w:rPr>
          <w:color w:val="0071BB"/>
          <w:w w:val="120"/>
          <w:lang w:val="pl-PL"/>
        </w:rPr>
      </w:pPr>
      <w:r w:rsidRPr="00556C86">
        <w:rPr>
          <w:color w:val="0071BB"/>
          <w:w w:val="120"/>
          <w:lang w:val="pl-PL"/>
        </w:rPr>
        <w:t xml:space="preserve">Trybunał uznał,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naruszenia art</w:t>
      </w:r>
      <w:r w:rsidRPr="00556C86">
        <w:rPr>
          <w:color w:val="0071BB"/>
          <w:w w:val="120"/>
          <w:lang w:val="pl-PL"/>
        </w:rPr>
        <w:t>.</w:t>
      </w:r>
      <w:r w:rsidRPr="00556C86">
        <w:rPr>
          <w:b/>
          <w:color w:val="0071BB"/>
          <w:w w:val="120"/>
          <w:lang w:val="pl-PL"/>
        </w:rPr>
        <w:t xml:space="preserve"> 1 </w:t>
      </w:r>
      <w:r w:rsidRPr="00556C86">
        <w:rPr>
          <w:color w:val="0071BB"/>
          <w:w w:val="120"/>
          <w:lang w:val="pl-PL"/>
        </w:rPr>
        <w:t xml:space="preserve">(ochrona własności) </w:t>
      </w:r>
      <w:r w:rsidRPr="00556C86">
        <w:rPr>
          <w:b/>
          <w:color w:val="0071BB"/>
          <w:w w:val="120"/>
          <w:lang w:val="pl-PL"/>
        </w:rPr>
        <w:t xml:space="preserve">protokołu nr 1 </w:t>
      </w:r>
      <w:r w:rsidRPr="00556C86">
        <w:rPr>
          <w:color w:val="0071BB"/>
          <w:w w:val="120"/>
          <w:lang w:val="pl-PL"/>
        </w:rPr>
        <w:t xml:space="preserve">do Konwencji, </w:t>
      </w:r>
      <w:r w:rsidR="002B7514" w:rsidRPr="003E32A1">
        <w:rPr>
          <w:color w:val="0071BB"/>
          <w:w w:val="120"/>
          <w:lang w:val="pl-PL"/>
        </w:rPr>
        <w:t>uznając,</w:t>
      </w:r>
      <w:r w:rsidR="003E32A1" w:rsidRPr="003E32A1">
        <w:rPr>
          <w:color w:val="0071BB"/>
          <w:w w:val="120"/>
          <w:lang w:val="pl-PL"/>
        </w:rPr>
        <w:t xml:space="preserve"> że obowiązek tolerowania polowań na ich terenie nakładał nieproporcjonalnie duży ciężar na właścicieli ziemskich, którzy sprzeciwiali się polowaniom ze względów etycznych</w:t>
      </w:r>
    </w:p>
    <w:p w14:paraId="5A617E5D" w14:textId="77777777" w:rsidR="00C53D74" w:rsidRPr="00556C86" w:rsidRDefault="00000000">
      <w:pPr>
        <w:spacing w:before="63"/>
        <w:ind w:left="874" w:right="872" w:hanging="1"/>
        <w:jc w:val="both"/>
        <w:rPr>
          <w:sz w:val="20"/>
          <w:lang w:val="pl-PL"/>
        </w:rPr>
      </w:pPr>
      <w:r w:rsidRPr="00556C86">
        <w:rPr>
          <w:i/>
          <w:color w:val="404040"/>
          <w:w w:val="120"/>
          <w:sz w:val="20"/>
          <w:lang w:val="pl-PL"/>
        </w:rPr>
        <w:t>Zob. również</w:t>
      </w:r>
      <w:r w:rsidRPr="00556C86">
        <w:rPr>
          <w:color w:val="404040"/>
          <w:w w:val="120"/>
          <w:sz w:val="20"/>
          <w:lang w:val="pl-PL"/>
        </w:rPr>
        <w:t xml:space="preserve">: </w:t>
      </w:r>
      <w:hyperlink r:id="rId49">
        <w:r w:rsidR="00C53D74" w:rsidRPr="00556C86">
          <w:rPr>
            <w:rFonts w:ascii="Arial"/>
            <w:b/>
            <w:i/>
            <w:color w:val="0071BB"/>
            <w:w w:val="120"/>
            <w:sz w:val="20"/>
            <w:u w:val="thick" w:color="0071BB"/>
            <w:lang w:val="pl-PL"/>
          </w:rPr>
          <w:t>Chassagnou i inni przeciwko Francji</w:t>
        </w:r>
        <w:r w:rsidR="00C53D74" w:rsidRPr="00556C86">
          <w:rPr>
            <w:color w:val="404040"/>
            <w:w w:val="120"/>
            <w:sz w:val="20"/>
            <w:lang w:val="pl-PL"/>
          </w:rPr>
          <w:t>,</w:t>
        </w:r>
      </w:hyperlink>
      <w:r w:rsidRPr="00556C86">
        <w:rPr>
          <w:color w:val="404040"/>
          <w:w w:val="120"/>
          <w:sz w:val="20"/>
          <w:lang w:val="pl-PL"/>
        </w:rPr>
        <w:t xml:space="preserve"> wyrok (Wielka Izba) z dnia 29 kwietnia 1999 r.; </w:t>
      </w:r>
      <w:hyperlink r:id="rId50">
        <w:r w:rsidR="00C53D74" w:rsidRPr="00556C86">
          <w:rPr>
            <w:rFonts w:ascii="Arial"/>
            <w:b/>
            <w:i/>
            <w:color w:val="0071BB"/>
            <w:w w:val="120"/>
            <w:sz w:val="20"/>
            <w:u w:val="thick" w:color="0071BB"/>
            <w:lang w:val="pl-PL"/>
          </w:rPr>
          <w:t>Schneider przeciwko Luksemburgowi</w:t>
        </w:r>
        <w:r w:rsidR="00C53D74" w:rsidRPr="00556C86">
          <w:rPr>
            <w:color w:val="404040"/>
            <w:w w:val="120"/>
            <w:sz w:val="20"/>
            <w:lang w:val="pl-PL"/>
          </w:rPr>
          <w:t>,</w:t>
        </w:r>
      </w:hyperlink>
      <w:r w:rsidRPr="00556C86">
        <w:rPr>
          <w:color w:val="404040"/>
          <w:w w:val="120"/>
          <w:sz w:val="20"/>
          <w:lang w:val="pl-PL"/>
        </w:rPr>
        <w:t xml:space="preserve"> wyrok z dnia 10 lipca 2007 r.</w:t>
      </w:r>
    </w:p>
    <w:p w14:paraId="6939AC52" w14:textId="77777777" w:rsidR="00C53D74" w:rsidRPr="00556C86" w:rsidRDefault="00000000">
      <w:pPr>
        <w:pStyle w:val="Nagwek1"/>
        <w:spacing w:before="242"/>
        <w:rPr>
          <w:lang w:val="pl-PL"/>
        </w:rPr>
      </w:pPr>
      <w:r>
        <w:rPr>
          <w:noProof/>
        </w:rPr>
        <mc:AlternateContent>
          <mc:Choice Requires="wps">
            <w:drawing>
              <wp:anchor distT="0" distB="0" distL="0" distR="0" simplePos="0" relativeHeight="251688960" behindDoc="1" locked="0" layoutInCell="1" allowOverlap="1" wp14:anchorId="3B16732F" wp14:editId="674DA039">
                <wp:simplePos x="0" y="0"/>
                <wp:positionH relativeFrom="page">
                  <wp:posOffset>896111</wp:posOffset>
                </wp:positionH>
                <wp:positionV relativeFrom="paragraph">
                  <wp:posOffset>410141</wp:posOffset>
                </wp:positionV>
                <wp:extent cx="5768340" cy="18415"/>
                <wp:effectExtent l="0" t="0" r="0" b="0"/>
                <wp:wrapTopAndBottom/>
                <wp:docPr id="27" name="Graphic 27"/>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FEF4449" id="Graphic 27" o:spid="_x0000_s1026" style="position:absolute;margin-left:70.55pt;margin-top:32.3pt;width:454.2pt;height:1.45pt;z-index:-2516275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" path="m5768340,l,,,18287r5768340,l5768340,xe" fillcolor="#999" stroked="f">
                <v:path arrowok="t"/>
                <w10:wrap type="topAndBottom" anchorx="page"/>
              </v:shape>
            </w:pict>
          </mc:Fallback>
        </mc:AlternateContent>
      </w:r>
      <w:r w:rsidRPr="00556C86">
        <w:rPr>
          <w:color w:val="0071BB"/>
          <w:w w:val="120"/>
          <w:sz w:val="29"/>
          <w:lang w:val="pl-PL"/>
        </w:rPr>
        <w:t>Swoboda przemieszczania się (art. 2 protokołu nr</w:t>
      </w:r>
      <w:r w:rsidRPr="00556C86">
        <w:rPr>
          <w:color w:val="0071BB"/>
          <w:spacing w:val="-5"/>
          <w:w w:val="120"/>
          <w:sz w:val="29"/>
          <w:lang w:val="pl-PL"/>
        </w:rPr>
        <w:t xml:space="preserve"> 4)</w:t>
      </w:r>
    </w:p>
    <w:p w14:paraId="6494AD43" w14:textId="77777777" w:rsidR="00C53D74" w:rsidRPr="00556C86" w:rsidRDefault="00C53D74">
      <w:pPr>
        <w:spacing w:before="137" w:line="235" w:lineRule="auto"/>
        <w:ind w:left="874" w:right="871"/>
        <w:jc w:val="both"/>
        <w:rPr>
          <w:sz w:val="16"/>
          <w:lang w:val="pl-PL"/>
        </w:rPr>
      </w:pPr>
      <w:hyperlink r:id="rId51">
        <w:r w:rsidRPr="00556C86">
          <w:rPr>
            <w:b/>
            <w:color w:val="0071BB"/>
            <w:w w:val="130"/>
            <w:sz w:val="20"/>
            <w:u w:val="single" w:color="0071BB"/>
            <w:lang w:val="pl-PL"/>
          </w:rPr>
          <w:t>Fédération Nationale des Syndicats Sportifs (FNASS) i inni przeciwko Francji</w:t>
        </w:r>
      </w:hyperlink>
      <w:r w:rsidRPr="00556C86">
        <w:rPr>
          <w:color w:val="808080"/>
          <w:w w:val="130"/>
          <w:sz w:val="16"/>
          <w:lang w:val="pl-PL"/>
        </w:rPr>
        <w:t xml:space="preserve"> (zob. również powyżej, w sekcji „Prawo do poszanowania życia prywatnego i rodzinnego oraz domu”)</w:t>
      </w:r>
    </w:p>
    <w:p w14:paraId="36C7DDA0" w14:textId="77777777" w:rsidR="00C53D74" w:rsidRPr="00556C86" w:rsidRDefault="00000000">
      <w:pPr>
        <w:spacing w:before="60"/>
        <w:ind w:left="874"/>
        <w:jc w:val="both"/>
        <w:rPr>
          <w:sz w:val="18"/>
          <w:lang w:val="pl-PL"/>
        </w:rPr>
      </w:pPr>
      <w:r w:rsidRPr="00556C86">
        <w:rPr>
          <w:color w:val="808080"/>
          <w:w w:val="125"/>
          <w:sz w:val="18"/>
          <w:lang w:val="pl-PL"/>
        </w:rPr>
        <w:t>18 stycznia</w:t>
      </w:r>
      <w:r w:rsidRPr="00556C86">
        <w:rPr>
          <w:color w:val="808080"/>
          <w:spacing w:val="-4"/>
          <w:w w:val="125"/>
          <w:sz w:val="18"/>
          <w:lang w:val="pl-PL"/>
        </w:rPr>
        <w:t xml:space="preserve"> 2018 r.</w:t>
      </w:r>
    </w:p>
    <w:p w14:paraId="2C8E0763" w14:textId="4A50D9DF" w:rsidR="00C53D74" w:rsidRPr="003E32A1" w:rsidRDefault="003E32A1" w:rsidP="003E32A1">
      <w:pPr>
        <w:pStyle w:val="Tekstpodstawowy"/>
        <w:spacing w:before="1"/>
        <w:ind w:right="871"/>
        <w:rPr>
          <w:w w:val="120"/>
          <w:lang w:val="pl-PL"/>
        </w:rPr>
      </w:pPr>
      <w:r w:rsidRPr="003E32A1">
        <w:rPr>
          <w:w w:val="120"/>
          <w:lang w:val="pl-PL"/>
        </w:rPr>
        <w:t>Sprawa</w:t>
      </w:r>
      <w:r>
        <w:rPr>
          <w:w w:val="120"/>
          <w:lang w:val="pl-PL"/>
        </w:rPr>
        <w:t xml:space="preserve"> ta</w:t>
      </w:r>
      <w:r w:rsidRPr="003E32A1">
        <w:rPr>
          <w:w w:val="120"/>
          <w:lang w:val="pl-PL"/>
        </w:rPr>
        <w:t xml:space="preserve"> dotyczyła wymogu, aby określona grupa sportowców zgłaszała swoje miejsce pobytu na</w:t>
      </w:r>
      <w:r>
        <w:rPr>
          <w:w w:val="120"/>
          <w:lang w:val="pl-PL"/>
        </w:rPr>
        <w:t xml:space="preserve"> </w:t>
      </w:r>
      <w:r w:rsidRPr="003E32A1">
        <w:rPr>
          <w:w w:val="120"/>
          <w:lang w:val="pl-PL"/>
        </w:rPr>
        <w:t>potrzeby niezapowiedzianych badań antydopingowych. Skarżący twierdzili w szczególności, że wymóg informowania o miejscu pobytu jest niezgodny z ich swobodą przemieszczania się.</w:t>
      </w:r>
    </w:p>
    <w:p w14:paraId="5FBE26A6" w14:textId="77777777" w:rsidR="00C53D74" w:rsidRPr="00556C86" w:rsidRDefault="00000000">
      <w:pPr>
        <w:pStyle w:val="Tekstpodstawowy"/>
        <w:ind w:right="870"/>
        <w:rPr>
          <w:lang w:val="pl-PL"/>
        </w:rPr>
      </w:pPr>
      <w:r w:rsidRPr="00556C86">
        <w:rPr>
          <w:color w:val="0071BB"/>
          <w:w w:val="120"/>
          <w:lang w:val="pl-PL"/>
        </w:rPr>
        <w:t>Trybunał uznał, że art. 2 (swoboda przemieszczania się) protokołu nr 4 nie ma zastosowania w niniejszej sprawie i uznał skargę za</w:t>
      </w:r>
      <w:r w:rsidRPr="00556C86">
        <w:rPr>
          <w:b/>
          <w:color w:val="0071BB"/>
          <w:w w:val="120"/>
          <w:lang w:val="pl-PL"/>
        </w:rPr>
        <w:t xml:space="preserve"> niedopuszczalną </w:t>
      </w:r>
      <w:r w:rsidRPr="00556C86">
        <w:rPr>
          <w:color w:val="0071BB"/>
          <w:w w:val="120"/>
          <w:lang w:val="pl-PL"/>
        </w:rPr>
        <w:t xml:space="preserve">jako niezgodną </w:t>
      </w:r>
      <w:r w:rsidRPr="00556C86">
        <w:rPr>
          <w:i/>
          <w:color w:val="0071BB"/>
          <w:w w:val="120"/>
          <w:lang w:val="pl-PL"/>
        </w:rPr>
        <w:t>z przedmiotem sprawy</w:t>
      </w:r>
      <w:r w:rsidRPr="00556C86">
        <w:rPr>
          <w:color w:val="0071BB"/>
          <w:w w:val="120"/>
          <w:lang w:val="pl-PL"/>
        </w:rPr>
        <w:t>. Zwrócił szczególną uwagę na fakt, że skarżący byli zobowiązani do powiadamiania francuskiej agencji antydopingowej o codziennym 60-minutowym przedziale czasowym, w którym mieli przebywać w określonym miejscu, aby poddać się niezapowiedzianemu testowi.</w:t>
      </w:r>
      <w:r w:rsidRPr="00556C86">
        <w:rPr>
          <w:color w:val="0071BB"/>
          <w:spacing w:val="33"/>
          <w:w w:val="120"/>
          <w:lang w:val="pl-PL"/>
        </w:rPr>
        <w:t xml:space="preserve"> </w:t>
      </w:r>
      <w:r w:rsidRPr="00556C86">
        <w:rPr>
          <w:color w:val="0071BB"/>
          <w:w w:val="120"/>
          <w:lang w:val="pl-PL"/>
        </w:rPr>
        <w:t xml:space="preserve">Miejsce to było przez nich dowolnie wybierane, a obowiązek ten stanowił raczej ingerencję w ich prywatność niż środek nadzoru. Trybunał zwrócił uwagę na orzeczenia sądów krajowych, które nie uznały wymogu podawania miejsca pobytu za ograniczenie swobody przemieszczania się i rozróżniły sądy powszechne od administracyjnych pod względem właściwości do przeprowadzania takich testów. Trybunał uznał zatem, że sporne środki nie mogły </w:t>
      </w:r>
      <w:r w:rsidRPr="00556C86">
        <w:rPr>
          <w:color w:val="0071BB"/>
          <w:spacing w:val="-7"/>
          <w:w w:val="120"/>
          <w:lang w:val="pl-PL"/>
        </w:rPr>
        <w:t>być</w:t>
      </w:r>
    </w:p>
    <w:p w14:paraId="1CDD854D" w14:textId="77777777" w:rsidR="00C53D74" w:rsidRPr="00556C86" w:rsidRDefault="00C53D74">
      <w:pPr>
        <w:pStyle w:val="Tekstpodstawowy"/>
        <w:rPr>
          <w:lang w:val="pl-PL"/>
        </w:rPr>
        <w:sectPr w:rsidR="00C53D74" w:rsidRPr="00556C86">
          <w:pgSz w:w="11910" w:h="16840"/>
          <w:pgMar w:top="1400" w:right="566" w:bottom="680" w:left="566" w:header="720" w:footer="497" w:gutter="0"/>
          <w:cols w:space="708"/>
        </w:sectPr>
      </w:pPr>
    </w:p>
    <w:p w14:paraId="794F8A06" w14:textId="77777777" w:rsidR="00C53D74" w:rsidRPr="00556C86" w:rsidRDefault="00C53D74">
      <w:pPr>
        <w:pStyle w:val="Tekstpodstawowy"/>
        <w:spacing w:before="59"/>
        <w:ind w:left="0"/>
        <w:jc w:val="left"/>
        <w:rPr>
          <w:lang w:val="pl-PL"/>
        </w:rPr>
      </w:pPr>
    </w:p>
    <w:p w14:paraId="7B6F0B13" w14:textId="77777777" w:rsidR="00C53D74" w:rsidRPr="00556C86" w:rsidRDefault="00000000">
      <w:pPr>
        <w:pStyle w:val="Tekstpodstawowy"/>
        <w:spacing w:before="1"/>
        <w:ind w:right="870"/>
        <w:rPr>
          <w:lang w:val="pl-PL"/>
        </w:rPr>
      </w:pPr>
      <w:r w:rsidRPr="00556C86">
        <w:rPr>
          <w:color w:val="0071BB"/>
          <w:w w:val="120"/>
          <w:lang w:val="pl-PL"/>
        </w:rPr>
        <w:t>porównywalne z elektronicznym monitorowaniem, które było stosowane jako alternatywa dla pozbawienia wolności lub jako uzupełnienie aresztu domowego. Wreszcie Trybunał uznał, że skarżącym nie uniemożliwiono opuszczenia kraju zamieszkania, a jedynie zobowiązano ich do wskazania miejsca pobytu w kraju docelowym do celów przeprowadzenia testów.</w:t>
      </w:r>
    </w:p>
    <w:p w14:paraId="6E08E4B1" w14:textId="30800D88" w:rsidR="00C53D74" w:rsidRPr="00556C86" w:rsidRDefault="00000000">
      <w:pPr>
        <w:pStyle w:val="Nagwek1"/>
        <w:spacing w:before="240"/>
        <w:ind w:right="869"/>
        <w:rPr>
          <w:lang w:val="pl-PL"/>
        </w:rPr>
      </w:pPr>
      <w:r>
        <w:rPr>
          <w:noProof/>
        </w:rPr>
        <mc:AlternateContent>
          <mc:Choice Requires="wps">
            <w:drawing>
              <wp:anchor distT="0" distB="0" distL="0" distR="0" simplePos="0" relativeHeight="251691008" behindDoc="1" locked="0" layoutInCell="1" allowOverlap="1" wp14:anchorId="280895DB" wp14:editId="6C69C2A8">
                <wp:simplePos x="0" y="0"/>
                <wp:positionH relativeFrom="page">
                  <wp:posOffset>896111</wp:posOffset>
                </wp:positionH>
                <wp:positionV relativeFrom="paragraph">
                  <wp:posOffset>623885</wp:posOffset>
                </wp:positionV>
                <wp:extent cx="5768340" cy="18415"/>
                <wp:effectExtent l="0" t="0" r="0" b="0"/>
                <wp:wrapTopAndBottom/>
                <wp:docPr id="28" name="Graphic 28"/>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4756921" id="Graphic 28" o:spid="_x0000_s1026" style="position:absolute;margin-left:70.55pt;margin-top:49.1pt;width:454.2pt;height:1.4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" path="m5768340,l,,,18288r5768340,l5768340,xe" fillcolor="#999" stroked="f">
                <v:path arrowok="t"/>
                <w10:wrap type="topAndBottom" anchorx="page"/>
              </v:shape>
            </w:pict>
          </mc:Fallback>
        </mc:AlternateContent>
      </w:r>
      <w:r w:rsidRPr="00556C86">
        <w:rPr>
          <w:color w:val="0071BB"/>
          <w:w w:val="120"/>
          <w:sz w:val="29"/>
          <w:lang w:val="pl-PL"/>
        </w:rPr>
        <w:t xml:space="preserve">Prawo do niebycia sądzonym lub karanym dwukrotnie (art. 4 </w:t>
      </w:r>
      <w:r w:rsidR="0038499D">
        <w:rPr>
          <w:color w:val="0071BB"/>
          <w:w w:val="120"/>
          <w:sz w:val="29"/>
          <w:lang w:val="pl-PL"/>
        </w:rPr>
        <w:t>P</w:t>
      </w:r>
      <w:r w:rsidRPr="00556C86">
        <w:rPr>
          <w:color w:val="0071BB"/>
          <w:w w:val="120"/>
          <w:sz w:val="29"/>
          <w:lang w:val="pl-PL"/>
        </w:rPr>
        <w:t>rotokołu nr 7)</w:t>
      </w:r>
    </w:p>
    <w:p w14:paraId="663A3FD4" w14:textId="77777777" w:rsidR="00C53D74" w:rsidRPr="00556C86" w:rsidRDefault="00C53D74">
      <w:pPr>
        <w:pStyle w:val="Nagwek2"/>
        <w:rPr>
          <w:u w:val="none"/>
          <w:lang w:val="pl-PL"/>
        </w:rPr>
      </w:pPr>
      <w:hyperlink r:id="rId52">
        <w:r w:rsidRPr="00556C86">
          <w:rPr>
            <w:color w:val="0071BB"/>
            <w:w w:val="135"/>
            <w:u w:val="thick" w:color="0071BB"/>
            <w:lang w:val="pl-PL"/>
          </w:rPr>
          <w:t xml:space="preserve">Seražin przeciwko </w:t>
        </w:r>
        <w:r w:rsidRPr="00556C86">
          <w:rPr>
            <w:color w:val="0071BB"/>
            <w:spacing w:val="-2"/>
            <w:w w:val="135"/>
            <w:u w:val="thick" w:color="0071BB"/>
            <w:lang w:val="pl-PL"/>
          </w:rPr>
          <w:t>Chorwacji</w:t>
        </w:r>
      </w:hyperlink>
    </w:p>
    <w:p w14:paraId="63AF86A6" w14:textId="77777777" w:rsidR="00C53D74" w:rsidRPr="00556C86" w:rsidRDefault="00000000">
      <w:pPr>
        <w:spacing w:before="58"/>
        <w:ind w:left="874"/>
        <w:jc w:val="both"/>
        <w:rPr>
          <w:sz w:val="18"/>
          <w:lang w:val="pl-PL"/>
        </w:rPr>
      </w:pPr>
      <w:r w:rsidRPr="00556C86">
        <w:rPr>
          <w:color w:val="808080"/>
          <w:w w:val="120"/>
          <w:sz w:val="18"/>
          <w:lang w:val="pl-PL"/>
        </w:rPr>
        <w:t>9 października 2018 r</w:t>
      </w:r>
      <w:r w:rsidRPr="00556C86">
        <w:rPr>
          <w:color w:val="808080"/>
          <w:spacing w:val="16"/>
          <w:w w:val="120"/>
          <w:sz w:val="18"/>
          <w:lang w:val="pl-PL"/>
        </w:rPr>
        <w:t xml:space="preserve">. </w:t>
      </w:r>
      <w:r w:rsidRPr="00556C86">
        <w:rPr>
          <w:color w:val="808080"/>
          <w:w w:val="120"/>
          <w:sz w:val="18"/>
          <w:lang w:val="pl-PL"/>
        </w:rPr>
        <w:t xml:space="preserve">(decyzja w sprawie </w:t>
      </w:r>
      <w:r w:rsidRPr="00556C86">
        <w:rPr>
          <w:color w:val="808080"/>
          <w:spacing w:val="-2"/>
          <w:w w:val="120"/>
          <w:sz w:val="18"/>
          <w:lang w:val="pl-PL"/>
        </w:rPr>
        <w:t>dopuszczalności)</w:t>
      </w:r>
    </w:p>
    <w:p w14:paraId="5FCD77F4" w14:textId="43CA2636" w:rsidR="00C53D74" w:rsidRPr="00556C86" w:rsidRDefault="00000000">
      <w:pPr>
        <w:pStyle w:val="Tekstpodstawowy"/>
        <w:spacing w:before="2"/>
        <w:ind w:right="870"/>
        <w:rPr>
          <w:lang w:val="pl-PL"/>
        </w:rPr>
      </w:pPr>
      <w:r w:rsidRPr="00556C86">
        <w:rPr>
          <w:w w:val="120"/>
          <w:lang w:val="pl-PL"/>
        </w:rPr>
        <w:t xml:space="preserve">Sprawa dotyczyła środków stosowanych w Chorwacji w celu zwalczania chuligaństwa. Skarżący zarzucał konkretnie, że został dwukrotnie oskarżony i skazany za zakłócanie porządku podczas meczu piłki nożnej w 2012 r., najpierw w postępowaniu w sprawie </w:t>
      </w:r>
      <w:r w:rsidR="0038499D">
        <w:rPr>
          <w:w w:val="120"/>
          <w:lang w:val="pl-PL"/>
        </w:rPr>
        <w:t xml:space="preserve">o </w:t>
      </w:r>
      <w:r w:rsidRPr="00556C86">
        <w:rPr>
          <w:w w:val="120"/>
          <w:lang w:val="pl-PL"/>
        </w:rPr>
        <w:t>wykroczenia, a następnie w postępowaniu, w wyniku którego zakazano mu uczestniczenia w wydarzeniach sportowych.</w:t>
      </w:r>
    </w:p>
    <w:p w14:paraId="687FA9D3" w14:textId="77777777" w:rsidR="00C53D74" w:rsidRPr="00556C86" w:rsidRDefault="00000000">
      <w:pPr>
        <w:pStyle w:val="Tekstpodstawowy"/>
        <w:spacing w:line="237" w:lineRule="auto"/>
        <w:ind w:right="870"/>
        <w:rPr>
          <w:lang w:val="pl-PL"/>
        </w:rPr>
      </w:pPr>
      <w:r w:rsidRPr="00556C86">
        <w:rPr>
          <w:color w:val="0071BB"/>
          <w:w w:val="120"/>
          <w:lang w:val="pl-PL"/>
        </w:rPr>
        <w:t xml:space="preserve">Trybunał uznał skargę </w:t>
      </w:r>
      <w:r w:rsidRPr="00556C86">
        <w:rPr>
          <w:b/>
          <w:color w:val="0071BB"/>
          <w:w w:val="120"/>
          <w:lang w:val="pl-PL"/>
        </w:rPr>
        <w:t>za niedopuszczalną</w:t>
      </w:r>
      <w:r w:rsidRPr="00556C86">
        <w:rPr>
          <w:color w:val="0071BB"/>
          <w:w w:val="120"/>
          <w:lang w:val="pl-PL"/>
        </w:rPr>
        <w:t>, stwierdzając, że art. 4 (prawo do niebycia sądzonym lub karanym dwukrotnie) protokołu nr 7 nie ma zastosowania w sprawie skarżącego, ponieważ nie postawiono mu zarzutów karnych w drugim postępowaniu.</w:t>
      </w:r>
      <w:r w:rsidRPr="00556C86">
        <w:rPr>
          <w:color w:val="0071BB"/>
          <w:spacing w:val="40"/>
          <w:w w:val="120"/>
          <w:lang w:val="pl-PL"/>
        </w:rPr>
        <w:t xml:space="preserve"> </w:t>
      </w:r>
      <w:r w:rsidRPr="00556C86">
        <w:rPr>
          <w:color w:val="0071BB"/>
          <w:w w:val="120"/>
          <w:lang w:val="pl-PL"/>
        </w:rPr>
        <w:t>Środek zastosowany w tym postępowaniu nie wiązał się z nałożeniem grzywny ani pozbawieniem wolności, a miał na celu przede wszystkim zapobieżenie dalszym aktom przemocy, a nie ukaranie skarżącego po raz drugi za przestępstwo chuligaństwa.</w:t>
      </w:r>
    </w:p>
    <w:p w14:paraId="04A2E9DC" w14:textId="77777777" w:rsidR="00C53D74" w:rsidRPr="00556C86" w:rsidRDefault="00C53D74">
      <w:pPr>
        <w:pStyle w:val="Nagwek2"/>
        <w:spacing w:before="124"/>
        <w:ind w:left="873"/>
        <w:rPr>
          <w:u w:val="none"/>
          <w:lang w:val="pl-PL"/>
        </w:rPr>
      </w:pPr>
      <w:hyperlink r:id="rId53">
        <w:r w:rsidRPr="00556C86">
          <w:rPr>
            <w:color w:val="0071BB"/>
            <w:w w:val="135"/>
            <w:u w:color="0071BB"/>
            <w:lang w:val="pl-PL"/>
          </w:rPr>
          <w:t xml:space="preserve">Velkov przeciwko </w:t>
        </w:r>
        <w:r w:rsidRPr="00556C86">
          <w:rPr>
            <w:color w:val="0071BB"/>
            <w:spacing w:val="-2"/>
            <w:w w:val="135"/>
            <w:u w:color="0071BB"/>
            <w:lang w:val="pl-PL"/>
          </w:rPr>
          <w:t>Bułgarii</w:t>
        </w:r>
      </w:hyperlink>
    </w:p>
    <w:p w14:paraId="78F2471A" w14:textId="77777777" w:rsidR="00C53D74" w:rsidRPr="00556C86" w:rsidRDefault="00000000">
      <w:pPr>
        <w:spacing w:before="56"/>
        <w:ind w:left="874"/>
        <w:jc w:val="both"/>
        <w:rPr>
          <w:sz w:val="18"/>
          <w:lang w:val="pl-PL"/>
        </w:rPr>
      </w:pPr>
      <w:r w:rsidRPr="00556C86">
        <w:rPr>
          <w:color w:val="808080"/>
          <w:w w:val="125"/>
          <w:sz w:val="18"/>
          <w:lang w:val="pl-PL"/>
        </w:rPr>
        <w:t>21 lipca</w:t>
      </w:r>
      <w:r w:rsidRPr="00556C86">
        <w:rPr>
          <w:color w:val="808080"/>
          <w:spacing w:val="-4"/>
          <w:w w:val="125"/>
          <w:sz w:val="18"/>
          <w:lang w:val="pl-PL"/>
        </w:rPr>
        <w:t xml:space="preserve"> 2020 r.</w:t>
      </w:r>
    </w:p>
    <w:p w14:paraId="019EBAC4" w14:textId="77777777" w:rsidR="00C53D74" w:rsidRPr="00556C86" w:rsidRDefault="00000000">
      <w:pPr>
        <w:pStyle w:val="Tekstpodstawowy"/>
        <w:spacing w:before="1"/>
        <w:ind w:right="872"/>
        <w:rPr>
          <w:lang w:val="pl-PL"/>
        </w:rPr>
      </w:pPr>
      <w:r w:rsidRPr="00556C86">
        <w:rPr>
          <w:w w:val="120"/>
          <w:lang w:val="pl-PL"/>
        </w:rPr>
        <w:t>Sprawa dotyczyła skargi skarżącego, który twierdził, że został dwukrotnie skazany za to samo przestępstwo zakłócania porządku publicznego podczas meczu piłki nożnej w ramach postępowania administracyjnego i karnego.</w:t>
      </w:r>
    </w:p>
    <w:p w14:paraId="416FB0AB" w14:textId="77777777" w:rsidR="00C53D74" w:rsidRPr="00556C86" w:rsidRDefault="00000000">
      <w:pPr>
        <w:pStyle w:val="Tekstpodstawowy"/>
        <w:ind w:left="874" w:right="870"/>
        <w:rPr>
          <w:lang w:val="pl-PL"/>
        </w:rPr>
      </w:pPr>
      <w:r w:rsidRPr="00556C86">
        <w:rPr>
          <w:color w:val="0071BB"/>
          <w:w w:val="120"/>
          <w:lang w:val="pl-PL"/>
        </w:rPr>
        <w:t xml:space="preserve">Trybunał uznał, że doszło </w:t>
      </w:r>
      <w:r w:rsidRPr="00556C86">
        <w:rPr>
          <w:b/>
          <w:color w:val="0071BB"/>
          <w:w w:val="120"/>
          <w:lang w:val="pl-PL"/>
        </w:rPr>
        <w:t>do</w:t>
      </w:r>
      <w:r w:rsidRPr="00556C86">
        <w:rPr>
          <w:color w:val="0071BB"/>
          <w:w w:val="120"/>
          <w:lang w:val="pl-PL"/>
        </w:rPr>
        <w:t xml:space="preserve"> </w:t>
      </w:r>
      <w:r w:rsidRPr="00556C86">
        <w:rPr>
          <w:b/>
          <w:color w:val="0071BB"/>
          <w:w w:val="120"/>
          <w:lang w:val="pl-PL"/>
        </w:rPr>
        <w:t xml:space="preserve">naruszenia art. 4 </w:t>
      </w:r>
      <w:r w:rsidRPr="00556C86">
        <w:rPr>
          <w:color w:val="0071BB"/>
          <w:w w:val="120"/>
          <w:lang w:val="pl-PL"/>
        </w:rPr>
        <w:t xml:space="preserve">(prawo do niebycia sądzonym lub karanym dwukrotnie) </w:t>
      </w:r>
      <w:r w:rsidRPr="00556C86">
        <w:rPr>
          <w:b/>
          <w:color w:val="0071BB"/>
          <w:w w:val="120"/>
          <w:lang w:val="pl-PL"/>
        </w:rPr>
        <w:t>protokołu nr 7</w:t>
      </w:r>
      <w:r w:rsidRPr="00556C86">
        <w:rPr>
          <w:color w:val="0071BB"/>
          <w:w w:val="120"/>
          <w:lang w:val="pl-PL"/>
        </w:rPr>
        <w:t xml:space="preserve">, stwierdzając, że ze względu na brak wystarczająco ścisłego związku merytorycznego między postępowaniem administracyjnym a karnym przeciwko skarżącemu, został on dwukrotnie ścigany i ukarany za to samo przestępstwo, co stanowiło naruszenie zasady </w:t>
      </w:r>
      <w:r w:rsidRPr="00556C86">
        <w:rPr>
          <w:i/>
          <w:color w:val="0071BB"/>
          <w:w w:val="120"/>
          <w:lang w:val="pl-PL"/>
        </w:rPr>
        <w:t>ne bis in idem</w:t>
      </w:r>
      <w:r w:rsidRPr="00556C86">
        <w:rPr>
          <w:color w:val="0071BB"/>
          <w:w w:val="120"/>
          <w:lang w:val="pl-PL"/>
        </w:rPr>
        <w:t>.</w:t>
      </w:r>
      <w:r w:rsidRPr="00556C86">
        <w:rPr>
          <w:color w:val="0071BB"/>
          <w:spacing w:val="39"/>
          <w:w w:val="120"/>
          <w:lang w:val="pl-PL"/>
        </w:rPr>
        <w:t xml:space="preserve"> </w:t>
      </w:r>
      <w:r w:rsidRPr="00556C86">
        <w:rPr>
          <w:color w:val="0071BB"/>
          <w:w w:val="120"/>
          <w:lang w:val="pl-PL"/>
        </w:rPr>
        <w:t>Trybunał zwrócił w szczególności uwagę, że chociaż między postępowaniem administracyjnym a postępowaniem karnym przeciwko skarżącemu istniał ścisły związek czasowy, nie istniał wystarczająco ścisły związek merytoryczny między tymi dwoma rodzajami postępowań.</w:t>
      </w:r>
    </w:p>
    <w:p w14:paraId="74D96430" w14:textId="77777777" w:rsidR="00C53D74" w:rsidRPr="00556C86" w:rsidRDefault="00000000">
      <w:pPr>
        <w:pStyle w:val="Tekstpodstawowy"/>
        <w:spacing w:before="7"/>
        <w:ind w:left="0"/>
        <w:jc w:val="left"/>
        <w:rPr>
          <w:sz w:val="17"/>
          <w:lang w:val="pl-PL"/>
        </w:rPr>
      </w:pPr>
      <w:r>
        <w:rPr>
          <w:noProof/>
          <w:sz w:val="17"/>
        </w:rPr>
        <mc:AlternateContent>
          <mc:Choice Requires="wps">
            <w:drawing>
              <wp:anchor distT="0" distB="0" distL="0" distR="0" simplePos="0" relativeHeight="251693056" behindDoc="1" locked="0" layoutInCell="1" allowOverlap="1" wp14:anchorId="305D878A" wp14:editId="0F25912D">
                <wp:simplePos x="0" y="0"/>
                <wp:positionH relativeFrom="page">
                  <wp:posOffset>896111</wp:posOffset>
                </wp:positionH>
                <wp:positionV relativeFrom="paragraph">
                  <wp:posOffset>151613</wp:posOffset>
                </wp:positionV>
                <wp:extent cx="5768340" cy="1270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1"/>
                              </a:lnTo>
                              <a:lnTo>
                                <a:pt x="5768340" y="12191"/>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CADAFEA" id="Graphic 29" o:spid="_x0000_s1026" style="position:absolute;margin-left:70.55pt;margin-top:11.95pt;width:454.2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" path="m5768340,l,,,12191r5768340,l5768340,xe" fillcolor="#999" stroked="f">
                <v:path arrowok="t"/>
                <w10:wrap type="topAndBottom" anchorx="page"/>
              </v:shape>
            </w:pict>
          </mc:Fallback>
        </mc:AlternateContent>
      </w:r>
    </w:p>
    <w:p w14:paraId="52E58976" w14:textId="77777777" w:rsidR="00C53D74" w:rsidRPr="00556C86" w:rsidRDefault="00C53D74">
      <w:pPr>
        <w:pStyle w:val="Tekstpodstawowy"/>
        <w:spacing w:before="129"/>
        <w:ind w:left="0"/>
        <w:jc w:val="left"/>
        <w:rPr>
          <w:lang w:val="pl-PL"/>
        </w:rPr>
      </w:pPr>
    </w:p>
    <w:p w14:paraId="4AD74FCE" w14:textId="77777777" w:rsidR="00C53D74" w:rsidRDefault="00000000">
      <w:pPr>
        <w:spacing w:line="243" w:lineRule="exact"/>
        <w:ind w:right="1"/>
        <w:jc w:val="center"/>
        <w:rPr>
          <w:b/>
          <w:sz w:val="20"/>
        </w:rPr>
      </w:pPr>
      <w:r>
        <w:rPr>
          <w:b/>
          <w:color w:val="808080"/>
          <w:spacing w:val="-2"/>
          <w:w w:val="130"/>
          <w:sz w:val="20"/>
        </w:rPr>
        <w:t xml:space="preserve">Kontakt </w:t>
      </w:r>
      <w:r>
        <w:rPr>
          <w:b/>
          <w:color w:val="808080"/>
          <w:w w:val="125"/>
          <w:sz w:val="20"/>
        </w:rPr>
        <w:t>dla mediów</w:t>
      </w:r>
      <w:r>
        <w:rPr>
          <w:b/>
          <w:color w:val="808080"/>
          <w:spacing w:val="-2"/>
          <w:w w:val="130"/>
          <w:sz w:val="20"/>
        </w:rPr>
        <w:t>:</w:t>
      </w:r>
    </w:p>
    <w:p w14:paraId="411D66CE" w14:textId="77777777" w:rsidR="00C53D74" w:rsidRDefault="00000000">
      <w:pPr>
        <w:pStyle w:val="Tekstpodstawowy"/>
        <w:spacing w:line="243" w:lineRule="exact"/>
        <w:ind w:left="1" w:right="1"/>
        <w:jc w:val="center"/>
      </w:pPr>
      <w:r>
        <w:rPr>
          <w:color w:val="808080"/>
          <w:w w:val="130"/>
        </w:rPr>
        <w:t>Tel.: +33 (0)3 90 21 42</w:t>
      </w:r>
      <w:r>
        <w:rPr>
          <w:color w:val="808080"/>
          <w:spacing w:val="-5"/>
          <w:w w:val="130"/>
        </w:rPr>
        <w:t xml:space="preserve"> 08</w:t>
      </w:r>
    </w:p>
    <w:sectPr w:rsidR="00C53D74">
      <w:pgSz w:w="11910" w:h="16840"/>
      <w:pgMar w:top="1400" w:right="566" w:bottom="680" w:left="566" w:header="72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8D57" w14:textId="77777777" w:rsidR="00E427B3" w:rsidRDefault="00E427B3">
      <w:r>
        <w:separator/>
      </w:r>
    </w:p>
  </w:endnote>
  <w:endnote w:type="continuationSeparator" w:id="0">
    <w:p w14:paraId="6A47A233" w14:textId="77777777" w:rsidR="00E427B3" w:rsidRDefault="00E4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E5D3" w14:textId="77777777" w:rsidR="00C53D74" w:rsidRDefault="00000000">
    <w:pPr>
      <w:pStyle w:val="Tekstpodstawowy"/>
      <w:spacing w:line="14" w:lineRule="auto"/>
      <w:ind w:left="0"/>
      <w:jc w:val="left"/>
    </w:pPr>
    <w:r>
      <w:rPr>
        <w:noProof/>
      </w:rPr>
      <mc:AlternateContent>
        <mc:Choice Requires="wps">
          <w:drawing>
            <wp:anchor distT="0" distB="0" distL="0" distR="0" simplePos="0" relativeHeight="251658240" behindDoc="1" locked="0" layoutInCell="1" allowOverlap="1" wp14:anchorId="04C362E0" wp14:editId="56B4E046">
              <wp:simplePos x="0" y="0"/>
              <wp:positionH relativeFrom="page">
                <wp:posOffset>3686047</wp:posOffset>
              </wp:positionH>
              <wp:positionV relativeFrom="page">
                <wp:posOffset>10237044</wp:posOffset>
              </wp:positionV>
              <wp:extent cx="186690" cy="17970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86690" cy="179705"/>
                      </a:xfrm>
                      <a:prstGeom prst="rect">
                        <a:avLst/>
                      </a:prstGeom>
                    </wps:spPr>
                    <wps:txbx>
                      <w:txbxContent>
                        <w:p w14:paraId="11B1C614" w14:textId="77777777" w:rsidR="00C53D74" w:rsidRDefault="00000000">
                          <w:pPr>
                            <w:pStyle w:val="Tekstpodstawowy"/>
                            <w:spacing w:before="30"/>
                            <w:ind w:left="2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12</w:t>
                          </w:r>
                          <w:r>
                            <w:rPr>
                              <w:spacing w:val="-5"/>
                              <w:w w:val="125"/>
                            </w:rPr>
                            <w:fldChar w:fldCharType="end"/>
                          </w:r>
                        </w:p>
                      </w:txbxContent>
                    </wps:txbx>
                    <wps:bodyPr wrap="square" lIns="0" tIns="0" rIns="0" bIns="0" rtlCol="0"/>
                  </wps:wsp>
                </a:graphicData>
              </a:graphic>
            </wp:anchor>
          </w:drawing>
        </mc:Choice>
        <mc:Fallback>
          <w:pict>
            <v:shapetype w14:anchorId="04C362E0" id="_x0000_t202" coordsize="21600,21600" o:spt="202" path="m,l,21600r21600,l21600,xe">
              <v:stroke joinstyle="miter"/>
              <v:path gradientshapeok="t" o:connecttype="rect"/>
            </v:shapetype>
            <v:shape id="Textbox 12" o:spid="_x0000_s1030" type="#_x0000_t202" style="position:absolute;margin-left:290.25pt;margin-top:806.05pt;width:14.7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" filled="f" stroked="f">
              <v:textbox inset="0,0,0,0">
                <w:txbxContent>
                  <w:p w14:paraId="11B1C614" w14:textId="77777777" w:rsidR="00C53D74" w:rsidRDefault="00000000">
                    <w:pPr>
                      <w:pStyle w:val="Tekstpodstawowy"/>
                      <w:spacing w:before="30"/>
                      <w:ind w:left="2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12</w:t>
                    </w:r>
                    <w:r>
                      <w:rPr>
                        <w:spacing w:val="-5"/>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072C" w14:textId="77777777" w:rsidR="00E427B3" w:rsidRDefault="00E427B3">
      <w:r>
        <w:separator/>
      </w:r>
    </w:p>
  </w:footnote>
  <w:footnote w:type="continuationSeparator" w:id="0">
    <w:p w14:paraId="1ABF736B" w14:textId="77777777" w:rsidR="00E427B3" w:rsidRDefault="00E4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227D" w14:textId="2E9F690A" w:rsidR="00C53D74" w:rsidRDefault="006A1796">
    <w:pPr>
      <w:pStyle w:val="Tekstpodstawowy"/>
      <w:spacing w:line="14" w:lineRule="auto"/>
      <w:ind w:left="0"/>
      <w:jc w:val="left"/>
    </w:pPr>
    <w:r>
      <w:rPr>
        <w:noProof/>
      </w:rPr>
      <mc:AlternateContent>
        <mc:Choice Requires="wps">
          <w:drawing>
            <wp:anchor distT="0" distB="0" distL="0" distR="0" simplePos="0" relativeHeight="251659264" behindDoc="1" locked="0" layoutInCell="1" allowOverlap="1" wp14:anchorId="64BA5FE3" wp14:editId="47369EE9">
              <wp:simplePos x="0" y="0"/>
              <wp:positionH relativeFrom="page">
                <wp:posOffset>438150</wp:posOffset>
              </wp:positionH>
              <wp:positionV relativeFrom="page">
                <wp:posOffset>685800</wp:posOffset>
              </wp:positionV>
              <wp:extent cx="2247900" cy="19875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247900" cy="198755"/>
                      </a:xfrm>
                      <a:prstGeom prst="rect">
                        <a:avLst/>
                      </a:prstGeom>
                    </wps:spPr>
                    <wps:txbx>
                      <w:txbxContent>
                        <w:p w14:paraId="75C09434" w14:textId="4D252C70" w:rsidR="00C53D74" w:rsidRPr="00556C86" w:rsidRDefault="00000000">
                          <w:pPr>
                            <w:pStyle w:val="Tekstpodstawowy"/>
                            <w:spacing w:before="30"/>
                            <w:ind w:left="20"/>
                            <w:jc w:val="left"/>
                            <w:rPr>
                              <w:lang w:val="pl-PL"/>
                            </w:rPr>
                          </w:pPr>
                          <w:r w:rsidRPr="00556C86">
                            <w:rPr>
                              <w:w w:val="120"/>
                              <w:lang w:val="pl-PL"/>
                            </w:rPr>
                            <w:t xml:space="preserve">Arkusz informacyjny – Sport </w:t>
                          </w:r>
                          <w:r w:rsidR="00460403" w:rsidRPr="00556C86">
                            <w:rPr>
                              <w:w w:val="120"/>
                              <w:lang w:val="pl-PL"/>
                            </w:rPr>
                            <w:t xml:space="preserve">I </w:t>
                          </w:r>
                          <w:r w:rsidR="006A1796" w:rsidRPr="00556C86">
                            <w:rPr>
                              <w:w w:val="120"/>
                              <w:lang w:val="pl-PL"/>
                            </w:rPr>
                            <w:t>EKPC</w:t>
                          </w:r>
                          <w:r w:rsidRPr="00556C86">
                            <w:rPr>
                              <w:w w:val="120"/>
                              <w:lang w:val="pl-PL"/>
                            </w:rPr>
                            <w:t xml:space="preserve"> </w:t>
                          </w:r>
                          <w:r w:rsidRPr="00556C86">
                            <w:rPr>
                              <w:spacing w:val="-4"/>
                              <w:w w:val="120"/>
                              <w:lang w:val="pl-PL"/>
                            </w:rPr>
                            <w:t>EKPC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BA5FE3" id="_x0000_t202" coordsize="21600,21600" o:spt="202" path="m,l,21600r21600,l21600,xe">
              <v:stroke joinstyle="miter"/>
              <v:path gradientshapeok="t" o:connecttype="rect"/>
            </v:shapetype>
            <v:shape id="Textbox 11" o:spid="_x0000_s1029" type="#_x0000_t202" style="position:absolute;margin-left:34.5pt;margin-top:54pt;width:177pt;height:15.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" filled="f" stroked="f">
              <v:textbox inset="0,0,0,0">
                <w:txbxContent>
                  <w:p w14:paraId="75C09434" w14:textId="4D252C70" w:rsidR="00C53D74" w:rsidRPr="00556C86" w:rsidRDefault="00000000">
                    <w:pPr>
                      <w:pStyle w:val="Tekstpodstawowy"/>
                      <w:spacing w:before="30"/>
                      <w:ind w:left="20"/>
                      <w:jc w:val="left"/>
                      <w:rPr>
                        <w:lang w:val="pl-PL"/>
                      </w:rPr>
                    </w:pPr>
                    <w:r w:rsidRPr="00556C86">
                      <w:rPr>
                        <w:w w:val="120"/>
                        <w:lang w:val="pl-PL"/>
                      </w:rPr>
                      <w:t xml:space="preserve">Arkusz informacyjny – Sport </w:t>
                    </w:r>
                    <w:r w:rsidR="00460403" w:rsidRPr="00556C86">
                      <w:rPr>
                        <w:w w:val="120"/>
                        <w:lang w:val="pl-PL"/>
                      </w:rPr>
                      <w:t xml:space="preserve">I </w:t>
                    </w:r>
                    <w:r w:rsidR="006A1796" w:rsidRPr="00556C86">
                      <w:rPr>
                        <w:w w:val="120"/>
                        <w:lang w:val="pl-PL"/>
                      </w:rPr>
                      <w:t>EKPC</w:t>
                    </w:r>
                    <w:r w:rsidRPr="00556C86">
                      <w:rPr>
                        <w:w w:val="120"/>
                        <w:lang w:val="pl-PL"/>
                      </w:rPr>
                      <w:t xml:space="preserve"> </w:t>
                    </w:r>
                    <w:r w:rsidRPr="00556C86">
                      <w:rPr>
                        <w:spacing w:val="-4"/>
                        <w:w w:val="120"/>
                        <w:lang w:val="pl-PL"/>
                      </w:rPr>
                      <w:t>EKPC</w:t>
                    </w:r>
                  </w:p>
                </w:txbxContent>
              </v:textbox>
              <w10:wrap anchorx="page" anchory="page"/>
            </v:shape>
          </w:pict>
        </mc:Fallback>
      </mc:AlternateContent>
    </w:r>
    <w:r>
      <w:rPr>
        <w:noProof/>
      </w:rPr>
      <w:drawing>
        <wp:anchor distT="0" distB="0" distL="0" distR="0" simplePos="0" relativeHeight="251656192" behindDoc="1" locked="0" layoutInCell="1" allowOverlap="1" wp14:anchorId="7E7ECE64" wp14:editId="2372ECBB">
          <wp:simplePos x="0" y="0"/>
          <wp:positionH relativeFrom="page">
            <wp:posOffset>5808979</wp:posOffset>
          </wp:positionH>
          <wp:positionV relativeFrom="page">
            <wp:posOffset>457200</wp:posOffset>
          </wp:positionV>
          <wp:extent cx="1409698" cy="371474"/>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409698" cy="371474"/>
                  </a:xfrm>
                  <a:prstGeom prst="rect">
                    <a:avLst/>
                  </a:prstGeom>
                </pic:spPr>
              </pic:pic>
            </a:graphicData>
          </a:graphic>
        </wp:anchor>
      </w:drawing>
    </w:r>
    <w:r>
      <w:rPr>
        <w:noProof/>
      </w:rPr>
      <mc:AlternateContent>
        <mc:Choice Requires="wps">
          <w:drawing>
            <wp:anchor distT="0" distB="0" distL="0" distR="0" simplePos="0" relativeHeight="251657216" behindDoc="1" locked="0" layoutInCell="1" allowOverlap="1" wp14:anchorId="3D901AC5" wp14:editId="0AF07EA1">
              <wp:simplePos x="0" y="0"/>
              <wp:positionH relativeFrom="page">
                <wp:posOffset>437388</wp:posOffset>
              </wp:positionH>
              <wp:positionV relativeFrom="page">
                <wp:posOffset>886967</wp:posOffset>
              </wp:positionV>
              <wp:extent cx="6794500" cy="12700"/>
              <wp:effectExtent l="0" t="0" r="0" b="0"/>
              <wp:wrapNone/>
              <wp:docPr id="10" name="Graphic 10"/>
              <wp:cNvGraphicFramePr/>
              <a:graphic xmlns:a="http://schemas.openxmlformats.org/drawingml/2006/main">
                <a:graphicData uri="http://schemas.microsoft.com/office/word/2010/wordprocessingShape">
                  <wps:wsp>
                    <wps:cNvSpPr/>
                    <wps:spPr>
                      <a:xfrm>
                        <a:off x="0" y="0"/>
                        <a:ext cx="6794500" cy="12700"/>
                      </a:xfrm>
                      <a:custGeom>
                        <a:avLst/>
                        <a:gdLst/>
                        <a:ahLst/>
                        <a:cxnLst/>
                        <a:rect l="l" t="t" r="r" b="b"/>
                        <a:pathLst>
                          <a:path w="6794500" h="12700">
                            <a:moveTo>
                              <a:pt x="12179" y="0"/>
                            </a:moveTo>
                            <a:lnTo>
                              <a:pt x="0" y="0"/>
                            </a:lnTo>
                            <a:lnTo>
                              <a:pt x="0" y="12192"/>
                            </a:lnTo>
                            <a:lnTo>
                              <a:pt x="12179" y="12192"/>
                            </a:lnTo>
                            <a:lnTo>
                              <a:pt x="12179" y="0"/>
                            </a:lnTo>
                            <a:close/>
                          </a:path>
                          <a:path w="6794500" h="12700">
                            <a:moveTo>
                              <a:pt x="6781787" y="0"/>
                            </a:moveTo>
                            <a:lnTo>
                              <a:pt x="3860292" y="0"/>
                            </a:lnTo>
                            <a:lnTo>
                              <a:pt x="3848100" y="0"/>
                            </a:lnTo>
                            <a:lnTo>
                              <a:pt x="12192" y="0"/>
                            </a:lnTo>
                            <a:lnTo>
                              <a:pt x="12192" y="12192"/>
                            </a:lnTo>
                            <a:lnTo>
                              <a:pt x="3848100" y="12192"/>
                            </a:lnTo>
                            <a:lnTo>
                              <a:pt x="3860292" y="12192"/>
                            </a:lnTo>
                            <a:lnTo>
                              <a:pt x="6781787" y="12192"/>
                            </a:lnTo>
                            <a:lnTo>
                              <a:pt x="6781787" y="0"/>
                            </a:lnTo>
                            <a:close/>
                          </a:path>
                          <a:path w="6794500" h="12700">
                            <a:moveTo>
                              <a:pt x="6793992" y="0"/>
                            </a:moveTo>
                            <a:lnTo>
                              <a:pt x="6781800" y="0"/>
                            </a:lnTo>
                            <a:lnTo>
                              <a:pt x="6781800" y="12192"/>
                            </a:lnTo>
                            <a:lnTo>
                              <a:pt x="6793992" y="12192"/>
                            </a:lnTo>
                            <a:lnTo>
                              <a:pt x="6793992"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5736BB59" id="Graphic 10" o:spid="_x0000_s1026" style="position:absolute;margin-left:34.45pt;margin-top:69.85pt;width:53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79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" path="m12179,l,,,12192r12179,l12179,xem6781787,l3860292,r-12192,l12192,r,12192l3848100,12192r12192,l6781787,12192r,-12192xem6793992,r-12192,l6781800,12192r12192,l6793992,xe" fillcolor="gray"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74"/>
    <w:rsid w:val="00000483"/>
    <w:rsid w:val="00047DA2"/>
    <w:rsid w:val="00063FFF"/>
    <w:rsid w:val="00093256"/>
    <w:rsid w:val="000B0258"/>
    <w:rsid w:val="000C7282"/>
    <w:rsid w:val="000D364F"/>
    <w:rsid w:val="000E11E4"/>
    <w:rsid w:val="000F3E01"/>
    <w:rsid w:val="00135ECB"/>
    <w:rsid w:val="001A5331"/>
    <w:rsid w:val="001F3492"/>
    <w:rsid w:val="002B280E"/>
    <w:rsid w:val="002B7514"/>
    <w:rsid w:val="002B7976"/>
    <w:rsid w:val="00357BC0"/>
    <w:rsid w:val="00375F04"/>
    <w:rsid w:val="0038499D"/>
    <w:rsid w:val="003B5F50"/>
    <w:rsid w:val="003C6CBE"/>
    <w:rsid w:val="003D0ECE"/>
    <w:rsid w:val="003E1AC8"/>
    <w:rsid w:val="003E32A1"/>
    <w:rsid w:val="00427698"/>
    <w:rsid w:val="004306BD"/>
    <w:rsid w:val="00456380"/>
    <w:rsid w:val="00460403"/>
    <w:rsid w:val="004A6B42"/>
    <w:rsid w:val="004C56A8"/>
    <w:rsid w:val="00502EC4"/>
    <w:rsid w:val="00556C86"/>
    <w:rsid w:val="005771B5"/>
    <w:rsid w:val="0058391E"/>
    <w:rsid w:val="005A6993"/>
    <w:rsid w:val="005C0648"/>
    <w:rsid w:val="005C7F80"/>
    <w:rsid w:val="005D244B"/>
    <w:rsid w:val="006201B1"/>
    <w:rsid w:val="006848C6"/>
    <w:rsid w:val="006A1796"/>
    <w:rsid w:val="00713813"/>
    <w:rsid w:val="0077011F"/>
    <w:rsid w:val="007A77AD"/>
    <w:rsid w:val="007C1457"/>
    <w:rsid w:val="008A108D"/>
    <w:rsid w:val="008F169C"/>
    <w:rsid w:val="0098109C"/>
    <w:rsid w:val="00A023BB"/>
    <w:rsid w:val="00BD3051"/>
    <w:rsid w:val="00BD3B70"/>
    <w:rsid w:val="00C04C35"/>
    <w:rsid w:val="00C20C89"/>
    <w:rsid w:val="00C53D74"/>
    <w:rsid w:val="00C567DD"/>
    <w:rsid w:val="00CB4CED"/>
    <w:rsid w:val="00CE5CFC"/>
    <w:rsid w:val="00D04432"/>
    <w:rsid w:val="00D44A76"/>
    <w:rsid w:val="00D755EF"/>
    <w:rsid w:val="00D80DCF"/>
    <w:rsid w:val="00DC4EC7"/>
    <w:rsid w:val="00E20B33"/>
    <w:rsid w:val="00E263D5"/>
    <w:rsid w:val="00E427B3"/>
    <w:rsid w:val="00F1465E"/>
    <w:rsid w:val="00F47C48"/>
    <w:rsid w:val="00F81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F252C"/>
  <w15:docId w15:val="{E03E9144-92EA-4BB6-A17E-25585C63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spacing w:before="217"/>
      <w:ind w:left="874"/>
      <w:jc w:val="both"/>
      <w:outlineLvl w:val="0"/>
    </w:pPr>
    <w:rPr>
      <w:sz w:val="28"/>
      <w:szCs w:val="28"/>
    </w:rPr>
  </w:style>
  <w:style w:type="paragraph" w:styleId="Nagwek2">
    <w:name w:val="heading 2"/>
    <w:basedOn w:val="Normalny"/>
    <w:uiPriority w:val="1"/>
    <w:qFormat/>
    <w:pPr>
      <w:spacing w:before="133"/>
      <w:ind w:left="874"/>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73"/>
      <w:jc w:val="both"/>
    </w:pPr>
    <w:rPr>
      <w:sz w:val="20"/>
      <w:szCs w:val="20"/>
    </w:rPr>
  </w:style>
  <w:style w:type="paragraph" w:styleId="Tytu">
    <w:name w:val="Title"/>
    <w:basedOn w:val="Normalny"/>
    <w:uiPriority w:val="1"/>
    <w:qFormat/>
    <w:pPr>
      <w:ind w:left="874" w:right="873"/>
      <w:jc w:val="both"/>
    </w:pPr>
    <w:rPr>
      <w:sz w:val="44"/>
      <w:szCs w:val="4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60403"/>
    <w:pPr>
      <w:tabs>
        <w:tab w:val="center" w:pos="4536"/>
        <w:tab w:val="right" w:pos="9072"/>
      </w:tabs>
    </w:pPr>
  </w:style>
  <w:style w:type="character" w:customStyle="1" w:styleId="NagwekZnak">
    <w:name w:val="Nagłówek Znak"/>
    <w:basedOn w:val="Domylnaczcionkaakapitu"/>
    <w:link w:val="Nagwek"/>
    <w:uiPriority w:val="99"/>
    <w:rsid w:val="00460403"/>
    <w:rPr>
      <w:rFonts w:ascii="Calibri" w:eastAsia="Calibri" w:hAnsi="Calibri" w:cs="Calibri"/>
    </w:rPr>
  </w:style>
  <w:style w:type="paragraph" w:styleId="Stopka">
    <w:name w:val="footer"/>
    <w:basedOn w:val="Normalny"/>
    <w:link w:val="StopkaZnak"/>
    <w:uiPriority w:val="99"/>
    <w:unhideWhenUsed/>
    <w:rsid w:val="00460403"/>
    <w:pPr>
      <w:tabs>
        <w:tab w:val="center" w:pos="4536"/>
        <w:tab w:val="right" w:pos="9072"/>
      </w:tabs>
    </w:pPr>
  </w:style>
  <w:style w:type="character" w:customStyle="1" w:styleId="StopkaZnak">
    <w:name w:val="Stopka Znak"/>
    <w:basedOn w:val="Domylnaczcionkaakapitu"/>
    <w:link w:val="Stopka"/>
    <w:uiPriority w:val="99"/>
    <w:rsid w:val="00460403"/>
    <w:rPr>
      <w:rFonts w:ascii="Calibri" w:eastAsia="Calibri" w:hAnsi="Calibri" w:cs="Calibri"/>
    </w:rPr>
  </w:style>
  <w:style w:type="paragraph" w:styleId="HTML-wstpniesformatowany">
    <w:name w:val="HTML Preformatted"/>
    <w:basedOn w:val="Normalny"/>
    <w:link w:val="HTML-wstpniesformatowanyZnak"/>
    <w:uiPriority w:val="99"/>
    <w:semiHidden/>
    <w:unhideWhenUsed/>
    <w:rsid w:val="00BD3051"/>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BD3051"/>
    <w:rPr>
      <w:rFonts w:ascii="Consolas" w:eastAsia="Calibri" w:hAnsi="Consola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press?i=003-6231634-8099210" TargetMode="External"/><Relationship Id="rId18" Type="http://schemas.openxmlformats.org/officeDocument/2006/relationships/hyperlink" Target="http://hudoc.echr.coe.int/eng-press?i=003-6207200-8059022" TargetMode="External"/><Relationship Id="rId26" Type="http://schemas.openxmlformats.org/officeDocument/2006/relationships/hyperlink" Target="http://hudoc.echr.coe.int/eng-press?i=003-5977677-7646084" TargetMode="External"/><Relationship Id="rId39" Type="http://schemas.openxmlformats.org/officeDocument/2006/relationships/hyperlink" Target="https://hudoc.echr.coe.int/fre?i=001-222861" TargetMode="External"/><Relationship Id="rId21" Type="http://schemas.openxmlformats.org/officeDocument/2006/relationships/hyperlink" Target="http://hudoc.echr.coe.int/eng-press?i=003-7022518-9473785" TargetMode="External"/><Relationship Id="rId34" Type="http://schemas.openxmlformats.org/officeDocument/2006/relationships/hyperlink" Target="http://hudoc.echr.coe.int/sites/eng-press/pages/search.aspx?i=003-4002892-4660808" TargetMode="External"/><Relationship Id="rId42" Type="http://schemas.openxmlformats.org/officeDocument/2006/relationships/hyperlink" Target="http://hudoc.echr.coe.int/eng-press?i=003-2657405-2899610" TargetMode="External"/><Relationship Id="rId47" Type="http://schemas.openxmlformats.org/officeDocument/2006/relationships/hyperlink" Target="https://hudoc.echr.coe.int/eng-press?i=003-7791665-10803581" TargetMode="External"/><Relationship Id="rId50" Type="http://schemas.openxmlformats.org/officeDocument/2006/relationships/hyperlink" Target="http://hudoc.echr.coe.int/eng?i=001-81507" TargetMode="External"/><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hudoc.echr.coe.int/eng-press?i=003-7701636-10631196" TargetMode="External"/><Relationship Id="rId11" Type="http://schemas.openxmlformats.org/officeDocument/2006/relationships/hyperlink" Target="http://hudoc.echr.coe.int/eng-press?i=003-4282482-5111626" TargetMode="External"/><Relationship Id="rId24" Type="http://schemas.openxmlformats.org/officeDocument/2006/relationships/hyperlink" Target="http://hudoc.echr.coe.int/eng-press?i=003-7078737-9570367" TargetMode="External"/><Relationship Id="rId32" Type="http://schemas.openxmlformats.org/officeDocument/2006/relationships/hyperlink" Target="http://hudoc.echr.coe.int/eng-press?i=003-5592122-7062572" TargetMode="External"/><Relationship Id="rId37" Type="http://schemas.openxmlformats.org/officeDocument/2006/relationships/hyperlink" Target="http://hudoc.echr.coe.int/eng-press?i=003-7022518-9473785" TargetMode="External"/><Relationship Id="rId40" Type="http://schemas.openxmlformats.org/officeDocument/2006/relationships/hyperlink" Target="http://hudoc.echr.coe.int/sites/eng-press/pages/search.aspx?i=003-3461359-3895379" TargetMode="External"/><Relationship Id="rId45" Type="http://schemas.openxmlformats.org/officeDocument/2006/relationships/hyperlink" Target="https://hudoc.echr.coe.int/eng-press?i=003-7701636-10631196" TargetMode="External"/><Relationship Id="rId53" Type="http://schemas.openxmlformats.org/officeDocument/2006/relationships/hyperlink" Target="http://hudoc.echr.coe.int/fre-press?i=003-6751666-9010517" TargetMode="External"/><Relationship Id="rId5" Type="http://schemas.openxmlformats.org/officeDocument/2006/relationships/endnotes" Target="endnotes.xml"/><Relationship Id="rId10" Type="http://schemas.openxmlformats.org/officeDocument/2006/relationships/image" Target="media/image3.png"/><Relationship Id="rId19" Type="http://schemas.openxmlformats.org/officeDocument/2006/relationships/hyperlink" Target="http://hudoc.echr.coe.int/eng?i=001-196440" TargetMode="External"/><Relationship Id="rId31" Type="http://schemas.openxmlformats.org/officeDocument/2006/relationships/hyperlink" Target="http://hudoc.echr.coe.int/sites/eng-press/pages/search.aspx?i=003-2569490-2781270" TargetMode="External"/><Relationship Id="rId44" Type="http://schemas.openxmlformats.org/officeDocument/2006/relationships/hyperlink" Target="https://hudoc.echr.coe.int/eng-press?i=003-7701636-10631196" TargetMode="External"/><Relationship Id="rId52" Type="http://schemas.openxmlformats.org/officeDocument/2006/relationships/hyperlink" Target="http://hudoc.echr.coe.int/eng-press?i=003-6244411-8122824" TargetMode="External"/><Relationship Id="rId4" Type="http://schemas.openxmlformats.org/officeDocument/2006/relationships/footnotes" Target="footnotes.xml"/><Relationship Id="rId9" Type="http://schemas.openxmlformats.org/officeDocument/2006/relationships/hyperlink" Target="http://hudoc.echr.coe.int/eng-press?i=003-5910463-7542988" TargetMode="External"/><Relationship Id="rId14" Type="http://schemas.openxmlformats.org/officeDocument/2006/relationships/hyperlink" Target="http://hudoc.echr.coe.int/eng?i=001-81996" TargetMode="External"/><Relationship Id="rId22" Type="http://schemas.openxmlformats.org/officeDocument/2006/relationships/hyperlink" Target="http://hudoc.echr.coe.int/eng-press?i=003-7022518-9473785" TargetMode="External"/><Relationship Id="rId27" Type="http://schemas.openxmlformats.org/officeDocument/2006/relationships/hyperlink" Target="http://hudoc.echr.coe.int/eng-press?i=003-6657864-8849494" TargetMode="External"/><Relationship Id="rId30" Type="http://schemas.openxmlformats.org/officeDocument/2006/relationships/hyperlink" Target="https://hudoc.echr.coe.int/eng-press?i=003-7701636-10631196" TargetMode="External"/><Relationship Id="rId35" Type="http://schemas.openxmlformats.org/officeDocument/2006/relationships/hyperlink" Target="http://hudoc.echr.coe.int/eng?i=002-12331" TargetMode="External"/><Relationship Id="rId43" Type="http://schemas.openxmlformats.org/officeDocument/2006/relationships/hyperlink" Target="https://hudoc.echr.coe.int/eng-press?i=003-7239759-9850842" TargetMode="External"/><Relationship Id="rId48" Type="http://schemas.openxmlformats.org/officeDocument/2006/relationships/hyperlink" Target="http://hudoc.echr.coe.int/eng?i=003-4000172-4656485" TargetMode="External"/><Relationship Id="rId8" Type="http://schemas.openxmlformats.org/officeDocument/2006/relationships/hyperlink" Target="http://hudoc.echr.coe.int/eng?i=002-9357" TargetMode="External"/><Relationship Id="rId51" Type="http://schemas.openxmlformats.org/officeDocument/2006/relationships/hyperlink" Target="http://hudoc.echr.coe.int/eng-press?i=003-5977677-7646084" TargetMode="External"/><Relationship Id="rId3" Type="http://schemas.openxmlformats.org/officeDocument/2006/relationships/webSettings" Target="webSettings.xml"/><Relationship Id="rId12" Type="http://schemas.openxmlformats.org/officeDocument/2006/relationships/hyperlink" Target="http://hudoc.echr.coe.int/eng-press?i=003-6231634-8099210" TargetMode="External"/><Relationship Id="rId17" Type="http://schemas.openxmlformats.org/officeDocument/2006/relationships/hyperlink" Target="http://hudoc.echr.coe.int/eng-press?i=003-3929953-4544958" TargetMode="External"/><Relationship Id="rId25" Type="http://schemas.openxmlformats.org/officeDocument/2006/relationships/hyperlink" Target="http://hudoc.echr.coe.int/eng?i=002-1236" TargetMode="External"/><Relationship Id="rId33" Type="http://schemas.openxmlformats.org/officeDocument/2006/relationships/hyperlink" Target="http://hudoc.echr.coe.int/eng-press?i=003-2657405-2899610" TargetMode="External"/><Relationship Id="rId38" Type="http://schemas.openxmlformats.org/officeDocument/2006/relationships/hyperlink" Target="https://hudoc.echr.coe.int/fre?i=001-222861" TargetMode="External"/><Relationship Id="rId46" Type="http://schemas.openxmlformats.org/officeDocument/2006/relationships/hyperlink" Target="https://hudoc.echr.coe.int/eng-press?i=003-7791665-10803581" TargetMode="External"/><Relationship Id="rId20" Type="http://schemas.openxmlformats.org/officeDocument/2006/relationships/hyperlink" Target="http://hudoc.echr.coe.int/eng-press?i=003-6622299-8788049" TargetMode="External"/><Relationship Id="rId41" Type="http://schemas.openxmlformats.org/officeDocument/2006/relationships/hyperlink" Target="http://hudoc.echr.coe.int/eng-press?i=003-5532736-6964210"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1.xml"/><Relationship Id="rId23" Type="http://schemas.openxmlformats.org/officeDocument/2006/relationships/hyperlink" Target="http://hudoc.echr.coe.int/eng-press?i=003-6657864-8849494" TargetMode="External"/><Relationship Id="rId28" Type="http://schemas.openxmlformats.org/officeDocument/2006/relationships/hyperlink" Target="http://hudoc.echr.coe.int/fre?i=001-213246" TargetMode="External"/><Relationship Id="rId36" Type="http://schemas.openxmlformats.org/officeDocument/2006/relationships/hyperlink" Target="http://hudoc.echr.coe.int/eng-press?i=003-7022518-9473785" TargetMode="External"/><Relationship Id="rId49" Type="http://schemas.openxmlformats.org/officeDocument/2006/relationships/hyperlink" Target="http://hudoc.echr.coe.int/eng-press?i=003-68426-688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1</Pages>
  <Words>6165</Words>
  <Characters>36993</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FS_Sport_ENG.pdf</vt:lpstr>
    </vt:vector>
  </TitlesOfParts>
  <Company>European Court of Human Right</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FS_Sport_ENG.pdf</dc:title>
  <dc:subject>FS_Sport_ENG.pdf</dc:subject>
  <dc:creator>ECHR/CEDH</dc:creator>
  <cp:keywords>, docId:A4315A65E95C065155FCC74572F15F2B</cp:keywords>
  <cp:lastModifiedBy>Szponar Paweł  (DWMPC)</cp:lastModifiedBy>
  <cp:revision>23</cp:revision>
  <dcterms:created xsi:type="dcterms:W3CDTF">2025-12-23T09:16:00Z</dcterms:created>
  <dcterms:modified xsi:type="dcterms:W3CDTF">2026-01-05T10:37:00Z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eDOCS AutoSave">
    <vt:lpwstr>20231108184830650</vt:lpwstr>
  </property>
  <property fmtid="{D5CDD505-2E9C-101B-9397-08002B2CF9AE}" pid="5" name="LastSaved">
    <vt:filetime>2025-12-23T00:00:00Z</vt:filetime>
  </property>
  <property fmtid="{D5CDD505-2E9C-101B-9397-08002B2CF9AE}" pid="6" name="LaunchFolder">
    <vt:lpwstr>O:\Templates\</vt:lpwstr>
  </property>
  <property fmtid="{D5CDD505-2E9C-101B-9397-08002B2CF9AE}" pid="7" name="OrigTemp">
    <vt:lpwstr>NEW_ Press_Country_Files.dot</vt:lpwstr>
  </property>
  <property fmtid="{D5CDD505-2E9C-101B-9397-08002B2CF9AE}" pid="8" name="Producer">
    <vt:lpwstr>Adobe PDF Library 23.6.136</vt:lpwstr>
  </property>
  <property fmtid="{D5CDD505-2E9C-101B-9397-08002B2CF9AE}" pid="9" name="SourceModified">
    <vt:lpwstr>D:20231108175540</vt:lpwstr>
  </property>
</Properties>
</file>