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47" w:rsidRPr="00774510" w:rsidRDefault="00F13DCB" w:rsidP="00793E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  <w:r w:rsidRPr="00774510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47" w:rsidRPr="00774510" w:rsidRDefault="00F13DCB" w:rsidP="00793E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WOJEWODA MAZOWIECKI</w:t>
      </w:r>
    </w:p>
    <w:p w:rsidR="00793E47" w:rsidRPr="00774510" w:rsidRDefault="00F13DCB" w:rsidP="00793E4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Warszawa,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datapodpisuEZD"/>
      <w:bookmarkEnd w:id="0"/>
      <w:r w:rsidR="00CB5539">
        <w:rPr>
          <w:rFonts w:ascii="Calibri" w:eastAsia="Times New Roman" w:hAnsi="Calibri" w:cs="Calibri"/>
          <w:sz w:val="24"/>
          <w:szCs w:val="24"/>
          <w:lang w:eastAsia="pl-PL"/>
        </w:rPr>
        <w:t>23 grudnia 2021 r.</w:t>
      </w:r>
      <w:bookmarkStart w:id="1" w:name="_GoBack"/>
      <w:bookmarkEnd w:id="1"/>
    </w:p>
    <w:p w:rsidR="00793E47" w:rsidRPr="00793E47" w:rsidRDefault="00F13DCB" w:rsidP="00793E47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 xml:space="preserve">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WNP-I.4131</w:t>
      </w:r>
      <w:r w:rsidRPr="00BF3D5B">
        <w:rPr>
          <w:rFonts w:ascii="Calibri" w:eastAsia="Times New Roman" w:hAnsi="Calibri" w:cs="Calibri"/>
          <w:sz w:val="20"/>
          <w:szCs w:val="20"/>
          <w:lang w:eastAsia="pl-PL"/>
        </w:rPr>
        <w:t>.320.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.KS</w:t>
      </w:r>
    </w:p>
    <w:p w:rsidR="00793E47" w:rsidRPr="00774510" w:rsidRDefault="00F13DCB" w:rsidP="00793E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793E47" w:rsidRPr="00774510" w:rsidRDefault="00F13DCB" w:rsidP="00793E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793E47" w:rsidRPr="00774510" w:rsidRDefault="00F13DCB" w:rsidP="00793E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74510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>Rada Miejska w Serocku</w:t>
      </w:r>
    </w:p>
    <w:p w:rsidR="00793E47" w:rsidRPr="00FF0807" w:rsidRDefault="00F13DCB" w:rsidP="00793E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FF080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ul. Rynek 21</w:t>
      </w:r>
    </w:p>
    <w:p w:rsidR="00793E47" w:rsidRPr="00FF0807" w:rsidRDefault="00F13DCB" w:rsidP="00793E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FF080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05-140 Serock</w:t>
      </w:r>
    </w:p>
    <w:p w:rsidR="00793E47" w:rsidRPr="00774510" w:rsidRDefault="00F13DCB" w:rsidP="00793E47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793E47" w:rsidRPr="00774510" w:rsidRDefault="00F13DCB" w:rsidP="00793E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723F7" w:rsidRDefault="00F13DCB" w:rsidP="00FD6752">
      <w:pPr>
        <w:keepNext/>
        <w:spacing w:after="0" w:line="360" w:lineRule="auto"/>
        <w:ind w:left="-142" w:right="-566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820D21" w:rsidRDefault="00F13DCB" w:rsidP="00FD6752">
      <w:pPr>
        <w:keepNext/>
        <w:spacing w:after="0" w:line="360" w:lineRule="auto"/>
        <w:ind w:left="-142" w:right="-566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793E47" w:rsidRPr="001723F7" w:rsidRDefault="00F13DCB" w:rsidP="005445B9">
      <w:pPr>
        <w:keepNext/>
        <w:spacing w:after="0" w:line="360" w:lineRule="auto"/>
        <w:ind w:left="-142" w:right="-566" w:firstLine="709"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Działając na podstawie art. 91 ust. 1 w związku z art. 8</w:t>
      </w:r>
      <w:r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ustawy z dnia 8 marca 1990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samorządzie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gminnym (Dz. U. z 2021 r. poz. 1372, z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 zm.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793E47" w:rsidRPr="00774510" w:rsidRDefault="00F13DCB" w:rsidP="00FD6752">
      <w:pPr>
        <w:spacing w:after="0" w:line="360" w:lineRule="auto"/>
        <w:ind w:left="-142" w:right="-566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stwierdzam nieważność</w:t>
      </w:r>
    </w:p>
    <w:p w:rsidR="00793E47" w:rsidRPr="00306708" w:rsidRDefault="00F13DCB" w:rsidP="00FD6752">
      <w:pPr>
        <w:spacing w:after="0" w:line="360" w:lineRule="auto"/>
        <w:ind w:left="-142" w:right="-56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uchwały Nr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488/XLIII/2021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Rady Miejskiej w Serocku z dnia 17 listopada 2021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zmieniając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ej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uchwałę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w sprawie ustalenia zasad na jakich przewodniczącemu organu wykonawczego jednostki pomocniczej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oraz przewodniczącemu rady osiedla przysługują diety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30670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zakresie </w:t>
      </w:r>
      <w:r w:rsidRPr="0030670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§ 1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ust.</w:t>
      </w:r>
      <w:r w:rsidRPr="0030670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2.</w:t>
      </w:r>
    </w:p>
    <w:p w:rsidR="00FF0807" w:rsidRDefault="00F13DCB" w:rsidP="00FD6752">
      <w:pPr>
        <w:spacing w:after="0" w:line="360" w:lineRule="auto"/>
        <w:ind w:left="-142" w:right="-56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93E47" w:rsidRDefault="00F13DCB" w:rsidP="00FD6752">
      <w:pPr>
        <w:spacing w:after="0" w:line="360" w:lineRule="auto"/>
        <w:ind w:left="-142" w:right="-56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77EB7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134F9E" w:rsidRDefault="00F13DCB" w:rsidP="00FD6752">
      <w:pPr>
        <w:spacing w:after="0" w:line="360" w:lineRule="auto"/>
        <w:ind w:left="-142" w:right="-566" w:firstLine="708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17 listopada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202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r. Rada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Miejska w Serocku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podjęła uchwałę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Nr 488/XLIII/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2021 </w:t>
      </w:r>
      <w:r w:rsidRPr="0045616A">
        <w:rPr>
          <w:rFonts w:ascii="Calibri" w:eastAsia="Times New Roman" w:hAnsi="Calibri" w:cs="Calibri"/>
          <w:i/>
          <w:sz w:val="24"/>
          <w:szCs w:val="24"/>
          <w:lang w:eastAsia="pl-PL"/>
        </w:rPr>
        <w:t>zmieniającą uchwałę w sprawie ustalenia zasad na jakich przewodniczącemu organu wykonawczego jednostki pomocnicze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j</w:t>
      </w:r>
      <w:r w:rsidRPr="0045616A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oraz przewodniczącemu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r</w:t>
      </w:r>
      <w:r w:rsidRPr="0045616A">
        <w:rPr>
          <w:rFonts w:ascii="Calibri" w:eastAsia="Times New Roman" w:hAnsi="Calibri" w:cs="Calibri"/>
          <w:i/>
          <w:sz w:val="24"/>
          <w:szCs w:val="24"/>
          <w:lang w:eastAsia="pl-PL"/>
        </w:rPr>
        <w:t>ady osiedl</w:t>
      </w:r>
      <w:r w:rsidRPr="0045616A">
        <w:rPr>
          <w:rFonts w:ascii="Calibri" w:eastAsia="Times New Roman" w:hAnsi="Calibri" w:cs="Calibri"/>
          <w:i/>
          <w:sz w:val="24"/>
          <w:szCs w:val="24"/>
          <w:lang w:eastAsia="pl-PL"/>
        </w:rPr>
        <w:t>a przysługują diety</w:t>
      </w:r>
      <w:r w:rsidRPr="0077451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.</w:t>
      </w:r>
    </w:p>
    <w:p w:rsidR="00793E47" w:rsidRPr="00F85AD3" w:rsidRDefault="00F13DCB" w:rsidP="00FD6752">
      <w:pPr>
        <w:spacing w:after="0" w:line="360" w:lineRule="auto"/>
        <w:ind w:left="-142" w:right="-566"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77451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została doręczona organowi nadzoru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dniu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30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listopada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202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1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</w:t>
      </w:r>
    </w:p>
    <w:p w:rsidR="00F85AD3" w:rsidRDefault="00F13DCB" w:rsidP="00FD6752">
      <w:pPr>
        <w:spacing w:after="0" w:line="360" w:lineRule="auto"/>
        <w:ind w:left="-142" w:right="-566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Jako podsta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prawną wskazano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37b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ustawy 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samorządzie gminnym, zwanej dalej ,,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.”</w:t>
      </w:r>
    </w:p>
    <w:p w:rsidR="00277EB7" w:rsidRDefault="00F13DCB" w:rsidP="00FD6752">
      <w:pPr>
        <w:spacing w:after="0" w:line="360" w:lineRule="auto"/>
        <w:ind w:left="-142" w:right="-566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uchwale Rada Miejska w Serocku postanowiła:</w:t>
      </w:r>
    </w:p>
    <w:p w:rsidR="00F85AD3" w:rsidRPr="00277EB7" w:rsidRDefault="00F13DCB" w:rsidP="00FD6752">
      <w:pPr>
        <w:spacing w:after="0" w:line="360" w:lineRule="auto"/>
        <w:ind w:left="-142" w:right="-566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,,§ 1</w:t>
      </w:r>
      <w:r w:rsidRPr="00F85AD3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7002BC">
        <w:rPr>
          <w:i/>
          <w:sz w:val="24"/>
          <w:szCs w:val="24"/>
        </w:rPr>
        <w:t xml:space="preserve">W uchwale Nr 419/XXXVI/2021 Rady Miejskiej w Serocku z dnia 31 maja 2021 r. </w:t>
      </w:r>
      <w:r>
        <w:rPr>
          <w:i/>
          <w:sz w:val="24"/>
          <w:szCs w:val="24"/>
        </w:rPr>
        <w:br/>
      </w:r>
      <w:r w:rsidRPr="007002BC">
        <w:rPr>
          <w:i/>
          <w:sz w:val="24"/>
          <w:szCs w:val="24"/>
        </w:rPr>
        <w:t xml:space="preserve">w sprawie ustalenia zasad na jakich przewodniczącemu organu wykonawczego jednostki </w:t>
      </w:r>
      <w:r>
        <w:rPr>
          <w:i/>
          <w:sz w:val="24"/>
          <w:szCs w:val="24"/>
        </w:rPr>
        <w:t xml:space="preserve">pomocniczej </w:t>
      </w:r>
      <w:r w:rsidRPr="007002BC">
        <w:rPr>
          <w:i/>
          <w:sz w:val="24"/>
          <w:szCs w:val="24"/>
        </w:rPr>
        <w:t>oraz przewodniczącemu rady osiedla przysługują diety wprowadza się następujące zmian</w:t>
      </w:r>
      <w:r w:rsidRPr="007002BC">
        <w:rPr>
          <w:i/>
          <w:sz w:val="24"/>
          <w:szCs w:val="24"/>
        </w:rPr>
        <w:t>y:</w:t>
      </w:r>
    </w:p>
    <w:p w:rsidR="00F85AD3" w:rsidRPr="007002BC" w:rsidRDefault="00F13DCB" w:rsidP="00FD6752">
      <w:pPr>
        <w:pStyle w:val="Akapitzlist"/>
        <w:numPr>
          <w:ilvl w:val="0"/>
          <w:numId w:val="1"/>
        </w:numPr>
        <w:spacing w:after="0" w:line="360" w:lineRule="auto"/>
        <w:ind w:left="284" w:right="-566" w:firstLine="0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§ 2 otrzymuje brzmienie: </w:t>
      </w:r>
    </w:p>
    <w:p w:rsidR="00F85AD3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„§ 2. 1. Dieta miesięczna składa się z części określonych w ust. 2-4. </w:t>
      </w:r>
    </w:p>
    <w:p w:rsidR="00F85AD3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lastRenderedPageBreak/>
        <w:t xml:space="preserve">2. Za wykonywanie czynności, o których mowa w § 1 pkt 1 przysługuje część diety miesięcznej </w:t>
      </w:r>
      <w:r w:rsidRPr="007002BC">
        <w:rPr>
          <w:i/>
          <w:sz w:val="24"/>
          <w:szCs w:val="24"/>
        </w:rPr>
        <w:br/>
        <w:t>w wysokości 200 zł (dwieście złotych).</w:t>
      </w:r>
    </w:p>
    <w:p w:rsidR="00F85AD3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>3. Za wykonywanie czynno</w:t>
      </w:r>
      <w:r w:rsidRPr="007002BC">
        <w:rPr>
          <w:i/>
          <w:sz w:val="24"/>
          <w:szCs w:val="24"/>
        </w:rPr>
        <w:t xml:space="preserve">ści, o których mowa w § 1 pkt 2 przysługuje część diety miesięcznej </w:t>
      </w:r>
      <w:r w:rsidRPr="007002BC">
        <w:rPr>
          <w:i/>
          <w:sz w:val="24"/>
          <w:szCs w:val="24"/>
        </w:rPr>
        <w:br/>
        <w:t>w wysokości 50 zł (pięćdziesiąt złotych).</w:t>
      </w:r>
    </w:p>
    <w:p w:rsidR="00FC5135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4. Za wykonywanie czynności, o których mowa w § 1 pkt 3 przysługuje część diety miesięcznej </w:t>
      </w:r>
      <w:r w:rsidRPr="007002BC">
        <w:rPr>
          <w:i/>
          <w:sz w:val="24"/>
          <w:szCs w:val="24"/>
        </w:rPr>
        <w:br/>
        <w:t>w wysokości 100 zł (sto złotych).</w:t>
      </w:r>
    </w:p>
    <w:p w:rsidR="00FC5135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>5. Dieta ulega pro</w:t>
      </w:r>
      <w:r w:rsidRPr="007002BC">
        <w:rPr>
          <w:i/>
          <w:sz w:val="24"/>
          <w:szCs w:val="24"/>
        </w:rPr>
        <w:t xml:space="preserve">porcjonalnemu zmniejszeniu, stosownie do niewykonywanych czynności określonych w § 1.”. </w:t>
      </w:r>
    </w:p>
    <w:p w:rsidR="00FC5135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2. § 3 ust. 2 otrzymuje brzmienie: </w:t>
      </w:r>
    </w:p>
    <w:p w:rsidR="00FC5135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„2. W przypadku zbiegu uprawnień do diety, o której mowa w § 1 oraz diety radnego wypłaca </w:t>
      </w:r>
      <w:r w:rsidRPr="007002BC">
        <w:rPr>
          <w:i/>
          <w:sz w:val="24"/>
          <w:szCs w:val="24"/>
        </w:rPr>
        <w:br/>
        <w:t xml:space="preserve">się obydwie diety.”. </w:t>
      </w:r>
    </w:p>
    <w:p w:rsidR="00FC5135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§ 2. Przepisy uchwały w brzmieniu nadanym niniejszą uchwałą mają zastosowanie </w:t>
      </w:r>
      <w:r>
        <w:rPr>
          <w:i/>
          <w:sz w:val="24"/>
          <w:szCs w:val="24"/>
        </w:rPr>
        <w:br/>
      </w:r>
      <w:r w:rsidRPr="007002BC">
        <w:rPr>
          <w:i/>
          <w:sz w:val="24"/>
          <w:szCs w:val="24"/>
        </w:rPr>
        <w:t xml:space="preserve">do ustalania wysokości diet od 1 grudnia 2021 r. </w:t>
      </w:r>
    </w:p>
    <w:p w:rsidR="00FC5135" w:rsidRP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 xml:space="preserve">§ 3. Wykonanie uchwały powierza się Burmistrzowi Miasta i Gminy Serock. </w:t>
      </w:r>
    </w:p>
    <w:p w:rsidR="007002BC" w:rsidRDefault="00F13DCB" w:rsidP="00FD6752">
      <w:pPr>
        <w:pStyle w:val="Akapitzlist"/>
        <w:spacing w:after="0" w:line="360" w:lineRule="auto"/>
        <w:ind w:left="284" w:right="-566"/>
        <w:jc w:val="both"/>
        <w:rPr>
          <w:i/>
          <w:sz w:val="24"/>
          <w:szCs w:val="24"/>
        </w:rPr>
      </w:pPr>
      <w:r w:rsidRPr="007002BC">
        <w:rPr>
          <w:i/>
          <w:sz w:val="24"/>
          <w:szCs w:val="24"/>
        </w:rPr>
        <w:t>§ 4. Uchwała wchodzi w życie po upływie 14 dni od dnia</w:t>
      </w:r>
      <w:r w:rsidRPr="007002BC">
        <w:rPr>
          <w:i/>
          <w:sz w:val="24"/>
          <w:szCs w:val="24"/>
        </w:rPr>
        <w:t xml:space="preserve"> jej ogłoszenia w Dzienniku Urzędowym Województwa Mazowieckiego</w:t>
      </w:r>
      <w:r w:rsidRPr="007002BC">
        <w:rPr>
          <w:i/>
          <w:sz w:val="24"/>
          <w:szCs w:val="24"/>
        </w:rPr>
        <w:t>.”.</w:t>
      </w:r>
    </w:p>
    <w:p w:rsidR="00793E47" w:rsidRPr="005B7B83" w:rsidRDefault="00F13DCB" w:rsidP="00FD6752">
      <w:pPr>
        <w:spacing w:after="0" w:line="360" w:lineRule="auto"/>
        <w:ind w:left="-142" w:right="-566"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Z</w:t>
      </w:r>
      <w:r w:rsidRPr="005B7B83">
        <w:rPr>
          <w:rFonts w:cstheme="minorHAnsi"/>
          <w:sz w:val="24"/>
          <w:szCs w:val="24"/>
        </w:rPr>
        <w:t xml:space="preserve">godnie z przepisem art. 37b ust. 1 </w:t>
      </w:r>
      <w:proofErr w:type="spellStart"/>
      <w:r w:rsidRPr="005B7B83">
        <w:rPr>
          <w:rFonts w:cstheme="minorHAnsi"/>
          <w:sz w:val="24"/>
          <w:szCs w:val="24"/>
        </w:rPr>
        <w:t>u.s.g</w:t>
      </w:r>
      <w:proofErr w:type="spellEnd"/>
      <w:r w:rsidRPr="005B7B83">
        <w:rPr>
          <w:rFonts w:cstheme="minorHAnsi"/>
          <w:sz w:val="24"/>
          <w:szCs w:val="24"/>
        </w:rPr>
        <w:t xml:space="preserve">. rada gminy może ustanowić zasady, na jakich przewodniczącemu organu wykonawczego jednostki pomocniczej będzie przysługiwała dieta oraz zwrot </w:t>
      </w:r>
      <w:r w:rsidRPr="005B7B83">
        <w:rPr>
          <w:rFonts w:cstheme="minorHAnsi"/>
          <w:sz w:val="24"/>
          <w:szCs w:val="24"/>
        </w:rPr>
        <w:t>kosztów podróży służbowej. Wskazany przepis ustawy przyznaje radzie gminy kompetencję do ustanowienia zasad rekompensaty wydatków ponoszonych przez sołtysów w postaci diety i zwrotu kosztów podróży służbowej. Ustanowić zasady to oznacza rozstrzygnąć, wyzna</w:t>
      </w:r>
      <w:r w:rsidRPr="005B7B83">
        <w:rPr>
          <w:rFonts w:cstheme="minorHAnsi"/>
          <w:sz w:val="24"/>
          <w:szCs w:val="24"/>
        </w:rPr>
        <w:t>czyć, ustalić odpowiednie kryteria, sposoby lub warunki spełniania określonych uprawnień lub ponoszenia obowiązków. W orzecznictwie sądowo-administracyjnym podkreśla</w:t>
      </w:r>
      <w:r>
        <w:rPr>
          <w:rFonts w:cstheme="minorHAnsi"/>
          <w:sz w:val="24"/>
          <w:szCs w:val="24"/>
        </w:rPr>
        <w:t xml:space="preserve"> się</w:t>
      </w:r>
      <w:r w:rsidRPr="005B7B83">
        <w:rPr>
          <w:rFonts w:cstheme="minorHAnsi"/>
          <w:sz w:val="24"/>
          <w:szCs w:val="24"/>
        </w:rPr>
        <w:t>, że</w:t>
      </w:r>
      <w:r>
        <w:rPr>
          <w:rFonts w:cstheme="minorHAnsi"/>
          <w:sz w:val="24"/>
          <w:szCs w:val="24"/>
        </w:rPr>
        <w:t>:</w:t>
      </w:r>
      <w:r w:rsidRPr="005B7B83">
        <w:rPr>
          <w:rFonts w:cstheme="minorHAnsi"/>
          <w:sz w:val="24"/>
          <w:szCs w:val="24"/>
        </w:rPr>
        <w:t xml:space="preserve"> ,,</w:t>
      </w:r>
      <w:r w:rsidRPr="005B7B83">
        <w:rPr>
          <w:rFonts w:cstheme="minorHAnsi"/>
          <w:i/>
          <w:sz w:val="24"/>
          <w:szCs w:val="24"/>
        </w:rPr>
        <w:t>pełnienie funkcji przewodniczącego organu wykonawczego jednostki pomocniczej ni</w:t>
      </w:r>
      <w:r w:rsidRPr="005B7B83">
        <w:rPr>
          <w:rFonts w:cstheme="minorHAnsi"/>
          <w:i/>
          <w:sz w:val="24"/>
          <w:szCs w:val="24"/>
        </w:rPr>
        <w:t>e następuje w ramach stosunku pracy - są to bowiem funkcje pełnione społecznie i dla dobra lokalnego społeczeństwa. Nie można pomijać tego, że dieta ma stanowić wyłącznie ekwiwalent utraconych korzyści (np. pomniejszonego wynagrodzenia za pracę w związku z</w:t>
      </w:r>
      <w:r w:rsidRPr="005B7B83">
        <w:rPr>
          <w:rFonts w:cstheme="minorHAnsi"/>
          <w:i/>
          <w:sz w:val="24"/>
          <w:szCs w:val="24"/>
        </w:rPr>
        <w:t xml:space="preserve"> obecnością na sesji rady gminy), jakie radny czy sołtys </w:t>
      </w:r>
      <w:r>
        <w:rPr>
          <w:rFonts w:cstheme="minorHAnsi"/>
          <w:i/>
          <w:sz w:val="24"/>
          <w:szCs w:val="24"/>
        </w:rPr>
        <w:br/>
      </w:r>
      <w:r w:rsidRPr="005B7B83">
        <w:rPr>
          <w:rFonts w:cstheme="minorHAnsi"/>
          <w:i/>
          <w:sz w:val="24"/>
          <w:szCs w:val="24"/>
        </w:rPr>
        <w:t>nie uzyskuje w związku z wykonywaniem swego mandatu</w:t>
      </w:r>
      <w:r>
        <w:rPr>
          <w:rFonts w:cstheme="minorHAnsi"/>
          <w:i/>
          <w:sz w:val="24"/>
          <w:szCs w:val="24"/>
        </w:rPr>
        <w:t>”</w:t>
      </w:r>
      <w:r w:rsidRPr="005B7B83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5B7B83">
        <w:rPr>
          <w:rFonts w:cstheme="minorHAnsi"/>
          <w:sz w:val="24"/>
          <w:szCs w:val="24"/>
        </w:rPr>
        <w:t>wyrok WSA w Rzesz</w:t>
      </w:r>
      <w:r>
        <w:rPr>
          <w:rFonts w:cstheme="minorHAnsi"/>
          <w:sz w:val="24"/>
          <w:szCs w:val="24"/>
        </w:rPr>
        <w:t>owie z dnia 25 sierpnia 2016 r.</w:t>
      </w:r>
      <w:r w:rsidRPr="005B7B83">
        <w:rPr>
          <w:rFonts w:cstheme="minorHAnsi"/>
          <w:sz w:val="24"/>
          <w:szCs w:val="24"/>
        </w:rPr>
        <w:t xml:space="preserve"> sygn. akt </w:t>
      </w:r>
      <w:hyperlink r:id="rId9" w:anchor="/document/522216113?cm=DOCUMENT" w:history="1">
        <w:r w:rsidRPr="005B7B83">
          <w:rPr>
            <w:rStyle w:val="Hipercze"/>
            <w:rFonts w:cstheme="minorHAnsi"/>
            <w:color w:val="auto"/>
            <w:sz w:val="24"/>
            <w:szCs w:val="24"/>
            <w:u w:val="none"/>
          </w:rPr>
          <w:t>II SA/</w:t>
        </w:r>
        <w:proofErr w:type="spellStart"/>
        <w:r w:rsidRPr="005B7B83">
          <w:rPr>
            <w:rStyle w:val="Hipercze"/>
            <w:rFonts w:cstheme="minorHAnsi"/>
            <w:color w:val="auto"/>
            <w:sz w:val="24"/>
            <w:szCs w:val="24"/>
            <w:u w:val="none"/>
          </w:rPr>
          <w:t>Rz</w:t>
        </w:r>
        <w:proofErr w:type="spellEnd"/>
        <w:r w:rsidRPr="005B7B83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 1701/1</w:t>
        </w:r>
        <w:r w:rsidRPr="005B7B83">
          <w:rPr>
            <w:rStyle w:val="Hipercze"/>
            <w:rFonts w:cstheme="minorHAnsi"/>
            <w:color w:val="auto"/>
            <w:sz w:val="24"/>
            <w:szCs w:val="24"/>
            <w:u w:val="none"/>
          </w:rPr>
          <w:t>5</w:t>
        </w:r>
      </w:hyperlink>
      <w:r w:rsidRPr="005B7B83">
        <w:rPr>
          <w:rFonts w:cstheme="minorHAnsi"/>
          <w:sz w:val="24"/>
          <w:szCs w:val="24"/>
        </w:rPr>
        <w:t>).</w:t>
      </w:r>
    </w:p>
    <w:p w:rsidR="007002BC" w:rsidRDefault="00F13DCB" w:rsidP="00FD6752">
      <w:pPr>
        <w:spacing w:after="0" w:line="360" w:lineRule="auto"/>
        <w:ind w:left="-142" w:right="-566" w:firstLine="708"/>
        <w:jc w:val="both"/>
        <w:rPr>
          <w:sz w:val="24"/>
          <w:szCs w:val="24"/>
        </w:rPr>
      </w:pPr>
      <w:r w:rsidRPr="00BC1787">
        <w:rPr>
          <w:sz w:val="24"/>
          <w:szCs w:val="24"/>
        </w:rPr>
        <w:t xml:space="preserve">Należy podkreślić, że dieta ma charakter rekompensaty za zaangażowanie </w:t>
      </w:r>
      <w:r>
        <w:rPr>
          <w:sz w:val="24"/>
          <w:szCs w:val="24"/>
        </w:rPr>
        <w:br/>
      </w:r>
      <w:r w:rsidRPr="00BC1787">
        <w:rPr>
          <w:sz w:val="24"/>
          <w:szCs w:val="24"/>
        </w:rPr>
        <w:t xml:space="preserve">w działalność publiczną i wydatki (koszty) </w:t>
      </w:r>
      <w:r w:rsidRPr="00BC1787">
        <w:rPr>
          <w:sz w:val="24"/>
          <w:szCs w:val="24"/>
        </w:rPr>
        <w:t xml:space="preserve">poniesione </w:t>
      </w:r>
      <w:r w:rsidRPr="00BC1787">
        <w:rPr>
          <w:sz w:val="24"/>
          <w:szCs w:val="24"/>
        </w:rPr>
        <w:t>w związku z wykonywaniem</w:t>
      </w:r>
      <w:r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owierzonej funkcji społecznej, </w:t>
      </w:r>
      <w:r w:rsidRPr="00804388">
        <w:rPr>
          <w:b/>
          <w:sz w:val="24"/>
          <w:szCs w:val="24"/>
        </w:rPr>
        <w:t>a nie jest świadczeniem pracowniczym</w:t>
      </w:r>
      <w:r>
        <w:rPr>
          <w:sz w:val="24"/>
          <w:szCs w:val="24"/>
        </w:rPr>
        <w:t>.</w:t>
      </w:r>
      <w:r w:rsidRPr="00BC1787">
        <w:rPr>
          <w:sz w:val="24"/>
          <w:szCs w:val="24"/>
        </w:rPr>
        <w:t xml:space="preserve"> Rada gminy, korzystając zate</w:t>
      </w:r>
      <w:r w:rsidRPr="00BC1787">
        <w:rPr>
          <w:sz w:val="24"/>
          <w:szCs w:val="24"/>
        </w:rPr>
        <w:t xml:space="preserve">m z normy </w:t>
      </w:r>
      <w:r w:rsidRPr="00BC1787">
        <w:rPr>
          <w:sz w:val="24"/>
          <w:szCs w:val="24"/>
        </w:rPr>
        <w:lastRenderedPageBreak/>
        <w:t xml:space="preserve">kompetencyjnej zawartej w </w:t>
      </w:r>
      <w:r>
        <w:rPr>
          <w:sz w:val="24"/>
          <w:szCs w:val="24"/>
        </w:rPr>
        <w:t xml:space="preserve">przepisie art. 37b ust. 1 </w:t>
      </w:r>
      <w:proofErr w:type="spellStart"/>
      <w:r>
        <w:rPr>
          <w:sz w:val="24"/>
          <w:szCs w:val="24"/>
        </w:rPr>
        <w:t>u.s.g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BC1787">
        <w:rPr>
          <w:sz w:val="24"/>
          <w:szCs w:val="24"/>
        </w:rPr>
        <w:t xml:space="preserve"> powinna dokonać określenia zasad, </w:t>
      </w:r>
      <w:r>
        <w:rPr>
          <w:sz w:val="24"/>
          <w:szCs w:val="24"/>
        </w:rPr>
        <w:br/>
      </w:r>
      <w:r w:rsidRPr="00BC1787">
        <w:rPr>
          <w:sz w:val="24"/>
          <w:szCs w:val="24"/>
        </w:rPr>
        <w:t>na jakich przewodniczącemu organu wykonawc</w:t>
      </w:r>
      <w:r>
        <w:rPr>
          <w:sz w:val="24"/>
          <w:szCs w:val="24"/>
        </w:rPr>
        <w:t>zego jednostki pomocniczej</w:t>
      </w:r>
      <w:r w:rsidRPr="00BC1787">
        <w:rPr>
          <w:sz w:val="24"/>
          <w:szCs w:val="24"/>
        </w:rPr>
        <w:t xml:space="preserve"> </w:t>
      </w:r>
      <w:r>
        <w:rPr>
          <w:sz w:val="24"/>
          <w:szCs w:val="24"/>
        </w:rPr>
        <w:t>czy przewodniczącemu rady osiedla</w:t>
      </w:r>
      <w:r w:rsidRPr="00BC1787">
        <w:rPr>
          <w:sz w:val="24"/>
          <w:szCs w:val="24"/>
        </w:rPr>
        <w:t xml:space="preserve"> </w:t>
      </w:r>
      <w:r w:rsidRPr="00BC1787">
        <w:rPr>
          <w:sz w:val="24"/>
          <w:szCs w:val="24"/>
        </w:rPr>
        <w:t>przysługuj</w:t>
      </w:r>
      <w:r>
        <w:rPr>
          <w:sz w:val="24"/>
          <w:szCs w:val="24"/>
        </w:rPr>
        <w:t>e</w:t>
      </w:r>
      <w:r w:rsidRPr="00BC1787">
        <w:rPr>
          <w:sz w:val="24"/>
          <w:szCs w:val="24"/>
        </w:rPr>
        <w:t xml:space="preserve"> </w:t>
      </w:r>
      <w:r>
        <w:rPr>
          <w:sz w:val="24"/>
          <w:szCs w:val="24"/>
        </w:rPr>
        <w:t>diet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i </w:t>
      </w:r>
      <w:r w:rsidRPr="00BC1787">
        <w:rPr>
          <w:sz w:val="24"/>
          <w:szCs w:val="24"/>
        </w:rPr>
        <w:t xml:space="preserve">zwrot kosztów podróży, </w:t>
      </w:r>
      <w:r w:rsidRPr="00804388">
        <w:rPr>
          <w:b/>
          <w:sz w:val="24"/>
          <w:szCs w:val="24"/>
        </w:rPr>
        <w:t xml:space="preserve">a więc określenia tych </w:t>
      </w:r>
      <w:r w:rsidRPr="00EB1AEB">
        <w:rPr>
          <w:b/>
          <w:i/>
          <w:sz w:val="24"/>
          <w:szCs w:val="24"/>
        </w:rPr>
        <w:t xml:space="preserve">czynności </w:t>
      </w:r>
      <w:r w:rsidRPr="00EA59BE">
        <w:rPr>
          <w:b/>
          <w:i/>
          <w:sz w:val="24"/>
          <w:szCs w:val="24"/>
        </w:rPr>
        <w:t>funkcyjnych</w:t>
      </w:r>
      <w:r w:rsidRPr="008043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przewodniczącego organu wykonawczego jednostki pomocniczej gminy – sołtysa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przewodniczącego rady osiedla, z</w:t>
      </w:r>
      <w:r w:rsidRPr="00804388">
        <w:rPr>
          <w:b/>
          <w:sz w:val="24"/>
          <w:szCs w:val="24"/>
        </w:rPr>
        <w:t>a które przysługuje</w:t>
      </w:r>
      <w:r>
        <w:rPr>
          <w:b/>
          <w:sz w:val="24"/>
          <w:szCs w:val="24"/>
        </w:rPr>
        <w:t xml:space="preserve"> </w:t>
      </w:r>
      <w:r w:rsidRPr="00804388">
        <w:rPr>
          <w:b/>
          <w:sz w:val="24"/>
          <w:szCs w:val="24"/>
        </w:rPr>
        <w:t xml:space="preserve">dieta </w:t>
      </w:r>
      <w:r w:rsidRPr="005B7B83">
        <w:rPr>
          <w:sz w:val="24"/>
          <w:szCs w:val="24"/>
        </w:rPr>
        <w:t xml:space="preserve">(tj. za jakie konkretnie czynności </w:t>
      </w:r>
      <w:r w:rsidRPr="005B7B83">
        <w:rPr>
          <w:sz w:val="24"/>
          <w:szCs w:val="24"/>
        </w:rPr>
        <w:t>przysług</w:t>
      </w:r>
      <w:r>
        <w:rPr>
          <w:sz w:val="24"/>
          <w:szCs w:val="24"/>
        </w:rPr>
        <w:t>uje</w:t>
      </w:r>
      <w:r w:rsidRPr="005B7B83">
        <w:rPr>
          <w:sz w:val="24"/>
          <w:szCs w:val="24"/>
        </w:rPr>
        <w:t xml:space="preserve"> dieta </w:t>
      </w:r>
      <w:r w:rsidRPr="005B7B83">
        <w:rPr>
          <w:sz w:val="24"/>
          <w:szCs w:val="24"/>
        </w:rPr>
        <w:t>i w jakiej wysokości )</w:t>
      </w:r>
      <w:r w:rsidRPr="005B7B83">
        <w:rPr>
          <w:b/>
          <w:sz w:val="24"/>
          <w:szCs w:val="24"/>
        </w:rPr>
        <w:t>.</w:t>
      </w:r>
      <w:r w:rsidRPr="00BC1787">
        <w:rPr>
          <w:sz w:val="24"/>
          <w:szCs w:val="24"/>
        </w:rPr>
        <w:t xml:space="preserve"> </w:t>
      </w:r>
      <w:r>
        <w:rPr>
          <w:sz w:val="24"/>
          <w:szCs w:val="24"/>
        </w:rPr>
        <w:t>W ocenie organu nadzoru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w </w:t>
      </w:r>
      <w:r w:rsidRPr="00EB1AEB">
        <w:rPr>
          <w:sz w:val="24"/>
          <w:szCs w:val="24"/>
        </w:rPr>
        <w:t xml:space="preserve">możliwości </w:t>
      </w:r>
      <w:r>
        <w:rPr>
          <w:sz w:val="24"/>
          <w:szCs w:val="24"/>
        </w:rPr>
        <w:t>ustalenia</w:t>
      </w:r>
      <w:r w:rsidRPr="00EB1AEB">
        <w:rPr>
          <w:sz w:val="24"/>
          <w:szCs w:val="24"/>
        </w:rPr>
        <w:t xml:space="preserve"> </w:t>
      </w:r>
      <w:r w:rsidRPr="00EB1AEB">
        <w:rPr>
          <w:sz w:val="24"/>
          <w:szCs w:val="24"/>
        </w:rPr>
        <w:t xml:space="preserve">zasad przyznania diety mieści się kompetencja </w:t>
      </w:r>
      <w:r>
        <w:rPr>
          <w:sz w:val="24"/>
          <w:szCs w:val="24"/>
        </w:rPr>
        <w:t>rady gminy</w:t>
      </w:r>
      <w:r w:rsidRPr="00EB1A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EB1AEB">
        <w:rPr>
          <w:sz w:val="24"/>
          <w:szCs w:val="24"/>
        </w:rPr>
        <w:t>przyznani</w:t>
      </w:r>
      <w:r>
        <w:rPr>
          <w:sz w:val="24"/>
          <w:szCs w:val="24"/>
        </w:rPr>
        <w:t>a</w:t>
      </w:r>
      <w:r w:rsidRPr="00EB1AEB">
        <w:rPr>
          <w:sz w:val="24"/>
          <w:szCs w:val="24"/>
        </w:rPr>
        <w:t xml:space="preserve"> sołtysom diety, </w:t>
      </w:r>
      <w:r>
        <w:rPr>
          <w:sz w:val="24"/>
          <w:szCs w:val="24"/>
        </w:rPr>
        <w:t xml:space="preserve">określenia </w:t>
      </w:r>
      <w:r>
        <w:rPr>
          <w:sz w:val="24"/>
          <w:szCs w:val="24"/>
        </w:rPr>
        <w:br/>
      </w:r>
      <w:r w:rsidRPr="00EB1AEB">
        <w:rPr>
          <w:sz w:val="24"/>
          <w:szCs w:val="24"/>
        </w:rPr>
        <w:t xml:space="preserve">jej wysokości </w:t>
      </w:r>
      <w:r w:rsidRPr="00BF3D5B">
        <w:rPr>
          <w:sz w:val="24"/>
          <w:szCs w:val="24"/>
        </w:rPr>
        <w:t xml:space="preserve">oraz </w:t>
      </w:r>
      <w:r>
        <w:rPr>
          <w:sz w:val="24"/>
          <w:szCs w:val="24"/>
        </w:rPr>
        <w:t>przesłanek</w:t>
      </w:r>
      <w:r w:rsidRPr="00BF3D5B">
        <w:rPr>
          <w:sz w:val="24"/>
          <w:szCs w:val="24"/>
        </w:rPr>
        <w:t xml:space="preserve"> </w:t>
      </w:r>
      <w:r w:rsidRPr="00BF3D5B">
        <w:rPr>
          <w:sz w:val="24"/>
          <w:szCs w:val="24"/>
        </w:rPr>
        <w:t>uprawniających do jej uzyskania.</w:t>
      </w:r>
      <w:r>
        <w:rPr>
          <w:b/>
          <w:sz w:val="24"/>
          <w:szCs w:val="24"/>
        </w:rPr>
        <w:t xml:space="preserve"> </w:t>
      </w:r>
      <w:r w:rsidRPr="00BC1787">
        <w:rPr>
          <w:sz w:val="24"/>
          <w:szCs w:val="24"/>
        </w:rPr>
        <w:t xml:space="preserve">Zakresem regulacji uchwały powinna być </w:t>
      </w:r>
      <w:r w:rsidRPr="00BC1787">
        <w:rPr>
          <w:sz w:val="24"/>
          <w:szCs w:val="24"/>
        </w:rPr>
        <w:t>również objęta sytuacja, gdy sołtys np. przez dłuższy okres nie wykonuje obowiązków wynikających</w:t>
      </w:r>
      <w:r>
        <w:rPr>
          <w:sz w:val="24"/>
          <w:szCs w:val="24"/>
        </w:rPr>
        <w:t xml:space="preserve"> </w:t>
      </w:r>
      <w:r w:rsidRPr="00BC1787">
        <w:rPr>
          <w:sz w:val="24"/>
          <w:szCs w:val="24"/>
        </w:rPr>
        <w:t>z pełnionej funkcji, a tym samym nie ponosi żadnych koszt</w:t>
      </w:r>
      <w:r>
        <w:rPr>
          <w:sz w:val="24"/>
          <w:szCs w:val="24"/>
        </w:rPr>
        <w:t>ów związanych z jej pełnieniem.</w:t>
      </w:r>
      <w:r>
        <w:rPr>
          <w:sz w:val="24"/>
          <w:szCs w:val="24"/>
        </w:rPr>
        <w:t xml:space="preserve"> </w:t>
      </w:r>
    </w:p>
    <w:p w:rsidR="00BF3D5B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sz w:val="24"/>
          <w:szCs w:val="24"/>
        </w:rPr>
      </w:pPr>
      <w:r>
        <w:rPr>
          <w:sz w:val="24"/>
          <w:szCs w:val="24"/>
        </w:rPr>
        <w:t>Jednakże w</w:t>
      </w:r>
      <w:r>
        <w:rPr>
          <w:sz w:val="24"/>
          <w:szCs w:val="24"/>
        </w:rPr>
        <w:t xml:space="preserve"> ocenie organu nadzoru </w:t>
      </w:r>
      <w:r w:rsidRPr="00EA59BE">
        <w:rPr>
          <w:sz w:val="24"/>
          <w:szCs w:val="24"/>
        </w:rPr>
        <w:t xml:space="preserve">§ </w:t>
      </w:r>
      <w:r>
        <w:rPr>
          <w:sz w:val="24"/>
          <w:szCs w:val="24"/>
        </w:rPr>
        <w:t>1</w:t>
      </w:r>
      <w:r w:rsidRPr="00EA59BE">
        <w:rPr>
          <w:sz w:val="24"/>
          <w:szCs w:val="24"/>
        </w:rPr>
        <w:t xml:space="preserve"> </w:t>
      </w:r>
      <w:r>
        <w:rPr>
          <w:sz w:val="24"/>
          <w:szCs w:val="24"/>
        </w:rPr>
        <w:t>ust.</w:t>
      </w:r>
      <w:r>
        <w:rPr>
          <w:sz w:val="24"/>
          <w:szCs w:val="24"/>
        </w:rPr>
        <w:t xml:space="preserve"> </w:t>
      </w:r>
      <w:r w:rsidRPr="00EA59BE">
        <w:rPr>
          <w:sz w:val="24"/>
          <w:szCs w:val="24"/>
        </w:rPr>
        <w:t xml:space="preserve">2 uchwały, </w:t>
      </w:r>
      <w:r>
        <w:rPr>
          <w:sz w:val="24"/>
          <w:szCs w:val="24"/>
        </w:rPr>
        <w:t xml:space="preserve">w </w:t>
      </w:r>
      <w:r w:rsidRPr="00EA59BE">
        <w:rPr>
          <w:sz w:val="24"/>
          <w:szCs w:val="24"/>
        </w:rPr>
        <w:t>który</w:t>
      </w:r>
      <w:r>
        <w:rPr>
          <w:sz w:val="24"/>
          <w:szCs w:val="24"/>
        </w:rPr>
        <w:t>m</w:t>
      </w:r>
      <w:r w:rsidRPr="00EA59BE">
        <w:rPr>
          <w:sz w:val="24"/>
          <w:szCs w:val="24"/>
        </w:rPr>
        <w:t xml:space="preserve"> </w:t>
      </w:r>
      <w:r>
        <w:rPr>
          <w:sz w:val="24"/>
          <w:szCs w:val="24"/>
        </w:rPr>
        <w:t>nada</w:t>
      </w:r>
      <w:r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nowe brzmienie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§ 3 ust. 2 </w:t>
      </w:r>
      <w:r>
        <w:rPr>
          <w:sz w:val="24"/>
          <w:szCs w:val="24"/>
        </w:rPr>
        <w:t xml:space="preserve">uchwały </w:t>
      </w:r>
      <w:r>
        <w:rPr>
          <w:sz w:val="24"/>
          <w:szCs w:val="24"/>
        </w:rPr>
        <w:t xml:space="preserve">zmienianej </w:t>
      </w:r>
      <w:r w:rsidRPr="00EA59BE">
        <w:rPr>
          <w:sz w:val="24"/>
          <w:szCs w:val="24"/>
        </w:rPr>
        <w:t xml:space="preserve">: </w:t>
      </w:r>
      <w:r w:rsidRPr="00256F25">
        <w:rPr>
          <w:b/>
          <w:i/>
          <w:sz w:val="24"/>
          <w:szCs w:val="24"/>
        </w:rPr>
        <w:t xml:space="preserve">„2. W przypadku zbiegu uprawnień do diety, o której mowa w § 1 oraz diety radnego wypłaca się </w:t>
      </w:r>
      <w:r w:rsidRPr="00256F25">
        <w:rPr>
          <w:b/>
          <w:i/>
          <w:sz w:val="24"/>
          <w:szCs w:val="24"/>
          <w:u w:val="single"/>
        </w:rPr>
        <w:t>obydwie diety</w:t>
      </w:r>
      <w:r w:rsidRPr="00256F25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Pr="00256F25">
        <w:rPr>
          <w:sz w:val="24"/>
          <w:szCs w:val="24"/>
        </w:rPr>
        <w:t xml:space="preserve">został wydany z istotnym naruszeniem art. 37b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ust. 1 </w:t>
      </w:r>
      <w:proofErr w:type="spellStart"/>
      <w:r w:rsidRPr="00256F25">
        <w:rPr>
          <w:sz w:val="24"/>
          <w:szCs w:val="24"/>
        </w:rPr>
        <w:t>u.s.g</w:t>
      </w:r>
      <w:proofErr w:type="spellEnd"/>
      <w:r w:rsidRPr="00256F25">
        <w:rPr>
          <w:sz w:val="24"/>
          <w:szCs w:val="24"/>
        </w:rPr>
        <w:t xml:space="preserve">. poprzez przyznanie </w:t>
      </w:r>
      <w:r>
        <w:rPr>
          <w:sz w:val="24"/>
          <w:szCs w:val="24"/>
        </w:rPr>
        <w:t xml:space="preserve">podwójnej </w:t>
      </w:r>
      <w:r w:rsidRPr="00256F25">
        <w:rPr>
          <w:sz w:val="24"/>
          <w:szCs w:val="24"/>
        </w:rPr>
        <w:t xml:space="preserve">diety </w:t>
      </w:r>
      <w:r>
        <w:rPr>
          <w:sz w:val="24"/>
          <w:szCs w:val="24"/>
        </w:rPr>
        <w:t xml:space="preserve">w przypadku </w:t>
      </w:r>
      <w:r>
        <w:rPr>
          <w:sz w:val="24"/>
          <w:szCs w:val="24"/>
        </w:rPr>
        <w:t xml:space="preserve">wykonywania tych samych czynności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>ramach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sprawowan</w:t>
      </w:r>
      <w:r>
        <w:rPr>
          <w:sz w:val="24"/>
          <w:szCs w:val="24"/>
        </w:rPr>
        <w:t>ej</w:t>
      </w:r>
      <w:r>
        <w:rPr>
          <w:sz w:val="24"/>
          <w:szCs w:val="24"/>
        </w:rPr>
        <w:t xml:space="preserve"> jednocześnie </w:t>
      </w:r>
      <w:r>
        <w:rPr>
          <w:sz w:val="24"/>
          <w:szCs w:val="24"/>
        </w:rPr>
        <w:t>funkcji radnego i sołtysa</w:t>
      </w:r>
      <w:r>
        <w:rPr>
          <w:sz w:val="24"/>
          <w:szCs w:val="24"/>
        </w:rPr>
        <w:t>.</w:t>
      </w:r>
    </w:p>
    <w:p w:rsidR="0070426B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rFonts w:cstheme="minorHAnsi"/>
          <w:sz w:val="24"/>
          <w:szCs w:val="24"/>
          <w:shd w:val="clear" w:color="auto" w:fill="FFFFFF"/>
        </w:rPr>
      </w:pPr>
      <w:r w:rsidRPr="008403EF">
        <w:rPr>
          <w:rFonts w:ascii="Calibri" w:hAnsi="Calibri" w:cs="Calibri"/>
          <w:sz w:val="24"/>
          <w:szCs w:val="24"/>
        </w:rPr>
        <w:t>Należy podkreślić, że stosownie do treści art. 25 ust. 4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>. na zasadach ustalonych przez radę gminy radnemu przysługują diety oraz zwrot kosztów</w:t>
      </w:r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 xml:space="preserve"> podróży służbowych. Podkreślenia wymaga,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 xml:space="preserve">że dieta ta nie stanowi wynagrodzenia za pracę. Jest to bowiem ekwiwalent utraconych korzyści, których radny nie uzyskuje w związku z wykonywaniem mandatu. Z literalnego brzmienia tego przepisu wynika zatem, że radnemu przysługują diety oraz zwrot kosztów </w:t>
      </w:r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 xml:space="preserve">podróży służbowych,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 xml:space="preserve">zaś rada gminy posiada kompetencje do określenia zasad, na jakich one przysługują. Posiada ona zatem uprawnienie do określenia wysokości tej diety uzależniając ją m.in. od zakresu obowiązków radnego.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 kolei </w:t>
      </w:r>
      <w:hyperlink r:id="rId10" w:anchor="/document/16793509?unitId=art(37(b))&amp;cm=DOCUMENT" w:history="1">
        <w:r w:rsidRPr="0070426B">
          <w:rPr>
            <w:rFonts w:ascii="Calibri" w:eastAsia="Times New Roman" w:hAnsi="Calibri" w:cs="Calibri"/>
            <w:sz w:val="24"/>
            <w:szCs w:val="24"/>
            <w:lang w:eastAsia="pl-PL"/>
          </w:rPr>
          <w:t>art. 37b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ust. 1 </w:t>
      </w:r>
      <w:proofErr w:type="spellStart"/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>. stanowi, że rada gminy może ustanowić zasady, na jakich przewodniczącemu organu wykonawczego jednostki pomocniczej będzie przysługiwała dieta oraz zwrot kosztów podróży s</w:t>
      </w:r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>łużbowej.</w:t>
      </w:r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>Podobnie jak w przypadku radnego dieta ta nie jest wynagrodzeniem za pełnioną funkcję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lecz</w:t>
      </w:r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 xml:space="preserve"> stanowi jedynie ekwiwalent utraconych korzyści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>lub poniesionych nakładów.</w:t>
      </w:r>
      <w:r w:rsidRPr="008403EF">
        <w:rPr>
          <w:rFonts w:ascii="Calibri" w:eastAsia="Times New Roman" w:hAnsi="Calibri" w:cs="Calibri"/>
          <w:sz w:val="24"/>
          <w:szCs w:val="24"/>
          <w:lang w:eastAsia="pl-PL"/>
        </w:rPr>
        <w:t xml:space="preserve"> Jednakże w</w:t>
      </w:r>
      <w:r w:rsidRPr="0070426B">
        <w:rPr>
          <w:rFonts w:ascii="Calibri" w:eastAsia="Times New Roman" w:hAnsi="Calibri" w:cs="Calibri"/>
          <w:sz w:val="24"/>
          <w:szCs w:val="24"/>
          <w:lang w:eastAsia="pl-PL"/>
        </w:rPr>
        <w:t xml:space="preserve"> tym miejscu wskazać należy, że konstrukcja obu cyto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wanych przepisów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jest odmienna.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cstheme="minorHAnsi"/>
          <w:sz w:val="24"/>
          <w:szCs w:val="24"/>
          <w:shd w:val="clear" w:color="auto" w:fill="FFFFFF"/>
        </w:rPr>
        <w:t>prawni</w:t>
      </w:r>
      <w:r>
        <w:rPr>
          <w:rFonts w:cstheme="minorHAnsi"/>
          <w:sz w:val="24"/>
          <w:szCs w:val="24"/>
          <w:shd w:val="clear" w:color="auto" w:fill="FFFFFF"/>
        </w:rPr>
        <w:t>e</w:t>
      </w:r>
      <w:r>
        <w:rPr>
          <w:rFonts w:cstheme="minorHAnsi"/>
          <w:sz w:val="24"/>
          <w:szCs w:val="24"/>
          <w:shd w:val="clear" w:color="auto" w:fill="FFFFFF"/>
        </w:rPr>
        <w:t xml:space="preserve">nia wynikające z </w:t>
      </w:r>
      <w:hyperlink r:id="rId11" w:anchor="/document/16793509?unitId=art(37(b))&amp;cm=DOCUMENT" w:history="1">
        <w:r w:rsidRPr="008403EF">
          <w:rPr>
            <w:rFonts w:cstheme="minorHAnsi"/>
            <w:sz w:val="24"/>
            <w:szCs w:val="24"/>
            <w:shd w:val="clear" w:color="auto" w:fill="FFFFFF"/>
          </w:rPr>
          <w:t>art. 37b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ust. 1 </w:t>
      </w:r>
      <w:proofErr w:type="spellStart"/>
      <w:r w:rsidRPr="008403EF">
        <w:rPr>
          <w:rFonts w:cstheme="minorHAnsi"/>
          <w:sz w:val="24"/>
          <w:szCs w:val="24"/>
          <w:shd w:val="clear" w:color="auto" w:fill="FFFFFF"/>
        </w:rPr>
        <w:t>u.s.g</w:t>
      </w:r>
      <w:proofErr w:type="spellEnd"/>
      <w:r w:rsidRPr="008403EF">
        <w:rPr>
          <w:rFonts w:cstheme="minorHAnsi"/>
          <w:sz w:val="24"/>
          <w:szCs w:val="24"/>
          <w:shd w:val="clear" w:color="auto" w:fill="FFFFFF"/>
        </w:rPr>
        <w:t xml:space="preserve">. pozwalają lokalnemu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uchwałodawcy</w:t>
      </w:r>
      <w:proofErr w:type="spellEnd"/>
      <w:r w:rsidRPr="008403EF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403EF">
        <w:rPr>
          <w:rFonts w:cstheme="minorHAnsi"/>
          <w:sz w:val="24"/>
          <w:szCs w:val="24"/>
          <w:shd w:val="clear" w:color="auto" w:fill="FFFFFF"/>
        </w:rPr>
        <w:t xml:space="preserve">na uwzględnienie przypadków, w których </w:t>
      </w:r>
      <w:r>
        <w:rPr>
          <w:rFonts w:cstheme="minorHAnsi"/>
          <w:sz w:val="24"/>
          <w:szCs w:val="24"/>
          <w:shd w:val="clear" w:color="auto" w:fill="FFFFFF"/>
        </w:rPr>
        <w:t xml:space="preserve">wykonywanie czynności w ramach </w:t>
      </w:r>
      <w:r w:rsidRPr="008403EF">
        <w:rPr>
          <w:rFonts w:cstheme="minorHAnsi"/>
          <w:sz w:val="24"/>
          <w:szCs w:val="24"/>
          <w:shd w:val="clear" w:color="auto" w:fill="FFFFFF"/>
        </w:rPr>
        <w:t>sprawowan</w:t>
      </w:r>
      <w:r>
        <w:rPr>
          <w:rFonts w:cstheme="minorHAnsi"/>
          <w:sz w:val="24"/>
          <w:szCs w:val="24"/>
          <w:shd w:val="clear" w:color="auto" w:fill="FFFFFF"/>
        </w:rPr>
        <w:t>ej</w:t>
      </w:r>
      <w:r w:rsidRPr="008403EF">
        <w:rPr>
          <w:rFonts w:cstheme="minorHAnsi"/>
          <w:sz w:val="24"/>
          <w:szCs w:val="24"/>
          <w:shd w:val="clear" w:color="auto" w:fill="FFFFFF"/>
        </w:rPr>
        <w:t xml:space="preserve"> funkcji sołtysa może uzasadniać przyznanie mu prawa do diety i zwrotu kosztów podróży. Organ ten posiada swobodę w zakresie oceny czy istnieje potrzeba przyznania tego </w:t>
      </w:r>
      <w:r w:rsidRPr="008403EF">
        <w:rPr>
          <w:rFonts w:cstheme="minorHAnsi"/>
          <w:sz w:val="24"/>
          <w:szCs w:val="24"/>
          <w:shd w:val="clear" w:color="auto" w:fill="FFFFFF"/>
        </w:rPr>
        <w:lastRenderedPageBreak/>
        <w:t>ekwiwalentu, a jeśli tak</w:t>
      </w:r>
      <w:r>
        <w:rPr>
          <w:rFonts w:cstheme="minorHAnsi"/>
          <w:sz w:val="24"/>
          <w:szCs w:val="24"/>
          <w:shd w:val="clear" w:color="auto" w:fill="FFFFFF"/>
        </w:rPr>
        <w:t xml:space="preserve"> –</w:t>
      </w:r>
      <w:r w:rsidRPr="008403EF">
        <w:rPr>
          <w:rFonts w:cstheme="minorHAnsi"/>
          <w:sz w:val="24"/>
          <w:szCs w:val="24"/>
          <w:shd w:val="clear" w:color="auto" w:fill="FFFFFF"/>
        </w:rPr>
        <w:t xml:space="preserve"> to na jakich zasadach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8403EF">
        <w:rPr>
          <w:rFonts w:cstheme="minorHAnsi"/>
          <w:sz w:val="24"/>
          <w:szCs w:val="24"/>
          <w:shd w:val="clear" w:color="auto" w:fill="FFFFFF"/>
        </w:rPr>
        <w:t xml:space="preserve"> przy jednoczesnym uwzględn</w:t>
      </w:r>
      <w:r w:rsidRPr="008403EF">
        <w:rPr>
          <w:rFonts w:cstheme="minorHAnsi"/>
          <w:sz w:val="24"/>
          <w:szCs w:val="24"/>
          <w:shd w:val="clear" w:color="auto" w:fill="FFFFFF"/>
        </w:rPr>
        <w:t xml:space="preserve">ieniu warunków </w:t>
      </w:r>
      <w:r>
        <w:rPr>
          <w:rFonts w:cstheme="minorHAnsi"/>
          <w:sz w:val="24"/>
          <w:szCs w:val="24"/>
          <w:shd w:val="clear" w:color="auto" w:fill="FFFFFF"/>
        </w:rPr>
        <w:br/>
      </w:r>
      <w:r w:rsidRPr="008403EF">
        <w:rPr>
          <w:rFonts w:cstheme="minorHAnsi"/>
          <w:sz w:val="24"/>
          <w:szCs w:val="24"/>
          <w:shd w:val="clear" w:color="auto" w:fill="FFFFFF"/>
        </w:rPr>
        <w:t>i potrzeb lokalnych.</w:t>
      </w:r>
    </w:p>
    <w:p w:rsidR="008403EF" w:rsidRPr="00FA0C8B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rFonts w:cstheme="minorHAnsi"/>
          <w:i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Należy wskazać, że w orzecznictwie sądów administracyjnych prezentowany jest pogląd, </w:t>
      </w:r>
      <w:r>
        <w:rPr>
          <w:rFonts w:eastAsia="Times New Roman" w:cstheme="minorHAnsi"/>
          <w:sz w:val="24"/>
          <w:szCs w:val="24"/>
          <w:lang w:eastAsia="pl-PL"/>
        </w:rPr>
        <w:t>zgodnie z którym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8403EF">
        <w:rPr>
          <w:rFonts w:eastAsia="Times New Roman" w:cstheme="minorHAnsi"/>
          <w:i/>
          <w:sz w:val="24"/>
          <w:szCs w:val="24"/>
          <w:lang w:eastAsia="pl-PL"/>
        </w:rPr>
        <w:t>,,</w:t>
      </w:r>
      <w:r>
        <w:rPr>
          <w:rFonts w:cstheme="minorHAnsi"/>
          <w:i/>
          <w:sz w:val="24"/>
          <w:szCs w:val="24"/>
          <w:shd w:val="clear" w:color="auto" w:fill="FFFFFF"/>
        </w:rPr>
        <w:t>S</w:t>
      </w:r>
      <w:r>
        <w:rPr>
          <w:rFonts w:cstheme="minorHAnsi"/>
          <w:i/>
          <w:sz w:val="24"/>
          <w:szCs w:val="24"/>
          <w:shd w:val="clear" w:color="auto" w:fill="FFFFFF"/>
        </w:rPr>
        <w:t xml:space="preserve">koro w </w:t>
      </w:r>
      <w:hyperlink r:id="rId12" w:anchor="/document/16793509?unitId=art(25)ust(4)&amp;cm=DOCUMENT" w:history="1">
        <w:r w:rsidRPr="008403EF">
          <w:rPr>
            <w:rFonts w:cstheme="minorHAnsi"/>
            <w:i/>
            <w:sz w:val="24"/>
            <w:szCs w:val="24"/>
            <w:shd w:val="clear" w:color="auto" w:fill="FFFFFF"/>
          </w:rPr>
          <w:t>art. 25 ust. 4</w:t>
        </w:r>
      </w:hyperlink>
      <w:r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403EF">
        <w:rPr>
          <w:rFonts w:cstheme="minorHAnsi"/>
          <w:i/>
          <w:sz w:val="24"/>
          <w:szCs w:val="24"/>
          <w:shd w:val="clear" w:color="auto" w:fill="FFFFFF"/>
        </w:rPr>
        <w:t>u.s.g</w:t>
      </w:r>
      <w:proofErr w:type="spellEnd"/>
      <w:r w:rsidRPr="008403EF">
        <w:rPr>
          <w:rFonts w:cstheme="minorHAnsi"/>
          <w:i/>
          <w:sz w:val="24"/>
          <w:szCs w:val="24"/>
          <w:shd w:val="clear" w:color="auto" w:fill="FFFFFF"/>
        </w:rPr>
        <w:t xml:space="preserve">. przesądzono o przysługującym radnym prawie do diety, </w:t>
      </w:r>
      <w:r>
        <w:rPr>
          <w:rFonts w:cstheme="minorHAnsi"/>
          <w:i/>
          <w:sz w:val="24"/>
          <w:szCs w:val="24"/>
          <w:shd w:val="clear" w:color="auto" w:fill="FFFFFF"/>
        </w:rPr>
        <w:br/>
      </w:r>
      <w:r w:rsidRPr="008403EF">
        <w:rPr>
          <w:rFonts w:cstheme="minorHAnsi"/>
          <w:i/>
          <w:sz w:val="24"/>
          <w:szCs w:val="24"/>
          <w:shd w:val="clear" w:color="auto" w:fill="FFFFFF"/>
        </w:rPr>
        <w:t xml:space="preserve">to </w:t>
      </w:r>
      <w:r w:rsidRPr="008403EF">
        <w:rPr>
          <w:rFonts w:cstheme="minorHAnsi"/>
          <w:b/>
          <w:i/>
          <w:sz w:val="24"/>
          <w:szCs w:val="24"/>
          <w:shd w:val="clear" w:color="auto" w:fill="FFFFFF"/>
        </w:rPr>
        <w:t>połączenie funkcji radnego z funkcją sołtysa uzasadnia przyjęcie zasady prawa do jednej diety</w:t>
      </w:r>
      <w:r w:rsidRPr="008403EF">
        <w:rPr>
          <w:rFonts w:cstheme="minorHAnsi"/>
          <w:i/>
          <w:sz w:val="24"/>
          <w:szCs w:val="24"/>
          <w:shd w:val="clear" w:color="auto" w:fill="FFFFFF"/>
        </w:rPr>
        <w:t>, jako ekwiwalentu za utracone korzyści</w:t>
      </w:r>
      <w:r>
        <w:rPr>
          <w:rFonts w:cstheme="minorHAnsi"/>
          <w:i/>
          <w:sz w:val="24"/>
          <w:szCs w:val="24"/>
          <w:shd w:val="clear" w:color="auto" w:fill="FFFFFF"/>
        </w:rPr>
        <w:t>, a niebędącego wynagrodzeniem za pracę</w:t>
      </w:r>
      <w:r w:rsidRPr="008403EF">
        <w:rPr>
          <w:rFonts w:cstheme="minorHAnsi"/>
          <w:i/>
          <w:sz w:val="24"/>
          <w:szCs w:val="24"/>
          <w:shd w:val="clear" w:color="auto" w:fill="FFFFFF"/>
        </w:rPr>
        <w:t xml:space="preserve"> (por. np. wyrok NS</w:t>
      </w:r>
      <w:r w:rsidRPr="008403EF">
        <w:rPr>
          <w:rFonts w:cstheme="minorHAnsi"/>
          <w:i/>
          <w:sz w:val="24"/>
          <w:szCs w:val="24"/>
          <w:shd w:val="clear" w:color="auto" w:fill="FFFFFF"/>
        </w:rPr>
        <w:t>A z dnia 7 listopada 2017 r</w:t>
      </w:r>
      <w:r>
        <w:rPr>
          <w:rFonts w:cstheme="minorHAnsi"/>
          <w:i/>
          <w:sz w:val="24"/>
          <w:szCs w:val="24"/>
          <w:shd w:val="clear" w:color="auto" w:fill="FFFFFF"/>
        </w:rPr>
        <w:t>.</w:t>
      </w:r>
      <w:r>
        <w:rPr>
          <w:rFonts w:cstheme="minorHAnsi"/>
          <w:i/>
          <w:sz w:val="24"/>
          <w:szCs w:val="24"/>
          <w:shd w:val="clear" w:color="auto" w:fill="FFFFFF"/>
        </w:rPr>
        <w:t xml:space="preserve"> sygn. akt </w:t>
      </w:r>
      <w:hyperlink r:id="rId13" w:anchor="/document/522513110?cm=DOCUMENT" w:history="1">
        <w:r w:rsidRPr="00FA0C8B">
          <w:rPr>
            <w:rFonts w:cstheme="minorHAnsi"/>
            <w:i/>
            <w:sz w:val="24"/>
            <w:szCs w:val="24"/>
            <w:shd w:val="clear" w:color="auto" w:fill="FFFFFF"/>
          </w:rPr>
          <w:t>II OSK 2794/16</w:t>
        </w:r>
      </w:hyperlink>
      <w:r w:rsidRPr="00FA0C8B">
        <w:rPr>
          <w:rFonts w:cstheme="minorHAnsi"/>
          <w:i/>
          <w:sz w:val="24"/>
          <w:szCs w:val="24"/>
        </w:rPr>
        <w:t xml:space="preserve">, wyrok NSA z dnia 19 grudnia 2017 r. sygn. akt </w:t>
      </w:r>
      <w:r>
        <w:rPr>
          <w:rFonts w:cstheme="minorHAnsi"/>
          <w:i/>
          <w:sz w:val="24"/>
          <w:szCs w:val="24"/>
        </w:rPr>
        <w:br/>
      </w:r>
      <w:r w:rsidRPr="00FA0C8B">
        <w:rPr>
          <w:rFonts w:cstheme="minorHAnsi"/>
          <w:i/>
          <w:sz w:val="24"/>
          <w:szCs w:val="24"/>
        </w:rPr>
        <w:t>OSK 773/17</w:t>
      </w:r>
      <w:r w:rsidRPr="00FA0C8B">
        <w:rPr>
          <w:rFonts w:cstheme="minorHAnsi"/>
          <w:i/>
          <w:sz w:val="24"/>
          <w:szCs w:val="24"/>
          <w:shd w:val="clear" w:color="auto" w:fill="FFFFFF"/>
        </w:rPr>
        <w:t>)</w:t>
      </w:r>
      <w:r>
        <w:rPr>
          <w:rFonts w:cstheme="minorHAnsi"/>
          <w:i/>
          <w:sz w:val="24"/>
          <w:szCs w:val="24"/>
          <w:shd w:val="clear" w:color="auto" w:fill="FFFFFF"/>
        </w:rPr>
        <w:t>”</w:t>
      </w:r>
      <w:r w:rsidRPr="00FA0C8B">
        <w:rPr>
          <w:rFonts w:cstheme="minorHAnsi"/>
          <w:i/>
          <w:sz w:val="24"/>
          <w:szCs w:val="24"/>
          <w:shd w:val="clear" w:color="auto" w:fill="FFFFFF"/>
        </w:rPr>
        <w:t>.</w:t>
      </w:r>
    </w:p>
    <w:p w:rsidR="004D2530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ocenie organu nadzoru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pomimo braku regulacji prawnych dotyczących zbiegu funkcji sołtysa i radnego, wypłata dwóch diet </w:t>
      </w:r>
      <w:r>
        <w:rPr>
          <w:rFonts w:eastAsia="Times New Roman" w:cstheme="minorHAnsi"/>
          <w:sz w:val="24"/>
          <w:szCs w:val="24"/>
          <w:lang w:eastAsia="pl-PL"/>
        </w:rPr>
        <w:t xml:space="preserve">za tę samą czynność </w:t>
      </w:r>
      <w:r>
        <w:rPr>
          <w:rFonts w:eastAsia="Times New Roman" w:cstheme="minorHAnsi"/>
          <w:sz w:val="24"/>
          <w:szCs w:val="24"/>
          <w:lang w:eastAsia="pl-PL"/>
        </w:rPr>
        <w:t>jest nieuzasadniona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dział </w:t>
      </w:r>
      <w:r>
        <w:rPr>
          <w:rFonts w:eastAsia="Times New Roman" w:cstheme="minorHAnsi"/>
          <w:sz w:val="24"/>
          <w:szCs w:val="24"/>
          <w:lang w:eastAsia="pl-PL"/>
        </w:rPr>
        <w:t xml:space="preserve">w sesji rady </w:t>
      </w:r>
      <w:r>
        <w:rPr>
          <w:rFonts w:eastAsia="Times New Roman" w:cstheme="minorHAnsi"/>
          <w:sz w:val="24"/>
          <w:szCs w:val="24"/>
          <w:lang w:eastAsia="pl-PL"/>
        </w:rPr>
        <w:t xml:space="preserve">gminy </w:t>
      </w:r>
      <w:r>
        <w:rPr>
          <w:rFonts w:eastAsia="Times New Roman" w:cstheme="minorHAnsi"/>
          <w:sz w:val="24"/>
          <w:szCs w:val="24"/>
          <w:lang w:eastAsia="pl-PL"/>
        </w:rPr>
        <w:t xml:space="preserve">tej samej osoby jako radnego i sołtysa nie uzasadnia przyznania dwóch diet, albowiem </w:t>
      </w:r>
      <w:r>
        <w:rPr>
          <w:rFonts w:eastAsia="Times New Roman" w:cstheme="minorHAnsi"/>
          <w:sz w:val="24"/>
          <w:szCs w:val="24"/>
          <w:lang w:eastAsia="pl-PL"/>
        </w:rPr>
        <w:t>w tak</w:t>
      </w:r>
      <w:r>
        <w:rPr>
          <w:rFonts w:eastAsia="Times New Roman" w:cstheme="minorHAnsi"/>
          <w:sz w:val="24"/>
          <w:szCs w:val="24"/>
          <w:lang w:eastAsia="pl-PL"/>
        </w:rPr>
        <w:t xml:space="preserve">iej sytuacji </w:t>
      </w:r>
      <w:r>
        <w:rPr>
          <w:rFonts w:eastAsia="Times New Roman" w:cstheme="minorHAnsi"/>
          <w:sz w:val="24"/>
          <w:szCs w:val="24"/>
          <w:lang w:eastAsia="pl-PL"/>
        </w:rPr>
        <w:t xml:space="preserve">zwrot </w:t>
      </w:r>
      <w:r>
        <w:rPr>
          <w:rFonts w:eastAsia="Times New Roman" w:cstheme="minorHAnsi"/>
          <w:sz w:val="24"/>
          <w:szCs w:val="24"/>
          <w:lang w:eastAsia="pl-PL"/>
        </w:rPr>
        <w:t xml:space="preserve">ekwiwalentu </w:t>
      </w:r>
      <w:r>
        <w:rPr>
          <w:rFonts w:eastAsia="Times New Roman" w:cstheme="minorHAnsi"/>
          <w:sz w:val="24"/>
          <w:szCs w:val="24"/>
          <w:lang w:eastAsia="pl-PL"/>
        </w:rPr>
        <w:t>utraconych korzyści nast</w:t>
      </w:r>
      <w:r>
        <w:rPr>
          <w:rFonts w:eastAsia="Times New Roman" w:cstheme="minorHAnsi"/>
          <w:sz w:val="24"/>
          <w:szCs w:val="24"/>
          <w:lang w:eastAsia="pl-PL"/>
        </w:rPr>
        <w:t>ąpi przez wypłatę jednej diety -</w:t>
      </w:r>
      <w:r>
        <w:rPr>
          <w:rFonts w:eastAsia="Times New Roman" w:cstheme="minorHAnsi"/>
          <w:sz w:val="24"/>
          <w:szCs w:val="24"/>
          <w:lang w:eastAsia="pl-PL"/>
        </w:rPr>
        <w:t xml:space="preserve"> obligatoryjnej diety radnego. </w:t>
      </w:r>
    </w:p>
    <w:p w:rsidR="00B84B15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Mając powyższe na uwadze należy uznać, iż zarzuty podnie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sione przez organ nadzoru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bezsprzecznie stanowią podstawę do stw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ierdzenia nieważn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ości uchwały 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488/XLIII/2021 Rady Miejskiej w Serocku z dnia 17 listopada 2021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zmieniając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ej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uchwałę w sprawie ustalenia zasad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na jakich przewodniczącemu organu wykonawczego jednostki pomocniczej oraz przewodniczącemu rady osiedla przysługują diety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8A6D2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zakresie wskazanym w petitum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rozstrzygnięcia nadzorczego</w:t>
      </w:r>
      <w:r w:rsidRPr="008A6D2D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4D2530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rozstrzygnięcie nadzorcze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Miastu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przysługuje skarga do Wojewódzkiego Sądu Administracyjnego w Warszawie w terminie 30 dni od daty doręczenia, wnoszona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za pośrednictwem organu, który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skarżone orzeczenie wydał.</w:t>
      </w:r>
    </w:p>
    <w:p w:rsidR="00793E47" w:rsidRPr="004D2530" w:rsidRDefault="00F13DCB" w:rsidP="00FD6752">
      <w:pPr>
        <w:pStyle w:val="Akapitzlist"/>
        <w:spacing w:after="0" w:line="360" w:lineRule="auto"/>
        <w:ind w:left="-142" w:right="-566" w:firstLine="645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Informuję również, że rozstrzygnięcie nadzorcze wstrzymuje wykonanie uchwały</w:t>
      </w:r>
      <w:r w:rsidRPr="00EC550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 mocy prawa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Pr="008A6D2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zakresie wskazanym w petitum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rozstrzygnięcia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, z dniem jego doręczenia.</w:t>
      </w:r>
    </w:p>
    <w:p w:rsidR="008F501D" w:rsidRDefault="00F13DCB" w:rsidP="00D54F6F">
      <w:pPr>
        <w:autoSpaceDE w:val="0"/>
        <w:autoSpaceDN w:val="0"/>
        <w:adjustRightInd w:val="0"/>
        <w:spacing w:after="0" w:line="240" w:lineRule="auto"/>
        <w:ind w:right="-56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71B33" w:rsidRPr="00774510" w:rsidRDefault="00F13DCB" w:rsidP="00D54F6F">
      <w:pPr>
        <w:autoSpaceDE w:val="0"/>
        <w:autoSpaceDN w:val="0"/>
        <w:adjustRightInd w:val="0"/>
        <w:spacing w:after="0" w:line="240" w:lineRule="auto"/>
        <w:ind w:right="-56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37260" w:rsidRPr="00037260" w:rsidRDefault="00F13DCB" w:rsidP="00CF64E7">
      <w:pPr>
        <w:spacing w:after="0" w:line="276" w:lineRule="auto"/>
        <w:ind w:left="284" w:right="-566" w:firstLine="2977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2" w:name="ezdPracownikNazwa"/>
      <w:r w:rsidRPr="00037260">
        <w:rPr>
          <w:rFonts w:ascii="Calibri" w:eastAsia="Times New Roman" w:hAnsi="Calibri" w:cs="Calibri"/>
          <w:i/>
          <w:sz w:val="24"/>
          <w:szCs w:val="24"/>
          <w:lang w:eastAsia="pl-PL"/>
        </w:rPr>
        <w:t>Konstanty Radziwiłł</w:t>
      </w:r>
      <w:bookmarkEnd w:id="2"/>
    </w:p>
    <w:p w:rsidR="00037260" w:rsidRPr="00037260" w:rsidRDefault="00F13DCB" w:rsidP="00CF64E7">
      <w:pPr>
        <w:spacing w:after="0" w:line="276" w:lineRule="auto"/>
        <w:ind w:left="284" w:right="-566" w:firstLine="2977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3" w:name="ezdPracownikStanowisko"/>
      <w:r w:rsidRPr="00037260">
        <w:rPr>
          <w:rFonts w:ascii="Calibri" w:eastAsia="Times New Roman" w:hAnsi="Calibri" w:cs="Calibri"/>
          <w:i/>
          <w:sz w:val="24"/>
          <w:szCs w:val="24"/>
          <w:lang w:eastAsia="pl-PL"/>
        </w:rPr>
        <w:t>Wojewoda Mazowiecki</w:t>
      </w:r>
      <w:bookmarkEnd w:id="3"/>
    </w:p>
    <w:p w:rsidR="00037260" w:rsidRPr="00363119" w:rsidRDefault="00F13DCB" w:rsidP="00FD6752">
      <w:pPr>
        <w:spacing w:after="0" w:line="276" w:lineRule="auto"/>
        <w:ind w:right="-566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37260" w:rsidRPr="00037260" w:rsidRDefault="00F13DCB" w:rsidP="00FD6752">
      <w:pPr>
        <w:spacing w:after="0" w:line="276" w:lineRule="auto"/>
        <w:ind w:left="4963" w:right="-566" w:hanging="156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 xml:space="preserve">/podpisano </w:t>
      </w: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>bezpiecznym podpisem elektronicznym</w:t>
      </w:r>
    </w:p>
    <w:p w:rsidR="00037260" w:rsidRPr="00037260" w:rsidRDefault="00F13DCB" w:rsidP="00FD6752">
      <w:pPr>
        <w:spacing w:after="0" w:line="276" w:lineRule="auto"/>
        <w:ind w:left="4963" w:right="-566" w:hanging="156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>weryfikowanym ważnym kwalifikowanym certyfikatem/</w:t>
      </w:r>
    </w:p>
    <w:p w:rsidR="003E3AA3" w:rsidRPr="00363119" w:rsidRDefault="00F13DCB" w:rsidP="00FD6752">
      <w:pPr>
        <w:ind w:left="5664" w:right="-566"/>
      </w:pPr>
    </w:p>
    <w:sectPr w:rsidR="003E3AA3" w:rsidRPr="00363119" w:rsidSect="001723F7">
      <w:foot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DCB" w:rsidRDefault="00F13DCB">
      <w:pPr>
        <w:spacing w:after="0" w:line="240" w:lineRule="auto"/>
      </w:pPr>
      <w:r>
        <w:separator/>
      </w:r>
    </w:p>
  </w:endnote>
  <w:endnote w:type="continuationSeparator" w:id="0">
    <w:p w:rsidR="00F13DCB" w:rsidRDefault="00F1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7924451"/>
      <w:docPartObj>
        <w:docPartGallery w:val="Page Numbers (Bottom of Page)"/>
        <w:docPartUnique/>
      </w:docPartObj>
    </w:sdtPr>
    <w:sdtEndPr/>
    <w:sdtContent>
      <w:p w:rsidR="00277EB7" w:rsidRDefault="00F13D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77EB7" w:rsidRDefault="00F13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DCB" w:rsidRDefault="00F13DCB">
      <w:pPr>
        <w:spacing w:after="0" w:line="240" w:lineRule="auto"/>
      </w:pPr>
      <w:r>
        <w:separator/>
      </w:r>
    </w:p>
  </w:footnote>
  <w:footnote w:type="continuationSeparator" w:id="0">
    <w:p w:rsidR="00F13DCB" w:rsidRDefault="00F13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93CE7"/>
    <w:multiLevelType w:val="hybridMultilevel"/>
    <w:tmpl w:val="1CC4F04A"/>
    <w:lvl w:ilvl="0" w:tplc="87764F0C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AF0FB8C" w:tentative="1">
      <w:start w:val="1"/>
      <w:numFmt w:val="lowerLetter"/>
      <w:lvlText w:val="%2."/>
      <w:lvlJc w:val="left"/>
      <w:pPr>
        <w:ind w:left="7885" w:hanging="360"/>
      </w:pPr>
    </w:lvl>
    <w:lvl w:ilvl="2" w:tplc="C9A0A62C" w:tentative="1">
      <w:start w:val="1"/>
      <w:numFmt w:val="lowerRoman"/>
      <w:lvlText w:val="%3."/>
      <w:lvlJc w:val="right"/>
      <w:pPr>
        <w:ind w:left="8605" w:hanging="180"/>
      </w:pPr>
    </w:lvl>
    <w:lvl w:ilvl="3" w:tplc="97AC0708" w:tentative="1">
      <w:start w:val="1"/>
      <w:numFmt w:val="decimal"/>
      <w:lvlText w:val="%4."/>
      <w:lvlJc w:val="left"/>
      <w:pPr>
        <w:ind w:left="9325" w:hanging="360"/>
      </w:pPr>
    </w:lvl>
    <w:lvl w:ilvl="4" w:tplc="FF8E9E00" w:tentative="1">
      <w:start w:val="1"/>
      <w:numFmt w:val="lowerLetter"/>
      <w:lvlText w:val="%5."/>
      <w:lvlJc w:val="left"/>
      <w:pPr>
        <w:ind w:left="10045" w:hanging="360"/>
      </w:pPr>
    </w:lvl>
    <w:lvl w:ilvl="5" w:tplc="CDCA69E4" w:tentative="1">
      <w:start w:val="1"/>
      <w:numFmt w:val="lowerRoman"/>
      <w:lvlText w:val="%6."/>
      <w:lvlJc w:val="right"/>
      <w:pPr>
        <w:ind w:left="10765" w:hanging="180"/>
      </w:pPr>
    </w:lvl>
    <w:lvl w:ilvl="6" w:tplc="DD7ED4BE" w:tentative="1">
      <w:start w:val="1"/>
      <w:numFmt w:val="decimal"/>
      <w:lvlText w:val="%7."/>
      <w:lvlJc w:val="left"/>
      <w:pPr>
        <w:ind w:left="11485" w:hanging="360"/>
      </w:pPr>
    </w:lvl>
    <w:lvl w:ilvl="7" w:tplc="16EA9252" w:tentative="1">
      <w:start w:val="1"/>
      <w:numFmt w:val="lowerLetter"/>
      <w:lvlText w:val="%8."/>
      <w:lvlJc w:val="left"/>
      <w:pPr>
        <w:ind w:left="12205" w:hanging="360"/>
      </w:pPr>
    </w:lvl>
    <w:lvl w:ilvl="8" w:tplc="C27C8E42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39"/>
    <w:rsid w:val="00CB5539"/>
    <w:rsid w:val="00F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CF9C"/>
  <w15:docId w15:val="{14307BC9-DC5C-46F9-8E01-333192CB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3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93E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93E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5A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B7"/>
  </w:style>
  <w:style w:type="paragraph" w:styleId="Stopka">
    <w:name w:val="footer"/>
    <w:basedOn w:val="Normalny"/>
    <w:link w:val="StopkaZnak"/>
    <w:uiPriority w:val="99"/>
    <w:unhideWhenUsed/>
    <w:rsid w:val="0027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B7"/>
  </w:style>
  <w:style w:type="paragraph" w:styleId="NormalnyWeb">
    <w:name w:val="Normal (Web)"/>
    <w:basedOn w:val="Normalny"/>
    <w:uiPriority w:val="99"/>
    <w:semiHidden/>
    <w:unhideWhenUsed/>
    <w:rsid w:val="007042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A42D-ECD8-4E8D-83F6-932E6749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dcterms:created xsi:type="dcterms:W3CDTF">2021-12-24T10:05:00Z</dcterms:created>
  <dcterms:modified xsi:type="dcterms:W3CDTF">2021-12-24T10:05:00Z</dcterms:modified>
</cp:coreProperties>
</file>