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10F4" w14:textId="77777777" w:rsidR="00C625E9" w:rsidRPr="00E1718E" w:rsidRDefault="00C625E9" w:rsidP="00010255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Szczegółowy O</w:t>
      </w:r>
      <w:r w:rsidRPr="00E1718E">
        <w:rPr>
          <w:rFonts w:ascii="Arial" w:hAnsi="Arial" w:cs="Arial"/>
          <w:b/>
          <w:u w:val="single"/>
        </w:rPr>
        <w:t xml:space="preserve">pis </w:t>
      </w:r>
      <w:r>
        <w:rPr>
          <w:rFonts w:ascii="Arial" w:hAnsi="Arial" w:cs="Arial"/>
          <w:b/>
          <w:u w:val="single"/>
        </w:rPr>
        <w:t>P</w:t>
      </w:r>
      <w:r w:rsidRPr="00E1718E">
        <w:rPr>
          <w:rFonts w:ascii="Arial" w:hAnsi="Arial" w:cs="Arial"/>
          <w:b/>
          <w:u w:val="single"/>
        </w:rPr>
        <w:t xml:space="preserve">rzedmiotu </w:t>
      </w:r>
      <w:r>
        <w:rPr>
          <w:rFonts w:ascii="Arial" w:hAnsi="Arial" w:cs="Arial"/>
          <w:b/>
          <w:u w:val="single"/>
        </w:rPr>
        <w:t>Z</w:t>
      </w:r>
      <w:r w:rsidRPr="00E1718E">
        <w:rPr>
          <w:rFonts w:ascii="Arial" w:hAnsi="Arial" w:cs="Arial"/>
          <w:b/>
          <w:u w:val="single"/>
        </w:rPr>
        <w:t>amówienia</w:t>
      </w:r>
    </w:p>
    <w:p w14:paraId="101E2B0C" w14:textId="77777777" w:rsidR="00C625E9" w:rsidRPr="00F12683" w:rsidRDefault="00C625E9" w:rsidP="00010255">
      <w:pPr>
        <w:spacing w:line="240" w:lineRule="auto"/>
        <w:jc w:val="both"/>
        <w:rPr>
          <w:rFonts w:ascii="Arial" w:hAnsi="Arial" w:cs="Arial"/>
          <w:sz w:val="24"/>
        </w:rPr>
      </w:pPr>
    </w:p>
    <w:p w14:paraId="4BE6326F" w14:textId="1A74E81F" w:rsidR="00055282" w:rsidRPr="006D2421" w:rsidRDefault="00C625E9" w:rsidP="006D2421">
      <w:pPr>
        <w:spacing w:line="240" w:lineRule="auto"/>
        <w:ind w:firstLine="4"/>
        <w:jc w:val="both"/>
        <w:rPr>
          <w:rFonts w:ascii="Arial" w:hAnsi="Arial" w:cs="Arial"/>
          <w:b/>
          <w:i/>
          <w:szCs w:val="20"/>
        </w:rPr>
      </w:pPr>
      <w:r w:rsidRPr="00F12683">
        <w:rPr>
          <w:rFonts w:ascii="Arial" w:hAnsi="Arial" w:cs="Arial"/>
          <w:b/>
          <w:szCs w:val="20"/>
        </w:rPr>
        <w:t>Przygotowanie ekspertyzy:</w:t>
      </w:r>
      <w:r w:rsidRPr="00F12683">
        <w:rPr>
          <w:rFonts w:ascii="Arial" w:hAnsi="Arial" w:cs="Arial"/>
          <w:b/>
          <w:i/>
          <w:szCs w:val="20"/>
        </w:rPr>
        <w:t xml:space="preserve"> </w:t>
      </w:r>
      <w:r w:rsidR="008612E1" w:rsidRPr="008C04EF">
        <w:rPr>
          <w:rFonts w:ascii="Arial" w:hAnsi="Arial" w:cs="Arial"/>
          <w:b/>
          <w:i/>
          <w:color w:val="365F91" w:themeColor="accent1" w:themeShade="BF"/>
          <w:szCs w:val="20"/>
        </w:rPr>
        <w:t xml:space="preserve">Zrównoważone inwestycje – </w:t>
      </w:r>
      <w:r w:rsidR="001800C0" w:rsidRPr="008C04EF">
        <w:rPr>
          <w:rFonts w:ascii="Arial" w:hAnsi="Arial" w:cs="Arial"/>
          <w:b/>
          <w:i/>
          <w:color w:val="365F91" w:themeColor="accent1" w:themeShade="BF"/>
          <w:szCs w:val="20"/>
        </w:rPr>
        <w:t>opracowanie metodologii</w:t>
      </w:r>
      <w:r w:rsidR="00BE71FB">
        <w:rPr>
          <w:rFonts w:ascii="Arial" w:hAnsi="Arial" w:cs="Arial"/>
          <w:b/>
          <w:i/>
          <w:color w:val="365F91" w:themeColor="accent1" w:themeShade="BF"/>
          <w:szCs w:val="20"/>
        </w:rPr>
        <w:t xml:space="preserve"> szacowania skali zrównoważonych inwestycji w gospodarce </w:t>
      </w:r>
    </w:p>
    <w:p w14:paraId="2D00D4A1" w14:textId="77777777" w:rsidR="00055282" w:rsidRPr="00E1718E" w:rsidRDefault="00055282" w:rsidP="006D2421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46CEE4F" w14:textId="77777777" w:rsidR="00C625E9" w:rsidRPr="00E1718E" w:rsidRDefault="00C625E9" w:rsidP="000102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E1718E">
        <w:rPr>
          <w:rFonts w:ascii="Arial" w:hAnsi="Arial" w:cs="Arial"/>
          <w:b/>
        </w:rPr>
        <w:t>Kontekst i uzasadnienie</w:t>
      </w:r>
    </w:p>
    <w:p w14:paraId="31FF1BF9" w14:textId="77777777" w:rsidR="00C625E9" w:rsidRPr="007020E0" w:rsidRDefault="00C625E9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20E0">
        <w:rPr>
          <w:rFonts w:ascii="Arial" w:hAnsi="Arial" w:cs="Arial"/>
          <w:color w:val="000000" w:themeColor="text1"/>
          <w:sz w:val="20"/>
          <w:szCs w:val="20"/>
        </w:rPr>
        <w:t>Kwestia finansowania zrównoważonego rozwoju, czy też zrównoważonego inwestowania</w:t>
      </w:r>
      <w:r w:rsidR="0040280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>zyskuje na znaczeniu n</w:t>
      </w:r>
      <w:r w:rsidR="007020E0">
        <w:rPr>
          <w:rFonts w:ascii="Arial" w:hAnsi="Arial" w:cs="Arial"/>
          <w:color w:val="000000" w:themeColor="text1"/>
          <w:sz w:val="20"/>
          <w:szCs w:val="20"/>
        </w:rPr>
        <w:t xml:space="preserve">a świecie, w Europie, a także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 xml:space="preserve">w Polsce. Szereg globalnych inicjatyw, </w:t>
      </w:r>
      <w:r w:rsidR="007020E0">
        <w:rPr>
          <w:rFonts w:ascii="Arial" w:hAnsi="Arial" w:cs="Arial"/>
          <w:color w:val="000000" w:themeColor="text1"/>
          <w:sz w:val="20"/>
          <w:szCs w:val="20"/>
        </w:rPr>
        <w:t xml:space="preserve">tj. </w:t>
      </w:r>
      <w:r w:rsidR="00CF4DA3" w:rsidRPr="00CF4DA3">
        <w:rPr>
          <w:rFonts w:ascii="Arial" w:hAnsi="Arial" w:cs="Arial"/>
          <w:color w:val="000000" w:themeColor="text1"/>
          <w:sz w:val="20"/>
          <w:szCs w:val="20"/>
        </w:rPr>
        <w:t>ramy polityki w zakresie klimatu i energii do roku 2030</w:t>
      </w:r>
      <w:r w:rsidR="00CF4DA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>Porozumienie</w:t>
      </w:r>
      <w:r w:rsidR="007020E0">
        <w:rPr>
          <w:rFonts w:ascii="Arial" w:hAnsi="Arial" w:cs="Arial"/>
          <w:color w:val="000000" w:themeColor="text1"/>
          <w:sz w:val="20"/>
          <w:szCs w:val="20"/>
        </w:rPr>
        <w:t xml:space="preserve"> paryskie i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 xml:space="preserve">Agenda 2030 </w:t>
      </w:r>
      <w:r w:rsidR="007020E0">
        <w:rPr>
          <w:rFonts w:ascii="Arial" w:hAnsi="Arial" w:cs="Arial"/>
          <w:color w:val="000000" w:themeColor="text1"/>
          <w:sz w:val="20"/>
          <w:szCs w:val="20"/>
        </w:rPr>
        <w:t>na rzecz zrównoważonego rozwoju,</w:t>
      </w:r>
      <w:r w:rsidR="000A6C66">
        <w:rPr>
          <w:rFonts w:ascii="Arial" w:hAnsi="Arial" w:cs="Arial"/>
          <w:color w:val="000000" w:themeColor="text1"/>
          <w:sz w:val="20"/>
          <w:szCs w:val="20"/>
        </w:rPr>
        <w:t xml:space="preserve"> czy inicjatywy unijne</w:t>
      </w:r>
      <w:r w:rsidR="007020E0">
        <w:rPr>
          <w:rFonts w:ascii="Arial" w:hAnsi="Arial" w:cs="Arial"/>
          <w:color w:val="000000" w:themeColor="text1"/>
          <w:sz w:val="20"/>
          <w:szCs w:val="20"/>
        </w:rPr>
        <w:t>, jak np. Europejski Zielony Ł</w:t>
      </w:r>
      <w:r w:rsidR="000A6C66">
        <w:rPr>
          <w:rFonts w:ascii="Arial" w:hAnsi="Arial" w:cs="Arial"/>
          <w:color w:val="000000" w:themeColor="text1"/>
          <w:sz w:val="20"/>
          <w:szCs w:val="20"/>
        </w:rPr>
        <w:t>ad i</w:t>
      </w:r>
      <w:r w:rsidR="00CF4DA3">
        <w:rPr>
          <w:rFonts w:ascii="Arial" w:hAnsi="Arial" w:cs="Arial"/>
          <w:color w:val="000000" w:themeColor="text1"/>
          <w:sz w:val="20"/>
          <w:szCs w:val="20"/>
        </w:rPr>
        <w:t xml:space="preserve"> klasyfikacja zrównoważonych środowiskowo działalności gospodarczych (tzw. taksonomia UE)</w:t>
      </w:r>
      <w:r w:rsidR="000A6C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>rzuciły nowe światło na kwestie klimatyczne i cele środowiskowe. Chcąc osiągnąć te</w:t>
      </w:r>
      <w:r w:rsidR="00B10943">
        <w:rPr>
          <w:rFonts w:ascii="Arial" w:hAnsi="Arial" w:cs="Arial"/>
          <w:color w:val="000000" w:themeColor="text1"/>
          <w:sz w:val="20"/>
          <w:szCs w:val="20"/>
        </w:rPr>
        <w:t xml:space="preserve"> cele, zgodnie z wyliczeniami Komisji Europejskiej w </w:t>
      </w:r>
      <w:r w:rsidR="00B10943" w:rsidRPr="00B10943">
        <w:rPr>
          <w:rFonts w:ascii="Arial" w:hAnsi="Arial" w:cs="Arial"/>
          <w:color w:val="000000" w:themeColor="text1"/>
          <w:sz w:val="20"/>
          <w:szCs w:val="20"/>
        </w:rPr>
        <w:t>bieżącym dziesięcioleciu Europa będzie potrzebować dodatkowych inwestycji w wysokości 350 mld EUR rocznie, a ponadto będzie potrzebować 130 mld EUR na osiągnięcie innych celów środowiskowych</w:t>
      </w:r>
      <w:r w:rsidR="00B1094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 xml:space="preserve">Skala inwestycji wykracza poza możliwości sektora publicznego. </w:t>
      </w:r>
    </w:p>
    <w:p w14:paraId="22E1000B" w14:textId="77777777" w:rsidR="00C625E9" w:rsidRPr="007020E0" w:rsidRDefault="00C625E9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20E0">
        <w:rPr>
          <w:rFonts w:ascii="Arial" w:hAnsi="Arial" w:cs="Arial"/>
          <w:color w:val="000000" w:themeColor="text1"/>
          <w:sz w:val="20"/>
          <w:szCs w:val="20"/>
        </w:rPr>
        <w:t>Jak słusznie podkreśla Komisja Europejska</w:t>
      </w:r>
      <w:r w:rsidR="005A7E55">
        <w:rPr>
          <w:rFonts w:ascii="Arial" w:hAnsi="Arial" w:cs="Arial"/>
          <w:color w:val="000000" w:themeColor="text1"/>
          <w:sz w:val="20"/>
          <w:szCs w:val="20"/>
        </w:rPr>
        <w:t>,</w:t>
      </w:r>
      <w:r w:rsidRPr="007020E0">
        <w:rPr>
          <w:rFonts w:ascii="Arial" w:hAnsi="Arial" w:cs="Arial"/>
          <w:color w:val="000000" w:themeColor="text1"/>
          <w:sz w:val="20"/>
          <w:szCs w:val="20"/>
        </w:rPr>
        <w:t xml:space="preserve"> sektor finansowy ma kluczową rolę do odegrania w przejściu do bardziej zrównoważonej gospodarki. Ogromne sumy kapitału prywatnego mogą być zmobilizowane w kierunku zrównoważonych inwestycji. </w:t>
      </w:r>
    </w:p>
    <w:p w14:paraId="2CCB5EA5" w14:textId="5B6C5A3A" w:rsidR="00573674" w:rsidRPr="006D2421" w:rsidRDefault="00573674" w:rsidP="006D2421">
      <w:pPr>
        <w:spacing w:line="240" w:lineRule="auto"/>
        <w:ind w:firstLine="4"/>
        <w:jc w:val="both"/>
        <w:rPr>
          <w:rFonts w:ascii="Arial" w:hAnsi="Arial" w:cs="Arial"/>
          <w:color w:val="FF0000"/>
          <w:sz w:val="20"/>
          <w:szCs w:val="20"/>
        </w:rPr>
      </w:pPr>
      <w:r w:rsidRPr="00573674">
        <w:rPr>
          <w:rFonts w:ascii="Arial" w:hAnsi="Arial" w:cs="Arial"/>
          <w:color w:val="000000" w:themeColor="text1"/>
          <w:sz w:val="20"/>
          <w:szCs w:val="20"/>
        </w:rPr>
        <w:t>Pod pojęciem zrównoważonych inwestycji należy rozumieć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inwestycje w przedsięwzięcia zgodne z ideą zrównoważonego</w:t>
      </w:r>
      <w:r w:rsidR="00B10943">
        <w:rPr>
          <w:rFonts w:ascii="Arial" w:hAnsi="Arial" w:cs="Arial"/>
          <w:color w:val="000000" w:themeColor="text1"/>
          <w:sz w:val="20"/>
          <w:szCs w:val="20"/>
        </w:rPr>
        <w:t xml:space="preserve"> rozwoju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, które są dokonywane z uwzględnieniem kryteriów środowiskowych, społecznych i dotyczących ła</w:t>
      </w:r>
      <w:r>
        <w:rPr>
          <w:rFonts w:ascii="Arial" w:hAnsi="Arial" w:cs="Arial"/>
          <w:color w:val="000000" w:themeColor="text1"/>
          <w:sz w:val="20"/>
          <w:szCs w:val="20"/>
        </w:rPr>
        <w:t>du korporacyjnego (tzw. czynników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ESG). Ich celem oprócz zysku finansowego jest także generowanie pozytywnego oddziaływania </w:t>
      </w:r>
      <w:r w:rsidR="0034327A">
        <w:rPr>
          <w:rFonts w:ascii="Arial" w:hAnsi="Arial" w:cs="Arial"/>
          <w:color w:val="000000" w:themeColor="text1"/>
          <w:sz w:val="20"/>
          <w:szCs w:val="20"/>
        </w:rPr>
        <w:t>n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a społeczeństwa.</w:t>
      </w:r>
      <w:r w:rsidR="006D24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0FA9FB5" w14:textId="464FAA9A" w:rsidR="00EB4E73" w:rsidRDefault="00573674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Zrównoważone inwestycje to </w:t>
      </w:r>
      <w:r w:rsidR="003B7318">
        <w:rPr>
          <w:rFonts w:ascii="Arial" w:hAnsi="Arial" w:cs="Arial"/>
          <w:color w:val="000000" w:themeColor="text1"/>
          <w:sz w:val="20"/>
          <w:szCs w:val="20"/>
        </w:rPr>
        <w:t>zjawisko</w:t>
      </w:r>
      <w:r w:rsidR="003B7318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ostatnich kilku lat w skali globalnej, a zwłaszcza w obliczu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wyzwań związanych</w:t>
      </w:r>
      <w:r w:rsidR="00F00D8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ze zmianami klimatu i potrzeby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realizacji tzw. „zielonych”</w:t>
      </w:r>
      <w:r w:rsidR="00F00D8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inwestyc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ji.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Wydaje się nieuniknione, że inwestowanie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 xml:space="preserve"> zrównoważone, w tym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w oparciu m.in. o czynniki ESG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, będzie odgrywać coraz bardziej istotn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ą rolę również w Polsce. </w:t>
      </w:r>
    </w:p>
    <w:p w14:paraId="79CDAC55" w14:textId="13E926F4" w:rsidR="00573674" w:rsidRPr="00573674" w:rsidRDefault="00EB4E73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Inwestycje w zieloną gospodarkę nie spowalniają wzrostu g</w:t>
      </w:r>
      <w:r w:rsidR="00FA65A3">
        <w:rPr>
          <w:rFonts w:ascii="Arial" w:hAnsi="Arial" w:cs="Arial"/>
          <w:color w:val="000000" w:themeColor="text1"/>
          <w:sz w:val="20"/>
          <w:szCs w:val="20"/>
        </w:rPr>
        <w:t xml:space="preserve">ospodarczego, lecz pozwalają </w:t>
      </w:r>
      <w:r w:rsidR="007A62EA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="00FA65A3">
        <w:rPr>
          <w:rFonts w:ascii="Arial" w:hAnsi="Arial" w:cs="Arial"/>
          <w:color w:val="000000" w:themeColor="text1"/>
          <w:sz w:val="20"/>
          <w:szCs w:val="20"/>
        </w:rPr>
        <w:t xml:space="preserve">efektywniejszą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realizację celów klimatycznych i środowiskowych. 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>Świadczy o tym m.in. fakt, że w</w:t>
      </w:r>
      <w:r w:rsidR="000248F2">
        <w:rPr>
          <w:rFonts w:ascii="Arial" w:hAnsi="Arial" w:cs="Arial"/>
          <w:color w:val="000000" w:themeColor="text1"/>
          <w:sz w:val="20"/>
          <w:szCs w:val="20"/>
        </w:rPr>
        <w:t xml:space="preserve"> 2021 r.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327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>związku z o</w:t>
      </w:r>
      <w:r w:rsidR="00407BBC">
        <w:rPr>
          <w:rFonts w:ascii="Arial" w:hAnsi="Arial" w:cs="Arial"/>
          <w:color w:val="000000" w:themeColor="text1"/>
          <w:sz w:val="20"/>
          <w:szCs w:val="20"/>
        </w:rPr>
        <w:t>d</w:t>
      </w:r>
      <w:r w:rsidR="009353AA">
        <w:rPr>
          <w:rFonts w:ascii="Arial" w:hAnsi="Arial" w:cs="Arial"/>
          <w:color w:val="000000" w:themeColor="text1"/>
          <w:sz w:val="20"/>
          <w:szCs w:val="20"/>
        </w:rPr>
        <w:t>b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 xml:space="preserve">udową gospodarczą </w:t>
      </w:r>
      <w:r w:rsidR="000248F2">
        <w:rPr>
          <w:rFonts w:ascii="Arial" w:hAnsi="Arial" w:cs="Arial"/>
          <w:color w:val="000000" w:themeColor="text1"/>
          <w:sz w:val="20"/>
          <w:szCs w:val="20"/>
        </w:rPr>
        <w:t xml:space="preserve">po pandemii Covid-19 </w:t>
      </w:r>
      <w:r w:rsidR="00D449E2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 xml:space="preserve">Polsce </w:t>
      </w:r>
      <w:r w:rsidR="001B60BA">
        <w:rPr>
          <w:rFonts w:ascii="Arial" w:hAnsi="Arial" w:cs="Arial"/>
          <w:color w:val="000000" w:themeColor="text1"/>
          <w:sz w:val="20"/>
          <w:szCs w:val="20"/>
        </w:rPr>
        <w:t xml:space="preserve">13,5 mld </w:t>
      </w:r>
      <w:r w:rsidR="000248F2">
        <w:rPr>
          <w:rFonts w:ascii="Arial" w:hAnsi="Arial" w:cs="Arial"/>
          <w:color w:val="000000" w:themeColor="text1"/>
          <w:sz w:val="20"/>
          <w:szCs w:val="20"/>
        </w:rPr>
        <w:t xml:space="preserve">EUR 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 xml:space="preserve">zostało przeznaczonych na inwestycje </w:t>
      </w:r>
      <w:r w:rsidR="001B60BA">
        <w:rPr>
          <w:rFonts w:ascii="Arial" w:hAnsi="Arial" w:cs="Arial"/>
          <w:color w:val="000000" w:themeColor="text1"/>
          <w:sz w:val="20"/>
          <w:szCs w:val="20"/>
        </w:rPr>
        <w:t xml:space="preserve">wspomagające zieloną transformację. </w:t>
      </w:r>
      <w:r w:rsidR="000F2D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25920F4" w14:textId="77777777" w:rsidR="00573674" w:rsidRPr="00573674" w:rsidRDefault="00573674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Jednak jedną z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głównych</w:t>
      </w:r>
      <w:r w:rsidR="00F00D8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barier w oszacowaniu realnej skali zrównoważonych inwestycji w gospodar</w:t>
      </w:r>
      <w:r w:rsidR="00486458">
        <w:rPr>
          <w:rFonts w:ascii="Arial" w:hAnsi="Arial" w:cs="Arial"/>
          <w:color w:val="000000" w:themeColor="text1"/>
          <w:sz w:val="20"/>
          <w:szCs w:val="20"/>
        </w:rPr>
        <w:t>ce jest brak jasnej metodologii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, któr</w:t>
      </w:r>
      <w:r w:rsidR="00C92BB7">
        <w:rPr>
          <w:rFonts w:ascii="Arial" w:hAnsi="Arial" w:cs="Arial"/>
          <w:color w:val="000000" w:themeColor="text1"/>
          <w:sz w:val="20"/>
          <w:szCs w:val="20"/>
        </w:rPr>
        <w:t>a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umożliwiał</w:t>
      </w:r>
      <w:r w:rsidR="00C92BB7">
        <w:rPr>
          <w:rFonts w:ascii="Arial" w:hAnsi="Arial" w:cs="Arial"/>
          <w:color w:val="000000" w:themeColor="text1"/>
          <w:sz w:val="20"/>
          <w:szCs w:val="20"/>
        </w:rPr>
        <w:t>a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by dokonywanie </w:t>
      </w:r>
      <w:r w:rsidR="00705207">
        <w:rPr>
          <w:rFonts w:ascii="Arial" w:hAnsi="Arial" w:cs="Arial"/>
          <w:color w:val="000000" w:themeColor="text1"/>
          <w:sz w:val="20"/>
          <w:szCs w:val="20"/>
        </w:rPr>
        <w:t xml:space="preserve">ich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pomiaru w Polsce, w tym z rozróżnieniem na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 xml:space="preserve">sektory instytucjonalne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czy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poszczególne gałęzie</w:t>
      </w:r>
      <w:r w:rsidR="00F00D8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gospodarki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521606" w14:textId="77777777" w:rsidR="00573674" w:rsidRPr="00573674" w:rsidRDefault="00F00D85" w:rsidP="00010255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tym kontekście niezbędne</w:t>
      </w:r>
      <w:r w:rsidR="00DE3496">
        <w:rPr>
          <w:rFonts w:ascii="Arial" w:hAnsi="Arial" w:cs="Arial"/>
          <w:color w:val="000000" w:themeColor="text1"/>
          <w:sz w:val="20"/>
          <w:szCs w:val="20"/>
        </w:rPr>
        <w:t xml:space="preserve"> wydaje się</w:t>
      </w:r>
      <w:r w:rsidR="00233C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3CA5" w:rsidRPr="00573674">
        <w:rPr>
          <w:rFonts w:ascii="Arial" w:hAnsi="Arial" w:cs="Arial"/>
          <w:color w:val="000000" w:themeColor="text1"/>
          <w:sz w:val="20"/>
          <w:szCs w:val="20"/>
        </w:rPr>
        <w:t>stworzeni</w:t>
      </w:r>
      <w:r w:rsidR="00BF24E3">
        <w:rPr>
          <w:rFonts w:ascii="Arial" w:hAnsi="Arial" w:cs="Arial"/>
          <w:color w:val="000000" w:themeColor="text1"/>
          <w:sz w:val="20"/>
          <w:szCs w:val="20"/>
        </w:rPr>
        <w:t>e</w:t>
      </w:r>
      <w:r w:rsidR="00233CA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3674" w:rsidRPr="00573674">
        <w:rPr>
          <w:rFonts w:ascii="Arial" w:hAnsi="Arial" w:cs="Arial"/>
          <w:color w:val="000000" w:themeColor="text1"/>
          <w:sz w:val="20"/>
          <w:szCs w:val="20"/>
        </w:rPr>
        <w:t xml:space="preserve">metodologii, która pozwalałaby na monitorowanie skali </w:t>
      </w:r>
      <w:r w:rsidR="00573674">
        <w:rPr>
          <w:rFonts w:ascii="Arial" w:hAnsi="Arial" w:cs="Arial"/>
          <w:color w:val="000000" w:themeColor="text1"/>
          <w:sz w:val="20"/>
          <w:szCs w:val="20"/>
        </w:rPr>
        <w:t xml:space="preserve">zrównoważonych inwestycji </w:t>
      </w:r>
      <w:r w:rsidR="00573674" w:rsidRPr="00573674">
        <w:rPr>
          <w:rFonts w:ascii="Arial" w:hAnsi="Arial" w:cs="Arial"/>
          <w:color w:val="000000" w:themeColor="text1"/>
          <w:sz w:val="20"/>
          <w:szCs w:val="20"/>
        </w:rPr>
        <w:t>w polskiej gospodarce</w:t>
      </w:r>
      <w:r w:rsidR="00573674">
        <w:rPr>
          <w:rFonts w:ascii="Arial" w:hAnsi="Arial" w:cs="Arial"/>
          <w:color w:val="000000" w:themeColor="text1"/>
          <w:sz w:val="20"/>
          <w:szCs w:val="20"/>
        </w:rPr>
        <w:t xml:space="preserve">, w tym zielonych inwestycji, które powinny </w:t>
      </w:r>
      <w:r w:rsidR="00DE3496">
        <w:rPr>
          <w:rFonts w:ascii="Arial" w:hAnsi="Arial" w:cs="Arial"/>
          <w:color w:val="000000" w:themeColor="text1"/>
          <w:sz w:val="20"/>
          <w:szCs w:val="20"/>
        </w:rPr>
        <w:t>spełniać kryteria określone w rozporządzeniu</w:t>
      </w:r>
      <w:r w:rsidR="00573674">
        <w:rPr>
          <w:rFonts w:ascii="Arial" w:hAnsi="Arial" w:cs="Arial"/>
          <w:color w:val="000000" w:themeColor="text1"/>
          <w:sz w:val="20"/>
          <w:szCs w:val="20"/>
        </w:rPr>
        <w:t xml:space="preserve"> (UE) 2020/852 </w:t>
      </w:r>
      <w:proofErr w:type="spellStart"/>
      <w:r w:rsidR="00573674">
        <w:rPr>
          <w:rFonts w:ascii="Arial" w:hAnsi="Arial" w:cs="Arial"/>
          <w:color w:val="000000" w:themeColor="text1"/>
          <w:sz w:val="20"/>
          <w:szCs w:val="20"/>
        </w:rPr>
        <w:t>ws</w:t>
      </w:r>
      <w:proofErr w:type="spellEnd"/>
      <w:r w:rsidR="00573674">
        <w:rPr>
          <w:rFonts w:ascii="Arial" w:hAnsi="Arial" w:cs="Arial"/>
          <w:color w:val="000000" w:themeColor="text1"/>
          <w:sz w:val="20"/>
          <w:szCs w:val="20"/>
        </w:rPr>
        <w:t xml:space="preserve">. taksonomii. </w:t>
      </w:r>
    </w:p>
    <w:p w14:paraId="38238E71" w14:textId="77777777" w:rsidR="00573674" w:rsidRPr="00573674" w:rsidRDefault="00573674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Od 1.01.2022 r. p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aństwa członkowskie, UE i uczestnicy rynku finansowego </w:t>
      </w:r>
      <w:r>
        <w:rPr>
          <w:rFonts w:ascii="Arial" w:hAnsi="Arial" w:cs="Arial"/>
          <w:color w:val="000000" w:themeColor="text1"/>
          <w:sz w:val="20"/>
          <w:szCs w:val="20"/>
        </w:rPr>
        <w:t>muszą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przestrzegać nowy</w:t>
      </w:r>
      <w:r>
        <w:rPr>
          <w:rFonts w:ascii="Arial" w:hAnsi="Arial" w:cs="Arial"/>
          <w:color w:val="000000" w:themeColor="text1"/>
          <w:sz w:val="20"/>
          <w:szCs w:val="20"/>
        </w:rPr>
        <w:t>ch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wymagań klasyfikacyjnych na mocy aktu delegowanego określającego techniczne kryteria kwalifikacji dla celów związanych z klimatem – Cel 1: łagodzenie zmian klimatu i Cel 2: adaptacja do zmian klimatu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Z kolei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od 1.01.2023 r.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E3496">
        <w:rPr>
          <w:rFonts w:ascii="Arial" w:hAnsi="Arial" w:cs="Arial"/>
          <w:color w:val="000000" w:themeColor="text1"/>
          <w:sz w:val="20"/>
          <w:szCs w:val="20"/>
        </w:rPr>
        <w:t>powinny zacząć obowiązywać techniczne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kryteri</w:t>
      </w:r>
      <w:r w:rsidR="00DE3496">
        <w:rPr>
          <w:rFonts w:ascii="Arial" w:hAnsi="Arial" w:cs="Arial"/>
          <w:color w:val="000000" w:themeColor="text1"/>
          <w:sz w:val="20"/>
          <w:szCs w:val="20"/>
        </w:rPr>
        <w:t>a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kwalifikacji dla pozostałych celów środowiskowych taksonomii – Cel 3: zrównoważone wykorzystywanie i ochrona zasobów wodnych i morskich; Cel 4</w:t>
      </w:r>
      <w:r w:rsidR="00C92BB7">
        <w:rPr>
          <w:rFonts w:ascii="Arial" w:hAnsi="Arial" w:cs="Arial"/>
          <w:color w:val="000000" w:themeColor="text1"/>
          <w:sz w:val="20"/>
          <w:szCs w:val="20"/>
        </w:rPr>
        <w:t>: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przejście na gospodarkę o obiegu zamkniętym; Cel 5: zapobieganie zanieczyszczeniu i jego kontrola; Cel 6: ochrona i odbudowa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bioróżnorodności i ekosystemów – jeżeli odpowiedni akt </w:t>
      </w:r>
      <w:r w:rsidR="00DE3496">
        <w:rPr>
          <w:rFonts w:ascii="Arial" w:hAnsi="Arial" w:cs="Arial"/>
          <w:color w:val="000000" w:themeColor="text1"/>
          <w:sz w:val="20"/>
          <w:szCs w:val="20"/>
        </w:rPr>
        <w:t xml:space="preserve">delegowany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zostanie przyjęty w terminie. </w:t>
      </w:r>
    </w:p>
    <w:p w14:paraId="415F9EFA" w14:textId="52F68786" w:rsidR="006D2421" w:rsidRPr="006D2421" w:rsidRDefault="00573674" w:rsidP="006D2421">
      <w:pPr>
        <w:spacing w:line="240" w:lineRule="auto"/>
        <w:ind w:firstLine="4"/>
        <w:jc w:val="both"/>
        <w:rPr>
          <w:rFonts w:ascii="Arial" w:hAnsi="Arial" w:cs="Arial"/>
          <w:color w:val="FF0000"/>
          <w:sz w:val="20"/>
          <w:szCs w:val="20"/>
        </w:rPr>
      </w:pP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W związku z powyższym,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dążenie do wypracowania</w:t>
      </w:r>
      <w:r w:rsidR="00F00D85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6C5A">
        <w:rPr>
          <w:rFonts w:ascii="Arial" w:hAnsi="Arial" w:cs="Arial"/>
          <w:color w:val="000000" w:themeColor="text1"/>
          <w:sz w:val="20"/>
          <w:szCs w:val="20"/>
        </w:rPr>
        <w:t xml:space="preserve">metodologii </w:t>
      </w:r>
      <w:r>
        <w:rPr>
          <w:rFonts w:ascii="Arial" w:hAnsi="Arial" w:cs="Arial"/>
          <w:color w:val="000000" w:themeColor="text1"/>
          <w:sz w:val="20"/>
          <w:szCs w:val="20"/>
        </w:rPr>
        <w:t>z zestawem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2BB7">
        <w:rPr>
          <w:rFonts w:ascii="Arial" w:hAnsi="Arial" w:cs="Arial"/>
          <w:color w:val="000000" w:themeColor="text1"/>
          <w:sz w:val="20"/>
          <w:szCs w:val="20"/>
        </w:rPr>
        <w:t xml:space="preserve">konkretnych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wskaźników, które pozwalałyby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m.in.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na monitorowanie poziomu inwestycji</w:t>
      </w:r>
      <w:r w:rsidR="006D2421" w:rsidRPr="006D2421">
        <w:t xml:space="preserve"> </w:t>
      </w:r>
      <w:r w:rsidR="006D2421" w:rsidRPr="00573674">
        <w:rPr>
          <w:rFonts w:ascii="Arial" w:hAnsi="Arial" w:cs="Arial"/>
          <w:color w:val="000000" w:themeColor="text1"/>
          <w:sz w:val="20"/>
          <w:szCs w:val="20"/>
        </w:rPr>
        <w:t xml:space="preserve">pod kątem </w:t>
      </w:r>
      <w:r w:rsidR="006D2421">
        <w:rPr>
          <w:rFonts w:ascii="Arial" w:hAnsi="Arial" w:cs="Arial"/>
          <w:color w:val="000000" w:themeColor="text1"/>
          <w:sz w:val="20"/>
          <w:szCs w:val="20"/>
        </w:rPr>
        <w:t xml:space="preserve">chociażby </w:t>
      </w:r>
      <w:r w:rsidR="006D2421" w:rsidRPr="00573674">
        <w:rPr>
          <w:rFonts w:ascii="Arial" w:hAnsi="Arial" w:cs="Arial"/>
          <w:color w:val="000000" w:themeColor="text1"/>
          <w:sz w:val="20"/>
          <w:szCs w:val="20"/>
        </w:rPr>
        <w:t>spełniania celów taksonomii jest ważnym wyzwaniem, na które w perspektywie kolejnych lat powinna być również gotowa statystyka publiczna</w:t>
      </w:r>
      <w:r w:rsidR="006D2421">
        <w:rPr>
          <w:rFonts w:ascii="Arial" w:hAnsi="Arial" w:cs="Arial"/>
          <w:color w:val="000000" w:themeColor="text1"/>
          <w:sz w:val="20"/>
          <w:szCs w:val="20"/>
        </w:rPr>
        <w:t>.</w:t>
      </w:r>
      <w:r w:rsidR="006D2421" w:rsidRPr="006D2421">
        <w:rPr>
          <w:rFonts w:ascii="Arial" w:hAnsi="Arial" w:cs="Arial"/>
          <w:color w:val="FF0000"/>
          <w:sz w:val="20"/>
          <w:szCs w:val="20"/>
        </w:rPr>
        <w:t xml:space="preserve"> </w:t>
      </w:r>
      <w:r w:rsidR="00347E52" w:rsidRPr="00347E52">
        <w:rPr>
          <w:rFonts w:ascii="Arial" w:hAnsi="Arial" w:cs="Arial"/>
          <w:sz w:val="20"/>
          <w:szCs w:val="20"/>
        </w:rPr>
        <w:t>Pod pojęciem inwestycji należy rozumieć nakłady na środki materialne oraz niematerialne.</w:t>
      </w:r>
    </w:p>
    <w:p w14:paraId="2340C73B" w14:textId="77777777" w:rsidR="00573674" w:rsidRDefault="00573674" w:rsidP="00010255">
      <w:pPr>
        <w:spacing w:line="240" w:lineRule="auto"/>
        <w:ind w:firstLine="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3674">
        <w:rPr>
          <w:rFonts w:ascii="Arial" w:hAnsi="Arial" w:cs="Arial"/>
          <w:color w:val="000000" w:themeColor="text1"/>
          <w:sz w:val="20"/>
          <w:szCs w:val="20"/>
        </w:rPr>
        <w:lastRenderedPageBreak/>
        <w:t>W przypadku środowiskowego wymiaru zrównoważonego rozwoju, wiarygodne i</w:t>
      </w:r>
      <w:r w:rsidR="00623225">
        <w:rPr>
          <w:rFonts w:ascii="Arial" w:hAnsi="Arial" w:cs="Arial"/>
          <w:color w:val="000000" w:themeColor="text1"/>
          <w:sz w:val="20"/>
          <w:szCs w:val="20"/>
        </w:rPr>
        <w:t xml:space="preserve"> porównywalne dane dotyczące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wydatków związanych z ochroną środowiska i </w:t>
      </w:r>
      <w:r w:rsidR="002A4C5F">
        <w:rPr>
          <w:rFonts w:ascii="Arial" w:hAnsi="Arial" w:cs="Arial"/>
          <w:color w:val="000000" w:themeColor="text1"/>
          <w:sz w:val="20"/>
          <w:szCs w:val="20"/>
        </w:rPr>
        <w:t xml:space="preserve">przeciwdziałaniem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zmian</w:t>
      </w:r>
      <w:r w:rsidR="002A4C5F">
        <w:rPr>
          <w:rFonts w:ascii="Arial" w:hAnsi="Arial" w:cs="Arial"/>
          <w:color w:val="000000" w:themeColor="text1"/>
          <w:sz w:val="20"/>
          <w:szCs w:val="20"/>
        </w:rPr>
        <w:t>o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m klimatu są kluczowe dla instytucji finansowych (w tym banków centralnych i nadzorców finansowych), inwestorów i d</w:t>
      </w:r>
      <w:r w:rsidR="0057600E">
        <w:rPr>
          <w:rFonts w:ascii="Arial" w:hAnsi="Arial" w:cs="Arial"/>
          <w:color w:val="000000" w:themeColor="text1"/>
          <w:sz w:val="20"/>
          <w:szCs w:val="20"/>
        </w:rPr>
        <w:t>ecydentów (administracji</w:t>
      </w:r>
      <w:r w:rsidR="00170000">
        <w:rPr>
          <w:rFonts w:ascii="Arial" w:hAnsi="Arial" w:cs="Arial"/>
          <w:color w:val="000000" w:themeColor="text1"/>
          <w:sz w:val="20"/>
          <w:szCs w:val="20"/>
        </w:rPr>
        <w:t xml:space="preserve"> rządowej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i samorzą</w:t>
      </w:r>
      <w:r w:rsidR="00170000">
        <w:rPr>
          <w:rFonts w:ascii="Arial" w:hAnsi="Arial" w:cs="Arial"/>
          <w:color w:val="000000" w:themeColor="text1"/>
          <w:sz w:val="20"/>
          <w:szCs w:val="20"/>
        </w:rPr>
        <w:t>dowej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w procesie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ocen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y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ryzyk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a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dla stabilności finansowej, 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wyceny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i zarządza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nia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742D">
        <w:rPr>
          <w:rFonts w:ascii="Arial" w:hAnsi="Arial" w:cs="Arial"/>
          <w:color w:val="000000" w:themeColor="text1"/>
          <w:sz w:val="20"/>
          <w:szCs w:val="20"/>
        </w:rPr>
        <w:t>ryzykiem</w:t>
      </w:r>
      <w:r w:rsidR="00F9742D" w:rsidRPr="005736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>związanymi ze zmianą klimatu i wyk</w:t>
      </w:r>
      <w:r w:rsidR="00FA0E47">
        <w:rPr>
          <w:rFonts w:ascii="Arial" w:hAnsi="Arial" w:cs="Arial"/>
          <w:color w:val="000000" w:themeColor="text1"/>
          <w:sz w:val="20"/>
          <w:szCs w:val="20"/>
        </w:rPr>
        <w:t>orzysta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nia</w:t>
      </w:r>
      <w:r w:rsidR="00FA0E47">
        <w:rPr>
          <w:rFonts w:ascii="Arial" w:hAnsi="Arial" w:cs="Arial"/>
          <w:color w:val="000000" w:themeColor="text1"/>
          <w:sz w:val="20"/>
          <w:szCs w:val="20"/>
        </w:rPr>
        <w:t xml:space="preserve"> możliwości wynikając</w:t>
      </w:r>
      <w:r w:rsidR="00F00D85">
        <w:rPr>
          <w:rFonts w:ascii="Arial" w:hAnsi="Arial" w:cs="Arial"/>
          <w:color w:val="000000" w:themeColor="text1"/>
          <w:sz w:val="20"/>
          <w:szCs w:val="20"/>
        </w:rPr>
        <w:t>ych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z przejścia do gospodarki niskoemisyjnej. Są one konieczne także dla oceny postępów w osiąganiu celów klimatycznych, zarówno tych globalnych, europejskich</w:t>
      </w:r>
      <w:r w:rsidR="0035781F">
        <w:rPr>
          <w:rFonts w:ascii="Arial" w:hAnsi="Arial" w:cs="Arial"/>
          <w:color w:val="000000" w:themeColor="text1"/>
          <w:sz w:val="20"/>
          <w:szCs w:val="20"/>
        </w:rPr>
        <w:t>,</w:t>
      </w:r>
      <w:r w:rsidRPr="00573674">
        <w:rPr>
          <w:rFonts w:ascii="Arial" w:hAnsi="Arial" w:cs="Arial"/>
          <w:color w:val="000000" w:themeColor="text1"/>
          <w:sz w:val="20"/>
          <w:szCs w:val="20"/>
        </w:rPr>
        <w:t xml:space="preserve"> jak i krajowych.</w:t>
      </w:r>
    </w:p>
    <w:p w14:paraId="0727E8F2" w14:textId="77777777" w:rsidR="00383A2C" w:rsidRPr="00B36F03" w:rsidRDefault="009D54E2" w:rsidP="00010255">
      <w:pPr>
        <w:spacing w:line="240" w:lineRule="auto"/>
        <w:ind w:firstLine="4"/>
        <w:jc w:val="both"/>
        <w:rPr>
          <w:rFonts w:ascii="Arial" w:hAnsi="Arial" w:cs="Arial"/>
          <w:sz w:val="20"/>
          <w:szCs w:val="20"/>
        </w:rPr>
      </w:pPr>
      <w:r w:rsidRPr="009D54E2">
        <w:rPr>
          <w:rFonts w:ascii="Arial" w:hAnsi="Arial" w:cs="Arial"/>
          <w:color w:val="000000" w:themeColor="text1"/>
          <w:sz w:val="20"/>
          <w:szCs w:val="20"/>
        </w:rPr>
        <w:t xml:space="preserve">W przypadku gospodarczego i społecznego wymiaru zrównoważonego rozwoju, pomiar zrównoważonych inwestycji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powinien się opierać na Celach Zrównoważonego Rozwoju </w:t>
      </w:r>
      <w:r w:rsidR="00C23DB6">
        <w:rPr>
          <w:rFonts w:ascii="Arial" w:hAnsi="Arial" w:cs="Arial"/>
          <w:color w:val="000000" w:themeColor="text1"/>
          <w:sz w:val="20"/>
          <w:szCs w:val="20"/>
        </w:rPr>
        <w:t>(</w:t>
      </w:r>
      <w:r>
        <w:rPr>
          <w:rFonts w:ascii="Arial" w:hAnsi="Arial" w:cs="Arial"/>
          <w:color w:val="000000" w:themeColor="text1"/>
          <w:sz w:val="20"/>
          <w:szCs w:val="20"/>
        </w:rPr>
        <w:t>SDGs</w:t>
      </w:r>
      <w:r w:rsidR="00C23DB6">
        <w:rPr>
          <w:rFonts w:ascii="Arial" w:hAnsi="Arial" w:cs="Arial"/>
          <w:color w:val="000000" w:themeColor="text1"/>
          <w:sz w:val="20"/>
          <w:szCs w:val="20"/>
        </w:rPr>
        <w:t>)</w:t>
      </w:r>
      <w:r w:rsidR="00762434">
        <w:rPr>
          <w:rFonts w:ascii="Arial" w:hAnsi="Arial" w:cs="Arial"/>
          <w:color w:val="000000" w:themeColor="text1"/>
          <w:sz w:val="20"/>
          <w:szCs w:val="20"/>
        </w:rPr>
        <w:t>, a zwłaszcza adresować</w:t>
      </w:r>
      <w:r w:rsidR="00762434" w:rsidRPr="00B36F03">
        <w:rPr>
          <w:rFonts w:ascii="Arial" w:hAnsi="Arial" w:cs="Arial"/>
          <w:sz w:val="20"/>
          <w:szCs w:val="20"/>
        </w:rPr>
        <w:t xml:space="preserve"> </w:t>
      </w:r>
      <w:r w:rsidR="00ED3F1A" w:rsidRPr="00B36F03">
        <w:rPr>
          <w:rFonts w:ascii="Arial" w:hAnsi="Arial" w:cs="Arial"/>
          <w:sz w:val="20"/>
          <w:szCs w:val="20"/>
        </w:rPr>
        <w:t xml:space="preserve">Cele, na które największy wpływ ma biznes, tj. SDG 3 </w:t>
      </w:r>
      <w:r w:rsidR="00B8745E" w:rsidRPr="00B36F03">
        <w:rPr>
          <w:rFonts w:ascii="Arial" w:hAnsi="Arial" w:cs="Arial"/>
          <w:sz w:val="20"/>
          <w:szCs w:val="20"/>
        </w:rPr>
        <w:t xml:space="preserve">(dobre zdrowie i jakość życia), SDG 4 (dobra jakość edukacji), SDG 5 (równość płci), SDG 8 (wzrost gospodarczy i godna płaca), SDG 9 (innowacyjność, przemysł, infrastruktura), SDG 12 (odpowiedzialna produkcja i konsumpcja). </w:t>
      </w:r>
      <w:r w:rsidR="00575CE6">
        <w:rPr>
          <w:rFonts w:ascii="Arial" w:hAnsi="Arial" w:cs="Arial"/>
          <w:sz w:val="20"/>
          <w:szCs w:val="20"/>
        </w:rPr>
        <w:t xml:space="preserve">Ponadto, pomiar powinien także w miarę możliwości uwzględniać koncepcję tzw. taksonomii społecznej wypracowywanej na forum UE, której celem </w:t>
      </w:r>
      <w:r w:rsidR="00575CE6" w:rsidRPr="00575CE6">
        <w:rPr>
          <w:rFonts w:ascii="Arial" w:hAnsi="Arial" w:cs="Arial"/>
          <w:sz w:val="20"/>
          <w:szCs w:val="20"/>
        </w:rPr>
        <w:t>byłoby wspieranie przedsiębiorstw w dokonywaniu inwestycji mających pozytywny wpływ na realizację celów społecznych.</w:t>
      </w:r>
    </w:p>
    <w:p w14:paraId="6CBC960B" w14:textId="77777777" w:rsidR="006E3056" w:rsidRPr="009D54E2" w:rsidRDefault="006E3056" w:rsidP="00010255">
      <w:pPr>
        <w:spacing w:line="240" w:lineRule="auto"/>
        <w:ind w:firstLine="4"/>
        <w:jc w:val="both"/>
        <w:rPr>
          <w:rFonts w:ascii="Arial" w:hAnsi="Arial" w:cs="Arial"/>
          <w:i/>
          <w:sz w:val="20"/>
          <w:szCs w:val="20"/>
        </w:rPr>
      </w:pPr>
    </w:p>
    <w:p w14:paraId="19D504A8" w14:textId="77777777" w:rsidR="00C625E9" w:rsidRPr="00F12683" w:rsidRDefault="00F12683" w:rsidP="000102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Cel projektu</w:t>
      </w:r>
    </w:p>
    <w:p w14:paraId="1C2060CC" w14:textId="56B9FC4A" w:rsidR="00CA09AF" w:rsidRPr="00CA09AF" w:rsidRDefault="00C625E9" w:rsidP="00010255">
      <w:pPr>
        <w:spacing w:line="240" w:lineRule="auto"/>
        <w:ind w:firstLine="4"/>
        <w:jc w:val="both"/>
        <w:rPr>
          <w:rFonts w:ascii="Arial" w:hAnsi="Arial" w:cs="Arial"/>
          <w:sz w:val="20"/>
          <w:szCs w:val="24"/>
        </w:rPr>
      </w:pPr>
      <w:r w:rsidRPr="00CA09AF">
        <w:rPr>
          <w:rFonts w:ascii="Arial" w:hAnsi="Arial" w:cs="Arial"/>
          <w:sz w:val="20"/>
          <w:szCs w:val="24"/>
        </w:rPr>
        <w:t xml:space="preserve">Celem </w:t>
      </w:r>
      <w:r w:rsidR="00F9635A">
        <w:rPr>
          <w:rFonts w:ascii="Arial" w:hAnsi="Arial" w:cs="Arial"/>
          <w:sz w:val="20"/>
          <w:szCs w:val="24"/>
        </w:rPr>
        <w:t>projektu</w:t>
      </w:r>
      <w:r w:rsidRPr="00CA09AF">
        <w:rPr>
          <w:rFonts w:ascii="Arial" w:hAnsi="Arial" w:cs="Arial"/>
          <w:sz w:val="20"/>
          <w:szCs w:val="24"/>
        </w:rPr>
        <w:t xml:space="preserve"> jest</w:t>
      </w:r>
      <w:r w:rsidR="00CA09AF" w:rsidRPr="00CA09AF">
        <w:rPr>
          <w:rFonts w:ascii="Arial" w:hAnsi="Arial" w:cs="Arial"/>
          <w:sz w:val="20"/>
          <w:szCs w:val="24"/>
        </w:rPr>
        <w:t xml:space="preserve"> wypracowanie metodologii pomiaru zrównoważonych inwestycji zgodnie z obowiązującym prawem w Polsce i UE. </w:t>
      </w:r>
      <w:r w:rsidR="00724B57">
        <w:rPr>
          <w:rFonts w:ascii="Arial" w:hAnsi="Arial" w:cs="Arial"/>
          <w:sz w:val="20"/>
          <w:szCs w:val="24"/>
        </w:rPr>
        <w:t>Ponadto, m</w:t>
      </w:r>
      <w:r w:rsidR="00CA09AF" w:rsidRPr="00CA09AF">
        <w:rPr>
          <w:rFonts w:ascii="Arial" w:hAnsi="Arial" w:cs="Arial"/>
          <w:sz w:val="20"/>
          <w:szCs w:val="24"/>
        </w:rPr>
        <w:t xml:space="preserve">etodologia powinna mieć charakter </w:t>
      </w:r>
      <w:r w:rsidR="0026419F">
        <w:rPr>
          <w:rFonts w:ascii="Arial" w:hAnsi="Arial" w:cs="Arial"/>
          <w:sz w:val="20"/>
          <w:szCs w:val="24"/>
        </w:rPr>
        <w:t xml:space="preserve">rozwojowy </w:t>
      </w:r>
      <w:r w:rsidR="00CA09AF" w:rsidRPr="00CA09AF">
        <w:rPr>
          <w:rFonts w:ascii="Arial" w:hAnsi="Arial" w:cs="Arial"/>
          <w:sz w:val="20"/>
          <w:szCs w:val="24"/>
        </w:rPr>
        <w:t>i uwzględniać przyszłe zmiany trendów w sektorze zrównoważonych inwestycji, ze szczególnym uwzględnieniem postanowień środowiskowej taksonomii, a także wypracowywanej na forum UE społecznej taksonomii.</w:t>
      </w:r>
      <w:r w:rsidR="00C23E62">
        <w:rPr>
          <w:rFonts w:ascii="Arial" w:hAnsi="Arial" w:cs="Arial"/>
          <w:sz w:val="20"/>
          <w:szCs w:val="24"/>
        </w:rPr>
        <w:t xml:space="preserve"> </w:t>
      </w:r>
    </w:p>
    <w:p w14:paraId="212E3BB1" w14:textId="77777777" w:rsidR="00AB107A" w:rsidRDefault="00C625E9" w:rsidP="00010255">
      <w:pPr>
        <w:spacing w:line="240" w:lineRule="auto"/>
        <w:ind w:firstLine="4"/>
        <w:jc w:val="both"/>
        <w:rPr>
          <w:rFonts w:ascii="Arial" w:hAnsi="Arial" w:cs="Arial"/>
          <w:sz w:val="20"/>
          <w:szCs w:val="20"/>
        </w:rPr>
      </w:pPr>
      <w:r w:rsidRPr="00C66125">
        <w:rPr>
          <w:rFonts w:ascii="Arial" w:hAnsi="Arial" w:cs="Arial"/>
          <w:sz w:val="20"/>
          <w:szCs w:val="20"/>
        </w:rPr>
        <w:t>Przed</w:t>
      </w:r>
      <w:r w:rsidR="00AB107A" w:rsidRPr="00C66125">
        <w:rPr>
          <w:rFonts w:ascii="Arial" w:hAnsi="Arial" w:cs="Arial"/>
          <w:sz w:val="20"/>
          <w:szCs w:val="20"/>
        </w:rPr>
        <w:t xml:space="preserve">miotowa ekspertyza ma wesprzeć Ministerstwo Rozwoju i Technologii w </w:t>
      </w:r>
      <w:r w:rsidR="00991D94">
        <w:rPr>
          <w:rFonts w:ascii="Arial" w:hAnsi="Arial" w:cs="Arial"/>
          <w:sz w:val="20"/>
          <w:szCs w:val="20"/>
        </w:rPr>
        <w:t xml:space="preserve">gromadzeniu informacji oraz </w:t>
      </w:r>
      <w:r w:rsidR="00CB0A11">
        <w:rPr>
          <w:rFonts w:ascii="Arial" w:hAnsi="Arial" w:cs="Arial"/>
          <w:sz w:val="20"/>
          <w:szCs w:val="20"/>
        </w:rPr>
        <w:t>formułowaniu wniosków i ocen na temat</w:t>
      </w:r>
      <w:r w:rsidR="00991D94">
        <w:rPr>
          <w:rFonts w:ascii="Arial" w:hAnsi="Arial" w:cs="Arial"/>
          <w:sz w:val="20"/>
          <w:szCs w:val="20"/>
        </w:rPr>
        <w:t xml:space="preserve"> zrównoważonych </w:t>
      </w:r>
      <w:r w:rsidR="00F23849">
        <w:rPr>
          <w:rFonts w:ascii="Arial" w:hAnsi="Arial" w:cs="Arial"/>
          <w:sz w:val="20"/>
          <w:szCs w:val="20"/>
        </w:rPr>
        <w:t>inwestycji w Polsce</w:t>
      </w:r>
      <w:r w:rsidR="00233CA5">
        <w:rPr>
          <w:rFonts w:ascii="Arial" w:hAnsi="Arial" w:cs="Arial"/>
          <w:sz w:val="20"/>
          <w:szCs w:val="20"/>
        </w:rPr>
        <w:t xml:space="preserve"> oraz promocji tego tematu</w:t>
      </w:r>
      <w:r w:rsidR="00252959">
        <w:rPr>
          <w:rFonts w:ascii="Arial" w:hAnsi="Arial" w:cs="Arial"/>
          <w:sz w:val="20"/>
          <w:szCs w:val="20"/>
        </w:rPr>
        <w:t>.</w:t>
      </w:r>
      <w:r w:rsidR="00F23849">
        <w:rPr>
          <w:rFonts w:ascii="Arial" w:hAnsi="Arial" w:cs="Arial"/>
          <w:sz w:val="20"/>
          <w:szCs w:val="20"/>
        </w:rPr>
        <w:t xml:space="preserve"> </w:t>
      </w:r>
    </w:p>
    <w:p w14:paraId="05B4B704" w14:textId="77777777" w:rsidR="00F12683" w:rsidRPr="008C04EF" w:rsidRDefault="00F12683" w:rsidP="00010255">
      <w:pPr>
        <w:spacing w:line="240" w:lineRule="auto"/>
        <w:ind w:firstLine="4"/>
        <w:jc w:val="both"/>
        <w:rPr>
          <w:rFonts w:ascii="Arial" w:hAnsi="Arial" w:cs="Arial"/>
          <w:sz w:val="20"/>
          <w:szCs w:val="20"/>
          <w:u w:val="single"/>
        </w:rPr>
      </w:pPr>
    </w:p>
    <w:p w14:paraId="00DDD366" w14:textId="77777777" w:rsidR="00C625E9" w:rsidRPr="008C04EF" w:rsidRDefault="00F32AC2" w:rsidP="00010255">
      <w:pPr>
        <w:spacing w:after="120" w:line="240" w:lineRule="auto"/>
        <w:jc w:val="both"/>
        <w:rPr>
          <w:rFonts w:ascii="Arial" w:hAnsi="Arial" w:cs="Arial"/>
          <w:szCs w:val="20"/>
          <w:u w:val="single"/>
        </w:rPr>
      </w:pPr>
      <w:r w:rsidRPr="008C04EF">
        <w:rPr>
          <w:rFonts w:ascii="Arial" w:eastAsia="Times New Roman" w:hAnsi="Arial" w:cs="Arial"/>
          <w:b/>
          <w:bCs/>
          <w:szCs w:val="20"/>
          <w:u w:val="single"/>
          <w:lang w:eastAsia="pl-PL"/>
        </w:rPr>
        <w:t xml:space="preserve">Szczegółowy zakres </w:t>
      </w:r>
      <w:r w:rsidR="00991D94" w:rsidRPr="008C04EF">
        <w:rPr>
          <w:rFonts w:ascii="Arial" w:eastAsia="Times New Roman" w:hAnsi="Arial" w:cs="Arial"/>
          <w:b/>
          <w:bCs/>
          <w:szCs w:val="20"/>
          <w:u w:val="single"/>
          <w:lang w:eastAsia="pl-PL"/>
        </w:rPr>
        <w:t>wsparcia w ramach ekspertyzy</w:t>
      </w:r>
      <w:r w:rsidR="00C625E9" w:rsidRPr="008C04EF">
        <w:rPr>
          <w:rFonts w:ascii="Arial" w:eastAsia="Times New Roman" w:hAnsi="Arial" w:cs="Arial"/>
          <w:b/>
          <w:bCs/>
          <w:szCs w:val="20"/>
          <w:u w:val="single"/>
          <w:lang w:eastAsia="pl-PL"/>
        </w:rPr>
        <w:t>:</w:t>
      </w:r>
    </w:p>
    <w:p w14:paraId="59039358" w14:textId="77777777" w:rsidR="00C625E9" w:rsidRPr="007C1ED3" w:rsidRDefault="007C1ED3" w:rsidP="0001025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Opracowanie metodologiczne</w:t>
      </w:r>
      <w:r w:rsidR="001C15E9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991D94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któr</w:t>
      </w:r>
      <w:r w:rsidR="003B0411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45FAA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32AC2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powinn</w:t>
      </w:r>
      <w:r w:rsidR="003B0411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C625E9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32AC2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zawierać</w:t>
      </w:r>
      <w:r w:rsidR="00C625E9" w:rsidRPr="007C1ED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9388603" w14:textId="77777777" w:rsidR="00AB50A3" w:rsidRDefault="00AB50A3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technik i metod badawczych </w:t>
      </w:r>
      <w:r w:rsidR="00DF40AA">
        <w:rPr>
          <w:rFonts w:ascii="Arial" w:hAnsi="Arial" w:cs="Arial"/>
          <w:sz w:val="20"/>
          <w:szCs w:val="20"/>
        </w:rPr>
        <w:t>wykorzystanych do przygotowania opracowania,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7A0DBD" w14:textId="77777777" w:rsidR="006604D3" w:rsidRDefault="00AB50A3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 w:rsidRPr="00C12B1E">
        <w:rPr>
          <w:rFonts w:ascii="Arial" w:eastAsia="Times New Roman" w:hAnsi="Arial" w:cs="Arial"/>
          <w:sz w:val="20"/>
          <w:szCs w:val="20"/>
          <w:lang w:eastAsia="pl-PL"/>
        </w:rPr>
        <w:t xml:space="preserve">informację </w:t>
      </w:r>
      <w:r w:rsidR="00980397">
        <w:rPr>
          <w:rFonts w:ascii="Arial" w:eastAsia="Times New Roman" w:hAnsi="Arial" w:cs="Arial"/>
          <w:sz w:val="20"/>
          <w:szCs w:val="20"/>
          <w:lang w:eastAsia="pl-PL"/>
        </w:rPr>
        <w:t>dotyczącą</w:t>
      </w:r>
      <w:r w:rsidRPr="00C12B1E">
        <w:rPr>
          <w:rFonts w:ascii="Arial" w:eastAsia="Times New Roman" w:hAnsi="Arial" w:cs="Arial"/>
          <w:sz w:val="20"/>
          <w:szCs w:val="20"/>
          <w:lang w:eastAsia="pl-PL"/>
        </w:rPr>
        <w:t xml:space="preserve"> źródeł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danych</w:t>
      </w:r>
      <w:r w:rsidRPr="00C12B1E">
        <w:rPr>
          <w:rFonts w:ascii="Arial" w:eastAsia="Times New Roman" w:hAnsi="Arial" w:cs="Arial"/>
          <w:sz w:val="20"/>
          <w:szCs w:val="20"/>
          <w:lang w:eastAsia="pl-PL"/>
        </w:rPr>
        <w:t>, za pomocą któ</w:t>
      </w:r>
      <w:r w:rsidRPr="00C23E62">
        <w:rPr>
          <w:rFonts w:ascii="Arial" w:eastAsia="Times New Roman" w:hAnsi="Arial" w:cs="Arial"/>
          <w:sz w:val="20"/>
          <w:szCs w:val="20"/>
          <w:lang w:eastAsia="pl-PL"/>
        </w:rPr>
        <w:t xml:space="preserve">rych można będzie dokonywać pomiaru zrównoważonych inwestycji </w:t>
      </w:r>
      <w:r w:rsidRPr="00E23EC8">
        <w:rPr>
          <w:rFonts w:ascii="Arial" w:eastAsia="Times New Roman" w:hAnsi="Arial" w:cs="Arial"/>
          <w:sz w:val="20"/>
          <w:szCs w:val="20"/>
          <w:lang w:eastAsia="pl-PL"/>
        </w:rPr>
        <w:t xml:space="preserve">(np.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dane GUS i innych instytucji publicznych, </w:t>
      </w:r>
      <w:r w:rsidRPr="00E23EC8">
        <w:rPr>
          <w:rFonts w:ascii="Arial" w:eastAsia="Times New Roman" w:hAnsi="Arial" w:cs="Arial"/>
          <w:sz w:val="20"/>
          <w:szCs w:val="20"/>
          <w:lang w:eastAsia="pl-PL"/>
        </w:rPr>
        <w:t>dane cząstkowe ze sprawozdań przedsiębiorstw)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E23EC8">
        <w:rPr>
          <w:rFonts w:ascii="Arial" w:eastAsia="Times New Roman" w:hAnsi="Arial" w:cs="Arial"/>
          <w:sz w:val="20"/>
          <w:szCs w:val="20"/>
          <w:lang w:eastAsia="pl-PL"/>
        </w:rPr>
        <w:t>częstotliwości publikacji danych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191A95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>roczne, kwartalne)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sposobów ich pozyskiwania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191A95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>dane publicznie dostępne, za opłatą)</w:t>
      </w:r>
      <w:r w:rsidR="00BA473C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D6DCDD2" w14:textId="63B5F31D" w:rsidR="00991D94" w:rsidRPr="006604D3" w:rsidRDefault="00980397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604D3">
        <w:rPr>
          <w:rFonts w:ascii="Arial" w:hAnsi="Arial" w:cs="Arial"/>
          <w:sz w:val="20"/>
          <w:szCs w:val="20"/>
        </w:rPr>
        <w:t xml:space="preserve">propozycję </w:t>
      </w:r>
      <w:r w:rsidR="00DF40AA" w:rsidRPr="006604D3">
        <w:rPr>
          <w:rFonts w:ascii="Arial" w:hAnsi="Arial" w:cs="Arial"/>
          <w:sz w:val="20"/>
          <w:szCs w:val="20"/>
        </w:rPr>
        <w:t>pię</w:t>
      </w:r>
      <w:r w:rsidRPr="006604D3">
        <w:rPr>
          <w:rFonts w:ascii="Arial" w:hAnsi="Arial" w:cs="Arial"/>
          <w:sz w:val="20"/>
          <w:szCs w:val="20"/>
        </w:rPr>
        <w:t>ciu</w:t>
      </w:r>
      <w:r w:rsidR="00DF40AA" w:rsidRPr="006604D3">
        <w:rPr>
          <w:rFonts w:ascii="Arial" w:hAnsi="Arial" w:cs="Arial"/>
          <w:sz w:val="20"/>
          <w:szCs w:val="20"/>
        </w:rPr>
        <w:t xml:space="preserve"> </w:t>
      </w:r>
      <w:r w:rsidR="00991D94" w:rsidRPr="006604D3">
        <w:rPr>
          <w:rFonts w:ascii="Arial" w:hAnsi="Arial" w:cs="Arial"/>
          <w:sz w:val="20"/>
          <w:szCs w:val="20"/>
        </w:rPr>
        <w:t>podstawow</w:t>
      </w:r>
      <w:r w:rsidR="00DF40AA" w:rsidRPr="006604D3">
        <w:rPr>
          <w:rFonts w:ascii="Arial" w:hAnsi="Arial" w:cs="Arial"/>
          <w:sz w:val="20"/>
          <w:szCs w:val="20"/>
        </w:rPr>
        <w:t>ych</w:t>
      </w:r>
      <w:r w:rsidR="00991D94" w:rsidRPr="006604D3">
        <w:rPr>
          <w:rFonts w:ascii="Arial" w:hAnsi="Arial" w:cs="Arial"/>
          <w:sz w:val="20"/>
          <w:szCs w:val="20"/>
        </w:rPr>
        <w:t xml:space="preserve"> wskaźnik</w:t>
      </w:r>
      <w:r w:rsidR="00DF40AA" w:rsidRPr="006604D3">
        <w:rPr>
          <w:rFonts w:ascii="Arial" w:hAnsi="Arial" w:cs="Arial"/>
          <w:sz w:val="20"/>
          <w:szCs w:val="20"/>
        </w:rPr>
        <w:t xml:space="preserve">ów </w:t>
      </w:r>
      <w:r w:rsidR="00991D94" w:rsidRPr="006604D3">
        <w:rPr>
          <w:rFonts w:ascii="Arial" w:hAnsi="Arial" w:cs="Arial"/>
          <w:sz w:val="20"/>
          <w:szCs w:val="20"/>
        </w:rPr>
        <w:t>służąc</w:t>
      </w:r>
      <w:r w:rsidR="00DF40AA" w:rsidRPr="006604D3">
        <w:rPr>
          <w:rFonts w:ascii="Arial" w:hAnsi="Arial" w:cs="Arial"/>
          <w:sz w:val="20"/>
          <w:szCs w:val="20"/>
        </w:rPr>
        <w:t>ych</w:t>
      </w:r>
      <w:r w:rsidR="00991D94" w:rsidRPr="006604D3">
        <w:rPr>
          <w:rFonts w:ascii="Arial" w:hAnsi="Arial" w:cs="Arial"/>
          <w:sz w:val="20"/>
          <w:szCs w:val="20"/>
        </w:rPr>
        <w:t xml:space="preserve"> do oceny skali zrównoważonych inwestycji w polskiej gospodarce w podziale na sektory instytucjonalne </w:t>
      </w:r>
      <w:r w:rsidR="001C10AB" w:rsidRPr="006604D3">
        <w:rPr>
          <w:rFonts w:ascii="Arial" w:hAnsi="Arial" w:cs="Arial"/>
          <w:sz w:val="20"/>
          <w:szCs w:val="20"/>
        </w:rPr>
        <w:t>(</w:t>
      </w:r>
      <w:r w:rsidR="007577FE" w:rsidRPr="006604D3">
        <w:rPr>
          <w:rFonts w:ascii="Arial" w:hAnsi="Arial" w:cs="Arial"/>
          <w:sz w:val="20"/>
          <w:szCs w:val="20"/>
        </w:rPr>
        <w:t>publiczny, prywatny)</w:t>
      </w:r>
      <w:r w:rsidR="001C10AB" w:rsidRPr="006604D3">
        <w:rPr>
          <w:rFonts w:ascii="Arial" w:hAnsi="Arial" w:cs="Arial"/>
          <w:sz w:val="20"/>
          <w:szCs w:val="20"/>
        </w:rPr>
        <w:t xml:space="preserve"> </w:t>
      </w:r>
      <w:r w:rsidR="00991D94" w:rsidRPr="006604D3">
        <w:rPr>
          <w:rFonts w:ascii="Arial" w:hAnsi="Arial" w:cs="Arial"/>
          <w:sz w:val="20"/>
          <w:szCs w:val="20"/>
        </w:rPr>
        <w:t xml:space="preserve">oraz na </w:t>
      </w:r>
      <w:r w:rsidR="00B77D18" w:rsidRPr="006604D3">
        <w:rPr>
          <w:rFonts w:ascii="Arial" w:hAnsi="Arial" w:cs="Arial"/>
          <w:sz w:val="20"/>
          <w:szCs w:val="20"/>
        </w:rPr>
        <w:t xml:space="preserve">wybrane </w:t>
      </w:r>
      <w:r w:rsidR="00991D94" w:rsidRPr="006604D3">
        <w:rPr>
          <w:rFonts w:ascii="Arial" w:hAnsi="Arial" w:cs="Arial"/>
          <w:sz w:val="20"/>
          <w:szCs w:val="20"/>
        </w:rPr>
        <w:t>gałęzie gospodarki</w:t>
      </w:r>
      <w:r w:rsidR="00B77D18" w:rsidRPr="006604D3">
        <w:rPr>
          <w:rFonts w:ascii="Arial" w:hAnsi="Arial" w:cs="Arial"/>
          <w:sz w:val="20"/>
          <w:szCs w:val="20"/>
        </w:rPr>
        <w:t xml:space="preserve"> </w:t>
      </w:r>
      <w:r w:rsidR="00347E52">
        <w:rPr>
          <w:rFonts w:ascii="Arial" w:hAnsi="Arial" w:cs="Arial"/>
          <w:sz w:val="20"/>
          <w:szCs w:val="20"/>
        </w:rPr>
        <w:t xml:space="preserve">(np. </w:t>
      </w:r>
      <w:r w:rsidR="004828C1" w:rsidRPr="006604D3">
        <w:rPr>
          <w:rFonts w:ascii="Arial" w:hAnsi="Arial" w:cs="Arial"/>
          <w:sz w:val="20"/>
          <w:szCs w:val="20"/>
        </w:rPr>
        <w:t>wg sekcji PKD</w:t>
      </w:r>
      <w:r w:rsidR="00347E52">
        <w:rPr>
          <w:rFonts w:ascii="Arial" w:hAnsi="Arial" w:cs="Arial"/>
          <w:sz w:val="20"/>
          <w:szCs w:val="20"/>
        </w:rPr>
        <w:t>)</w:t>
      </w:r>
      <w:r w:rsidR="004828C1" w:rsidRPr="006604D3">
        <w:rPr>
          <w:rFonts w:ascii="Arial" w:hAnsi="Arial" w:cs="Arial"/>
          <w:sz w:val="20"/>
          <w:szCs w:val="20"/>
        </w:rPr>
        <w:t xml:space="preserve"> wra</w:t>
      </w:r>
      <w:r w:rsidR="00B77D18" w:rsidRPr="006604D3">
        <w:rPr>
          <w:rFonts w:ascii="Arial" w:hAnsi="Arial" w:cs="Arial"/>
          <w:sz w:val="20"/>
          <w:szCs w:val="20"/>
        </w:rPr>
        <w:t>z</w:t>
      </w:r>
      <w:r w:rsidR="004828C1" w:rsidRPr="006604D3">
        <w:rPr>
          <w:rFonts w:ascii="Arial" w:hAnsi="Arial" w:cs="Arial"/>
          <w:sz w:val="20"/>
          <w:szCs w:val="20"/>
        </w:rPr>
        <w:t xml:space="preserve"> z</w:t>
      </w:r>
      <w:r w:rsidR="00B77D18" w:rsidRPr="006604D3">
        <w:rPr>
          <w:rFonts w:ascii="Arial" w:hAnsi="Arial" w:cs="Arial"/>
          <w:sz w:val="20"/>
          <w:szCs w:val="20"/>
        </w:rPr>
        <w:t xml:space="preserve"> uzasadnieniem</w:t>
      </w:r>
      <w:r w:rsidR="001C10AB" w:rsidRPr="006604D3">
        <w:rPr>
          <w:rFonts w:ascii="Arial" w:hAnsi="Arial" w:cs="Arial"/>
          <w:sz w:val="20"/>
          <w:szCs w:val="20"/>
        </w:rPr>
        <w:t xml:space="preserve"> wyboru</w:t>
      </w:r>
      <w:r w:rsidR="00991D94" w:rsidRPr="006604D3">
        <w:rPr>
          <w:rFonts w:ascii="Arial" w:hAnsi="Arial" w:cs="Arial"/>
          <w:sz w:val="20"/>
          <w:szCs w:val="20"/>
        </w:rPr>
        <w:t xml:space="preserve">, w tym pozwalające na </w:t>
      </w:r>
      <w:r w:rsidR="005F35CF" w:rsidRPr="006604D3">
        <w:rPr>
          <w:rFonts w:ascii="Arial" w:hAnsi="Arial" w:cs="Arial"/>
          <w:sz w:val="20"/>
          <w:szCs w:val="20"/>
        </w:rPr>
        <w:t>oszacowanie</w:t>
      </w:r>
      <w:r w:rsidR="00F7208E" w:rsidRPr="006604D3">
        <w:rPr>
          <w:rFonts w:ascii="Arial" w:hAnsi="Arial" w:cs="Arial"/>
          <w:sz w:val="20"/>
          <w:szCs w:val="20"/>
        </w:rPr>
        <w:t>:</w:t>
      </w:r>
      <w:r w:rsidR="005F35CF" w:rsidRPr="006604D3">
        <w:rPr>
          <w:rFonts w:ascii="Arial" w:hAnsi="Arial" w:cs="Arial"/>
          <w:sz w:val="20"/>
          <w:szCs w:val="20"/>
        </w:rPr>
        <w:t xml:space="preserve"> 1) </w:t>
      </w:r>
      <w:r w:rsidR="00991D94" w:rsidRPr="006604D3">
        <w:rPr>
          <w:rFonts w:ascii="Arial" w:hAnsi="Arial" w:cs="Arial"/>
          <w:sz w:val="20"/>
          <w:szCs w:val="20"/>
        </w:rPr>
        <w:t xml:space="preserve">wartości zaangażowanego kapitału </w:t>
      </w:r>
      <w:r w:rsidR="0051139C" w:rsidRPr="006604D3">
        <w:rPr>
          <w:rFonts w:ascii="Arial" w:hAnsi="Arial" w:cs="Arial"/>
          <w:sz w:val="20"/>
          <w:szCs w:val="20"/>
        </w:rPr>
        <w:t xml:space="preserve"> </w:t>
      </w:r>
      <w:r w:rsidR="00991D94" w:rsidRPr="006604D3">
        <w:rPr>
          <w:rFonts w:ascii="Arial" w:hAnsi="Arial" w:cs="Arial"/>
          <w:sz w:val="20"/>
          <w:szCs w:val="20"/>
        </w:rPr>
        <w:t>w działalność inwestycyjną o zrównoważonym charakterze</w:t>
      </w:r>
      <w:r w:rsidR="00232795" w:rsidRPr="006604D3">
        <w:rPr>
          <w:rFonts w:ascii="Arial" w:hAnsi="Arial" w:cs="Arial"/>
          <w:sz w:val="20"/>
          <w:szCs w:val="20"/>
        </w:rPr>
        <w:t xml:space="preserve"> (m.in. w formie nakładów brutto na środki trwałe)</w:t>
      </w:r>
      <w:r w:rsidR="00991D94" w:rsidRPr="006604D3">
        <w:rPr>
          <w:rFonts w:ascii="Arial" w:hAnsi="Arial" w:cs="Arial"/>
          <w:sz w:val="20"/>
          <w:szCs w:val="20"/>
        </w:rPr>
        <w:t xml:space="preserve">, </w:t>
      </w:r>
      <w:r w:rsidR="007577FE" w:rsidRPr="006604D3">
        <w:rPr>
          <w:rFonts w:ascii="Arial" w:hAnsi="Arial" w:cs="Arial"/>
          <w:sz w:val="20"/>
          <w:szCs w:val="20"/>
        </w:rPr>
        <w:t xml:space="preserve">2) </w:t>
      </w:r>
      <w:r w:rsidR="00991D94" w:rsidRPr="006604D3">
        <w:rPr>
          <w:rFonts w:ascii="Arial" w:hAnsi="Arial" w:cs="Arial"/>
          <w:sz w:val="20"/>
          <w:szCs w:val="20"/>
        </w:rPr>
        <w:t xml:space="preserve">skali zatrudnienia w tych działalnościach, </w:t>
      </w:r>
      <w:r w:rsidR="005F35CF" w:rsidRPr="006604D3">
        <w:rPr>
          <w:rFonts w:ascii="Arial" w:hAnsi="Arial" w:cs="Arial"/>
          <w:sz w:val="20"/>
          <w:szCs w:val="20"/>
        </w:rPr>
        <w:t>3)</w:t>
      </w:r>
      <w:r w:rsidR="00D708D3" w:rsidRPr="006604D3">
        <w:rPr>
          <w:rFonts w:ascii="Arial" w:hAnsi="Arial" w:cs="Arial"/>
          <w:sz w:val="20"/>
          <w:szCs w:val="20"/>
        </w:rPr>
        <w:t xml:space="preserve"> stopy zwrotu </w:t>
      </w:r>
      <w:r w:rsidR="005F35CF" w:rsidRPr="006604D3">
        <w:rPr>
          <w:rFonts w:ascii="Arial" w:hAnsi="Arial" w:cs="Arial"/>
          <w:sz w:val="20"/>
          <w:szCs w:val="20"/>
        </w:rPr>
        <w:t xml:space="preserve">zrównoważonych </w:t>
      </w:r>
      <w:r w:rsidR="00D708D3" w:rsidRPr="006604D3">
        <w:rPr>
          <w:rFonts w:ascii="Arial" w:hAnsi="Arial" w:cs="Arial"/>
          <w:sz w:val="20"/>
          <w:szCs w:val="20"/>
        </w:rPr>
        <w:t>inwestycji</w:t>
      </w:r>
      <w:r w:rsidR="005F35CF" w:rsidRPr="006604D3">
        <w:rPr>
          <w:rFonts w:ascii="Arial" w:hAnsi="Arial" w:cs="Arial"/>
          <w:sz w:val="20"/>
          <w:szCs w:val="20"/>
        </w:rPr>
        <w:t>,</w:t>
      </w:r>
      <w:r w:rsidR="002672C5" w:rsidRPr="006604D3">
        <w:rPr>
          <w:rFonts w:ascii="Arial" w:hAnsi="Arial" w:cs="Arial"/>
          <w:sz w:val="20"/>
          <w:szCs w:val="20"/>
        </w:rPr>
        <w:t xml:space="preserve"> </w:t>
      </w:r>
      <w:r w:rsidR="005F35CF" w:rsidRPr="006604D3">
        <w:rPr>
          <w:rFonts w:ascii="Arial" w:hAnsi="Arial" w:cs="Arial"/>
          <w:sz w:val="20"/>
          <w:szCs w:val="20"/>
        </w:rPr>
        <w:t xml:space="preserve">4) </w:t>
      </w:r>
      <w:r w:rsidR="002672C5" w:rsidRPr="006604D3">
        <w:rPr>
          <w:rFonts w:ascii="Arial" w:hAnsi="Arial" w:cs="Arial"/>
          <w:sz w:val="20"/>
          <w:szCs w:val="20"/>
        </w:rPr>
        <w:t>udziału zrównoważonych inwestycji w PKB</w:t>
      </w:r>
      <w:r w:rsidR="00DF40AA" w:rsidRPr="006604D3">
        <w:rPr>
          <w:rFonts w:ascii="Arial" w:hAnsi="Arial" w:cs="Arial"/>
          <w:sz w:val="20"/>
          <w:szCs w:val="20"/>
        </w:rPr>
        <w:t xml:space="preserve"> (w ujęciu %)</w:t>
      </w:r>
      <w:r w:rsidR="000B608B" w:rsidRPr="006604D3">
        <w:rPr>
          <w:rFonts w:ascii="Arial" w:hAnsi="Arial" w:cs="Arial"/>
          <w:sz w:val="20"/>
          <w:szCs w:val="20"/>
        </w:rPr>
        <w:t>, 5) wykorzystania zewnętrznych źródeł finansowania zrównoważonych inwestycji (w tym środków unijnych)</w:t>
      </w:r>
      <w:r w:rsidR="00BA473C" w:rsidRPr="006604D3">
        <w:rPr>
          <w:rFonts w:ascii="Arial" w:hAnsi="Arial" w:cs="Arial"/>
          <w:sz w:val="20"/>
          <w:szCs w:val="20"/>
        </w:rPr>
        <w:t>;</w:t>
      </w:r>
      <w:r w:rsidR="000B608B" w:rsidRPr="006604D3">
        <w:rPr>
          <w:rFonts w:ascii="Arial" w:hAnsi="Arial" w:cs="Arial"/>
          <w:sz w:val="20"/>
          <w:szCs w:val="20"/>
        </w:rPr>
        <w:t xml:space="preserve"> </w:t>
      </w:r>
    </w:p>
    <w:p w14:paraId="087DDA0B" w14:textId="77777777" w:rsidR="007C1C7F" w:rsidRPr="007C1C7F" w:rsidRDefault="00F32AC2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propozycję zestawu wskaźników służących do pomiaru wpływu inwestycji 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 xml:space="preserve">w Polsce </w:t>
      </w:r>
      <w:r>
        <w:rPr>
          <w:rFonts w:ascii="Arial" w:eastAsia="Times New Roman" w:hAnsi="Arial" w:cs="Arial"/>
          <w:sz w:val="20"/>
          <w:szCs w:val="20"/>
          <w:lang w:eastAsia="pl-PL"/>
        </w:rPr>
        <w:t>na gospodarczy</w:t>
      </w:r>
      <w:r w:rsidR="002A628C">
        <w:rPr>
          <w:rFonts w:ascii="Arial" w:eastAsia="Times New Roman" w:hAnsi="Arial" w:cs="Arial"/>
          <w:sz w:val="20"/>
          <w:szCs w:val="20"/>
          <w:lang w:eastAsia="pl-PL"/>
        </w:rPr>
        <w:t xml:space="preserve"> (max. 30 wskaźników)</w:t>
      </w:r>
      <w:r>
        <w:rPr>
          <w:rFonts w:ascii="Arial" w:eastAsia="Times New Roman" w:hAnsi="Arial" w:cs="Arial"/>
          <w:sz w:val="20"/>
          <w:szCs w:val="20"/>
          <w:lang w:eastAsia="pl-PL"/>
        </w:rPr>
        <w:t>, społeczny</w:t>
      </w:r>
      <w:r w:rsidR="00F8675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628C">
        <w:rPr>
          <w:rFonts w:ascii="Arial" w:eastAsia="Times New Roman" w:hAnsi="Arial" w:cs="Arial"/>
          <w:sz w:val="20"/>
          <w:szCs w:val="20"/>
          <w:lang w:eastAsia="pl-PL"/>
        </w:rPr>
        <w:t>(max. 15 wskaźników)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środowiskowy </w:t>
      </w:r>
      <w:r w:rsidR="002A628C">
        <w:rPr>
          <w:rFonts w:ascii="Arial" w:eastAsia="Times New Roman" w:hAnsi="Arial" w:cs="Arial"/>
          <w:sz w:val="20"/>
          <w:szCs w:val="20"/>
          <w:lang w:eastAsia="pl-PL"/>
        </w:rPr>
        <w:t xml:space="preserve">(max. 60 wskaźników) </w:t>
      </w:r>
      <w:r>
        <w:rPr>
          <w:rFonts w:ascii="Arial" w:eastAsia="Times New Roman" w:hAnsi="Arial" w:cs="Arial"/>
          <w:sz w:val="20"/>
          <w:szCs w:val="20"/>
          <w:lang w:eastAsia="pl-PL"/>
        </w:rPr>
        <w:t>wymiar zrównoważonego rozwoju (w przypadku wymiaru środowiskowego wskaźniki powinny adresować cele środowiskowe określone w taksonomii</w:t>
      </w:r>
      <w:r w:rsidR="00C818F4">
        <w:rPr>
          <w:rFonts w:ascii="Arial" w:eastAsia="Times New Roman" w:hAnsi="Arial" w:cs="Arial"/>
          <w:sz w:val="20"/>
          <w:szCs w:val="20"/>
          <w:lang w:eastAsia="pl-PL"/>
        </w:rPr>
        <w:t xml:space="preserve">; w przypadku wymiaru </w:t>
      </w:r>
      <w:r w:rsidR="00902995">
        <w:rPr>
          <w:rFonts w:ascii="Arial" w:eastAsia="Times New Roman" w:hAnsi="Arial" w:cs="Arial"/>
          <w:sz w:val="20"/>
          <w:szCs w:val="20"/>
          <w:lang w:eastAsia="pl-PL"/>
        </w:rPr>
        <w:t xml:space="preserve">gospodarczego i </w:t>
      </w:r>
      <w:r w:rsidR="00C818F4">
        <w:rPr>
          <w:rFonts w:ascii="Arial" w:eastAsia="Times New Roman" w:hAnsi="Arial" w:cs="Arial"/>
          <w:sz w:val="20"/>
          <w:szCs w:val="20"/>
          <w:lang w:eastAsia="pl-PL"/>
        </w:rPr>
        <w:t xml:space="preserve">społecznego </w:t>
      </w:r>
      <w:r w:rsidR="005931B0">
        <w:rPr>
          <w:rFonts w:ascii="Arial" w:eastAsia="Times New Roman" w:hAnsi="Arial" w:cs="Arial"/>
          <w:sz w:val="20"/>
          <w:szCs w:val="20"/>
          <w:lang w:eastAsia="pl-PL"/>
        </w:rPr>
        <w:t>wskaźniki powinny m.in.</w:t>
      </w:r>
      <w:r w:rsidR="00C818F4">
        <w:rPr>
          <w:rFonts w:ascii="Arial" w:eastAsia="Times New Roman" w:hAnsi="Arial" w:cs="Arial"/>
          <w:sz w:val="20"/>
          <w:szCs w:val="20"/>
          <w:lang w:eastAsia="pl-PL"/>
        </w:rPr>
        <w:t xml:space="preserve"> uwzględniać prace na forum UE w zakresie wypracowania tzw. </w:t>
      </w:r>
      <w:r w:rsidR="00491E55">
        <w:rPr>
          <w:rFonts w:ascii="Arial" w:eastAsia="Times New Roman" w:hAnsi="Arial" w:cs="Arial"/>
          <w:sz w:val="20"/>
          <w:szCs w:val="20"/>
          <w:lang w:eastAsia="pl-PL"/>
        </w:rPr>
        <w:t xml:space="preserve">społecznej </w:t>
      </w:r>
      <w:r w:rsidR="00C818F4">
        <w:rPr>
          <w:rFonts w:ascii="Arial" w:eastAsia="Times New Roman" w:hAnsi="Arial" w:cs="Arial"/>
          <w:sz w:val="20"/>
          <w:szCs w:val="20"/>
          <w:lang w:eastAsia="pl-PL"/>
        </w:rPr>
        <w:t>taksonomii</w:t>
      </w:r>
      <w:r w:rsidR="00491E55">
        <w:rPr>
          <w:rFonts w:ascii="Arial" w:eastAsia="Times New Roman" w:hAnsi="Arial" w:cs="Arial"/>
          <w:sz w:val="20"/>
          <w:szCs w:val="20"/>
          <w:lang w:eastAsia="pl-PL"/>
        </w:rPr>
        <w:t>, a także adresować wybrane SDGs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F2288EC" w14:textId="77777777" w:rsidR="007C1C7F" w:rsidRPr="007C1C7F" w:rsidRDefault="00175586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rozbudowanie 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 xml:space="preserve">zestawu wskaźników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wymiar 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>umożliwiając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 xml:space="preserve"> dokonywanie pomiaru zrównoważonych inwestycji w Polsce z inwestycjami w krajach UE-27 (np. udział zrównoważonych inwestycji ogółem, z podziałem na sektor</w:t>
      </w:r>
      <w:r w:rsidR="00991D94">
        <w:rPr>
          <w:rFonts w:ascii="Arial" w:eastAsia="Times New Roman" w:hAnsi="Arial" w:cs="Arial"/>
          <w:sz w:val="20"/>
          <w:szCs w:val="20"/>
          <w:lang w:eastAsia="pl-PL"/>
        </w:rPr>
        <w:t>y instytucjonalne</w:t>
      </w:r>
      <w:r w:rsidR="00700F36">
        <w:rPr>
          <w:rFonts w:ascii="Arial" w:eastAsia="Times New Roman" w:hAnsi="Arial" w:cs="Arial"/>
          <w:sz w:val="20"/>
          <w:szCs w:val="20"/>
          <w:lang w:eastAsia="pl-PL"/>
        </w:rPr>
        <w:t xml:space="preserve"> oraz rodzaje zrównoważonych inwestycji wg wymiaru gospodarczego, społecznego, środowiskowego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747F6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  <w:r w:rsidR="007C1C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AEBB707" w14:textId="77777777" w:rsidR="00AB50A3" w:rsidRPr="007C1ED3" w:rsidRDefault="00AB50A3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pogłębioną analizę danych w obszarze tendencji inwestycyjnych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00F09">
        <w:rPr>
          <w:rFonts w:ascii="Arial" w:eastAsia="Times New Roman" w:hAnsi="Arial" w:cs="Arial"/>
          <w:sz w:val="20"/>
          <w:szCs w:val="20"/>
          <w:lang w:eastAsia="pl-PL"/>
        </w:rPr>
        <w:t xml:space="preserve">o charakterze zrównoważonym </w:t>
      </w:r>
      <w:r w:rsidR="00DF40AA">
        <w:rPr>
          <w:rFonts w:ascii="Arial" w:eastAsia="Times New Roman" w:hAnsi="Arial" w:cs="Arial"/>
          <w:sz w:val="20"/>
          <w:szCs w:val="20"/>
          <w:lang w:eastAsia="pl-PL"/>
        </w:rPr>
        <w:t>dla sektorów instytucjonalnych;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FD95398" w14:textId="77777777" w:rsidR="0017238D" w:rsidRPr="00F12683" w:rsidRDefault="00AB50A3" w:rsidP="00010255">
      <w:pPr>
        <w:numPr>
          <w:ilvl w:val="0"/>
          <w:numId w:val="8"/>
        </w:numPr>
        <w:spacing w:after="120" w:line="240" w:lineRule="auto"/>
        <w:ind w:left="106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rekomendacje, w jaki sposób w oparciu o opracowanie metodologiczne będzie można stworzyć praktyczne narzędzie do pomiaru zrównoważonych inwestycji. </w:t>
      </w:r>
    </w:p>
    <w:p w14:paraId="6B8E1EAB" w14:textId="77777777" w:rsidR="00ED16B0" w:rsidRDefault="00ED16B0" w:rsidP="00010255">
      <w:pPr>
        <w:pStyle w:val="Akapitzlist"/>
        <w:spacing w:after="120" w:line="240" w:lineRule="auto"/>
        <w:ind w:left="10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3B6821" w14:textId="77777777" w:rsidR="00ED16B0" w:rsidRPr="00ED16B0" w:rsidRDefault="00ED16B0" w:rsidP="0001025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ED16B0">
        <w:rPr>
          <w:rFonts w:ascii="Arial" w:eastAsia="Times New Roman" w:hAnsi="Arial" w:cs="Arial"/>
          <w:sz w:val="20"/>
          <w:szCs w:val="20"/>
          <w:lang w:eastAsia="pl-PL"/>
        </w:rPr>
        <w:t>nformacje w nawiasach mają charakter pomocniczy. Wykonawca przedstawiając opis realizacji zamówienia na potrzeby zgłoszenia może uzupełniać te informacje, doszczegółowić je lub odrzucić. Odrzucenie wymaga uzasadnienia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01683F1" w14:textId="77777777" w:rsidR="00AF6215" w:rsidRDefault="00AF6215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D0991B" w14:textId="77777777" w:rsidR="00C625E9" w:rsidRPr="00E1718E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1718E">
        <w:rPr>
          <w:rFonts w:ascii="Arial" w:hAnsi="Arial" w:cs="Arial"/>
          <w:b/>
          <w:bCs/>
          <w:sz w:val="20"/>
          <w:szCs w:val="20"/>
        </w:rPr>
        <w:t>Sposób realizacji zadania:</w:t>
      </w:r>
    </w:p>
    <w:p w14:paraId="1F8E71A9" w14:textId="77777777" w:rsidR="00D52DB3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11F70">
        <w:rPr>
          <w:rFonts w:ascii="Arial" w:hAnsi="Arial" w:cs="Arial"/>
          <w:sz w:val="20"/>
          <w:szCs w:val="20"/>
        </w:rPr>
        <w:t>I etap –</w:t>
      </w:r>
      <w:r w:rsidR="00D52DB3" w:rsidRPr="00A11F70">
        <w:rPr>
          <w:rFonts w:ascii="Arial" w:hAnsi="Arial" w:cs="Arial"/>
          <w:sz w:val="20"/>
          <w:szCs w:val="20"/>
        </w:rPr>
        <w:t xml:space="preserve"> </w:t>
      </w:r>
      <w:r w:rsidR="00D52DB3">
        <w:rPr>
          <w:rFonts w:ascii="Arial" w:hAnsi="Arial" w:cs="Arial"/>
          <w:sz w:val="20"/>
          <w:szCs w:val="20"/>
        </w:rPr>
        <w:t>przedłożenie koncepcji i zakresu jednolitego opracowania zawierającego:</w:t>
      </w:r>
    </w:p>
    <w:p w14:paraId="36AB137F" w14:textId="77777777" w:rsidR="006C3DEF" w:rsidRDefault="006C3DEF" w:rsidP="000102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propozycję podejścia metodologicznego </w:t>
      </w:r>
    </w:p>
    <w:p w14:paraId="5C17C454" w14:textId="77777777" w:rsidR="00DF40AA" w:rsidRDefault="00DF40AA" w:rsidP="000102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2015F3">
        <w:rPr>
          <w:rFonts w:ascii="Arial" w:hAnsi="Arial" w:cs="Arial"/>
          <w:sz w:val="20"/>
          <w:szCs w:val="20"/>
        </w:rPr>
        <w:t>wskazanie podstawowych źródeł</w:t>
      </w:r>
      <w:r>
        <w:rPr>
          <w:rFonts w:ascii="Arial" w:hAnsi="Arial" w:cs="Arial"/>
          <w:sz w:val="20"/>
          <w:szCs w:val="20"/>
        </w:rPr>
        <w:t xml:space="preserve"> danych</w:t>
      </w:r>
    </w:p>
    <w:p w14:paraId="16D3B883" w14:textId="77777777" w:rsidR="007C1ED3" w:rsidRDefault="00D52DB3" w:rsidP="000102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propozycję układu opracowania </w:t>
      </w:r>
      <w:r w:rsidR="008F7143">
        <w:rPr>
          <w:rFonts w:ascii="Arial" w:hAnsi="Arial" w:cs="Arial"/>
          <w:sz w:val="20"/>
          <w:szCs w:val="20"/>
        </w:rPr>
        <w:t xml:space="preserve">metodologicznego </w:t>
      </w:r>
      <w:r>
        <w:rPr>
          <w:rFonts w:ascii="Arial" w:hAnsi="Arial" w:cs="Arial"/>
          <w:sz w:val="20"/>
          <w:szCs w:val="20"/>
        </w:rPr>
        <w:t>i zawart</w:t>
      </w:r>
      <w:r w:rsidR="00282305">
        <w:rPr>
          <w:rFonts w:ascii="Arial" w:hAnsi="Arial" w:cs="Arial"/>
          <w:sz w:val="20"/>
          <w:szCs w:val="20"/>
        </w:rPr>
        <w:t>ości jego poszczególnych części</w:t>
      </w:r>
    </w:p>
    <w:p w14:paraId="535A45F1" w14:textId="179FFA92" w:rsidR="00D52DB3" w:rsidRDefault="00282305" w:rsidP="000102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propozycję</w:t>
      </w:r>
      <w:r w:rsidR="009977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listy</w:t>
      </w:r>
      <w:r w:rsidR="00D52DB3">
        <w:rPr>
          <w:rFonts w:ascii="Arial" w:hAnsi="Arial" w:cs="Arial"/>
          <w:sz w:val="20"/>
          <w:szCs w:val="20"/>
        </w:rPr>
        <w:t xml:space="preserve"> wskaźników</w:t>
      </w:r>
      <w:r w:rsidR="00233CA5">
        <w:rPr>
          <w:rFonts w:ascii="Arial" w:hAnsi="Arial" w:cs="Arial"/>
          <w:sz w:val="20"/>
          <w:szCs w:val="20"/>
        </w:rPr>
        <w:t xml:space="preserve"> służących</w:t>
      </w:r>
      <w:r w:rsidR="00D52DB3">
        <w:rPr>
          <w:rFonts w:ascii="Arial" w:hAnsi="Arial" w:cs="Arial"/>
          <w:sz w:val="20"/>
          <w:szCs w:val="20"/>
        </w:rPr>
        <w:t xml:space="preserve"> monitorowani</w:t>
      </w:r>
      <w:r w:rsidR="00233CA5">
        <w:rPr>
          <w:rFonts w:ascii="Arial" w:hAnsi="Arial" w:cs="Arial"/>
          <w:sz w:val="20"/>
          <w:szCs w:val="20"/>
        </w:rPr>
        <w:t>u</w:t>
      </w:r>
      <w:r w:rsidR="00D52DB3">
        <w:rPr>
          <w:rFonts w:ascii="Arial" w:hAnsi="Arial" w:cs="Arial"/>
          <w:sz w:val="20"/>
          <w:szCs w:val="20"/>
        </w:rPr>
        <w:t xml:space="preserve"> skali zrównoważonych inwestycji</w:t>
      </w:r>
      <w:r w:rsidR="00997744">
        <w:rPr>
          <w:rFonts w:ascii="Arial" w:hAnsi="Arial" w:cs="Arial"/>
          <w:sz w:val="20"/>
          <w:szCs w:val="20"/>
        </w:rPr>
        <w:t xml:space="preserve"> (min. 3 wskaźniki w każdej z kategorii tj. wymiar gospodarczy, społeczny i środowiskowy)</w:t>
      </w:r>
      <w:r w:rsidR="00D52DB3">
        <w:rPr>
          <w:rFonts w:ascii="Arial" w:hAnsi="Arial" w:cs="Arial"/>
          <w:sz w:val="20"/>
          <w:szCs w:val="20"/>
        </w:rPr>
        <w:t xml:space="preserve">; </w:t>
      </w:r>
    </w:p>
    <w:p w14:paraId="493A0BE9" w14:textId="77777777" w:rsidR="00EB609D" w:rsidRPr="008F7143" w:rsidRDefault="00D52DB3" w:rsidP="000102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propozycję uzasadnienia wyboru wskaźników do monitorowania skali zrównoważonych</w:t>
      </w:r>
      <w:r w:rsidR="00282305">
        <w:rPr>
          <w:rFonts w:ascii="Arial" w:hAnsi="Arial" w:cs="Arial"/>
          <w:sz w:val="20"/>
          <w:szCs w:val="20"/>
        </w:rPr>
        <w:t xml:space="preserve"> inwestycji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6CA2824" w14:textId="77777777" w:rsidR="00997744" w:rsidRDefault="0099774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2206841" w14:textId="4A8FBB4E" w:rsidR="00AF7C76" w:rsidRPr="008F7143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F7143">
        <w:rPr>
          <w:rFonts w:ascii="Arial" w:hAnsi="Arial" w:cs="Arial"/>
          <w:sz w:val="20"/>
          <w:szCs w:val="20"/>
        </w:rPr>
        <w:t>II etap –</w:t>
      </w:r>
      <w:r w:rsidR="008F7143" w:rsidRPr="008F7143">
        <w:rPr>
          <w:rFonts w:ascii="Arial" w:hAnsi="Arial" w:cs="Arial"/>
          <w:sz w:val="20"/>
          <w:szCs w:val="20"/>
        </w:rPr>
        <w:t xml:space="preserve"> </w:t>
      </w:r>
      <w:r w:rsidR="00AF7C76" w:rsidRPr="008F7143">
        <w:rPr>
          <w:rFonts w:ascii="Arial" w:eastAsia="Times New Roman" w:hAnsi="Arial" w:cs="Arial"/>
          <w:sz w:val="20"/>
          <w:szCs w:val="20"/>
          <w:lang w:eastAsia="pl-PL"/>
        </w:rPr>
        <w:t xml:space="preserve">wykonanie przykładowej analizy w celu weryfikacji metodologii </w:t>
      </w:r>
      <w:r w:rsidR="00997744">
        <w:rPr>
          <w:rFonts w:ascii="Arial" w:eastAsia="Times New Roman" w:hAnsi="Arial" w:cs="Arial"/>
          <w:sz w:val="20"/>
          <w:szCs w:val="20"/>
          <w:lang w:eastAsia="pl-PL"/>
        </w:rPr>
        <w:t xml:space="preserve">bazując </w:t>
      </w:r>
      <w:r w:rsidR="00AF7C76" w:rsidRPr="008F7143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8F7143" w:rsidRPr="008F7143">
        <w:rPr>
          <w:rFonts w:ascii="Arial" w:eastAsia="Times New Roman" w:hAnsi="Arial" w:cs="Arial"/>
          <w:sz w:val="20"/>
          <w:szCs w:val="20"/>
          <w:lang w:eastAsia="pl-PL"/>
        </w:rPr>
        <w:t xml:space="preserve">jednej </w:t>
      </w:r>
      <w:r w:rsidR="00997744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8F7143" w:rsidRPr="008F7143">
        <w:rPr>
          <w:rFonts w:ascii="Arial" w:eastAsia="Times New Roman" w:hAnsi="Arial" w:cs="Arial"/>
          <w:sz w:val="20"/>
          <w:szCs w:val="20"/>
          <w:lang w:eastAsia="pl-PL"/>
        </w:rPr>
        <w:t>sekcji PKD</w:t>
      </w:r>
      <w:r w:rsidR="00997744">
        <w:rPr>
          <w:rFonts w:ascii="Arial" w:eastAsia="Times New Roman" w:hAnsi="Arial" w:cs="Arial"/>
          <w:sz w:val="20"/>
          <w:szCs w:val="20"/>
          <w:lang w:eastAsia="pl-PL"/>
        </w:rPr>
        <w:t xml:space="preserve"> lub gałęzi gospodarki</w:t>
      </w:r>
      <w:r w:rsidR="00F12683">
        <w:rPr>
          <w:rFonts w:ascii="Arial" w:eastAsia="Times New Roman" w:hAnsi="Arial" w:cs="Arial"/>
          <w:sz w:val="20"/>
          <w:szCs w:val="20"/>
          <w:lang w:eastAsia="pl-PL"/>
        </w:rPr>
        <w:t xml:space="preserve"> dla sektorów instytucjonalnych</w:t>
      </w:r>
      <w:r w:rsidR="008F71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04C3F15" w14:textId="128D098A" w:rsidR="00AF7C76" w:rsidRPr="00AF7C76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905D3">
        <w:rPr>
          <w:rFonts w:ascii="Arial" w:hAnsi="Arial" w:cs="Arial"/>
          <w:sz w:val="20"/>
          <w:szCs w:val="20"/>
        </w:rPr>
        <w:t xml:space="preserve">III etap – </w:t>
      </w:r>
      <w:r w:rsidR="00AF7C76" w:rsidRPr="006905D3">
        <w:rPr>
          <w:rFonts w:ascii="Arial" w:hAnsi="Arial" w:cs="Arial"/>
          <w:sz w:val="20"/>
          <w:szCs w:val="20"/>
        </w:rPr>
        <w:t xml:space="preserve">przygotowanie finalnej wersji </w:t>
      </w:r>
      <w:r w:rsidR="00E80626">
        <w:rPr>
          <w:rFonts w:ascii="Arial" w:hAnsi="Arial" w:cs="Arial"/>
          <w:sz w:val="20"/>
          <w:szCs w:val="20"/>
        </w:rPr>
        <w:t>metodologii</w:t>
      </w:r>
      <w:r w:rsidR="00997744">
        <w:rPr>
          <w:rFonts w:ascii="Arial" w:hAnsi="Arial" w:cs="Arial"/>
          <w:sz w:val="20"/>
          <w:szCs w:val="20"/>
        </w:rPr>
        <w:t>.</w:t>
      </w:r>
    </w:p>
    <w:p w14:paraId="181CEEAF" w14:textId="77777777" w:rsidR="006905D3" w:rsidRPr="00EE4E6E" w:rsidRDefault="00AF7C76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8FD7230" w14:textId="77777777" w:rsidR="00C625E9" w:rsidRPr="00C25864" w:rsidRDefault="00C625E9" w:rsidP="0001025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258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Sposób prezentacji wyników </w:t>
      </w:r>
    </w:p>
    <w:p w14:paraId="1E126146" w14:textId="77777777" w:rsidR="00DB5743" w:rsidRPr="008F7143" w:rsidRDefault="007C1ED3" w:rsidP="00010255">
      <w:pPr>
        <w:spacing w:line="240" w:lineRule="auto"/>
        <w:jc w:val="both"/>
        <w:rPr>
          <w:color w:val="FF000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F7143" w:rsidRPr="007C1ED3">
        <w:rPr>
          <w:rFonts w:ascii="Arial" w:hAnsi="Arial" w:cs="Arial"/>
          <w:sz w:val="20"/>
          <w:szCs w:val="20"/>
        </w:rPr>
        <w:t>Opracowanie metodologiczne</w:t>
      </w:r>
      <w:r w:rsidR="00DF40AA" w:rsidRPr="007C1ED3">
        <w:rPr>
          <w:rFonts w:ascii="Arial" w:hAnsi="Arial" w:cs="Arial"/>
          <w:sz w:val="20"/>
          <w:szCs w:val="20"/>
        </w:rPr>
        <w:t>,</w:t>
      </w:r>
      <w:r w:rsidR="00E63DD1" w:rsidRPr="007C1ED3">
        <w:rPr>
          <w:rFonts w:ascii="Arial" w:hAnsi="Arial" w:cs="Arial"/>
          <w:sz w:val="20"/>
          <w:szCs w:val="20"/>
        </w:rPr>
        <w:t xml:space="preserve"> w formie pliku Word, </w:t>
      </w:r>
      <w:r w:rsidR="00DB5743" w:rsidRPr="007C1ED3">
        <w:rPr>
          <w:rFonts w:ascii="Arial" w:hAnsi="Arial" w:cs="Arial"/>
          <w:sz w:val="20"/>
          <w:szCs w:val="20"/>
        </w:rPr>
        <w:t xml:space="preserve"> </w:t>
      </w:r>
      <w:r w:rsidR="008F7143" w:rsidRPr="007C1ED3">
        <w:rPr>
          <w:rFonts w:ascii="Arial" w:hAnsi="Arial" w:cs="Arial"/>
          <w:sz w:val="20"/>
          <w:szCs w:val="20"/>
        </w:rPr>
        <w:t>o objętości do ok. 100</w:t>
      </w:r>
      <w:r w:rsidR="00E63DD1" w:rsidRPr="007C1ED3">
        <w:rPr>
          <w:rFonts w:ascii="Arial" w:hAnsi="Arial" w:cs="Arial"/>
          <w:sz w:val="20"/>
          <w:szCs w:val="20"/>
        </w:rPr>
        <w:t xml:space="preserve"> stron, format A4 (czcionka Arial 10; interlinia 1,0)</w:t>
      </w:r>
      <w:r w:rsidR="001B3134" w:rsidRPr="007C1ED3">
        <w:rPr>
          <w:rFonts w:ascii="Arial" w:hAnsi="Arial" w:cs="Arial"/>
          <w:sz w:val="20"/>
          <w:szCs w:val="20"/>
        </w:rPr>
        <w:t xml:space="preserve"> wraz z tabelami i wykresami </w:t>
      </w:r>
      <w:r w:rsidR="008F7143" w:rsidRPr="007C1ED3">
        <w:rPr>
          <w:rFonts w:ascii="Arial" w:hAnsi="Arial" w:cs="Arial"/>
          <w:sz w:val="20"/>
          <w:szCs w:val="20"/>
        </w:rPr>
        <w:t>zajmującymi ok. 20-30% objętości opracowania.</w:t>
      </w:r>
    </w:p>
    <w:p w14:paraId="422A78FF" w14:textId="77777777" w:rsidR="00CD16F9" w:rsidRDefault="00CD16F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709BCF" w14:textId="77777777" w:rsidR="00E63DD1" w:rsidRPr="007C1ED3" w:rsidRDefault="00E63DD1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ED3">
        <w:rPr>
          <w:rFonts w:ascii="Arial" w:hAnsi="Arial" w:cs="Arial"/>
          <w:b/>
          <w:sz w:val="20"/>
          <w:szCs w:val="20"/>
        </w:rPr>
        <w:t xml:space="preserve">Struktura </w:t>
      </w:r>
      <w:r w:rsidR="006A5FA0" w:rsidRPr="007C1ED3">
        <w:rPr>
          <w:rFonts w:ascii="Arial" w:hAnsi="Arial" w:cs="Arial"/>
          <w:b/>
          <w:sz w:val="20"/>
          <w:szCs w:val="20"/>
        </w:rPr>
        <w:t>opracowania metodologicznego</w:t>
      </w:r>
      <w:r w:rsidRPr="007C1ED3">
        <w:rPr>
          <w:rFonts w:ascii="Arial" w:hAnsi="Arial" w:cs="Arial"/>
          <w:b/>
          <w:sz w:val="20"/>
          <w:szCs w:val="20"/>
        </w:rPr>
        <w:t>:</w:t>
      </w:r>
    </w:p>
    <w:p w14:paraId="651657D9" w14:textId="77777777" w:rsidR="006A5FA0" w:rsidRDefault="006A5FA0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C1ED3">
        <w:rPr>
          <w:rFonts w:ascii="Arial" w:hAnsi="Arial" w:cs="Arial"/>
          <w:sz w:val="20"/>
          <w:szCs w:val="20"/>
        </w:rPr>
        <w:t>synteza opracowania – główne tezy</w:t>
      </w:r>
      <w:r w:rsidR="007C1ED3">
        <w:rPr>
          <w:rFonts w:ascii="Arial" w:hAnsi="Arial" w:cs="Arial"/>
          <w:sz w:val="20"/>
          <w:szCs w:val="20"/>
        </w:rPr>
        <w:t>;</w:t>
      </w:r>
      <w:r w:rsidRPr="007C1ED3">
        <w:rPr>
          <w:rFonts w:ascii="Arial" w:hAnsi="Arial" w:cs="Arial"/>
          <w:sz w:val="20"/>
          <w:szCs w:val="20"/>
        </w:rPr>
        <w:t xml:space="preserve"> </w:t>
      </w:r>
    </w:p>
    <w:p w14:paraId="2534FF38" w14:textId="77777777" w:rsidR="006A5FA0" w:rsidRPr="006A5FA0" w:rsidRDefault="007C1ED3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treści;</w:t>
      </w:r>
    </w:p>
    <w:p w14:paraId="7D2FC395" w14:textId="77777777" w:rsidR="006A5FA0" w:rsidRPr="007C1ED3" w:rsidRDefault="006A5FA0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</w:t>
      </w:r>
      <w:r w:rsidR="007C1ED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6F2CD5" w14:textId="77777777" w:rsidR="006A5FA0" w:rsidRPr="007C1ED3" w:rsidRDefault="006A5FA0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techniki i metody badawcze zastosowane w opracowaniu</w:t>
      </w:r>
      <w:r w:rsidR="007C1ED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17AB0A" w14:textId="77777777" w:rsidR="00AB50A3" w:rsidRPr="007C1ED3" w:rsidRDefault="00AB50A3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źródła danych do pomiaru zrównoważonych inwestycji</w:t>
      </w:r>
      <w:r w:rsidR="007C1ED3">
        <w:rPr>
          <w:rFonts w:ascii="Arial" w:hAnsi="Arial" w:cs="Arial"/>
          <w:sz w:val="20"/>
          <w:szCs w:val="20"/>
        </w:rPr>
        <w:t>;</w:t>
      </w:r>
    </w:p>
    <w:p w14:paraId="6709794B" w14:textId="77777777" w:rsidR="006A5FA0" w:rsidRPr="007C1ED3" w:rsidRDefault="006A5FA0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wskaźników do pomiaru zrównoważonych inwestycji</w:t>
      </w:r>
      <w:r w:rsidR="007C1ED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7F2A34" w14:textId="77777777" w:rsidR="00AB50A3" w:rsidRPr="007C1ED3" w:rsidRDefault="00AB50A3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 danych pod kątem tendencji inwestycyjnych</w:t>
      </w:r>
      <w:r w:rsidR="008F7143">
        <w:rPr>
          <w:rFonts w:ascii="Arial" w:hAnsi="Arial" w:cs="Arial"/>
          <w:sz w:val="20"/>
          <w:szCs w:val="20"/>
        </w:rPr>
        <w:t xml:space="preserve"> o zrównoważonym charakterze</w:t>
      </w:r>
      <w:r w:rsidR="007C1ED3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8305AD" w14:textId="77777777" w:rsidR="006A5FA0" w:rsidRPr="007C1ED3" w:rsidRDefault="006A5FA0" w:rsidP="0001025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i rekomendacje</w:t>
      </w:r>
      <w:r w:rsidR="007C1E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F3ED40C" w14:textId="77777777" w:rsidR="00997744" w:rsidRDefault="0099774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B10923" w14:textId="1AFDA20F" w:rsidR="00C625E9" w:rsidRPr="00E1718E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E1718E">
        <w:rPr>
          <w:rFonts w:ascii="Arial" w:hAnsi="Arial" w:cs="Arial"/>
          <w:color w:val="000000"/>
          <w:sz w:val="20"/>
          <w:szCs w:val="20"/>
        </w:rPr>
        <w:t xml:space="preserve">Opracowanie będzie przedłożone w formie umożliwiającej jego publikację bez dodatkowych prac redakcyjnych. Wykonawca dostarczy materiał końcowy w wersji elektronicznej na adres </w:t>
      </w:r>
      <w:hyperlink r:id="rId8" w:history="1">
        <w:r w:rsidR="006C3DEF" w:rsidRPr="006C3DEF">
          <w:rPr>
            <w:rStyle w:val="Hipercze"/>
            <w:rFonts w:ascii="Arial" w:hAnsi="Arial" w:cs="Arial"/>
            <w:sz w:val="20"/>
            <w:szCs w:val="20"/>
          </w:rPr>
          <w:t>Agenda2030@mrit.gov.pl</w:t>
        </w:r>
      </w:hyperlink>
      <w:r w:rsidRPr="00E1718E">
        <w:rPr>
          <w:rFonts w:ascii="Arial" w:hAnsi="Arial" w:cs="Arial"/>
          <w:color w:val="000000"/>
          <w:sz w:val="20"/>
          <w:szCs w:val="20"/>
        </w:rPr>
        <w:t xml:space="preserve"> </w:t>
      </w:r>
      <w:r w:rsidR="0088038C">
        <w:rPr>
          <w:rFonts w:ascii="Arial" w:hAnsi="Arial" w:cs="Arial"/>
          <w:color w:val="000000"/>
          <w:sz w:val="20"/>
          <w:szCs w:val="20"/>
        </w:rPr>
        <w:t xml:space="preserve">oraz w wersji papierowej (2 egz.). </w:t>
      </w:r>
    </w:p>
    <w:p w14:paraId="70B83A7C" w14:textId="77777777" w:rsidR="00C625E9" w:rsidRDefault="00C625E9" w:rsidP="0001025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sz w:val="20"/>
          <w:szCs w:val="20"/>
          <w:lang w:eastAsia="pl-PL"/>
        </w:rPr>
        <w:t>Wszystkie produkty analizy</w:t>
      </w:r>
      <w:r w:rsidR="00F969F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1718E">
        <w:rPr>
          <w:rFonts w:ascii="Arial" w:eastAsia="Times New Roman" w:hAnsi="Arial" w:cs="Arial"/>
          <w:sz w:val="20"/>
          <w:szCs w:val="20"/>
          <w:lang w:eastAsia="pl-PL"/>
        </w:rPr>
        <w:t xml:space="preserve">powinny zostać przekazane Zamawiającemu w formie edytowalnej umożliwiającej skład. </w:t>
      </w:r>
    </w:p>
    <w:p w14:paraId="66A89EC8" w14:textId="77777777" w:rsidR="00963C1D" w:rsidRDefault="00963C1D" w:rsidP="000102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E042AF" w14:textId="77777777" w:rsidR="00C625E9" w:rsidRPr="00E1718E" w:rsidRDefault="00C625E9" w:rsidP="000102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718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Harmonogram realizacji analizy </w:t>
      </w:r>
    </w:p>
    <w:p w14:paraId="4F6B2038" w14:textId="77777777" w:rsidR="00C625E9" w:rsidRPr="00963C1D" w:rsidRDefault="00C625E9" w:rsidP="00010255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3C1D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stałej roboczej współpracy z Zamawiającym. </w:t>
      </w:r>
    </w:p>
    <w:p w14:paraId="5BBFECDE" w14:textId="77777777" w:rsidR="00C625E9" w:rsidRPr="00963C1D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63C1D">
        <w:rPr>
          <w:rFonts w:ascii="Arial" w:eastAsia="Times New Roman" w:hAnsi="Arial" w:cs="Arial"/>
          <w:sz w:val="20"/>
          <w:szCs w:val="20"/>
          <w:lang w:eastAsia="ar-SA"/>
        </w:rPr>
        <w:t xml:space="preserve">Od Wykonawcy oczekuje się sprawnej i terminowej realizacji </w:t>
      </w:r>
      <w:r w:rsidR="00C13390"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Pr="00963C1D">
        <w:rPr>
          <w:rFonts w:ascii="Arial" w:eastAsia="Times New Roman" w:hAnsi="Arial" w:cs="Arial"/>
          <w:sz w:val="20"/>
          <w:szCs w:val="20"/>
          <w:lang w:eastAsia="ar-SA"/>
        </w:rPr>
        <w:t>oraz współpracy z Zamawiającym</w:t>
      </w:r>
      <w:r w:rsidR="00963C1D">
        <w:rPr>
          <w:rFonts w:ascii="Arial" w:hAnsi="Arial" w:cs="Arial"/>
          <w:sz w:val="20"/>
          <w:szCs w:val="20"/>
        </w:rPr>
        <w:t xml:space="preserve">. </w:t>
      </w:r>
    </w:p>
    <w:p w14:paraId="6CEEE965" w14:textId="0BBC6B52" w:rsidR="00C625E9" w:rsidRDefault="00CA45A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Przygotowanie</w:t>
      </w:r>
      <w:r w:rsidR="00ED1080">
        <w:rPr>
          <w:rFonts w:ascii="Arial" w:hAnsi="Arial" w:cs="Arial"/>
          <w:sz w:val="20"/>
          <w:szCs w:val="20"/>
        </w:rPr>
        <w:t xml:space="preserve"> finalnej wersji</w:t>
      </w:r>
      <w:r>
        <w:rPr>
          <w:rFonts w:ascii="Arial" w:hAnsi="Arial" w:cs="Arial"/>
          <w:sz w:val="20"/>
          <w:szCs w:val="20"/>
        </w:rPr>
        <w:t xml:space="preserve"> metodologi</w:t>
      </w:r>
      <w:r w:rsidR="00ED1080">
        <w:rPr>
          <w:rFonts w:ascii="Arial" w:hAnsi="Arial" w:cs="Arial"/>
          <w:sz w:val="20"/>
          <w:szCs w:val="20"/>
        </w:rPr>
        <w:t>i</w:t>
      </w:r>
      <w:r w:rsidR="005B6D93">
        <w:rPr>
          <w:rFonts w:ascii="Arial" w:hAnsi="Arial" w:cs="Arial"/>
          <w:sz w:val="20"/>
          <w:szCs w:val="20"/>
        </w:rPr>
        <w:t>,</w:t>
      </w:r>
      <w:r w:rsidR="00C625E9" w:rsidRPr="005B6D93">
        <w:rPr>
          <w:rFonts w:ascii="Arial" w:hAnsi="Arial" w:cs="Arial"/>
          <w:sz w:val="20"/>
          <w:szCs w:val="20"/>
        </w:rPr>
        <w:t xml:space="preserve"> </w:t>
      </w:r>
      <w:r w:rsidR="005B6D93">
        <w:rPr>
          <w:rFonts w:ascii="Arial" w:hAnsi="Arial" w:cs="Arial"/>
          <w:sz w:val="20"/>
          <w:szCs w:val="20"/>
        </w:rPr>
        <w:t>o któr</w:t>
      </w:r>
      <w:r w:rsidR="00ED1080">
        <w:rPr>
          <w:rFonts w:ascii="Arial" w:hAnsi="Arial" w:cs="Arial"/>
          <w:sz w:val="20"/>
          <w:szCs w:val="20"/>
        </w:rPr>
        <w:t>ej</w:t>
      </w:r>
      <w:r w:rsidR="00C625E9" w:rsidRPr="00E1718E">
        <w:rPr>
          <w:rFonts w:ascii="Arial" w:hAnsi="Arial" w:cs="Arial"/>
          <w:sz w:val="20"/>
          <w:szCs w:val="20"/>
        </w:rPr>
        <w:t xml:space="preserve"> mowa w etapie III, powinno nastąpić najpóźniej </w:t>
      </w:r>
      <w:r w:rsidR="003A6086">
        <w:rPr>
          <w:rFonts w:ascii="Arial" w:hAnsi="Arial" w:cs="Arial"/>
          <w:sz w:val="20"/>
          <w:szCs w:val="20"/>
        </w:rPr>
        <w:t xml:space="preserve">90 dni kalendarzowych od </w:t>
      </w:r>
      <w:r w:rsidR="00C4193B">
        <w:rPr>
          <w:rFonts w:ascii="Arial" w:hAnsi="Arial" w:cs="Arial"/>
          <w:sz w:val="20"/>
          <w:szCs w:val="20"/>
        </w:rPr>
        <w:t xml:space="preserve">dnia </w:t>
      </w:r>
      <w:r w:rsidR="003A6086">
        <w:rPr>
          <w:rFonts w:ascii="Arial" w:hAnsi="Arial" w:cs="Arial"/>
          <w:sz w:val="20"/>
          <w:szCs w:val="20"/>
        </w:rPr>
        <w:t xml:space="preserve">zawarcia umowy. </w:t>
      </w:r>
    </w:p>
    <w:p w14:paraId="247CC559" w14:textId="77777777" w:rsidR="000306B4" w:rsidRDefault="000306B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1ABB255" w14:textId="77777777" w:rsidR="000306B4" w:rsidRPr="00E1718E" w:rsidRDefault="000306B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oraz termin składania ofert</w:t>
      </w:r>
    </w:p>
    <w:p w14:paraId="12E56044" w14:textId="06E2E663" w:rsidR="000306B4" w:rsidRPr="00E1718E" w:rsidRDefault="000306B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E34FA">
        <w:rPr>
          <w:rFonts w:ascii="Arial" w:hAnsi="Arial" w:cs="Arial"/>
          <w:sz w:val="20"/>
          <w:szCs w:val="20"/>
        </w:rPr>
        <w:t>Oferty należy składać drogą elektroniczną na adres</w:t>
      </w:r>
      <w:r w:rsidRPr="00E1718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445051">
          <w:rPr>
            <w:rStyle w:val="Hipercze"/>
            <w:rFonts w:ascii="Arial" w:hAnsi="Arial" w:cs="Arial"/>
            <w:sz w:val="20"/>
            <w:szCs w:val="20"/>
          </w:rPr>
          <w:t>Agenda2030@m</w:t>
        </w:r>
        <w:r w:rsidRPr="00023DBC">
          <w:rPr>
            <w:rStyle w:val="Hipercze"/>
            <w:rFonts w:ascii="Arial" w:hAnsi="Arial" w:cs="Arial"/>
            <w:sz w:val="20"/>
            <w:szCs w:val="20"/>
          </w:rPr>
          <w:t>r</w:t>
        </w:r>
        <w:r w:rsidRPr="00036B56">
          <w:rPr>
            <w:rStyle w:val="Hipercze"/>
            <w:rFonts w:ascii="Arial" w:hAnsi="Arial" w:cs="Arial"/>
            <w:sz w:val="20"/>
            <w:szCs w:val="20"/>
          </w:rPr>
          <w:t>it.gov.pl</w:t>
        </w:r>
      </w:hyperlink>
      <w:r w:rsidRPr="00E1718E">
        <w:rPr>
          <w:rFonts w:ascii="Arial" w:hAnsi="Arial" w:cs="Arial"/>
          <w:color w:val="000000"/>
          <w:sz w:val="20"/>
          <w:szCs w:val="20"/>
        </w:rPr>
        <w:t xml:space="preserve"> </w:t>
      </w:r>
      <w:r w:rsidR="00B90FA8">
        <w:rPr>
          <w:rFonts w:ascii="Arial" w:hAnsi="Arial" w:cs="Arial"/>
          <w:sz w:val="20"/>
          <w:szCs w:val="20"/>
        </w:rPr>
        <w:t xml:space="preserve">do </w:t>
      </w:r>
      <w:r w:rsidR="00ED1080">
        <w:rPr>
          <w:rFonts w:ascii="Arial" w:hAnsi="Arial" w:cs="Arial"/>
          <w:sz w:val="20"/>
          <w:szCs w:val="20"/>
        </w:rPr>
        <w:t>29 lipca</w:t>
      </w:r>
      <w:r w:rsidRPr="00431D20">
        <w:rPr>
          <w:rFonts w:ascii="Arial" w:hAnsi="Arial" w:cs="Arial"/>
          <w:sz w:val="20"/>
          <w:szCs w:val="20"/>
        </w:rPr>
        <w:t xml:space="preserve"> 2022 r.</w:t>
      </w:r>
    </w:p>
    <w:p w14:paraId="04AACE13" w14:textId="77777777" w:rsidR="000306B4" w:rsidRPr="00E1718E" w:rsidRDefault="000306B4" w:rsidP="0001025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1718E">
        <w:rPr>
          <w:rFonts w:ascii="Arial" w:hAnsi="Arial" w:cs="Arial"/>
          <w:sz w:val="20"/>
          <w:szCs w:val="20"/>
        </w:rPr>
        <w:t xml:space="preserve">Oferty złożone po terminie nie będą rozpatrywane. </w:t>
      </w:r>
      <w:r w:rsidR="00162529" w:rsidRPr="00162529">
        <w:rPr>
          <w:rFonts w:ascii="Arial" w:hAnsi="Arial" w:cs="Arial"/>
          <w:sz w:val="20"/>
          <w:szCs w:val="20"/>
        </w:rPr>
        <w:t xml:space="preserve">Po otrzymaniu i przeanalizowaniu ofert </w:t>
      </w:r>
      <w:r w:rsidR="00162529">
        <w:rPr>
          <w:rFonts w:ascii="Arial" w:hAnsi="Arial" w:cs="Arial"/>
          <w:sz w:val="20"/>
          <w:szCs w:val="20"/>
        </w:rPr>
        <w:t>Zamawiający skontaktuje się z wybranym W</w:t>
      </w:r>
      <w:r w:rsidR="00162529" w:rsidRPr="00162529">
        <w:rPr>
          <w:rFonts w:ascii="Arial" w:hAnsi="Arial" w:cs="Arial"/>
          <w:sz w:val="20"/>
          <w:szCs w:val="20"/>
        </w:rPr>
        <w:t xml:space="preserve">ykonawcą. </w:t>
      </w:r>
      <w:r w:rsidRPr="00E1718E">
        <w:rPr>
          <w:rFonts w:ascii="Arial" w:hAnsi="Arial" w:cs="Arial"/>
          <w:sz w:val="20"/>
          <w:szCs w:val="20"/>
        </w:rPr>
        <w:t>W toku oceny ofert Zamawiający może żądać od oferentów wyjaśnień dotyczących treści złożonych ofert</w:t>
      </w:r>
      <w:r>
        <w:rPr>
          <w:rFonts w:ascii="Arial" w:hAnsi="Arial" w:cs="Arial"/>
          <w:sz w:val="20"/>
          <w:szCs w:val="20"/>
        </w:rPr>
        <w:t>.</w:t>
      </w:r>
      <w:r w:rsidRPr="00E1718E">
        <w:rPr>
          <w:rFonts w:ascii="Arial" w:hAnsi="Arial" w:cs="Arial"/>
          <w:sz w:val="20"/>
          <w:szCs w:val="20"/>
        </w:rPr>
        <w:t xml:space="preserve"> Zamawiający zastrzega sobie prawo do negocjacji warunków oferty, a także rezygnacji z zamówienia bez podania przyczyny.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B05950" w14:textId="77777777" w:rsidR="0067212E" w:rsidRPr="00E1718E" w:rsidRDefault="0067212E" w:rsidP="0001025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5F248F" w14:textId="77777777" w:rsidR="00C625E9" w:rsidRPr="00E1718E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wyboru oferty</w:t>
      </w:r>
    </w:p>
    <w:p w14:paraId="640A5B43" w14:textId="77777777" w:rsidR="00C625E9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sz w:val="20"/>
          <w:szCs w:val="20"/>
          <w:lang w:eastAsia="pl-PL"/>
        </w:rPr>
        <w:t>Przy wyborze oferty Zamawiający zweryfikuje wszystkie nadesłane w terminie oferty, biorąc pod uwagę następujące kryteria:</w:t>
      </w:r>
    </w:p>
    <w:p w14:paraId="7C5C06F5" w14:textId="77777777" w:rsidR="00C625E9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Pr="007E7287">
        <w:rPr>
          <w:rFonts w:ascii="Arial" w:eastAsia="Times New Roman" w:hAnsi="Arial" w:cs="Arial"/>
          <w:b/>
          <w:sz w:val="20"/>
          <w:szCs w:val="20"/>
          <w:lang w:eastAsia="pl-PL"/>
        </w:rPr>
        <w:t>cena</w:t>
      </w:r>
      <w:r w:rsidRPr="00E1718E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5B0E7B">
        <w:rPr>
          <w:rFonts w:ascii="Arial" w:eastAsia="Times New Roman" w:hAnsi="Arial" w:cs="Arial"/>
          <w:sz w:val="20"/>
          <w:szCs w:val="20"/>
          <w:lang w:eastAsia="pl-PL"/>
        </w:rPr>
        <w:t>25%)</w:t>
      </w:r>
    </w:p>
    <w:p w14:paraId="7183DB3D" w14:textId="77777777" w:rsidR="00B03A02" w:rsidRDefault="00B03A02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3A02">
        <w:rPr>
          <w:rFonts w:ascii="Arial" w:eastAsia="Times New Roman" w:hAnsi="Arial" w:cs="Arial"/>
          <w:sz w:val="20"/>
          <w:szCs w:val="20"/>
          <w:lang w:eastAsia="pl-PL"/>
        </w:rPr>
        <w:t xml:space="preserve">Najniższa </w:t>
      </w:r>
      <w:r w:rsidR="005B7DE5">
        <w:rPr>
          <w:rFonts w:ascii="Arial" w:eastAsia="Times New Roman" w:hAnsi="Arial" w:cs="Arial"/>
          <w:sz w:val="20"/>
          <w:szCs w:val="20"/>
          <w:lang w:eastAsia="pl-PL"/>
        </w:rPr>
        <w:t xml:space="preserve">zaproponowana cena (NC) uzyska </w:t>
      </w:r>
      <w:r w:rsidR="005B7DE5" w:rsidRPr="005B0E7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B0E7B">
        <w:rPr>
          <w:rFonts w:ascii="Arial" w:eastAsia="Times New Roman" w:hAnsi="Arial" w:cs="Arial"/>
          <w:sz w:val="20"/>
          <w:szCs w:val="20"/>
          <w:lang w:eastAsia="pl-PL"/>
        </w:rPr>
        <w:t xml:space="preserve">5 pkt. </w:t>
      </w:r>
      <w:r w:rsidRPr="00B03A02">
        <w:rPr>
          <w:rFonts w:ascii="Arial" w:eastAsia="Times New Roman" w:hAnsi="Arial" w:cs="Arial"/>
          <w:sz w:val="20"/>
          <w:szCs w:val="20"/>
          <w:lang w:eastAsia="pl-PL"/>
        </w:rPr>
        <w:t xml:space="preserve">Dalsze w kolejności oferowane ceny (OC) uzyskiwać będą punkty zgodnie </w:t>
      </w:r>
      <w:r w:rsidR="005B7DE5">
        <w:rPr>
          <w:rFonts w:ascii="Arial" w:eastAsia="Times New Roman" w:hAnsi="Arial" w:cs="Arial"/>
          <w:sz w:val="20"/>
          <w:szCs w:val="20"/>
          <w:lang w:eastAsia="pl-PL"/>
        </w:rPr>
        <w:t>z następującym wzorem: NC/OC * 2</w:t>
      </w:r>
      <w:r w:rsidRPr="00B03A02">
        <w:rPr>
          <w:rFonts w:ascii="Arial" w:eastAsia="Times New Roman" w:hAnsi="Arial" w:cs="Arial"/>
          <w:sz w:val="20"/>
          <w:szCs w:val="20"/>
          <w:lang w:eastAsia="pl-PL"/>
        </w:rPr>
        <w:t>5. Punkty będą zaokrąglane do pełnych liczb całkowitych.</w:t>
      </w:r>
      <w:r w:rsidR="00F06B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A7EA546" w14:textId="77777777" w:rsidR="00EC01AC" w:rsidRPr="00E1718E" w:rsidRDefault="00EC01AC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3FC89" w14:textId="29434EDF" w:rsidR="0090622C" w:rsidRDefault="007E7287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BA2921" w:rsidRPr="007E7287">
        <w:rPr>
          <w:rFonts w:ascii="Arial" w:eastAsia="Times New Roman" w:hAnsi="Arial" w:cs="Arial"/>
          <w:b/>
          <w:sz w:val="20"/>
          <w:szCs w:val="20"/>
          <w:lang w:eastAsia="pl-PL"/>
        </w:rPr>
        <w:t>opis sposobu realizacji ekspertyzy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0725F1" w:rsidRPr="005B0E7B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="00C625E9" w:rsidRPr="005B0E7B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) – </w:t>
      </w:r>
      <w:r w:rsidR="00144084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zaproponowane przez wykonawcę podejście do tematu, uwzględniające 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>wszystki</w:t>
      </w:r>
      <w:r w:rsidR="00144084" w:rsidRPr="007E728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 element</w:t>
      </w:r>
      <w:r w:rsidR="00144084" w:rsidRPr="007E7287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 wymienion</w:t>
      </w:r>
      <w:r w:rsidR="00144084" w:rsidRPr="007E728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 w opisie zamówienia </w:t>
      </w:r>
      <w:r w:rsidR="00F7575F" w:rsidRPr="007E7287"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F7575F" w:rsidRPr="007E7287">
        <w:rPr>
          <w:rFonts w:ascii="Arial" w:eastAsia="Times New Roman" w:hAnsi="Arial" w:cs="Arial"/>
          <w:sz w:val="20"/>
          <w:szCs w:val="20"/>
          <w:lang w:eastAsia="pl-PL"/>
        </w:rPr>
        <w:t>Szczegółowy zakres wsparcia w ramach ekspertyzy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F7575F" w:rsidRPr="007E7287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C625E9" w:rsidRPr="007E7287">
        <w:rPr>
          <w:rFonts w:ascii="Arial" w:eastAsia="Times New Roman" w:hAnsi="Arial" w:cs="Arial"/>
          <w:sz w:val="20"/>
          <w:szCs w:val="20"/>
          <w:lang w:eastAsia="pl-PL"/>
        </w:rPr>
        <w:t>oraz propozycje uwzględnienia kwestii dodatkowych</w:t>
      </w:r>
      <w:r w:rsidR="00C4193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8C04EF">
        <w:rPr>
          <w:rFonts w:ascii="Arial" w:eastAsia="Times New Roman" w:hAnsi="Arial" w:cs="Arial"/>
          <w:sz w:val="20"/>
          <w:lang w:eastAsia="pl-PL"/>
        </w:rPr>
        <w:t xml:space="preserve">Maksymalnie można uzyskać </w:t>
      </w:r>
      <w:r w:rsidR="000725F1" w:rsidRPr="005B0E7B">
        <w:rPr>
          <w:rFonts w:ascii="Arial" w:eastAsia="Times New Roman" w:hAnsi="Arial" w:cs="Arial"/>
          <w:b/>
          <w:sz w:val="20"/>
          <w:lang w:eastAsia="pl-PL"/>
        </w:rPr>
        <w:t>40</w:t>
      </w:r>
      <w:r w:rsidRPr="005B0E7B">
        <w:rPr>
          <w:rFonts w:ascii="Arial" w:eastAsia="Times New Roman" w:hAnsi="Arial" w:cs="Arial"/>
          <w:b/>
          <w:sz w:val="20"/>
          <w:lang w:eastAsia="pl-PL"/>
        </w:rPr>
        <w:t xml:space="preserve"> pkt</w:t>
      </w:r>
      <w:r w:rsidRPr="008C04EF">
        <w:rPr>
          <w:rFonts w:ascii="Arial" w:eastAsia="Times New Roman" w:hAnsi="Arial" w:cs="Arial"/>
          <w:b/>
          <w:sz w:val="20"/>
          <w:lang w:eastAsia="pl-PL"/>
        </w:rPr>
        <w:t>.</w:t>
      </w:r>
      <w:r w:rsidRPr="008C04EF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256B2652" w14:textId="51CBC359" w:rsidR="007E7287" w:rsidRPr="008C04EF" w:rsidRDefault="007E7287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C04EF">
        <w:rPr>
          <w:rFonts w:ascii="Arial" w:eastAsia="Times New Roman" w:hAnsi="Arial" w:cs="Arial"/>
          <w:sz w:val="20"/>
          <w:lang w:eastAsia="pl-PL"/>
        </w:rPr>
        <w:t xml:space="preserve">Oferent powinien odnieść się do każdego punktu wskazanego w części „Szczegółowy zakres wsparcia w ramach ekspertyzy” opisując, w jaki sposób zamierza odpowiedzieć na dane zagadnienie (np. ogólna informacja o proponowanej zawartości rozdziału, źródła, metodologia, z jakiej zamierza skorzystać). </w:t>
      </w:r>
      <w:r w:rsidRPr="008C04EF">
        <w:rPr>
          <w:rFonts w:ascii="Arial" w:eastAsia="Times New Roman" w:hAnsi="Arial" w:cs="Arial"/>
          <w:sz w:val="20"/>
          <w:u w:val="single"/>
          <w:lang w:eastAsia="pl-PL"/>
        </w:rPr>
        <w:t>Dopuszczalne jest wskazanie, że realizacja danego punktu, czy też jego elementów nie jest zasadna, wówczas oferent powinien uzasadnić takie stanowisko</w:t>
      </w:r>
      <w:r w:rsidRPr="008C04EF">
        <w:rPr>
          <w:rFonts w:ascii="Arial" w:eastAsia="Times New Roman" w:hAnsi="Arial" w:cs="Arial"/>
          <w:sz w:val="20"/>
          <w:lang w:eastAsia="pl-PL"/>
        </w:rPr>
        <w:t>. Za odniesienie się do każdego z zagadnień oferent otrzyma</w:t>
      </w:r>
      <w:r w:rsidR="00B93C3B">
        <w:rPr>
          <w:rFonts w:ascii="Arial" w:eastAsia="Times New Roman" w:hAnsi="Arial" w:cs="Arial"/>
          <w:sz w:val="20"/>
          <w:lang w:eastAsia="pl-PL"/>
        </w:rPr>
        <w:t xml:space="preserve"> łącznie</w:t>
      </w:r>
      <w:r w:rsidRPr="008C04EF">
        <w:rPr>
          <w:rFonts w:ascii="Arial" w:eastAsia="Times New Roman" w:hAnsi="Arial" w:cs="Arial"/>
          <w:sz w:val="20"/>
          <w:lang w:eastAsia="pl-PL"/>
        </w:rPr>
        <w:t xml:space="preserve"> </w:t>
      </w:r>
      <w:r w:rsidRPr="005B0E7B">
        <w:rPr>
          <w:rFonts w:ascii="Arial" w:eastAsia="Times New Roman" w:hAnsi="Arial" w:cs="Arial"/>
          <w:b/>
          <w:sz w:val="20"/>
          <w:lang w:eastAsia="pl-PL"/>
        </w:rPr>
        <w:t>15 pkt</w:t>
      </w:r>
      <w:r w:rsidRPr="008C04EF">
        <w:rPr>
          <w:rFonts w:ascii="Arial" w:eastAsia="Times New Roman" w:hAnsi="Arial" w:cs="Arial"/>
          <w:b/>
          <w:sz w:val="20"/>
          <w:lang w:eastAsia="pl-PL"/>
        </w:rPr>
        <w:t>.</w:t>
      </w:r>
      <w:r w:rsidRPr="008C04EF">
        <w:rPr>
          <w:rFonts w:ascii="Arial" w:eastAsia="Times New Roman" w:hAnsi="Arial" w:cs="Arial"/>
          <w:sz w:val="20"/>
          <w:lang w:eastAsia="pl-PL"/>
        </w:rPr>
        <w:t xml:space="preserve"> Brak odniesienia obniża ocenę o 3 pkt. za każde zagadnienie, do którego brakuje odniesienia.</w:t>
      </w:r>
    </w:p>
    <w:p w14:paraId="1AA9E831" w14:textId="2AD8DA37" w:rsidR="007E7287" w:rsidRDefault="0090622C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P</w:t>
      </w:r>
      <w:r w:rsidR="007E7287" w:rsidRPr="008C04EF">
        <w:rPr>
          <w:rFonts w:ascii="Arial" w:eastAsia="Times New Roman" w:hAnsi="Arial" w:cs="Arial"/>
          <w:sz w:val="20"/>
          <w:lang w:eastAsia="pl-PL"/>
        </w:rPr>
        <w:t xml:space="preserve">unkty </w:t>
      </w:r>
      <w:r w:rsidR="000725F1" w:rsidRPr="005B0E7B">
        <w:rPr>
          <w:rFonts w:ascii="Arial" w:eastAsia="Times New Roman" w:hAnsi="Arial" w:cs="Arial"/>
          <w:b/>
          <w:sz w:val="20"/>
          <w:lang w:eastAsia="pl-PL"/>
        </w:rPr>
        <w:t>0-25</w:t>
      </w:r>
      <w:r w:rsidR="007E7287" w:rsidRPr="005B0E7B">
        <w:rPr>
          <w:rFonts w:ascii="Arial" w:eastAsia="Times New Roman" w:hAnsi="Arial" w:cs="Arial"/>
          <w:sz w:val="20"/>
          <w:lang w:eastAsia="pl-PL"/>
        </w:rPr>
        <w:t xml:space="preserve"> </w:t>
      </w:r>
      <w:r w:rsidR="00AE21FA">
        <w:rPr>
          <w:rFonts w:ascii="Arial" w:eastAsia="Times New Roman" w:hAnsi="Arial" w:cs="Arial"/>
          <w:sz w:val="20"/>
          <w:lang w:eastAsia="pl-PL"/>
        </w:rPr>
        <w:t>zostaną</w:t>
      </w:r>
      <w:r w:rsidR="007E7287" w:rsidRPr="008C04EF">
        <w:rPr>
          <w:rFonts w:ascii="Arial" w:eastAsia="Times New Roman" w:hAnsi="Arial" w:cs="Arial"/>
          <w:sz w:val="20"/>
          <w:lang w:eastAsia="pl-PL"/>
        </w:rPr>
        <w:t xml:space="preserve"> przydzielone </w:t>
      </w:r>
      <w:r w:rsidR="00734848">
        <w:rPr>
          <w:rFonts w:ascii="Arial" w:eastAsia="Times New Roman" w:hAnsi="Arial" w:cs="Arial"/>
          <w:sz w:val="20"/>
          <w:lang w:eastAsia="pl-PL"/>
        </w:rPr>
        <w:t>w ramach oceny opisu sposobu realizacji ekspertyzy za</w:t>
      </w:r>
      <w:r w:rsidR="007E7287" w:rsidRPr="008C04EF">
        <w:rPr>
          <w:rFonts w:ascii="Arial" w:eastAsia="Times New Roman" w:hAnsi="Arial" w:cs="Arial"/>
          <w:sz w:val="20"/>
          <w:lang w:eastAsia="pl-PL"/>
        </w:rPr>
        <w:t xml:space="preserve"> realność wykonania zamówienia zgodnie z opisem oferenta, adekwatność zaproponowanego sposobu analizy, unikalność metod i źródeł, inicjatywę oferenta w postaci zaproponowanych dodatkowych zagadnień badawczych.</w:t>
      </w:r>
    </w:p>
    <w:p w14:paraId="033D4F76" w14:textId="77777777" w:rsidR="00EC01AC" w:rsidRPr="008C04EF" w:rsidRDefault="00EC01AC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621E030F" w14:textId="77777777" w:rsidR="008F3ED0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718E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C71874" w:rsidRPr="008C04EF">
        <w:rPr>
          <w:rFonts w:ascii="Arial" w:eastAsia="Times New Roman" w:hAnsi="Arial" w:cs="Arial"/>
          <w:b/>
          <w:sz w:val="20"/>
          <w:szCs w:val="20"/>
          <w:lang w:eastAsia="pl-PL"/>
        </w:rPr>
        <w:t>Wiedza i</w:t>
      </w:r>
      <w:r w:rsidR="00C718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C04EF">
        <w:rPr>
          <w:rFonts w:ascii="Arial" w:eastAsia="Times New Roman" w:hAnsi="Arial" w:cs="Arial"/>
          <w:b/>
          <w:sz w:val="20"/>
          <w:szCs w:val="20"/>
          <w:lang w:eastAsia="pl-PL"/>
        </w:rPr>
        <w:t>doświadczenie zespołu badawczego oferenta w realizacji podobnych zamówień</w:t>
      </w:r>
      <w:r w:rsidRPr="00E1718E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0725F1" w:rsidRPr="005B0E7B">
        <w:rPr>
          <w:rFonts w:ascii="Arial" w:eastAsia="Times New Roman" w:hAnsi="Arial" w:cs="Arial"/>
          <w:sz w:val="20"/>
          <w:szCs w:val="20"/>
          <w:lang w:eastAsia="pl-PL"/>
        </w:rPr>
        <w:t>35</w:t>
      </w:r>
      <w:r w:rsidRPr="005B0E7B">
        <w:rPr>
          <w:rFonts w:ascii="Arial" w:eastAsia="Times New Roman" w:hAnsi="Arial" w:cs="Arial"/>
          <w:sz w:val="20"/>
          <w:szCs w:val="20"/>
          <w:lang w:eastAsia="pl-PL"/>
        </w:rPr>
        <w:t>%)</w:t>
      </w:r>
    </w:p>
    <w:p w14:paraId="34684233" w14:textId="77777777" w:rsidR="00B818B1" w:rsidRDefault="00937344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7344">
        <w:rPr>
          <w:rFonts w:ascii="Arial" w:eastAsia="Times New Roman" w:hAnsi="Arial" w:cs="Arial"/>
          <w:sz w:val="20"/>
          <w:szCs w:val="20"/>
          <w:lang w:eastAsia="pl-PL"/>
        </w:rPr>
        <w:t>Maksymalna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liczba punktów do zdobycia to </w:t>
      </w:r>
      <w:r w:rsidR="00203515" w:rsidRPr="005B0E7B">
        <w:rPr>
          <w:rFonts w:ascii="Arial" w:eastAsia="Times New Roman" w:hAnsi="Arial" w:cs="Arial"/>
          <w:sz w:val="20"/>
          <w:szCs w:val="20"/>
          <w:lang w:eastAsia="pl-PL"/>
        </w:rPr>
        <w:t>35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>. Podane wartości doty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czące liczby opracowanych 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>analiz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publikacji to łączna suma 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>analiz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>/publikacji opracowanych przez wszystkich członków zespołu. Oferent powinien wskazać tytu</w:t>
      </w:r>
      <w:r w:rsidR="00AD30A9">
        <w:rPr>
          <w:rFonts w:ascii="Arial" w:eastAsia="Times New Roman" w:hAnsi="Arial" w:cs="Arial"/>
          <w:sz w:val="20"/>
          <w:szCs w:val="20"/>
          <w:lang w:eastAsia="pl-PL"/>
        </w:rPr>
        <w:t xml:space="preserve">ły opracowań, liczbę stron, 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 xml:space="preserve">miejsce </w:t>
      </w:r>
      <w:r w:rsidR="00AD30A9">
        <w:rPr>
          <w:rFonts w:ascii="Arial" w:eastAsia="Times New Roman" w:hAnsi="Arial" w:cs="Arial"/>
          <w:sz w:val="20"/>
          <w:szCs w:val="20"/>
          <w:lang w:eastAsia="pl-PL"/>
        </w:rPr>
        <w:t xml:space="preserve">i datę 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>publikacji</w:t>
      </w:r>
      <w:r w:rsidR="00AD30A9">
        <w:rPr>
          <w:rFonts w:ascii="Arial" w:eastAsia="Times New Roman" w:hAnsi="Arial" w:cs="Arial"/>
          <w:sz w:val="20"/>
          <w:szCs w:val="20"/>
          <w:lang w:eastAsia="pl-PL"/>
        </w:rPr>
        <w:t xml:space="preserve"> (np. nazwa czasopisma) </w:t>
      </w:r>
      <w:r w:rsidRPr="00937344">
        <w:rPr>
          <w:rFonts w:ascii="Arial" w:eastAsia="Times New Roman" w:hAnsi="Arial" w:cs="Arial"/>
          <w:sz w:val="20"/>
          <w:szCs w:val="20"/>
          <w:lang w:eastAsia="pl-PL"/>
        </w:rPr>
        <w:t>lub podmiot, na rzecz którego zostało zrealizowane dane opracowanie. Członek zespołu powinien być samodzielnym autorem lub jednym z członków zespołu realizujących opracowanie.</w:t>
      </w:r>
    </w:p>
    <w:p w14:paraId="1EC070A7" w14:textId="77777777" w:rsidR="00B34561" w:rsidRDefault="00B34561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AE6D24" w14:textId="77777777" w:rsidR="00B818B1" w:rsidRPr="008C04EF" w:rsidRDefault="00B818B1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C04EF">
        <w:rPr>
          <w:rFonts w:ascii="Arial" w:eastAsia="Times New Roman" w:hAnsi="Arial" w:cs="Arial"/>
          <w:i/>
          <w:sz w:val="20"/>
          <w:szCs w:val="20"/>
          <w:lang w:eastAsia="pl-PL"/>
        </w:rPr>
        <w:t>Sposób punktowania:</w:t>
      </w:r>
    </w:p>
    <w:p w14:paraId="599DD9F0" w14:textId="77777777" w:rsidR="00B818B1" w:rsidRPr="005B0E7B" w:rsidRDefault="00B818B1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18B1">
        <w:rPr>
          <w:rFonts w:ascii="Arial" w:eastAsia="Times New Roman" w:hAnsi="Arial" w:cs="Arial"/>
          <w:sz w:val="20"/>
          <w:szCs w:val="20"/>
          <w:lang w:eastAsia="pl-PL"/>
        </w:rPr>
        <w:t xml:space="preserve">Oferent przekaże listę członków zespołu badawczego wraz z informacją o ich wykształceniu oraz aktualnym miejscu pracy. Jeśli przynajmniej jeden z członków zespołu posiada stopień lub tytuł naukowy z dziedziny ekonomii oferta otrzymuje </w:t>
      </w:r>
      <w:r w:rsidR="000D6111"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  <w:r w:rsidR="00B34561"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>. Dodatkowo premiowane będzie doświadcz</w:t>
      </w:r>
      <w:r w:rsidR="00F70A87"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enie w tworzeniu metodologii – </w:t>
      </w:r>
      <w:r w:rsidR="000D6111"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B34561" w:rsidRPr="005B0E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</w:t>
      </w:r>
    </w:p>
    <w:p w14:paraId="17BEC08E" w14:textId="3750C340" w:rsidR="00206128" w:rsidRDefault="00B818B1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18B1">
        <w:rPr>
          <w:rFonts w:ascii="Arial" w:eastAsia="Times New Roman" w:hAnsi="Arial" w:cs="Arial"/>
          <w:sz w:val="20"/>
          <w:szCs w:val="20"/>
          <w:lang w:eastAsia="pl-PL"/>
        </w:rPr>
        <w:t xml:space="preserve">Przy czym </w:t>
      </w:r>
      <w:r w:rsidRPr="008C04EF">
        <w:rPr>
          <w:rFonts w:ascii="Arial" w:eastAsia="Times New Roman" w:hAnsi="Arial" w:cs="Arial"/>
          <w:sz w:val="20"/>
          <w:szCs w:val="20"/>
          <w:u w:val="single"/>
          <w:lang w:eastAsia="pl-PL"/>
        </w:rPr>
        <w:t>brak listy spowoduje dyskwalifikację oferty</w:t>
      </w:r>
      <w:r w:rsidRPr="00B818B1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BEDBE70" w14:textId="77777777" w:rsid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AF80AA" w14:textId="77777777" w:rsidR="00206128" w:rsidRPr="00206128" w:rsidRDefault="00B51AEF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Wykonanie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od trzech do czterech analiz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dotyczących 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 xml:space="preserve">polskiej gospodarki, 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>szczególnie z zakresu funkcjonowania sektora przedsiębiorstw, rynków finansowych, oddziaływania środow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 xml:space="preserve">iska na sektor przedsiębiorstw, 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>wpływu czynników ESG na gospodark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 xml:space="preserve">ę 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o objętości co najmniej 25 str. na rzecz organów administracji rządowej, samorządowej, organizacji zrzeszającej przedsiębiorców lub spółki zatrudniającej co najmniej 50 pracowników. Analizy zostały wykonane w 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>okresie 1 stycznia 2018 – 31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6128">
        <w:rPr>
          <w:rFonts w:ascii="Arial" w:eastAsia="Times New Roman" w:hAnsi="Arial" w:cs="Arial"/>
          <w:sz w:val="20"/>
          <w:szCs w:val="20"/>
          <w:lang w:eastAsia="pl-PL"/>
        </w:rPr>
        <w:t>maja 2022</w:t>
      </w:r>
      <w:r w:rsidR="00206128"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0D6111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206128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</w:p>
    <w:p w14:paraId="79E7D983" w14:textId="77777777" w:rsidR="00206128" w:rsidRP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Wykonanie co najmniej </w:t>
      </w:r>
      <w:r w:rsidRPr="00206128">
        <w:rPr>
          <w:rFonts w:ascii="Arial" w:eastAsia="Times New Roman" w:hAnsi="Arial" w:cs="Arial"/>
          <w:sz w:val="20"/>
          <w:szCs w:val="20"/>
          <w:u w:val="single"/>
          <w:lang w:eastAsia="pl-PL"/>
        </w:rPr>
        <w:t>pięciu analiz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, o których mowa powyżej – </w:t>
      </w:r>
      <w:r w:rsidR="000D6111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</w:p>
    <w:p w14:paraId="4E907C09" w14:textId="77777777" w:rsidR="00EC01AC" w:rsidRDefault="00EC01AC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F35271" w14:textId="77777777" w:rsidR="00206128" w:rsidRP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Wykonanie od </w:t>
      </w:r>
      <w:r w:rsidRPr="00206128">
        <w:rPr>
          <w:rFonts w:ascii="Arial" w:eastAsia="Times New Roman" w:hAnsi="Arial" w:cs="Arial"/>
          <w:sz w:val="20"/>
          <w:szCs w:val="20"/>
          <w:u w:val="single"/>
          <w:lang w:eastAsia="pl-PL"/>
        </w:rPr>
        <w:t>dwóch do trzech analiz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dotyczących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zrównoważonych inwestycji 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>o objętości co najmniej 20 str. na rzecz organów administracji rządowej, samorządowej, organizacji zrzeszającej przedsiębiorców lub spółki zatrudniającej co najmniej 50 pracowników. Analizy zostały wykonane w </w:t>
      </w:r>
      <w:r>
        <w:rPr>
          <w:rFonts w:ascii="Arial" w:eastAsia="Times New Roman" w:hAnsi="Arial" w:cs="Arial"/>
          <w:sz w:val="20"/>
          <w:szCs w:val="20"/>
          <w:lang w:eastAsia="pl-PL"/>
        </w:rPr>
        <w:t>okresie 1 stycznia 201</w:t>
      </w:r>
      <w:r w:rsidR="00D20B6F">
        <w:rPr>
          <w:rFonts w:ascii="Arial" w:eastAsia="Times New Roman" w:hAnsi="Arial" w:cs="Arial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31 maja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2021– </w:t>
      </w:r>
      <w:r w:rsidR="000D6111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</w:p>
    <w:p w14:paraId="6CAE857A" w14:textId="77777777" w:rsidR="00206128" w:rsidRP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Wykonanie co najmniej </w:t>
      </w:r>
      <w:r w:rsidRPr="00206128">
        <w:rPr>
          <w:rFonts w:ascii="Arial" w:eastAsia="Times New Roman" w:hAnsi="Arial" w:cs="Arial"/>
          <w:sz w:val="20"/>
          <w:szCs w:val="20"/>
          <w:u w:val="single"/>
          <w:lang w:eastAsia="pl-PL"/>
        </w:rPr>
        <w:t>czterech analiz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>, o których mowa powyżej –</w:t>
      </w:r>
      <w:r w:rsidRPr="008C04E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D6111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</w:p>
    <w:p w14:paraId="7E437DA5" w14:textId="77777777" w:rsidR="00206128" w:rsidRP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382B88" w14:textId="77777777" w:rsidR="00206128" w:rsidRPr="00206128" w:rsidRDefault="00206128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Opublikowanie co najmniej </w:t>
      </w:r>
      <w:r w:rsidRPr="00206128">
        <w:rPr>
          <w:rFonts w:ascii="Arial" w:eastAsia="Times New Roman" w:hAnsi="Arial" w:cs="Arial"/>
          <w:sz w:val="20"/>
          <w:szCs w:val="20"/>
          <w:u w:val="single"/>
          <w:lang w:eastAsia="pl-PL"/>
        </w:rPr>
        <w:t>trzech artykułów</w:t>
      </w:r>
      <w:r w:rsidR="00B93C3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lub publikacji</w:t>
      </w:r>
      <w:r w:rsidRPr="00CE19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 obszaru zrównoważonego finansowania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w okresie 1 stycznia 201</w:t>
      </w:r>
      <w:r w:rsidR="00AB35E5">
        <w:rPr>
          <w:rFonts w:ascii="Arial" w:eastAsia="Times New Roman" w:hAnsi="Arial" w:cs="Arial"/>
          <w:sz w:val="20"/>
          <w:szCs w:val="20"/>
          <w:lang w:eastAsia="pl-PL"/>
        </w:rPr>
        <w:t>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31 maja 2022</w:t>
      </w:r>
      <w:r w:rsidRPr="00206128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0D6111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</w:t>
      </w:r>
      <w:r w:rsidR="009879A3" w:rsidRPr="00315E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4BEB05B4" w14:textId="77777777" w:rsidR="00C625E9" w:rsidRPr="00E1718E" w:rsidRDefault="00C625E9" w:rsidP="0001025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1246A9A1" w14:textId="77777777" w:rsidR="00C057FB" w:rsidRDefault="00C625E9" w:rsidP="00010255">
      <w:pPr>
        <w:jc w:val="both"/>
      </w:pPr>
      <w:r>
        <w:t xml:space="preserve"> </w:t>
      </w:r>
    </w:p>
    <w:sectPr w:rsidR="00C057FB" w:rsidSect="00256E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4EE5" w14:textId="77777777" w:rsidR="00F95436" w:rsidRDefault="00F95436" w:rsidP="00C625E9">
      <w:pPr>
        <w:spacing w:after="0" w:line="240" w:lineRule="auto"/>
      </w:pPr>
      <w:r>
        <w:separator/>
      </w:r>
    </w:p>
  </w:endnote>
  <w:endnote w:type="continuationSeparator" w:id="0">
    <w:p w14:paraId="717DC690" w14:textId="77777777" w:rsidR="00F95436" w:rsidRDefault="00F95436" w:rsidP="00C6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E384" w14:textId="77777777" w:rsidR="007744A7" w:rsidRDefault="008677E9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E0592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E0592">
      <w:rPr>
        <w:b/>
        <w:bCs/>
        <w:noProof/>
      </w:rPr>
      <w:t>5</w:t>
    </w:r>
    <w:r>
      <w:rPr>
        <w:b/>
        <w:bCs/>
      </w:rPr>
      <w:fldChar w:fldCharType="end"/>
    </w:r>
  </w:p>
  <w:p w14:paraId="5CE421A2" w14:textId="77777777" w:rsidR="007744A7" w:rsidRDefault="00F95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B40D" w14:textId="77777777" w:rsidR="00F95436" w:rsidRDefault="00F95436" w:rsidP="00C625E9">
      <w:pPr>
        <w:spacing w:after="0" w:line="240" w:lineRule="auto"/>
      </w:pPr>
      <w:r>
        <w:separator/>
      </w:r>
    </w:p>
  </w:footnote>
  <w:footnote w:type="continuationSeparator" w:id="0">
    <w:p w14:paraId="1C09ECDC" w14:textId="77777777" w:rsidR="00F95436" w:rsidRDefault="00F95436" w:rsidP="00C6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785"/>
    <w:multiLevelType w:val="multilevel"/>
    <w:tmpl w:val="3344F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626EDB"/>
    <w:multiLevelType w:val="multilevel"/>
    <w:tmpl w:val="2FAC3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E36FC4"/>
    <w:multiLevelType w:val="hybridMultilevel"/>
    <w:tmpl w:val="F8BAA990"/>
    <w:lvl w:ilvl="0" w:tplc="7DBE664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30E55"/>
    <w:multiLevelType w:val="multilevel"/>
    <w:tmpl w:val="2A8495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21E02"/>
    <w:multiLevelType w:val="hybridMultilevel"/>
    <w:tmpl w:val="981E586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69315F3"/>
    <w:multiLevelType w:val="hybridMultilevel"/>
    <w:tmpl w:val="7B26C35E"/>
    <w:lvl w:ilvl="0" w:tplc="7AA6A282">
      <w:start w:val="1"/>
      <w:numFmt w:val="bullet"/>
      <w:lvlText w:val="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E634B"/>
    <w:multiLevelType w:val="multilevel"/>
    <w:tmpl w:val="0F8A6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0"/>
      </w:rPr>
    </w:lvl>
  </w:abstractNum>
  <w:abstractNum w:abstractNumId="7" w15:restartNumberingAfterBreak="0">
    <w:nsid w:val="58201300"/>
    <w:multiLevelType w:val="hybridMultilevel"/>
    <w:tmpl w:val="157A63AC"/>
    <w:lvl w:ilvl="0" w:tplc="6B0ABF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A0270"/>
    <w:multiLevelType w:val="hybridMultilevel"/>
    <w:tmpl w:val="460A4200"/>
    <w:lvl w:ilvl="0" w:tplc="6B0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24F4"/>
    <w:multiLevelType w:val="hybridMultilevel"/>
    <w:tmpl w:val="C52EF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5F0D4E"/>
    <w:multiLevelType w:val="multilevel"/>
    <w:tmpl w:val="F574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D0AAF"/>
    <w:multiLevelType w:val="hybridMultilevel"/>
    <w:tmpl w:val="5216849C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1A547B"/>
    <w:multiLevelType w:val="hybridMultilevel"/>
    <w:tmpl w:val="8E06E6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0921670">
    <w:abstractNumId w:val="4"/>
  </w:num>
  <w:num w:numId="2" w16cid:durableId="1914314880">
    <w:abstractNumId w:val="2"/>
  </w:num>
  <w:num w:numId="3" w16cid:durableId="957696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011981925">
    <w:abstractNumId w:val="6"/>
  </w:num>
  <w:num w:numId="5" w16cid:durableId="2091733374">
    <w:abstractNumId w:val="0"/>
  </w:num>
  <w:num w:numId="6" w16cid:durableId="855579482">
    <w:abstractNumId w:val="3"/>
  </w:num>
  <w:num w:numId="7" w16cid:durableId="803474597">
    <w:abstractNumId w:val="11"/>
  </w:num>
  <w:num w:numId="8" w16cid:durableId="331689512">
    <w:abstractNumId w:val="1"/>
  </w:num>
  <w:num w:numId="9" w16cid:durableId="1979917564">
    <w:abstractNumId w:val="5"/>
  </w:num>
  <w:num w:numId="10" w16cid:durableId="463085452">
    <w:abstractNumId w:val="9"/>
  </w:num>
  <w:num w:numId="11" w16cid:durableId="1676111753">
    <w:abstractNumId w:val="5"/>
  </w:num>
  <w:num w:numId="12" w16cid:durableId="405036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4703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6496868">
    <w:abstractNumId w:val="7"/>
  </w:num>
  <w:num w:numId="15" w16cid:durableId="558248133">
    <w:abstractNumId w:val="8"/>
  </w:num>
  <w:num w:numId="16" w16cid:durableId="526066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sLSwMDY0MTA3MjZU0lEKTi0uzszPAykwqgUAT8WPASwAAAA="/>
  </w:docVars>
  <w:rsids>
    <w:rsidRoot w:val="00F7749E"/>
    <w:rsid w:val="0000719D"/>
    <w:rsid w:val="00010255"/>
    <w:rsid w:val="00011DA8"/>
    <w:rsid w:val="000163C9"/>
    <w:rsid w:val="00023DBC"/>
    <w:rsid w:val="000248F2"/>
    <w:rsid w:val="000306B4"/>
    <w:rsid w:val="00055282"/>
    <w:rsid w:val="000568FA"/>
    <w:rsid w:val="000725F1"/>
    <w:rsid w:val="00076E01"/>
    <w:rsid w:val="000A6C66"/>
    <w:rsid w:val="000B608B"/>
    <w:rsid w:val="000B6482"/>
    <w:rsid w:val="000D2D94"/>
    <w:rsid w:val="000D6111"/>
    <w:rsid w:val="000F2D62"/>
    <w:rsid w:val="00144084"/>
    <w:rsid w:val="00145FAA"/>
    <w:rsid w:val="001508BA"/>
    <w:rsid w:val="00154699"/>
    <w:rsid w:val="00162529"/>
    <w:rsid w:val="00162712"/>
    <w:rsid w:val="00170000"/>
    <w:rsid w:val="0017077C"/>
    <w:rsid w:val="0017238D"/>
    <w:rsid w:val="00172D85"/>
    <w:rsid w:val="00175586"/>
    <w:rsid w:val="001800C0"/>
    <w:rsid w:val="001866B0"/>
    <w:rsid w:val="001878AA"/>
    <w:rsid w:val="00191A95"/>
    <w:rsid w:val="001B3134"/>
    <w:rsid w:val="001B60BA"/>
    <w:rsid w:val="001C10AB"/>
    <w:rsid w:val="001C15E9"/>
    <w:rsid w:val="001D1610"/>
    <w:rsid w:val="001F2F21"/>
    <w:rsid w:val="002015F3"/>
    <w:rsid w:val="00203515"/>
    <w:rsid w:val="00206128"/>
    <w:rsid w:val="002237D1"/>
    <w:rsid w:val="00232795"/>
    <w:rsid w:val="00233CA5"/>
    <w:rsid w:val="00252959"/>
    <w:rsid w:val="0026419F"/>
    <w:rsid w:val="002672C5"/>
    <w:rsid w:val="00282305"/>
    <w:rsid w:val="00287A1B"/>
    <w:rsid w:val="0029691E"/>
    <w:rsid w:val="002A4C5F"/>
    <w:rsid w:val="002A5B72"/>
    <w:rsid w:val="002A628C"/>
    <w:rsid w:val="002C4D0D"/>
    <w:rsid w:val="002E278D"/>
    <w:rsid w:val="00307672"/>
    <w:rsid w:val="00310D2F"/>
    <w:rsid w:val="00315E6C"/>
    <w:rsid w:val="003204E8"/>
    <w:rsid w:val="0034327A"/>
    <w:rsid w:val="00347E52"/>
    <w:rsid w:val="0035781F"/>
    <w:rsid w:val="003627D5"/>
    <w:rsid w:val="00382C0E"/>
    <w:rsid w:val="00383A2C"/>
    <w:rsid w:val="003A397B"/>
    <w:rsid w:val="003A6086"/>
    <w:rsid w:val="003B0411"/>
    <w:rsid w:val="003B531F"/>
    <w:rsid w:val="003B69EC"/>
    <w:rsid w:val="003B7318"/>
    <w:rsid w:val="003E0546"/>
    <w:rsid w:val="003E5FEE"/>
    <w:rsid w:val="003F1C8B"/>
    <w:rsid w:val="00402801"/>
    <w:rsid w:val="004036BD"/>
    <w:rsid w:val="00407BBC"/>
    <w:rsid w:val="00431D20"/>
    <w:rsid w:val="00445051"/>
    <w:rsid w:val="00456A78"/>
    <w:rsid w:val="00462DF6"/>
    <w:rsid w:val="00470EB0"/>
    <w:rsid w:val="004816A8"/>
    <w:rsid w:val="004828C1"/>
    <w:rsid w:val="00486458"/>
    <w:rsid w:val="00491E55"/>
    <w:rsid w:val="00491E5B"/>
    <w:rsid w:val="004B540B"/>
    <w:rsid w:val="004E075F"/>
    <w:rsid w:val="00505118"/>
    <w:rsid w:val="0051139C"/>
    <w:rsid w:val="0052715F"/>
    <w:rsid w:val="00542AC6"/>
    <w:rsid w:val="00564B0F"/>
    <w:rsid w:val="00573674"/>
    <w:rsid w:val="00575CE6"/>
    <w:rsid w:val="0057600E"/>
    <w:rsid w:val="005931B0"/>
    <w:rsid w:val="00596960"/>
    <w:rsid w:val="005A7E55"/>
    <w:rsid w:val="005B0E7B"/>
    <w:rsid w:val="005B6D93"/>
    <w:rsid w:val="005B7DE5"/>
    <w:rsid w:val="005C11B1"/>
    <w:rsid w:val="005C19D4"/>
    <w:rsid w:val="005F251C"/>
    <w:rsid w:val="005F35CF"/>
    <w:rsid w:val="00600233"/>
    <w:rsid w:val="00600886"/>
    <w:rsid w:val="006065AA"/>
    <w:rsid w:val="00623225"/>
    <w:rsid w:val="00650D39"/>
    <w:rsid w:val="00653FC2"/>
    <w:rsid w:val="006604D3"/>
    <w:rsid w:val="0067212E"/>
    <w:rsid w:val="00674369"/>
    <w:rsid w:val="006905D3"/>
    <w:rsid w:val="00693E40"/>
    <w:rsid w:val="006A5FA0"/>
    <w:rsid w:val="006B5C9D"/>
    <w:rsid w:val="006B5F7B"/>
    <w:rsid w:val="006C3DEF"/>
    <w:rsid w:val="006D1B13"/>
    <w:rsid w:val="006D2421"/>
    <w:rsid w:val="006D386F"/>
    <w:rsid w:val="006E029B"/>
    <w:rsid w:val="006E3056"/>
    <w:rsid w:val="006E3839"/>
    <w:rsid w:val="006F5384"/>
    <w:rsid w:val="006F76F1"/>
    <w:rsid w:val="00700F36"/>
    <w:rsid w:val="007020E0"/>
    <w:rsid w:val="00705207"/>
    <w:rsid w:val="00724B57"/>
    <w:rsid w:val="00726775"/>
    <w:rsid w:val="00734848"/>
    <w:rsid w:val="007577FE"/>
    <w:rsid w:val="00760208"/>
    <w:rsid w:val="00762434"/>
    <w:rsid w:val="00776952"/>
    <w:rsid w:val="0077784A"/>
    <w:rsid w:val="00783CE0"/>
    <w:rsid w:val="00797195"/>
    <w:rsid w:val="007A62EA"/>
    <w:rsid w:val="007C1C7F"/>
    <w:rsid w:val="007C1ED3"/>
    <w:rsid w:val="007C3398"/>
    <w:rsid w:val="007E7287"/>
    <w:rsid w:val="007F07DA"/>
    <w:rsid w:val="007F31C3"/>
    <w:rsid w:val="008200CF"/>
    <w:rsid w:val="008216BA"/>
    <w:rsid w:val="0085027C"/>
    <w:rsid w:val="008612E1"/>
    <w:rsid w:val="008677E9"/>
    <w:rsid w:val="00876545"/>
    <w:rsid w:val="0088038C"/>
    <w:rsid w:val="008A3A03"/>
    <w:rsid w:val="008A4E7A"/>
    <w:rsid w:val="008B0930"/>
    <w:rsid w:val="008B2099"/>
    <w:rsid w:val="008C04EF"/>
    <w:rsid w:val="008D0429"/>
    <w:rsid w:val="008E34FA"/>
    <w:rsid w:val="008F3ED0"/>
    <w:rsid w:val="008F7143"/>
    <w:rsid w:val="00902995"/>
    <w:rsid w:val="0090622C"/>
    <w:rsid w:val="009070AA"/>
    <w:rsid w:val="0091575E"/>
    <w:rsid w:val="009353AA"/>
    <w:rsid w:val="00937344"/>
    <w:rsid w:val="00944BF9"/>
    <w:rsid w:val="00946005"/>
    <w:rsid w:val="00950FA1"/>
    <w:rsid w:val="00953DD4"/>
    <w:rsid w:val="0095592B"/>
    <w:rsid w:val="00963C1D"/>
    <w:rsid w:val="00980397"/>
    <w:rsid w:val="009879A3"/>
    <w:rsid w:val="00991D94"/>
    <w:rsid w:val="00992D42"/>
    <w:rsid w:val="00997744"/>
    <w:rsid w:val="009B3354"/>
    <w:rsid w:val="009D54E2"/>
    <w:rsid w:val="009F520A"/>
    <w:rsid w:val="00A03DA8"/>
    <w:rsid w:val="00A11F70"/>
    <w:rsid w:val="00A16BF9"/>
    <w:rsid w:val="00A255E3"/>
    <w:rsid w:val="00A40E38"/>
    <w:rsid w:val="00A5250C"/>
    <w:rsid w:val="00A6391B"/>
    <w:rsid w:val="00A747F6"/>
    <w:rsid w:val="00A75FAD"/>
    <w:rsid w:val="00AA2466"/>
    <w:rsid w:val="00AA71BF"/>
    <w:rsid w:val="00AB107A"/>
    <w:rsid w:val="00AB1B90"/>
    <w:rsid w:val="00AB35E5"/>
    <w:rsid w:val="00AB50A3"/>
    <w:rsid w:val="00AD0605"/>
    <w:rsid w:val="00AD30A9"/>
    <w:rsid w:val="00AE1E6F"/>
    <w:rsid w:val="00AE21FA"/>
    <w:rsid w:val="00AF3F1C"/>
    <w:rsid w:val="00AF6215"/>
    <w:rsid w:val="00AF63E2"/>
    <w:rsid w:val="00AF7C76"/>
    <w:rsid w:val="00B00F09"/>
    <w:rsid w:val="00B03A02"/>
    <w:rsid w:val="00B10943"/>
    <w:rsid w:val="00B113BF"/>
    <w:rsid w:val="00B17F78"/>
    <w:rsid w:val="00B23295"/>
    <w:rsid w:val="00B3027A"/>
    <w:rsid w:val="00B34561"/>
    <w:rsid w:val="00B36F03"/>
    <w:rsid w:val="00B51AEF"/>
    <w:rsid w:val="00B54204"/>
    <w:rsid w:val="00B5758C"/>
    <w:rsid w:val="00B62044"/>
    <w:rsid w:val="00B77D18"/>
    <w:rsid w:val="00B818B1"/>
    <w:rsid w:val="00B8745E"/>
    <w:rsid w:val="00B90239"/>
    <w:rsid w:val="00B90FA8"/>
    <w:rsid w:val="00B93C3B"/>
    <w:rsid w:val="00B96A60"/>
    <w:rsid w:val="00BA2921"/>
    <w:rsid w:val="00BA3BFE"/>
    <w:rsid w:val="00BA473C"/>
    <w:rsid w:val="00BC1032"/>
    <w:rsid w:val="00BC795C"/>
    <w:rsid w:val="00BE5C02"/>
    <w:rsid w:val="00BE71FB"/>
    <w:rsid w:val="00BF200E"/>
    <w:rsid w:val="00BF24E3"/>
    <w:rsid w:val="00C057FB"/>
    <w:rsid w:val="00C12B1E"/>
    <w:rsid w:val="00C13390"/>
    <w:rsid w:val="00C23DB6"/>
    <w:rsid w:val="00C23E62"/>
    <w:rsid w:val="00C25864"/>
    <w:rsid w:val="00C268AC"/>
    <w:rsid w:val="00C30DF1"/>
    <w:rsid w:val="00C4193B"/>
    <w:rsid w:val="00C4655E"/>
    <w:rsid w:val="00C625E9"/>
    <w:rsid w:val="00C66125"/>
    <w:rsid w:val="00C71874"/>
    <w:rsid w:val="00C718D4"/>
    <w:rsid w:val="00C818F4"/>
    <w:rsid w:val="00C85503"/>
    <w:rsid w:val="00C92BB7"/>
    <w:rsid w:val="00CA09AF"/>
    <w:rsid w:val="00CA45A4"/>
    <w:rsid w:val="00CB0A11"/>
    <w:rsid w:val="00CB4E75"/>
    <w:rsid w:val="00CD16F9"/>
    <w:rsid w:val="00CD70B7"/>
    <w:rsid w:val="00CE19AE"/>
    <w:rsid w:val="00CF4DA3"/>
    <w:rsid w:val="00CF6C5A"/>
    <w:rsid w:val="00D20B6F"/>
    <w:rsid w:val="00D3692C"/>
    <w:rsid w:val="00D449E2"/>
    <w:rsid w:val="00D517BC"/>
    <w:rsid w:val="00D524D2"/>
    <w:rsid w:val="00D52DB3"/>
    <w:rsid w:val="00D708D3"/>
    <w:rsid w:val="00D871CC"/>
    <w:rsid w:val="00D9332F"/>
    <w:rsid w:val="00DB3534"/>
    <w:rsid w:val="00DB5743"/>
    <w:rsid w:val="00DC0A60"/>
    <w:rsid w:val="00DC3529"/>
    <w:rsid w:val="00DD17B3"/>
    <w:rsid w:val="00DE3318"/>
    <w:rsid w:val="00DE3496"/>
    <w:rsid w:val="00DE429A"/>
    <w:rsid w:val="00DF2BBB"/>
    <w:rsid w:val="00DF40AA"/>
    <w:rsid w:val="00DF684F"/>
    <w:rsid w:val="00E13C0B"/>
    <w:rsid w:val="00E14304"/>
    <w:rsid w:val="00E23EC8"/>
    <w:rsid w:val="00E24565"/>
    <w:rsid w:val="00E44034"/>
    <w:rsid w:val="00E523DA"/>
    <w:rsid w:val="00E61383"/>
    <w:rsid w:val="00E61D12"/>
    <w:rsid w:val="00E63DD1"/>
    <w:rsid w:val="00E64451"/>
    <w:rsid w:val="00E80626"/>
    <w:rsid w:val="00E84EF6"/>
    <w:rsid w:val="00E9097C"/>
    <w:rsid w:val="00EA20A7"/>
    <w:rsid w:val="00EA53CB"/>
    <w:rsid w:val="00EB4E73"/>
    <w:rsid w:val="00EB609D"/>
    <w:rsid w:val="00EC01AC"/>
    <w:rsid w:val="00ED1080"/>
    <w:rsid w:val="00ED16B0"/>
    <w:rsid w:val="00ED3F1A"/>
    <w:rsid w:val="00EE0592"/>
    <w:rsid w:val="00EE4E6E"/>
    <w:rsid w:val="00EE5DA3"/>
    <w:rsid w:val="00F00D85"/>
    <w:rsid w:val="00F06146"/>
    <w:rsid w:val="00F06BCC"/>
    <w:rsid w:val="00F12683"/>
    <w:rsid w:val="00F23849"/>
    <w:rsid w:val="00F327BD"/>
    <w:rsid w:val="00F32AC2"/>
    <w:rsid w:val="00F341BC"/>
    <w:rsid w:val="00F41A26"/>
    <w:rsid w:val="00F4248A"/>
    <w:rsid w:val="00F46273"/>
    <w:rsid w:val="00F70A87"/>
    <w:rsid w:val="00F71A2D"/>
    <w:rsid w:val="00F7208E"/>
    <w:rsid w:val="00F72C57"/>
    <w:rsid w:val="00F7382C"/>
    <w:rsid w:val="00F7575F"/>
    <w:rsid w:val="00F7749E"/>
    <w:rsid w:val="00F86757"/>
    <w:rsid w:val="00F95436"/>
    <w:rsid w:val="00F9635A"/>
    <w:rsid w:val="00F969FF"/>
    <w:rsid w:val="00F9742D"/>
    <w:rsid w:val="00FA0E47"/>
    <w:rsid w:val="00FA40B4"/>
    <w:rsid w:val="00FA65A3"/>
    <w:rsid w:val="00FB4F64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7F1E"/>
  <w15:docId w15:val="{8CF5C7A2-02D5-456A-B685-3CDDB25A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5E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5E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6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E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2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2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625E9"/>
    <w:rPr>
      <w:vertAlign w:val="superscript"/>
    </w:rPr>
  </w:style>
  <w:style w:type="character" w:customStyle="1" w:styleId="tlid-translation">
    <w:name w:val="tlid-translation"/>
    <w:basedOn w:val="Domylnaczcionkaakapitu"/>
    <w:rsid w:val="00C625E9"/>
  </w:style>
  <w:style w:type="character" w:styleId="Hipercze">
    <w:name w:val="Hyperlink"/>
    <w:basedOn w:val="Domylnaczcionkaakapitu"/>
    <w:uiPriority w:val="99"/>
    <w:unhideWhenUsed/>
    <w:rsid w:val="00C625E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9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9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D93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60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2030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enda2030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CDD6-2FEC-4B82-A5C2-A3B9725A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2113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Małek Izabela</dc:creator>
  <cp:lastModifiedBy>Małek Izabela</cp:lastModifiedBy>
  <cp:revision>3</cp:revision>
  <cp:lastPrinted>2022-05-27T13:29:00Z</cp:lastPrinted>
  <dcterms:created xsi:type="dcterms:W3CDTF">2022-07-07T10:43:00Z</dcterms:created>
  <dcterms:modified xsi:type="dcterms:W3CDTF">2022-07-07T10:50:00Z</dcterms:modified>
</cp:coreProperties>
</file>