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7BAE4" w14:textId="3073A474" w:rsidR="00281D0C" w:rsidRDefault="00281D0C" w:rsidP="00E833E0">
      <w:pPr>
        <w:spacing w:after="0"/>
        <w:jc w:val="both"/>
        <w:rPr>
          <w:rFonts w:ascii="Times New Roman" w:hAnsi="Times New Roman"/>
        </w:rPr>
      </w:pPr>
      <w:bookmarkStart w:id="0" w:name="_GoBack"/>
      <w:bookmarkEnd w:id="0"/>
      <w:r>
        <w:rPr>
          <w:rFonts w:ascii="Times New Roman" w:hAnsi="Times New Roman"/>
        </w:rPr>
        <w:t>Załącznik B.9</w:t>
      </w:r>
      <w:r w:rsidRPr="00A95CCA">
        <w:rPr>
          <w:rFonts w:ascii="Times New Roman" w:hAnsi="Times New Roman"/>
        </w:rPr>
        <w:t>.</w:t>
      </w:r>
      <w:r>
        <w:rPr>
          <w:rFonts w:ascii="Times New Roman" w:hAnsi="Times New Roman"/>
        </w:rPr>
        <w:t xml:space="preserve">a. </w:t>
      </w:r>
    </w:p>
    <w:p w14:paraId="75397D1D" w14:textId="77777777" w:rsidR="00281D0C" w:rsidRPr="00A95CCA" w:rsidRDefault="00281D0C" w:rsidP="00E833E0">
      <w:pPr>
        <w:spacing w:after="0"/>
        <w:jc w:val="both"/>
        <w:rPr>
          <w:rFonts w:ascii="Times New Roman" w:hAnsi="Times New Roman"/>
        </w:rPr>
      </w:pPr>
    </w:p>
    <w:p w14:paraId="3981BBE5" w14:textId="77777777" w:rsidR="00281D0C" w:rsidRPr="005758B2" w:rsidRDefault="00281D0C" w:rsidP="00281D0C">
      <w:pPr>
        <w:rPr>
          <w:rFonts w:ascii="Times New Roman" w:hAnsi="Times New Roman"/>
          <w:b/>
          <w:sz w:val="28"/>
        </w:rPr>
      </w:pPr>
      <w:r w:rsidRPr="005758B2">
        <w:rPr>
          <w:rFonts w:ascii="Times New Roman" w:hAnsi="Times New Roman"/>
          <w:b/>
          <w:sz w:val="28"/>
        </w:rPr>
        <w:t>PRZEDOPERACYJNE LECZENIE RAKA PIERSI PERTUZUMABEM I TRASTUZUMABEM (ICD-10  C 50)</w:t>
      </w:r>
    </w:p>
    <w:tbl>
      <w:tblPr>
        <w:tblW w:w="5000" w:type="pct"/>
        <w:tblCellMar>
          <w:left w:w="70" w:type="dxa"/>
          <w:right w:w="70" w:type="dxa"/>
        </w:tblCellMar>
        <w:tblLook w:val="0000" w:firstRow="0" w:lastRow="0" w:firstColumn="0" w:lastColumn="0" w:noHBand="0" w:noVBand="0"/>
      </w:tblPr>
      <w:tblGrid>
        <w:gridCol w:w="5402"/>
        <w:gridCol w:w="4492"/>
        <w:gridCol w:w="5489"/>
      </w:tblGrid>
      <w:tr w:rsidR="0078218B" w:rsidRPr="00373757" w14:paraId="1599C86F" w14:textId="77777777" w:rsidTr="00281D0C">
        <w:trPr>
          <w:trHeight w:val="567"/>
        </w:trPr>
        <w:tc>
          <w:tcPr>
            <w:tcW w:w="5000" w:type="pct"/>
            <w:gridSpan w:val="3"/>
            <w:tcBorders>
              <w:top w:val="single" w:sz="6" w:space="0" w:color="auto"/>
              <w:left w:val="single" w:sz="6" w:space="0" w:color="auto"/>
              <w:bottom w:val="nil"/>
              <w:right w:val="single" w:sz="6" w:space="0" w:color="auto"/>
            </w:tcBorders>
            <w:vAlign w:val="center"/>
          </w:tcPr>
          <w:p w14:paraId="1905FBCE" w14:textId="77777777" w:rsidR="0078218B" w:rsidRPr="00373757" w:rsidRDefault="0078218B" w:rsidP="00373757">
            <w:pPr>
              <w:autoSpaceDE w:val="0"/>
              <w:autoSpaceDN w:val="0"/>
              <w:adjustRightInd w:val="0"/>
              <w:spacing w:after="120"/>
              <w:jc w:val="center"/>
              <w:rPr>
                <w:rFonts w:ascii="Times New Roman" w:hAnsi="Times New Roman" w:cs="Times New Roman"/>
                <w:lang w:val="pl-PL"/>
              </w:rPr>
            </w:pPr>
            <w:r w:rsidRPr="00373757">
              <w:rPr>
                <w:rFonts w:ascii="Times New Roman" w:hAnsi="Times New Roman" w:cs="Times New Roman"/>
                <w:b/>
                <w:bCs/>
                <w:lang w:val="pl-PL"/>
              </w:rPr>
              <w:t>ZAKRES ŚWIADCZENIA GWARANTOWANEGO</w:t>
            </w:r>
          </w:p>
        </w:tc>
      </w:tr>
      <w:tr w:rsidR="0078218B" w:rsidRPr="00373757" w14:paraId="67523D10" w14:textId="77777777" w:rsidTr="00281D0C">
        <w:trPr>
          <w:trHeight w:val="567"/>
        </w:trPr>
        <w:tc>
          <w:tcPr>
            <w:tcW w:w="1756" w:type="pct"/>
            <w:tcBorders>
              <w:top w:val="single" w:sz="6" w:space="0" w:color="auto"/>
              <w:left w:val="single" w:sz="6" w:space="0" w:color="auto"/>
              <w:bottom w:val="single" w:sz="6" w:space="0" w:color="auto"/>
              <w:right w:val="single" w:sz="6" w:space="0" w:color="auto"/>
            </w:tcBorders>
            <w:vAlign w:val="center"/>
          </w:tcPr>
          <w:p w14:paraId="47AAFF73" w14:textId="77777777" w:rsidR="0078218B" w:rsidRPr="00373757" w:rsidRDefault="0078218B" w:rsidP="00373757">
            <w:pPr>
              <w:autoSpaceDE w:val="0"/>
              <w:autoSpaceDN w:val="0"/>
              <w:adjustRightInd w:val="0"/>
              <w:spacing w:after="120"/>
              <w:jc w:val="center"/>
              <w:rPr>
                <w:rFonts w:ascii="Times New Roman" w:hAnsi="Times New Roman" w:cs="Times New Roman"/>
                <w:lang w:val="pl-PL"/>
              </w:rPr>
            </w:pPr>
            <w:r w:rsidRPr="00373757">
              <w:rPr>
                <w:rFonts w:ascii="Times New Roman" w:hAnsi="Times New Roman" w:cs="Times New Roman"/>
                <w:b/>
                <w:bCs/>
                <w:lang w:val="pl-PL"/>
              </w:rPr>
              <w:t>ŚWIADCZENIOBIORCY</w:t>
            </w:r>
          </w:p>
        </w:tc>
        <w:tc>
          <w:tcPr>
            <w:tcW w:w="1460" w:type="pct"/>
            <w:tcBorders>
              <w:top w:val="single" w:sz="6" w:space="0" w:color="auto"/>
              <w:left w:val="single" w:sz="6" w:space="0" w:color="auto"/>
              <w:bottom w:val="single" w:sz="6" w:space="0" w:color="auto"/>
              <w:right w:val="single" w:sz="6" w:space="0" w:color="auto"/>
            </w:tcBorders>
            <w:vAlign w:val="center"/>
          </w:tcPr>
          <w:p w14:paraId="0616B04E" w14:textId="77777777" w:rsidR="0078218B" w:rsidRPr="00373757" w:rsidRDefault="0078218B" w:rsidP="00373757">
            <w:pPr>
              <w:autoSpaceDE w:val="0"/>
              <w:autoSpaceDN w:val="0"/>
              <w:adjustRightInd w:val="0"/>
              <w:spacing w:after="120"/>
              <w:jc w:val="center"/>
              <w:rPr>
                <w:rFonts w:ascii="Times New Roman" w:hAnsi="Times New Roman" w:cs="Times New Roman"/>
                <w:lang w:val="pl-PL"/>
              </w:rPr>
            </w:pPr>
            <w:r w:rsidRPr="00373757">
              <w:rPr>
                <w:rFonts w:ascii="Times New Roman" w:hAnsi="Times New Roman" w:cs="Times New Roman"/>
                <w:b/>
                <w:bCs/>
                <w:lang w:val="pl-PL"/>
              </w:rPr>
              <w:t>SCHEMAT DAWKOWANIA LEKÓW W PROGRAMIE</w:t>
            </w:r>
          </w:p>
        </w:tc>
        <w:tc>
          <w:tcPr>
            <w:tcW w:w="1784" w:type="pct"/>
            <w:tcBorders>
              <w:top w:val="single" w:sz="6" w:space="0" w:color="auto"/>
              <w:left w:val="single" w:sz="6" w:space="0" w:color="auto"/>
              <w:bottom w:val="single" w:sz="6" w:space="0" w:color="auto"/>
              <w:right w:val="single" w:sz="6" w:space="0" w:color="auto"/>
            </w:tcBorders>
            <w:vAlign w:val="center"/>
          </w:tcPr>
          <w:p w14:paraId="2F76456D" w14:textId="77777777" w:rsidR="0078218B" w:rsidRPr="00373757" w:rsidRDefault="0078218B" w:rsidP="00373757">
            <w:pPr>
              <w:autoSpaceDE w:val="0"/>
              <w:autoSpaceDN w:val="0"/>
              <w:adjustRightInd w:val="0"/>
              <w:spacing w:after="120"/>
              <w:jc w:val="center"/>
              <w:rPr>
                <w:rFonts w:ascii="Times New Roman" w:hAnsi="Times New Roman" w:cs="Times New Roman"/>
                <w:lang w:val="pl-PL"/>
              </w:rPr>
            </w:pPr>
            <w:r w:rsidRPr="00373757">
              <w:rPr>
                <w:rFonts w:ascii="Times New Roman" w:hAnsi="Times New Roman" w:cs="Times New Roman"/>
                <w:b/>
                <w:bCs/>
                <w:lang w:val="pl-PL"/>
              </w:rPr>
              <w:t>BADANIA DIAGNOSTYCZNE WYKONYWANE W RAMACH PROGRAMU</w:t>
            </w:r>
          </w:p>
        </w:tc>
      </w:tr>
      <w:tr w:rsidR="0078218B" w:rsidRPr="00373757" w14:paraId="3DEE0EAD" w14:textId="77777777" w:rsidTr="004566E2">
        <w:tc>
          <w:tcPr>
            <w:tcW w:w="1756" w:type="pct"/>
            <w:tcBorders>
              <w:top w:val="single" w:sz="6" w:space="0" w:color="auto"/>
              <w:left w:val="single" w:sz="6" w:space="0" w:color="auto"/>
              <w:bottom w:val="single" w:sz="6" w:space="0" w:color="auto"/>
              <w:right w:val="single" w:sz="6" w:space="0" w:color="auto"/>
            </w:tcBorders>
          </w:tcPr>
          <w:p w14:paraId="58FD802E" w14:textId="58A35D8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p>
          <w:p w14:paraId="102B37BC" w14:textId="220CCF18" w:rsidR="0078218B" w:rsidRPr="00373757" w:rsidRDefault="0078218B" w:rsidP="00373757">
            <w:pPr>
              <w:autoSpaceDE w:val="0"/>
              <w:autoSpaceDN w:val="0"/>
              <w:adjustRightInd w:val="0"/>
              <w:spacing w:after="120"/>
              <w:rPr>
                <w:rFonts w:ascii="Times New Roman" w:hAnsi="Times New Roman" w:cs="Times New Roman"/>
                <w:b/>
                <w:sz w:val="20"/>
                <w:szCs w:val="20"/>
                <w:lang w:val="pl-PL"/>
              </w:rPr>
            </w:pPr>
            <w:r w:rsidRPr="00373757">
              <w:rPr>
                <w:rFonts w:ascii="Times New Roman" w:hAnsi="Times New Roman" w:cs="Times New Roman"/>
                <w:b/>
                <w:sz w:val="20"/>
                <w:szCs w:val="20"/>
                <w:lang w:val="pl-PL"/>
              </w:rPr>
              <w:t>1. Leczenie przedoperacyjne (neo</w:t>
            </w:r>
            <w:r w:rsidR="00373757">
              <w:rPr>
                <w:rFonts w:ascii="Times New Roman" w:hAnsi="Times New Roman" w:cs="Times New Roman"/>
                <w:b/>
                <w:sz w:val="20"/>
                <w:szCs w:val="20"/>
                <w:lang w:val="pl-PL"/>
              </w:rPr>
              <w:t>adjuwa</w:t>
            </w:r>
            <w:r w:rsidRPr="00373757">
              <w:rPr>
                <w:rFonts w:ascii="Times New Roman" w:hAnsi="Times New Roman" w:cs="Times New Roman"/>
                <w:b/>
                <w:sz w:val="20"/>
                <w:szCs w:val="20"/>
                <w:lang w:val="pl-PL"/>
              </w:rPr>
              <w:t xml:space="preserve">ntowe) </w:t>
            </w:r>
            <w:r w:rsidR="00567913" w:rsidRPr="00373757">
              <w:rPr>
                <w:rFonts w:ascii="Times New Roman" w:hAnsi="Times New Roman" w:cs="Times New Roman"/>
                <w:b/>
                <w:sz w:val="20"/>
                <w:szCs w:val="20"/>
                <w:lang w:val="pl-PL"/>
              </w:rPr>
              <w:t xml:space="preserve">raka piersi </w:t>
            </w:r>
            <w:r w:rsidRPr="00373757">
              <w:rPr>
                <w:rFonts w:ascii="Times New Roman" w:hAnsi="Times New Roman" w:cs="Times New Roman"/>
                <w:b/>
                <w:sz w:val="20"/>
                <w:szCs w:val="20"/>
                <w:lang w:val="pl-PL"/>
              </w:rPr>
              <w:t xml:space="preserve">pertuzumabem w skojarzeniu z  trastuzumabem i chemioterapią </w:t>
            </w:r>
          </w:p>
          <w:p w14:paraId="6505E4A9" w14:textId="769A1B6D" w:rsidR="0078218B" w:rsidRPr="00373757" w:rsidRDefault="0078218B" w:rsidP="00373757">
            <w:pPr>
              <w:autoSpaceDE w:val="0"/>
              <w:autoSpaceDN w:val="0"/>
              <w:adjustRightInd w:val="0"/>
              <w:spacing w:after="120"/>
              <w:rPr>
                <w:rFonts w:ascii="Times New Roman" w:hAnsi="Times New Roman" w:cs="Times New Roman"/>
                <w:b/>
                <w:sz w:val="20"/>
                <w:szCs w:val="20"/>
                <w:lang w:val="pl-PL"/>
              </w:rPr>
            </w:pPr>
            <w:r w:rsidRPr="00373757">
              <w:rPr>
                <w:rFonts w:ascii="Times New Roman" w:hAnsi="Times New Roman" w:cs="Times New Roman"/>
                <w:b/>
                <w:sz w:val="20"/>
                <w:szCs w:val="20"/>
                <w:lang w:val="pl-PL"/>
              </w:rPr>
              <w:t>1</w:t>
            </w:r>
            <w:r w:rsidR="00D163F9" w:rsidRPr="00373757">
              <w:rPr>
                <w:rFonts w:ascii="Times New Roman" w:hAnsi="Times New Roman" w:cs="Times New Roman"/>
                <w:b/>
                <w:sz w:val="20"/>
                <w:szCs w:val="20"/>
                <w:lang w:val="pl-PL"/>
              </w:rPr>
              <w:t xml:space="preserve">.1. </w:t>
            </w:r>
            <w:r w:rsidRPr="00373757">
              <w:rPr>
                <w:rFonts w:ascii="Times New Roman" w:hAnsi="Times New Roman" w:cs="Times New Roman"/>
                <w:b/>
                <w:sz w:val="20"/>
                <w:szCs w:val="20"/>
                <w:lang w:val="pl-PL"/>
              </w:rPr>
              <w:t xml:space="preserve"> Kryteria kwalifikacji:</w:t>
            </w:r>
          </w:p>
          <w:p w14:paraId="2E221E88"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1) histologiczne rozpoznanie inwazyjnego raka piersi;</w:t>
            </w:r>
          </w:p>
          <w:p w14:paraId="6DFA19E6" w14:textId="5791A7BF"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 xml:space="preserve">2) nadekspresja </w:t>
            </w:r>
            <w:r w:rsidR="004D748E" w:rsidRPr="00373757">
              <w:rPr>
                <w:rFonts w:ascii="Times New Roman" w:hAnsi="Times New Roman" w:cs="Times New Roman"/>
                <w:sz w:val="20"/>
                <w:szCs w:val="20"/>
                <w:lang w:val="pl-PL"/>
              </w:rPr>
              <w:t xml:space="preserve">receptora </w:t>
            </w:r>
            <w:r w:rsidRPr="00373757">
              <w:rPr>
                <w:rFonts w:ascii="Times New Roman" w:hAnsi="Times New Roman" w:cs="Times New Roman"/>
                <w:sz w:val="20"/>
                <w:szCs w:val="20"/>
                <w:lang w:val="pl-PL"/>
              </w:rPr>
              <w:t>HER2 w komórkach raka (wynik/3+/ w badaniu IHC) lub amplifikacja genu HER2 (wynik /+/ w badaniu ISH);</w:t>
            </w:r>
          </w:p>
          <w:p w14:paraId="2EC08C3C"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3) wyjściowy (pierwotny) stopień zaawansowania:</w:t>
            </w:r>
          </w:p>
          <w:p w14:paraId="2BD0A10E" w14:textId="77777777" w:rsidR="00DE53E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 xml:space="preserve">nowotwór w stadium </w:t>
            </w:r>
            <w:r w:rsidR="00DE53EB" w:rsidRPr="00373757">
              <w:rPr>
                <w:rFonts w:ascii="Times New Roman" w:hAnsi="Times New Roman" w:cs="Times New Roman"/>
                <w:sz w:val="20"/>
                <w:szCs w:val="20"/>
                <w:lang w:val="pl-PL"/>
              </w:rPr>
              <w:t xml:space="preserve">III wyjściowego zaawansowania </w:t>
            </w:r>
            <w:r w:rsidRPr="00373757">
              <w:rPr>
                <w:rFonts w:ascii="Times New Roman" w:hAnsi="Times New Roman" w:cs="Times New Roman"/>
                <w:sz w:val="20"/>
                <w:szCs w:val="20"/>
                <w:lang w:val="pl-PL"/>
              </w:rPr>
              <w:t xml:space="preserve"> jeżeli możliwe jest leczenie chirurgiczne o założeniu doszczętnym po zastosowaniu wstępnego leczenia systemowego ( w tym rak zapalny) </w:t>
            </w:r>
          </w:p>
          <w:p w14:paraId="7DBF65F5" w14:textId="77777777" w:rsidR="00DE53E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 xml:space="preserve"> lub </w:t>
            </w:r>
          </w:p>
          <w:p w14:paraId="32B759F9" w14:textId="77777777" w:rsidR="0078218B" w:rsidRPr="00373757" w:rsidRDefault="00DE53E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 xml:space="preserve">nowotwór pierwotnie operacyjny z guzem &gt; 2 cm i zajętymi węzłami chłonnymi lub ujemnym stanem receptorów ER i PgR </w:t>
            </w:r>
          </w:p>
          <w:p w14:paraId="3F036393" w14:textId="605D46E0" w:rsidR="0078218B" w:rsidRPr="00373757" w:rsidRDefault="00373757" w:rsidP="00373757">
            <w:pPr>
              <w:autoSpaceDE w:val="0"/>
              <w:autoSpaceDN w:val="0"/>
              <w:adjustRightInd w:val="0"/>
              <w:spacing w:after="120"/>
              <w:rPr>
                <w:rFonts w:ascii="Times New Roman" w:hAnsi="Times New Roman" w:cs="Times New Roman"/>
                <w:sz w:val="20"/>
                <w:szCs w:val="20"/>
                <w:lang w:val="pl-PL"/>
              </w:rPr>
            </w:pPr>
            <w:r>
              <w:rPr>
                <w:rFonts w:ascii="Times New Roman" w:hAnsi="Times New Roman" w:cs="Times New Roman"/>
                <w:sz w:val="20"/>
                <w:szCs w:val="20"/>
                <w:lang w:val="pl-PL"/>
              </w:rPr>
              <w:t>4) zamiar lecze</w:t>
            </w:r>
            <w:r w:rsidR="0078218B" w:rsidRPr="00373757">
              <w:rPr>
                <w:rFonts w:ascii="Times New Roman" w:hAnsi="Times New Roman" w:cs="Times New Roman"/>
                <w:sz w:val="20"/>
                <w:szCs w:val="20"/>
                <w:lang w:val="pl-PL"/>
              </w:rPr>
              <w:t>nia chirurgicznego  o założeniu radykalnym polegającym  na:</w:t>
            </w:r>
          </w:p>
          <w:p w14:paraId="000FC823"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lastRenderedPageBreak/>
              <w:t>a) amputacji piersi  oraz wycięciu pac</w:t>
            </w:r>
            <w:r w:rsidR="0062142A" w:rsidRPr="00373757">
              <w:rPr>
                <w:rFonts w:ascii="Times New Roman" w:hAnsi="Times New Roman" w:cs="Times New Roman"/>
                <w:sz w:val="20"/>
                <w:szCs w:val="20"/>
                <w:lang w:val="pl-PL"/>
              </w:rPr>
              <w:t xml:space="preserve">howych węzłów chłonnych  albo </w:t>
            </w:r>
            <w:r w:rsidRPr="00373757">
              <w:rPr>
                <w:rFonts w:ascii="Times New Roman" w:hAnsi="Times New Roman" w:cs="Times New Roman"/>
                <w:sz w:val="20"/>
                <w:szCs w:val="20"/>
                <w:lang w:val="pl-PL"/>
              </w:rPr>
              <w:t>biopsji węzła wartowniczego, której wynik nie uzasadnia wykonania limfadenektomii</w:t>
            </w:r>
          </w:p>
          <w:p w14:paraId="787D8FFF"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lub</w:t>
            </w:r>
          </w:p>
          <w:p w14:paraId="040A2D11"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b) wycięciu guza z marginesem tkanek prawidłowych oraz pachowych węzłów chłonnych lub biopsji węzła wartowniczego, której wynik nie uzasadnia wykonania limfadenektomii z uzupełniającą radioterapią całej piersi (leczenie oszczędzające).</w:t>
            </w:r>
          </w:p>
          <w:p w14:paraId="156F9702"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5) wydolność serca wykazana na podstawie oceny klinicznej i badania ECHO lub MUGA (przed rozpoczęciem stosowania trastuzumabu) z frakcją wyrzutową lewej komory serca wynoszącą przynajmniej 50%;</w:t>
            </w:r>
          </w:p>
          <w:p w14:paraId="7500D32F"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6) brak cech klinicznie istotnej niewydolności nerek;</w:t>
            </w:r>
          </w:p>
          <w:p w14:paraId="3BB29967"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7) brak cech klinicznie istotnej niewydolności wątroby (możliwość kwalifikowania chorych z umiarkowanym wzrostem aktywności transaminaz tj. do 3-krotnego wzrostu aktywności transaminaz w stosunku do wartości prawidłowych);</w:t>
            </w:r>
          </w:p>
          <w:p w14:paraId="4DB3CA7A"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8) brak klinicznie istotnej niewydolności szpiku kostnego;</w:t>
            </w:r>
          </w:p>
          <w:p w14:paraId="056B7DCB"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9) stan sprawności 0-1 wg WHO;</w:t>
            </w:r>
          </w:p>
          <w:p w14:paraId="07C59590"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10) wykluczenie ciąży u kobiet w wieku przedmenopauzalnym.</w:t>
            </w:r>
          </w:p>
          <w:p w14:paraId="42076D5C"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Kryteria kwalifikacji muszą być spełnione łącznie.</w:t>
            </w:r>
          </w:p>
          <w:p w14:paraId="31FB372B"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p>
          <w:p w14:paraId="0D8030CF" w14:textId="590C420B" w:rsidR="0078218B" w:rsidRPr="00373757" w:rsidRDefault="00D163F9" w:rsidP="00373757">
            <w:pPr>
              <w:autoSpaceDE w:val="0"/>
              <w:autoSpaceDN w:val="0"/>
              <w:adjustRightInd w:val="0"/>
              <w:spacing w:after="120"/>
              <w:rPr>
                <w:rFonts w:ascii="Times New Roman" w:hAnsi="Times New Roman" w:cs="Times New Roman"/>
                <w:b/>
                <w:sz w:val="20"/>
                <w:szCs w:val="20"/>
                <w:lang w:val="pl-PL"/>
              </w:rPr>
            </w:pPr>
            <w:r w:rsidRPr="00373757">
              <w:rPr>
                <w:rFonts w:ascii="Times New Roman" w:hAnsi="Times New Roman" w:cs="Times New Roman"/>
                <w:b/>
                <w:sz w:val="20"/>
                <w:szCs w:val="20"/>
                <w:lang w:val="pl-PL"/>
              </w:rPr>
              <w:t>1</w:t>
            </w:r>
            <w:r w:rsidR="0078218B" w:rsidRPr="00373757">
              <w:rPr>
                <w:rFonts w:ascii="Times New Roman" w:hAnsi="Times New Roman" w:cs="Times New Roman"/>
                <w:b/>
                <w:sz w:val="20"/>
                <w:szCs w:val="20"/>
                <w:lang w:val="pl-PL"/>
              </w:rPr>
              <w:t>.2 Kryteria uniemożliwiające włączenie do programu:</w:t>
            </w:r>
          </w:p>
          <w:p w14:paraId="09DD33EB"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1) rozpoznanie wyłącznie przedinwazyjnego raka piersi;</w:t>
            </w:r>
          </w:p>
          <w:p w14:paraId="061D7320"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2) pierwotne zaawansowanie w stopniu IV;</w:t>
            </w:r>
          </w:p>
          <w:p w14:paraId="32D6414E" w14:textId="31A708B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lastRenderedPageBreak/>
              <w:t xml:space="preserve">3) pierwotne zaawansowanie kliniczne guza </w:t>
            </w:r>
            <w:r w:rsidR="00C63B0A" w:rsidRPr="00373757">
              <w:rPr>
                <w:rFonts w:ascii="Times New Roman" w:hAnsi="Times New Roman" w:cs="Times New Roman"/>
                <w:sz w:val="20"/>
                <w:szCs w:val="20"/>
                <w:lang w:val="pl-PL"/>
              </w:rPr>
              <w:t xml:space="preserve">≤ </w:t>
            </w:r>
            <w:r w:rsidRPr="00373757">
              <w:rPr>
                <w:rFonts w:ascii="Times New Roman" w:hAnsi="Times New Roman" w:cs="Times New Roman"/>
                <w:sz w:val="20"/>
                <w:szCs w:val="20"/>
                <w:lang w:val="pl-PL"/>
              </w:rPr>
              <w:t>2 cm przy braku przeciwwskazań wynikający</w:t>
            </w:r>
            <w:r w:rsidR="007505E4" w:rsidRPr="00373757">
              <w:rPr>
                <w:rFonts w:ascii="Times New Roman" w:hAnsi="Times New Roman" w:cs="Times New Roman"/>
                <w:sz w:val="20"/>
                <w:szCs w:val="20"/>
                <w:lang w:val="pl-PL"/>
              </w:rPr>
              <w:t>c</w:t>
            </w:r>
            <w:r w:rsidRPr="00373757">
              <w:rPr>
                <w:rFonts w:ascii="Times New Roman" w:hAnsi="Times New Roman" w:cs="Times New Roman"/>
                <w:sz w:val="20"/>
                <w:szCs w:val="20"/>
                <w:lang w:val="pl-PL"/>
              </w:rPr>
              <w:t>h z punktów 2.2.: 1 i 2</w:t>
            </w:r>
          </w:p>
          <w:p w14:paraId="60942D64" w14:textId="77777777" w:rsidR="0078218B" w:rsidRPr="00373757" w:rsidRDefault="0062142A"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4</w:t>
            </w:r>
            <w:r w:rsidR="0078218B" w:rsidRPr="00373757">
              <w:rPr>
                <w:rFonts w:ascii="Times New Roman" w:hAnsi="Times New Roman" w:cs="Times New Roman"/>
                <w:sz w:val="20"/>
                <w:szCs w:val="20"/>
                <w:lang w:val="pl-PL"/>
              </w:rPr>
              <w:t>) niewydolność serca (klasa III lub IV według klasyfikacji NYHA);</w:t>
            </w:r>
          </w:p>
          <w:p w14:paraId="2F9E5049" w14:textId="77777777" w:rsidR="0078218B" w:rsidRPr="00373757" w:rsidRDefault="0062142A"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5</w:t>
            </w:r>
            <w:r w:rsidR="0078218B" w:rsidRPr="00373757">
              <w:rPr>
                <w:rFonts w:ascii="Times New Roman" w:hAnsi="Times New Roman" w:cs="Times New Roman"/>
                <w:sz w:val="20"/>
                <w:szCs w:val="20"/>
                <w:lang w:val="pl-PL"/>
              </w:rPr>
              <w:t>) niestabilność hemodynamiczna w przebiegu:</w:t>
            </w:r>
          </w:p>
          <w:p w14:paraId="677ADD21"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a) choroby wieńcowej,</w:t>
            </w:r>
          </w:p>
          <w:p w14:paraId="6F82284E"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b) zastawkowej wady serca,</w:t>
            </w:r>
          </w:p>
          <w:p w14:paraId="6F51390F"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c) nadciśnienia tętniczego,</w:t>
            </w:r>
          </w:p>
          <w:p w14:paraId="1A06F70D"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d) innych sytuacji klinicznych (np. wieloletniej lub niekontrolowanej cukrzycy);</w:t>
            </w:r>
          </w:p>
          <w:p w14:paraId="18407847" w14:textId="77777777" w:rsidR="0078218B" w:rsidRPr="00373757" w:rsidRDefault="0062142A"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6</w:t>
            </w:r>
            <w:r w:rsidR="0078218B" w:rsidRPr="00373757">
              <w:rPr>
                <w:rFonts w:ascii="Times New Roman" w:hAnsi="Times New Roman" w:cs="Times New Roman"/>
                <w:sz w:val="20"/>
                <w:szCs w:val="20"/>
                <w:lang w:val="pl-PL"/>
              </w:rPr>
              <w:t>) frakcja wyrzutowa lewej komory serca poniżej 50% wykazana w badaniu ECHO  lub MUGA;</w:t>
            </w:r>
          </w:p>
          <w:p w14:paraId="7C530B5D" w14:textId="77777777" w:rsidR="0078218B" w:rsidRPr="00373757" w:rsidRDefault="0062142A"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7</w:t>
            </w:r>
            <w:r w:rsidR="0078218B" w:rsidRPr="00373757">
              <w:rPr>
                <w:rFonts w:ascii="Times New Roman" w:hAnsi="Times New Roman" w:cs="Times New Roman"/>
                <w:sz w:val="20"/>
                <w:szCs w:val="20"/>
                <w:lang w:val="pl-PL"/>
              </w:rPr>
              <w:t>) niewydolność oddechowa związana z innymi chorobami współistniejącymi;</w:t>
            </w:r>
          </w:p>
          <w:p w14:paraId="18E7EB3E" w14:textId="77777777" w:rsidR="0078218B" w:rsidRPr="00373757" w:rsidRDefault="0062142A"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8</w:t>
            </w:r>
            <w:r w:rsidR="0078218B" w:rsidRPr="00373757">
              <w:rPr>
                <w:rFonts w:ascii="Times New Roman" w:hAnsi="Times New Roman" w:cs="Times New Roman"/>
                <w:sz w:val="20"/>
                <w:szCs w:val="20"/>
                <w:lang w:val="pl-PL"/>
              </w:rPr>
              <w:t>) okres ciąży i karmienia piersią;</w:t>
            </w:r>
          </w:p>
          <w:p w14:paraId="14387820" w14:textId="77777777" w:rsidR="0078218B" w:rsidRPr="00373757" w:rsidRDefault="0062142A"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9</w:t>
            </w:r>
            <w:r w:rsidR="0078218B" w:rsidRPr="00373757">
              <w:rPr>
                <w:rFonts w:ascii="Times New Roman" w:hAnsi="Times New Roman" w:cs="Times New Roman"/>
                <w:sz w:val="20"/>
                <w:szCs w:val="20"/>
                <w:lang w:val="pl-PL"/>
              </w:rPr>
              <w:t>) przeciwwskazania do stosowania trastuzumabu wynikające z nadwrażliwości na trastuzumab, białko mysie lub substancje pomocnicze;</w:t>
            </w:r>
          </w:p>
          <w:p w14:paraId="55652BDB" w14:textId="77777777" w:rsidR="007A1845" w:rsidRPr="00373757" w:rsidRDefault="007A1845"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10) przeciwwskazania do stosowania pertuzumabu  wynikające z nadwrażliwości na pertuzumab, białko mysie lub substancje pomocnicze</w:t>
            </w:r>
          </w:p>
          <w:p w14:paraId="25504E4C" w14:textId="77777777" w:rsidR="0078218B" w:rsidRPr="00373757" w:rsidRDefault="0062142A"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1</w:t>
            </w:r>
            <w:r w:rsidR="001762A8" w:rsidRPr="00373757">
              <w:rPr>
                <w:rFonts w:ascii="Times New Roman" w:hAnsi="Times New Roman" w:cs="Times New Roman"/>
                <w:sz w:val="20"/>
                <w:szCs w:val="20"/>
                <w:lang w:val="pl-PL"/>
              </w:rPr>
              <w:t>1</w:t>
            </w:r>
            <w:r w:rsidR="0078218B" w:rsidRPr="00373757">
              <w:rPr>
                <w:rFonts w:ascii="Times New Roman" w:hAnsi="Times New Roman" w:cs="Times New Roman"/>
                <w:sz w:val="20"/>
                <w:szCs w:val="20"/>
                <w:lang w:val="pl-PL"/>
              </w:rPr>
              <w:t>) stan sprawności 2-4 wg WHO;</w:t>
            </w:r>
          </w:p>
          <w:p w14:paraId="14D87601" w14:textId="77777777" w:rsidR="0078218B" w:rsidRPr="00373757" w:rsidRDefault="001762A8"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12</w:t>
            </w:r>
            <w:r w:rsidR="0078218B" w:rsidRPr="00373757">
              <w:rPr>
                <w:rFonts w:ascii="Times New Roman" w:hAnsi="Times New Roman" w:cs="Times New Roman"/>
                <w:sz w:val="20"/>
                <w:szCs w:val="20"/>
                <w:lang w:val="pl-PL"/>
              </w:rPr>
              <w:t>) współistnienie innych akty</w:t>
            </w:r>
            <w:r w:rsidR="0062142A" w:rsidRPr="00373757">
              <w:rPr>
                <w:rFonts w:ascii="Times New Roman" w:hAnsi="Times New Roman" w:cs="Times New Roman"/>
                <w:sz w:val="20"/>
                <w:szCs w:val="20"/>
                <w:lang w:val="pl-PL"/>
              </w:rPr>
              <w:t xml:space="preserve">wnych nowotworów złośliwych ( w tym </w:t>
            </w:r>
            <w:r w:rsidR="0078218B" w:rsidRPr="00373757">
              <w:rPr>
                <w:rFonts w:ascii="Times New Roman" w:hAnsi="Times New Roman" w:cs="Times New Roman"/>
                <w:sz w:val="20"/>
                <w:szCs w:val="20"/>
                <w:lang w:val="pl-PL"/>
              </w:rPr>
              <w:t xml:space="preserve">raka drugiej piersi) z wyjątkiem przedinwazyjnego raka szyjki macicy lub podstawnokomórkowego raka skóry albo wcześniejsze zachorowanie na jakikolwiek nowotwór złośliwy, o </w:t>
            </w:r>
            <w:r w:rsidR="0078218B" w:rsidRPr="00373757">
              <w:rPr>
                <w:rFonts w:ascii="Times New Roman" w:hAnsi="Times New Roman" w:cs="Times New Roman"/>
                <w:sz w:val="20"/>
                <w:szCs w:val="20"/>
                <w:lang w:val="pl-PL"/>
              </w:rPr>
              <w:lastRenderedPageBreak/>
              <w:t>ile leczenie nie miało charakteru  radykalnego lub miało charakter radykalny, ale nie</w:t>
            </w:r>
            <w:r w:rsidR="0062142A" w:rsidRPr="00373757">
              <w:rPr>
                <w:rFonts w:ascii="Times New Roman" w:hAnsi="Times New Roman" w:cs="Times New Roman"/>
                <w:sz w:val="20"/>
                <w:szCs w:val="20"/>
                <w:lang w:val="pl-PL"/>
              </w:rPr>
              <w:t xml:space="preserve"> uzyskano całkowitej remisji. </w:t>
            </w:r>
          </w:p>
          <w:p w14:paraId="32F2B278" w14:textId="77777777" w:rsidR="00373757" w:rsidRPr="00373757" w:rsidRDefault="00373757" w:rsidP="00373757">
            <w:pPr>
              <w:autoSpaceDE w:val="0"/>
              <w:autoSpaceDN w:val="0"/>
              <w:adjustRightInd w:val="0"/>
              <w:spacing w:after="120"/>
              <w:rPr>
                <w:rFonts w:ascii="Times New Roman" w:hAnsi="Times New Roman" w:cs="Times New Roman"/>
                <w:b/>
                <w:sz w:val="20"/>
                <w:szCs w:val="20"/>
                <w:lang w:val="pl-PL"/>
              </w:rPr>
            </w:pPr>
          </w:p>
          <w:p w14:paraId="4F33C746" w14:textId="4370F13C" w:rsidR="0078218B" w:rsidRPr="00373757" w:rsidRDefault="00D163F9" w:rsidP="00373757">
            <w:pPr>
              <w:autoSpaceDE w:val="0"/>
              <w:autoSpaceDN w:val="0"/>
              <w:adjustRightInd w:val="0"/>
              <w:spacing w:after="120"/>
              <w:rPr>
                <w:rFonts w:ascii="Times New Roman" w:hAnsi="Times New Roman" w:cs="Times New Roman"/>
                <w:b/>
                <w:sz w:val="20"/>
                <w:szCs w:val="20"/>
                <w:lang w:val="pl-PL"/>
              </w:rPr>
            </w:pPr>
            <w:r w:rsidRPr="00373757">
              <w:rPr>
                <w:rFonts w:ascii="Times New Roman" w:hAnsi="Times New Roman" w:cs="Times New Roman"/>
                <w:b/>
                <w:sz w:val="20"/>
                <w:szCs w:val="20"/>
                <w:lang w:val="pl-PL"/>
              </w:rPr>
              <w:t>1</w:t>
            </w:r>
            <w:r w:rsidR="0078218B" w:rsidRPr="00373757">
              <w:rPr>
                <w:rFonts w:ascii="Times New Roman" w:hAnsi="Times New Roman" w:cs="Times New Roman"/>
                <w:b/>
                <w:sz w:val="20"/>
                <w:szCs w:val="20"/>
                <w:lang w:val="pl-PL"/>
              </w:rPr>
              <w:t>.3</w:t>
            </w:r>
            <w:r w:rsidRPr="00373757">
              <w:rPr>
                <w:rFonts w:ascii="Times New Roman" w:hAnsi="Times New Roman" w:cs="Times New Roman"/>
                <w:b/>
                <w:sz w:val="20"/>
                <w:szCs w:val="20"/>
                <w:lang w:val="pl-PL"/>
              </w:rPr>
              <w:t xml:space="preserve">. </w:t>
            </w:r>
            <w:r w:rsidR="0078218B" w:rsidRPr="00373757">
              <w:rPr>
                <w:rFonts w:ascii="Times New Roman" w:hAnsi="Times New Roman" w:cs="Times New Roman"/>
                <w:b/>
                <w:sz w:val="20"/>
                <w:szCs w:val="20"/>
                <w:lang w:val="pl-PL"/>
              </w:rPr>
              <w:t xml:space="preserve"> Określenie czasu leczenia w programie:</w:t>
            </w:r>
          </w:p>
          <w:p w14:paraId="1070AA24"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Leczenie skojarzone pertuzumabem, trastuzumabem i chemioterapią powinno obejmować od 3 do 6 cykli leczenia  a  wcześniejsze zakończenie chemioterapii jest możliwe tylko, gdy wystąpią istotne objawy niepożądane uniemożliwiające jej kontynuację.</w:t>
            </w:r>
          </w:p>
          <w:p w14:paraId="5AB47F73" w14:textId="585192FD" w:rsidR="006714D3" w:rsidRPr="00373757" w:rsidRDefault="006714D3"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 xml:space="preserve">Po zabiegu operacyjnym  powinno być kontynuowane  leczenie  </w:t>
            </w:r>
            <w:r w:rsidR="00CB5655" w:rsidRPr="00373757">
              <w:rPr>
                <w:rFonts w:ascii="Times New Roman" w:hAnsi="Times New Roman" w:cs="Times New Roman"/>
                <w:sz w:val="20"/>
                <w:szCs w:val="20"/>
                <w:lang w:val="pl-PL"/>
              </w:rPr>
              <w:t>uzupełniające</w:t>
            </w:r>
            <w:r w:rsidRPr="00373757">
              <w:rPr>
                <w:rFonts w:ascii="Times New Roman" w:hAnsi="Times New Roman" w:cs="Times New Roman"/>
                <w:sz w:val="20"/>
                <w:szCs w:val="20"/>
                <w:lang w:val="pl-PL"/>
              </w:rPr>
              <w:t xml:space="preserve"> trastuzumabem </w:t>
            </w:r>
            <w:r w:rsidR="00CB5655" w:rsidRPr="00373757">
              <w:rPr>
                <w:rFonts w:ascii="Times New Roman" w:hAnsi="Times New Roman" w:cs="Times New Roman"/>
                <w:sz w:val="20"/>
                <w:szCs w:val="20"/>
                <w:lang w:val="pl-PL"/>
              </w:rPr>
              <w:t xml:space="preserve">(tak, </w:t>
            </w:r>
            <w:r w:rsidRPr="00373757">
              <w:rPr>
                <w:rFonts w:ascii="Times New Roman" w:hAnsi="Times New Roman" w:cs="Times New Roman"/>
                <w:sz w:val="20"/>
                <w:szCs w:val="20"/>
                <w:lang w:val="pl-PL"/>
              </w:rPr>
              <w:t>aby łącznie z leczeniem przedoperacyjnym</w:t>
            </w:r>
            <w:r w:rsidR="000318A3" w:rsidRPr="00373757">
              <w:rPr>
                <w:rFonts w:ascii="Times New Roman" w:hAnsi="Times New Roman" w:cs="Times New Roman"/>
                <w:sz w:val="20"/>
                <w:szCs w:val="20"/>
                <w:lang w:val="pl-PL"/>
              </w:rPr>
              <w:t xml:space="preserve"> z pertuzumabem </w:t>
            </w:r>
            <w:r w:rsidRPr="00373757">
              <w:rPr>
                <w:rFonts w:ascii="Times New Roman" w:hAnsi="Times New Roman" w:cs="Times New Roman"/>
                <w:sz w:val="20"/>
                <w:szCs w:val="20"/>
                <w:lang w:val="pl-PL"/>
              </w:rPr>
              <w:t xml:space="preserve"> obejmowało ono 18 cykli lub rok aktywnej terapii</w:t>
            </w:r>
            <w:r w:rsidR="00CB5655" w:rsidRPr="00373757">
              <w:rPr>
                <w:rFonts w:ascii="Times New Roman" w:hAnsi="Times New Roman" w:cs="Times New Roman"/>
                <w:sz w:val="20"/>
                <w:szCs w:val="20"/>
                <w:lang w:val="pl-PL"/>
              </w:rPr>
              <w:t>)</w:t>
            </w:r>
            <w:r w:rsidR="00373757" w:rsidRPr="00373757">
              <w:rPr>
                <w:rFonts w:ascii="Times New Roman" w:hAnsi="Times New Roman" w:cs="Times New Roman"/>
                <w:sz w:val="20"/>
                <w:szCs w:val="20"/>
                <w:lang w:val="pl-PL"/>
              </w:rPr>
              <w:t xml:space="preserve"> </w:t>
            </w:r>
            <w:r w:rsidR="00CB5655" w:rsidRPr="00373757">
              <w:rPr>
                <w:rFonts w:ascii="Times New Roman" w:hAnsi="Times New Roman" w:cs="Times New Roman"/>
                <w:sz w:val="20"/>
                <w:szCs w:val="20"/>
                <w:lang w:val="pl-PL"/>
              </w:rPr>
              <w:t>-</w:t>
            </w:r>
            <w:r w:rsidRPr="00373757">
              <w:rPr>
                <w:rFonts w:ascii="Times New Roman" w:hAnsi="Times New Roman" w:cs="Times New Roman"/>
                <w:sz w:val="20"/>
                <w:szCs w:val="20"/>
                <w:lang w:val="pl-PL"/>
              </w:rPr>
              <w:t xml:space="preserve">  zgodnie z wytycznymi Programu Lekowego </w:t>
            </w:r>
            <w:r w:rsidR="00CB5655" w:rsidRPr="00373757">
              <w:rPr>
                <w:rFonts w:ascii="Times New Roman" w:hAnsi="Times New Roman" w:cs="Times New Roman"/>
                <w:sz w:val="20"/>
                <w:szCs w:val="20"/>
                <w:lang w:val="pl-PL"/>
              </w:rPr>
              <w:t>Leczenie Raka Piersi (</w:t>
            </w:r>
            <w:r w:rsidR="00373757" w:rsidRPr="00373757">
              <w:rPr>
                <w:rFonts w:ascii="Times New Roman" w:hAnsi="Times New Roman" w:cs="Times New Roman"/>
                <w:sz w:val="20"/>
                <w:szCs w:val="20"/>
                <w:lang w:val="pl-PL"/>
              </w:rPr>
              <w:t>B.9</w:t>
            </w:r>
            <w:r w:rsidR="00CB5655" w:rsidRPr="00373757">
              <w:rPr>
                <w:rFonts w:ascii="Times New Roman" w:hAnsi="Times New Roman" w:cs="Times New Roman"/>
                <w:sz w:val="20"/>
                <w:szCs w:val="20"/>
                <w:lang w:val="pl-PL"/>
              </w:rPr>
              <w:t xml:space="preserve">) </w:t>
            </w:r>
            <w:r w:rsidRPr="00373757">
              <w:rPr>
                <w:rFonts w:ascii="Times New Roman" w:hAnsi="Times New Roman" w:cs="Times New Roman"/>
                <w:sz w:val="20"/>
                <w:szCs w:val="20"/>
                <w:lang w:val="pl-PL"/>
              </w:rPr>
              <w:t>punkt  Leczenie przedoperacyjne (neo</w:t>
            </w:r>
            <w:r w:rsidR="00373757">
              <w:rPr>
                <w:rFonts w:ascii="Times New Roman" w:hAnsi="Times New Roman" w:cs="Times New Roman"/>
                <w:sz w:val="20"/>
                <w:szCs w:val="20"/>
                <w:lang w:val="pl-PL"/>
              </w:rPr>
              <w:t>adjuwa</w:t>
            </w:r>
            <w:r w:rsidRPr="00373757">
              <w:rPr>
                <w:rFonts w:ascii="Times New Roman" w:hAnsi="Times New Roman" w:cs="Times New Roman"/>
                <w:sz w:val="20"/>
                <w:szCs w:val="20"/>
                <w:lang w:val="pl-PL"/>
              </w:rPr>
              <w:t>ntowe) lub pooperacyjne (</w:t>
            </w:r>
            <w:r w:rsidR="00373757">
              <w:rPr>
                <w:rFonts w:ascii="Times New Roman" w:hAnsi="Times New Roman" w:cs="Times New Roman"/>
                <w:sz w:val="20"/>
                <w:szCs w:val="20"/>
                <w:lang w:val="pl-PL"/>
              </w:rPr>
              <w:t>adjuwa</w:t>
            </w:r>
            <w:r w:rsidRPr="00373757">
              <w:rPr>
                <w:rFonts w:ascii="Times New Roman" w:hAnsi="Times New Roman" w:cs="Times New Roman"/>
                <w:sz w:val="20"/>
                <w:szCs w:val="20"/>
                <w:lang w:val="pl-PL"/>
              </w:rPr>
              <w:t>ntowe) raka piersi trastuzumabem</w:t>
            </w:r>
          </w:p>
          <w:p w14:paraId="4A163408" w14:textId="77777777" w:rsidR="00373757" w:rsidRPr="00373757" w:rsidRDefault="00373757" w:rsidP="00373757">
            <w:pPr>
              <w:autoSpaceDE w:val="0"/>
              <w:autoSpaceDN w:val="0"/>
              <w:adjustRightInd w:val="0"/>
              <w:spacing w:after="120"/>
              <w:rPr>
                <w:rFonts w:ascii="Times New Roman" w:hAnsi="Times New Roman" w:cs="Times New Roman"/>
                <w:sz w:val="20"/>
                <w:szCs w:val="20"/>
                <w:lang w:val="pl-PL"/>
              </w:rPr>
            </w:pPr>
          </w:p>
          <w:p w14:paraId="0B6D5493" w14:textId="379F8DFD" w:rsidR="0078218B" w:rsidRPr="00373757" w:rsidRDefault="0078218B" w:rsidP="00373757">
            <w:pPr>
              <w:pStyle w:val="Akapitzlist"/>
              <w:numPr>
                <w:ilvl w:val="1"/>
                <w:numId w:val="24"/>
              </w:numPr>
              <w:autoSpaceDE w:val="0"/>
              <w:autoSpaceDN w:val="0"/>
              <w:adjustRightInd w:val="0"/>
              <w:spacing w:after="120"/>
              <w:contextualSpacing w:val="0"/>
              <w:rPr>
                <w:rFonts w:ascii="Times New Roman" w:hAnsi="Times New Roman" w:cs="Times New Roman"/>
                <w:sz w:val="20"/>
                <w:szCs w:val="20"/>
                <w:lang w:val="pl-PL"/>
              </w:rPr>
            </w:pPr>
            <w:r w:rsidRPr="00373757">
              <w:rPr>
                <w:rFonts w:ascii="Times New Roman" w:hAnsi="Times New Roman" w:cs="Times New Roman"/>
                <w:b/>
                <w:sz w:val="20"/>
                <w:szCs w:val="20"/>
                <w:lang w:val="pl-PL"/>
              </w:rPr>
              <w:t>Kryteria zakończenia udziału w programie:</w:t>
            </w:r>
          </w:p>
          <w:p w14:paraId="7C52343C" w14:textId="77777777" w:rsidR="00AB2D6C" w:rsidRPr="00373757" w:rsidRDefault="0078218B" w:rsidP="00373757">
            <w:pPr>
              <w:pStyle w:val="Akapitzlist"/>
              <w:numPr>
                <w:ilvl w:val="0"/>
                <w:numId w:val="22"/>
              </w:numPr>
              <w:autoSpaceDE w:val="0"/>
              <w:autoSpaceDN w:val="0"/>
              <w:adjustRightInd w:val="0"/>
              <w:spacing w:after="120"/>
              <w:contextualSpacing w:val="0"/>
              <w:rPr>
                <w:rFonts w:ascii="Times New Roman" w:hAnsi="Times New Roman" w:cs="Times New Roman"/>
                <w:sz w:val="20"/>
                <w:szCs w:val="20"/>
                <w:lang w:val="pl-PL"/>
              </w:rPr>
            </w:pPr>
            <w:r w:rsidRPr="00373757">
              <w:rPr>
                <w:rFonts w:ascii="Times New Roman" w:hAnsi="Times New Roman" w:cs="Times New Roman"/>
                <w:sz w:val="20"/>
                <w:szCs w:val="20"/>
                <w:lang w:val="pl-PL"/>
              </w:rPr>
              <w:t>toksyczność leczenia według klasyfikacji WHO ≥3 stopnia (poza toksycznością związaną z leczeniem cytostatykiem);</w:t>
            </w:r>
          </w:p>
          <w:p w14:paraId="78AAE1C5" w14:textId="77777777" w:rsidR="00AB2D6C" w:rsidRPr="00373757" w:rsidRDefault="0078218B" w:rsidP="00373757">
            <w:pPr>
              <w:pStyle w:val="Akapitzlist"/>
              <w:numPr>
                <w:ilvl w:val="0"/>
                <w:numId w:val="22"/>
              </w:numPr>
              <w:autoSpaceDE w:val="0"/>
              <w:autoSpaceDN w:val="0"/>
              <w:adjustRightInd w:val="0"/>
              <w:spacing w:after="120"/>
              <w:contextualSpacing w:val="0"/>
              <w:rPr>
                <w:rFonts w:ascii="Times New Roman" w:hAnsi="Times New Roman" w:cs="Times New Roman"/>
                <w:sz w:val="20"/>
                <w:szCs w:val="20"/>
                <w:lang w:val="pl-PL"/>
              </w:rPr>
            </w:pPr>
            <w:r w:rsidRPr="00373757">
              <w:rPr>
                <w:rFonts w:ascii="Times New Roman" w:hAnsi="Times New Roman" w:cs="Times New Roman"/>
                <w:sz w:val="20"/>
                <w:szCs w:val="20"/>
                <w:lang w:val="pl-PL"/>
              </w:rPr>
              <w:t>progresja choroby w trakcie stosowania leczenia;</w:t>
            </w:r>
          </w:p>
          <w:p w14:paraId="4EA44C0F" w14:textId="1C4B18F0" w:rsidR="0078218B" w:rsidRPr="00373757" w:rsidRDefault="007F519A" w:rsidP="00373757">
            <w:pPr>
              <w:pStyle w:val="Akapitzlist"/>
              <w:numPr>
                <w:ilvl w:val="0"/>
                <w:numId w:val="22"/>
              </w:numPr>
              <w:autoSpaceDE w:val="0"/>
              <w:autoSpaceDN w:val="0"/>
              <w:adjustRightInd w:val="0"/>
              <w:spacing w:after="120"/>
              <w:contextualSpacing w:val="0"/>
              <w:rPr>
                <w:rFonts w:ascii="Times New Roman" w:hAnsi="Times New Roman" w:cs="Times New Roman"/>
                <w:sz w:val="20"/>
                <w:szCs w:val="20"/>
                <w:lang w:val="pl-PL"/>
              </w:rPr>
            </w:pPr>
            <w:r w:rsidRPr="00373757">
              <w:rPr>
                <w:rFonts w:ascii="Times New Roman" w:hAnsi="Times New Roman" w:cs="Times New Roman"/>
                <w:sz w:val="20"/>
                <w:szCs w:val="20"/>
                <w:lang w:val="pl-PL"/>
              </w:rPr>
              <w:t>okres ciąży i karmienia piersią</w:t>
            </w:r>
            <w:r w:rsidR="0078218B" w:rsidRPr="00373757">
              <w:rPr>
                <w:rFonts w:ascii="Times New Roman" w:hAnsi="Times New Roman" w:cs="Times New Roman"/>
                <w:sz w:val="20"/>
                <w:szCs w:val="20"/>
                <w:lang w:val="pl-PL"/>
              </w:rPr>
              <w:t>.</w:t>
            </w:r>
          </w:p>
        </w:tc>
        <w:tc>
          <w:tcPr>
            <w:tcW w:w="1460" w:type="pct"/>
            <w:tcBorders>
              <w:top w:val="single" w:sz="6" w:space="0" w:color="auto"/>
              <w:left w:val="single" w:sz="6" w:space="0" w:color="auto"/>
              <w:bottom w:val="single" w:sz="6" w:space="0" w:color="auto"/>
              <w:right w:val="single" w:sz="6" w:space="0" w:color="auto"/>
            </w:tcBorders>
          </w:tcPr>
          <w:p w14:paraId="1006C148"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p>
          <w:p w14:paraId="6E3194DC" w14:textId="093F5937" w:rsidR="0078218B" w:rsidRPr="00373757" w:rsidRDefault="0078218B" w:rsidP="00373757">
            <w:pPr>
              <w:autoSpaceDE w:val="0"/>
              <w:autoSpaceDN w:val="0"/>
              <w:adjustRightInd w:val="0"/>
              <w:spacing w:after="120"/>
              <w:rPr>
                <w:rFonts w:ascii="Times New Roman" w:hAnsi="Times New Roman" w:cs="Times New Roman"/>
                <w:b/>
                <w:sz w:val="20"/>
                <w:szCs w:val="20"/>
                <w:lang w:val="pl-PL"/>
              </w:rPr>
            </w:pPr>
            <w:r w:rsidRPr="00373757">
              <w:rPr>
                <w:rFonts w:ascii="Times New Roman" w:hAnsi="Times New Roman" w:cs="Times New Roman"/>
                <w:b/>
                <w:sz w:val="20"/>
                <w:szCs w:val="20"/>
                <w:lang w:val="pl-PL"/>
              </w:rPr>
              <w:t>1.Leczenie</w:t>
            </w:r>
            <w:r w:rsidR="00567913" w:rsidRPr="00373757">
              <w:rPr>
                <w:rFonts w:ascii="Times New Roman" w:hAnsi="Times New Roman" w:cs="Times New Roman"/>
                <w:b/>
                <w:sz w:val="20"/>
                <w:szCs w:val="20"/>
                <w:lang w:val="pl-PL"/>
              </w:rPr>
              <w:t xml:space="preserve"> </w:t>
            </w:r>
            <w:r w:rsidRPr="00373757">
              <w:rPr>
                <w:rFonts w:ascii="Times New Roman" w:hAnsi="Times New Roman" w:cs="Times New Roman"/>
                <w:b/>
                <w:sz w:val="20"/>
                <w:szCs w:val="20"/>
                <w:lang w:val="pl-PL"/>
              </w:rPr>
              <w:t>przedoperacyjne (neo</w:t>
            </w:r>
            <w:r w:rsidR="00373757">
              <w:rPr>
                <w:rFonts w:ascii="Times New Roman" w:hAnsi="Times New Roman" w:cs="Times New Roman"/>
                <w:b/>
                <w:sz w:val="20"/>
                <w:szCs w:val="20"/>
                <w:lang w:val="pl-PL"/>
              </w:rPr>
              <w:t>adjuwa</w:t>
            </w:r>
            <w:r w:rsidRPr="00373757">
              <w:rPr>
                <w:rFonts w:ascii="Times New Roman" w:hAnsi="Times New Roman" w:cs="Times New Roman"/>
                <w:b/>
                <w:sz w:val="20"/>
                <w:szCs w:val="20"/>
                <w:lang w:val="pl-PL"/>
              </w:rPr>
              <w:t xml:space="preserve">ntowe) </w:t>
            </w:r>
            <w:r w:rsidR="00567913" w:rsidRPr="00373757">
              <w:rPr>
                <w:rFonts w:ascii="Times New Roman" w:hAnsi="Times New Roman" w:cs="Times New Roman"/>
                <w:b/>
                <w:sz w:val="20"/>
                <w:szCs w:val="20"/>
                <w:lang w:val="pl-PL"/>
              </w:rPr>
              <w:t xml:space="preserve">raka piersi </w:t>
            </w:r>
            <w:r w:rsidRPr="00373757">
              <w:rPr>
                <w:rFonts w:ascii="Times New Roman" w:hAnsi="Times New Roman" w:cs="Times New Roman"/>
                <w:b/>
                <w:sz w:val="20"/>
                <w:szCs w:val="20"/>
                <w:lang w:val="pl-PL"/>
              </w:rPr>
              <w:t xml:space="preserve">pertuzumabem w skojarzeniu z  trastuzumabem i chemioterapią  </w:t>
            </w:r>
            <w:r w:rsidR="00567913" w:rsidRPr="00373757">
              <w:rPr>
                <w:rFonts w:ascii="Times New Roman" w:hAnsi="Times New Roman" w:cs="Times New Roman"/>
                <w:b/>
                <w:sz w:val="20"/>
                <w:szCs w:val="20"/>
                <w:lang w:val="pl-PL"/>
              </w:rPr>
              <w:t xml:space="preserve"> </w:t>
            </w:r>
          </w:p>
          <w:p w14:paraId="128CDB96" w14:textId="7B75EC34" w:rsidR="002A1756" w:rsidRPr="00373757" w:rsidRDefault="002A1756"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 xml:space="preserve">1) Dawkowanie leku, modyfikacja dawki, techniczne zasady podawania leku i postępowanie w sytuacjach szczególnych – zgodnie odpowiednio z </w:t>
            </w:r>
            <w:r w:rsidR="00524955" w:rsidRPr="00373757">
              <w:rPr>
                <w:rFonts w:ascii="Times New Roman" w:hAnsi="Times New Roman" w:cs="Times New Roman"/>
                <w:sz w:val="20"/>
                <w:szCs w:val="20"/>
                <w:lang w:val="pl-PL"/>
              </w:rPr>
              <w:t xml:space="preserve">aktualną </w:t>
            </w:r>
            <w:r w:rsidRPr="00373757">
              <w:rPr>
                <w:rFonts w:ascii="Times New Roman" w:hAnsi="Times New Roman" w:cs="Times New Roman"/>
                <w:sz w:val="20"/>
                <w:szCs w:val="20"/>
                <w:lang w:val="pl-PL"/>
              </w:rPr>
              <w:t>Charakterystyką Produktu Leczniczego</w:t>
            </w:r>
            <w:r w:rsidR="00760651" w:rsidRPr="00373757">
              <w:rPr>
                <w:rFonts w:ascii="Times New Roman" w:hAnsi="Times New Roman" w:cs="Times New Roman"/>
                <w:sz w:val="20"/>
                <w:szCs w:val="20"/>
                <w:lang w:val="pl-PL"/>
              </w:rPr>
              <w:t xml:space="preserve"> pertuzumabu</w:t>
            </w:r>
            <w:r w:rsidRPr="00373757">
              <w:rPr>
                <w:rFonts w:ascii="Times New Roman" w:hAnsi="Times New Roman" w:cs="Times New Roman"/>
                <w:sz w:val="20"/>
                <w:szCs w:val="20"/>
                <w:lang w:val="pl-PL"/>
              </w:rPr>
              <w:t xml:space="preserve"> i </w:t>
            </w:r>
            <w:r w:rsidR="00524955" w:rsidRPr="00373757">
              <w:rPr>
                <w:rFonts w:ascii="Times New Roman" w:hAnsi="Times New Roman" w:cs="Times New Roman"/>
                <w:sz w:val="20"/>
                <w:szCs w:val="20"/>
                <w:lang w:val="pl-PL"/>
              </w:rPr>
              <w:t xml:space="preserve">aktualną </w:t>
            </w:r>
            <w:r w:rsidRPr="00373757">
              <w:rPr>
                <w:rFonts w:ascii="Times New Roman" w:hAnsi="Times New Roman" w:cs="Times New Roman"/>
                <w:sz w:val="20"/>
                <w:szCs w:val="20"/>
                <w:lang w:val="pl-PL"/>
              </w:rPr>
              <w:t>Charakterystyką Produktu Leczniczego</w:t>
            </w:r>
            <w:r w:rsidR="00760651" w:rsidRPr="00373757">
              <w:rPr>
                <w:rFonts w:ascii="Times New Roman" w:hAnsi="Times New Roman" w:cs="Times New Roman"/>
                <w:sz w:val="20"/>
                <w:szCs w:val="20"/>
                <w:lang w:val="pl-PL"/>
              </w:rPr>
              <w:t xml:space="preserve"> t</w:t>
            </w:r>
            <w:r w:rsidRPr="00373757">
              <w:rPr>
                <w:rFonts w:ascii="Times New Roman" w:hAnsi="Times New Roman" w:cs="Times New Roman"/>
                <w:sz w:val="20"/>
                <w:szCs w:val="20"/>
                <w:lang w:val="pl-PL"/>
              </w:rPr>
              <w:t>rastuzumab</w:t>
            </w:r>
            <w:r w:rsidR="00760651" w:rsidRPr="00373757">
              <w:rPr>
                <w:rFonts w:ascii="Times New Roman" w:hAnsi="Times New Roman" w:cs="Times New Roman"/>
                <w:sz w:val="20"/>
                <w:szCs w:val="20"/>
                <w:lang w:val="pl-PL"/>
              </w:rPr>
              <w:t>u</w:t>
            </w:r>
            <w:r w:rsidRPr="00373757">
              <w:rPr>
                <w:rFonts w:ascii="Times New Roman" w:hAnsi="Times New Roman" w:cs="Times New Roman"/>
                <w:sz w:val="20"/>
                <w:szCs w:val="20"/>
                <w:lang w:val="pl-PL"/>
              </w:rPr>
              <w:t xml:space="preserve"> </w:t>
            </w:r>
          </w:p>
          <w:p w14:paraId="51333D4E" w14:textId="6F454AA3" w:rsidR="0078218B" w:rsidRPr="00373757" w:rsidRDefault="002A1756"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2)</w:t>
            </w:r>
            <w:r w:rsidR="00CA33D7" w:rsidRPr="00373757">
              <w:rPr>
                <w:rFonts w:ascii="Times New Roman" w:hAnsi="Times New Roman" w:cs="Times New Roman"/>
                <w:sz w:val="20"/>
                <w:szCs w:val="20"/>
                <w:lang w:val="pl-PL"/>
              </w:rPr>
              <w:t>Produkt leczniczy pertuzumab</w:t>
            </w:r>
            <w:r w:rsidR="0078218B" w:rsidRPr="00373757">
              <w:rPr>
                <w:rFonts w:ascii="Times New Roman" w:hAnsi="Times New Roman" w:cs="Times New Roman"/>
                <w:sz w:val="20"/>
                <w:szCs w:val="20"/>
                <w:lang w:val="pl-PL"/>
              </w:rPr>
              <w:t xml:space="preserve"> i trastuzumab można podawać w dowolnej kolejności.</w:t>
            </w:r>
          </w:p>
          <w:p w14:paraId="2F281DBF" w14:textId="5D30743D" w:rsidR="00CC0EE6" w:rsidRPr="00373757" w:rsidRDefault="002A1756"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3</w:t>
            </w:r>
            <w:r w:rsidR="0078218B" w:rsidRPr="00373757">
              <w:rPr>
                <w:rFonts w:ascii="Times New Roman" w:hAnsi="Times New Roman" w:cs="Times New Roman"/>
                <w:sz w:val="20"/>
                <w:szCs w:val="20"/>
                <w:lang w:val="pl-PL"/>
              </w:rPr>
              <w:t xml:space="preserve">) </w:t>
            </w:r>
            <w:r w:rsidR="006714D3" w:rsidRPr="00373757">
              <w:rPr>
                <w:rFonts w:ascii="Times New Roman" w:hAnsi="Times New Roman" w:cs="Times New Roman"/>
                <w:sz w:val="20"/>
                <w:szCs w:val="20"/>
                <w:lang w:val="pl-PL"/>
              </w:rPr>
              <w:t>całość zaplanowanego leczenia cytostatykami powinna być podana przed operacją, a leczenie uzupełniające powinno być p</w:t>
            </w:r>
            <w:r w:rsidR="00CB5655" w:rsidRPr="00373757">
              <w:rPr>
                <w:rFonts w:ascii="Times New Roman" w:hAnsi="Times New Roman" w:cs="Times New Roman"/>
                <w:sz w:val="20"/>
                <w:szCs w:val="20"/>
                <w:lang w:val="pl-PL"/>
              </w:rPr>
              <w:t>rowadzone</w:t>
            </w:r>
            <w:r w:rsidR="006714D3" w:rsidRPr="00373757">
              <w:rPr>
                <w:rFonts w:ascii="Times New Roman" w:hAnsi="Times New Roman" w:cs="Times New Roman"/>
                <w:sz w:val="20"/>
                <w:szCs w:val="20"/>
                <w:lang w:val="pl-PL"/>
              </w:rPr>
              <w:t xml:space="preserve">  trastuzumabem zgodnie z wytycznymi Programu Lekowego </w:t>
            </w:r>
            <w:r w:rsidR="00CB5655" w:rsidRPr="00373757">
              <w:rPr>
                <w:rFonts w:ascii="Times New Roman" w:hAnsi="Times New Roman" w:cs="Times New Roman"/>
                <w:sz w:val="20"/>
                <w:szCs w:val="20"/>
                <w:lang w:val="pl-PL"/>
              </w:rPr>
              <w:t>Leczenie Raka Piersi (</w:t>
            </w:r>
            <w:r w:rsidR="006714D3" w:rsidRPr="00373757">
              <w:rPr>
                <w:rFonts w:ascii="Times New Roman" w:hAnsi="Times New Roman" w:cs="Times New Roman"/>
                <w:sz w:val="20"/>
                <w:szCs w:val="20"/>
                <w:lang w:val="pl-PL"/>
              </w:rPr>
              <w:t>B.9</w:t>
            </w:r>
            <w:r w:rsidR="00CB5655" w:rsidRPr="00373757">
              <w:rPr>
                <w:rFonts w:ascii="Times New Roman" w:hAnsi="Times New Roman" w:cs="Times New Roman"/>
                <w:sz w:val="20"/>
                <w:szCs w:val="20"/>
                <w:lang w:val="pl-PL"/>
              </w:rPr>
              <w:t>)</w:t>
            </w:r>
            <w:r w:rsidR="006714D3" w:rsidRPr="00373757">
              <w:rPr>
                <w:rFonts w:ascii="Times New Roman" w:hAnsi="Times New Roman" w:cs="Times New Roman"/>
                <w:sz w:val="20"/>
                <w:szCs w:val="20"/>
                <w:lang w:val="pl-PL"/>
              </w:rPr>
              <w:t xml:space="preserve"> punkt  Leczenie przedoperacyjne (neo</w:t>
            </w:r>
            <w:r w:rsidR="00373757">
              <w:rPr>
                <w:rFonts w:ascii="Times New Roman" w:hAnsi="Times New Roman" w:cs="Times New Roman"/>
                <w:sz w:val="20"/>
                <w:szCs w:val="20"/>
                <w:lang w:val="pl-PL"/>
              </w:rPr>
              <w:t>adjuwa</w:t>
            </w:r>
            <w:r w:rsidR="006714D3" w:rsidRPr="00373757">
              <w:rPr>
                <w:rFonts w:ascii="Times New Roman" w:hAnsi="Times New Roman" w:cs="Times New Roman"/>
                <w:sz w:val="20"/>
                <w:szCs w:val="20"/>
                <w:lang w:val="pl-PL"/>
              </w:rPr>
              <w:t>ntowe) lub pooperacyjne (</w:t>
            </w:r>
            <w:r w:rsidR="00373757">
              <w:rPr>
                <w:rFonts w:ascii="Times New Roman" w:hAnsi="Times New Roman" w:cs="Times New Roman"/>
                <w:sz w:val="20"/>
                <w:szCs w:val="20"/>
                <w:lang w:val="pl-PL"/>
              </w:rPr>
              <w:t>adjuwa</w:t>
            </w:r>
            <w:r w:rsidR="006714D3" w:rsidRPr="00373757">
              <w:rPr>
                <w:rFonts w:ascii="Times New Roman" w:hAnsi="Times New Roman" w:cs="Times New Roman"/>
                <w:sz w:val="20"/>
                <w:szCs w:val="20"/>
                <w:lang w:val="pl-PL"/>
              </w:rPr>
              <w:t xml:space="preserve">ntowe) raka piersi trastuzumabem </w:t>
            </w:r>
          </w:p>
          <w:p w14:paraId="3109F1E5" w14:textId="320E4FF1" w:rsidR="0078218B" w:rsidRPr="00373757" w:rsidRDefault="002A1756" w:rsidP="00373757">
            <w:pPr>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lastRenderedPageBreak/>
              <w:t>4</w:t>
            </w:r>
            <w:r w:rsidR="0078218B" w:rsidRPr="00373757">
              <w:rPr>
                <w:rFonts w:ascii="Times New Roman" w:hAnsi="Times New Roman" w:cs="Times New Roman"/>
                <w:sz w:val="20"/>
                <w:szCs w:val="20"/>
                <w:lang w:val="pl-PL"/>
              </w:rPr>
              <w:t>)Całkowity czas aktywnej terapii  pertuzumabem w leczeniu przedoperacyjnym (neo</w:t>
            </w:r>
            <w:r w:rsidR="00373757">
              <w:rPr>
                <w:rFonts w:ascii="Times New Roman" w:hAnsi="Times New Roman" w:cs="Times New Roman"/>
                <w:sz w:val="20"/>
                <w:szCs w:val="20"/>
                <w:lang w:val="pl-PL"/>
              </w:rPr>
              <w:t>adjuwa</w:t>
            </w:r>
            <w:r w:rsidR="0078218B" w:rsidRPr="00373757">
              <w:rPr>
                <w:rFonts w:ascii="Times New Roman" w:hAnsi="Times New Roman" w:cs="Times New Roman"/>
                <w:sz w:val="20"/>
                <w:szCs w:val="20"/>
                <w:lang w:val="pl-PL"/>
              </w:rPr>
              <w:t xml:space="preserve">ntowym) w skojarzeniu z trastuzumabem  to </w:t>
            </w:r>
          </w:p>
          <w:p w14:paraId="659198EF" w14:textId="69C85D47" w:rsidR="0078218B" w:rsidRPr="00373757" w:rsidRDefault="0078218B" w:rsidP="00373757">
            <w:pPr>
              <w:numPr>
                <w:ilvl w:val="0"/>
                <w:numId w:val="23"/>
              </w:numPr>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 xml:space="preserve">a) </w:t>
            </w:r>
            <w:r w:rsidR="00760651" w:rsidRPr="00373757">
              <w:rPr>
                <w:rFonts w:ascii="Times New Roman" w:hAnsi="Times New Roman" w:cs="Times New Roman"/>
                <w:sz w:val="20"/>
                <w:szCs w:val="20"/>
                <w:lang w:val="pl-PL"/>
              </w:rPr>
              <w:t>od 3 do 6 podań pertuzumabu w skojarzeniu z trastuzumabem i chemioterapią</w:t>
            </w:r>
          </w:p>
          <w:p w14:paraId="1DA4F240" w14:textId="67B8B698" w:rsidR="0078218B" w:rsidRPr="00373757" w:rsidRDefault="00666AD0" w:rsidP="00373757">
            <w:pPr>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albo</w:t>
            </w:r>
          </w:p>
          <w:p w14:paraId="5BEE4A87" w14:textId="77777777" w:rsidR="0078218B" w:rsidRPr="00373757" w:rsidRDefault="0078218B" w:rsidP="00373757">
            <w:pPr>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b) do czasu wystąpienia progresji choroby</w:t>
            </w:r>
          </w:p>
          <w:p w14:paraId="5FAE0F9B" w14:textId="3D0B3091" w:rsidR="0078218B" w:rsidRPr="00373757" w:rsidRDefault="00666AD0" w:rsidP="00373757">
            <w:pPr>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albo</w:t>
            </w:r>
          </w:p>
          <w:p w14:paraId="3399A319" w14:textId="7D036E91" w:rsidR="0078218B" w:rsidRPr="00373757" w:rsidRDefault="0078218B" w:rsidP="00373757">
            <w:pPr>
              <w:pStyle w:val="Akapitzlist"/>
              <w:numPr>
                <w:ilvl w:val="0"/>
                <w:numId w:val="23"/>
              </w:numPr>
              <w:spacing w:after="120"/>
              <w:contextualSpacing w:val="0"/>
              <w:rPr>
                <w:rFonts w:ascii="Times New Roman" w:hAnsi="Times New Roman" w:cs="Times New Roman"/>
                <w:sz w:val="20"/>
                <w:szCs w:val="20"/>
                <w:lang w:val="pl-PL"/>
              </w:rPr>
            </w:pPr>
            <w:r w:rsidRPr="00373757">
              <w:rPr>
                <w:rFonts w:ascii="Times New Roman" w:hAnsi="Times New Roman" w:cs="Times New Roman"/>
                <w:sz w:val="20"/>
                <w:szCs w:val="20"/>
                <w:lang w:val="pl-PL"/>
              </w:rPr>
              <w:t>do wystąpienia niepożądanych działań o istotnym znaczeniu klinicznym</w:t>
            </w:r>
            <w:r w:rsidR="00C33D69" w:rsidRPr="00373757">
              <w:rPr>
                <w:rFonts w:ascii="Times New Roman" w:hAnsi="Times New Roman" w:cs="Times New Roman"/>
                <w:sz w:val="20"/>
                <w:szCs w:val="20"/>
                <w:lang w:val="pl-PL"/>
              </w:rPr>
              <w:t xml:space="preserve"> </w:t>
            </w:r>
            <w:r w:rsidR="00AF4E1C" w:rsidRPr="00373757">
              <w:rPr>
                <w:rFonts w:ascii="Times New Roman" w:hAnsi="Times New Roman" w:cs="Times New Roman"/>
                <w:sz w:val="20"/>
                <w:szCs w:val="20"/>
                <w:lang w:val="pl-PL"/>
              </w:rPr>
              <w:t>uniemożliwiających w opinii lekarza prowadzącego kontynuowanie terapii.</w:t>
            </w:r>
          </w:p>
          <w:p w14:paraId="50BE89CD" w14:textId="77777777" w:rsidR="00760651" w:rsidRPr="00373757" w:rsidRDefault="00760651" w:rsidP="00373757">
            <w:pPr>
              <w:autoSpaceDE w:val="0"/>
              <w:autoSpaceDN w:val="0"/>
              <w:adjustRightInd w:val="0"/>
              <w:spacing w:after="120"/>
              <w:jc w:val="both"/>
              <w:rPr>
                <w:rFonts w:ascii="Times New Roman" w:hAnsi="Times New Roman" w:cs="Times New Roman"/>
                <w:b/>
                <w:color w:val="000000" w:themeColor="text1"/>
                <w:sz w:val="20"/>
                <w:szCs w:val="20"/>
                <w:lang w:val="pl-PL"/>
              </w:rPr>
            </w:pPr>
            <w:r w:rsidRPr="00373757">
              <w:rPr>
                <w:rFonts w:ascii="Times New Roman" w:hAnsi="Times New Roman" w:cs="Times New Roman"/>
                <w:color w:val="000000" w:themeColor="text1"/>
                <w:sz w:val="20"/>
                <w:szCs w:val="20"/>
                <w:lang w:val="pl-PL"/>
              </w:rPr>
              <w:t>Po zabiegu operacyjnym stosuje się leczenie  uzupełniające trastuzumabem. Łącznie leczenie neoadjuwantowe i adjuwantowe  i całkowity czas aktywnej terapii trastuzumabem trwa maksymalnie 12 miesięcy lub maksymalnie 18 podań trastuzumabu.</w:t>
            </w:r>
          </w:p>
          <w:p w14:paraId="527F699C" w14:textId="77777777" w:rsidR="00760651" w:rsidRPr="00373757" w:rsidRDefault="00760651" w:rsidP="00373757">
            <w:pPr>
              <w:spacing w:after="120"/>
              <w:rPr>
                <w:rFonts w:ascii="Times New Roman" w:hAnsi="Times New Roman" w:cs="Times New Roman"/>
                <w:sz w:val="20"/>
                <w:szCs w:val="20"/>
                <w:lang w:val="pl-PL"/>
              </w:rPr>
            </w:pPr>
          </w:p>
          <w:p w14:paraId="2812BE3D" w14:textId="24D343B8" w:rsidR="0078218B" w:rsidRPr="00373757" w:rsidRDefault="002A1756" w:rsidP="00373757">
            <w:pPr>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5</w:t>
            </w:r>
            <w:r w:rsidR="0078218B" w:rsidRPr="00373757">
              <w:rPr>
                <w:rFonts w:ascii="Times New Roman" w:hAnsi="Times New Roman" w:cs="Times New Roman"/>
                <w:sz w:val="20"/>
                <w:szCs w:val="20"/>
                <w:lang w:val="pl-PL"/>
              </w:rPr>
              <w:t>)Nie należy stosować pertuzumabu i trastuzumabu łącznie z antracyklinami.</w:t>
            </w:r>
          </w:p>
          <w:p w14:paraId="721900ED" w14:textId="1F2CD69E" w:rsidR="00AF4E1C" w:rsidRPr="00373757" w:rsidRDefault="002A1756" w:rsidP="00373757">
            <w:pPr>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6</w:t>
            </w:r>
            <w:r w:rsidR="00BE2018" w:rsidRPr="00373757">
              <w:rPr>
                <w:rFonts w:ascii="Times New Roman" w:hAnsi="Times New Roman" w:cs="Times New Roman"/>
                <w:sz w:val="20"/>
                <w:szCs w:val="20"/>
                <w:lang w:val="pl-PL"/>
              </w:rPr>
              <w:t xml:space="preserve">)W przypadku przerwania terapii trastuzumabem należy przerwać stosowanie </w:t>
            </w:r>
            <w:r w:rsidR="00EA056C" w:rsidRPr="00373757">
              <w:rPr>
                <w:rFonts w:ascii="Times New Roman" w:hAnsi="Times New Roman" w:cs="Times New Roman"/>
                <w:sz w:val="20"/>
                <w:szCs w:val="20"/>
                <w:lang w:val="pl-PL"/>
              </w:rPr>
              <w:t>pertuzumabu.</w:t>
            </w:r>
          </w:p>
          <w:p w14:paraId="44456AF9" w14:textId="0A91FBAB"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p>
        </w:tc>
        <w:tc>
          <w:tcPr>
            <w:tcW w:w="1784" w:type="pct"/>
            <w:tcBorders>
              <w:top w:val="single" w:sz="6" w:space="0" w:color="auto"/>
              <w:left w:val="single" w:sz="6" w:space="0" w:color="auto"/>
              <w:bottom w:val="single" w:sz="6" w:space="0" w:color="auto"/>
              <w:right w:val="single" w:sz="6" w:space="0" w:color="auto"/>
            </w:tcBorders>
          </w:tcPr>
          <w:p w14:paraId="3625BB6F" w14:textId="77777777" w:rsidR="0078218B" w:rsidRPr="00373757" w:rsidRDefault="0078218B" w:rsidP="00373757">
            <w:pPr>
              <w:autoSpaceDE w:val="0"/>
              <w:autoSpaceDN w:val="0"/>
              <w:adjustRightInd w:val="0"/>
              <w:spacing w:after="120"/>
              <w:rPr>
                <w:rFonts w:ascii="Times New Roman" w:hAnsi="Times New Roman" w:cs="Times New Roman"/>
                <w:b/>
                <w:sz w:val="20"/>
                <w:szCs w:val="20"/>
                <w:lang w:val="pl-PL"/>
              </w:rPr>
            </w:pPr>
          </w:p>
          <w:p w14:paraId="60945728" w14:textId="0C6F8EEA" w:rsidR="00554EFF" w:rsidRPr="00373757" w:rsidRDefault="00554EFF" w:rsidP="00373757">
            <w:pPr>
              <w:autoSpaceDE w:val="0"/>
              <w:autoSpaceDN w:val="0"/>
              <w:adjustRightInd w:val="0"/>
              <w:spacing w:after="120"/>
              <w:rPr>
                <w:rFonts w:ascii="Times New Roman" w:hAnsi="Times New Roman" w:cs="Times New Roman"/>
                <w:b/>
                <w:sz w:val="20"/>
                <w:szCs w:val="20"/>
                <w:lang w:val="pl-PL"/>
              </w:rPr>
            </w:pPr>
            <w:r w:rsidRPr="00373757">
              <w:rPr>
                <w:rFonts w:ascii="Times New Roman" w:hAnsi="Times New Roman" w:cs="Times New Roman"/>
                <w:b/>
                <w:sz w:val="20"/>
                <w:szCs w:val="20"/>
                <w:lang w:val="pl-PL"/>
              </w:rPr>
              <w:t>1</w:t>
            </w:r>
            <w:r w:rsidR="0078218B" w:rsidRPr="00373757">
              <w:rPr>
                <w:rFonts w:ascii="Times New Roman" w:hAnsi="Times New Roman" w:cs="Times New Roman"/>
                <w:b/>
                <w:sz w:val="20"/>
                <w:szCs w:val="20"/>
                <w:lang w:val="pl-PL"/>
              </w:rPr>
              <w:t>. Leczenie przedoperacyjne (neo</w:t>
            </w:r>
            <w:r w:rsidR="00373757">
              <w:rPr>
                <w:rFonts w:ascii="Times New Roman" w:hAnsi="Times New Roman" w:cs="Times New Roman"/>
                <w:b/>
                <w:sz w:val="20"/>
                <w:szCs w:val="20"/>
                <w:lang w:val="pl-PL"/>
              </w:rPr>
              <w:t>adjuwa</w:t>
            </w:r>
            <w:r w:rsidR="0078218B" w:rsidRPr="00373757">
              <w:rPr>
                <w:rFonts w:ascii="Times New Roman" w:hAnsi="Times New Roman" w:cs="Times New Roman"/>
                <w:b/>
                <w:sz w:val="20"/>
                <w:szCs w:val="20"/>
                <w:lang w:val="pl-PL"/>
              </w:rPr>
              <w:t xml:space="preserve">ntowe) </w:t>
            </w:r>
            <w:r w:rsidR="007505E4" w:rsidRPr="00373757">
              <w:rPr>
                <w:rFonts w:ascii="Times New Roman" w:hAnsi="Times New Roman" w:cs="Times New Roman"/>
                <w:b/>
                <w:sz w:val="20"/>
                <w:szCs w:val="20"/>
                <w:lang w:val="pl-PL"/>
              </w:rPr>
              <w:t>raka piers</w:t>
            </w:r>
            <w:r w:rsidR="00567913" w:rsidRPr="00373757">
              <w:rPr>
                <w:rFonts w:ascii="Times New Roman" w:hAnsi="Times New Roman" w:cs="Times New Roman"/>
                <w:b/>
                <w:sz w:val="20"/>
                <w:szCs w:val="20"/>
                <w:lang w:val="pl-PL"/>
              </w:rPr>
              <w:t xml:space="preserve">i </w:t>
            </w:r>
            <w:r w:rsidR="0078218B" w:rsidRPr="00373757">
              <w:rPr>
                <w:rFonts w:ascii="Times New Roman" w:hAnsi="Times New Roman" w:cs="Times New Roman"/>
                <w:b/>
                <w:sz w:val="20"/>
                <w:szCs w:val="20"/>
                <w:lang w:val="pl-PL"/>
              </w:rPr>
              <w:t>pertuzumabem w skojarzeniu z tras</w:t>
            </w:r>
            <w:r w:rsidRPr="00373757">
              <w:rPr>
                <w:rFonts w:ascii="Times New Roman" w:hAnsi="Times New Roman" w:cs="Times New Roman"/>
                <w:b/>
                <w:sz w:val="20"/>
                <w:szCs w:val="20"/>
                <w:lang w:val="pl-PL"/>
              </w:rPr>
              <w:t xml:space="preserve">tuzumabem i chemioterapią </w:t>
            </w:r>
          </w:p>
          <w:p w14:paraId="35E07E76" w14:textId="77777777" w:rsidR="0078218B" w:rsidRPr="00373757" w:rsidRDefault="00BB58AA" w:rsidP="00373757">
            <w:pPr>
              <w:autoSpaceDE w:val="0"/>
              <w:autoSpaceDN w:val="0"/>
              <w:adjustRightInd w:val="0"/>
              <w:spacing w:after="120"/>
              <w:rPr>
                <w:rFonts w:ascii="Times New Roman" w:hAnsi="Times New Roman" w:cs="Times New Roman"/>
                <w:b/>
                <w:sz w:val="20"/>
                <w:szCs w:val="20"/>
                <w:lang w:val="pl-PL"/>
              </w:rPr>
            </w:pPr>
            <w:r w:rsidRPr="00373757">
              <w:rPr>
                <w:rFonts w:ascii="Times New Roman" w:hAnsi="Times New Roman" w:cs="Times New Roman"/>
                <w:b/>
                <w:sz w:val="20"/>
                <w:szCs w:val="20"/>
                <w:lang w:val="pl-PL"/>
              </w:rPr>
              <w:t>1</w:t>
            </w:r>
            <w:r w:rsidR="0078218B" w:rsidRPr="00373757">
              <w:rPr>
                <w:rFonts w:ascii="Times New Roman" w:hAnsi="Times New Roman" w:cs="Times New Roman"/>
                <w:b/>
                <w:sz w:val="20"/>
                <w:szCs w:val="20"/>
                <w:lang w:val="pl-PL"/>
              </w:rPr>
              <w:t>.1 Wykaz badań przy kwalifikacji:</w:t>
            </w:r>
          </w:p>
          <w:p w14:paraId="0060420C"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a) badanie immunohistochemiczne lub hybrydyzacji in situ (ISH) (ocena nadekspresji HER2</w:t>
            </w:r>
            <w:r w:rsidR="00554EFF" w:rsidRPr="00373757">
              <w:rPr>
                <w:rFonts w:ascii="Times New Roman" w:hAnsi="Times New Roman" w:cs="Times New Roman"/>
                <w:sz w:val="20"/>
                <w:szCs w:val="20"/>
                <w:lang w:val="pl-PL"/>
              </w:rPr>
              <w:t>)</w:t>
            </w:r>
            <w:r w:rsidRPr="00373757">
              <w:rPr>
                <w:rFonts w:ascii="Times New Roman" w:hAnsi="Times New Roman" w:cs="Times New Roman"/>
                <w:sz w:val="20"/>
                <w:szCs w:val="20"/>
                <w:lang w:val="pl-PL"/>
              </w:rPr>
              <w:t>, stopie</w:t>
            </w:r>
            <w:r w:rsidR="00554EFF" w:rsidRPr="00373757">
              <w:rPr>
                <w:rFonts w:ascii="Times New Roman" w:hAnsi="Times New Roman" w:cs="Times New Roman"/>
                <w:sz w:val="20"/>
                <w:szCs w:val="20"/>
                <w:lang w:val="pl-PL"/>
              </w:rPr>
              <w:t>ń ekspresji receptorów ER i PGR</w:t>
            </w:r>
            <w:r w:rsidRPr="00373757">
              <w:rPr>
                <w:rFonts w:ascii="Times New Roman" w:hAnsi="Times New Roman" w:cs="Times New Roman"/>
                <w:sz w:val="20"/>
                <w:szCs w:val="20"/>
                <w:lang w:val="pl-PL"/>
              </w:rPr>
              <w:t xml:space="preserve">, </w:t>
            </w:r>
          </w:p>
          <w:p w14:paraId="07D27D49"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b) morfologia krwi z rozmazem,</w:t>
            </w:r>
          </w:p>
          <w:p w14:paraId="311D1278"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c) poziom kreatyniny,</w:t>
            </w:r>
          </w:p>
          <w:p w14:paraId="435A493F"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d) poziom AlAT,</w:t>
            </w:r>
          </w:p>
          <w:p w14:paraId="79B8C14D"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e) poziom AspAT,</w:t>
            </w:r>
          </w:p>
          <w:p w14:paraId="3FDC8D2D"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f) stężenie bilirubiny,</w:t>
            </w:r>
          </w:p>
          <w:p w14:paraId="0B20C7E6"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 xml:space="preserve">g) USG </w:t>
            </w:r>
            <w:r w:rsidR="005C4322" w:rsidRPr="00373757">
              <w:rPr>
                <w:rFonts w:ascii="Times New Roman" w:hAnsi="Times New Roman" w:cs="Times New Roman"/>
                <w:sz w:val="20"/>
                <w:szCs w:val="20"/>
                <w:lang w:val="pl-PL"/>
              </w:rPr>
              <w:t xml:space="preserve">lub TK </w:t>
            </w:r>
            <w:r w:rsidRPr="00373757">
              <w:rPr>
                <w:rFonts w:ascii="Times New Roman" w:hAnsi="Times New Roman" w:cs="Times New Roman"/>
                <w:sz w:val="20"/>
                <w:szCs w:val="20"/>
                <w:lang w:val="pl-PL"/>
              </w:rPr>
              <w:t>jamy brzusznej</w:t>
            </w:r>
            <w:r w:rsidR="005C4322" w:rsidRPr="00373757">
              <w:rPr>
                <w:rFonts w:ascii="Times New Roman" w:hAnsi="Times New Roman" w:cs="Times New Roman"/>
                <w:sz w:val="20"/>
                <w:szCs w:val="20"/>
                <w:lang w:val="pl-PL"/>
              </w:rPr>
              <w:t xml:space="preserve"> – wybór rodzaju badania w zależności od możliwości oceny wymiarów zmian</w:t>
            </w:r>
            <w:r w:rsidRPr="00373757">
              <w:rPr>
                <w:rFonts w:ascii="Times New Roman" w:hAnsi="Times New Roman" w:cs="Times New Roman"/>
                <w:sz w:val="20"/>
                <w:szCs w:val="20"/>
                <w:lang w:val="pl-PL"/>
              </w:rPr>
              <w:t>,</w:t>
            </w:r>
          </w:p>
          <w:p w14:paraId="03A18026" w14:textId="77777777" w:rsidR="00584E61"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 xml:space="preserve">h) RTG </w:t>
            </w:r>
            <w:r w:rsidR="005C4322" w:rsidRPr="00373757">
              <w:rPr>
                <w:rFonts w:ascii="Times New Roman" w:hAnsi="Times New Roman" w:cs="Times New Roman"/>
                <w:sz w:val="20"/>
                <w:szCs w:val="20"/>
                <w:lang w:val="pl-PL"/>
              </w:rPr>
              <w:t xml:space="preserve">lub TK </w:t>
            </w:r>
            <w:r w:rsidRPr="00373757">
              <w:rPr>
                <w:rFonts w:ascii="Times New Roman" w:hAnsi="Times New Roman" w:cs="Times New Roman"/>
                <w:sz w:val="20"/>
                <w:szCs w:val="20"/>
                <w:lang w:val="pl-PL"/>
              </w:rPr>
              <w:t>klatki piersiowej</w:t>
            </w:r>
            <w:r w:rsidR="005C4322" w:rsidRPr="00373757">
              <w:rPr>
                <w:rFonts w:ascii="Times New Roman" w:hAnsi="Times New Roman" w:cs="Times New Roman"/>
                <w:sz w:val="20"/>
                <w:szCs w:val="20"/>
                <w:lang w:val="pl-PL"/>
              </w:rPr>
              <w:t xml:space="preserve"> – wybór rodzaju badania w zależności od możliwości oceny wymiarów zmian</w:t>
            </w:r>
            <w:r w:rsidRPr="00373757">
              <w:rPr>
                <w:rFonts w:ascii="Times New Roman" w:hAnsi="Times New Roman" w:cs="Times New Roman"/>
                <w:sz w:val="20"/>
                <w:szCs w:val="20"/>
                <w:lang w:val="pl-PL"/>
              </w:rPr>
              <w:t>,</w:t>
            </w:r>
            <w:r w:rsidR="0030031C" w:rsidRPr="00373757">
              <w:rPr>
                <w:rFonts w:ascii="Times New Roman" w:hAnsi="Times New Roman" w:cs="Times New Roman"/>
                <w:sz w:val="20"/>
                <w:szCs w:val="20"/>
                <w:lang w:val="pl-PL"/>
              </w:rPr>
              <w:t xml:space="preserve"> </w:t>
            </w:r>
          </w:p>
          <w:p w14:paraId="65BDF11E" w14:textId="77777777" w:rsidR="0030031C" w:rsidRPr="00373757" w:rsidRDefault="0030031C"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i) scyntygrafia kośćca (w zależności od oceny klinicznej),</w:t>
            </w:r>
          </w:p>
          <w:p w14:paraId="42D7F865" w14:textId="77777777" w:rsidR="0078218B" w:rsidRPr="00373757" w:rsidRDefault="0030031C"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lastRenderedPageBreak/>
              <w:t>j) mammografia lub USG piersi wraz z dołami pachowymi – u chorych leczonych przedoperacyjnie (w uzasadnionych sytuacjach klinicznych zamiennie CT lub NMR piersi) w zależności od możliwości oceny</w:t>
            </w:r>
            <w:r w:rsidR="00584E61" w:rsidRPr="00373757">
              <w:rPr>
                <w:rFonts w:ascii="Times New Roman" w:hAnsi="Times New Roman" w:cs="Times New Roman"/>
                <w:sz w:val="20"/>
                <w:szCs w:val="20"/>
                <w:lang w:val="pl-PL"/>
              </w:rPr>
              <w:t xml:space="preserve"> </w:t>
            </w:r>
            <w:r w:rsidR="0078218B" w:rsidRPr="00373757">
              <w:rPr>
                <w:rFonts w:ascii="Times New Roman" w:hAnsi="Times New Roman" w:cs="Times New Roman"/>
                <w:sz w:val="20"/>
                <w:szCs w:val="20"/>
                <w:lang w:val="pl-PL"/>
              </w:rPr>
              <w:t>wymiarów zmian przed leczeniem,</w:t>
            </w:r>
          </w:p>
          <w:p w14:paraId="72611521"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 xml:space="preserve">k) EKG, </w:t>
            </w:r>
          </w:p>
          <w:p w14:paraId="1174760C"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 xml:space="preserve">l) badanie ECHO lub MUGA (scyntygrafia bramkowana serca), </w:t>
            </w:r>
          </w:p>
          <w:p w14:paraId="3BE162EE"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m) konsultacja kardiologiczna – wyłącznie u pacjentów ze współistniejącymi schorzeniami układu sercowo-naczyniowego w wywiadzie i ze wskazań klinicznych</w:t>
            </w:r>
          </w:p>
          <w:p w14:paraId="509D239F" w14:textId="77777777" w:rsidR="0078218B" w:rsidRPr="00373757" w:rsidRDefault="00554EFF"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n) test ciążowy (u kobiet z moż</w:t>
            </w:r>
            <w:r w:rsidR="0078218B" w:rsidRPr="00373757">
              <w:rPr>
                <w:rFonts w:ascii="Times New Roman" w:hAnsi="Times New Roman" w:cs="Times New Roman"/>
                <w:sz w:val="20"/>
                <w:szCs w:val="20"/>
                <w:lang w:val="pl-PL"/>
              </w:rPr>
              <w:t>liwo</w:t>
            </w:r>
            <w:r w:rsidRPr="00373757">
              <w:rPr>
                <w:rFonts w:ascii="Times New Roman" w:hAnsi="Times New Roman" w:cs="Times New Roman"/>
                <w:sz w:val="20"/>
                <w:szCs w:val="20"/>
                <w:lang w:val="pl-PL"/>
              </w:rPr>
              <w:t>ścią</w:t>
            </w:r>
            <w:r w:rsidR="0078218B" w:rsidRPr="00373757">
              <w:rPr>
                <w:rFonts w:ascii="Times New Roman" w:hAnsi="Times New Roman" w:cs="Times New Roman"/>
                <w:sz w:val="20"/>
                <w:szCs w:val="20"/>
                <w:lang w:val="pl-PL"/>
              </w:rPr>
              <w:t xml:space="preserve"> zajścia w ciążę).</w:t>
            </w:r>
          </w:p>
          <w:p w14:paraId="68E84D84" w14:textId="77777777" w:rsidR="00373757" w:rsidRPr="00373757" w:rsidRDefault="00373757" w:rsidP="00373757">
            <w:pPr>
              <w:autoSpaceDE w:val="0"/>
              <w:autoSpaceDN w:val="0"/>
              <w:adjustRightInd w:val="0"/>
              <w:spacing w:after="120"/>
              <w:rPr>
                <w:rFonts w:ascii="Times New Roman" w:hAnsi="Times New Roman" w:cs="Times New Roman"/>
                <w:b/>
                <w:sz w:val="20"/>
                <w:szCs w:val="20"/>
                <w:lang w:val="pl-PL"/>
              </w:rPr>
            </w:pPr>
          </w:p>
          <w:p w14:paraId="376C5877" w14:textId="77777777" w:rsidR="0078218B" w:rsidRPr="00373757" w:rsidRDefault="00B3203D"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b/>
                <w:sz w:val="20"/>
                <w:szCs w:val="20"/>
                <w:lang w:val="pl-PL"/>
              </w:rPr>
              <w:t>1</w:t>
            </w:r>
            <w:r w:rsidR="0078218B" w:rsidRPr="00373757">
              <w:rPr>
                <w:rFonts w:ascii="Times New Roman" w:hAnsi="Times New Roman" w:cs="Times New Roman"/>
                <w:b/>
                <w:sz w:val="20"/>
                <w:szCs w:val="20"/>
                <w:lang w:val="pl-PL"/>
              </w:rPr>
              <w:t>.2 Monitorowanie leczenia</w:t>
            </w:r>
            <w:r w:rsidR="00980FBB" w:rsidRPr="00373757">
              <w:rPr>
                <w:rFonts w:ascii="Times New Roman" w:hAnsi="Times New Roman" w:cs="Times New Roman"/>
                <w:sz w:val="20"/>
                <w:szCs w:val="20"/>
                <w:lang w:val="pl-PL"/>
              </w:rPr>
              <w:t>.</w:t>
            </w:r>
          </w:p>
          <w:p w14:paraId="528A8E91" w14:textId="77777777" w:rsidR="00980FB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1) Bada</w:t>
            </w:r>
            <w:r w:rsidR="00980FBB" w:rsidRPr="00373757">
              <w:rPr>
                <w:rFonts w:ascii="Times New Roman" w:hAnsi="Times New Roman" w:cs="Times New Roman"/>
                <w:sz w:val="20"/>
                <w:szCs w:val="20"/>
                <w:lang w:val="pl-PL"/>
              </w:rPr>
              <w:t xml:space="preserve">nia wykonywane nie rzadziej niż </w:t>
            </w:r>
            <w:r w:rsidRPr="00373757">
              <w:rPr>
                <w:rFonts w:ascii="Times New Roman" w:hAnsi="Times New Roman" w:cs="Times New Roman"/>
                <w:sz w:val="20"/>
                <w:szCs w:val="20"/>
                <w:lang w:val="pl-PL"/>
              </w:rPr>
              <w:t xml:space="preserve"> raz na 3 tygodnie </w:t>
            </w:r>
            <w:r w:rsidR="00980FBB" w:rsidRPr="00373757">
              <w:rPr>
                <w:rFonts w:ascii="Times New Roman" w:hAnsi="Times New Roman" w:cs="Times New Roman"/>
                <w:sz w:val="20"/>
                <w:szCs w:val="20"/>
                <w:lang w:val="pl-PL"/>
              </w:rPr>
              <w:t>:</w:t>
            </w:r>
          </w:p>
          <w:p w14:paraId="288C3981" w14:textId="77777777" w:rsidR="0078218B" w:rsidRPr="00373757" w:rsidRDefault="00B3203D"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  morfologia krwi z rozmazem,</w:t>
            </w:r>
            <w:r w:rsidR="00BB58AA" w:rsidRPr="00373757">
              <w:rPr>
                <w:rFonts w:ascii="Times New Roman" w:hAnsi="Times New Roman" w:cs="Times New Roman"/>
                <w:sz w:val="20"/>
                <w:szCs w:val="20"/>
                <w:lang w:val="pl-PL"/>
              </w:rPr>
              <w:t xml:space="preserve"> </w:t>
            </w:r>
          </w:p>
          <w:p w14:paraId="2686C1C3"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  poziom kreatyniny,</w:t>
            </w:r>
          </w:p>
          <w:p w14:paraId="1AC41CA6"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  poziom AlAT,</w:t>
            </w:r>
          </w:p>
          <w:p w14:paraId="708BD8BB"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 poziom AspAT,</w:t>
            </w:r>
          </w:p>
          <w:p w14:paraId="40066243"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 stężenie bilirubiny,</w:t>
            </w:r>
          </w:p>
          <w:p w14:paraId="4FF48692"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2) Badania wykonywane nie rzadziej niż co 6 tygodni:</w:t>
            </w:r>
          </w:p>
          <w:p w14:paraId="72DB6DE5" w14:textId="77777777" w:rsidR="0078218B" w:rsidRPr="00373757" w:rsidRDefault="0078218B"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 xml:space="preserve">a) USG piersi wraz z dołami pachowymi (u chorych leczonych przedoperacyjnie) w celu oceny odpowiedzi na leczenie (w uzasadnionych sytuacjach klinicznych zamiennie CT lub NMR piersi – należy zastosować tę samą metodę co wyjściowo przed leczeniem). Dobór badań musi umożliwić ocenę odpowiedzi na leczenie. </w:t>
            </w:r>
          </w:p>
          <w:p w14:paraId="6713E8BE" w14:textId="77777777" w:rsidR="0078218B" w:rsidRPr="00373757" w:rsidRDefault="00B3203D"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b</w:t>
            </w:r>
            <w:r w:rsidR="0078218B" w:rsidRPr="00373757">
              <w:rPr>
                <w:rFonts w:ascii="Times New Roman" w:hAnsi="Times New Roman" w:cs="Times New Roman"/>
                <w:sz w:val="20"/>
                <w:szCs w:val="20"/>
                <w:lang w:val="pl-PL"/>
              </w:rPr>
              <w:t xml:space="preserve">) EKG, </w:t>
            </w:r>
          </w:p>
          <w:p w14:paraId="01D4B94A" w14:textId="77777777" w:rsidR="0078218B" w:rsidRPr="00373757" w:rsidRDefault="00B3203D"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lastRenderedPageBreak/>
              <w:t>c</w:t>
            </w:r>
            <w:r w:rsidR="0078218B" w:rsidRPr="00373757">
              <w:rPr>
                <w:rFonts w:ascii="Times New Roman" w:hAnsi="Times New Roman" w:cs="Times New Roman"/>
                <w:sz w:val="20"/>
                <w:szCs w:val="20"/>
                <w:lang w:val="pl-PL"/>
              </w:rPr>
              <w:t xml:space="preserve">) ECHO lub MUGA (scyntygrafia bramkowana serca), </w:t>
            </w:r>
          </w:p>
          <w:p w14:paraId="58D4ED73" w14:textId="77777777" w:rsidR="0078218B" w:rsidRPr="00373757" w:rsidRDefault="00B3203D" w:rsidP="00373757">
            <w:pPr>
              <w:autoSpaceDE w:val="0"/>
              <w:autoSpaceDN w:val="0"/>
              <w:adjustRightInd w:val="0"/>
              <w:spacing w:after="120"/>
              <w:rPr>
                <w:rFonts w:ascii="Times New Roman" w:hAnsi="Times New Roman" w:cs="Times New Roman"/>
                <w:b/>
                <w:sz w:val="20"/>
                <w:szCs w:val="20"/>
                <w:lang w:val="pl-PL"/>
              </w:rPr>
            </w:pPr>
            <w:r w:rsidRPr="00373757">
              <w:rPr>
                <w:rFonts w:ascii="Times New Roman" w:hAnsi="Times New Roman" w:cs="Times New Roman"/>
                <w:b/>
                <w:sz w:val="20"/>
                <w:szCs w:val="20"/>
                <w:lang w:val="pl-PL"/>
              </w:rPr>
              <w:t>2</w:t>
            </w:r>
            <w:r w:rsidR="00584E61" w:rsidRPr="00373757">
              <w:rPr>
                <w:rFonts w:ascii="Times New Roman" w:hAnsi="Times New Roman" w:cs="Times New Roman"/>
                <w:b/>
                <w:sz w:val="20"/>
                <w:szCs w:val="20"/>
                <w:lang w:val="pl-PL"/>
              </w:rPr>
              <w:t>. Monitorowanie programu</w:t>
            </w:r>
          </w:p>
          <w:p w14:paraId="7BA63D00" w14:textId="77777777" w:rsidR="00584E61" w:rsidRPr="00373757" w:rsidRDefault="00584E61"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1) gromadzenie w dokumentacji medycznej pacjenta danych dotyczących monitorowania leczenia i każdorazowe ich przedstawianie na żądanie kontrolerów Narodowego Funduszu Zdrowia;</w:t>
            </w:r>
          </w:p>
          <w:p w14:paraId="337F333E" w14:textId="77777777" w:rsidR="00584E61" w:rsidRPr="00373757" w:rsidRDefault="00584E61"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2) uzupełnienie danych zawartych w rejestrze (SMPT) dostępnym za pomocą aplikacji internetowej udostępnionej przez OW NFZ, z częstotliwością zgodną z opisem programu oraz na zakończenie leczenia;</w:t>
            </w:r>
          </w:p>
          <w:p w14:paraId="31DDB04F" w14:textId="77777777" w:rsidR="0078218B" w:rsidRPr="00373757" w:rsidRDefault="00584E61" w:rsidP="00373757">
            <w:pPr>
              <w:autoSpaceDE w:val="0"/>
              <w:autoSpaceDN w:val="0"/>
              <w:adjustRightInd w:val="0"/>
              <w:spacing w:after="120"/>
              <w:rPr>
                <w:rFonts w:ascii="Times New Roman" w:hAnsi="Times New Roman" w:cs="Times New Roman"/>
                <w:sz w:val="20"/>
                <w:szCs w:val="20"/>
                <w:lang w:val="pl-PL"/>
              </w:rPr>
            </w:pPr>
            <w:r w:rsidRPr="00373757">
              <w:rPr>
                <w:rFonts w:ascii="Times New Roman" w:hAnsi="Times New Roman" w:cs="Times New Roman"/>
                <w:sz w:val="20"/>
                <w:szCs w:val="20"/>
                <w:lang w:val="pl-PL"/>
              </w:rPr>
              <w:t>3) przekazywanie informacji sprawozdawczo-rozliczeniowych do NFZ: informacje przekazuje się do NFZ w formie papierowej lub w formie elektronicznej, zgodnie z wymaganiami opublikowanymi przez Narodowy Fundusz Zdrowia.</w:t>
            </w:r>
          </w:p>
          <w:p w14:paraId="20C197EC" w14:textId="77777777" w:rsidR="0078218B" w:rsidRPr="00373757" w:rsidRDefault="0078218B" w:rsidP="00373757">
            <w:pPr>
              <w:autoSpaceDE w:val="0"/>
              <w:autoSpaceDN w:val="0"/>
              <w:adjustRightInd w:val="0"/>
              <w:spacing w:after="120"/>
              <w:rPr>
                <w:rFonts w:ascii="Times New Roman" w:hAnsi="Times New Roman" w:cs="Times New Roman"/>
                <w:b/>
                <w:sz w:val="20"/>
                <w:szCs w:val="20"/>
                <w:lang w:val="pl-PL"/>
              </w:rPr>
            </w:pPr>
          </w:p>
        </w:tc>
      </w:tr>
    </w:tbl>
    <w:p w14:paraId="70B5E9CC" w14:textId="77777777" w:rsidR="004503EE" w:rsidRPr="00760651" w:rsidRDefault="004503EE">
      <w:pPr>
        <w:rPr>
          <w:sz w:val="20"/>
          <w:szCs w:val="20"/>
          <w:lang w:val="pl-PL"/>
        </w:rPr>
      </w:pPr>
    </w:p>
    <w:sectPr w:rsidR="004503EE" w:rsidRPr="00760651" w:rsidSect="00DF0603">
      <w:pgSz w:w="16839" w:h="11907" w:orient="landscape" w:code="9"/>
      <w:pgMar w:top="1588" w:right="720" w:bottom="141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CDFD5" w14:textId="77777777" w:rsidR="00FC7E0C" w:rsidRDefault="00FC7E0C" w:rsidP="00B3203D">
      <w:pPr>
        <w:spacing w:after="0" w:line="240" w:lineRule="auto"/>
      </w:pPr>
      <w:r>
        <w:separator/>
      </w:r>
    </w:p>
  </w:endnote>
  <w:endnote w:type="continuationSeparator" w:id="0">
    <w:p w14:paraId="5A180A81" w14:textId="77777777" w:rsidR="00FC7E0C" w:rsidRDefault="00FC7E0C" w:rsidP="00B3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501CB" w14:textId="77777777" w:rsidR="00FC7E0C" w:rsidRDefault="00FC7E0C" w:rsidP="00B3203D">
      <w:pPr>
        <w:spacing w:after="0" w:line="240" w:lineRule="auto"/>
      </w:pPr>
      <w:r>
        <w:separator/>
      </w:r>
    </w:p>
  </w:footnote>
  <w:footnote w:type="continuationSeparator" w:id="0">
    <w:p w14:paraId="301BA182" w14:textId="77777777" w:rsidR="00FC7E0C" w:rsidRDefault="00FC7E0C" w:rsidP="00B320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5A49"/>
    <w:multiLevelType w:val="multilevel"/>
    <w:tmpl w:val="C248EDC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D86D7D"/>
    <w:multiLevelType w:val="multilevel"/>
    <w:tmpl w:val="5A76B274"/>
    <w:lvl w:ilvl="0">
      <w:start w:val="1"/>
      <w:numFmt w:val="decimal"/>
      <w:lvlText w:val="%1)"/>
      <w:lvlJc w:val="left"/>
      <w:pPr>
        <w:ind w:left="357" w:hanging="357"/>
      </w:pPr>
      <w:rPr>
        <w:rFonts w:hint="default"/>
      </w:rPr>
    </w:lvl>
    <w:lvl w:ilvl="1">
      <w:start w:val="1"/>
      <w:numFmt w:val="lowerLetter"/>
      <w:lvlText w:val="%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0BEA4EAE"/>
    <w:multiLevelType w:val="multilevel"/>
    <w:tmpl w:val="5282AF5A"/>
    <w:lvl w:ilvl="0">
      <w:start w:val="1"/>
      <w:numFmt w:val="decimal"/>
      <w:lvlText w:val="%1."/>
      <w:lvlJc w:val="left"/>
      <w:pPr>
        <w:ind w:left="357" w:firstLine="0"/>
      </w:pPr>
      <w:rPr>
        <w:rFonts w:asciiTheme="minorHAnsi" w:eastAsiaTheme="minorEastAsia" w:hAnsiTheme="minorHAnsi" w:cstheme="minorBidi" w:hint="default"/>
        <w:b/>
      </w:rPr>
    </w:lvl>
    <w:lvl w:ilvl="1">
      <w:start w:val="1"/>
      <w:numFmt w:val="lowerLetter"/>
      <w:lvlText w:val="%2)"/>
      <w:lvlJc w:val="left"/>
      <w:pPr>
        <w:ind w:left="714" w:firstLine="0"/>
      </w:pPr>
      <w:rPr>
        <w:rFonts w:hint="default"/>
      </w:rPr>
    </w:lvl>
    <w:lvl w:ilvl="2">
      <w:start w:val="1"/>
      <w:numFmt w:val="lowerRoman"/>
      <w:lvlText w:val="%3)"/>
      <w:lvlJc w:val="left"/>
      <w:pPr>
        <w:ind w:left="1071" w:firstLine="0"/>
      </w:pPr>
      <w:rPr>
        <w:rFonts w:hint="default"/>
      </w:rPr>
    </w:lvl>
    <w:lvl w:ilvl="3">
      <w:start w:val="1"/>
      <w:numFmt w:val="decimal"/>
      <w:lvlText w:val="(%4)"/>
      <w:lvlJc w:val="left"/>
      <w:pPr>
        <w:ind w:left="1428" w:firstLine="0"/>
      </w:pPr>
      <w:rPr>
        <w:rFonts w:hint="default"/>
      </w:rPr>
    </w:lvl>
    <w:lvl w:ilvl="4">
      <w:start w:val="1"/>
      <w:numFmt w:val="lowerLetter"/>
      <w:lvlText w:val="(%5)"/>
      <w:lvlJc w:val="left"/>
      <w:pPr>
        <w:ind w:left="1785" w:firstLine="0"/>
      </w:pPr>
      <w:rPr>
        <w:rFonts w:hint="default"/>
      </w:rPr>
    </w:lvl>
    <w:lvl w:ilvl="5">
      <w:start w:val="1"/>
      <w:numFmt w:val="lowerRoman"/>
      <w:lvlText w:val="(%6)"/>
      <w:lvlJc w:val="left"/>
      <w:pPr>
        <w:ind w:left="2142" w:firstLine="0"/>
      </w:pPr>
      <w:rPr>
        <w:rFonts w:hint="default"/>
      </w:rPr>
    </w:lvl>
    <w:lvl w:ilvl="6">
      <w:start w:val="1"/>
      <w:numFmt w:val="decimal"/>
      <w:lvlText w:val="%7."/>
      <w:lvlJc w:val="left"/>
      <w:pPr>
        <w:ind w:left="2499" w:firstLine="0"/>
      </w:pPr>
      <w:rPr>
        <w:rFonts w:hint="default"/>
      </w:rPr>
    </w:lvl>
    <w:lvl w:ilvl="7">
      <w:start w:val="1"/>
      <w:numFmt w:val="lowerLetter"/>
      <w:lvlText w:val="%8."/>
      <w:lvlJc w:val="left"/>
      <w:pPr>
        <w:ind w:left="2856" w:firstLine="0"/>
      </w:pPr>
      <w:rPr>
        <w:rFonts w:hint="default"/>
      </w:rPr>
    </w:lvl>
    <w:lvl w:ilvl="8">
      <w:start w:val="1"/>
      <w:numFmt w:val="lowerRoman"/>
      <w:lvlText w:val="%9."/>
      <w:lvlJc w:val="left"/>
      <w:pPr>
        <w:ind w:left="3213" w:firstLine="0"/>
      </w:pPr>
      <w:rPr>
        <w:rFonts w:hint="default"/>
      </w:rPr>
    </w:lvl>
  </w:abstractNum>
  <w:abstractNum w:abstractNumId="3" w15:restartNumberingAfterBreak="0">
    <w:nsid w:val="0EFC0741"/>
    <w:multiLevelType w:val="multilevel"/>
    <w:tmpl w:val="FD2E53B2"/>
    <w:lvl w:ilvl="0">
      <w:start w:val="1"/>
      <w:numFmt w:val="decimal"/>
      <w:lvlText w:val="%1)"/>
      <w:lvlJc w:val="left"/>
      <w:pPr>
        <w:ind w:left="714" w:hanging="357"/>
      </w:pPr>
      <w:rPr>
        <w:rFonts w:hint="default"/>
      </w:rPr>
    </w:lvl>
    <w:lvl w:ilvl="1">
      <w:start w:val="1"/>
      <w:numFmt w:val="lowerLetter"/>
      <w:lvlText w:val="%2)"/>
      <w:lvlJc w:val="left"/>
      <w:pPr>
        <w:ind w:left="1071" w:hanging="357"/>
      </w:pPr>
      <w:rPr>
        <w:rFonts w:hint="default"/>
      </w:rPr>
    </w:lvl>
    <w:lvl w:ilvl="2">
      <w:start w:val="1"/>
      <w:numFmt w:val="lowerRoman"/>
      <w:lvlText w:val="%3)"/>
      <w:lvlJc w:val="lef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lef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left"/>
      <w:pPr>
        <w:ind w:left="3570" w:hanging="357"/>
      </w:pPr>
      <w:rPr>
        <w:rFonts w:hint="default"/>
      </w:rPr>
    </w:lvl>
  </w:abstractNum>
  <w:abstractNum w:abstractNumId="4" w15:restartNumberingAfterBreak="0">
    <w:nsid w:val="1E9908AE"/>
    <w:multiLevelType w:val="multilevel"/>
    <w:tmpl w:val="B19AE75E"/>
    <w:lvl w:ilvl="0">
      <w:start w:val="1"/>
      <w:numFmt w:val="decimal"/>
      <w:lvlText w:val="%1)"/>
      <w:lvlJc w:val="left"/>
      <w:pPr>
        <w:ind w:left="714" w:hanging="357"/>
      </w:pPr>
      <w:rPr>
        <w:rFonts w:hint="default"/>
      </w:rPr>
    </w:lvl>
    <w:lvl w:ilvl="1">
      <w:start w:val="1"/>
      <w:numFmt w:val="lowerLetter"/>
      <w:lvlText w:val="%2)"/>
      <w:lvlJc w:val="left"/>
      <w:pPr>
        <w:ind w:left="1071" w:hanging="357"/>
      </w:pPr>
      <w:rPr>
        <w:rFonts w:hint="default"/>
      </w:rPr>
    </w:lvl>
    <w:lvl w:ilvl="2">
      <w:start w:val="1"/>
      <w:numFmt w:val="lowerRoman"/>
      <w:lvlText w:val="%3)"/>
      <w:lvlJc w:val="lef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lef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left"/>
      <w:pPr>
        <w:ind w:left="3570" w:hanging="357"/>
      </w:pPr>
      <w:rPr>
        <w:rFonts w:hint="default"/>
      </w:rPr>
    </w:lvl>
  </w:abstractNum>
  <w:abstractNum w:abstractNumId="5" w15:restartNumberingAfterBreak="0">
    <w:nsid w:val="262B0543"/>
    <w:multiLevelType w:val="hybridMultilevel"/>
    <w:tmpl w:val="547218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F24CA"/>
    <w:multiLevelType w:val="multilevel"/>
    <w:tmpl w:val="0F4C3F9A"/>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34101873"/>
    <w:multiLevelType w:val="hybridMultilevel"/>
    <w:tmpl w:val="D490286E"/>
    <w:lvl w:ilvl="0" w:tplc="647A0DCE">
      <w:start w:val="1"/>
      <w:numFmt w:val="decimal"/>
      <w:lvlText w:val="%1."/>
      <w:lvlJc w:val="left"/>
      <w:pPr>
        <w:ind w:left="720" w:hanging="360"/>
      </w:pPr>
      <w:rPr>
        <w:rFonts w:hint="default"/>
        <w:b w:val="0"/>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FC7CC5"/>
    <w:multiLevelType w:val="multilevel"/>
    <w:tmpl w:val="5282AF5A"/>
    <w:lvl w:ilvl="0">
      <w:start w:val="1"/>
      <w:numFmt w:val="decimal"/>
      <w:lvlText w:val="%1."/>
      <w:lvlJc w:val="left"/>
      <w:pPr>
        <w:ind w:left="357" w:firstLine="0"/>
      </w:pPr>
      <w:rPr>
        <w:rFonts w:asciiTheme="minorHAnsi" w:eastAsiaTheme="minorEastAsia" w:hAnsiTheme="minorHAnsi" w:cstheme="minorBidi" w:hint="default"/>
        <w:b/>
      </w:rPr>
    </w:lvl>
    <w:lvl w:ilvl="1">
      <w:start w:val="1"/>
      <w:numFmt w:val="lowerLetter"/>
      <w:lvlText w:val="%2)"/>
      <w:lvlJc w:val="left"/>
      <w:pPr>
        <w:ind w:left="714" w:firstLine="0"/>
      </w:pPr>
      <w:rPr>
        <w:rFonts w:hint="default"/>
      </w:rPr>
    </w:lvl>
    <w:lvl w:ilvl="2">
      <w:start w:val="1"/>
      <w:numFmt w:val="lowerRoman"/>
      <w:lvlText w:val="%3)"/>
      <w:lvlJc w:val="left"/>
      <w:pPr>
        <w:ind w:left="1071" w:firstLine="0"/>
      </w:pPr>
      <w:rPr>
        <w:rFonts w:hint="default"/>
      </w:rPr>
    </w:lvl>
    <w:lvl w:ilvl="3">
      <w:start w:val="1"/>
      <w:numFmt w:val="decimal"/>
      <w:lvlText w:val="(%4)"/>
      <w:lvlJc w:val="left"/>
      <w:pPr>
        <w:ind w:left="1428" w:firstLine="0"/>
      </w:pPr>
      <w:rPr>
        <w:rFonts w:hint="default"/>
      </w:rPr>
    </w:lvl>
    <w:lvl w:ilvl="4">
      <w:start w:val="1"/>
      <w:numFmt w:val="lowerLetter"/>
      <w:lvlText w:val="(%5)"/>
      <w:lvlJc w:val="left"/>
      <w:pPr>
        <w:ind w:left="1785" w:firstLine="0"/>
      </w:pPr>
      <w:rPr>
        <w:rFonts w:hint="default"/>
      </w:rPr>
    </w:lvl>
    <w:lvl w:ilvl="5">
      <w:start w:val="1"/>
      <w:numFmt w:val="lowerRoman"/>
      <w:lvlText w:val="(%6)"/>
      <w:lvlJc w:val="left"/>
      <w:pPr>
        <w:ind w:left="2142" w:firstLine="0"/>
      </w:pPr>
      <w:rPr>
        <w:rFonts w:hint="default"/>
      </w:rPr>
    </w:lvl>
    <w:lvl w:ilvl="6">
      <w:start w:val="1"/>
      <w:numFmt w:val="decimal"/>
      <w:lvlText w:val="%7."/>
      <w:lvlJc w:val="left"/>
      <w:pPr>
        <w:ind w:left="2499" w:firstLine="0"/>
      </w:pPr>
      <w:rPr>
        <w:rFonts w:hint="default"/>
      </w:rPr>
    </w:lvl>
    <w:lvl w:ilvl="7">
      <w:start w:val="1"/>
      <w:numFmt w:val="lowerLetter"/>
      <w:lvlText w:val="%8."/>
      <w:lvlJc w:val="left"/>
      <w:pPr>
        <w:ind w:left="2856" w:firstLine="0"/>
      </w:pPr>
      <w:rPr>
        <w:rFonts w:hint="default"/>
      </w:rPr>
    </w:lvl>
    <w:lvl w:ilvl="8">
      <w:start w:val="1"/>
      <w:numFmt w:val="lowerRoman"/>
      <w:lvlText w:val="%9."/>
      <w:lvlJc w:val="left"/>
      <w:pPr>
        <w:ind w:left="3213" w:firstLine="0"/>
      </w:pPr>
      <w:rPr>
        <w:rFonts w:hint="default"/>
      </w:rPr>
    </w:lvl>
  </w:abstractNum>
  <w:abstractNum w:abstractNumId="9" w15:restartNumberingAfterBreak="0">
    <w:nsid w:val="453E1C2C"/>
    <w:multiLevelType w:val="hybridMultilevel"/>
    <w:tmpl w:val="F4DC528C"/>
    <w:lvl w:ilvl="0" w:tplc="04150011">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1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0" w15:restartNumberingAfterBreak="0">
    <w:nsid w:val="461735D7"/>
    <w:multiLevelType w:val="hybridMultilevel"/>
    <w:tmpl w:val="7756995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7F509216">
      <w:start w:val="1"/>
      <w:numFmt w:val="decimal"/>
      <w:lvlText w:val="%3."/>
      <w:lvlJc w:val="left"/>
      <w:pPr>
        <w:ind w:left="2486"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A00C5E"/>
    <w:multiLevelType w:val="multilevel"/>
    <w:tmpl w:val="51D26E5E"/>
    <w:lvl w:ilvl="0">
      <w:start w:val="1"/>
      <w:numFmt w:val="decimal"/>
      <w:lvlText w:val="%1)"/>
      <w:lvlJc w:val="left"/>
      <w:pPr>
        <w:ind w:left="714" w:hanging="357"/>
      </w:pPr>
      <w:rPr>
        <w:rFonts w:hint="default"/>
      </w:rPr>
    </w:lvl>
    <w:lvl w:ilvl="1">
      <w:start w:val="1"/>
      <w:numFmt w:val="lowerLetter"/>
      <w:lvlText w:val="%2)"/>
      <w:lvlJc w:val="left"/>
      <w:pPr>
        <w:ind w:left="1071" w:hanging="357"/>
      </w:pPr>
      <w:rPr>
        <w:rFonts w:hint="default"/>
      </w:rPr>
    </w:lvl>
    <w:lvl w:ilvl="2">
      <w:start w:val="1"/>
      <w:numFmt w:val="lowerRoman"/>
      <w:lvlText w:val="%3)"/>
      <w:lvlJc w:val="lef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lef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left"/>
      <w:pPr>
        <w:ind w:left="3570" w:hanging="357"/>
      </w:pPr>
      <w:rPr>
        <w:rFonts w:hint="default"/>
      </w:rPr>
    </w:lvl>
  </w:abstractNum>
  <w:abstractNum w:abstractNumId="12" w15:restartNumberingAfterBreak="0">
    <w:nsid w:val="4B1827D7"/>
    <w:multiLevelType w:val="multilevel"/>
    <w:tmpl w:val="0344B010"/>
    <w:lvl w:ilvl="0">
      <w:start w:val="1"/>
      <w:numFmt w:val="decimal"/>
      <w:lvlText w:val="%1)"/>
      <w:lvlJc w:val="left"/>
      <w:pPr>
        <w:ind w:left="357" w:firstLine="0"/>
      </w:pPr>
      <w:rPr>
        <w:rFonts w:hint="default"/>
      </w:rPr>
    </w:lvl>
    <w:lvl w:ilvl="1">
      <w:start w:val="1"/>
      <w:numFmt w:val="lowerLetter"/>
      <w:lvlText w:val="%2)"/>
      <w:lvlJc w:val="left"/>
      <w:pPr>
        <w:ind w:left="714" w:firstLine="0"/>
      </w:pPr>
      <w:rPr>
        <w:rFonts w:hint="default"/>
      </w:rPr>
    </w:lvl>
    <w:lvl w:ilvl="2">
      <w:start w:val="1"/>
      <w:numFmt w:val="lowerRoman"/>
      <w:lvlText w:val="%3)"/>
      <w:lvlJc w:val="left"/>
      <w:pPr>
        <w:ind w:left="1071" w:firstLine="0"/>
      </w:pPr>
      <w:rPr>
        <w:rFonts w:hint="default"/>
      </w:rPr>
    </w:lvl>
    <w:lvl w:ilvl="3">
      <w:start w:val="1"/>
      <w:numFmt w:val="decimal"/>
      <w:lvlText w:val="(%4)"/>
      <w:lvlJc w:val="left"/>
      <w:pPr>
        <w:ind w:left="1428" w:firstLine="0"/>
      </w:pPr>
      <w:rPr>
        <w:rFonts w:hint="default"/>
      </w:rPr>
    </w:lvl>
    <w:lvl w:ilvl="4">
      <w:start w:val="1"/>
      <w:numFmt w:val="lowerLetter"/>
      <w:lvlText w:val="(%5)"/>
      <w:lvlJc w:val="left"/>
      <w:pPr>
        <w:ind w:left="1785" w:firstLine="0"/>
      </w:pPr>
      <w:rPr>
        <w:rFonts w:hint="default"/>
      </w:rPr>
    </w:lvl>
    <w:lvl w:ilvl="5">
      <w:start w:val="1"/>
      <w:numFmt w:val="lowerRoman"/>
      <w:lvlText w:val="(%6)"/>
      <w:lvlJc w:val="left"/>
      <w:pPr>
        <w:ind w:left="2142" w:firstLine="0"/>
      </w:pPr>
      <w:rPr>
        <w:rFonts w:hint="default"/>
      </w:rPr>
    </w:lvl>
    <w:lvl w:ilvl="6">
      <w:start w:val="1"/>
      <w:numFmt w:val="decimal"/>
      <w:lvlText w:val="%7."/>
      <w:lvlJc w:val="left"/>
      <w:pPr>
        <w:ind w:left="2499" w:firstLine="0"/>
      </w:pPr>
      <w:rPr>
        <w:rFonts w:hint="default"/>
      </w:rPr>
    </w:lvl>
    <w:lvl w:ilvl="7">
      <w:start w:val="1"/>
      <w:numFmt w:val="lowerLetter"/>
      <w:lvlText w:val="%8."/>
      <w:lvlJc w:val="left"/>
      <w:pPr>
        <w:ind w:left="2856" w:firstLine="0"/>
      </w:pPr>
      <w:rPr>
        <w:rFonts w:hint="default"/>
      </w:rPr>
    </w:lvl>
    <w:lvl w:ilvl="8">
      <w:start w:val="1"/>
      <w:numFmt w:val="lowerRoman"/>
      <w:lvlText w:val="%9."/>
      <w:lvlJc w:val="left"/>
      <w:pPr>
        <w:ind w:left="3213" w:firstLine="0"/>
      </w:pPr>
      <w:rPr>
        <w:rFonts w:hint="default"/>
      </w:rPr>
    </w:lvl>
  </w:abstractNum>
  <w:abstractNum w:abstractNumId="13" w15:restartNumberingAfterBreak="0">
    <w:nsid w:val="4BC17582"/>
    <w:multiLevelType w:val="hybridMultilevel"/>
    <w:tmpl w:val="8BFA87D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F151895"/>
    <w:multiLevelType w:val="multilevel"/>
    <w:tmpl w:val="1968FB56"/>
    <w:lvl w:ilvl="0">
      <w:start w:val="1"/>
      <w:numFmt w:val="decimal"/>
      <w:lvlText w:val="%1)"/>
      <w:lvlJc w:val="left"/>
      <w:pPr>
        <w:ind w:left="714" w:hanging="357"/>
      </w:pPr>
      <w:rPr>
        <w:rFonts w:hint="default"/>
      </w:rPr>
    </w:lvl>
    <w:lvl w:ilvl="1">
      <w:start w:val="1"/>
      <w:numFmt w:val="lowerLetter"/>
      <w:lvlText w:val="%2)"/>
      <w:lvlJc w:val="left"/>
      <w:pPr>
        <w:ind w:left="1071" w:hanging="357"/>
      </w:pPr>
      <w:rPr>
        <w:rFonts w:hint="default"/>
      </w:rPr>
    </w:lvl>
    <w:lvl w:ilvl="2">
      <w:start w:val="1"/>
      <w:numFmt w:val="lowerRoman"/>
      <w:lvlText w:val="%3)"/>
      <w:lvlJc w:val="lef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lef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left"/>
      <w:pPr>
        <w:ind w:left="3570" w:hanging="357"/>
      </w:pPr>
      <w:rPr>
        <w:rFonts w:hint="default"/>
      </w:rPr>
    </w:lvl>
  </w:abstractNum>
  <w:abstractNum w:abstractNumId="15" w15:restartNumberingAfterBreak="0">
    <w:nsid w:val="5201350C"/>
    <w:multiLevelType w:val="hybridMultilevel"/>
    <w:tmpl w:val="2EBC37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04093"/>
    <w:multiLevelType w:val="multilevel"/>
    <w:tmpl w:val="2070D9BA"/>
    <w:lvl w:ilvl="0">
      <w:start w:val="1"/>
      <w:numFmt w:val="decimal"/>
      <w:lvlText w:val="%1)"/>
      <w:lvlJc w:val="left"/>
      <w:pPr>
        <w:ind w:left="357" w:hanging="357"/>
      </w:pPr>
      <w:rPr>
        <w:rFonts w:hint="default"/>
      </w:rPr>
    </w:lvl>
    <w:lvl w:ilvl="1">
      <w:start w:val="1"/>
      <w:numFmt w:val="lowerLetter"/>
      <w:lvlText w:val="%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7" w15:restartNumberingAfterBreak="0">
    <w:nsid w:val="58255EBA"/>
    <w:multiLevelType w:val="hybridMultilevel"/>
    <w:tmpl w:val="AAD09E18"/>
    <w:lvl w:ilvl="0" w:tplc="04150011">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8" w15:restartNumberingAfterBreak="0">
    <w:nsid w:val="5951377D"/>
    <w:multiLevelType w:val="multilevel"/>
    <w:tmpl w:val="D8221518"/>
    <w:lvl w:ilvl="0">
      <w:start w:val="1"/>
      <w:numFmt w:val="decimal"/>
      <w:lvlText w:val="%1)"/>
      <w:lvlJc w:val="left"/>
      <w:pPr>
        <w:ind w:left="714" w:hanging="357"/>
      </w:pPr>
      <w:rPr>
        <w:rFonts w:hint="default"/>
      </w:rPr>
    </w:lvl>
    <w:lvl w:ilvl="1">
      <w:start w:val="1"/>
      <w:numFmt w:val="lowerLetter"/>
      <w:lvlText w:val="%2)"/>
      <w:lvlJc w:val="left"/>
      <w:pPr>
        <w:ind w:left="1071" w:hanging="357"/>
      </w:pPr>
      <w:rPr>
        <w:rFonts w:hint="default"/>
      </w:rPr>
    </w:lvl>
    <w:lvl w:ilvl="2">
      <w:start w:val="1"/>
      <w:numFmt w:val="lowerRoman"/>
      <w:lvlText w:val="%3)"/>
      <w:lvlJc w:val="lef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lef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left"/>
      <w:pPr>
        <w:ind w:left="3570" w:hanging="357"/>
      </w:pPr>
      <w:rPr>
        <w:rFonts w:hint="default"/>
      </w:rPr>
    </w:lvl>
  </w:abstractNum>
  <w:abstractNum w:abstractNumId="19" w15:restartNumberingAfterBreak="0">
    <w:nsid w:val="5FB870F2"/>
    <w:multiLevelType w:val="multilevel"/>
    <w:tmpl w:val="AA6EC526"/>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0" w15:restartNumberingAfterBreak="0">
    <w:nsid w:val="6A2612BA"/>
    <w:multiLevelType w:val="multilevel"/>
    <w:tmpl w:val="E9D06AE6"/>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1" w15:restartNumberingAfterBreak="0">
    <w:nsid w:val="6E673F65"/>
    <w:multiLevelType w:val="multilevel"/>
    <w:tmpl w:val="FE70B5B8"/>
    <w:lvl w:ilvl="0">
      <w:start w:val="1"/>
      <w:numFmt w:val="decimal"/>
      <w:lvlText w:val="%1)"/>
      <w:lvlJc w:val="left"/>
      <w:pPr>
        <w:ind w:left="357" w:hanging="357"/>
      </w:pPr>
      <w:rPr>
        <w:rFonts w:hint="default"/>
      </w:rPr>
    </w:lvl>
    <w:lvl w:ilvl="1">
      <w:start w:val="1"/>
      <w:numFmt w:val="lowerLetter"/>
      <w:lvlText w:val="%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2" w15:restartNumberingAfterBreak="0">
    <w:nsid w:val="79FD3B07"/>
    <w:multiLevelType w:val="hybridMultilevel"/>
    <w:tmpl w:val="014052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F152ED3"/>
    <w:multiLevelType w:val="multilevel"/>
    <w:tmpl w:val="4418B2D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22"/>
  </w:num>
  <w:num w:numId="2">
    <w:abstractNumId w:val="20"/>
  </w:num>
  <w:num w:numId="3">
    <w:abstractNumId w:val="18"/>
  </w:num>
  <w:num w:numId="4">
    <w:abstractNumId w:val="4"/>
  </w:num>
  <w:num w:numId="5">
    <w:abstractNumId w:val="8"/>
  </w:num>
  <w:num w:numId="6">
    <w:abstractNumId w:val="12"/>
  </w:num>
  <w:num w:numId="7">
    <w:abstractNumId w:val="2"/>
  </w:num>
  <w:num w:numId="8">
    <w:abstractNumId w:val="0"/>
  </w:num>
  <w:num w:numId="9">
    <w:abstractNumId w:val="3"/>
  </w:num>
  <w:num w:numId="10">
    <w:abstractNumId w:val="11"/>
  </w:num>
  <w:num w:numId="11">
    <w:abstractNumId w:val="14"/>
  </w:num>
  <w:num w:numId="12">
    <w:abstractNumId w:val="7"/>
  </w:num>
  <w:num w:numId="13">
    <w:abstractNumId w:val="1"/>
  </w:num>
  <w:num w:numId="14">
    <w:abstractNumId w:val="19"/>
  </w:num>
  <w:num w:numId="15">
    <w:abstractNumId w:val="16"/>
  </w:num>
  <w:num w:numId="16">
    <w:abstractNumId w:val="21"/>
  </w:num>
  <w:num w:numId="17">
    <w:abstractNumId w:val="17"/>
  </w:num>
  <w:num w:numId="18">
    <w:abstractNumId w:val="9"/>
  </w:num>
  <w:num w:numId="19">
    <w:abstractNumId w:val="10"/>
  </w:num>
  <w:num w:numId="20">
    <w:abstractNumId w:val="6"/>
  </w:num>
  <w:num w:numId="21">
    <w:abstractNumId w:val="15"/>
  </w:num>
  <w:num w:numId="22">
    <w:abstractNumId w:val="5"/>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C6"/>
    <w:rsid w:val="00011BBF"/>
    <w:rsid w:val="000318A3"/>
    <w:rsid w:val="00035462"/>
    <w:rsid w:val="00035519"/>
    <w:rsid w:val="000415CB"/>
    <w:rsid w:val="00041BAC"/>
    <w:rsid w:val="00066300"/>
    <w:rsid w:val="00077E6E"/>
    <w:rsid w:val="000E0BD9"/>
    <w:rsid w:val="000F010F"/>
    <w:rsid w:val="000F3609"/>
    <w:rsid w:val="00114B52"/>
    <w:rsid w:val="001762A8"/>
    <w:rsid w:val="001965E8"/>
    <w:rsid w:val="00197162"/>
    <w:rsid w:val="001B30C6"/>
    <w:rsid w:val="001D2D5F"/>
    <w:rsid w:val="001E3797"/>
    <w:rsid w:val="00201BFF"/>
    <w:rsid w:val="00215539"/>
    <w:rsid w:val="002329D1"/>
    <w:rsid w:val="00241E29"/>
    <w:rsid w:val="00264966"/>
    <w:rsid w:val="00281D0C"/>
    <w:rsid w:val="002A1756"/>
    <w:rsid w:val="002D5BA5"/>
    <w:rsid w:val="002E39D1"/>
    <w:rsid w:val="0030031C"/>
    <w:rsid w:val="003047EB"/>
    <w:rsid w:val="00362E24"/>
    <w:rsid w:val="003657B9"/>
    <w:rsid w:val="00373757"/>
    <w:rsid w:val="00391D49"/>
    <w:rsid w:val="003C75E3"/>
    <w:rsid w:val="0040154A"/>
    <w:rsid w:val="00402FEF"/>
    <w:rsid w:val="0043372D"/>
    <w:rsid w:val="00436C6A"/>
    <w:rsid w:val="004432F4"/>
    <w:rsid w:val="004503EE"/>
    <w:rsid w:val="00481DAF"/>
    <w:rsid w:val="004864CC"/>
    <w:rsid w:val="004A3D2F"/>
    <w:rsid w:val="004B3826"/>
    <w:rsid w:val="004C1077"/>
    <w:rsid w:val="004C28FF"/>
    <w:rsid w:val="004C5054"/>
    <w:rsid w:val="004D748E"/>
    <w:rsid w:val="004E0548"/>
    <w:rsid w:val="004E5EF6"/>
    <w:rsid w:val="00502E67"/>
    <w:rsid w:val="00512BDE"/>
    <w:rsid w:val="00524955"/>
    <w:rsid w:val="00535B09"/>
    <w:rsid w:val="005469B7"/>
    <w:rsid w:val="00554EFF"/>
    <w:rsid w:val="00567913"/>
    <w:rsid w:val="00575F1C"/>
    <w:rsid w:val="00584E61"/>
    <w:rsid w:val="005A7351"/>
    <w:rsid w:val="005C4322"/>
    <w:rsid w:val="00603F2F"/>
    <w:rsid w:val="0062142A"/>
    <w:rsid w:val="00642D1B"/>
    <w:rsid w:val="00666AD0"/>
    <w:rsid w:val="006714D3"/>
    <w:rsid w:val="007038B7"/>
    <w:rsid w:val="00714EDF"/>
    <w:rsid w:val="00720D2F"/>
    <w:rsid w:val="00741B4D"/>
    <w:rsid w:val="007505E4"/>
    <w:rsid w:val="00760651"/>
    <w:rsid w:val="0078218B"/>
    <w:rsid w:val="00785ABC"/>
    <w:rsid w:val="007A1845"/>
    <w:rsid w:val="007A18B0"/>
    <w:rsid w:val="007C5684"/>
    <w:rsid w:val="007E087D"/>
    <w:rsid w:val="007F519A"/>
    <w:rsid w:val="00800C24"/>
    <w:rsid w:val="008053F3"/>
    <w:rsid w:val="00815121"/>
    <w:rsid w:val="008A5E59"/>
    <w:rsid w:val="008E3310"/>
    <w:rsid w:val="00901654"/>
    <w:rsid w:val="00941657"/>
    <w:rsid w:val="00980FBB"/>
    <w:rsid w:val="009921C2"/>
    <w:rsid w:val="009A16F2"/>
    <w:rsid w:val="009C33E8"/>
    <w:rsid w:val="00A35950"/>
    <w:rsid w:val="00A36BE7"/>
    <w:rsid w:val="00A8369F"/>
    <w:rsid w:val="00A85FE9"/>
    <w:rsid w:val="00AB2D6C"/>
    <w:rsid w:val="00AC0482"/>
    <w:rsid w:val="00AD2B06"/>
    <w:rsid w:val="00AF4E1C"/>
    <w:rsid w:val="00B14920"/>
    <w:rsid w:val="00B3203D"/>
    <w:rsid w:val="00B324E2"/>
    <w:rsid w:val="00B37EC0"/>
    <w:rsid w:val="00B425E5"/>
    <w:rsid w:val="00B9791B"/>
    <w:rsid w:val="00BB58AA"/>
    <w:rsid w:val="00BC634C"/>
    <w:rsid w:val="00BD5C6C"/>
    <w:rsid w:val="00BE044E"/>
    <w:rsid w:val="00BE2018"/>
    <w:rsid w:val="00BE5436"/>
    <w:rsid w:val="00C1604A"/>
    <w:rsid w:val="00C33D69"/>
    <w:rsid w:val="00C47A79"/>
    <w:rsid w:val="00C51372"/>
    <w:rsid w:val="00C63B0A"/>
    <w:rsid w:val="00C7273C"/>
    <w:rsid w:val="00C9623E"/>
    <w:rsid w:val="00CA33D7"/>
    <w:rsid w:val="00CB5655"/>
    <w:rsid w:val="00CC0EE6"/>
    <w:rsid w:val="00D02963"/>
    <w:rsid w:val="00D163F9"/>
    <w:rsid w:val="00D6451B"/>
    <w:rsid w:val="00D714FE"/>
    <w:rsid w:val="00D84FDF"/>
    <w:rsid w:val="00DA3980"/>
    <w:rsid w:val="00DA6D5A"/>
    <w:rsid w:val="00DB7FC1"/>
    <w:rsid w:val="00DE53EB"/>
    <w:rsid w:val="00DF0603"/>
    <w:rsid w:val="00E17238"/>
    <w:rsid w:val="00E5279C"/>
    <w:rsid w:val="00E62CE8"/>
    <w:rsid w:val="00E86B1B"/>
    <w:rsid w:val="00E92EAA"/>
    <w:rsid w:val="00EA056C"/>
    <w:rsid w:val="00ED4252"/>
    <w:rsid w:val="00EE5C6F"/>
    <w:rsid w:val="00F008A5"/>
    <w:rsid w:val="00F132FE"/>
    <w:rsid w:val="00F834D1"/>
    <w:rsid w:val="00FA5357"/>
    <w:rsid w:val="00FA69BA"/>
    <w:rsid w:val="00FB59B1"/>
    <w:rsid w:val="00FC7E0C"/>
    <w:rsid w:val="00FD7781"/>
    <w:rsid w:val="00FF2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3098E0"/>
  <w15:docId w15:val="{5EC5EFFD-8891-4D2C-BC17-FCEEA8E8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B3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B30C6"/>
    <w:pPr>
      <w:ind w:left="720"/>
      <w:contextualSpacing/>
    </w:pPr>
  </w:style>
  <w:style w:type="paragraph" w:styleId="Tekstdymka">
    <w:name w:val="Balloon Text"/>
    <w:basedOn w:val="Normalny"/>
    <w:link w:val="TekstdymkaZnak"/>
    <w:uiPriority w:val="99"/>
    <w:semiHidden/>
    <w:unhideWhenUsed/>
    <w:rsid w:val="00C47A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7A79"/>
    <w:rPr>
      <w:rFonts w:ascii="Tahoma" w:hAnsi="Tahoma" w:cs="Tahoma"/>
      <w:sz w:val="16"/>
      <w:szCs w:val="16"/>
    </w:rPr>
  </w:style>
  <w:style w:type="paragraph" w:styleId="NormalnyWeb">
    <w:name w:val="Normal (Web)"/>
    <w:basedOn w:val="Normalny"/>
    <w:uiPriority w:val="99"/>
    <w:unhideWhenUsed/>
    <w:rsid w:val="004C1077"/>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TekstpodstawowyZnak">
    <w:name w:val="Tekst podstawowy Znak"/>
    <w:aliases w:val="Body Text Char1 Znak,Body Text Char Char Znak,Body Text Char1 Char Char Znak,Body Text Char Char Char Char Znak,Body Text Char1 Char Char Char Char Znak,Body Text Char Char Char Char Char Char Znak"/>
    <w:basedOn w:val="Domylnaczcionkaakapitu"/>
    <w:link w:val="Tekstpodstawowy"/>
    <w:locked/>
    <w:rsid w:val="00241E29"/>
    <w:rPr>
      <w:sz w:val="24"/>
      <w:szCs w:val="24"/>
    </w:rPr>
  </w:style>
  <w:style w:type="paragraph" w:styleId="Tekstpodstawowy">
    <w:name w:val="Body Text"/>
    <w:aliases w:val="Body Text Char1,Body Text Char Char,Body Text Char1 Char Char,Body Text Char Char Char Char,Body Text Char1 Char Char Char Char,Body Text Char Char Char Char Char Char,Body Text Char1 Char Char Char Char Char Char"/>
    <w:basedOn w:val="Normalny"/>
    <w:link w:val="TekstpodstawowyZnak"/>
    <w:unhideWhenUsed/>
    <w:rsid w:val="00241E29"/>
    <w:pPr>
      <w:spacing w:after="0" w:line="240" w:lineRule="auto"/>
      <w:jc w:val="both"/>
    </w:pPr>
    <w:rPr>
      <w:sz w:val="24"/>
      <w:szCs w:val="24"/>
    </w:rPr>
  </w:style>
  <w:style w:type="character" w:customStyle="1" w:styleId="TekstpodstawowyZnak1">
    <w:name w:val="Tekst podstawowy Znak1"/>
    <w:basedOn w:val="Domylnaczcionkaakapitu"/>
    <w:uiPriority w:val="99"/>
    <w:semiHidden/>
    <w:rsid w:val="00241E29"/>
  </w:style>
  <w:style w:type="paragraph" w:styleId="Nagwek">
    <w:name w:val="header"/>
    <w:basedOn w:val="Normalny"/>
    <w:link w:val="NagwekZnak"/>
    <w:uiPriority w:val="99"/>
    <w:unhideWhenUsed/>
    <w:rsid w:val="00B320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203D"/>
  </w:style>
  <w:style w:type="paragraph" w:styleId="Stopka">
    <w:name w:val="footer"/>
    <w:basedOn w:val="Normalny"/>
    <w:link w:val="StopkaZnak"/>
    <w:uiPriority w:val="99"/>
    <w:unhideWhenUsed/>
    <w:rsid w:val="00B320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203D"/>
  </w:style>
  <w:style w:type="character" w:styleId="Odwoaniedokomentarza">
    <w:name w:val="annotation reference"/>
    <w:basedOn w:val="Domylnaczcionkaakapitu"/>
    <w:uiPriority w:val="99"/>
    <w:semiHidden/>
    <w:unhideWhenUsed/>
    <w:rsid w:val="00215539"/>
    <w:rPr>
      <w:sz w:val="16"/>
      <w:szCs w:val="16"/>
    </w:rPr>
  </w:style>
  <w:style w:type="paragraph" w:styleId="Tekstkomentarza">
    <w:name w:val="annotation text"/>
    <w:basedOn w:val="Normalny"/>
    <w:link w:val="TekstkomentarzaZnak"/>
    <w:uiPriority w:val="99"/>
    <w:semiHidden/>
    <w:unhideWhenUsed/>
    <w:rsid w:val="0021553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5539"/>
    <w:rPr>
      <w:sz w:val="20"/>
      <w:szCs w:val="20"/>
    </w:rPr>
  </w:style>
  <w:style w:type="paragraph" w:styleId="Tematkomentarza">
    <w:name w:val="annotation subject"/>
    <w:basedOn w:val="Tekstkomentarza"/>
    <w:next w:val="Tekstkomentarza"/>
    <w:link w:val="TematkomentarzaZnak"/>
    <w:uiPriority w:val="99"/>
    <w:semiHidden/>
    <w:unhideWhenUsed/>
    <w:rsid w:val="00215539"/>
    <w:rPr>
      <w:b/>
      <w:bCs/>
    </w:rPr>
  </w:style>
  <w:style w:type="character" w:customStyle="1" w:styleId="TematkomentarzaZnak">
    <w:name w:val="Temat komentarza Znak"/>
    <w:basedOn w:val="TekstkomentarzaZnak"/>
    <w:link w:val="Tematkomentarza"/>
    <w:uiPriority w:val="99"/>
    <w:semiHidden/>
    <w:rsid w:val="002155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36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1188</Words>
  <Characters>7128</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Malysiak, Sylwia {MCPP~Warsaw}</dc:creator>
  <cp:lastModifiedBy>Królak-Buzakowska Joanna</cp:lastModifiedBy>
  <cp:revision>4</cp:revision>
  <dcterms:created xsi:type="dcterms:W3CDTF">2019-08-27T13:49:00Z</dcterms:created>
  <dcterms:modified xsi:type="dcterms:W3CDTF">2019-08-29T13:09:00Z</dcterms:modified>
</cp:coreProperties>
</file>