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theme/themeOverride3.xml" ContentType="application/vnd.openxmlformats-officedocument.themeOverrid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4.xml" ContentType="application/vnd.openxmlformats-officedocument.themeOverride+xml"/>
  <Override PartName="/word/charts/chart25.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5.xml" ContentType="application/vnd.openxmlformats-officedocument.themeOverride+xml"/>
  <Override PartName="/word/drawings/drawing1.xml" ContentType="application/vnd.openxmlformats-officedocument.drawingml.chartshapes+xml"/>
  <Override PartName="/word/charts/chart2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imes New Roman" w:hAnsi="Arial"/>
          <w:color w:val="5B9BD5" w:themeColor="accent1"/>
          <w:szCs w:val="24"/>
          <w:lang w:eastAsia="pl-PL"/>
        </w:rPr>
        <w:id w:val="1177078029"/>
        <w:docPartObj>
          <w:docPartGallery w:val="Cover Pages"/>
          <w:docPartUnique/>
        </w:docPartObj>
      </w:sdtPr>
      <w:sdtEndPr>
        <w:rPr>
          <w:color w:val="auto"/>
          <w:sz w:val="20"/>
          <w:szCs w:val="20"/>
        </w:rPr>
      </w:sdtEndPr>
      <w:sdtContent>
        <w:p w14:paraId="6B6A2A24" w14:textId="5A184EB0" w:rsidR="00AF14A9" w:rsidRDefault="00AF14A9" w:rsidP="00AF14A9">
          <w:pPr>
            <w:pStyle w:val="Bezodstpw"/>
            <w:spacing w:before="1540" w:after="240"/>
            <w:rPr>
              <w:color w:val="5B9BD5" w:themeColor="accent1"/>
              <w:sz w:val="28"/>
              <w:szCs w:val="28"/>
            </w:rPr>
          </w:pPr>
          <w:r>
            <w:rPr>
              <w:noProof/>
              <w:color w:val="5B9BD5" w:themeColor="accent1"/>
              <w:sz w:val="28"/>
              <w:szCs w:val="28"/>
              <w:lang w:eastAsia="pl-PL"/>
            </w:rPr>
            <w:drawing>
              <wp:anchor distT="0" distB="0" distL="114300" distR="114300" simplePos="0" relativeHeight="251671040" behindDoc="0" locked="0" layoutInCell="1" allowOverlap="1" wp14:anchorId="718FA3DB" wp14:editId="0C143FB1">
                <wp:simplePos x="0" y="0"/>
                <wp:positionH relativeFrom="page">
                  <wp:posOffset>19050</wp:posOffset>
                </wp:positionH>
                <wp:positionV relativeFrom="page">
                  <wp:posOffset>-26670</wp:posOffset>
                </wp:positionV>
                <wp:extent cx="7577599" cy="10710000"/>
                <wp:effectExtent l="0" t="0" r="4445" b="0"/>
                <wp:wrapNone/>
                <wp:docPr id="12473781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78193" name="Obraz 1"/>
                        <pic:cNvPicPr/>
                      </pic:nvPicPr>
                      <pic:blipFill>
                        <a:blip r:embed="rId8">
                          <a:extLst>
                            <a:ext uri="{28A0092B-C50C-407E-A947-70E740481C1C}">
                              <a14:useLocalDpi xmlns:a14="http://schemas.microsoft.com/office/drawing/2010/main" val="0"/>
                            </a:ext>
                          </a:extLst>
                        </a:blip>
                        <a:stretch>
                          <a:fillRect/>
                        </a:stretch>
                      </pic:blipFill>
                      <pic:spPr>
                        <a:xfrm>
                          <a:off x="0" y="0"/>
                          <a:ext cx="7577599" cy="10710000"/>
                        </a:xfrm>
                        <a:prstGeom prst="rect">
                          <a:avLst/>
                        </a:prstGeom>
                      </pic:spPr>
                    </pic:pic>
                  </a:graphicData>
                </a:graphic>
                <wp14:sizeRelH relativeFrom="margin">
                  <wp14:pctWidth>0</wp14:pctWidth>
                </wp14:sizeRelH>
                <wp14:sizeRelV relativeFrom="margin">
                  <wp14:pctHeight>0</wp14:pctHeight>
                </wp14:sizeRelV>
              </wp:anchor>
            </w:drawing>
          </w:r>
        </w:p>
        <w:p w14:paraId="62DF99B7" w14:textId="4374A71A" w:rsidR="00AF14A9" w:rsidRDefault="00AF14A9">
          <w:pPr>
            <w:pStyle w:val="Bezodstpw"/>
            <w:spacing w:before="480"/>
            <w:jc w:val="center"/>
            <w:rPr>
              <w:color w:val="5B9BD5" w:themeColor="accent1"/>
            </w:rPr>
          </w:pPr>
        </w:p>
        <w:p w14:paraId="271EB341" w14:textId="51AF0A41" w:rsidR="00AF14A9" w:rsidRDefault="00AF14A9">
          <w:pPr>
            <w:jc w:val="left"/>
            <w:rPr>
              <w:sz w:val="20"/>
              <w:szCs w:val="20"/>
            </w:rPr>
          </w:pPr>
          <w:r>
            <w:rPr>
              <w:sz w:val="20"/>
              <w:szCs w:val="20"/>
            </w:rPr>
            <w:br w:type="page"/>
          </w:r>
        </w:p>
      </w:sdtContent>
    </w:sdt>
    <w:p w14:paraId="6CEAC8DE" w14:textId="0C0496ED" w:rsidR="0059308F" w:rsidRDefault="00A13D63" w:rsidP="00A13D63">
      <w:pPr>
        <w:rPr>
          <w:sz w:val="20"/>
          <w:szCs w:val="20"/>
        </w:rPr>
      </w:pPr>
      <w:r>
        <w:rPr>
          <w:noProof/>
          <w:sz w:val="20"/>
          <w:szCs w:val="20"/>
        </w:rPr>
        <w:lastRenderedPageBreak/>
        <w:drawing>
          <wp:anchor distT="0" distB="0" distL="114300" distR="114300" simplePos="0" relativeHeight="251670016" behindDoc="0" locked="0" layoutInCell="1" allowOverlap="1" wp14:anchorId="0EC8E2C0" wp14:editId="7AE318E8">
            <wp:simplePos x="0" y="0"/>
            <wp:positionH relativeFrom="column">
              <wp:posOffset>2923540</wp:posOffset>
            </wp:positionH>
            <wp:positionV relativeFrom="paragraph">
              <wp:posOffset>147320</wp:posOffset>
            </wp:positionV>
            <wp:extent cx="3093720" cy="1200150"/>
            <wp:effectExtent l="0" t="0" r="0" b="0"/>
            <wp:wrapTopAndBottom/>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3720" cy="1200150"/>
                    </a:xfrm>
                    <a:prstGeom prst="rect">
                      <a:avLst/>
                    </a:prstGeom>
                  </pic:spPr>
                </pic:pic>
              </a:graphicData>
            </a:graphic>
            <wp14:sizeRelH relativeFrom="margin">
              <wp14:pctWidth>0</wp14:pctWidth>
            </wp14:sizeRelH>
            <wp14:sizeRelV relativeFrom="margin">
              <wp14:pctHeight>0</wp14:pctHeight>
            </wp14:sizeRelV>
          </wp:anchor>
        </w:drawing>
      </w:r>
    </w:p>
    <w:p w14:paraId="68A37514" w14:textId="4964DAC0" w:rsidR="0059308F" w:rsidRDefault="0059308F" w:rsidP="002A5446">
      <w:pPr>
        <w:rPr>
          <w:sz w:val="20"/>
          <w:szCs w:val="20"/>
        </w:rPr>
      </w:pPr>
    </w:p>
    <w:p w14:paraId="6E8F03A3" w14:textId="3322D015" w:rsidR="0059308F" w:rsidRDefault="0059308F" w:rsidP="002A5446">
      <w:pPr>
        <w:rPr>
          <w:sz w:val="20"/>
          <w:szCs w:val="20"/>
        </w:rPr>
      </w:pPr>
    </w:p>
    <w:p w14:paraId="23EE4ADE" w14:textId="22A74BC8" w:rsidR="0059308F" w:rsidRDefault="0059308F" w:rsidP="002A5446">
      <w:pPr>
        <w:rPr>
          <w:sz w:val="20"/>
          <w:szCs w:val="20"/>
        </w:rPr>
      </w:pPr>
    </w:p>
    <w:p w14:paraId="0712F1CE" w14:textId="4BCC4576" w:rsidR="00730D08" w:rsidRDefault="00730D08" w:rsidP="002A5446">
      <w:pPr>
        <w:rPr>
          <w:sz w:val="20"/>
          <w:szCs w:val="20"/>
        </w:rPr>
      </w:pPr>
    </w:p>
    <w:p w14:paraId="76919309" w14:textId="49C2B1EF" w:rsidR="00730D08" w:rsidRDefault="00730D08" w:rsidP="002A5446">
      <w:pPr>
        <w:rPr>
          <w:sz w:val="20"/>
          <w:szCs w:val="20"/>
        </w:rPr>
      </w:pPr>
    </w:p>
    <w:p w14:paraId="4D310CCB" w14:textId="6DC4A1F5" w:rsidR="00730D08" w:rsidRDefault="00730D08" w:rsidP="002A5446">
      <w:pPr>
        <w:rPr>
          <w:sz w:val="20"/>
          <w:szCs w:val="20"/>
        </w:rPr>
      </w:pPr>
    </w:p>
    <w:p w14:paraId="2B862885" w14:textId="77777777" w:rsidR="00730D08" w:rsidRDefault="00730D08" w:rsidP="002A5446">
      <w:pPr>
        <w:rPr>
          <w:sz w:val="20"/>
          <w:szCs w:val="20"/>
        </w:rPr>
      </w:pPr>
    </w:p>
    <w:p w14:paraId="2945AD28" w14:textId="77777777" w:rsidR="0059308F" w:rsidRDefault="0059308F" w:rsidP="002A5446">
      <w:pPr>
        <w:rPr>
          <w:sz w:val="20"/>
          <w:szCs w:val="20"/>
        </w:rPr>
      </w:pPr>
    </w:p>
    <w:p w14:paraId="264F33C2" w14:textId="77777777" w:rsidR="0059308F" w:rsidRDefault="0059308F" w:rsidP="002A5446">
      <w:pPr>
        <w:rPr>
          <w:sz w:val="20"/>
          <w:szCs w:val="20"/>
        </w:rPr>
      </w:pPr>
    </w:p>
    <w:p w14:paraId="48BC63EE" w14:textId="77777777" w:rsidR="0059308F" w:rsidRDefault="0059308F" w:rsidP="002A5446">
      <w:pPr>
        <w:rPr>
          <w:sz w:val="20"/>
          <w:szCs w:val="20"/>
        </w:rPr>
      </w:pPr>
    </w:p>
    <w:p w14:paraId="3DBE45BB" w14:textId="77777777" w:rsidR="0059308F" w:rsidRDefault="0059308F" w:rsidP="002A5446">
      <w:pPr>
        <w:rPr>
          <w:sz w:val="20"/>
          <w:szCs w:val="20"/>
        </w:rPr>
      </w:pPr>
    </w:p>
    <w:p w14:paraId="0A26A762" w14:textId="77777777" w:rsidR="00BE612C" w:rsidRPr="00BE612C" w:rsidRDefault="00BE612C" w:rsidP="00BE612C">
      <w:pPr>
        <w:rPr>
          <w:b/>
          <w:sz w:val="32"/>
          <w:szCs w:val="32"/>
        </w:rPr>
      </w:pPr>
      <w:r w:rsidRPr="00BE612C">
        <w:rPr>
          <w:b/>
          <w:sz w:val="32"/>
          <w:szCs w:val="32"/>
        </w:rPr>
        <w:t>Sprawozdanie</w:t>
      </w:r>
    </w:p>
    <w:p w14:paraId="1D565E17" w14:textId="3B0341FA" w:rsidR="00BE612C" w:rsidRPr="00BE612C" w:rsidRDefault="00BE612C" w:rsidP="00BE612C">
      <w:pPr>
        <w:rPr>
          <w:b/>
          <w:sz w:val="32"/>
          <w:szCs w:val="32"/>
        </w:rPr>
      </w:pPr>
      <w:r w:rsidRPr="00BE612C">
        <w:rPr>
          <w:b/>
          <w:sz w:val="32"/>
          <w:szCs w:val="32"/>
        </w:rPr>
        <w:t>Prezesa Urzędu Zamówień Publicznych</w:t>
      </w:r>
    </w:p>
    <w:p w14:paraId="77E8B3CE" w14:textId="570397CF" w:rsidR="0059308F" w:rsidRPr="00BE612C" w:rsidRDefault="00BE612C" w:rsidP="00BE612C">
      <w:pPr>
        <w:rPr>
          <w:b/>
          <w:sz w:val="32"/>
          <w:szCs w:val="32"/>
        </w:rPr>
      </w:pPr>
      <w:r w:rsidRPr="00BE612C">
        <w:rPr>
          <w:b/>
          <w:sz w:val="32"/>
          <w:szCs w:val="32"/>
        </w:rPr>
        <w:t>z funkcjonowania sys</w:t>
      </w:r>
      <w:r>
        <w:rPr>
          <w:b/>
          <w:sz w:val="32"/>
          <w:szCs w:val="32"/>
        </w:rPr>
        <w:t>temu zamówień publicznych w 2022</w:t>
      </w:r>
      <w:r w:rsidRPr="00BE612C">
        <w:rPr>
          <w:b/>
          <w:sz w:val="32"/>
          <w:szCs w:val="32"/>
        </w:rPr>
        <w:t xml:space="preserve"> r.</w:t>
      </w:r>
    </w:p>
    <w:p w14:paraId="7CC895CE" w14:textId="77777777" w:rsidR="0059308F" w:rsidRDefault="0059308F" w:rsidP="002A5446">
      <w:pPr>
        <w:rPr>
          <w:sz w:val="20"/>
          <w:szCs w:val="20"/>
        </w:rPr>
      </w:pPr>
    </w:p>
    <w:p w14:paraId="38DB22B1" w14:textId="77777777" w:rsidR="0059308F" w:rsidRDefault="0059308F" w:rsidP="002A5446">
      <w:pPr>
        <w:rPr>
          <w:sz w:val="20"/>
          <w:szCs w:val="20"/>
        </w:rPr>
      </w:pPr>
    </w:p>
    <w:p w14:paraId="19EA72B6" w14:textId="77777777" w:rsidR="0059308F" w:rsidRDefault="0059308F" w:rsidP="002A5446">
      <w:pPr>
        <w:rPr>
          <w:sz w:val="20"/>
          <w:szCs w:val="20"/>
        </w:rPr>
      </w:pPr>
    </w:p>
    <w:p w14:paraId="665ADEB0" w14:textId="77777777" w:rsidR="0059308F" w:rsidRDefault="0059308F" w:rsidP="002A5446">
      <w:pPr>
        <w:rPr>
          <w:sz w:val="20"/>
          <w:szCs w:val="20"/>
        </w:rPr>
      </w:pPr>
    </w:p>
    <w:p w14:paraId="64269889" w14:textId="3FE3D131" w:rsidR="0059308F" w:rsidRDefault="0059308F" w:rsidP="002A5446">
      <w:pPr>
        <w:rPr>
          <w:sz w:val="20"/>
          <w:szCs w:val="20"/>
        </w:rPr>
      </w:pPr>
    </w:p>
    <w:p w14:paraId="21DD1B58" w14:textId="3CFE180D" w:rsidR="00BE612C" w:rsidRDefault="00BE612C" w:rsidP="002A5446">
      <w:pPr>
        <w:rPr>
          <w:sz w:val="20"/>
          <w:szCs w:val="20"/>
        </w:rPr>
      </w:pPr>
    </w:p>
    <w:p w14:paraId="7AED9019" w14:textId="54CD3B2D" w:rsidR="00BE612C" w:rsidRDefault="00BE612C" w:rsidP="002A5446">
      <w:pPr>
        <w:rPr>
          <w:sz w:val="20"/>
          <w:szCs w:val="20"/>
        </w:rPr>
      </w:pPr>
    </w:p>
    <w:p w14:paraId="6064046A" w14:textId="780A32E4" w:rsidR="00730D08" w:rsidRDefault="00730D08" w:rsidP="002A5446">
      <w:pPr>
        <w:rPr>
          <w:sz w:val="20"/>
          <w:szCs w:val="20"/>
        </w:rPr>
      </w:pPr>
    </w:p>
    <w:p w14:paraId="3A4F539C" w14:textId="1047480A" w:rsidR="00730D08" w:rsidRDefault="00730D08" w:rsidP="002A5446">
      <w:pPr>
        <w:rPr>
          <w:sz w:val="20"/>
          <w:szCs w:val="20"/>
        </w:rPr>
      </w:pPr>
    </w:p>
    <w:p w14:paraId="19A35C3C" w14:textId="2B1630E8" w:rsidR="00730D08" w:rsidRDefault="00730D08" w:rsidP="002A5446">
      <w:pPr>
        <w:rPr>
          <w:sz w:val="20"/>
          <w:szCs w:val="20"/>
        </w:rPr>
      </w:pPr>
    </w:p>
    <w:p w14:paraId="60D42800" w14:textId="460F6C7B" w:rsidR="00730D08" w:rsidRDefault="00730D08" w:rsidP="002A5446">
      <w:pPr>
        <w:rPr>
          <w:sz w:val="20"/>
          <w:szCs w:val="20"/>
        </w:rPr>
      </w:pPr>
    </w:p>
    <w:p w14:paraId="58C17469" w14:textId="109BD629" w:rsidR="00730D08" w:rsidRDefault="00730D08" w:rsidP="002A5446">
      <w:pPr>
        <w:rPr>
          <w:sz w:val="20"/>
          <w:szCs w:val="20"/>
        </w:rPr>
      </w:pPr>
    </w:p>
    <w:p w14:paraId="45739998" w14:textId="7ED8269E" w:rsidR="00730D08" w:rsidRDefault="00730D08" w:rsidP="002A5446">
      <w:pPr>
        <w:rPr>
          <w:sz w:val="20"/>
          <w:szCs w:val="20"/>
        </w:rPr>
      </w:pPr>
    </w:p>
    <w:p w14:paraId="454E89C3" w14:textId="7107DC2C" w:rsidR="00730D08" w:rsidRDefault="00730D08" w:rsidP="002A5446">
      <w:pPr>
        <w:rPr>
          <w:sz w:val="20"/>
          <w:szCs w:val="20"/>
        </w:rPr>
      </w:pPr>
    </w:p>
    <w:p w14:paraId="5596781F" w14:textId="088B2C16" w:rsidR="00730D08" w:rsidRDefault="00730D08" w:rsidP="002A5446">
      <w:pPr>
        <w:rPr>
          <w:sz w:val="20"/>
          <w:szCs w:val="20"/>
        </w:rPr>
      </w:pPr>
    </w:p>
    <w:p w14:paraId="5E26EDE8" w14:textId="1681B3AD" w:rsidR="00730D08" w:rsidRDefault="00730D08" w:rsidP="002A5446">
      <w:pPr>
        <w:rPr>
          <w:sz w:val="20"/>
          <w:szCs w:val="20"/>
        </w:rPr>
      </w:pPr>
    </w:p>
    <w:p w14:paraId="08D6B7E3" w14:textId="3059303F" w:rsidR="00730D08" w:rsidRDefault="00730D08" w:rsidP="002A5446">
      <w:pPr>
        <w:rPr>
          <w:sz w:val="20"/>
          <w:szCs w:val="20"/>
        </w:rPr>
      </w:pPr>
    </w:p>
    <w:p w14:paraId="689C9DE0" w14:textId="5B619508" w:rsidR="00730D08" w:rsidRDefault="00730D08" w:rsidP="002A5446">
      <w:pPr>
        <w:rPr>
          <w:sz w:val="20"/>
          <w:szCs w:val="20"/>
        </w:rPr>
      </w:pPr>
    </w:p>
    <w:p w14:paraId="499F3B02" w14:textId="7CA7932A" w:rsidR="00730D08" w:rsidRDefault="00730D08" w:rsidP="002A5446">
      <w:pPr>
        <w:rPr>
          <w:sz w:val="20"/>
          <w:szCs w:val="20"/>
        </w:rPr>
      </w:pPr>
    </w:p>
    <w:p w14:paraId="43C5B17C" w14:textId="1236CC60" w:rsidR="00730D08" w:rsidRDefault="00730D08" w:rsidP="002A5446">
      <w:pPr>
        <w:rPr>
          <w:sz w:val="20"/>
          <w:szCs w:val="20"/>
        </w:rPr>
      </w:pPr>
    </w:p>
    <w:p w14:paraId="5B4B28AF" w14:textId="6D64A90C" w:rsidR="00730D08" w:rsidRDefault="00730D08" w:rsidP="002A5446">
      <w:pPr>
        <w:rPr>
          <w:sz w:val="20"/>
          <w:szCs w:val="20"/>
        </w:rPr>
      </w:pPr>
    </w:p>
    <w:p w14:paraId="49B62BA4" w14:textId="6CB51D33" w:rsidR="00730D08" w:rsidRDefault="00730D08" w:rsidP="002A5446">
      <w:pPr>
        <w:rPr>
          <w:sz w:val="20"/>
          <w:szCs w:val="20"/>
        </w:rPr>
      </w:pPr>
    </w:p>
    <w:p w14:paraId="7B2E1992" w14:textId="082A1FFC" w:rsidR="00730D08" w:rsidRDefault="00730D08" w:rsidP="002A5446">
      <w:pPr>
        <w:rPr>
          <w:sz w:val="20"/>
          <w:szCs w:val="20"/>
        </w:rPr>
      </w:pPr>
    </w:p>
    <w:p w14:paraId="0A66FEEE" w14:textId="2C4EA55D" w:rsidR="00730D08" w:rsidRDefault="00730D08" w:rsidP="002A5446">
      <w:pPr>
        <w:rPr>
          <w:sz w:val="20"/>
          <w:szCs w:val="20"/>
        </w:rPr>
      </w:pPr>
    </w:p>
    <w:p w14:paraId="4143E324" w14:textId="646DB1A5" w:rsidR="00730D08" w:rsidRDefault="00730D08" w:rsidP="002A5446">
      <w:pPr>
        <w:rPr>
          <w:sz w:val="20"/>
          <w:szCs w:val="20"/>
        </w:rPr>
      </w:pPr>
    </w:p>
    <w:p w14:paraId="42FBA519" w14:textId="4AF991A3" w:rsidR="00BE612C" w:rsidRDefault="00BE612C" w:rsidP="002A5446">
      <w:pPr>
        <w:rPr>
          <w:sz w:val="20"/>
          <w:szCs w:val="20"/>
        </w:rPr>
      </w:pPr>
    </w:p>
    <w:p w14:paraId="63550715" w14:textId="77777777" w:rsidR="00BE612C" w:rsidRDefault="00BE612C" w:rsidP="002A5446">
      <w:pPr>
        <w:rPr>
          <w:sz w:val="20"/>
          <w:szCs w:val="20"/>
        </w:rPr>
      </w:pPr>
    </w:p>
    <w:p w14:paraId="2A54B9CF" w14:textId="0C0D8CAE" w:rsidR="00411101" w:rsidRDefault="00411101" w:rsidP="00620C11">
      <w:pPr>
        <w:shd w:val="clear" w:color="auto" w:fill="FFFFFF"/>
        <w:ind w:right="-2"/>
        <w:rPr>
          <w:noProof/>
          <w:szCs w:val="22"/>
        </w:rPr>
      </w:pPr>
    </w:p>
    <w:p w14:paraId="7EDA999E" w14:textId="4867BDFC" w:rsidR="00960AEA" w:rsidRDefault="00960AEA" w:rsidP="00620C11">
      <w:pPr>
        <w:shd w:val="clear" w:color="auto" w:fill="FFFFFF"/>
        <w:ind w:right="-2"/>
        <w:rPr>
          <w:noProof/>
          <w:szCs w:val="22"/>
        </w:rPr>
      </w:pPr>
    </w:p>
    <w:p w14:paraId="4EF04663" w14:textId="3F74F39C" w:rsidR="00960AEA" w:rsidRDefault="00960AEA" w:rsidP="00620C11">
      <w:pPr>
        <w:shd w:val="clear" w:color="auto" w:fill="FFFFFF"/>
        <w:ind w:right="-2"/>
        <w:rPr>
          <w:noProof/>
          <w:szCs w:val="22"/>
        </w:rPr>
      </w:pPr>
    </w:p>
    <w:p w14:paraId="2CEE34D4" w14:textId="7D64DCB4" w:rsidR="00BE612C" w:rsidRPr="00752DCC" w:rsidRDefault="00BE612C" w:rsidP="00752DCC">
      <w:pPr>
        <w:shd w:val="clear" w:color="auto" w:fill="FFFFFF"/>
        <w:ind w:right="-2"/>
        <w:jc w:val="right"/>
        <w:rPr>
          <w:noProof/>
          <w:sz w:val="24"/>
        </w:rPr>
      </w:pPr>
      <w:r w:rsidRPr="00752DCC">
        <w:rPr>
          <w:b/>
          <w:bCs/>
          <w:noProof/>
          <w:sz w:val="24"/>
        </w:rPr>
        <w:t>Warszawa,</w:t>
      </w:r>
      <w:r w:rsidR="009343A1">
        <w:rPr>
          <w:b/>
          <w:bCs/>
          <w:noProof/>
          <w:sz w:val="24"/>
        </w:rPr>
        <w:t xml:space="preserve"> </w:t>
      </w:r>
      <w:r w:rsidR="00585FE8">
        <w:rPr>
          <w:b/>
          <w:bCs/>
          <w:noProof/>
          <w:sz w:val="24"/>
        </w:rPr>
        <w:t>czerwiec</w:t>
      </w:r>
      <w:r w:rsidR="0070772E">
        <w:rPr>
          <w:b/>
          <w:bCs/>
          <w:noProof/>
          <w:sz w:val="24"/>
        </w:rPr>
        <w:t xml:space="preserve"> </w:t>
      </w:r>
      <w:r w:rsidRPr="00752DCC">
        <w:rPr>
          <w:b/>
          <w:bCs/>
          <w:noProof/>
          <w:sz w:val="24"/>
        </w:rPr>
        <w:t>2023 r.</w:t>
      </w:r>
    </w:p>
    <w:p w14:paraId="31B65CAE" w14:textId="376D7196" w:rsidR="00960AEA" w:rsidRDefault="00960AEA" w:rsidP="00620C11">
      <w:pPr>
        <w:shd w:val="clear" w:color="auto" w:fill="FFFFFF"/>
        <w:ind w:right="-2"/>
        <w:rPr>
          <w:noProof/>
          <w:szCs w:val="22"/>
        </w:rPr>
      </w:pPr>
    </w:p>
    <w:p w14:paraId="18836CD5" w14:textId="77777777" w:rsidR="00333F5B" w:rsidRDefault="00333F5B" w:rsidP="00620C11">
      <w:pPr>
        <w:shd w:val="clear" w:color="auto" w:fill="FFFFFF"/>
        <w:ind w:right="-2"/>
        <w:rPr>
          <w:noProof/>
          <w:szCs w:val="22"/>
        </w:rPr>
        <w:sectPr w:rsidR="00333F5B" w:rsidSect="00AF14A9">
          <w:footerReference w:type="even" r:id="rId10"/>
          <w:footerReference w:type="default" r:id="rId11"/>
          <w:footerReference w:type="first" r:id="rId12"/>
          <w:type w:val="oddPage"/>
          <w:pgSz w:w="11906" w:h="16838"/>
          <w:pgMar w:top="1418" w:right="1418" w:bottom="1418" w:left="1418" w:header="709" w:footer="709" w:gutter="0"/>
          <w:pgNumType w:start="0"/>
          <w:cols w:space="708"/>
          <w:titlePg/>
          <w:docGrid w:linePitch="299"/>
        </w:sectPr>
      </w:pPr>
    </w:p>
    <w:p w14:paraId="39AD7395" w14:textId="55041416" w:rsidR="005D6B0A" w:rsidRDefault="005D6B0A" w:rsidP="00620C11">
      <w:pPr>
        <w:shd w:val="clear" w:color="auto" w:fill="FFFFFF"/>
        <w:ind w:right="-2"/>
        <w:rPr>
          <w:noProof/>
          <w:szCs w:val="22"/>
        </w:rPr>
      </w:pPr>
    </w:p>
    <w:tbl>
      <w:tblPr>
        <w:tblW w:w="9480" w:type="dxa"/>
        <w:tblInd w:w="-194" w:type="dxa"/>
        <w:tblLayout w:type="fixed"/>
        <w:tblLook w:val="04A0" w:firstRow="1" w:lastRow="0" w:firstColumn="1" w:lastColumn="0" w:noHBand="0" w:noVBand="1"/>
      </w:tblPr>
      <w:tblGrid>
        <w:gridCol w:w="302"/>
        <w:gridCol w:w="9178"/>
      </w:tblGrid>
      <w:tr w:rsidR="005D6B0A" w:rsidRPr="008C3B34" w14:paraId="655B3C30" w14:textId="77777777" w:rsidTr="00960AEA">
        <w:trPr>
          <w:cantSplit/>
        </w:trPr>
        <w:tc>
          <w:tcPr>
            <w:tcW w:w="302" w:type="dxa"/>
            <w:shd w:val="clear" w:color="auto" w:fill="365F91"/>
          </w:tcPr>
          <w:p w14:paraId="79D7D069" w14:textId="77777777" w:rsidR="005D6B0A" w:rsidRPr="008C3B34" w:rsidRDefault="005D6B0A" w:rsidP="00960AEA">
            <w:pPr>
              <w:spacing w:before="120" w:after="120"/>
              <w:rPr>
                <w:sz w:val="32"/>
                <w:szCs w:val="32"/>
              </w:rPr>
            </w:pPr>
          </w:p>
        </w:tc>
        <w:tc>
          <w:tcPr>
            <w:tcW w:w="9178" w:type="dxa"/>
          </w:tcPr>
          <w:p w14:paraId="67633E55" w14:textId="77777777" w:rsidR="005D6B0A" w:rsidRPr="008C3B34" w:rsidRDefault="005D6B0A" w:rsidP="00960AEA">
            <w:pPr>
              <w:spacing w:before="120" w:after="120"/>
              <w:rPr>
                <w:b/>
                <w:noProof/>
                <w:color w:val="365F91"/>
                <w:sz w:val="32"/>
                <w:szCs w:val="32"/>
              </w:rPr>
            </w:pPr>
            <w:r w:rsidRPr="008C3B34">
              <w:rPr>
                <w:b/>
                <w:noProof/>
                <w:color w:val="365F91"/>
                <w:sz w:val="32"/>
                <w:szCs w:val="32"/>
              </w:rPr>
              <w:t>SPIS TREŚCI</w:t>
            </w:r>
          </w:p>
        </w:tc>
      </w:tr>
    </w:tbl>
    <w:p w14:paraId="2E62B739" w14:textId="77777777" w:rsidR="00663C05" w:rsidRPr="00663C05" w:rsidRDefault="00663C05" w:rsidP="00620C11">
      <w:pPr>
        <w:shd w:val="clear" w:color="auto" w:fill="FFFFFF"/>
        <w:ind w:right="-2"/>
        <w:rPr>
          <w:noProof/>
          <w:szCs w:val="22"/>
        </w:rPr>
      </w:pPr>
    </w:p>
    <w:p w14:paraId="5253F5D8" w14:textId="23A0B3C8" w:rsidR="00A43C68" w:rsidRDefault="00663C05">
      <w:pPr>
        <w:pStyle w:val="Spistreci1"/>
        <w:rPr>
          <w:rFonts w:asciiTheme="minorHAnsi" w:eastAsiaTheme="minorEastAsia" w:hAnsiTheme="minorHAnsi" w:cstheme="minorBidi"/>
          <w:b w:val="0"/>
          <w:color w:val="auto"/>
          <w:szCs w:val="22"/>
        </w:rPr>
      </w:pPr>
      <w:r w:rsidRPr="00663C05">
        <w:rPr>
          <w:szCs w:val="22"/>
        </w:rPr>
        <w:fldChar w:fldCharType="begin"/>
      </w:r>
      <w:r w:rsidRPr="00663C05">
        <w:rPr>
          <w:szCs w:val="22"/>
        </w:rPr>
        <w:instrText xml:space="preserve"> TOC \o "1-3" \h \z \u </w:instrText>
      </w:r>
      <w:r w:rsidRPr="00663C05">
        <w:rPr>
          <w:szCs w:val="22"/>
        </w:rPr>
        <w:fldChar w:fldCharType="separate"/>
      </w:r>
      <w:hyperlink w:anchor="_Toc141276415" w:history="1">
        <w:r w:rsidR="00A43C68" w:rsidRPr="002D4B59">
          <w:rPr>
            <w:rStyle w:val="Hipercze"/>
          </w:rPr>
          <w:t>WSTĘP</w:t>
        </w:r>
        <w:r w:rsidR="00A43C68">
          <w:rPr>
            <w:webHidden/>
          </w:rPr>
          <w:tab/>
        </w:r>
        <w:r w:rsidR="00A43C68">
          <w:rPr>
            <w:webHidden/>
          </w:rPr>
          <w:fldChar w:fldCharType="begin"/>
        </w:r>
        <w:r w:rsidR="00A43C68">
          <w:rPr>
            <w:webHidden/>
          </w:rPr>
          <w:instrText xml:space="preserve"> PAGEREF _Toc141276415 \h </w:instrText>
        </w:r>
        <w:r w:rsidR="00A43C68">
          <w:rPr>
            <w:webHidden/>
          </w:rPr>
        </w:r>
        <w:r w:rsidR="00A43C68">
          <w:rPr>
            <w:webHidden/>
          </w:rPr>
          <w:fldChar w:fldCharType="separate"/>
        </w:r>
        <w:r w:rsidR="00A43C68">
          <w:rPr>
            <w:webHidden/>
          </w:rPr>
          <w:t>5</w:t>
        </w:r>
        <w:r w:rsidR="00A43C68">
          <w:rPr>
            <w:webHidden/>
          </w:rPr>
          <w:fldChar w:fldCharType="end"/>
        </w:r>
      </w:hyperlink>
    </w:p>
    <w:p w14:paraId="7A0B4717" w14:textId="7E6D85F8" w:rsidR="00A43C68" w:rsidRDefault="00BE2079">
      <w:pPr>
        <w:pStyle w:val="Spistreci1"/>
        <w:rPr>
          <w:rFonts w:asciiTheme="minorHAnsi" w:eastAsiaTheme="minorEastAsia" w:hAnsiTheme="minorHAnsi" w:cstheme="minorBidi"/>
          <w:b w:val="0"/>
          <w:color w:val="auto"/>
          <w:szCs w:val="22"/>
        </w:rPr>
      </w:pPr>
      <w:hyperlink w:anchor="_Toc141276416" w:history="1">
        <w:r w:rsidR="00A43C68" w:rsidRPr="002D4B59">
          <w:rPr>
            <w:rStyle w:val="Hipercze"/>
          </w:rPr>
          <w:t>STRESZCZENIE</w:t>
        </w:r>
        <w:r w:rsidR="00A43C68">
          <w:rPr>
            <w:webHidden/>
          </w:rPr>
          <w:tab/>
        </w:r>
        <w:r w:rsidR="00A43C68">
          <w:rPr>
            <w:webHidden/>
          </w:rPr>
          <w:fldChar w:fldCharType="begin"/>
        </w:r>
        <w:r w:rsidR="00A43C68">
          <w:rPr>
            <w:webHidden/>
          </w:rPr>
          <w:instrText xml:space="preserve"> PAGEREF _Toc141276416 \h </w:instrText>
        </w:r>
        <w:r w:rsidR="00A43C68">
          <w:rPr>
            <w:webHidden/>
          </w:rPr>
        </w:r>
        <w:r w:rsidR="00A43C68">
          <w:rPr>
            <w:webHidden/>
          </w:rPr>
          <w:fldChar w:fldCharType="separate"/>
        </w:r>
        <w:r w:rsidR="00A43C68">
          <w:rPr>
            <w:webHidden/>
          </w:rPr>
          <w:t>6</w:t>
        </w:r>
        <w:r w:rsidR="00A43C68">
          <w:rPr>
            <w:webHidden/>
          </w:rPr>
          <w:fldChar w:fldCharType="end"/>
        </w:r>
      </w:hyperlink>
    </w:p>
    <w:p w14:paraId="1DB34594" w14:textId="759AA759" w:rsidR="00A43C68" w:rsidRDefault="00BE2079">
      <w:pPr>
        <w:pStyle w:val="Spistreci1"/>
        <w:rPr>
          <w:rFonts w:asciiTheme="minorHAnsi" w:eastAsiaTheme="minorEastAsia" w:hAnsiTheme="minorHAnsi" w:cstheme="minorBidi"/>
          <w:b w:val="0"/>
          <w:color w:val="auto"/>
          <w:szCs w:val="22"/>
        </w:rPr>
      </w:pPr>
      <w:hyperlink w:anchor="_Toc141276417" w:history="1">
        <w:r w:rsidR="00A43C68" w:rsidRPr="002D4B59">
          <w:rPr>
            <w:rStyle w:val="Hipercze"/>
          </w:rPr>
          <w:t>I. PRAWNE ASPEKTY FUNKCJONOWANIA SYSTEMU ZAMÓWIEŃ PUBLICZNYCH W POLSCE</w:t>
        </w:r>
        <w:r w:rsidR="00A43C68">
          <w:rPr>
            <w:webHidden/>
          </w:rPr>
          <w:tab/>
        </w:r>
        <w:r w:rsidR="00A43C68">
          <w:rPr>
            <w:webHidden/>
          </w:rPr>
          <w:fldChar w:fldCharType="begin"/>
        </w:r>
        <w:r w:rsidR="00A43C68">
          <w:rPr>
            <w:webHidden/>
          </w:rPr>
          <w:instrText xml:space="preserve"> PAGEREF _Toc141276417 \h </w:instrText>
        </w:r>
        <w:r w:rsidR="00A43C68">
          <w:rPr>
            <w:webHidden/>
          </w:rPr>
        </w:r>
        <w:r w:rsidR="00A43C68">
          <w:rPr>
            <w:webHidden/>
          </w:rPr>
          <w:fldChar w:fldCharType="separate"/>
        </w:r>
        <w:r w:rsidR="00A43C68">
          <w:rPr>
            <w:webHidden/>
          </w:rPr>
          <w:t>7</w:t>
        </w:r>
        <w:r w:rsidR="00A43C68">
          <w:rPr>
            <w:webHidden/>
          </w:rPr>
          <w:fldChar w:fldCharType="end"/>
        </w:r>
      </w:hyperlink>
    </w:p>
    <w:p w14:paraId="0180FAF0" w14:textId="389E325C" w:rsidR="00A43C68" w:rsidRDefault="00BE2079">
      <w:pPr>
        <w:pStyle w:val="Spistreci2"/>
        <w:rPr>
          <w:rFonts w:asciiTheme="minorHAnsi" w:eastAsiaTheme="minorEastAsia" w:hAnsiTheme="minorHAnsi" w:cstheme="minorBidi"/>
          <w:b w:val="0"/>
          <w:bCs w:val="0"/>
          <w:sz w:val="22"/>
          <w:szCs w:val="22"/>
        </w:rPr>
      </w:pPr>
      <w:hyperlink w:anchor="_Toc141276418" w:history="1">
        <w:r w:rsidR="00A43C68" w:rsidRPr="002D4B59">
          <w:rPr>
            <w:rStyle w:val="Hipercze"/>
          </w:rPr>
          <w:t>I.1. Ustawa – Prawo zamówień publicznych</w:t>
        </w:r>
        <w:r w:rsidR="00A43C68">
          <w:rPr>
            <w:webHidden/>
          </w:rPr>
          <w:tab/>
        </w:r>
        <w:r w:rsidR="00A43C68">
          <w:rPr>
            <w:webHidden/>
          </w:rPr>
          <w:fldChar w:fldCharType="begin"/>
        </w:r>
        <w:r w:rsidR="00A43C68">
          <w:rPr>
            <w:webHidden/>
          </w:rPr>
          <w:instrText xml:space="preserve"> PAGEREF _Toc141276418 \h </w:instrText>
        </w:r>
        <w:r w:rsidR="00A43C68">
          <w:rPr>
            <w:webHidden/>
          </w:rPr>
        </w:r>
        <w:r w:rsidR="00A43C68">
          <w:rPr>
            <w:webHidden/>
          </w:rPr>
          <w:fldChar w:fldCharType="separate"/>
        </w:r>
        <w:r w:rsidR="00A43C68">
          <w:rPr>
            <w:webHidden/>
          </w:rPr>
          <w:t>7</w:t>
        </w:r>
        <w:r w:rsidR="00A43C68">
          <w:rPr>
            <w:webHidden/>
          </w:rPr>
          <w:fldChar w:fldCharType="end"/>
        </w:r>
      </w:hyperlink>
    </w:p>
    <w:p w14:paraId="4C277731" w14:textId="0A2896DE" w:rsidR="00A43C68" w:rsidRDefault="00BE2079">
      <w:pPr>
        <w:pStyle w:val="Spistreci2"/>
        <w:rPr>
          <w:rFonts w:asciiTheme="minorHAnsi" w:eastAsiaTheme="minorEastAsia" w:hAnsiTheme="minorHAnsi" w:cstheme="minorBidi"/>
          <w:b w:val="0"/>
          <w:bCs w:val="0"/>
          <w:sz w:val="22"/>
          <w:szCs w:val="22"/>
        </w:rPr>
      </w:pPr>
      <w:hyperlink w:anchor="_Toc141276419" w:history="1">
        <w:r w:rsidR="00A43C68" w:rsidRPr="002D4B59">
          <w:rPr>
            <w:rStyle w:val="Hipercze"/>
          </w:rPr>
          <w:t>I.2. Przepisy wykonawcze do ustawy</w:t>
        </w:r>
        <w:r w:rsidR="00A43C68">
          <w:rPr>
            <w:webHidden/>
          </w:rPr>
          <w:tab/>
        </w:r>
        <w:r w:rsidR="00A43C68">
          <w:rPr>
            <w:webHidden/>
          </w:rPr>
          <w:fldChar w:fldCharType="begin"/>
        </w:r>
        <w:r w:rsidR="00A43C68">
          <w:rPr>
            <w:webHidden/>
          </w:rPr>
          <w:instrText xml:space="preserve"> PAGEREF _Toc141276419 \h </w:instrText>
        </w:r>
        <w:r w:rsidR="00A43C68">
          <w:rPr>
            <w:webHidden/>
          </w:rPr>
        </w:r>
        <w:r w:rsidR="00A43C68">
          <w:rPr>
            <w:webHidden/>
          </w:rPr>
          <w:fldChar w:fldCharType="separate"/>
        </w:r>
        <w:r w:rsidR="00A43C68">
          <w:rPr>
            <w:webHidden/>
          </w:rPr>
          <w:t>8</w:t>
        </w:r>
        <w:r w:rsidR="00A43C68">
          <w:rPr>
            <w:webHidden/>
          </w:rPr>
          <w:fldChar w:fldCharType="end"/>
        </w:r>
      </w:hyperlink>
    </w:p>
    <w:p w14:paraId="211480E0" w14:textId="4411925D" w:rsidR="00A43C68" w:rsidRDefault="00BE2079">
      <w:pPr>
        <w:pStyle w:val="Spistreci2"/>
        <w:rPr>
          <w:rFonts w:asciiTheme="minorHAnsi" w:eastAsiaTheme="minorEastAsia" w:hAnsiTheme="minorHAnsi" w:cstheme="minorBidi"/>
          <w:b w:val="0"/>
          <w:bCs w:val="0"/>
          <w:sz w:val="22"/>
          <w:szCs w:val="22"/>
        </w:rPr>
      </w:pPr>
      <w:hyperlink w:anchor="_Toc141276420" w:history="1">
        <w:r w:rsidR="00A43C68" w:rsidRPr="002D4B59">
          <w:rPr>
            <w:rStyle w:val="Hipercze"/>
          </w:rPr>
          <w:t>I.3. Inne regulacje</w:t>
        </w:r>
        <w:r w:rsidR="00A43C68">
          <w:rPr>
            <w:webHidden/>
          </w:rPr>
          <w:tab/>
        </w:r>
        <w:r w:rsidR="00A43C68">
          <w:rPr>
            <w:webHidden/>
          </w:rPr>
          <w:fldChar w:fldCharType="begin"/>
        </w:r>
        <w:r w:rsidR="00A43C68">
          <w:rPr>
            <w:webHidden/>
          </w:rPr>
          <w:instrText xml:space="preserve"> PAGEREF _Toc141276420 \h </w:instrText>
        </w:r>
        <w:r w:rsidR="00A43C68">
          <w:rPr>
            <w:webHidden/>
          </w:rPr>
        </w:r>
        <w:r w:rsidR="00A43C68">
          <w:rPr>
            <w:webHidden/>
          </w:rPr>
          <w:fldChar w:fldCharType="separate"/>
        </w:r>
        <w:r w:rsidR="00A43C68">
          <w:rPr>
            <w:webHidden/>
          </w:rPr>
          <w:t>9</w:t>
        </w:r>
        <w:r w:rsidR="00A43C68">
          <w:rPr>
            <w:webHidden/>
          </w:rPr>
          <w:fldChar w:fldCharType="end"/>
        </w:r>
      </w:hyperlink>
    </w:p>
    <w:p w14:paraId="2AA0C9CC" w14:textId="370CE580" w:rsidR="00A43C68" w:rsidRDefault="00BE2079">
      <w:pPr>
        <w:pStyle w:val="Spistreci2"/>
        <w:rPr>
          <w:rFonts w:asciiTheme="minorHAnsi" w:eastAsiaTheme="minorEastAsia" w:hAnsiTheme="minorHAnsi" w:cstheme="minorBidi"/>
          <w:b w:val="0"/>
          <w:bCs w:val="0"/>
          <w:sz w:val="22"/>
          <w:szCs w:val="22"/>
        </w:rPr>
      </w:pPr>
      <w:hyperlink w:anchor="_Toc141276421" w:history="1">
        <w:r w:rsidR="00A43C68" w:rsidRPr="002D4B59">
          <w:rPr>
            <w:rStyle w:val="Hipercze"/>
          </w:rPr>
          <w:t>I.4. Regulacje i dokumenty dotyczące zamówień publicznych i koncesji na roboty budowlane lub usługi w Unii Europejskiej</w:t>
        </w:r>
        <w:r w:rsidR="00A43C68">
          <w:rPr>
            <w:webHidden/>
          </w:rPr>
          <w:tab/>
        </w:r>
        <w:r w:rsidR="00A43C68">
          <w:rPr>
            <w:webHidden/>
          </w:rPr>
          <w:fldChar w:fldCharType="begin"/>
        </w:r>
        <w:r w:rsidR="00A43C68">
          <w:rPr>
            <w:webHidden/>
          </w:rPr>
          <w:instrText xml:space="preserve"> PAGEREF _Toc141276421 \h </w:instrText>
        </w:r>
        <w:r w:rsidR="00A43C68">
          <w:rPr>
            <w:webHidden/>
          </w:rPr>
        </w:r>
        <w:r w:rsidR="00A43C68">
          <w:rPr>
            <w:webHidden/>
          </w:rPr>
          <w:fldChar w:fldCharType="separate"/>
        </w:r>
        <w:r w:rsidR="00A43C68">
          <w:rPr>
            <w:webHidden/>
          </w:rPr>
          <w:t>11</w:t>
        </w:r>
        <w:r w:rsidR="00A43C68">
          <w:rPr>
            <w:webHidden/>
          </w:rPr>
          <w:fldChar w:fldCharType="end"/>
        </w:r>
      </w:hyperlink>
    </w:p>
    <w:p w14:paraId="756A6854" w14:textId="007C6033" w:rsidR="00A43C68" w:rsidRDefault="00BE2079">
      <w:pPr>
        <w:pStyle w:val="Spistreci3"/>
        <w:rPr>
          <w:rFonts w:asciiTheme="minorHAnsi" w:eastAsiaTheme="minorEastAsia" w:hAnsiTheme="minorHAnsi" w:cstheme="minorBidi"/>
          <w:sz w:val="22"/>
          <w:szCs w:val="22"/>
        </w:rPr>
      </w:pPr>
      <w:hyperlink w:anchor="_Toc141276422" w:history="1">
        <w:r w:rsidR="00A43C68" w:rsidRPr="002D4B59">
          <w:rPr>
            <w:rStyle w:val="Hipercze"/>
          </w:rPr>
          <w:t>I.4.1. Akty prawne</w:t>
        </w:r>
        <w:r w:rsidR="00A43C68">
          <w:rPr>
            <w:webHidden/>
          </w:rPr>
          <w:tab/>
        </w:r>
        <w:r w:rsidR="00A43C68">
          <w:rPr>
            <w:webHidden/>
          </w:rPr>
          <w:fldChar w:fldCharType="begin"/>
        </w:r>
        <w:r w:rsidR="00A43C68">
          <w:rPr>
            <w:webHidden/>
          </w:rPr>
          <w:instrText xml:space="preserve"> PAGEREF _Toc141276422 \h </w:instrText>
        </w:r>
        <w:r w:rsidR="00A43C68">
          <w:rPr>
            <w:webHidden/>
          </w:rPr>
        </w:r>
        <w:r w:rsidR="00A43C68">
          <w:rPr>
            <w:webHidden/>
          </w:rPr>
          <w:fldChar w:fldCharType="separate"/>
        </w:r>
        <w:r w:rsidR="00A43C68">
          <w:rPr>
            <w:webHidden/>
          </w:rPr>
          <w:t>11</w:t>
        </w:r>
        <w:r w:rsidR="00A43C68">
          <w:rPr>
            <w:webHidden/>
          </w:rPr>
          <w:fldChar w:fldCharType="end"/>
        </w:r>
      </w:hyperlink>
    </w:p>
    <w:p w14:paraId="0E315AD3" w14:textId="41699E9E" w:rsidR="00A43C68" w:rsidRDefault="00BE2079">
      <w:pPr>
        <w:pStyle w:val="Spistreci3"/>
        <w:rPr>
          <w:rFonts w:asciiTheme="minorHAnsi" w:eastAsiaTheme="minorEastAsia" w:hAnsiTheme="minorHAnsi" w:cstheme="minorBidi"/>
          <w:sz w:val="22"/>
          <w:szCs w:val="22"/>
        </w:rPr>
      </w:pPr>
      <w:hyperlink w:anchor="_Toc141276423" w:history="1">
        <w:r w:rsidR="00A43C68" w:rsidRPr="002D4B59">
          <w:rPr>
            <w:rStyle w:val="Hipercze"/>
          </w:rPr>
          <w:t>I.4.2. Dokumenty pozalegislacyjne</w:t>
        </w:r>
        <w:r w:rsidR="00A43C68">
          <w:rPr>
            <w:webHidden/>
          </w:rPr>
          <w:tab/>
        </w:r>
        <w:r w:rsidR="00A43C68">
          <w:rPr>
            <w:webHidden/>
          </w:rPr>
          <w:fldChar w:fldCharType="begin"/>
        </w:r>
        <w:r w:rsidR="00A43C68">
          <w:rPr>
            <w:webHidden/>
          </w:rPr>
          <w:instrText xml:space="preserve"> PAGEREF _Toc141276423 \h </w:instrText>
        </w:r>
        <w:r w:rsidR="00A43C68">
          <w:rPr>
            <w:webHidden/>
          </w:rPr>
        </w:r>
        <w:r w:rsidR="00A43C68">
          <w:rPr>
            <w:webHidden/>
          </w:rPr>
          <w:fldChar w:fldCharType="separate"/>
        </w:r>
        <w:r w:rsidR="00A43C68">
          <w:rPr>
            <w:webHidden/>
          </w:rPr>
          <w:t>13</w:t>
        </w:r>
        <w:r w:rsidR="00A43C68">
          <w:rPr>
            <w:webHidden/>
          </w:rPr>
          <w:fldChar w:fldCharType="end"/>
        </w:r>
      </w:hyperlink>
    </w:p>
    <w:p w14:paraId="16761151" w14:textId="740712EA" w:rsidR="00A43C68" w:rsidRDefault="00BE2079">
      <w:pPr>
        <w:pStyle w:val="Spistreci3"/>
        <w:rPr>
          <w:rFonts w:asciiTheme="minorHAnsi" w:eastAsiaTheme="minorEastAsia" w:hAnsiTheme="minorHAnsi" w:cstheme="minorBidi"/>
          <w:sz w:val="22"/>
          <w:szCs w:val="22"/>
        </w:rPr>
      </w:pPr>
      <w:hyperlink w:anchor="_Toc141276424" w:history="1">
        <w:r w:rsidR="00A43C68" w:rsidRPr="002D4B59">
          <w:rPr>
            <w:rStyle w:val="Hipercze"/>
          </w:rPr>
          <w:t>I.4.3. Orzecznictwo Trybunału Sprawiedliwości UE</w:t>
        </w:r>
        <w:r w:rsidR="00A43C68">
          <w:rPr>
            <w:webHidden/>
          </w:rPr>
          <w:tab/>
        </w:r>
        <w:r w:rsidR="00A43C68">
          <w:rPr>
            <w:webHidden/>
          </w:rPr>
          <w:fldChar w:fldCharType="begin"/>
        </w:r>
        <w:r w:rsidR="00A43C68">
          <w:rPr>
            <w:webHidden/>
          </w:rPr>
          <w:instrText xml:space="preserve"> PAGEREF _Toc141276424 \h </w:instrText>
        </w:r>
        <w:r w:rsidR="00A43C68">
          <w:rPr>
            <w:webHidden/>
          </w:rPr>
        </w:r>
        <w:r w:rsidR="00A43C68">
          <w:rPr>
            <w:webHidden/>
          </w:rPr>
          <w:fldChar w:fldCharType="separate"/>
        </w:r>
        <w:r w:rsidR="00A43C68">
          <w:rPr>
            <w:webHidden/>
          </w:rPr>
          <w:t>14</w:t>
        </w:r>
        <w:r w:rsidR="00A43C68">
          <w:rPr>
            <w:webHidden/>
          </w:rPr>
          <w:fldChar w:fldCharType="end"/>
        </w:r>
      </w:hyperlink>
    </w:p>
    <w:p w14:paraId="4A8320E6" w14:textId="3E995849" w:rsidR="00A43C68" w:rsidRDefault="00BE2079">
      <w:pPr>
        <w:pStyle w:val="Spistreci2"/>
        <w:rPr>
          <w:rFonts w:asciiTheme="minorHAnsi" w:eastAsiaTheme="minorEastAsia" w:hAnsiTheme="minorHAnsi" w:cstheme="minorBidi"/>
          <w:b w:val="0"/>
          <w:bCs w:val="0"/>
          <w:sz w:val="22"/>
          <w:szCs w:val="22"/>
        </w:rPr>
      </w:pPr>
      <w:hyperlink w:anchor="_Toc141276425" w:history="1">
        <w:r w:rsidR="00A43C68" w:rsidRPr="002D4B59">
          <w:rPr>
            <w:rStyle w:val="Hipercze"/>
          </w:rPr>
          <w:t>I.5. Umowy międzynarodowe zawierane przez UE, określające zasady dostępu do zamówień publicznych państw UE</w:t>
        </w:r>
        <w:r w:rsidR="00A43C68">
          <w:rPr>
            <w:webHidden/>
          </w:rPr>
          <w:tab/>
        </w:r>
        <w:r w:rsidR="00A43C68">
          <w:rPr>
            <w:webHidden/>
          </w:rPr>
          <w:fldChar w:fldCharType="begin"/>
        </w:r>
        <w:r w:rsidR="00A43C68">
          <w:rPr>
            <w:webHidden/>
          </w:rPr>
          <w:instrText xml:space="preserve"> PAGEREF _Toc141276425 \h </w:instrText>
        </w:r>
        <w:r w:rsidR="00A43C68">
          <w:rPr>
            <w:webHidden/>
          </w:rPr>
        </w:r>
        <w:r w:rsidR="00A43C68">
          <w:rPr>
            <w:webHidden/>
          </w:rPr>
          <w:fldChar w:fldCharType="separate"/>
        </w:r>
        <w:r w:rsidR="00A43C68">
          <w:rPr>
            <w:webHidden/>
          </w:rPr>
          <w:t>15</w:t>
        </w:r>
        <w:r w:rsidR="00A43C68">
          <w:rPr>
            <w:webHidden/>
          </w:rPr>
          <w:fldChar w:fldCharType="end"/>
        </w:r>
      </w:hyperlink>
    </w:p>
    <w:p w14:paraId="2391F48B" w14:textId="7E886D06" w:rsidR="00A43C68" w:rsidRDefault="00BE2079">
      <w:pPr>
        <w:pStyle w:val="Spistreci1"/>
        <w:rPr>
          <w:rFonts w:asciiTheme="minorHAnsi" w:eastAsiaTheme="minorEastAsia" w:hAnsiTheme="minorHAnsi" w:cstheme="minorBidi"/>
          <w:b w:val="0"/>
          <w:color w:val="auto"/>
          <w:szCs w:val="22"/>
        </w:rPr>
      </w:pPr>
      <w:hyperlink w:anchor="_Toc141276426" w:history="1">
        <w:r w:rsidR="00A43C68" w:rsidRPr="002D4B59">
          <w:rPr>
            <w:rStyle w:val="Hipercze"/>
          </w:rPr>
          <w:t>II. RYNEK ZAMÓWIEŃ PUBLICZNYCH</w:t>
        </w:r>
        <w:r w:rsidR="00A43C68">
          <w:rPr>
            <w:webHidden/>
          </w:rPr>
          <w:tab/>
        </w:r>
        <w:r w:rsidR="00A43C68">
          <w:rPr>
            <w:webHidden/>
          </w:rPr>
          <w:fldChar w:fldCharType="begin"/>
        </w:r>
        <w:r w:rsidR="00A43C68">
          <w:rPr>
            <w:webHidden/>
          </w:rPr>
          <w:instrText xml:space="preserve"> PAGEREF _Toc141276426 \h </w:instrText>
        </w:r>
        <w:r w:rsidR="00A43C68">
          <w:rPr>
            <w:webHidden/>
          </w:rPr>
        </w:r>
        <w:r w:rsidR="00A43C68">
          <w:rPr>
            <w:webHidden/>
          </w:rPr>
          <w:fldChar w:fldCharType="separate"/>
        </w:r>
        <w:r w:rsidR="00A43C68">
          <w:rPr>
            <w:webHidden/>
          </w:rPr>
          <w:t>17</w:t>
        </w:r>
        <w:r w:rsidR="00A43C68">
          <w:rPr>
            <w:webHidden/>
          </w:rPr>
          <w:fldChar w:fldCharType="end"/>
        </w:r>
      </w:hyperlink>
    </w:p>
    <w:p w14:paraId="315F3BEF" w14:textId="0ED51F1E" w:rsidR="00A43C68" w:rsidRDefault="00BE2079">
      <w:pPr>
        <w:pStyle w:val="Spistreci2"/>
        <w:rPr>
          <w:rFonts w:asciiTheme="minorHAnsi" w:eastAsiaTheme="minorEastAsia" w:hAnsiTheme="minorHAnsi" w:cstheme="minorBidi"/>
          <w:b w:val="0"/>
          <w:bCs w:val="0"/>
          <w:sz w:val="22"/>
          <w:szCs w:val="22"/>
        </w:rPr>
      </w:pPr>
      <w:hyperlink w:anchor="_Toc141276427" w:history="1">
        <w:r w:rsidR="00A43C68" w:rsidRPr="002D4B59">
          <w:rPr>
            <w:rStyle w:val="Hipercze"/>
          </w:rPr>
          <w:t>II.1. Charakterystyka rynku zamówień publicznych</w:t>
        </w:r>
        <w:r w:rsidR="00A43C68">
          <w:rPr>
            <w:webHidden/>
          </w:rPr>
          <w:tab/>
        </w:r>
        <w:r w:rsidR="00A43C68">
          <w:rPr>
            <w:webHidden/>
          </w:rPr>
          <w:fldChar w:fldCharType="begin"/>
        </w:r>
        <w:r w:rsidR="00A43C68">
          <w:rPr>
            <w:webHidden/>
          </w:rPr>
          <w:instrText xml:space="preserve"> PAGEREF _Toc141276427 \h </w:instrText>
        </w:r>
        <w:r w:rsidR="00A43C68">
          <w:rPr>
            <w:webHidden/>
          </w:rPr>
        </w:r>
        <w:r w:rsidR="00A43C68">
          <w:rPr>
            <w:webHidden/>
          </w:rPr>
          <w:fldChar w:fldCharType="separate"/>
        </w:r>
        <w:r w:rsidR="00A43C68">
          <w:rPr>
            <w:webHidden/>
          </w:rPr>
          <w:t>17</w:t>
        </w:r>
        <w:r w:rsidR="00A43C68">
          <w:rPr>
            <w:webHidden/>
          </w:rPr>
          <w:fldChar w:fldCharType="end"/>
        </w:r>
      </w:hyperlink>
    </w:p>
    <w:p w14:paraId="2D8B0595" w14:textId="1459C650" w:rsidR="00A43C68" w:rsidRDefault="00BE2079">
      <w:pPr>
        <w:pStyle w:val="Spistreci3"/>
        <w:rPr>
          <w:rFonts w:asciiTheme="minorHAnsi" w:eastAsiaTheme="minorEastAsia" w:hAnsiTheme="minorHAnsi" w:cstheme="minorBidi"/>
          <w:sz w:val="22"/>
          <w:szCs w:val="22"/>
        </w:rPr>
      </w:pPr>
      <w:hyperlink w:anchor="_Toc141276428" w:history="1">
        <w:r w:rsidR="00A43C68" w:rsidRPr="002D4B59">
          <w:rPr>
            <w:rStyle w:val="Hipercze"/>
          </w:rPr>
          <w:t>II.1.1. Wielkość rynku</w:t>
        </w:r>
        <w:r w:rsidR="00A43C68">
          <w:rPr>
            <w:webHidden/>
          </w:rPr>
          <w:tab/>
        </w:r>
        <w:r w:rsidR="00A43C68">
          <w:rPr>
            <w:webHidden/>
          </w:rPr>
          <w:fldChar w:fldCharType="begin"/>
        </w:r>
        <w:r w:rsidR="00A43C68">
          <w:rPr>
            <w:webHidden/>
          </w:rPr>
          <w:instrText xml:space="preserve"> PAGEREF _Toc141276428 \h </w:instrText>
        </w:r>
        <w:r w:rsidR="00A43C68">
          <w:rPr>
            <w:webHidden/>
          </w:rPr>
        </w:r>
        <w:r w:rsidR="00A43C68">
          <w:rPr>
            <w:webHidden/>
          </w:rPr>
          <w:fldChar w:fldCharType="separate"/>
        </w:r>
        <w:r w:rsidR="00A43C68">
          <w:rPr>
            <w:webHidden/>
          </w:rPr>
          <w:t>17</w:t>
        </w:r>
        <w:r w:rsidR="00A43C68">
          <w:rPr>
            <w:webHidden/>
          </w:rPr>
          <w:fldChar w:fldCharType="end"/>
        </w:r>
      </w:hyperlink>
    </w:p>
    <w:p w14:paraId="49620317" w14:textId="612AC978" w:rsidR="00A43C68" w:rsidRDefault="00BE2079">
      <w:pPr>
        <w:pStyle w:val="Spistreci3"/>
        <w:rPr>
          <w:rFonts w:asciiTheme="minorHAnsi" w:eastAsiaTheme="minorEastAsia" w:hAnsiTheme="minorHAnsi" w:cstheme="minorBidi"/>
          <w:sz w:val="22"/>
          <w:szCs w:val="22"/>
        </w:rPr>
      </w:pPr>
      <w:hyperlink w:anchor="_Toc141276429" w:history="1">
        <w:r w:rsidR="00A43C68" w:rsidRPr="002D4B59">
          <w:rPr>
            <w:rStyle w:val="Hipercze"/>
          </w:rPr>
          <w:t>II.1.2. Zamawiający</w:t>
        </w:r>
        <w:r w:rsidR="00A43C68">
          <w:rPr>
            <w:webHidden/>
          </w:rPr>
          <w:tab/>
        </w:r>
        <w:r w:rsidR="00A43C68">
          <w:rPr>
            <w:webHidden/>
          </w:rPr>
          <w:fldChar w:fldCharType="begin"/>
        </w:r>
        <w:r w:rsidR="00A43C68">
          <w:rPr>
            <w:webHidden/>
          </w:rPr>
          <w:instrText xml:space="preserve"> PAGEREF _Toc141276429 \h </w:instrText>
        </w:r>
        <w:r w:rsidR="00A43C68">
          <w:rPr>
            <w:webHidden/>
          </w:rPr>
        </w:r>
        <w:r w:rsidR="00A43C68">
          <w:rPr>
            <w:webHidden/>
          </w:rPr>
          <w:fldChar w:fldCharType="separate"/>
        </w:r>
        <w:r w:rsidR="00A43C68">
          <w:rPr>
            <w:webHidden/>
          </w:rPr>
          <w:t>18</w:t>
        </w:r>
        <w:r w:rsidR="00A43C68">
          <w:rPr>
            <w:webHidden/>
          </w:rPr>
          <w:fldChar w:fldCharType="end"/>
        </w:r>
      </w:hyperlink>
    </w:p>
    <w:p w14:paraId="501D5AA7" w14:textId="54C4137C" w:rsidR="00A43C68" w:rsidRDefault="00BE2079">
      <w:pPr>
        <w:pStyle w:val="Spistreci3"/>
        <w:rPr>
          <w:rFonts w:asciiTheme="minorHAnsi" w:eastAsiaTheme="minorEastAsia" w:hAnsiTheme="minorHAnsi" w:cstheme="minorBidi"/>
          <w:sz w:val="22"/>
          <w:szCs w:val="22"/>
        </w:rPr>
      </w:pPr>
      <w:hyperlink w:anchor="_Toc141276430" w:history="1">
        <w:r w:rsidR="00A43C68" w:rsidRPr="002D4B59">
          <w:rPr>
            <w:rStyle w:val="Hipercze"/>
          </w:rPr>
          <w:t>II.1.3. Struktura rynku</w:t>
        </w:r>
        <w:r w:rsidR="00A43C68">
          <w:rPr>
            <w:webHidden/>
          </w:rPr>
          <w:tab/>
        </w:r>
        <w:r w:rsidR="00A43C68">
          <w:rPr>
            <w:webHidden/>
          </w:rPr>
          <w:fldChar w:fldCharType="begin"/>
        </w:r>
        <w:r w:rsidR="00A43C68">
          <w:rPr>
            <w:webHidden/>
          </w:rPr>
          <w:instrText xml:space="preserve"> PAGEREF _Toc141276430 \h </w:instrText>
        </w:r>
        <w:r w:rsidR="00A43C68">
          <w:rPr>
            <w:webHidden/>
          </w:rPr>
        </w:r>
        <w:r w:rsidR="00A43C68">
          <w:rPr>
            <w:webHidden/>
          </w:rPr>
          <w:fldChar w:fldCharType="separate"/>
        </w:r>
        <w:r w:rsidR="00A43C68">
          <w:rPr>
            <w:webHidden/>
          </w:rPr>
          <w:t>20</w:t>
        </w:r>
        <w:r w:rsidR="00A43C68">
          <w:rPr>
            <w:webHidden/>
          </w:rPr>
          <w:fldChar w:fldCharType="end"/>
        </w:r>
      </w:hyperlink>
    </w:p>
    <w:p w14:paraId="112B9595" w14:textId="7EA22702" w:rsidR="00A43C68" w:rsidRDefault="00BE2079">
      <w:pPr>
        <w:pStyle w:val="Spistreci3"/>
        <w:rPr>
          <w:rFonts w:asciiTheme="minorHAnsi" w:eastAsiaTheme="minorEastAsia" w:hAnsiTheme="minorHAnsi" w:cstheme="minorBidi"/>
          <w:sz w:val="22"/>
          <w:szCs w:val="22"/>
        </w:rPr>
      </w:pPr>
      <w:hyperlink w:anchor="_Toc141276431" w:history="1">
        <w:r w:rsidR="00A43C68" w:rsidRPr="002D4B59">
          <w:rPr>
            <w:rStyle w:val="Hipercze"/>
          </w:rPr>
          <w:t>II.1.4. Zamówienia sektorowe</w:t>
        </w:r>
        <w:r w:rsidR="00A43C68">
          <w:rPr>
            <w:webHidden/>
          </w:rPr>
          <w:tab/>
        </w:r>
        <w:r w:rsidR="00A43C68">
          <w:rPr>
            <w:webHidden/>
          </w:rPr>
          <w:fldChar w:fldCharType="begin"/>
        </w:r>
        <w:r w:rsidR="00A43C68">
          <w:rPr>
            <w:webHidden/>
          </w:rPr>
          <w:instrText xml:space="preserve"> PAGEREF _Toc141276431 \h </w:instrText>
        </w:r>
        <w:r w:rsidR="00A43C68">
          <w:rPr>
            <w:webHidden/>
          </w:rPr>
        </w:r>
        <w:r w:rsidR="00A43C68">
          <w:rPr>
            <w:webHidden/>
          </w:rPr>
          <w:fldChar w:fldCharType="separate"/>
        </w:r>
        <w:r w:rsidR="00A43C68">
          <w:rPr>
            <w:webHidden/>
          </w:rPr>
          <w:t>21</w:t>
        </w:r>
        <w:r w:rsidR="00A43C68">
          <w:rPr>
            <w:webHidden/>
          </w:rPr>
          <w:fldChar w:fldCharType="end"/>
        </w:r>
      </w:hyperlink>
    </w:p>
    <w:p w14:paraId="50163198" w14:textId="1509F874" w:rsidR="00A43C68" w:rsidRDefault="00BE2079">
      <w:pPr>
        <w:pStyle w:val="Spistreci3"/>
        <w:rPr>
          <w:rFonts w:asciiTheme="minorHAnsi" w:eastAsiaTheme="minorEastAsia" w:hAnsiTheme="minorHAnsi" w:cstheme="minorBidi"/>
          <w:sz w:val="22"/>
          <w:szCs w:val="22"/>
        </w:rPr>
      </w:pPr>
      <w:hyperlink w:anchor="_Toc141276432" w:history="1">
        <w:r w:rsidR="00A43C68" w:rsidRPr="002D4B59">
          <w:rPr>
            <w:rStyle w:val="Hipercze"/>
          </w:rPr>
          <w:t>II.1.5. Zamówienia w dziedzinach obronności i bezpieczeństwa</w:t>
        </w:r>
        <w:r w:rsidR="00A43C68">
          <w:rPr>
            <w:webHidden/>
          </w:rPr>
          <w:tab/>
        </w:r>
        <w:r w:rsidR="00A43C68">
          <w:rPr>
            <w:webHidden/>
          </w:rPr>
          <w:fldChar w:fldCharType="begin"/>
        </w:r>
        <w:r w:rsidR="00A43C68">
          <w:rPr>
            <w:webHidden/>
          </w:rPr>
          <w:instrText xml:space="preserve"> PAGEREF _Toc141276432 \h </w:instrText>
        </w:r>
        <w:r w:rsidR="00A43C68">
          <w:rPr>
            <w:webHidden/>
          </w:rPr>
        </w:r>
        <w:r w:rsidR="00A43C68">
          <w:rPr>
            <w:webHidden/>
          </w:rPr>
          <w:fldChar w:fldCharType="separate"/>
        </w:r>
        <w:r w:rsidR="00A43C68">
          <w:rPr>
            <w:webHidden/>
          </w:rPr>
          <w:t>23</w:t>
        </w:r>
        <w:r w:rsidR="00A43C68">
          <w:rPr>
            <w:webHidden/>
          </w:rPr>
          <w:fldChar w:fldCharType="end"/>
        </w:r>
      </w:hyperlink>
    </w:p>
    <w:p w14:paraId="7E798475" w14:textId="05710EBD" w:rsidR="00A43C68" w:rsidRDefault="00BE2079">
      <w:pPr>
        <w:pStyle w:val="Spistreci3"/>
        <w:rPr>
          <w:rFonts w:asciiTheme="minorHAnsi" w:eastAsiaTheme="minorEastAsia" w:hAnsiTheme="minorHAnsi" w:cstheme="minorBidi"/>
          <w:sz w:val="22"/>
          <w:szCs w:val="22"/>
        </w:rPr>
      </w:pPr>
      <w:hyperlink w:anchor="_Toc141276433" w:history="1">
        <w:r w:rsidR="00A43C68" w:rsidRPr="002D4B59">
          <w:rPr>
            <w:rStyle w:val="Hipercze"/>
          </w:rPr>
          <w:t>II.1.6. Koncesje na roboty budowlane lub usługi</w:t>
        </w:r>
        <w:r w:rsidR="00A43C68">
          <w:rPr>
            <w:webHidden/>
          </w:rPr>
          <w:tab/>
        </w:r>
        <w:r w:rsidR="00A43C68">
          <w:rPr>
            <w:webHidden/>
          </w:rPr>
          <w:fldChar w:fldCharType="begin"/>
        </w:r>
        <w:r w:rsidR="00A43C68">
          <w:rPr>
            <w:webHidden/>
          </w:rPr>
          <w:instrText xml:space="preserve"> PAGEREF _Toc141276433 \h </w:instrText>
        </w:r>
        <w:r w:rsidR="00A43C68">
          <w:rPr>
            <w:webHidden/>
          </w:rPr>
        </w:r>
        <w:r w:rsidR="00A43C68">
          <w:rPr>
            <w:webHidden/>
          </w:rPr>
          <w:fldChar w:fldCharType="separate"/>
        </w:r>
        <w:r w:rsidR="00A43C68">
          <w:rPr>
            <w:webHidden/>
          </w:rPr>
          <w:t>23</w:t>
        </w:r>
        <w:r w:rsidR="00A43C68">
          <w:rPr>
            <w:webHidden/>
          </w:rPr>
          <w:fldChar w:fldCharType="end"/>
        </w:r>
      </w:hyperlink>
    </w:p>
    <w:p w14:paraId="16DB8075" w14:textId="17AE1EF5" w:rsidR="00A43C68" w:rsidRDefault="00BE2079">
      <w:pPr>
        <w:pStyle w:val="Spistreci3"/>
        <w:rPr>
          <w:rFonts w:asciiTheme="minorHAnsi" w:eastAsiaTheme="minorEastAsia" w:hAnsiTheme="minorHAnsi" w:cstheme="minorBidi"/>
          <w:sz w:val="22"/>
          <w:szCs w:val="22"/>
        </w:rPr>
      </w:pPr>
      <w:hyperlink w:anchor="_Toc141276434" w:history="1">
        <w:r w:rsidR="00A43C68" w:rsidRPr="002D4B59">
          <w:rPr>
            <w:rStyle w:val="Hipercze"/>
          </w:rPr>
          <w:t>II.1.7. Zamówienia in-house</w:t>
        </w:r>
        <w:r w:rsidR="00A43C68">
          <w:rPr>
            <w:webHidden/>
          </w:rPr>
          <w:tab/>
        </w:r>
        <w:r w:rsidR="00A43C68">
          <w:rPr>
            <w:webHidden/>
          </w:rPr>
          <w:fldChar w:fldCharType="begin"/>
        </w:r>
        <w:r w:rsidR="00A43C68">
          <w:rPr>
            <w:webHidden/>
          </w:rPr>
          <w:instrText xml:space="preserve"> PAGEREF _Toc141276434 \h </w:instrText>
        </w:r>
        <w:r w:rsidR="00A43C68">
          <w:rPr>
            <w:webHidden/>
          </w:rPr>
        </w:r>
        <w:r w:rsidR="00A43C68">
          <w:rPr>
            <w:webHidden/>
          </w:rPr>
          <w:fldChar w:fldCharType="separate"/>
        </w:r>
        <w:r w:rsidR="00A43C68">
          <w:rPr>
            <w:webHidden/>
          </w:rPr>
          <w:t>24</w:t>
        </w:r>
        <w:r w:rsidR="00A43C68">
          <w:rPr>
            <w:webHidden/>
          </w:rPr>
          <w:fldChar w:fldCharType="end"/>
        </w:r>
      </w:hyperlink>
    </w:p>
    <w:p w14:paraId="7DDBB708" w14:textId="4A5B918D" w:rsidR="00A43C68" w:rsidRDefault="00BE2079">
      <w:pPr>
        <w:pStyle w:val="Spistreci3"/>
        <w:rPr>
          <w:rFonts w:asciiTheme="minorHAnsi" w:eastAsiaTheme="minorEastAsia" w:hAnsiTheme="minorHAnsi" w:cstheme="minorBidi"/>
          <w:sz w:val="22"/>
          <w:szCs w:val="22"/>
        </w:rPr>
      </w:pPr>
      <w:hyperlink w:anchor="_Toc141276435" w:history="1">
        <w:r w:rsidR="00A43C68" w:rsidRPr="002D4B59">
          <w:rPr>
            <w:rStyle w:val="Hipercze"/>
          </w:rPr>
          <w:t>II.1.8. Zamówienia udzielane na podstawie wyłączeń stosowania ustawy Pzp określonych w innych ustawach</w:t>
        </w:r>
        <w:r w:rsidR="00A43C68">
          <w:rPr>
            <w:webHidden/>
          </w:rPr>
          <w:tab/>
        </w:r>
        <w:r w:rsidR="00A43C68">
          <w:rPr>
            <w:webHidden/>
          </w:rPr>
          <w:fldChar w:fldCharType="begin"/>
        </w:r>
        <w:r w:rsidR="00A43C68">
          <w:rPr>
            <w:webHidden/>
          </w:rPr>
          <w:instrText xml:space="preserve"> PAGEREF _Toc141276435 \h </w:instrText>
        </w:r>
        <w:r w:rsidR="00A43C68">
          <w:rPr>
            <w:webHidden/>
          </w:rPr>
        </w:r>
        <w:r w:rsidR="00A43C68">
          <w:rPr>
            <w:webHidden/>
          </w:rPr>
          <w:fldChar w:fldCharType="separate"/>
        </w:r>
        <w:r w:rsidR="00A43C68">
          <w:rPr>
            <w:webHidden/>
          </w:rPr>
          <w:t>26</w:t>
        </w:r>
        <w:r w:rsidR="00A43C68">
          <w:rPr>
            <w:webHidden/>
          </w:rPr>
          <w:fldChar w:fldCharType="end"/>
        </w:r>
      </w:hyperlink>
    </w:p>
    <w:p w14:paraId="7109A663" w14:textId="3930E04F" w:rsidR="00A43C68" w:rsidRDefault="00BE2079">
      <w:pPr>
        <w:pStyle w:val="Spistreci2"/>
        <w:rPr>
          <w:rFonts w:asciiTheme="minorHAnsi" w:eastAsiaTheme="minorEastAsia" w:hAnsiTheme="minorHAnsi" w:cstheme="minorBidi"/>
          <w:b w:val="0"/>
          <w:bCs w:val="0"/>
          <w:sz w:val="22"/>
          <w:szCs w:val="22"/>
        </w:rPr>
      </w:pPr>
      <w:hyperlink w:anchor="_Toc141276436" w:history="1">
        <w:r w:rsidR="00A43C68" w:rsidRPr="002D4B59">
          <w:rPr>
            <w:rStyle w:val="Hipercze"/>
          </w:rPr>
          <w:t>II.2. Funkcjonowanie rynku</w:t>
        </w:r>
        <w:r w:rsidR="00A43C68">
          <w:rPr>
            <w:webHidden/>
          </w:rPr>
          <w:tab/>
        </w:r>
        <w:r w:rsidR="00A43C68">
          <w:rPr>
            <w:webHidden/>
          </w:rPr>
          <w:fldChar w:fldCharType="begin"/>
        </w:r>
        <w:r w:rsidR="00A43C68">
          <w:rPr>
            <w:webHidden/>
          </w:rPr>
          <w:instrText xml:space="preserve"> PAGEREF _Toc141276436 \h </w:instrText>
        </w:r>
        <w:r w:rsidR="00A43C68">
          <w:rPr>
            <w:webHidden/>
          </w:rPr>
        </w:r>
        <w:r w:rsidR="00A43C68">
          <w:rPr>
            <w:webHidden/>
          </w:rPr>
          <w:fldChar w:fldCharType="separate"/>
        </w:r>
        <w:r w:rsidR="00A43C68">
          <w:rPr>
            <w:webHidden/>
          </w:rPr>
          <w:t>29</w:t>
        </w:r>
        <w:r w:rsidR="00A43C68">
          <w:rPr>
            <w:webHidden/>
          </w:rPr>
          <w:fldChar w:fldCharType="end"/>
        </w:r>
      </w:hyperlink>
    </w:p>
    <w:p w14:paraId="1A41272B" w14:textId="3768698E" w:rsidR="00A43C68" w:rsidRDefault="00BE2079">
      <w:pPr>
        <w:pStyle w:val="Spistreci3"/>
        <w:rPr>
          <w:rFonts w:asciiTheme="minorHAnsi" w:eastAsiaTheme="minorEastAsia" w:hAnsiTheme="minorHAnsi" w:cstheme="minorBidi"/>
          <w:sz w:val="22"/>
          <w:szCs w:val="22"/>
        </w:rPr>
      </w:pPr>
      <w:hyperlink w:anchor="_Toc141276437" w:history="1">
        <w:r w:rsidR="00A43C68" w:rsidRPr="002D4B59">
          <w:rPr>
            <w:rStyle w:val="Hipercze"/>
          </w:rPr>
          <w:t>II.2.1. Tryby stosowane w zamówieniach publicznych</w:t>
        </w:r>
        <w:r w:rsidR="00A43C68">
          <w:rPr>
            <w:webHidden/>
          </w:rPr>
          <w:tab/>
        </w:r>
        <w:r w:rsidR="00A43C68">
          <w:rPr>
            <w:webHidden/>
          </w:rPr>
          <w:fldChar w:fldCharType="begin"/>
        </w:r>
        <w:r w:rsidR="00A43C68">
          <w:rPr>
            <w:webHidden/>
          </w:rPr>
          <w:instrText xml:space="preserve"> PAGEREF _Toc141276437 \h </w:instrText>
        </w:r>
        <w:r w:rsidR="00A43C68">
          <w:rPr>
            <w:webHidden/>
          </w:rPr>
        </w:r>
        <w:r w:rsidR="00A43C68">
          <w:rPr>
            <w:webHidden/>
          </w:rPr>
          <w:fldChar w:fldCharType="separate"/>
        </w:r>
        <w:r w:rsidR="00A43C68">
          <w:rPr>
            <w:webHidden/>
          </w:rPr>
          <w:t>29</w:t>
        </w:r>
        <w:r w:rsidR="00A43C68">
          <w:rPr>
            <w:webHidden/>
          </w:rPr>
          <w:fldChar w:fldCharType="end"/>
        </w:r>
      </w:hyperlink>
    </w:p>
    <w:p w14:paraId="50885232" w14:textId="279EC8D9" w:rsidR="00A43C68" w:rsidRDefault="00BE2079">
      <w:pPr>
        <w:pStyle w:val="Spistreci3"/>
        <w:rPr>
          <w:rFonts w:asciiTheme="minorHAnsi" w:eastAsiaTheme="minorEastAsia" w:hAnsiTheme="minorHAnsi" w:cstheme="minorBidi"/>
          <w:sz w:val="22"/>
          <w:szCs w:val="22"/>
        </w:rPr>
      </w:pPr>
      <w:hyperlink w:anchor="_Toc141276438" w:history="1">
        <w:r w:rsidR="00A43C68" w:rsidRPr="002D4B59">
          <w:rPr>
            <w:rStyle w:val="Hipercze"/>
          </w:rPr>
          <w:t>II.2.2. Czas trwania postępowania</w:t>
        </w:r>
        <w:r w:rsidR="00A43C68">
          <w:rPr>
            <w:webHidden/>
          </w:rPr>
          <w:tab/>
        </w:r>
        <w:r w:rsidR="00A43C68">
          <w:rPr>
            <w:webHidden/>
          </w:rPr>
          <w:fldChar w:fldCharType="begin"/>
        </w:r>
        <w:r w:rsidR="00A43C68">
          <w:rPr>
            <w:webHidden/>
          </w:rPr>
          <w:instrText xml:space="preserve"> PAGEREF _Toc141276438 \h </w:instrText>
        </w:r>
        <w:r w:rsidR="00A43C68">
          <w:rPr>
            <w:webHidden/>
          </w:rPr>
        </w:r>
        <w:r w:rsidR="00A43C68">
          <w:rPr>
            <w:webHidden/>
          </w:rPr>
          <w:fldChar w:fldCharType="separate"/>
        </w:r>
        <w:r w:rsidR="00A43C68">
          <w:rPr>
            <w:webHidden/>
          </w:rPr>
          <w:t>30</w:t>
        </w:r>
        <w:r w:rsidR="00A43C68">
          <w:rPr>
            <w:webHidden/>
          </w:rPr>
          <w:fldChar w:fldCharType="end"/>
        </w:r>
      </w:hyperlink>
    </w:p>
    <w:p w14:paraId="18C61D23" w14:textId="2E245997" w:rsidR="00A43C68" w:rsidRDefault="00BE2079">
      <w:pPr>
        <w:pStyle w:val="Spistreci3"/>
        <w:rPr>
          <w:rFonts w:asciiTheme="minorHAnsi" w:eastAsiaTheme="minorEastAsia" w:hAnsiTheme="minorHAnsi" w:cstheme="minorBidi"/>
          <w:sz w:val="22"/>
          <w:szCs w:val="22"/>
        </w:rPr>
      </w:pPr>
      <w:hyperlink w:anchor="_Toc141276439" w:history="1">
        <w:r w:rsidR="00A43C68" w:rsidRPr="002D4B59">
          <w:rPr>
            <w:rStyle w:val="Hipercze"/>
          </w:rPr>
          <w:t>II.2.3. Kryteria oceny ofert</w:t>
        </w:r>
        <w:r w:rsidR="00A43C68">
          <w:rPr>
            <w:webHidden/>
          </w:rPr>
          <w:tab/>
        </w:r>
        <w:r w:rsidR="00A43C68">
          <w:rPr>
            <w:webHidden/>
          </w:rPr>
          <w:fldChar w:fldCharType="begin"/>
        </w:r>
        <w:r w:rsidR="00A43C68">
          <w:rPr>
            <w:webHidden/>
          </w:rPr>
          <w:instrText xml:space="preserve"> PAGEREF _Toc141276439 \h </w:instrText>
        </w:r>
        <w:r w:rsidR="00A43C68">
          <w:rPr>
            <w:webHidden/>
          </w:rPr>
        </w:r>
        <w:r w:rsidR="00A43C68">
          <w:rPr>
            <w:webHidden/>
          </w:rPr>
          <w:fldChar w:fldCharType="separate"/>
        </w:r>
        <w:r w:rsidR="00A43C68">
          <w:rPr>
            <w:webHidden/>
          </w:rPr>
          <w:t>31</w:t>
        </w:r>
        <w:r w:rsidR="00A43C68">
          <w:rPr>
            <w:webHidden/>
          </w:rPr>
          <w:fldChar w:fldCharType="end"/>
        </w:r>
      </w:hyperlink>
    </w:p>
    <w:p w14:paraId="03587A72" w14:textId="70EA1E35" w:rsidR="00A43C68" w:rsidRDefault="00BE2079">
      <w:pPr>
        <w:pStyle w:val="Spistreci3"/>
        <w:rPr>
          <w:rFonts w:asciiTheme="minorHAnsi" w:eastAsiaTheme="minorEastAsia" w:hAnsiTheme="minorHAnsi" w:cstheme="minorBidi"/>
          <w:sz w:val="22"/>
          <w:szCs w:val="22"/>
        </w:rPr>
      </w:pPr>
      <w:hyperlink w:anchor="_Toc141276440" w:history="1">
        <w:r w:rsidR="00A43C68" w:rsidRPr="002D4B59">
          <w:rPr>
            <w:rStyle w:val="Hipercze"/>
          </w:rPr>
          <w:t>II.2.4. Konkurencyjność postępowań</w:t>
        </w:r>
        <w:r w:rsidR="00A43C68">
          <w:rPr>
            <w:webHidden/>
          </w:rPr>
          <w:tab/>
        </w:r>
        <w:r w:rsidR="00A43C68">
          <w:rPr>
            <w:webHidden/>
          </w:rPr>
          <w:fldChar w:fldCharType="begin"/>
        </w:r>
        <w:r w:rsidR="00A43C68">
          <w:rPr>
            <w:webHidden/>
          </w:rPr>
          <w:instrText xml:space="preserve"> PAGEREF _Toc141276440 \h </w:instrText>
        </w:r>
        <w:r w:rsidR="00A43C68">
          <w:rPr>
            <w:webHidden/>
          </w:rPr>
        </w:r>
        <w:r w:rsidR="00A43C68">
          <w:rPr>
            <w:webHidden/>
          </w:rPr>
          <w:fldChar w:fldCharType="separate"/>
        </w:r>
        <w:r w:rsidR="00A43C68">
          <w:rPr>
            <w:webHidden/>
          </w:rPr>
          <w:t>33</w:t>
        </w:r>
        <w:r w:rsidR="00A43C68">
          <w:rPr>
            <w:webHidden/>
          </w:rPr>
          <w:fldChar w:fldCharType="end"/>
        </w:r>
      </w:hyperlink>
    </w:p>
    <w:p w14:paraId="745E19C3" w14:textId="474436F1" w:rsidR="00A43C68" w:rsidRDefault="00BE2079">
      <w:pPr>
        <w:pStyle w:val="Spistreci3"/>
        <w:rPr>
          <w:rFonts w:asciiTheme="minorHAnsi" w:eastAsiaTheme="minorEastAsia" w:hAnsiTheme="minorHAnsi" w:cstheme="minorBidi"/>
          <w:sz w:val="22"/>
          <w:szCs w:val="22"/>
        </w:rPr>
      </w:pPr>
      <w:hyperlink w:anchor="_Toc141276441" w:history="1">
        <w:r w:rsidR="00A43C68" w:rsidRPr="002D4B59">
          <w:rPr>
            <w:rStyle w:val="Hipercze"/>
          </w:rPr>
          <w:t>II.2.5. Udział w zamówieniach publicznych wykonawców z sektora MŚP</w:t>
        </w:r>
        <w:r w:rsidR="00A43C68">
          <w:rPr>
            <w:webHidden/>
          </w:rPr>
          <w:tab/>
        </w:r>
        <w:r w:rsidR="00A43C68">
          <w:rPr>
            <w:webHidden/>
          </w:rPr>
          <w:fldChar w:fldCharType="begin"/>
        </w:r>
        <w:r w:rsidR="00A43C68">
          <w:rPr>
            <w:webHidden/>
          </w:rPr>
          <w:instrText xml:space="preserve"> PAGEREF _Toc141276441 \h </w:instrText>
        </w:r>
        <w:r w:rsidR="00A43C68">
          <w:rPr>
            <w:webHidden/>
          </w:rPr>
        </w:r>
        <w:r w:rsidR="00A43C68">
          <w:rPr>
            <w:webHidden/>
          </w:rPr>
          <w:fldChar w:fldCharType="separate"/>
        </w:r>
        <w:r w:rsidR="00A43C68">
          <w:rPr>
            <w:webHidden/>
          </w:rPr>
          <w:t>36</w:t>
        </w:r>
        <w:r w:rsidR="00A43C68">
          <w:rPr>
            <w:webHidden/>
          </w:rPr>
          <w:fldChar w:fldCharType="end"/>
        </w:r>
      </w:hyperlink>
    </w:p>
    <w:p w14:paraId="590F5070" w14:textId="1C01FBF9" w:rsidR="00A43C68" w:rsidRDefault="00BE2079">
      <w:pPr>
        <w:pStyle w:val="Spistreci3"/>
        <w:rPr>
          <w:rFonts w:asciiTheme="minorHAnsi" w:eastAsiaTheme="minorEastAsia" w:hAnsiTheme="minorHAnsi" w:cstheme="minorBidi"/>
          <w:sz w:val="22"/>
          <w:szCs w:val="22"/>
        </w:rPr>
      </w:pPr>
      <w:hyperlink w:anchor="_Toc141276442" w:history="1">
        <w:r w:rsidR="00A43C68" w:rsidRPr="002D4B59">
          <w:rPr>
            <w:rStyle w:val="Hipercze"/>
          </w:rPr>
          <w:t>II.2.6. Udział polskich przedsiębiorców w rynku europejskim</w:t>
        </w:r>
        <w:r w:rsidR="00A43C68">
          <w:rPr>
            <w:webHidden/>
          </w:rPr>
          <w:tab/>
        </w:r>
        <w:r w:rsidR="00A43C68">
          <w:rPr>
            <w:webHidden/>
          </w:rPr>
          <w:fldChar w:fldCharType="begin"/>
        </w:r>
        <w:r w:rsidR="00A43C68">
          <w:rPr>
            <w:webHidden/>
          </w:rPr>
          <w:instrText xml:space="preserve"> PAGEREF _Toc141276442 \h </w:instrText>
        </w:r>
        <w:r w:rsidR="00A43C68">
          <w:rPr>
            <w:webHidden/>
          </w:rPr>
        </w:r>
        <w:r w:rsidR="00A43C68">
          <w:rPr>
            <w:webHidden/>
          </w:rPr>
          <w:fldChar w:fldCharType="separate"/>
        </w:r>
        <w:r w:rsidR="00A43C68">
          <w:rPr>
            <w:webHidden/>
          </w:rPr>
          <w:t>37</w:t>
        </w:r>
        <w:r w:rsidR="00A43C68">
          <w:rPr>
            <w:webHidden/>
          </w:rPr>
          <w:fldChar w:fldCharType="end"/>
        </w:r>
      </w:hyperlink>
    </w:p>
    <w:p w14:paraId="3B8DC99B" w14:textId="16C60E4D" w:rsidR="00A43C68" w:rsidRDefault="00BE2079">
      <w:pPr>
        <w:pStyle w:val="Spistreci3"/>
        <w:rPr>
          <w:rFonts w:asciiTheme="minorHAnsi" w:eastAsiaTheme="minorEastAsia" w:hAnsiTheme="minorHAnsi" w:cstheme="minorBidi"/>
          <w:sz w:val="22"/>
          <w:szCs w:val="22"/>
        </w:rPr>
      </w:pPr>
      <w:hyperlink w:anchor="_Toc141276443" w:history="1">
        <w:r w:rsidR="00A43C68" w:rsidRPr="002D4B59">
          <w:rPr>
            <w:rStyle w:val="Hipercze"/>
          </w:rPr>
          <w:t>II.2.7. Podmioty zagraniczne na polskim rynku zamówień publicznych</w:t>
        </w:r>
        <w:r w:rsidR="00A43C68">
          <w:rPr>
            <w:webHidden/>
          </w:rPr>
          <w:tab/>
        </w:r>
        <w:r w:rsidR="00A43C68">
          <w:rPr>
            <w:webHidden/>
          </w:rPr>
          <w:fldChar w:fldCharType="begin"/>
        </w:r>
        <w:r w:rsidR="00A43C68">
          <w:rPr>
            <w:webHidden/>
          </w:rPr>
          <w:instrText xml:space="preserve"> PAGEREF _Toc141276443 \h </w:instrText>
        </w:r>
        <w:r w:rsidR="00A43C68">
          <w:rPr>
            <w:webHidden/>
          </w:rPr>
        </w:r>
        <w:r w:rsidR="00A43C68">
          <w:rPr>
            <w:webHidden/>
          </w:rPr>
          <w:fldChar w:fldCharType="separate"/>
        </w:r>
        <w:r w:rsidR="00A43C68">
          <w:rPr>
            <w:webHidden/>
          </w:rPr>
          <w:t>39</w:t>
        </w:r>
        <w:r w:rsidR="00A43C68">
          <w:rPr>
            <w:webHidden/>
          </w:rPr>
          <w:fldChar w:fldCharType="end"/>
        </w:r>
      </w:hyperlink>
    </w:p>
    <w:p w14:paraId="497C0EE2" w14:textId="56020714" w:rsidR="00A43C68" w:rsidRDefault="00BE2079">
      <w:pPr>
        <w:pStyle w:val="Spistreci3"/>
        <w:rPr>
          <w:rFonts w:asciiTheme="minorHAnsi" w:eastAsiaTheme="minorEastAsia" w:hAnsiTheme="minorHAnsi" w:cstheme="minorBidi"/>
          <w:sz w:val="22"/>
          <w:szCs w:val="22"/>
        </w:rPr>
      </w:pPr>
      <w:hyperlink w:anchor="_Toc141276444" w:history="1">
        <w:r w:rsidR="00A43C68" w:rsidRPr="002D4B59">
          <w:rPr>
            <w:rStyle w:val="Hipercze"/>
          </w:rPr>
          <w:t>II.2.8. Korzystanie ze środków ochrony prawnej</w:t>
        </w:r>
        <w:r w:rsidR="00A43C68">
          <w:rPr>
            <w:webHidden/>
          </w:rPr>
          <w:tab/>
        </w:r>
        <w:r w:rsidR="00A43C68">
          <w:rPr>
            <w:webHidden/>
          </w:rPr>
          <w:fldChar w:fldCharType="begin"/>
        </w:r>
        <w:r w:rsidR="00A43C68">
          <w:rPr>
            <w:webHidden/>
          </w:rPr>
          <w:instrText xml:space="preserve"> PAGEREF _Toc141276444 \h </w:instrText>
        </w:r>
        <w:r w:rsidR="00A43C68">
          <w:rPr>
            <w:webHidden/>
          </w:rPr>
        </w:r>
        <w:r w:rsidR="00A43C68">
          <w:rPr>
            <w:webHidden/>
          </w:rPr>
          <w:fldChar w:fldCharType="separate"/>
        </w:r>
        <w:r w:rsidR="00A43C68">
          <w:rPr>
            <w:webHidden/>
          </w:rPr>
          <w:t>41</w:t>
        </w:r>
        <w:r w:rsidR="00A43C68">
          <w:rPr>
            <w:webHidden/>
          </w:rPr>
          <w:fldChar w:fldCharType="end"/>
        </w:r>
      </w:hyperlink>
    </w:p>
    <w:p w14:paraId="3753CA32" w14:textId="20E45CA2" w:rsidR="00A43C68" w:rsidRDefault="00BE2079">
      <w:pPr>
        <w:pStyle w:val="Spistreci3"/>
        <w:rPr>
          <w:rFonts w:asciiTheme="minorHAnsi" w:eastAsiaTheme="minorEastAsia" w:hAnsiTheme="minorHAnsi" w:cstheme="minorBidi"/>
          <w:sz w:val="22"/>
          <w:szCs w:val="22"/>
        </w:rPr>
      </w:pPr>
      <w:hyperlink w:anchor="_Toc141276445" w:history="1">
        <w:r w:rsidR="00A43C68" w:rsidRPr="002D4B59">
          <w:rPr>
            <w:rStyle w:val="Hipercze"/>
          </w:rPr>
          <w:t>II.2.9. Stan zrównoważonych zamówień publicznych w 2022 r.</w:t>
        </w:r>
        <w:r w:rsidR="00A43C68">
          <w:rPr>
            <w:webHidden/>
          </w:rPr>
          <w:tab/>
        </w:r>
        <w:r w:rsidR="00A43C68">
          <w:rPr>
            <w:webHidden/>
          </w:rPr>
          <w:fldChar w:fldCharType="begin"/>
        </w:r>
        <w:r w:rsidR="00A43C68">
          <w:rPr>
            <w:webHidden/>
          </w:rPr>
          <w:instrText xml:space="preserve"> PAGEREF _Toc141276445 \h </w:instrText>
        </w:r>
        <w:r w:rsidR="00A43C68">
          <w:rPr>
            <w:webHidden/>
          </w:rPr>
        </w:r>
        <w:r w:rsidR="00A43C68">
          <w:rPr>
            <w:webHidden/>
          </w:rPr>
          <w:fldChar w:fldCharType="separate"/>
        </w:r>
        <w:r w:rsidR="00A43C68">
          <w:rPr>
            <w:webHidden/>
          </w:rPr>
          <w:t>44</w:t>
        </w:r>
        <w:r w:rsidR="00A43C68">
          <w:rPr>
            <w:webHidden/>
          </w:rPr>
          <w:fldChar w:fldCharType="end"/>
        </w:r>
      </w:hyperlink>
    </w:p>
    <w:p w14:paraId="2480AEB1" w14:textId="4D06B729" w:rsidR="00A43C68" w:rsidRDefault="00BE2079">
      <w:pPr>
        <w:pStyle w:val="Spistreci2"/>
        <w:rPr>
          <w:rFonts w:asciiTheme="minorHAnsi" w:eastAsiaTheme="minorEastAsia" w:hAnsiTheme="minorHAnsi" w:cstheme="minorBidi"/>
          <w:b w:val="0"/>
          <w:bCs w:val="0"/>
          <w:sz w:val="22"/>
          <w:szCs w:val="22"/>
        </w:rPr>
      </w:pPr>
      <w:hyperlink w:anchor="_Toc141276446" w:history="1">
        <w:r w:rsidR="00A43C68" w:rsidRPr="002D4B59">
          <w:rPr>
            <w:rStyle w:val="Hipercze"/>
          </w:rPr>
          <w:t>II.3. Inne dane dotyczące rynku zamówień publicznych</w:t>
        </w:r>
        <w:r w:rsidR="00A43C68">
          <w:rPr>
            <w:webHidden/>
          </w:rPr>
          <w:tab/>
        </w:r>
        <w:r w:rsidR="00A43C68">
          <w:rPr>
            <w:webHidden/>
          </w:rPr>
          <w:fldChar w:fldCharType="begin"/>
        </w:r>
        <w:r w:rsidR="00A43C68">
          <w:rPr>
            <w:webHidden/>
          </w:rPr>
          <w:instrText xml:space="preserve"> PAGEREF _Toc141276446 \h </w:instrText>
        </w:r>
        <w:r w:rsidR="00A43C68">
          <w:rPr>
            <w:webHidden/>
          </w:rPr>
        </w:r>
        <w:r w:rsidR="00A43C68">
          <w:rPr>
            <w:webHidden/>
          </w:rPr>
          <w:fldChar w:fldCharType="separate"/>
        </w:r>
        <w:r w:rsidR="00A43C68">
          <w:rPr>
            <w:webHidden/>
          </w:rPr>
          <w:t>74</w:t>
        </w:r>
        <w:r w:rsidR="00A43C68">
          <w:rPr>
            <w:webHidden/>
          </w:rPr>
          <w:fldChar w:fldCharType="end"/>
        </w:r>
      </w:hyperlink>
    </w:p>
    <w:p w14:paraId="77BA7D8F" w14:textId="7E446562" w:rsidR="00A43C68" w:rsidRDefault="00BE2079">
      <w:pPr>
        <w:pStyle w:val="Spistreci3"/>
        <w:rPr>
          <w:rFonts w:asciiTheme="minorHAnsi" w:eastAsiaTheme="minorEastAsia" w:hAnsiTheme="minorHAnsi" w:cstheme="minorBidi"/>
          <w:sz w:val="22"/>
          <w:szCs w:val="22"/>
        </w:rPr>
      </w:pPr>
      <w:hyperlink w:anchor="_Toc141276447" w:history="1">
        <w:r w:rsidR="00A43C68" w:rsidRPr="002D4B59">
          <w:rPr>
            <w:rStyle w:val="Hipercze"/>
          </w:rPr>
          <w:t>II.3.1. Ogłoszenia o zamiarze zawarcia umowy</w:t>
        </w:r>
        <w:r w:rsidR="00A43C68">
          <w:rPr>
            <w:webHidden/>
          </w:rPr>
          <w:tab/>
        </w:r>
        <w:r w:rsidR="00A43C68">
          <w:rPr>
            <w:webHidden/>
          </w:rPr>
          <w:fldChar w:fldCharType="begin"/>
        </w:r>
        <w:r w:rsidR="00A43C68">
          <w:rPr>
            <w:webHidden/>
          </w:rPr>
          <w:instrText xml:space="preserve"> PAGEREF _Toc141276447 \h </w:instrText>
        </w:r>
        <w:r w:rsidR="00A43C68">
          <w:rPr>
            <w:webHidden/>
          </w:rPr>
        </w:r>
        <w:r w:rsidR="00A43C68">
          <w:rPr>
            <w:webHidden/>
          </w:rPr>
          <w:fldChar w:fldCharType="separate"/>
        </w:r>
        <w:r w:rsidR="00A43C68">
          <w:rPr>
            <w:webHidden/>
          </w:rPr>
          <w:t>74</w:t>
        </w:r>
        <w:r w:rsidR="00A43C68">
          <w:rPr>
            <w:webHidden/>
          </w:rPr>
          <w:fldChar w:fldCharType="end"/>
        </w:r>
      </w:hyperlink>
    </w:p>
    <w:p w14:paraId="486FDF2B" w14:textId="5951537E" w:rsidR="00A43C68" w:rsidRDefault="00BE2079">
      <w:pPr>
        <w:pStyle w:val="Spistreci3"/>
        <w:rPr>
          <w:rFonts w:asciiTheme="minorHAnsi" w:eastAsiaTheme="minorEastAsia" w:hAnsiTheme="minorHAnsi" w:cstheme="minorBidi"/>
          <w:sz w:val="22"/>
          <w:szCs w:val="22"/>
        </w:rPr>
      </w:pPr>
      <w:hyperlink w:anchor="_Toc141276448" w:history="1">
        <w:r w:rsidR="00A43C68" w:rsidRPr="002D4B59">
          <w:rPr>
            <w:rStyle w:val="Hipercze"/>
          </w:rPr>
          <w:t>II.3.2. Postępowania, w których przewidziano zaliczkowanie</w:t>
        </w:r>
        <w:r w:rsidR="00A43C68">
          <w:rPr>
            <w:webHidden/>
          </w:rPr>
          <w:tab/>
        </w:r>
        <w:r w:rsidR="00A43C68">
          <w:rPr>
            <w:webHidden/>
          </w:rPr>
          <w:fldChar w:fldCharType="begin"/>
        </w:r>
        <w:r w:rsidR="00A43C68">
          <w:rPr>
            <w:webHidden/>
          </w:rPr>
          <w:instrText xml:space="preserve"> PAGEREF _Toc141276448 \h </w:instrText>
        </w:r>
        <w:r w:rsidR="00A43C68">
          <w:rPr>
            <w:webHidden/>
          </w:rPr>
        </w:r>
        <w:r w:rsidR="00A43C68">
          <w:rPr>
            <w:webHidden/>
          </w:rPr>
          <w:fldChar w:fldCharType="separate"/>
        </w:r>
        <w:r w:rsidR="00A43C68">
          <w:rPr>
            <w:webHidden/>
          </w:rPr>
          <w:t>75</w:t>
        </w:r>
        <w:r w:rsidR="00A43C68">
          <w:rPr>
            <w:webHidden/>
          </w:rPr>
          <w:fldChar w:fldCharType="end"/>
        </w:r>
      </w:hyperlink>
    </w:p>
    <w:p w14:paraId="06D15728" w14:textId="3B17DAD5" w:rsidR="00A43C68" w:rsidRDefault="00BE2079">
      <w:pPr>
        <w:pStyle w:val="Spistreci3"/>
        <w:rPr>
          <w:rFonts w:asciiTheme="minorHAnsi" w:eastAsiaTheme="minorEastAsia" w:hAnsiTheme="minorHAnsi" w:cstheme="minorBidi"/>
          <w:sz w:val="22"/>
          <w:szCs w:val="22"/>
        </w:rPr>
      </w:pPr>
      <w:hyperlink w:anchor="_Toc141276449" w:history="1">
        <w:r w:rsidR="00A43C68" w:rsidRPr="002D4B59">
          <w:rPr>
            <w:rStyle w:val="Hipercze"/>
          </w:rPr>
          <w:t>II.3.3. Postępowania,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r w:rsidR="00A43C68">
          <w:rPr>
            <w:webHidden/>
          </w:rPr>
          <w:tab/>
        </w:r>
        <w:r w:rsidR="00A43C68">
          <w:rPr>
            <w:webHidden/>
          </w:rPr>
          <w:fldChar w:fldCharType="begin"/>
        </w:r>
        <w:r w:rsidR="00A43C68">
          <w:rPr>
            <w:webHidden/>
          </w:rPr>
          <w:instrText xml:space="preserve"> PAGEREF _Toc141276449 \h </w:instrText>
        </w:r>
        <w:r w:rsidR="00A43C68">
          <w:rPr>
            <w:webHidden/>
          </w:rPr>
        </w:r>
        <w:r w:rsidR="00A43C68">
          <w:rPr>
            <w:webHidden/>
          </w:rPr>
          <w:fldChar w:fldCharType="separate"/>
        </w:r>
        <w:r w:rsidR="00A43C68">
          <w:rPr>
            <w:webHidden/>
          </w:rPr>
          <w:t>75</w:t>
        </w:r>
        <w:r w:rsidR="00A43C68">
          <w:rPr>
            <w:webHidden/>
          </w:rPr>
          <w:fldChar w:fldCharType="end"/>
        </w:r>
      </w:hyperlink>
    </w:p>
    <w:p w14:paraId="2809478A" w14:textId="1CA05105" w:rsidR="00A43C68" w:rsidRDefault="00BE2079">
      <w:pPr>
        <w:pStyle w:val="Spistreci3"/>
        <w:rPr>
          <w:rFonts w:asciiTheme="minorHAnsi" w:eastAsiaTheme="minorEastAsia" w:hAnsiTheme="minorHAnsi" w:cstheme="minorBidi"/>
          <w:sz w:val="22"/>
          <w:szCs w:val="22"/>
        </w:rPr>
      </w:pPr>
      <w:hyperlink w:anchor="_Toc141276450" w:history="1">
        <w:r w:rsidR="00A43C68" w:rsidRPr="002D4B59">
          <w:rPr>
            <w:rStyle w:val="Hipercze"/>
          </w:rPr>
          <w:t>II.3.4. Zmiany postanowień zawartej umowy w stosunku do treści oferty</w:t>
        </w:r>
        <w:r w:rsidR="00A43C68">
          <w:rPr>
            <w:webHidden/>
          </w:rPr>
          <w:tab/>
        </w:r>
        <w:r w:rsidR="00A43C68">
          <w:rPr>
            <w:webHidden/>
          </w:rPr>
          <w:fldChar w:fldCharType="begin"/>
        </w:r>
        <w:r w:rsidR="00A43C68">
          <w:rPr>
            <w:webHidden/>
          </w:rPr>
          <w:instrText xml:space="preserve"> PAGEREF _Toc141276450 \h </w:instrText>
        </w:r>
        <w:r w:rsidR="00A43C68">
          <w:rPr>
            <w:webHidden/>
          </w:rPr>
        </w:r>
        <w:r w:rsidR="00A43C68">
          <w:rPr>
            <w:webHidden/>
          </w:rPr>
          <w:fldChar w:fldCharType="separate"/>
        </w:r>
        <w:r w:rsidR="00A43C68">
          <w:rPr>
            <w:webHidden/>
          </w:rPr>
          <w:t>76</w:t>
        </w:r>
        <w:r w:rsidR="00A43C68">
          <w:rPr>
            <w:webHidden/>
          </w:rPr>
          <w:fldChar w:fldCharType="end"/>
        </w:r>
      </w:hyperlink>
    </w:p>
    <w:p w14:paraId="070A40D8" w14:textId="777BE743" w:rsidR="00A43C68" w:rsidRDefault="00BE2079">
      <w:pPr>
        <w:pStyle w:val="Spistreci3"/>
        <w:rPr>
          <w:rFonts w:asciiTheme="minorHAnsi" w:eastAsiaTheme="minorEastAsia" w:hAnsiTheme="minorHAnsi" w:cstheme="minorBidi"/>
          <w:sz w:val="22"/>
          <w:szCs w:val="22"/>
        </w:rPr>
      </w:pPr>
      <w:hyperlink w:anchor="_Toc141276451" w:history="1">
        <w:r w:rsidR="00A43C68" w:rsidRPr="002D4B59">
          <w:rPr>
            <w:rStyle w:val="Hipercze"/>
          </w:rPr>
          <w:t>II.3.5. Postępowania, w których przed wszczęciem postępowania o udzielenie zamówienia przeprowadzono wstępne konsultacje rynkowe</w:t>
        </w:r>
        <w:r w:rsidR="00A43C68">
          <w:rPr>
            <w:webHidden/>
          </w:rPr>
          <w:tab/>
        </w:r>
        <w:r w:rsidR="00A43C68">
          <w:rPr>
            <w:webHidden/>
          </w:rPr>
          <w:fldChar w:fldCharType="begin"/>
        </w:r>
        <w:r w:rsidR="00A43C68">
          <w:rPr>
            <w:webHidden/>
          </w:rPr>
          <w:instrText xml:space="preserve"> PAGEREF _Toc141276451 \h </w:instrText>
        </w:r>
        <w:r w:rsidR="00A43C68">
          <w:rPr>
            <w:webHidden/>
          </w:rPr>
        </w:r>
        <w:r w:rsidR="00A43C68">
          <w:rPr>
            <w:webHidden/>
          </w:rPr>
          <w:fldChar w:fldCharType="separate"/>
        </w:r>
        <w:r w:rsidR="00A43C68">
          <w:rPr>
            <w:webHidden/>
          </w:rPr>
          <w:t>77</w:t>
        </w:r>
        <w:r w:rsidR="00A43C68">
          <w:rPr>
            <w:webHidden/>
          </w:rPr>
          <w:fldChar w:fldCharType="end"/>
        </w:r>
      </w:hyperlink>
    </w:p>
    <w:p w14:paraId="2F664B6D" w14:textId="78A33FD4" w:rsidR="00A43C68" w:rsidRDefault="00BE2079">
      <w:pPr>
        <w:pStyle w:val="Spistreci1"/>
        <w:rPr>
          <w:rFonts w:asciiTheme="minorHAnsi" w:eastAsiaTheme="minorEastAsia" w:hAnsiTheme="minorHAnsi" w:cstheme="minorBidi"/>
          <w:b w:val="0"/>
          <w:color w:val="auto"/>
          <w:szCs w:val="22"/>
        </w:rPr>
      </w:pPr>
      <w:hyperlink w:anchor="_Toc141276452" w:history="1">
        <w:r w:rsidR="00A43C68" w:rsidRPr="002D4B59">
          <w:rPr>
            <w:rStyle w:val="Hipercze"/>
          </w:rPr>
          <w:t>III. INSTYTUCJONALNE ASPEKTY FUNKCJONOWANIA SYSTEMU ZAMÓWIEŃ PUBLICZNYCH W POLSCE</w:t>
        </w:r>
        <w:r w:rsidR="00A43C68">
          <w:rPr>
            <w:webHidden/>
          </w:rPr>
          <w:tab/>
        </w:r>
        <w:r w:rsidR="00A43C68">
          <w:rPr>
            <w:webHidden/>
          </w:rPr>
          <w:fldChar w:fldCharType="begin"/>
        </w:r>
        <w:r w:rsidR="00A43C68">
          <w:rPr>
            <w:webHidden/>
          </w:rPr>
          <w:instrText xml:space="preserve"> PAGEREF _Toc141276452 \h </w:instrText>
        </w:r>
        <w:r w:rsidR="00A43C68">
          <w:rPr>
            <w:webHidden/>
          </w:rPr>
        </w:r>
        <w:r w:rsidR="00A43C68">
          <w:rPr>
            <w:webHidden/>
          </w:rPr>
          <w:fldChar w:fldCharType="separate"/>
        </w:r>
        <w:r w:rsidR="00A43C68">
          <w:rPr>
            <w:webHidden/>
          </w:rPr>
          <w:t>77</w:t>
        </w:r>
        <w:r w:rsidR="00A43C68">
          <w:rPr>
            <w:webHidden/>
          </w:rPr>
          <w:fldChar w:fldCharType="end"/>
        </w:r>
      </w:hyperlink>
    </w:p>
    <w:p w14:paraId="02686DD7" w14:textId="36987BA2" w:rsidR="00A43C68" w:rsidRDefault="00BE2079">
      <w:pPr>
        <w:pStyle w:val="Spistreci2"/>
        <w:rPr>
          <w:rFonts w:asciiTheme="minorHAnsi" w:eastAsiaTheme="minorEastAsia" w:hAnsiTheme="minorHAnsi" w:cstheme="minorBidi"/>
          <w:b w:val="0"/>
          <w:bCs w:val="0"/>
          <w:sz w:val="22"/>
          <w:szCs w:val="22"/>
        </w:rPr>
      </w:pPr>
      <w:hyperlink w:anchor="_Toc141276453" w:history="1">
        <w:r w:rsidR="00A43C68" w:rsidRPr="002D4B59">
          <w:rPr>
            <w:rStyle w:val="Hipercze"/>
          </w:rPr>
          <w:t>III.1. Kompetencje Prezesa Urzędu Zamówień Publicznych</w:t>
        </w:r>
        <w:r w:rsidR="00A43C68">
          <w:rPr>
            <w:webHidden/>
          </w:rPr>
          <w:tab/>
        </w:r>
        <w:r w:rsidR="00A43C68">
          <w:rPr>
            <w:webHidden/>
          </w:rPr>
          <w:fldChar w:fldCharType="begin"/>
        </w:r>
        <w:r w:rsidR="00A43C68">
          <w:rPr>
            <w:webHidden/>
          </w:rPr>
          <w:instrText xml:space="preserve"> PAGEREF _Toc141276453 \h </w:instrText>
        </w:r>
        <w:r w:rsidR="00A43C68">
          <w:rPr>
            <w:webHidden/>
          </w:rPr>
        </w:r>
        <w:r w:rsidR="00A43C68">
          <w:rPr>
            <w:webHidden/>
          </w:rPr>
          <w:fldChar w:fldCharType="separate"/>
        </w:r>
        <w:r w:rsidR="00A43C68">
          <w:rPr>
            <w:webHidden/>
          </w:rPr>
          <w:t>77</w:t>
        </w:r>
        <w:r w:rsidR="00A43C68">
          <w:rPr>
            <w:webHidden/>
          </w:rPr>
          <w:fldChar w:fldCharType="end"/>
        </w:r>
      </w:hyperlink>
    </w:p>
    <w:p w14:paraId="7B4A9164" w14:textId="073D5605" w:rsidR="00A43C68" w:rsidRDefault="00BE2079">
      <w:pPr>
        <w:pStyle w:val="Spistreci3"/>
        <w:rPr>
          <w:rFonts w:asciiTheme="minorHAnsi" w:eastAsiaTheme="minorEastAsia" w:hAnsiTheme="minorHAnsi" w:cstheme="minorBidi"/>
          <w:sz w:val="22"/>
          <w:szCs w:val="22"/>
        </w:rPr>
      </w:pPr>
      <w:hyperlink w:anchor="_Toc141276454" w:history="1">
        <w:r w:rsidR="00A43C68" w:rsidRPr="002D4B59">
          <w:rPr>
            <w:rStyle w:val="Hipercze"/>
          </w:rPr>
          <w:t>III.1.1. Decyzje administracyjne</w:t>
        </w:r>
        <w:r w:rsidR="00A43C68">
          <w:rPr>
            <w:webHidden/>
          </w:rPr>
          <w:tab/>
        </w:r>
        <w:r w:rsidR="00A43C68">
          <w:rPr>
            <w:webHidden/>
          </w:rPr>
          <w:fldChar w:fldCharType="begin"/>
        </w:r>
        <w:r w:rsidR="00A43C68">
          <w:rPr>
            <w:webHidden/>
          </w:rPr>
          <w:instrText xml:space="preserve"> PAGEREF _Toc141276454 \h </w:instrText>
        </w:r>
        <w:r w:rsidR="00A43C68">
          <w:rPr>
            <w:webHidden/>
          </w:rPr>
        </w:r>
        <w:r w:rsidR="00A43C68">
          <w:rPr>
            <w:webHidden/>
          </w:rPr>
          <w:fldChar w:fldCharType="separate"/>
        </w:r>
        <w:r w:rsidR="00A43C68">
          <w:rPr>
            <w:webHidden/>
          </w:rPr>
          <w:t>78</w:t>
        </w:r>
        <w:r w:rsidR="00A43C68">
          <w:rPr>
            <w:webHidden/>
          </w:rPr>
          <w:fldChar w:fldCharType="end"/>
        </w:r>
      </w:hyperlink>
    </w:p>
    <w:p w14:paraId="76B8A3AF" w14:textId="30A94D62" w:rsidR="00A43C68" w:rsidRDefault="00BE2079">
      <w:pPr>
        <w:pStyle w:val="Spistreci3"/>
        <w:rPr>
          <w:rFonts w:asciiTheme="minorHAnsi" w:eastAsiaTheme="minorEastAsia" w:hAnsiTheme="minorHAnsi" w:cstheme="minorBidi"/>
          <w:sz w:val="22"/>
          <w:szCs w:val="22"/>
        </w:rPr>
      </w:pPr>
      <w:hyperlink w:anchor="_Toc141276455" w:history="1">
        <w:r w:rsidR="00A43C68" w:rsidRPr="002D4B59">
          <w:rPr>
            <w:rStyle w:val="Hipercze"/>
          </w:rPr>
          <w:t>III.1.2. Wystąpienia Prezesa UZP do sądu</w:t>
        </w:r>
        <w:r w:rsidR="00A43C68">
          <w:rPr>
            <w:webHidden/>
          </w:rPr>
          <w:tab/>
        </w:r>
        <w:r w:rsidR="00A43C68">
          <w:rPr>
            <w:webHidden/>
          </w:rPr>
          <w:fldChar w:fldCharType="begin"/>
        </w:r>
        <w:r w:rsidR="00A43C68">
          <w:rPr>
            <w:webHidden/>
          </w:rPr>
          <w:instrText xml:space="preserve"> PAGEREF _Toc141276455 \h </w:instrText>
        </w:r>
        <w:r w:rsidR="00A43C68">
          <w:rPr>
            <w:webHidden/>
          </w:rPr>
        </w:r>
        <w:r w:rsidR="00A43C68">
          <w:rPr>
            <w:webHidden/>
          </w:rPr>
          <w:fldChar w:fldCharType="separate"/>
        </w:r>
        <w:r w:rsidR="00A43C68">
          <w:rPr>
            <w:webHidden/>
          </w:rPr>
          <w:t>79</w:t>
        </w:r>
        <w:r w:rsidR="00A43C68">
          <w:rPr>
            <w:webHidden/>
          </w:rPr>
          <w:fldChar w:fldCharType="end"/>
        </w:r>
      </w:hyperlink>
    </w:p>
    <w:p w14:paraId="246C792C" w14:textId="4BA7E93B" w:rsidR="00A43C68" w:rsidRDefault="00BE2079">
      <w:pPr>
        <w:pStyle w:val="Spistreci3"/>
        <w:rPr>
          <w:rFonts w:asciiTheme="minorHAnsi" w:eastAsiaTheme="minorEastAsia" w:hAnsiTheme="minorHAnsi" w:cstheme="minorBidi"/>
          <w:sz w:val="22"/>
          <w:szCs w:val="22"/>
        </w:rPr>
      </w:pPr>
      <w:hyperlink w:anchor="_Toc141276456" w:history="1">
        <w:r w:rsidR="00A43C68" w:rsidRPr="002D4B59">
          <w:rPr>
            <w:rStyle w:val="Hipercze"/>
          </w:rPr>
          <w:t>III.1.3. Realizacja zadania dążenia do zapewnienia jednolitego stosowania przepisów o zamówieniach</w:t>
        </w:r>
        <w:r w:rsidR="00A43C68">
          <w:rPr>
            <w:webHidden/>
          </w:rPr>
          <w:tab/>
        </w:r>
        <w:r w:rsidR="00A43C68">
          <w:rPr>
            <w:webHidden/>
          </w:rPr>
          <w:fldChar w:fldCharType="begin"/>
        </w:r>
        <w:r w:rsidR="00A43C68">
          <w:rPr>
            <w:webHidden/>
          </w:rPr>
          <w:instrText xml:space="preserve"> PAGEREF _Toc141276456 \h </w:instrText>
        </w:r>
        <w:r w:rsidR="00A43C68">
          <w:rPr>
            <w:webHidden/>
          </w:rPr>
        </w:r>
        <w:r w:rsidR="00A43C68">
          <w:rPr>
            <w:webHidden/>
          </w:rPr>
          <w:fldChar w:fldCharType="separate"/>
        </w:r>
        <w:r w:rsidR="00A43C68">
          <w:rPr>
            <w:webHidden/>
          </w:rPr>
          <w:t>80</w:t>
        </w:r>
        <w:r w:rsidR="00A43C68">
          <w:rPr>
            <w:webHidden/>
          </w:rPr>
          <w:fldChar w:fldCharType="end"/>
        </w:r>
      </w:hyperlink>
    </w:p>
    <w:p w14:paraId="7071458D" w14:textId="731A252A" w:rsidR="00A43C68" w:rsidRDefault="00BE2079">
      <w:pPr>
        <w:pStyle w:val="Spistreci3"/>
        <w:rPr>
          <w:rFonts w:asciiTheme="minorHAnsi" w:eastAsiaTheme="minorEastAsia" w:hAnsiTheme="minorHAnsi" w:cstheme="minorBidi"/>
          <w:sz w:val="22"/>
          <w:szCs w:val="22"/>
        </w:rPr>
      </w:pPr>
      <w:hyperlink w:anchor="_Toc141276457" w:history="1">
        <w:r w:rsidR="00A43C68" w:rsidRPr="002D4B59">
          <w:rPr>
            <w:rStyle w:val="Hipercze"/>
          </w:rPr>
          <w:t>III.1.4. Realizacja zadania przygotowywania i upowszechniania przykładowych wzorów umów w sprawach zamówień publicznych, regulaminów oraz innych dokumentów stosowanych przy udzielaniu zamówień</w:t>
        </w:r>
        <w:r w:rsidR="00A43C68">
          <w:rPr>
            <w:webHidden/>
          </w:rPr>
          <w:tab/>
        </w:r>
        <w:r w:rsidR="00A43C68">
          <w:rPr>
            <w:webHidden/>
          </w:rPr>
          <w:fldChar w:fldCharType="begin"/>
        </w:r>
        <w:r w:rsidR="00A43C68">
          <w:rPr>
            <w:webHidden/>
          </w:rPr>
          <w:instrText xml:space="preserve"> PAGEREF _Toc141276457 \h </w:instrText>
        </w:r>
        <w:r w:rsidR="00A43C68">
          <w:rPr>
            <w:webHidden/>
          </w:rPr>
        </w:r>
        <w:r w:rsidR="00A43C68">
          <w:rPr>
            <w:webHidden/>
          </w:rPr>
          <w:fldChar w:fldCharType="separate"/>
        </w:r>
        <w:r w:rsidR="00A43C68">
          <w:rPr>
            <w:webHidden/>
          </w:rPr>
          <w:t>81</w:t>
        </w:r>
        <w:r w:rsidR="00A43C68">
          <w:rPr>
            <w:webHidden/>
          </w:rPr>
          <w:fldChar w:fldCharType="end"/>
        </w:r>
      </w:hyperlink>
    </w:p>
    <w:p w14:paraId="448637BF" w14:textId="33D733C2" w:rsidR="00A43C68" w:rsidRDefault="00BE2079">
      <w:pPr>
        <w:pStyle w:val="Spistreci3"/>
        <w:rPr>
          <w:rFonts w:asciiTheme="minorHAnsi" w:eastAsiaTheme="minorEastAsia" w:hAnsiTheme="minorHAnsi" w:cstheme="minorBidi"/>
          <w:sz w:val="22"/>
          <w:szCs w:val="22"/>
        </w:rPr>
      </w:pPr>
      <w:hyperlink w:anchor="_Toc141276458" w:history="1">
        <w:r w:rsidR="00A43C68" w:rsidRPr="002D4B59">
          <w:rPr>
            <w:rStyle w:val="Hipercze"/>
          </w:rPr>
          <w:t>III.1.5. Kontrola udzielania zamówień publicznych</w:t>
        </w:r>
        <w:r w:rsidR="00A43C68">
          <w:rPr>
            <w:webHidden/>
          </w:rPr>
          <w:tab/>
        </w:r>
        <w:r w:rsidR="00A43C68">
          <w:rPr>
            <w:webHidden/>
          </w:rPr>
          <w:fldChar w:fldCharType="begin"/>
        </w:r>
        <w:r w:rsidR="00A43C68">
          <w:rPr>
            <w:webHidden/>
          </w:rPr>
          <w:instrText xml:space="preserve"> PAGEREF _Toc141276458 \h </w:instrText>
        </w:r>
        <w:r w:rsidR="00A43C68">
          <w:rPr>
            <w:webHidden/>
          </w:rPr>
        </w:r>
        <w:r w:rsidR="00A43C68">
          <w:rPr>
            <w:webHidden/>
          </w:rPr>
          <w:fldChar w:fldCharType="separate"/>
        </w:r>
        <w:r w:rsidR="00A43C68">
          <w:rPr>
            <w:webHidden/>
          </w:rPr>
          <w:t>83</w:t>
        </w:r>
        <w:r w:rsidR="00A43C68">
          <w:rPr>
            <w:webHidden/>
          </w:rPr>
          <w:fldChar w:fldCharType="end"/>
        </w:r>
      </w:hyperlink>
    </w:p>
    <w:p w14:paraId="6C15683C" w14:textId="0719AC5E" w:rsidR="00A43C68" w:rsidRDefault="00BE2079">
      <w:pPr>
        <w:pStyle w:val="Spistreci3"/>
        <w:rPr>
          <w:rFonts w:asciiTheme="minorHAnsi" w:eastAsiaTheme="minorEastAsia" w:hAnsiTheme="minorHAnsi" w:cstheme="minorBidi"/>
          <w:sz w:val="22"/>
          <w:szCs w:val="22"/>
        </w:rPr>
      </w:pPr>
      <w:hyperlink w:anchor="_Toc141276459" w:history="1">
        <w:r w:rsidR="00A43C68" w:rsidRPr="002D4B59">
          <w:rPr>
            <w:rStyle w:val="Hipercze"/>
            <w:rFonts w:cs="Arial"/>
          </w:rPr>
          <w:t>III.1.6. Działania związane z informatyzacją systemu zamówień publicznych</w:t>
        </w:r>
        <w:r w:rsidR="00A43C68">
          <w:rPr>
            <w:webHidden/>
          </w:rPr>
          <w:tab/>
        </w:r>
        <w:r w:rsidR="00A43C68">
          <w:rPr>
            <w:webHidden/>
          </w:rPr>
          <w:fldChar w:fldCharType="begin"/>
        </w:r>
        <w:r w:rsidR="00A43C68">
          <w:rPr>
            <w:webHidden/>
          </w:rPr>
          <w:instrText xml:space="preserve"> PAGEREF _Toc141276459 \h </w:instrText>
        </w:r>
        <w:r w:rsidR="00A43C68">
          <w:rPr>
            <w:webHidden/>
          </w:rPr>
        </w:r>
        <w:r w:rsidR="00A43C68">
          <w:rPr>
            <w:webHidden/>
          </w:rPr>
          <w:fldChar w:fldCharType="separate"/>
        </w:r>
        <w:r w:rsidR="00A43C68">
          <w:rPr>
            <w:webHidden/>
          </w:rPr>
          <w:t>90</w:t>
        </w:r>
        <w:r w:rsidR="00A43C68">
          <w:rPr>
            <w:webHidden/>
          </w:rPr>
          <w:fldChar w:fldCharType="end"/>
        </w:r>
      </w:hyperlink>
    </w:p>
    <w:p w14:paraId="0C4CBB70" w14:textId="2648AB6A" w:rsidR="00A43C68" w:rsidRDefault="00BE2079">
      <w:pPr>
        <w:pStyle w:val="Spistreci3"/>
        <w:rPr>
          <w:rFonts w:asciiTheme="minorHAnsi" w:eastAsiaTheme="minorEastAsia" w:hAnsiTheme="minorHAnsi" w:cstheme="minorBidi"/>
          <w:sz w:val="22"/>
          <w:szCs w:val="22"/>
        </w:rPr>
      </w:pPr>
      <w:hyperlink w:anchor="_Toc141276460" w:history="1">
        <w:r w:rsidR="00A43C68" w:rsidRPr="002D4B59">
          <w:rPr>
            <w:rStyle w:val="Hipercze"/>
          </w:rPr>
          <w:t>III.1.7. Wydawanie Biuletynu Zamówień Publicznych</w:t>
        </w:r>
        <w:r w:rsidR="00A43C68">
          <w:rPr>
            <w:webHidden/>
          </w:rPr>
          <w:tab/>
        </w:r>
        <w:r w:rsidR="00A43C68">
          <w:rPr>
            <w:webHidden/>
          </w:rPr>
          <w:fldChar w:fldCharType="begin"/>
        </w:r>
        <w:r w:rsidR="00A43C68">
          <w:rPr>
            <w:webHidden/>
          </w:rPr>
          <w:instrText xml:space="preserve"> PAGEREF _Toc141276460 \h </w:instrText>
        </w:r>
        <w:r w:rsidR="00A43C68">
          <w:rPr>
            <w:webHidden/>
          </w:rPr>
        </w:r>
        <w:r w:rsidR="00A43C68">
          <w:rPr>
            <w:webHidden/>
          </w:rPr>
          <w:fldChar w:fldCharType="separate"/>
        </w:r>
        <w:r w:rsidR="00A43C68">
          <w:rPr>
            <w:webHidden/>
          </w:rPr>
          <w:t>94</w:t>
        </w:r>
        <w:r w:rsidR="00A43C68">
          <w:rPr>
            <w:webHidden/>
          </w:rPr>
          <w:fldChar w:fldCharType="end"/>
        </w:r>
      </w:hyperlink>
    </w:p>
    <w:p w14:paraId="76BF720E" w14:textId="789AB67A" w:rsidR="00A43C68" w:rsidRDefault="00BE2079">
      <w:pPr>
        <w:pStyle w:val="Spistreci3"/>
        <w:rPr>
          <w:rFonts w:asciiTheme="minorHAnsi" w:eastAsiaTheme="minorEastAsia" w:hAnsiTheme="minorHAnsi" w:cstheme="minorBidi"/>
          <w:sz w:val="22"/>
          <w:szCs w:val="22"/>
        </w:rPr>
      </w:pPr>
      <w:hyperlink w:anchor="_Toc141276461" w:history="1">
        <w:r w:rsidR="00A43C68" w:rsidRPr="002D4B59">
          <w:rPr>
            <w:rStyle w:val="Hipercze"/>
          </w:rPr>
          <w:t>III.1.8. Działalność edukacyjno-informacyjna realizowana przez Urząd, wspierająca uczestników systemu zamówień publicznych</w:t>
        </w:r>
        <w:r w:rsidR="00A43C68">
          <w:rPr>
            <w:webHidden/>
          </w:rPr>
          <w:tab/>
        </w:r>
        <w:r w:rsidR="00A43C68">
          <w:rPr>
            <w:webHidden/>
          </w:rPr>
          <w:fldChar w:fldCharType="begin"/>
        </w:r>
        <w:r w:rsidR="00A43C68">
          <w:rPr>
            <w:webHidden/>
          </w:rPr>
          <w:instrText xml:space="preserve"> PAGEREF _Toc141276461 \h </w:instrText>
        </w:r>
        <w:r w:rsidR="00A43C68">
          <w:rPr>
            <w:webHidden/>
          </w:rPr>
        </w:r>
        <w:r w:rsidR="00A43C68">
          <w:rPr>
            <w:webHidden/>
          </w:rPr>
          <w:fldChar w:fldCharType="separate"/>
        </w:r>
        <w:r w:rsidR="00A43C68">
          <w:rPr>
            <w:webHidden/>
          </w:rPr>
          <w:t>96</w:t>
        </w:r>
        <w:r w:rsidR="00A43C68">
          <w:rPr>
            <w:webHidden/>
          </w:rPr>
          <w:fldChar w:fldCharType="end"/>
        </w:r>
      </w:hyperlink>
    </w:p>
    <w:p w14:paraId="29877009" w14:textId="7F2FB4F4" w:rsidR="00A43C68" w:rsidRDefault="00BE2079">
      <w:pPr>
        <w:pStyle w:val="Spistreci3"/>
        <w:rPr>
          <w:rFonts w:asciiTheme="minorHAnsi" w:eastAsiaTheme="minorEastAsia" w:hAnsiTheme="minorHAnsi" w:cstheme="minorBidi"/>
          <w:sz w:val="22"/>
          <w:szCs w:val="22"/>
        </w:rPr>
      </w:pPr>
      <w:hyperlink w:anchor="_Toc141276462" w:history="1">
        <w:r w:rsidR="00A43C68" w:rsidRPr="002D4B59">
          <w:rPr>
            <w:rStyle w:val="Hipercze"/>
          </w:rPr>
          <w:t>III.1.9. Realizacja działań dotyczących zrównoważonych zamówień publicznych</w:t>
        </w:r>
        <w:r w:rsidR="00A43C68">
          <w:rPr>
            <w:webHidden/>
          </w:rPr>
          <w:tab/>
        </w:r>
        <w:r w:rsidR="00A43C68">
          <w:rPr>
            <w:webHidden/>
          </w:rPr>
          <w:fldChar w:fldCharType="begin"/>
        </w:r>
        <w:r w:rsidR="00A43C68">
          <w:rPr>
            <w:webHidden/>
          </w:rPr>
          <w:instrText xml:space="preserve"> PAGEREF _Toc141276462 \h </w:instrText>
        </w:r>
        <w:r w:rsidR="00A43C68">
          <w:rPr>
            <w:webHidden/>
          </w:rPr>
        </w:r>
        <w:r w:rsidR="00A43C68">
          <w:rPr>
            <w:webHidden/>
          </w:rPr>
          <w:fldChar w:fldCharType="separate"/>
        </w:r>
        <w:r w:rsidR="00A43C68">
          <w:rPr>
            <w:webHidden/>
          </w:rPr>
          <w:t>105</w:t>
        </w:r>
        <w:r w:rsidR="00A43C68">
          <w:rPr>
            <w:webHidden/>
          </w:rPr>
          <w:fldChar w:fldCharType="end"/>
        </w:r>
      </w:hyperlink>
    </w:p>
    <w:p w14:paraId="4BE1C0F1" w14:textId="4A8E2AED" w:rsidR="00A43C68" w:rsidRDefault="00BE2079">
      <w:pPr>
        <w:pStyle w:val="Spistreci3"/>
        <w:rPr>
          <w:rFonts w:asciiTheme="minorHAnsi" w:eastAsiaTheme="minorEastAsia" w:hAnsiTheme="minorHAnsi" w:cstheme="minorBidi"/>
          <w:sz w:val="22"/>
          <w:szCs w:val="22"/>
        </w:rPr>
      </w:pPr>
      <w:hyperlink w:anchor="_Toc141276463" w:history="1">
        <w:r w:rsidR="00A43C68" w:rsidRPr="002D4B59">
          <w:rPr>
            <w:rStyle w:val="Hipercze"/>
            <w:rFonts w:cs="Arial"/>
          </w:rPr>
          <w:t>III.1.10. Współpraca międzynarodowa</w:t>
        </w:r>
        <w:r w:rsidR="00A43C68">
          <w:rPr>
            <w:webHidden/>
          </w:rPr>
          <w:tab/>
        </w:r>
        <w:r w:rsidR="00A43C68">
          <w:rPr>
            <w:webHidden/>
          </w:rPr>
          <w:fldChar w:fldCharType="begin"/>
        </w:r>
        <w:r w:rsidR="00A43C68">
          <w:rPr>
            <w:webHidden/>
          </w:rPr>
          <w:instrText xml:space="preserve"> PAGEREF _Toc141276463 \h </w:instrText>
        </w:r>
        <w:r w:rsidR="00A43C68">
          <w:rPr>
            <w:webHidden/>
          </w:rPr>
        </w:r>
        <w:r w:rsidR="00A43C68">
          <w:rPr>
            <w:webHidden/>
          </w:rPr>
          <w:fldChar w:fldCharType="separate"/>
        </w:r>
        <w:r w:rsidR="00A43C68">
          <w:rPr>
            <w:webHidden/>
          </w:rPr>
          <w:t>113</w:t>
        </w:r>
        <w:r w:rsidR="00A43C68">
          <w:rPr>
            <w:webHidden/>
          </w:rPr>
          <w:fldChar w:fldCharType="end"/>
        </w:r>
      </w:hyperlink>
    </w:p>
    <w:p w14:paraId="2EB3B5D1" w14:textId="303B1470" w:rsidR="00A43C68" w:rsidRDefault="00BE2079">
      <w:pPr>
        <w:pStyle w:val="Spistreci2"/>
        <w:rPr>
          <w:rFonts w:asciiTheme="minorHAnsi" w:eastAsiaTheme="minorEastAsia" w:hAnsiTheme="minorHAnsi" w:cstheme="minorBidi"/>
          <w:b w:val="0"/>
          <w:bCs w:val="0"/>
          <w:sz w:val="22"/>
          <w:szCs w:val="22"/>
        </w:rPr>
      </w:pPr>
      <w:hyperlink w:anchor="_Toc141276464" w:history="1">
        <w:r w:rsidR="00A43C68" w:rsidRPr="002D4B59">
          <w:rPr>
            <w:rStyle w:val="Hipercze"/>
          </w:rPr>
          <w:t>III.2. Rada Zamówień Publicznych</w:t>
        </w:r>
        <w:r w:rsidR="00A43C68">
          <w:rPr>
            <w:webHidden/>
          </w:rPr>
          <w:tab/>
        </w:r>
        <w:r w:rsidR="00A43C68">
          <w:rPr>
            <w:webHidden/>
          </w:rPr>
          <w:fldChar w:fldCharType="begin"/>
        </w:r>
        <w:r w:rsidR="00A43C68">
          <w:rPr>
            <w:webHidden/>
          </w:rPr>
          <w:instrText xml:space="preserve"> PAGEREF _Toc141276464 \h </w:instrText>
        </w:r>
        <w:r w:rsidR="00A43C68">
          <w:rPr>
            <w:webHidden/>
          </w:rPr>
        </w:r>
        <w:r w:rsidR="00A43C68">
          <w:rPr>
            <w:webHidden/>
          </w:rPr>
          <w:fldChar w:fldCharType="separate"/>
        </w:r>
        <w:r w:rsidR="00A43C68">
          <w:rPr>
            <w:webHidden/>
          </w:rPr>
          <w:t>123</w:t>
        </w:r>
        <w:r w:rsidR="00A43C68">
          <w:rPr>
            <w:webHidden/>
          </w:rPr>
          <w:fldChar w:fldCharType="end"/>
        </w:r>
      </w:hyperlink>
    </w:p>
    <w:p w14:paraId="3F52EBB7" w14:textId="5752B6C1" w:rsidR="00A43C68" w:rsidRDefault="00BE2079">
      <w:pPr>
        <w:pStyle w:val="Spistreci2"/>
        <w:rPr>
          <w:rFonts w:asciiTheme="minorHAnsi" w:eastAsiaTheme="minorEastAsia" w:hAnsiTheme="minorHAnsi" w:cstheme="minorBidi"/>
          <w:b w:val="0"/>
          <w:bCs w:val="0"/>
          <w:sz w:val="22"/>
          <w:szCs w:val="22"/>
        </w:rPr>
      </w:pPr>
      <w:hyperlink w:anchor="_Toc141276465" w:history="1">
        <w:r w:rsidR="00A43C68" w:rsidRPr="002D4B59">
          <w:rPr>
            <w:rStyle w:val="Hipercze"/>
          </w:rPr>
          <w:t>III.3. Krajowa Izba Odwoławcza</w:t>
        </w:r>
        <w:r w:rsidR="00A43C68">
          <w:rPr>
            <w:webHidden/>
          </w:rPr>
          <w:tab/>
        </w:r>
        <w:r w:rsidR="00A43C68">
          <w:rPr>
            <w:webHidden/>
          </w:rPr>
          <w:fldChar w:fldCharType="begin"/>
        </w:r>
        <w:r w:rsidR="00A43C68">
          <w:rPr>
            <w:webHidden/>
          </w:rPr>
          <w:instrText xml:space="preserve"> PAGEREF _Toc141276465 \h </w:instrText>
        </w:r>
        <w:r w:rsidR="00A43C68">
          <w:rPr>
            <w:webHidden/>
          </w:rPr>
        </w:r>
        <w:r w:rsidR="00A43C68">
          <w:rPr>
            <w:webHidden/>
          </w:rPr>
          <w:fldChar w:fldCharType="separate"/>
        </w:r>
        <w:r w:rsidR="00A43C68">
          <w:rPr>
            <w:webHidden/>
          </w:rPr>
          <w:t>124</w:t>
        </w:r>
        <w:r w:rsidR="00A43C68">
          <w:rPr>
            <w:webHidden/>
          </w:rPr>
          <w:fldChar w:fldCharType="end"/>
        </w:r>
      </w:hyperlink>
    </w:p>
    <w:p w14:paraId="6B29AEAF" w14:textId="3217AE12" w:rsidR="00A43C68" w:rsidRDefault="00BE2079">
      <w:pPr>
        <w:pStyle w:val="Spistreci3"/>
        <w:rPr>
          <w:rFonts w:asciiTheme="minorHAnsi" w:eastAsiaTheme="minorEastAsia" w:hAnsiTheme="minorHAnsi" w:cstheme="minorBidi"/>
          <w:sz w:val="22"/>
          <w:szCs w:val="22"/>
        </w:rPr>
      </w:pPr>
      <w:hyperlink w:anchor="_Toc141276466" w:history="1">
        <w:r w:rsidR="00A43C68" w:rsidRPr="002D4B59">
          <w:rPr>
            <w:rStyle w:val="Hipercze"/>
          </w:rPr>
          <w:t>III.3.1. Rozpatrywanie odwołań</w:t>
        </w:r>
        <w:r w:rsidR="00A43C68">
          <w:rPr>
            <w:webHidden/>
          </w:rPr>
          <w:tab/>
        </w:r>
        <w:r w:rsidR="00A43C68">
          <w:rPr>
            <w:webHidden/>
          </w:rPr>
          <w:fldChar w:fldCharType="begin"/>
        </w:r>
        <w:r w:rsidR="00A43C68">
          <w:rPr>
            <w:webHidden/>
          </w:rPr>
          <w:instrText xml:space="preserve"> PAGEREF _Toc141276466 \h </w:instrText>
        </w:r>
        <w:r w:rsidR="00A43C68">
          <w:rPr>
            <w:webHidden/>
          </w:rPr>
        </w:r>
        <w:r w:rsidR="00A43C68">
          <w:rPr>
            <w:webHidden/>
          </w:rPr>
          <w:fldChar w:fldCharType="separate"/>
        </w:r>
        <w:r w:rsidR="00A43C68">
          <w:rPr>
            <w:webHidden/>
          </w:rPr>
          <w:t>124</w:t>
        </w:r>
        <w:r w:rsidR="00A43C68">
          <w:rPr>
            <w:webHidden/>
          </w:rPr>
          <w:fldChar w:fldCharType="end"/>
        </w:r>
      </w:hyperlink>
    </w:p>
    <w:p w14:paraId="391F5C4C" w14:textId="19E9F0A1" w:rsidR="00A43C68" w:rsidRDefault="00BE2079">
      <w:pPr>
        <w:pStyle w:val="Spistreci3"/>
        <w:rPr>
          <w:rFonts w:asciiTheme="minorHAnsi" w:eastAsiaTheme="minorEastAsia" w:hAnsiTheme="minorHAnsi" w:cstheme="minorBidi"/>
          <w:sz w:val="22"/>
          <w:szCs w:val="22"/>
        </w:rPr>
      </w:pPr>
      <w:hyperlink w:anchor="_Toc141276467" w:history="1">
        <w:r w:rsidR="00A43C68" w:rsidRPr="002D4B59">
          <w:rPr>
            <w:rStyle w:val="Hipercze"/>
          </w:rPr>
          <w:t>III.3.2. Wnioski o uchylenie zakazu zawarcia umowy w sprawie zamówienia publicznego</w:t>
        </w:r>
        <w:r w:rsidR="00A43C68">
          <w:rPr>
            <w:webHidden/>
          </w:rPr>
          <w:tab/>
        </w:r>
        <w:r w:rsidR="00A43C68">
          <w:rPr>
            <w:webHidden/>
          </w:rPr>
          <w:fldChar w:fldCharType="begin"/>
        </w:r>
        <w:r w:rsidR="00A43C68">
          <w:rPr>
            <w:webHidden/>
          </w:rPr>
          <w:instrText xml:space="preserve"> PAGEREF _Toc141276467 \h </w:instrText>
        </w:r>
        <w:r w:rsidR="00A43C68">
          <w:rPr>
            <w:webHidden/>
          </w:rPr>
        </w:r>
        <w:r w:rsidR="00A43C68">
          <w:rPr>
            <w:webHidden/>
          </w:rPr>
          <w:fldChar w:fldCharType="separate"/>
        </w:r>
        <w:r w:rsidR="00A43C68">
          <w:rPr>
            <w:webHidden/>
          </w:rPr>
          <w:t>124</w:t>
        </w:r>
        <w:r w:rsidR="00A43C68">
          <w:rPr>
            <w:webHidden/>
          </w:rPr>
          <w:fldChar w:fldCharType="end"/>
        </w:r>
      </w:hyperlink>
    </w:p>
    <w:p w14:paraId="032498AB" w14:textId="6C3EE5DA" w:rsidR="00A43C68" w:rsidRDefault="00BE2079">
      <w:pPr>
        <w:pStyle w:val="Spistreci3"/>
        <w:rPr>
          <w:rFonts w:asciiTheme="minorHAnsi" w:eastAsiaTheme="minorEastAsia" w:hAnsiTheme="minorHAnsi" w:cstheme="minorBidi"/>
          <w:sz w:val="22"/>
          <w:szCs w:val="22"/>
        </w:rPr>
      </w:pPr>
      <w:hyperlink w:anchor="_Toc141276468" w:history="1">
        <w:r w:rsidR="00A43C68" w:rsidRPr="002D4B59">
          <w:rPr>
            <w:rStyle w:val="Hipercze"/>
          </w:rPr>
          <w:t>III.3.3. Opinie w sprawach zastrzeżeń do wyniku kontroli Prezesa Urzędu</w:t>
        </w:r>
        <w:r w:rsidR="00A43C68">
          <w:rPr>
            <w:webHidden/>
          </w:rPr>
          <w:tab/>
        </w:r>
        <w:r w:rsidR="00A43C68">
          <w:rPr>
            <w:webHidden/>
          </w:rPr>
          <w:fldChar w:fldCharType="begin"/>
        </w:r>
        <w:r w:rsidR="00A43C68">
          <w:rPr>
            <w:webHidden/>
          </w:rPr>
          <w:instrText xml:space="preserve"> PAGEREF _Toc141276468 \h </w:instrText>
        </w:r>
        <w:r w:rsidR="00A43C68">
          <w:rPr>
            <w:webHidden/>
          </w:rPr>
        </w:r>
        <w:r w:rsidR="00A43C68">
          <w:rPr>
            <w:webHidden/>
          </w:rPr>
          <w:fldChar w:fldCharType="separate"/>
        </w:r>
        <w:r w:rsidR="00A43C68">
          <w:rPr>
            <w:webHidden/>
          </w:rPr>
          <w:t>125</w:t>
        </w:r>
        <w:r w:rsidR="00A43C68">
          <w:rPr>
            <w:webHidden/>
          </w:rPr>
          <w:fldChar w:fldCharType="end"/>
        </w:r>
      </w:hyperlink>
    </w:p>
    <w:p w14:paraId="2E018F6B" w14:textId="5C59D275" w:rsidR="00A43C68" w:rsidRDefault="00BE2079">
      <w:pPr>
        <w:pStyle w:val="Spistreci2"/>
        <w:rPr>
          <w:rFonts w:asciiTheme="minorHAnsi" w:eastAsiaTheme="minorEastAsia" w:hAnsiTheme="minorHAnsi" w:cstheme="minorBidi"/>
          <w:b w:val="0"/>
          <w:bCs w:val="0"/>
          <w:sz w:val="22"/>
          <w:szCs w:val="22"/>
        </w:rPr>
      </w:pPr>
      <w:hyperlink w:anchor="_Toc141276469" w:history="1">
        <w:r w:rsidR="00A43C68" w:rsidRPr="002D4B59">
          <w:rPr>
            <w:rStyle w:val="Hipercze"/>
          </w:rPr>
          <w:t>III.4. Struktura organizacyjna i budżet Urzędu Zamówień Publicznych</w:t>
        </w:r>
        <w:r w:rsidR="00A43C68">
          <w:rPr>
            <w:webHidden/>
          </w:rPr>
          <w:tab/>
        </w:r>
        <w:r w:rsidR="00A43C68">
          <w:rPr>
            <w:webHidden/>
          </w:rPr>
          <w:fldChar w:fldCharType="begin"/>
        </w:r>
        <w:r w:rsidR="00A43C68">
          <w:rPr>
            <w:webHidden/>
          </w:rPr>
          <w:instrText xml:space="preserve"> PAGEREF _Toc141276469 \h </w:instrText>
        </w:r>
        <w:r w:rsidR="00A43C68">
          <w:rPr>
            <w:webHidden/>
          </w:rPr>
        </w:r>
        <w:r w:rsidR="00A43C68">
          <w:rPr>
            <w:webHidden/>
          </w:rPr>
          <w:fldChar w:fldCharType="separate"/>
        </w:r>
        <w:r w:rsidR="00A43C68">
          <w:rPr>
            <w:webHidden/>
          </w:rPr>
          <w:t>125</w:t>
        </w:r>
        <w:r w:rsidR="00A43C68">
          <w:rPr>
            <w:webHidden/>
          </w:rPr>
          <w:fldChar w:fldCharType="end"/>
        </w:r>
      </w:hyperlink>
    </w:p>
    <w:p w14:paraId="0CE7D7AA" w14:textId="055C534A" w:rsidR="00A43C68" w:rsidRDefault="00BE2079">
      <w:pPr>
        <w:pStyle w:val="Spistreci2"/>
        <w:rPr>
          <w:rFonts w:asciiTheme="minorHAnsi" w:eastAsiaTheme="minorEastAsia" w:hAnsiTheme="minorHAnsi" w:cstheme="minorBidi"/>
          <w:b w:val="0"/>
          <w:bCs w:val="0"/>
          <w:sz w:val="22"/>
          <w:szCs w:val="22"/>
        </w:rPr>
      </w:pPr>
      <w:hyperlink w:anchor="_Toc141276470" w:history="1">
        <w:r w:rsidR="00A43C68" w:rsidRPr="002D4B59">
          <w:rPr>
            <w:rStyle w:val="Hipercze"/>
          </w:rPr>
          <w:t>III.5. Zamówienia publiczne w mediach</w:t>
        </w:r>
        <w:r w:rsidR="00A43C68">
          <w:rPr>
            <w:webHidden/>
          </w:rPr>
          <w:tab/>
        </w:r>
        <w:r w:rsidR="00A43C68">
          <w:rPr>
            <w:webHidden/>
          </w:rPr>
          <w:fldChar w:fldCharType="begin"/>
        </w:r>
        <w:r w:rsidR="00A43C68">
          <w:rPr>
            <w:webHidden/>
          </w:rPr>
          <w:instrText xml:space="preserve"> PAGEREF _Toc141276470 \h </w:instrText>
        </w:r>
        <w:r w:rsidR="00A43C68">
          <w:rPr>
            <w:webHidden/>
          </w:rPr>
        </w:r>
        <w:r w:rsidR="00A43C68">
          <w:rPr>
            <w:webHidden/>
          </w:rPr>
          <w:fldChar w:fldCharType="separate"/>
        </w:r>
        <w:r w:rsidR="00A43C68">
          <w:rPr>
            <w:webHidden/>
          </w:rPr>
          <w:t>126</w:t>
        </w:r>
        <w:r w:rsidR="00A43C68">
          <w:rPr>
            <w:webHidden/>
          </w:rPr>
          <w:fldChar w:fldCharType="end"/>
        </w:r>
      </w:hyperlink>
    </w:p>
    <w:p w14:paraId="35494C6E" w14:textId="71A5B4CC" w:rsidR="00A43C68" w:rsidRDefault="00BE2079">
      <w:pPr>
        <w:pStyle w:val="Spistreci3"/>
        <w:rPr>
          <w:rFonts w:asciiTheme="minorHAnsi" w:eastAsiaTheme="minorEastAsia" w:hAnsiTheme="minorHAnsi" w:cstheme="minorBidi"/>
          <w:sz w:val="22"/>
          <w:szCs w:val="22"/>
        </w:rPr>
      </w:pPr>
      <w:hyperlink w:anchor="_Toc141276471" w:history="1">
        <w:r w:rsidR="00A43C68" w:rsidRPr="002D4B59">
          <w:rPr>
            <w:rStyle w:val="Hipercze"/>
          </w:rPr>
          <w:t>III.5.1. Informacje statystyczne</w:t>
        </w:r>
        <w:r w:rsidR="00A43C68">
          <w:rPr>
            <w:webHidden/>
          </w:rPr>
          <w:tab/>
        </w:r>
        <w:r w:rsidR="00A43C68">
          <w:rPr>
            <w:webHidden/>
          </w:rPr>
          <w:fldChar w:fldCharType="begin"/>
        </w:r>
        <w:r w:rsidR="00A43C68">
          <w:rPr>
            <w:webHidden/>
          </w:rPr>
          <w:instrText xml:space="preserve"> PAGEREF _Toc141276471 \h </w:instrText>
        </w:r>
        <w:r w:rsidR="00A43C68">
          <w:rPr>
            <w:webHidden/>
          </w:rPr>
        </w:r>
        <w:r w:rsidR="00A43C68">
          <w:rPr>
            <w:webHidden/>
          </w:rPr>
          <w:fldChar w:fldCharType="separate"/>
        </w:r>
        <w:r w:rsidR="00A43C68">
          <w:rPr>
            <w:webHidden/>
          </w:rPr>
          <w:t>126</w:t>
        </w:r>
        <w:r w:rsidR="00A43C68">
          <w:rPr>
            <w:webHidden/>
          </w:rPr>
          <w:fldChar w:fldCharType="end"/>
        </w:r>
      </w:hyperlink>
    </w:p>
    <w:p w14:paraId="5805F03A" w14:textId="169B08C4" w:rsidR="00A43C68" w:rsidRDefault="00BE2079">
      <w:pPr>
        <w:pStyle w:val="Spistreci3"/>
        <w:rPr>
          <w:rFonts w:asciiTheme="minorHAnsi" w:eastAsiaTheme="minorEastAsia" w:hAnsiTheme="minorHAnsi" w:cstheme="minorBidi"/>
          <w:sz w:val="22"/>
          <w:szCs w:val="22"/>
        </w:rPr>
      </w:pPr>
      <w:hyperlink w:anchor="_Toc141276472" w:history="1">
        <w:r w:rsidR="00A43C68" w:rsidRPr="002D4B59">
          <w:rPr>
            <w:rStyle w:val="Hipercze"/>
          </w:rPr>
          <w:t>III.5.2. Analiza treści publikowanych w mediach</w:t>
        </w:r>
        <w:r w:rsidR="00A43C68">
          <w:rPr>
            <w:webHidden/>
          </w:rPr>
          <w:tab/>
        </w:r>
        <w:r w:rsidR="00A43C68">
          <w:rPr>
            <w:webHidden/>
          </w:rPr>
          <w:fldChar w:fldCharType="begin"/>
        </w:r>
        <w:r w:rsidR="00A43C68">
          <w:rPr>
            <w:webHidden/>
          </w:rPr>
          <w:instrText xml:space="preserve"> PAGEREF _Toc141276472 \h </w:instrText>
        </w:r>
        <w:r w:rsidR="00A43C68">
          <w:rPr>
            <w:webHidden/>
          </w:rPr>
        </w:r>
        <w:r w:rsidR="00A43C68">
          <w:rPr>
            <w:webHidden/>
          </w:rPr>
          <w:fldChar w:fldCharType="separate"/>
        </w:r>
        <w:r w:rsidR="00A43C68">
          <w:rPr>
            <w:webHidden/>
          </w:rPr>
          <w:t>127</w:t>
        </w:r>
        <w:r w:rsidR="00A43C68">
          <w:rPr>
            <w:webHidden/>
          </w:rPr>
          <w:fldChar w:fldCharType="end"/>
        </w:r>
      </w:hyperlink>
    </w:p>
    <w:p w14:paraId="76DDB9DB" w14:textId="3071F542" w:rsidR="00A43C68" w:rsidRDefault="00BE2079">
      <w:pPr>
        <w:pStyle w:val="Spistreci1"/>
        <w:rPr>
          <w:rFonts w:asciiTheme="minorHAnsi" w:eastAsiaTheme="minorEastAsia" w:hAnsiTheme="minorHAnsi" w:cstheme="minorBidi"/>
          <w:b w:val="0"/>
          <w:color w:val="auto"/>
          <w:szCs w:val="22"/>
        </w:rPr>
      </w:pPr>
      <w:hyperlink w:anchor="_Toc141276473" w:history="1">
        <w:r w:rsidR="00A43C68" w:rsidRPr="002D4B59">
          <w:rPr>
            <w:rStyle w:val="Hipercze"/>
          </w:rPr>
          <w:t>IV. WNIOSKI I REKOMENDACJE</w:t>
        </w:r>
        <w:r w:rsidR="00A43C68">
          <w:rPr>
            <w:webHidden/>
          </w:rPr>
          <w:tab/>
        </w:r>
        <w:r w:rsidR="00A43C68">
          <w:rPr>
            <w:webHidden/>
          </w:rPr>
          <w:fldChar w:fldCharType="begin"/>
        </w:r>
        <w:r w:rsidR="00A43C68">
          <w:rPr>
            <w:webHidden/>
          </w:rPr>
          <w:instrText xml:space="preserve"> PAGEREF _Toc141276473 \h </w:instrText>
        </w:r>
        <w:r w:rsidR="00A43C68">
          <w:rPr>
            <w:webHidden/>
          </w:rPr>
        </w:r>
        <w:r w:rsidR="00A43C68">
          <w:rPr>
            <w:webHidden/>
          </w:rPr>
          <w:fldChar w:fldCharType="separate"/>
        </w:r>
        <w:r w:rsidR="00A43C68">
          <w:rPr>
            <w:webHidden/>
          </w:rPr>
          <w:t>129</w:t>
        </w:r>
        <w:r w:rsidR="00A43C68">
          <w:rPr>
            <w:webHidden/>
          </w:rPr>
          <w:fldChar w:fldCharType="end"/>
        </w:r>
      </w:hyperlink>
    </w:p>
    <w:p w14:paraId="33301021" w14:textId="7867DC91" w:rsidR="00A43C68" w:rsidRDefault="00BE2079">
      <w:pPr>
        <w:pStyle w:val="Spistreci2"/>
        <w:rPr>
          <w:rFonts w:asciiTheme="minorHAnsi" w:eastAsiaTheme="minorEastAsia" w:hAnsiTheme="minorHAnsi" w:cstheme="minorBidi"/>
          <w:b w:val="0"/>
          <w:bCs w:val="0"/>
          <w:sz w:val="22"/>
          <w:szCs w:val="22"/>
        </w:rPr>
      </w:pPr>
      <w:hyperlink w:anchor="_Toc141276474" w:history="1">
        <w:r w:rsidR="00A43C68" w:rsidRPr="002D4B59">
          <w:rPr>
            <w:rStyle w:val="Hipercze"/>
          </w:rPr>
          <w:t>IV.1. Wnioski</w:t>
        </w:r>
        <w:r w:rsidR="00A43C68">
          <w:rPr>
            <w:webHidden/>
          </w:rPr>
          <w:tab/>
        </w:r>
        <w:r w:rsidR="00A43C68">
          <w:rPr>
            <w:webHidden/>
          </w:rPr>
          <w:fldChar w:fldCharType="begin"/>
        </w:r>
        <w:r w:rsidR="00A43C68">
          <w:rPr>
            <w:webHidden/>
          </w:rPr>
          <w:instrText xml:space="preserve"> PAGEREF _Toc141276474 \h </w:instrText>
        </w:r>
        <w:r w:rsidR="00A43C68">
          <w:rPr>
            <w:webHidden/>
          </w:rPr>
        </w:r>
        <w:r w:rsidR="00A43C68">
          <w:rPr>
            <w:webHidden/>
          </w:rPr>
          <w:fldChar w:fldCharType="separate"/>
        </w:r>
        <w:r w:rsidR="00A43C68">
          <w:rPr>
            <w:webHidden/>
          </w:rPr>
          <w:t>129</w:t>
        </w:r>
        <w:r w:rsidR="00A43C68">
          <w:rPr>
            <w:webHidden/>
          </w:rPr>
          <w:fldChar w:fldCharType="end"/>
        </w:r>
      </w:hyperlink>
    </w:p>
    <w:p w14:paraId="55E78858" w14:textId="211BEDED" w:rsidR="00A43C68" w:rsidRDefault="00BE2079">
      <w:pPr>
        <w:pStyle w:val="Spistreci2"/>
        <w:rPr>
          <w:rFonts w:asciiTheme="minorHAnsi" w:eastAsiaTheme="minorEastAsia" w:hAnsiTheme="minorHAnsi" w:cstheme="minorBidi"/>
          <w:b w:val="0"/>
          <w:bCs w:val="0"/>
          <w:sz w:val="22"/>
          <w:szCs w:val="22"/>
        </w:rPr>
      </w:pPr>
      <w:hyperlink w:anchor="_Toc141276475" w:history="1">
        <w:r w:rsidR="00A43C68" w:rsidRPr="002D4B59">
          <w:rPr>
            <w:rStyle w:val="Hipercze"/>
          </w:rPr>
          <w:t>IV.2. Rekomendacje</w:t>
        </w:r>
        <w:r w:rsidR="00A43C68">
          <w:rPr>
            <w:webHidden/>
          </w:rPr>
          <w:tab/>
        </w:r>
        <w:r w:rsidR="00A43C68">
          <w:rPr>
            <w:webHidden/>
          </w:rPr>
          <w:fldChar w:fldCharType="begin"/>
        </w:r>
        <w:r w:rsidR="00A43C68">
          <w:rPr>
            <w:webHidden/>
          </w:rPr>
          <w:instrText xml:space="preserve"> PAGEREF _Toc141276475 \h </w:instrText>
        </w:r>
        <w:r w:rsidR="00A43C68">
          <w:rPr>
            <w:webHidden/>
          </w:rPr>
        </w:r>
        <w:r w:rsidR="00A43C68">
          <w:rPr>
            <w:webHidden/>
          </w:rPr>
          <w:fldChar w:fldCharType="separate"/>
        </w:r>
        <w:r w:rsidR="00A43C68">
          <w:rPr>
            <w:webHidden/>
          </w:rPr>
          <w:t>131</w:t>
        </w:r>
        <w:r w:rsidR="00A43C68">
          <w:rPr>
            <w:webHidden/>
          </w:rPr>
          <w:fldChar w:fldCharType="end"/>
        </w:r>
      </w:hyperlink>
    </w:p>
    <w:p w14:paraId="2E668750" w14:textId="505FF2EB" w:rsidR="00A43C68" w:rsidRDefault="00BE2079">
      <w:pPr>
        <w:pStyle w:val="Spistreci1"/>
        <w:rPr>
          <w:rFonts w:asciiTheme="minorHAnsi" w:eastAsiaTheme="minorEastAsia" w:hAnsiTheme="minorHAnsi" w:cstheme="minorBidi"/>
          <w:b w:val="0"/>
          <w:color w:val="auto"/>
          <w:szCs w:val="22"/>
        </w:rPr>
      </w:pPr>
      <w:hyperlink w:anchor="_Toc141276476" w:history="1">
        <w:r w:rsidR="00A43C68" w:rsidRPr="002D4B59">
          <w:rPr>
            <w:rStyle w:val="Hipercze"/>
          </w:rPr>
          <w:t>V. SPIS RYSUNKÓW</w:t>
        </w:r>
        <w:r w:rsidR="00A43C68">
          <w:rPr>
            <w:webHidden/>
          </w:rPr>
          <w:tab/>
        </w:r>
        <w:r w:rsidR="00A43C68">
          <w:rPr>
            <w:webHidden/>
          </w:rPr>
          <w:fldChar w:fldCharType="begin"/>
        </w:r>
        <w:r w:rsidR="00A43C68">
          <w:rPr>
            <w:webHidden/>
          </w:rPr>
          <w:instrText xml:space="preserve"> PAGEREF _Toc141276476 \h </w:instrText>
        </w:r>
        <w:r w:rsidR="00A43C68">
          <w:rPr>
            <w:webHidden/>
          </w:rPr>
        </w:r>
        <w:r w:rsidR="00A43C68">
          <w:rPr>
            <w:webHidden/>
          </w:rPr>
          <w:fldChar w:fldCharType="separate"/>
        </w:r>
        <w:r w:rsidR="00A43C68">
          <w:rPr>
            <w:webHidden/>
          </w:rPr>
          <w:t>132</w:t>
        </w:r>
        <w:r w:rsidR="00A43C68">
          <w:rPr>
            <w:webHidden/>
          </w:rPr>
          <w:fldChar w:fldCharType="end"/>
        </w:r>
      </w:hyperlink>
    </w:p>
    <w:p w14:paraId="2E61DEC2" w14:textId="4BEAD751" w:rsidR="00A43C68" w:rsidRDefault="00BE2079">
      <w:pPr>
        <w:pStyle w:val="Spistreci1"/>
        <w:rPr>
          <w:rFonts w:asciiTheme="minorHAnsi" w:eastAsiaTheme="minorEastAsia" w:hAnsiTheme="minorHAnsi" w:cstheme="minorBidi"/>
          <w:b w:val="0"/>
          <w:color w:val="auto"/>
          <w:szCs w:val="22"/>
        </w:rPr>
      </w:pPr>
      <w:hyperlink w:anchor="_Toc141276477" w:history="1">
        <w:r w:rsidR="00A43C68" w:rsidRPr="002D4B59">
          <w:rPr>
            <w:rStyle w:val="Hipercze"/>
          </w:rPr>
          <w:t>VI. SPIS TABEL</w:t>
        </w:r>
        <w:r w:rsidR="00A43C68">
          <w:rPr>
            <w:webHidden/>
          </w:rPr>
          <w:tab/>
        </w:r>
        <w:r w:rsidR="00A43C68">
          <w:rPr>
            <w:webHidden/>
          </w:rPr>
          <w:fldChar w:fldCharType="begin"/>
        </w:r>
        <w:r w:rsidR="00A43C68">
          <w:rPr>
            <w:webHidden/>
          </w:rPr>
          <w:instrText xml:space="preserve"> PAGEREF _Toc141276477 \h </w:instrText>
        </w:r>
        <w:r w:rsidR="00A43C68">
          <w:rPr>
            <w:webHidden/>
          </w:rPr>
        </w:r>
        <w:r w:rsidR="00A43C68">
          <w:rPr>
            <w:webHidden/>
          </w:rPr>
          <w:fldChar w:fldCharType="separate"/>
        </w:r>
        <w:r w:rsidR="00A43C68">
          <w:rPr>
            <w:webHidden/>
          </w:rPr>
          <w:t>133</w:t>
        </w:r>
        <w:r w:rsidR="00A43C68">
          <w:rPr>
            <w:webHidden/>
          </w:rPr>
          <w:fldChar w:fldCharType="end"/>
        </w:r>
      </w:hyperlink>
    </w:p>
    <w:p w14:paraId="7BAB7205" w14:textId="1B7485B1" w:rsidR="00A43C68" w:rsidRDefault="00BE2079">
      <w:pPr>
        <w:pStyle w:val="Spistreci1"/>
        <w:rPr>
          <w:rFonts w:asciiTheme="minorHAnsi" w:eastAsiaTheme="minorEastAsia" w:hAnsiTheme="minorHAnsi" w:cstheme="minorBidi"/>
          <w:b w:val="0"/>
          <w:color w:val="auto"/>
          <w:szCs w:val="22"/>
        </w:rPr>
      </w:pPr>
      <w:hyperlink w:anchor="_Toc141276478" w:history="1">
        <w:r w:rsidR="00A43C68" w:rsidRPr="002D4B59">
          <w:rPr>
            <w:rStyle w:val="Hipercze"/>
          </w:rPr>
          <w:t>VII. ZAŁĄCZNIKI</w:t>
        </w:r>
        <w:r w:rsidR="00A43C68">
          <w:rPr>
            <w:webHidden/>
          </w:rPr>
          <w:tab/>
        </w:r>
        <w:r w:rsidR="00A43C68">
          <w:rPr>
            <w:webHidden/>
          </w:rPr>
          <w:fldChar w:fldCharType="begin"/>
        </w:r>
        <w:r w:rsidR="00A43C68">
          <w:rPr>
            <w:webHidden/>
          </w:rPr>
          <w:instrText xml:space="preserve"> PAGEREF _Toc141276478 \h </w:instrText>
        </w:r>
        <w:r w:rsidR="00A43C68">
          <w:rPr>
            <w:webHidden/>
          </w:rPr>
        </w:r>
        <w:r w:rsidR="00A43C68">
          <w:rPr>
            <w:webHidden/>
          </w:rPr>
          <w:fldChar w:fldCharType="separate"/>
        </w:r>
        <w:r w:rsidR="00A43C68">
          <w:rPr>
            <w:webHidden/>
          </w:rPr>
          <w:t>135</w:t>
        </w:r>
        <w:r w:rsidR="00A43C68">
          <w:rPr>
            <w:webHidden/>
          </w:rPr>
          <w:fldChar w:fldCharType="end"/>
        </w:r>
      </w:hyperlink>
    </w:p>
    <w:p w14:paraId="29740F5B" w14:textId="791C6B79" w:rsidR="00333F5B" w:rsidRDefault="00663C05" w:rsidP="00620C11">
      <w:pPr>
        <w:shd w:val="clear" w:color="auto" w:fill="FFFFFF"/>
        <w:ind w:right="-2"/>
        <w:rPr>
          <w:noProof/>
          <w:szCs w:val="22"/>
        </w:rPr>
      </w:pPr>
      <w:r w:rsidRPr="00663C05">
        <w:rPr>
          <w:noProof/>
          <w:szCs w:val="22"/>
        </w:rPr>
        <w:fldChar w:fldCharType="end"/>
      </w:r>
    </w:p>
    <w:p w14:paraId="741071BC" w14:textId="77777777" w:rsidR="00333F5B" w:rsidRDefault="00333F5B" w:rsidP="00620C11">
      <w:pPr>
        <w:shd w:val="clear" w:color="auto" w:fill="FFFFFF"/>
        <w:ind w:right="-2"/>
        <w:rPr>
          <w:noProof/>
          <w:szCs w:val="22"/>
        </w:rPr>
        <w:sectPr w:rsidR="00333F5B" w:rsidSect="00322052">
          <w:pgSz w:w="11906" w:h="16838"/>
          <w:pgMar w:top="1418" w:right="1418" w:bottom="1418" w:left="1418" w:header="709" w:footer="709" w:gutter="0"/>
          <w:cols w:space="708"/>
          <w:docGrid w:linePitch="299"/>
        </w:sectPr>
      </w:pPr>
    </w:p>
    <w:p w14:paraId="5C54005D" w14:textId="4D1BFE0E" w:rsidR="001B4B75" w:rsidRDefault="001B4B75">
      <w:pPr>
        <w:jc w:val="left"/>
        <w:rPr>
          <w:noProof/>
          <w:szCs w:val="22"/>
        </w:rPr>
      </w:pPr>
    </w:p>
    <w:tbl>
      <w:tblPr>
        <w:tblW w:w="18658" w:type="dxa"/>
        <w:tblInd w:w="-194" w:type="dxa"/>
        <w:tblLayout w:type="fixed"/>
        <w:tblLook w:val="04A0" w:firstRow="1" w:lastRow="0" w:firstColumn="1" w:lastColumn="0" w:noHBand="0" w:noVBand="1"/>
      </w:tblPr>
      <w:tblGrid>
        <w:gridCol w:w="302"/>
        <w:gridCol w:w="9178"/>
        <w:gridCol w:w="9178"/>
      </w:tblGrid>
      <w:tr w:rsidR="007A2F64" w:rsidRPr="008C3B34" w14:paraId="61DD065F" w14:textId="77777777" w:rsidTr="007A2F64">
        <w:trPr>
          <w:cantSplit/>
        </w:trPr>
        <w:tc>
          <w:tcPr>
            <w:tcW w:w="302" w:type="dxa"/>
            <w:shd w:val="clear" w:color="auto" w:fill="365F91"/>
          </w:tcPr>
          <w:p w14:paraId="14E6A200" w14:textId="77777777" w:rsidR="007A2F64" w:rsidRPr="008C3B34" w:rsidRDefault="007A2F64" w:rsidP="007A2F64">
            <w:pPr>
              <w:pStyle w:val="Nagwek1"/>
              <w:spacing w:after="120"/>
              <w:rPr>
                <w:sz w:val="32"/>
                <w:szCs w:val="32"/>
              </w:rPr>
            </w:pPr>
            <w:bookmarkStart w:id="0" w:name="_Toc223156020"/>
            <w:bookmarkStart w:id="1" w:name="_Toc223156240"/>
            <w:bookmarkStart w:id="2" w:name="_Toc223923404"/>
            <w:bookmarkStart w:id="3" w:name="_Toc223924317"/>
            <w:bookmarkStart w:id="4" w:name="_Toc227651132"/>
          </w:p>
        </w:tc>
        <w:tc>
          <w:tcPr>
            <w:tcW w:w="9178" w:type="dxa"/>
          </w:tcPr>
          <w:p w14:paraId="3C92597D" w14:textId="73042B8D" w:rsidR="007A2F64" w:rsidRPr="00CC67D1" w:rsidRDefault="007A2F64" w:rsidP="007A2F64">
            <w:pPr>
              <w:pStyle w:val="Nagwek1"/>
              <w:spacing w:after="120"/>
              <w:rPr>
                <w:noProof/>
                <w:color w:val="0070C0"/>
                <w:sz w:val="32"/>
                <w:szCs w:val="32"/>
              </w:rPr>
            </w:pPr>
            <w:bookmarkStart w:id="5" w:name="_Toc64451838"/>
            <w:bookmarkStart w:id="6" w:name="_Ref99029063"/>
            <w:bookmarkStart w:id="7" w:name="_Toc141276415"/>
            <w:r w:rsidRPr="00CC67D1">
              <w:rPr>
                <w:noProof/>
                <w:color w:val="0070C0"/>
                <w:sz w:val="32"/>
                <w:szCs w:val="32"/>
              </w:rPr>
              <w:t>WSTĘP</w:t>
            </w:r>
            <w:bookmarkEnd w:id="5"/>
            <w:bookmarkEnd w:id="6"/>
            <w:bookmarkEnd w:id="7"/>
          </w:p>
        </w:tc>
        <w:tc>
          <w:tcPr>
            <w:tcW w:w="9178" w:type="dxa"/>
          </w:tcPr>
          <w:p w14:paraId="6EE1A753" w14:textId="44B05AA6" w:rsidR="007A2F64" w:rsidRPr="004B2646" w:rsidRDefault="007A2F64" w:rsidP="007A2F64">
            <w:pPr>
              <w:pStyle w:val="Nagwek1"/>
              <w:spacing w:after="120"/>
              <w:rPr>
                <w:noProof/>
                <w:color w:val="0070C0"/>
                <w:sz w:val="32"/>
                <w:szCs w:val="32"/>
                <w:highlight w:val="yellow"/>
              </w:rPr>
            </w:pPr>
          </w:p>
        </w:tc>
      </w:tr>
    </w:tbl>
    <w:p w14:paraId="774A6803" w14:textId="23152A65" w:rsidR="00265144" w:rsidRDefault="00265144" w:rsidP="007D4DEB">
      <w:pPr>
        <w:shd w:val="clear" w:color="auto" w:fill="FFFFFF"/>
        <w:rPr>
          <w:rFonts w:cs="Arial"/>
        </w:rPr>
      </w:pPr>
    </w:p>
    <w:p w14:paraId="7E081970" w14:textId="77777777" w:rsidR="00ED38F6" w:rsidRDefault="00ED38F6" w:rsidP="007D4DEB">
      <w:pPr>
        <w:shd w:val="clear" w:color="auto" w:fill="FFFFFF"/>
        <w:rPr>
          <w:rFonts w:cs="Arial"/>
        </w:rPr>
      </w:pPr>
    </w:p>
    <w:p w14:paraId="54E6B62A" w14:textId="77777777" w:rsidR="00B62CC9" w:rsidRPr="003341D9" w:rsidRDefault="00B62CC9" w:rsidP="00B62CC9">
      <w:pPr>
        <w:shd w:val="clear" w:color="auto" w:fill="FFFFFF"/>
        <w:rPr>
          <w:rFonts w:cs="Arial"/>
          <w:i/>
          <w:iCs/>
        </w:rPr>
      </w:pPr>
      <w:r w:rsidRPr="003341D9">
        <w:rPr>
          <w:rFonts w:cs="Arial"/>
          <w:i/>
          <w:iCs/>
        </w:rPr>
        <w:t>Szanowni Państwo,</w:t>
      </w:r>
    </w:p>
    <w:p w14:paraId="31E75648" w14:textId="77777777" w:rsidR="00B62CC9" w:rsidRPr="003341D9" w:rsidRDefault="00B62CC9" w:rsidP="00B62CC9">
      <w:pPr>
        <w:shd w:val="clear" w:color="auto" w:fill="FFFFFF"/>
        <w:rPr>
          <w:rFonts w:cs="Arial"/>
          <w:i/>
          <w:iCs/>
        </w:rPr>
      </w:pPr>
    </w:p>
    <w:p w14:paraId="12E5C6A6" w14:textId="77777777" w:rsidR="00B62CC9" w:rsidRPr="003341D9" w:rsidRDefault="00B62CC9" w:rsidP="00B62CC9">
      <w:pPr>
        <w:shd w:val="clear" w:color="auto" w:fill="FFFFFF"/>
        <w:spacing w:after="240" w:line="360" w:lineRule="auto"/>
        <w:ind w:firstLine="709"/>
        <w:rPr>
          <w:rFonts w:cs="Arial"/>
          <w:i/>
          <w:iCs/>
        </w:rPr>
      </w:pPr>
      <w:r w:rsidRPr="003341D9">
        <w:rPr>
          <w:rFonts w:cs="Arial"/>
          <w:i/>
          <w:iCs/>
        </w:rPr>
        <w:t>Oddajemy w Państwa ręce Sprawozdanie Prezesa Urzędu Zamówień Publicznych z funkcjonowania systemu zamówień publicznych w 2022 r.</w:t>
      </w:r>
    </w:p>
    <w:p w14:paraId="14029484" w14:textId="67E4AE11" w:rsidR="00B62CC9" w:rsidRPr="003341D9" w:rsidRDefault="00B62CC9" w:rsidP="00B62CC9">
      <w:pPr>
        <w:shd w:val="clear" w:color="auto" w:fill="FFFFFF"/>
        <w:spacing w:after="240" w:line="360" w:lineRule="auto"/>
        <w:ind w:firstLine="709"/>
        <w:rPr>
          <w:rFonts w:cs="Arial"/>
          <w:i/>
          <w:iCs/>
        </w:rPr>
      </w:pPr>
      <w:r w:rsidRPr="003341D9">
        <w:rPr>
          <w:rFonts w:cs="Arial"/>
          <w:i/>
          <w:iCs/>
        </w:rPr>
        <w:t xml:space="preserve">Za nami </w:t>
      </w:r>
      <w:r w:rsidR="00757D68">
        <w:rPr>
          <w:rFonts w:cs="Arial"/>
          <w:i/>
          <w:iCs/>
        </w:rPr>
        <w:t>kolejny</w:t>
      </w:r>
      <w:r w:rsidRPr="003341D9">
        <w:rPr>
          <w:rFonts w:cs="Arial"/>
          <w:i/>
          <w:iCs/>
        </w:rPr>
        <w:t xml:space="preserve"> rok obowiązywania nowego Prawa zamówień publicznych. Doświadczenie tych 12 miesięcy jasno wskazuje, że regulacje zdały egzamin i są dobrą odpowiedzią na wyzwania współczesności. </w:t>
      </w:r>
    </w:p>
    <w:p w14:paraId="420846FF" w14:textId="77777777" w:rsidR="00B62CC9" w:rsidRPr="003341D9" w:rsidRDefault="00B62CC9" w:rsidP="00B62CC9">
      <w:pPr>
        <w:shd w:val="clear" w:color="auto" w:fill="FFFFFF"/>
        <w:spacing w:after="240" w:line="360" w:lineRule="auto"/>
        <w:ind w:firstLine="709"/>
        <w:rPr>
          <w:rFonts w:cs="Arial"/>
          <w:i/>
          <w:iCs/>
        </w:rPr>
      </w:pPr>
      <w:r w:rsidRPr="003341D9">
        <w:rPr>
          <w:rFonts w:cs="Arial"/>
          <w:i/>
          <w:iCs/>
        </w:rPr>
        <w:t>Rok 2022 upłynął pod znakiem wojny w Ukrainie, co znalazło swoje odzwierciedlenie także w funkcjonowaniu rynku zamówień publicznych. W tym trudnym okresie, zamówieniowe przepisy okazały się na tyle elastyczne, że pozwoliły na szybką reakcję wtedy kiedy wymagał tego interes Zamawiających i Wykonawców.</w:t>
      </w:r>
    </w:p>
    <w:p w14:paraId="52988392" w14:textId="5AD7B0EF" w:rsidR="00B62CC9" w:rsidRPr="003341D9" w:rsidRDefault="00B62CC9" w:rsidP="00B62CC9">
      <w:pPr>
        <w:shd w:val="clear" w:color="auto" w:fill="FFFFFF"/>
        <w:spacing w:after="240" w:line="360" w:lineRule="auto"/>
        <w:ind w:firstLine="709"/>
        <w:rPr>
          <w:rFonts w:cs="Arial"/>
          <w:i/>
          <w:iCs/>
        </w:rPr>
      </w:pPr>
      <w:r w:rsidRPr="003341D9">
        <w:rPr>
          <w:rFonts w:cs="Arial"/>
          <w:i/>
          <w:iCs/>
        </w:rPr>
        <w:t xml:space="preserve">Rynek zamówień publicznych udzielanych z zastosowaniem przepisów Prawa zamówień publicznych osiągnął w roku 2022 historycznie wysoką wartość ponad 274 miliardów złotych. Udzielono blisko 144 tysięcy zamówień, co stanowi powrót do wartości sprzed wybuchu pandemii koronawirusa. </w:t>
      </w:r>
    </w:p>
    <w:p w14:paraId="3FFC5733" w14:textId="77777777" w:rsidR="00B62CC9" w:rsidRPr="003341D9" w:rsidRDefault="00B62CC9" w:rsidP="00B62CC9">
      <w:pPr>
        <w:shd w:val="clear" w:color="auto" w:fill="FFFFFF"/>
        <w:spacing w:after="240" w:line="360" w:lineRule="auto"/>
        <w:ind w:firstLine="709"/>
        <w:rPr>
          <w:rFonts w:cs="Arial"/>
          <w:i/>
          <w:iCs/>
        </w:rPr>
      </w:pPr>
      <w:r w:rsidRPr="003341D9">
        <w:rPr>
          <w:rFonts w:cs="Arial"/>
          <w:i/>
          <w:iCs/>
        </w:rPr>
        <w:t xml:space="preserve">Powyższe, jak i inne dane zawarte w niniejszym raporcie jasno pokazują, że Zamawiający bardzo płynnie weszli w rzeczywistość zamówieniową pod rządami nowej ustawy, a rynek jest stabilny i odporny na zewnętrzne </w:t>
      </w:r>
      <w:r>
        <w:rPr>
          <w:rFonts w:cs="Arial"/>
          <w:i/>
          <w:iCs/>
        </w:rPr>
        <w:t xml:space="preserve">i wewnętrzne </w:t>
      </w:r>
      <w:r w:rsidRPr="003341D9">
        <w:rPr>
          <w:rFonts w:cs="Arial"/>
          <w:i/>
          <w:iCs/>
        </w:rPr>
        <w:t>uwarunkowania</w:t>
      </w:r>
      <w:r>
        <w:rPr>
          <w:rFonts w:cs="Arial"/>
          <w:i/>
          <w:iCs/>
        </w:rPr>
        <w:t xml:space="preserve"> gospodarcze</w:t>
      </w:r>
      <w:r w:rsidRPr="003341D9">
        <w:rPr>
          <w:rFonts w:cs="Arial"/>
          <w:i/>
          <w:iCs/>
        </w:rPr>
        <w:t xml:space="preserve">. </w:t>
      </w:r>
    </w:p>
    <w:p w14:paraId="4EAA0D3A" w14:textId="77777777" w:rsidR="00B62CC9" w:rsidRDefault="00B62CC9" w:rsidP="00B62CC9">
      <w:pPr>
        <w:shd w:val="clear" w:color="auto" w:fill="FFFFFF"/>
        <w:spacing w:after="240" w:line="360" w:lineRule="auto"/>
        <w:ind w:firstLine="709"/>
        <w:rPr>
          <w:rFonts w:cs="Arial"/>
          <w:i/>
          <w:iCs/>
        </w:rPr>
      </w:pPr>
      <w:r>
        <w:rPr>
          <w:rFonts w:cs="Arial"/>
          <w:i/>
          <w:iCs/>
        </w:rPr>
        <w:t>Z</w:t>
      </w:r>
      <w:r w:rsidRPr="003341D9">
        <w:rPr>
          <w:rFonts w:cs="Arial"/>
          <w:i/>
          <w:iCs/>
        </w:rPr>
        <w:t>godnie z zapowiedzią, w drugiej połowie 2023 roku rozpoczniemy przegląd Prawa zamówień publicznych. Regulacja prawna, która istotnie zmienia daną dziedzinę wymaga bieżącego monitorowania, aby w dalszym ciągu mogła skutecznie odpowiadać na zmieniającą się rzeczywistość.</w:t>
      </w:r>
      <w:r>
        <w:rPr>
          <w:rFonts w:cs="Arial"/>
          <w:i/>
          <w:iCs/>
        </w:rPr>
        <w:t xml:space="preserve"> Dlatego też w</w:t>
      </w:r>
      <w:r w:rsidRPr="003341D9">
        <w:rPr>
          <w:rFonts w:cs="Arial"/>
          <w:i/>
          <w:iCs/>
        </w:rPr>
        <w:t xml:space="preserve"> trakcie spotkań, konferencji i licznych dyskusji będziemy słuchali przedstawicieli Zamawiających oraz Wykonawców i ich doświadczeń z dotychczasowego stosowania ustawy.</w:t>
      </w:r>
    </w:p>
    <w:p w14:paraId="6CCA51C5" w14:textId="77777777" w:rsidR="00B62CC9" w:rsidRPr="003341D9" w:rsidRDefault="00B62CC9" w:rsidP="00B62CC9">
      <w:pPr>
        <w:shd w:val="clear" w:color="auto" w:fill="FFFFFF"/>
        <w:spacing w:after="240" w:line="360" w:lineRule="auto"/>
        <w:ind w:firstLine="709"/>
        <w:rPr>
          <w:rFonts w:cs="Arial"/>
          <w:i/>
          <w:iCs/>
        </w:rPr>
      </w:pPr>
      <w:r>
        <w:rPr>
          <w:rFonts w:cs="Arial"/>
          <w:i/>
          <w:iCs/>
        </w:rPr>
        <w:t xml:space="preserve">Liczymy na Państwa zaangażowanie oraz ciekawe i merytoryczne dyskusje. </w:t>
      </w:r>
    </w:p>
    <w:p w14:paraId="28AFDB65" w14:textId="77777777" w:rsidR="00B62CC9" w:rsidRPr="003341D9" w:rsidRDefault="00B62CC9" w:rsidP="00B62CC9">
      <w:pPr>
        <w:shd w:val="clear" w:color="auto" w:fill="FFFFFF"/>
        <w:spacing w:line="360" w:lineRule="auto"/>
        <w:ind w:firstLine="709"/>
        <w:jc w:val="center"/>
        <w:rPr>
          <w:rFonts w:cs="Arial"/>
          <w:i/>
          <w:iCs/>
        </w:rPr>
      </w:pPr>
      <w:r w:rsidRPr="003341D9">
        <w:rPr>
          <w:rFonts w:cs="Arial"/>
          <w:i/>
          <w:iCs/>
        </w:rPr>
        <w:t>Hubert Nowak</w:t>
      </w:r>
    </w:p>
    <w:p w14:paraId="7D8069A9" w14:textId="77777777" w:rsidR="00B62CC9" w:rsidRPr="003341D9" w:rsidRDefault="00B62CC9" w:rsidP="00B62CC9">
      <w:pPr>
        <w:shd w:val="clear" w:color="auto" w:fill="FFFFFF"/>
        <w:spacing w:line="360" w:lineRule="auto"/>
        <w:ind w:firstLine="709"/>
        <w:jc w:val="center"/>
        <w:rPr>
          <w:rFonts w:cs="Arial"/>
          <w:i/>
          <w:iCs/>
        </w:rPr>
      </w:pPr>
      <w:r w:rsidRPr="003341D9">
        <w:rPr>
          <w:rFonts w:cs="Arial"/>
          <w:i/>
          <w:iCs/>
        </w:rPr>
        <w:t>Prezes Urzędu Zamówień Publicznych</w:t>
      </w:r>
    </w:p>
    <w:p w14:paraId="0CCF6F20" w14:textId="0CE6E0F1" w:rsidR="00571B1E" w:rsidRDefault="00571B1E" w:rsidP="007D4DEB">
      <w:pPr>
        <w:shd w:val="clear" w:color="auto" w:fill="FFFFFF"/>
        <w:rPr>
          <w:rFonts w:cs="Arial"/>
        </w:rPr>
      </w:pPr>
    </w:p>
    <w:p w14:paraId="4DE9986D" w14:textId="77777777" w:rsidR="00E31BA2" w:rsidRDefault="00E31BA2" w:rsidP="007D4DEB">
      <w:pPr>
        <w:shd w:val="clear" w:color="auto" w:fill="FFFFFF"/>
        <w:rPr>
          <w:rFonts w:cs="Arial"/>
        </w:rPr>
        <w:sectPr w:rsidR="00E31BA2" w:rsidSect="00210DFE">
          <w:pgSz w:w="11906" w:h="16838"/>
          <w:pgMar w:top="1418" w:right="1418" w:bottom="1418" w:left="1418" w:header="709" w:footer="709" w:gutter="0"/>
          <w:cols w:space="708"/>
          <w:docGrid w:linePitch="299"/>
        </w:sectPr>
      </w:pPr>
    </w:p>
    <w:p w14:paraId="33D00CDA" w14:textId="77777777" w:rsidR="00C341C6" w:rsidRPr="00827F9B" w:rsidRDefault="00C341C6" w:rsidP="007D4DEB">
      <w:pPr>
        <w:shd w:val="clear" w:color="auto" w:fill="FFFFFF"/>
        <w:rPr>
          <w:rFonts w:cs="Arial"/>
          <w:szCs w:val="22"/>
        </w:rPr>
      </w:pPr>
    </w:p>
    <w:bookmarkEnd w:id="0"/>
    <w:bookmarkEnd w:id="1"/>
    <w:bookmarkEnd w:id="2"/>
    <w:bookmarkEnd w:id="3"/>
    <w:bookmarkEnd w:id="4"/>
    <w:tbl>
      <w:tblPr>
        <w:tblW w:w="9480" w:type="dxa"/>
        <w:tblInd w:w="-194" w:type="dxa"/>
        <w:tblLayout w:type="fixed"/>
        <w:tblLook w:val="04A0" w:firstRow="1" w:lastRow="0" w:firstColumn="1" w:lastColumn="0" w:noHBand="0" w:noVBand="1"/>
      </w:tblPr>
      <w:tblGrid>
        <w:gridCol w:w="302"/>
        <w:gridCol w:w="9178"/>
      </w:tblGrid>
      <w:tr w:rsidR="00D10F18" w:rsidRPr="008C3B34" w14:paraId="53301467" w14:textId="77777777" w:rsidTr="00D63506">
        <w:trPr>
          <w:cantSplit/>
        </w:trPr>
        <w:tc>
          <w:tcPr>
            <w:tcW w:w="302" w:type="dxa"/>
            <w:shd w:val="clear" w:color="auto" w:fill="365F91"/>
          </w:tcPr>
          <w:p w14:paraId="15D7A4EC" w14:textId="77777777" w:rsidR="00D10F18" w:rsidRPr="008C3B34" w:rsidRDefault="00D10F18" w:rsidP="00F058DB">
            <w:pPr>
              <w:pStyle w:val="Nagwek1"/>
              <w:spacing w:after="120"/>
              <w:rPr>
                <w:sz w:val="32"/>
                <w:szCs w:val="32"/>
              </w:rPr>
            </w:pPr>
          </w:p>
        </w:tc>
        <w:tc>
          <w:tcPr>
            <w:tcW w:w="9178" w:type="dxa"/>
          </w:tcPr>
          <w:p w14:paraId="0CDE9CBF" w14:textId="77777777" w:rsidR="00D10F18" w:rsidRPr="00893714" w:rsidRDefault="00D10F18" w:rsidP="00F058DB">
            <w:pPr>
              <w:pStyle w:val="Nagwek1"/>
              <w:spacing w:after="120"/>
              <w:rPr>
                <w:noProof/>
                <w:color w:val="0070C0"/>
                <w:sz w:val="32"/>
                <w:szCs w:val="32"/>
              </w:rPr>
            </w:pPr>
            <w:bookmarkStart w:id="8" w:name="_Toc64451839"/>
            <w:bookmarkStart w:id="9" w:name="_Ref99029782"/>
            <w:bookmarkStart w:id="10" w:name="_Toc141276416"/>
            <w:r w:rsidRPr="00893714">
              <w:rPr>
                <w:noProof/>
                <w:color w:val="0070C0"/>
                <w:sz w:val="32"/>
                <w:szCs w:val="32"/>
              </w:rPr>
              <w:t>STRESZCZENIE</w:t>
            </w:r>
            <w:bookmarkEnd w:id="8"/>
            <w:bookmarkEnd w:id="9"/>
            <w:bookmarkEnd w:id="10"/>
          </w:p>
        </w:tc>
      </w:tr>
    </w:tbl>
    <w:p w14:paraId="2A264792" w14:textId="77777777" w:rsidR="005D6D89" w:rsidRPr="005D6D89" w:rsidRDefault="005D6D89" w:rsidP="005D6D89">
      <w:pPr>
        <w:spacing w:before="60"/>
        <w:rPr>
          <w:rFonts w:cs="Arial"/>
          <w:sz w:val="20"/>
          <w:szCs w:val="20"/>
        </w:rPr>
      </w:pPr>
    </w:p>
    <w:p w14:paraId="4CF74BC6" w14:textId="65B6A008"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Wartość zamówień publicznych</w:t>
      </w:r>
      <w:r w:rsidR="00447177" w:rsidRPr="005D6D89">
        <w:rPr>
          <w:rFonts w:cs="Arial"/>
          <w:sz w:val="20"/>
          <w:szCs w:val="20"/>
        </w:rPr>
        <w:t xml:space="preserve"> udzielonych</w:t>
      </w:r>
      <w:r w:rsidR="00447177" w:rsidRPr="005D6D89">
        <w:rPr>
          <w:rFonts w:cs="Arial"/>
          <w:sz w:val="20"/>
          <w:szCs w:val="20"/>
          <w:lang w:val="pl-PL"/>
        </w:rPr>
        <w:t xml:space="preserve"> w 2022 r.</w:t>
      </w:r>
      <w:r w:rsidRPr="005D6D89">
        <w:rPr>
          <w:rFonts w:cs="Arial"/>
          <w:sz w:val="20"/>
          <w:szCs w:val="20"/>
        </w:rPr>
        <w:t xml:space="preserve"> z zastosowaniem przepisów ustawy – Prawo zamówień publicznych wyniosła </w:t>
      </w:r>
      <w:r w:rsidR="00682C7C" w:rsidRPr="005D6D89">
        <w:rPr>
          <w:rFonts w:cs="Arial"/>
          <w:sz w:val="20"/>
          <w:szCs w:val="20"/>
          <w:lang w:val="pl-PL"/>
        </w:rPr>
        <w:t>27</w:t>
      </w:r>
      <w:r w:rsidRPr="005D6D89">
        <w:rPr>
          <w:rFonts w:cs="Arial"/>
          <w:sz w:val="20"/>
          <w:szCs w:val="20"/>
        </w:rPr>
        <w:t>4,</w:t>
      </w:r>
      <w:r w:rsidR="00682C7C" w:rsidRPr="005D6D89">
        <w:rPr>
          <w:rFonts w:cs="Arial"/>
          <w:sz w:val="20"/>
          <w:szCs w:val="20"/>
          <w:lang w:val="pl-PL"/>
        </w:rPr>
        <w:t>8</w:t>
      </w:r>
      <w:r w:rsidRPr="005D6D89">
        <w:rPr>
          <w:rFonts w:cs="Arial"/>
          <w:sz w:val="20"/>
          <w:szCs w:val="20"/>
        </w:rPr>
        <w:t xml:space="preserve"> mld zł (w 20</w:t>
      </w:r>
      <w:r w:rsidRPr="005D6D89">
        <w:rPr>
          <w:rFonts w:cs="Arial"/>
          <w:sz w:val="20"/>
          <w:szCs w:val="20"/>
          <w:lang w:val="pl-PL"/>
        </w:rPr>
        <w:t>2</w:t>
      </w:r>
      <w:r w:rsidR="00682C7C" w:rsidRPr="005D6D89">
        <w:rPr>
          <w:rFonts w:cs="Arial"/>
          <w:sz w:val="20"/>
          <w:szCs w:val="20"/>
          <w:lang w:val="pl-PL"/>
        </w:rPr>
        <w:t>1</w:t>
      </w:r>
      <w:r w:rsidRPr="005D6D89">
        <w:rPr>
          <w:rFonts w:cs="Arial"/>
          <w:sz w:val="20"/>
          <w:szCs w:val="20"/>
        </w:rPr>
        <w:t xml:space="preserve"> r. – 18</w:t>
      </w:r>
      <w:r w:rsidR="00682C7C" w:rsidRPr="005D6D89">
        <w:rPr>
          <w:rFonts w:cs="Arial"/>
          <w:sz w:val="20"/>
          <w:szCs w:val="20"/>
          <w:lang w:val="pl-PL"/>
        </w:rPr>
        <w:t>4</w:t>
      </w:r>
      <w:r w:rsidR="00682C7C" w:rsidRPr="005D6D89">
        <w:rPr>
          <w:rFonts w:cs="Arial"/>
          <w:sz w:val="20"/>
          <w:szCs w:val="20"/>
        </w:rPr>
        <w:t>,6</w:t>
      </w:r>
      <w:r w:rsidRPr="005D6D89">
        <w:rPr>
          <w:rFonts w:cs="Arial"/>
          <w:sz w:val="20"/>
          <w:szCs w:val="20"/>
        </w:rPr>
        <w:t xml:space="preserve"> mld zł), co stano</w:t>
      </w:r>
      <w:r w:rsidR="00682C7C" w:rsidRPr="005D6D89">
        <w:rPr>
          <w:rFonts w:cs="Arial"/>
          <w:sz w:val="20"/>
          <w:szCs w:val="20"/>
        </w:rPr>
        <w:t xml:space="preserve">wiło ok. </w:t>
      </w:r>
      <w:r w:rsidR="00DC6F60" w:rsidRPr="005D6D89">
        <w:rPr>
          <w:rFonts w:cs="Arial"/>
          <w:sz w:val="20"/>
          <w:szCs w:val="20"/>
          <w:lang w:val="pl-PL"/>
        </w:rPr>
        <w:t>8,93</w:t>
      </w:r>
      <w:r w:rsidRPr="005D6D89">
        <w:rPr>
          <w:rFonts w:cs="Arial"/>
          <w:sz w:val="20"/>
          <w:szCs w:val="20"/>
        </w:rPr>
        <w:t xml:space="preserve">% produktu krajowego brutto (PKB) (szacunek PKB GUS: </w:t>
      </w:r>
      <w:r w:rsidR="00DC6F60" w:rsidRPr="005D6D89">
        <w:rPr>
          <w:rFonts w:cs="Arial"/>
          <w:sz w:val="20"/>
          <w:szCs w:val="20"/>
          <w:lang w:val="pl-PL"/>
        </w:rPr>
        <w:t>3 078,3</w:t>
      </w:r>
      <w:r w:rsidR="00682C7C" w:rsidRPr="005D6D89">
        <w:rPr>
          <w:rFonts w:cs="Arial"/>
          <w:sz w:val="20"/>
          <w:szCs w:val="20"/>
          <w:lang w:val="pl-PL"/>
        </w:rPr>
        <w:t xml:space="preserve"> </w:t>
      </w:r>
      <w:r w:rsidRPr="005D6D89">
        <w:rPr>
          <w:rFonts w:cs="Arial"/>
          <w:sz w:val="20"/>
          <w:szCs w:val="20"/>
        </w:rPr>
        <w:t>mld zł).</w:t>
      </w:r>
    </w:p>
    <w:p w14:paraId="4622D720" w14:textId="1841812B"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 xml:space="preserve">Liczba zamówień udzielonych </w:t>
      </w:r>
      <w:r w:rsidR="0013672C" w:rsidRPr="005D6D89">
        <w:rPr>
          <w:rFonts w:cs="Arial"/>
          <w:sz w:val="20"/>
          <w:szCs w:val="20"/>
        </w:rPr>
        <w:t>w 202</w:t>
      </w:r>
      <w:r w:rsidR="0013672C" w:rsidRPr="005D6D89">
        <w:rPr>
          <w:rFonts w:cs="Arial"/>
          <w:sz w:val="20"/>
          <w:szCs w:val="20"/>
          <w:lang w:val="pl-PL"/>
        </w:rPr>
        <w:t>2</w:t>
      </w:r>
      <w:r w:rsidR="0013672C" w:rsidRPr="005D6D89">
        <w:rPr>
          <w:rFonts w:cs="Arial"/>
          <w:sz w:val="20"/>
          <w:szCs w:val="20"/>
        </w:rPr>
        <w:t xml:space="preserve"> r. </w:t>
      </w:r>
      <w:r w:rsidRPr="005D6D89">
        <w:rPr>
          <w:rFonts w:cs="Arial"/>
          <w:sz w:val="20"/>
          <w:szCs w:val="20"/>
        </w:rPr>
        <w:t xml:space="preserve">z zastosowaniem przepisów ustawy – Prawo zamówień publicznych to </w:t>
      </w:r>
      <w:r w:rsidR="00F34B6C" w:rsidRPr="005D6D89">
        <w:rPr>
          <w:rFonts w:cs="Arial"/>
          <w:sz w:val="20"/>
          <w:szCs w:val="20"/>
        </w:rPr>
        <w:t>143 891</w:t>
      </w:r>
      <w:r w:rsidR="00F34B6C" w:rsidRPr="005D6D89">
        <w:rPr>
          <w:rFonts w:cs="Arial"/>
          <w:sz w:val="20"/>
          <w:szCs w:val="20"/>
          <w:lang w:val="pl-PL"/>
        </w:rPr>
        <w:t xml:space="preserve"> </w:t>
      </w:r>
      <w:r w:rsidRPr="005D6D89">
        <w:rPr>
          <w:rFonts w:cs="Arial"/>
          <w:sz w:val="20"/>
          <w:szCs w:val="20"/>
        </w:rPr>
        <w:t>zamówie</w:t>
      </w:r>
      <w:r w:rsidR="00F34B6C" w:rsidRPr="005D6D89">
        <w:rPr>
          <w:rFonts w:cs="Arial"/>
          <w:sz w:val="20"/>
          <w:szCs w:val="20"/>
          <w:lang w:val="pl-PL"/>
        </w:rPr>
        <w:t>ń</w:t>
      </w:r>
      <w:r w:rsidRPr="005D6D89">
        <w:rPr>
          <w:rFonts w:cs="Arial"/>
          <w:sz w:val="20"/>
          <w:szCs w:val="20"/>
        </w:rPr>
        <w:t xml:space="preserve"> (w 20</w:t>
      </w:r>
      <w:r w:rsidRPr="005D6D89">
        <w:rPr>
          <w:rFonts w:cs="Arial"/>
          <w:sz w:val="20"/>
          <w:szCs w:val="20"/>
          <w:lang w:val="pl-PL"/>
        </w:rPr>
        <w:t>2</w:t>
      </w:r>
      <w:r w:rsidR="00F34B6C" w:rsidRPr="005D6D89">
        <w:rPr>
          <w:rFonts w:cs="Arial"/>
          <w:sz w:val="20"/>
          <w:szCs w:val="20"/>
          <w:lang w:val="pl-PL"/>
        </w:rPr>
        <w:t>1</w:t>
      </w:r>
      <w:r w:rsidRPr="005D6D89">
        <w:rPr>
          <w:rFonts w:cs="Arial"/>
          <w:sz w:val="20"/>
          <w:szCs w:val="20"/>
        </w:rPr>
        <w:t xml:space="preserve"> r. – </w:t>
      </w:r>
      <w:r w:rsidR="00F34B6C" w:rsidRPr="005D6D89">
        <w:rPr>
          <w:rFonts w:cs="Arial"/>
          <w:sz w:val="20"/>
          <w:szCs w:val="20"/>
        </w:rPr>
        <w:t>129 662</w:t>
      </w:r>
      <w:r w:rsidRPr="005D6D89">
        <w:rPr>
          <w:rFonts w:cs="Arial"/>
          <w:sz w:val="20"/>
          <w:szCs w:val="20"/>
        </w:rPr>
        <w:t>).</w:t>
      </w:r>
    </w:p>
    <w:p w14:paraId="41A3CB8E" w14:textId="5F83E99E"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Wartość rynku zamówień publicznych w 202</w:t>
      </w:r>
      <w:r w:rsidR="00C755CC" w:rsidRPr="005D6D89">
        <w:rPr>
          <w:rFonts w:cs="Arial"/>
          <w:sz w:val="20"/>
          <w:szCs w:val="20"/>
          <w:lang w:val="pl-PL"/>
        </w:rPr>
        <w:t>2</w:t>
      </w:r>
      <w:r w:rsidRPr="005D6D89">
        <w:rPr>
          <w:rFonts w:cs="Arial"/>
          <w:sz w:val="20"/>
          <w:szCs w:val="20"/>
        </w:rPr>
        <w:t xml:space="preserve"> r. (zarówno zamówień udzielanych w</w:t>
      </w:r>
      <w:r w:rsidRPr="005D6D89">
        <w:rPr>
          <w:rFonts w:cs="Arial"/>
          <w:sz w:val="20"/>
          <w:szCs w:val="20"/>
          <w:lang w:val="pl-PL"/>
        </w:rPr>
        <w:t> </w:t>
      </w:r>
      <w:r w:rsidRPr="005D6D89">
        <w:rPr>
          <w:rFonts w:cs="Arial"/>
          <w:sz w:val="20"/>
          <w:szCs w:val="20"/>
        </w:rPr>
        <w:t xml:space="preserve">procedurach określonych w ustawie – Prawo zamówień publicznych, jak i na podstawie wyłączeń z obowiązku </w:t>
      </w:r>
      <w:r w:rsidR="00BA4590" w:rsidRPr="005D6D89">
        <w:rPr>
          <w:rFonts w:cs="Arial"/>
          <w:sz w:val="20"/>
          <w:szCs w:val="20"/>
          <w:lang w:val="pl-PL"/>
        </w:rPr>
        <w:t xml:space="preserve">jej </w:t>
      </w:r>
      <w:r w:rsidRPr="005D6D89">
        <w:rPr>
          <w:rFonts w:cs="Arial"/>
          <w:sz w:val="20"/>
          <w:szCs w:val="20"/>
        </w:rPr>
        <w:t xml:space="preserve">stosowania) wyniosła ok. </w:t>
      </w:r>
      <w:r w:rsidR="005B2F1F" w:rsidRPr="005D6D89">
        <w:rPr>
          <w:rFonts w:cs="Arial"/>
          <w:sz w:val="20"/>
          <w:szCs w:val="20"/>
        </w:rPr>
        <w:t xml:space="preserve">698,3 </w:t>
      </w:r>
      <w:r w:rsidRPr="005D6D89">
        <w:rPr>
          <w:rFonts w:cs="Arial"/>
          <w:sz w:val="20"/>
          <w:szCs w:val="20"/>
        </w:rPr>
        <w:t>mld zł, podczas gdy w 20</w:t>
      </w:r>
      <w:r w:rsidRPr="005D6D89">
        <w:rPr>
          <w:rFonts w:cs="Arial"/>
          <w:sz w:val="20"/>
          <w:szCs w:val="20"/>
          <w:lang w:val="pl-PL"/>
        </w:rPr>
        <w:t>2</w:t>
      </w:r>
      <w:r w:rsidR="00011889" w:rsidRPr="005D6D89">
        <w:rPr>
          <w:rFonts w:cs="Arial"/>
          <w:sz w:val="20"/>
          <w:szCs w:val="20"/>
          <w:lang w:val="pl-PL"/>
        </w:rPr>
        <w:t>1</w:t>
      </w:r>
      <w:r w:rsidRPr="005D6D89">
        <w:rPr>
          <w:rFonts w:cs="Arial"/>
          <w:sz w:val="20"/>
          <w:szCs w:val="20"/>
          <w:lang w:val="pl-PL"/>
        </w:rPr>
        <w:t> </w:t>
      </w:r>
      <w:r w:rsidR="00011889" w:rsidRPr="005D6D89">
        <w:rPr>
          <w:rFonts w:cs="Arial"/>
          <w:sz w:val="20"/>
          <w:szCs w:val="20"/>
        </w:rPr>
        <w:t>r. było to ok. 297</w:t>
      </w:r>
      <w:r w:rsidRPr="005D6D89">
        <w:rPr>
          <w:rFonts w:cs="Arial"/>
          <w:sz w:val="20"/>
          <w:szCs w:val="20"/>
        </w:rPr>
        <w:t>,</w:t>
      </w:r>
      <w:r w:rsidR="00011889" w:rsidRPr="005D6D89">
        <w:rPr>
          <w:rFonts w:cs="Arial"/>
          <w:sz w:val="20"/>
          <w:szCs w:val="20"/>
          <w:lang w:val="pl-PL"/>
        </w:rPr>
        <w:t>8</w:t>
      </w:r>
      <w:r w:rsidRPr="005D6D89">
        <w:rPr>
          <w:rFonts w:cs="Arial"/>
          <w:sz w:val="20"/>
          <w:szCs w:val="20"/>
        </w:rPr>
        <w:t xml:space="preserve"> mld zł.</w:t>
      </w:r>
    </w:p>
    <w:p w14:paraId="43C4D3C3" w14:textId="417940A8"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lang w:val="pl-PL"/>
        </w:rPr>
        <w:t>W zamówieniach o wartościach</w:t>
      </w:r>
      <w:r w:rsidR="00C755CC" w:rsidRPr="005D6D89">
        <w:rPr>
          <w:rFonts w:cs="Arial"/>
          <w:sz w:val="20"/>
          <w:szCs w:val="20"/>
          <w:lang w:val="pl-PL"/>
        </w:rPr>
        <w:t xml:space="preserve"> poniżej progów unijnych ponad </w:t>
      </w:r>
      <w:r w:rsidRPr="005D6D89">
        <w:rPr>
          <w:rFonts w:cs="Arial"/>
          <w:sz w:val="20"/>
          <w:szCs w:val="20"/>
          <w:lang w:val="pl-PL"/>
        </w:rPr>
        <w:t>9</w:t>
      </w:r>
      <w:r w:rsidR="00C755CC" w:rsidRPr="005D6D89">
        <w:rPr>
          <w:rFonts w:cs="Arial"/>
          <w:sz w:val="20"/>
          <w:szCs w:val="20"/>
          <w:lang w:val="pl-PL"/>
        </w:rPr>
        <w:t>0</w:t>
      </w:r>
      <w:r w:rsidRPr="005D6D89">
        <w:rPr>
          <w:rFonts w:cs="Arial"/>
          <w:sz w:val="20"/>
          <w:szCs w:val="20"/>
          <w:lang w:val="pl-PL"/>
        </w:rPr>
        <w:t xml:space="preserve">% zamówień udzielono w trybie podstawowym, a tryb zamówienia z wolnej ręki zastosowano w </w:t>
      </w:r>
      <w:r w:rsidR="00C755CC" w:rsidRPr="005D6D89">
        <w:rPr>
          <w:rFonts w:cs="Arial"/>
          <w:sz w:val="20"/>
          <w:szCs w:val="20"/>
          <w:lang w:val="pl-PL"/>
        </w:rPr>
        <w:t xml:space="preserve">niecałych </w:t>
      </w:r>
      <w:r w:rsidRPr="005D6D89">
        <w:rPr>
          <w:rFonts w:cs="Arial"/>
          <w:sz w:val="20"/>
          <w:szCs w:val="20"/>
          <w:lang w:val="pl-PL"/>
        </w:rPr>
        <w:t xml:space="preserve">10% postępowań. W zamówieniach o wartościach </w:t>
      </w:r>
      <w:r w:rsidR="001E3D39">
        <w:rPr>
          <w:rFonts w:cs="Arial"/>
          <w:sz w:val="20"/>
          <w:szCs w:val="20"/>
          <w:lang w:val="pl-PL"/>
        </w:rPr>
        <w:t>równych lub przekraczających progi unijne</w:t>
      </w:r>
      <w:r w:rsidR="00B67FAF" w:rsidRPr="005D6D89">
        <w:rPr>
          <w:rFonts w:cs="Arial"/>
          <w:sz w:val="20"/>
          <w:szCs w:val="20"/>
          <w:lang w:val="pl-PL"/>
        </w:rPr>
        <w:t>,</w:t>
      </w:r>
      <w:r w:rsidRPr="005D6D89">
        <w:rPr>
          <w:rFonts w:cs="Arial"/>
          <w:sz w:val="20"/>
          <w:szCs w:val="20"/>
          <w:lang w:val="pl-PL"/>
        </w:rPr>
        <w:t xml:space="preserve"> w przetargu nieograniczonym udzielono </w:t>
      </w:r>
      <w:r w:rsidR="00C755CC" w:rsidRPr="005D6D89">
        <w:rPr>
          <w:rFonts w:cs="Arial"/>
          <w:sz w:val="20"/>
          <w:szCs w:val="20"/>
          <w:lang w:val="pl-PL"/>
        </w:rPr>
        <w:t>88</w:t>
      </w:r>
      <w:r w:rsidRPr="005D6D89">
        <w:rPr>
          <w:rFonts w:cs="Arial"/>
          <w:sz w:val="20"/>
          <w:szCs w:val="20"/>
          <w:lang w:val="pl-PL"/>
        </w:rPr>
        <w:t xml:space="preserve">% zamówień, a tryb zamówienia z wolnej ręki zastosowano w </w:t>
      </w:r>
      <w:r w:rsidR="00C755CC" w:rsidRPr="005D6D89">
        <w:rPr>
          <w:rFonts w:cs="Arial"/>
          <w:sz w:val="20"/>
          <w:szCs w:val="20"/>
          <w:lang w:val="pl-PL"/>
        </w:rPr>
        <w:t>10</w:t>
      </w:r>
      <w:r w:rsidRPr="005D6D89">
        <w:rPr>
          <w:rFonts w:cs="Arial"/>
          <w:sz w:val="20"/>
          <w:szCs w:val="20"/>
          <w:lang w:val="pl-PL"/>
        </w:rPr>
        <w:t xml:space="preserve">% postępowań. </w:t>
      </w:r>
    </w:p>
    <w:p w14:paraId="70FCBD1F" w14:textId="24F205FD"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Roboty budowlane stanowiły 3</w:t>
      </w:r>
      <w:r w:rsidR="00172058" w:rsidRPr="005D6D89">
        <w:rPr>
          <w:rFonts w:cs="Arial"/>
          <w:sz w:val="20"/>
          <w:szCs w:val="20"/>
          <w:lang w:val="pl-PL"/>
        </w:rPr>
        <w:t>4</w:t>
      </w:r>
      <w:r w:rsidRPr="005D6D89">
        <w:rPr>
          <w:rFonts w:cs="Arial"/>
          <w:sz w:val="20"/>
          <w:szCs w:val="20"/>
        </w:rPr>
        <w:t>% (w 20</w:t>
      </w:r>
      <w:r w:rsidRPr="005D6D89">
        <w:rPr>
          <w:rFonts w:cs="Arial"/>
          <w:sz w:val="20"/>
          <w:szCs w:val="20"/>
          <w:lang w:val="pl-PL"/>
        </w:rPr>
        <w:t>2</w:t>
      </w:r>
      <w:r w:rsidR="00172058" w:rsidRPr="005D6D89">
        <w:rPr>
          <w:rFonts w:cs="Arial"/>
          <w:sz w:val="20"/>
          <w:szCs w:val="20"/>
          <w:lang w:val="pl-PL"/>
        </w:rPr>
        <w:t>1</w:t>
      </w:r>
      <w:r w:rsidRPr="005D6D89">
        <w:rPr>
          <w:rFonts w:cs="Arial"/>
          <w:sz w:val="20"/>
          <w:szCs w:val="20"/>
        </w:rPr>
        <w:t xml:space="preserve"> r. – </w:t>
      </w:r>
      <w:r w:rsidR="00172058" w:rsidRPr="005D6D89">
        <w:rPr>
          <w:rFonts w:cs="Arial"/>
          <w:sz w:val="20"/>
          <w:szCs w:val="20"/>
          <w:lang w:val="pl-PL"/>
        </w:rPr>
        <w:t>39</w:t>
      </w:r>
      <w:r w:rsidRPr="005D6D89">
        <w:rPr>
          <w:rFonts w:cs="Arial"/>
          <w:sz w:val="20"/>
          <w:szCs w:val="20"/>
        </w:rPr>
        <w:t>%), dostawy 3</w:t>
      </w:r>
      <w:r w:rsidR="00172058" w:rsidRPr="005D6D89">
        <w:rPr>
          <w:rFonts w:cs="Arial"/>
          <w:sz w:val="20"/>
          <w:szCs w:val="20"/>
          <w:lang w:val="pl-PL"/>
        </w:rPr>
        <w:t>7</w:t>
      </w:r>
      <w:r w:rsidRPr="005D6D89">
        <w:rPr>
          <w:rFonts w:cs="Arial"/>
          <w:sz w:val="20"/>
          <w:szCs w:val="20"/>
        </w:rPr>
        <w:t>% (w 20</w:t>
      </w:r>
      <w:r w:rsidRPr="005D6D89">
        <w:rPr>
          <w:rFonts w:cs="Arial"/>
          <w:sz w:val="20"/>
          <w:szCs w:val="20"/>
          <w:lang w:val="pl-PL"/>
        </w:rPr>
        <w:t>2</w:t>
      </w:r>
      <w:r w:rsidR="00172058" w:rsidRPr="005D6D89">
        <w:rPr>
          <w:rFonts w:cs="Arial"/>
          <w:sz w:val="20"/>
          <w:szCs w:val="20"/>
          <w:lang w:val="pl-PL"/>
        </w:rPr>
        <w:t>1</w:t>
      </w:r>
      <w:r w:rsidRPr="005D6D89">
        <w:rPr>
          <w:rFonts w:cs="Arial"/>
          <w:sz w:val="20"/>
          <w:szCs w:val="20"/>
        </w:rPr>
        <w:t xml:space="preserve"> r. – 31%), a usługi </w:t>
      </w:r>
      <w:r w:rsidR="00172058" w:rsidRPr="005D6D89">
        <w:rPr>
          <w:rFonts w:cs="Arial"/>
          <w:sz w:val="20"/>
          <w:szCs w:val="20"/>
          <w:lang w:val="pl-PL"/>
        </w:rPr>
        <w:t>29</w:t>
      </w:r>
      <w:r w:rsidRPr="005D6D89">
        <w:rPr>
          <w:rFonts w:cs="Arial"/>
          <w:sz w:val="20"/>
          <w:szCs w:val="20"/>
        </w:rPr>
        <w:t>% (w 20</w:t>
      </w:r>
      <w:r w:rsidRPr="005D6D89">
        <w:rPr>
          <w:rFonts w:cs="Arial"/>
          <w:sz w:val="20"/>
          <w:szCs w:val="20"/>
          <w:lang w:val="pl-PL"/>
        </w:rPr>
        <w:t>2</w:t>
      </w:r>
      <w:r w:rsidR="00172058" w:rsidRPr="005D6D89">
        <w:rPr>
          <w:rFonts w:cs="Arial"/>
          <w:sz w:val="20"/>
          <w:szCs w:val="20"/>
          <w:lang w:val="pl-PL"/>
        </w:rPr>
        <w:t>1</w:t>
      </w:r>
      <w:r w:rsidRPr="005D6D89">
        <w:rPr>
          <w:rFonts w:cs="Arial"/>
          <w:sz w:val="20"/>
          <w:szCs w:val="20"/>
        </w:rPr>
        <w:t xml:space="preserve"> r. – </w:t>
      </w:r>
      <w:r w:rsidR="00172058" w:rsidRPr="005D6D89">
        <w:rPr>
          <w:rFonts w:cs="Arial"/>
          <w:sz w:val="20"/>
          <w:szCs w:val="20"/>
          <w:lang w:val="pl-PL"/>
        </w:rPr>
        <w:t>30</w:t>
      </w:r>
      <w:r w:rsidRPr="005D6D89">
        <w:rPr>
          <w:rFonts w:cs="Arial"/>
          <w:sz w:val="20"/>
          <w:szCs w:val="20"/>
        </w:rPr>
        <w:t>%) wartości udzielonych zamówień.</w:t>
      </w:r>
    </w:p>
    <w:p w14:paraId="2AF053EF" w14:textId="23D49852" w:rsidR="00E77BAE" w:rsidRPr="005D6D89" w:rsidRDefault="00E77BAE" w:rsidP="005C7DF9">
      <w:pPr>
        <w:pStyle w:val="Akapitzlist"/>
        <w:numPr>
          <w:ilvl w:val="0"/>
          <w:numId w:val="69"/>
        </w:numPr>
        <w:spacing w:before="60"/>
        <w:contextualSpacing w:val="0"/>
        <w:rPr>
          <w:rFonts w:cs="Arial"/>
          <w:sz w:val="20"/>
          <w:szCs w:val="20"/>
        </w:rPr>
      </w:pPr>
      <w:r w:rsidRPr="005D6D89">
        <w:rPr>
          <w:rFonts w:cs="Arial"/>
          <w:sz w:val="20"/>
          <w:szCs w:val="20"/>
        </w:rPr>
        <w:t xml:space="preserve">W Biuletynie Zamówień Publicznych opublikowano </w:t>
      </w:r>
      <w:r w:rsidR="001C0217" w:rsidRPr="005D6D89">
        <w:rPr>
          <w:rFonts w:cs="Arial"/>
          <w:sz w:val="20"/>
          <w:szCs w:val="20"/>
        </w:rPr>
        <w:t>152</w:t>
      </w:r>
      <w:r w:rsidR="001C0217" w:rsidRPr="005D6D89">
        <w:rPr>
          <w:rFonts w:cs="Arial"/>
          <w:sz w:val="20"/>
          <w:szCs w:val="20"/>
          <w:lang w:val="pl-PL"/>
        </w:rPr>
        <w:t> </w:t>
      </w:r>
      <w:r w:rsidR="001C0217" w:rsidRPr="005D6D89">
        <w:rPr>
          <w:rFonts w:cs="Arial"/>
          <w:sz w:val="20"/>
          <w:szCs w:val="20"/>
        </w:rPr>
        <w:t xml:space="preserve">786 </w:t>
      </w:r>
      <w:r w:rsidRPr="005D6D89">
        <w:rPr>
          <w:rFonts w:cs="Arial"/>
          <w:sz w:val="20"/>
          <w:szCs w:val="20"/>
        </w:rPr>
        <w:t>(w 20</w:t>
      </w:r>
      <w:r w:rsidRPr="005D6D89">
        <w:rPr>
          <w:rFonts w:cs="Arial"/>
          <w:sz w:val="20"/>
          <w:szCs w:val="20"/>
          <w:lang w:val="pl-PL"/>
        </w:rPr>
        <w:t>2</w:t>
      </w:r>
      <w:r w:rsidR="00172058" w:rsidRPr="005D6D89">
        <w:rPr>
          <w:rFonts w:cs="Arial"/>
          <w:sz w:val="20"/>
          <w:szCs w:val="20"/>
          <w:lang w:val="pl-PL"/>
        </w:rPr>
        <w:t>1</w:t>
      </w:r>
      <w:r w:rsidRPr="005D6D89">
        <w:rPr>
          <w:rFonts w:cs="Arial"/>
          <w:sz w:val="20"/>
          <w:szCs w:val="20"/>
        </w:rPr>
        <w:t xml:space="preserve"> r. – </w:t>
      </w:r>
      <w:r w:rsidR="00172058" w:rsidRPr="005D6D89">
        <w:rPr>
          <w:rFonts w:cs="Arial"/>
          <w:sz w:val="20"/>
          <w:szCs w:val="20"/>
        </w:rPr>
        <w:t>150 58</w:t>
      </w:r>
      <w:r w:rsidR="00172058" w:rsidRPr="005D6D89">
        <w:rPr>
          <w:rFonts w:cs="Arial"/>
          <w:sz w:val="20"/>
          <w:szCs w:val="20"/>
          <w:lang w:val="pl-PL"/>
        </w:rPr>
        <w:t>7</w:t>
      </w:r>
      <w:r w:rsidRPr="005D6D89">
        <w:rPr>
          <w:rFonts w:cs="Arial"/>
          <w:sz w:val="20"/>
          <w:szCs w:val="20"/>
        </w:rPr>
        <w:t>) ogłosze</w:t>
      </w:r>
      <w:r w:rsidRPr="005D6D89">
        <w:rPr>
          <w:rFonts w:cs="Arial"/>
          <w:sz w:val="20"/>
          <w:szCs w:val="20"/>
          <w:lang w:val="pl-PL"/>
        </w:rPr>
        <w:t>ń</w:t>
      </w:r>
      <w:r w:rsidRPr="005D6D89">
        <w:rPr>
          <w:rFonts w:cs="Arial"/>
          <w:sz w:val="20"/>
          <w:szCs w:val="20"/>
        </w:rPr>
        <w:t xml:space="preserve"> o</w:t>
      </w:r>
      <w:r w:rsidRPr="005D6D89">
        <w:rPr>
          <w:rFonts w:cs="Arial"/>
          <w:sz w:val="20"/>
          <w:szCs w:val="20"/>
          <w:lang w:val="pl-PL"/>
        </w:rPr>
        <w:t> </w:t>
      </w:r>
      <w:r w:rsidRPr="005D6D89">
        <w:rPr>
          <w:rFonts w:cs="Arial"/>
          <w:sz w:val="20"/>
          <w:szCs w:val="20"/>
        </w:rPr>
        <w:t xml:space="preserve">zamówieniach i konkursach oraz </w:t>
      </w:r>
      <w:r w:rsidR="001C0217" w:rsidRPr="005D6D89">
        <w:rPr>
          <w:rFonts w:cs="Arial"/>
          <w:sz w:val="20"/>
          <w:szCs w:val="20"/>
        </w:rPr>
        <w:t>143</w:t>
      </w:r>
      <w:r w:rsidR="001C0217" w:rsidRPr="005D6D89">
        <w:rPr>
          <w:rFonts w:cs="Arial"/>
          <w:sz w:val="20"/>
          <w:szCs w:val="20"/>
          <w:lang w:val="pl-PL"/>
        </w:rPr>
        <w:t> </w:t>
      </w:r>
      <w:r w:rsidR="001C0217" w:rsidRPr="005D6D89">
        <w:rPr>
          <w:rFonts w:cs="Arial"/>
          <w:sz w:val="20"/>
          <w:szCs w:val="20"/>
        </w:rPr>
        <w:t>568</w:t>
      </w:r>
      <w:r w:rsidRPr="005D6D89">
        <w:rPr>
          <w:rFonts w:cs="Arial"/>
          <w:sz w:val="20"/>
          <w:szCs w:val="20"/>
          <w:lang w:val="pl-PL"/>
        </w:rPr>
        <w:t xml:space="preserve"> </w:t>
      </w:r>
      <w:r w:rsidRPr="005D6D89">
        <w:rPr>
          <w:rFonts w:cs="Arial"/>
          <w:sz w:val="20"/>
          <w:szCs w:val="20"/>
        </w:rPr>
        <w:t>(w 20</w:t>
      </w:r>
      <w:r w:rsidRPr="005D6D89">
        <w:rPr>
          <w:rFonts w:cs="Arial"/>
          <w:sz w:val="20"/>
          <w:szCs w:val="20"/>
          <w:lang w:val="pl-PL"/>
        </w:rPr>
        <w:t>2</w:t>
      </w:r>
      <w:r w:rsidR="00172058" w:rsidRPr="005D6D89">
        <w:rPr>
          <w:rFonts w:cs="Arial"/>
          <w:sz w:val="20"/>
          <w:szCs w:val="20"/>
          <w:lang w:val="pl-PL"/>
        </w:rPr>
        <w:t>1</w:t>
      </w:r>
      <w:r w:rsidRPr="005D6D89">
        <w:rPr>
          <w:rFonts w:cs="Arial"/>
          <w:sz w:val="20"/>
          <w:szCs w:val="20"/>
        </w:rPr>
        <w:t xml:space="preserve"> r. – </w:t>
      </w:r>
      <w:r w:rsidR="00172058" w:rsidRPr="005D6D89">
        <w:rPr>
          <w:rFonts w:cs="Arial"/>
          <w:sz w:val="20"/>
          <w:szCs w:val="20"/>
        </w:rPr>
        <w:t>130 526</w:t>
      </w:r>
      <w:r w:rsidRPr="005D6D89">
        <w:rPr>
          <w:rFonts w:cs="Arial"/>
          <w:sz w:val="20"/>
          <w:szCs w:val="20"/>
        </w:rPr>
        <w:t>) ogłoszeń o udzieleniu zamówienia</w:t>
      </w:r>
      <w:r w:rsidRPr="005D6D89">
        <w:rPr>
          <w:rFonts w:cs="Arial"/>
          <w:sz w:val="20"/>
          <w:szCs w:val="20"/>
          <w:lang w:val="pl-PL"/>
        </w:rPr>
        <w:t>, o wyniku postępowania</w:t>
      </w:r>
      <w:r w:rsidRPr="005D6D89">
        <w:rPr>
          <w:rFonts w:cs="Arial"/>
          <w:sz w:val="20"/>
          <w:szCs w:val="20"/>
        </w:rPr>
        <w:t xml:space="preserve"> lub </w:t>
      </w:r>
      <w:r w:rsidRPr="005D6D89">
        <w:rPr>
          <w:rFonts w:cs="Arial"/>
          <w:sz w:val="20"/>
          <w:szCs w:val="20"/>
          <w:lang w:val="pl-PL"/>
        </w:rPr>
        <w:t xml:space="preserve">o </w:t>
      </w:r>
      <w:r w:rsidRPr="005D6D89">
        <w:rPr>
          <w:rFonts w:cs="Arial"/>
          <w:sz w:val="20"/>
          <w:szCs w:val="20"/>
        </w:rPr>
        <w:t>wyniku konkursu.</w:t>
      </w:r>
    </w:p>
    <w:p w14:paraId="60D0D376" w14:textId="0682061E" w:rsidR="00E77BAE" w:rsidRPr="005D6D89" w:rsidRDefault="00E77BAE" w:rsidP="005C7DF9">
      <w:pPr>
        <w:pStyle w:val="Akapitzlist"/>
        <w:numPr>
          <w:ilvl w:val="0"/>
          <w:numId w:val="69"/>
        </w:numPr>
        <w:spacing w:before="60"/>
        <w:contextualSpacing w:val="0"/>
        <w:rPr>
          <w:rFonts w:cs="Arial"/>
          <w:sz w:val="20"/>
          <w:szCs w:val="20"/>
        </w:rPr>
      </w:pPr>
      <w:r w:rsidRPr="005D6D89">
        <w:rPr>
          <w:rFonts w:cs="Arial"/>
          <w:sz w:val="20"/>
          <w:szCs w:val="20"/>
        </w:rPr>
        <w:t xml:space="preserve">W Dzienniku Urzędowym Unii Europejskiej polscy zamawiający opublikowali </w:t>
      </w:r>
      <w:r w:rsidR="001945B1" w:rsidRPr="005D6D89">
        <w:rPr>
          <w:rFonts w:cs="Arial"/>
          <w:sz w:val="20"/>
          <w:szCs w:val="20"/>
        </w:rPr>
        <w:t>31 511</w:t>
      </w:r>
      <w:r w:rsidR="001945B1" w:rsidRPr="005D6D89">
        <w:rPr>
          <w:rFonts w:cs="Arial"/>
          <w:sz w:val="20"/>
          <w:szCs w:val="20"/>
          <w:lang w:val="pl-PL"/>
        </w:rPr>
        <w:t xml:space="preserve"> </w:t>
      </w:r>
      <w:r w:rsidRPr="005D6D89">
        <w:rPr>
          <w:rFonts w:cs="Arial"/>
          <w:sz w:val="20"/>
          <w:szCs w:val="20"/>
        </w:rPr>
        <w:t>ogłoszeń o zamówieniach i konkursach (</w:t>
      </w:r>
      <w:r w:rsidR="001945B1" w:rsidRPr="005D6D89">
        <w:rPr>
          <w:rFonts w:cs="Arial"/>
          <w:sz w:val="20"/>
          <w:szCs w:val="20"/>
        </w:rPr>
        <w:t>23</w:t>
      </w:r>
      <w:r w:rsidR="001945B1" w:rsidRPr="005D6D89">
        <w:rPr>
          <w:rFonts w:cs="Arial"/>
          <w:sz w:val="20"/>
          <w:szCs w:val="20"/>
          <w:lang w:val="pl-PL"/>
        </w:rPr>
        <w:t> </w:t>
      </w:r>
      <w:r w:rsidR="001945B1" w:rsidRPr="005D6D89">
        <w:rPr>
          <w:rFonts w:cs="Arial"/>
          <w:sz w:val="20"/>
          <w:szCs w:val="20"/>
        </w:rPr>
        <w:t xml:space="preserve">713 </w:t>
      </w:r>
      <w:r w:rsidRPr="005D6D89">
        <w:rPr>
          <w:rFonts w:cs="Arial"/>
          <w:sz w:val="20"/>
          <w:szCs w:val="20"/>
        </w:rPr>
        <w:t>w 20</w:t>
      </w:r>
      <w:r w:rsidRPr="005D6D89">
        <w:rPr>
          <w:rFonts w:cs="Arial"/>
          <w:sz w:val="20"/>
          <w:szCs w:val="20"/>
          <w:lang w:val="pl-PL"/>
        </w:rPr>
        <w:t>2</w:t>
      </w:r>
      <w:r w:rsidR="001945B1" w:rsidRPr="005D6D89">
        <w:rPr>
          <w:rFonts w:cs="Arial"/>
          <w:sz w:val="20"/>
          <w:szCs w:val="20"/>
          <w:lang w:val="pl-PL"/>
        </w:rPr>
        <w:t>1</w:t>
      </w:r>
      <w:r w:rsidRPr="005D6D89">
        <w:rPr>
          <w:rFonts w:cs="Arial"/>
          <w:sz w:val="20"/>
          <w:szCs w:val="20"/>
        </w:rPr>
        <w:t xml:space="preserve"> r.), co stanowiło </w:t>
      </w:r>
      <w:r w:rsidRPr="005D6D89">
        <w:rPr>
          <w:rFonts w:cs="Arial"/>
          <w:sz w:val="20"/>
          <w:szCs w:val="20"/>
          <w:lang w:val="pl-PL"/>
        </w:rPr>
        <w:t xml:space="preserve">ok. </w:t>
      </w:r>
      <w:r w:rsidRPr="005D6D89">
        <w:rPr>
          <w:rFonts w:cs="Arial"/>
          <w:sz w:val="20"/>
          <w:szCs w:val="20"/>
        </w:rPr>
        <w:t>1</w:t>
      </w:r>
      <w:r w:rsidR="00A55050" w:rsidRPr="005D6D89">
        <w:rPr>
          <w:rFonts w:cs="Arial"/>
          <w:sz w:val="20"/>
          <w:szCs w:val="20"/>
          <w:lang w:val="pl-PL"/>
        </w:rPr>
        <w:t>2</w:t>
      </w:r>
      <w:r w:rsidRPr="005D6D89">
        <w:rPr>
          <w:rFonts w:cs="Arial"/>
          <w:sz w:val="20"/>
          <w:szCs w:val="20"/>
        </w:rPr>
        <w:t xml:space="preserve">% wszystkich przetargów ogłoszonych na szczeblu unijnym. Opublikowano także </w:t>
      </w:r>
      <w:r w:rsidR="001945B1" w:rsidRPr="005D6D89">
        <w:rPr>
          <w:rFonts w:cs="Arial"/>
          <w:sz w:val="20"/>
          <w:szCs w:val="20"/>
        </w:rPr>
        <w:t xml:space="preserve">37 664 </w:t>
      </w:r>
      <w:r w:rsidRPr="005D6D89">
        <w:rPr>
          <w:rFonts w:cs="Arial"/>
          <w:sz w:val="20"/>
          <w:szCs w:val="20"/>
        </w:rPr>
        <w:t>(w 20</w:t>
      </w:r>
      <w:r w:rsidRPr="005D6D89">
        <w:rPr>
          <w:rFonts w:cs="Arial"/>
          <w:sz w:val="20"/>
          <w:szCs w:val="20"/>
          <w:lang w:val="pl-PL"/>
        </w:rPr>
        <w:t>2</w:t>
      </w:r>
      <w:r w:rsidR="001945B1" w:rsidRPr="005D6D89">
        <w:rPr>
          <w:rFonts w:cs="Arial"/>
          <w:sz w:val="20"/>
          <w:szCs w:val="20"/>
          <w:lang w:val="pl-PL"/>
        </w:rPr>
        <w:t>1</w:t>
      </w:r>
      <w:r w:rsidRPr="005D6D89">
        <w:rPr>
          <w:rFonts w:cs="Arial"/>
          <w:sz w:val="20"/>
          <w:szCs w:val="20"/>
        </w:rPr>
        <w:t xml:space="preserve"> r. – </w:t>
      </w:r>
      <w:r w:rsidR="001945B1" w:rsidRPr="005D6D89">
        <w:rPr>
          <w:rFonts w:cs="Arial"/>
          <w:sz w:val="20"/>
          <w:szCs w:val="20"/>
        </w:rPr>
        <w:t>30</w:t>
      </w:r>
      <w:r w:rsidR="001945B1" w:rsidRPr="005D6D89">
        <w:rPr>
          <w:rFonts w:cs="Arial"/>
          <w:sz w:val="20"/>
          <w:szCs w:val="20"/>
          <w:lang w:val="pl-PL"/>
        </w:rPr>
        <w:t> </w:t>
      </w:r>
      <w:r w:rsidR="001945B1" w:rsidRPr="005D6D89">
        <w:rPr>
          <w:rFonts w:cs="Arial"/>
          <w:sz w:val="20"/>
          <w:szCs w:val="20"/>
        </w:rPr>
        <w:t>578</w:t>
      </w:r>
      <w:r w:rsidRPr="005D6D89">
        <w:rPr>
          <w:rFonts w:cs="Arial"/>
          <w:sz w:val="20"/>
          <w:szCs w:val="20"/>
        </w:rPr>
        <w:t>) ogłosze</w:t>
      </w:r>
      <w:r w:rsidR="001945B1" w:rsidRPr="005D6D89">
        <w:rPr>
          <w:rFonts w:cs="Arial"/>
          <w:sz w:val="20"/>
          <w:szCs w:val="20"/>
          <w:lang w:val="pl-PL"/>
        </w:rPr>
        <w:t>nia</w:t>
      </w:r>
      <w:r w:rsidRPr="005D6D89">
        <w:rPr>
          <w:rFonts w:cs="Arial"/>
          <w:sz w:val="20"/>
          <w:szCs w:val="20"/>
        </w:rPr>
        <w:t xml:space="preserve"> o udzieleniu zamówienia oraz wynikach konkursu.</w:t>
      </w:r>
    </w:p>
    <w:p w14:paraId="464D3553" w14:textId="2399FD58"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Z ogłoszeń opublikowanych w Dzienniku Urzędowym Unii Europejskiej wynika, że</w:t>
      </w:r>
      <w:r w:rsidRPr="005D6D89">
        <w:rPr>
          <w:rFonts w:cs="Arial"/>
          <w:sz w:val="20"/>
          <w:szCs w:val="20"/>
          <w:lang w:val="pl-PL"/>
        </w:rPr>
        <w:t xml:space="preserve"> </w:t>
      </w:r>
      <w:r w:rsidR="00D60873" w:rsidRPr="005D6D89">
        <w:rPr>
          <w:rFonts w:cs="Arial"/>
          <w:sz w:val="20"/>
          <w:szCs w:val="20"/>
          <w:lang w:val="pl-PL"/>
        </w:rPr>
        <w:t>prawie</w:t>
      </w:r>
      <w:r w:rsidRPr="005D6D89">
        <w:rPr>
          <w:rFonts w:cs="Arial"/>
          <w:sz w:val="20"/>
          <w:szCs w:val="20"/>
        </w:rPr>
        <w:t xml:space="preserve"> 9</w:t>
      </w:r>
      <w:r w:rsidR="00D60873" w:rsidRPr="005D6D89">
        <w:rPr>
          <w:rFonts w:cs="Arial"/>
          <w:sz w:val="20"/>
          <w:szCs w:val="20"/>
          <w:lang w:val="pl-PL"/>
        </w:rPr>
        <w:t>8</w:t>
      </w:r>
      <w:r w:rsidRPr="005D6D89">
        <w:rPr>
          <w:rFonts w:cs="Arial"/>
          <w:sz w:val="20"/>
          <w:szCs w:val="20"/>
        </w:rPr>
        <w:t>% (w</w:t>
      </w:r>
      <w:r w:rsidRPr="005D6D89">
        <w:rPr>
          <w:rFonts w:cs="Arial"/>
          <w:sz w:val="20"/>
          <w:szCs w:val="20"/>
          <w:lang w:val="pl-PL"/>
        </w:rPr>
        <w:t> </w:t>
      </w:r>
      <w:r w:rsidRPr="005D6D89">
        <w:rPr>
          <w:rFonts w:cs="Arial"/>
          <w:sz w:val="20"/>
          <w:szCs w:val="20"/>
        </w:rPr>
        <w:t>20</w:t>
      </w:r>
      <w:r w:rsidRPr="005D6D89">
        <w:rPr>
          <w:rFonts w:cs="Arial"/>
          <w:sz w:val="20"/>
          <w:szCs w:val="20"/>
          <w:lang w:val="pl-PL"/>
        </w:rPr>
        <w:t>2</w:t>
      </w:r>
      <w:r w:rsidR="00D60873" w:rsidRPr="005D6D89">
        <w:rPr>
          <w:rFonts w:cs="Arial"/>
          <w:sz w:val="20"/>
          <w:szCs w:val="20"/>
          <w:lang w:val="pl-PL"/>
        </w:rPr>
        <w:t>1</w:t>
      </w:r>
      <w:r w:rsidR="00753EC0" w:rsidRPr="005D6D89">
        <w:rPr>
          <w:rFonts w:cs="Arial"/>
          <w:sz w:val="20"/>
          <w:szCs w:val="20"/>
          <w:lang w:val="pl-PL"/>
        </w:rPr>
        <w:t> </w:t>
      </w:r>
      <w:r w:rsidRPr="005D6D89">
        <w:rPr>
          <w:rFonts w:cs="Arial"/>
          <w:sz w:val="20"/>
          <w:szCs w:val="20"/>
        </w:rPr>
        <w:t xml:space="preserve">r. </w:t>
      </w:r>
      <w:r w:rsidR="00D60873" w:rsidRPr="005D6D89">
        <w:rPr>
          <w:rFonts w:cs="Arial"/>
          <w:sz w:val="20"/>
          <w:szCs w:val="20"/>
          <w:lang w:val="pl-PL"/>
        </w:rPr>
        <w:t xml:space="preserve">– </w:t>
      </w:r>
      <w:r w:rsidRPr="005D6D89">
        <w:rPr>
          <w:rFonts w:cs="Arial"/>
          <w:sz w:val="20"/>
          <w:szCs w:val="20"/>
        </w:rPr>
        <w:t>97%) zamówień na polskim rynku udzielono przedsiębiorstwom krajowym</w:t>
      </w:r>
      <w:r w:rsidRPr="005D6D89">
        <w:rPr>
          <w:rStyle w:val="Odwoanieprzypisudolnego"/>
          <w:rFonts w:cs="Arial"/>
          <w:sz w:val="20"/>
          <w:szCs w:val="20"/>
        </w:rPr>
        <w:footnoteReference w:id="2"/>
      </w:r>
      <w:r w:rsidRPr="005D6D89">
        <w:rPr>
          <w:rFonts w:cs="Arial"/>
          <w:sz w:val="20"/>
          <w:szCs w:val="20"/>
        </w:rPr>
        <w:t>, a</w:t>
      </w:r>
      <w:r w:rsidRPr="005D6D89">
        <w:rPr>
          <w:rFonts w:cs="Arial"/>
          <w:sz w:val="20"/>
          <w:szCs w:val="20"/>
          <w:lang w:val="pl-PL"/>
        </w:rPr>
        <w:t> </w:t>
      </w:r>
      <w:r w:rsidRPr="005D6D89">
        <w:rPr>
          <w:rFonts w:cs="Arial"/>
          <w:sz w:val="20"/>
          <w:szCs w:val="20"/>
        </w:rPr>
        <w:t>1</w:t>
      </w:r>
      <w:r w:rsidR="00AF1D14" w:rsidRPr="005D6D89">
        <w:rPr>
          <w:rFonts w:cs="Arial"/>
          <w:sz w:val="20"/>
          <w:szCs w:val="20"/>
          <w:lang w:val="pl-PL"/>
        </w:rPr>
        <w:t>14</w:t>
      </w:r>
      <w:r w:rsidR="00AF1D14" w:rsidRPr="005D6D89">
        <w:rPr>
          <w:rFonts w:cs="Arial"/>
          <w:sz w:val="20"/>
          <w:szCs w:val="20"/>
        </w:rPr>
        <w:t xml:space="preserve"> kontrakt</w:t>
      </w:r>
      <w:r w:rsidR="00AF1D14" w:rsidRPr="005D6D89">
        <w:rPr>
          <w:rFonts w:cs="Arial"/>
          <w:sz w:val="20"/>
          <w:szCs w:val="20"/>
          <w:lang w:val="pl-PL"/>
        </w:rPr>
        <w:t>ów</w:t>
      </w:r>
      <w:r w:rsidRPr="005D6D89">
        <w:rPr>
          <w:rFonts w:cs="Arial"/>
          <w:sz w:val="20"/>
          <w:szCs w:val="20"/>
        </w:rPr>
        <w:t xml:space="preserve"> (w 20</w:t>
      </w:r>
      <w:r w:rsidRPr="005D6D89">
        <w:rPr>
          <w:rFonts w:cs="Arial"/>
          <w:sz w:val="20"/>
          <w:szCs w:val="20"/>
          <w:lang w:val="pl-PL"/>
        </w:rPr>
        <w:t>2</w:t>
      </w:r>
      <w:r w:rsidR="003515E9" w:rsidRPr="005D6D89">
        <w:rPr>
          <w:rFonts w:cs="Arial"/>
          <w:sz w:val="20"/>
          <w:szCs w:val="20"/>
          <w:lang w:val="pl-PL"/>
        </w:rPr>
        <w:t>1</w:t>
      </w:r>
      <w:r w:rsidRPr="005D6D89">
        <w:rPr>
          <w:rFonts w:cs="Arial"/>
          <w:sz w:val="20"/>
          <w:szCs w:val="20"/>
        </w:rPr>
        <w:t xml:space="preserve"> r. </w:t>
      </w:r>
      <w:r w:rsidRPr="005D6D89">
        <w:rPr>
          <w:rFonts w:cs="Arial"/>
          <w:sz w:val="20"/>
          <w:szCs w:val="20"/>
          <w:lang w:val="pl-PL"/>
        </w:rPr>
        <w:t xml:space="preserve">– </w:t>
      </w:r>
      <w:r w:rsidRPr="005D6D89">
        <w:rPr>
          <w:rFonts w:cs="Arial"/>
          <w:sz w:val="20"/>
          <w:szCs w:val="20"/>
        </w:rPr>
        <w:t>1</w:t>
      </w:r>
      <w:r w:rsidR="003515E9" w:rsidRPr="005D6D89">
        <w:rPr>
          <w:rFonts w:cs="Arial"/>
          <w:sz w:val="20"/>
          <w:szCs w:val="20"/>
          <w:lang w:val="pl-PL"/>
        </w:rPr>
        <w:t>23</w:t>
      </w:r>
      <w:r w:rsidRPr="005D6D89">
        <w:rPr>
          <w:rFonts w:cs="Arial"/>
          <w:sz w:val="20"/>
          <w:szCs w:val="20"/>
        </w:rPr>
        <w:t>) na realizację zamówień publicznych za granicą przypadł</w:t>
      </w:r>
      <w:r w:rsidRPr="005D6D89">
        <w:rPr>
          <w:rFonts w:cs="Arial"/>
          <w:sz w:val="20"/>
          <w:szCs w:val="20"/>
          <w:lang w:val="pl-PL"/>
        </w:rPr>
        <w:t>y</w:t>
      </w:r>
      <w:r w:rsidRPr="005D6D89">
        <w:rPr>
          <w:rFonts w:cs="Arial"/>
          <w:sz w:val="20"/>
          <w:szCs w:val="20"/>
        </w:rPr>
        <w:t xml:space="preserve"> polskim wykonawcom.</w:t>
      </w:r>
    </w:p>
    <w:p w14:paraId="1B039ABB" w14:textId="0348690E" w:rsidR="00E77BAE" w:rsidRPr="005D6D89" w:rsidRDefault="00E77BAE" w:rsidP="00ED1BEA">
      <w:pPr>
        <w:pStyle w:val="Akapitzlist"/>
        <w:numPr>
          <w:ilvl w:val="0"/>
          <w:numId w:val="69"/>
        </w:numPr>
        <w:spacing w:before="60"/>
        <w:contextualSpacing w:val="0"/>
        <w:rPr>
          <w:rFonts w:cs="Arial"/>
          <w:sz w:val="20"/>
          <w:szCs w:val="20"/>
        </w:rPr>
      </w:pPr>
      <w:r w:rsidRPr="005D6D89">
        <w:rPr>
          <w:rFonts w:cs="Arial"/>
          <w:sz w:val="20"/>
          <w:szCs w:val="20"/>
        </w:rPr>
        <w:t xml:space="preserve">Przeciętny czas trwania postępowania o wartości zamówienia poniżej progów unijnych wyniósł </w:t>
      </w:r>
      <w:r w:rsidR="00B41B4C" w:rsidRPr="005D6D89">
        <w:rPr>
          <w:rFonts w:cs="Arial"/>
          <w:sz w:val="20"/>
          <w:szCs w:val="20"/>
          <w:lang w:val="pl-PL"/>
        </w:rPr>
        <w:t>40</w:t>
      </w:r>
      <w:r w:rsidRPr="005D6D89">
        <w:rPr>
          <w:rFonts w:cs="Arial"/>
          <w:sz w:val="20"/>
          <w:szCs w:val="20"/>
        </w:rPr>
        <w:t xml:space="preserve"> dni (w 20</w:t>
      </w:r>
      <w:r w:rsidRPr="005D6D89">
        <w:rPr>
          <w:rFonts w:cs="Arial"/>
          <w:sz w:val="20"/>
          <w:szCs w:val="20"/>
          <w:lang w:val="pl-PL"/>
        </w:rPr>
        <w:t>2</w:t>
      </w:r>
      <w:r w:rsidR="00B41B4C" w:rsidRPr="005D6D89">
        <w:rPr>
          <w:rFonts w:cs="Arial"/>
          <w:sz w:val="20"/>
          <w:szCs w:val="20"/>
          <w:lang w:val="pl-PL"/>
        </w:rPr>
        <w:t>1</w:t>
      </w:r>
      <w:r w:rsidRPr="005D6D89">
        <w:rPr>
          <w:rFonts w:cs="Arial"/>
          <w:sz w:val="20"/>
          <w:szCs w:val="20"/>
        </w:rPr>
        <w:t xml:space="preserve"> r. </w:t>
      </w:r>
      <w:r w:rsidRPr="005D6D89">
        <w:rPr>
          <w:rFonts w:cs="Arial"/>
          <w:sz w:val="20"/>
          <w:szCs w:val="20"/>
          <w:lang w:val="pl-PL"/>
        </w:rPr>
        <w:t xml:space="preserve">– </w:t>
      </w:r>
      <w:r w:rsidR="00B41B4C" w:rsidRPr="005D6D89">
        <w:rPr>
          <w:rFonts w:cs="Arial"/>
          <w:sz w:val="20"/>
          <w:szCs w:val="20"/>
          <w:lang w:val="pl-PL"/>
        </w:rPr>
        <w:t>39</w:t>
      </w:r>
      <w:r w:rsidRPr="005D6D89">
        <w:rPr>
          <w:rFonts w:cs="Arial"/>
          <w:sz w:val="20"/>
          <w:szCs w:val="20"/>
        </w:rPr>
        <w:t xml:space="preserve"> dni).</w:t>
      </w:r>
      <w:r w:rsidR="00B41B4C" w:rsidRPr="005D6D89">
        <w:rPr>
          <w:rFonts w:cs="Arial"/>
          <w:sz w:val="20"/>
          <w:szCs w:val="20"/>
          <w:lang w:val="pl-PL"/>
        </w:rPr>
        <w:t xml:space="preserve"> </w:t>
      </w:r>
      <w:r w:rsidR="00057C94" w:rsidRPr="005D6D89">
        <w:rPr>
          <w:rFonts w:cs="Arial"/>
          <w:sz w:val="20"/>
          <w:szCs w:val="20"/>
          <w:lang w:val="pl-PL"/>
        </w:rPr>
        <w:t xml:space="preserve">Postępowania o wartości </w:t>
      </w:r>
      <w:r w:rsidR="00ED1BEA" w:rsidRPr="00ED1BEA">
        <w:rPr>
          <w:rFonts w:cs="Arial"/>
          <w:sz w:val="20"/>
          <w:szCs w:val="20"/>
          <w:lang w:val="pl-PL"/>
        </w:rPr>
        <w:t>równej lub przekraczającej progi unijne</w:t>
      </w:r>
      <w:r w:rsidR="00ED1BEA">
        <w:rPr>
          <w:rFonts w:cs="Arial"/>
          <w:sz w:val="20"/>
          <w:szCs w:val="20"/>
          <w:lang w:val="pl-PL"/>
        </w:rPr>
        <w:t xml:space="preserve"> </w:t>
      </w:r>
      <w:r w:rsidR="00057C94" w:rsidRPr="005D6D89">
        <w:rPr>
          <w:rFonts w:cs="Arial"/>
          <w:sz w:val="20"/>
          <w:szCs w:val="20"/>
          <w:lang w:val="pl-PL"/>
        </w:rPr>
        <w:t>średnio trwały 92 dni (w 2021 r. – 99 dni).</w:t>
      </w:r>
    </w:p>
    <w:p w14:paraId="7453A8C9" w14:textId="4DAFB8C9" w:rsidR="00E77BAE" w:rsidRPr="005D6D89" w:rsidRDefault="00E77BAE" w:rsidP="00FA7562">
      <w:pPr>
        <w:pStyle w:val="Akapitzlist"/>
        <w:numPr>
          <w:ilvl w:val="0"/>
          <w:numId w:val="69"/>
        </w:numPr>
        <w:spacing w:before="60"/>
        <w:contextualSpacing w:val="0"/>
        <w:rPr>
          <w:rFonts w:cs="Arial"/>
          <w:sz w:val="20"/>
          <w:szCs w:val="20"/>
        </w:rPr>
      </w:pPr>
      <w:r w:rsidRPr="005D6D89">
        <w:rPr>
          <w:rFonts w:cs="Arial"/>
          <w:sz w:val="20"/>
          <w:szCs w:val="20"/>
        </w:rPr>
        <w:t xml:space="preserve">W zamówieniach o wartości poniżej progów unijnych średnia liczba </w:t>
      </w:r>
      <w:r w:rsidR="009E7B6C" w:rsidRPr="005D6D89">
        <w:rPr>
          <w:rFonts w:cs="Arial"/>
          <w:sz w:val="20"/>
          <w:szCs w:val="20"/>
        </w:rPr>
        <w:t xml:space="preserve">składanych </w:t>
      </w:r>
      <w:r w:rsidRPr="005D6D89">
        <w:rPr>
          <w:rFonts w:cs="Arial"/>
          <w:sz w:val="20"/>
          <w:szCs w:val="20"/>
        </w:rPr>
        <w:t>ofert wyniosła 2,</w:t>
      </w:r>
      <w:r w:rsidR="009E7B6C" w:rsidRPr="005D6D89">
        <w:rPr>
          <w:rFonts w:cs="Arial"/>
          <w:sz w:val="20"/>
          <w:szCs w:val="20"/>
          <w:lang w:val="pl-PL"/>
        </w:rPr>
        <w:t>43</w:t>
      </w:r>
      <w:r w:rsidRPr="005D6D89">
        <w:rPr>
          <w:rFonts w:cs="Arial"/>
          <w:sz w:val="20"/>
          <w:szCs w:val="20"/>
        </w:rPr>
        <w:t xml:space="preserve"> (w 20</w:t>
      </w:r>
      <w:r w:rsidRPr="005D6D89">
        <w:rPr>
          <w:rFonts w:cs="Arial"/>
          <w:sz w:val="20"/>
          <w:szCs w:val="20"/>
          <w:lang w:val="pl-PL"/>
        </w:rPr>
        <w:t>2</w:t>
      </w:r>
      <w:r w:rsidR="009575E5" w:rsidRPr="005D6D89">
        <w:rPr>
          <w:rFonts w:cs="Arial"/>
          <w:sz w:val="20"/>
          <w:szCs w:val="20"/>
          <w:lang w:val="pl-PL"/>
        </w:rPr>
        <w:t>1</w:t>
      </w:r>
      <w:r w:rsidRPr="005D6D89">
        <w:rPr>
          <w:rFonts w:cs="Arial"/>
          <w:sz w:val="20"/>
          <w:szCs w:val="20"/>
        </w:rPr>
        <w:t xml:space="preserve"> r. – 2,</w:t>
      </w:r>
      <w:r w:rsidR="009575E5" w:rsidRPr="005D6D89">
        <w:rPr>
          <w:rFonts w:cs="Arial"/>
          <w:sz w:val="20"/>
          <w:szCs w:val="20"/>
          <w:lang w:val="pl-PL"/>
        </w:rPr>
        <w:t>59</w:t>
      </w:r>
      <w:r w:rsidRPr="005D6D89">
        <w:rPr>
          <w:rFonts w:cs="Arial"/>
          <w:sz w:val="20"/>
          <w:szCs w:val="20"/>
        </w:rPr>
        <w:t>).</w:t>
      </w:r>
      <w:r w:rsidR="009E7B6C" w:rsidRPr="005D6D89">
        <w:rPr>
          <w:rFonts w:cs="Arial"/>
          <w:sz w:val="20"/>
          <w:szCs w:val="20"/>
          <w:lang w:val="pl-PL"/>
        </w:rPr>
        <w:t xml:space="preserve"> W przypadku zamówień o wartości </w:t>
      </w:r>
      <w:r w:rsidR="00FA7562" w:rsidRPr="00FA7562">
        <w:rPr>
          <w:rFonts w:cs="Arial"/>
          <w:sz w:val="20"/>
          <w:szCs w:val="20"/>
          <w:lang w:val="pl-PL"/>
        </w:rPr>
        <w:t>równej lub przekraczającej progi unijne</w:t>
      </w:r>
      <w:r w:rsidR="00FA7562">
        <w:rPr>
          <w:rFonts w:cs="Arial"/>
          <w:sz w:val="20"/>
          <w:szCs w:val="20"/>
          <w:lang w:val="pl-PL"/>
        </w:rPr>
        <w:t xml:space="preserve"> </w:t>
      </w:r>
      <w:r w:rsidR="009E7B6C" w:rsidRPr="005D6D89">
        <w:rPr>
          <w:rFonts w:cs="Arial"/>
          <w:sz w:val="20"/>
          <w:szCs w:val="20"/>
          <w:lang w:val="pl-PL"/>
        </w:rPr>
        <w:t>średnia ta wyniosła 2,18 oferty (w 2021 r. – 2,25).</w:t>
      </w:r>
    </w:p>
    <w:p w14:paraId="487F1158" w14:textId="50C5A61C" w:rsidR="00E77BAE" w:rsidRPr="005D6D89" w:rsidRDefault="00E77BAE" w:rsidP="005C0F18">
      <w:pPr>
        <w:pStyle w:val="Akapitzlist"/>
        <w:numPr>
          <w:ilvl w:val="0"/>
          <w:numId w:val="69"/>
        </w:numPr>
        <w:spacing w:before="60"/>
        <w:contextualSpacing w:val="0"/>
        <w:rPr>
          <w:rFonts w:cs="Arial"/>
          <w:sz w:val="20"/>
          <w:szCs w:val="20"/>
        </w:rPr>
      </w:pPr>
      <w:r w:rsidRPr="005D6D89">
        <w:rPr>
          <w:rFonts w:cs="Arial"/>
          <w:sz w:val="20"/>
          <w:szCs w:val="20"/>
        </w:rPr>
        <w:t xml:space="preserve">W </w:t>
      </w:r>
      <w:r w:rsidR="00C33116" w:rsidRPr="005D6D89">
        <w:rPr>
          <w:rFonts w:cs="Arial"/>
          <w:sz w:val="20"/>
          <w:szCs w:val="20"/>
          <w:lang w:val="pl-PL"/>
        </w:rPr>
        <w:t>38</w:t>
      </w:r>
      <w:r w:rsidRPr="005D6D89">
        <w:rPr>
          <w:rFonts w:cs="Arial"/>
          <w:sz w:val="20"/>
          <w:szCs w:val="20"/>
        </w:rPr>
        <w:t>% (w 20</w:t>
      </w:r>
      <w:r w:rsidRPr="005D6D89">
        <w:rPr>
          <w:rFonts w:cs="Arial"/>
          <w:sz w:val="20"/>
          <w:szCs w:val="20"/>
          <w:lang w:val="pl-PL"/>
        </w:rPr>
        <w:t>2</w:t>
      </w:r>
      <w:r w:rsidR="009E7B6C" w:rsidRPr="005D6D89">
        <w:rPr>
          <w:rFonts w:cs="Arial"/>
          <w:sz w:val="20"/>
          <w:szCs w:val="20"/>
          <w:lang w:val="pl-PL"/>
        </w:rPr>
        <w:t>1</w:t>
      </w:r>
      <w:r w:rsidRPr="005D6D89">
        <w:rPr>
          <w:rFonts w:cs="Arial"/>
          <w:sz w:val="20"/>
          <w:szCs w:val="20"/>
        </w:rPr>
        <w:t xml:space="preserve"> r. </w:t>
      </w:r>
      <w:r w:rsidRPr="005D6D89">
        <w:rPr>
          <w:rFonts w:cs="Arial"/>
          <w:sz w:val="20"/>
          <w:szCs w:val="20"/>
          <w:lang w:val="pl-PL"/>
        </w:rPr>
        <w:t>–</w:t>
      </w:r>
      <w:r w:rsidRPr="005D6D89">
        <w:rPr>
          <w:rFonts w:cs="Arial"/>
          <w:sz w:val="20"/>
          <w:szCs w:val="20"/>
        </w:rPr>
        <w:t xml:space="preserve"> </w:t>
      </w:r>
      <w:r w:rsidR="009E7B6C" w:rsidRPr="005D6D89">
        <w:rPr>
          <w:rFonts w:cs="Arial"/>
          <w:sz w:val="20"/>
          <w:szCs w:val="20"/>
          <w:lang w:val="pl-PL"/>
        </w:rPr>
        <w:t>35</w:t>
      </w:r>
      <w:r w:rsidRPr="005D6D89">
        <w:rPr>
          <w:rFonts w:cs="Arial"/>
          <w:sz w:val="20"/>
          <w:szCs w:val="20"/>
        </w:rPr>
        <w:t xml:space="preserve">%) wszczętych postępowań o wartościach </w:t>
      </w:r>
      <w:r w:rsidR="005C0F18" w:rsidRPr="005C0F18">
        <w:rPr>
          <w:rFonts w:cs="Arial"/>
          <w:sz w:val="20"/>
          <w:szCs w:val="20"/>
        </w:rPr>
        <w:t>równ</w:t>
      </w:r>
      <w:r w:rsidR="005C0F18">
        <w:rPr>
          <w:rFonts w:cs="Arial"/>
          <w:sz w:val="20"/>
          <w:szCs w:val="20"/>
          <w:lang w:val="pl-PL"/>
        </w:rPr>
        <w:t>ych</w:t>
      </w:r>
      <w:r w:rsidR="005C0F18" w:rsidRPr="005C0F18">
        <w:rPr>
          <w:rFonts w:cs="Arial"/>
          <w:sz w:val="20"/>
          <w:szCs w:val="20"/>
        </w:rPr>
        <w:t xml:space="preserve"> lub przekraczając</w:t>
      </w:r>
      <w:r w:rsidR="005C0F18">
        <w:rPr>
          <w:rFonts w:cs="Arial"/>
          <w:sz w:val="20"/>
          <w:szCs w:val="20"/>
          <w:lang w:val="pl-PL"/>
        </w:rPr>
        <w:t>ych</w:t>
      </w:r>
      <w:r w:rsidR="005C0F18" w:rsidRPr="005C0F18">
        <w:rPr>
          <w:rFonts w:cs="Arial"/>
          <w:sz w:val="20"/>
          <w:szCs w:val="20"/>
        </w:rPr>
        <w:t xml:space="preserve"> progi unijne</w:t>
      </w:r>
      <w:r w:rsidR="00794C94">
        <w:rPr>
          <w:rFonts w:cs="Arial"/>
          <w:sz w:val="20"/>
          <w:szCs w:val="20"/>
          <w:lang w:val="pl-PL"/>
        </w:rPr>
        <w:t xml:space="preserve"> i</w:t>
      </w:r>
      <w:r w:rsidRPr="005D6D89">
        <w:rPr>
          <w:rFonts w:cs="Arial"/>
          <w:sz w:val="20"/>
          <w:szCs w:val="20"/>
          <w:lang w:val="pl-PL"/>
        </w:rPr>
        <w:t> </w:t>
      </w:r>
      <w:r w:rsidRPr="005D6D89">
        <w:rPr>
          <w:rFonts w:cs="Arial"/>
          <w:sz w:val="20"/>
          <w:szCs w:val="20"/>
        </w:rPr>
        <w:t>w</w:t>
      </w:r>
      <w:r w:rsidRPr="005D6D89">
        <w:rPr>
          <w:rFonts w:cs="Arial"/>
          <w:sz w:val="20"/>
          <w:szCs w:val="20"/>
          <w:lang w:val="pl-PL"/>
        </w:rPr>
        <w:t> </w:t>
      </w:r>
      <w:r w:rsidR="00C33116" w:rsidRPr="005D6D89">
        <w:rPr>
          <w:rFonts w:cs="Arial"/>
          <w:sz w:val="20"/>
          <w:szCs w:val="20"/>
          <w:lang w:val="pl-PL"/>
        </w:rPr>
        <w:t>20</w:t>
      </w:r>
      <w:r w:rsidRPr="005D6D89">
        <w:rPr>
          <w:rFonts w:cs="Arial"/>
          <w:sz w:val="20"/>
          <w:szCs w:val="20"/>
        </w:rPr>
        <w:t>% (w 20</w:t>
      </w:r>
      <w:r w:rsidRPr="005D6D89">
        <w:rPr>
          <w:rFonts w:cs="Arial"/>
          <w:sz w:val="20"/>
          <w:szCs w:val="20"/>
          <w:lang w:val="pl-PL"/>
        </w:rPr>
        <w:t>2</w:t>
      </w:r>
      <w:r w:rsidR="00530BE8" w:rsidRPr="005D6D89">
        <w:rPr>
          <w:rFonts w:cs="Arial"/>
          <w:sz w:val="20"/>
          <w:szCs w:val="20"/>
          <w:lang w:val="pl-PL"/>
        </w:rPr>
        <w:t>1</w:t>
      </w:r>
      <w:r w:rsidRPr="005D6D89">
        <w:rPr>
          <w:rFonts w:cs="Arial"/>
          <w:sz w:val="20"/>
          <w:szCs w:val="20"/>
        </w:rPr>
        <w:t xml:space="preserve"> r. – 1</w:t>
      </w:r>
      <w:r w:rsidR="00530BE8" w:rsidRPr="005D6D89">
        <w:rPr>
          <w:rFonts w:cs="Arial"/>
          <w:sz w:val="20"/>
          <w:szCs w:val="20"/>
          <w:lang w:val="pl-PL"/>
        </w:rPr>
        <w:t>7</w:t>
      </w:r>
      <w:r w:rsidRPr="005D6D89">
        <w:rPr>
          <w:rFonts w:cs="Arial"/>
          <w:sz w:val="20"/>
          <w:szCs w:val="20"/>
        </w:rPr>
        <w:t>%) postępowań o wartościach poniżej progów unijnych cena była jedynym kryterium wyboru oferty.</w:t>
      </w:r>
    </w:p>
    <w:p w14:paraId="4DC92D37" w14:textId="3BD892E3" w:rsidR="00E77BAE" w:rsidRPr="005D6D89" w:rsidRDefault="00E77BAE" w:rsidP="005C7DF9">
      <w:pPr>
        <w:pStyle w:val="Akapitzlist"/>
        <w:numPr>
          <w:ilvl w:val="0"/>
          <w:numId w:val="69"/>
        </w:numPr>
        <w:spacing w:before="60"/>
        <w:ind w:left="357"/>
        <w:contextualSpacing w:val="0"/>
        <w:rPr>
          <w:rFonts w:cs="Arial"/>
          <w:sz w:val="20"/>
          <w:szCs w:val="20"/>
        </w:rPr>
      </w:pPr>
      <w:r w:rsidRPr="005D6D89">
        <w:rPr>
          <w:rFonts w:cs="Arial"/>
          <w:sz w:val="20"/>
          <w:szCs w:val="20"/>
        </w:rPr>
        <w:t xml:space="preserve">Prezes Urzędu Zamówień Publicznych przeprowadził </w:t>
      </w:r>
      <w:r w:rsidRPr="005D6D89">
        <w:rPr>
          <w:rFonts w:cs="Arial"/>
          <w:sz w:val="20"/>
          <w:szCs w:val="20"/>
          <w:lang w:val="pl-PL"/>
        </w:rPr>
        <w:t>3</w:t>
      </w:r>
      <w:r w:rsidR="00841FB5" w:rsidRPr="005D6D89">
        <w:rPr>
          <w:rFonts w:cs="Arial"/>
          <w:sz w:val="20"/>
          <w:szCs w:val="20"/>
          <w:lang w:val="pl-PL"/>
        </w:rPr>
        <w:t>45</w:t>
      </w:r>
      <w:r w:rsidRPr="005D6D89">
        <w:rPr>
          <w:rFonts w:cs="Arial"/>
          <w:sz w:val="20"/>
          <w:szCs w:val="20"/>
        </w:rPr>
        <w:t xml:space="preserve"> kontroli postępowań o zamówienie publiczne (w 20</w:t>
      </w:r>
      <w:r w:rsidRPr="005D6D89">
        <w:rPr>
          <w:rFonts w:cs="Arial"/>
          <w:sz w:val="20"/>
          <w:szCs w:val="20"/>
          <w:lang w:val="pl-PL"/>
        </w:rPr>
        <w:t>2</w:t>
      </w:r>
      <w:r w:rsidR="00841FB5" w:rsidRPr="005D6D89">
        <w:rPr>
          <w:rFonts w:cs="Arial"/>
          <w:sz w:val="20"/>
          <w:szCs w:val="20"/>
          <w:lang w:val="pl-PL"/>
        </w:rPr>
        <w:t>1</w:t>
      </w:r>
      <w:r w:rsidRPr="005D6D89">
        <w:rPr>
          <w:rFonts w:cs="Arial"/>
          <w:sz w:val="20"/>
          <w:szCs w:val="20"/>
        </w:rPr>
        <w:t xml:space="preserve"> r. – </w:t>
      </w:r>
      <w:r w:rsidR="00841FB5" w:rsidRPr="005D6D89">
        <w:rPr>
          <w:rFonts w:cs="Arial"/>
          <w:sz w:val="20"/>
          <w:szCs w:val="20"/>
          <w:lang w:val="pl-PL"/>
        </w:rPr>
        <w:t>3</w:t>
      </w:r>
      <w:r w:rsidRPr="005D6D89">
        <w:rPr>
          <w:rFonts w:cs="Arial"/>
          <w:sz w:val="20"/>
          <w:szCs w:val="20"/>
        </w:rPr>
        <w:t>2</w:t>
      </w:r>
      <w:r w:rsidR="00841FB5" w:rsidRPr="005D6D89">
        <w:rPr>
          <w:rFonts w:cs="Arial"/>
          <w:sz w:val="20"/>
          <w:szCs w:val="20"/>
          <w:lang w:val="pl-PL"/>
        </w:rPr>
        <w:t>6</w:t>
      </w:r>
      <w:r w:rsidRPr="005D6D89">
        <w:rPr>
          <w:rFonts w:cs="Arial"/>
          <w:sz w:val="20"/>
          <w:szCs w:val="20"/>
        </w:rPr>
        <w:t>); z tego: 1</w:t>
      </w:r>
      <w:r w:rsidR="00841FB5" w:rsidRPr="005D6D89">
        <w:rPr>
          <w:rFonts w:cs="Arial"/>
          <w:sz w:val="20"/>
          <w:szCs w:val="20"/>
          <w:lang w:val="pl-PL"/>
        </w:rPr>
        <w:t>53</w:t>
      </w:r>
      <w:r w:rsidRPr="005D6D89">
        <w:rPr>
          <w:rFonts w:cs="Arial"/>
          <w:sz w:val="20"/>
          <w:szCs w:val="20"/>
        </w:rPr>
        <w:t xml:space="preserve"> (w 20</w:t>
      </w:r>
      <w:r w:rsidRPr="005D6D89">
        <w:rPr>
          <w:rFonts w:cs="Arial"/>
          <w:sz w:val="20"/>
          <w:szCs w:val="20"/>
          <w:lang w:val="pl-PL"/>
        </w:rPr>
        <w:t>2</w:t>
      </w:r>
      <w:r w:rsidR="00841FB5" w:rsidRPr="005D6D89">
        <w:rPr>
          <w:rFonts w:cs="Arial"/>
          <w:sz w:val="20"/>
          <w:szCs w:val="20"/>
          <w:lang w:val="pl-PL"/>
        </w:rPr>
        <w:t>1</w:t>
      </w:r>
      <w:r w:rsidRPr="005D6D89">
        <w:rPr>
          <w:rFonts w:cs="Arial"/>
          <w:sz w:val="20"/>
          <w:szCs w:val="20"/>
        </w:rPr>
        <w:t xml:space="preserve"> r. – </w:t>
      </w:r>
      <w:r w:rsidR="00841FB5" w:rsidRPr="005D6D89">
        <w:rPr>
          <w:rFonts w:cs="Arial"/>
          <w:sz w:val="20"/>
          <w:szCs w:val="20"/>
          <w:lang w:val="pl-PL"/>
        </w:rPr>
        <w:t>174</w:t>
      </w:r>
      <w:r w:rsidRPr="005D6D89">
        <w:rPr>
          <w:rFonts w:cs="Arial"/>
          <w:sz w:val="20"/>
          <w:szCs w:val="20"/>
        </w:rPr>
        <w:t xml:space="preserve">) kontrole uprzednie obligatoryjne (przed zawarciem umowy) oraz </w:t>
      </w:r>
      <w:r w:rsidR="00841FB5" w:rsidRPr="005D6D89">
        <w:rPr>
          <w:rFonts w:cs="Arial"/>
          <w:sz w:val="20"/>
          <w:szCs w:val="20"/>
          <w:lang w:val="pl-PL"/>
        </w:rPr>
        <w:t>19</w:t>
      </w:r>
      <w:r w:rsidRPr="005D6D89">
        <w:rPr>
          <w:rFonts w:cs="Arial"/>
          <w:sz w:val="20"/>
          <w:szCs w:val="20"/>
          <w:lang w:val="pl-PL"/>
        </w:rPr>
        <w:t>2</w:t>
      </w:r>
      <w:r w:rsidRPr="005D6D89">
        <w:rPr>
          <w:rFonts w:cs="Arial"/>
          <w:sz w:val="20"/>
          <w:szCs w:val="20"/>
        </w:rPr>
        <w:t xml:space="preserve"> kontrole doraźn</w:t>
      </w:r>
      <w:r w:rsidRPr="005D6D89">
        <w:rPr>
          <w:rFonts w:cs="Arial"/>
          <w:sz w:val="20"/>
          <w:szCs w:val="20"/>
          <w:lang w:val="pl-PL"/>
        </w:rPr>
        <w:t>e</w:t>
      </w:r>
      <w:r w:rsidRPr="005D6D89">
        <w:rPr>
          <w:rFonts w:cs="Arial"/>
          <w:sz w:val="20"/>
          <w:szCs w:val="20"/>
        </w:rPr>
        <w:t xml:space="preserve"> (w 20</w:t>
      </w:r>
      <w:r w:rsidR="00841FB5" w:rsidRPr="005D6D89">
        <w:rPr>
          <w:rFonts w:cs="Arial"/>
          <w:sz w:val="20"/>
          <w:szCs w:val="20"/>
          <w:lang w:val="pl-PL"/>
        </w:rPr>
        <w:t>21</w:t>
      </w:r>
      <w:r w:rsidRPr="005D6D89">
        <w:rPr>
          <w:rFonts w:cs="Arial"/>
          <w:sz w:val="20"/>
          <w:szCs w:val="20"/>
        </w:rPr>
        <w:t xml:space="preserve"> r. – </w:t>
      </w:r>
      <w:r w:rsidR="00841FB5" w:rsidRPr="005D6D89">
        <w:rPr>
          <w:rFonts w:cs="Arial"/>
          <w:sz w:val="20"/>
          <w:szCs w:val="20"/>
          <w:lang w:val="pl-PL"/>
        </w:rPr>
        <w:t>152</w:t>
      </w:r>
      <w:r w:rsidRPr="005D6D89">
        <w:rPr>
          <w:rFonts w:cs="Arial"/>
          <w:sz w:val="20"/>
          <w:szCs w:val="20"/>
        </w:rPr>
        <w:t>)</w:t>
      </w:r>
      <w:r w:rsidRPr="005D6D89">
        <w:rPr>
          <w:rFonts w:cs="Arial"/>
          <w:sz w:val="20"/>
          <w:szCs w:val="20"/>
          <w:lang w:val="pl-PL"/>
        </w:rPr>
        <w:t>.</w:t>
      </w:r>
    </w:p>
    <w:p w14:paraId="39D8856D" w14:textId="253C89B9" w:rsidR="00E77BAE" w:rsidRPr="005D6D89" w:rsidRDefault="00E77BAE" w:rsidP="00EA5F53">
      <w:pPr>
        <w:ind w:left="357"/>
        <w:rPr>
          <w:rFonts w:cs="Arial"/>
          <w:sz w:val="20"/>
          <w:szCs w:val="20"/>
        </w:rPr>
      </w:pPr>
      <w:r w:rsidRPr="005D6D89">
        <w:rPr>
          <w:rFonts w:cs="Arial"/>
          <w:sz w:val="20"/>
          <w:szCs w:val="20"/>
        </w:rPr>
        <w:t xml:space="preserve">W </w:t>
      </w:r>
      <w:r w:rsidR="00FE7A61" w:rsidRPr="005D6D89">
        <w:rPr>
          <w:rFonts w:cs="Arial"/>
          <w:sz w:val="20"/>
          <w:szCs w:val="20"/>
        </w:rPr>
        <w:t>48</w:t>
      </w:r>
      <w:r w:rsidRPr="005D6D89">
        <w:rPr>
          <w:rFonts w:cs="Arial"/>
          <w:sz w:val="20"/>
          <w:szCs w:val="20"/>
        </w:rPr>
        <w:t>% (w 202</w:t>
      </w:r>
      <w:r w:rsidR="00F871D6" w:rsidRPr="005D6D89">
        <w:rPr>
          <w:rFonts w:cs="Arial"/>
          <w:sz w:val="20"/>
          <w:szCs w:val="20"/>
        </w:rPr>
        <w:t>1</w:t>
      </w:r>
      <w:r w:rsidRPr="005D6D89">
        <w:rPr>
          <w:rFonts w:cs="Arial"/>
          <w:sz w:val="20"/>
          <w:szCs w:val="20"/>
        </w:rPr>
        <w:t xml:space="preserve"> r. – </w:t>
      </w:r>
      <w:r w:rsidR="00F871D6" w:rsidRPr="005D6D89">
        <w:rPr>
          <w:rFonts w:cs="Arial"/>
          <w:sz w:val="20"/>
          <w:szCs w:val="20"/>
        </w:rPr>
        <w:t>71</w:t>
      </w:r>
      <w:r w:rsidRPr="005D6D89">
        <w:rPr>
          <w:rFonts w:cs="Arial"/>
          <w:sz w:val="20"/>
          <w:szCs w:val="20"/>
        </w:rPr>
        <w:t>%) kontroli uprzednich obligatoryjnych zamówień współfinansowanych ze środków UE nie stwierdzono naruszeń przepisów ustawy.</w:t>
      </w:r>
    </w:p>
    <w:p w14:paraId="42837665" w14:textId="70C14CE0" w:rsidR="00E77BAE" w:rsidRPr="005D6D89" w:rsidRDefault="00E77BAE" w:rsidP="00EA5F53">
      <w:pPr>
        <w:ind w:left="357"/>
        <w:rPr>
          <w:rFonts w:cs="Arial"/>
          <w:sz w:val="20"/>
          <w:szCs w:val="20"/>
        </w:rPr>
      </w:pPr>
      <w:r w:rsidRPr="005D6D89">
        <w:rPr>
          <w:rFonts w:cs="Arial"/>
          <w:sz w:val="20"/>
          <w:szCs w:val="20"/>
        </w:rPr>
        <w:t>W 202</w:t>
      </w:r>
      <w:r w:rsidR="00097920" w:rsidRPr="005D6D89">
        <w:rPr>
          <w:rFonts w:cs="Arial"/>
          <w:sz w:val="20"/>
          <w:szCs w:val="20"/>
        </w:rPr>
        <w:t>2</w:t>
      </w:r>
      <w:r w:rsidRPr="005D6D89">
        <w:rPr>
          <w:rFonts w:cs="Arial"/>
          <w:sz w:val="20"/>
          <w:szCs w:val="20"/>
        </w:rPr>
        <w:t xml:space="preserve"> r. rozpatrzono także 4</w:t>
      </w:r>
      <w:r w:rsidR="00097920" w:rsidRPr="005D6D89">
        <w:rPr>
          <w:rFonts w:cs="Arial"/>
          <w:sz w:val="20"/>
          <w:szCs w:val="20"/>
        </w:rPr>
        <w:t>32</w:t>
      </w:r>
      <w:r w:rsidRPr="005D6D89">
        <w:rPr>
          <w:rFonts w:cs="Arial"/>
          <w:sz w:val="20"/>
          <w:szCs w:val="20"/>
        </w:rPr>
        <w:t xml:space="preserve"> wnioski o kontrolę (w 202</w:t>
      </w:r>
      <w:r w:rsidR="00097920" w:rsidRPr="005D6D89">
        <w:rPr>
          <w:rFonts w:cs="Arial"/>
          <w:sz w:val="20"/>
          <w:szCs w:val="20"/>
        </w:rPr>
        <w:t>1</w:t>
      </w:r>
      <w:r w:rsidRPr="005D6D89">
        <w:rPr>
          <w:rFonts w:cs="Arial"/>
          <w:sz w:val="20"/>
          <w:szCs w:val="20"/>
        </w:rPr>
        <w:t xml:space="preserve"> r. – </w:t>
      </w:r>
      <w:r w:rsidR="00097920" w:rsidRPr="005D6D89">
        <w:rPr>
          <w:rFonts w:cs="Arial"/>
          <w:sz w:val="20"/>
          <w:szCs w:val="20"/>
        </w:rPr>
        <w:t>494</w:t>
      </w:r>
      <w:r w:rsidRPr="005D6D89">
        <w:rPr>
          <w:rFonts w:cs="Arial"/>
          <w:sz w:val="20"/>
          <w:szCs w:val="20"/>
        </w:rPr>
        <w:t>).</w:t>
      </w:r>
    </w:p>
    <w:p w14:paraId="4861EBB0" w14:textId="3A7FB1D3" w:rsidR="00E77BAE" w:rsidRPr="005D6D89" w:rsidRDefault="00E935A1" w:rsidP="005C7DF9">
      <w:pPr>
        <w:pStyle w:val="Akapitzlist"/>
        <w:numPr>
          <w:ilvl w:val="0"/>
          <w:numId w:val="69"/>
        </w:numPr>
        <w:spacing w:before="60"/>
        <w:ind w:left="357"/>
        <w:contextualSpacing w:val="0"/>
        <w:rPr>
          <w:rFonts w:cs="Arial"/>
          <w:sz w:val="20"/>
          <w:szCs w:val="20"/>
        </w:rPr>
      </w:pPr>
      <w:r w:rsidRPr="005D6D89">
        <w:rPr>
          <w:rFonts w:cs="Arial"/>
          <w:sz w:val="20"/>
          <w:szCs w:val="20"/>
          <w:lang w:val="pl-PL"/>
        </w:rPr>
        <w:t>W 2022 r. wniesiono</w:t>
      </w:r>
      <w:r w:rsidR="009A02C1" w:rsidRPr="005D6D89">
        <w:rPr>
          <w:rFonts w:cs="Arial"/>
          <w:sz w:val="20"/>
          <w:szCs w:val="20"/>
          <w:lang w:val="pl-PL"/>
        </w:rPr>
        <w:t xml:space="preserve"> </w:t>
      </w:r>
      <w:r w:rsidR="00E77BAE" w:rsidRPr="005D6D89">
        <w:rPr>
          <w:rFonts w:cs="Arial"/>
          <w:sz w:val="20"/>
          <w:szCs w:val="20"/>
        </w:rPr>
        <w:t>3 </w:t>
      </w:r>
      <w:r w:rsidR="00CE4017" w:rsidRPr="005D6D89">
        <w:rPr>
          <w:rFonts w:cs="Arial"/>
          <w:sz w:val="20"/>
          <w:szCs w:val="20"/>
          <w:lang w:val="pl-PL"/>
        </w:rPr>
        <w:t>537</w:t>
      </w:r>
      <w:r w:rsidR="00E77BAE" w:rsidRPr="005D6D89">
        <w:rPr>
          <w:rFonts w:cs="Arial"/>
          <w:sz w:val="20"/>
          <w:szCs w:val="20"/>
          <w:lang w:val="pl-PL"/>
        </w:rPr>
        <w:t xml:space="preserve"> </w:t>
      </w:r>
      <w:r w:rsidR="00AE2FE6" w:rsidRPr="005D6D89">
        <w:rPr>
          <w:rFonts w:cs="Arial"/>
          <w:sz w:val="20"/>
          <w:szCs w:val="20"/>
          <w:lang w:val="pl-PL"/>
        </w:rPr>
        <w:t xml:space="preserve">odwołań </w:t>
      </w:r>
      <w:r w:rsidR="00E77BAE" w:rsidRPr="005D6D89">
        <w:rPr>
          <w:rFonts w:cs="Arial"/>
          <w:sz w:val="20"/>
          <w:szCs w:val="20"/>
        </w:rPr>
        <w:t>(w 20</w:t>
      </w:r>
      <w:r w:rsidR="00E77BAE" w:rsidRPr="005D6D89">
        <w:rPr>
          <w:rFonts w:cs="Arial"/>
          <w:sz w:val="20"/>
          <w:szCs w:val="20"/>
          <w:lang w:val="pl-PL"/>
        </w:rPr>
        <w:t>2</w:t>
      </w:r>
      <w:r w:rsidR="005C6B31" w:rsidRPr="005D6D89">
        <w:rPr>
          <w:rFonts w:cs="Arial"/>
          <w:sz w:val="20"/>
          <w:szCs w:val="20"/>
          <w:lang w:val="pl-PL"/>
        </w:rPr>
        <w:t>1</w:t>
      </w:r>
      <w:r w:rsidR="00E77BAE" w:rsidRPr="005D6D89">
        <w:rPr>
          <w:rFonts w:cs="Arial"/>
          <w:sz w:val="20"/>
          <w:szCs w:val="20"/>
        </w:rPr>
        <w:t xml:space="preserve"> r. – </w:t>
      </w:r>
      <w:r w:rsidR="005C6B31" w:rsidRPr="005D6D89">
        <w:rPr>
          <w:rFonts w:cs="Arial"/>
          <w:sz w:val="20"/>
          <w:szCs w:val="20"/>
        </w:rPr>
        <w:t>3 </w:t>
      </w:r>
      <w:r w:rsidR="005C6B31" w:rsidRPr="005D6D89">
        <w:rPr>
          <w:rFonts w:cs="Arial"/>
          <w:sz w:val="20"/>
          <w:szCs w:val="20"/>
          <w:lang w:val="pl-PL"/>
        </w:rPr>
        <w:t>811</w:t>
      </w:r>
      <w:r w:rsidR="00E77BAE" w:rsidRPr="005D6D89">
        <w:rPr>
          <w:rFonts w:cs="Arial"/>
          <w:sz w:val="20"/>
          <w:szCs w:val="20"/>
        </w:rPr>
        <w:t xml:space="preserve">). </w:t>
      </w:r>
    </w:p>
    <w:p w14:paraId="6F9BA776" w14:textId="278C7DCD" w:rsidR="00E77BAE" w:rsidRPr="005D6D89" w:rsidRDefault="00E77BAE" w:rsidP="00F43D47">
      <w:pPr>
        <w:ind w:left="357"/>
        <w:rPr>
          <w:rFonts w:cs="Arial"/>
          <w:sz w:val="20"/>
          <w:szCs w:val="20"/>
        </w:rPr>
      </w:pPr>
      <w:r w:rsidRPr="005D6D89">
        <w:rPr>
          <w:rFonts w:cs="Arial"/>
          <w:sz w:val="20"/>
          <w:szCs w:val="20"/>
        </w:rPr>
        <w:t>4</w:t>
      </w:r>
      <w:r w:rsidR="00DF5238" w:rsidRPr="005D6D89">
        <w:rPr>
          <w:rFonts w:cs="Arial"/>
          <w:sz w:val="20"/>
          <w:szCs w:val="20"/>
        </w:rPr>
        <w:t>5</w:t>
      </w:r>
      <w:r w:rsidRPr="005D6D89">
        <w:rPr>
          <w:rFonts w:cs="Arial"/>
          <w:sz w:val="20"/>
          <w:szCs w:val="20"/>
        </w:rPr>
        <w:t xml:space="preserve">% </w:t>
      </w:r>
      <w:r w:rsidR="009C1E6B" w:rsidRPr="005D6D89">
        <w:rPr>
          <w:rFonts w:cs="Arial"/>
          <w:sz w:val="20"/>
          <w:szCs w:val="20"/>
        </w:rPr>
        <w:t xml:space="preserve">odwołań </w:t>
      </w:r>
      <w:r w:rsidR="00DF5238" w:rsidRPr="005D6D89">
        <w:rPr>
          <w:rFonts w:cs="Arial"/>
          <w:sz w:val="20"/>
          <w:szCs w:val="20"/>
        </w:rPr>
        <w:t>rozstrzygnięto</w:t>
      </w:r>
      <w:r w:rsidRPr="005D6D89">
        <w:rPr>
          <w:rFonts w:cs="Arial"/>
          <w:sz w:val="20"/>
          <w:szCs w:val="20"/>
        </w:rPr>
        <w:t xml:space="preserve"> merytorycznie</w:t>
      </w:r>
      <w:r w:rsidR="00AE2FE6" w:rsidRPr="005D6D89">
        <w:rPr>
          <w:rFonts w:cs="Arial"/>
          <w:sz w:val="20"/>
          <w:szCs w:val="20"/>
        </w:rPr>
        <w:t>, natomiast</w:t>
      </w:r>
      <w:r w:rsidR="009A02C1" w:rsidRPr="005D6D89">
        <w:rPr>
          <w:rFonts w:cs="Arial"/>
          <w:sz w:val="20"/>
          <w:szCs w:val="20"/>
        </w:rPr>
        <w:t xml:space="preserve"> </w:t>
      </w:r>
      <w:r w:rsidRPr="005D6D89">
        <w:rPr>
          <w:rFonts w:cs="Arial"/>
          <w:sz w:val="20"/>
          <w:szCs w:val="20"/>
        </w:rPr>
        <w:t>5</w:t>
      </w:r>
      <w:r w:rsidR="00DF5238" w:rsidRPr="005D6D89">
        <w:rPr>
          <w:rFonts w:cs="Arial"/>
          <w:sz w:val="20"/>
          <w:szCs w:val="20"/>
        </w:rPr>
        <w:t>5</w:t>
      </w:r>
      <w:r w:rsidRPr="005D6D89">
        <w:rPr>
          <w:rFonts w:cs="Arial"/>
          <w:sz w:val="20"/>
          <w:szCs w:val="20"/>
        </w:rPr>
        <w:t>%</w:t>
      </w:r>
      <w:r w:rsidR="009A02C1" w:rsidRPr="005D6D89">
        <w:rPr>
          <w:rFonts w:cs="Arial"/>
          <w:sz w:val="20"/>
          <w:szCs w:val="20"/>
        </w:rPr>
        <w:t xml:space="preserve"> </w:t>
      </w:r>
      <w:r w:rsidR="00876A87" w:rsidRPr="005D6D89">
        <w:rPr>
          <w:rFonts w:cs="Arial"/>
          <w:sz w:val="20"/>
          <w:szCs w:val="20"/>
        </w:rPr>
        <w:t>zakończyło się</w:t>
      </w:r>
      <w:r w:rsidRPr="005D6D89">
        <w:rPr>
          <w:rFonts w:cs="Arial"/>
          <w:sz w:val="20"/>
          <w:szCs w:val="20"/>
        </w:rPr>
        <w:t xml:space="preserve"> w sposób formalny (zwrot, umorzenie, odrzucenie odwołania).</w:t>
      </w:r>
    </w:p>
    <w:p w14:paraId="4174429E" w14:textId="04A9AEFA" w:rsidR="00E77BAE" w:rsidRPr="005D6D89" w:rsidRDefault="00E77BAE" w:rsidP="005C7DF9">
      <w:pPr>
        <w:pStyle w:val="Akapitzlist"/>
        <w:numPr>
          <w:ilvl w:val="0"/>
          <w:numId w:val="69"/>
        </w:numPr>
        <w:spacing w:before="60"/>
        <w:contextualSpacing w:val="0"/>
        <w:rPr>
          <w:rFonts w:cs="Arial"/>
          <w:sz w:val="20"/>
          <w:szCs w:val="20"/>
        </w:rPr>
      </w:pPr>
      <w:r w:rsidRPr="005D6D89">
        <w:rPr>
          <w:rFonts w:cs="Arial"/>
          <w:sz w:val="20"/>
          <w:szCs w:val="20"/>
        </w:rPr>
        <w:t>System miniPortal w 202</w:t>
      </w:r>
      <w:r w:rsidR="005B50CD" w:rsidRPr="005D6D89">
        <w:rPr>
          <w:rFonts w:cs="Arial"/>
          <w:sz w:val="20"/>
          <w:szCs w:val="20"/>
          <w:lang w:val="pl-PL"/>
        </w:rPr>
        <w:t>2</w:t>
      </w:r>
      <w:r w:rsidRPr="005D6D89">
        <w:rPr>
          <w:rFonts w:cs="Arial"/>
          <w:sz w:val="20"/>
          <w:szCs w:val="20"/>
        </w:rPr>
        <w:t xml:space="preserve"> r. wykorzystany został przy prowadzeniu </w:t>
      </w:r>
      <w:r w:rsidR="005B50CD" w:rsidRPr="005D6D89">
        <w:rPr>
          <w:rFonts w:cs="Arial"/>
          <w:sz w:val="20"/>
          <w:szCs w:val="20"/>
        </w:rPr>
        <w:t>58</w:t>
      </w:r>
      <w:r w:rsidR="005B50CD" w:rsidRPr="005D6D89">
        <w:rPr>
          <w:rFonts w:cs="Arial"/>
          <w:sz w:val="20"/>
          <w:szCs w:val="20"/>
          <w:lang w:val="pl-PL"/>
        </w:rPr>
        <w:t> </w:t>
      </w:r>
      <w:r w:rsidR="005B50CD" w:rsidRPr="005D6D89">
        <w:rPr>
          <w:rFonts w:cs="Arial"/>
          <w:sz w:val="20"/>
          <w:szCs w:val="20"/>
        </w:rPr>
        <w:t xml:space="preserve">006 </w:t>
      </w:r>
      <w:r w:rsidRPr="005D6D89">
        <w:rPr>
          <w:rFonts w:cs="Arial"/>
          <w:sz w:val="20"/>
          <w:szCs w:val="20"/>
        </w:rPr>
        <w:t>postępowań o</w:t>
      </w:r>
      <w:r w:rsidRPr="005D6D89">
        <w:rPr>
          <w:rFonts w:cs="Arial"/>
          <w:sz w:val="20"/>
          <w:szCs w:val="20"/>
          <w:lang w:val="pl-PL"/>
        </w:rPr>
        <w:t> </w:t>
      </w:r>
      <w:r w:rsidRPr="005D6D89">
        <w:rPr>
          <w:rFonts w:cs="Arial"/>
          <w:sz w:val="20"/>
          <w:szCs w:val="20"/>
        </w:rPr>
        <w:t>zamówienie publiczne (w 20</w:t>
      </w:r>
      <w:r w:rsidRPr="005D6D89">
        <w:rPr>
          <w:rFonts w:cs="Arial"/>
          <w:sz w:val="20"/>
          <w:szCs w:val="20"/>
          <w:lang w:val="pl-PL"/>
        </w:rPr>
        <w:t>2</w:t>
      </w:r>
      <w:r w:rsidR="005B50CD" w:rsidRPr="005D6D89">
        <w:rPr>
          <w:rFonts w:cs="Arial"/>
          <w:sz w:val="20"/>
          <w:szCs w:val="20"/>
          <w:lang w:val="pl-PL"/>
        </w:rPr>
        <w:t>1</w:t>
      </w:r>
      <w:r w:rsidRPr="005D6D89">
        <w:rPr>
          <w:rFonts w:cs="Arial"/>
          <w:sz w:val="20"/>
          <w:szCs w:val="20"/>
        </w:rPr>
        <w:t xml:space="preserve"> r. – </w:t>
      </w:r>
      <w:r w:rsidR="005B50CD" w:rsidRPr="005D6D89">
        <w:rPr>
          <w:rFonts w:cs="Arial"/>
          <w:sz w:val="20"/>
          <w:szCs w:val="20"/>
        </w:rPr>
        <w:t>54</w:t>
      </w:r>
      <w:r w:rsidR="005B50CD" w:rsidRPr="005D6D89">
        <w:rPr>
          <w:rFonts w:cs="Arial"/>
          <w:sz w:val="20"/>
          <w:szCs w:val="20"/>
          <w:lang w:val="pl-PL"/>
        </w:rPr>
        <w:t> </w:t>
      </w:r>
      <w:r w:rsidR="005B50CD" w:rsidRPr="005D6D89">
        <w:rPr>
          <w:rFonts w:cs="Arial"/>
          <w:sz w:val="20"/>
          <w:szCs w:val="20"/>
        </w:rPr>
        <w:t>337</w:t>
      </w:r>
      <w:r w:rsidRPr="005D6D89">
        <w:rPr>
          <w:rFonts w:cs="Arial"/>
          <w:sz w:val="20"/>
          <w:szCs w:val="20"/>
        </w:rPr>
        <w:t xml:space="preserve">). </w:t>
      </w:r>
    </w:p>
    <w:p w14:paraId="56CE4984" w14:textId="77777777" w:rsidR="00F94DD8" w:rsidRPr="00C947B4" w:rsidRDefault="00F94DD8" w:rsidP="00334727">
      <w:pPr>
        <w:shd w:val="clear" w:color="auto" w:fill="FFFFFF"/>
        <w:rPr>
          <w:rFonts w:cs="Arial"/>
          <w:szCs w:val="22"/>
        </w:rPr>
      </w:pPr>
    </w:p>
    <w:p w14:paraId="6DB2E485" w14:textId="77777777" w:rsidR="00E7144E" w:rsidRPr="00C947B4" w:rsidRDefault="00E7144E" w:rsidP="00334727">
      <w:pPr>
        <w:shd w:val="clear" w:color="auto" w:fill="FFFFFF"/>
        <w:rPr>
          <w:rFonts w:cs="Arial"/>
          <w:szCs w:val="22"/>
        </w:rPr>
        <w:sectPr w:rsidR="00E7144E" w:rsidRPr="00C947B4" w:rsidSect="00333F5B">
          <w:pgSz w:w="11906" w:h="16838"/>
          <w:pgMar w:top="1418" w:right="1418" w:bottom="1418" w:left="1418" w:header="709" w:footer="709" w:gutter="0"/>
          <w:cols w:space="708"/>
          <w:titlePg/>
          <w:docGrid w:linePitch="299"/>
        </w:sectPr>
      </w:pPr>
    </w:p>
    <w:p w14:paraId="6E0F8BEB" w14:textId="77777777" w:rsidR="00173494" w:rsidRDefault="00173494" w:rsidP="00334727">
      <w:pPr>
        <w:shd w:val="clear" w:color="auto" w:fill="FFFFFF"/>
        <w:rPr>
          <w:rFonts w:cs="Arial"/>
          <w:sz w:val="21"/>
          <w:szCs w:val="21"/>
        </w:rPr>
      </w:pPr>
    </w:p>
    <w:tbl>
      <w:tblPr>
        <w:tblW w:w="9480" w:type="dxa"/>
        <w:tblInd w:w="-194" w:type="dxa"/>
        <w:tblLayout w:type="fixed"/>
        <w:tblLook w:val="04A0" w:firstRow="1" w:lastRow="0" w:firstColumn="1" w:lastColumn="0" w:noHBand="0" w:noVBand="1"/>
      </w:tblPr>
      <w:tblGrid>
        <w:gridCol w:w="302"/>
        <w:gridCol w:w="9178"/>
      </w:tblGrid>
      <w:tr w:rsidR="00297DD6" w:rsidRPr="008C3B34" w14:paraId="459A9178" w14:textId="77777777" w:rsidTr="001859E4">
        <w:trPr>
          <w:cantSplit/>
        </w:trPr>
        <w:tc>
          <w:tcPr>
            <w:tcW w:w="302" w:type="dxa"/>
            <w:shd w:val="clear" w:color="auto" w:fill="365F91"/>
          </w:tcPr>
          <w:p w14:paraId="625251C9" w14:textId="77777777" w:rsidR="00297DD6" w:rsidRPr="008C3B34" w:rsidRDefault="00297DD6" w:rsidP="00297DD6">
            <w:pPr>
              <w:pStyle w:val="Nagwek1"/>
              <w:spacing w:after="120"/>
              <w:rPr>
                <w:sz w:val="32"/>
                <w:szCs w:val="32"/>
              </w:rPr>
            </w:pPr>
            <w:bookmarkStart w:id="11" w:name="_Toc223156022"/>
            <w:bookmarkStart w:id="12" w:name="_Toc223156242"/>
            <w:bookmarkStart w:id="13" w:name="_Toc223923406"/>
            <w:bookmarkStart w:id="14" w:name="_Toc223924319"/>
            <w:bookmarkStart w:id="15" w:name="_Toc227651134"/>
          </w:p>
        </w:tc>
        <w:tc>
          <w:tcPr>
            <w:tcW w:w="9178" w:type="dxa"/>
          </w:tcPr>
          <w:p w14:paraId="0B187DB0" w14:textId="77777777" w:rsidR="00297DD6" w:rsidRPr="00812AAA" w:rsidRDefault="00297DD6" w:rsidP="00297DD6">
            <w:pPr>
              <w:pStyle w:val="Nagwek1"/>
              <w:spacing w:after="120"/>
              <w:ind w:left="284" w:hanging="284"/>
              <w:rPr>
                <w:noProof/>
                <w:color w:val="0070C0"/>
                <w:sz w:val="32"/>
                <w:szCs w:val="32"/>
              </w:rPr>
            </w:pPr>
            <w:bookmarkStart w:id="16" w:name="_I._PRAWNE_ASPEKTY"/>
            <w:bookmarkStart w:id="17" w:name="_Ref99029948"/>
            <w:bookmarkStart w:id="18" w:name="_Ref99030077"/>
            <w:bookmarkStart w:id="19" w:name="_Ref99030210"/>
            <w:bookmarkStart w:id="20" w:name="_Toc141276417"/>
            <w:bookmarkEnd w:id="16"/>
            <w:r w:rsidRPr="00812AAA">
              <w:rPr>
                <w:noProof/>
                <w:color w:val="0070C0"/>
                <w:sz w:val="32"/>
                <w:szCs w:val="32"/>
              </w:rPr>
              <w:t>I. PRAWNE ASPEKTY FUNKCJONOWANIA SYSTEMU ZAMÓWIEŃ PUBLICZNYCH W POLSCE</w:t>
            </w:r>
            <w:bookmarkEnd w:id="17"/>
            <w:bookmarkEnd w:id="18"/>
            <w:bookmarkEnd w:id="19"/>
            <w:bookmarkEnd w:id="20"/>
          </w:p>
        </w:tc>
      </w:tr>
    </w:tbl>
    <w:p w14:paraId="5B71C7A8" w14:textId="77777777" w:rsidR="00297DD6" w:rsidRDefault="00297DD6" w:rsidP="007D4DEB">
      <w:pPr>
        <w:shd w:val="clear" w:color="auto" w:fill="FFFFFF"/>
      </w:pPr>
    </w:p>
    <w:tbl>
      <w:tblPr>
        <w:tblW w:w="0" w:type="auto"/>
        <w:tblInd w:w="90" w:type="dxa"/>
        <w:tblLayout w:type="fixed"/>
        <w:tblLook w:val="04A0" w:firstRow="1" w:lastRow="0" w:firstColumn="1" w:lastColumn="0" w:noHBand="0" w:noVBand="1"/>
      </w:tblPr>
      <w:tblGrid>
        <w:gridCol w:w="236"/>
        <w:gridCol w:w="8960"/>
      </w:tblGrid>
      <w:tr w:rsidR="006420BB" w14:paraId="4D9ABBCA" w14:textId="77777777" w:rsidTr="008C3B34">
        <w:trPr>
          <w:cantSplit/>
        </w:trPr>
        <w:tc>
          <w:tcPr>
            <w:tcW w:w="236" w:type="dxa"/>
            <w:shd w:val="clear" w:color="auto" w:fill="95B3D7"/>
          </w:tcPr>
          <w:p w14:paraId="092073F8" w14:textId="77777777" w:rsidR="006420BB" w:rsidRDefault="006420BB" w:rsidP="007D4DEB"/>
        </w:tc>
        <w:tc>
          <w:tcPr>
            <w:tcW w:w="8960" w:type="dxa"/>
          </w:tcPr>
          <w:p w14:paraId="3D0D985B" w14:textId="77777777" w:rsidR="006420BB" w:rsidRPr="00D85B71" w:rsidRDefault="006420BB" w:rsidP="007D4DEB">
            <w:pPr>
              <w:pStyle w:val="Nagwek2"/>
              <w:shd w:val="clear" w:color="auto" w:fill="FFFFFF"/>
              <w:spacing w:after="120"/>
              <w:rPr>
                <w:noProof/>
                <w:color w:val="0070C0"/>
                <w:sz w:val="28"/>
              </w:rPr>
            </w:pPr>
            <w:bookmarkStart w:id="21" w:name="_Toc64451841"/>
            <w:bookmarkStart w:id="22" w:name="_Toc141276418"/>
            <w:r w:rsidRPr="00D85B71">
              <w:rPr>
                <w:noProof/>
                <w:color w:val="0070C0"/>
                <w:sz w:val="28"/>
              </w:rPr>
              <w:t>I.1.</w:t>
            </w:r>
            <w:r w:rsidR="00750B05" w:rsidRPr="00D85B71">
              <w:rPr>
                <w:noProof/>
                <w:color w:val="0070C0"/>
                <w:sz w:val="28"/>
              </w:rPr>
              <w:t xml:space="preserve"> </w:t>
            </w:r>
            <w:r w:rsidRPr="00D85B71">
              <w:rPr>
                <w:color w:val="0070C0"/>
                <w:sz w:val="28"/>
              </w:rPr>
              <w:t>Ustawa – Prawo zamówień publicznych</w:t>
            </w:r>
            <w:bookmarkEnd w:id="21"/>
            <w:bookmarkEnd w:id="22"/>
          </w:p>
        </w:tc>
      </w:tr>
    </w:tbl>
    <w:p w14:paraId="44232154" w14:textId="77777777" w:rsidR="006420BB" w:rsidRDefault="006420BB" w:rsidP="007D4DEB">
      <w:pPr>
        <w:shd w:val="clear" w:color="auto" w:fill="FFFFFF"/>
      </w:pPr>
    </w:p>
    <w:p w14:paraId="4AEBD638" w14:textId="77777777" w:rsidR="00D85B71" w:rsidRDefault="00D85B71" w:rsidP="00D85B71">
      <w:pPr>
        <w:rPr>
          <w:rFonts w:cs="Arial"/>
          <w:szCs w:val="22"/>
        </w:rPr>
      </w:pPr>
      <w:r>
        <w:rPr>
          <w:rFonts w:cs="Arial"/>
          <w:szCs w:val="22"/>
        </w:rPr>
        <w:t>N</w:t>
      </w:r>
      <w:r w:rsidRPr="00F40EE1">
        <w:rPr>
          <w:rFonts w:cs="Arial"/>
          <w:szCs w:val="22"/>
        </w:rPr>
        <w:t xml:space="preserve">ormatywną podstawę funkcjonowania systemu zamówień publicznych w Polsce </w:t>
      </w:r>
      <w:r>
        <w:rPr>
          <w:rFonts w:cs="Arial"/>
          <w:szCs w:val="22"/>
        </w:rPr>
        <w:t xml:space="preserve">w 2022 r. </w:t>
      </w:r>
      <w:r w:rsidRPr="00F40EE1">
        <w:rPr>
          <w:rFonts w:cs="Arial"/>
          <w:szCs w:val="22"/>
        </w:rPr>
        <w:t xml:space="preserve">stanowiła </w:t>
      </w:r>
      <w:r w:rsidRPr="00436882">
        <w:rPr>
          <w:rFonts w:cs="Arial"/>
          <w:szCs w:val="22"/>
        </w:rPr>
        <w:t>ustaw</w:t>
      </w:r>
      <w:r>
        <w:rPr>
          <w:rFonts w:cs="Arial"/>
          <w:szCs w:val="22"/>
        </w:rPr>
        <w:t>a</w:t>
      </w:r>
      <w:r w:rsidRPr="00436882">
        <w:rPr>
          <w:rFonts w:cs="Arial"/>
          <w:szCs w:val="22"/>
        </w:rPr>
        <w:t xml:space="preserve"> z dnia 11 września 2019 r. – Prawo zamówień publicznych (Dz. U. z 2022 r. poz.1710, z późn. zm.)</w:t>
      </w:r>
      <w:r w:rsidRPr="00F40EE1">
        <w:rPr>
          <w:rFonts w:cs="Arial"/>
          <w:szCs w:val="22"/>
        </w:rPr>
        <w:t>, zwana dalej „ustawą – Prawo zamówień publicznych”, „ustawą Pzp” lub „Pzp”</w:t>
      </w:r>
      <w:r>
        <w:rPr>
          <w:rFonts w:cs="Arial"/>
          <w:szCs w:val="22"/>
        </w:rPr>
        <w:t>,</w:t>
      </w:r>
      <w:r w:rsidRPr="00F40EE1">
        <w:rPr>
          <w:rFonts w:cs="Arial"/>
          <w:szCs w:val="22"/>
        </w:rPr>
        <w:t xml:space="preserve"> wraz z aktami wykonawczymi do niej. </w:t>
      </w:r>
    </w:p>
    <w:p w14:paraId="37778142" w14:textId="3009D4D3" w:rsidR="00F50A48" w:rsidRDefault="00F50A48" w:rsidP="00F50A48">
      <w:pPr>
        <w:shd w:val="clear" w:color="auto" w:fill="FFFFFF"/>
        <w:rPr>
          <w:rFonts w:cs="Arial"/>
          <w:bCs/>
        </w:rPr>
      </w:pPr>
    </w:p>
    <w:p w14:paraId="21867D2A" w14:textId="77777777" w:rsidR="00D85B71" w:rsidRDefault="00D85B71" w:rsidP="00D85B71">
      <w:pPr>
        <w:rPr>
          <w:rFonts w:cs="Arial"/>
          <w:szCs w:val="22"/>
        </w:rPr>
      </w:pPr>
      <w:r w:rsidRPr="009E4EFA">
        <w:rPr>
          <w:rFonts w:cs="Arial"/>
          <w:szCs w:val="22"/>
        </w:rPr>
        <w:t>W 202</w:t>
      </w:r>
      <w:r>
        <w:rPr>
          <w:rFonts w:cs="Arial"/>
          <w:szCs w:val="22"/>
        </w:rPr>
        <w:t>2</w:t>
      </w:r>
      <w:r w:rsidRPr="009E4EFA">
        <w:rPr>
          <w:rFonts w:cs="Arial"/>
          <w:szCs w:val="22"/>
        </w:rPr>
        <w:t xml:space="preserve"> roku zostały ogłoszone w Dzienniku Ustaw RP następujące ustawy nowelizujące ustawę Pzp: </w:t>
      </w:r>
    </w:p>
    <w:p w14:paraId="3F7C887A" w14:textId="77777777" w:rsidR="00D85B71" w:rsidRPr="006D6733" w:rsidRDefault="00D85B71" w:rsidP="00D85B71">
      <w:pPr>
        <w:shd w:val="clear" w:color="auto" w:fill="FFFFFF"/>
        <w:rPr>
          <w:rFonts w:cs="Arial"/>
          <w:szCs w:val="22"/>
        </w:rPr>
      </w:pPr>
    </w:p>
    <w:p w14:paraId="278C9075" w14:textId="77777777" w:rsidR="00D85B71" w:rsidRPr="000D2677" w:rsidRDefault="00D85B71" w:rsidP="00E16264">
      <w:pPr>
        <w:pStyle w:val="Default"/>
        <w:numPr>
          <w:ilvl w:val="0"/>
          <w:numId w:val="19"/>
        </w:numPr>
        <w:jc w:val="both"/>
        <w:rPr>
          <w:b/>
          <w:bCs/>
          <w:color w:val="2E74B5" w:themeColor="accent1" w:themeShade="BF"/>
          <w:sz w:val="22"/>
          <w:szCs w:val="22"/>
        </w:rPr>
      </w:pPr>
      <w:r w:rsidRPr="000D2677">
        <w:rPr>
          <w:b/>
          <w:bCs/>
          <w:color w:val="2E74B5" w:themeColor="accent1" w:themeShade="BF"/>
          <w:sz w:val="22"/>
          <w:szCs w:val="22"/>
        </w:rPr>
        <w:t>Ustawa z dnia 2 grudnia 2021 r. o zmianie ustawy – Prawo zamówień publicznych oraz ustawy o niektórych umowach zawieranych w związku z realizacją zamówień o podstawowym znaczeniu dla bezpieczeństwa państwa (Dz. U. z 2022 r. poz. 25)</w:t>
      </w:r>
    </w:p>
    <w:p w14:paraId="568E8DB4" w14:textId="77777777" w:rsidR="00D85B71" w:rsidRDefault="00D85B71" w:rsidP="00D85B71">
      <w:pPr>
        <w:shd w:val="clear" w:color="auto" w:fill="FFFFFF"/>
      </w:pPr>
    </w:p>
    <w:p w14:paraId="35DF0AE2" w14:textId="77777777" w:rsidR="00D85B71" w:rsidRDefault="00D85B71" w:rsidP="00D85B71">
      <w:pPr>
        <w:shd w:val="clear" w:color="auto" w:fill="FFFFFF"/>
      </w:pPr>
      <w:r>
        <w:t xml:space="preserve">Na podstawie tej ustawy został uchylony </w:t>
      </w:r>
      <w:r w:rsidRPr="00D6030C">
        <w:t xml:space="preserve">ust. 2 </w:t>
      </w:r>
      <w:r>
        <w:t xml:space="preserve">w art. </w:t>
      </w:r>
      <w:r w:rsidRPr="00D6030C">
        <w:t xml:space="preserve">12 </w:t>
      </w:r>
      <w:r>
        <w:t>ustawy Pzp. Przepis</w:t>
      </w:r>
      <w:r w:rsidRPr="00D6030C">
        <w:t xml:space="preserve"> pozwalał </w:t>
      </w:r>
      <w:r>
        <w:t xml:space="preserve">zamawiającym </w:t>
      </w:r>
      <w:r w:rsidRPr="00D6030C">
        <w:t>na udziel</w:t>
      </w:r>
      <w:r>
        <w:t>a</w:t>
      </w:r>
      <w:r w:rsidRPr="00D6030C">
        <w:t>nie zamówie</w:t>
      </w:r>
      <w:r>
        <w:t xml:space="preserve">ń, dotyczących produkcji lub handlu bronią, amunicją lub materiałami wojennymi, o których mowa w art. 346 Traktatu o funkcjonowaniu Unii Europejskiej, w oparciu o wybrane przepisy ustawy Pzp, które zostały wskazane w ocenie występowania podstawowego interesu bezpieczeństwa państwa. Uchylono również zawartą w art. 15 ustawy Pzp </w:t>
      </w:r>
      <w:r w:rsidRPr="000C2273">
        <w:t>delegacj</w:t>
      </w:r>
      <w:r>
        <w:t>ę</w:t>
      </w:r>
      <w:r w:rsidRPr="000C2273">
        <w:t xml:space="preserve"> ustawow</w:t>
      </w:r>
      <w:r>
        <w:t>ą</w:t>
      </w:r>
      <w:r w:rsidRPr="000C2273">
        <w:t xml:space="preserve"> </w:t>
      </w:r>
      <w:r>
        <w:t>do wydania rozporządzenia Rady Ministrów określającego tryb postępowania w sprawie oceny występowania podstawowego interesu bezpieczeństwa państwa, sposób określania środków zapewniających ochronę tego interesu, ocenę proporcjonalności środków stosowanych do zapewnienia ochrony tego interesu oraz podmiot właściwy do kwalifikacji zadań, jako zadań o podstawowym znaczeniu dla interesu bezpieczeństwa państwa, sposób określania zakresu stosowania w procedurze udzielenia zamówienia przepisów ustawy, mając na uwadze obowiązek zapewnienia prawidłowego stosowania przepisu art. 346 Traktatu o funkcjonowaniu Unii Europejskiej oraz potrzebę zapewnienia bezpieczeństwa dostaw sprzętu wojskowego w cyklu życia.</w:t>
      </w:r>
    </w:p>
    <w:p w14:paraId="48B1476F" w14:textId="77777777" w:rsidR="00D85B71" w:rsidRDefault="00D85B71" w:rsidP="00D85B71">
      <w:pPr>
        <w:shd w:val="clear" w:color="auto" w:fill="FFFFFF"/>
      </w:pPr>
      <w:bookmarkStart w:id="23" w:name="_Hlk130458426"/>
      <w:r w:rsidRPr="00AC0FCF">
        <w:t>Powyższ</w:t>
      </w:r>
      <w:r>
        <w:t>e</w:t>
      </w:r>
      <w:r w:rsidRPr="00AC0FCF">
        <w:t xml:space="preserve"> zmian</w:t>
      </w:r>
      <w:r>
        <w:t>y</w:t>
      </w:r>
      <w:r w:rsidRPr="00AC0FCF">
        <w:t xml:space="preserve"> </w:t>
      </w:r>
      <w:bookmarkStart w:id="24" w:name="_Hlk130459678"/>
      <w:r w:rsidRPr="00AC0FCF">
        <w:t>weszł</w:t>
      </w:r>
      <w:r>
        <w:t>y</w:t>
      </w:r>
      <w:r w:rsidRPr="00AC0FCF">
        <w:t xml:space="preserve"> w życie z dniem </w:t>
      </w:r>
      <w:r>
        <w:t>20</w:t>
      </w:r>
      <w:r w:rsidRPr="00AC0FCF">
        <w:t xml:space="preserve"> stycznia 2022 r.</w:t>
      </w:r>
    </w:p>
    <w:bookmarkEnd w:id="23"/>
    <w:bookmarkEnd w:id="24"/>
    <w:p w14:paraId="540E442A" w14:textId="77777777" w:rsidR="00D85B71" w:rsidRDefault="00D85B71" w:rsidP="00D85B71">
      <w:pPr>
        <w:shd w:val="clear" w:color="auto" w:fill="FFFFFF"/>
      </w:pPr>
    </w:p>
    <w:p w14:paraId="4259ED1A" w14:textId="77777777" w:rsidR="00D85B71" w:rsidRPr="00BC68C0" w:rsidRDefault="00D85B71" w:rsidP="00E16264">
      <w:pPr>
        <w:pStyle w:val="Default"/>
        <w:numPr>
          <w:ilvl w:val="0"/>
          <w:numId w:val="19"/>
        </w:numPr>
        <w:jc w:val="both"/>
        <w:rPr>
          <w:b/>
          <w:bCs/>
          <w:color w:val="2E74B5" w:themeColor="accent1" w:themeShade="BF"/>
          <w:sz w:val="22"/>
          <w:szCs w:val="22"/>
        </w:rPr>
      </w:pPr>
      <w:r w:rsidRPr="00BC68C0">
        <w:rPr>
          <w:b/>
          <w:bCs/>
          <w:color w:val="2E74B5" w:themeColor="accent1" w:themeShade="BF"/>
          <w:sz w:val="22"/>
          <w:szCs w:val="22"/>
        </w:rPr>
        <w:t>Ustawa z dnia 7 kwietnia 2022 r. o zmianie ustawy o listach zastawnych i bankach hipotecznych oraz niektórych innych ustaw (Dz. U. poz. 872)</w:t>
      </w:r>
    </w:p>
    <w:p w14:paraId="0EE9E33A" w14:textId="77777777" w:rsidR="00D85B71" w:rsidRDefault="00D85B71" w:rsidP="00D85B71">
      <w:pPr>
        <w:shd w:val="clear" w:color="auto" w:fill="FFFFFF"/>
        <w:rPr>
          <w:lang w:val="x-none"/>
        </w:rPr>
      </w:pPr>
    </w:p>
    <w:p w14:paraId="3DBEE74F" w14:textId="61877999" w:rsidR="00D85B71" w:rsidRDefault="00D85B71" w:rsidP="00D85B71">
      <w:pPr>
        <w:shd w:val="clear" w:color="auto" w:fill="FFFFFF"/>
      </w:pPr>
      <w:r>
        <w:t>Zmiany w ustawie Pzp wprowadzone tą ustawą polegały na uchyleniu wyłączeń, o których mowa w</w:t>
      </w:r>
      <w:r w:rsidRPr="00632A3F">
        <w:t xml:space="preserve"> art. 11 ust. 5 pkt 11 lit. c </w:t>
      </w:r>
      <w:r>
        <w:t xml:space="preserve">i pkt 12 </w:t>
      </w:r>
      <w:r w:rsidRPr="00632A3F">
        <w:t>ustawy Pzp</w:t>
      </w:r>
      <w:r>
        <w:t xml:space="preserve">. Pierwsze z nich dotyczyło </w:t>
      </w:r>
      <w:r w:rsidRPr="00632A3F">
        <w:t xml:space="preserve">zamówień o wartości mniejszej niż progi unijne związanych z przymusową restrukturyzacją albo umorzeniem lub konwersją instrumentów kapitałowych, o których mowa w art. 101 ust. 7 ustawy z dnia 10 czerwca 2016 r. o Bankowym Funduszu Gwarancyjnym, systemie gwarantowania depozytów oraz przymusowej restrukturyzacji, których przedmiotem jest powierzenie przedsiębiorcy lub przedsiębiorcy zagranicznemu wykonywania pośrednictwa w zakresie czynności wymienionych w art. 5 i art. 6 ustawy z dnia 29 sierpnia 1997 r. – Prawo bankowe, w imieniu i na rzecz banku w restrukturyzacji, oraz czynności związanych z działalnością prowadzoną przez firmę inwestycyjną w restrukturyzacji, w tym z prowadzoną przez nią działalnością maklerską. </w:t>
      </w:r>
      <w:r>
        <w:t xml:space="preserve">Z kolei drugie wyłączenie obejmowało </w:t>
      </w:r>
      <w:r w:rsidRPr="00B13134">
        <w:t>zamówie</w:t>
      </w:r>
      <w:r>
        <w:t xml:space="preserve">nia </w:t>
      </w:r>
      <w:r w:rsidRPr="00B13134">
        <w:t>o wartości mniejszej niż progi unijne udzielan</w:t>
      </w:r>
      <w:r>
        <w:t>e</w:t>
      </w:r>
      <w:r w:rsidRPr="00B13134">
        <w:t xml:space="preserve"> przez instytucję pomostową, o której mowa w art. 2 pkt 26 ustawy z dnia 10 czerwca 2016 r. o Bankowym Funduszu Gwarancyjnym, lub podmiot zarządzający aktywami, o którym mowa w art. 2 pkt 46 tej ustawy.</w:t>
      </w:r>
      <w:r>
        <w:t xml:space="preserve"> </w:t>
      </w:r>
      <w:r w:rsidRPr="00B13134">
        <w:t>Ponadto doprecyzowano, że wskazane w art. 11 ust. 5 pkt 13 ustawy Pzp wyłączenie obejmuje również zamówienia na aktualizację oszacowania określonego w art. 19f ust. 8 ustaw</w:t>
      </w:r>
      <w:r w:rsidR="00962635">
        <w:t>y</w:t>
      </w:r>
      <w:r w:rsidRPr="00B13134">
        <w:t xml:space="preserve"> z dnia 12 lutego 2010 r. o rekapitalizacji niektórych instytucji oraz o rządowych instrumentach stabilizacji finansowej.</w:t>
      </w:r>
      <w:r w:rsidR="009343A1">
        <w:t xml:space="preserve"> </w:t>
      </w:r>
    </w:p>
    <w:p w14:paraId="5FBCA73A" w14:textId="77777777" w:rsidR="00D85B71" w:rsidRDefault="00D85B71" w:rsidP="00D85B71">
      <w:pPr>
        <w:shd w:val="clear" w:color="auto" w:fill="FFFFFF"/>
      </w:pPr>
      <w:r w:rsidRPr="00AC0FCF">
        <w:t>Powyższ</w:t>
      </w:r>
      <w:r>
        <w:t>e</w:t>
      </w:r>
      <w:r w:rsidRPr="00AC0FCF">
        <w:t xml:space="preserve"> zmian</w:t>
      </w:r>
      <w:r>
        <w:t>y</w:t>
      </w:r>
      <w:r w:rsidRPr="00AC0FCF">
        <w:t xml:space="preserve"> weszł</w:t>
      </w:r>
      <w:r>
        <w:t>y</w:t>
      </w:r>
      <w:r w:rsidRPr="00AC0FCF">
        <w:t xml:space="preserve"> w życie z dniem </w:t>
      </w:r>
      <w:r>
        <w:t>7 maja</w:t>
      </w:r>
      <w:r w:rsidRPr="00AC0FCF">
        <w:t xml:space="preserve"> 2022 r.</w:t>
      </w:r>
    </w:p>
    <w:p w14:paraId="309E152C" w14:textId="77777777" w:rsidR="00D85B71" w:rsidRDefault="00D85B71" w:rsidP="00D85B71">
      <w:pPr>
        <w:shd w:val="clear" w:color="auto" w:fill="FFFFFF"/>
      </w:pPr>
    </w:p>
    <w:p w14:paraId="3B9EF4ED" w14:textId="77C2F280" w:rsidR="00D85B71" w:rsidRPr="00BC68C0" w:rsidRDefault="00D85B71" w:rsidP="00E16264">
      <w:pPr>
        <w:pStyle w:val="Default"/>
        <w:numPr>
          <w:ilvl w:val="0"/>
          <w:numId w:val="19"/>
        </w:numPr>
        <w:jc w:val="both"/>
        <w:rPr>
          <w:b/>
          <w:bCs/>
          <w:color w:val="2E74B5" w:themeColor="accent1" w:themeShade="BF"/>
          <w:sz w:val="22"/>
          <w:szCs w:val="22"/>
        </w:rPr>
      </w:pPr>
      <w:r w:rsidRPr="00BC68C0">
        <w:rPr>
          <w:b/>
          <w:bCs/>
          <w:color w:val="2E74B5" w:themeColor="accent1" w:themeShade="BF"/>
          <w:sz w:val="22"/>
          <w:szCs w:val="22"/>
        </w:rPr>
        <w:t>Ustawa z dnia 28 kwietnia 2022 r. o zasadach realizacji zadań finansowanych ze środków europejskich w perspektywie finansowej 2021-2027 (Dz.</w:t>
      </w:r>
      <w:r w:rsidR="00837101">
        <w:rPr>
          <w:b/>
          <w:bCs/>
          <w:color w:val="2E74B5" w:themeColor="accent1" w:themeShade="BF"/>
          <w:sz w:val="22"/>
          <w:szCs w:val="22"/>
        </w:rPr>
        <w:t xml:space="preserve"> </w:t>
      </w:r>
      <w:r w:rsidRPr="00BC68C0">
        <w:rPr>
          <w:b/>
          <w:bCs/>
          <w:color w:val="2E74B5" w:themeColor="accent1" w:themeShade="BF"/>
          <w:sz w:val="22"/>
          <w:szCs w:val="22"/>
        </w:rPr>
        <w:t>U. poz. 1079)</w:t>
      </w:r>
    </w:p>
    <w:p w14:paraId="5C270DEC" w14:textId="77777777" w:rsidR="00D85B71" w:rsidRDefault="00D85B71" w:rsidP="00D85B71">
      <w:pPr>
        <w:shd w:val="clear" w:color="auto" w:fill="FFFFFF"/>
      </w:pPr>
    </w:p>
    <w:p w14:paraId="614E112A" w14:textId="450ACEFE" w:rsidR="00D85B71" w:rsidRDefault="00D85B71" w:rsidP="00D85B71">
      <w:pPr>
        <w:shd w:val="clear" w:color="auto" w:fill="FFFFFF"/>
      </w:pPr>
      <w:r>
        <w:t xml:space="preserve">Na </w:t>
      </w:r>
      <w:r w:rsidRPr="00383B5B">
        <w:t>mo</w:t>
      </w:r>
      <w:r>
        <w:t>cy tej ustawy</w:t>
      </w:r>
      <w:r w:rsidRPr="00383B5B">
        <w:t xml:space="preserve"> </w:t>
      </w:r>
      <w:r>
        <w:t xml:space="preserve">w art. 495 </w:t>
      </w:r>
      <w:r w:rsidR="00962635">
        <w:t xml:space="preserve">w </w:t>
      </w:r>
      <w:r>
        <w:t xml:space="preserve">ust. 1 </w:t>
      </w:r>
      <w:r w:rsidR="00962635">
        <w:t xml:space="preserve">w </w:t>
      </w:r>
      <w:r>
        <w:t xml:space="preserve">pkt 2 </w:t>
      </w:r>
      <w:r w:rsidR="00962635">
        <w:t xml:space="preserve">ustawy Pzp </w:t>
      </w:r>
      <w:r>
        <w:t>została uchylona lit. e oraz zostało zmienione brzmienie art. 596 ust. 2 pkt 4</w:t>
      </w:r>
      <w:r w:rsidR="00962635">
        <w:t xml:space="preserve"> ustawy Pzp</w:t>
      </w:r>
      <w:r>
        <w:t xml:space="preserve">. Zmiany te polegały odpowiednio na </w:t>
      </w:r>
      <w:r w:rsidRPr="00383B5B">
        <w:t>wykreśl</w:t>
      </w:r>
      <w:r>
        <w:t>eniu</w:t>
      </w:r>
      <w:r w:rsidRPr="00383B5B">
        <w:t xml:space="preserve"> instytucj</w:t>
      </w:r>
      <w:r>
        <w:t>i</w:t>
      </w:r>
      <w:r w:rsidRPr="00383B5B">
        <w:t xml:space="preserve"> audytow</w:t>
      </w:r>
      <w:r>
        <w:t>ej</w:t>
      </w:r>
      <w:r w:rsidRPr="00383B5B">
        <w:t xml:space="preserve"> (w rozumieniu przepisów dotyczących realizacji programów w zakresie polityki spójności) ze składu Komitetu d</w:t>
      </w:r>
      <w:r>
        <w:t xml:space="preserve">o </w:t>
      </w:r>
      <w:r w:rsidRPr="00383B5B">
        <w:t>s</w:t>
      </w:r>
      <w:r>
        <w:t>praw</w:t>
      </w:r>
      <w:r w:rsidRPr="00383B5B">
        <w:t xml:space="preserve"> Kontroli w Zamówieniach Publicznych</w:t>
      </w:r>
      <w:r>
        <w:t xml:space="preserve"> oraz </w:t>
      </w:r>
      <w:r w:rsidRPr="00383B5B">
        <w:t xml:space="preserve">z listy organów kontroli prowadzących kontrole w zakresie </w:t>
      </w:r>
      <w:r>
        <w:t xml:space="preserve">zgodności z przepisami ustawy Pzp. </w:t>
      </w:r>
    </w:p>
    <w:p w14:paraId="0AF570D2" w14:textId="77777777" w:rsidR="00D85B71" w:rsidRDefault="00D85B71" w:rsidP="00D85B71">
      <w:pPr>
        <w:shd w:val="clear" w:color="auto" w:fill="FFFFFF"/>
      </w:pPr>
      <w:r w:rsidRPr="00AC0FCF">
        <w:t>Powyższ</w:t>
      </w:r>
      <w:r>
        <w:t>e</w:t>
      </w:r>
      <w:r w:rsidRPr="00AC0FCF">
        <w:t xml:space="preserve"> zmian</w:t>
      </w:r>
      <w:r>
        <w:t>y</w:t>
      </w:r>
      <w:r w:rsidRPr="00AC0FCF">
        <w:t xml:space="preserve"> weszł</w:t>
      </w:r>
      <w:r>
        <w:t>y</w:t>
      </w:r>
      <w:r w:rsidRPr="00AC0FCF">
        <w:t xml:space="preserve"> w życie z dniem </w:t>
      </w:r>
      <w:r>
        <w:t>4 czerwca</w:t>
      </w:r>
      <w:r w:rsidRPr="00AC0FCF">
        <w:t xml:space="preserve"> 2022 r.</w:t>
      </w:r>
    </w:p>
    <w:p w14:paraId="04F5E5BC" w14:textId="77777777" w:rsidR="00D85B71" w:rsidRDefault="00D85B71" w:rsidP="00D85B71">
      <w:pPr>
        <w:shd w:val="clear" w:color="auto" w:fill="FFFFFF"/>
      </w:pPr>
    </w:p>
    <w:p w14:paraId="687B0EAC" w14:textId="72C38FFD" w:rsidR="00D85B71" w:rsidRPr="00BC68C0" w:rsidRDefault="00D85B71" w:rsidP="00E16264">
      <w:pPr>
        <w:pStyle w:val="Default"/>
        <w:numPr>
          <w:ilvl w:val="0"/>
          <w:numId w:val="19"/>
        </w:numPr>
        <w:jc w:val="both"/>
        <w:rPr>
          <w:b/>
          <w:bCs/>
          <w:color w:val="2E74B5" w:themeColor="accent1" w:themeShade="BF"/>
          <w:sz w:val="22"/>
          <w:szCs w:val="22"/>
        </w:rPr>
      </w:pPr>
      <w:r w:rsidRPr="00BC68C0">
        <w:rPr>
          <w:b/>
          <w:bCs/>
          <w:color w:val="2E74B5" w:themeColor="accent1" w:themeShade="BF"/>
          <w:sz w:val="22"/>
          <w:szCs w:val="22"/>
        </w:rPr>
        <w:t>Ustawa z dnia 5 sierpnia 2022 r. o ekonomii społecznej (Dz.</w:t>
      </w:r>
      <w:r w:rsidR="00837101">
        <w:rPr>
          <w:b/>
          <w:bCs/>
          <w:color w:val="2E74B5" w:themeColor="accent1" w:themeShade="BF"/>
          <w:sz w:val="22"/>
          <w:szCs w:val="22"/>
        </w:rPr>
        <w:t xml:space="preserve"> </w:t>
      </w:r>
      <w:r w:rsidRPr="00BC68C0">
        <w:rPr>
          <w:b/>
          <w:bCs/>
          <w:color w:val="2E74B5" w:themeColor="accent1" w:themeShade="BF"/>
          <w:sz w:val="22"/>
          <w:szCs w:val="22"/>
        </w:rPr>
        <w:t>U. poz. 1812)</w:t>
      </w:r>
    </w:p>
    <w:p w14:paraId="53EED139" w14:textId="77777777" w:rsidR="00D85B71" w:rsidRPr="006E5220" w:rsidRDefault="00D85B71" w:rsidP="00D85B71">
      <w:pPr>
        <w:shd w:val="clear" w:color="auto" w:fill="FFFFFF"/>
        <w:rPr>
          <w:rFonts w:cs="Arial"/>
          <w:szCs w:val="22"/>
        </w:rPr>
      </w:pPr>
    </w:p>
    <w:p w14:paraId="0BDD5166" w14:textId="33991E90" w:rsidR="00D85B71" w:rsidRPr="006E5220" w:rsidRDefault="00D85B71" w:rsidP="00D85B71">
      <w:pPr>
        <w:shd w:val="clear" w:color="auto" w:fill="FFFFFF"/>
        <w:rPr>
          <w:rFonts w:cs="Arial"/>
          <w:szCs w:val="22"/>
        </w:rPr>
      </w:pPr>
      <w:r w:rsidRPr="005F0E90">
        <w:rPr>
          <w:rFonts w:cs="Arial"/>
          <w:szCs w:val="22"/>
        </w:rPr>
        <w:t>W następstwie tej ustawy</w:t>
      </w:r>
      <w:r w:rsidRPr="006E5220">
        <w:rPr>
          <w:rFonts w:cs="Arial"/>
          <w:szCs w:val="22"/>
        </w:rPr>
        <w:t xml:space="preserve"> </w:t>
      </w:r>
      <w:r>
        <w:rPr>
          <w:rFonts w:cs="Arial"/>
          <w:szCs w:val="22"/>
        </w:rPr>
        <w:t xml:space="preserve">w </w:t>
      </w:r>
      <w:r w:rsidRPr="006E5220">
        <w:rPr>
          <w:rFonts w:cs="Arial"/>
          <w:szCs w:val="22"/>
        </w:rPr>
        <w:t>art. 361</w:t>
      </w:r>
      <w:r w:rsidRPr="007A5B9B">
        <w:rPr>
          <w:rFonts w:cs="Arial"/>
          <w:szCs w:val="22"/>
        </w:rPr>
        <w:t xml:space="preserve"> </w:t>
      </w:r>
      <w:r w:rsidRPr="006E5220">
        <w:rPr>
          <w:rFonts w:cs="Arial"/>
          <w:szCs w:val="22"/>
        </w:rPr>
        <w:t xml:space="preserve">ustawy Pzp </w:t>
      </w:r>
      <w:r>
        <w:rPr>
          <w:rFonts w:cs="Arial"/>
          <w:szCs w:val="22"/>
        </w:rPr>
        <w:t xml:space="preserve">został dodany </w:t>
      </w:r>
      <w:r w:rsidRPr="006E5220">
        <w:rPr>
          <w:rFonts w:cs="Arial"/>
          <w:szCs w:val="22"/>
        </w:rPr>
        <w:t>ust. 3, który umożliwia żądanie od wykonawców m.in. zaświadczenia wojewody potwierdzającego, że przedsiębiorstwo społeczne spełnia wymienione w art. 361 ust. 1 pkt 1</w:t>
      </w:r>
      <w:r w:rsidR="003F5F84" w:rsidRPr="003F5F84">
        <w:rPr>
          <w:rFonts w:cs="Arial"/>
          <w:szCs w:val="22"/>
        </w:rPr>
        <w:t>–</w:t>
      </w:r>
      <w:r w:rsidRPr="006E5220">
        <w:rPr>
          <w:rFonts w:cs="Arial"/>
          <w:szCs w:val="22"/>
        </w:rPr>
        <w:t xml:space="preserve">3 ustawy Pzp, </w:t>
      </w:r>
      <w:r w:rsidRPr="00AB5550">
        <w:rPr>
          <w:rFonts w:cs="Arial"/>
          <w:szCs w:val="22"/>
          <w:shd w:val="clear" w:color="auto" w:fill="FFFFFF"/>
        </w:rPr>
        <w:t>w szczególności</w:t>
      </w:r>
      <w:r w:rsidR="00B2441C">
        <w:rPr>
          <w:rFonts w:cs="Arial"/>
          <w:szCs w:val="22"/>
          <w:shd w:val="clear" w:color="auto" w:fill="FFFFFF"/>
        </w:rPr>
        <w:t xml:space="preserve"> zaświadczenia, o którym mowa w </w:t>
      </w:r>
      <w:r w:rsidRPr="00B2441C">
        <w:rPr>
          <w:rFonts w:cs="Arial"/>
          <w:szCs w:val="22"/>
          <w:shd w:val="clear" w:color="auto" w:fill="FFFFFF"/>
        </w:rPr>
        <w:t>art. 27</w:t>
      </w:r>
      <w:r w:rsidR="00B2441C">
        <w:rPr>
          <w:rFonts w:cs="Arial"/>
          <w:szCs w:val="22"/>
          <w:shd w:val="clear" w:color="auto" w:fill="FFFFFF"/>
        </w:rPr>
        <w:t xml:space="preserve"> </w:t>
      </w:r>
      <w:r w:rsidRPr="00AB5550">
        <w:rPr>
          <w:rFonts w:cs="Arial"/>
          <w:szCs w:val="22"/>
          <w:shd w:val="clear" w:color="auto" w:fill="FFFFFF"/>
        </w:rPr>
        <w:t xml:space="preserve">ustawy z dnia 5 sierpnia 2022 </w:t>
      </w:r>
      <w:r w:rsidR="00B2441C">
        <w:rPr>
          <w:rFonts w:cs="Arial"/>
          <w:szCs w:val="22"/>
          <w:shd w:val="clear" w:color="auto" w:fill="FFFFFF"/>
        </w:rPr>
        <w:t>r. o ekonomii społecznej (Dz.</w:t>
      </w:r>
      <w:r w:rsidR="003F5F84">
        <w:rPr>
          <w:rFonts w:cs="Arial"/>
          <w:szCs w:val="22"/>
          <w:shd w:val="clear" w:color="auto" w:fill="FFFFFF"/>
        </w:rPr>
        <w:t xml:space="preserve"> </w:t>
      </w:r>
      <w:r w:rsidR="00B2441C">
        <w:rPr>
          <w:rFonts w:cs="Arial"/>
          <w:szCs w:val="22"/>
          <w:shd w:val="clear" w:color="auto" w:fill="FFFFFF"/>
        </w:rPr>
        <w:t xml:space="preserve">U. </w:t>
      </w:r>
      <w:r w:rsidRPr="00B2441C">
        <w:rPr>
          <w:rFonts w:cs="Arial"/>
          <w:szCs w:val="22"/>
          <w:shd w:val="clear" w:color="auto" w:fill="FFFFFF"/>
        </w:rPr>
        <w:t>poz. 1812</w:t>
      </w:r>
      <w:r w:rsidRPr="00AB5550">
        <w:rPr>
          <w:rFonts w:cs="Arial"/>
          <w:szCs w:val="22"/>
          <w:shd w:val="clear" w:color="auto" w:fill="FFFFFF"/>
        </w:rPr>
        <w:t xml:space="preserve">). </w:t>
      </w:r>
    </w:p>
    <w:p w14:paraId="448879CA" w14:textId="77777777" w:rsidR="00D85B71" w:rsidRDefault="00D85B71" w:rsidP="00D85B71">
      <w:pPr>
        <w:shd w:val="clear" w:color="auto" w:fill="FFFFFF"/>
      </w:pPr>
      <w:r w:rsidRPr="00AC0FCF">
        <w:t>Powyższ</w:t>
      </w:r>
      <w:r>
        <w:t>a</w:t>
      </w:r>
      <w:r w:rsidRPr="00AC0FCF">
        <w:t xml:space="preserve"> zmian</w:t>
      </w:r>
      <w:r>
        <w:t>a</w:t>
      </w:r>
      <w:r w:rsidRPr="00AC0FCF">
        <w:t xml:space="preserve"> weszł</w:t>
      </w:r>
      <w:r>
        <w:t>a</w:t>
      </w:r>
      <w:r w:rsidRPr="00AC0FCF">
        <w:t xml:space="preserve"> w życie z dniem </w:t>
      </w:r>
      <w:r>
        <w:t>30 października</w:t>
      </w:r>
      <w:r w:rsidRPr="00AC0FCF">
        <w:t xml:space="preserve"> 2022 r.</w:t>
      </w:r>
    </w:p>
    <w:p w14:paraId="42B51C04" w14:textId="77777777" w:rsidR="00D85B71" w:rsidRDefault="00D85B71" w:rsidP="00D85B71">
      <w:pPr>
        <w:shd w:val="clear" w:color="auto" w:fill="FFFFFF"/>
      </w:pPr>
    </w:p>
    <w:p w14:paraId="390092EE" w14:textId="77777777" w:rsidR="00D85B71" w:rsidRPr="00BC68C0" w:rsidRDefault="00D85B71" w:rsidP="00E16264">
      <w:pPr>
        <w:pStyle w:val="Default"/>
        <w:numPr>
          <w:ilvl w:val="0"/>
          <w:numId w:val="19"/>
        </w:numPr>
        <w:jc w:val="both"/>
        <w:rPr>
          <w:b/>
          <w:bCs/>
          <w:color w:val="2E74B5" w:themeColor="accent1" w:themeShade="BF"/>
          <w:sz w:val="22"/>
          <w:szCs w:val="22"/>
        </w:rPr>
      </w:pPr>
      <w:r w:rsidRPr="00BC68C0">
        <w:rPr>
          <w:b/>
          <w:bCs/>
          <w:color w:val="2E74B5" w:themeColor="accent1" w:themeShade="BF"/>
          <w:sz w:val="22"/>
          <w:szCs w:val="22"/>
        </w:rPr>
        <w:t xml:space="preserve">Ustawa z dnia 22 lipca 2022 r. o zmianie ustawy o Służbie Więziennej oraz niektórych innych ustaw (Dz. U. poz. 1933) </w:t>
      </w:r>
    </w:p>
    <w:p w14:paraId="66118741" w14:textId="77777777" w:rsidR="00D85B71" w:rsidRDefault="00D85B71" w:rsidP="00D85B71">
      <w:pPr>
        <w:shd w:val="clear" w:color="auto" w:fill="FFFFFF"/>
      </w:pPr>
    </w:p>
    <w:p w14:paraId="497EBDCD" w14:textId="3BD81CFC" w:rsidR="00D85B71" w:rsidRDefault="00D85B71" w:rsidP="00D85B71">
      <w:pPr>
        <w:shd w:val="clear" w:color="auto" w:fill="FFFFFF"/>
      </w:pPr>
      <w:r>
        <w:t>Na podstawie tej ustawy został zmienion</w:t>
      </w:r>
      <w:r w:rsidR="00AB45DB">
        <w:t>y</w:t>
      </w:r>
      <w:r>
        <w:t xml:space="preserve"> art. 11 ust. 5 pkt 8 ustawy Pzp dopuszczając st</w:t>
      </w:r>
      <w:r w:rsidRPr="00310AEA">
        <w:t>osowani</w:t>
      </w:r>
      <w:r>
        <w:t>e</w:t>
      </w:r>
      <w:r w:rsidRPr="00310AEA">
        <w:t xml:space="preserve"> wyłączenia </w:t>
      </w:r>
      <w:r>
        <w:t>ustawy</w:t>
      </w:r>
      <w:r w:rsidRPr="00310AEA">
        <w:t xml:space="preserve"> </w:t>
      </w:r>
      <w:r w:rsidR="00AB45DB">
        <w:t xml:space="preserve">Pzp </w:t>
      </w:r>
      <w:r w:rsidRPr="00310AEA">
        <w:t xml:space="preserve">do zamówień udzielanych </w:t>
      </w:r>
      <w:r>
        <w:t xml:space="preserve">przez Ministra Sprawiedliwości </w:t>
      </w:r>
      <w:r w:rsidRPr="00310AEA">
        <w:t>przywięziennym zakładom pracy</w:t>
      </w:r>
      <w:r>
        <w:t xml:space="preserve"> w przypadku, gdy zamówienie będzie realizowane przy udziale podwykonawców</w:t>
      </w:r>
      <w:r w:rsidRPr="00310AEA">
        <w:t>,</w:t>
      </w:r>
      <w:r>
        <w:t xml:space="preserve"> jednak </w:t>
      </w:r>
      <w:r w:rsidRPr="00866497">
        <w:t xml:space="preserve">pod warunkiem, że co najmniej część zamówienia </w:t>
      </w:r>
      <w:r>
        <w:t>będzie</w:t>
      </w:r>
      <w:r w:rsidRPr="00866497">
        <w:t xml:space="preserve"> realizowana przez osoby pozbawione wolności</w:t>
      </w:r>
      <w:r>
        <w:t xml:space="preserve">. Ponadto w art. 94 ustawy Pzp dodano ust. 1a, w którym </w:t>
      </w:r>
      <w:r w:rsidRPr="00310AEA">
        <w:t xml:space="preserve">doprecyzowano, że </w:t>
      </w:r>
      <w:r>
        <w:t xml:space="preserve">stanowiący przesłankę ubiegania się o tzw. zamówienia zastrzeżone </w:t>
      </w:r>
      <w:r w:rsidRPr="00310AEA">
        <w:t xml:space="preserve">wskaźnik procentowy zatrudnienia </w:t>
      </w:r>
      <w:r>
        <w:t xml:space="preserve">osób należących do jednej lub więcej </w:t>
      </w:r>
      <w:r w:rsidRPr="00310AEA">
        <w:t>kategorii osób społecznie marginalizowanych</w:t>
      </w:r>
      <w:r>
        <w:t xml:space="preserve">, </w:t>
      </w:r>
      <w:r w:rsidRPr="00310AEA">
        <w:t xml:space="preserve">liczony jest w </w:t>
      </w:r>
      <w:r>
        <w:t xml:space="preserve">odniesieniu </w:t>
      </w:r>
      <w:r w:rsidRPr="00310AEA">
        <w:t xml:space="preserve">do ogólnego zatrudnienia </w:t>
      </w:r>
      <w:r>
        <w:t xml:space="preserve">w danym podmiocie </w:t>
      </w:r>
      <w:r w:rsidRPr="00310AEA">
        <w:t>osób społecznie marginalizowanych</w:t>
      </w:r>
      <w:r>
        <w:t>.</w:t>
      </w:r>
    </w:p>
    <w:p w14:paraId="1E443E9C" w14:textId="77777777" w:rsidR="00D85B71" w:rsidRDefault="00D85B71" w:rsidP="00D85B71">
      <w:pPr>
        <w:shd w:val="clear" w:color="auto" w:fill="FFFFFF"/>
      </w:pPr>
      <w:bookmarkStart w:id="25" w:name="_Hlk130458857"/>
      <w:r w:rsidRPr="00D113B5">
        <w:t xml:space="preserve">Powyższe zmiany weszły w życie z dniem </w:t>
      </w:r>
      <w:r>
        <w:t xml:space="preserve">28 września </w:t>
      </w:r>
      <w:r w:rsidRPr="00D113B5">
        <w:t>2022 r.</w:t>
      </w:r>
      <w:bookmarkEnd w:id="25"/>
    </w:p>
    <w:p w14:paraId="3B22B80B" w14:textId="77777777" w:rsidR="00D85B71" w:rsidRDefault="00D85B71" w:rsidP="00D85B71">
      <w:pPr>
        <w:shd w:val="clear" w:color="auto" w:fill="FFFFFF"/>
      </w:pPr>
    </w:p>
    <w:p w14:paraId="3DFB61E0" w14:textId="4C92A4AB" w:rsidR="00D85B71" w:rsidRPr="00BC68C0" w:rsidRDefault="00D85B71" w:rsidP="00E16264">
      <w:pPr>
        <w:pStyle w:val="Default"/>
        <w:numPr>
          <w:ilvl w:val="0"/>
          <w:numId w:val="19"/>
        </w:numPr>
        <w:jc w:val="both"/>
        <w:rPr>
          <w:b/>
          <w:bCs/>
          <w:color w:val="2E74B5" w:themeColor="accent1" w:themeShade="BF"/>
          <w:sz w:val="22"/>
          <w:szCs w:val="22"/>
        </w:rPr>
      </w:pPr>
      <w:r w:rsidRPr="00BC68C0">
        <w:rPr>
          <w:b/>
          <w:bCs/>
          <w:color w:val="2E74B5" w:themeColor="accent1" w:themeShade="BF"/>
          <w:sz w:val="22"/>
          <w:szCs w:val="22"/>
        </w:rPr>
        <w:t>Ustawa z dnia 7 października 2022 r. o zmianie niektórych ustaw w celu uproszczenia procedur administracyjnych dla obywateli i przedsiębiorców (Dz.</w:t>
      </w:r>
      <w:r w:rsidR="00AB45DB">
        <w:rPr>
          <w:b/>
          <w:bCs/>
          <w:color w:val="2E74B5" w:themeColor="accent1" w:themeShade="BF"/>
          <w:sz w:val="22"/>
          <w:szCs w:val="22"/>
        </w:rPr>
        <w:t xml:space="preserve"> </w:t>
      </w:r>
      <w:r w:rsidRPr="00BC68C0">
        <w:rPr>
          <w:b/>
          <w:bCs/>
          <w:color w:val="2E74B5" w:themeColor="accent1" w:themeShade="BF"/>
          <w:sz w:val="22"/>
          <w:szCs w:val="22"/>
        </w:rPr>
        <w:t>U. poz. 2185)</w:t>
      </w:r>
    </w:p>
    <w:p w14:paraId="6FE6AD15" w14:textId="77777777" w:rsidR="00D85B71" w:rsidRDefault="00D85B71" w:rsidP="00D85B71">
      <w:pPr>
        <w:shd w:val="clear" w:color="auto" w:fill="FFFFFF"/>
      </w:pPr>
    </w:p>
    <w:p w14:paraId="7F8AEF3E" w14:textId="78D95601" w:rsidR="00D85B71" w:rsidRDefault="00D85B71" w:rsidP="00D85B71">
      <w:pPr>
        <w:shd w:val="clear" w:color="auto" w:fill="FFFFFF"/>
      </w:pPr>
      <w:r>
        <w:t>Ustawą tą zmieniono</w:t>
      </w:r>
      <w:r w:rsidRPr="00C6363B">
        <w:t xml:space="preserve"> </w:t>
      </w:r>
      <w:r>
        <w:t xml:space="preserve">art. 439 ust. 1 i ust. 5 pkt 1 i 2 ustawy Pzp, </w:t>
      </w:r>
      <w:r w:rsidRPr="00310AEA">
        <w:t>wprowadz</w:t>
      </w:r>
      <w:r>
        <w:t xml:space="preserve">ając </w:t>
      </w:r>
      <w:r w:rsidRPr="00310AEA">
        <w:t>obowiązek waloryzacji umów na roboty budowlane, dostawy i usługi zawartych na okres dłuższy niż 6 miesięcy</w:t>
      </w:r>
      <w:r>
        <w:t xml:space="preserve">. </w:t>
      </w:r>
      <w:r w:rsidR="00757D68">
        <w:t>Zmieniono</w:t>
      </w:r>
      <w:r>
        <w:t xml:space="preserve"> również art. 455 ust. 1 pkt 4 ustawy Pzp, wskazując, że dopuszczona w tym przepisie zmiana umowy spowodowana nieprzewidzianymi okolicznościami może dotyczyć w szczególności zmiany wysokości ceny. </w:t>
      </w:r>
    </w:p>
    <w:p w14:paraId="10091E07" w14:textId="77777777" w:rsidR="00D85B71" w:rsidRDefault="00D85B71" w:rsidP="00D85B71">
      <w:pPr>
        <w:shd w:val="clear" w:color="auto" w:fill="FFFFFF"/>
      </w:pPr>
      <w:r w:rsidRPr="00397F5F">
        <w:t xml:space="preserve">Powyższe zmiany weszły w życie z dniem </w:t>
      </w:r>
      <w:r>
        <w:t>10 listopada</w:t>
      </w:r>
      <w:r w:rsidRPr="00397F5F">
        <w:t xml:space="preserve"> 2022 r.</w:t>
      </w:r>
    </w:p>
    <w:p w14:paraId="4E160A5B" w14:textId="77777777" w:rsidR="00033A2B" w:rsidRPr="00033A2B" w:rsidRDefault="00033A2B" w:rsidP="00033A2B">
      <w:pPr>
        <w:shd w:val="clear" w:color="auto" w:fill="FFFFFF"/>
        <w:rPr>
          <w:rFonts w:cs="Arial"/>
          <w:szCs w:val="22"/>
        </w:rPr>
      </w:pPr>
    </w:p>
    <w:p w14:paraId="0E5F6A84" w14:textId="77777777" w:rsidR="00542335" w:rsidRPr="006D6733" w:rsidRDefault="00542335" w:rsidP="007D4DEB">
      <w:pPr>
        <w:shd w:val="clear" w:color="auto" w:fill="FFFFFF"/>
      </w:pPr>
    </w:p>
    <w:tbl>
      <w:tblPr>
        <w:tblW w:w="0" w:type="auto"/>
        <w:tblInd w:w="90" w:type="dxa"/>
        <w:tblLayout w:type="fixed"/>
        <w:tblLook w:val="04A0" w:firstRow="1" w:lastRow="0" w:firstColumn="1" w:lastColumn="0" w:noHBand="0" w:noVBand="1"/>
      </w:tblPr>
      <w:tblGrid>
        <w:gridCol w:w="236"/>
        <w:gridCol w:w="8960"/>
      </w:tblGrid>
      <w:tr w:rsidR="0081774D" w14:paraId="2A7CCB16" w14:textId="77777777" w:rsidTr="008C3B34">
        <w:trPr>
          <w:cantSplit/>
        </w:trPr>
        <w:tc>
          <w:tcPr>
            <w:tcW w:w="236" w:type="dxa"/>
            <w:shd w:val="clear" w:color="auto" w:fill="95B3D7"/>
          </w:tcPr>
          <w:p w14:paraId="7D86067E" w14:textId="77777777" w:rsidR="0081774D" w:rsidRDefault="0081774D" w:rsidP="007D4DEB"/>
        </w:tc>
        <w:tc>
          <w:tcPr>
            <w:tcW w:w="8960" w:type="dxa"/>
          </w:tcPr>
          <w:p w14:paraId="19B406FD" w14:textId="77777777" w:rsidR="0081774D" w:rsidRPr="00947507" w:rsidRDefault="00F319A4" w:rsidP="007D4DEB">
            <w:pPr>
              <w:pStyle w:val="Nagwek2"/>
              <w:shd w:val="clear" w:color="auto" w:fill="FFFFFF"/>
              <w:spacing w:after="120"/>
              <w:ind w:left="454" w:hanging="454"/>
              <w:rPr>
                <w:noProof/>
                <w:color w:val="0070C0"/>
                <w:sz w:val="28"/>
              </w:rPr>
            </w:pPr>
            <w:bookmarkStart w:id="26" w:name="_Toc64451842"/>
            <w:bookmarkStart w:id="27" w:name="_Toc141276419"/>
            <w:r w:rsidRPr="00947507">
              <w:rPr>
                <w:noProof/>
                <w:color w:val="0070C0"/>
                <w:sz w:val="28"/>
              </w:rPr>
              <w:t>I.2.</w:t>
            </w:r>
            <w:r w:rsidR="00750B05" w:rsidRPr="00947507">
              <w:rPr>
                <w:noProof/>
                <w:color w:val="0070C0"/>
                <w:sz w:val="28"/>
              </w:rPr>
              <w:t xml:space="preserve"> </w:t>
            </w:r>
            <w:r w:rsidR="0081774D" w:rsidRPr="00947507">
              <w:rPr>
                <w:noProof/>
                <w:color w:val="0070C0"/>
                <w:sz w:val="28"/>
              </w:rPr>
              <w:t>Przepisy wykonawcze do ustawy</w:t>
            </w:r>
            <w:bookmarkEnd w:id="26"/>
            <w:bookmarkEnd w:id="27"/>
          </w:p>
        </w:tc>
      </w:tr>
    </w:tbl>
    <w:p w14:paraId="1087E728" w14:textId="35FFE5BA" w:rsidR="0081774D" w:rsidRDefault="0081774D" w:rsidP="007D4DEB">
      <w:pPr>
        <w:shd w:val="clear" w:color="auto" w:fill="FFFFFF"/>
      </w:pPr>
    </w:p>
    <w:p w14:paraId="66E3058E" w14:textId="77777777" w:rsidR="00D31DDA" w:rsidRPr="00C72F58" w:rsidRDefault="00D31DDA" w:rsidP="00D31DDA">
      <w:pPr>
        <w:rPr>
          <w:color w:val="000000" w:themeColor="text1"/>
          <w:szCs w:val="22"/>
        </w:rPr>
      </w:pPr>
      <w:r>
        <w:t xml:space="preserve">W 2022 roku weszło w życie 5 niżej wymienionych aktów wykonawczych, wydanych na podstawie ustawy </w:t>
      </w:r>
      <w:r w:rsidRPr="00033A2B">
        <w:rPr>
          <w:rFonts w:cs="Arial"/>
          <w:szCs w:val="22"/>
        </w:rPr>
        <w:t>P</w:t>
      </w:r>
      <w:r>
        <w:rPr>
          <w:rFonts w:cs="Arial"/>
          <w:szCs w:val="22"/>
        </w:rPr>
        <w:t>zp. Zaczęły one obowiązywać z</w:t>
      </w:r>
      <w:r w:rsidRPr="00C72F58">
        <w:rPr>
          <w:color w:val="000000" w:themeColor="text1"/>
          <w:szCs w:val="22"/>
        </w:rPr>
        <w:t xml:space="preserve"> dniem 1 stycznia 2022 roku</w:t>
      </w:r>
      <w:r>
        <w:rPr>
          <w:color w:val="000000" w:themeColor="text1"/>
          <w:szCs w:val="22"/>
        </w:rPr>
        <w:t>.</w:t>
      </w:r>
    </w:p>
    <w:p w14:paraId="2E591891" w14:textId="783708ED" w:rsidR="00D31DDA" w:rsidRPr="000C2864" w:rsidRDefault="00D31DDA" w:rsidP="00E16264">
      <w:pPr>
        <w:pStyle w:val="Akapitzlist"/>
        <w:numPr>
          <w:ilvl w:val="0"/>
          <w:numId w:val="18"/>
        </w:numPr>
        <w:ind w:left="360"/>
        <w:rPr>
          <w:rStyle w:val="Hipercze"/>
          <w:color w:val="000000" w:themeColor="text1"/>
          <w:sz w:val="22"/>
          <w:szCs w:val="22"/>
        </w:rPr>
      </w:pPr>
      <w:r w:rsidRPr="00D31DDA">
        <w:rPr>
          <w:sz w:val="22"/>
          <w:szCs w:val="22"/>
        </w:rPr>
        <w:t>Obwieszczenie Prezesa Urzędu Zamówień Publicznych z dnia 3 grudnia 2021 r. w sprawie aktualnych progów unijnych, ich równowartości w złotych, równowartości w złotych kwot wyrażonych w euro oraz średniego kursu złotego w stosunku do euro stanowiącego podstawę przeliczania wartości zamówień publicznych lub konkursów</w:t>
      </w:r>
      <w:r w:rsidR="009343A1">
        <w:rPr>
          <w:sz w:val="22"/>
          <w:szCs w:val="22"/>
        </w:rPr>
        <w:t xml:space="preserve"> </w:t>
      </w:r>
      <w:r w:rsidRPr="00D31DDA">
        <w:rPr>
          <w:sz w:val="22"/>
          <w:szCs w:val="22"/>
        </w:rPr>
        <w:t>(M.P. poz. 1177)</w:t>
      </w:r>
      <w:r w:rsidRPr="009D7809">
        <w:rPr>
          <w:rStyle w:val="Hipercze"/>
          <w:color w:val="000000" w:themeColor="text1"/>
          <w:sz w:val="22"/>
          <w:szCs w:val="22"/>
          <w:u w:val="none"/>
        </w:rPr>
        <w:t>.</w:t>
      </w:r>
    </w:p>
    <w:p w14:paraId="2B102F72" w14:textId="2845DC23" w:rsidR="00D31DDA" w:rsidRPr="000C2864" w:rsidRDefault="00D31DDA" w:rsidP="00E16264">
      <w:pPr>
        <w:pStyle w:val="Akapitzlist"/>
        <w:numPr>
          <w:ilvl w:val="0"/>
          <w:numId w:val="18"/>
        </w:numPr>
        <w:ind w:left="360"/>
        <w:rPr>
          <w:color w:val="000000" w:themeColor="text1"/>
          <w:sz w:val="22"/>
          <w:szCs w:val="22"/>
        </w:rPr>
      </w:pPr>
      <w:r w:rsidRPr="00D31DDA">
        <w:rPr>
          <w:sz w:val="22"/>
          <w:szCs w:val="22"/>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r w:rsidR="009343A1">
        <w:rPr>
          <w:sz w:val="22"/>
          <w:szCs w:val="22"/>
        </w:rPr>
        <w:t xml:space="preserve"> </w:t>
      </w:r>
      <w:r w:rsidRPr="00D31DDA">
        <w:rPr>
          <w:sz w:val="22"/>
          <w:szCs w:val="22"/>
        </w:rPr>
        <w:t>(Dz. U. poz. 2458)</w:t>
      </w:r>
      <w:r w:rsidRPr="000C2864">
        <w:rPr>
          <w:color w:val="000000" w:themeColor="text1"/>
          <w:sz w:val="22"/>
          <w:szCs w:val="22"/>
        </w:rPr>
        <w:t xml:space="preserve">. </w:t>
      </w:r>
    </w:p>
    <w:p w14:paraId="26F8E7CE" w14:textId="73E42BC7" w:rsidR="00D31DDA" w:rsidRPr="000C2864" w:rsidRDefault="00D31DDA" w:rsidP="00E16264">
      <w:pPr>
        <w:pStyle w:val="Akapitzlist"/>
        <w:numPr>
          <w:ilvl w:val="0"/>
          <w:numId w:val="18"/>
        </w:numPr>
        <w:ind w:left="360"/>
        <w:rPr>
          <w:color w:val="000000" w:themeColor="text1"/>
          <w:sz w:val="22"/>
          <w:szCs w:val="22"/>
        </w:rPr>
      </w:pPr>
      <w:r w:rsidRPr="00D31DDA">
        <w:rPr>
          <w:sz w:val="22"/>
          <w:szCs w:val="22"/>
        </w:rPr>
        <w:t>Rozporządzenie Ministra Rozwoju i Technologii z dnia 20 grudnia 2021 r. w sprawie zakresu informacji zawartych w rocznym sprawozdaniu o udzielonych zamówieniach, jego wzoru, sposobu przekazywania oraz sposobu i trybu jego korygowania</w:t>
      </w:r>
      <w:r w:rsidR="009343A1">
        <w:rPr>
          <w:sz w:val="22"/>
          <w:szCs w:val="22"/>
        </w:rPr>
        <w:t xml:space="preserve"> </w:t>
      </w:r>
      <w:r w:rsidRPr="00D31DDA">
        <w:rPr>
          <w:sz w:val="22"/>
          <w:szCs w:val="22"/>
        </w:rPr>
        <w:t>(Dz. U. poz. 2463)</w:t>
      </w:r>
      <w:r w:rsidRPr="000C2864">
        <w:rPr>
          <w:color w:val="000000" w:themeColor="text1"/>
          <w:sz w:val="22"/>
          <w:szCs w:val="22"/>
        </w:rPr>
        <w:t>.</w:t>
      </w:r>
    </w:p>
    <w:p w14:paraId="35E196F0" w14:textId="57F35298" w:rsidR="00D31DDA" w:rsidRPr="000C2864" w:rsidRDefault="00D31DDA" w:rsidP="00E16264">
      <w:pPr>
        <w:pStyle w:val="Akapitzlist"/>
        <w:numPr>
          <w:ilvl w:val="0"/>
          <w:numId w:val="18"/>
        </w:numPr>
        <w:spacing w:line="259" w:lineRule="auto"/>
        <w:ind w:left="360"/>
        <w:rPr>
          <w:color w:val="000000" w:themeColor="text1"/>
          <w:sz w:val="22"/>
          <w:szCs w:val="22"/>
        </w:rPr>
      </w:pPr>
      <w:r w:rsidRPr="00D31DDA">
        <w:rPr>
          <w:sz w:val="22"/>
          <w:szCs w:val="22"/>
        </w:rPr>
        <w:t>Rozporządzenie Ministra Rozwoju i Technologii z dnia 20 grudnia 2021 r. w sprawie szczegółowego zakresu i formy dokumentacji projektowej, specyfikacji technicznych wykonania i odbioru robót budowlanych oraz programu funkcjonalno-użytkowego</w:t>
      </w:r>
      <w:r w:rsidR="009343A1">
        <w:rPr>
          <w:sz w:val="22"/>
          <w:szCs w:val="22"/>
        </w:rPr>
        <w:t xml:space="preserve"> </w:t>
      </w:r>
      <w:r w:rsidRPr="00D31DDA">
        <w:rPr>
          <w:sz w:val="22"/>
          <w:szCs w:val="22"/>
        </w:rPr>
        <w:t>(Dz. U. poz. 2454)</w:t>
      </w:r>
      <w:r w:rsidRPr="000C2864">
        <w:rPr>
          <w:color w:val="000000" w:themeColor="text1"/>
          <w:sz w:val="22"/>
          <w:szCs w:val="22"/>
        </w:rPr>
        <w:t>.</w:t>
      </w:r>
    </w:p>
    <w:p w14:paraId="2A684B82" w14:textId="233C3070" w:rsidR="00D31DDA" w:rsidRPr="000C2864" w:rsidRDefault="00D31DDA" w:rsidP="00E16264">
      <w:pPr>
        <w:pStyle w:val="Akapitzlist"/>
        <w:numPr>
          <w:ilvl w:val="0"/>
          <w:numId w:val="18"/>
        </w:numPr>
        <w:spacing w:line="259" w:lineRule="auto"/>
        <w:ind w:left="360"/>
        <w:rPr>
          <w:color w:val="000000" w:themeColor="text1"/>
          <w:sz w:val="22"/>
          <w:szCs w:val="22"/>
        </w:rPr>
      </w:pPr>
      <w:r w:rsidRPr="00D31DDA">
        <w:rPr>
          <w:sz w:val="22"/>
          <w:szCs w:val="22"/>
        </w:rPr>
        <w:t>Rozporządzenie Ministra Rozwoju i Technologii z dnia 23 listopada 2021 r. w sprawie metody kalkulacji kosztów cyklu życia budynków oraz sposobu przedstawiania informacji o tych kosztach</w:t>
      </w:r>
      <w:r w:rsidR="009343A1">
        <w:rPr>
          <w:sz w:val="22"/>
          <w:szCs w:val="22"/>
        </w:rPr>
        <w:t xml:space="preserve"> </w:t>
      </w:r>
      <w:r w:rsidRPr="00D31DDA">
        <w:rPr>
          <w:sz w:val="22"/>
          <w:szCs w:val="22"/>
        </w:rPr>
        <w:t>(Dz. U. poz. 2276)</w:t>
      </w:r>
      <w:r w:rsidRPr="000C2864">
        <w:rPr>
          <w:color w:val="000000" w:themeColor="text1"/>
          <w:sz w:val="22"/>
          <w:szCs w:val="22"/>
        </w:rPr>
        <w:t>.</w:t>
      </w:r>
    </w:p>
    <w:p w14:paraId="6F87FEDB" w14:textId="77777777" w:rsidR="0094284F" w:rsidRPr="005E7928" w:rsidRDefault="0094284F" w:rsidP="007D4DEB">
      <w:pPr>
        <w:shd w:val="clear" w:color="auto" w:fill="FFFFFF"/>
        <w:rPr>
          <w:rFonts w:cs="Arial"/>
          <w:szCs w:val="22"/>
        </w:rPr>
      </w:pPr>
    </w:p>
    <w:p w14:paraId="0CE10646" w14:textId="371567A4" w:rsidR="0003442F" w:rsidRPr="0094284F" w:rsidRDefault="0003442F" w:rsidP="0003442F">
      <w:pPr>
        <w:shd w:val="clear" w:color="auto" w:fill="FFFFFF"/>
        <w:rPr>
          <w:rFonts w:cs="Arial"/>
          <w:i/>
          <w:szCs w:val="22"/>
        </w:rPr>
      </w:pPr>
      <w:bookmarkStart w:id="28" w:name="_Hlk106020025"/>
      <w:r w:rsidRPr="0000258B">
        <w:rPr>
          <w:rFonts w:cs="Arial"/>
          <w:i/>
          <w:szCs w:val="22"/>
        </w:rPr>
        <w:t>Szczegółowy wykaz aktów wykonawczych do ustawy Pzp wraz z informacją o ich wejściu w</w:t>
      </w:r>
      <w:r w:rsidR="009343A1">
        <w:rPr>
          <w:rFonts w:cs="Arial"/>
          <w:i/>
          <w:szCs w:val="22"/>
        </w:rPr>
        <w:t xml:space="preserve"> </w:t>
      </w:r>
      <w:r w:rsidRPr="0000258B">
        <w:rPr>
          <w:rFonts w:cs="Arial"/>
          <w:i/>
          <w:szCs w:val="22"/>
        </w:rPr>
        <w:t>życie lub utracie mocy obowiązującej</w:t>
      </w:r>
      <w:r>
        <w:rPr>
          <w:rFonts w:cs="Arial"/>
          <w:i/>
          <w:szCs w:val="22"/>
        </w:rPr>
        <w:t xml:space="preserve"> </w:t>
      </w:r>
      <w:r w:rsidRPr="0094284F">
        <w:rPr>
          <w:rFonts w:cs="Arial"/>
          <w:i/>
          <w:szCs w:val="22"/>
        </w:rPr>
        <w:t xml:space="preserve">zawiera </w:t>
      </w:r>
      <w:hyperlink w:anchor="Zał_1" w:history="1">
        <w:r w:rsidRPr="00D10BE4">
          <w:rPr>
            <w:rStyle w:val="Hipercze"/>
            <w:rFonts w:cs="Arial"/>
            <w:i/>
            <w:szCs w:val="22"/>
          </w:rPr>
          <w:t>załącznik nr 1</w:t>
        </w:r>
      </w:hyperlink>
      <w:r w:rsidRPr="0094284F">
        <w:rPr>
          <w:rFonts w:cs="Arial"/>
          <w:i/>
          <w:szCs w:val="22"/>
        </w:rPr>
        <w:t xml:space="preserve"> do niniejszego Sprawozdania</w:t>
      </w:r>
      <w:bookmarkEnd w:id="28"/>
      <w:r w:rsidRPr="0094284F">
        <w:rPr>
          <w:rFonts w:cs="Arial"/>
          <w:i/>
          <w:szCs w:val="22"/>
        </w:rPr>
        <w:t>.</w:t>
      </w:r>
    </w:p>
    <w:p w14:paraId="26B884D5" w14:textId="6577ABEE" w:rsidR="0079758D" w:rsidRDefault="0079758D" w:rsidP="007D4DEB">
      <w:pPr>
        <w:shd w:val="clear" w:color="auto" w:fill="FFFFFF"/>
        <w:rPr>
          <w:rFonts w:cs="Arial"/>
          <w:szCs w:val="22"/>
        </w:rPr>
      </w:pPr>
    </w:p>
    <w:p w14:paraId="4AFC598A" w14:textId="77777777" w:rsidR="00173494" w:rsidRDefault="00173494" w:rsidP="007D4DEB">
      <w:pPr>
        <w:shd w:val="clear" w:color="auto" w:fill="FFFFFF"/>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27200" w14:paraId="06980D50" w14:textId="77777777" w:rsidTr="008C3B34">
        <w:trPr>
          <w:cantSplit/>
        </w:trPr>
        <w:tc>
          <w:tcPr>
            <w:tcW w:w="236" w:type="dxa"/>
            <w:shd w:val="clear" w:color="auto" w:fill="95B3D7"/>
          </w:tcPr>
          <w:p w14:paraId="0FCC9495" w14:textId="77777777" w:rsidR="00527200" w:rsidRDefault="00527200" w:rsidP="007D4DEB"/>
        </w:tc>
        <w:tc>
          <w:tcPr>
            <w:tcW w:w="8960" w:type="dxa"/>
          </w:tcPr>
          <w:p w14:paraId="366CCA42" w14:textId="77777777" w:rsidR="00527200" w:rsidRPr="009C5106" w:rsidRDefault="00527200" w:rsidP="007D4DEB">
            <w:pPr>
              <w:pStyle w:val="Nagwek2"/>
              <w:shd w:val="clear" w:color="auto" w:fill="FFFFFF"/>
              <w:spacing w:after="120"/>
              <w:rPr>
                <w:noProof/>
                <w:color w:val="0070C0"/>
                <w:sz w:val="28"/>
              </w:rPr>
            </w:pPr>
            <w:bookmarkStart w:id="29" w:name="_Toc64451843"/>
            <w:bookmarkStart w:id="30" w:name="_Toc141276420"/>
            <w:r w:rsidRPr="009C5106">
              <w:rPr>
                <w:noProof/>
                <w:color w:val="0070C0"/>
                <w:sz w:val="28"/>
              </w:rPr>
              <w:t>I.3</w:t>
            </w:r>
            <w:r w:rsidR="00F319A4" w:rsidRPr="009C5106">
              <w:rPr>
                <w:noProof/>
                <w:color w:val="0070C0"/>
                <w:sz w:val="28"/>
              </w:rPr>
              <w:t>.</w:t>
            </w:r>
            <w:r w:rsidR="00750B05" w:rsidRPr="009C5106">
              <w:rPr>
                <w:noProof/>
                <w:color w:val="0070C0"/>
                <w:sz w:val="28"/>
              </w:rPr>
              <w:t xml:space="preserve"> </w:t>
            </w:r>
            <w:r w:rsidRPr="009C5106">
              <w:rPr>
                <w:noProof/>
                <w:color w:val="0070C0"/>
                <w:sz w:val="28"/>
              </w:rPr>
              <w:t>Inne regulacje</w:t>
            </w:r>
            <w:bookmarkEnd w:id="29"/>
            <w:bookmarkEnd w:id="30"/>
          </w:p>
        </w:tc>
      </w:tr>
    </w:tbl>
    <w:p w14:paraId="1243668B" w14:textId="4E03E224" w:rsidR="00F90189" w:rsidRDefault="00F90189" w:rsidP="007D4DEB">
      <w:pPr>
        <w:shd w:val="clear" w:color="auto" w:fill="FFFFFF"/>
        <w:rPr>
          <w:rFonts w:cs="Arial"/>
          <w:szCs w:val="22"/>
        </w:rPr>
      </w:pPr>
    </w:p>
    <w:p w14:paraId="3D191593" w14:textId="77777777" w:rsidR="000D2677" w:rsidRPr="00D64DB9" w:rsidRDefault="000D2677" w:rsidP="00E16264">
      <w:pPr>
        <w:pStyle w:val="Default"/>
        <w:numPr>
          <w:ilvl w:val="0"/>
          <w:numId w:val="21"/>
        </w:numPr>
        <w:jc w:val="both"/>
        <w:rPr>
          <w:color w:val="2E74B5" w:themeColor="accent1" w:themeShade="BF"/>
          <w:sz w:val="22"/>
          <w:szCs w:val="22"/>
        </w:rPr>
      </w:pPr>
      <w:r w:rsidRPr="00D64DB9">
        <w:rPr>
          <w:b/>
          <w:bCs/>
          <w:color w:val="2E74B5" w:themeColor="accent1" w:themeShade="BF"/>
          <w:sz w:val="22"/>
          <w:szCs w:val="22"/>
        </w:rPr>
        <w:t xml:space="preserve">Ustawa o umowie koncesji na roboty budowlane lub usługi wraz z aktami wykonawczymi </w:t>
      </w:r>
    </w:p>
    <w:p w14:paraId="065D85B1" w14:textId="77777777" w:rsidR="000D2677" w:rsidRPr="000D2677" w:rsidRDefault="000D2677" w:rsidP="000D2677">
      <w:pPr>
        <w:pStyle w:val="Default"/>
        <w:jc w:val="both"/>
        <w:rPr>
          <w:color w:val="auto"/>
          <w:sz w:val="22"/>
          <w:szCs w:val="22"/>
        </w:rPr>
      </w:pPr>
    </w:p>
    <w:p w14:paraId="4CDE903F" w14:textId="5DB42F07" w:rsidR="000D2677" w:rsidRDefault="000D2677" w:rsidP="000D2677">
      <w:pPr>
        <w:pStyle w:val="Default"/>
        <w:jc w:val="both"/>
        <w:rPr>
          <w:sz w:val="22"/>
          <w:szCs w:val="22"/>
        </w:rPr>
      </w:pPr>
      <w:r>
        <w:rPr>
          <w:sz w:val="22"/>
          <w:szCs w:val="22"/>
        </w:rPr>
        <w:t xml:space="preserve">Ustawa z dnia 21 października 2016 r. o umowie koncesji na roboty budowlane lub usługi </w:t>
      </w:r>
      <w:r w:rsidRPr="009A7BA4">
        <w:rPr>
          <w:sz w:val="22"/>
          <w:szCs w:val="22"/>
        </w:rPr>
        <w:t>(Dz.</w:t>
      </w:r>
      <w:r>
        <w:rPr>
          <w:sz w:val="22"/>
          <w:szCs w:val="22"/>
        </w:rPr>
        <w:t xml:space="preserve"> </w:t>
      </w:r>
      <w:r w:rsidRPr="009A7BA4">
        <w:rPr>
          <w:sz w:val="22"/>
          <w:szCs w:val="22"/>
        </w:rPr>
        <w:t>U. z 2023 r. poz. 140)</w:t>
      </w:r>
      <w:r>
        <w:rPr>
          <w:sz w:val="22"/>
          <w:szCs w:val="22"/>
        </w:rPr>
        <w:t xml:space="preserve">, zwana dalej „ustawą o umowie koncesji na roboty budowlane lub usługi” lub „ustawą o umowie koncesji”, wraz z aktami wykonawczymi do tej ustawy stanowiła obok ustawy Pzp podstawę formalnoprawną funkcjonowania systemu zamówień publicznych w Polsce w 2022 roku. </w:t>
      </w:r>
      <w:r w:rsidRPr="00DE1C0C">
        <w:rPr>
          <w:sz w:val="22"/>
          <w:szCs w:val="22"/>
        </w:rPr>
        <w:t>Ustaw</w:t>
      </w:r>
      <w:r>
        <w:rPr>
          <w:sz w:val="22"/>
          <w:szCs w:val="22"/>
        </w:rPr>
        <w:t>ą</w:t>
      </w:r>
      <w:r w:rsidRPr="00DE1C0C">
        <w:rPr>
          <w:sz w:val="22"/>
          <w:szCs w:val="22"/>
        </w:rPr>
        <w:t xml:space="preserve"> z dnia 22 lipca 2022 r. o zmianie niektórych ustaw w celu przeciwdziałania przestępczości środowiskowej </w:t>
      </w:r>
      <w:r>
        <w:rPr>
          <w:sz w:val="22"/>
          <w:szCs w:val="22"/>
        </w:rPr>
        <w:t>(</w:t>
      </w:r>
      <w:r w:rsidRPr="00DE1C0C">
        <w:rPr>
          <w:sz w:val="22"/>
          <w:szCs w:val="22"/>
        </w:rPr>
        <w:t>Dz.</w:t>
      </w:r>
      <w:r w:rsidR="00703CD8">
        <w:rPr>
          <w:sz w:val="22"/>
          <w:szCs w:val="22"/>
        </w:rPr>
        <w:t xml:space="preserve"> </w:t>
      </w:r>
      <w:r w:rsidRPr="00DE1C0C">
        <w:rPr>
          <w:sz w:val="22"/>
          <w:szCs w:val="22"/>
        </w:rPr>
        <w:t>U. poz. 1726</w:t>
      </w:r>
      <w:r>
        <w:rPr>
          <w:sz w:val="22"/>
          <w:szCs w:val="22"/>
        </w:rPr>
        <w:t>)</w:t>
      </w:r>
      <w:r w:rsidRPr="00DE1C0C">
        <w:rPr>
          <w:sz w:val="22"/>
          <w:szCs w:val="22"/>
        </w:rPr>
        <w:t xml:space="preserve"> </w:t>
      </w:r>
      <w:r>
        <w:rPr>
          <w:sz w:val="22"/>
          <w:szCs w:val="22"/>
        </w:rPr>
        <w:t>dokonano zmiany ustawy o umowie koncesji polegającej na rozszerzeniu katalogu przestępstw, do których odnoszą się obligatoryjne podstawy wykluczenia wskazane w art. 32 ust. 1 pkt 1 i 2 ustawy o umowie koncesji, o przestępstwa przeciwko środowisku popełnione umyślnie. Zmiana weszła w życie z dniem 1 września 2022 r.</w:t>
      </w:r>
    </w:p>
    <w:p w14:paraId="11509C87" w14:textId="77777777" w:rsidR="000D2677" w:rsidRDefault="000D2677" w:rsidP="000D2677">
      <w:pPr>
        <w:pStyle w:val="Default"/>
        <w:jc w:val="both"/>
        <w:rPr>
          <w:sz w:val="22"/>
          <w:szCs w:val="22"/>
        </w:rPr>
      </w:pPr>
      <w:r>
        <w:rPr>
          <w:sz w:val="22"/>
          <w:szCs w:val="22"/>
        </w:rPr>
        <w:t xml:space="preserve">W 2022 roku do ustawy o umowie koncesji miały zastosowanie następujące akty wykonawcze: </w:t>
      </w:r>
    </w:p>
    <w:p w14:paraId="5C91A023" w14:textId="0F7BFFE3" w:rsidR="000D2677" w:rsidRDefault="000D2677" w:rsidP="00E16264">
      <w:pPr>
        <w:pStyle w:val="Default"/>
        <w:numPr>
          <w:ilvl w:val="0"/>
          <w:numId w:val="20"/>
        </w:numPr>
        <w:jc w:val="both"/>
        <w:rPr>
          <w:sz w:val="22"/>
          <w:szCs w:val="22"/>
        </w:rPr>
      </w:pPr>
      <w:r>
        <w:rPr>
          <w:sz w:val="22"/>
          <w:szCs w:val="22"/>
        </w:rPr>
        <w:t xml:space="preserve">Rozporządzenie Ministra Rozwoju z dnia 16 grudnia 2019 r. w sprawie określenia kwot wartości umów koncesji, od których uzależniony jest obowiązek przekazywania ogłoszeń Urzędowi Publikacji Unii Europejskiej (Dz. U. poz. 2449), </w:t>
      </w:r>
    </w:p>
    <w:p w14:paraId="59B9484A" w14:textId="5ED7C263" w:rsidR="000D2677" w:rsidRDefault="000D2677" w:rsidP="00E16264">
      <w:pPr>
        <w:pStyle w:val="Default"/>
        <w:numPr>
          <w:ilvl w:val="0"/>
          <w:numId w:val="20"/>
        </w:numPr>
        <w:jc w:val="both"/>
        <w:rPr>
          <w:sz w:val="22"/>
          <w:szCs w:val="22"/>
        </w:rPr>
      </w:pPr>
      <w:r>
        <w:rPr>
          <w:sz w:val="22"/>
          <w:szCs w:val="22"/>
        </w:rPr>
        <w:t xml:space="preserve">Rozporządzenie Ministra Rozwoju, Pracy i Technologii z dnia 28 grudnia 2020 r. w sprawie ogłoszeń zamieszczanych w Biuletynie Zamówień Publicznych, dotyczących zawierania umów koncesji (Dz. U. poz. 2441). </w:t>
      </w:r>
    </w:p>
    <w:p w14:paraId="3417161A" w14:textId="77777777" w:rsidR="000D2677" w:rsidRPr="005A3D9B" w:rsidRDefault="000D2677" w:rsidP="000D2677">
      <w:pPr>
        <w:pStyle w:val="Default"/>
        <w:jc w:val="both"/>
        <w:rPr>
          <w:color w:val="auto"/>
          <w:sz w:val="22"/>
          <w:szCs w:val="22"/>
        </w:rPr>
      </w:pPr>
    </w:p>
    <w:p w14:paraId="74B7A767" w14:textId="77777777" w:rsidR="000D2677" w:rsidRPr="00D64DB9" w:rsidRDefault="000D2677" w:rsidP="00E16264">
      <w:pPr>
        <w:pStyle w:val="Default"/>
        <w:numPr>
          <w:ilvl w:val="0"/>
          <w:numId w:val="21"/>
        </w:numPr>
        <w:jc w:val="both"/>
        <w:rPr>
          <w:color w:val="2E74B5" w:themeColor="accent1" w:themeShade="BF"/>
          <w:sz w:val="22"/>
          <w:szCs w:val="22"/>
        </w:rPr>
      </w:pPr>
      <w:r w:rsidRPr="00D64DB9">
        <w:rPr>
          <w:b/>
          <w:bCs/>
          <w:color w:val="2E74B5" w:themeColor="accent1" w:themeShade="BF"/>
          <w:sz w:val="22"/>
          <w:szCs w:val="22"/>
        </w:rPr>
        <w:t xml:space="preserve">Ustawa o szczególnych rozwiązaniach związanych z zapobieganiem, przeciwdziałaniem i zwalczaniem COVID-19, innych chorób zakaźnych oraz wywołanych nimi sytuacji kryzysowych </w:t>
      </w:r>
    </w:p>
    <w:p w14:paraId="449E10F4" w14:textId="77777777" w:rsidR="000D2677" w:rsidRDefault="000D2677" w:rsidP="000D2677">
      <w:pPr>
        <w:pStyle w:val="Default"/>
        <w:jc w:val="both"/>
        <w:rPr>
          <w:sz w:val="22"/>
          <w:szCs w:val="22"/>
        </w:rPr>
      </w:pPr>
    </w:p>
    <w:p w14:paraId="7EFD4843" w14:textId="77777777" w:rsidR="000D2677" w:rsidRDefault="000D2677" w:rsidP="000D2677">
      <w:pPr>
        <w:pStyle w:val="Default"/>
        <w:jc w:val="both"/>
        <w:rPr>
          <w:sz w:val="22"/>
          <w:szCs w:val="22"/>
        </w:rPr>
      </w:pPr>
      <w:r>
        <w:rPr>
          <w:sz w:val="22"/>
          <w:szCs w:val="22"/>
        </w:rPr>
        <w:t xml:space="preserve">Rok 2022 był trzecim rokiem obowiązywania ustawy z dnia 2 marca 2020 r. o szczególnych rozwiązaniach związanych z zapobieganiem, przeciwdziałaniem i zwalczaniem COVID-19, innych chorób zakaźnych oraz wywołanych nimi sytuacji kryzysowych (Dz. U. z 2021 r. poz. 2095, z późn. zm.). Nadal obowiązywały przewidziane w tej ustawie wyłączenia stosowania przepisów z zakresu zamówień publicznych. Pozostawały również w mocy przepisy dotyczące zmian umowy w sprawie zamówienia publicznego wywołanych wystąpieniem COVID-19. </w:t>
      </w:r>
    </w:p>
    <w:p w14:paraId="55CA3A8F" w14:textId="77777777" w:rsidR="000D2677" w:rsidRDefault="000D2677" w:rsidP="000D2677">
      <w:pPr>
        <w:pStyle w:val="Default"/>
        <w:jc w:val="both"/>
        <w:rPr>
          <w:b/>
          <w:bCs/>
          <w:strike/>
          <w:sz w:val="22"/>
          <w:szCs w:val="22"/>
        </w:rPr>
      </w:pPr>
    </w:p>
    <w:p w14:paraId="4A35627B" w14:textId="77777777" w:rsidR="000D2677" w:rsidRPr="00D64DB9" w:rsidRDefault="000D2677" w:rsidP="00E16264">
      <w:pPr>
        <w:pStyle w:val="Default"/>
        <w:numPr>
          <w:ilvl w:val="0"/>
          <w:numId w:val="21"/>
        </w:numPr>
        <w:jc w:val="both"/>
        <w:rPr>
          <w:color w:val="2E74B5" w:themeColor="accent1" w:themeShade="BF"/>
          <w:sz w:val="22"/>
          <w:szCs w:val="22"/>
        </w:rPr>
      </w:pPr>
      <w:r w:rsidRPr="00D64DB9">
        <w:rPr>
          <w:b/>
          <w:bCs/>
          <w:color w:val="2E74B5" w:themeColor="accent1" w:themeShade="BF"/>
          <w:sz w:val="22"/>
          <w:szCs w:val="22"/>
        </w:rPr>
        <w:t xml:space="preserve">Ustawa o elektronicznym fakturowaniu w zamówieniach publicznych, koncesjach na roboty budowlane lub usługi oraz partnerstwie publiczno-prywatnym </w:t>
      </w:r>
    </w:p>
    <w:p w14:paraId="7D0FDD0D" w14:textId="77777777" w:rsidR="000D2677" w:rsidRPr="005A3D9B" w:rsidRDefault="000D2677" w:rsidP="000D2677">
      <w:pPr>
        <w:pStyle w:val="Default"/>
        <w:jc w:val="both"/>
        <w:rPr>
          <w:color w:val="auto"/>
          <w:sz w:val="22"/>
          <w:szCs w:val="22"/>
        </w:rPr>
      </w:pPr>
    </w:p>
    <w:p w14:paraId="64A029CA" w14:textId="2171BD60" w:rsidR="000D2677" w:rsidRDefault="000D2677" w:rsidP="000D2677">
      <w:pPr>
        <w:pStyle w:val="Default"/>
        <w:jc w:val="both"/>
        <w:rPr>
          <w:color w:val="auto"/>
          <w:sz w:val="22"/>
          <w:szCs w:val="22"/>
        </w:rPr>
      </w:pPr>
      <w:r>
        <w:rPr>
          <w:sz w:val="22"/>
          <w:szCs w:val="22"/>
        </w:rPr>
        <w:t xml:space="preserve">Ustawa z dnia 9 listopada 2018 r. o elektronicznym fakturowaniu w zamówieniach publicznych, koncesjach na roboty budowlane lub usługi oraz partnerstwie publiczno-prywatnym (Dz. U. z 2020 r. poz. 1666) </w:t>
      </w:r>
      <w:r w:rsidR="00EA32C9">
        <w:rPr>
          <w:sz w:val="22"/>
          <w:szCs w:val="22"/>
        </w:rPr>
        <w:t>u</w:t>
      </w:r>
      <w:r>
        <w:rPr>
          <w:sz w:val="22"/>
          <w:szCs w:val="22"/>
        </w:rPr>
        <w:t>regul</w:t>
      </w:r>
      <w:r w:rsidR="00300A65">
        <w:rPr>
          <w:sz w:val="22"/>
          <w:szCs w:val="22"/>
        </w:rPr>
        <w:t>owała</w:t>
      </w:r>
      <w:r>
        <w:rPr>
          <w:sz w:val="22"/>
          <w:szCs w:val="22"/>
        </w:rPr>
        <w:t xml:space="preserve"> zasady przesyłania drogą elektroniczną ustrukturyzowanych faktur elektronicznych oraz innych ustrukturyzowanych dokumentów elektronicznych związanych z realizacją zamówień publicznych, koncesji na roboty budowlane lub usługi oraz </w:t>
      </w:r>
      <w:r>
        <w:rPr>
          <w:color w:val="auto"/>
          <w:sz w:val="22"/>
          <w:szCs w:val="22"/>
        </w:rPr>
        <w:t xml:space="preserve">partnerstwa publiczno-prywatnego za pośrednictwem dedykowanego systemu teleinformatycznego, a także zadania ministra właściwego do spraw gospodarki związane z funkcjonowaniem powyższego systemu i warunki powierzania tych zadań innym podmiotom. </w:t>
      </w:r>
    </w:p>
    <w:p w14:paraId="6F702424" w14:textId="77777777" w:rsidR="000D2677" w:rsidRPr="009C5106" w:rsidRDefault="000D2677" w:rsidP="000D2677">
      <w:pPr>
        <w:pStyle w:val="Default"/>
        <w:jc w:val="both"/>
        <w:rPr>
          <w:bCs/>
          <w:sz w:val="22"/>
          <w:szCs w:val="22"/>
        </w:rPr>
      </w:pPr>
    </w:p>
    <w:p w14:paraId="3C275949" w14:textId="508E6A5B" w:rsidR="000D2677" w:rsidRPr="00D64DB9" w:rsidRDefault="000D2677" w:rsidP="00E16264">
      <w:pPr>
        <w:pStyle w:val="Akapitzlist"/>
        <w:numPr>
          <w:ilvl w:val="0"/>
          <w:numId w:val="21"/>
        </w:numPr>
        <w:rPr>
          <w:b/>
          <w:bCs/>
          <w:color w:val="2E74B5" w:themeColor="accent1" w:themeShade="BF"/>
          <w:sz w:val="22"/>
          <w:szCs w:val="22"/>
        </w:rPr>
      </w:pPr>
      <w:r w:rsidRPr="00D64DB9">
        <w:rPr>
          <w:b/>
          <w:bCs/>
          <w:color w:val="2E74B5" w:themeColor="accent1" w:themeShade="BF"/>
          <w:sz w:val="22"/>
          <w:szCs w:val="22"/>
        </w:rPr>
        <w:t>Ustawa z dnia 13 kwietnia 2022 r. o szczególnych rozwiązaniach w zakresie przeciwdziałania wspieraniu agresji na Ukrainę oraz służących ochronie bezpieczeństwa narodowego (Dz.</w:t>
      </w:r>
      <w:r w:rsidR="00041F66">
        <w:rPr>
          <w:b/>
          <w:bCs/>
          <w:color w:val="2E74B5" w:themeColor="accent1" w:themeShade="BF"/>
          <w:sz w:val="22"/>
          <w:szCs w:val="22"/>
          <w:lang w:val="pl-PL"/>
        </w:rPr>
        <w:t xml:space="preserve"> </w:t>
      </w:r>
      <w:r w:rsidRPr="00D64DB9">
        <w:rPr>
          <w:b/>
          <w:bCs/>
          <w:color w:val="2E74B5" w:themeColor="accent1" w:themeShade="BF"/>
          <w:sz w:val="22"/>
          <w:szCs w:val="22"/>
        </w:rPr>
        <w:t>U. poz. 835)</w:t>
      </w:r>
      <w:bookmarkStart w:id="31" w:name="_Hlk127973090"/>
    </w:p>
    <w:bookmarkEnd w:id="31"/>
    <w:p w14:paraId="4C99280D" w14:textId="77777777" w:rsidR="000D2677" w:rsidRPr="009C5106" w:rsidRDefault="000D2677" w:rsidP="000D2677">
      <w:pPr>
        <w:rPr>
          <w:szCs w:val="22"/>
        </w:rPr>
      </w:pPr>
    </w:p>
    <w:p w14:paraId="2AA24F18" w14:textId="77777777" w:rsidR="000D2677" w:rsidRPr="00331219" w:rsidRDefault="000D2677" w:rsidP="000D2677">
      <w:pPr>
        <w:rPr>
          <w:szCs w:val="22"/>
        </w:rPr>
      </w:pPr>
      <w:r w:rsidRPr="00331219">
        <w:rPr>
          <w:szCs w:val="22"/>
        </w:rPr>
        <w:t xml:space="preserve">Zgodnie z art. 1 pkt 3 </w:t>
      </w:r>
      <w:r>
        <w:rPr>
          <w:szCs w:val="22"/>
        </w:rPr>
        <w:t xml:space="preserve">tej </w:t>
      </w:r>
      <w:r w:rsidRPr="00331219">
        <w:rPr>
          <w:szCs w:val="22"/>
        </w:rPr>
        <w:t>ustawy 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lub konkursu prowadzonego na podstawie ustawy Pzp.</w:t>
      </w:r>
    </w:p>
    <w:p w14:paraId="2FC1136D" w14:textId="77777777" w:rsidR="000D2677" w:rsidRDefault="000D2677" w:rsidP="000D2677">
      <w:pPr>
        <w:rPr>
          <w:szCs w:val="22"/>
        </w:rPr>
      </w:pPr>
    </w:p>
    <w:p w14:paraId="1D130FEC" w14:textId="77777777" w:rsidR="000D2677" w:rsidRPr="00512970" w:rsidRDefault="000D2677" w:rsidP="000D2677">
      <w:pPr>
        <w:rPr>
          <w:szCs w:val="22"/>
        </w:rPr>
      </w:pPr>
      <w:r w:rsidRPr="00331219">
        <w:rPr>
          <w:szCs w:val="22"/>
        </w:rPr>
        <w:t>Na podstawie art. 7 ust. 1</w:t>
      </w:r>
      <w:r>
        <w:rPr>
          <w:szCs w:val="22"/>
        </w:rPr>
        <w:t xml:space="preserve"> powyższej </w:t>
      </w:r>
      <w:r w:rsidRPr="00331219">
        <w:rPr>
          <w:szCs w:val="22"/>
        </w:rPr>
        <w:t>ustawy z postępowania o udzielenie zamówienia publicznego lub konkursu prowadzonego na podstawie ustawy Pzp wyklucza się:</w:t>
      </w:r>
    </w:p>
    <w:p w14:paraId="7F56839B" w14:textId="77777777" w:rsidR="000D2677" w:rsidRPr="00512970" w:rsidRDefault="000D2677" w:rsidP="00E16264">
      <w:pPr>
        <w:pStyle w:val="Akapitzlist"/>
        <w:numPr>
          <w:ilvl w:val="0"/>
          <w:numId w:val="22"/>
        </w:numPr>
        <w:rPr>
          <w:sz w:val="22"/>
          <w:szCs w:val="22"/>
        </w:rPr>
      </w:pPr>
      <w:r w:rsidRPr="00512970">
        <w:rPr>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503DE53" w14:textId="77777777" w:rsidR="000D2677" w:rsidRPr="00512970" w:rsidRDefault="000D2677" w:rsidP="00E16264">
      <w:pPr>
        <w:pStyle w:val="Akapitzlist"/>
        <w:numPr>
          <w:ilvl w:val="0"/>
          <w:numId w:val="22"/>
        </w:numPr>
        <w:rPr>
          <w:sz w:val="22"/>
          <w:szCs w:val="22"/>
        </w:rPr>
      </w:pPr>
      <w:r w:rsidRPr="00512970">
        <w:rPr>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074EA4B" w14:textId="77777777" w:rsidR="000D2677" w:rsidRPr="00512970" w:rsidRDefault="000D2677" w:rsidP="00E16264">
      <w:pPr>
        <w:pStyle w:val="Akapitzlist"/>
        <w:numPr>
          <w:ilvl w:val="0"/>
          <w:numId w:val="22"/>
        </w:numPr>
        <w:rPr>
          <w:sz w:val="22"/>
          <w:szCs w:val="22"/>
        </w:rPr>
      </w:pPr>
      <w:r w:rsidRPr="00512970">
        <w:rPr>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04D3EC6" w14:textId="77777777" w:rsidR="000D2677" w:rsidRDefault="000D2677" w:rsidP="000D2677">
      <w:pPr>
        <w:rPr>
          <w:szCs w:val="22"/>
        </w:rPr>
      </w:pPr>
    </w:p>
    <w:p w14:paraId="3E6E11C3" w14:textId="77777777" w:rsidR="000D2677" w:rsidRPr="00331219" w:rsidRDefault="000D2677" w:rsidP="000D2677">
      <w:pPr>
        <w:rPr>
          <w:szCs w:val="22"/>
        </w:rPr>
      </w:pPr>
      <w:r w:rsidRPr="00331219">
        <w:rPr>
          <w:szCs w:val="22"/>
        </w:rPr>
        <w:t>Powyższe wykluczenie następ</w:t>
      </w:r>
      <w:r>
        <w:rPr>
          <w:szCs w:val="22"/>
        </w:rPr>
        <w:t>uje</w:t>
      </w:r>
      <w:r w:rsidRPr="00331219">
        <w:rPr>
          <w:szCs w:val="22"/>
        </w:rPr>
        <w:t xml:space="preserve"> na okres trwania ww. okoliczności. W przypadku wykonawcy lub uczestnika konkursu wykluczonego na podstawie art. 7 ust. 1 </w:t>
      </w:r>
      <w:r>
        <w:rPr>
          <w:szCs w:val="22"/>
        </w:rPr>
        <w:t xml:space="preserve">powyższej </w:t>
      </w:r>
      <w:r w:rsidRPr="00331219">
        <w:rPr>
          <w:szCs w:val="22"/>
        </w:rPr>
        <w:t>ustawy,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1FAC4BE5" w14:textId="77777777" w:rsidR="000D2677" w:rsidRDefault="000D2677" w:rsidP="000D2677">
      <w:pPr>
        <w:rPr>
          <w:szCs w:val="22"/>
        </w:rPr>
      </w:pPr>
    </w:p>
    <w:p w14:paraId="2FE852CE" w14:textId="77777777" w:rsidR="000D2677" w:rsidRPr="00331219" w:rsidRDefault="000D2677" w:rsidP="000D2677">
      <w:pPr>
        <w:rPr>
          <w:szCs w:val="22"/>
        </w:rPr>
      </w:pPr>
      <w:r w:rsidRPr="00331219">
        <w:rPr>
          <w:szCs w:val="22"/>
        </w:rPr>
        <w:t xml:space="preserve">Kontrola udzielania zamówień publicznych w zakresie zgodności z art. 7 ust. 1 </w:t>
      </w:r>
      <w:r>
        <w:rPr>
          <w:szCs w:val="22"/>
        </w:rPr>
        <w:t xml:space="preserve">powyższej </w:t>
      </w:r>
      <w:r w:rsidRPr="00331219">
        <w:rPr>
          <w:szCs w:val="22"/>
        </w:rPr>
        <w:t xml:space="preserve">ustawy </w:t>
      </w:r>
      <w:r>
        <w:rPr>
          <w:szCs w:val="22"/>
        </w:rPr>
        <w:t xml:space="preserve">jest </w:t>
      </w:r>
      <w:r w:rsidRPr="00331219">
        <w:rPr>
          <w:szCs w:val="22"/>
        </w:rPr>
        <w:t>wykonywana zgodnie z art. 596 ustawy Pzp.</w:t>
      </w:r>
    </w:p>
    <w:p w14:paraId="7EBD6EAA" w14:textId="77777777" w:rsidR="000D2677" w:rsidRDefault="000D2677" w:rsidP="000D2677">
      <w:pPr>
        <w:rPr>
          <w:szCs w:val="22"/>
        </w:rPr>
      </w:pPr>
    </w:p>
    <w:p w14:paraId="444B7B0D" w14:textId="77777777" w:rsidR="000D2677" w:rsidRPr="00331219" w:rsidRDefault="000D2677" w:rsidP="000D2677">
      <w:pPr>
        <w:rPr>
          <w:szCs w:val="22"/>
        </w:rPr>
      </w:pPr>
      <w:r w:rsidRPr="00331219">
        <w:rPr>
          <w:szCs w:val="22"/>
        </w:rPr>
        <w:t xml:space="preserve">Jako sankcję przewidziano również karę pieniężną nakładaną na osoby lub podmioty podlegające wykluczeniu na podstawie art. 7 ust. 1 </w:t>
      </w:r>
      <w:r>
        <w:rPr>
          <w:szCs w:val="22"/>
        </w:rPr>
        <w:t xml:space="preserve">powyższej </w:t>
      </w:r>
      <w:r w:rsidRPr="00331219">
        <w:rPr>
          <w:szCs w:val="22"/>
        </w:rPr>
        <w:t>ustawy, które w okresie tego wykluczenia ubiegają się o udzielenie zamówienia publicznego lub dopuszczenie do udziału w konkursie lub biorą udział w postępowaniu o udzielenie zamówienia publicznego lub w konkursie. Przy czym, 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w:t>
      </w:r>
    </w:p>
    <w:p w14:paraId="1EBC6EFA" w14:textId="77777777" w:rsidR="000D2677" w:rsidRDefault="000D2677" w:rsidP="000D2677">
      <w:pPr>
        <w:rPr>
          <w:szCs w:val="22"/>
        </w:rPr>
      </w:pPr>
    </w:p>
    <w:p w14:paraId="3DFA2AB6" w14:textId="77777777" w:rsidR="000D2677" w:rsidRDefault="000D2677" w:rsidP="000D2677">
      <w:pPr>
        <w:rPr>
          <w:szCs w:val="22"/>
        </w:rPr>
      </w:pPr>
      <w:r w:rsidRPr="00331219">
        <w:rPr>
          <w:szCs w:val="22"/>
        </w:rPr>
        <w:t xml:space="preserve">Kara pieniężna </w:t>
      </w:r>
      <w:r>
        <w:rPr>
          <w:szCs w:val="22"/>
        </w:rPr>
        <w:t xml:space="preserve">jest </w:t>
      </w:r>
      <w:r w:rsidRPr="00331219">
        <w:rPr>
          <w:szCs w:val="22"/>
        </w:rPr>
        <w:t>nakładana przez Prezesa Urzędu Zamówień Publicznych, w drodze decyzji, w wysokości do 20 000 000 zł.</w:t>
      </w:r>
    </w:p>
    <w:p w14:paraId="4145634E" w14:textId="77777777" w:rsidR="000D2677" w:rsidRDefault="000D2677" w:rsidP="000D2677">
      <w:pPr>
        <w:rPr>
          <w:szCs w:val="22"/>
        </w:rPr>
      </w:pPr>
    </w:p>
    <w:p w14:paraId="1DFF835A" w14:textId="77777777" w:rsidR="000D2677" w:rsidRDefault="000D2677" w:rsidP="000D2677">
      <w:pPr>
        <w:shd w:val="clear" w:color="auto" w:fill="FFFFFF"/>
      </w:pPr>
      <w:r>
        <w:t xml:space="preserve">Ustawa </w:t>
      </w:r>
      <w:r w:rsidRPr="00AC0FCF">
        <w:t>weszł</w:t>
      </w:r>
      <w:r>
        <w:t>a</w:t>
      </w:r>
      <w:r w:rsidRPr="00AC0FCF">
        <w:t xml:space="preserve"> w życie z dniem </w:t>
      </w:r>
      <w:r>
        <w:t>16 kwietnia</w:t>
      </w:r>
      <w:r w:rsidRPr="00AC0FCF">
        <w:t xml:space="preserve"> 2022 r.</w:t>
      </w:r>
    </w:p>
    <w:p w14:paraId="0A2BC088" w14:textId="77777777" w:rsidR="00173494" w:rsidRDefault="00173494" w:rsidP="007D4DEB">
      <w:pPr>
        <w:shd w:val="clear" w:color="auto" w:fill="FFFFFF"/>
        <w:rPr>
          <w:rFonts w:cs="Arial"/>
          <w:szCs w:val="22"/>
        </w:rPr>
      </w:pPr>
    </w:p>
    <w:p w14:paraId="33518988" w14:textId="77777777" w:rsidR="004E191C" w:rsidRPr="00051D1A" w:rsidRDefault="004E191C" w:rsidP="004E191C">
      <w:pPr>
        <w:rPr>
          <w:rFonts w:cs="Arial"/>
          <w:bCs/>
        </w:rPr>
      </w:pPr>
    </w:p>
    <w:tbl>
      <w:tblPr>
        <w:tblW w:w="9196" w:type="dxa"/>
        <w:tblInd w:w="90" w:type="dxa"/>
        <w:tblLayout w:type="fixed"/>
        <w:tblLook w:val="04A0" w:firstRow="1" w:lastRow="0" w:firstColumn="1" w:lastColumn="0" w:noHBand="0" w:noVBand="1"/>
      </w:tblPr>
      <w:tblGrid>
        <w:gridCol w:w="236"/>
        <w:gridCol w:w="8960"/>
      </w:tblGrid>
      <w:tr w:rsidR="005F3C4D" w14:paraId="57D87951" w14:textId="77777777" w:rsidTr="005B2B3E">
        <w:trPr>
          <w:cantSplit/>
        </w:trPr>
        <w:tc>
          <w:tcPr>
            <w:tcW w:w="236" w:type="dxa"/>
            <w:shd w:val="clear" w:color="auto" w:fill="95B3D7"/>
          </w:tcPr>
          <w:p w14:paraId="75061599" w14:textId="77777777" w:rsidR="005F3C4D" w:rsidRDefault="005F3C4D" w:rsidP="007D4DEB"/>
        </w:tc>
        <w:tc>
          <w:tcPr>
            <w:tcW w:w="8960" w:type="dxa"/>
          </w:tcPr>
          <w:p w14:paraId="05779695" w14:textId="1C121DF9" w:rsidR="005F3C4D" w:rsidRPr="006B0107" w:rsidRDefault="00F319A4" w:rsidP="007D4DEB">
            <w:pPr>
              <w:pStyle w:val="Nagwek2"/>
              <w:shd w:val="clear" w:color="auto" w:fill="FFFFFF"/>
              <w:spacing w:after="120"/>
              <w:ind w:left="454" w:hanging="454"/>
              <w:rPr>
                <w:noProof/>
                <w:color w:val="0070C0"/>
                <w:sz w:val="28"/>
              </w:rPr>
            </w:pPr>
            <w:bookmarkStart w:id="32" w:name="_Toc64451845"/>
            <w:bookmarkStart w:id="33" w:name="_Toc141276421"/>
            <w:r w:rsidRPr="006B0107">
              <w:rPr>
                <w:noProof/>
                <w:color w:val="0070C0"/>
                <w:sz w:val="28"/>
              </w:rPr>
              <w:t>I.</w:t>
            </w:r>
            <w:r w:rsidR="00F87081" w:rsidRPr="006B0107">
              <w:rPr>
                <w:noProof/>
                <w:color w:val="0070C0"/>
                <w:sz w:val="28"/>
              </w:rPr>
              <w:t>4</w:t>
            </w:r>
            <w:r w:rsidRPr="006B0107">
              <w:rPr>
                <w:noProof/>
                <w:color w:val="0070C0"/>
                <w:sz w:val="28"/>
              </w:rPr>
              <w:t>.</w:t>
            </w:r>
            <w:r w:rsidR="00750B05" w:rsidRPr="006B0107">
              <w:rPr>
                <w:noProof/>
                <w:color w:val="0070C0"/>
                <w:sz w:val="28"/>
              </w:rPr>
              <w:t xml:space="preserve"> </w:t>
            </w:r>
            <w:r w:rsidR="0062134F" w:rsidRPr="006B0107">
              <w:rPr>
                <w:noProof/>
                <w:color w:val="0070C0"/>
                <w:sz w:val="28"/>
              </w:rPr>
              <w:t>Regulacje i dokumenty d</w:t>
            </w:r>
            <w:r w:rsidR="002775C4" w:rsidRPr="006B0107">
              <w:rPr>
                <w:noProof/>
                <w:color w:val="0070C0"/>
                <w:sz w:val="28"/>
              </w:rPr>
              <w:t>otyczące zamówień publicznych i</w:t>
            </w:r>
            <w:r w:rsidR="009343A1">
              <w:rPr>
                <w:noProof/>
                <w:color w:val="0070C0"/>
                <w:sz w:val="28"/>
              </w:rPr>
              <w:t xml:space="preserve"> </w:t>
            </w:r>
            <w:r w:rsidR="0062134F" w:rsidRPr="006B0107">
              <w:rPr>
                <w:noProof/>
                <w:color w:val="0070C0"/>
                <w:sz w:val="28"/>
              </w:rPr>
              <w:t xml:space="preserve">koncesji na roboty budowlane </w:t>
            </w:r>
            <w:r w:rsidR="003A4FCA" w:rsidRPr="006B0107">
              <w:rPr>
                <w:noProof/>
                <w:color w:val="0070C0"/>
                <w:sz w:val="28"/>
              </w:rPr>
              <w:t>lub</w:t>
            </w:r>
            <w:r w:rsidR="0062134F" w:rsidRPr="006B0107">
              <w:rPr>
                <w:noProof/>
                <w:color w:val="0070C0"/>
                <w:sz w:val="28"/>
              </w:rPr>
              <w:t xml:space="preserve"> usługi w Unii Europejskiej</w:t>
            </w:r>
            <w:bookmarkEnd w:id="32"/>
            <w:bookmarkEnd w:id="33"/>
          </w:p>
        </w:tc>
      </w:tr>
    </w:tbl>
    <w:p w14:paraId="38A20F40" w14:textId="5FE8F4CD" w:rsidR="00083370" w:rsidRDefault="00083370" w:rsidP="007D4DEB">
      <w:pPr>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4317D1" w:rsidRPr="001E7D51" w14:paraId="41D5400A" w14:textId="77777777" w:rsidTr="00822AAB">
        <w:trPr>
          <w:cantSplit/>
        </w:trPr>
        <w:tc>
          <w:tcPr>
            <w:tcW w:w="236" w:type="dxa"/>
            <w:shd w:val="clear" w:color="auto" w:fill="B8CCE4"/>
          </w:tcPr>
          <w:p w14:paraId="0A6DD1A7" w14:textId="77777777" w:rsidR="004317D1" w:rsidRPr="001E7D51" w:rsidRDefault="004317D1" w:rsidP="00822AAB">
            <w:pPr>
              <w:rPr>
                <w:sz w:val="24"/>
              </w:rPr>
            </w:pPr>
          </w:p>
        </w:tc>
        <w:tc>
          <w:tcPr>
            <w:tcW w:w="8676" w:type="dxa"/>
          </w:tcPr>
          <w:p w14:paraId="32109948" w14:textId="403C25A9" w:rsidR="004317D1" w:rsidRPr="006B0107" w:rsidRDefault="004317D1" w:rsidP="0094284F">
            <w:pPr>
              <w:pStyle w:val="Nagwek3"/>
              <w:shd w:val="clear" w:color="auto" w:fill="FFFFFF"/>
              <w:spacing w:after="120"/>
              <w:ind w:left="0"/>
              <w:rPr>
                <w:color w:val="0070C0"/>
                <w:sz w:val="24"/>
                <w:szCs w:val="24"/>
              </w:rPr>
            </w:pPr>
            <w:bookmarkStart w:id="34" w:name="_Toc141276422"/>
            <w:r w:rsidRPr="006B0107">
              <w:rPr>
                <w:color w:val="0070C0"/>
                <w:sz w:val="24"/>
                <w:szCs w:val="24"/>
              </w:rPr>
              <w:t>I.</w:t>
            </w:r>
            <w:r w:rsidR="0094284F" w:rsidRPr="006B0107">
              <w:rPr>
                <w:color w:val="0070C0"/>
                <w:sz w:val="24"/>
                <w:szCs w:val="24"/>
              </w:rPr>
              <w:t>4</w:t>
            </w:r>
            <w:r w:rsidRPr="006B0107">
              <w:rPr>
                <w:color w:val="0070C0"/>
                <w:sz w:val="24"/>
                <w:szCs w:val="24"/>
              </w:rPr>
              <w:t>.1. Akty prawne</w:t>
            </w:r>
            <w:bookmarkEnd w:id="34"/>
          </w:p>
        </w:tc>
      </w:tr>
    </w:tbl>
    <w:p w14:paraId="76DA3E56" w14:textId="77777777" w:rsidR="00444422" w:rsidRDefault="00444422" w:rsidP="00444422">
      <w:pPr>
        <w:rPr>
          <w:rFonts w:cs="Arial"/>
          <w:szCs w:val="22"/>
        </w:rPr>
      </w:pPr>
    </w:p>
    <w:p w14:paraId="50908F1F" w14:textId="1BF0903D" w:rsidR="00444422" w:rsidRPr="00444422" w:rsidRDefault="00444422" w:rsidP="00444422">
      <w:pPr>
        <w:rPr>
          <w:rFonts w:cs="Arial"/>
          <w:szCs w:val="22"/>
        </w:rPr>
      </w:pPr>
      <w:r w:rsidRPr="00444422">
        <w:rPr>
          <w:rFonts w:cs="Arial"/>
          <w:szCs w:val="22"/>
        </w:rPr>
        <w:t>W 2022 r. weszły w życie następujące zmiany w prawodawstwie unijnym w dziedzinie zamówień publicznych:</w:t>
      </w:r>
    </w:p>
    <w:p w14:paraId="197F7006" w14:textId="77777777" w:rsidR="008A6CEC" w:rsidRDefault="008A6CEC" w:rsidP="00444422">
      <w:pPr>
        <w:rPr>
          <w:rFonts w:cs="Arial"/>
          <w:szCs w:val="22"/>
        </w:rPr>
      </w:pPr>
    </w:p>
    <w:p w14:paraId="54CF6C7B" w14:textId="62F2D919" w:rsidR="00444422" w:rsidRPr="00444422" w:rsidRDefault="00444422" w:rsidP="00444422">
      <w:pPr>
        <w:rPr>
          <w:rFonts w:cs="Arial"/>
          <w:szCs w:val="22"/>
        </w:rPr>
      </w:pPr>
      <w:r w:rsidRPr="00444422">
        <w:rPr>
          <w:rFonts w:cs="Arial"/>
          <w:szCs w:val="22"/>
        </w:rPr>
        <w:t xml:space="preserve">1 stycznia 2022 r. weszły w życie </w:t>
      </w:r>
      <w:r w:rsidRPr="008A6CEC">
        <w:rPr>
          <w:rFonts w:cs="Arial"/>
          <w:b/>
          <w:szCs w:val="22"/>
        </w:rPr>
        <w:t>nowe regulacje odnoszące się do progów, od których zastosowanie znajdują procedury unijne w dyrektywach</w:t>
      </w:r>
      <w:r w:rsidRPr="00444422">
        <w:rPr>
          <w:rFonts w:cs="Arial"/>
          <w:szCs w:val="22"/>
        </w:rPr>
        <w:t>, tj.:</w:t>
      </w:r>
    </w:p>
    <w:p w14:paraId="34818AD1" w14:textId="207080BF" w:rsidR="00444422" w:rsidRPr="00444422" w:rsidRDefault="00444422" w:rsidP="00E16264">
      <w:pPr>
        <w:numPr>
          <w:ilvl w:val="0"/>
          <w:numId w:val="35"/>
        </w:numPr>
        <w:rPr>
          <w:rFonts w:cs="Arial"/>
          <w:szCs w:val="22"/>
        </w:rPr>
      </w:pPr>
      <w:r w:rsidRPr="00444422">
        <w:rPr>
          <w:rFonts w:cs="Arial"/>
          <w:szCs w:val="22"/>
        </w:rPr>
        <w:t xml:space="preserve">rozporządzenie delegowane Komisji (UE) 2021/1950 z dnia 10 listopada 2021 r. zmieniające dyrektywę Parlamentu Europejskiego i Rady 2009/81/WE w odniesieniu do progów dotyczących zamówień na dostawy, usługi i roboty budowlane (Dz. Urz. UE L 398 z </w:t>
      </w:r>
      <w:r w:rsidR="00AC30E1">
        <w:rPr>
          <w:rFonts w:cs="Arial"/>
          <w:szCs w:val="22"/>
        </w:rPr>
        <w:t>11.11.2021</w:t>
      </w:r>
      <w:r w:rsidRPr="00444422">
        <w:rPr>
          <w:rFonts w:cs="Arial"/>
          <w:szCs w:val="22"/>
        </w:rPr>
        <w:t>, str. 19),</w:t>
      </w:r>
    </w:p>
    <w:p w14:paraId="68B74F7C" w14:textId="62B90BF3" w:rsidR="00444422" w:rsidRPr="00444422" w:rsidRDefault="00444422" w:rsidP="00E16264">
      <w:pPr>
        <w:numPr>
          <w:ilvl w:val="0"/>
          <w:numId w:val="35"/>
        </w:numPr>
        <w:rPr>
          <w:rFonts w:cs="Arial"/>
          <w:szCs w:val="22"/>
        </w:rPr>
      </w:pPr>
      <w:r w:rsidRPr="00444422">
        <w:rPr>
          <w:rFonts w:cs="Arial"/>
          <w:szCs w:val="22"/>
        </w:rPr>
        <w:t xml:space="preserve">rozporządzenie delegowane Komisji (UE) 2021/1951 z dnia 10 listopada 2021 r. zmieniające dyrektywę Parlamentu Europejskiego i Rady 2014/23/UE w odniesieniu do progów dotyczących koncesji (Dz. Urz. UE L 398 z </w:t>
      </w:r>
      <w:r w:rsidR="00AC30E1">
        <w:rPr>
          <w:rFonts w:cs="Arial"/>
          <w:szCs w:val="22"/>
        </w:rPr>
        <w:t>11.11.2021</w:t>
      </w:r>
      <w:r w:rsidRPr="00444422">
        <w:rPr>
          <w:rFonts w:cs="Arial"/>
          <w:szCs w:val="22"/>
        </w:rPr>
        <w:t>, str. 21),</w:t>
      </w:r>
    </w:p>
    <w:p w14:paraId="5B7146E6" w14:textId="41A15B0B" w:rsidR="00444422" w:rsidRPr="00444422" w:rsidRDefault="00444422" w:rsidP="00E16264">
      <w:pPr>
        <w:numPr>
          <w:ilvl w:val="0"/>
          <w:numId w:val="35"/>
        </w:numPr>
        <w:rPr>
          <w:rFonts w:cs="Arial"/>
          <w:szCs w:val="22"/>
        </w:rPr>
      </w:pPr>
      <w:r w:rsidRPr="00444422">
        <w:rPr>
          <w:rFonts w:cs="Arial"/>
          <w:szCs w:val="22"/>
        </w:rPr>
        <w:t xml:space="preserve">rozporządzenie delegowane Komisji (UE) 2021/1952 z dnia 10 listopada 2021 r. zmieniające dyrektywę Parlamentu Europejskiego i Rady 2014/24/UE w odniesieniu do progów dotyczących zamówień publicznych na dostawy, usługi i roboty budowlane oraz konkursów (Dz. Urz. UE L 398 z </w:t>
      </w:r>
      <w:r w:rsidR="00AC30E1">
        <w:rPr>
          <w:rFonts w:cs="Arial"/>
          <w:szCs w:val="22"/>
        </w:rPr>
        <w:t>11.</w:t>
      </w:r>
      <w:r w:rsidR="00D907CB">
        <w:rPr>
          <w:rFonts w:cs="Arial"/>
          <w:szCs w:val="22"/>
        </w:rPr>
        <w:t>1</w:t>
      </w:r>
      <w:r w:rsidR="00AC30E1">
        <w:rPr>
          <w:rFonts w:cs="Arial"/>
          <w:szCs w:val="22"/>
        </w:rPr>
        <w:t>1.2021</w:t>
      </w:r>
      <w:r w:rsidRPr="00444422">
        <w:rPr>
          <w:rFonts w:cs="Arial"/>
          <w:szCs w:val="22"/>
        </w:rPr>
        <w:t>, str. 23),</w:t>
      </w:r>
    </w:p>
    <w:p w14:paraId="23B9D340" w14:textId="3B8850F9" w:rsidR="00444422" w:rsidRPr="00444422" w:rsidRDefault="00444422" w:rsidP="00E16264">
      <w:pPr>
        <w:numPr>
          <w:ilvl w:val="0"/>
          <w:numId w:val="35"/>
        </w:numPr>
        <w:rPr>
          <w:rFonts w:cs="Arial"/>
          <w:szCs w:val="22"/>
        </w:rPr>
      </w:pPr>
      <w:r w:rsidRPr="00444422">
        <w:rPr>
          <w:rFonts w:cs="Arial"/>
          <w:szCs w:val="22"/>
        </w:rPr>
        <w:t xml:space="preserve">rozporządzenie delegowane Komisji (UE) 2021/1953 z dnia 10 listopada 2021 r. zmieniające dyrektywę Parlamentu Europejskiego i Rady 2014/25/UE w odniesieniu do progów dotyczących zamówień na dostawy, usługi i roboty budowlane oraz konkursów (Dz. Urz. UE L 398 z </w:t>
      </w:r>
      <w:r w:rsidR="00AC30E1">
        <w:rPr>
          <w:rFonts w:cs="Arial"/>
          <w:szCs w:val="22"/>
        </w:rPr>
        <w:t>11.11.2021</w:t>
      </w:r>
      <w:r w:rsidRPr="00444422">
        <w:rPr>
          <w:rFonts w:cs="Arial"/>
          <w:szCs w:val="22"/>
        </w:rPr>
        <w:t>, str. 25).</w:t>
      </w:r>
    </w:p>
    <w:p w14:paraId="1DD0AC1D" w14:textId="77777777" w:rsidR="008A6CEC" w:rsidRDefault="008A6CEC" w:rsidP="00444422">
      <w:pPr>
        <w:rPr>
          <w:rFonts w:cs="Arial"/>
          <w:szCs w:val="22"/>
        </w:rPr>
      </w:pPr>
    </w:p>
    <w:p w14:paraId="2AEA1518" w14:textId="7FBBB733" w:rsidR="00444422" w:rsidRPr="00444422" w:rsidRDefault="00444422" w:rsidP="00444422">
      <w:pPr>
        <w:rPr>
          <w:rFonts w:cs="Arial"/>
          <w:szCs w:val="22"/>
        </w:rPr>
      </w:pPr>
      <w:r w:rsidRPr="00444422">
        <w:rPr>
          <w:rFonts w:cs="Arial"/>
          <w:szCs w:val="22"/>
        </w:rPr>
        <w:t xml:space="preserve">9 kwietnia 2022 r. weszły w życie przepisy rozporządzenia Rady </w:t>
      </w:r>
      <w:r w:rsidR="0002125E">
        <w:rPr>
          <w:rFonts w:cs="Arial"/>
          <w:szCs w:val="22"/>
        </w:rPr>
        <w:t>(</w:t>
      </w:r>
      <w:r w:rsidRPr="00444422">
        <w:rPr>
          <w:rFonts w:cs="Arial"/>
          <w:szCs w:val="22"/>
        </w:rPr>
        <w:t>UE</w:t>
      </w:r>
      <w:r w:rsidR="0002125E">
        <w:rPr>
          <w:rFonts w:cs="Arial"/>
          <w:szCs w:val="22"/>
        </w:rPr>
        <w:t>)</w:t>
      </w:r>
      <w:r w:rsidRPr="00444422">
        <w:rPr>
          <w:rFonts w:cs="Arial"/>
          <w:szCs w:val="22"/>
        </w:rPr>
        <w:t xml:space="preserve"> 2022/576 w sprawie zmiany rozporządzenia (UE) nr 833/2014 dotyczącego środków ograniczających w związku z działaniami Rosji destabilizującymi sytuację na Ukrainie (Dz. Urz. UE L 111 z </w:t>
      </w:r>
      <w:r w:rsidR="00AC30E1">
        <w:rPr>
          <w:rFonts w:cs="Arial"/>
          <w:szCs w:val="22"/>
        </w:rPr>
        <w:t>0</w:t>
      </w:r>
      <w:r w:rsidRPr="00444422">
        <w:rPr>
          <w:rFonts w:cs="Arial"/>
          <w:szCs w:val="22"/>
        </w:rPr>
        <w:t>8.</w:t>
      </w:r>
      <w:r w:rsidR="00AC30E1">
        <w:rPr>
          <w:rFonts w:cs="Arial"/>
          <w:szCs w:val="22"/>
        </w:rPr>
        <w:t>0</w:t>
      </w:r>
      <w:r w:rsidRPr="00444422">
        <w:rPr>
          <w:rFonts w:cs="Arial"/>
          <w:szCs w:val="22"/>
        </w:rPr>
        <w:t>4.2022, str. 1),</w:t>
      </w:r>
      <w:r w:rsidRPr="00444422">
        <w:rPr>
          <w:rFonts w:cs="Arial"/>
          <w:b/>
          <w:bCs/>
          <w:szCs w:val="22"/>
        </w:rPr>
        <w:t xml:space="preserve"> </w:t>
      </w:r>
      <w:r w:rsidR="001124D3" w:rsidRPr="00B8000A">
        <w:rPr>
          <w:rFonts w:cs="Arial"/>
          <w:szCs w:val="22"/>
        </w:rPr>
        <w:t>zwan</w:t>
      </w:r>
      <w:r w:rsidR="00C4488D">
        <w:rPr>
          <w:rFonts w:cs="Arial"/>
          <w:szCs w:val="22"/>
        </w:rPr>
        <w:t>ego</w:t>
      </w:r>
      <w:r w:rsidR="001124D3" w:rsidRPr="00B8000A">
        <w:rPr>
          <w:rFonts w:cs="Arial"/>
          <w:szCs w:val="22"/>
        </w:rPr>
        <w:t xml:space="preserve"> dalej „rozporządzeniem 2022/576”,</w:t>
      </w:r>
      <w:r w:rsidR="001124D3">
        <w:rPr>
          <w:rFonts w:cs="Arial"/>
          <w:b/>
          <w:bCs/>
          <w:szCs w:val="22"/>
        </w:rPr>
        <w:t xml:space="preserve"> </w:t>
      </w:r>
      <w:r w:rsidRPr="00444422">
        <w:rPr>
          <w:rFonts w:cs="Arial"/>
          <w:b/>
          <w:bCs/>
          <w:szCs w:val="22"/>
        </w:rPr>
        <w:t xml:space="preserve">które ustanawia ogólnounijny zakaz udziału rosyjskich wykonawców w zamówieniach publicznych i koncesjach udzielanych w państwach członkowskich Unii Europejskiej. </w:t>
      </w:r>
      <w:r w:rsidRPr="00444422">
        <w:rPr>
          <w:rFonts w:cs="Arial"/>
          <w:szCs w:val="22"/>
        </w:rPr>
        <w:t>Rozporządzenie 2022/576 ma zasięg ogólny, wiąże w całości i obowiązuje bezpośrednio we wszystkich państwach członkowskich. W konsekwencji od dnia 9 kwietnia 2022 r. zamówienia o wartości równej lub przekraczającej progi unijne udzielane zgodnie z przepisami ustawy – Prawo zamówień publicznych (</w:t>
      </w:r>
      <w:r w:rsidR="00797E66" w:rsidRPr="00797E66">
        <w:rPr>
          <w:rFonts w:cs="Arial"/>
          <w:szCs w:val="22"/>
        </w:rPr>
        <w:t>Dz. U. z 2022 r. poz. 1710, 1812, 1933 i 2185 oraz z 2023 r. poz. 412 i 825</w:t>
      </w:r>
      <w:r w:rsidRPr="00444422">
        <w:rPr>
          <w:rFonts w:cs="Arial"/>
          <w:szCs w:val="22"/>
        </w:rPr>
        <w:t>) oraz zamówienia o wartości równej lub przekraczającej progi unijne wyłączone na podstawie art. 10 ust. 1 pkt 3 i</w:t>
      </w:r>
      <w:r w:rsidR="009343A1">
        <w:rPr>
          <w:rFonts w:cs="Arial"/>
          <w:szCs w:val="22"/>
        </w:rPr>
        <w:t xml:space="preserve"> </w:t>
      </w:r>
      <w:r w:rsidRPr="00444422">
        <w:rPr>
          <w:rFonts w:cs="Arial"/>
          <w:szCs w:val="22"/>
        </w:rPr>
        <w:t>4, art. 11 ust. 1 pkt 1</w:t>
      </w:r>
      <w:r w:rsidR="00773C49" w:rsidRPr="00773C49">
        <w:rPr>
          <w:rFonts w:cs="Arial"/>
          <w:szCs w:val="22"/>
        </w:rPr>
        <w:t>–</w:t>
      </w:r>
      <w:r w:rsidRPr="00444422">
        <w:rPr>
          <w:rFonts w:cs="Arial"/>
          <w:szCs w:val="22"/>
        </w:rPr>
        <w:t>5 i 7</w:t>
      </w:r>
      <w:r w:rsidR="00773C49" w:rsidRPr="00773C49">
        <w:rPr>
          <w:rFonts w:cs="Arial"/>
          <w:szCs w:val="22"/>
        </w:rPr>
        <w:t>–</w:t>
      </w:r>
      <w:r w:rsidRPr="00444422">
        <w:rPr>
          <w:rFonts w:cs="Arial"/>
          <w:szCs w:val="22"/>
        </w:rPr>
        <w:t>10, art. 13 ust. 1 pkt 3</w:t>
      </w:r>
      <w:r w:rsidR="00773C49" w:rsidRPr="00773C49">
        <w:rPr>
          <w:rFonts w:cs="Arial"/>
          <w:szCs w:val="22"/>
        </w:rPr>
        <w:t>–</w:t>
      </w:r>
      <w:r w:rsidRPr="00444422">
        <w:rPr>
          <w:rFonts w:cs="Arial"/>
          <w:szCs w:val="22"/>
        </w:rPr>
        <w:t>8, art. 363 ust. 1, art. 365 i art. 366 ustawy – Prawo zamówień publicznych, a także koncesje o wartości równej lub przekraczającej próg unijny udzielane zgodnie z przepisami ustawy o umowie koncesji na roboty budowlane lub usługi (</w:t>
      </w:r>
      <w:r w:rsidR="00797E66" w:rsidRPr="00797E66">
        <w:rPr>
          <w:rFonts w:cs="Arial"/>
          <w:szCs w:val="22"/>
        </w:rPr>
        <w:t>Dz. U. z 2023 r. poz. 140</w:t>
      </w:r>
      <w:r w:rsidRPr="00444422">
        <w:rPr>
          <w:rFonts w:cs="Arial"/>
          <w:szCs w:val="22"/>
        </w:rPr>
        <w:t>) oraz koncesje o wartości równej lub przekraczającej próg unijny wyłączone na podstawie art. 5 ust. 1 pkt 2 lit. b</w:t>
      </w:r>
      <w:r w:rsidR="00773C49" w:rsidRPr="00773C49">
        <w:rPr>
          <w:rFonts w:cs="Arial"/>
          <w:szCs w:val="22"/>
        </w:rPr>
        <w:t>–</w:t>
      </w:r>
      <w:r w:rsidRPr="00444422">
        <w:rPr>
          <w:rFonts w:cs="Arial"/>
          <w:szCs w:val="22"/>
        </w:rPr>
        <w:t>f, pkt 3 lit. a i c</w:t>
      </w:r>
      <w:r w:rsidR="00773C49" w:rsidRPr="00773C49">
        <w:rPr>
          <w:rFonts w:cs="Arial"/>
          <w:szCs w:val="22"/>
        </w:rPr>
        <w:t>–</w:t>
      </w:r>
      <w:r w:rsidRPr="00444422">
        <w:rPr>
          <w:rFonts w:cs="Arial"/>
          <w:szCs w:val="22"/>
        </w:rPr>
        <w:t>k oraz pkt 4</w:t>
      </w:r>
      <w:r w:rsidR="00773C49" w:rsidRPr="00773C49">
        <w:rPr>
          <w:rFonts w:cs="Arial"/>
          <w:szCs w:val="22"/>
        </w:rPr>
        <w:t>–</w:t>
      </w:r>
      <w:r w:rsidRPr="00444422">
        <w:rPr>
          <w:rFonts w:cs="Arial"/>
          <w:szCs w:val="22"/>
        </w:rPr>
        <w:t xml:space="preserve">13 ustawy o umowie koncesji na roboty budowlane lub usługi nie mogą być udzielane podmiotom rosyjskim w rozumieniu przepisów rozporządzenia </w:t>
      </w:r>
      <w:r w:rsidR="007668F4" w:rsidRPr="00F678CD">
        <w:rPr>
          <w:rFonts w:cs="Arial"/>
          <w:szCs w:val="22"/>
        </w:rPr>
        <w:t xml:space="preserve">Rady (UE) nr 833/2014 z dnia 31 lipca 2014 r. </w:t>
      </w:r>
      <w:r w:rsidR="007668F4" w:rsidRPr="00F678CD">
        <w:rPr>
          <w:rFonts w:cs="Arial"/>
          <w:i/>
          <w:iCs/>
          <w:szCs w:val="22"/>
        </w:rPr>
        <w:t>dotyczącego środków ograniczających w związku z działaniami Rosji destabilizującymi sytuację na Ukrainie</w:t>
      </w:r>
      <w:r w:rsidR="007668F4" w:rsidRPr="00F678CD">
        <w:rPr>
          <w:rFonts w:cs="Arial"/>
          <w:szCs w:val="22"/>
        </w:rPr>
        <w:t xml:space="preserve"> (Dz. Urz. UE L 229 z 31.07.2014, str. 1, z późn. zm.)</w:t>
      </w:r>
      <w:r w:rsidR="007668F4">
        <w:rPr>
          <w:rFonts w:cs="Arial"/>
          <w:szCs w:val="22"/>
        </w:rPr>
        <w:t>, zwan</w:t>
      </w:r>
      <w:r w:rsidR="00C4488D">
        <w:rPr>
          <w:rFonts w:cs="Arial"/>
          <w:szCs w:val="22"/>
        </w:rPr>
        <w:t>ego</w:t>
      </w:r>
      <w:r w:rsidR="007668F4">
        <w:rPr>
          <w:rFonts w:cs="Arial"/>
          <w:szCs w:val="22"/>
        </w:rPr>
        <w:t xml:space="preserve"> dalej „rozporządzeniem </w:t>
      </w:r>
      <w:r w:rsidRPr="00444422">
        <w:rPr>
          <w:rFonts w:cs="Arial"/>
          <w:szCs w:val="22"/>
        </w:rPr>
        <w:t>833/2014</w:t>
      </w:r>
      <w:r w:rsidR="00912F24">
        <w:rPr>
          <w:rFonts w:cs="Arial"/>
          <w:szCs w:val="22"/>
        </w:rPr>
        <w:t>”</w:t>
      </w:r>
      <w:r w:rsidRPr="00444422">
        <w:rPr>
          <w:rFonts w:cs="Arial"/>
          <w:szCs w:val="22"/>
        </w:rPr>
        <w:t xml:space="preserve"> zmienionego rozporządzeniem 2022/576. Zakaz obejmuje również podwykonawców, dostawców i podmioty, na których zdolności wykonawca lub koncesjonariusz polega, w przypadku gdy przypada na nich ponad 10% wartości zamówienia lub koncesji. W odniesieniu do umów w sprawie zamówienia publicznego i umów koncesji zawartych przed dniem 9 kwietnia 2022 r. zakaz udziału rosyjskich wykonawców w rozumieniu przepisów rozporządzenia 833/2014 zmienionego rozporządzeniem 2022/576 zaczął obowiązywać po upływie 6 miesięcy od dnia wejścia w życie rozporządzenia 2022/576, tj. 10 października 2022 r.</w:t>
      </w:r>
    </w:p>
    <w:p w14:paraId="5287103D" w14:textId="77777777" w:rsidR="00CE06CE" w:rsidRDefault="00CE06CE" w:rsidP="00444422">
      <w:pPr>
        <w:rPr>
          <w:rFonts w:cs="Arial"/>
          <w:szCs w:val="22"/>
        </w:rPr>
      </w:pPr>
    </w:p>
    <w:p w14:paraId="71380133" w14:textId="4F95972F" w:rsidR="00444422" w:rsidRPr="00444422" w:rsidRDefault="00444422" w:rsidP="00444422">
      <w:pPr>
        <w:rPr>
          <w:rFonts w:cs="Arial"/>
          <w:szCs w:val="22"/>
        </w:rPr>
      </w:pPr>
      <w:r w:rsidRPr="00444422">
        <w:rPr>
          <w:rFonts w:cs="Arial"/>
          <w:szCs w:val="22"/>
        </w:rPr>
        <w:t>30 czerwca 2022 r. zostało opublikowane, a 29 sierpnia 2022 r. weszło w życie rozporządzenie Parlamentu Europejskiego i Rady (UE) 2022/1031 z dnia 23 czerwca 2022 r. w sprawie dostępu wykonawców, towarów i usług z państw trzecich do unijnych rynków zamówień publicznych i</w:t>
      </w:r>
      <w:r w:rsidR="009343A1">
        <w:rPr>
          <w:rFonts w:cs="Arial"/>
          <w:szCs w:val="22"/>
        </w:rPr>
        <w:t xml:space="preserve"> </w:t>
      </w:r>
      <w:r w:rsidRPr="00444422">
        <w:rPr>
          <w:rFonts w:cs="Arial"/>
          <w:szCs w:val="22"/>
        </w:rPr>
        <w:t>koncesji oraz procedur wspierających negocjacje dotyczące dostępu unijnych wykonawców, towarów i usług do rynków zamówień publicznych i koncesji państw trzecich (</w:t>
      </w:r>
      <w:r w:rsidRPr="00444422">
        <w:rPr>
          <w:rFonts w:cs="Arial"/>
          <w:b/>
          <w:bCs/>
          <w:szCs w:val="22"/>
        </w:rPr>
        <w:t>Instrument Zamówień Międzynarodowych – IZM</w:t>
      </w:r>
      <w:r w:rsidRPr="00444422">
        <w:rPr>
          <w:rFonts w:cs="Arial"/>
          <w:szCs w:val="22"/>
        </w:rPr>
        <w:t>) (Dz. Urz. UE L 173 z 30.</w:t>
      </w:r>
      <w:r w:rsidR="00EB1FB4">
        <w:rPr>
          <w:rFonts w:cs="Arial"/>
          <w:szCs w:val="22"/>
        </w:rPr>
        <w:t>0</w:t>
      </w:r>
      <w:r w:rsidRPr="00444422">
        <w:rPr>
          <w:rFonts w:cs="Arial"/>
          <w:szCs w:val="22"/>
        </w:rPr>
        <w:t>6.2022, str. 1). Rozporządzenie IZM określa zasady i procedury przyjmowania przez Komisję, w</w:t>
      </w:r>
      <w:r w:rsidR="009343A1">
        <w:rPr>
          <w:rFonts w:cs="Arial"/>
          <w:szCs w:val="22"/>
        </w:rPr>
        <w:t xml:space="preserve"> </w:t>
      </w:r>
      <w:r w:rsidRPr="00444422">
        <w:rPr>
          <w:rFonts w:cs="Arial"/>
          <w:szCs w:val="22"/>
        </w:rPr>
        <w:t>drodze aktów wykonawczych publikowanych w Dzienniku Urzędowym Unii Europejskiej, środków ograniczających dostęp do zamówień państw UE (środki IZM) wykonawcom z państw trzecich, które nie oferują podobnego dostępu do przetargów publicznych wykonawcom z UE. Ograniczenie dostępu do</w:t>
      </w:r>
      <w:r w:rsidR="009343A1">
        <w:rPr>
          <w:rFonts w:cs="Arial"/>
          <w:szCs w:val="22"/>
        </w:rPr>
        <w:t xml:space="preserve"> </w:t>
      </w:r>
      <w:r w:rsidRPr="00444422">
        <w:rPr>
          <w:rFonts w:cs="Arial"/>
          <w:szCs w:val="22"/>
        </w:rPr>
        <w:t>zamówień udzielanych w państwach UE może polegać na zobowiązaniu zamawiających z państw UE do</w:t>
      </w:r>
      <w:r w:rsidR="009343A1">
        <w:rPr>
          <w:rFonts w:cs="Arial"/>
          <w:szCs w:val="22"/>
        </w:rPr>
        <w:t xml:space="preserve"> </w:t>
      </w:r>
      <w:r w:rsidRPr="00444422">
        <w:rPr>
          <w:rFonts w:cs="Arial"/>
          <w:szCs w:val="22"/>
        </w:rPr>
        <w:t>zastosowania w</w:t>
      </w:r>
      <w:r w:rsidR="009343A1">
        <w:rPr>
          <w:rFonts w:cs="Arial"/>
          <w:szCs w:val="22"/>
        </w:rPr>
        <w:t xml:space="preserve"> </w:t>
      </w:r>
      <w:r w:rsidRPr="00444422">
        <w:rPr>
          <w:rFonts w:cs="Arial"/>
          <w:szCs w:val="22"/>
        </w:rPr>
        <w:t>postępowaniach o udzielenie zamówienia publicznego lub koncesji korekty punktacji ofert lub wykluczenia wykonawców pochodzących z określonych państw trzecich. W 2022 r. żaden akt wykonawczy na podstawie rozporządzenia IZM nie został wydany przez Komisję.</w:t>
      </w:r>
    </w:p>
    <w:p w14:paraId="28CA857A" w14:textId="77777777" w:rsidR="00CE06CE" w:rsidRDefault="00CE06CE" w:rsidP="00444422">
      <w:pPr>
        <w:rPr>
          <w:rFonts w:cs="Arial"/>
          <w:szCs w:val="22"/>
        </w:rPr>
      </w:pPr>
    </w:p>
    <w:p w14:paraId="0C92E64F" w14:textId="1212D95E" w:rsidR="00444422" w:rsidRPr="00444422" w:rsidRDefault="00444422" w:rsidP="00444422">
      <w:pPr>
        <w:rPr>
          <w:rFonts w:cs="Arial"/>
          <w:szCs w:val="22"/>
        </w:rPr>
      </w:pPr>
      <w:r w:rsidRPr="00444422">
        <w:rPr>
          <w:rFonts w:cs="Arial"/>
          <w:szCs w:val="22"/>
        </w:rPr>
        <w:t>W dniu 15 grudnia 2022 r. weszło w życie rozporządzenie wykonawcze Komisji (UE) 2022/2303 z dnia 24 listopada 2022 r. zmieniające rozporządzenie wykonawcze (UE) 2019/1780 ustanawiające standardowe formularze do publikacji ogłoszeń w dziedzinie zamówień publicznych. Zgodnie z jego art. 1, rozporządzenie wykonawcze Komisji (UE) 2015/1986 z dnia 11 listopada 2015 r. ustanawiające standardowe formularze do publikacji ogłoszeń w dziedzinie zamówień publicznych i uchylające rozporządzenie wykonawcze (UE) nr 842/2011 utraciło moc ze skutkiem od dnia 14 listopada 2022 r. W okresie przejściowym od dnia 14 listopada 2022 r. do dnia 24 października 2023 r. do publikacji ogłoszeń w</w:t>
      </w:r>
      <w:r w:rsidR="009343A1">
        <w:rPr>
          <w:rFonts w:cs="Arial"/>
          <w:szCs w:val="22"/>
        </w:rPr>
        <w:t xml:space="preserve"> </w:t>
      </w:r>
      <w:r w:rsidRPr="00444422">
        <w:rPr>
          <w:rFonts w:cs="Arial"/>
          <w:szCs w:val="22"/>
        </w:rPr>
        <w:t>Dzienniku Urzędowym Unii Europejskiej można stosować zarówno formularze ustanowione rozporządzeniem wykonawczym (UE) 2022/2303, jak i formularze ustanowione dotychczasowym rozporządzeniem wykonawczym (UE) 2015/1986. W ramach zmiany rozporządzenia wykonawczego</w:t>
      </w:r>
      <w:r w:rsidR="009343A1">
        <w:rPr>
          <w:rFonts w:cs="Arial"/>
          <w:szCs w:val="22"/>
        </w:rPr>
        <w:t xml:space="preserve"> </w:t>
      </w:r>
      <w:r w:rsidRPr="00444422">
        <w:rPr>
          <w:rFonts w:cs="Arial"/>
          <w:szCs w:val="22"/>
        </w:rPr>
        <w:t xml:space="preserve">(UE) 2019/1780 standardowe formularze ogłoszeń uzupełnione zostały m.in. o pozycje dotyczące </w:t>
      </w:r>
      <w:r w:rsidRPr="00444422">
        <w:rPr>
          <w:rFonts w:cs="Arial"/>
          <w:b/>
          <w:bCs/>
          <w:szCs w:val="22"/>
        </w:rPr>
        <w:t>funduszy UE</w:t>
      </w:r>
      <w:r w:rsidRPr="00444422">
        <w:rPr>
          <w:rFonts w:cs="Arial"/>
          <w:szCs w:val="22"/>
        </w:rPr>
        <w:t xml:space="preserve"> poprzez wprowadzenie możliwości określenia m.in. numeru umowy dotacji, identyfikatora krajowego, akronimu projektu; pod pozycją dotyczącą poświadczenia bezpieczeństwa dodane zostały pozycje informujące o </w:t>
      </w:r>
      <w:r w:rsidRPr="00444422">
        <w:rPr>
          <w:rFonts w:cs="Arial"/>
          <w:b/>
          <w:bCs/>
          <w:szCs w:val="22"/>
        </w:rPr>
        <w:t>wymogu zawarcia umowy o zachowaniu poufności</w:t>
      </w:r>
      <w:r w:rsidRPr="00444422">
        <w:rPr>
          <w:rFonts w:cs="Arial"/>
          <w:szCs w:val="22"/>
        </w:rPr>
        <w:t xml:space="preserve"> oraz pozwalające na wprowadzenie dodatkowego tekstu; doprecyzowane i rozbudowane zostały pozycje dotyczące </w:t>
      </w:r>
      <w:r w:rsidRPr="00444422">
        <w:rPr>
          <w:rFonts w:cs="Arial"/>
          <w:b/>
          <w:bCs/>
          <w:szCs w:val="22"/>
        </w:rPr>
        <w:t xml:space="preserve">wartości umów ramowych </w:t>
      </w:r>
      <w:r w:rsidRPr="00444422">
        <w:rPr>
          <w:rFonts w:cs="Arial"/>
          <w:szCs w:val="22"/>
        </w:rPr>
        <w:t xml:space="preserve">(tj. wartości maksymalnej, przybliżonej, szacunkowej); dodano pozycję dotyczącą </w:t>
      </w:r>
      <w:r w:rsidRPr="00444422">
        <w:rPr>
          <w:rFonts w:cs="Arial"/>
          <w:b/>
          <w:bCs/>
          <w:szCs w:val="22"/>
        </w:rPr>
        <w:t>dokonania rankingu ofert</w:t>
      </w:r>
      <w:r w:rsidRPr="00444422">
        <w:rPr>
          <w:rFonts w:cs="Arial"/>
          <w:szCs w:val="22"/>
        </w:rPr>
        <w:t xml:space="preserve"> (poprzedza pozycję „Oferta - Miejsce rankingowe”); dodano pozycję dot. </w:t>
      </w:r>
      <w:r w:rsidRPr="00444422">
        <w:rPr>
          <w:rFonts w:cs="Arial"/>
          <w:b/>
          <w:bCs/>
          <w:szCs w:val="22"/>
        </w:rPr>
        <w:t>zastosowania zielonych kryteriów dla zamówień publicznych</w:t>
      </w:r>
      <w:r w:rsidRPr="00444422">
        <w:rPr>
          <w:rFonts w:cs="Arial"/>
          <w:szCs w:val="22"/>
        </w:rPr>
        <w:t>; wprowadzono ponadto możliwość zawarcia</w:t>
      </w:r>
      <w:r w:rsidRPr="00444422">
        <w:rPr>
          <w:rFonts w:cs="Arial"/>
          <w:b/>
          <w:bCs/>
          <w:szCs w:val="22"/>
        </w:rPr>
        <w:t xml:space="preserve"> informacji, czy dane zamówienie podlega reżimowi tzw. dyrektywy o czystych pojazdach (dyrektywa CVD)</w:t>
      </w:r>
      <w:r w:rsidRPr="00444422">
        <w:rPr>
          <w:rFonts w:cs="Arial"/>
          <w:b/>
          <w:bCs/>
          <w:szCs w:val="22"/>
          <w:vertAlign w:val="superscript"/>
        </w:rPr>
        <w:footnoteReference w:id="3"/>
      </w:r>
      <w:r w:rsidRPr="00444422">
        <w:rPr>
          <w:rFonts w:cs="Arial"/>
          <w:szCs w:val="22"/>
        </w:rPr>
        <w:t xml:space="preserve">, pozycję </w:t>
      </w:r>
      <w:r w:rsidRPr="00444422">
        <w:rPr>
          <w:rFonts w:cs="Arial"/>
          <w:b/>
          <w:bCs/>
          <w:szCs w:val="22"/>
        </w:rPr>
        <w:t>jaki rodzaj zamówień jest objęty wspomnianą dyrektywą CVD</w:t>
      </w:r>
      <w:r w:rsidRPr="00444422">
        <w:rPr>
          <w:rFonts w:cs="Arial"/>
          <w:szCs w:val="22"/>
        </w:rPr>
        <w:t xml:space="preserve"> oraz pozycję </w:t>
      </w:r>
      <w:r w:rsidRPr="00444422">
        <w:rPr>
          <w:rFonts w:cs="Arial"/>
          <w:b/>
          <w:bCs/>
          <w:szCs w:val="22"/>
        </w:rPr>
        <w:t>jakie kat</w:t>
      </w:r>
      <w:r w:rsidR="00CE06CE">
        <w:rPr>
          <w:rFonts w:cs="Arial"/>
          <w:b/>
          <w:bCs/>
          <w:szCs w:val="22"/>
        </w:rPr>
        <w:t xml:space="preserve">egorie pojazdów zostały ujęte w </w:t>
      </w:r>
      <w:r w:rsidRPr="00444422">
        <w:rPr>
          <w:rFonts w:cs="Arial"/>
          <w:b/>
          <w:bCs/>
          <w:szCs w:val="22"/>
        </w:rPr>
        <w:t>zamówieniu</w:t>
      </w:r>
      <w:r w:rsidRPr="00444422">
        <w:rPr>
          <w:rFonts w:cs="Arial"/>
          <w:szCs w:val="22"/>
        </w:rPr>
        <w:t xml:space="preserve">. </w:t>
      </w:r>
    </w:p>
    <w:p w14:paraId="55D0950C" w14:textId="77777777" w:rsidR="00CE06CE" w:rsidRDefault="00CE06CE" w:rsidP="00444422">
      <w:pPr>
        <w:rPr>
          <w:rFonts w:cs="Arial"/>
          <w:szCs w:val="22"/>
        </w:rPr>
      </w:pPr>
    </w:p>
    <w:p w14:paraId="7A9A2403" w14:textId="7869D65F" w:rsidR="00444422" w:rsidRPr="00444422" w:rsidRDefault="00444422" w:rsidP="00444422">
      <w:pPr>
        <w:rPr>
          <w:rFonts w:cs="Arial"/>
          <w:szCs w:val="22"/>
        </w:rPr>
      </w:pPr>
      <w:r w:rsidRPr="00444422">
        <w:rPr>
          <w:rFonts w:cs="Arial"/>
          <w:szCs w:val="22"/>
        </w:rPr>
        <w:t>23 grudnia 2022 r. zostało opublikowane, a 12 stycznia 2023 r. weszło w życie rozporządzenie Parlamentu Europejskiego i Rady (UE) 2022/2560 z dnia 14</w:t>
      </w:r>
      <w:r w:rsidR="009343A1">
        <w:rPr>
          <w:rFonts w:cs="Arial"/>
          <w:szCs w:val="22"/>
        </w:rPr>
        <w:t xml:space="preserve"> </w:t>
      </w:r>
      <w:r w:rsidRPr="00444422">
        <w:rPr>
          <w:rFonts w:cs="Arial"/>
          <w:szCs w:val="22"/>
        </w:rPr>
        <w:t xml:space="preserve">grudnia 2022 r. </w:t>
      </w:r>
      <w:r w:rsidRPr="00CE06CE">
        <w:rPr>
          <w:rFonts w:cs="Arial"/>
          <w:b/>
          <w:szCs w:val="22"/>
        </w:rPr>
        <w:t>w sprawie subsydiów zagranicznych zakłócających rynek wewnętrzny</w:t>
      </w:r>
      <w:r w:rsidRPr="00444422">
        <w:rPr>
          <w:rFonts w:cs="Arial"/>
          <w:szCs w:val="22"/>
        </w:rPr>
        <w:t xml:space="preserve"> (rozporządzenie FSR). W tym rozporządzeniu zostały ustanowione procedury mające służyć zwalczaniu negatywnego wpływu subsydiów zagranicznych, m.in. na udzielanie zamówień publicznych w</w:t>
      </w:r>
      <w:r w:rsidR="009343A1">
        <w:rPr>
          <w:rFonts w:cs="Arial"/>
          <w:szCs w:val="22"/>
        </w:rPr>
        <w:t xml:space="preserve"> </w:t>
      </w:r>
      <w:r w:rsidRPr="00444422">
        <w:rPr>
          <w:rFonts w:cs="Arial"/>
          <w:szCs w:val="22"/>
        </w:rPr>
        <w:t>państwach UE. Zgodnie z nowym rozporządzeniem Komisja będzie miała uprawnienia do badania wkładów finansowych przyznanych przez rządy państw spoza UE przedsiębiorstwom prowadzącym działalność w UE, uczestniczących w</w:t>
      </w:r>
      <w:r w:rsidR="009343A1">
        <w:rPr>
          <w:rFonts w:cs="Arial"/>
          <w:szCs w:val="22"/>
        </w:rPr>
        <w:t xml:space="preserve"> </w:t>
      </w:r>
      <w:r w:rsidRPr="00444422">
        <w:rPr>
          <w:rFonts w:cs="Arial"/>
          <w:szCs w:val="22"/>
        </w:rPr>
        <w:t>koncentracjach oraz w zamówieniach publicznych. Przepisy tego rozporządzenia mają być stosowane od 12 lipca 2023 r., przy czym od 12 października 2023 r. wykonawcy ubiegający się o zamówienia o wartości powyżej kwoty 250 mln euro będą zobowiązani do przekazywania Komisji wraz z ofertą lub wnioskiem u ubieganie się o</w:t>
      </w:r>
      <w:r w:rsidR="009343A1">
        <w:rPr>
          <w:rFonts w:cs="Arial"/>
          <w:szCs w:val="22"/>
        </w:rPr>
        <w:t xml:space="preserve"> </w:t>
      </w:r>
      <w:r w:rsidRPr="00444422">
        <w:rPr>
          <w:rFonts w:cs="Arial"/>
          <w:szCs w:val="22"/>
        </w:rPr>
        <w:t>zamówienie, za</w:t>
      </w:r>
      <w:r w:rsidR="009343A1">
        <w:rPr>
          <w:rFonts w:cs="Arial"/>
          <w:szCs w:val="22"/>
        </w:rPr>
        <w:t xml:space="preserve"> </w:t>
      </w:r>
      <w:r w:rsidRPr="00444422">
        <w:rPr>
          <w:rFonts w:cs="Arial"/>
          <w:szCs w:val="22"/>
        </w:rPr>
        <w:t>pośrednictwem instytucji zamawiającej, informacji o otrzymanych zagranicznych wkładach finansowych, o wartości co najmniej 4 mln euro od państwa trzeciego. Jeżeli Komisja stwierdzi, że</w:t>
      </w:r>
      <w:r w:rsidR="009343A1">
        <w:rPr>
          <w:rFonts w:cs="Arial"/>
          <w:szCs w:val="22"/>
        </w:rPr>
        <w:t xml:space="preserve"> </w:t>
      </w:r>
      <w:r w:rsidRPr="00444422">
        <w:rPr>
          <w:rFonts w:cs="Arial"/>
          <w:szCs w:val="22"/>
        </w:rPr>
        <w:t>takie wkłady finansowe stanowią subsydia zakłócające rynek wewnętrzny, może nałożyć środki w celu naprawienia ich skutków.</w:t>
      </w:r>
    </w:p>
    <w:p w14:paraId="5B755F36" w14:textId="77777777" w:rsidR="00AF7C67" w:rsidRDefault="00AF7C67" w:rsidP="00586D8E">
      <w:pPr>
        <w:rPr>
          <w:rFonts w:cs="Arial"/>
          <w:szCs w:val="22"/>
        </w:rPr>
      </w:pPr>
    </w:p>
    <w:p w14:paraId="511D94C6" w14:textId="4B35C8E8" w:rsidR="00AC468D" w:rsidRPr="00F40EE1" w:rsidRDefault="00AC468D" w:rsidP="00AC468D">
      <w:pPr>
        <w:rPr>
          <w:rFonts w:cs="Arial"/>
          <w:i/>
          <w:szCs w:val="22"/>
        </w:rPr>
      </w:pPr>
      <w:r w:rsidRPr="00BC022A">
        <w:rPr>
          <w:rFonts w:cs="Arial"/>
          <w:i/>
          <w:szCs w:val="22"/>
        </w:rPr>
        <w:t>Wykaz unijnych aktów prawnych obowiązujących w tym obszarze w 202</w:t>
      </w:r>
      <w:r w:rsidR="00AB7E4C">
        <w:rPr>
          <w:rFonts w:cs="Arial"/>
          <w:i/>
          <w:szCs w:val="22"/>
        </w:rPr>
        <w:t>2</w:t>
      </w:r>
      <w:r w:rsidRPr="00BC022A">
        <w:rPr>
          <w:rFonts w:cs="Arial"/>
          <w:i/>
          <w:szCs w:val="22"/>
        </w:rPr>
        <w:t xml:space="preserve"> r. zawiera </w:t>
      </w:r>
      <w:hyperlink w:anchor="Zał_2" w:history="1">
        <w:r w:rsidRPr="00FC343D">
          <w:rPr>
            <w:rStyle w:val="Hipercze"/>
            <w:rFonts w:cs="Arial"/>
            <w:i/>
            <w:szCs w:val="22"/>
          </w:rPr>
          <w:t>załącznik nr 2</w:t>
        </w:r>
      </w:hyperlink>
      <w:r w:rsidRPr="00BC022A">
        <w:rPr>
          <w:rFonts w:cs="Arial"/>
          <w:i/>
          <w:szCs w:val="22"/>
        </w:rPr>
        <w:t xml:space="preserve"> do niniejszego Sprawozdania.</w:t>
      </w:r>
      <w:r w:rsidRPr="00F40EE1">
        <w:rPr>
          <w:rFonts w:cs="Arial"/>
          <w:i/>
          <w:szCs w:val="22"/>
        </w:rPr>
        <w:t xml:space="preserve"> </w:t>
      </w:r>
    </w:p>
    <w:p w14:paraId="2447695F" w14:textId="77777777" w:rsidR="00AF010B" w:rsidRDefault="00AF010B" w:rsidP="00586D8E">
      <w:pPr>
        <w:rPr>
          <w:rFonts w:cs="Arial"/>
          <w:szCs w:val="22"/>
        </w:rPr>
      </w:pPr>
    </w:p>
    <w:p w14:paraId="126369AA" w14:textId="6018D40F" w:rsidR="004317D1" w:rsidRDefault="004317D1" w:rsidP="004317D1">
      <w:pPr>
        <w:rPr>
          <w:rFonts w:cs="Arial"/>
        </w:rPr>
      </w:pPr>
    </w:p>
    <w:tbl>
      <w:tblPr>
        <w:tblW w:w="0" w:type="auto"/>
        <w:tblInd w:w="374" w:type="dxa"/>
        <w:tblLayout w:type="fixed"/>
        <w:tblLook w:val="04A0" w:firstRow="1" w:lastRow="0" w:firstColumn="1" w:lastColumn="0" w:noHBand="0" w:noVBand="1"/>
      </w:tblPr>
      <w:tblGrid>
        <w:gridCol w:w="236"/>
        <w:gridCol w:w="8676"/>
      </w:tblGrid>
      <w:tr w:rsidR="004317D1" w:rsidRPr="001E7D51" w14:paraId="66A501D6" w14:textId="77777777" w:rsidTr="00822AAB">
        <w:trPr>
          <w:cantSplit/>
        </w:trPr>
        <w:tc>
          <w:tcPr>
            <w:tcW w:w="236" w:type="dxa"/>
            <w:shd w:val="clear" w:color="auto" w:fill="B8CCE4"/>
          </w:tcPr>
          <w:p w14:paraId="418E280D" w14:textId="77777777" w:rsidR="004317D1" w:rsidRPr="001E7D51" w:rsidRDefault="004317D1" w:rsidP="00822AAB">
            <w:pPr>
              <w:rPr>
                <w:sz w:val="24"/>
              </w:rPr>
            </w:pPr>
          </w:p>
        </w:tc>
        <w:tc>
          <w:tcPr>
            <w:tcW w:w="8676" w:type="dxa"/>
          </w:tcPr>
          <w:p w14:paraId="05A35949" w14:textId="633346FD" w:rsidR="004317D1" w:rsidRPr="009775F9" w:rsidRDefault="004317D1" w:rsidP="00586D8E">
            <w:pPr>
              <w:pStyle w:val="Nagwek3"/>
              <w:shd w:val="clear" w:color="auto" w:fill="FFFFFF"/>
              <w:spacing w:after="120"/>
              <w:ind w:left="0"/>
              <w:rPr>
                <w:color w:val="0070C0"/>
                <w:sz w:val="24"/>
                <w:szCs w:val="24"/>
              </w:rPr>
            </w:pPr>
            <w:bookmarkStart w:id="35" w:name="_Toc141276423"/>
            <w:r w:rsidRPr="009775F9">
              <w:rPr>
                <w:color w:val="0070C0"/>
                <w:sz w:val="24"/>
                <w:szCs w:val="24"/>
              </w:rPr>
              <w:t>I.</w:t>
            </w:r>
            <w:r w:rsidR="00586D8E" w:rsidRPr="009775F9">
              <w:rPr>
                <w:color w:val="0070C0"/>
                <w:sz w:val="24"/>
                <w:szCs w:val="24"/>
              </w:rPr>
              <w:t>4</w:t>
            </w:r>
            <w:r w:rsidRPr="009775F9">
              <w:rPr>
                <w:color w:val="0070C0"/>
                <w:sz w:val="24"/>
                <w:szCs w:val="24"/>
              </w:rPr>
              <w:t>.2. Dokumenty pozalegislacyjne</w:t>
            </w:r>
            <w:bookmarkEnd w:id="35"/>
          </w:p>
        </w:tc>
      </w:tr>
    </w:tbl>
    <w:p w14:paraId="338C3125" w14:textId="3E6430B1" w:rsidR="004317D1" w:rsidRDefault="004317D1" w:rsidP="00741068">
      <w:pPr>
        <w:rPr>
          <w:rFonts w:cs="Arial"/>
        </w:rPr>
      </w:pPr>
    </w:p>
    <w:p w14:paraId="40BFAEEF" w14:textId="44C56BC2" w:rsidR="009775F9" w:rsidRPr="009775F9" w:rsidRDefault="009775F9" w:rsidP="009775F9">
      <w:pPr>
        <w:rPr>
          <w:rFonts w:cs="Arial"/>
          <w:bCs/>
          <w:iCs/>
          <w:szCs w:val="22"/>
        </w:rPr>
      </w:pPr>
      <w:r w:rsidRPr="009775F9">
        <w:rPr>
          <w:rFonts w:cs="Arial"/>
          <w:bCs/>
          <w:iCs/>
          <w:szCs w:val="22"/>
        </w:rPr>
        <w:t xml:space="preserve">20 czerwca 2022 r. w Dzienniku Urzędowym Unii Europejskiej opublikowane zostały konkluzje w sprawie rozwoju zrównoważonych zamówień publicznych przyjęte przez Radę Unii Europejskiej na posiedzeniu w dniu 10 czerwca </w:t>
      </w:r>
      <w:r w:rsidR="00757D68">
        <w:rPr>
          <w:rFonts w:cs="Arial"/>
          <w:bCs/>
          <w:iCs/>
          <w:szCs w:val="22"/>
        </w:rPr>
        <w:t>2022 r</w:t>
      </w:r>
      <w:r w:rsidRPr="009775F9">
        <w:rPr>
          <w:rFonts w:cs="Arial"/>
          <w:bCs/>
          <w:iCs/>
          <w:szCs w:val="22"/>
        </w:rPr>
        <w:t>.</w:t>
      </w:r>
      <w:r w:rsidRPr="009775F9">
        <w:rPr>
          <w:rFonts w:cs="Arial"/>
          <w:bCs/>
          <w:iCs/>
          <w:szCs w:val="22"/>
          <w:vertAlign w:val="superscript"/>
        </w:rPr>
        <w:footnoteReference w:id="4"/>
      </w:r>
      <w:r w:rsidRPr="009775F9">
        <w:rPr>
          <w:rFonts w:cs="Arial"/>
          <w:bCs/>
          <w:iCs/>
          <w:szCs w:val="22"/>
        </w:rPr>
        <w:t xml:space="preserve"> Mając na uwadze wiążące cele przyjęte na szczeblu unijnym w zakresie znacznej redukcji emisji gazów cieplarnianych do 2030 r. i osiągnięcia neutralności klimatycznej do 2050 r., Rada w konkluzjach wezwała Komisję i państwa członkowskie do ścisłej współpracy z</w:t>
      </w:r>
      <w:r w:rsidR="009343A1">
        <w:rPr>
          <w:rFonts w:cs="Arial"/>
          <w:bCs/>
          <w:iCs/>
          <w:szCs w:val="22"/>
        </w:rPr>
        <w:t xml:space="preserve"> </w:t>
      </w:r>
      <w:r w:rsidRPr="009775F9">
        <w:rPr>
          <w:rFonts w:cs="Arial"/>
          <w:bCs/>
          <w:iCs/>
          <w:szCs w:val="22"/>
        </w:rPr>
        <w:t xml:space="preserve">Parlamentem Europejskim, władzami regionalnymi i lokalnymi, Komitetem Ekonomiczno-Społecznym i Komitetem Regionów przy realizacji tych wspólnych celów i do podejmowania działań na rzecz wprowadzenia aspektów zrównoważonego rozwoju do zamówień publicznych. W szczególności Rada wezwała Komisję do rozważenia w kontekście przyszłych wniosków ustawodawczych możliwości wprowadzenia aspektów zrównoważonego rozwoju w procedurach udzielania zamówień publicznych, jednocześnie podkreślając, jak ważne jest umożliwienie zamawiającym określenia najwłaściwszego sposobu ujęcia takich aspektów w udzielanych przez nich zamówieniach. Ponadto Rada wezwała Komisję i państwa członkowskie do współpracy w celu wskazania sektorów priorytetowych, istotnych z uwagi na ich wrażliwość na aspekty zrównoważonego rozwoju oraz do oceny ich dojrzałości. Podkreślając znaczenie stopniowego i zharmonizowanego podejścia, Rada zaproponowała, by przepisy odnoszące się do sektorów priorytetowych zostały poddane rewizji nie później niż do 2030 r., zaś zmiany do przepisów dotyczących pozostałych sektorów zostały wprowadzone nie później niż do 2050 r. </w:t>
      </w:r>
    </w:p>
    <w:p w14:paraId="641484F4" w14:textId="77777777" w:rsidR="00AB7E4C" w:rsidRDefault="00AB7E4C" w:rsidP="00A97FF2">
      <w:pPr>
        <w:rPr>
          <w:rFonts w:cs="Arial"/>
          <w:szCs w:val="22"/>
        </w:rPr>
      </w:pPr>
    </w:p>
    <w:p w14:paraId="231082C3" w14:textId="38199AFE" w:rsidR="00741068" w:rsidRDefault="00741068" w:rsidP="00741068">
      <w:pPr>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741068" w:rsidRPr="001E7D51" w14:paraId="037716F2" w14:textId="77777777" w:rsidTr="00822AAB">
        <w:trPr>
          <w:cantSplit/>
        </w:trPr>
        <w:tc>
          <w:tcPr>
            <w:tcW w:w="236" w:type="dxa"/>
            <w:shd w:val="clear" w:color="auto" w:fill="B8CCE4"/>
          </w:tcPr>
          <w:p w14:paraId="0D9BFB46" w14:textId="77777777" w:rsidR="00741068" w:rsidRPr="001E7D51" w:rsidRDefault="00741068" w:rsidP="00822AAB">
            <w:pPr>
              <w:rPr>
                <w:sz w:val="24"/>
              </w:rPr>
            </w:pPr>
          </w:p>
        </w:tc>
        <w:tc>
          <w:tcPr>
            <w:tcW w:w="8676" w:type="dxa"/>
          </w:tcPr>
          <w:p w14:paraId="3403739D" w14:textId="11102EE7" w:rsidR="00741068" w:rsidRPr="009775F9" w:rsidRDefault="00741068" w:rsidP="000267DE">
            <w:pPr>
              <w:pStyle w:val="Nagwek3"/>
              <w:shd w:val="clear" w:color="auto" w:fill="FFFFFF"/>
              <w:spacing w:after="120"/>
              <w:ind w:left="0"/>
              <w:rPr>
                <w:color w:val="0070C0"/>
                <w:sz w:val="24"/>
                <w:szCs w:val="24"/>
              </w:rPr>
            </w:pPr>
            <w:bookmarkStart w:id="36" w:name="_Toc141276424"/>
            <w:r w:rsidRPr="009775F9">
              <w:rPr>
                <w:color w:val="0070C0"/>
                <w:sz w:val="24"/>
                <w:szCs w:val="24"/>
              </w:rPr>
              <w:t>I.</w:t>
            </w:r>
            <w:r w:rsidR="000267DE" w:rsidRPr="009775F9">
              <w:rPr>
                <w:color w:val="0070C0"/>
                <w:sz w:val="24"/>
                <w:szCs w:val="24"/>
              </w:rPr>
              <w:t>4</w:t>
            </w:r>
            <w:r w:rsidRPr="009775F9">
              <w:rPr>
                <w:color w:val="0070C0"/>
                <w:sz w:val="24"/>
                <w:szCs w:val="24"/>
              </w:rPr>
              <w:t>.3. Orzecznictwo Trybunału Sprawiedliwości UE</w:t>
            </w:r>
            <w:bookmarkEnd w:id="36"/>
          </w:p>
        </w:tc>
      </w:tr>
    </w:tbl>
    <w:p w14:paraId="495BC3E9" w14:textId="77777777" w:rsidR="00741068" w:rsidRPr="00741068" w:rsidRDefault="00741068" w:rsidP="00741068">
      <w:pPr>
        <w:rPr>
          <w:rFonts w:cs="Arial"/>
          <w:szCs w:val="22"/>
        </w:rPr>
      </w:pPr>
    </w:p>
    <w:p w14:paraId="2EF8852D" w14:textId="5E0F766B" w:rsidR="0098474F" w:rsidRPr="0098474F" w:rsidRDefault="0098474F" w:rsidP="0098474F">
      <w:pPr>
        <w:rPr>
          <w:rFonts w:cs="Arial"/>
          <w:b/>
          <w:bCs/>
          <w:szCs w:val="22"/>
        </w:rPr>
      </w:pPr>
      <w:r w:rsidRPr="0098474F">
        <w:rPr>
          <w:rFonts w:cs="Arial"/>
          <w:szCs w:val="22"/>
        </w:rPr>
        <w:t>Trybunał Sprawiedliwości Unii Europejskiej, zwany dalej „Trybunałem Sprawiedliwości UE”, „Trybunałem Sprawiedliwości” lub „Trybunałem”, w 2022 r. wydał w</w:t>
      </w:r>
      <w:r w:rsidR="009850C6">
        <w:rPr>
          <w:rFonts w:cs="Arial"/>
          <w:szCs w:val="22"/>
        </w:rPr>
        <w:t xml:space="preserve"> </w:t>
      </w:r>
      <w:r w:rsidR="00430983" w:rsidRPr="0098474F">
        <w:rPr>
          <w:rFonts w:cs="Arial"/>
          <w:szCs w:val="22"/>
        </w:rPr>
        <w:t xml:space="preserve">trybie prejudycjalnym </w:t>
      </w:r>
      <w:r w:rsidRPr="0098474F">
        <w:rPr>
          <w:rFonts w:cs="Arial"/>
          <w:szCs w:val="22"/>
        </w:rPr>
        <w:t xml:space="preserve">przewidzianym w art. 267 Traktatu o funkcjonowaniu Unii Europejskiej </w:t>
      </w:r>
      <w:r w:rsidRPr="0098474F">
        <w:rPr>
          <w:rFonts w:cs="Arial"/>
          <w:b/>
          <w:bCs/>
          <w:szCs w:val="22"/>
        </w:rPr>
        <w:t xml:space="preserve">dwadzieścia jeden orzeczeń </w:t>
      </w:r>
      <w:r>
        <w:rPr>
          <w:rFonts w:cs="Arial"/>
          <w:b/>
          <w:bCs/>
          <w:szCs w:val="22"/>
        </w:rPr>
        <w:t xml:space="preserve">w sprawach z </w:t>
      </w:r>
      <w:r w:rsidRPr="0098474F">
        <w:rPr>
          <w:rFonts w:cs="Arial"/>
          <w:b/>
          <w:bCs/>
          <w:szCs w:val="22"/>
        </w:rPr>
        <w:t>zakresu zamówień publicznych.</w:t>
      </w:r>
    </w:p>
    <w:p w14:paraId="0F19DAF4" w14:textId="77777777" w:rsidR="0098474F" w:rsidRPr="0098474F" w:rsidRDefault="0098474F" w:rsidP="00E16264">
      <w:pPr>
        <w:numPr>
          <w:ilvl w:val="0"/>
          <w:numId w:val="36"/>
        </w:numPr>
        <w:rPr>
          <w:rFonts w:cs="Arial"/>
          <w:bCs/>
          <w:szCs w:val="22"/>
        </w:rPr>
      </w:pPr>
      <w:r w:rsidRPr="0098474F">
        <w:rPr>
          <w:rFonts w:cs="Arial"/>
          <w:bCs/>
          <w:szCs w:val="22"/>
        </w:rPr>
        <w:t xml:space="preserve">Wyrok z dnia 3 lutego 2022 r. w sprawie C-461/20 </w:t>
      </w:r>
      <w:r w:rsidRPr="0098474F">
        <w:rPr>
          <w:rFonts w:cs="Arial"/>
          <w:bCs/>
          <w:i/>
          <w:iCs/>
          <w:szCs w:val="22"/>
        </w:rPr>
        <w:t>Advania Sverige AB et Kammarkollegiet przeciwko Dustin Sverige AB</w:t>
      </w:r>
      <w:r w:rsidRPr="0098474F">
        <w:rPr>
          <w:rFonts w:cs="Arial"/>
          <w:bCs/>
          <w:szCs w:val="22"/>
        </w:rPr>
        <w:t>, ECLI:EU:C:2022:72.</w:t>
      </w:r>
    </w:p>
    <w:p w14:paraId="6DF180AE" w14:textId="77777777" w:rsidR="0098474F" w:rsidRPr="0098474F" w:rsidRDefault="0098474F" w:rsidP="00E16264">
      <w:pPr>
        <w:numPr>
          <w:ilvl w:val="0"/>
          <w:numId w:val="36"/>
        </w:numPr>
        <w:rPr>
          <w:rFonts w:cs="Arial"/>
          <w:bCs/>
          <w:szCs w:val="22"/>
        </w:rPr>
      </w:pPr>
      <w:r w:rsidRPr="0098474F">
        <w:rPr>
          <w:rFonts w:cs="Arial"/>
          <w:bCs/>
          <w:szCs w:val="22"/>
        </w:rPr>
        <w:t xml:space="preserve">Wyrok z dnia 24 lutego 2022 r. w sprawie C-532/20 </w:t>
      </w:r>
      <w:r w:rsidRPr="0098474F">
        <w:rPr>
          <w:rFonts w:cs="Arial"/>
          <w:bCs/>
          <w:i/>
          <w:iCs/>
          <w:szCs w:val="22"/>
        </w:rPr>
        <w:t>Alstom Transport SA przeciwko Compania Naţională de Căi Ferate CFR SA, Strabag AG – Sucursala Bucureşti, Swietelsky AG Linz – Sucursala Bucureşti</w:t>
      </w:r>
      <w:r w:rsidRPr="0098474F">
        <w:rPr>
          <w:rFonts w:cs="Arial"/>
          <w:bCs/>
          <w:szCs w:val="22"/>
        </w:rPr>
        <w:t>, ECLI:EU:C:2022:128.</w:t>
      </w:r>
    </w:p>
    <w:p w14:paraId="64E27C55"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31 marca 2022 r. w sprawie C-195/21 </w:t>
      </w:r>
      <w:r w:rsidRPr="0098474F">
        <w:rPr>
          <w:rFonts w:cs="Arial"/>
          <w:bCs/>
          <w:i/>
          <w:iCs/>
          <w:szCs w:val="22"/>
        </w:rPr>
        <w:t xml:space="preserve">LB przeciwko Smetna palata na Republika Bulgaria, </w:t>
      </w:r>
      <w:r w:rsidRPr="0098474F">
        <w:rPr>
          <w:rFonts w:cs="Arial"/>
          <w:bCs/>
          <w:szCs w:val="22"/>
        </w:rPr>
        <w:t>ECLI:EU:C:2022:239.</w:t>
      </w:r>
    </w:p>
    <w:p w14:paraId="5FC8C316"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28 kwietnia 2022 r. w sprawie C-642/20 </w:t>
      </w:r>
      <w:r w:rsidRPr="0098474F">
        <w:rPr>
          <w:rFonts w:cs="Arial"/>
          <w:bCs/>
          <w:i/>
          <w:iCs/>
          <w:szCs w:val="22"/>
        </w:rPr>
        <w:t>Caruter Srl przeciwko S.R.R. Messina Provincia SCpA i in</w:t>
      </w:r>
      <w:r w:rsidRPr="0098474F">
        <w:rPr>
          <w:rFonts w:cs="Arial"/>
          <w:bCs/>
          <w:szCs w:val="22"/>
        </w:rPr>
        <w:t>.</w:t>
      </w:r>
      <w:r w:rsidRPr="0098474F">
        <w:rPr>
          <w:rFonts w:cs="Arial"/>
          <w:bCs/>
          <w:i/>
          <w:iCs/>
          <w:szCs w:val="22"/>
        </w:rPr>
        <w:t xml:space="preserve">, </w:t>
      </w:r>
      <w:r w:rsidRPr="0098474F">
        <w:rPr>
          <w:rFonts w:cs="Arial"/>
          <w:bCs/>
          <w:szCs w:val="22"/>
        </w:rPr>
        <w:t>ECLI:EU:C:2022:308.</w:t>
      </w:r>
    </w:p>
    <w:p w14:paraId="33F106A6"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12 maja 2022 r. w sprawie C-719/20 </w:t>
      </w:r>
      <w:r w:rsidRPr="0098474F">
        <w:rPr>
          <w:rFonts w:cs="Arial"/>
          <w:bCs/>
          <w:i/>
          <w:iCs/>
          <w:szCs w:val="22"/>
        </w:rPr>
        <w:t>Comune di Lerici przeciwko Provincia di La Spezii</w:t>
      </w:r>
      <w:r w:rsidRPr="0098474F">
        <w:rPr>
          <w:rFonts w:cs="Arial"/>
          <w:bCs/>
          <w:szCs w:val="22"/>
        </w:rPr>
        <w:t>, ECLI:EU:C:2022:372.</w:t>
      </w:r>
    </w:p>
    <w:p w14:paraId="4098D81C" w14:textId="77777777" w:rsidR="0098474F" w:rsidRPr="0098474F" w:rsidRDefault="0098474F" w:rsidP="00E16264">
      <w:pPr>
        <w:numPr>
          <w:ilvl w:val="0"/>
          <w:numId w:val="36"/>
        </w:numPr>
        <w:rPr>
          <w:rFonts w:cs="Arial"/>
          <w:bCs/>
          <w:i/>
          <w:iCs/>
          <w:szCs w:val="22"/>
        </w:rPr>
      </w:pPr>
      <w:r w:rsidRPr="0098474F">
        <w:rPr>
          <w:rFonts w:cs="Arial"/>
          <w:bCs/>
          <w:szCs w:val="22"/>
        </w:rPr>
        <w:t xml:space="preserve">Postanowienie z dnia 17 maja 2022 r. w sprawie C-787/21 </w:t>
      </w:r>
      <w:r w:rsidRPr="0098474F">
        <w:rPr>
          <w:rFonts w:cs="Arial"/>
          <w:bCs/>
          <w:i/>
          <w:iCs/>
          <w:szCs w:val="22"/>
        </w:rPr>
        <w:t>Estaleiros Navais de Peniche SA przeciwko Município de Aveiro i in.</w:t>
      </w:r>
      <w:r w:rsidRPr="0098474F">
        <w:rPr>
          <w:rFonts w:cs="Arial"/>
          <w:bCs/>
          <w:szCs w:val="22"/>
        </w:rPr>
        <w:t xml:space="preserve"> kończące postępowanie w sprawie, ECLI:EU:C:2022:414.</w:t>
      </w:r>
    </w:p>
    <w:p w14:paraId="42A780CA" w14:textId="3C324001" w:rsidR="0098474F" w:rsidRPr="0098474F" w:rsidRDefault="0098474F" w:rsidP="00E16264">
      <w:pPr>
        <w:numPr>
          <w:ilvl w:val="0"/>
          <w:numId w:val="36"/>
        </w:numPr>
        <w:rPr>
          <w:rFonts w:cs="Arial"/>
          <w:bCs/>
          <w:i/>
          <w:iCs/>
          <w:szCs w:val="22"/>
        </w:rPr>
      </w:pPr>
      <w:r w:rsidRPr="0098474F">
        <w:rPr>
          <w:rFonts w:cs="Arial"/>
          <w:bCs/>
          <w:szCs w:val="22"/>
        </w:rPr>
        <w:t xml:space="preserve">Wyrok z dnia 16 czerwca 2022 r. w sprawie C-376/21 </w:t>
      </w:r>
      <w:r w:rsidRPr="0098474F">
        <w:rPr>
          <w:rFonts w:cs="Arial"/>
          <w:bCs/>
          <w:i/>
          <w:iCs/>
          <w:szCs w:val="22"/>
        </w:rPr>
        <w:t>Zamestnik-ministar na regionalnoto razvitie i</w:t>
      </w:r>
      <w:r w:rsidR="009343A1">
        <w:rPr>
          <w:rFonts w:cs="Arial"/>
          <w:bCs/>
          <w:i/>
          <w:iCs/>
          <w:szCs w:val="22"/>
        </w:rPr>
        <w:t xml:space="preserve"> </w:t>
      </w:r>
      <w:r w:rsidRPr="0098474F">
        <w:rPr>
          <w:rFonts w:cs="Arial"/>
          <w:bCs/>
          <w:i/>
          <w:iCs/>
          <w:szCs w:val="22"/>
        </w:rPr>
        <w:t>blagoustroystvoto i</w:t>
      </w:r>
      <w:r w:rsidR="009343A1">
        <w:rPr>
          <w:rFonts w:cs="Arial"/>
          <w:bCs/>
          <w:i/>
          <w:iCs/>
          <w:szCs w:val="22"/>
        </w:rPr>
        <w:t xml:space="preserve"> </w:t>
      </w:r>
      <w:r w:rsidRPr="0098474F">
        <w:rPr>
          <w:rFonts w:cs="Arial"/>
          <w:bCs/>
          <w:i/>
          <w:iCs/>
          <w:szCs w:val="22"/>
        </w:rPr>
        <w:t>rakovoditel na Upravlyavashtia organ na Operativna programa „Regioni v</w:t>
      </w:r>
      <w:r w:rsidR="009343A1">
        <w:rPr>
          <w:rFonts w:cs="Arial"/>
          <w:bCs/>
          <w:i/>
          <w:iCs/>
          <w:szCs w:val="22"/>
        </w:rPr>
        <w:t xml:space="preserve"> </w:t>
      </w:r>
      <w:r w:rsidRPr="0098474F">
        <w:rPr>
          <w:rFonts w:cs="Arial"/>
          <w:bCs/>
          <w:i/>
          <w:iCs/>
          <w:szCs w:val="22"/>
        </w:rPr>
        <w:t xml:space="preserve">rastezh” 2014–2020 przeciwko Obshtina Razlog, </w:t>
      </w:r>
      <w:r w:rsidRPr="0098474F">
        <w:rPr>
          <w:rFonts w:cs="Arial"/>
          <w:bCs/>
          <w:szCs w:val="22"/>
        </w:rPr>
        <w:t>ECLI:EU:C:2022:472.</w:t>
      </w:r>
    </w:p>
    <w:p w14:paraId="2F049E53"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7 lipca 2022 r. w sprawach połączonych C-213/21 i C-214/21 </w:t>
      </w:r>
      <w:r w:rsidRPr="0098474F">
        <w:rPr>
          <w:rFonts w:cs="Arial"/>
          <w:bCs/>
          <w:i/>
          <w:iCs/>
          <w:szCs w:val="22"/>
        </w:rPr>
        <w:t>Italy Emergenza Cooperativa Sociale przeciwko Azienda Sanitaria Locale Barletta</w:t>
      </w:r>
      <w:r w:rsidRPr="0098474F">
        <w:rPr>
          <w:rFonts w:cs="Arial"/>
          <w:bCs/>
          <w:i/>
          <w:iCs/>
          <w:szCs w:val="22"/>
        </w:rPr>
        <w:noBreakHyphen/>
        <w:t>Andria</w:t>
      </w:r>
      <w:r w:rsidRPr="0098474F">
        <w:rPr>
          <w:rFonts w:cs="Arial"/>
          <w:bCs/>
          <w:i/>
          <w:iCs/>
          <w:szCs w:val="22"/>
        </w:rPr>
        <w:noBreakHyphen/>
        <w:t>Trani, Azienda Sanitaria Provinciale di Cosenza i in</w:t>
      </w:r>
      <w:r w:rsidRPr="0098474F">
        <w:rPr>
          <w:rFonts w:cs="Arial"/>
          <w:bCs/>
          <w:szCs w:val="22"/>
        </w:rPr>
        <w:t>., ECLI:EU:C:2022:532.</w:t>
      </w:r>
    </w:p>
    <w:p w14:paraId="5F3AA0EE"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14 lipca 2022 r. w sprawach połączonych C-274/21 i C-275/21 </w:t>
      </w:r>
      <w:r w:rsidRPr="0098474F">
        <w:rPr>
          <w:rFonts w:cs="Arial"/>
          <w:bCs/>
          <w:i/>
          <w:iCs/>
          <w:szCs w:val="22"/>
        </w:rPr>
        <w:t xml:space="preserve">EPIC Financial Consulting Ges.m.b.H. przeciwko Republice Austrii i Bundesbeschaffung GmbH, </w:t>
      </w:r>
      <w:r w:rsidRPr="0098474F">
        <w:rPr>
          <w:rFonts w:cs="Arial"/>
          <w:bCs/>
          <w:szCs w:val="22"/>
        </w:rPr>
        <w:t>ECLI:EU:C:2022:565.</w:t>
      </w:r>
    </w:p>
    <w:p w14:paraId="673CAEF0" w14:textId="525BE9ED" w:rsidR="0098474F" w:rsidRPr="0098474F" w:rsidRDefault="0098474F" w:rsidP="00E16264">
      <w:pPr>
        <w:numPr>
          <w:ilvl w:val="0"/>
          <w:numId w:val="36"/>
        </w:numPr>
        <w:rPr>
          <w:rFonts w:cs="Arial"/>
          <w:bCs/>
          <w:i/>
          <w:iCs/>
          <w:szCs w:val="22"/>
          <w:lang w:val="en-US"/>
        </w:rPr>
      </w:pPr>
      <w:r w:rsidRPr="0098474F">
        <w:rPr>
          <w:rFonts w:cs="Arial"/>
          <w:bCs/>
          <w:szCs w:val="22"/>
          <w:lang w:val="en-US"/>
        </w:rPr>
        <w:t xml:space="preserve">Wyrok z dnia 14 lipca 2022 r. w sprawie C-436/20 </w:t>
      </w:r>
      <w:r w:rsidRPr="0098474F">
        <w:rPr>
          <w:rFonts w:cs="Arial"/>
          <w:bCs/>
          <w:i/>
          <w:iCs/>
          <w:szCs w:val="22"/>
          <w:lang w:val="en-US"/>
        </w:rPr>
        <w:t>Asociación Estatal de Entidades de Servicios de Atención a</w:t>
      </w:r>
      <w:r w:rsidR="009343A1">
        <w:rPr>
          <w:rFonts w:cs="Arial"/>
          <w:bCs/>
          <w:i/>
          <w:iCs/>
          <w:szCs w:val="22"/>
          <w:lang w:val="en-US"/>
        </w:rPr>
        <w:t xml:space="preserve"> </w:t>
      </w:r>
      <w:r w:rsidRPr="0098474F">
        <w:rPr>
          <w:rFonts w:cs="Arial"/>
          <w:bCs/>
          <w:i/>
          <w:iCs/>
          <w:szCs w:val="22"/>
          <w:lang w:val="en-US"/>
        </w:rPr>
        <w:t>Domicilio (ASADE) przeciwko Consejería de Igualdad y</w:t>
      </w:r>
      <w:r w:rsidR="009343A1">
        <w:rPr>
          <w:rFonts w:cs="Arial"/>
          <w:bCs/>
          <w:i/>
          <w:iCs/>
          <w:szCs w:val="22"/>
          <w:lang w:val="en-US"/>
        </w:rPr>
        <w:t xml:space="preserve"> </w:t>
      </w:r>
      <w:r w:rsidRPr="0098474F">
        <w:rPr>
          <w:rFonts w:cs="Arial"/>
          <w:bCs/>
          <w:i/>
          <w:iCs/>
          <w:szCs w:val="22"/>
          <w:lang w:val="en-US"/>
        </w:rPr>
        <w:t xml:space="preserve">Políticas Inclusivas, </w:t>
      </w:r>
      <w:r w:rsidRPr="0098474F">
        <w:rPr>
          <w:rFonts w:cs="Arial"/>
          <w:bCs/>
          <w:szCs w:val="22"/>
          <w:lang w:val="en-US"/>
        </w:rPr>
        <w:t>ECLI:EU:C:2022:559.</w:t>
      </w:r>
    </w:p>
    <w:p w14:paraId="1E101D48" w14:textId="052FC954" w:rsidR="0098474F" w:rsidRPr="0098474F" w:rsidRDefault="0098474F" w:rsidP="00E16264">
      <w:pPr>
        <w:numPr>
          <w:ilvl w:val="0"/>
          <w:numId w:val="36"/>
        </w:numPr>
        <w:rPr>
          <w:rFonts w:cs="Arial"/>
          <w:bCs/>
          <w:i/>
          <w:iCs/>
          <w:szCs w:val="22"/>
        </w:rPr>
      </w:pPr>
      <w:r w:rsidRPr="0098474F">
        <w:rPr>
          <w:rFonts w:cs="Arial"/>
          <w:bCs/>
          <w:szCs w:val="22"/>
        </w:rPr>
        <w:t xml:space="preserve">Wyrok z dnia 1 sierpnia 2022 r. w sprawie C-332/20 </w:t>
      </w:r>
      <w:r w:rsidRPr="0098474F">
        <w:rPr>
          <w:rFonts w:cs="Arial"/>
          <w:bCs/>
          <w:i/>
          <w:iCs/>
          <w:szCs w:val="22"/>
        </w:rPr>
        <w:t>Roma Multiservizi SpA, Rekeep SpA przeciwko Roma Capitale, Autorità Garante della Concorrenza e</w:t>
      </w:r>
      <w:r w:rsidR="009343A1">
        <w:rPr>
          <w:rFonts w:cs="Arial"/>
          <w:bCs/>
          <w:i/>
          <w:iCs/>
          <w:szCs w:val="22"/>
        </w:rPr>
        <w:t xml:space="preserve"> </w:t>
      </w:r>
      <w:r w:rsidRPr="0098474F">
        <w:rPr>
          <w:rFonts w:cs="Arial"/>
          <w:bCs/>
          <w:i/>
          <w:iCs/>
          <w:szCs w:val="22"/>
        </w:rPr>
        <w:t>del Mercato</w:t>
      </w:r>
      <w:r w:rsidRPr="0098474F">
        <w:rPr>
          <w:rFonts w:cs="Arial"/>
          <w:bCs/>
          <w:szCs w:val="22"/>
        </w:rPr>
        <w:t>, ECLI:EU:C:2022:610.</w:t>
      </w:r>
    </w:p>
    <w:p w14:paraId="6B4022CD" w14:textId="77777777" w:rsidR="0098474F" w:rsidRPr="0098474F" w:rsidRDefault="0098474F" w:rsidP="00E16264">
      <w:pPr>
        <w:numPr>
          <w:ilvl w:val="0"/>
          <w:numId w:val="36"/>
        </w:numPr>
        <w:rPr>
          <w:rFonts w:cs="Arial"/>
          <w:bCs/>
          <w:szCs w:val="22"/>
        </w:rPr>
      </w:pPr>
      <w:r w:rsidRPr="0098474F">
        <w:rPr>
          <w:rFonts w:cs="Arial"/>
          <w:bCs/>
          <w:szCs w:val="22"/>
        </w:rPr>
        <w:t xml:space="preserve">Wyrok z dnia 15 września 2022 r. w sprawie C-669/20 </w:t>
      </w:r>
      <w:r w:rsidRPr="0098474F">
        <w:rPr>
          <w:rFonts w:cs="Arial"/>
          <w:bCs/>
          <w:i/>
          <w:iCs/>
          <w:szCs w:val="22"/>
        </w:rPr>
        <w:t>Veridos GmbH przeciwko Ministar na vatreshnite raboti na Republika Bulgaria, Mühlbauer ID Services GmbH – S&amp;T</w:t>
      </w:r>
      <w:r w:rsidRPr="0098474F">
        <w:rPr>
          <w:rFonts w:cs="Arial"/>
          <w:bCs/>
          <w:szCs w:val="22"/>
        </w:rPr>
        <w:t>, ECLI:EU:C:2022:684.</w:t>
      </w:r>
    </w:p>
    <w:p w14:paraId="168415E6" w14:textId="788FDBDE" w:rsidR="0098474F" w:rsidRPr="0098474F" w:rsidRDefault="0098474F" w:rsidP="00E16264">
      <w:pPr>
        <w:numPr>
          <w:ilvl w:val="0"/>
          <w:numId w:val="36"/>
        </w:numPr>
        <w:rPr>
          <w:rFonts w:cs="Arial"/>
          <w:bCs/>
          <w:i/>
          <w:iCs/>
          <w:szCs w:val="22"/>
        </w:rPr>
      </w:pPr>
      <w:r w:rsidRPr="0098474F">
        <w:rPr>
          <w:rFonts w:cs="Arial"/>
          <w:bCs/>
          <w:szCs w:val="22"/>
        </w:rPr>
        <w:t xml:space="preserve">Wyrok z dnia 15 września 2022 r. w sprawie C-416/21 </w:t>
      </w:r>
      <w:r w:rsidRPr="0098474F">
        <w:rPr>
          <w:rFonts w:cs="Arial"/>
          <w:bCs/>
          <w:i/>
          <w:iCs/>
          <w:szCs w:val="22"/>
        </w:rPr>
        <w:t>Landkreis Aichach-Friedberg przeciwko J.</w:t>
      </w:r>
      <w:r w:rsidR="009343A1">
        <w:rPr>
          <w:rFonts w:cs="Arial"/>
          <w:bCs/>
          <w:i/>
          <w:iCs/>
          <w:szCs w:val="22"/>
        </w:rPr>
        <w:t xml:space="preserve"> </w:t>
      </w:r>
      <w:r w:rsidRPr="0098474F">
        <w:rPr>
          <w:rFonts w:cs="Arial"/>
          <w:bCs/>
          <w:i/>
          <w:iCs/>
          <w:szCs w:val="22"/>
        </w:rPr>
        <w:t>Sch. Omnibusunternehmen, K.</w:t>
      </w:r>
      <w:r w:rsidR="009343A1">
        <w:rPr>
          <w:rFonts w:cs="Arial"/>
          <w:bCs/>
          <w:i/>
          <w:iCs/>
          <w:szCs w:val="22"/>
        </w:rPr>
        <w:t xml:space="preserve"> </w:t>
      </w:r>
      <w:r w:rsidRPr="0098474F">
        <w:rPr>
          <w:rFonts w:cs="Arial"/>
          <w:bCs/>
          <w:i/>
          <w:iCs/>
          <w:szCs w:val="22"/>
        </w:rPr>
        <w:t>Reisen GmbH</w:t>
      </w:r>
      <w:r w:rsidRPr="0098474F">
        <w:rPr>
          <w:rFonts w:cs="Arial"/>
          <w:bCs/>
          <w:szCs w:val="22"/>
        </w:rPr>
        <w:t>, ECLI:EU:C:2022:689.</w:t>
      </w:r>
    </w:p>
    <w:p w14:paraId="6448E31B" w14:textId="77777777" w:rsidR="0098474F" w:rsidRPr="0098474F" w:rsidRDefault="0098474F" w:rsidP="00E16264">
      <w:pPr>
        <w:numPr>
          <w:ilvl w:val="0"/>
          <w:numId w:val="36"/>
        </w:numPr>
        <w:rPr>
          <w:rFonts w:cs="Arial"/>
          <w:bCs/>
          <w:i/>
          <w:iCs/>
          <w:szCs w:val="22"/>
        </w:rPr>
      </w:pPr>
      <w:r w:rsidRPr="0098474F">
        <w:rPr>
          <w:rFonts w:cs="Arial"/>
          <w:bCs/>
          <w:szCs w:val="22"/>
        </w:rPr>
        <w:t xml:space="preserve">Postanowienie z dnia 30 września 2022 r. w sprawie C-592/21 </w:t>
      </w:r>
      <w:r w:rsidRPr="0098474F">
        <w:rPr>
          <w:rFonts w:cs="Arial"/>
          <w:bCs/>
          <w:i/>
          <w:iCs/>
          <w:szCs w:val="22"/>
        </w:rPr>
        <w:t>«ĒDIENS &amp; KM.LV» PS przeciwko Ieslodzījuma vietu pārvalde, Iepirkumu uzraudzības birojs</w:t>
      </w:r>
      <w:r w:rsidRPr="0098474F">
        <w:rPr>
          <w:rFonts w:cs="Arial"/>
          <w:bCs/>
          <w:szCs w:val="22"/>
        </w:rPr>
        <w:t>, ECLI:EU:C:2022:746.</w:t>
      </w:r>
    </w:p>
    <w:p w14:paraId="5B3D78BF"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13 października 2022 r. w sprawie C-437/21 </w:t>
      </w:r>
      <w:r w:rsidRPr="0098474F">
        <w:rPr>
          <w:rFonts w:cs="Arial"/>
          <w:bCs/>
          <w:i/>
          <w:iCs/>
          <w:szCs w:val="22"/>
        </w:rPr>
        <w:t>Liberty Lines SpA przeciwko Ministero delle Infrastrutture e dei Trasporti</w:t>
      </w:r>
      <w:r w:rsidRPr="0098474F">
        <w:rPr>
          <w:rFonts w:cs="Arial"/>
          <w:bCs/>
          <w:szCs w:val="22"/>
        </w:rPr>
        <w:t>, ECLI:EU:C:2022:794.</w:t>
      </w:r>
    </w:p>
    <w:p w14:paraId="604E0D7A"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27 października 2022 r. w sprawach połączonych C-68/21 i C-84/21 </w:t>
      </w:r>
      <w:r w:rsidRPr="0098474F">
        <w:rPr>
          <w:rFonts w:cs="Arial"/>
          <w:bCs/>
          <w:i/>
          <w:iCs/>
          <w:szCs w:val="22"/>
        </w:rPr>
        <w:t>Iveco Orecchia SpA przeciwko APAM Esercizio SpA, Brescia Trasporti SpA</w:t>
      </w:r>
      <w:r w:rsidRPr="0098474F">
        <w:rPr>
          <w:rFonts w:cs="Arial"/>
          <w:bCs/>
          <w:szCs w:val="22"/>
        </w:rPr>
        <w:t>, ECLI:EU:C:2022:835.</w:t>
      </w:r>
    </w:p>
    <w:p w14:paraId="2D67F636"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10 listopada 2022 r. w sprawie C-486/21 </w:t>
      </w:r>
      <w:r w:rsidRPr="0098474F">
        <w:rPr>
          <w:rFonts w:cs="Arial"/>
          <w:bCs/>
          <w:i/>
          <w:iCs/>
          <w:szCs w:val="22"/>
        </w:rPr>
        <w:t>SHARENGO najem in zakup vozil d.o.o. przeciwko Mestna občina Ljubljana</w:t>
      </w:r>
      <w:r w:rsidRPr="0098474F">
        <w:rPr>
          <w:rFonts w:cs="Arial"/>
          <w:bCs/>
          <w:szCs w:val="22"/>
        </w:rPr>
        <w:t>, ECLI:EU:C:2022:868.</w:t>
      </w:r>
    </w:p>
    <w:p w14:paraId="085D36E2" w14:textId="77777777" w:rsidR="0098474F" w:rsidRPr="0098474F" w:rsidRDefault="0098474F" w:rsidP="00E16264">
      <w:pPr>
        <w:numPr>
          <w:ilvl w:val="0"/>
          <w:numId w:val="36"/>
        </w:numPr>
        <w:rPr>
          <w:rFonts w:cs="Arial"/>
          <w:bCs/>
          <w:i/>
          <w:iCs/>
          <w:szCs w:val="22"/>
        </w:rPr>
      </w:pPr>
      <w:r w:rsidRPr="0098474F">
        <w:rPr>
          <w:rFonts w:cs="Arial"/>
          <w:bCs/>
          <w:szCs w:val="22"/>
        </w:rPr>
        <w:t xml:space="preserve">Wyrok z dnia 10 listopada 2022 r. w sprawie C-631/21 </w:t>
      </w:r>
      <w:r w:rsidRPr="0098474F">
        <w:rPr>
          <w:rFonts w:cs="Arial"/>
          <w:bCs/>
          <w:i/>
          <w:iCs/>
          <w:szCs w:val="22"/>
        </w:rPr>
        <w:t>Taxi Horn Tours BV przeciwko gemeente Weert, gemeente Nederweert, Touringcars VOF</w:t>
      </w:r>
      <w:r w:rsidRPr="0098474F">
        <w:rPr>
          <w:rFonts w:cs="Arial"/>
          <w:bCs/>
          <w:szCs w:val="22"/>
        </w:rPr>
        <w:t>, ECLI:EU:C:2022:869.</w:t>
      </w:r>
    </w:p>
    <w:p w14:paraId="7B0F3797" w14:textId="1A3AB504" w:rsidR="0098474F" w:rsidRPr="0098474F" w:rsidRDefault="0098474F" w:rsidP="00E16264">
      <w:pPr>
        <w:numPr>
          <w:ilvl w:val="0"/>
          <w:numId w:val="36"/>
        </w:numPr>
        <w:rPr>
          <w:rFonts w:cs="Arial"/>
          <w:bCs/>
          <w:i/>
          <w:iCs/>
          <w:szCs w:val="22"/>
        </w:rPr>
      </w:pPr>
      <w:r w:rsidRPr="0098474F">
        <w:rPr>
          <w:rFonts w:cs="Arial"/>
          <w:bCs/>
          <w:szCs w:val="22"/>
        </w:rPr>
        <w:t>Wyrok z dnia 17 listopada 2022 r. w sprawie C-54/</w:t>
      </w:r>
      <w:r w:rsidRPr="0098474F">
        <w:rPr>
          <w:rFonts w:cs="Arial"/>
          <w:bCs/>
          <w:i/>
          <w:iCs/>
          <w:szCs w:val="22"/>
        </w:rPr>
        <w:t>21 Antea Polska S.A., Pectore-Eco sp. z</w:t>
      </w:r>
      <w:r w:rsidR="009343A1">
        <w:rPr>
          <w:rFonts w:cs="Arial"/>
          <w:bCs/>
          <w:i/>
          <w:iCs/>
          <w:szCs w:val="22"/>
        </w:rPr>
        <w:t xml:space="preserve"> </w:t>
      </w:r>
      <w:r w:rsidRPr="0098474F">
        <w:rPr>
          <w:rFonts w:cs="Arial"/>
          <w:bCs/>
          <w:i/>
          <w:iCs/>
          <w:szCs w:val="22"/>
        </w:rPr>
        <w:t>o.o., Instytut Ochrony Środowiska – Państwowy Instytut Badawczy przeciwko Państwowemu Gospodarstwu Wodnemu Wody Polskie</w:t>
      </w:r>
      <w:r w:rsidRPr="0098474F">
        <w:rPr>
          <w:rFonts w:cs="Arial"/>
          <w:bCs/>
          <w:szCs w:val="22"/>
        </w:rPr>
        <w:t>, ECLI:EU:C:2022:888.</w:t>
      </w:r>
    </w:p>
    <w:p w14:paraId="11D4A49A" w14:textId="77777777" w:rsidR="0098474F" w:rsidRPr="0098474F" w:rsidRDefault="0098474F" w:rsidP="00E16264">
      <w:pPr>
        <w:numPr>
          <w:ilvl w:val="0"/>
          <w:numId w:val="36"/>
        </w:numPr>
        <w:rPr>
          <w:rFonts w:cs="Arial"/>
          <w:bCs/>
          <w:szCs w:val="22"/>
        </w:rPr>
      </w:pPr>
      <w:r w:rsidRPr="0098474F">
        <w:rPr>
          <w:rFonts w:cs="Arial"/>
          <w:bCs/>
          <w:szCs w:val="22"/>
        </w:rPr>
        <w:t xml:space="preserve">Wyrok z dnia 8 grudnia 2022 r. w sprawie C-769/21 </w:t>
      </w:r>
      <w:r w:rsidRPr="0098474F">
        <w:rPr>
          <w:rFonts w:cs="Arial"/>
          <w:bCs/>
          <w:i/>
          <w:iCs/>
          <w:szCs w:val="22"/>
        </w:rPr>
        <w:t xml:space="preserve">AAS „BTA Baltic Insurance Company” przeciwko Iepirkumu uzraudzības birojs, Tieslietu ministrija, </w:t>
      </w:r>
      <w:r w:rsidRPr="0098474F">
        <w:rPr>
          <w:rFonts w:cs="Arial"/>
          <w:bCs/>
          <w:szCs w:val="22"/>
        </w:rPr>
        <w:t>ECLI:EU:C:2022:973.</w:t>
      </w:r>
    </w:p>
    <w:p w14:paraId="25BB6E74" w14:textId="77777777" w:rsidR="0098474F" w:rsidRPr="0098474F" w:rsidRDefault="0098474F" w:rsidP="00E16264">
      <w:pPr>
        <w:numPr>
          <w:ilvl w:val="0"/>
          <w:numId w:val="36"/>
        </w:numPr>
        <w:rPr>
          <w:rFonts w:cs="Arial"/>
          <w:bCs/>
          <w:szCs w:val="22"/>
        </w:rPr>
      </w:pPr>
      <w:r w:rsidRPr="0098474F">
        <w:rPr>
          <w:rFonts w:cs="Arial"/>
          <w:bCs/>
          <w:szCs w:val="22"/>
        </w:rPr>
        <w:t xml:space="preserve">Wyrok z dnia 22 grudnia 2022 r. w sprawach połączonych C-383/21 i C-384/21 </w:t>
      </w:r>
      <w:r w:rsidRPr="0098474F">
        <w:rPr>
          <w:rFonts w:cs="Arial"/>
          <w:bCs/>
          <w:i/>
          <w:iCs/>
          <w:szCs w:val="22"/>
        </w:rPr>
        <w:t xml:space="preserve">Sambre &amp; Biesme SCRL, Commune de Farciennes przeciwko Société wallonne du logement (SWL), </w:t>
      </w:r>
      <w:r w:rsidRPr="0098474F">
        <w:rPr>
          <w:rFonts w:cs="Arial"/>
          <w:bCs/>
          <w:szCs w:val="22"/>
        </w:rPr>
        <w:t>ECLI:EU:C:2022:1022.</w:t>
      </w:r>
    </w:p>
    <w:p w14:paraId="08E554C5" w14:textId="77777777" w:rsidR="00AB7E4C" w:rsidRDefault="00AB7E4C" w:rsidP="00741068">
      <w:pPr>
        <w:rPr>
          <w:rFonts w:cs="Arial"/>
          <w:szCs w:val="22"/>
        </w:rPr>
      </w:pPr>
    </w:p>
    <w:p w14:paraId="3BBAEB7B" w14:textId="69694D50" w:rsidR="00C65BB7" w:rsidRPr="00F40EE1" w:rsidRDefault="00C65BB7" w:rsidP="00C65BB7">
      <w:pPr>
        <w:rPr>
          <w:rFonts w:cs="Arial"/>
          <w:i/>
          <w:szCs w:val="22"/>
        </w:rPr>
      </w:pPr>
      <w:r w:rsidRPr="00BC022A">
        <w:rPr>
          <w:rFonts w:cs="Arial"/>
          <w:i/>
          <w:szCs w:val="22"/>
        </w:rPr>
        <w:t>Krótkie omówienie orzeczeń Trybunał</w:t>
      </w:r>
      <w:r w:rsidR="00C15DC7" w:rsidRPr="00BC022A">
        <w:rPr>
          <w:rFonts w:cs="Arial"/>
          <w:i/>
          <w:szCs w:val="22"/>
        </w:rPr>
        <w:t>u</w:t>
      </w:r>
      <w:r w:rsidRPr="00BC022A">
        <w:rPr>
          <w:rFonts w:cs="Arial"/>
          <w:i/>
          <w:szCs w:val="22"/>
        </w:rPr>
        <w:t xml:space="preserve"> Sprawiedliwości Unii Europejskiej wydanych w 202</w:t>
      </w:r>
      <w:r w:rsidR="00AB7E4C">
        <w:rPr>
          <w:rFonts w:cs="Arial"/>
          <w:i/>
          <w:szCs w:val="22"/>
        </w:rPr>
        <w:t>2</w:t>
      </w:r>
      <w:r w:rsidRPr="00BC022A">
        <w:rPr>
          <w:rFonts w:cs="Arial"/>
          <w:i/>
          <w:szCs w:val="22"/>
        </w:rPr>
        <w:t xml:space="preserve"> r. zawiera </w:t>
      </w:r>
      <w:hyperlink w:anchor="Zał_3" w:history="1">
        <w:r w:rsidRPr="00A31E85">
          <w:rPr>
            <w:rStyle w:val="Hipercze"/>
            <w:rFonts w:cs="Arial"/>
            <w:i/>
            <w:szCs w:val="22"/>
          </w:rPr>
          <w:t xml:space="preserve">załącznik nr </w:t>
        </w:r>
        <w:r w:rsidR="00B82246" w:rsidRPr="00A31E85">
          <w:rPr>
            <w:rStyle w:val="Hipercze"/>
            <w:rFonts w:cs="Arial"/>
            <w:i/>
            <w:szCs w:val="22"/>
          </w:rPr>
          <w:t>3</w:t>
        </w:r>
      </w:hyperlink>
      <w:r w:rsidRPr="00BC022A">
        <w:rPr>
          <w:rFonts w:cs="Arial"/>
          <w:i/>
          <w:szCs w:val="22"/>
        </w:rPr>
        <w:t xml:space="preserve"> do niniejszego Sprawozdania.</w:t>
      </w:r>
      <w:r w:rsidRPr="00F40EE1">
        <w:rPr>
          <w:rFonts w:cs="Arial"/>
          <w:i/>
          <w:szCs w:val="22"/>
        </w:rPr>
        <w:t xml:space="preserve"> </w:t>
      </w:r>
    </w:p>
    <w:p w14:paraId="0B8964E4" w14:textId="77777777" w:rsidR="00C65BB7" w:rsidRPr="00741068" w:rsidRDefault="00C65BB7" w:rsidP="00741068">
      <w:pPr>
        <w:rPr>
          <w:rFonts w:cs="Arial"/>
          <w:szCs w:val="22"/>
        </w:rPr>
      </w:pPr>
    </w:p>
    <w:p w14:paraId="3C2FDE18" w14:textId="77777777" w:rsidR="006D5739" w:rsidRPr="000D7AC2" w:rsidRDefault="006D5739" w:rsidP="007D4DEB">
      <w:pPr>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86A97D3" w14:textId="77777777" w:rsidTr="008C3B34">
        <w:trPr>
          <w:cantSplit/>
        </w:trPr>
        <w:tc>
          <w:tcPr>
            <w:tcW w:w="236" w:type="dxa"/>
            <w:shd w:val="clear" w:color="auto" w:fill="95B3D7"/>
          </w:tcPr>
          <w:p w14:paraId="13682260" w14:textId="77777777" w:rsidR="005F3C4D" w:rsidRDefault="005F3C4D" w:rsidP="007D4DEB"/>
        </w:tc>
        <w:tc>
          <w:tcPr>
            <w:tcW w:w="8960" w:type="dxa"/>
          </w:tcPr>
          <w:p w14:paraId="1CFB86AF" w14:textId="5A31DFD3" w:rsidR="005F3C4D" w:rsidRPr="00C55850" w:rsidRDefault="00967BD0" w:rsidP="00687A59">
            <w:pPr>
              <w:pStyle w:val="Nagwek2"/>
              <w:shd w:val="clear" w:color="auto" w:fill="FFFFFF"/>
              <w:spacing w:after="120"/>
              <w:ind w:left="397" w:hanging="397"/>
              <w:rPr>
                <w:noProof/>
                <w:color w:val="0070C0"/>
                <w:szCs w:val="24"/>
              </w:rPr>
            </w:pPr>
            <w:bookmarkStart w:id="37" w:name="_Toc64451846"/>
            <w:bookmarkStart w:id="38" w:name="_Toc141276425"/>
            <w:r w:rsidRPr="00C55850">
              <w:rPr>
                <w:noProof/>
                <w:color w:val="0070C0"/>
                <w:szCs w:val="24"/>
              </w:rPr>
              <w:t>I.</w:t>
            </w:r>
            <w:r w:rsidR="00C47066" w:rsidRPr="00C55850">
              <w:rPr>
                <w:noProof/>
                <w:color w:val="0070C0"/>
                <w:szCs w:val="24"/>
              </w:rPr>
              <w:t>5</w:t>
            </w:r>
            <w:r w:rsidRPr="00C55850">
              <w:rPr>
                <w:noProof/>
                <w:color w:val="0070C0"/>
                <w:szCs w:val="24"/>
              </w:rPr>
              <w:t>.</w:t>
            </w:r>
            <w:r w:rsidR="00750B05" w:rsidRPr="00C55850">
              <w:rPr>
                <w:noProof/>
                <w:color w:val="0070C0"/>
                <w:szCs w:val="24"/>
              </w:rPr>
              <w:t xml:space="preserve"> </w:t>
            </w:r>
            <w:r w:rsidR="00687A59" w:rsidRPr="00C55850">
              <w:rPr>
                <w:noProof/>
                <w:color w:val="0070C0"/>
                <w:szCs w:val="24"/>
              </w:rPr>
              <w:t>Umowy międzynarodowe zawierane przez UE, określające zasady dostępu do zamówień publicznych państw UE</w:t>
            </w:r>
            <w:bookmarkEnd w:id="37"/>
            <w:bookmarkEnd w:id="38"/>
          </w:p>
        </w:tc>
      </w:tr>
    </w:tbl>
    <w:p w14:paraId="702D5C01" w14:textId="2234BB91" w:rsidR="000F16FA" w:rsidRDefault="000F16FA" w:rsidP="004C758B">
      <w:pPr>
        <w:pStyle w:val="StylArial11ptWyjustowany"/>
        <w:shd w:val="clear" w:color="auto" w:fill="FFFFFF"/>
        <w:rPr>
          <w:rFonts w:cs="Arial"/>
          <w:iCs/>
          <w:szCs w:val="22"/>
        </w:rPr>
      </w:pPr>
    </w:p>
    <w:p w14:paraId="743C0976" w14:textId="0D08676C" w:rsidR="006818EF" w:rsidRPr="006818EF" w:rsidRDefault="006818EF" w:rsidP="006818EF">
      <w:pPr>
        <w:pStyle w:val="StylArial11ptWyjustowany"/>
        <w:shd w:val="clear" w:color="auto" w:fill="FFFFFF"/>
        <w:rPr>
          <w:rFonts w:cs="Arial"/>
          <w:iCs/>
          <w:szCs w:val="22"/>
        </w:rPr>
      </w:pPr>
      <w:r w:rsidRPr="006818EF">
        <w:rPr>
          <w:rFonts w:cs="Arial"/>
          <w:iCs/>
          <w:szCs w:val="22"/>
        </w:rPr>
        <w:t>Polska, podobnie jak inne państwa członkowskie UE, jest zobowiązana do</w:t>
      </w:r>
      <w:r w:rsidR="009343A1">
        <w:rPr>
          <w:rFonts w:cs="Arial"/>
          <w:iCs/>
          <w:szCs w:val="22"/>
        </w:rPr>
        <w:t xml:space="preserve"> </w:t>
      </w:r>
      <w:r w:rsidRPr="006818EF">
        <w:rPr>
          <w:rFonts w:cs="Arial"/>
          <w:iCs/>
          <w:szCs w:val="22"/>
        </w:rPr>
        <w:t>udostępnienia krajowych zamówień publicznych, na zasadach i w zakresie określonym w zawartych przez UE umowach międzynarodowych, wykonawcom, towarom i usługom z</w:t>
      </w:r>
      <w:r w:rsidR="009343A1">
        <w:rPr>
          <w:rFonts w:cs="Arial"/>
          <w:iCs/>
          <w:szCs w:val="22"/>
        </w:rPr>
        <w:t xml:space="preserve"> </w:t>
      </w:r>
      <w:r w:rsidRPr="006818EF">
        <w:rPr>
          <w:rFonts w:cs="Arial"/>
          <w:iCs/>
          <w:szCs w:val="22"/>
        </w:rPr>
        <w:t>określonych państw trzecich. Na mocy tych samych umów i</w:t>
      </w:r>
      <w:r w:rsidR="009343A1">
        <w:rPr>
          <w:rFonts w:cs="Arial"/>
          <w:iCs/>
          <w:szCs w:val="22"/>
        </w:rPr>
        <w:t xml:space="preserve"> </w:t>
      </w:r>
      <w:r w:rsidRPr="006818EF">
        <w:rPr>
          <w:rFonts w:cs="Arial"/>
          <w:iCs/>
          <w:szCs w:val="22"/>
        </w:rPr>
        <w:t>w</w:t>
      </w:r>
      <w:r w:rsidR="009343A1">
        <w:rPr>
          <w:rFonts w:cs="Arial"/>
          <w:iCs/>
          <w:szCs w:val="22"/>
        </w:rPr>
        <w:t xml:space="preserve"> </w:t>
      </w:r>
      <w:r w:rsidRPr="006818EF">
        <w:rPr>
          <w:rFonts w:cs="Arial"/>
          <w:iCs/>
          <w:szCs w:val="22"/>
        </w:rPr>
        <w:t>określonym w nich zakresie wykonawcy, towary i usługi z Polski mają zagwarantowane prawo do</w:t>
      </w:r>
      <w:r w:rsidR="009343A1">
        <w:rPr>
          <w:rFonts w:cs="Arial"/>
          <w:iCs/>
          <w:szCs w:val="22"/>
        </w:rPr>
        <w:t xml:space="preserve"> </w:t>
      </w:r>
      <w:r w:rsidRPr="006818EF">
        <w:rPr>
          <w:rFonts w:cs="Arial"/>
          <w:iCs/>
          <w:szCs w:val="22"/>
        </w:rPr>
        <w:t xml:space="preserve">ubiegania się o zagraniczne zamówienia publiczne. </w:t>
      </w:r>
    </w:p>
    <w:p w14:paraId="0CF946DB" w14:textId="509DE0C9" w:rsidR="00DE4ADA" w:rsidRDefault="00DE4ADA" w:rsidP="004C758B">
      <w:pPr>
        <w:pStyle w:val="StylArial11ptWyjustowany"/>
        <w:shd w:val="clear" w:color="auto" w:fill="FFFFFF"/>
        <w:rPr>
          <w:rFonts w:cs="Arial"/>
          <w:iCs/>
          <w:szCs w:val="22"/>
        </w:rPr>
      </w:pPr>
    </w:p>
    <w:p w14:paraId="1E637504" w14:textId="19274AB2" w:rsidR="006818EF" w:rsidRPr="003563EF" w:rsidRDefault="006818EF" w:rsidP="00E16264">
      <w:pPr>
        <w:pStyle w:val="Default"/>
        <w:numPr>
          <w:ilvl w:val="0"/>
          <w:numId w:val="37"/>
        </w:numPr>
        <w:jc w:val="both"/>
        <w:rPr>
          <w:b/>
          <w:bCs/>
          <w:color w:val="2E74B5" w:themeColor="accent1" w:themeShade="BF"/>
          <w:sz w:val="22"/>
          <w:szCs w:val="22"/>
        </w:rPr>
      </w:pPr>
      <w:r w:rsidRPr="003563EF">
        <w:rPr>
          <w:b/>
          <w:bCs/>
          <w:color w:val="2E74B5" w:themeColor="accent1" w:themeShade="BF"/>
          <w:sz w:val="22"/>
          <w:szCs w:val="22"/>
        </w:rPr>
        <w:t xml:space="preserve">Porozumienie ws. Zamówień Rządowych (Porozumienie GPA) </w:t>
      </w:r>
    </w:p>
    <w:p w14:paraId="166D53DF" w14:textId="77777777" w:rsidR="006818EF" w:rsidRDefault="006818EF" w:rsidP="006818EF">
      <w:pPr>
        <w:pStyle w:val="StylArial11ptWyjustowany"/>
        <w:shd w:val="clear" w:color="auto" w:fill="FFFFFF"/>
        <w:rPr>
          <w:rFonts w:cs="Arial"/>
          <w:iCs/>
          <w:szCs w:val="22"/>
        </w:rPr>
      </w:pPr>
    </w:p>
    <w:p w14:paraId="688CEE5F" w14:textId="791899E2" w:rsidR="006818EF" w:rsidRPr="006818EF" w:rsidRDefault="006818EF" w:rsidP="006818EF">
      <w:pPr>
        <w:pStyle w:val="StylArial11ptWyjustowany"/>
        <w:shd w:val="clear" w:color="auto" w:fill="FFFFFF"/>
        <w:rPr>
          <w:rFonts w:cs="Arial"/>
          <w:iCs/>
          <w:szCs w:val="22"/>
        </w:rPr>
      </w:pPr>
      <w:r w:rsidRPr="003563EF">
        <w:rPr>
          <w:rFonts w:cs="Arial"/>
          <w:iCs/>
          <w:szCs w:val="22"/>
        </w:rPr>
        <w:t>Plurilateralne Porozumienie Światowej Organizacji Handlu (WTO) w sprawie Zamówień Rządowych (GPA) z 2012 r. jest najważniejszym z</w:t>
      </w:r>
      <w:r w:rsidR="009343A1">
        <w:rPr>
          <w:rFonts w:cs="Arial"/>
          <w:iCs/>
          <w:szCs w:val="22"/>
        </w:rPr>
        <w:t xml:space="preserve"> </w:t>
      </w:r>
      <w:r w:rsidRPr="003563EF">
        <w:rPr>
          <w:rFonts w:cs="Arial"/>
          <w:iCs/>
          <w:szCs w:val="22"/>
        </w:rPr>
        <w:t>międzynarodowych porozumień w</w:t>
      </w:r>
      <w:r w:rsidRPr="006818EF">
        <w:rPr>
          <w:rFonts w:cs="Arial"/>
          <w:iCs/>
          <w:szCs w:val="22"/>
        </w:rPr>
        <w:t xml:space="preserve"> dziedzinie zamówień publicznych z uwagi na</w:t>
      </w:r>
      <w:r w:rsidR="009343A1">
        <w:rPr>
          <w:rFonts w:cs="Arial"/>
          <w:iCs/>
          <w:szCs w:val="22"/>
        </w:rPr>
        <w:t xml:space="preserve"> </w:t>
      </w:r>
      <w:r w:rsidRPr="006818EF">
        <w:rPr>
          <w:rFonts w:cs="Arial"/>
          <w:iCs/>
          <w:szCs w:val="22"/>
        </w:rPr>
        <w:t>liczbę uczestniczących państw i zakres udostępnionych zamówień. Zrewidowane GPA weszło w życie 6</w:t>
      </w:r>
      <w:r w:rsidR="009343A1">
        <w:rPr>
          <w:rFonts w:cs="Arial"/>
          <w:iCs/>
          <w:szCs w:val="22"/>
        </w:rPr>
        <w:t xml:space="preserve"> </w:t>
      </w:r>
      <w:r w:rsidRPr="006818EF">
        <w:rPr>
          <w:rFonts w:cs="Arial"/>
          <w:iCs/>
          <w:szCs w:val="22"/>
        </w:rPr>
        <w:t>kwietnia 2014 r. i do końca 2022 r. obowiązywało 21 uczestników, obejmujących 48 członków WTO, w</w:t>
      </w:r>
      <w:r w:rsidR="009343A1">
        <w:rPr>
          <w:rFonts w:cs="Arial"/>
          <w:iCs/>
          <w:szCs w:val="22"/>
        </w:rPr>
        <w:t xml:space="preserve"> </w:t>
      </w:r>
      <w:r w:rsidRPr="006818EF">
        <w:rPr>
          <w:rFonts w:cs="Arial"/>
          <w:iCs/>
          <w:szCs w:val="22"/>
        </w:rPr>
        <w:t>tym Unię Europejską z jej 27</w:t>
      </w:r>
      <w:r w:rsidR="009343A1">
        <w:rPr>
          <w:rFonts w:cs="Arial"/>
          <w:iCs/>
          <w:szCs w:val="22"/>
        </w:rPr>
        <w:t xml:space="preserve"> </w:t>
      </w:r>
      <w:r w:rsidRPr="006818EF">
        <w:rPr>
          <w:rFonts w:cs="Arial"/>
          <w:iCs/>
          <w:szCs w:val="22"/>
        </w:rPr>
        <w:t xml:space="preserve">państwami. Poza UE i jej państwami członkowskimi, stronami GPA w 2022 r. były: Armenia, Australia, Czarnogóra, Holandia w odniesieniu do Aruby, Hong-Kong, Islandia, Izrael, Japonia, Kanada, Korea, Lichtenstein, Mołdawia, Norwegia, Nowa Zelandia, Singapur, Szwajcaria, Tajwan, Ukraina, USA, Zjednoczone Królestwo Wielkiej Brytanii i Irlandii Północnej. </w:t>
      </w:r>
    </w:p>
    <w:p w14:paraId="01A19D24" w14:textId="77777777" w:rsidR="006818EF" w:rsidRPr="006818EF" w:rsidRDefault="006818EF" w:rsidP="006818EF">
      <w:pPr>
        <w:pStyle w:val="StylArial11ptWyjustowany"/>
        <w:shd w:val="clear" w:color="auto" w:fill="FFFFFF"/>
        <w:rPr>
          <w:rFonts w:cs="Arial"/>
          <w:iCs/>
          <w:szCs w:val="22"/>
        </w:rPr>
      </w:pPr>
      <w:r w:rsidRPr="006818EF">
        <w:rPr>
          <w:rFonts w:cs="Arial"/>
          <w:iCs/>
          <w:szCs w:val="22"/>
        </w:rPr>
        <w:t xml:space="preserve">W 2022 r. 36 państw miało status obserwatora przy GPA (w 2022 r. dołączyła Republika Dominikany), jak również pięć organizacji międzyrządowych (tj. Międzynarodowy Fundusz Walutowy (MFW), Międzynarodowe Centrum Handlu (ITC), Organizacja Współpracy Gospodarczej i Rozwoju (OECD), Konferencja Narodów Zjednoczonych ds. Handlu i Rozwoju (UNCTAD) oraz od 2022 r. Europejski Bank Odbudowy i Rozwoju (EBRD)). Spośród państw o statusie obserwatorów przy GPA, 11 państw rozpoczęło proces negocjacji warunków przystąpienia do GPA, tj.: Albania, Chiny, Gruzja, Jordania, Kazachstan, Kirgistan, Oman, Północna Macedonia, Federacja Rosyjska, Tadżykistan, oraz Brazylia. </w:t>
      </w:r>
    </w:p>
    <w:p w14:paraId="30160D66" w14:textId="77777777" w:rsidR="006818EF" w:rsidRPr="006818EF" w:rsidRDefault="006818EF" w:rsidP="006818EF">
      <w:pPr>
        <w:pStyle w:val="StylArial11ptWyjustowany"/>
        <w:shd w:val="clear" w:color="auto" w:fill="FFFFFF"/>
        <w:rPr>
          <w:rFonts w:cs="Arial"/>
          <w:iCs/>
          <w:szCs w:val="22"/>
        </w:rPr>
      </w:pPr>
      <w:r w:rsidRPr="006818EF">
        <w:rPr>
          <w:rFonts w:cs="Arial"/>
          <w:iCs/>
          <w:szCs w:val="22"/>
        </w:rPr>
        <w:t xml:space="preserve">Zobowiązania do podjęcia negocjacji ws. przystąpienia do GPA mają ponadto: Afganistan, Mongolia, Arabia Saudyjska i Seszele. </w:t>
      </w:r>
    </w:p>
    <w:p w14:paraId="590CD90C" w14:textId="07C7D886" w:rsidR="006818EF" w:rsidRDefault="006818EF" w:rsidP="006818EF">
      <w:pPr>
        <w:pStyle w:val="StylArial11ptWyjustowany"/>
        <w:shd w:val="clear" w:color="auto" w:fill="FFFFFF"/>
        <w:rPr>
          <w:rFonts w:cs="Arial"/>
          <w:iCs/>
          <w:szCs w:val="22"/>
        </w:rPr>
      </w:pPr>
      <w:r w:rsidRPr="006818EF">
        <w:rPr>
          <w:rFonts w:cs="Arial"/>
          <w:iCs/>
          <w:szCs w:val="22"/>
        </w:rPr>
        <w:t>Informacja o zakresie zamówień udostępnionych w ramach GPA znajduje się na</w:t>
      </w:r>
      <w:r w:rsidR="009343A1">
        <w:rPr>
          <w:rFonts w:cs="Arial"/>
          <w:iCs/>
          <w:szCs w:val="22"/>
        </w:rPr>
        <w:t xml:space="preserve"> </w:t>
      </w:r>
      <w:r w:rsidRPr="006818EF">
        <w:rPr>
          <w:rFonts w:cs="Arial"/>
          <w:iCs/>
          <w:szCs w:val="22"/>
        </w:rPr>
        <w:t xml:space="preserve">serwisie internetowym WTO: </w:t>
      </w:r>
      <w:hyperlink r:id="rId13" w:history="1">
        <w:r w:rsidRPr="006818EF">
          <w:rPr>
            <w:rStyle w:val="Hipercze"/>
            <w:rFonts w:cs="Arial"/>
            <w:iCs/>
            <w:szCs w:val="22"/>
          </w:rPr>
          <w:t>https://e-gpa.wto.org/</w:t>
        </w:r>
      </w:hyperlink>
      <w:r w:rsidRPr="006818EF">
        <w:rPr>
          <w:rFonts w:cs="Arial"/>
          <w:iCs/>
          <w:szCs w:val="22"/>
        </w:rPr>
        <w:t>.</w:t>
      </w:r>
    </w:p>
    <w:p w14:paraId="32A0096C" w14:textId="40963F8A" w:rsidR="003563EF" w:rsidRDefault="003563EF" w:rsidP="006818EF">
      <w:pPr>
        <w:pStyle w:val="StylArial11ptWyjustowany"/>
        <w:shd w:val="clear" w:color="auto" w:fill="FFFFFF"/>
        <w:rPr>
          <w:rFonts w:cs="Arial"/>
          <w:iCs/>
          <w:szCs w:val="22"/>
        </w:rPr>
      </w:pPr>
    </w:p>
    <w:p w14:paraId="5F1059A9" w14:textId="77777777" w:rsidR="003563EF" w:rsidRPr="006818EF" w:rsidRDefault="003563EF" w:rsidP="006818EF">
      <w:pPr>
        <w:pStyle w:val="StylArial11ptWyjustowany"/>
        <w:shd w:val="clear" w:color="auto" w:fill="FFFFFF"/>
        <w:rPr>
          <w:rFonts w:cs="Arial"/>
          <w:iCs/>
          <w:szCs w:val="22"/>
        </w:rPr>
      </w:pPr>
    </w:p>
    <w:p w14:paraId="5CEF8247" w14:textId="7A7EE2C3" w:rsidR="006818EF" w:rsidRPr="003563EF" w:rsidRDefault="006818EF" w:rsidP="00E16264">
      <w:pPr>
        <w:pStyle w:val="Default"/>
        <w:numPr>
          <w:ilvl w:val="0"/>
          <w:numId w:val="37"/>
        </w:numPr>
        <w:jc w:val="both"/>
        <w:rPr>
          <w:b/>
          <w:bCs/>
          <w:color w:val="2E74B5" w:themeColor="accent1" w:themeShade="BF"/>
          <w:sz w:val="22"/>
          <w:szCs w:val="22"/>
        </w:rPr>
      </w:pPr>
      <w:r w:rsidRPr="003563EF">
        <w:rPr>
          <w:b/>
          <w:bCs/>
          <w:color w:val="2E74B5" w:themeColor="accent1" w:themeShade="BF"/>
          <w:sz w:val="22"/>
          <w:szCs w:val="22"/>
        </w:rPr>
        <w:t>Obowiązujące umowy dwustronne zawarte przez UE, określające zobowiązania UE dopuszczenia do unijnego rynku zamówień publicznych</w:t>
      </w:r>
    </w:p>
    <w:p w14:paraId="43EFD2A2" w14:textId="77777777" w:rsidR="003563EF" w:rsidRDefault="003563EF" w:rsidP="006818EF">
      <w:pPr>
        <w:pStyle w:val="StylArial11ptWyjustowany"/>
        <w:shd w:val="clear" w:color="auto" w:fill="FFFFFF"/>
        <w:rPr>
          <w:rFonts w:cs="Arial"/>
          <w:bCs/>
          <w:iCs/>
          <w:szCs w:val="22"/>
        </w:rPr>
      </w:pPr>
    </w:p>
    <w:p w14:paraId="15CA8513"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Unia Europejska zawiera międzynarodowe umowy handlowe z innymi krajami lub regionami, które w zależności od treści można podzielić na 3 główne kategorie:</w:t>
      </w:r>
    </w:p>
    <w:p w14:paraId="155FE52C" w14:textId="77777777" w:rsidR="00B92F94" w:rsidRPr="0099723F" w:rsidRDefault="00B92F94" w:rsidP="00B92F94">
      <w:pPr>
        <w:pStyle w:val="StylArial11ptWyjustowany"/>
        <w:numPr>
          <w:ilvl w:val="0"/>
          <w:numId w:val="77"/>
        </w:numPr>
        <w:shd w:val="clear" w:color="auto" w:fill="FFFFFF"/>
        <w:rPr>
          <w:rFonts w:cs="Arial"/>
          <w:bCs/>
          <w:iCs/>
          <w:szCs w:val="22"/>
          <w:lang w:val="x-none"/>
        </w:rPr>
      </w:pPr>
      <w:r w:rsidRPr="0099723F">
        <w:rPr>
          <w:rFonts w:cs="Arial"/>
          <w:bCs/>
          <w:iCs/>
          <w:szCs w:val="22"/>
          <w:lang w:val="x-none"/>
        </w:rPr>
        <w:t>umowy o partnerstwie gospodarczym – wspierają rozwój partnerów handlowych z państw Afryki, Karaibów i Pacyfiku,</w:t>
      </w:r>
    </w:p>
    <w:p w14:paraId="1AE79676" w14:textId="77777777" w:rsidR="00B92F94" w:rsidRPr="0099723F" w:rsidRDefault="00B92F94" w:rsidP="00B92F94">
      <w:pPr>
        <w:pStyle w:val="StylArial11ptWyjustowany"/>
        <w:numPr>
          <w:ilvl w:val="0"/>
          <w:numId w:val="77"/>
        </w:numPr>
        <w:shd w:val="clear" w:color="auto" w:fill="FFFFFF"/>
        <w:rPr>
          <w:rFonts w:cs="Arial"/>
          <w:bCs/>
          <w:iCs/>
          <w:szCs w:val="22"/>
          <w:lang w:val="x-none"/>
        </w:rPr>
      </w:pPr>
      <w:r w:rsidRPr="0099723F">
        <w:rPr>
          <w:rFonts w:cs="Arial"/>
          <w:bCs/>
          <w:iCs/>
          <w:szCs w:val="22"/>
          <w:lang w:val="x-none"/>
        </w:rPr>
        <w:t>umowy o wolnym handlu – umożliwiają wzajemne otwarcie rynków dzięki przyznaniu preferencyjnego dostępu; są zawierane z krajami rozwiniętymi i gospodarkami wschodzącymi,</w:t>
      </w:r>
    </w:p>
    <w:p w14:paraId="4183FFAA" w14:textId="77777777" w:rsidR="00B92F94" w:rsidRPr="0099723F" w:rsidRDefault="00B92F94" w:rsidP="00B92F94">
      <w:pPr>
        <w:pStyle w:val="StylArial11ptWyjustowany"/>
        <w:numPr>
          <w:ilvl w:val="0"/>
          <w:numId w:val="77"/>
        </w:numPr>
        <w:shd w:val="clear" w:color="auto" w:fill="FFFFFF"/>
        <w:rPr>
          <w:rFonts w:cs="Arial"/>
          <w:bCs/>
          <w:iCs/>
          <w:szCs w:val="22"/>
          <w:lang w:val="x-none"/>
        </w:rPr>
      </w:pPr>
      <w:r w:rsidRPr="0099723F">
        <w:rPr>
          <w:rFonts w:cs="Arial"/>
          <w:bCs/>
          <w:iCs/>
          <w:szCs w:val="22"/>
          <w:lang w:val="x-none"/>
        </w:rPr>
        <w:t>układy o stowarzyszeniu – są konkretyzacją szerzej zakrojonych porozumień politycznych.</w:t>
      </w:r>
    </w:p>
    <w:p w14:paraId="7FF3EB94" w14:textId="77777777" w:rsidR="00B92F94" w:rsidRDefault="00B92F94" w:rsidP="00B92F94">
      <w:pPr>
        <w:pStyle w:val="StylArial11ptWyjustowany"/>
        <w:shd w:val="clear" w:color="auto" w:fill="FFFFFF"/>
        <w:rPr>
          <w:rFonts w:cs="Arial"/>
          <w:bCs/>
          <w:iCs/>
          <w:szCs w:val="22"/>
        </w:rPr>
      </w:pPr>
    </w:p>
    <w:p w14:paraId="4BA19044"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 xml:space="preserve">UE zawiera także umowy, które nie przewidują handlu na warunkach preferencyjnych i są częścią szerszych porozumień, takie jak umowy o partnerstwie i współpracy. </w:t>
      </w:r>
    </w:p>
    <w:p w14:paraId="10285227"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 xml:space="preserve">W sumie Unia Europejska jest stroną 42 umów o wolnym handlu z 74 krajami świata. </w:t>
      </w:r>
    </w:p>
    <w:p w14:paraId="75E466A6"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 xml:space="preserve">Jednak tylko część z tych umów zawiera zobowiązania lub odniesienia do zamówień publicznych i mają one zróżnicowany charakter, np. czasem są to tylko ogólne zobowiązania do współpracy lub zbliżania regulacji. </w:t>
      </w:r>
    </w:p>
    <w:p w14:paraId="5642EF41"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 xml:space="preserve">Konkretne wzajemne zobowiązania, wzorowane na Porozumieniu GPA, są określone w szczególności w zawartych w ostatnich latach przez UE tzw. umowach handlowych nowej generacji. W życie weszły umowy o wolnym handlu z Wielką Brytanią (2021), Wietnamem (2020), Japonią (2019), Singapurem (2019), Kanadą (2017) i Koreą (2015). Szczegółowe zobowiązania dotyczące dostępu do zamówień publicznych państw i instytucji UE zawarte są w rozdziałach i załącznikach tych umów. </w:t>
      </w:r>
    </w:p>
    <w:p w14:paraId="60E181AE" w14:textId="77777777" w:rsidR="00B92F94" w:rsidRDefault="00B92F94" w:rsidP="00B92F94">
      <w:pPr>
        <w:pStyle w:val="StylArial11ptWyjustowany"/>
        <w:shd w:val="clear" w:color="auto" w:fill="FFFFFF"/>
        <w:rPr>
          <w:rFonts w:cs="Arial"/>
          <w:bCs/>
          <w:iCs/>
          <w:szCs w:val="22"/>
        </w:rPr>
      </w:pPr>
    </w:p>
    <w:p w14:paraId="4638CDB9" w14:textId="5A841D29" w:rsidR="00B92F94" w:rsidRPr="0099723F" w:rsidRDefault="00B92F94" w:rsidP="00B92F94">
      <w:pPr>
        <w:pStyle w:val="StylArial11ptWyjustowany"/>
        <w:shd w:val="clear" w:color="auto" w:fill="FFFFFF"/>
        <w:rPr>
          <w:rFonts w:cs="Arial"/>
          <w:bCs/>
          <w:iCs/>
          <w:szCs w:val="22"/>
        </w:rPr>
      </w:pPr>
      <w:r w:rsidRPr="0099723F">
        <w:rPr>
          <w:rFonts w:cs="Arial"/>
          <w:bCs/>
          <w:iCs/>
          <w:szCs w:val="22"/>
        </w:rPr>
        <w:t>Spośród innych umów, na uwzględnienie w kontekście zobowiązań w obszarze zamówień publicznych zasługują ponadto umowy zawiera</w:t>
      </w:r>
      <w:r w:rsidR="0096520A">
        <w:rPr>
          <w:rFonts w:cs="Arial"/>
          <w:bCs/>
          <w:iCs/>
          <w:szCs w:val="22"/>
        </w:rPr>
        <w:t>ne</w:t>
      </w:r>
      <w:r w:rsidRPr="0099723F">
        <w:rPr>
          <w:rFonts w:cs="Arial"/>
          <w:bCs/>
          <w:iCs/>
          <w:szCs w:val="22"/>
        </w:rPr>
        <w:t xml:space="preserve"> przez UE z:</w:t>
      </w:r>
    </w:p>
    <w:p w14:paraId="0C390010" w14:textId="77777777"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Armenią, stroną Kompleksowej i Rozszerzonej Umowy Partnerskiej z 2018 r.,</w:t>
      </w:r>
    </w:p>
    <w:p w14:paraId="01C40EBA" w14:textId="77777777"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Kazachstanem, stroną Umowy o Wzmocnionym Partnerstwie i Współpracy z 2015 r.,</w:t>
      </w:r>
    </w:p>
    <w:p w14:paraId="5975AFCA" w14:textId="48078953" w:rsidR="00B92F94" w:rsidRPr="0099723F" w:rsidRDefault="008D073B" w:rsidP="00B92F94">
      <w:pPr>
        <w:pStyle w:val="StylArial11ptWyjustowany"/>
        <w:numPr>
          <w:ilvl w:val="0"/>
          <w:numId w:val="78"/>
        </w:numPr>
        <w:shd w:val="clear" w:color="auto" w:fill="FFFFFF"/>
        <w:rPr>
          <w:rFonts w:cs="Arial"/>
          <w:bCs/>
          <w:iCs/>
          <w:szCs w:val="22"/>
          <w:lang w:val="x-none"/>
        </w:rPr>
      </w:pPr>
      <w:r>
        <w:rPr>
          <w:rFonts w:cs="Arial"/>
          <w:bCs/>
          <w:iCs/>
          <w:szCs w:val="22"/>
        </w:rPr>
        <w:t>P</w:t>
      </w:r>
      <w:r w:rsidR="00B92F94" w:rsidRPr="0099723F">
        <w:rPr>
          <w:rFonts w:cs="Arial"/>
          <w:bCs/>
          <w:iCs/>
          <w:szCs w:val="22"/>
          <w:lang w:val="x-none"/>
        </w:rPr>
        <w:t>aństwami Ameryki Środkowej (Kostaryka, Salwador, Gwatemala, Honduras, Nikaragua, Panama), stronami Umowy Stowarzyszeniowej z 2012 r.,</w:t>
      </w:r>
    </w:p>
    <w:p w14:paraId="12E5B766" w14:textId="77777777"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Państwami Wspólnoty Andyjskiej (Ekwadorem, Kolumbią, Peru), stronami stosowanej tymczasowo Kompleksowej Umowy Handlowej z 2012 r.,</w:t>
      </w:r>
    </w:p>
    <w:p w14:paraId="11B97476" w14:textId="77777777"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Irakiem, stroną Umowy o Partnerstwie i Współpracy z 2012 r.,</w:t>
      </w:r>
    </w:p>
    <w:p w14:paraId="12B59362" w14:textId="77777777"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Szwajcarią, stroną Umowy z 1999 r. dotyczącej niektórych aspektów zamówień publicznych,</w:t>
      </w:r>
    </w:p>
    <w:p w14:paraId="5AE3D923" w14:textId="19D0C775" w:rsidR="00B92F94" w:rsidRPr="0099723F" w:rsidRDefault="00B92F94" w:rsidP="00B92F94">
      <w:pPr>
        <w:pStyle w:val="StylArial11ptWyjustowany"/>
        <w:numPr>
          <w:ilvl w:val="0"/>
          <w:numId w:val="78"/>
        </w:numPr>
        <w:shd w:val="clear" w:color="auto" w:fill="FFFFFF"/>
        <w:rPr>
          <w:rFonts w:cs="Arial"/>
          <w:bCs/>
          <w:iCs/>
          <w:szCs w:val="22"/>
          <w:lang w:val="x-none"/>
        </w:rPr>
      </w:pPr>
      <w:r w:rsidRPr="0099723F">
        <w:rPr>
          <w:rFonts w:cs="Arial"/>
          <w:bCs/>
          <w:iCs/>
          <w:szCs w:val="22"/>
          <w:lang w:val="x-none"/>
        </w:rPr>
        <w:t>Państwami Zachodnich Bałkanów, tj. Albanią, Bośnią i Hercegowiną, Czarnogórą, Mołdawia, Kosowo i Serbia, stronami Umów o Stabilizacji i Stowarzyszeniu.</w:t>
      </w:r>
    </w:p>
    <w:p w14:paraId="720DF8F1" w14:textId="77777777" w:rsidR="00B92F94" w:rsidRDefault="00B92F94" w:rsidP="00B92F94">
      <w:pPr>
        <w:pStyle w:val="StylArial11ptWyjustowany"/>
        <w:shd w:val="clear" w:color="auto" w:fill="FFFFFF"/>
        <w:rPr>
          <w:rFonts w:cs="Arial"/>
          <w:bCs/>
          <w:iCs/>
          <w:szCs w:val="22"/>
        </w:rPr>
      </w:pPr>
    </w:p>
    <w:p w14:paraId="1D141E9A"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Poza tym, Umowy Stowarzyszeniowe zawierane przez UE (np. z Ukrainą, Mołdawią, Gruzją) zawierają rozdziały określające zasady dostępu do zamówień publicznych oraz harmonogramy udostępniania rynków zamówień publicznych.</w:t>
      </w:r>
    </w:p>
    <w:p w14:paraId="27E6C6E6"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Zakres zamówień udostępnianych w tych umowach handlowych jest zróżnicowany, przede wszystkim od poziomu otwarcia rynków zamówień publicznych drugiej strony tych umów.</w:t>
      </w:r>
    </w:p>
    <w:p w14:paraId="5B692DEF" w14:textId="77777777" w:rsidR="00B92F94" w:rsidRDefault="00B92F94" w:rsidP="00B92F94">
      <w:pPr>
        <w:pStyle w:val="StylArial11ptWyjustowany"/>
        <w:shd w:val="clear" w:color="auto" w:fill="FFFFFF"/>
        <w:rPr>
          <w:rFonts w:cs="Arial"/>
          <w:bCs/>
          <w:iCs/>
          <w:szCs w:val="22"/>
        </w:rPr>
      </w:pPr>
    </w:p>
    <w:p w14:paraId="6D14157E" w14:textId="77777777" w:rsidR="00B92F94" w:rsidRPr="0099723F" w:rsidRDefault="00B92F94" w:rsidP="00B92F94">
      <w:pPr>
        <w:pStyle w:val="StylArial11ptWyjustowany"/>
        <w:shd w:val="clear" w:color="auto" w:fill="FFFFFF"/>
        <w:rPr>
          <w:rFonts w:cs="Arial"/>
          <w:bCs/>
          <w:iCs/>
          <w:szCs w:val="22"/>
        </w:rPr>
      </w:pPr>
      <w:r w:rsidRPr="0099723F">
        <w:rPr>
          <w:rFonts w:cs="Arial"/>
          <w:bCs/>
          <w:iCs/>
          <w:szCs w:val="22"/>
        </w:rPr>
        <w:t>Szczegółowe informacje o umowach międzynarodowych zawartych przez Unię Europejską i wiążących jej państwa członkowskie, w tym w obszarze zamówień publicznych, są dostępne na stronie internetowej Komisji Europejskiej:</w:t>
      </w:r>
    </w:p>
    <w:p w14:paraId="368983A7" w14:textId="18CA33B8" w:rsidR="00B92F94" w:rsidRPr="0099723F" w:rsidRDefault="00BE2079" w:rsidP="00B92F94">
      <w:pPr>
        <w:pStyle w:val="StylArial11ptWyjustowany"/>
        <w:shd w:val="clear" w:color="auto" w:fill="FFFFFF"/>
        <w:rPr>
          <w:rFonts w:cs="Arial"/>
          <w:bCs/>
          <w:iCs/>
          <w:szCs w:val="22"/>
        </w:rPr>
      </w:pPr>
      <w:hyperlink r:id="rId14" w:anchor="_in-place" w:history="1">
        <w:r w:rsidR="00B92F94" w:rsidRPr="0099723F">
          <w:rPr>
            <w:rStyle w:val="Hipercze"/>
            <w:rFonts w:cs="Arial"/>
            <w:bCs/>
            <w:iCs/>
            <w:szCs w:val="22"/>
          </w:rPr>
          <w:t>https://ec.europa.eu/trade/policy/countries-and-regions/negotiations-and-agreements/index_en.htm#_in-place</w:t>
        </w:r>
      </w:hyperlink>
    </w:p>
    <w:p w14:paraId="548C6154" w14:textId="202EE5AC" w:rsidR="00B92F94" w:rsidRPr="0099723F" w:rsidRDefault="00BE2079" w:rsidP="00B92F94">
      <w:pPr>
        <w:pStyle w:val="StylArial11ptWyjustowany"/>
        <w:shd w:val="clear" w:color="auto" w:fill="FFFFFF"/>
        <w:rPr>
          <w:rFonts w:cs="Arial"/>
          <w:bCs/>
          <w:iCs/>
          <w:szCs w:val="22"/>
        </w:rPr>
      </w:pPr>
      <w:hyperlink r:id="rId15" w:history="1">
        <w:r w:rsidR="00B92F94" w:rsidRPr="0099723F">
          <w:rPr>
            <w:rStyle w:val="Hipercze"/>
            <w:rFonts w:cs="Arial"/>
            <w:bCs/>
            <w:iCs/>
            <w:szCs w:val="22"/>
          </w:rPr>
          <w:t>https://single-market-economy.ec.europa.eu/single-market/public-procurement/international-public-procurement/bilateral-relations-non-eu-countries_pl</w:t>
        </w:r>
      </w:hyperlink>
    </w:p>
    <w:p w14:paraId="287EAE2E" w14:textId="77777777" w:rsidR="00B92F94" w:rsidRPr="0099723F" w:rsidRDefault="00B92F94" w:rsidP="00B92F94">
      <w:pPr>
        <w:pStyle w:val="StylArial11ptWyjustowany"/>
        <w:rPr>
          <w:rFonts w:cs="Arial"/>
          <w:bCs/>
          <w:iCs/>
          <w:szCs w:val="22"/>
        </w:rPr>
      </w:pPr>
    </w:p>
    <w:p w14:paraId="6D5DC7B9" w14:textId="77777777" w:rsidR="003563EF" w:rsidRPr="006818EF" w:rsidRDefault="003563EF" w:rsidP="006818EF">
      <w:pPr>
        <w:pStyle w:val="StylArial11ptWyjustowany"/>
        <w:shd w:val="clear" w:color="auto" w:fill="FFFFFF"/>
        <w:rPr>
          <w:rFonts w:cs="Arial"/>
          <w:bCs/>
          <w:iCs/>
          <w:szCs w:val="22"/>
        </w:rPr>
      </w:pPr>
    </w:p>
    <w:p w14:paraId="6EABE1E2" w14:textId="281A752A" w:rsidR="006818EF" w:rsidRPr="003563EF" w:rsidRDefault="006818EF" w:rsidP="00E16264">
      <w:pPr>
        <w:pStyle w:val="Default"/>
        <w:numPr>
          <w:ilvl w:val="0"/>
          <w:numId w:val="37"/>
        </w:numPr>
        <w:jc w:val="both"/>
        <w:rPr>
          <w:b/>
          <w:bCs/>
          <w:color w:val="2E74B5" w:themeColor="accent1" w:themeShade="BF"/>
          <w:sz w:val="22"/>
          <w:szCs w:val="22"/>
        </w:rPr>
      </w:pPr>
      <w:r w:rsidRPr="003563EF">
        <w:rPr>
          <w:b/>
          <w:bCs/>
          <w:color w:val="2E74B5" w:themeColor="accent1" w:themeShade="BF"/>
          <w:sz w:val="22"/>
          <w:szCs w:val="22"/>
        </w:rPr>
        <w:t>Zmiany w obszarze innych umów międzynarodowych Unii Europejskiej określających zasady i</w:t>
      </w:r>
      <w:r w:rsidR="009343A1">
        <w:rPr>
          <w:b/>
          <w:bCs/>
          <w:color w:val="2E74B5" w:themeColor="accent1" w:themeShade="BF"/>
          <w:sz w:val="22"/>
          <w:szCs w:val="22"/>
        </w:rPr>
        <w:t xml:space="preserve"> </w:t>
      </w:r>
      <w:r w:rsidRPr="003563EF">
        <w:rPr>
          <w:b/>
          <w:bCs/>
          <w:color w:val="2E74B5" w:themeColor="accent1" w:themeShade="BF"/>
          <w:sz w:val="22"/>
          <w:szCs w:val="22"/>
        </w:rPr>
        <w:t>zakres udostępniania zamówień publicznych</w:t>
      </w:r>
    </w:p>
    <w:p w14:paraId="3AFB66E2" w14:textId="77777777" w:rsidR="003563EF" w:rsidRDefault="003563EF" w:rsidP="006818EF">
      <w:pPr>
        <w:pStyle w:val="StylArial11ptWyjustowany"/>
        <w:shd w:val="clear" w:color="auto" w:fill="FFFFFF"/>
        <w:rPr>
          <w:rFonts w:cs="Arial"/>
          <w:iCs/>
          <w:szCs w:val="22"/>
        </w:rPr>
      </w:pPr>
    </w:p>
    <w:p w14:paraId="5305A079" w14:textId="622DD8C1" w:rsidR="006818EF" w:rsidRPr="006818EF" w:rsidRDefault="006818EF" w:rsidP="006818EF">
      <w:pPr>
        <w:pStyle w:val="StylArial11ptWyjustowany"/>
        <w:shd w:val="clear" w:color="auto" w:fill="FFFFFF"/>
        <w:rPr>
          <w:rFonts w:cs="Arial"/>
          <w:iCs/>
          <w:szCs w:val="22"/>
        </w:rPr>
      </w:pPr>
      <w:r w:rsidRPr="006818EF">
        <w:rPr>
          <w:rFonts w:cs="Arial"/>
          <w:iCs/>
          <w:szCs w:val="22"/>
        </w:rPr>
        <w:t xml:space="preserve">30 czerwca 2022 r. UE i Nowa Zelandia zakończyły negocjacje umowy handlowej, której elementem </w:t>
      </w:r>
      <w:r w:rsidR="0088270F">
        <w:rPr>
          <w:rFonts w:cs="Arial"/>
          <w:iCs/>
          <w:szCs w:val="22"/>
        </w:rPr>
        <w:t>był</w:t>
      </w:r>
      <w:r w:rsidR="00027C2E">
        <w:rPr>
          <w:rFonts w:cs="Arial"/>
          <w:iCs/>
          <w:szCs w:val="22"/>
        </w:rPr>
        <w:t xml:space="preserve"> </w:t>
      </w:r>
      <w:r w:rsidRPr="006818EF">
        <w:rPr>
          <w:rFonts w:cs="Arial"/>
          <w:iCs/>
          <w:szCs w:val="22"/>
        </w:rPr>
        <w:t>rozdział określający zasady i zakres wzajemnego dostępu do</w:t>
      </w:r>
      <w:r w:rsidR="009343A1">
        <w:rPr>
          <w:rFonts w:cs="Arial"/>
          <w:iCs/>
          <w:szCs w:val="22"/>
        </w:rPr>
        <w:t xml:space="preserve"> </w:t>
      </w:r>
      <w:r w:rsidRPr="006818EF">
        <w:rPr>
          <w:rFonts w:cs="Arial"/>
          <w:iCs/>
          <w:szCs w:val="22"/>
        </w:rPr>
        <w:t>swoich rynków zamówień. Wynegocjowane zapisy dotyczące zamówień rozszerz</w:t>
      </w:r>
      <w:r w:rsidR="00027C2E">
        <w:rPr>
          <w:rFonts w:cs="Arial"/>
          <w:iCs/>
          <w:szCs w:val="22"/>
        </w:rPr>
        <w:t>yły</w:t>
      </w:r>
      <w:r w:rsidRPr="006818EF">
        <w:rPr>
          <w:rFonts w:cs="Arial"/>
          <w:iCs/>
          <w:szCs w:val="22"/>
        </w:rPr>
        <w:t xml:space="preserve"> zakres zamówień udostępnianych wzajemnie przez Strony na</w:t>
      </w:r>
      <w:r w:rsidR="009343A1">
        <w:rPr>
          <w:rFonts w:cs="Arial"/>
          <w:iCs/>
          <w:szCs w:val="22"/>
        </w:rPr>
        <w:t xml:space="preserve"> </w:t>
      </w:r>
      <w:r w:rsidRPr="006818EF">
        <w:rPr>
          <w:rFonts w:cs="Arial"/>
          <w:iCs/>
          <w:szCs w:val="22"/>
        </w:rPr>
        <w:t>podstawie Porozumienia GPA.</w:t>
      </w:r>
    </w:p>
    <w:p w14:paraId="075D9143" w14:textId="77777777" w:rsidR="00BA5C78" w:rsidRDefault="00BA5C78" w:rsidP="004C758B">
      <w:pPr>
        <w:pStyle w:val="StylArial11ptWyjustowany"/>
        <w:shd w:val="clear" w:color="auto" w:fill="FFFFFF"/>
        <w:rPr>
          <w:rFonts w:cs="Arial"/>
          <w:iCs/>
          <w:szCs w:val="22"/>
        </w:rPr>
      </w:pPr>
    </w:p>
    <w:p w14:paraId="0010005E" w14:textId="77777777" w:rsidR="00DE4ADA" w:rsidRDefault="00DE4ADA" w:rsidP="004C758B">
      <w:pPr>
        <w:pStyle w:val="StylArial11ptWyjustowany"/>
        <w:shd w:val="clear" w:color="auto" w:fill="FFFFFF"/>
        <w:rPr>
          <w:rFonts w:cs="Arial"/>
          <w:iCs/>
          <w:szCs w:val="22"/>
        </w:rPr>
      </w:pPr>
    </w:p>
    <w:tbl>
      <w:tblPr>
        <w:tblW w:w="9480" w:type="dxa"/>
        <w:tblInd w:w="-194" w:type="dxa"/>
        <w:tblLayout w:type="fixed"/>
        <w:tblLook w:val="04A0" w:firstRow="1" w:lastRow="0" w:firstColumn="1" w:lastColumn="0" w:noHBand="0" w:noVBand="1"/>
      </w:tblPr>
      <w:tblGrid>
        <w:gridCol w:w="302"/>
        <w:gridCol w:w="9178"/>
      </w:tblGrid>
      <w:tr w:rsidR="00392CA0" w:rsidRPr="008C3B34" w14:paraId="2178AD20" w14:textId="77777777" w:rsidTr="009723DD">
        <w:trPr>
          <w:cantSplit/>
        </w:trPr>
        <w:tc>
          <w:tcPr>
            <w:tcW w:w="302" w:type="dxa"/>
            <w:shd w:val="clear" w:color="auto" w:fill="365F91"/>
          </w:tcPr>
          <w:p w14:paraId="1578A90C" w14:textId="77777777" w:rsidR="00392CA0" w:rsidRPr="008C3B34" w:rsidRDefault="00392CA0" w:rsidP="007D4DEB">
            <w:pPr>
              <w:pStyle w:val="Nagwek1"/>
              <w:spacing w:after="120"/>
              <w:rPr>
                <w:sz w:val="32"/>
                <w:szCs w:val="32"/>
              </w:rPr>
            </w:pPr>
          </w:p>
        </w:tc>
        <w:tc>
          <w:tcPr>
            <w:tcW w:w="9178" w:type="dxa"/>
          </w:tcPr>
          <w:p w14:paraId="50F9FD56" w14:textId="77777777" w:rsidR="00392CA0" w:rsidRPr="00C67B96" w:rsidRDefault="00392CA0" w:rsidP="007D4DEB">
            <w:pPr>
              <w:pStyle w:val="Nagwek1"/>
              <w:spacing w:after="120"/>
              <w:rPr>
                <w:noProof/>
                <w:color w:val="0070C0"/>
                <w:sz w:val="32"/>
                <w:szCs w:val="32"/>
              </w:rPr>
            </w:pPr>
            <w:bookmarkStart w:id="39" w:name="_Toc64451847"/>
            <w:bookmarkStart w:id="40" w:name="_Ref99030312"/>
            <w:bookmarkStart w:id="41" w:name="_Ref99030364"/>
            <w:bookmarkStart w:id="42" w:name="_Ref99031457"/>
            <w:bookmarkStart w:id="43" w:name="_Toc141276426"/>
            <w:r w:rsidRPr="00C67B96">
              <w:rPr>
                <w:noProof/>
                <w:color w:val="0070C0"/>
                <w:sz w:val="32"/>
                <w:szCs w:val="32"/>
              </w:rPr>
              <w:t>II.</w:t>
            </w:r>
            <w:r w:rsidR="00750B05" w:rsidRPr="00C67B96">
              <w:rPr>
                <w:noProof/>
                <w:color w:val="0070C0"/>
                <w:sz w:val="32"/>
                <w:szCs w:val="32"/>
              </w:rPr>
              <w:t xml:space="preserve"> </w:t>
            </w:r>
            <w:r w:rsidRPr="00C67B96">
              <w:rPr>
                <w:noProof/>
                <w:color w:val="0070C0"/>
                <w:sz w:val="32"/>
                <w:szCs w:val="32"/>
              </w:rPr>
              <w:t>RYNEK ZAMÓWIEŃ PUBLICZNYCH</w:t>
            </w:r>
            <w:bookmarkEnd w:id="39"/>
            <w:bookmarkEnd w:id="40"/>
            <w:bookmarkEnd w:id="41"/>
            <w:bookmarkEnd w:id="42"/>
            <w:bookmarkEnd w:id="43"/>
          </w:p>
        </w:tc>
      </w:tr>
    </w:tbl>
    <w:p w14:paraId="2D967925" w14:textId="77777777" w:rsidR="00392CA0" w:rsidRDefault="00392CA0" w:rsidP="007D4DEB">
      <w:pPr>
        <w:pStyle w:val="StylArial11ptWyjustowany"/>
        <w:shd w:val="clear" w:color="auto" w:fill="FFFFFF"/>
        <w:rPr>
          <w:rFonts w:cs="Arial"/>
          <w:iCs/>
          <w:szCs w:val="22"/>
        </w:rPr>
      </w:pPr>
    </w:p>
    <w:tbl>
      <w:tblPr>
        <w:tblW w:w="0" w:type="auto"/>
        <w:tblInd w:w="90" w:type="dxa"/>
        <w:tblLayout w:type="fixed"/>
        <w:tblLook w:val="04A0" w:firstRow="1" w:lastRow="0" w:firstColumn="1" w:lastColumn="0" w:noHBand="0" w:noVBand="1"/>
      </w:tblPr>
      <w:tblGrid>
        <w:gridCol w:w="236"/>
        <w:gridCol w:w="8960"/>
      </w:tblGrid>
      <w:tr w:rsidR="005F3C4D" w14:paraId="32D56D88" w14:textId="77777777" w:rsidTr="008C3B34">
        <w:trPr>
          <w:cantSplit/>
        </w:trPr>
        <w:tc>
          <w:tcPr>
            <w:tcW w:w="236" w:type="dxa"/>
            <w:shd w:val="clear" w:color="auto" w:fill="95B3D7"/>
          </w:tcPr>
          <w:p w14:paraId="00B25617" w14:textId="77777777" w:rsidR="005F3C4D" w:rsidRDefault="005F3C4D" w:rsidP="007D4DEB"/>
        </w:tc>
        <w:tc>
          <w:tcPr>
            <w:tcW w:w="8960" w:type="dxa"/>
          </w:tcPr>
          <w:p w14:paraId="549D5512" w14:textId="77777777" w:rsidR="005F3C4D" w:rsidRPr="00C67B96" w:rsidRDefault="00967BD0" w:rsidP="007D4DEB">
            <w:pPr>
              <w:pStyle w:val="Nagwek2"/>
              <w:shd w:val="clear" w:color="auto" w:fill="FFFFFF"/>
              <w:spacing w:after="120"/>
              <w:rPr>
                <w:noProof/>
                <w:color w:val="0070C0"/>
                <w:sz w:val="28"/>
              </w:rPr>
            </w:pPr>
            <w:bookmarkStart w:id="44" w:name="_Toc64451848"/>
            <w:bookmarkStart w:id="45" w:name="_Toc141276427"/>
            <w:r w:rsidRPr="00C67B96">
              <w:rPr>
                <w:noProof/>
                <w:color w:val="0070C0"/>
                <w:sz w:val="28"/>
              </w:rPr>
              <w:t>II.1.</w:t>
            </w:r>
            <w:r w:rsidR="00750B05" w:rsidRPr="00C67B96">
              <w:rPr>
                <w:noProof/>
                <w:color w:val="0070C0"/>
                <w:sz w:val="28"/>
              </w:rPr>
              <w:t xml:space="preserve"> </w:t>
            </w:r>
            <w:r w:rsidR="002D6911" w:rsidRPr="00C67B96">
              <w:rPr>
                <w:noProof/>
                <w:color w:val="0070C0"/>
                <w:sz w:val="28"/>
              </w:rPr>
              <w:t>Charakterystyka rynku zamówień publicznych</w:t>
            </w:r>
            <w:bookmarkEnd w:id="44"/>
            <w:bookmarkEnd w:id="45"/>
          </w:p>
        </w:tc>
      </w:tr>
    </w:tbl>
    <w:p w14:paraId="40D7BF1E" w14:textId="77777777" w:rsidR="005F3C4D" w:rsidRDefault="005F3C4D" w:rsidP="007D4DEB">
      <w:pPr>
        <w:pStyle w:val="StylArial11ptWyjustowany"/>
        <w:shd w:val="clear" w:color="auto" w:fill="FFFFFF"/>
        <w:rPr>
          <w:rFonts w:cs="Arial"/>
          <w:iCs/>
          <w:szCs w:val="22"/>
        </w:rPr>
      </w:pPr>
    </w:p>
    <w:tbl>
      <w:tblPr>
        <w:tblW w:w="0" w:type="auto"/>
        <w:tblInd w:w="374" w:type="dxa"/>
        <w:tblLayout w:type="fixed"/>
        <w:tblLook w:val="04A0" w:firstRow="1" w:lastRow="0" w:firstColumn="1" w:lastColumn="0" w:noHBand="0" w:noVBand="1"/>
      </w:tblPr>
      <w:tblGrid>
        <w:gridCol w:w="236"/>
        <w:gridCol w:w="8676"/>
      </w:tblGrid>
      <w:tr w:rsidR="005F3C4D" w:rsidRPr="001E7D51" w14:paraId="7A123FA6" w14:textId="77777777" w:rsidTr="002D6911">
        <w:trPr>
          <w:cantSplit/>
        </w:trPr>
        <w:tc>
          <w:tcPr>
            <w:tcW w:w="236" w:type="dxa"/>
            <w:shd w:val="clear" w:color="auto" w:fill="B8CCE4"/>
          </w:tcPr>
          <w:p w14:paraId="2FCBAB08" w14:textId="77777777" w:rsidR="005F3C4D" w:rsidRPr="001E7D51" w:rsidRDefault="005F3C4D" w:rsidP="007D4DEB">
            <w:pPr>
              <w:rPr>
                <w:sz w:val="24"/>
              </w:rPr>
            </w:pPr>
          </w:p>
        </w:tc>
        <w:tc>
          <w:tcPr>
            <w:tcW w:w="8676" w:type="dxa"/>
          </w:tcPr>
          <w:p w14:paraId="336D102C" w14:textId="77777777" w:rsidR="005F3C4D" w:rsidRPr="00A974F3" w:rsidRDefault="00967BD0" w:rsidP="007D4DEB">
            <w:pPr>
              <w:pStyle w:val="Nagwek3"/>
              <w:shd w:val="clear" w:color="auto" w:fill="FFFFFF"/>
              <w:spacing w:after="120"/>
              <w:ind w:left="0"/>
              <w:rPr>
                <w:color w:val="0070C0"/>
                <w:sz w:val="24"/>
                <w:szCs w:val="24"/>
              </w:rPr>
            </w:pPr>
            <w:bookmarkStart w:id="46" w:name="_Toc64451849"/>
            <w:bookmarkStart w:id="47" w:name="_Toc141276428"/>
            <w:r w:rsidRPr="00A974F3">
              <w:rPr>
                <w:color w:val="0070C0"/>
                <w:sz w:val="24"/>
                <w:szCs w:val="24"/>
              </w:rPr>
              <w:t>II.1.1.</w:t>
            </w:r>
            <w:r w:rsidR="00750B05" w:rsidRPr="00A974F3">
              <w:rPr>
                <w:color w:val="0070C0"/>
                <w:sz w:val="24"/>
                <w:szCs w:val="24"/>
              </w:rPr>
              <w:t xml:space="preserve"> </w:t>
            </w:r>
            <w:r w:rsidR="002D6911" w:rsidRPr="00A974F3">
              <w:rPr>
                <w:color w:val="0070C0"/>
                <w:sz w:val="24"/>
                <w:szCs w:val="24"/>
              </w:rPr>
              <w:t>Wielkość rynku</w:t>
            </w:r>
            <w:bookmarkEnd w:id="46"/>
            <w:bookmarkEnd w:id="47"/>
          </w:p>
        </w:tc>
      </w:tr>
    </w:tbl>
    <w:p w14:paraId="48CDC69D" w14:textId="05102FBB" w:rsidR="00717E89" w:rsidRDefault="00717E89" w:rsidP="007D4DEB">
      <w:pPr>
        <w:pStyle w:val="StylArial11ptWyjustowany"/>
        <w:shd w:val="clear" w:color="auto" w:fill="FFFFFF"/>
        <w:rPr>
          <w:rFonts w:cs="Arial"/>
          <w:iCs/>
          <w:szCs w:val="22"/>
        </w:rPr>
      </w:pPr>
    </w:p>
    <w:p w14:paraId="30E73B51" w14:textId="0FC6F516" w:rsidR="00717E89" w:rsidRDefault="00524A15" w:rsidP="00717E89">
      <w:pPr>
        <w:shd w:val="clear" w:color="auto" w:fill="FFFFFF"/>
      </w:pPr>
      <w:r>
        <w:t xml:space="preserve">Wartość rynku zamówień publicznych </w:t>
      </w:r>
      <w:r w:rsidR="00125522">
        <w:t xml:space="preserve">realizowanych z </w:t>
      </w:r>
      <w:r w:rsidR="00727B06" w:rsidRPr="00876766">
        <w:t>zastosowaniem przepisów ustawy Pzp</w:t>
      </w:r>
      <w:r w:rsidR="00125522">
        <w:t>,</w:t>
      </w:r>
      <w:r w:rsidR="00727B06" w:rsidRPr="00876766">
        <w:t xml:space="preserve"> </w:t>
      </w:r>
      <w:r w:rsidR="000E684A">
        <w:t xml:space="preserve">określona w oparciu o dane </w:t>
      </w:r>
      <w:r w:rsidR="00876766" w:rsidRPr="00876766">
        <w:t>zawart</w:t>
      </w:r>
      <w:r w:rsidR="000E684A">
        <w:t>e</w:t>
      </w:r>
      <w:r w:rsidR="00876766" w:rsidRPr="00876766">
        <w:t xml:space="preserve"> w rocznych sprawozdaniach o zamówieniach </w:t>
      </w:r>
      <w:r w:rsidR="007A013F" w:rsidRPr="00876766">
        <w:t xml:space="preserve">udzielonych </w:t>
      </w:r>
      <w:r w:rsidR="00876766" w:rsidRPr="00876766">
        <w:t>w roku 202</w:t>
      </w:r>
      <w:r w:rsidR="00876766">
        <w:t>2</w:t>
      </w:r>
      <w:r w:rsidR="00125522">
        <w:t>,</w:t>
      </w:r>
      <w:r w:rsidR="00876766" w:rsidRPr="00876766">
        <w:t xml:space="preserve"> wyniosła ok. </w:t>
      </w:r>
      <w:r w:rsidR="007A0F49">
        <w:t>274</w:t>
      </w:r>
      <w:r w:rsidR="00876766" w:rsidRPr="00876766">
        <w:t>,</w:t>
      </w:r>
      <w:r w:rsidR="007A0F49">
        <w:t>8</w:t>
      </w:r>
      <w:r w:rsidR="00876766" w:rsidRPr="00876766">
        <w:t xml:space="preserve"> mld zł (w 202</w:t>
      </w:r>
      <w:r w:rsidR="00876766">
        <w:t>1</w:t>
      </w:r>
      <w:r w:rsidR="00876766" w:rsidRPr="00876766">
        <w:t xml:space="preserve"> r. – 18</w:t>
      </w:r>
      <w:r w:rsidR="00876766">
        <w:t>4</w:t>
      </w:r>
      <w:r w:rsidR="00876766" w:rsidRPr="00876766">
        <w:t>,</w:t>
      </w:r>
      <w:r w:rsidR="00876766">
        <w:t>6</w:t>
      </w:r>
      <w:r w:rsidR="00876766" w:rsidRPr="00876766">
        <w:t xml:space="preserve"> mld zł).</w:t>
      </w:r>
    </w:p>
    <w:p w14:paraId="346952E8" w14:textId="77777777" w:rsidR="007325EE" w:rsidRDefault="007325EE" w:rsidP="00717E89">
      <w:pPr>
        <w:shd w:val="clear" w:color="auto" w:fill="FFFFFF"/>
      </w:pPr>
    </w:p>
    <w:p w14:paraId="4C64AFEC" w14:textId="6B02222F" w:rsidR="00C24FF6" w:rsidRPr="002B6985" w:rsidRDefault="00C24FF6" w:rsidP="00804FDE">
      <w:pPr>
        <w:pStyle w:val="Legenda"/>
      </w:pPr>
      <w:bookmarkStart w:id="48" w:name="_Toc141276479"/>
      <w:r w:rsidRPr="00BA1095">
        <w:t xml:space="preserve">Rys. </w:t>
      </w:r>
      <w:r w:rsidR="00BE2079">
        <w:fldChar w:fldCharType="begin"/>
      </w:r>
      <w:r w:rsidR="00BE2079">
        <w:instrText xml:space="preserve"> SEQ R</w:instrText>
      </w:r>
      <w:r w:rsidR="00BE2079">
        <w:instrText xml:space="preserve">ys. \* ARABIC </w:instrText>
      </w:r>
      <w:r w:rsidR="00BE2079">
        <w:fldChar w:fldCharType="separate"/>
      </w:r>
      <w:r w:rsidR="00A43C68">
        <w:rPr>
          <w:noProof/>
        </w:rPr>
        <w:t>1</w:t>
      </w:r>
      <w:r w:rsidR="00BE2079">
        <w:rPr>
          <w:noProof/>
        </w:rPr>
        <w:fldChar w:fldCharType="end"/>
      </w:r>
      <w:r w:rsidRPr="00BA1095">
        <w:t>. Wartoś</w:t>
      </w:r>
      <w:r w:rsidR="007A3C29" w:rsidRPr="00BA1095">
        <w:t>ć</w:t>
      </w:r>
      <w:r w:rsidRPr="00BA1095">
        <w:t xml:space="preserve"> zamówień publicznych</w:t>
      </w:r>
      <w:r w:rsidR="007A3C29" w:rsidRPr="00BA1095">
        <w:t xml:space="preserve"> udzielonych z zastosowaniem przepisów ustawy</w:t>
      </w:r>
      <w:r w:rsidRPr="00BA1095">
        <w:t xml:space="preserve"> </w:t>
      </w:r>
      <w:r w:rsidR="007A3C29" w:rsidRPr="00BA1095">
        <w:t xml:space="preserve">Pzp </w:t>
      </w:r>
      <w:r w:rsidR="00953D08" w:rsidRPr="00BA1095">
        <w:t>w latach 201</w:t>
      </w:r>
      <w:r w:rsidR="00BA1095">
        <w:t>2</w:t>
      </w:r>
      <w:r w:rsidR="00953D08" w:rsidRPr="00BA1095">
        <w:t xml:space="preserve"> – 202</w:t>
      </w:r>
      <w:r w:rsidR="00BA1095">
        <w:t>2</w:t>
      </w:r>
      <w:r w:rsidR="00953D08" w:rsidRPr="00AE6178">
        <w:t xml:space="preserve"> </w:t>
      </w:r>
      <w:r w:rsidRPr="00AE6178">
        <w:t>[w mld zł]</w:t>
      </w:r>
      <w:bookmarkEnd w:id="48"/>
    </w:p>
    <w:p w14:paraId="4DBDC388" w14:textId="27BE4804" w:rsidR="00C24FF6" w:rsidRDefault="006731D2" w:rsidP="00C24FF6">
      <w:pPr>
        <w:rPr>
          <w:szCs w:val="22"/>
        </w:rPr>
      </w:pPr>
      <w:r>
        <w:rPr>
          <w:noProof/>
        </w:rPr>
        <w:drawing>
          <wp:inline distT="0" distB="0" distL="0" distR="0" wp14:anchorId="49DD8EDB" wp14:editId="42C62FE9">
            <wp:extent cx="5593080" cy="2575560"/>
            <wp:effectExtent l="0" t="0" r="762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1A69384" w14:textId="77777777" w:rsidR="00C24FF6" w:rsidRDefault="00C24FF6" w:rsidP="00717E89">
      <w:pPr>
        <w:shd w:val="clear" w:color="auto" w:fill="FFFFFF"/>
      </w:pPr>
    </w:p>
    <w:p w14:paraId="6A360A8B" w14:textId="77777777" w:rsidR="005D7E2D" w:rsidRDefault="005D7E2D" w:rsidP="00717E89">
      <w:pPr>
        <w:shd w:val="clear" w:color="auto" w:fill="FFFFFF"/>
      </w:pPr>
    </w:p>
    <w:p w14:paraId="62306B06" w14:textId="461B5134" w:rsidR="00050611" w:rsidRDefault="00050611" w:rsidP="00050611">
      <w:pPr>
        <w:rPr>
          <w:szCs w:val="22"/>
        </w:rPr>
      </w:pPr>
      <w:r>
        <w:rPr>
          <w:szCs w:val="22"/>
        </w:rPr>
        <w:t xml:space="preserve">Oszacowana wartość zamówień </w:t>
      </w:r>
      <w:r w:rsidRPr="002D2167">
        <w:rPr>
          <w:szCs w:val="22"/>
        </w:rPr>
        <w:t xml:space="preserve">udzielonych z zastosowaniem przepisów ustawy </w:t>
      </w:r>
      <w:r>
        <w:rPr>
          <w:szCs w:val="22"/>
        </w:rPr>
        <w:t xml:space="preserve">Pzp stanowiła ok. </w:t>
      </w:r>
      <w:r w:rsidR="00C11956">
        <w:rPr>
          <w:szCs w:val="22"/>
        </w:rPr>
        <w:t>8,93</w:t>
      </w:r>
      <w:r>
        <w:rPr>
          <w:szCs w:val="22"/>
        </w:rPr>
        <w:t>% produktu krajowego brutto (PKB) z 2022 r.</w:t>
      </w:r>
      <w:r>
        <w:rPr>
          <w:rStyle w:val="Odwoanieprzypisudolnego"/>
        </w:rPr>
        <w:footnoteReference w:id="5"/>
      </w:r>
      <w:r>
        <w:rPr>
          <w:szCs w:val="22"/>
        </w:rPr>
        <w:t xml:space="preserve"> </w:t>
      </w:r>
    </w:p>
    <w:p w14:paraId="21528522" w14:textId="592B5E60" w:rsidR="00717E89" w:rsidRPr="00B11CF6" w:rsidRDefault="00717E89" w:rsidP="00123704">
      <w:pPr>
        <w:shd w:val="clear" w:color="auto" w:fill="FFFFFF"/>
      </w:pPr>
    </w:p>
    <w:p w14:paraId="0029EF64" w14:textId="55263DAC" w:rsidR="00C6223E" w:rsidRDefault="000F29A6" w:rsidP="000F29A6">
      <w:pPr>
        <w:rPr>
          <w:szCs w:val="22"/>
        </w:rPr>
      </w:pPr>
      <w:r>
        <w:rPr>
          <w:szCs w:val="22"/>
        </w:rPr>
        <w:t xml:space="preserve">W przypadku zamówień udzielanych od najniższego progu ustawowego do progów unijnych </w:t>
      </w:r>
      <w:r w:rsidR="0030189A">
        <w:rPr>
          <w:szCs w:val="22"/>
        </w:rPr>
        <w:t xml:space="preserve">wartość </w:t>
      </w:r>
      <w:r>
        <w:rPr>
          <w:szCs w:val="22"/>
        </w:rPr>
        <w:t xml:space="preserve">udzielonych zamówień </w:t>
      </w:r>
      <w:r w:rsidR="008645E3">
        <w:rPr>
          <w:szCs w:val="22"/>
        </w:rPr>
        <w:t xml:space="preserve">kształtowała się na poziomie </w:t>
      </w:r>
      <w:r>
        <w:rPr>
          <w:szCs w:val="22"/>
        </w:rPr>
        <w:t>ok. 74,6 mld zł (w 2021 r. – 49,1 mld zł)</w:t>
      </w:r>
      <w:r w:rsidR="009D0C21">
        <w:rPr>
          <w:szCs w:val="22"/>
        </w:rPr>
        <w:t xml:space="preserve">. </w:t>
      </w:r>
      <w:r w:rsidR="003B0A0F">
        <w:rPr>
          <w:szCs w:val="22"/>
        </w:rPr>
        <w:t xml:space="preserve">W zamówieniach </w:t>
      </w:r>
      <w:r w:rsidR="003B0A0F" w:rsidRPr="003B0A0F">
        <w:rPr>
          <w:szCs w:val="22"/>
        </w:rPr>
        <w:t>o wartościach równych lub przekraczających progi unijne</w:t>
      </w:r>
      <w:r w:rsidR="003B0A0F">
        <w:rPr>
          <w:szCs w:val="22"/>
        </w:rPr>
        <w:t xml:space="preserve"> </w:t>
      </w:r>
      <w:r>
        <w:rPr>
          <w:szCs w:val="22"/>
        </w:rPr>
        <w:t xml:space="preserve">kwota udzielonych zamówień wyniosła ok. </w:t>
      </w:r>
      <w:r w:rsidR="00470E5C">
        <w:rPr>
          <w:szCs w:val="22"/>
        </w:rPr>
        <w:t>200</w:t>
      </w:r>
      <w:r>
        <w:rPr>
          <w:szCs w:val="22"/>
        </w:rPr>
        <w:t>,</w:t>
      </w:r>
      <w:r w:rsidR="00470E5C">
        <w:rPr>
          <w:szCs w:val="22"/>
        </w:rPr>
        <w:t>2</w:t>
      </w:r>
      <w:r>
        <w:rPr>
          <w:szCs w:val="22"/>
        </w:rPr>
        <w:t xml:space="preserve"> mld zł (w 202</w:t>
      </w:r>
      <w:r w:rsidR="004D6013">
        <w:rPr>
          <w:szCs w:val="22"/>
        </w:rPr>
        <w:t>1</w:t>
      </w:r>
      <w:r>
        <w:rPr>
          <w:szCs w:val="22"/>
        </w:rPr>
        <w:t xml:space="preserve"> r. – 13</w:t>
      </w:r>
      <w:r w:rsidR="004D6013">
        <w:rPr>
          <w:szCs w:val="22"/>
        </w:rPr>
        <w:t>4</w:t>
      </w:r>
      <w:r>
        <w:rPr>
          <w:szCs w:val="22"/>
        </w:rPr>
        <w:t>,</w:t>
      </w:r>
      <w:r w:rsidR="004D6013">
        <w:rPr>
          <w:szCs w:val="22"/>
        </w:rPr>
        <w:t>8</w:t>
      </w:r>
      <w:r>
        <w:rPr>
          <w:szCs w:val="22"/>
        </w:rPr>
        <w:t xml:space="preserve"> mld zł). </w:t>
      </w:r>
      <w:r w:rsidR="006C3773">
        <w:rPr>
          <w:szCs w:val="22"/>
        </w:rPr>
        <w:t xml:space="preserve"> </w:t>
      </w:r>
    </w:p>
    <w:p w14:paraId="7512E759" w14:textId="77777777" w:rsidR="00C6223E" w:rsidRDefault="00C6223E" w:rsidP="000F29A6">
      <w:pPr>
        <w:rPr>
          <w:szCs w:val="22"/>
        </w:rPr>
      </w:pPr>
    </w:p>
    <w:p w14:paraId="0AE6F8C0" w14:textId="312EBAC1" w:rsidR="000F29A6" w:rsidRDefault="006C3773" w:rsidP="000F29A6">
      <w:pPr>
        <w:rPr>
          <w:szCs w:val="22"/>
        </w:rPr>
      </w:pPr>
      <w:r>
        <w:rPr>
          <w:szCs w:val="22"/>
        </w:rPr>
        <w:t>Wartość zamówie</w:t>
      </w:r>
      <w:r w:rsidR="007B75CA">
        <w:rPr>
          <w:szCs w:val="22"/>
        </w:rPr>
        <w:t>ń</w:t>
      </w:r>
      <w:r>
        <w:rPr>
          <w:szCs w:val="22"/>
        </w:rPr>
        <w:t xml:space="preserve"> </w:t>
      </w:r>
      <w:r w:rsidR="00F8511C">
        <w:rPr>
          <w:szCs w:val="22"/>
        </w:rPr>
        <w:t xml:space="preserve">na usługi </w:t>
      </w:r>
      <w:r>
        <w:rPr>
          <w:szCs w:val="22"/>
        </w:rPr>
        <w:t>społeczn</w:t>
      </w:r>
      <w:r w:rsidR="00F8511C">
        <w:rPr>
          <w:szCs w:val="22"/>
        </w:rPr>
        <w:t>e</w:t>
      </w:r>
      <w:r>
        <w:rPr>
          <w:szCs w:val="22"/>
        </w:rPr>
        <w:t xml:space="preserve"> </w:t>
      </w:r>
      <w:r w:rsidR="00B34D2F">
        <w:rPr>
          <w:szCs w:val="22"/>
        </w:rPr>
        <w:t xml:space="preserve">i inne szczególne usługi </w:t>
      </w:r>
      <w:r w:rsidR="00523D72">
        <w:rPr>
          <w:szCs w:val="22"/>
        </w:rPr>
        <w:t>udzielonych w 2022 r. wyniosła</w:t>
      </w:r>
      <w:r w:rsidR="002A7DD7" w:rsidRPr="007B0B40">
        <w:rPr>
          <w:szCs w:val="22"/>
        </w:rPr>
        <w:t xml:space="preserve"> </w:t>
      </w:r>
      <w:r w:rsidR="002F4A4D" w:rsidRPr="007B0B40">
        <w:t>5,3 mld</w:t>
      </w:r>
      <w:r w:rsidR="002F4A4D">
        <w:rPr>
          <w:b/>
          <w:bCs/>
          <w:color w:val="1F497D"/>
        </w:rPr>
        <w:t xml:space="preserve"> </w:t>
      </w:r>
      <w:r w:rsidR="002A7DD7">
        <w:rPr>
          <w:szCs w:val="22"/>
        </w:rPr>
        <w:t xml:space="preserve"> zł</w:t>
      </w:r>
      <w:r w:rsidR="00F11E6F">
        <w:rPr>
          <w:szCs w:val="22"/>
        </w:rPr>
        <w:t xml:space="preserve"> </w:t>
      </w:r>
      <w:r w:rsidR="00F11E6F" w:rsidRPr="00F24323">
        <w:rPr>
          <w:szCs w:val="22"/>
        </w:rPr>
        <w:t>(</w:t>
      </w:r>
      <w:r w:rsidR="00B4731C">
        <w:rPr>
          <w:szCs w:val="22"/>
        </w:rPr>
        <w:t>w</w:t>
      </w:r>
      <w:r w:rsidR="00F24323" w:rsidRPr="00F24323">
        <w:t xml:space="preserve"> 2021 – było to 2,8 mld zł).</w:t>
      </w:r>
    </w:p>
    <w:p w14:paraId="56684693" w14:textId="1EA8CB5F" w:rsidR="00A41508" w:rsidRDefault="00A41508" w:rsidP="00A41508">
      <w:pPr>
        <w:rPr>
          <w:szCs w:val="22"/>
        </w:rPr>
      </w:pPr>
    </w:p>
    <w:p w14:paraId="68C89C93" w14:textId="230E1164" w:rsidR="00953D08" w:rsidRPr="002B6985" w:rsidRDefault="00953D08" w:rsidP="00CC18DB">
      <w:pPr>
        <w:pStyle w:val="Legenda"/>
      </w:pPr>
      <w:bookmarkStart w:id="49" w:name="_Toc141276480"/>
      <w:r w:rsidRPr="00FD06CC">
        <w:t xml:space="preserve">Rys. </w:t>
      </w:r>
      <w:r w:rsidR="00BE2079">
        <w:fldChar w:fldCharType="begin"/>
      </w:r>
      <w:r w:rsidR="00BE2079">
        <w:instrText xml:space="preserve"> SEQ Rys. \* ARABIC </w:instrText>
      </w:r>
      <w:r w:rsidR="00BE2079">
        <w:fldChar w:fldCharType="separate"/>
      </w:r>
      <w:r w:rsidR="00A43C68">
        <w:rPr>
          <w:noProof/>
        </w:rPr>
        <w:t>2</w:t>
      </w:r>
      <w:r w:rsidR="00BE2079">
        <w:rPr>
          <w:noProof/>
        </w:rPr>
        <w:fldChar w:fldCharType="end"/>
      </w:r>
      <w:r w:rsidRPr="00FD06CC">
        <w:t>. Liczba i wartość zamówień publicznych udzielonych z zastosowaniem przepisów ustawy Pzp w podziale na województwa</w:t>
      </w:r>
      <w:bookmarkEnd w:id="49"/>
    </w:p>
    <w:p w14:paraId="34F669B1" w14:textId="0CB0D51A" w:rsidR="00A41508" w:rsidRDefault="00BA7791" w:rsidP="00A41508">
      <w:pPr>
        <w:rPr>
          <w:szCs w:val="22"/>
        </w:rPr>
      </w:pPr>
      <w:r>
        <w:rPr>
          <w:noProof/>
          <w:szCs w:val="22"/>
        </w:rPr>
        <w:drawing>
          <wp:inline distT="0" distB="0" distL="0" distR="0" wp14:anchorId="3BD633A7" wp14:editId="6521049A">
            <wp:extent cx="5617425" cy="4876666"/>
            <wp:effectExtent l="0" t="0" r="2540" b="635"/>
            <wp:docPr id="200" name="Obraz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Obraz 200"/>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617425" cy="4876666"/>
                    </a:xfrm>
                    <a:prstGeom prst="rect">
                      <a:avLst/>
                    </a:prstGeom>
                    <a:noFill/>
                  </pic:spPr>
                </pic:pic>
              </a:graphicData>
            </a:graphic>
          </wp:inline>
        </w:drawing>
      </w:r>
    </w:p>
    <w:p w14:paraId="6C417ED8" w14:textId="1A82D7EE" w:rsidR="00A41508" w:rsidRDefault="00A41508" w:rsidP="00A41508">
      <w:pPr>
        <w:rPr>
          <w:szCs w:val="22"/>
        </w:rPr>
      </w:pPr>
    </w:p>
    <w:p w14:paraId="27AC129D" w14:textId="380A6603" w:rsidR="00A41508" w:rsidRDefault="00A41508" w:rsidP="00A41508">
      <w:pPr>
        <w:rPr>
          <w:szCs w:val="22"/>
        </w:rPr>
      </w:pPr>
    </w:p>
    <w:p w14:paraId="6795C31A" w14:textId="2E72A26C" w:rsidR="009F4030" w:rsidRDefault="00A810C3" w:rsidP="009F4030">
      <w:pPr>
        <w:rPr>
          <w:szCs w:val="22"/>
        </w:rPr>
      </w:pPr>
      <w:r>
        <w:rPr>
          <w:szCs w:val="22"/>
        </w:rPr>
        <w:t xml:space="preserve">W przypadku </w:t>
      </w:r>
      <w:r w:rsidR="009F4030">
        <w:rPr>
          <w:szCs w:val="22"/>
        </w:rPr>
        <w:t>zamówień udzielanych na podstawie niektórych wyłączeń obowiązku stosowania przepisów ustawy Pzp</w:t>
      </w:r>
      <w:r w:rsidR="00255EBE">
        <w:rPr>
          <w:szCs w:val="22"/>
        </w:rPr>
        <w:t>,</w:t>
      </w:r>
      <w:r w:rsidR="0089110D">
        <w:rPr>
          <w:szCs w:val="22"/>
        </w:rPr>
        <w:t xml:space="preserve"> wartość</w:t>
      </w:r>
      <w:r w:rsidR="00FF4322">
        <w:rPr>
          <w:szCs w:val="22"/>
        </w:rPr>
        <w:t xml:space="preserve"> tego rodzaju </w:t>
      </w:r>
      <w:r w:rsidR="009F4030">
        <w:rPr>
          <w:szCs w:val="22"/>
        </w:rPr>
        <w:t>zamówień</w:t>
      </w:r>
      <w:r w:rsidR="00FF4322">
        <w:rPr>
          <w:szCs w:val="22"/>
        </w:rPr>
        <w:t xml:space="preserve"> to</w:t>
      </w:r>
      <w:r w:rsidR="009F4030">
        <w:rPr>
          <w:szCs w:val="22"/>
        </w:rPr>
        <w:t xml:space="preserve"> kwot</w:t>
      </w:r>
      <w:r w:rsidR="00FF4322">
        <w:rPr>
          <w:szCs w:val="22"/>
        </w:rPr>
        <w:t>a</w:t>
      </w:r>
      <w:r w:rsidR="009F4030">
        <w:rPr>
          <w:szCs w:val="22"/>
        </w:rPr>
        <w:t xml:space="preserve"> ok. </w:t>
      </w:r>
      <w:r w:rsidR="00A5633F">
        <w:rPr>
          <w:szCs w:val="22"/>
        </w:rPr>
        <w:t>423</w:t>
      </w:r>
      <w:r w:rsidR="009F4030">
        <w:rPr>
          <w:szCs w:val="22"/>
        </w:rPr>
        <w:t>,</w:t>
      </w:r>
      <w:r w:rsidR="00A5633F">
        <w:rPr>
          <w:szCs w:val="22"/>
        </w:rPr>
        <w:t>5</w:t>
      </w:r>
      <w:r w:rsidR="00EB229E">
        <w:rPr>
          <w:szCs w:val="22"/>
        </w:rPr>
        <w:t xml:space="preserve"> </w:t>
      </w:r>
      <w:r w:rsidR="009F4030">
        <w:rPr>
          <w:szCs w:val="22"/>
        </w:rPr>
        <w:t>mld</w:t>
      </w:r>
      <w:r w:rsidR="00EB229E">
        <w:rPr>
          <w:szCs w:val="22"/>
        </w:rPr>
        <w:t xml:space="preserve"> </w:t>
      </w:r>
      <w:r w:rsidR="009F4030">
        <w:rPr>
          <w:szCs w:val="22"/>
        </w:rPr>
        <w:t>zł</w:t>
      </w:r>
      <w:r w:rsidR="004F08A9">
        <w:rPr>
          <w:rStyle w:val="Odwoanieprzypisudolnego"/>
          <w:szCs w:val="22"/>
        </w:rPr>
        <w:footnoteReference w:id="6"/>
      </w:r>
      <w:r w:rsidR="00292C87">
        <w:rPr>
          <w:szCs w:val="22"/>
        </w:rPr>
        <w:t xml:space="preserve"> (w 2021 r. – </w:t>
      </w:r>
      <w:r w:rsidR="00292C87" w:rsidRPr="00292C87">
        <w:rPr>
          <w:szCs w:val="22"/>
        </w:rPr>
        <w:t>ok. 113,2 mld zł</w:t>
      </w:r>
      <w:r w:rsidR="00292C87">
        <w:rPr>
          <w:szCs w:val="22"/>
        </w:rPr>
        <w:t>)</w:t>
      </w:r>
      <w:r w:rsidR="009F4030">
        <w:rPr>
          <w:szCs w:val="22"/>
        </w:rPr>
        <w:t xml:space="preserve">. </w:t>
      </w:r>
    </w:p>
    <w:p w14:paraId="7B206402" w14:textId="77777777" w:rsidR="00A41508" w:rsidRDefault="00A41508" w:rsidP="00A41508">
      <w:pPr>
        <w:rPr>
          <w:szCs w:val="22"/>
        </w:rPr>
      </w:pPr>
    </w:p>
    <w:p w14:paraId="56C3974F" w14:textId="0F581F22" w:rsidR="004E44FA" w:rsidRDefault="004E44FA" w:rsidP="004E44FA">
      <w:pPr>
        <w:shd w:val="clear" w:color="auto" w:fill="FFFFFF"/>
        <w:rPr>
          <w:rFonts w:cs="Arial"/>
          <w:i/>
          <w:szCs w:val="22"/>
        </w:rPr>
      </w:pPr>
      <w:r w:rsidRPr="004E44FA">
        <w:rPr>
          <w:rFonts w:cs="Arial"/>
          <w:i/>
          <w:szCs w:val="22"/>
        </w:rPr>
        <w:t>Liczbę i wartość zamówień udzielonych na podstawie wyłączeń przepisów ustawy – Prawo zamówień publicznych</w:t>
      </w:r>
      <w:r w:rsidR="00E66758">
        <w:rPr>
          <w:rFonts w:cs="Arial"/>
          <w:i/>
          <w:szCs w:val="22"/>
        </w:rPr>
        <w:t xml:space="preserve"> </w:t>
      </w:r>
      <w:r w:rsidRPr="004E44FA">
        <w:rPr>
          <w:rFonts w:cs="Arial"/>
          <w:i/>
          <w:szCs w:val="22"/>
        </w:rPr>
        <w:t xml:space="preserve">przedstawia </w:t>
      </w:r>
      <w:hyperlink w:anchor="Zał_4" w:history="1">
        <w:r w:rsidRPr="00E66758">
          <w:rPr>
            <w:rStyle w:val="Hipercze"/>
            <w:rFonts w:cs="Arial"/>
            <w:i/>
            <w:szCs w:val="22"/>
          </w:rPr>
          <w:t xml:space="preserve">załącznik nr </w:t>
        </w:r>
        <w:r w:rsidR="00E66758">
          <w:rPr>
            <w:rStyle w:val="Hipercze"/>
            <w:rFonts w:cs="Arial"/>
            <w:i/>
            <w:szCs w:val="22"/>
          </w:rPr>
          <w:t>4</w:t>
        </w:r>
      </w:hyperlink>
      <w:r w:rsidRPr="004E44FA">
        <w:rPr>
          <w:rFonts w:cs="Arial"/>
          <w:i/>
          <w:szCs w:val="22"/>
        </w:rPr>
        <w:t xml:space="preserve"> do niniejszego Sprawozdania.</w:t>
      </w:r>
    </w:p>
    <w:p w14:paraId="008FCA66" w14:textId="3B16F352" w:rsidR="00A41508" w:rsidRDefault="00A41508" w:rsidP="00A41508">
      <w:pPr>
        <w:rPr>
          <w:szCs w:val="22"/>
        </w:rPr>
      </w:pPr>
    </w:p>
    <w:p w14:paraId="01B0872E" w14:textId="3F73ED04" w:rsidR="00A15D9E" w:rsidRDefault="00616464" w:rsidP="00A15D9E">
      <w:pPr>
        <w:rPr>
          <w:szCs w:val="22"/>
        </w:rPr>
      </w:pPr>
      <w:r>
        <w:rPr>
          <w:szCs w:val="22"/>
        </w:rPr>
        <w:t>D</w:t>
      </w:r>
      <w:r w:rsidR="00A15D9E">
        <w:rPr>
          <w:szCs w:val="22"/>
        </w:rPr>
        <w:t>ane</w:t>
      </w:r>
      <w:r w:rsidR="00DC37ED">
        <w:rPr>
          <w:szCs w:val="22"/>
        </w:rPr>
        <w:t xml:space="preserve"> będące w dyspozycji </w:t>
      </w:r>
      <w:r w:rsidR="00A15D9E">
        <w:rPr>
          <w:szCs w:val="22"/>
        </w:rPr>
        <w:t>Urz</w:t>
      </w:r>
      <w:r w:rsidR="00DC37ED">
        <w:rPr>
          <w:szCs w:val="22"/>
        </w:rPr>
        <w:t>ędu Zamówień Publicznych</w:t>
      </w:r>
      <w:r w:rsidR="00A15D9E">
        <w:rPr>
          <w:szCs w:val="22"/>
        </w:rPr>
        <w:t xml:space="preserve">, </w:t>
      </w:r>
      <w:r w:rsidR="00A15D9E" w:rsidRPr="00786AC6">
        <w:rPr>
          <w:szCs w:val="22"/>
        </w:rPr>
        <w:t>wskazują, że przybliżona wartość rynku zamówień publicznych w 202</w:t>
      </w:r>
      <w:r w:rsidR="00A15D9E">
        <w:rPr>
          <w:szCs w:val="22"/>
        </w:rPr>
        <w:t>2</w:t>
      </w:r>
      <w:r w:rsidR="00A15D9E" w:rsidRPr="00786AC6">
        <w:rPr>
          <w:szCs w:val="22"/>
        </w:rPr>
        <w:t xml:space="preserve"> r. </w:t>
      </w:r>
      <w:r w:rsidR="00A15D9E">
        <w:rPr>
          <w:szCs w:val="22"/>
        </w:rPr>
        <w:t xml:space="preserve">(obejmująca zarówno zamówienia udzielane </w:t>
      </w:r>
      <w:r w:rsidR="00A15D9E" w:rsidRPr="00786AC6">
        <w:rPr>
          <w:szCs w:val="22"/>
        </w:rPr>
        <w:t>w procedurach określonych ustawą Pzp</w:t>
      </w:r>
      <w:r w:rsidR="00A15D9E">
        <w:rPr>
          <w:szCs w:val="22"/>
        </w:rPr>
        <w:t>,</w:t>
      </w:r>
      <w:r w:rsidR="00A15D9E" w:rsidRPr="00786AC6">
        <w:rPr>
          <w:szCs w:val="22"/>
        </w:rPr>
        <w:t xml:space="preserve"> jak i na podstawie wyłączeń z obowiązku stosowania ustawy Pzp</w:t>
      </w:r>
      <w:r w:rsidR="00A15D9E">
        <w:rPr>
          <w:szCs w:val="22"/>
        </w:rPr>
        <w:t xml:space="preserve">) </w:t>
      </w:r>
      <w:r w:rsidR="00A15D9E" w:rsidRPr="00786AC6">
        <w:rPr>
          <w:szCs w:val="22"/>
        </w:rPr>
        <w:t xml:space="preserve">wyniosła łącznie ok. </w:t>
      </w:r>
      <w:r w:rsidR="00A15D9E">
        <w:rPr>
          <w:szCs w:val="22"/>
        </w:rPr>
        <w:t>698</w:t>
      </w:r>
      <w:r w:rsidR="00A15D9E" w:rsidRPr="00786AC6">
        <w:rPr>
          <w:szCs w:val="22"/>
        </w:rPr>
        <w:t>,</w:t>
      </w:r>
      <w:r w:rsidR="00A15D9E">
        <w:rPr>
          <w:szCs w:val="22"/>
        </w:rPr>
        <w:t>3 mld zł</w:t>
      </w:r>
      <w:r w:rsidR="00A15D9E" w:rsidRPr="00786AC6">
        <w:rPr>
          <w:szCs w:val="22"/>
        </w:rPr>
        <w:t xml:space="preserve"> </w:t>
      </w:r>
      <w:r w:rsidR="00A15D9E">
        <w:rPr>
          <w:szCs w:val="22"/>
        </w:rPr>
        <w:t xml:space="preserve">(w 2021 r. – </w:t>
      </w:r>
      <w:r w:rsidR="00A15D9E" w:rsidRPr="00786AC6">
        <w:rPr>
          <w:szCs w:val="22"/>
        </w:rPr>
        <w:t>2</w:t>
      </w:r>
      <w:r w:rsidR="00A15D9E">
        <w:rPr>
          <w:szCs w:val="22"/>
        </w:rPr>
        <w:t>97</w:t>
      </w:r>
      <w:r w:rsidR="00A15D9E" w:rsidRPr="00786AC6">
        <w:rPr>
          <w:szCs w:val="22"/>
        </w:rPr>
        <w:t>,</w:t>
      </w:r>
      <w:r w:rsidR="00A15D9E">
        <w:rPr>
          <w:szCs w:val="22"/>
        </w:rPr>
        <w:t>8</w:t>
      </w:r>
      <w:r w:rsidR="00A15D9E" w:rsidRPr="00786AC6">
        <w:rPr>
          <w:szCs w:val="22"/>
        </w:rPr>
        <w:t xml:space="preserve"> mld zł</w:t>
      </w:r>
      <w:r w:rsidR="00A15D9E">
        <w:rPr>
          <w:szCs w:val="22"/>
        </w:rPr>
        <w:t>)</w:t>
      </w:r>
      <w:r w:rsidR="00A15D9E" w:rsidRPr="00786AC6">
        <w:rPr>
          <w:szCs w:val="22"/>
        </w:rPr>
        <w:t>.</w:t>
      </w:r>
    </w:p>
    <w:p w14:paraId="409A7CBF" w14:textId="77777777" w:rsidR="00A15D9E" w:rsidRDefault="00A15D9E" w:rsidP="00A41508">
      <w:pPr>
        <w:rPr>
          <w:szCs w:val="22"/>
        </w:rPr>
      </w:pPr>
    </w:p>
    <w:bookmarkEnd w:id="11"/>
    <w:bookmarkEnd w:id="12"/>
    <w:bookmarkEnd w:id="13"/>
    <w:bookmarkEnd w:id="14"/>
    <w:bookmarkEnd w:id="15"/>
    <w:p w14:paraId="4BAF747F"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47EF9144" w14:textId="77777777" w:rsidTr="004D2CDB">
        <w:trPr>
          <w:cantSplit/>
        </w:trPr>
        <w:tc>
          <w:tcPr>
            <w:tcW w:w="236" w:type="dxa"/>
            <w:shd w:val="clear" w:color="auto" w:fill="B8CCE4"/>
          </w:tcPr>
          <w:p w14:paraId="25151869" w14:textId="77777777" w:rsidR="00716498" w:rsidRPr="001E7D51" w:rsidRDefault="00716498" w:rsidP="00F058DB">
            <w:pPr>
              <w:rPr>
                <w:sz w:val="24"/>
              </w:rPr>
            </w:pPr>
          </w:p>
        </w:tc>
        <w:tc>
          <w:tcPr>
            <w:tcW w:w="8676" w:type="dxa"/>
          </w:tcPr>
          <w:p w14:paraId="355639AE" w14:textId="77777777" w:rsidR="00716498" w:rsidRPr="0087222C" w:rsidRDefault="00716498" w:rsidP="00F058DB">
            <w:pPr>
              <w:pStyle w:val="Nagwek3"/>
              <w:shd w:val="clear" w:color="auto" w:fill="FFFFFF"/>
              <w:spacing w:after="120"/>
              <w:ind w:left="0"/>
              <w:rPr>
                <w:color w:val="0070C0"/>
                <w:sz w:val="24"/>
                <w:szCs w:val="24"/>
              </w:rPr>
            </w:pPr>
            <w:bookmarkStart w:id="50" w:name="_Toc64451850"/>
            <w:bookmarkStart w:id="51" w:name="_Toc141276429"/>
            <w:r w:rsidRPr="0087222C">
              <w:rPr>
                <w:color w:val="0070C0"/>
                <w:sz w:val="24"/>
                <w:szCs w:val="24"/>
              </w:rPr>
              <w:t>II.1.2. Zamawiający</w:t>
            </w:r>
            <w:bookmarkEnd w:id="50"/>
            <w:bookmarkEnd w:id="51"/>
          </w:p>
        </w:tc>
      </w:tr>
    </w:tbl>
    <w:p w14:paraId="1D06192C" w14:textId="77777777" w:rsidR="00F73B5B" w:rsidRDefault="00F73B5B" w:rsidP="00F73B5B">
      <w:pPr>
        <w:shd w:val="clear" w:color="auto" w:fill="FFFFFF"/>
      </w:pPr>
    </w:p>
    <w:p w14:paraId="3BC242D2" w14:textId="066569CC" w:rsidR="00430F88" w:rsidRDefault="00430F88" w:rsidP="00430F88">
      <w:pPr>
        <w:rPr>
          <w:szCs w:val="22"/>
        </w:rPr>
      </w:pPr>
      <w:r>
        <w:rPr>
          <w:szCs w:val="22"/>
        </w:rPr>
        <w:t>W 2022 r. Prezes</w:t>
      </w:r>
      <w:r w:rsidR="00CC6CAE">
        <w:rPr>
          <w:szCs w:val="22"/>
        </w:rPr>
        <w:t>owi</w:t>
      </w:r>
      <w:r>
        <w:rPr>
          <w:szCs w:val="22"/>
        </w:rPr>
        <w:t xml:space="preserve"> UZP przekazano 3</w:t>
      </w:r>
      <w:r w:rsidR="002B3AB6">
        <w:rPr>
          <w:szCs w:val="22"/>
        </w:rPr>
        <w:t>0</w:t>
      </w:r>
      <w:r>
        <w:rPr>
          <w:szCs w:val="22"/>
        </w:rPr>
        <w:t> </w:t>
      </w:r>
      <w:r w:rsidR="002B3AB6">
        <w:rPr>
          <w:szCs w:val="22"/>
        </w:rPr>
        <w:t>872</w:t>
      </w:r>
      <w:r>
        <w:rPr>
          <w:szCs w:val="22"/>
        </w:rPr>
        <w:t xml:space="preserve"> sprawozda</w:t>
      </w:r>
      <w:r w:rsidR="002B3AB6">
        <w:rPr>
          <w:szCs w:val="22"/>
        </w:rPr>
        <w:t>nia</w:t>
      </w:r>
      <w:r w:rsidR="00C14A4F">
        <w:rPr>
          <w:szCs w:val="22"/>
        </w:rPr>
        <w:t xml:space="preserve">: </w:t>
      </w:r>
      <w:r w:rsidR="00CF75F5">
        <w:rPr>
          <w:szCs w:val="22"/>
        </w:rPr>
        <w:t>58</w:t>
      </w:r>
      <w:r>
        <w:rPr>
          <w:szCs w:val="22"/>
        </w:rPr>
        <w:t xml:space="preserve"> dotyczyło zamówień udzielonych na podstawie przepisów ustawy – Prawo zamówień publicznych z 2004 r., </w:t>
      </w:r>
      <w:r w:rsidR="00CF75F5">
        <w:rPr>
          <w:szCs w:val="22"/>
        </w:rPr>
        <w:t>30</w:t>
      </w:r>
      <w:r>
        <w:rPr>
          <w:szCs w:val="22"/>
        </w:rPr>
        <w:t> </w:t>
      </w:r>
      <w:r w:rsidR="00CF75F5">
        <w:rPr>
          <w:szCs w:val="22"/>
        </w:rPr>
        <w:t>814</w:t>
      </w:r>
      <w:r>
        <w:rPr>
          <w:szCs w:val="22"/>
        </w:rPr>
        <w:t xml:space="preserve"> </w:t>
      </w:r>
      <w:r w:rsidR="001D4924">
        <w:rPr>
          <w:szCs w:val="22"/>
        </w:rPr>
        <w:t>–</w:t>
      </w:r>
      <w:r w:rsidR="00297FBD">
        <w:rPr>
          <w:szCs w:val="22"/>
        </w:rPr>
        <w:t xml:space="preserve"> </w:t>
      </w:r>
      <w:r>
        <w:rPr>
          <w:szCs w:val="22"/>
        </w:rPr>
        <w:t xml:space="preserve">zamówień udzielonych na podstawie przepisów ustawy Pzp </w:t>
      </w:r>
      <w:r w:rsidR="00853314">
        <w:rPr>
          <w:szCs w:val="22"/>
        </w:rPr>
        <w:t>(</w:t>
      </w:r>
      <w:r>
        <w:rPr>
          <w:szCs w:val="22"/>
        </w:rPr>
        <w:t>z 2019 r.</w:t>
      </w:r>
      <w:r w:rsidR="00853314">
        <w:rPr>
          <w:szCs w:val="22"/>
        </w:rPr>
        <w:t>).</w:t>
      </w:r>
      <w:r>
        <w:rPr>
          <w:szCs w:val="22"/>
        </w:rPr>
        <w:t xml:space="preserve"> </w:t>
      </w:r>
    </w:p>
    <w:p w14:paraId="268A5845" w14:textId="3E633141" w:rsidR="00430F88" w:rsidRDefault="00430F88" w:rsidP="00430F88">
      <w:pPr>
        <w:rPr>
          <w:szCs w:val="22"/>
        </w:rPr>
      </w:pPr>
      <w:r>
        <w:rPr>
          <w:szCs w:val="22"/>
        </w:rPr>
        <w:t>Z ogólnej liczby sprawozdań wynika, że ok. 4</w:t>
      </w:r>
      <w:r w:rsidR="00CD58C0">
        <w:rPr>
          <w:szCs w:val="22"/>
        </w:rPr>
        <w:t>3</w:t>
      </w:r>
      <w:r>
        <w:rPr>
          <w:szCs w:val="22"/>
        </w:rPr>
        <w:t xml:space="preserve">% zamawiających udzielało zamówień </w:t>
      </w:r>
      <w:r w:rsidRPr="000A7B83">
        <w:rPr>
          <w:szCs w:val="22"/>
        </w:rPr>
        <w:t xml:space="preserve">na podstawie procedur określonych w ustawie </w:t>
      </w:r>
      <w:r>
        <w:rPr>
          <w:szCs w:val="22"/>
        </w:rPr>
        <w:t>Pzp. Pozostała część zamawiających u</w:t>
      </w:r>
      <w:r w:rsidRPr="001D5831">
        <w:rPr>
          <w:szCs w:val="22"/>
        </w:rPr>
        <w:t>dzielała zamówień tylko na podstawie wyłączeń ustawowych</w:t>
      </w:r>
      <w:r>
        <w:rPr>
          <w:szCs w:val="22"/>
        </w:rPr>
        <w:t>.</w:t>
      </w:r>
    </w:p>
    <w:p w14:paraId="24690AB6" w14:textId="77777777" w:rsidR="00430F88" w:rsidRDefault="00430F88" w:rsidP="00430F88">
      <w:pPr>
        <w:rPr>
          <w:szCs w:val="22"/>
        </w:rPr>
      </w:pPr>
    </w:p>
    <w:p w14:paraId="6CCCB212" w14:textId="325A8573" w:rsidR="00430F88" w:rsidRDefault="00430F88" w:rsidP="00430F88">
      <w:pPr>
        <w:rPr>
          <w:szCs w:val="22"/>
        </w:rPr>
      </w:pPr>
      <w:r>
        <w:rPr>
          <w:szCs w:val="22"/>
        </w:rPr>
        <w:t>Zdecydowan</w:t>
      </w:r>
      <w:r w:rsidR="00E11B0B">
        <w:rPr>
          <w:szCs w:val="22"/>
        </w:rPr>
        <w:t>a</w:t>
      </w:r>
      <w:r>
        <w:rPr>
          <w:szCs w:val="22"/>
        </w:rPr>
        <w:t xml:space="preserve"> większość zamawiających </w:t>
      </w:r>
      <w:r w:rsidR="001544B7">
        <w:rPr>
          <w:szCs w:val="22"/>
        </w:rPr>
        <w:t xml:space="preserve">to </w:t>
      </w:r>
      <w:r>
        <w:rPr>
          <w:szCs w:val="22"/>
        </w:rPr>
        <w:t>instytucje publiczne (zamawiający publiczni) – ponad 9</w:t>
      </w:r>
      <w:r w:rsidR="00A75043">
        <w:rPr>
          <w:szCs w:val="22"/>
        </w:rPr>
        <w:t>4</w:t>
      </w:r>
      <w:r>
        <w:rPr>
          <w:szCs w:val="22"/>
        </w:rPr>
        <w:t>% sprawozdań</w:t>
      </w:r>
      <w:r w:rsidR="001544B7">
        <w:rPr>
          <w:szCs w:val="22"/>
        </w:rPr>
        <w:t>. Z</w:t>
      </w:r>
      <w:r>
        <w:rPr>
          <w:szCs w:val="22"/>
        </w:rPr>
        <w:t xml:space="preserve">amawiający sektorowi złożyli </w:t>
      </w:r>
      <w:r w:rsidR="001544B7">
        <w:rPr>
          <w:szCs w:val="22"/>
        </w:rPr>
        <w:t xml:space="preserve">jedynie </w:t>
      </w:r>
      <w:r>
        <w:rPr>
          <w:szCs w:val="22"/>
        </w:rPr>
        <w:t>2% sprawozdań.</w:t>
      </w:r>
    </w:p>
    <w:p w14:paraId="67E548A6" w14:textId="77777777" w:rsidR="005C37BA" w:rsidRDefault="005C37BA" w:rsidP="0051164A">
      <w:pPr>
        <w:rPr>
          <w:szCs w:val="22"/>
        </w:rPr>
      </w:pPr>
    </w:p>
    <w:p w14:paraId="4E2EB9AB" w14:textId="48B967B7" w:rsidR="0051164A" w:rsidRDefault="0051164A" w:rsidP="0051164A">
      <w:pPr>
        <w:pStyle w:val="Legenda"/>
      </w:pPr>
      <w:bookmarkStart w:id="52" w:name="_Toc141276508"/>
      <w:r w:rsidRPr="00FC6C55">
        <w:t xml:space="preserve">Tab. </w:t>
      </w:r>
      <w:r w:rsidR="00BE2079">
        <w:fldChar w:fldCharType="begin"/>
      </w:r>
      <w:r w:rsidR="00BE2079">
        <w:instrText xml:space="preserve"> SEQ Tab. \* ARABIC </w:instrText>
      </w:r>
      <w:r w:rsidR="00BE2079">
        <w:fldChar w:fldCharType="separate"/>
      </w:r>
      <w:r w:rsidR="00A43C68">
        <w:rPr>
          <w:noProof/>
        </w:rPr>
        <w:t>1</w:t>
      </w:r>
      <w:r w:rsidR="00BE2079">
        <w:rPr>
          <w:noProof/>
        </w:rPr>
        <w:fldChar w:fldCharType="end"/>
      </w:r>
      <w:r w:rsidRPr="00FC6C55">
        <w:t>. Odsetek złożonych sprawozdań według rodzaju zamawiającego</w:t>
      </w:r>
      <w:bookmarkEnd w:id="52"/>
    </w:p>
    <w:tbl>
      <w:tblPr>
        <w:tblW w:w="9185" w:type="dxa"/>
        <w:tblInd w:w="-5" w:type="dxa"/>
        <w:tblLayout w:type="fixed"/>
        <w:tblLook w:val="04A0" w:firstRow="1" w:lastRow="0" w:firstColumn="1" w:lastColumn="0" w:noHBand="0" w:noVBand="1"/>
      </w:tblPr>
      <w:tblGrid>
        <w:gridCol w:w="431"/>
        <w:gridCol w:w="6628"/>
        <w:gridCol w:w="2126"/>
      </w:tblGrid>
      <w:tr w:rsidR="0051164A" w:rsidRPr="00842D79" w14:paraId="66288EDA" w14:textId="77777777" w:rsidTr="001F2D2A">
        <w:trPr>
          <w:tblHeader/>
        </w:trPr>
        <w:tc>
          <w:tcPr>
            <w:tcW w:w="7059" w:type="dxa"/>
            <w:gridSpan w:val="2"/>
            <w:tcBorders>
              <w:right w:val="single" w:sz="4" w:space="0" w:color="FFFFFF"/>
            </w:tcBorders>
            <w:shd w:val="clear" w:color="auto" w:fill="002060"/>
            <w:vAlign w:val="center"/>
          </w:tcPr>
          <w:p w14:paraId="7195A644" w14:textId="77777777" w:rsidR="0051164A" w:rsidRPr="00842D79" w:rsidRDefault="0051164A" w:rsidP="0042706A">
            <w:pPr>
              <w:spacing w:before="60" w:after="60"/>
              <w:jc w:val="center"/>
              <w:rPr>
                <w:sz w:val="18"/>
                <w:szCs w:val="18"/>
              </w:rPr>
            </w:pPr>
            <w:r w:rsidRPr="00842D79">
              <w:rPr>
                <w:b/>
                <w:sz w:val="18"/>
                <w:szCs w:val="18"/>
              </w:rPr>
              <w:t>Rodzaj zamawiającego</w:t>
            </w:r>
          </w:p>
        </w:tc>
        <w:tc>
          <w:tcPr>
            <w:tcW w:w="2126" w:type="dxa"/>
            <w:tcBorders>
              <w:left w:val="single" w:sz="4" w:space="0" w:color="FFFFFF"/>
            </w:tcBorders>
            <w:shd w:val="clear" w:color="auto" w:fill="002060"/>
            <w:vAlign w:val="center"/>
          </w:tcPr>
          <w:p w14:paraId="1518740B" w14:textId="77777777" w:rsidR="0051164A" w:rsidRPr="001F2D2A" w:rsidRDefault="0051164A" w:rsidP="001F2D2A">
            <w:pPr>
              <w:spacing w:before="60" w:after="60"/>
              <w:jc w:val="center"/>
              <w:rPr>
                <w:b/>
                <w:sz w:val="18"/>
                <w:szCs w:val="18"/>
              </w:rPr>
            </w:pPr>
            <w:r w:rsidRPr="001F2D2A">
              <w:rPr>
                <w:b/>
                <w:sz w:val="18"/>
                <w:szCs w:val="18"/>
              </w:rPr>
              <w:t>Odsetek sprawozdań</w:t>
            </w:r>
          </w:p>
        </w:tc>
      </w:tr>
      <w:tr w:rsidR="0051164A" w:rsidRPr="00842D79" w14:paraId="0AE1E602" w14:textId="77777777" w:rsidTr="001F2D2A">
        <w:tc>
          <w:tcPr>
            <w:tcW w:w="7059" w:type="dxa"/>
            <w:gridSpan w:val="2"/>
            <w:tcBorders>
              <w:right w:val="single" w:sz="4" w:space="0" w:color="FFFFFF"/>
            </w:tcBorders>
            <w:shd w:val="clear" w:color="auto" w:fill="auto"/>
            <w:vAlign w:val="center"/>
          </w:tcPr>
          <w:p w14:paraId="3CFD3EA0" w14:textId="77777777" w:rsidR="0051164A" w:rsidRPr="00842D79" w:rsidRDefault="0051164A" w:rsidP="0042706A">
            <w:pPr>
              <w:spacing w:before="60" w:after="60"/>
              <w:jc w:val="left"/>
              <w:rPr>
                <w:b/>
                <w:sz w:val="18"/>
                <w:szCs w:val="18"/>
              </w:rPr>
            </w:pPr>
            <w:r w:rsidRPr="00842D79">
              <w:rPr>
                <w:b/>
                <w:sz w:val="18"/>
                <w:szCs w:val="18"/>
              </w:rPr>
              <w:t>Zamawiający publiczny, w tym:</w:t>
            </w:r>
          </w:p>
        </w:tc>
        <w:tc>
          <w:tcPr>
            <w:tcW w:w="2126" w:type="dxa"/>
            <w:tcBorders>
              <w:left w:val="single" w:sz="4" w:space="0" w:color="FFFFFF"/>
            </w:tcBorders>
            <w:shd w:val="clear" w:color="auto" w:fill="auto"/>
            <w:vAlign w:val="center"/>
          </w:tcPr>
          <w:p w14:paraId="5A585C83" w14:textId="549DCA17" w:rsidR="0051164A" w:rsidRPr="001F2D2A" w:rsidRDefault="0051164A" w:rsidP="00A75043">
            <w:pPr>
              <w:spacing w:before="60" w:after="60"/>
              <w:jc w:val="center"/>
              <w:rPr>
                <w:b/>
                <w:sz w:val="18"/>
                <w:szCs w:val="18"/>
              </w:rPr>
            </w:pPr>
            <w:r w:rsidRPr="001F2D2A">
              <w:rPr>
                <w:b/>
                <w:sz w:val="18"/>
                <w:szCs w:val="18"/>
              </w:rPr>
              <w:t>9</w:t>
            </w:r>
            <w:r w:rsidR="00A75043">
              <w:rPr>
                <w:b/>
                <w:sz w:val="18"/>
                <w:szCs w:val="18"/>
              </w:rPr>
              <w:t>4</w:t>
            </w:r>
            <w:r w:rsidRPr="001F2D2A">
              <w:rPr>
                <w:b/>
                <w:sz w:val="18"/>
                <w:szCs w:val="18"/>
              </w:rPr>
              <w:t>,</w:t>
            </w:r>
            <w:r w:rsidR="002B328A" w:rsidRPr="001F2D2A">
              <w:rPr>
                <w:b/>
                <w:sz w:val="18"/>
                <w:szCs w:val="18"/>
              </w:rPr>
              <w:t>32</w:t>
            </w:r>
            <w:r w:rsidRPr="001F2D2A">
              <w:rPr>
                <w:b/>
                <w:sz w:val="18"/>
                <w:szCs w:val="18"/>
              </w:rPr>
              <w:t>%</w:t>
            </w:r>
          </w:p>
        </w:tc>
      </w:tr>
      <w:tr w:rsidR="009972E9" w:rsidRPr="00842D79" w14:paraId="5DAF857D" w14:textId="77777777" w:rsidTr="003E40C9">
        <w:tc>
          <w:tcPr>
            <w:tcW w:w="431" w:type="dxa"/>
            <w:tcBorders>
              <w:right w:val="single" w:sz="4" w:space="0" w:color="FFFFFF"/>
            </w:tcBorders>
            <w:shd w:val="clear" w:color="auto" w:fill="00B0F0"/>
            <w:vAlign w:val="center"/>
          </w:tcPr>
          <w:p w14:paraId="17419B18"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4AE79C51" w14:textId="77777777" w:rsidR="009972E9" w:rsidRPr="00842D79" w:rsidRDefault="009972E9" w:rsidP="009972E9">
            <w:pPr>
              <w:jc w:val="left"/>
              <w:rPr>
                <w:sz w:val="18"/>
                <w:szCs w:val="18"/>
              </w:rPr>
            </w:pPr>
            <w:r w:rsidRPr="00842D79">
              <w:rPr>
                <w:sz w:val="18"/>
                <w:szCs w:val="18"/>
              </w:rPr>
              <w:t>organ administracji rządowej (centralnej lub terenowej)</w:t>
            </w:r>
          </w:p>
        </w:tc>
        <w:tc>
          <w:tcPr>
            <w:tcW w:w="2126" w:type="dxa"/>
            <w:tcBorders>
              <w:left w:val="single" w:sz="4" w:space="0" w:color="FFFFFF"/>
            </w:tcBorders>
            <w:shd w:val="clear" w:color="auto" w:fill="00B0F0"/>
            <w:vAlign w:val="center"/>
          </w:tcPr>
          <w:p w14:paraId="3264BCE6" w14:textId="05B42D8B" w:rsidR="009972E9" w:rsidRPr="001F2D2A" w:rsidRDefault="009972E9" w:rsidP="001F2D2A">
            <w:pPr>
              <w:jc w:val="center"/>
              <w:rPr>
                <w:sz w:val="18"/>
                <w:szCs w:val="18"/>
              </w:rPr>
            </w:pPr>
            <w:r w:rsidRPr="001F2D2A">
              <w:rPr>
                <w:sz w:val="18"/>
                <w:szCs w:val="18"/>
              </w:rPr>
              <w:t>0,94%</w:t>
            </w:r>
          </w:p>
        </w:tc>
      </w:tr>
      <w:tr w:rsidR="009972E9" w:rsidRPr="00842D79" w14:paraId="59BB1272" w14:textId="77777777" w:rsidTr="003E40C9">
        <w:tc>
          <w:tcPr>
            <w:tcW w:w="431" w:type="dxa"/>
            <w:tcBorders>
              <w:right w:val="single" w:sz="4" w:space="0" w:color="FFFFFF"/>
            </w:tcBorders>
            <w:shd w:val="clear" w:color="auto" w:fill="auto"/>
            <w:vAlign w:val="center"/>
          </w:tcPr>
          <w:p w14:paraId="31A1069F"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0987BF0F" w14:textId="77777777" w:rsidR="009972E9" w:rsidRPr="00842D79" w:rsidRDefault="009972E9" w:rsidP="009972E9">
            <w:pPr>
              <w:jc w:val="left"/>
              <w:rPr>
                <w:sz w:val="18"/>
                <w:szCs w:val="18"/>
              </w:rPr>
            </w:pPr>
            <w:r w:rsidRPr="00842D79">
              <w:rPr>
                <w:sz w:val="18"/>
                <w:szCs w:val="18"/>
              </w:rPr>
              <w:t>organ kontroli państwowej i ochrony prawa oraz sąd i trybunał</w:t>
            </w:r>
          </w:p>
        </w:tc>
        <w:tc>
          <w:tcPr>
            <w:tcW w:w="2126" w:type="dxa"/>
            <w:tcBorders>
              <w:left w:val="single" w:sz="4" w:space="0" w:color="FFFFFF"/>
            </w:tcBorders>
            <w:shd w:val="clear" w:color="auto" w:fill="auto"/>
            <w:vAlign w:val="center"/>
          </w:tcPr>
          <w:p w14:paraId="37B945E4" w14:textId="0525AA98" w:rsidR="009972E9" w:rsidRPr="001F2D2A" w:rsidRDefault="009972E9" w:rsidP="001F2D2A">
            <w:pPr>
              <w:jc w:val="center"/>
              <w:rPr>
                <w:sz w:val="18"/>
                <w:szCs w:val="18"/>
              </w:rPr>
            </w:pPr>
            <w:r w:rsidRPr="001F2D2A">
              <w:rPr>
                <w:sz w:val="18"/>
                <w:szCs w:val="18"/>
              </w:rPr>
              <w:t>0,39%</w:t>
            </w:r>
          </w:p>
        </w:tc>
      </w:tr>
      <w:tr w:rsidR="009972E9" w:rsidRPr="00842D79" w14:paraId="1DAA5F2E" w14:textId="77777777" w:rsidTr="003E40C9">
        <w:tc>
          <w:tcPr>
            <w:tcW w:w="431" w:type="dxa"/>
            <w:tcBorders>
              <w:right w:val="single" w:sz="4" w:space="0" w:color="FFFFFF"/>
            </w:tcBorders>
            <w:shd w:val="clear" w:color="auto" w:fill="00B0F0"/>
            <w:vAlign w:val="center"/>
          </w:tcPr>
          <w:p w14:paraId="78BF785A"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647905D6" w14:textId="77777777" w:rsidR="009972E9" w:rsidRPr="00842D79" w:rsidRDefault="009972E9" w:rsidP="009972E9">
            <w:pPr>
              <w:jc w:val="left"/>
              <w:rPr>
                <w:sz w:val="18"/>
                <w:szCs w:val="18"/>
              </w:rPr>
            </w:pPr>
            <w:r w:rsidRPr="00842D79">
              <w:rPr>
                <w:sz w:val="18"/>
                <w:szCs w:val="18"/>
              </w:rPr>
              <w:t>jednostka samorządu terytorialnego</w:t>
            </w:r>
          </w:p>
        </w:tc>
        <w:tc>
          <w:tcPr>
            <w:tcW w:w="2126" w:type="dxa"/>
            <w:tcBorders>
              <w:left w:val="single" w:sz="4" w:space="0" w:color="FFFFFF"/>
            </w:tcBorders>
            <w:shd w:val="clear" w:color="auto" w:fill="00B0F0"/>
            <w:vAlign w:val="center"/>
          </w:tcPr>
          <w:p w14:paraId="11E1C760" w14:textId="6CBF2D5D" w:rsidR="009972E9" w:rsidRPr="001F2D2A" w:rsidRDefault="009972E9" w:rsidP="001F2D2A">
            <w:pPr>
              <w:jc w:val="center"/>
              <w:rPr>
                <w:sz w:val="18"/>
                <w:szCs w:val="18"/>
              </w:rPr>
            </w:pPr>
            <w:r w:rsidRPr="001F2D2A">
              <w:rPr>
                <w:sz w:val="18"/>
                <w:szCs w:val="18"/>
              </w:rPr>
              <w:t>22,68%</w:t>
            </w:r>
          </w:p>
        </w:tc>
      </w:tr>
      <w:tr w:rsidR="009972E9" w:rsidRPr="00842D79" w14:paraId="6DA09979" w14:textId="77777777" w:rsidTr="003E40C9">
        <w:tc>
          <w:tcPr>
            <w:tcW w:w="431" w:type="dxa"/>
            <w:tcBorders>
              <w:right w:val="single" w:sz="4" w:space="0" w:color="FFFFFF"/>
            </w:tcBorders>
            <w:shd w:val="clear" w:color="auto" w:fill="auto"/>
            <w:vAlign w:val="center"/>
          </w:tcPr>
          <w:p w14:paraId="2C122F1F"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50A66FB5" w14:textId="77777777" w:rsidR="009972E9" w:rsidRPr="00842D79" w:rsidRDefault="009972E9" w:rsidP="009972E9">
            <w:pPr>
              <w:jc w:val="left"/>
              <w:rPr>
                <w:sz w:val="18"/>
                <w:szCs w:val="18"/>
              </w:rPr>
            </w:pPr>
            <w:r w:rsidRPr="00842D79">
              <w:rPr>
                <w:sz w:val="18"/>
                <w:szCs w:val="18"/>
              </w:rPr>
              <w:t>związek jednostek samorządu terytorialnego</w:t>
            </w:r>
          </w:p>
        </w:tc>
        <w:tc>
          <w:tcPr>
            <w:tcW w:w="2126" w:type="dxa"/>
            <w:tcBorders>
              <w:left w:val="single" w:sz="4" w:space="0" w:color="FFFFFF"/>
            </w:tcBorders>
            <w:shd w:val="clear" w:color="auto" w:fill="auto"/>
            <w:vAlign w:val="center"/>
          </w:tcPr>
          <w:p w14:paraId="1C185C7B" w14:textId="0C5BA893" w:rsidR="009972E9" w:rsidRPr="001F2D2A" w:rsidRDefault="009972E9" w:rsidP="001F2D2A">
            <w:pPr>
              <w:jc w:val="center"/>
              <w:rPr>
                <w:sz w:val="18"/>
                <w:szCs w:val="18"/>
              </w:rPr>
            </w:pPr>
            <w:r w:rsidRPr="001F2D2A">
              <w:rPr>
                <w:sz w:val="18"/>
                <w:szCs w:val="18"/>
              </w:rPr>
              <w:t>0,21%</w:t>
            </w:r>
          </w:p>
        </w:tc>
      </w:tr>
      <w:tr w:rsidR="009972E9" w:rsidRPr="00842D79" w14:paraId="42604FC8" w14:textId="77777777" w:rsidTr="003E40C9">
        <w:tc>
          <w:tcPr>
            <w:tcW w:w="431" w:type="dxa"/>
            <w:tcBorders>
              <w:right w:val="single" w:sz="4" w:space="0" w:color="FFFFFF"/>
            </w:tcBorders>
            <w:shd w:val="clear" w:color="auto" w:fill="00B0F0"/>
            <w:vAlign w:val="center"/>
          </w:tcPr>
          <w:p w14:paraId="452C990A"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5AF7E5A1" w14:textId="77777777" w:rsidR="009972E9" w:rsidRPr="00842D79" w:rsidRDefault="009972E9" w:rsidP="009972E9">
            <w:pPr>
              <w:jc w:val="left"/>
              <w:rPr>
                <w:sz w:val="18"/>
                <w:szCs w:val="18"/>
              </w:rPr>
            </w:pPr>
            <w:r w:rsidRPr="00842D79">
              <w:rPr>
                <w:sz w:val="18"/>
                <w:szCs w:val="18"/>
              </w:rPr>
              <w:t>związek metropolitalny</w:t>
            </w:r>
          </w:p>
        </w:tc>
        <w:tc>
          <w:tcPr>
            <w:tcW w:w="2126" w:type="dxa"/>
            <w:tcBorders>
              <w:left w:val="single" w:sz="4" w:space="0" w:color="FFFFFF"/>
            </w:tcBorders>
            <w:shd w:val="clear" w:color="auto" w:fill="00B0F0"/>
            <w:vAlign w:val="center"/>
          </w:tcPr>
          <w:p w14:paraId="733138E3" w14:textId="56DCB299" w:rsidR="009972E9" w:rsidRPr="001F2D2A" w:rsidRDefault="009972E9" w:rsidP="001F2D2A">
            <w:pPr>
              <w:jc w:val="center"/>
              <w:rPr>
                <w:sz w:val="18"/>
                <w:szCs w:val="18"/>
              </w:rPr>
            </w:pPr>
            <w:r w:rsidRPr="001F2D2A">
              <w:rPr>
                <w:sz w:val="18"/>
                <w:szCs w:val="18"/>
              </w:rPr>
              <w:t>0,01%</w:t>
            </w:r>
          </w:p>
        </w:tc>
      </w:tr>
      <w:tr w:rsidR="009972E9" w:rsidRPr="00842D79" w14:paraId="1864601E" w14:textId="77777777" w:rsidTr="003E40C9">
        <w:tc>
          <w:tcPr>
            <w:tcW w:w="431" w:type="dxa"/>
            <w:tcBorders>
              <w:right w:val="single" w:sz="4" w:space="0" w:color="FFFFFF"/>
            </w:tcBorders>
            <w:shd w:val="clear" w:color="auto" w:fill="auto"/>
            <w:vAlign w:val="center"/>
          </w:tcPr>
          <w:p w14:paraId="03E1741E"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7B3048CF" w14:textId="77777777" w:rsidR="009972E9" w:rsidRPr="00842D79" w:rsidRDefault="009972E9" w:rsidP="009972E9">
            <w:pPr>
              <w:jc w:val="left"/>
              <w:rPr>
                <w:sz w:val="18"/>
                <w:szCs w:val="18"/>
              </w:rPr>
            </w:pPr>
            <w:r w:rsidRPr="00842D79">
              <w:rPr>
                <w:sz w:val="18"/>
                <w:szCs w:val="18"/>
              </w:rPr>
              <w:t>jednostka budżetowa</w:t>
            </w:r>
          </w:p>
        </w:tc>
        <w:tc>
          <w:tcPr>
            <w:tcW w:w="2126" w:type="dxa"/>
            <w:tcBorders>
              <w:left w:val="single" w:sz="4" w:space="0" w:color="FFFFFF"/>
            </w:tcBorders>
            <w:shd w:val="clear" w:color="auto" w:fill="auto"/>
            <w:vAlign w:val="center"/>
          </w:tcPr>
          <w:p w14:paraId="066629F5" w14:textId="377A8C5B" w:rsidR="009972E9" w:rsidRPr="001F2D2A" w:rsidRDefault="009972E9" w:rsidP="001F2D2A">
            <w:pPr>
              <w:jc w:val="center"/>
              <w:rPr>
                <w:sz w:val="18"/>
                <w:szCs w:val="18"/>
              </w:rPr>
            </w:pPr>
            <w:r w:rsidRPr="001F2D2A">
              <w:rPr>
                <w:sz w:val="18"/>
                <w:szCs w:val="18"/>
              </w:rPr>
              <w:t>27,06%</w:t>
            </w:r>
          </w:p>
        </w:tc>
      </w:tr>
      <w:tr w:rsidR="009972E9" w:rsidRPr="00842D79" w14:paraId="5A8E7308" w14:textId="77777777" w:rsidTr="003E40C9">
        <w:tc>
          <w:tcPr>
            <w:tcW w:w="431" w:type="dxa"/>
            <w:tcBorders>
              <w:right w:val="single" w:sz="4" w:space="0" w:color="FFFFFF"/>
            </w:tcBorders>
            <w:shd w:val="clear" w:color="auto" w:fill="00B0F0"/>
            <w:vAlign w:val="center"/>
          </w:tcPr>
          <w:p w14:paraId="5DC816A5"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6019972C" w14:textId="77777777" w:rsidR="009972E9" w:rsidRPr="00842D79" w:rsidRDefault="009972E9" w:rsidP="009972E9">
            <w:pPr>
              <w:jc w:val="left"/>
              <w:rPr>
                <w:sz w:val="18"/>
                <w:szCs w:val="18"/>
              </w:rPr>
            </w:pPr>
            <w:r w:rsidRPr="00842D79">
              <w:rPr>
                <w:sz w:val="18"/>
                <w:szCs w:val="18"/>
              </w:rPr>
              <w:t>samorządowy zakład budżetowy</w:t>
            </w:r>
          </w:p>
        </w:tc>
        <w:tc>
          <w:tcPr>
            <w:tcW w:w="2126" w:type="dxa"/>
            <w:tcBorders>
              <w:left w:val="single" w:sz="4" w:space="0" w:color="FFFFFF"/>
            </w:tcBorders>
            <w:shd w:val="clear" w:color="auto" w:fill="00B0F0"/>
            <w:vAlign w:val="center"/>
          </w:tcPr>
          <w:p w14:paraId="50C96E04" w14:textId="5D1554E2" w:rsidR="009972E9" w:rsidRPr="001F2D2A" w:rsidRDefault="009972E9" w:rsidP="001F2D2A">
            <w:pPr>
              <w:jc w:val="center"/>
              <w:rPr>
                <w:sz w:val="18"/>
                <w:szCs w:val="18"/>
              </w:rPr>
            </w:pPr>
            <w:r w:rsidRPr="001F2D2A">
              <w:rPr>
                <w:sz w:val="18"/>
                <w:szCs w:val="18"/>
              </w:rPr>
              <w:t>0,78%</w:t>
            </w:r>
          </w:p>
        </w:tc>
      </w:tr>
      <w:tr w:rsidR="009972E9" w:rsidRPr="00842D79" w14:paraId="0F82CFE7" w14:textId="77777777" w:rsidTr="003E40C9">
        <w:tc>
          <w:tcPr>
            <w:tcW w:w="431" w:type="dxa"/>
            <w:tcBorders>
              <w:right w:val="single" w:sz="4" w:space="0" w:color="FFFFFF"/>
            </w:tcBorders>
            <w:shd w:val="clear" w:color="auto" w:fill="auto"/>
            <w:vAlign w:val="center"/>
          </w:tcPr>
          <w:p w14:paraId="25DFE31C"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19185D8D" w14:textId="77777777" w:rsidR="009972E9" w:rsidRPr="00842D79" w:rsidRDefault="009972E9" w:rsidP="009972E9">
            <w:pPr>
              <w:jc w:val="left"/>
              <w:rPr>
                <w:sz w:val="18"/>
                <w:szCs w:val="18"/>
              </w:rPr>
            </w:pPr>
            <w:r w:rsidRPr="00842D79">
              <w:rPr>
                <w:sz w:val="18"/>
                <w:szCs w:val="18"/>
              </w:rPr>
              <w:t>agencja wykonawcza</w:t>
            </w:r>
          </w:p>
        </w:tc>
        <w:tc>
          <w:tcPr>
            <w:tcW w:w="2126" w:type="dxa"/>
            <w:tcBorders>
              <w:left w:val="single" w:sz="4" w:space="0" w:color="FFFFFF"/>
            </w:tcBorders>
            <w:shd w:val="clear" w:color="auto" w:fill="auto"/>
            <w:vAlign w:val="center"/>
          </w:tcPr>
          <w:p w14:paraId="56C99C6C" w14:textId="6CEDC903" w:rsidR="009972E9" w:rsidRPr="001F2D2A" w:rsidRDefault="009972E9" w:rsidP="001F2D2A">
            <w:pPr>
              <w:jc w:val="center"/>
              <w:rPr>
                <w:sz w:val="18"/>
                <w:szCs w:val="18"/>
              </w:rPr>
            </w:pPr>
            <w:r w:rsidRPr="001F2D2A">
              <w:rPr>
                <w:sz w:val="18"/>
                <w:szCs w:val="18"/>
              </w:rPr>
              <w:t>0,08%</w:t>
            </w:r>
          </w:p>
        </w:tc>
      </w:tr>
      <w:tr w:rsidR="009972E9" w:rsidRPr="00842D79" w14:paraId="19B1F650" w14:textId="77777777" w:rsidTr="003E40C9">
        <w:tc>
          <w:tcPr>
            <w:tcW w:w="431" w:type="dxa"/>
            <w:tcBorders>
              <w:right w:val="single" w:sz="4" w:space="0" w:color="FFFFFF"/>
            </w:tcBorders>
            <w:shd w:val="clear" w:color="auto" w:fill="00B0F0"/>
            <w:vAlign w:val="center"/>
          </w:tcPr>
          <w:p w14:paraId="286E7D47"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31C8D4A7" w14:textId="77777777" w:rsidR="009972E9" w:rsidRPr="00842D79" w:rsidRDefault="009972E9" w:rsidP="009972E9">
            <w:pPr>
              <w:jc w:val="left"/>
              <w:rPr>
                <w:sz w:val="18"/>
                <w:szCs w:val="18"/>
              </w:rPr>
            </w:pPr>
            <w:r w:rsidRPr="00842D79">
              <w:rPr>
                <w:sz w:val="18"/>
                <w:szCs w:val="18"/>
              </w:rPr>
              <w:t>instytucja gospodarki budżetowej</w:t>
            </w:r>
          </w:p>
        </w:tc>
        <w:tc>
          <w:tcPr>
            <w:tcW w:w="2126" w:type="dxa"/>
            <w:tcBorders>
              <w:left w:val="single" w:sz="4" w:space="0" w:color="FFFFFF"/>
            </w:tcBorders>
            <w:shd w:val="clear" w:color="auto" w:fill="00B0F0"/>
            <w:vAlign w:val="center"/>
          </w:tcPr>
          <w:p w14:paraId="0092C591" w14:textId="758710A2" w:rsidR="009972E9" w:rsidRPr="001F2D2A" w:rsidRDefault="009972E9" w:rsidP="001F2D2A">
            <w:pPr>
              <w:jc w:val="center"/>
              <w:rPr>
                <w:sz w:val="18"/>
                <w:szCs w:val="18"/>
              </w:rPr>
            </w:pPr>
            <w:r w:rsidRPr="001F2D2A">
              <w:rPr>
                <w:sz w:val="18"/>
                <w:szCs w:val="18"/>
              </w:rPr>
              <w:t>0,04%</w:t>
            </w:r>
          </w:p>
        </w:tc>
      </w:tr>
      <w:tr w:rsidR="009972E9" w:rsidRPr="00842D79" w14:paraId="69C4F725" w14:textId="77777777" w:rsidTr="003E40C9">
        <w:tc>
          <w:tcPr>
            <w:tcW w:w="431" w:type="dxa"/>
            <w:tcBorders>
              <w:right w:val="single" w:sz="4" w:space="0" w:color="FFFFFF"/>
            </w:tcBorders>
            <w:shd w:val="clear" w:color="auto" w:fill="auto"/>
            <w:vAlign w:val="center"/>
          </w:tcPr>
          <w:p w14:paraId="5B431C1A"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3899E9E6" w14:textId="77777777" w:rsidR="009972E9" w:rsidRPr="00842D79" w:rsidRDefault="009972E9" w:rsidP="009972E9">
            <w:pPr>
              <w:jc w:val="left"/>
              <w:rPr>
                <w:sz w:val="18"/>
                <w:szCs w:val="18"/>
              </w:rPr>
            </w:pPr>
            <w:r w:rsidRPr="00842D79">
              <w:rPr>
                <w:sz w:val="18"/>
                <w:szCs w:val="18"/>
              </w:rPr>
              <w:t>państwowy fundusz celowy</w:t>
            </w:r>
          </w:p>
        </w:tc>
        <w:tc>
          <w:tcPr>
            <w:tcW w:w="2126" w:type="dxa"/>
            <w:tcBorders>
              <w:left w:val="single" w:sz="4" w:space="0" w:color="FFFFFF"/>
            </w:tcBorders>
            <w:shd w:val="clear" w:color="auto" w:fill="auto"/>
            <w:vAlign w:val="center"/>
          </w:tcPr>
          <w:p w14:paraId="03AEF3A0" w14:textId="6CA0959C" w:rsidR="009972E9" w:rsidRPr="001F2D2A" w:rsidRDefault="009972E9" w:rsidP="001F2D2A">
            <w:pPr>
              <w:jc w:val="center"/>
              <w:rPr>
                <w:sz w:val="18"/>
                <w:szCs w:val="18"/>
              </w:rPr>
            </w:pPr>
            <w:r w:rsidRPr="001F2D2A">
              <w:rPr>
                <w:sz w:val="18"/>
                <w:szCs w:val="18"/>
              </w:rPr>
              <w:t>0,003%</w:t>
            </w:r>
          </w:p>
        </w:tc>
      </w:tr>
      <w:tr w:rsidR="009972E9" w:rsidRPr="00842D79" w14:paraId="6A26911E" w14:textId="77777777" w:rsidTr="003E40C9">
        <w:tc>
          <w:tcPr>
            <w:tcW w:w="431" w:type="dxa"/>
            <w:tcBorders>
              <w:right w:val="single" w:sz="4" w:space="0" w:color="FFFFFF"/>
            </w:tcBorders>
            <w:shd w:val="clear" w:color="auto" w:fill="00B0F0"/>
            <w:vAlign w:val="center"/>
          </w:tcPr>
          <w:p w14:paraId="444A4538"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704E5C11" w14:textId="77777777" w:rsidR="009972E9" w:rsidRPr="00842D79" w:rsidRDefault="009972E9" w:rsidP="009972E9">
            <w:pPr>
              <w:jc w:val="left"/>
              <w:rPr>
                <w:sz w:val="18"/>
                <w:szCs w:val="18"/>
              </w:rPr>
            </w:pPr>
            <w:r w:rsidRPr="00842D79">
              <w:rPr>
                <w:sz w:val="18"/>
                <w:szCs w:val="18"/>
              </w:rPr>
              <w:t>Zakład Ubezpieczeń Społecznych lub Kasa Rolniczego Ubezpieczenia Społecznego oraz zarządzane przez nie fundusze</w:t>
            </w:r>
          </w:p>
        </w:tc>
        <w:tc>
          <w:tcPr>
            <w:tcW w:w="2126" w:type="dxa"/>
            <w:tcBorders>
              <w:left w:val="single" w:sz="4" w:space="0" w:color="FFFFFF"/>
            </w:tcBorders>
            <w:shd w:val="clear" w:color="auto" w:fill="00B0F0"/>
            <w:vAlign w:val="center"/>
          </w:tcPr>
          <w:p w14:paraId="092EF981" w14:textId="5C90D006" w:rsidR="009972E9" w:rsidRPr="001F2D2A" w:rsidRDefault="009972E9" w:rsidP="001F2D2A">
            <w:pPr>
              <w:jc w:val="center"/>
              <w:rPr>
                <w:sz w:val="18"/>
                <w:szCs w:val="18"/>
              </w:rPr>
            </w:pPr>
            <w:r w:rsidRPr="001F2D2A">
              <w:rPr>
                <w:sz w:val="18"/>
                <w:szCs w:val="18"/>
              </w:rPr>
              <w:t>0,17%</w:t>
            </w:r>
          </w:p>
        </w:tc>
      </w:tr>
      <w:tr w:rsidR="009972E9" w:rsidRPr="00842D79" w14:paraId="1A6CBD25" w14:textId="77777777" w:rsidTr="003E40C9">
        <w:tc>
          <w:tcPr>
            <w:tcW w:w="431" w:type="dxa"/>
            <w:tcBorders>
              <w:right w:val="single" w:sz="4" w:space="0" w:color="FFFFFF"/>
            </w:tcBorders>
            <w:shd w:val="clear" w:color="auto" w:fill="auto"/>
            <w:vAlign w:val="center"/>
          </w:tcPr>
          <w:p w14:paraId="649A2222"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081C6452" w14:textId="77777777" w:rsidR="009972E9" w:rsidRPr="00842D79" w:rsidRDefault="009972E9" w:rsidP="009972E9">
            <w:pPr>
              <w:jc w:val="left"/>
              <w:rPr>
                <w:sz w:val="18"/>
                <w:szCs w:val="18"/>
              </w:rPr>
            </w:pPr>
            <w:r w:rsidRPr="00842D79">
              <w:rPr>
                <w:sz w:val="18"/>
                <w:szCs w:val="18"/>
              </w:rPr>
              <w:t>Narodowy Fundusz Zdrowia</w:t>
            </w:r>
          </w:p>
        </w:tc>
        <w:tc>
          <w:tcPr>
            <w:tcW w:w="2126" w:type="dxa"/>
            <w:tcBorders>
              <w:left w:val="single" w:sz="4" w:space="0" w:color="FFFFFF"/>
            </w:tcBorders>
            <w:shd w:val="clear" w:color="auto" w:fill="auto"/>
            <w:vAlign w:val="center"/>
          </w:tcPr>
          <w:p w14:paraId="44415BD4" w14:textId="45A689C0" w:rsidR="009972E9" w:rsidRPr="001F2D2A" w:rsidRDefault="009972E9" w:rsidP="001F2D2A">
            <w:pPr>
              <w:jc w:val="center"/>
              <w:rPr>
                <w:sz w:val="18"/>
                <w:szCs w:val="18"/>
              </w:rPr>
            </w:pPr>
            <w:r w:rsidRPr="001F2D2A">
              <w:rPr>
                <w:sz w:val="18"/>
                <w:szCs w:val="18"/>
              </w:rPr>
              <w:t>0,05%</w:t>
            </w:r>
          </w:p>
        </w:tc>
      </w:tr>
      <w:tr w:rsidR="009972E9" w:rsidRPr="00842D79" w14:paraId="660CFAC4" w14:textId="77777777" w:rsidTr="003E40C9">
        <w:tc>
          <w:tcPr>
            <w:tcW w:w="431" w:type="dxa"/>
            <w:tcBorders>
              <w:right w:val="single" w:sz="4" w:space="0" w:color="FFFFFF"/>
            </w:tcBorders>
            <w:shd w:val="clear" w:color="auto" w:fill="00B0F0"/>
            <w:vAlign w:val="center"/>
          </w:tcPr>
          <w:p w14:paraId="58A0E1D9"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2F051E85" w14:textId="77777777" w:rsidR="009972E9" w:rsidRPr="00842D79" w:rsidRDefault="009972E9" w:rsidP="009972E9">
            <w:pPr>
              <w:jc w:val="left"/>
              <w:rPr>
                <w:sz w:val="18"/>
                <w:szCs w:val="18"/>
              </w:rPr>
            </w:pPr>
            <w:r w:rsidRPr="00842D79">
              <w:rPr>
                <w:sz w:val="18"/>
                <w:szCs w:val="18"/>
              </w:rPr>
              <w:t>samodzielny publiczny zakład opieki zdrowotnej</w:t>
            </w:r>
          </w:p>
        </w:tc>
        <w:tc>
          <w:tcPr>
            <w:tcW w:w="2126" w:type="dxa"/>
            <w:tcBorders>
              <w:left w:val="single" w:sz="4" w:space="0" w:color="FFFFFF"/>
            </w:tcBorders>
            <w:shd w:val="clear" w:color="auto" w:fill="00B0F0"/>
            <w:vAlign w:val="center"/>
          </w:tcPr>
          <w:p w14:paraId="7270A23D" w14:textId="7EF9BB16" w:rsidR="009972E9" w:rsidRPr="001F2D2A" w:rsidRDefault="009972E9" w:rsidP="001F2D2A">
            <w:pPr>
              <w:jc w:val="center"/>
              <w:rPr>
                <w:sz w:val="18"/>
                <w:szCs w:val="18"/>
              </w:rPr>
            </w:pPr>
            <w:r w:rsidRPr="001F2D2A">
              <w:rPr>
                <w:sz w:val="18"/>
                <w:szCs w:val="18"/>
              </w:rPr>
              <w:t>1,46%</w:t>
            </w:r>
          </w:p>
        </w:tc>
      </w:tr>
      <w:tr w:rsidR="009972E9" w:rsidRPr="00842D79" w14:paraId="228B5231" w14:textId="77777777" w:rsidTr="003E40C9">
        <w:tc>
          <w:tcPr>
            <w:tcW w:w="431" w:type="dxa"/>
            <w:tcBorders>
              <w:right w:val="single" w:sz="4" w:space="0" w:color="FFFFFF"/>
            </w:tcBorders>
            <w:shd w:val="clear" w:color="auto" w:fill="auto"/>
            <w:vAlign w:val="center"/>
          </w:tcPr>
          <w:p w14:paraId="1AFD0DBE"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7904F202" w14:textId="77777777" w:rsidR="009972E9" w:rsidRPr="00842D79" w:rsidRDefault="009972E9" w:rsidP="009972E9">
            <w:pPr>
              <w:jc w:val="left"/>
              <w:rPr>
                <w:sz w:val="18"/>
                <w:szCs w:val="18"/>
              </w:rPr>
            </w:pPr>
            <w:r w:rsidRPr="00842D79">
              <w:rPr>
                <w:sz w:val="18"/>
                <w:szCs w:val="18"/>
              </w:rPr>
              <w:t>uczelnia publiczna</w:t>
            </w:r>
          </w:p>
        </w:tc>
        <w:tc>
          <w:tcPr>
            <w:tcW w:w="2126" w:type="dxa"/>
            <w:tcBorders>
              <w:left w:val="single" w:sz="4" w:space="0" w:color="FFFFFF"/>
            </w:tcBorders>
            <w:shd w:val="clear" w:color="auto" w:fill="auto"/>
            <w:vAlign w:val="center"/>
          </w:tcPr>
          <w:p w14:paraId="4DC53B93" w14:textId="71CF5A75" w:rsidR="009972E9" w:rsidRPr="001F2D2A" w:rsidRDefault="009972E9" w:rsidP="001F2D2A">
            <w:pPr>
              <w:jc w:val="center"/>
              <w:rPr>
                <w:sz w:val="18"/>
                <w:szCs w:val="18"/>
              </w:rPr>
            </w:pPr>
            <w:r w:rsidRPr="001F2D2A">
              <w:rPr>
                <w:sz w:val="18"/>
                <w:szCs w:val="18"/>
              </w:rPr>
              <w:t>0,34%</w:t>
            </w:r>
          </w:p>
        </w:tc>
      </w:tr>
      <w:tr w:rsidR="009972E9" w:rsidRPr="00842D79" w14:paraId="046FA2EA" w14:textId="77777777" w:rsidTr="003E40C9">
        <w:tc>
          <w:tcPr>
            <w:tcW w:w="431" w:type="dxa"/>
            <w:tcBorders>
              <w:right w:val="single" w:sz="4" w:space="0" w:color="FFFFFF"/>
            </w:tcBorders>
            <w:shd w:val="clear" w:color="auto" w:fill="00B0F0"/>
            <w:vAlign w:val="center"/>
          </w:tcPr>
          <w:p w14:paraId="55DCE8D5"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16DD14B7" w14:textId="77777777" w:rsidR="009972E9" w:rsidRPr="00842D79" w:rsidRDefault="009972E9" w:rsidP="009972E9">
            <w:pPr>
              <w:jc w:val="left"/>
              <w:rPr>
                <w:sz w:val="18"/>
                <w:szCs w:val="18"/>
              </w:rPr>
            </w:pPr>
            <w:r w:rsidRPr="00842D79">
              <w:rPr>
                <w:sz w:val="18"/>
                <w:szCs w:val="18"/>
              </w:rPr>
              <w:t>Polska Akademia Nauk i tworzone przez nią jednostki organizacyjne</w:t>
            </w:r>
          </w:p>
        </w:tc>
        <w:tc>
          <w:tcPr>
            <w:tcW w:w="2126" w:type="dxa"/>
            <w:tcBorders>
              <w:left w:val="single" w:sz="4" w:space="0" w:color="FFFFFF"/>
            </w:tcBorders>
            <w:shd w:val="clear" w:color="auto" w:fill="00B0F0"/>
            <w:vAlign w:val="center"/>
          </w:tcPr>
          <w:p w14:paraId="3A706215" w14:textId="12563E9C" w:rsidR="009972E9" w:rsidRPr="001F2D2A" w:rsidRDefault="009972E9" w:rsidP="001F2D2A">
            <w:pPr>
              <w:jc w:val="center"/>
              <w:rPr>
                <w:sz w:val="18"/>
                <w:szCs w:val="18"/>
              </w:rPr>
            </w:pPr>
            <w:r w:rsidRPr="001F2D2A">
              <w:rPr>
                <w:sz w:val="18"/>
                <w:szCs w:val="18"/>
              </w:rPr>
              <w:t>0,11%</w:t>
            </w:r>
          </w:p>
        </w:tc>
      </w:tr>
      <w:tr w:rsidR="009972E9" w:rsidRPr="00842D79" w14:paraId="1459E22A" w14:textId="77777777" w:rsidTr="003E40C9">
        <w:tc>
          <w:tcPr>
            <w:tcW w:w="431" w:type="dxa"/>
            <w:tcBorders>
              <w:right w:val="single" w:sz="4" w:space="0" w:color="FFFFFF"/>
            </w:tcBorders>
            <w:shd w:val="clear" w:color="auto" w:fill="auto"/>
            <w:vAlign w:val="center"/>
          </w:tcPr>
          <w:p w14:paraId="49C991F8"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54F1C251" w14:textId="77777777" w:rsidR="009972E9" w:rsidRPr="00842D79" w:rsidRDefault="009972E9" w:rsidP="009972E9">
            <w:pPr>
              <w:jc w:val="left"/>
              <w:rPr>
                <w:sz w:val="18"/>
                <w:szCs w:val="18"/>
              </w:rPr>
            </w:pPr>
            <w:r w:rsidRPr="00842D79">
              <w:rPr>
                <w:sz w:val="18"/>
                <w:szCs w:val="18"/>
              </w:rPr>
              <w:t>państwowe i samorządowe instytucje kultury</w:t>
            </w:r>
          </w:p>
        </w:tc>
        <w:tc>
          <w:tcPr>
            <w:tcW w:w="2126" w:type="dxa"/>
            <w:tcBorders>
              <w:left w:val="single" w:sz="4" w:space="0" w:color="FFFFFF"/>
            </w:tcBorders>
            <w:shd w:val="clear" w:color="auto" w:fill="auto"/>
            <w:vAlign w:val="center"/>
          </w:tcPr>
          <w:p w14:paraId="59B8747E" w14:textId="2480228A" w:rsidR="009972E9" w:rsidRPr="001F2D2A" w:rsidRDefault="009972E9" w:rsidP="001F2D2A">
            <w:pPr>
              <w:jc w:val="center"/>
              <w:rPr>
                <w:sz w:val="18"/>
                <w:szCs w:val="18"/>
              </w:rPr>
            </w:pPr>
            <w:r w:rsidRPr="001F2D2A">
              <w:rPr>
                <w:sz w:val="18"/>
                <w:szCs w:val="18"/>
              </w:rPr>
              <w:t>3,78%</w:t>
            </w:r>
          </w:p>
        </w:tc>
      </w:tr>
      <w:tr w:rsidR="009972E9" w:rsidRPr="00842D79" w14:paraId="4228A36B" w14:textId="77777777" w:rsidTr="003E40C9">
        <w:tc>
          <w:tcPr>
            <w:tcW w:w="431" w:type="dxa"/>
            <w:tcBorders>
              <w:right w:val="single" w:sz="4" w:space="0" w:color="FFFFFF"/>
            </w:tcBorders>
            <w:shd w:val="clear" w:color="auto" w:fill="00B0F0"/>
            <w:vAlign w:val="center"/>
          </w:tcPr>
          <w:p w14:paraId="5746174F"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36F9186D" w14:textId="77777777" w:rsidR="009972E9" w:rsidRPr="00842D79" w:rsidRDefault="009972E9" w:rsidP="009972E9">
            <w:pPr>
              <w:jc w:val="left"/>
              <w:rPr>
                <w:sz w:val="18"/>
                <w:szCs w:val="18"/>
              </w:rPr>
            </w:pPr>
            <w:r w:rsidRPr="00842D79">
              <w:rPr>
                <w:sz w:val="18"/>
                <w:szCs w:val="18"/>
              </w:rPr>
              <w:t>inne państwowe i samorządowe osoby prawne utworzone na podstawie odrębnych ustaw w celu wykonywania zadań publicznych</w:t>
            </w:r>
          </w:p>
        </w:tc>
        <w:tc>
          <w:tcPr>
            <w:tcW w:w="2126" w:type="dxa"/>
            <w:tcBorders>
              <w:left w:val="single" w:sz="4" w:space="0" w:color="FFFFFF"/>
            </w:tcBorders>
            <w:shd w:val="clear" w:color="auto" w:fill="00B0F0"/>
            <w:vAlign w:val="center"/>
          </w:tcPr>
          <w:p w14:paraId="0D2AE890" w14:textId="4BA7262B" w:rsidR="009972E9" w:rsidRPr="001F2D2A" w:rsidRDefault="009972E9" w:rsidP="001F2D2A">
            <w:pPr>
              <w:jc w:val="center"/>
              <w:rPr>
                <w:sz w:val="18"/>
                <w:szCs w:val="18"/>
              </w:rPr>
            </w:pPr>
            <w:r w:rsidRPr="001F2D2A">
              <w:rPr>
                <w:sz w:val="18"/>
                <w:szCs w:val="18"/>
              </w:rPr>
              <w:t>0,53%</w:t>
            </w:r>
          </w:p>
        </w:tc>
      </w:tr>
      <w:tr w:rsidR="009972E9" w:rsidRPr="00842D79" w14:paraId="0C28634B" w14:textId="77777777" w:rsidTr="003E40C9">
        <w:tc>
          <w:tcPr>
            <w:tcW w:w="431" w:type="dxa"/>
            <w:tcBorders>
              <w:right w:val="single" w:sz="4" w:space="0" w:color="FFFFFF"/>
            </w:tcBorders>
            <w:shd w:val="clear" w:color="auto" w:fill="auto"/>
            <w:vAlign w:val="center"/>
          </w:tcPr>
          <w:p w14:paraId="2C12282C"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4F9BF3D4" w14:textId="77777777" w:rsidR="009972E9" w:rsidRPr="00842D79" w:rsidRDefault="009972E9" w:rsidP="009972E9">
            <w:pPr>
              <w:jc w:val="left"/>
              <w:rPr>
                <w:sz w:val="18"/>
                <w:szCs w:val="18"/>
              </w:rPr>
            </w:pPr>
            <w:r w:rsidRPr="00842D79">
              <w:rPr>
                <w:sz w:val="18"/>
                <w:szCs w:val="18"/>
              </w:rPr>
              <w:t>Bankowy Fundusz Gwarancyjny</w:t>
            </w:r>
          </w:p>
        </w:tc>
        <w:tc>
          <w:tcPr>
            <w:tcW w:w="2126" w:type="dxa"/>
            <w:tcBorders>
              <w:left w:val="single" w:sz="4" w:space="0" w:color="FFFFFF"/>
            </w:tcBorders>
            <w:shd w:val="clear" w:color="auto" w:fill="auto"/>
            <w:vAlign w:val="center"/>
          </w:tcPr>
          <w:p w14:paraId="2CE5EFAC" w14:textId="56D62CA2" w:rsidR="009972E9" w:rsidRPr="001F2D2A" w:rsidRDefault="009972E9" w:rsidP="001F2D2A">
            <w:pPr>
              <w:jc w:val="center"/>
              <w:rPr>
                <w:sz w:val="18"/>
                <w:szCs w:val="18"/>
              </w:rPr>
            </w:pPr>
            <w:r w:rsidRPr="001F2D2A">
              <w:rPr>
                <w:sz w:val="18"/>
                <w:szCs w:val="18"/>
              </w:rPr>
              <w:t>0,003%</w:t>
            </w:r>
          </w:p>
        </w:tc>
      </w:tr>
      <w:tr w:rsidR="009972E9" w:rsidRPr="00842D79" w14:paraId="252CD17F" w14:textId="77777777" w:rsidTr="003E40C9">
        <w:tc>
          <w:tcPr>
            <w:tcW w:w="431" w:type="dxa"/>
            <w:tcBorders>
              <w:right w:val="single" w:sz="4" w:space="0" w:color="FFFFFF"/>
            </w:tcBorders>
            <w:shd w:val="clear" w:color="auto" w:fill="00B0F0"/>
            <w:vAlign w:val="center"/>
          </w:tcPr>
          <w:p w14:paraId="0475E481"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39CBDB71" w14:textId="77777777" w:rsidR="009972E9" w:rsidRPr="00842D79" w:rsidRDefault="009972E9" w:rsidP="009972E9">
            <w:pPr>
              <w:jc w:val="left"/>
              <w:rPr>
                <w:sz w:val="18"/>
                <w:szCs w:val="18"/>
              </w:rPr>
            </w:pPr>
            <w:r w:rsidRPr="00842D79">
              <w:rPr>
                <w:sz w:val="18"/>
                <w:szCs w:val="18"/>
              </w:rPr>
              <w:t xml:space="preserve">inna państwowa jednostka organizacyjna nieposiadająca osobowości prawnej </w:t>
            </w:r>
          </w:p>
        </w:tc>
        <w:tc>
          <w:tcPr>
            <w:tcW w:w="2126" w:type="dxa"/>
            <w:tcBorders>
              <w:left w:val="single" w:sz="4" w:space="0" w:color="FFFFFF"/>
            </w:tcBorders>
            <w:shd w:val="clear" w:color="auto" w:fill="00B0F0"/>
            <w:vAlign w:val="center"/>
          </w:tcPr>
          <w:p w14:paraId="5CAE48D4" w14:textId="1C7B534B" w:rsidR="009972E9" w:rsidRPr="001F2D2A" w:rsidRDefault="009972E9" w:rsidP="001F2D2A">
            <w:pPr>
              <w:jc w:val="center"/>
              <w:rPr>
                <w:sz w:val="18"/>
                <w:szCs w:val="18"/>
              </w:rPr>
            </w:pPr>
            <w:r w:rsidRPr="001F2D2A">
              <w:rPr>
                <w:sz w:val="18"/>
                <w:szCs w:val="18"/>
              </w:rPr>
              <w:t>15,65%</w:t>
            </w:r>
          </w:p>
        </w:tc>
      </w:tr>
      <w:tr w:rsidR="009972E9" w:rsidRPr="00842D79" w14:paraId="7BFC3AE3" w14:textId="77777777" w:rsidTr="003E40C9">
        <w:tc>
          <w:tcPr>
            <w:tcW w:w="431" w:type="dxa"/>
            <w:tcBorders>
              <w:right w:val="single" w:sz="4" w:space="0" w:color="FFFFFF"/>
            </w:tcBorders>
            <w:shd w:val="clear" w:color="auto" w:fill="auto"/>
            <w:vAlign w:val="center"/>
          </w:tcPr>
          <w:p w14:paraId="436DBEDE"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64401A4C" w14:textId="2189D02F" w:rsidR="009972E9" w:rsidRPr="00842D79" w:rsidRDefault="009972E9" w:rsidP="009972E9">
            <w:pPr>
              <w:jc w:val="left"/>
              <w:rPr>
                <w:sz w:val="18"/>
                <w:szCs w:val="18"/>
              </w:rPr>
            </w:pPr>
            <w:r w:rsidRPr="00842D79">
              <w:rPr>
                <w:sz w:val="18"/>
                <w:szCs w:val="18"/>
              </w:rPr>
              <w:t>związki podmiotów, o których mowa w</w:t>
            </w:r>
            <w:r>
              <w:rPr>
                <w:sz w:val="18"/>
                <w:szCs w:val="18"/>
              </w:rPr>
              <w:t xml:space="preserve"> </w:t>
            </w:r>
            <w:r w:rsidRPr="00842D79">
              <w:rPr>
                <w:sz w:val="18"/>
                <w:szCs w:val="18"/>
              </w:rPr>
              <w:t>art. 4 pkt</w:t>
            </w:r>
            <w:r>
              <w:rPr>
                <w:sz w:val="18"/>
                <w:szCs w:val="18"/>
              </w:rPr>
              <w:t xml:space="preserve"> </w:t>
            </w:r>
            <w:r w:rsidRPr="00842D79">
              <w:rPr>
                <w:sz w:val="18"/>
                <w:szCs w:val="18"/>
              </w:rPr>
              <w:t>1 lub 2</w:t>
            </w:r>
            <w:r>
              <w:rPr>
                <w:sz w:val="18"/>
                <w:szCs w:val="18"/>
              </w:rPr>
              <w:t xml:space="preserve"> </w:t>
            </w:r>
            <w:r w:rsidRPr="00842D79">
              <w:rPr>
                <w:sz w:val="18"/>
                <w:szCs w:val="18"/>
              </w:rPr>
              <w:t>ustawy</w:t>
            </w:r>
            <w:r>
              <w:rPr>
                <w:sz w:val="18"/>
                <w:szCs w:val="18"/>
              </w:rPr>
              <w:t xml:space="preserve"> Pzp </w:t>
            </w:r>
            <w:r w:rsidRPr="00842D79">
              <w:rPr>
                <w:sz w:val="18"/>
                <w:szCs w:val="18"/>
              </w:rPr>
              <w:t>lub podmiotów, o których mowa w</w:t>
            </w:r>
            <w:r>
              <w:rPr>
                <w:sz w:val="18"/>
                <w:szCs w:val="18"/>
              </w:rPr>
              <w:t xml:space="preserve"> </w:t>
            </w:r>
            <w:r w:rsidRPr="00842D79">
              <w:rPr>
                <w:sz w:val="18"/>
                <w:szCs w:val="18"/>
              </w:rPr>
              <w:t>art. 4</w:t>
            </w:r>
            <w:r>
              <w:rPr>
                <w:sz w:val="18"/>
                <w:szCs w:val="18"/>
              </w:rPr>
              <w:t xml:space="preserve"> </w:t>
            </w:r>
            <w:r w:rsidRPr="00842D79">
              <w:rPr>
                <w:sz w:val="18"/>
                <w:szCs w:val="18"/>
              </w:rPr>
              <w:t>pkt 3 ustawy</w:t>
            </w:r>
            <w:r>
              <w:rPr>
                <w:sz w:val="18"/>
                <w:szCs w:val="18"/>
              </w:rPr>
              <w:t xml:space="preserve"> Pzp</w:t>
            </w:r>
          </w:p>
        </w:tc>
        <w:tc>
          <w:tcPr>
            <w:tcW w:w="2126" w:type="dxa"/>
            <w:tcBorders>
              <w:left w:val="single" w:sz="4" w:space="0" w:color="FFFFFF"/>
            </w:tcBorders>
            <w:shd w:val="clear" w:color="auto" w:fill="auto"/>
            <w:vAlign w:val="center"/>
          </w:tcPr>
          <w:p w14:paraId="0A3DB2AD" w14:textId="57595D15" w:rsidR="009972E9" w:rsidRPr="001F2D2A" w:rsidRDefault="009972E9" w:rsidP="001F2D2A">
            <w:pPr>
              <w:jc w:val="center"/>
              <w:rPr>
                <w:sz w:val="18"/>
                <w:szCs w:val="18"/>
              </w:rPr>
            </w:pPr>
            <w:r w:rsidRPr="001F2D2A">
              <w:rPr>
                <w:sz w:val="18"/>
                <w:szCs w:val="18"/>
              </w:rPr>
              <w:t>1,36%</w:t>
            </w:r>
          </w:p>
        </w:tc>
      </w:tr>
      <w:tr w:rsidR="009972E9" w:rsidRPr="00842D79" w14:paraId="41A71372" w14:textId="77777777" w:rsidTr="003E40C9">
        <w:tc>
          <w:tcPr>
            <w:tcW w:w="431" w:type="dxa"/>
            <w:tcBorders>
              <w:right w:val="single" w:sz="4" w:space="0" w:color="FFFFFF"/>
            </w:tcBorders>
            <w:shd w:val="clear" w:color="auto" w:fill="00B0F0"/>
            <w:vAlign w:val="center"/>
          </w:tcPr>
          <w:p w14:paraId="166BFE78"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00B0F0"/>
            <w:vAlign w:val="center"/>
          </w:tcPr>
          <w:p w14:paraId="480DF991" w14:textId="008FC609" w:rsidR="009972E9" w:rsidRPr="00842D79" w:rsidRDefault="009972E9" w:rsidP="009972E9">
            <w:pPr>
              <w:jc w:val="left"/>
              <w:rPr>
                <w:sz w:val="18"/>
                <w:szCs w:val="18"/>
              </w:rPr>
            </w:pPr>
            <w:r w:rsidRPr="00842D79">
              <w:rPr>
                <w:sz w:val="18"/>
                <w:szCs w:val="18"/>
              </w:rPr>
              <w:t xml:space="preserve">osoba prawna, o której mowa w art. 4 pkt 3 ustawy </w:t>
            </w:r>
            <w:r>
              <w:rPr>
                <w:sz w:val="18"/>
                <w:szCs w:val="18"/>
              </w:rPr>
              <w:t xml:space="preserve">Pzp </w:t>
            </w:r>
            <w:r w:rsidRPr="00842D79">
              <w:rPr>
                <w:sz w:val="18"/>
                <w:szCs w:val="18"/>
              </w:rPr>
              <w:t>(podmiot prawa publicznego)</w:t>
            </w:r>
          </w:p>
        </w:tc>
        <w:tc>
          <w:tcPr>
            <w:tcW w:w="2126" w:type="dxa"/>
            <w:tcBorders>
              <w:left w:val="single" w:sz="4" w:space="0" w:color="FFFFFF"/>
            </w:tcBorders>
            <w:shd w:val="clear" w:color="auto" w:fill="00B0F0"/>
            <w:vAlign w:val="center"/>
          </w:tcPr>
          <w:p w14:paraId="5B2BFD73" w14:textId="45898800" w:rsidR="009972E9" w:rsidRPr="001F2D2A" w:rsidRDefault="009972E9" w:rsidP="001F2D2A">
            <w:pPr>
              <w:jc w:val="center"/>
              <w:rPr>
                <w:sz w:val="18"/>
                <w:szCs w:val="18"/>
              </w:rPr>
            </w:pPr>
            <w:r w:rsidRPr="001F2D2A">
              <w:rPr>
                <w:sz w:val="18"/>
                <w:szCs w:val="18"/>
              </w:rPr>
              <w:t>4,11%</w:t>
            </w:r>
          </w:p>
        </w:tc>
      </w:tr>
      <w:tr w:rsidR="009972E9" w:rsidRPr="00842D79" w14:paraId="0F85A06D" w14:textId="77777777" w:rsidTr="003E40C9">
        <w:tc>
          <w:tcPr>
            <w:tcW w:w="431" w:type="dxa"/>
            <w:tcBorders>
              <w:right w:val="single" w:sz="4" w:space="0" w:color="FFFFFF"/>
            </w:tcBorders>
            <w:shd w:val="clear" w:color="auto" w:fill="auto"/>
            <w:vAlign w:val="center"/>
          </w:tcPr>
          <w:p w14:paraId="41A1E11E" w14:textId="77777777" w:rsidR="009972E9" w:rsidRPr="00842D79" w:rsidRDefault="009972E9" w:rsidP="009972E9">
            <w:pPr>
              <w:spacing w:before="60" w:after="60"/>
              <w:jc w:val="left"/>
              <w:rPr>
                <w:sz w:val="18"/>
                <w:szCs w:val="18"/>
              </w:rPr>
            </w:pPr>
          </w:p>
        </w:tc>
        <w:tc>
          <w:tcPr>
            <w:tcW w:w="6628" w:type="dxa"/>
            <w:tcBorders>
              <w:right w:val="single" w:sz="4" w:space="0" w:color="FFFFFF"/>
            </w:tcBorders>
            <w:shd w:val="clear" w:color="auto" w:fill="auto"/>
            <w:vAlign w:val="center"/>
          </w:tcPr>
          <w:p w14:paraId="7A461A88" w14:textId="77777777" w:rsidR="009972E9" w:rsidRPr="00842D79" w:rsidRDefault="009972E9" w:rsidP="009972E9">
            <w:pPr>
              <w:jc w:val="left"/>
              <w:rPr>
                <w:sz w:val="18"/>
                <w:szCs w:val="18"/>
              </w:rPr>
            </w:pPr>
            <w:r w:rsidRPr="00842D79">
              <w:rPr>
                <w:sz w:val="18"/>
                <w:szCs w:val="18"/>
              </w:rPr>
              <w:t>inny zamawiający</w:t>
            </w:r>
          </w:p>
        </w:tc>
        <w:tc>
          <w:tcPr>
            <w:tcW w:w="2126" w:type="dxa"/>
            <w:tcBorders>
              <w:left w:val="single" w:sz="4" w:space="0" w:color="FFFFFF"/>
            </w:tcBorders>
            <w:shd w:val="clear" w:color="auto" w:fill="auto"/>
            <w:vAlign w:val="center"/>
          </w:tcPr>
          <w:p w14:paraId="6E74BD0D" w14:textId="73B08CE9" w:rsidR="009972E9" w:rsidRPr="001F2D2A" w:rsidRDefault="009972E9" w:rsidP="001F2D2A">
            <w:pPr>
              <w:jc w:val="center"/>
              <w:rPr>
                <w:sz w:val="18"/>
                <w:szCs w:val="18"/>
              </w:rPr>
            </w:pPr>
            <w:r w:rsidRPr="001F2D2A">
              <w:rPr>
                <w:sz w:val="18"/>
                <w:szCs w:val="18"/>
              </w:rPr>
              <w:t>14,56%</w:t>
            </w:r>
          </w:p>
        </w:tc>
      </w:tr>
      <w:tr w:rsidR="0051164A" w:rsidRPr="00842D79" w14:paraId="5A1AA549" w14:textId="77777777" w:rsidTr="001F2D2A">
        <w:tc>
          <w:tcPr>
            <w:tcW w:w="7059" w:type="dxa"/>
            <w:gridSpan w:val="2"/>
            <w:tcBorders>
              <w:right w:val="single" w:sz="4" w:space="0" w:color="FFFFFF"/>
            </w:tcBorders>
            <w:shd w:val="clear" w:color="auto" w:fill="00B0F0"/>
            <w:vAlign w:val="center"/>
          </w:tcPr>
          <w:p w14:paraId="14681D16" w14:textId="77777777" w:rsidR="0051164A" w:rsidRPr="00842D79" w:rsidRDefault="0051164A" w:rsidP="0042706A">
            <w:pPr>
              <w:spacing w:before="60" w:after="60"/>
              <w:jc w:val="left"/>
              <w:rPr>
                <w:b/>
                <w:sz w:val="18"/>
                <w:szCs w:val="18"/>
              </w:rPr>
            </w:pPr>
            <w:r w:rsidRPr="00842D79">
              <w:rPr>
                <w:b/>
                <w:sz w:val="18"/>
                <w:szCs w:val="18"/>
              </w:rPr>
              <w:t>Zamawiający sektorowy</w:t>
            </w:r>
          </w:p>
        </w:tc>
        <w:tc>
          <w:tcPr>
            <w:tcW w:w="2126" w:type="dxa"/>
            <w:tcBorders>
              <w:left w:val="single" w:sz="4" w:space="0" w:color="FFFFFF"/>
            </w:tcBorders>
            <w:shd w:val="clear" w:color="auto" w:fill="00B0F0"/>
            <w:vAlign w:val="center"/>
          </w:tcPr>
          <w:p w14:paraId="7930A443" w14:textId="0126DB24" w:rsidR="0051164A" w:rsidRPr="001F2D2A" w:rsidRDefault="0051164A" w:rsidP="001F2D2A">
            <w:pPr>
              <w:spacing w:before="60" w:after="60"/>
              <w:jc w:val="center"/>
              <w:rPr>
                <w:b/>
                <w:sz w:val="18"/>
                <w:szCs w:val="18"/>
              </w:rPr>
            </w:pPr>
            <w:r w:rsidRPr="001F2D2A">
              <w:rPr>
                <w:b/>
                <w:sz w:val="18"/>
                <w:szCs w:val="18"/>
              </w:rPr>
              <w:t>2,</w:t>
            </w:r>
            <w:r w:rsidR="009A516E" w:rsidRPr="001F2D2A">
              <w:rPr>
                <w:b/>
                <w:sz w:val="18"/>
                <w:szCs w:val="18"/>
              </w:rPr>
              <w:t>04</w:t>
            </w:r>
            <w:r w:rsidRPr="001F2D2A">
              <w:rPr>
                <w:b/>
                <w:sz w:val="18"/>
                <w:szCs w:val="18"/>
              </w:rPr>
              <w:t>%</w:t>
            </w:r>
          </w:p>
        </w:tc>
      </w:tr>
      <w:tr w:rsidR="0051164A" w:rsidRPr="00842D79" w14:paraId="2C3A8875" w14:textId="77777777" w:rsidTr="001F2D2A">
        <w:tc>
          <w:tcPr>
            <w:tcW w:w="7059" w:type="dxa"/>
            <w:gridSpan w:val="2"/>
            <w:tcBorders>
              <w:right w:val="single" w:sz="4" w:space="0" w:color="FFFFFF"/>
            </w:tcBorders>
            <w:shd w:val="clear" w:color="auto" w:fill="auto"/>
            <w:vAlign w:val="center"/>
          </w:tcPr>
          <w:p w14:paraId="4B43C09A" w14:textId="77777777" w:rsidR="0051164A" w:rsidRPr="00842D79" w:rsidRDefault="0051164A" w:rsidP="0042706A">
            <w:pPr>
              <w:spacing w:before="60" w:after="60"/>
              <w:jc w:val="left"/>
              <w:rPr>
                <w:b/>
                <w:sz w:val="18"/>
                <w:szCs w:val="18"/>
              </w:rPr>
            </w:pPr>
            <w:r w:rsidRPr="00842D79">
              <w:rPr>
                <w:b/>
                <w:sz w:val="18"/>
                <w:szCs w:val="18"/>
              </w:rPr>
              <w:t>Zamawiający subsydiowany</w:t>
            </w:r>
          </w:p>
        </w:tc>
        <w:tc>
          <w:tcPr>
            <w:tcW w:w="2126" w:type="dxa"/>
            <w:tcBorders>
              <w:left w:val="single" w:sz="4" w:space="0" w:color="FFFFFF"/>
            </w:tcBorders>
            <w:shd w:val="clear" w:color="auto" w:fill="auto"/>
            <w:vAlign w:val="center"/>
          </w:tcPr>
          <w:p w14:paraId="0140C10C" w14:textId="7C556DC3" w:rsidR="0051164A" w:rsidRPr="001F2D2A" w:rsidRDefault="00530F20" w:rsidP="001F2D2A">
            <w:pPr>
              <w:jc w:val="center"/>
              <w:rPr>
                <w:b/>
                <w:sz w:val="18"/>
                <w:szCs w:val="18"/>
              </w:rPr>
            </w:pPr>
            <w:r w:rsidRPr="001F2D2A">
              <w:rPr>
                <w:b/>
                <w:sz w:val="18"/>
                <w:szCs w:val="18"/>
              </w:rPr>
              <w:t>3</w:t>
            </w:r>
            <w:r w:rsidR="0051164A" w:rsidRPr="001F2D2A">
              <w:rPr>
                <w:b/>
                <w:sz w:val="18"/>
                <w:szCs w:val="18"/>
              </w:rPr>
              <w:t>,1</w:t>
            </w:r>
            <w:r w:rsidRPr="001F2D2A">
              <w:rPr>
                <w:b/>
                <w:sz w:val="18"/>
                <w:szCs w:val="18"/>
              </w:rPr>
              <w:t>6</w:t>
            </w:r>
            <w:r w:rsidR="0051164A" w:rsidRPr="001F2D2A">
              <w:rPr>
                <w:b/>
                <w:sz w:val="18"/>
                <w:szCs w:val="18"/>
              </w:rPr>
              <w:t>%</w:t>
            </w:r>
          </w:p>
        </w:tc>
      </w:tr>
      <w:tr w:rsidR="0051164A" w:rsidRPr="00842D79" w14:paraId="4ADF80D0" w14:textId="77777777" w:rsidTr="001F2D2A">
        <w:tc>
          <w:tcPr>
            <w:tcW w:w="7059" w:type="dxa"/>
            <w:gridSpan w:val="2"/>
            <w:tcBorders>
              <w:right w:val="single" w:sz="4" w:space="0" w:color="FFFFFF"/>
            </w:tcBorders>
            <w:shd w:val="clear" w:color="auto" w:fill="00B0F0"/>
            <w:vAlign w:val="center"/>
          </w:tcPr>
          <w:p w14:paraId="5C91B297" w14:textId="77777777" w:rsidR="0051164A" w:rsidRPr="00842D79" w:rsidRDefault="0051164A" w:rsidP="0042706A">
            <w:pPr>
              <w:spacing w:before="60" w:after="60"/>
              <w:jc w:val="left"/>
              <w:rPr>
                <w:b/>
                <w:sz w:val="18"/>
                <w:szCs w:val="18"/>
              </w:rPr>
            </w:pPr>
            <w:r w:rsidRPr="00842D79">
              <w:rPr>
                <w:b/>
                <w:sz w:val="18"/>
                <w:szCs w:val="18"/>
              </w:rPr>
              <w:t>Zamawiający publiczny udzielający zamówienia w dziedzinach obronności i bezpieczeństwa (art. 7 pkt 36 ustawy Pzp)</w:t>
            </w:r>
          </w:p>
        </w:tc>
        <w:tc>
          <w:tcPr>
            <w:tcW w:w="2126" w:type="dxa"/>
            <w:tcBorders>
              <w:left w:val="single" w:sz="4" w:space="0" w:color="FFFFFF"/>
            </w:tcBorders>
            <w:shd w:val="clear" w:color="auto" w:fill="00B0F0"/>
            <w:vAlign w:val="center"/>
          </w:tcPr>
          <w:p w14:paraId="5C7D3823" w14:textId="79A4F099" w:rsidR="0051164A" w:rsidRPr="001F2D2A" w:rsidRDefault="0051164A" w:rsidP="001F2D2A">
            <w:pPr>
              <w:jc w:val="center"/>
              <w:rPr>
                <w:b/>
                <w:sz w:val="18"/>
                <w:szCs w:val="18"/>
              </w:rPr>
            </w:pPr>
            <w:r w:rsidRPr="001F2D2A">
              <w:rPr>
                <w:b/>
                <w:sz w:val="18"/>
                <w:szCs w:val="18"/>
              </w:rPr>
              <w:t>0,</w:t>
            </w:r>
            <w:r w:rsidR="00D53B05" w:rsidRPr="001F2D2A">
              <w:rPr>
                <w:b/>
                <w:sz w:val="18"/>
                <w:szCs w:val="18"/>
              </w:rPr>
              <w:t>46</w:t>
            </w:r>
            <w:r w:rsidRPr="001F2D2A">
              <w:rPr>
                <w:b/>
                <w:sz w:val="18"/>
                <w:szCs w:val="18"/>
              </w:rPr>
              <w:t>%</w:t>
            </w:r>
          </w:p>
        </w:tc>
      </w:tr>
      <w:tr w:rsidR="0051164A" w:rsidRPr="00842D79" w14:paraId="15335A87" w14:textId="77777777" w:rsidTr="001F2D2A">
        <w:tc>
          <w:tcPr>
            <w:tcW w:w="7059" w:type="dxa"/>
            <w:gridSpan w:val="2"/>
            <w:tcBorders>
              <w:right w:val="single" w:sz="4" w:space="0" w:color="FFFFFF"/>
            </w:tcBorders>
            <w:shd w:val="clear" w:color="auto" w:fill="auto"/>
            <w:vAlign w:val="center"/>
          </w:tcPr>
          <w:p w14:paraId="7B5D8D31" w14:textId="77777777" w:rsidR="0051164A" w:rsidRPr="00842D79" w:rsidRDefault="0051164A" w:rsidP="0042706A">
            <w:pPr>
              <w:spacing w:before="60" w:after="60"/>
              <w:jc w:val="left"/>
              <w:rPr>
                <w:b/>
                <w:sz w:val="18"/>
                <w:szCs w:val="18"/>
              </w:rPr>
            </w:pPr>
            <w:r w:rsidRPr="00842D79">
              <w:rPr>
                <w:b/>
                <w:sz w:val="18"/>
                <w:szCs w:val="18"/>
              </w:rPr>
              <w:t>Zamawiający sektorowy udzielający zamówienia w dziedzinach obronności i bezpieczeństwa (art. 7 pkt 36 ustawy Pzp)</w:t>
            </w:r>
          </w:p>
        </w:tc>
        <w:tc>
          <w:tcPr>
            <w:tcW w:w="2126" w:type="dxa"/>
            <w:tcBorders>
              <w:left w:val="single" w:sz="4" w:space="0" w:color="FFFFFF"/>
            </w:tcBorders>
            <w:shd w:val="clear" w:color="auto" w:fill="auto"/>
            <w:vAlign w:val="center"/>
          </w:tcPr>
          <w:p w14:paraId="4EFE84A4" w14:textId="25540866" w:rsidR="0051164A" w:rsidRPr="001F2D2A" w:rsidRDefault="00D53B05" w:rsidP="001F2D2A">
            <w:pPr>
              <w:jc w:val="center"/>
              <w:rPr>
                <w:b/>
                <w:sz w:val="18"/>
                <w:szCs w:val="18"/>
              </w:rPr>
            </w:pPr>
            <w:r w:rsidRPr="001F2D2A">
              <w:rPr>
                <w:b/>
                <w:sz w:val="18"/>
                <w:szCs w:val="18"/>
              </w:rPr>
              <w:t>0,02</w:t>
            </w:r>
            <w:r w:rsidR="0051164A" w:rsidRPr="001F2D2A">
              <w:rPr>
                <w:b/>
                <w:sz w:val="18"/>
                <w:szCs w:val="18"/>
              </w:rPr>
              <w:t>%</w:t>
            </w:r>
          </w:p>
        </w:tc>
      </w:tr>
    </w:tbl>
    <w:p w14:paraId="6E24A370" w14:textId="045417B5" w:rsidR="0051164A" w:rsidRDefault="0051164A" w:rsidP="0051164A">
      <w:pPr>
        <w:rPr>
          <w:szCs w:val="22"/>
        </w:rPr>
      </w:pPr>
    </w:p>
    <w:p w14:paraId="291E240B" w14:textId="09068A5A" w:rsidR="001C08CE" w:rsidRDefault="001C08CE" w:rsidP="0051164A">
      <w:pPr>
        <w:rPr>
          <w:szCs w:val="22"/>
        </w:rPr>
      </w:pPr>
    </w:p>
    <w:p w14:paraId="1884DAEB" w14:textId="343CBD60" w:rsidR="001C08CE" w:rsidRPr="002B6985" w:rsidRDefault="001C08CE" w:rsidP="0000783B">
      <w:pPr>
        <w:pStyle w:val="Legenda"/>
      </w:pPr>
      <w:bookmarkStart w:id="53" w:name="_Toc141276481"/>
      <w:r w:rsidRPr="00C55DB2">
        <w:t xml:space="preserve">Rys. </w:t>
      </w:r>
      <w:r w:rsidR="00BE2079">
        <w:fldChar w:fldCharType="begin"/>
      </w:r>
      <w:r w:rsidR="00BE2079">
        <w:instrText xml:space="preserve"> SEQ Rys. \* ARABIC </w:instrText>
      </w:r>
      <w:r w:rsidR="00BE2079">
        <w:fldChar w:fldCharType="separate"/>
      </w:r>
      <w:r w:rsidR="00A43C68">
        <w:rPr>
          <w:noProof/>
        </w:rPr>
        <w:t>3</w:t>
      </w:r>
      <w:r w:rsidR="00BE2079">
        <w:rPr>
          <w:noProof/>
        </w:rPr>
        <w:fldChar w:fldCharType="end"/>
      </w:r>
      <w:r w:rsidRPr="00C55DB2">
        <w:t>. Liczba przekazanych rocznych sprawozdań o udzielonych zamówieniach w 202</w:t>
      </w:r>
      <w:r w:rsidR="00EF16BA" w:rsidRPr="00C55DB2">
        <w:t>2</w:t>
      </w:r>
      <w:r w:rsidRPr="00C55DB2">
        <w:t xml:space="preserve"> </w:t>
      </w:r>
      <w:r w:rsidR="00C7489A">
        <w:t xml:space="preserve">r. </w:t>
      </w:r>
      <w:r w:rsidRPr="00C55DB2">
        <w:t>w podzia</w:t>
      </w:r>
      <w:r w:rsidR="006F4AB9" w:rsidRPr="00C55DB2">
        <w:t>le</w:t>
      </w:r>
      <w:r w:rsidRPr="00C55DB2">
        <w:t xml:space="preserve"> na województwa</w:t>
      </w:r>
      <w:bookmarkEnd w:id="53"/>
    </w:p>
    <w:p w14:paraId="5AF66700" w14:textId="599B516D" w:rsidR="001C08CE" w:rsidRDefault="00C55DB2" w:rsidP="0051164A">
      <w:pPr>
        <w:rPr>
          <w:szCs w:val="22"/>
        </w:rPr>
      </w:pPr>
      <w:r>
        <w:rPr>
          <w:noProof/>
          <w:szCs w:val="22"/>
        </w:rPr>
        <w:drawing>
          <wp:inline distT="0" distB="0" distL="0" distR="0" wp14:anchorId="22EC843F" wp14:editId="1A581E2A">
            <wp:extent cx="5900400" cy="5263200"/>
            <wp:effectExtent l="0" t="0" r="5715" b="0"/>
            <wp:docPr id="163935095" name="Obraz 16393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0400" cy="5263200"/>
                    </a:xfrm>
                    <a:prstGeom prst="rect">
                      <a:avLst/>
                    </a:prstGeom>
                    <a:noFill/>
                  </pic:spPr>
                </pic:pic>
              </a:graphicData>
            </a:graphic>
          </wp:inline>
        </w:drawing>
      </w:r>
    </w:p>
    <w:p w14:paraId="1C82B6D7" w14:textId="75B86F5E" w:rsidR="005C37BA" w:rsidRDefault="005C37BA" w:rsidP="00F058DB">
      <w:pPr>
        <w:shd w:val="clear" w:color="auto" w:fill="FFFFFF"/>
      </w:pPr>
    </w:p>
    <w:p w14:paraId="3F95611C" w14:textId="77777777" w:rsidR="006A6D93" w:rsidRDefault="006A6D93"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21ECE2F0" w14:textId="77777777" w:rsidTr="004D2CDB">
        <w:trPr>
          <w:cantSplit/>
        </w:trPr>
        <w:tc>
          <w:tcPr>
            <w:tcW w:w="236" w:type="dxa"/>
            <w:shd w:val="clear" w:color="auto" w:fill="B8CCE4"/>
          </w:tcPr>
          <w:p w14:paraId="2168EC71" w14:textId="77777777" w:rsidR="00716498" w:rsidRPr="001E7D51" w:rsidRDefault="00716498" w:rsidP="00F058DB">
            <w:pPr>
              <w:rPr>
                <w:sz w:val="24"/>
              </w:rPr>
            </w:pPr>
          </w:p>
        </w:tc>
        <w:tc>
          <w:tcPr>
            <w:tcW w:w="8676" w:type="dxa"/>
          </w:tcPr>
          <w:p w14:paraId="514367AB" w14:textId="77777777" w:rsidR="00716498" w:rsidRPr="00CE56CC" w:rsidRDefault="00716498" w:rsidP="00F058DB">
            <w:pPr>
              <w:pStyle w:val="Nagwek3"/>
              <w:shd w:val="clear" w:color="auto" w:fill="FFFFFF"/>
              <w:spacing w:after="120"/>
              <w:ind w:left="0"/>
              <w:rPr>
                <w:color w:val="0070C0"/>
                <w:sz w:val="24"/>
                <w:szCs w:val="24"/>
              </w:rPr>
            </w:pPr>
            <w:bookmarkStart w:id="54" w:name="_Toc64451851"/>
            <w:bookmarkStart w:id="55" w:name="_Toc141276430"/>
            <w:r w:rsidRPr="00CE56CC">
              <w:rPr>
                <w:color w:val="0070C0"/>
                <w:sz w:val="24"/>
                <w:szCs w:val="24"/>
              </w:rPr>
              <w:t>II.1.3. Struktura rynku</w:t>
            </w:r>
            <w:bookmarkEnd w:id="54"/>
            <w:bookmarkEnd w:id="55"/>
          </w:p>
        </w:tc>
      </w:tr>
    </w:tbl>
    <w:p w14:paraId="3DA77921" w14:textId="2367B459" w:rsidR="00F73B5B" w:rsidRDefault="00F73B5B" w:rsidP="00F73B5B">
      <w:pPr>
        <w:shd w:val="clear" w:color="auto" w:fill="FFFFFF"/>
      </w:pPr>
    </w:p>
    <w:p w14:paraId="5C7E8436" w14:textId="3DA4A8DF" w:rsidR="005C37BA" w:rsidRDefault="009E0039" w:rsidP="00F73B5B">
      <w:pPr>
        <w:shd w:val="clear" w:color="auto" w:fill="FFFFFF"/>
      </w:pPr>
      <w:r>
        <w:t xml:space="preserve">W </w:t>
      </w:r>
      <w:r w:rsidR="00B15801">
        <w:t xml:space="preserve">2022 r. </w:t>
      </w:r>
      <w:r w:rsidR="00DD760F">
        <w:t xml:space="preserve">ponownie obniżył się </w:t>
      </w:r>
      <w:r w:rsidR="00B15801">
        <w:t>odset</w:t>
      </w:r>
      <w:r w:rsidR="00776586">
        <w:t>e</w:t>
      </w:r>
      <w:r w:rsidR="00B15801">
        <w:t>k wartości zamówień na roboty budowlane</w:t>
      </w:r>
      <w:r w:rsidR="00776586">
        <w:t xml:space="preserve">, tj. 34% wartości </w:t>
      </w:r>
      <w:r w:rsidR="00BD64BD">
        <w:t xml:space="preserve">zamówień </w:t>
      </w:r>
      <w:r w:rsidR="00776586">
        <w:t>(w 2021 r. – 39%)</w:t>
      </w:r>
      <w:r w:rsidR="00413593">
        <w:t xml:space="preserve">. </w:t>
      </w:r>
      <w:r w:rsidR="00BD64BD">
        <w:t>N</w:t>
      </w:r>
      <w:r w:rsidR="00413593">
        <w:t>ajwiększy odsetek wartości zamówień stanowiły dostawy – 37% (w 2021 r. – 31%).</w:t>
      </w:r>
    </w:p>
    <w:p w14:paraId="0A274DE7" w14:textId="622B7F08" w:rsidR="00F73B5B" w:rsidRDefault="00F73B5B" w:rsidP="00F058DB">
      <w:pPr>
        <w:shd w:val="clear" w:color="auto" w:fill="FFFFFF"/>
      </w:pPr>
    </w:p>
    <w:p w14:paraId="3B4B5B7C" w14:textId="11A78AD5" w:rsidR="00856235" w:rsidRPr="002B6985" w:rsidRDefault="00856235" w:rsidP="00741469">
      <w:pPr>
        <w:pStyle w:val="Legenda"/>
      </w:pPr>
      <w:bookmarkStart w:id="56" w:name="_Toc141276482"/>
      <w:r w:rsidRPr="00C10922">
        <w:t xml:space="preserve">Rys. </w:t>
      </w:r>
      <w:r w:rsidR="00BE2079">
        <w:fldChar w:fldCharType="begin"/>
      </w:r>
      <w:r w:rsidR="00BE2079">
        <w:instrText xml:space="preserve"> SEQ Rys. \* ARABIC </w:instrText>
      </w:r>
      <w:r w:rsidR="00BE2079">
        <w:fldChar w:fldCharType="separate"/>
      </w:r>
      <w:r w:rsidR="00A43C68">
        <w:rPr>
          <w:noProof/>
        </w:rPr>
        <w:t>4</w:t>
      </w:r>
      <w:r w:rsidR="00BE2079">
        <w:rPr>
          <w:noProof/>
        </w:rPr>
        <w:fldChar w:fldCharType="end"/>
      </w:r>
      <w:r w:rsidRPr="00C10922">
        <w:t>. Struktura wartości udzielonych zamówień w podziale na rodzaj zamówienia</w:t>
      </w:r>
      <w:bookmarkEnd w:id="56"/>
    </w:p>
    <w:p w14:paraId="5501703F" w14:textId="6B7D3A1D" w:rsidR="00856235" w:rsidRDefault="00C10922" w:rsidP="00856235">
      <w:pPr>
        <w:rPr>
          <w:szCs w:val="22"/>
        </w:rPr>
      </w:pPr>
      <w:r>
        <w:rPr>
          <w:noProof/>
        </w:rPr>
        <w:drawing>
          <wp:inline distT="0" distB="0" distL="0" distR="0" wp14:anchorId="3E2B68B7" wp14:editId="664EB938">
            <wp:extent cx="4572000" cy="2743200"/>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F8DC4A7" w14:textId="77777777" w:rsidR="00856235" w:rsidRDefault="00856235" w:rsidP="0051164A">
      <w:pPr>
        <w:rPr>
          <w:szCs w:val="22"/>
        </w:rPr>
      </w:pPr>
    </w:p>
    <w:p w14:paraId="759768A0" w14:textId="6933B0CE" w:rsidR="00856235" w:rsidRDefault="00CE74D6" w:rsidP="0051164A">
      <w:pPr>
        <w:rPr>
          <w:szCs w:val="22"/>
        </w:rPr>
      </w:pPr>
      <w:r>
        <w:rPr>
          <w:szCs w:val="22"/>
        </w:rPr>
        <w:t xml:space="preserve">Nie uległa zmianie struktura ilościowa: </w:t>
      </w:r>
      <w:r w:rsidRPr="00CE74D6">
        <w:rPr>
          <w:szCs w:val="22"/>
        </w:rPr>
        <w:t>najwięcej zamówień od kilku lat dotyczy dostaw. W 202</w:t>
      </w:r>
      <w:r>
        <w:rPr>
          <w:szCs w:val="22"/>
        </w:rPr>
        <w:t>2</w:t>
      </w:r>
      <w:r w:rsidRPr="00CE74D6">
        <w:rPr>
          <w:szCs w:val="22"/>
        </w:rPr>
        <w:t xml:space="preserve"> r. </w:t>
      </w:r>
      <w:r w:rsidR="00DD32F1">
        <w:rPr>
          <w:szCs w:val="22"/>
        </w:rPr>
        <w:t xml:space="preserve">było to </w:t>
      </w:r>
      <w:r w:rsidRPr="00CE74D6">
        <w:rPr>
          <w:szCs w:val="22"/>
        </w:rPr>
        <w:t>4</w:t>
      </w:r>
      <w:r>
        <w:rPr>
          <w:szCs w:val="22"/>
        </w:rPr>
        <w:t>1</w:t>
      </w:r>
      <w:r w:rsidRPr="00CE74D6">
        <w:rPr>
          <w:szCs w:val="22"/>
        </w:rPr>
        <w:t>% wszystkich zamówień (w 202</w:t>
      </w:r>
      <w:r>
        <w:rPr>
          <w:szCs w:val="22"/>
        </w:rPr>
        <w:t>1</w:t>
      </w:r>
      <w:r w:rsidRPr="00CE74D6">
        <w:rPr>
          <w:szCs w:val="22"/>
        </w:rPr>
        <w:t xml:space="preserve"> r. – 4</w:t>
      </w:r>
      <w:r>
        <w:rPr>
          <w:szCs w:val="22"/>
        </w:rPr>
        <w:t>0</w:t>
      </w:r>
      <w:r w:rsidRPr="00CE74D6">
        <w:rPr>
          <w:szCs w:val="22"/>
        </w:rPr>
        <w:t>%).</w:t>
      </w:r>
      <w:r>
        <w:rPr>
          <w:szCs w:val="22"/>
        </w:rPr>
        <w:t xml:space="preserve"> </w:t>
      </w:r>
    </w:p>
    <w:p w14:paraId="57F35283" w14:textId="7C0A6FE7" w:rsidR="00856235" w:rsidRDefault="00856235" w:rsidP="0051164A">
      <w:pPr>
        <w:rPr>
          <w:szCs w:val="22"/>
        </w:rPr>
      </w:pPr>
    </w:p>
    <w:p w14:paraId="3DC57DEC" w14:textId="2D227AB8" w:rsidR="002503E4" w:rsidRDefault="002503E4" w:rsidP="00741469">
      <w:pPr>
        <w:pStyle w:val="Legenda"/>
      </w:pPr>
      <w:bookmarkStart w:id="57" w:name="_Toc141276483"/>
      <w:r w:rsidRPr="00CE56CC">
        <w:t xml:space="preserve">Rys. </w:t>
      </w:r>
      <w:r w:rsidR="00BE2079">
        <w:fldChar w:fldCharType="begin"/>
      </w:r>
      <w:r w:rsidR="00BE2079">
        <w:instrText xml:space="preserve"> SEQ Rys. \* ARABIC </w:instrText>
      </w:r>
      <w:r w:rsidR="00BE2079">
        <w:fldChar w:fldCharType="separate"/>
      </w:r>
      <w:r w:rsidR="00A43C68">
        <w:rPr>
          <w:noProof/>
        </w:rPr>
        <w:t>5</w:t>
      </w:r>
      <w:r w:rsidR="00BE2079">
        <w:rPr>
          <w:noProof/>
        </w:rPr>
        <w:fldChar w:fldCharType="end"/>
      </w:r>
      <w:r w:rsidRPr="00CE56CC">
        <w:t>. Struktura liczby udzielonych zamówień w podziale na rodzaj zamówienia</w:t>
      </w:r>
      <w:bookmarkEnd w:id="57"/>
    </w:p>
    <w:p w14:paraId="5C7CA4EB" w14:textId="7E39B1AF" w:rsidR="002503E4" w:rsidRDefault="002437EF" w:rsidP="002503E4">
      <w:pPr>
        <w:rPr>
          <w:szCs w:val="22"/>
        </w:rPr>
      </w:pPr>
      <w:r>
        <w:rPr>
          <w:noProof/>
        </w:rPr>
        <w:drawing>
          <wp:inline distT="0" distB="0" distL="0" distR="0" wp14:anchorId="06628415" wp14:editId="064645EE">
            <wp:extent cx="4572000" cy="2743200"/>
            <wp:effectExtent l="0" t="0" r="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7F94498" w14:textId="7A2DC544" w:rsidR="00856235" w:rsidRDefault="00856235" w:rsidP="0051164A">
      <w:pPr>
        <w:rPr>
          <w:szCs w:val="22"/>
        </w:rPr>
      </w:pPr>
    </w:p>
    <w:p w14:paraId="703BECAC"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3E0F8638" w14:textId="77777777" w:rsidTr="004D2CDB">
        <w:trPr>
          <w:cantSplit/>
        </w:trPr>
        <w:tc>
          <w:tcPr>
            <w:tcW w:w="236" w:type="dxa"/>
            <w:shd w:val="clear" w:color="auto" w:fill="B8CCE4"/>
          </w:tcPr>
          <w:p w14:paraId="45F3781F" w14:textId="77777777" w:rsidR="00716498" w:rsidRPr="001E7D51" w:rsidRDefault="00716498" w:rsidP="00F058DB">
            <w:pPr>
              <w:rPr>
                <w:sz w:val="24"/>
              </w:rPr>
            </w:pPr>
          </w:p>
        </w:tc>
        <w:tc>
          <w:tcPr>
            <w:tcW w:w="8676" w:type="dxa"/>
          </w:tcPr>
          <w:p w14:paraId="28541DFF" w14:textId="77777777" w:rsidR="00716498" w:rsidRPr="008716E4" w:rsidRDefault="00716498" w:rsidP="00F058DB">
            <w:pPr>
              <w:pStyle w:val="Nagwek3"/>
              <w:shd w:val="clear" w:color="auto" w:fill="FFFFFF"/>
              <w:spacing w:after="120"/>
              <w:ind w:left="0"/>
              <w:rPr>
                <w:color w:val="0070C0"/>
                <w:sz w:val="24"/>
                <w:szCs w:val="24"/>
              </w:rPr>
            </w:pPr>
            <w:bookmarkStart w:id="58" w:name="_Toc64451852"/>
            <w:bookmarkStart w:id="59" w:name="_Toc141276431"/>
            <w:r w:rsidRPr="008716E4">
              <w:rPr>
                <w:color w:val="0070C0"/>
                <w:sz w:val="24"/>
                <w:szCs w:val="24"/>
              </w:rPr>
              <w:t>II.1.4. Zamówienia sektorowe</w:t>
            </w:r>
            <w:bookmarkEnd w:id="58"/>
            <w:bookmarkEnd w:id="59"/>
          </w:p>
        </w:tc>
      </w:tr>
    </w:tbl>
    <w:p w14:paraId="244368B4" w14:textId="6F94CEDB" w:rsidR="00F73B5B" w:rsidRDefault="00F73B5B" w:rsidP="00F058DB">
      <w:pPr>
        <w:shd w:val="clear" w:color="auto" w:fill="FFFFFF"/>
      </w:pPr>
    </w:p>
    <w:p w14:paraId="61928BA3" w14:textId="6CC691BB" w:rsidR="0084594B" w:rsidRDefault="0084594B" w:rsidP="0084594B">
      <w:pPr>
        <w:rPr>
          <w:szCs w:val="22"/>
        </w:rPr>
      </w:pPr>
      <w:r w:rsidRPr="00D45AC0">
        <w:rPr>
          <w:szCs w:val="22"/>
        </w:rPr>
        <w:t>W 202</w:t>
      </w:r>
      <w:r>
        <w:rPr>
          <w:szCs w:val="22"/>
        </w:rPr>
        <w:t>2</w:t>
      </w:r>
      <w:r w:rsidRPr="00D45AC0">
        <w:rPr>
          <w:szCs w:val="22"/>
        </w:rPr>
        <w:t xml:space="preserve"> r. wartość </w:t>
      </w:r>
      <w:r>
        <w:rPr>
          <w:szCs w:val="22"/>
        </w:rPr>
        <w:t xml:space="preserve">udzielonych </w:t>
      </w:r>
      <w:r w:rsidRPr="00D45AC0">
        <w:rPr>
          <w:szCs w:val="22"/>
        </w:rPr>
        <w:t xml:space="preserve">zamówień sektorowych wyniosła </w:t>
      </w:r>
      <w:r>
        <w:rPr>
          <w:szCs w:val="22"/>
        </w:rPr>
        <w:t xml:space="preserve">ok. </w:t>
      </w:r>
      <w:r w:rsidR="00234EA1" w:rsidRPr="00234EA1">
        <w:rPr>
          <w:szCs w:val="22"/>
        </w:rPr>
        <w:t>64,187</w:t>
      </w:r>
      <w:r w:rsidRPr="00D45AC0">
        <w:rPr>
          <w:szCs w:val="22"/>
        </w:rPr>
        <w:t xml:space="preserve"> mld zł (w 20</w:t>
      </w:r>
      <w:r>
        <w:rPr>
          <w:szCs w:val="22"/>
        </w:rPr>
        <w:t>21</w:t>
      </w:r>
      <w:r w:rsidRPr="00D45AC0">
        <w:rPr>
          <w:szCs w:val="22"/>
        </w:rPr>
        <w:t xml:space="preserve"> r. – </w:t>
      </w:r>
      <w:r>
        <w:rPr>
          <w:szCs w:val="22"/>
        </w:rPr>
        <w:t>32</w:t>
      </w:r>
      <w:r w:rsidRPr="00D45AC0">
        <w:rPr>
          <w:szCs w:val="22"/>
        </w:rPr>
        <w:t>,</w:t>
      </w:r>
      <w:r>
        <w:rPr>
          <w:szCs w:val="22"/>
        </w:rPr>
        <w:t>451</w:t>
      </w:r>
      <w:r w:rsidRPr="00D45AC0">
        <w:rPr>
          <w:szCs w:val="22"/>
        </w:rPr>
        <w:t xml:space="preserve"> mld zł), tj. ok. </w:t>
      </w:r>
      <w:r w:rsidR="00460194">
        <w:rPr>
          <w:szCs w:val="22"/>
        </w:rPr>
        <w:t>23</w:t>
      </w:r>
      <w:r w:rsidRPr="00D45AC0">
        <w:rPr>
          <w:szCs w:val="22"/>
        </w:rPr>
        <w:t xml:space="preserve">% wartości wszystkich zamówień udzielanych na podstawie przepisów ustawy </w:t>
      </w:r>
      <w:r>
        <w:rPr>
          <w:szCs w:val="22"/>
        </w:rPr>
        <w:t>Pzp</w:t>
      </w:r>
      <w:r w:rsidRPr="00D45AC0">
        <w:rPr>
          <w:szCs w:val="22"/>
        </w:rPr>
        <w:t xml:space="preserve"> (w 20</w:t>
      </w:r>
      <w:r>
        <w:rPr>
          <w:szCs w:val="22"/>
        </w:rPr>
        <w:t>21</w:t>
      </w:r>
      <w:r w:rsidRPr="00D45AC0">
        <w:rPr>
          <w:szCs w:val="22"/>
        </w:rPr>
        <w:t xml:space="preserve"> r. ok. </w:t>
      </w:r>
      <w:r>
        <w:rPr>
          <w:szCs w:val="22"/>
        </w:rPr>
        <w:t>18</w:t>
      </w:r>
      <w:r w:rsidRPr="00D45AC0">
        <w:rPr>
          <w:szCs w:val="22"/>
        </w:rPr>
        <w:t>%).</w:t>
      </w:r>
    </w:p>
    <w:p w14:paraId="2F311F63" w14:textId="77777777" w:rsidR="005C37BA" w:rsidRDefault="005C37BA" w:rsidP="009A3766">
      <w:pPr>
        <w:rPr>
          <w:szCs w:val="22"/>
        </w:rPr>
      </w:pPr>
    </w:p>
    <w:p w14:paraId="67CBF21E" w14:textId="6C60A9B3" w:rsidR="002A30E7" w:rsidRDefault="002A30E7" w:rsidP="00741469">
      <w:pPr>
        <w:pStyle w:val="Legenda"/>
      </w:pPr>
      <w:bookmarkStart w:id="60" w:name="_Toc141276484"/>
      <w:r w:rsidRPr="00CD64C3">
        <w:t xml:space="preserve">Rys. </w:t>
      </w:r>
      <w:r w:rsidR="00BE2079">
        <w:fldChar w:fldCharType="begin"/>
      </w:r>
      <w:r w:rsidR="00BE2079">
        <w:instrText xml:space="preserve"> SEQ Rys. \* ARABIC </w:instrText>
      </w:r>
      <w:r w:rsidR="00BE2079">
        <w:fldChar w:fldCharType="separate"/>
      </w:r>
      <w:r w:rsidR="00A43C68">
        <w:rPr>
          <w:noProof/>
        </w:rPr>
        <w:t>6</w:t>
      </w:r>
      <w:r w:rsidR="00BE2079">
        <w:rPr>
          <w:noProof/>
        </w:rPr>
        <w:fldChar w:fldCharType="end"/>
      </w:r>
      <w:r w:rsidRPr="00CD64C3">
        <w:t>. Wartość udzielonych zamówień sektorowych [w mld zł]</w:t>
      </w:r>
      <w:bookmarkEnd w:id="60"/>
    </w:p>
    <w:p w14:paraId="1614613C" w14:textId="0A0173CD" w:rsidR="002A30E7" w:rsidRDefault="00F40442" w:rsidP="002A30E7">
      <w:pPr>
        <w:rPr>
          <w:szCs w:val="22"/>
        </w:rPr>
      </w:pPr>
      <w:r>
        <w:rPr>
          <w:noProof/>
        </w:rPr>
        <w:drawing>
          <wp:inline distT="0" distB="0" distL="0" distR="0" wp14:anchorId="74C4471A" wp14:editId="7FC83954">
            <wp:extent cx="4572000" cy="2743200"/>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5F1C7D" w14:textId="2A548FB4" w:rsidR="002A30E7" w:rsidRDefault="002A30E7" w:rsidP="009A3766">
      <w:pPr>
        <w:rPr>
          <w:szCs w:val="22"/>
        </w:rPr>
      </w:pPr>
    </w:p>
    <w:p w14:paraId="4DB512FA" w14:textId="03B36AAF" w:rsidR="002A30E7" w:rsidRDefault="002A30E7" w:rsidP="009A3766">
      <w:pPr>
        <w:rPr>
          <w:szCs w:val="22"/>
        </w:rPr>
      </w:pPr>
    </w:p>
    <w:p w14:paraId="2BB6486B" w14:textId="1E57A6FF" w:rsidR="00FD5BAF" w:rsidRDefault="00FD5BAF" w:rsidP="00FD5BAF">
      <w:pPr>
        <w:rPr>
          <w:szCs w:val="22"/>
        </w:rPr>
      </w:pPr>
      <w:r w:rsidRPr="00BA1CD0">
        <w:rPr>
          <w:szCs w:val="22"/>
        </w:rPr>
        <w:t xml:space="preserve">Zamawiający sektorowi </w:t>
      </w:r>
      <w:r w:rsidR="000D276A">
        <w:rPr>
          <w:szCs w:val="22"/>
        </w:rPr>
        <w:t>(</w:t>
      </w:r>
      <w:r>
        <w:rPr>
          <w:szCs w:val="22"/>
        </w:rPr>
        <w:t>2</w:t>
      </w:r>
      <w:r w:rsidRPr="00BA1CD0">
        <w:rPr>
          <w:szCs w:val="22"/>
        </w:rPr>
        <w:t>,</w:t>
      </w:r>
      <w:r>
        <w:rPr>
          <w:szCs w:val="22"/>
        </w:rPr>
        <w:t>04</w:t>
      </w:r>
      <w:r w:rsidRPr="00BA1CD0">
        <w:rPr>
          <w:szCs w:val="22"/>
        </w:rPr>
        <w:t>% ogółu zamawiających s</w:t>
      </w:r>
      <w:r>
        <w:rPr>
          <w:szCs w:val="22"/>
        </w:rPr>
        <w:t>kładających roczne sprawozdania</w:t>
      </w:r>
      <w:r w:rsidR="00CE7EE8">
        <w:rPr>
          <w:szCs w:val="22"/>
        </w:rPr>
        <w:t>)</w:t>
      </w:r>
      <w:r w:rsidR="00981F73">
        <w:rPr>
          <w:szCs w:val="22"/>
        </w:rPr>
        <w:t xml:space="preserve"> </w:t>
      </w:r>
      <w:r w:rsidRPr="00BA1CD0">
        <w:rPr>
          <w:szCs w:val="22"/>
        </w:rPr>
        <w:t xml:space="preserve">w </w:t>
      </w:r>
      <w:r>
        <w:rPr>
          <w:szCs w:val="22"/>
        </w:rPr>
        <w:t xml:space="preserve">2022 r. </w:t>
      </w:r>
      <w:r w:rsidRPr="00BA1CD0">
        <w:rPr>
          <w:szCs w:val="22"/>
        </w:rPr>
        <w:t xml:space="preserve">udzielili </w:t>
      </w:r>
      <w:r w:rsidR="006F603D">
        <w:rPr>
          <w:szCs w:val="22"/>
        </w:rPr>
        <w:t>3 </w:t>
      </w:r>
      <w:r w:rsidR="006F603D" w:rsidRPr="006F603D">
        <w:rPr>
          <w:szCs w:val="22"/>
        </w:rPr>
        <w:t>239</w:t>
      </w:r>
      <w:r w:rsidRPr="00BA1CD0">
        <w:rPr>
          <w:szCs w:val="22"/>
        </w:rPr>
        <w:t xml:space="preserve"> zamówie</w:t>
      </w:r>
      <w:r w:rsidR="006F603D">
        <w:rPr>
          <w:szCs w:val="22"/>
        </w:rPr>
        <w:t>ń</w:t>
      </w:r>
      <w:r w:rsidRPr="00BA1CD0">
        <w:rPr>
          <w:szCs w:val="22"/>
        </w:rPr>
        <w:t xml:space="preserve"> sektorow</w:t>
      </w:r>
      <w:r w:rsidR="006F603D">
        <w:rPr>
          <w:szCs w:val="22"/>
        </w:rPr>
        <w:t>ych</w:t>
      </w:r>
      <w:r w:rsidRPr="00BA1CD0">
        <w:rPr>
          <w:szCs w:val="22"/>
        </w:rPr>
        <w:t xml:space="preserve"> (w 20</w:t>
      </w:r>
      <w:r>
        <w:rPr>
          <w:szCs w:val="22"/>
        </w:rPr>
        <w:t xml:space="preserve">21 </w:t>
      </w:r>
      <w:r w:rsidRPr="00BA1CD0">
        <w:rPr>
          <w:szCs w:val="22"/>
        </w:rPr>
        <w:t xml:space="preserve">r. – </w:t>
      </w:r>
      <w:r w:rsidRPr="00FD5BAF">
        <w:rPr>
          <w:szCs w:val="22"/>
        </w:rPr>
        <w:t>3</w:t>
      </w:r>
      <w:r w:rsidR="00981F73">
        <w:rPr>
          <w:szCs w:val="22"/>
        </w:rPr>
        <w:t> </w:t>
      </w:r>
      <w:r w:rsidRPr="00FD5BAF">
        <w:rPr>
          <w:szCs w:val="22"/>
        </w:rPr>
        <w:t>042</w:t>
      </w:r>
      <w:r>
        <w:rPr>
          <w:szCs w:val="22"/>
        </w:rPr>
        <w:t>)</w:t>
      </w:r>
      <w:r w:rsidR="00800364">
        <w:rPr>
          <w:szCs w:val="22"/>
        </w:rPr>
        <w:t xml:space="preserve"> zgodnie z regulacjami Pzp</w:t>
      </w:r>
      <w:r>
        <w:rPr>
          <w:szCs w:val="22"/>
        </w:rPr>
        <w:t>.</w:t>
      </w:r>
    </w:p>
    <w:p w14:paraId="15105BCC" w14:textId="6A5C0ABE" w:rsidR="00E72029" w:rsidRDefault="00E72029" w:rsidP="009A3766">
      <w:pPr>
        <w:rPr>
          <w:szCs w:val="22"/>
        </w:rPr>
      </w:pPr>
    </w:p>
    <w:p w14:paraId="7C4EAE84" w14:textId="40B49161" w:rsidR="001E7C39" w:rsidRDefault="001E7C39" w:rsidP="001E7C39">
      <w:pPr>
        <w:rPr>
          <w:szCs w:val="22"/>
        </w:rPr>
      </w:pPr>
      <w:r w:rsidRPr="001F5D1B">
        <w:rPr>
          <w:szCs w:val="22"/>
        </w:rPr>
        <w:t xml:space="preserve">Największą wartość </w:t>
      </w:r>
      <w:r>
        <w:rPr>
          <w:szCs w:val="22"/>
        </w:rPr>
        <w:t>(</w:t>
      </w:r>
      <w:r w:rsidR="00905925">
        <w:rPr>
          <w:szCs w:val="22"/>
        </w:rPr>
        <w:t>7</w:t>
      </w:r>
      <w:r>
        <w:rPr>
          <w:szCs w:val="22"/>
        </w:rPr>
        <w:t>,</w:t>
      </w:r>
      <w:r w:rsidR="00905925">
        <w:rPr>
          <w:szCs w:val="22"/>
        </w:rPr>
        <w:t>0</w:t>
      </w:r>
      <w:r>
        <w:rPr>
          <w:szCs w:val="22"/>
        </w:rPr>
        <w:t>7</w:t>
      </w:r>
      <w:r w:rsidR="00905925">
        <w:rPr>
          <w:szCs w:val="22"/>
        </w:rPr>
        <w:t>2</w:t>
      </w:r>
      <w:r>
        <w:rPr>
          <w:szCs w:val="22"/>
        </w:rPr>
        <w:t xml:space="preserve"> mld zł) </w:t>
      </w:r>
      <w:r w:rsidRPr="001F5D1B">
        <w:rPr>
          <w:szCs w:val="22"/>
        </w:rPr>
        <w:t>miało zamówienie</w:t>
      </w:r>
      <w:r>
        <w:rPr>
          <w:szCs w:val="22"/>
        </w:rPr>
        <w:t xml:space="preserve"> sektorowe </w:t>
      </w:r>
      <w:r w:rsidR="00905925" w:rsidRPr="00905925">
        <w:rPr>
          <w:szCs w:val="22"/>
        </w:rPr>
        <w:t>Centraln</w:t>
      </w:r>
      <w:r w:rsidR="00905925">
        <w:rPr>
          <w:szCs w:val="22"/>
        </w:rPr>
        <w:t>ego</w:t>
      </w:r>
      <w:r w:rsidR="00905925" w:rsidRPr="00905925">
        <w:rPr>
          <w:szCs w:val="22"/>
        </w:rPr>
        <w:t xml:space="preserve"> Port</w:t>
      </w:r>
      <w:r w:rsidR="00905925">
        <w:rPr>
          <w:szCs w:val="22"/>
        </w:rPr>
        <w:t>u</w:t>
      </w:r>
      <w:r w:rsidR="00905925" w:rsidRPr="00905925">
        <w:rPr>
          <w:szCs w:val="22"/>
        </w:rPr>
        <w:t xml:space="preserve"> Komunikacyjn</w:t>
      </w:r>
      <w:r w:rsidR="00905925">
        <w:rPr>
          <w:szCs w:val="22"/>
        </w:rPr>
        <w:t>ego S</w:t>
      </w:r>
      <w:r w:rsidR="00905925" w:rsidRPr="00905925">
        <w:rPr>
          <w:szCs w:val="22"/>
        </w:rPr>
        <w:t>p. z o.o.</w:t>
      </w:r>
      <w:r>
        <w:rPr>
          <w:szCs w:val="22"/>
        </w:rPr>
        <w:t xml:space="preserve"> z Wa</w:t>
      </w:r>
      <w:r w:rsidR="00905925">
        <w:rPr>
          <w:szCs w:val="22"/>
        </w:rPr>
        <w:t>rszawy</w:t>
      </w:r>
      <w:r>
        <w:rPr>
          <w:szCs w:val="22"/>
        </w:rPr>
        <w:t xml:space="preserve"> i dotyczyło </w:t>
      </w:r>
      <w:r w:rsidR="00905925">
        <w:rPr>
          <w:szCs w:val="22"/>
        </w:rPr>
        <w:t>zawarcia</w:t>
      </w:r>
      <w:r w:rsidR="00905925" w:rsidRPr="00905925">
        <w:rPr>
          <w:szCs w:val="22"/>
        </w:rPr>
        <w:t xml:space="preserve"> umowy ramowej na opracowanie dokumentacji projektowych dla kolejowych inwestycji towarzyszących związanych z budową Centralnego Portu Komunikacyjnego</w:t>
      </w:r>
      <w:r>
        <w:rPr>
          <w:szCs w:val="22"/>
        </w:rPr>
        <w:t>.</w:t>
      </w:r>
    </w:p>
    <w:p w14:paraId="718A06EB" w14:textId="77777777" w:rsidR="001E7C39" w:rsidRDefault="001E7C39" w:rsidP="001E7C39">
      <w:pPr>
        <w:rPr>
          <w:szCs w:val="22"/>
        </w:rPr>
      </w:pPr>
    </w:p>
    <w:p w14:paraId="57386712" w14:textId="00FBBCC7" w:rsidR="001E7C39" w:rsidRDefault="001E7C39" w:rsidP="001E7C39">
      <w:pPr>
        <w:rPr>
          <w:szCs w:val="22"/>
        </w:rPr>
      </w:pPr>
      <w:r w:rsidRPr="00741E6F">
        <w:rPr>
          <w:szCs w:val="22"/>
        </w:rPr>
        <w:t xml:space="preserve">Sumarycznie największą kwotę zamówień sektorowych zakontraktowano w sektorze usług </w:t>
      </w:r>
      <w:r>
        <w:rPr>
          <w:szCs w:val="22"/>
        </w:rPr>
        <w:t>transportowych</w:t>
      </w:r>
      <w:r w:rsidRPr="00741E6F">
        <w:rPr>
          <w:szCs w:val="22"/>
        </w:rPr>
        <w:t xml:space="preserve"> – 1</w:t>
      </w:r>
      <w:r w:rsidR="00A7753E">
        <w:rPr>
          <w:szCs w:val="22"/>
        </w:rPr>
        <w:t>7</w:t>
      </w:r>
      <w:r w:rsidRPr="00741E6F">
        <w:rPr>
          <w:szCs w:val="22"/>
        </w:rPr>
        <w:t>,</w:t>
      </w:r>
      <w:r w:rsidR="00A7753E">
        <w:rPr>
          <w:szCs w:val="22"/>
        </w:rPr>
        <w:t>031</w:t>
      </w:r>
      <w:r w:rsidRPr="00741E6F">
        <w:rPr>
          <w:szCs w:val="22"/>
        </w:rPr>
        <w:t xml:space="preserve"> mld zł.</w:t>
      </w:r>
    </w:p>
    <w:p w14:paraId="54674C76" w14:textId="77777777" w:rsidR="005C37BA" w:rsidRDefault="005C37BA" w:rsidP="009A3766">
      <w:pPr>
        <w:rPr>
          <w:szCs w:val="22"/>
        </w:rPr>
      </w:pPr>
    </w:p>
    <w:p w14:paraId="2E1FACAA" w14:textId="65DBFA2E" w:rsidR="009F27E3" w:rsidRDefault="009F27E3" w:rsidP="00741469">
      <w:pPr>
        <w:pStyle w:val="Legenda"/>
      </w:pPr>
      <w:bookmarkStart w:id="61" w:name="_Toc141276485"/>
      <w:r w:rsidRPr="008A0F96">
        <w:t xml:space="preserve">Rys. </w:t>
      </w:r>
      <w:r w:rsidR="00BE2079">
        <w:fldChar w:fldCharType="begin"/>
      </w:r>
      <w:r w:rsidR="00BE2079">
        <w:instrText xml:space="preserve"> SEQ Rys. \* ARABIC </w:instrText>
      </w:r>
      <w:r w:rsidR="00BE2079">
        <w:fldChar w:fldCharType="separate"/>
      </w:r>
      <w:r w:rsidR="00A43C68">
        <w:rPr>
          <w:noProof/>
        </w:rPr>
        <w:t>7</w:t>
      </w:r>
      <w:r w:rsidR="00BE2079">
        <w:rPr>
          <w:noProof/>
        </w:rPr>
        <w:fldChar w:fldCharType="end"/>
      </w:r>
      <w:r w:rsidRPr="008A0F96">
        <w:t>. Wartość udzielonych zamówień sektorowych w podziale na działalności sektorowe [w mld zł]</w:t>
      </w:r>
      <w:bookmarkEnd w:id="61"/>
    </w:p>
    <w:p w14:paraId="102FB36D" w14:textId="09228A72" w:rsidR="009F27E3" w:rsidRDefault="002B5BEC" w:rsidP="009F27E3">
      <w:pPr>
        <w:rPr>
          <w:szCs w:val="22"/>
        </w:rPr>
      </w:pPr>
      <w:r>
        <w:rPr>
          <w:noProof/>
        </w:rPr>
        <w:drawing>
          <wp:inline distT="0" distB="0" distL="0" distR="0" wp14:anchorId="0D25E8F2" wp14:editId="27F98CBC">
            <wp:extent cx="5611907" cy="3079378"/>
            <wp:effectExtent l="0" t="0" r="8255" b="698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C16D2BE" w14:textId="35EE1B13" w:rsidR="009F27E3" w:rsidRDefault="009F27E3" w:rsidP="009A3766">
      <w:pPr>
        <w:rPr>
          <w:szCs w:val="22"/>
        </w:rPr>
      </w:pPr>
    </w:p>
    <w:p w14:paraId="7581BBAB" w14:textId="5E31B312" w:rsidR="00B0724F" w:rsidRDefault="00B0724F" w:rsidP="009A3766">
      <w:pPr>
        <w:rPr>
          <w:szCs w:val="22"/>
        </w:rPr>
      </w:pPr>
    </w:p>
    <w:p w14:paraId="6A6A4BC5" w14:textId="38812A65" w:rsidR="000B3FBB" w:rsidRDefault="0031732F" w:rsidP="000B3FBB">
      <w:pPr>
        <w:rPr>
          <w:szCs w:val="22"/>
        </w:rPr>
      </w:pPr>
      <w:r>
        <w:rPr>
          <w:szCs w:val="22"/>
        </w:rPr>
        <w:t>Uwzględniając liczbę zamówień</w:t>
      </w:r>
      <w:r w:rsidR="00EC7807">
        <w:rPr>
          <w:szCs w:val="22"/>
        </w:rPr>
        <w:t xml:space="preserve">, </w:t>
      </w:r>
      <w:r w:rsidR="000B3FBB">
        <w:rPr>
          <w:szCs w:val="22"/>
        </w:rPr>
        <w:t>najczęściej prowadzono postępowania na usługi – 5</w:t>
      </w:r>
      <w:r w:rsidR="002818D5">
        <w:rPr>
          <w:szCs w:val="22"/>
        </w:rPr>
        <w:t>2</w:t>
      </w:r>
      <w:r w:rsidR="000B3FBB">
        <w:rPr>
          <w:szCs w:val="22"/>
        </w:rPr>
        <w:t>% ogólnej liczby zamówień</w:t>
      </w:r>
      <w:r w:rsidR="00B120A6">
        <w:rPr>
          <w:szCs w:val="22"/>
        </w:rPr>
        <w:t xml:space="preserve">. W przypadku zamówień sektorowych </w:t>
      </w:r>
      <w:r w:rsidR="002818D5">
        <w:rPr>
          <w:szCs w:val="22"/>
        </w:rPr>
        <w:t>również</w:t>
      </w:r>
      <w:r w:rsidR="000B3FBB">
        <w:rPr>
          <w:szCs w:val="22"/>
        </w:rPr>
        <w:t xml:space="preserve"> największe kwoty zakontraktowano w </w:t>
      </w:r>
      <w:r w:rsidR="002818D5">
        <w:rPr>
          <w:szCs w:val="22"/>
        </w:rPr>
        <w:t>usługach</w:t>
      </w:r>
      <w:r w:rsidR="000B3FBB">
        <w:rPr>
          <w:szCs w:val="22"/>
        </w:rPr>
        <w:t xml:space="preserve"> – </w:t>
      </w:r>
      <w:r w:rsidR="002818D5">
        <w:rPr>
          <w:szCs w:val="22"/>
        </w:rPr>
        <w:t>44</w:t>
      </w:r>
      <w:r w:rsidR="000B3FBB">
        <w:rPr>
          <w:szCs w:val="22"/>
        </w:rPr>
        <w:t>% ogólnej wartości zamówień sektorowych.</w:t>
      </w:r>
    </w:p>
    <w:p w14:paraId="481E6BF9" w14:textId="6CC77ADA" w:rsidR="009A3766" w:rsidRDefault="009A3766" w:rsidP="009A3766">
      <w:pPr>
        <w:rPr>
          <w:szCs w:val="22"/>
        </w:rPr>
      </w:pPr>
    </w:p>
    <w:p w14:paraId="52211608" w14:textId="2E6EBA77" w:rsidR="009A3766" w:rsidRDefault="009A3766" w:rsidP="009A3766">
      <w:pPr>
        <w:pStyle w:val="Legenda"/>
      </w:pPr>
      <w:bookmarkStart w:id="62" w:name="_Toc141276509"/>
      <w:r w:rsidRPr="000B3FBB">
        <w:t xml:space="preserve">Tab. </w:t>
      </w:r>
      <w:r w:rsidR="00BE2079">
        <w:fldChar w:fldCharType="begin"/>
      </w:r>
      <w:r w:rsidR="00BE2079">
        <w:instrText xml:space="preserve"> SEQ Tab. \* ARABIC </w:instrText>
      </w:r>
      <w:r w:rsidR="00BE2079">
        <w:fldChar w:fldCharType="separate"/>
      </w:r>
      <w:r w:rsidR="00A43C68">
        <w:rPr>
          <w:noProof/>
        </w:rPr>
        <w:t>2</w:t>
      </w:r>
      <w:r w:rsidR="00BE2079">
        <w:rPr>
          <w:noProof/>
        </w:rPr>
        <w:fldChar w:fldCharType="end"/>
      </w:r>
      <w:r w:rsidRPr="000B3FBB">
        <w:t>. Struktura udzielonych zamówień sektorowych w podziale na rodzaj zamówienia</w:t>
      </w:r>
      <w:bookmarkEnd w:id="62"/>
    </w:p>
    <w:tbl>
      <w:tblPr>
        <w:tblW w:w="0" w:type="auto"/>
        <w:tblInd w:w="-5" w:type="dxa"/>
        <w:tblLayout w:type="fixed"/>
        <w:tblLook w:val="04A0" w:firstRow="1" w:lastRow="0" w:firstColumn="1" w:lastColumn="0" w:noHBand="0" w:noVBand="1"/>
      </w:tblPr>
      <w:tblGrid>
        <w:gridCol w:w="3374"/>
        <w:gridCol w:w="1842"/>
        <w:gridCol w:w="1842"/>
      </w:tblGrid>
      <w:tr w:rsidR="009A3766" w:rsidRPr="00842D79" w14:paraId="4E597E79" w14:textId="77777777" w:rsidTr="0042706A">
        <w:trPr>
          <w:tblHeader/>
        </w:trPr>
        <w:tc>
          <w:tcPr>
            <w:tcW w:w="3374" w:type="dxa"/>
            <w:tcBorders>
              <w:right w:val="single" w:sz="4" w:space="0" w:color="FFFFFF"/>
            </w:tcBorders>
            <w:shd w:val="clear" w:color="auto" w:fill="002060"/>
            <w:vAlign w:val="center"/>
          </w:tcPr>
          <w:p w14:paraId="5A57244B" w14:textId="77777777" w:rsidR="009A3766" w:rsidRPr="00842D79" w:rsidRDefault="009A3766" w:rsidP="0042706A">
            <w:pPr>
              <w:spacing w:before="60" w:after="60"/>
              <w:jc w:val="center"/>
              <w:rPr>
                <w:b/>
                <w:sz w:val="18"/>
                <w:szCs w:val="18"/>
              </w:rPr>
            </w:pPr>
            <w:r>
              <w:rPr>
                <w:b/>
                <w:sz w:val="18"/>
                <w:szCs w:val="18"/>
              </w:rPr>
              <w:t>Rodzaj</w:t>
            </w:r>
            <w:r w:rsidRPr="00842D79">
              <w:rPr>
                <w:b/>
                <w:sz w:val="18"/>
                <w:szCs w:val="18"/>
              </w:rPr>
              <w:t xml:space="preserve"> zamówienia</w:t>
            </w:r>
          </w:p>
        </w:tc>
        <w:tc>
          <w:tcPr>
            <w:tcW w:w="1842" w:type="dxa"/>
            <w:tcBorders>
              <w:left w:val="single" w:sz="4" w:space="0" w:color="FFFFFF"/>
            </w:tcBorders>
            <w:shd w:val="clear" w:color="auto" w:fill="002060"/>
            <w:vAlign w:val="center"/>
          </w:tcPr>
          <w:p w14:paraId="5C1846F5" w14:textId="77777777" w:rsidR="009A3766" w:rsidRPr="00842D79" w:rsidRDefault="009A3766" w:rsidP="0042706A">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2A670C8E" w14:textId="77777777" w:rsidR="009A3766" w:rsidRPr="00842D79" w:rsidRDefault="009A3766" w:rsidP="0042706A">
            <w:pPr>
              <w:spacing w:before="60" w:after="60"/>
              <w:jc w:val="center"/>
              <w:rPr>
                <w:b/>
                <w:sz w:val="18"/>
                <w:szCs w:val="18"/>
              </w:rPr>
            </w:pPr>
            <w:r w:rsidRPr="00842D79">
              <w:rPr>
                <w:b/>
                <w:sz w:val="18"/>
                <w:szCs w:val="18"/>
              </w:rPr>
              <w:t xml:space="preserve">Odsetek wartości </w:t>
            </w:r>
          </w:p>
        </w:tc>
      </w:tr>
      <w:tr w:rsidR="000B3FBB" w:rsidRPr="00842D79" w14:paraId="11C656DB" w14:textId="77777777" w:rsidTr="000B3FBB">
        <w:tc>
          <w:tcPr>
            <w:tcW w:w="3374" w:type="dxa"/>
            <w:tcBorders>
              <w:right w:val="single" w:sz="4" w:space="0" w:color="FFFFFF"/>
            </w:tcBorders>
            <w:shd w:val="clear" w:color="auto" w:fill="auto"/>
            <w:vAlign w:val="center"/>
          </w:tcPr>
          <w:p w14:paraId="5A55CE75" w14:textId="77777777" w:rsidR="000B3FBB" w:rsidRPr="00842D79" w:rsidRDefault="000B3FBB" w:rsidP="000B3FBB">
            <w:pPr>
              <w:spacing w:before="60" w:after="60"/>
              <w:jc w:val="left"/>
              <w:rPr>
                <w:sz w:val="18"/>
                <w:szCs w:val="18"/>
              </w:rPr>
            </w:pPr>
            <w:r>
              <w:rPr>
                <w:sz w:val="18"/>
                <w:szCs w:val="18"/>
              </w:rPr>
              <w:t>Roboty budowlane</w:t>
            </w:r>
          </w:p>
        </w:tc>
        <w:tc>
          <w:tcPr>
            <w:tcW w:w="1842" w:type="dxa"/>
            <w:tcBorders>
              <w:left w:val="single" w:sz="4" w:space="0" w:color="FFFFFF"/>
            </w:tcBorders>
            <w:shd w:val="clear" w:color="auto" w:fill="auto"/>
            <w:vAlign w:val="center"/>
          </w:tcPr>
          <w:p w14:paraId="28DE4AED" w14:textId="5075548C"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13%</w:t>
            </w:r>
          </w:p>
        </w:tc>
        <w:tc>
          <w:tcPr>
            <w:tcW w:w="1842" w:type="dxa"/>
            <w:tcBorders>
              <w:left w:val="single" w:sz="4" w:space="0" w:color="FFFFFF"/>
            </w:tcBorders>
            <w:shd w:val="clear" w:color="auto" w:fill="auto"/>
            <w:vAlign w:val="center"/>
          </w:tcPr>
          <w:p w14:paraId="72ED3991" w14:textId="75A77EB1"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20%</w:t>
            </w:r>
          </w:p>
        </w:tc>
      </w:tr>
      <w:tr w:rsidR="000B3FBB" w:rsidRPr="00842D79" w14:paraId="5C6C8ACF" w14:textId="77777777" w:rsidTr="000B3FBB">
        <w:tc>
          <w:tcPr>
            <w:tcW w:w="3374" w:type="dxa"/>
            <w:tcBorders>
              <w:right w:val="single" w:sz="4" w:space="0" w:color="FFFFFF"/>
            </w:tcBorders>
            <w:shd w:val="clear" w:color="auto" w:fill="00B0F0"/>
            <w:vAlign w:val="center"/>
          </w:tcPr>
          <w:p w14:paraId="00FEC7AF" w14:textId="77777777" w:rsidR="000B3FBB" w:rsidRPr="00842D79" w:rsidRDefault="000B3FBB" w:rsidP="000B3FBB">
            <w:pPr>
              <w:spacing w:before="60" w:after="60"/>
              <w:jc w:val="left"/>
              <w:rPr>
                <w:sz w:val="18"/>
                <w:szCs w:val="18"/>
              </w:rPr>
            </w:pPr>
            <w:r>
              <w:rPr>
                <w:sz w:val="18"/>
                <w:szCs w:val="18"/>
              </w:rPr>
              <w:t>Dostawy</w:t>
            </w:r>
          </w:p>
        </w:tc>
        <w:tc>
          <w:tcPr>
            <w:tcW w:w="1842" w:type="dxa"/>
            <w:tcBorders>
              <w:left w:val="single" w:sz="4" w:space="0" w:color="FFFFFF"/>
            </w:tcBorders>
            <w:shd w:val="clear" w:color="auto" w:fill="00B0F0"/>
            <w:vAlign w:val="center"/>
          </w:tcPr>
          <w:p w14:paraId="493F39EC" w14:textId="61497E36"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35%</w:t>
            </w:r>
          </w:p>
        </w:tc>
        <w:tc>
          <w:tcPr>
            <w:tcW w:w="1842" w:type="dxa"/>
            <w:tcBorders>
              <w:left w:val="single" w:sz="4" w:space="0" w:color="FFFFFF"/>
            </w:tcBorders>
            <w:shd w:val="clear" w:color="auto" w:fill="00B0F0"/>
            <w:vAlign w:val="center"/>
          </w:tcPr>
          <w:p w14:paraId="199DF92A" w14:textId="373392E8"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36%</w:t>
            </w:r>
          </w:p>
        </w:tc>
      </w:tr>
      <w:tr w:rsidR="000B3FBB" w:rsidRPr="00842D79" w14:paraId="26728CD6" w14:textId="77777777" w:rsidTr="000B3FBB">
        <w:tc>
          <w:tcPr>
            <w:tcW w:w="3374" w:type="dxa"/>
            <w:tcBorders>
              <w:right w:val="single" w:sz="4" w:space="0" w:color="FFFFFF"/>
            </w:tcBorders>
            <w:shd w:val="clear" w:color="auto" w:fill="auto"/>
            <w:vAlign w:val="center"/>
          </w:tcPr>
          <w:p w14:paraId="4B161D23" w14:textId="77777777" w:rsidR="000B3FBB" w:rsidRPr="00842D79" w:rsidRDefault="000B3FBB" w:rsidP="000B3FBB">
            <w:pPr>
              <w:spacing w:before="60" w:after="60"/>
              <w:jc w:val="left"/>
              <w:rPr>
                <w:sz w:val="18"/>
                <w:szCs w:val="18"/>
              </w:rPr>
            </w:pPr>
            <w:r>
              <w:rPr>
                <w:sz w:val="18"/>
                <w:szCs w:val="18"/>
              </w:rPr>
              <w:t>Usługi</w:t>
            </w:r>
          </w:p>
        </w:tc>
        <w:tc>
          <w:tcPr>
            <w:tcW w:w="1842" w:type="dxa"/>
            <w:tcBorders>
              <w:left w:val="single" w:sz="4" w:space="0" w:color="FFFFFF"/>
            </w:tcBorders>
            <w:shd w:val="clear" w:color="auto" w:fill="auto"/>
            <w:vAlign w:val="center"/>
          </w:tcPr>
          <w:p w14:paraId="2A689DCF" w14:textId="62593E9E"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52%</w:t>
            </w:r>
          </w:p>
        </w:tc>
        <w:tc>
          <w:tcPr>
            <w:tcW w:w="1842" w:type="dxa"/>
            <w:tcBorders>
              <w:left w:val="single" w:sz="4" w:space="0" w:color="FFFFFF"/>
            </w:tcBorders>
            <w:shd w:val="clear" w:color="auto" w:fill="auto"/>
            <w:vAlign w:val="center"/>
          </w:tcPr>
          <w:p w14:paraId="0A7ADCBA" w14:textId="41FFFA87" w:rsidR="000B3FBB" w:rsidRPr="000B3FBB" w:rsidRDefault="000B3FBB" w:rsidP="000B3FBB">
            <w:pPr>
              <w:autoSpaceDE w:val="0"/>
              <w:autoSpaceDN w:val="0"/>
              <w:adjustRightInd w:val="0"/>
              <w:jc w:val="center"/>
              <w:rPr>
                <w:rFonts w:cs="Arial"/>
                <w:color w:val="000000"/>
                <w:sz w:val="18"/>
                <w:szCs w:val="18"/>
              </w:rPr>
            </w:pPr>
            <w:r w:rsidRPr="000B3FBB">
              <w:rPr>
                <w:rFonts w:cs="Arial"/>
                <w:color w:val="000000"/>
                <w:sz w:val="18"/>
                <w:szCs w:val="18"/>
              </w:rPr>
              <w:t>44%</w:t>
            </w:r>
          </w:p>
        </w:tc>
      </w:tr>
    </w:tbl>
    <w:p w14:paraId="1391A93D" w14:textId="77777777" w:rsidR="009A3766" w:rsidRDefault="009A3766" w:rsidP="009A3766">
      <w:pPr>
        <w:rPr>
          <w:szCs w:val="22"/>
        </w:rPr>
      </w:pPr>
    </w:p>
    <w:p w14:paraId="1C746FB6" w14:textId="7E092A44" w:rsidR="00A23548" w:rsidRDefault="00A23548" w:rsidP="00A23548">
      <w:pPr>
        <w:rPr>
          <w:szCs w:val="22"/>
        </w:rPr>
      </w:pPr>
      <w:r>
        <w:rPr>
          <w:szCs w:val="22"/>
        </w:rPr>
        <w:t>Zamówienia sektorowe udzielane były, podobnie jak zamówienia ogółem, przede wszystkim w trybie przetargu nieograniczonego – 8</w:t>
      </w:r>
      <w:r w:rsidR="002966A8">
        <w:rPr>
          <w:szCs w:val="22"/>
        </w:rPr>
        <w:t>6</w:t>
      </w:r>
      <w:r>
        <w:rPr>
          <w:szCs w:val="22"/>
        </w:rPr>
        <w:t>,</w:t>
      </w:r>
      <w:r w:rsidR="002966A8">
        <w:rPr>
          <w:szCs w:val="22"/>
        </w:rPr>
        <w:t>04</w:t>
      </w:r>
      <w:r>
        <w:rPr>
          <w:szCs w:val="22"/>
        </w:rPr>
        <w:t xml:space="preserve">% postępowań (w 2021 r. – 89,91%) oraz w trybie zamówienia z wolnej ręki – </w:t>
      </w:r>
      <w:r w:rsidR="002966A8">
        <w:rPr>
          <w:szCs w:val="22"/>
        </w:rPr>
        <w:t>9</w:t>
      </w:r>
      <w:r>
        <w:rPr>
          <w:szCs w:val="22"/>
        </w:rPr>
        <w:t>,</w:t>
      </w:r>
      <w:r w:rsidR="002966A8">
        <w:rPr>
          <w:szCs w:val="22"/>
        </w:rPr>
        <w:t>91</w:t>
      </w:r>
      <w:r>
        <w:rPr>
          <w:szCs w:val="22"/>
        </w:rPr>
        <w:t>% (w 202</w:t>
      </w:r>
      <w:r w:rsidR="002966A8">
        <w:rPr>
          <w:szCs w:val="22"/>
        </w:rPr>
        <w:t>1 r. – 8</w:t>
      </w:r>
      <w:r>
        <w:rPr>
          <w:szCs w:val="22"/>
        </w:rPr>
        <w:t>,</w:t>
      </w:r>
      <w:r w:rsidR="002966A8">
        <w:rPr>
          <w:szCs w:val="22"/>
        </w:rPr>
        <w:t>84</w:t>
      </w:r>
      <w:r>
        <w:rPr>
          <w:szCs w:val="22"/>
        </w:rPr>
        <w:t>%). Pozostał</w:t>
      </w:r>
      <w:r w:rsidR="002279FB">
        <w:rPr>
          <w:szCs w:val="22"/>
        </w:rPr>
        <w:t>e</w:t>
      </w:r>
      <w:r>
        <w:rPr>
          <w:szCs w:val="22"/>
        </w:rPr>
        <w:t xml:space="preserve"> </w:t>
      </w:r>
      <w:r w:rsidR="002279FB">
        <w:rPr>
          <w:szCs w:val="22"/>
        </w:rPr>
        <w:t>4</w:t>
      </w:r>
      <w:r>
        <w:rPr>
          <w:szCs w:val="22"/>
        </w:rPr>
        <w:t>% zamówień udzielono stosując inne tryby ustawowe: przetarg ograniczony, negocjacje z ogłoszeniem, dialog konkurencyjny oraz negocjacje bez ogłoszenia.</w:t>
      </w:r>
    </w:p>
    <w:p w14:paraId="4BABEDDD" w14:textId="76F60715" w:rsidR="009E38CC" w:rsidRDefault="009E38CC" w:rsidP="00F058DB">
      <w:pPr>
        <w:shd w:val="clear" w:color="auto" w:fill="FFFFFF"/>
      </w:pPr>
    </w:p>
    <w:p w14:paraId="577AB4BA" w14:textId="77777777" w:rsidR="009E38CC" w:rsidRDefault="009E38CC"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29B04FF5" w14:textId="77777777" w:rsidTr="004D2CDB">
        <w:trPr>
          <w:cantSplit/>
        </w:trPr>
        <w:tc>
          <w:tcPr>
            <w:tcW w:w="236" w:type="dxa"/>
            <w:shd w:val="clear" w:color="auto" w:fill="B8CCE4"/>
          </w:tcPr>
          <w:p w14:paraId="3A582A47" w14:textId="77777777" w:rsidR="00716498" w:rsidRPr="001E7D51" w:rsidRDefault="00716498" w:rsidP="00F058DB">
            <w:pPr>
              <w:rPr>
                <w:sz w:val="24"/>
              </w:rPr>
            </w:pPr>
          </w:p>
        </w:tc>
        <w:tc>
          <w:tcPr>
            <w:tcW w:w="8676" w:type="dxa"/>
          </w:tcPr>
          <w:p w14:paraId="635AB3CB" w14:textId="77777777" w:rsidR="00716498" w:rsidRPr="00A157BF" w:rsidRDefault="00716498" w:rsidP="00F058DB">
            <w:pPr>
              <w:pStyle w:val="Nagwek3"/>
              <w:shd w:val="clear" w:color="auto" w:fill="FFFFFF"/>
              <w:spacing w:after="120"/>
              <w:ind w:left="0"/>
              <w:rPr>
                <w:color w:val="0070C0"/>
                <w:sz w:val="24"/>
                <w:szCs w:val="24"/>
              </w:rPr>
            </w:pPr>
            <w:bookmarkStart w:id="63" w:name="_Toc64451853"/>
            <w:bookmarkStart w:id="64" w:name="_Toc141276432"/>
            <w:r w:rsidRPr="00A157BF">
              <w:rPr>
                <w:color w:val="0070C0"/>
                <w:sz w:val="24"/>
                <w:szCs w:val="24"/>
              </w:rPr>
              <w:t>II.1.5. Zamówienia w dziedzinach obronności i bezpieczeństwa</w:t>
            </w:r>
            <w:bookmarkEnd w:id="63"/>
            <w:bookmarkEnd w:id="64"/>
          </w:p>
        </w:tc>
      </w:tr>
    </w:tbl>
    <w:p w14:paraId="3D0BD3FD" w14:textId="0DCEB8C7" w:rsidR="00716498" w:rsidRDefault="00716498" w:rsidP="00F058DB">
      <w:pPr>
        <w:shd w:val="clear" w:color="auto" w:fill="FFFFFF"/>
      </w:pPr>
    </w:p>
    <w:p w14:paraId="06306A11" w14:textId="7B6541B1" w:rsidR="00AF52C1" w:rsidRDefault="00AF52C1" w:rsidP="00AF52C1">
      <w:pPr>
        <w:rPr>
          <w:szCs w:val="22"/>
        </w:rPr>
      </w:pPr>
      <w:r w:rsidRPr="005B4E52">
        <w:rPr>
          <w:szCs w:val="22"/>
        </w:rPr>
        <w:t>W 202</w:t>
      </w:r>
      <w:r>
        <w:rPr>
          <w:szCs w:val="22"/>
        </w:rPr>
        <w:t>2</w:t>
      </w:r>
      <w:r w:rsidRPr="005B4E52">
        <w:rPr>
          <w:szCs w:val="22"/>
        </w:rPr>
        <w:t xml:space="preserve"> r. w dziedzinach obronności i bezpieczeństwa </w:t>
      </w:r>
      <w:r w:rsidRPr="004B19B9">
        <w:rPr>
          <w:szCs w:val="22"/>
        </w:rPr>
        <w:t xml:space="preserve">na podstawie przepisów ustawy </w:t>
      </w:r>
      <w:r>
        <w:rPr>
          <w:szCs w:val="22"/>
        </w:rPr>
        <w:t>Pzp</w:t>
      </w:r>
      <w:r w:rsidRPr="005B4E52">
        <w:rPr>
          <w:szCs w:val="22"/>
        </w:rPr>
        <w:t xml:space="preserve"> udzielono </w:t>
      </w:r>
      <w:r w:rsidR="00912297">
        <w:rPr>
          <w:szCs w:val="22"/>
        </w:rPr>
        <w:t>211</w:t>
      </w:r>
      <w:r w:rsidRPr="005B4E52">
        <w:rPr>
          <w:szCs w:val="22"/>
        </w:rPr>
        <w:t xml:space="preserve"> zamówień (w 20</w:t>
      </w:r>
      <w:r>
        <w:rPr>
          <w:szCs w:val="22"/>
        </w:rPr>
        <w:t>21</w:t>
      </w:r>
      <w:r w:rsidRPr="005B4E52">
        <w:rPr>
          <w:szCs w:val="22"/>
        </w:rPr>
        <w:t xml:space="preserve"> r. – </w:t>
      </w:r>
      <w:r>
        <w:rPr>
          <w:szCs w:val="22"/>
        </w:rPr>
        <w:t xml:space="preserve">188) </w:t>
      </w:r>
      <w:r w:rsidRPr="004B19B9">
        <w:rPr>
          <w:szCs w:val="22"/>
        </w:rPr>
        <w:t xml:space="preserve">na łączną kwotę </w:t>
      </w:r>
      <w:r w:rsidR="00C9651B">
        <w:rPr>
          <w:szCs w:val="22"/>
        </w:rPr>
        <w:t>16</w:t>
      </w:r>
      <w:r w:rsidRPr="004B19B9">
        <w:rPr>
          <w:szCs w:val="22"/>
        </w:rPr>
        <w:t>,</w:t>
      </w:r>
      <w:r w:rsidR="00C9651B">
        <w:rPr>
          <w:szCs w:val="22"/>
        </w:rPr>
        <w:t>343</w:t>
      </w:r>
      <w:r w:rsidRPr="004B19B9">
        <w:rPr>
          <w:szCs w:val="22"/>
        </w:rPr>
        <w:t xml:space="preserve"> mld zł (w 20</w:t>
      </w:r>
      <w:r>
        <w:rPr>
          <w:szCs w:val="22"/>
        </w:rPr>
        <w:t>2</w:t>
      </w:r>
      <w:r w:rsidR="00E75DFE">
        <w:rPr>
          <w:szCs w:val="22"/>
        </w:rPr>
        <w:t>1</w:t>
      </w:r>
      <w:r w:rsidRPr="004B19B9">
        <w:rPr>
          <w:szCs w:val="22"/>
        </w:rPr>
        <w:t xml:space="preserve"> r. – </w:t>
      </w:r>
      <w:r w:rsidR="00832EB2">
        <w:rPr>
          <w:szCs w:val="22"/>
        </w:rPr>
        <w:t>5</w:t>
      </w:r>
      <w:r w:rsidRPr="004B19B9">
        <w:rPr>
          <w:szCs w:val="22"/>
        </w:rPr>
        <w:t>,</w:t>
      </w:r>
      <w:r w:rsidR="00832EB2">
        <w:rPr>
          <w:szCs w:val="22"/>
        </w:rPr>
        <w:t>82</w:t>
      </w:r>
      <w:r>
        <w:rPr>
          <w:szCs w:val="22"/>
        </w:rPr>
        <w:t>5</w:t>
      </w:r>
      <w:r w:rsidRPr="004B19B9">
        <w:rPr>
          <w:szCs w:val="22"/>
        </w:rPr>
        <w:t xml:space="preserve"> ml</w:t>
      </w:r>
      <w:r>
        <w:rPr>
          <w:szCs w:val="22"/>
        </w:rPr>
        <w:t>d zł).</w:t>
      </w:r>
      <w:r w:rsidR="00E46DD1">
        <w:rPr>
          <w:szCs w:val="22"/>
        </w:rPr>
        <w:t xml:space="preserve"> </w:t>
      </w:r>
    </w:p>
    <w:p w14:paraId="0A61C075" w14:textId="181F8BD3" w:rsidR="00AF52C1" w:rsidRDefault="00AF52C1" w:rsidP="00AF52C1">
      <w:pPr>
        <w:rPr>
          <w:szCs w:val="22"/>
        </w:rPr>
      </w:pPr>
      <w:r>
        <w:rPr>
          <w:szCs w:val="22"/>
        </w:rPr>
        <w:t xml:space="preserve">Postępowania tego typu najczęściej dotyczyły </w:t>
      </w:r>
      <w:r w:rsidR="003465EA">
        <w:rPr>
          <w:szCs w:val="22"/>
        </w:rPr>
        <w:t>dostaw</w:t>
      </w:r>
      <w:r>
        <w:rPr>
          <w:szCs w:val="22"/>
        </w:rPr>
        <w:t xml:space="preserve">. Również na </w:t>
      </w:r>
      <w:r w:rsidR="003465EA">
        <w:rPr>
          <w:szCs w:val="22"/>
        </w:rPr>
        <w:t>dostawy</w:t>
      </w:r>
      <w:r>
        <w:rPr>
          <w:szCs w:val="22"/>
        </w:rPr>
        <w:t xml:space="preserve"> wydatkowano najwięcej środków.</w:t>
      </w:r>
    </w:p>
    <w:p w14:paraId="42307651" w14:textId="5837D33F" w:rsidR="00AB49BF" w:rsidRDefault="00AB49BF" w:rsidP="002B4EE8">
      <w:pPr>
        <w:rPr>
          <w:szCs w:val="22"/>
        </w:rPr>
      </w:pPr>
    </w:p>
    <w:p w14:paraId="74E469F8" w14:textId="74E1255B" w:rsidR="002B4EE8" w:rsidRDefault="002B4EE8" w:rsidP="002B4EE8">
      <w:pPr>
        <w:pStyle w:val="Legenda"/>
      </w:pPr>
      <w:bookmarkStart w:id="65" w:name="_Toc141276510"/>
      <w:r w:rsidRPr="005258F8">
        <w:t xml:space="preserve">Tab. </w:t>
      </w:r>
      <w:r w:rsidR="00BE2079">
        <w:fldChar w:fldCharType="begin"/>
      </w:r>
      <w:r w:rsidR="00BE2079">
        <w:instrText xml:space="preserve"> SEQ Tab. \* ARABIC </w:instrText>
      </w:r>
      <w:r w:rsidR="00BE2079">
        <w:fldChar w:fldCharType="separate"/>
      </w:r>
      <w:r w:rsidR="00A43C68">
        <w:rPr>
          <w:noProof/>
        </w:rPr>
        <w:t>3</w:t>
      </w:r>
      <w:r w:rsidR="00BE2079">
        <w:rPr>
          <w:noProof/>
        </w:rPr>
        <w:fldChar w:fldCharType="end"/>
      </w:r>
      <w:r w:rsidRPr="005258F8">
        <w:t>. Struktura udzielonych zamówień w dziedzinach obronności i bezpieczeństwa w podziale na rodzaj zamówienia</w:t>
      </w:r>
      <w:bookmarkEnd w:id="65"/>
    </w:p>
    <w:tbl>
      <w:tblPr>
        <w:tblW w:w="0" w:type="auto"/>
        <w:tblInd w:w="-5" w:type="dxa"/>
        <w:tblLayout w:type="fixed"/>
        <w:tblLook w:val="04A0" w:firstRow="1" w:lastRow="0" w:firstColumn="1" w:lastColumn="0" w:noHBand="0" w:noVBand="1"/>
      </w:tblPr>
      <w:tblGrid>
        <w:gridCol w:w="3374"/>
        <w:gridCol w:w="1842"/>
        <w:gridCol w:w="1842"/>
      </w:tblGrid>
      <w:tr w:rsidR="002B4EE8" w:rsidRPr="00842D79" w14:paraId="03C11BFD" w14:textId="77777777" w:rsidTr="0042706A">
        <w:trPr>
          <w:tblHeader/>
        </w:trPr>
        <w:tc>
          <w:tcPr>
            <w:tcW w:w="3374" w:type="dxa"/>
            <w:tcBorders>
              <w:right w:val="single" w:sz="4" w:space="0" w:color="FFFFFF"/>
            </w:tcBorders>
            <w:shd w:val="clear" w:color="auto" w:fill="002060"/>
            <w:vAlign w:val="center"/>
          </w:tcPr>
          <w:p w14:paraId="79C2530A" w14:textId="77777777" w:rsidR="002B4EE8" w:rsidRPr="00842D79" w:rsidRDefault="002B4EE8" w:rsidP="0042706A">
            <w:pPr>
              <w:spacing w:before="60" w:after="60"/>
              <w:jc w:val="center"/>
              <w:rPr>
                <w:b/>
                <w:sz w:val="18"/>
                <w:szCs w:val="18"/>
              </w:rPr>
            </w:pPr>
            <w:r>
              <w:rPr>
                <w:b/>
                <w:sz w:val="18"/>
                <w:szCs w:val="18"/>
              </w:rPr>
              <w:t>Rodzaj</w:t>
            </w:r>
            <w:r w:rsidRPr="00842D79">
              <w:rPr>
                <w:b/>
                <w:sz w:val="18"/>
                <w:szCs w:val="18"/>
              </w:rPr>
              <w:t xml:space="preserve"> zamówienia</w:t>
            </w:r>
          </w:p>
        </w:tc>
        <w:tc>
          <w:tcPr>
            <w:tcW w:w="1842" w:type="dxa"/>
            <w:tcBorders>
              <w:left w:val="single" w:sz="4" w:space="0" w:color="FFFFFF"/>
            </w:tcBorders>
            <w:shd w:val="clear" w:color="auto" w:fill="002060"/>
            <w:vAlign w:val="center"/>
          </w:tcPr>
          <w:p w14:paraId="2EF8A1E4" w14:textId="77777777" w:rsidR="002B4EE8" w:rsidRPr="00842D79" w:rsidRDefault="002B4EE8" w:rsidP="0042706A">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13677A07" w14:textId="77777777" w:rsidR="002B4EE8" w:rsidRPr="00842D79" w:rsidRDefault="002B4EE8" w:rsidP="0042706A">
            <w:pPr>
              <w:spacing w:before="60" w:after="60"/>
              <w:jc w:val="center"/>
              <w:rPr>
                <w:b/>
                <w:sz w:val="18"/>
                <w:szCs w:val="18"/>
              </w:rPr>
            </w:pPr>
            <w:r w:rsidRPr="00842D79">
              <w:rPr>
                <w:b/>
                <w:sz w:val="18"/>
                <w:szCs w:val="18"/>
              </w:rPr>
              <w:t xml:space="preserve">Odsetek wartości </w:t>
            </w:r>
          </w:p>
        </w:tc>
      </w:tr>
      <w:tr w:rsidR="003465EA" w:rsidRPr="00842D79" w14:paraId="0BE3EBDC" w14:textId="77777777" w:rsidTr="003465EA">
        <w:tc>
          <w:tcPr>
            <w:tcW w:w="3374" w:type="dxa"/>
            <w:tcBorders>
              <w:right w:val="single" w:sz="4" w:space="0" w:color="FFFFFF"/>
            </w:tcBorders>
            <w:shd w:val="clear" w:color="auto" w:fill="auto"/>
            <w:vAlign w:val="center"/>
          </w:tcPr>
          <w:p w14:paraId="225B6A4A" w14:textId="77777777" w:rsidR="003465EA" w:rsidRPr="00842D79" w:rsidRDefault="003465EA" w:rsidP="003465EA">
            <w:pPr>
              <w:spacing w:before="60" w:after="60"/>
              <w:jc w:val="left"/>
              <w:rPr>
                <w:sz w:val="18"/>
                <w:szCs w:val="18"/>
              </w:rPr>
            </w:pPr>
            <w:r>
              <w:rPr>
                <w:sz w:val="18"/>
                <w:szCs w:val="18"/>
              </w:rPr>
              <w:t>Roboty budowlane</w:t>
            </w:r>
          </w:p>
        </w:tc>
        <w:tc>
          <w:tcPr>
            <w:tcW w:w="1842" w:type="dxa"/>
            <w:tcBorders>
              <w:left w:val="single" w:sz="4" w:space="0" w:color="FFFFFF"/>
            </w:tcBorders>
            <w:shd w:val="clear" w:color="auto" w:fill="auto"/>
            <w:vAlign w:val="center"/>
          </w:tcPr>
          <w:p w14:paraId="28096742" w14:textId="2FBFC939" w:rsidR="003465EA" w:rsidRPr="003465EA" w:rsidRDefault="003465EA" w:rsidP="003465EA">
            <w:pPr>
              <w:autoSpaceDE w:val="0"/>
              <w:autoSpaceDN w:val="0"/>
              <w:adjustRightInd w:val="0"/>
              <w:jc w:val="center"/>
              <w:rPr>
                <w:color w:val="000000"/>
                <w:sz w:val="18"/>
                <w:szCs w:val="18"/>
              </w:rPr>
            </w:pPr>
            <w:r w:rsidRPr="003465EA">
              <w:rPr>
                <w:sz w:val="18"/>
                <w:szCs w:val="18"/>
              </w:rPr>
              <w:t>7,11%</w:t>
            </w:r>
          </w:p>
        </w:tc>
        <w:tc>
          <w:tcPr>
            <w:tcW w:w="1842" w:type="dxa"/>
            <w:tcBorders>
              <w:left w:val="single" w:sz="4" w:space="0" w:color="FFFFFF"/>
            </w:tcBorders>
            <w:shd w:val="clear" w:color="auto" w:fill="auto"/>
            <w:vAlign w:val="center"/>
          </w:tcPr>
          <w:p w14:paraId="0BCB28AB" w14:textId="290F84AC" w:rsidR="003465EA" w:rsidRPr="003465EA" w:rsidRDefault="003465EA" w:rsidP="003465EA">
            <w:pPr>
              <w:autoSpaceDE w:val="0"/>
              <w:autoSpaceDN w:val="0"/>
              <w:adjustRightInd w:val="0"/>
              <w:jc w:val="center"/>
              <w:rPr>
                <w:color w:val="000000"/>
                <w:sz w:val="18"/>
                <w:szCs w:val="18"/>
              </w:rPr>
            </w:pPr>
            <w:r w:rsidRPr="003465EA">
              <w:rPr>
                <w:sz w:val="18"/>
                <w:szCs w:val="18"/>
              </w:rPr>
              <w:t>7,45%</w:t>
            </w:r>
          </w:p>
        </w:tc>
      </w:tr>
      <w:tr w:rsidR="003465EA" w:rsidRPr="00842D79" w14:paraId="38ABB4AE" w14:textId="77777777" w:rsidTr="003465EA">
        <w:tc>
          <w:tcPr>
            <w:tcW w:w="3374" w:type="dxa"/>
            <w:tcBorders>
              <w:right w:val="single" w:sz="4" w:space="0" w:color="FFFFFF"/>
            </w:tcBorders>
            <w:shd w:val="clear" w:color="auto" w:fill="00B0F0"/>
            <w:vAlign w:val="center"/>
          </w:tcPr>
          <w:p w14:paraId="41DC1231" w14:textId="77777777" w:rsidR="003465EA" w:rsidRPr="00842D79" w:rsidRDefault="003465EA" w:rsidP="003465EA">
            <w:pPr>
              <w:spacing w:before="60" w:after="60"/>
              <w:jc w:val="left"/>
              <w:rPr>
                <w:sz w:val="18"/>
                <w:szCs w:val="18"/>
              </w:rPr>
            </w:pPr>
            <w:r>
              <w:rPr>
                <w:sz w:val="18"/>
                <w:szCs w:val="18"/>
              </w:rPr>
              <w:t>Dostawy</w:t>
            </w:r>
          </w:p>
        </w:tc>
        <w:tc>
          <w:tcPr>
            <w:tcW w:w="1842" w:type="dxa"/>
            <w:tcBorders>
              <w:left w:val="single" w:sz="4" w:space="0" w:color="FFFFFF"/>
            </w:tcBorders>
            <w:shd w:val="clear" w:color="auto" w:fill="00B0F0"/>
            <w:vAlign w:val="center"/>
          </w:tcPr>
          <w:p w14:paraId="32B2AF47" w14:textId="60E30D11" w:rsidR="003465EA" w:rsidRPr="003465EA" w:rsidRDefault="003465EA" w:rsidP="003465EA">
            <w:pPr>
              <w:autoSpaceDE w:val="0"/>
              <w:autoSpaceDN w:val="0"/>
              <w:adjustRightInd w:val="0"/>
              <w:jc w:val="center"/>
              <w:rPr>
                <w:color w:val="000000"/>
                <w:sz w:val="18"/>
                <w:szCs w:val="18"/>
              </w:rPr>
            </w:pPr>
            <w:r w:rsidRPr="003465EA">
              <w:rPr>
                <w:sz w:val="18"/>
                <w:szCs w:val="18"/>
              </w:rPr>
              <w:t>55,45%</w:t>
            </w:r>
          </w:p>
        </w:tc>
        <w:tc>
          <w:tcPr>
            <w:tcW w:w="1842" w:type="dxa"/>
            <w:tcBorders>
              <w:left w:val="single" w:sz="4" w:space="0" w:color="FFFFFF"/>
            </w:tcBorders>
            <w:shd w:val="clear" w:color="auto" w:fill="00B0F0"/>
            <w:vAlign w:val="center"/>
          </w:tcPr>
          <w:p w14:paraId="0BFB0998" w14:textId="1EAD6DDE" w:rsidR="003465EA" w:rsidRPr="003465EA" w:rsidRDefault="003465EA" w:rsidP="003465EA">
            <w:pPr>
              <w:autoSpaceDE w:val="0"/>
              <w:autoSpaceDN w:val="0"/>
              <w:adjustRightInd w:val="0"/>
              <w:jc w:val="center"/>
              <w:rPr>
                <w:color w:val="000000"/>
                <w:sz w:val="18"/>
                <w:szCs w:val="18"/>
              </w:rPr>
            </w:pPr>
            <w:r w:rsidRPr="003465EA">
              <w:rPr>
                <w:sz w:val="18"/>
                <w:szCs w:val="18"/>
              </w:rPr>
              <w:t>85,32%</w:t>
            </w:r>
          </w:p>
        </w:tc>
      </w:tr>
      <w:tr w:rsidR="003465EA" w:rsidRPr="00842D79" w14:paraId="2F90C1C7" w14:textId="77777777" w:rsidTr="003465EA">
        <w:tc>
          <w:tcPr>
            <w:tcW w:w="3374" w:type="dxa"/>
            <w:tcBorders>
              <w:right w:val="single" w:sz="4" w:space="0" w:color="FFFFFF"/>
            </w:tcBorders>
            <w:shd w:val="clear" w:color="auto" w:fill="auto"/>
            <w:vAlign w:val="center"/>
          </w:tcPr>
          <w:p w14:paraId="2E3F5459" w14:textId="77777777" w:rsidR="003465EA" w:rsidRPr="00842D79" w:rsidRDefault="003465EA" w:rsidP="003465EA">
            <w:pPr>
              <w:spacing w:before="60" w:after="60"/>
              <w:jc w:val="left"/>
              <w:rPr>
                <w:sz w:val="18"/>
                <w:szCs w:val="18"/>
              </w:rPr>
            </w:pPr>
            <w:r>
              <w:rPr>
                <w:sz w:val="18"/>
                <w:szCs w:val="18"/>
              </w:rPr>
              <w:t>Usługi</w:t>
            </w:r>
          </w:p>
        </w:tc>
        <w:tc>
          <w:tcPr>
            <w:tcW w:w="1842" w:type="dxa"/>
            <w:tcBorders>
              <w:left w:val="single" w:sz="4" w:space="0" w:color="FFFFFF"/>
            </w:tcBorders>
            <w:shd w:val="clear" w:color="auto" w:fill="auto"/>
            <w:vAlign w:val="center"/>
          </w:tcPr>
          <w:p w14:paraId="4E93ABB4" w14:textId="44AAA296" w:rsidR="003465EA" w:rsidRPr="003465EA" w:rsidRDefault="003465EA" w:rsidP="003465EA">
            <w:pPr>
              <w:autoSpaceDE w:val="0"/>
              <w:autoSpaceDN w:val="0"/>
              <w:adjustRightInd w:val="0"/>
              <w:jc w:val="center"/>
              <w:rPr>
                <w:color w:val="000000"/>
                <w:sz w:val="18"/>
                <w:szCs w:val="18"/>
              </w:rPr>
            </w:pPr>
            <w:r w:rsidRPr="003465EA">
              <w:rPr>
                <w:sz w:val="18"/>
                <w:szCs w:val="18"/>
              </w:rPr>
              <w:t>37,44%</w:t>
            </w:r>
          </w:p>
        </w:tc>
        <w:tc>
          <w:tcPr>
            <w:tcW w:w="1842" w:type="dxa"/>
            <w:tcBorders>
              <w:left w:val="single" w:sz="4" w:space="0" w:color="FFFFFF"/>
            </w:tcBorders>
            <w:shd w:val="clear" w:color="auto" w:fill="auto"/>
            <w:vAlign w:val="center"/>
          </w:tcPr>
          <w:p w14:paraId="122EFC46" w14:textId="76030FAB" w:rsidR="003465EA" w:rsidRPr="003465EA" w:rsidRDefault="003465EA" w:rsidP="003465EA">
            <w:pPr>
              <w:autoSpaceDE w:val="0"/>
              <w:autoSpaceDN w:val="0"/>
              <w:adjustRightInd w:val="0"/>
              <w:jc w:val="center"/>
              <w:rPr>
                <w:color w:val="000000"/>
                <w:sz w:val="18"/>
                <w:szCs w:val="18"/>
              </w:rPr>
            </w:pPr>
            <w:r w:rsidRPr="003465EA">
              <w:rPr>
                <w:sz w:val="18"/>
                <w:szCs w:val="18"/>
              </w:rPr>
              <w:t>7,23%</w:t>
            </w:r>
          </w:p>
        </w:tc>
      </w:tr>
    </w:tbl>
    <w:p w14:paraId="5F66B98C" w14:textId="77777777" w:rsidR="002B4EE8" w:rsidRDefault="002B4EE8" w:rsidP="002B4EE8">
      <w:pPr>
        <w:rPr>
          <w:szCs w:val="22"/>
        </w:rPr>
      </w:pPr>
    </w:p>
    <w:p w14:paraId="79403751" w14:textId="7DF4B9C8" w:rsidR="00FB39CC" w:rsidRDefault="00FB39CC" w:rsidP="00FB39CC">
      <w:pPr>
        <w:rPr>
          <w:szCs w:val="22"/>
        </w:rPr>
      </w:pPr>
      <w:r>
        <w:rPr>
          <w:szCs w:val="22"/>
        </w:rPr>
        <w:t xml:space="preserve">Zamówień w dziedzinach obronności i bezpieczeństwa udzielano przede wszystkim w trybie przetargu ograniczonego – </w:t>
      </w:r>
      <w:r w:rsidR="007B21B4">
        <w:rPr>
          <w:szCs w:val="22"/>
        </w:rPr>
        <w:t xml:space="preserve">ponad </w:t>
      </w:r>
      <w:r>
        <w:rPr>
          <w:szCs w:val="22"/>
        </w:rPr>
        <w:t xml:space="preserve">65% (w 2021 r. – 64%) oraz w trybie zamówienia z wolnej ręki – </w:t>
      </w:r>
      <w:r w:rsidR="007B21B4">
        <w:rPr>
          <w:szCs w:val="22"/>
        </w:rPr>
        <w:t xml:space="preserve">ponad </w:t>
      </w:r>
      <w:r>
        <w:rPr>
          <w:szCs w:val="22"/>
        </w:rPr>
        <w:t>28% (w 2021 r. – 32</w:t>
      </w:r>
      <w:r w:rsidR="00C04A3F">
        <w:rPr>
          <w:szCs w:val="22"/>
        </w:rPr>
        <w:t xml:space="preserve">%). Pozostałe </w:t>
      </w:r>
      <w:r w:rsidR="007B21B4">
        <w:rPr>
          <w:szCs w:val="22"/>
        </w:rPr>
        <w:t>niecałe 7</w:t>
      </w:r>
      <w:r>
        <w:rPr>
          <w:szCs w:val="22"/>
        </w:rPr>
        <w:t xml:space="preserve">% zamówień udzielono stosując inne tryby ustawowe: negocjacje z ogłoszeniem oraz </w:t>
      </w:r>
      <w:r w:rsidR="003420B9">
        <w:rPr>
          <w:szCs w:val="22"/>
        </w:rPr>
        <w:t>dialog konkurencyjny</w:t>
      </w:r>
      <w:r>
        <w:rPr>
          <w:szCs w:val="22"/>
        </w:rPr>
        <w:t>.</w:t>
      </w:r>
    </w:p>
    <w:p w14:paraId="4E936D0E" w14:textId="4468522F" w:rsidR="00877E92" w:rsidRDefault="00877E92" w:rsidP="00F058DB">
      <w:pPr>
        <w:shd w:val="clear" w:color="auto" w:fill="FFFFFF"/>
      </w:pPr>
    </w:p>
    <w:p w14:paraId="7125AC37" w14:textId="77777777" w:rsidR="00877E92" w:rsidRDefault="00877E92"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6A217F5F" w14:textId="77777777" w:rsidTr="00161CA2">
        <w:trPr>
          <w:cantSplit/>
        </w:trPr>
        <w:tc>
          <w:tcPr>
            <w:tcW w:w="236" w:type="dxa"/>
            <w:shd w:val="clear" w:color="auto" w:fill="B8CCE4"/>
          </w:tcPr>
          <w:p w14:paraId="09D0698E" w14:textId="77777777" w:rsidR="00716498" w:rsidRPr="001E7D51" w:rsidRDefault="00716498" w:rsidP="00F058DB">
            <w:pPr>
              <w:rPr>
                <w:sz w:val="24"/>
              </w:rPr>
            </w:pPr>
          </w:p>
        </w:tc>
        <w:tc>
          <w:tcPr>
            <w:tcW w:w="8676" w:type="dxa"/>
          </w:tcPr>
          <w:p w14:paraId="1B6E1B7E" w14:textId="77777777" w:rsidR="00716498" w:rsidRPr="00692D1A" w:rsidRDefault="00716498" w:rsidP="00F058DB">
            <w:pPr>
              <w:pStyle w:val="Nagwek3"/>
              <w:shd w:val="clear" w:color="auto" w:fill="FFFFFF"/>
              <w:spacing w:after="120"/>
              <w:ind w:left="0"/>
              <w:rPr>
                <w:color w:val="0070C0"/>
                <w:sz w:val="24"/>
                <w:szCs w:val="24"/>
              </w:rPr>
            </w:pPr>
            <w:bookmarkStart w:id="66" w:name="_Toc64451854"/>
            <w:bookmarkStart w:id="67" w:name="_Toc141276433"/>
            <w:r w:rsidRPr="00692D1A">
              <w:rPr>
                <w:color w:val="0070C0"/>
                <w:sz w:val="24"/>
                <w:szCs w:val="24"/>
              </w:rPr>
              <w:t>II.1.6. Koncesje na roboty budowlane lub usługi</w:t>
            </w:r>
            <w:bookmarkEnd w:id="66"/>
            <w:bookmarkEnd w:id="67"/>
          </w:p>
        </w:tc>
      </w:tr>
    </w:tbl>
    <w:p w14:paraId="32EF2748" w14:textId="61A16D5D" w:rsidR="00716498" w:rsidRDefault="00716498" w:rsidP="00F058DB">
      <w:pPr>
        <w:shd w:val="clear" w:color="auto" w:fill="FFFFFF"/>
      </w:pPr>
    </w:p>
    <w:p w14:paraId="44EC232A" w14:textId="4FE2B8AE" w:rsidR="001D6268" w:rsidRDefault="001D6268" w:rsidP="001D6268">
      <w:pPr>
        <w:shd w:val="clear" w:color="auto" w:fill="FFFFFF"/>
      </w:pPr>
      <w:r>
        <w:t xml:space="preserve">W przypadku udzielania </w:t>
      </w:r>
      <w:r w:rsidRPr="005A7728">
        <w:t>koncesji na roboty budowlane lub usługi</w:t>
      </w:r>
      <w:r>
        <w:t xml:space="preserve"> zamawiający </w:t>
      </w:r>
      <w:r w:rsidRPr="00517FED">
        <w:t>zobowiązani są do</w:t>
      </w:r>
      <w:r>
        <w:t xml:space="preserve"> </w:t>
      </w:r>
      <w:r w:rsidRPr="005A7728">
        <w:t>zamieszczenia w Biuletynie Zamówień Publicznych</w:t>
      </w:r>
      <w:r w:rsidR="00F6283F">
        <w:t xml:space="preserve"> (zwanym również dalej</w:t>
      </w:r>
      <w:r w:rsidR="00860339">
        <w:t xml:space="preserve"> „BZP</w:t>
      </w:r>
      <w:r w:rsidR="00C4488D">
        <w:t>”</w:t>
      </w:r>
      <w:r w:rsidR="00860339">
        <w:t>)</w:t>
      </w:r>
      <w:r>
        <w:t xml:space="preserve"> lub </w:t>
      </w:r>
      <w:r w:rsidRPr="006B6000">
        <w:t>do publikacji w Dzienniku Urzędowym Unii Europejskiej</w:t>
      </w:r>
      <w:r>
        <w:t xml:space="preserve"> ogłoszeń dotyczących</w:t>
      </w:r>
      <w:r w:rsidRPr="006B6000">
        <w:t xml:space="preserve"> zawierania umów koncesji na roboty budowlane lub usługi</w:t>
      </w:r>
      <w:r>
        <w:t xml:space="preserve">. </w:t>
      </w:r>
    </w:p>
    <w:p w14:paraId="320DD08F" w14:textId="05A2EEE5" w:rsidR="001D6268" w:rsidRDefault="001D6268" w:rsidP="001D6268">
      <w:pPr>
        <w:shd w:val="clear" w:color="auto" w:fill="FFFFFF"/>
      </w:pPr>
      <w:r>
        <w:t xml:space="preserve">W 2022 r. opublikowano łącznie 34 takie ogłoszenia (w 2021 r. – 39; w </w:t>
      </w:r>
      <w:r w:rsidRPr="005A7728">
        <w:t>2020 r. – 34; w 2019 r. – 32</w:t>
      </w:r>
      <w:r>
        <w:t>).</w:t>
      </w:r>
    </w:p>
    <w:p w14:paraId="56B36DDA" w14:textId="77777777" w:rsidR="000E0AEC" w:rsidRDefault="000E0AEC" w:rsidP="001D6268">
      <w:pPr>
        <w:shd w:val="clear" w:color="auto" w:fill="FFFFFF"/>
      </w:pPr>
    </w:p>
    <w:p w14:paraId="5706DC22" w14:textId="5328A3A8" w:rsidR="001D6268" w:rsidRPr="005A7728" w:rsidRDefault="001D6268" w:rsidP="001D6268">
      <w:pPr>
        <w:keepNext/>
        <w:spacing w:before="120" w:after="120"/>
        <w:jc w:val="left"/>
        <w:rPr>
          <w:iCs/>
          <w:color w:val="44546A"/>
          <w:sz w:val="18"/>
          <w:szCs w:val="18"/>
        </w:rPr>
      </w:pPr>
      <w:bookmarkStart w:id="68" w:name="_Toc106101473"/>
      <w:bookmarkStart w:id="69" w:name="_Toc141276511"/>
      <w:r w:rsidRPr="005A7728">
        <w:rPr>
          <w:iCs/>
          <w:color w:val="44546A"/>
          <w:sz w:val="18"/>
          <w:szCs w:val="18"/>
        </w:rPr>
        <w:t xml:space="preserve">Tab. </w:t>
      </w:r>
      <w:r w:rsidRPr="005A7728">
        <w:rPr>
          <w:iCs/>
          <w:color w:val="44546A"/>
          <w:sz w:val="18"/>
          <w:szCs w:val="18"/>
        </w:rPr>
        <w:fldChar w:fldCharType="begin"/>
      </w:r>
      <w:r w:rsidRPr="005A7728">
        <w:rPr>
          <w:iCs/>
          <w:color w:val="44546A"/>
          <w:sz w:val="18"/>
          <w:szCs w:val="18"/>
        </w:rPr>
        <w:instrText xml:space="preserve"> SEQ Tab. \* ARABIC </w:instrText>
      </w:r>
      <w:r w:rsidRPr="005A7728">
        <w:rPr>
          <w:iCs/>
          <w:color w:val="44546A"/>
          <w:sz w:val="18"/>
          <w:szCs w:val="18"/>
        </w:rPr>
        <w:fldChar w:fldCharType="separate"/>
      </w:r>
      <w:r w:rsidR="00A43C68">
        <w:rPr>
          <w:iCs/>
          <w:noProof/>
          <w:color w:val="44546A"/>
          <w:sz w:val="18"/>
          <w:szCs w:val="18"/>
        </w:rPr>
        <w:t>4</w:t>
      </w:r>
      <w:r w:rsidRPr="005A7728">
        <w:rPr>
          <w:iCs/>
          <w:noProof/>
          <w:color w:val="44546A"/>
          <w:sz w:val="18"/>
          <w:szCs w:val="18"/>
        </w:rPr>
        <w:fldChar w:fldCharType="end"/>
      </w:r>
      <w:r w:rsidRPr="005A7728">
        <w:rPr>
          <w:iCs/>
          <w:color w:val="44546A"/>
          <w:sz w:val="18"/>
          <w:szCs w:val="18"/>
        </w:rPr>
        <w:t>. Liczba ogłoszeń dotyczących koncesji na roboty budowlane lub usługi</w:t>
      </w:r>
      <w:bookmarkEnd w:id="68"/>
      <w:bookmarkEnd w:id="69"/>
    </w:p>
    <w:tbl>
      <w:tblPr>
        <w:tblStyle w:val="Tabela-Siatka"/>
        <w:tblW w:w="9180" w:type="dxa"/>
        <w:tblLayout w:type="fixed"/>
        <w:tblLook w:val="01E0" w:firstRow="1" w:lastRow="1" w:firstColumn="1" w:lastColumn="1" w:noHBand="0" w:noVBand="0"/>
      </w:tblPr>
      <w:tblGrid>
        <w:gridCol w:w="4219"/>
        <w:gridCol w:w="709"/>
        <w:gridCol w:w="709"/>
        <w:gridCol w:w="708"/>
        <w:gridCol w:w="709"/>
        <w:gridCol w:w="1276"/>
        <w:gridCol w:w="850"/>
      </w:tblGrid>
      <w:tr w:rsidR="001D6268" w:rsidRPr="005A7728" w14:paraId="317AA3CD" w14:textId="77777777" w:rsidTr="00FF35EB">
        <w:trPr>
          <w:trHeight w:val="101"/>
          <w:tblHeader/>
        </w:trPr>
        <w:tc>
          <w:tcPr>
            <w:tcW w:w="4219" w:type="dxa"/>
            <w:vMerge w:val="restart"/>
            <w:tcBorders>
              <w:top w:val="single" w:sz="4" w:space="0" w:color="FFFFFF"/>
              <w:left w:val="single" w:sz="4" w:space="0" w:color="FFFFFF"/>
              <w:bottom w:val="single" w:sz="4" w:space="0" w:color="FFFFFF"/>
              <w:right w:val="single" w:sz="4" w:space="0" w:color="FFFFFF"/>
            </w:tcBorders>
            <w:shd w:val="clear" w:color="auto" w:fill="002060"/>
            <w:vAlign w:val="center"/>
          </w:tcPr>
          <w:p w14:paraId="3D37EA8E" w14:textId="77777777" w:rsidR="001D6268" w:rsidRPr="005A7728" w:rsidRDefault="001D6268" w:rsidP="00FF35EB">
            <w:pPr>
              <w:spacing w:before="60" w:after="60"/>
              <w:jc w:val="center"/>
              <w:rPr>
                <w:rFonts w:cs="Arial"/>
                <w:b/>
                <w:sz w:val="18"/>
                <w:szCs w:val="18"/>
              </w:rPr>
            </w:pPr>
            <w:r w:rsidRPr="005A7728">
              <w:rPr>
                <w:rFonts w:cs="Arial"/>
                <w:b/>
                <w:sz w:val="18"/>
                <w:szCs w:val="18"/>
              </w:rPr>
              <w:t>Rodzaj ogłoszenia</w:t>
            </w:r>
          </w:p>
        </w:tc>
        <w:tc>
          <w:tcPr>
            <w:tcW w:w="709" w:type="dxa"/>
            <w:vMerge w:val="restart"/>
            <w:tcBorders>
              <w:top w:val="single" w:sz="4" w:space="0" w:color="FFFFFF"/>
              <w:left w:val="single" w:sz="4" w:space="0" w:color="FFFFFF"/>
              <w:right w:val="single" w:sz="4" w:space="0" w:color="FFFFFF"/>
            </w:tcBorders>
            <w:shd w:val="clear" w:color="auto" w:fill="002060"/>
            <w:vAlign w:val="center"/>
          </w:tcPr>
          <w:p w14:paraId="252E1A23" w14:textId="77777777" w:rsidR="001D6268" w:rsidRPr="005A7728" w:rsidRDefault="001D6268" w:rsidP="00FF35EB">
            <w:pPr>
              <w:spacing w:before="60" w:after="60"/>
              <w:jc w:val="center"/>
              <w:rPr>
                <w:rFonts w:cs="Arial"/>
                <w:b/>
                <w:sz w:val="18"/>
                <w:szCs w:val="18"/>
              </w:rPr>
            </w:pPr>
            <w:r w:rsidRPr="005A7728">
              <w:rPr>
                <w:rFonts w:cs="Arial"/>
                <w:b/>
                <w:sz w:val="18"/>
                <w:szCs w:val="18"/>
              </w:rPr>
              <w:t>2019</w:t>
            </w:r>
          </w:p>
        </w:tc>
        <w:tc>
          <w:tcPr>
            <w:tcW w:w="709" w:type="dxa"/>
            <w:vMerge w:val="restart"/>
            <w:tcBorders>
              <w:top w:val="single" w:sz="4" w:space="0" w:color="FFFFFF"/>
              <w:left w:val="single" w:sz="4" w:space="0" w:color="FFFFFF"/>
              <w:right w:val="single" w:sz="4" w:space="0" w:color="FFFFFF"/>
            </w:tcBorders>
            <w:shd w:val="clear" w:color="auto" w:fill="002060"/>
            <w:vAlign w:val="center"/>
          </w:tcPr>
          <w:p w14:paraId="74AD6E4E" w14:textId="77777777" w:rsidR="001D6268" w:rsidRPr="005A7728" w:rsidRDefault="001D6268" w:rsidP="00FF35EB">
            <w:pPr>
              <w:spacing w:before="60" w:after="60"/>
              <w:jc w:val="center"/>
              <w:rPr>
                <w:rFonts w:cs="Arial"/>
                <w:b/>
                <w:sz w:val="18"/>
                <w:szCs w:val="18"/>
              </w:rPr>
            </w:pPr>
            <w:r w:rsidRPr="005A7728">
              <w:rPr>
                <w:rFonts w:cs="Arial"/>
                <w:b/>
                <w:sz w:val="18"/>
                <w:szCs w:val="18"/>
              </w:rPr>
              <w:t>2020</w:t>
            </w:r>
          </w:p>
        </w:tc>
        <w:tc>
          <w:tcPr>
            <w:tcW w:w="708" w:type="dxa"/>
            <w:vMerge w:val="restart"/>
            <w:tcBorders>
              <w:top w:val="single" w:sz="4" w:space="0" w:color="FFFFFF"/>
              <w:left w:val="single" w:sz="4" w:space="0" w:color="FFFFFF"/>
              <w:right w:val="single" w:sz="4" w:space="0" w:color="FFFFFF"/>
            </w:tcBorders>
            <w:shd w:val="clear" w:color="auto" w:fill="002060"/>
            <w:vAlign w:val="center"/>
          </w:tcPr>
          <w:p w14:paraId="3C6D8C04" w14:textId="77777777" w:rsidR="001D6268" w:rsidRPr="005A7728" w:rsidRDefault="001D6268" w:rsidP="00FF35EB">
            <w:pPr>
              <w:spacing w:before="60" w:after="60"/>
              <w:jc w:val="center"/>
              <w:rPr>
                <w:rFonts w:cs="Arial"/>
                <w:b/>
                <w:sz w:val="18"/>
                <w:szCs w:val="18"/>
              </w:rPr>
            </w:pPr>
            <w:r w:rsidRPr="005A7728">
              <w:rPr>
                <w:rFonts w:cs="Arial"/>
                <w:b/>
                <w:sz w:val="18"/>
                <w:szCs w:val="18"/>
              </w:rPr>
              <w:t>2021</w:t>
            </w:r>
          </w:p>
        </w:tc>
        <w:tc>
          <w:tcPr>
            <w:tcW w:w="2835" w:type="dxa"/>
            <w:gridSpan w:val="3"/>
            <w:tcBorders>
              <w:top w:val="single" w:sz="4" w:space="0" w:color="FFFFFF"/>
              <w:left w:val="single" w:sz="4" w:space="0" w:color="FFFFFF"/>
              <w:bottom w:val="single" w:sz="4" w:space="0" w:color="FFFFFF"/>
              <w:right w:val="single" w:sz="4" w:space="0" w:color="FFFFFF"/>
            </w:tcBorders>
            <w:shd w:val="clear" w:color="auto" w:fill="002060"/>
          </w:tcPr>
          <w:p w14:paraId="51A13BA9" w14:textId="77777777" w:rsidR="001D6268" w:rsidRPr="00FA658C" w:rsidRDefault="001D6268" w:rsidP="00FF35EB">
            <w:pPr>
              <w:spacing w:before="60" w:after="60"/>
              <w:jc w:val="center"/>
              <w:rPr>
                <w:rFonts w:cs="Arial"/>
                <w:b/>
                <w:sz w:val="18"/>
                <w:szCs w:val="18"/>
              </w:rPr>
            </w:pPr>
            <w:r w:rsidRPr="00FA658C">
              <w:rPr>
                <w:rFonts w:cs="Arial"/>
                <w:b/>
                <w:sz w:val="18"/>
                <w:szCs w:val="18"/>
              </w:rPr>
              <w:t>2022</w:t>
            </w:r>
          </w:p>
        </w:tc>
      </w:tr>
      <w:tr w:rsidR="001D6268" w:rsidRPr="00FA658C" w14:paraId="3B697750" w14:textId="77777777" w:rsidTr="00FF35EB">
        <w:trPr>
          <w:trHeight w:val="44"/>
          <w:tblHeader/>
        </w:trPr>
        <w:tc>
          <w:tcPr>
            <w:tcW w:w="4219" w:type="dxa"/>
            <w:vMerge/>
            <w:tcBorders>
              <w:top w:val="single" w:sz="4" w:space="0" w:color="FFFFFF"/>
              <w:left w:val="single" w:sz="4" w:space="0" w:color="FFFFFF"/>
              <w:bottom w:val="nil"/>
              <w:right w:val="single" w:sz="4" w:space="0" w:color="FFFFFF"/>
            </w:tcBorders>
            <w:vAlign w:val="center"/>
          </w:tcPr>
          <w:p w14:paraId="48EACE68" w14:textId="77777777" w:rsidR="001D6268" w:rsidRPr="005A7728" w:rsidRDefault="001D6268" w:rsidP="00FF35EB">
            <w:pPr>
              <w:spacing w:before="60" w:after="60"/>
              <w:jc w:val="center"/>
              <w:rPr>
                <w:rFonts w:cs="Arial"/>
                <w:b/>
                <w:sz w:val="18"/>
                <w:szCs w:val="18"/>
              </w:rPr>
            </w:pPr>
          </w:p>
        </w:tc>
        <w:tc>
          <w:tcPr>
            <w:tcW w:w="709" w:type="dxa"/>
            <w:vMerge/>
            <w:tcBorders>
              <w:left w:val="single" w:sz="4" w:space="0" w:color="FFFFFF"/>
              <w:bottom w:val="nil"/>
              <w:right w:val="single" w:sz="4" w:space="0" w:color="FFFFFF"/>
            </w:tcBorders>
            <w:shd w:val="clear" w:color="auto" w:fill="002060"/>
            <w:vAlign w:val="center"/>
          </w:tcPr>
          <w:p w14:paraId="72FD4AF0" w14:textId="77777777" w:rsidR="001D6268" w:rsidRPr="005A7728" w:rsidRDefault="001D6268" w:rsidP="00FF35EB">
            <w:pPr>
              <w:spacing w:before="60" w:after="60"/>
              <w:jc w:val="center"/>
              <w:rPr>
                <w:rFonts w:cs="Arial"/>
                <w:b/>
                <w:sz w:val="18"/>
                <w:szCs w:val="18"/>
              </w:rPr>
            </w:pPr>
          </w:p>
        </w:tc>
        <w:tc>
          <w:tcPr>
            <w:tcW w:w="709" w:type="dxa"/>
            <w:vMerge/>
            <w:tcBorders>
              <w:left w:val="single" w:sz="4" w:space="0" w:color="FFFFFF"/>
              <w:bottom w:val="nil"/>
              <w:right w:val="single" w:sz="4" w:space="0" w:color="FFFFFF"/>
            </w:tcBorders>
            <w:shd w:val="clear" w:color="auto" w:fill="002060"/>
            <w:vAlign w:val="center"/>
          </w:tcPr>
          <w:p w14:paraId="7A30CD40" w14:textId="77777777" w:rsidR="001D6268" w:rsidRPr="005A7728" w:rsidRDefault="001D6268" w:rsidP="00FF35EB">
            <w:pPr>
              <w:spacing w:before="60" w:after="60"/>
              <w:jc w:val="center"/>
              <w:rPr>
                <w:rFonts w:cs="Arial"/>
                <w:b/>
                <w:sz w:val="18"/>
                <w:szCs w:val="18"/>
              </w:rPr>
            </w:pPr>
          </w:p>
        </w:tc>
        <w:tc>
          <w:tcPr>
            <w:tcW w:w="708" w:type="dxa"/>
            <w:vMerge/>
            <w:tcBorders>
              <w:left w:val="single" w:sz="4" w:space="0" w:color="FFFFFF"/>
              <w:bottom w:val="nil"/>
              <w:right w:val="single" w:sz="4" w:space="0" w:color="FFFFFF"/>
            </w:tcBorders>
            <w:shd w:val="clear" w:color="auto" w:fill="002060"/>
          </w:tcPr>
          <w:p w14:paraId="3D3EF807" w14:textId="77777777" w:rsidR="001D6268" w:rsidRPr="005A7728" w:rsidRDefault="001D6268" w:rsidP="00FF35EB">
            <w:pPr>
              <w:spacing w:before="60" w:after="60"/>
              <w:jc w:val="center"/>
              <w:rPr>
                <w:b/>
                <w:sz w:val="18"/>
                <w:szCs w:val="18"/>
              </w:rPr>
            </w:pPr>
          </w:p>
        </w:tc>
        <w:tc>
          <w:tcPr>
            <w:tcW w:w="709" w:type="dxa"/>
            <w:tcBorders>
              <w:top w:val="single" w:sz="4" w:space="0" w:color="FFFFFF"/>
              <w:left w:val="single" w:sz="4" w:space="0" w:color="FFFFFF"/>
              <w:bottom w:val="nil"/>
              <w:right w:val="single" w:sz="4" w:space="0" w:color="FFFFFF"/>
            </w:tcBorders>
            <w:shd w:val="clear" w:color="auto" w:fill="002060"/>
            <w:vAlign w:val="center"/>
          </w:tcPr>
          <w:p w14:paraId="33BDEE0C" w14:textId="77777777" w:rsidR="001D6268" w:rsidRPr="005A7728" w:rsidRDefault="001D6268" w:rsidP="00FF35EB">
            <w:pPr>
              <w:spacing w:before="60" w:after="60"/>
              <w:jc w:val="center"/>
              <w:rPr>
                <w:rFonts w:cs="Arial"/>
                <w:b/>
                <w:sz w:val="18"/>
                <w:szCs w:val="18"/>
              </w:rPr>
            </w:pPr>
            <w:r w:rsidRPr="005A7728">
              <w:rPr>
                <w:rFonts w:cs="Arial"/>
                <w:b/>
                <w:sz w:val="18"/>
                <w:szCs w:val="18"/>
              </w:rPr>
              <w:t>BZP</w:t>
            </w:r>
          </w:p>
        </w:tc>
        <w:tc>
          <w:tcPr>
            <w:tcW w:w="1276" w:type="dxa"/>
            <w:tcBorders>
              <w:top w:val="single" w:sz="4" w:space="0" w:color="FFFFFF"/>
              <w:left w:val="single" w:sz="4" w:space="0" w:color="FFFFFF"/>
              <w:bottom w:val="nil"/>
              <w:right w:val="single" w:sz="4" w:space="0" w:color="FFFFFF"/>
            </w:tcBorders>
            <w:shd w:val="clear" w:color="auto" w:fill="002060"/>
            <w:vAlign w:val="center"/>
          </w:tcPr>
          <w:p w14:paraId="18622378" w14:textId="77777777" w:rsidR="001D6268" w:rsidRPr="005A7728" w:rsidRDefault="001D6268" w:rsidP="00FF35EB">
            <w:pPr>
              <w:spacing w:before="60" w:after="60"/>
              <w:jc w:val="center"/>
              <w:rPr>
                <w:rFonts w:cs="Arial"/>
                <w:b/>
                <w:sz w:val="18"/>
                <w:szCs w:val="18"/>
              </w:rPr>
            </w:pPr>
            <w:r w:rsidRPr="005A7728">
              <w:rPr>
                <w:rFonts w:cs="Arial"/>
                <w:b/>
                <w:sz w:val="18"/>
                <w:szCs w:val="18"/>
              </w:rPr>
              <w:t>Dz. Urz. UE</w:t>
            </w:r>
          </w:p>
        </w:tc>
        <w:tc>
          <w:tcPr>
            <w:tcW w:w="850" w:type="dxa"/>
            <w:tcBorders>
              <w:top w:val="single" w:sz="4" w:space="0" w:color="FFFFFF"/>
              <w:left w:val="single" w:sz="4" w:space="0" w:color="FFFFFF"/>
              <w:bottom w:val="nil"/>
              <w:right w:val="single" w:sz="4" w:space="0" w:color="FFFFFF"/>
            </w:tcBorders>
            <w:shd w:val="clear" w:color="auto" w:fill="002060"/>
            <w:vAlign w:val="center"/>
          </w:tcPr>
          <w:p w14:paraId="07F775A9" w14:textId="77777777" w:rsidR="001D6268" w:rsidRPr="005A7728" w:rsidRDefault="001D6268" w:rsidP="00FF35EB">
            <w:pPr>
              <w:spacing w:before="60" w:after="60"/>
              <w:jc w:val="center"/>
              <w:rPr>
                <w:rFonts w:cs="Arial"/>
                <w:b/>
                <w:sz w:val="18"/>
                <w:szCs w:val="18"/>
              </w:rPr>
            </w:pPr>
            <w:r w:rsidRPr="005A7728">
              <w:rPr>
                <w:rFonts w:cs="Arial"/>
                <w:b/>
                <w:sz w:val="18"/>
                <w:szCs w:val="18"/>
              </w:rPr>
              <w:t>Razem</w:t>
            </w:r>
          </w:p>
        </w:tc>
      </w:tr>
      <w:tr w:rsidR="001D6268" w:rsidRPr="00FA658C" w14:paraId="1202D5B9" w14:textId="77777777" w:rsidTr="00FF35EB">
        <w:trPr>
          <w:trHeight w:val="44"/>
        </w:trPr>
        <w:tc>
          <w:tcPr>
            <w:tcW w:w="4219" w:type="dxa"/>
            <w:tcBorders>
              <w:top w:val="nil"/>
              <w:left w:val="nil"/>
              <w:bottom w:val="nil"/>
              <w:right w:val="single" w:sz="4" w:space="0" w:color="FFFFFF"/>
            </w:tcBorders>
            <w:vAlign w:val="center"/>
          </w:tcPr>
          <w:p w14:paraId="58130443" w14:textId="77777777" w:rsidR="001D6268" w:rsidRPr="005A7728" w:rsidRDefault="001D6268" w:rsidP="00FF35EB">
            <w:pPr>
              <w:spacing w:before="60" w:after="60"/>
              <w:jc w:val="left"/>
              <w:rPr>
                <w:rFonts w:cs="Arial"/>
                <w:bCs/>
                <w:sz w:val="18"/>
                <w:szCs w:val="18"/>
              </w:rPr>
            </w:pPr>
            <w:r w:rsidRPr="005A7728">
              <w:rPr>
                <w:rFonts w:cs="Arial"/>
                <w:bCs/>
                <w:sz w:val="18"/>
                <w:szCs w:val="18"/>
              </w:rPr>
              <w:t>O koncesji</w:t>
            </w:r>
          </w:p>
        </w:tc>
        <w:tc>
          <w:tcPr>
            <w:tcW w:w="709" w:type="dxa"/>
            <w:tcBorders>
              <w:top w:val="nil"/>
              <w:left w:val="single" w:sz="4" w:space="0" w:color="FFFFFF"/>
              <w:bottom w:val="nil"/>
              <w:right w:val="single" w:sz="4" w:space="0" w:color="FFFFFF"/>
            </w:tcBorders>
            <w:vAlign w:val="center"/>
          </w:tcPr>
          <w:p w14:paraId="6C977420" w14:textId="77777777" w:rsidR="001D6268" w:rsidRPr="005A7728" w:rsidRDefault="001D6268" w:rsidP="00FF35EB">
            <w:pPr>
              <w:spacing w:before="60" w:after="60"/>
              <w:jc w:val="center"/>
              <w:rPr>
                <w:rFonts w:cs="Arial"/>
                <w:sz w:val="18"/>
                <w:szCs w:val="18"/>
              </w:rPr>
            </w:pPr>
            <w:r w:rsidRPr="005A7728">
              <w:rPr>
                <w:rFonts w:cs="Arial"/>
                <w:sz w:val="18"/>
                <w:szCs w:val="18"/>
              </w:rPr>
              <w:t>11</w:t>
            </w:r>
          </w:p>
        </w:tc>
        <w:tc>
          <w:tcPr>
            <w:tcW w:w="709" w:type="dxa"/>
            <w:tcBorders>
              <w:top w:val="nil"/>
              <w:left w:val="single" w:sz="4" w:space="0" w:color="FFFFFF"/>
              <w:bottom w:val="nil"/>
              <w:right w:val="single" w:sz="4" w:space="0" w:color="FFFFFF"/>
            </w:tcBorders>
            <w:vAlign w:val="center"/>
          </w:tcPr>
          <w:p w14:paraId="094EDE26" w14:textId="77777777" w:rsidR="001D6268" w:rsidRPr="005A7728" w:rsidRDefault="001D6268" w:rsidP="00FF35EB">
            <w:pPr>
              <w:spacing w:before="60" w:after="60"/>
              <w:jc w:val="center"/>
              <w:rPr>
                <w:rFonts w:cs="Arial"/>
                <w:sz w:val="18"/>
                <w:szCs w:val="18"/>
              </w:rPr>
            </w:pPr>
            <w:r w:rsidRPr="005A7728">
              <w:rPr>
                <w:rFonts w:cs="Arial"/>
                <w:sz w:val="18"/>
                <w:szCs w:val="18"/>
              </w:rPr>
              <w:t>12</w:t>
            </w:r>
          </w:p>
        </w:tc>
        <w:tc>
          <w:tcPr>
            <w:tcW w:w="708" w:type="dxa"/>
            <w:tcBorders>
              <w:top w:val="nil"/>
              <w:left w:val="single" w:sz="4" w:space="0" w:color="FFFFFF"/>
              <w:bottom w:val="nil"/>
              <w:right w:val="single" w:sz="4" w:space="0" w:color="FFFFFF"/>
            </w:tcBorders>
            <w:vAlign w:val="center"/>
          </w:tcPr>
          <w:p w14:paraId="31AD0849" w14:textId="77777777" w:rsidR="001D6268" w:rsidRPr="005A7728" w:rsidRDefault="001D6268" w:rsidP="00FF35EB">
            <w:pPr>
              <w:spacing w:before="60" w:after="60"/>
              <w:jc w:val="center"/>
              <w:rPr>
                <w:rFonts w:cs="Arial"/>
                <w:bCs/>
                <w:sz w:val="18"/>
                <w:szCs w:val="18"/>
              </w:rPr>
            </w:pPr>
            <w:r w:rsidRPr="005A7728">
              <w:rPr>
                <w:rFonts w:cs="Arial"/>
                <w:bCs/>
                <w:sz w:val="18"/>
                <w:szCs w:val="18"/>
              </w:rPr>
              <w:t>21</w:t>
            </w:r>
          </w:p>
        </w:tc>
        <w:tc>
          <w:tcPr>
            <w:tcW w:w="709" w:type="dxa"/>
            <w:tcBorders>
              <w:top w:val="nil"/>
              <w:left w:val="single" w:sz="4" w:space="0" w:color="FFFFFF"/>
              <w:bottom w:val="nil"/>
              <w:right w:val="nil"/>
            </w:tcBorders>
            <w:vAlign w:val="center"/>
          </w:tcPr>
          <w:p w14:paraId="5623A000" w14:textId="77777777" w:rsidR="001D6268" w:rsidRPr="00FA658C" w:rsidRDefault="001D6268" w:rsidP="00FF35EB">
            <w:pPr>
              <w:spacing w:before="60" w:after="60"/>
              <w:jc w:val="center"/>
              <w:rPr>
                <w:rFonts w:cs="Arial"/>
                <w:bCs/>
                <w:sz w:val="18"/>
                <w:szCs w:val="18"/>
              </w:rPr>
            </w:pPr>
            <w:r w:rsidRPr="00FA658C">
              <w:rPr>
                <w:rFonts w:cs="Arial"/>
                <w:bCs/>
                <w:sz w:val="18"/>
                <w:szCs w:val="18"/>
              </w:rPr>
              <w:t>10</w:t>
            </w:r>
          </w:p>
        </w:tc>
        <w:tc>
          <w:tcPr>
            <w:tcW w:w="1276" w:type="dxa"/>
            <w:tcBorders>
              <w:top w:val="nil"/>
              <w:left w:val="single" w:sz="4" w:space="0" w:color="FFFFFF"/>
              <w:bottom w:val="nil"/>
              <w:right w:val="nil"/>
            </w:tcBorders>
            <w:vAlign w:val="center"/>
          </w:tcPr>
          <w:p w14:paraId="2FBE04C8" w14:textId="77777777" w:rsidR="001D6268" w:rsidRPr="00FA658C" w:rsidRDefault="001D6268" w:rsidP="00FF35EB">
            <w:pPr>
              <w:spacing w:before="60" w:after="60"/>
              <w:jc w:val="center"/>
              <w:rPr>
                <w:rFonts w:cs="Arial"/>
                <w:bCs/>
                <w:sz w:val="18"/>
                <w:szCs w:val="18"/>
              </w:rPr>
            </w:pPr>
            <w:r>
              <w:rPr>
                <w:rFonts w:cs="Arial"/>
                <w:bCs/>
                <w:sz w:val="18"/>
                <w:szCs w:val="18"/>
              </w:rPr>
              <w:t>0</w:t>
            </w:r>
          </w:p>
        </w:tc>
        <w:tc>
          <w:tcPr>
            <w:tcW w:w="850" w:type="dxa"/>
            <w:tcBorders>
              <w:top w:val="nil"/>
              <w:left w:val="single" w:sz="4" w:space="0" w:color="FFFFFF"/>
              <w:bottom w:val="nil"/>
              <w:right w:val="nil"/>
            </w:tcBorders>
            <w:vAlign w:val="center"/>
          </w:tcPr>
          <w:p w14:paraId="27CA2BE6" w14:textId="77777777" w:rsidR="001D6268" w:rsidRPr="00FA658C" w:rsidRDefault="001D6268" w:rsidP="00FF35EB">
            <w:pPr>
              <w:spacing w:before="60" w:after="60"/>
              <w:jc w:val="center"/>
              <w:rPr>
                <w:rFonts w:cs="Arial"/>
                <w:bCs/>
                <w:sz w:val="18"/>
                <w:szCs w:val="18"/>
              </w:rPr>
            </w:pPr>
            <w:r>
              <w:rPr>
                <w:rFonts w:cs="Arial"/>
                <w:bCs/>
                <w:sz w:val="18"/>
                <w:szCs w:val="18"/>
              </w:rPr>
              <w:t>10</w:t>
            </w:r>
          </w:p>
        </w:tc>
      </w:tr>
      <w:tr w:rsidR="001D6268" w:rsidRPr="00FA658C" w14:paraId="2D191437" w14:textId="77777777" w:rsidTr="00FF35EB">
        <w:trPr>
          <w:trHeight w:val="59"/>
        </w:trPr>
        <w:tc>
          <w:tcPr>
            <w:tcW w:w="4219" w:type="dxa"/>
            <w:tcBorders>
              <w:top w:val="nil"/>
              <w:left w:val="nil"/>
              <w:bottom w:val="nil"/>
              <w:right w:val="single" w:sz="4" w:space="0" w:color="FFFFFF"/>
            </w:tcBorders>
            <w:shd w:val="clear" w:color="auto" w:fill="00B0F0"/>
            <w:vAlign w:val="center"/>
          </w:tcPr>
          <w:p w14:paraId="11CDD268" w14:textId="77777777" w:rsidR="001D6268" w:rsidRPr="005A7728" w:rsidRDefault="001D6268" w:rsidP="00FF35EB">
            <w:pPr>
              <w:spacing w:before="60" w:after="60"/>
              <w:jc w:val="left"/>
              <w:rPr>
                <w:rFonts w:cs="Arial"/>
                <w:bCs/>
                <w:sz w:val="18"/>
                <w:szCs w:val="18"/>
              </w:rPr>
            </w:pPr>
            <w:r w:rsidRPr="005A7728">
              <w:rPr>
                <w:rFonts w:cs="Arial"/>
                <w:bCs/>
                <w:sz w:val="18"/>
                <w:szCs w:val="18"/>
              </w:rPr>
              <w:t>O zmianie ogłoszenia</w:t>
            </w:r>
          </w:p>
        </w:tc>
        <w:tc>
          <w:tcPr>
            <w:tcW w:w="709" w:type="dxa"/>
            <w:tcBorders>
              <w:top w:val="nil"/>
              <w:left w:val="single" w:sz="4" w:space="0" w:color="FFFFFF"/>
              <w:bottom w:val="nil"/>
              <w:right w:val="single" w:sz="4" w:space="0" w:color="FFFFFF"/>
            </w:tcBorders>
            <w:shd w:val="clear" w:color="auto" w:fill="00B0F0"/>
            <w:vAlign w:val="center"/>
          </w:tcPr>
          <w:p w14:paraId="200D9C1A" w14:textId="77777777" w:rsidR="001D6268" w:rsidRPr="005A7728" w:rsidRDefault="001D6268" w:rsidP="00FF35EB">
            <w:pPr>
              <w:spacing w:before="60" w:after="60"/>
              <w:jc w:val="center"/>
              <w:rPr>
                <w:rFonts w:cs="Arial"/>
                <w:sz w:val="18"/>
                <w:szCs w:val="18"/>
              </w:rPr>
            </w:pPr>
            <w:r w:rsidRPr="005A7728">
              <w:rPr>
                <w:rFonts w:cs="Arial"/>
                <w:sz w:val="18"/>
                <w:szCs w:val="18"/>
              </w:rPr>
              <w:t>11</w:t>
            </w:r>
          </w:p>
        </w:tc>
        <w:tc>
          <w:tcPr>
            <w:tcW w:w="709" w:type="dxa"/>
            <w:tcBorders>
              <w:top w:val="nil"/>
              <w:left w:val="single" w:sz="4" w:space="0" w:color="FFFFFF"/>
              <w:bottom w:val="nil"/>
              <w:right w:val="single" w:sz="4" w:space="0" w:color="FFFFFF"/>
            </w:tcBorders>
            <w:shd w:val="clear" w:color="auto" w:fill="00B0F0"/>
            <w:vAlign w:val="center"/>
          </w:tcPr>
          <w:p w14:paraId="452A4D63" w14:textId="77777777" w:rsidR="001D6268" w:rsidRPr="005A7728" w:rsidRDefault="001D6268" w:rsidP="00FF35EB">
            <w:pPr>
              <w:spacing w:before="60" w:after="60"/>
              <w:jc w:val="center"/>
              <w:rPr>
                <w:rFonts w:cs="Arial"/>
                <w:sz w:val="18"/>
                <w:szCs w:val="18"/>
              </w:rPr>
            </w:pPr>
            <w:r w:rsidRPr="005A7728">
              <w:rPr>
                <w:rFonts w:cs="Arial"/>
                <w:sz w:val="18"/>
                <w:szCs w:val="18"/>
              </w:rPr>
              <w:t>4</w:t>
            </w:r>
          </w:p>
        </w:tc>
        <w:tc>
          <w:tcPr>
            <w:tcW w:w="708" w:type="dxa"/>
            <w:tcBorders>
              <w:top w:val="nil"/>
              <w:left w:val="single" w:sz="4" w:space="0" w:color="FFFFFF"/>
              <w:bottom w:val="nil"/>
              <w:right w:val="single" w:sz="4" w:space="0" w:color="FFFFFF"/>
            </w:tcBorders>
            <w:shd w:val="clear" w:color="auto" w:fill="00B0F0"/>
            <w:vAlign w:val="center"/>
          </w:tcPr>
          <w:p w14:paraId="02E7B4CC" w14:textId="77777777" w:rsidR="001D6268" w:rsidRPr="005A7728" w:rsidRDefault="001D6268" w:rsidP="00FF35EB">
            <w:pPr>
              <w:spacing w:before="60" w:after="60"/>
              <w:jc w:val="center"/>
              <w:rPr>
                <w:rFonts w:cs="Arial"/>
                <w:bCs/>
                <w:sz w:val="18"/>
                <w:szCs w:val="18"/>
              </w:rPr>
            </w:pPr>
            <w:r w:rsidRPr="005A7728">
              <w:rPr>
                <w:rFonts w:cs="Arial"/>
                <w:bCs/>
                <w:sz w:val="18"/>
                <w:szCs w:val="18"/>
              </w:rPr>
              <w:t>10</w:t>
            </w:r>
          </w:p>
        </w:tc>
        <w:tc>
          <w:tcPr>
            <w:tcW w:w="709" w:type="dxa"/>
            <w:tcBorders>
              <w:top w:val="nil"/>
              <w:left w:val="single" w:sz="4" w:space="0" w:color="FFFFFF"/>
              <w:bottom w:val="nil"/>
              <w:right w:val="nil"/>
            </w:tcBorders>
            <w:shd w:val="clear" w:color="auto" w:fill="00B0F0"/>
            <w:vAlign w:val="center"/>
          </w:tcPr>
          <w:p w14:paraId="0E0FA3D2" w14:textId="77777777" w:rsidR="001D6268" w:rsidRPr="00FA658C" w:rsidRDefault="001D6268" w:rsidP="00FF35EB">
            <w:pPr>
              <w:spacing w:before="60" w:after="60"/>
              <w:jc w:val="center"/>
              <w:rPr>
                <w:rFonts w:cs="Arial"/>
                <w:bCs/>
                <w:sz w:val="18"/>
                <w:szCs w:val="18"/>
              </w:rPr>
            </w:pPr>
            <w:r>
              <w:rPr>
                <w:rFonts w:cs="Arial"/>
                <w:bCs/>
                <w:sz w:val="18"/>
                <w:szCs w:val="18"/>
              </w:rPr>
              <w:t>8</w:t>
            </w:r>
          </w:p>
        </w:tc>
        <w:tc>
          <w:tcPr>
            <w:tcW w:w="1276" w:type="dxa"/>
            <w:tcBorders>
              <w:top w:val="nil"/>
              <w:left w:val="single" w:sz="4" w:space="0" w:color="FFFFFF"/>
              <w:bottom w:val="nil"/>
              <w:right w:val="nil"/>
            </w:tcBorders>
            <w:shd w:val="clear" w:color="auto" w:fill="00B0F0"/>
            <w:vAlign w:val="center"/>
          </w:tcPr>
          <w:p w14:paraId="090C5B21" w14:textId="77777777" w:rsidR="001D6268" w:rsidRPr="00FA658C" w:rsidRDefault="001D6268" w:rsidP="00FF35EB">
            <w:pPr>
              <w:spacing w:before="60" w:after="60"/>
              <w:jc w:val="center"/>
              <w:rPr>
                <w:rFonts w:cs="Arial"/>
                <w:bCs/>
                <w:sz w:val="18"/>
                <w:szCs w:val="18"/>
              </w:rPr>
            </w:pPr>
            <w:r>
              <w:rPr>
                <w:rFonts w:cs="Arial"/>
                <w:bCs/>
                <w:sz w:val="18"/>
                <w:szCs w:val="18"/>
              </w:rPr>
              <w:t>2</w:t>
            </w:r>
          </w:p>
        </w:tc>
        <w:tc>
          <w:tcPr>
            <w:tcW w:w="850" w:type="dxa"/>
            <w:tcBorders>
              <w:top w:val="nil"/>
              <w:left w:val="single" w:sz="4" w:space="0" w:color="FFFFFF"/>
              <w:bottom w:val="nil"/>
              <w:right w:val="nil"/>
            </w:tcBorders>
            <w:shd w:val="clear" w:color="auto" w:fill="00B0F0"/>
            <w:vAlign w:val="center"/>
          </w:tcPr>
          <w:p w14:paraId="3A10AF12" w14:textId="77777777" w:rsidR="001D6268" w:rsidRPr="00FA658C" w:rsidRDefault="001D6268" w:rsidP="00FF35EB">
            <w:pPr>
              <w:spacing w:before="60" w:after="60"/>
              <w:jc w:val="center"/>
              <w:rPr>
                <w:rFonts w:cs="Arial"/>
                <w:bCs/>
                <w:sz w:val="18"/>
                <w:szCs w:val="18"/>
              </w:rPr>
            </w:pPr>
            <w:r>
              <w:rPr>
                <w:rFonts w:cs="Arial"/>
                <w:bCs/>
                <w:sz w:val="18"/>
                <w:szCs w:val="18"/>
              </w:rPr>
              <w:t>10</w:t>
            </w:r>
          </w:p>
        </w:tc>
      </w:tr>
      <w:tr w:rsidR="001D6268" w:rsidRPr="00FA658C" w14:paraId="76F898A0" w14:textId="77777777" w:rsidTr="00FF35EB">
        <w:trPr>
          <w:trHeight w:val="106"/>
        </w:trPr>
        <w:tc>
          <w:tcPr>
            <w:tcW w:w="4219" w:type="dxa"/>
            <w:tcBorders>
              <w:top w:val="nil"/>
              <w:left w:val="nil"/>
              <w:bottom w:val="nil"/>
              <w:right w:val="single" w:sz="4" w:space="0" w:color="FFFFFF"/>
            </w:tcBorders>
            <w:vAlign w:val="center"/>
          </w:tcPr>
          <w:p w14:paraId="3629512E" w14:textId="77777777" w:rsidR="001D6268" w:rsidRPr="005A7728" w:rsidRDefault="001D6268" w:rsidP="00FF35EB">
            <w:pPr>
              <w:spacing w:before="60" w:after="60"/>
              <w:jc w:val="left"/>
              <w:rPr>
                <w:rFonts w:cs="Arial"/>
                <w:bCs/>
                <w:sz w:val="18"/>
                <w:szCs w:val="18"/>
              </w:rPr>
            </w:pPr>
            <w:r w:rsidRPr="005A7728">
              <w:rPr>
                <w:rFonts w:cs="Arial"/>
                <w:bCs/>
                <w:sz w:val="18"/>
                <w:szCs w:val="18"/>
              </w:rPr>
              <w:t>O zamiarze zawarcia umowy koncesji</w:t>
            </w:r>
          </w:p>
        </w:tc>
        <w:tc>
          <w:tcPr>
            <w:tcW w:w="709" w:type="dxa"/>
            <w:tcBorders>
              <w:top w:val="nil"/>
              <w:left w:val="single" w:sz="4" w:space="0" w:color="FFFFFF"/>
              <w:bottom w:val="nil"/>
              <w:right w:val="single" w:sz="4" w:space="0" w:color="FFFFFF"/>
            </w:tcBorders>
            <w:vAlign w:val="center"/>
          </w:tcPr>
          <w:p w14:paraId="6A1C2B53" w14:textId="77777777" w:rsidR="001D6268" w:rsidRPr="005A7728" w:rsidRDefault="001D6268" w:rsidP="00FF35EB">
            <w:pPr>
              <w:spacing w:before="60" w:after="60"/>
              <w:jc w:val="center"/>
              <w:rPr>
                <w:rFonts w:cs="Arial"/>
                <w:sz w:val="18"/>
                <w:szCs w:val="18"/>
              </w:rPr>
            </w:pPr>
            <w:r w:rsidRPr="005A7728">
              <w:rPr>
                <w:rFonts w:cs="Arial"/>
                <w:sz w:val="18"/>
                <w:szCs w:val="18"/>
              </w:rPr>
              <w:t>3</w:t>
            </w:r>
          </w:p>
        </w:tc>
        <w:tc>
          <w:tcPr>
            <w:tcW w:w="709" w:type="dxa"/>
            <w:tcBorders>
              <w:top w:val="nil"/>
              <w:left w:val="single" w:sz="4" w:space="0" w:color="FFFFFF"/>
              <w:bottom w:val="nil"/>
              <w:right w:val="single" w:sz="4" w:space="0" w:color="FFFFFF"/>
            </w:tcBorders>
            <w:vAlign w:val="center"/>
          </w:tcPr>
          <w:p w14:paraId="55B6F248" w14:textId="77777777" w:rsidR="001D6268" w:rsidRPr="005A7728" w:rsidRDefault="001D6268" w:rsidP="00FF35EB">
            <w:pPr>
              <w:spacing w:before="60" w:after="60"/>
              <w:jc w:val="center"/>
              <w:rPr>
                <w:rFonts w:cs="Arial"/>
                <w:sz w:val="18"/>
                <w:szCs w:val="18"/>
              </w:rPr>
            </w:pPr>
            <w:r w:rsidRPr="005A7728">
              <w:rPr>
                <w:rFonts w:cs="Arial"/>
                <w:sz w:val="18"/>
                <w:szCs w:val="18"/>
              </w:rPr>
              <w:t>4</w:t>
            </w:r>
          </w:p>
        </w:tc>
        <w:tc>
          <w:tcPr>
            <w:tcW w:w="708" w:type="dxa"/>
            <w:tcBorders>
              <w:top w:val="nil"/>
              <w:left w:val="single" w:sz="4" w:space="0" w:color="FFFFFF"/>
              <w:bottom w:val="nil"/>
              <w:right w:val="single" w:sz="4" w:space="0" w:color="FFFFFF"/>
            </w:tcBorders>
            <w:vAlign w:val="center"/>
          </w:tcPr>
          <w:p w14:paraId="667999E8" w14:textId="77777777" w:rsidR="001D6268" w:rsidRPr="005A7728" w:rsidRDefault="001D6268" w:rsidP="00FF35EB">
            <w:pPr>
              <w:spacing w:before="60" w:after="60"/>
              <w:jc w:val="center"/>
              <w:rPr>
                <w:rFonts w:cs="Arial"/>
                <w:bCs/>
                <w:sz w:val="18"/>
                <w:szCs w:val="18"/>
              </w:rPr>
            </w:pPr>
            <w:r w:rsidRPr="005A7728">
              <w:rPr>
                <w:rFonts w:cs="Arial"/>
                <w:bCs/>
                <w:sz w:val="18"/>
                <w:szCs w:val="18"/>
              </w:rPr>
              <w:t>1</w:t>
            </w:r>
          </w:p>
        </w:tc>
        <w:tc>
          <w:tcPr>
            <w:tcW w:w="709" w:type="dxa"/>
            <w:tcBorders>
              <w:top w:val="nil"/>
              <w:left w:val="single" w:sz="4" w:space="0" w:color="FFFFFF"/>
              <w:bottom w:val="nil"/>
              <w:right w:val="nil"/>
            </w:tcBorders>
            <w:vAlign w:val="center"/>
          </w:tcPr>
          <w:p w14:paraId="62124CBE" w14:textId="77777777" w:rsidR="001D6268" w:rsidRPr="00FA658C" w:rsidRDefault="001D6268" w:rsidP="00FF35EB">
            <w:pPr>
              <w:spacing w:before="60" w:after="60"/>
              <w:jc w:val="center"/>
              <w:rPr>
                <w:rFonts w:cs="Arial"/>
                <w:bCs/>
                <w:sz w:val="18"/>
                <w:szCs w:val="18"/>
              </w:rPr>
            </w:pPr>
            <w:r>
              <w:rPr>
                <w:rFonts w:cs="Arial"/>
                <w:bCs/>
                <w:sz w:val="18"/>
                <w:szCs w:val="18"/>
              </w:rPr>
              <w:t>0</w:t>
            </w:r>
          </w:p>
        </w:tc>
        <w:tc>
          <w:tcPr>
            <w:tcW w:w="1276" w:type="dxa"/>
            <w:tcBorders>
              <w:top w:val="nil"/>
              <w:left w:val="single" w:sz="4" w:space="0" w:color="FFFFFF"/>
              <w:bottom w:val="nil"/>
              <w:right w:val="nil"/>
            </w:tcBorders>
            <w:vAlign w:val="center"/>
          </w:tcPr>
          <w:p w14:paraId="731711B4" w14:textId="77777777" w:rsidR="001D6268" w:rsidRPr="00FA658C" w:rsidRDefault="001D6268" w:rsidP="00FF35EB">
            <w:pPr>
              <w:spacing w:before="60" w:after="60"/>
              <w:jc w:val="center"/>
              <w:rPr>
                <w:rFonts w:cs="Arial"/>
                <w:bCs/>
                <w:sz w:val="18"/>
                <w:szCs w:val="18"/>
              </w:rPr>
            </w:pPr>
            <w:r>
              <w:rPr>
                <w:rFonts w:cs="Arial"/>
                <w:bCs/>
                <w:sz w:val="18"/>
                <w:szCs w:val="18"/>
              </w:rPr>
              <w:t>2</w:t>
            </w:r>
          </w:p>
        </w:tc>
        <w:tc>
          <w:tcPr>
            <w:tcW w:w="850" w:type="dxa"/>
            <w:tcBorders>
              <w:top w:val="nil"/>
              <w:left w:val="single" w:sz="4" w:space="0" w:color="FFFFFF"/>
              <w:bottom w:val="nil"/>
              <w:right w:val="nil"/>
            </w:tcBorders>
            <w:vAlign w:val="center"/>
          </w:tcPr>
          <w:p w14:paraId="570F09D2" w14:textId="77777777" w:rsidR="001D6268" w:rsidRPr="00FA658C" w:rsidRDefault="001D6268" w:rsidP="00FF35EB">
            <w:pPr>
              <w:spacing w:before="60" w:after="60"/>
              <w:jc w:val="center"/>
              <w:rPr>
                <w:rFonts w:cs="Arial"/>
                <w:bCs/>
                <w:sz w:val="18"/>
                <w:szCs w:val="18"/>
              </w:rPr>
            </w:pPr>
            <w:r>
              <w:rPr>
                <w:rFonts w:cs="Arial"/>
                <w:bCs/>
                <w:sz w:val="18"/>
                <w:szCs w:val="18"/>
              </w:rPr>
              <w:t>2</w:t>
            </w:r>
          </w:p>
        </w:tc>
      </w:tr>
      <w:tr w:rsidR="001D6268" w:rsidRPr="00FA658C" w14:paraId="66CA1C71" w14:textId="77777777" w:rsidTr="00FF35EB">
        <w:trPr>
          <w:trHeight w:val="151"/>
        </w:trPr>
        <w:tc>
          <w:tcPr>
            <w:tcW w:w="4219" w:type="dxa"/>
            <w:tcBorders>
              <w:top w:val="nil"/>
              <w:left w:val="nil"/>
              <w:bottom w:val="nil"/>
              <w:right w:val="single" w:sz="4" w:space="0" w:color="FFFFFF"/>
            </w:tcBorders>
            <w:shd w:val="clear" w:color="auto" w:fill="00B0F0"/>
            <w:vAlign w:val="center"/>
          </w:tcPr>
          <w:p w14:paraId="3A041C13" w14:textId="77777777" w:rsidR="001D6268" w:rsidRPr="005A7728" w:rsidRDefault="001D6268" w:rsidP="00FF35EB">
            <w:pPr>
              <w:spacing w:before="60" w:after="60"/>
              <w:jc w:val="left"/>
              <w:rPr>
                <w:rFonts w:cs="Arial"/>
                <w:bCs/>
                <w:sz w:val="18"/>
                <w:szCs w:val="18"/>
              </w:rPr>
            </w:pPr>
            <w:r w:rsidRPr="005A7728">
              <w:rPr>
                <w:rFonts w:cs="Arial"/>
                <w:bCs/>
                <w:sz w:val="18"/>
                <w:szCs w:val="18"/>
              </w:rPr>
              <w:t>O zawarciu umowy koncesji</w:t>
            </w:r>
          </w:p>
        </w:tc>
        <w:tc>
          <w:tcPr>
            <w:tcW w:w="709" w:type="dxa"/>
            <w:tcBorders>
              <w:top w:val="nil"/>
              <w:left w:val="single" w:sz="4" w:space="0" w:color="FFFFFF"/>
              <w:bottom w:val="nil"/>
              <w:right w:val="single" w:sz="4" w:space="0" w:color="FFFFFF"/>
            </w:tcBorders>
            <w:shd w:val="clear" w:color="auto" w:fill="00B0F0"/>
            <w:vAlign w:val="center"/>
          </w:tcPr>
          <w:p w14:paraId="4AB5D8BF" w14:textId="77777777" w:rsidR="001D6268" w:rsidRPr="005A7728" w:rsidRDefault="001D6268" w:rsidP="00FF35EB">
            <w:pPr>
              <w:spacing w:before="60" w:after="60"/>
              <w:jc w:val="center"/>
              <w:rPr>
                <w:rFonts w:cs="Arial"/>
                <w:sz w:val="18"/>
                <w:szCs w:val="18"/>
              </w:rPr>
            </w:pPr>
            <w:r w:rsidRPr="005A7728">
              <w:rPr>
                <w:rFonts w:cs="Arial"/>
                <w:sz w:val="18"/>
                <w:szCs w:val="18"/>
              </w:rPr>
              <w:t>7</w:t>
            </w:r>
          </w:p>
        </w:tc>
        <w:tc>
          <w:tcPr>
            <w:tcW w:w="709" w:type="dxa"/>
            <w:tcBorders>
              <w:top w:val="nil"/>
              <w:left w:val="single" w:sz="4" w:space="0" w:color="FFFFFF"/>
              <w:bottom w:val="nil"/>
              <w:right w:val="single" w:sz="4" w:space="0" w:color="FFFFFF"/>
            </w:tcBorders>
            <w:shd w:val="clear" w:color="auto" w:fill="00B0F0"/>
            <w:vAlign w:val="center"/>
          </w:tcPr>
          <w:p w14:paraId="3D48FB0B" w14:textId="77777777" w:rsidR="001D6268" w:rsidRPr="005A7728" w:rsidRDefault="001D6268" w:rsidP="00FF35EB">
            <w:pPr>
              <w:spacing w:before="60" w:after="60"/>
              <w:jc w:val="center"/>
              <w:rPr>
                <w:rFonts w:cs="Arial"/>
                <w:sz w:val="18"/>
                <w:szCs w:val="18"/>
              </w:rPr>
            </w:pPr>
            <w:r w:rsidRPr="005A7728">
              <w:rPr>
                <w:rFonts w:cs="Arial"/>
                <w:sz w:val="18"/>
                <w:szCs w:val="18"/>
              </w:rPr>
              <w:t>11</w:t>
            </w:r>
          </w:p>
        </w:tc>
        <w:tc>
          <w:tcPr>
            <w:tcW w:w="708" w:type="dxa"/>
            <w:tcBorders>
              <w:top w:val="nil"/>
              <w:left w:val="single" w:sz="4" w:space="0" w:color="FFFFFF"/>
              <w:bottom w:val="nil"/>
              <w:right w:val="single" w:sz="4" w:space="0" w:color="FFFFFF"/>
            </w:tcBorders>
            <w:shd w:val="clear" w:color="auto" w:fill="00B0F0"/>
            <w:vAlign w:val="center"/>
          </w:tcPr>
          <w:p w14:paraId="33D39ECD" w14:textId="77777777" w:rsidR="001D6268" w:rsidRPr="005A7728" w:rsidRDefault="001D6268" w:rsidP="00FF35EB">
            <w:pPr>
              <w:spacing w:before="60" w:after="60"/>
              <w:jc w:val="center"/>
              <w:rPr>
                <w:rFonts w:cs="Arial"/>
                <w:bCs/>
                <w:sz w:val="18"/>
                <w:szCs w:val="18"/>
              </w:rPr>
            </w:pPr>
            <w:r w:rsidRPr="005A7728">
              <w:rPr>
                <w:rFonts w:cs="Arial"/>
                <w:bCs/>
                <w:sz w:val="18"/>
                <w:szCs w:val="18"/>
              </w:rPr>
              <w:t>6</w:t>
            </w:r>
          </w:p>
        </w:tc>
        <w:tc>
          <w:tcPr>
            <w:tcW w:w="709" w:type="dxa"/>
            <w:tcBorders>
              <w:top w:val="nil"/>
              <w:left w:val="single" w:sz="4" w:space="0" w:color="FFFFFF"/>
              <w:bottom w:val="nil"/>
              <w:right w:val="nil"/>
            </w:tcBorders>
            <w:shd w:val="clear" w:color="auto" w:fill="00B0F0"/>
            <w:vAlign w:val="center"/>
          </w:tcPr>
          <w:p w14:paraId="587FF517" w14:textId="77777777" w:rsidR="001D6268" w:rsidRPr="00FA658C" w:rsidRDefault="001D6268" w:rsidP="00FF35EB">
            <w:pPr>
              <w:spacing w:before="60" w:after="60"/>
              <w:jc w:val="center"/>
              <w:rPr>
                <w:rFonts w:cs="Arial"/>
                <w:bCs/>
                <w:sz w:val="18"/>
                <w:szCs w:val="18"/>
              </w:rPr>
            </w:pPr>
            <w:r>
              <w:rPr>
                <w:rFonts w:cs="Arial"/>
                <w:bCs/>
                <w:sz w:val="18"/>
                <w:szCs w:val="18"/>
              </w:rPr>
              <w:t>8</w:t>
            </w:r>
          </w:p>
        </w:tc>
        <w:tc>
          <w:tcPr>
            <w:tcW w:w="1276" w:type="dxa"/>
            <w:tcBorders>
              <w:top w:val="nil"/>
              <w:left w:val="single" w:sz="4" w:space="0" w:color="FFFFFF"/>
              <w:bottom w:val="nil"/>
              <w:right w:val="nil"/>
            </w:tcBorders>
            <w:shd w:val="clear" w:color="auto" w:fill="00B0F0"/>
            <w:vAlign w:val="center"/>
          </w:tcPr>
          <w:p w14:paraId="3FEA4C4C" w14:textId="77777777" w:rsidR="001D6268" w:rsidRPr="00FA658C" w:rsidRDefault="001D6268" w:rsidP="00FF35EB">
            <w:pPr>
              <w:spacing w:before="60" w:after="60"/>
              <w:jc w:val="center"/>
              <w:rPr>
                <w:rFonts w:cs="Arial"/>
                <w:bCs/>
                <w:sz w:val="18"/>
                <w:szCs w:val="18"/>
              </w:rPr>
            </w:pPr>
            <w:r>
              <w:rPr>
                <w:rFonts w:cs="Arial"/>
                <w:bCs/>
                <w:sz w:val="18"/>
                <w:szCs w:val="18"/>
              </w:rPr>
              <w:t>1</w:t>
            </w:r>
          </w:p>
        </w:tc>
        <w:tc>
          <w:tcPr>
            <w:tcW w:w="850" w:type="dxa"/>
            <w:tcBorders>
              <w:top w:val="nil"/>
              <w:left w:val="single" w:sz="4" w:space="0" w:color="FFFFFF"/>
              <w:bottom w:val="nil"/>
              <w:right w:val="nil"/>
            </w:tcBorders>
            <w:shd w:val="clear" w:color="auto" w:fill="00B0F0"/>
            <w:vAlign w:val="center"/>
          </w:tcPr>
          <w:p w14:paraId="1A7DCA64" w14:textId="77777777" w:rsidR="001D6268" w:rsidRPr="00FA658C" w:rsidRDefault="001D6268" w:rsidP="00FF35EB">
            <w:pPr>
              <w:spacing w:before="60" w:after="60"/>
              <w:jc w:val="center"/>
              <w:rPr>
                <w:rFonts w:cs="Arial"/>
                <w:bCs/>
                <w:sz w:val="18"/>
                <w:szCs w:val="18"/>
              </w:rPr>
            </w:pPr>
            <w:r>
              <w:rPr>
                <w:rFonts w:cs="Arial"/>
                <w:bCs/>
                <w:sz w:val="18"/>
                <w:szCs w:val="18"/>
              </w:rPr>
              <w:t>9</w:t>
            </w:r>
          </w:p>
        </w:tc>
      </w:tr>
      <w:tr w:rsidR="001D6268" w:rsidRPr="00FA658C" w14:paraId="6EF7EB11" w14:textId="77777777" w:rsidTr="00FF35EB">
        <w:trPr>
          <w:trHeight w:val="78"/>
        </w:trPr>
        <w:tc>
          <w:tcPr>
            <w:tcW w:w="4219" w:type="dxa"/>
            <w:tcBorders>
              <w:top w:val="nil"/>
              <w:left w:val="nil"/>
              <w:bottom w:val="nil"/>
              <w:right w:val="single" w:sz="4" w:space="0" w:color="FFFFFF"/>
            </w:tcBorders>
            <w:vAlign w:val="center"/>
          </w:tcPr>
          <w:p w14:paraId="72B20B24" w14:textId="77777777" w:rsidR="001D6268" w:rsidRPr="005A7728" w:rsidRDefault="001D6268" w:rsidP="00FF35EB">
            <w:pPr>
              <w:spacing w:before="60" w:after="60"/>
              <w:jc w:val="left"/>
              <w:rPr>
                <w:rFonts w:cs="Arial"/>
                <w:bCs/>
                <w:sz w:val="18"/>
                <w:szCs w:val="18"/>
              </w:rPr>
            </w:pPr>
            <w:r w:rsidRPr="005A7728">
              <w:rPr>
                <w:rFonts w:cs="Arial"/>
                <w:bCs/>
                <w:sz w:val="18"/>
                <w:szCs w:val="18"/>
              </w:rPr>
              <w:t>O zmianie umowy koncesji</w:t>
            </w:r>
          </w:p>
        </w:tc>
        <w:tc>
          <w:tcPr>
            <w:tcW w:w="709" w:type="dxa"/>
            <w:tcBorders>
              <w:top w:val="nil"/>
              <w:left w:val="single" w:sz="4" w:space="0" w:color="FFFFFF"/>
              <w:bottom w:val="nil"/>
              <w:right w:val="single" w:sz="4" w:space="0" w:color="FFFFFF"/>
            </w:tcBorders>
            <w:vAlign w:val="center"/>
          </w:tcPr>
          <w:p w14:paraId="33625A17" w14:textId="77777777" w:rsidR="001D6268" w:rsidRPr="005A7728" w:rsidRDefault="001D6268" w:rsidP="00FF35EB">
            <w:pPr>
              <w:spacing w:before="60" w:after="60"/>
              <w:jc w:val="center"/>
              <w:rPr>
                <w:rFonts w:cs="Arial"/>
                <w:sz w:val="18"/>
                <w:szCs w:val="18"/>
              </w:rPr>
            </w:pPr>
            <w:r w:rsidRPr="005A7728">
              <w:rPr>
                <w:rFonts w:cs="Arial"/>
                <w:sz w:val="18"/>
                <w:szCs w:val="18"/>
              </w:rPr>
              <w:t>0</w:t>
            </w:r>
          </w:p>
        </w:tc>
        <w:tc>
          <w:tcPr>
            <w:tcW w:w="709" w:type="dxa"/>
            <w:tcBorders>
              <w:top w:val="nil"/>
              <w:left w:val="single" w:sz="4" w:space="0" w:color="FFFFFF"/>
              <w:bottom w:val="nil"/>
              <w:right w:val="single" w:sz="4" w:space="0" w:color="FFFFFF"/>
            </w:tcBorders>
            <w:vAlign w:val="center"/>
          </w:tcPr>
          <w:p w14:paraId="5F27017D" w14:textId="77777777" w:rsidR="001D6268" w:rsidRPr="005A7728" w:rsidRDefault="001D6268" w:rsidP="00FF35EB">
            <w:pPr>
              <w:spacing w:before="60" w:after="60"/>
              <w:jc w:val="center"/>
              <w:rPr>
                <w:rFonts w:cs="Arial"/>
                <w:sz w:val="18"/>
                <w:szCs w:val="18"/>
              </w:rPr>
            </w:pPr>
            <w:r w:rsidRPr="005A7728">
              <w:rPr>
                <w:rFonts w:cs="Arial"/>
                <w:sz w:val="18"/>
                <w:szCs w:val="18"/>
              </w:rPr>
              <w:t>3</w:t>
            </w:r>
          </w:p>
        </w:tc>
        <w:tc>
          <w:tcPr>
            <w:tcW w:w="708" w:type="dxa"/>
            <w:tcBorders>
              <w:top w:val="nil"/>
              <w:left w:val="single" w:sz="4" w:space="0" w:color="FFFFFF"/>
              <w:bottom w:val="nil"/>
              <w:right w:val="single" w:sz="4" w:space="0" w:color="FFFFFF"/>
            </w:tcBorders>
            <w:vAlign w:val="center"/>
          </w:tcPr>
          <w:p w14:paraId="76711024" w14:textId="77777777" w:rsidR="001D6268" w:rsidRPr="005A7728" w:rsidRDefault="001D6268" w:rsidP="00FF35EB">
            <w:pPr>
              <w:spacing w:before="60" w:after="60"/>
              <w:jc w:val="center"/>
              <w:rPr>
                <w:rFonts w:cs="Arial"/>
                <w:bCs/>
                <w:sz w:val="18"/>
                <w:szCs w:val="18"/>
              </w:rPr>
            </w:pPr>
            <w:r w:rsidRPr="005A7728">
              <w:rPr>
                <w:rFonts w:cs="Arial"/>
                <w:bCs/>
                <w:sz w:val="18"/>
                <w:szCs w:val="18"/>
              </w:rPr>
              <w:t>1</w:t>
            </w:r>
          </w:p>
        </w:tc>
        <w:tc>
          <w:tcPr>
            <w:tcW w:w="709" w:type="dxa"/>
            <w:tcBorders>
              <w:top w:val="nil"/>
              <w:left w:val="single" w:sz="4" w:space="0" w:color="FFFFFF"/>
              <w:bottom w:val="nil"/>
              <w:right w:val="nil"/>
            </w:tcBorders>
            <w:vAlign w:val="center"/>
          </w:tcPr>
          <w:p w14:paraId="6A853F52" w14:textId="77777777" w:rsidR="001D6268" w:rsidRPr="00FA658C" w:rsidRDefault="001D6268" w:rsidP="00FF35EB">
            <w:pPr>
              <w:spacing w:before="60" w:after="60"/>
              <w:jc w:val="center"/>
              <w:rPr>
                <w:rFonts w:cs="Arial"/>
                <w:bCs/>
                <w:sz w:val="18"/>
                <w:szCs w:val="18"/>
              </w:rPr>
            </w:pPr>
            <w:r>
              <w:rPr>
                <w:rFonts w:cs="Arial"/>
                <w:bCs/>
                <w:sz w:val="18"/>
                <w:szCs w:val="18"/>
              </w:rPr>
              <w:t>1</w:t>
            </w:r>
          </w:p>
        </w:tc>
        <w:tc>
          <w:tcPr>
            <w:tcW w:w="1276" w:type="dxa"/>
            <w:tcBorders>
              <w:top w:val="nil"/>
              <w:left w:val="single" w:sz="4" w:space="0" w:color="FFFFFF"/>
              <w:bottom w:val="nil"/>
              <w:right w:val="nil"/>
            </w:tcBorders>
            <w:vAlign w:val="center"/>
          </w:tcPr>
          <w:p w14:paraId="14DB0B94" w14:textId="77777777" w:rsidR="001D6268" w:rsidRPr="00FA658C" w:rsidRDefault="001D6268" w:rsidP="00FF35EB">
            <w:pPr>
              <w:spacing w:before="60" w:after="60"/>
              <w:jc w:val="center"/>
              <w:rPr>
                <w:rFonts w:cs="Arial"/>
                <w:bCs/>
                <w:sz w:val="18"/>
                <w:szCs w:val="18"/>
              </w:rPr>
            </w:pPr>
            <w:r>
              <w:rPr>
                <w:rFonts w:cs="Arial"/>
                <w:bCs/>
                <w:sz w:val="18"/>
                <w:szCs w:val="18"/>
              </w:rPr>
              <w:t>2</w:t>
            </w:r>
          </w:p>
        </w:tc>
        <w:tc>
          <w:tcPr>
            <w:tcW w:w="850" w:type="dxa"/>
            <w:tcBorders>
              <w:top w:val="nil"/>
              <w:left w:val="single" w:sz="4" w:space="0" w:color="FFFFFF"/>
              <w:bottom w:val="nil"/>
              <w:right w:val="nil"/>
            </w:tcBorders>
            <w:vAlign w:val="center"/>
          </w:tcPr>
          <w:p w14:paraId="3257D7A0" w14:textId="77777777" w:rsidR="001D6268" w:rsidRPr="00FA658C" w:rsidRDefault="001D6268" w:rsidP="00FF35EB">
            <w:pPr>
              <w:spacing w:before="60" w:after="60"/>
              <w:jc w:val="center"/>
              <w:rPr>
                <w:rFonts w:cs="Arial"/>
                <w:bCs/>
                <w:sz w:val="18"/>
                <w:szCs w:val="18"/>
              </w:rPr>
            </w:pPr>
            <w:r>
              <w:rPr>
                <w:rFonts w:cs="Arial"/>
                <w:bCs/>
                <w:sz w:val="18"/>
                <w:szCs w:val="18"/>
              </w:rPr>
              <w:t>3</w:t>
            </w:r>
          </w:p>
        </w:tc>
      </w:tr>
      <w:tr w:rsidR="001D6268" w:rsidRPr="00FA658C" w14:paraId="6BEA2FE7" w14:textId="77777777" w:rsidTr="00FF35EB">
        <w:trPr>
          <w:trHeight w:val="44"/>
        </w:trPr>
        <w:tc>
          <w:tcPr>
            <w:tcW w:w="4219" w:type="dxa"/>
            <w:tcBorders>
              <w:top w:val="nil"/>
              <w:left w:val="nil"/>
              <w:bottom w:val="nil"/>
              <w:right w:val="single" w:sz="4" w:space="0" w:color="FFFFFF"/>
            </w:tcBorders>
            <w:shd w:val="clear" w:color="auto" w:fill="00B0F0"/>
            <w:vAlign w:val="center"/>
          </w:tcPr>
          <w:p w14:paraId="3801D221" w14:textId="77777777" w:rsidR="001D6268" w:rsidRPr="005A7728" w:rsidRDefault="001D6268" w:rsidP="00FF35EB">
            <w:pPr>
              <w:spacing w:before="60" w:after="60"/>
              <w:jc w:val="center"/>
              <w:rPr>
                <w:rFonts w:cs="Arial"/>
                <w:b/>
                <w:bCs/>
                <w:sz w:val="18"/>
                <w:szCs w:val="18"/>
              </w:rPr>
            </w:pPr>
            <w:r w:rsidRPr="005A7728">
              <w:rPr>
                <w:rFonts w:cs="Arial"/>
                <w:b/>
                <w:bCs/>
                <w:sz w:val="18"/>
                <w:szCs w:val="18"/>
              </w:rPr>
              <w:t>Razem</w:t>
            </w:r>
          </w:p>
        </w:tc>
        <w:tc>
          <w:tcPr>
            <w:tcW w:w="709" w:type="dxa"/>
            <w:tcBorders>
              <w:top w:val="nil"/>
              <w:left w:val="single" w:sz="4" w:space="0" w:color="FFFFFF"/>
              <w:bottom w:val="nil"/>
              <w:right w:val="single" w:sz="4" w:space="0" w:color="FFFFFF"/>
            </w:tcBorders>
            <w:shd w:val="clear" w:color="auto" w:fill="00B0F0"/>
            <w:vAlign w:val="center"/>
          </w:tcPr>
          <w:p w14:paraId="38E705A5" w14:textId="77777777" w:rsidR="001D6268" w:rsidRPr="005A7728" w:rsidRDefault="001D6268" w:rsidP="00FF35EB">
            <w:pPr>
              <w:spacing w:before="60" w:after="60"/>
              <w:jc w:val="center"/>
              <w:rPr>
                <w:rFonts w:cs="Arial"/>
                <w:b/>
                <w:bCs/>
                <w:sz w:val="18"/>
                <w:szCs w:val="18"/>
              </w:rPr>
            </w:pPr>
            <w:r w:rsidRPr="005A7728">
              <w:rPr>
                <w:rFonts w:cs="Arial"/>
                <w:b/>
                <w:bCs/>
                <w:sz w:val="18"/>
                <w:szCs w:val="18"/>
              </w:rPr>
              <w:t>32</w:t>
            </w:r>
          </w:p>
        </w:tc>
        <w:tc>
          <w:tcPr>
            <w:tcW w:w="709" w:type="dxa"/>
            <w:tcBorders>
              <w:top w:val="nil"/>
              <w:left w:val="single" w:sz="4" w:space="0" w:color="FFFFFF"/>
              <w:bottom w:val="nil"/>
              <w:right w:val="single" w:sz="4" w:space="0" w:color="FFFFFF"/>
            </w:tcBorders>
            <w:shd w:val="clear" w:color="auto" w:fill="00B0F0"/>
            <w:vAlign w:val="center"/>
          </w:tcPr>
          <w:p w14:paraId="11D053A0" w14:textId="77777777" w:rsidR="001D6268" w:rsidRPr="005A7728" w:rsidRDefault="001D6268" w:rsidP="00FF35EB">
            <w:pPr>
              <w:spacing w:before="60" w:after="60"/>
              <w:jc w:val="center"/>
              <w:rPr>
                <w:rFonts w:cs="Arial"/>
                <w:b/>
                <w:bCs/>
                <w:sz w:val="18"/>
                <w:szCs w:val="18"/>
              </w:rPr>
            </w:pPr>
            <w:r w:rsidRPr="005A7728">
              <w:rPr>
                <w:rFonts w:cs="Arial"/>
                <w:b/>
                <w:bCs/>
                <w:sz w:val="18"/>
                <w:szCs w:val="18"/>
              </w:rPr>
              <w:t>34</w:t>
            </w:r>
          </w:p>
        </w:tc>
        <w:tc>
          <w:tcPr>
            <w:tcW w:w="708" w:type="dxa"/>
            <w:tcBorders>
              <w:top w:val="nil"/>
              <w:left w:val="single" w:sz="4" w:space="0" w:color="FFFFFF"/>
              <w:bottom w:val="nil"/>
              <w:right w:val="single" w:sz="4" w:space="0" w:color="FFFFFF"/>
            </w:tcBorders>
            <w:shd w:val="clear" w:color="auto" w:fill="00B0F0"/>
            <w:vAlign w:val="center"/>
          </w:tcPr>
          <w:p w14:paraId="0024DBF3" w14:textId="77777777" w:rsidR="001D6268" w:rsidRPr="005A7728" w:rsidRDefault="001D6268" w:rsidP="00FF35EB">
            <w:pPr>
              <w:keepNext/>
              <w:spacing w:before="60" w:after="60"/>
              <w:jc w:val="center"/>
              <w:rPr>
                <w:rFonts w:cs="Arial"/>
                <w:b/>
                <w:bCs/>
                <w:sz w:val="18"/>
                <w:szCs w:val="18"/>
              </w:rPr>
            </w:pPr>
            <w:r w:rsidRPr="005A7728">
              <w:rPr>
                <w:rFonts w:cs="Arial"/>
                <w:b/>
                <w:bCs/>
                <w:sz w:val="18"/>
                <w:szCs w:val="18"/>
              </w:rPr>
              <w:t>39</w:t>
            </w:r>
          </w:p>
        </w:tc>
        <w:tc>
          <w:tcPr>
            <w:tcW w:w="709" w:type="dxa"/>
            <w:tcBorders>
              <w:top w:val="nil"/>
              <w:left w:val="single" w:sz="4" w:space="0" w:color="FFFFFF"/>
              <w:bottom w:val="nil"/>
              <w:right w:val="nil"/>
            </w:tcBorders>
            <w:shd w:val="clear" w:color="auto" w:fill="00B0F0"/>
            <w:vAlign w:val="center"/>
          </w:tcPr>
          <w:p w14:paraId="21169CF2" w14:textId="77777777" w:rsidR="001D6268" w:rsidRPr="00FA658C" w:rsidRDefault="001D6268" w:rsidP="00FF35EB">
            <w:pPr>
              <w:keepNext/>
              <w:spacing w:before="60" w:after="60"/>
              <w:jc w:val="center"/>
              <w:rPr>
                <w:rFonts w:cs="Arial"/>
                <w:b/>
                <w:bCs/>
                <w:sz w:val="18"/>
                <w:szCs w:val="18"/>
              </w:rPr>
            </w:pPr>
            <w:r>
              <w:rPr>
                <w:rFonts w:cs="Arial"/>
                <w:b/>
                <w:bCs/>
                <w:sz w:val="18"/>
                <w:szCs w:val="18"/>
              </w:rPr>
              <w:t>27</w:t>
            </w:r>
          </w:p>
        </w:tc>
        <w:tc>
          <w:tcPr>
            <w:tcW w:w="1276" w:type="dxa"/>
            <w:tcBorders>
              <w:top w:val="nil"/>
              <w:left w:val="single" w:sz="4" w:space="0" w:color="FFFFFF"/>
              <w:bottom w:val="nil"/>
              <w:right w:val="nil"/>
            </w:tcBorders>
            <w:shd w:val="clear" w:color="auto" w:fill="00B0F0"/>
            <w:vAlign w:val="center"/>
          </w:tcPr>
          <w:p w14:paraId="7B8FB512" w14:textId="77777777" w:rsidR="001D6268" w:rsidRPr="00FA658C" w:rsidRDefault="001D6268" w:rsidP="00FF35EB">
            <w:pPr>
              <w:keepNext/>
              <w:spacing w:before="60" w:after="60"/>
              <w:jc w:val="center"/>
              <w:rPr>
                <w:rFonts w:cs="Arial"/>
                <w:b/>
                <w:bCs/>
                <w:sz w:val="18"/>
                <w:szCs w:val="18"/>
              </w:rPr>
            </w:pPr>
            <w:r>
              <w:rPr>
                <w:rFonts w:cs="Arial"/>
                <w:b/>
                <w:bCs/>
                <w:sz w:val="18"/>
                <w:szCs w:val="18"/>
              </w:rPr>
              <w:t>7</w:t>
            </w:r>
          </w:p>
        </w:tc>
        <w:tc>
          <w:tcPr>
            <w:tcW w:w="850" w:type="dxa"/>
            <w:tcBorders>
              <w:top w:val="nil"/>
              <w:left w:val="single" w:sz="4" w:space="0" w:color="FFFFFF"/>
              <w:bottom w:val="nil"/>
              <w:right w:val="nil"/>
            </w:tcBorders>
            <w:shd w:val="clear" w:color="auto" w:fill="00B0F0"/>
            <w:vAlign w:val="center"/>
          </w:tcPr>
          <w:p w14:paraId="532274DD" w14:textId="77777777" w:rsidR="001D6268" w:rsidRPr="00FA658C" w:rsidRDefault="001D6268" w:rsidP="00FF35EB">
            <w:pPr>
              <w:keepNext/>
              <w:spacing w:before="60" w:after="60"/>
              <w:jc w:val="center"/>
              <w:rPr>
                <w:rFonts w:cs="Arial"/>
                <w:b/>
                <w:bCs/>
                <w:sz w:val="18"/>
                <w:szCs w:val="18"/>
              </w:rPr>
            </w:pPr>
            <w:r>
              <w:rPr>
                <w:rFonts w:cs="Arial"/>
                <w:b/>
                <w:bCs/>
                <w:sz w:val="18"/>
                <w:szCs w:val="18"/>
              </w:rPr>
              <w:t>34</w:t>
            </w:r>
          </w:p>
        </w:tc>
      </w:tr>
    </w:tbl>
    <w:p w14:paraId="123CA728" w14:textId="77777777" w:rsidR="001D6268" w:rsidRPr="005A7728" w:rsidRDefault="001D6268" w:rsidP="001D6268">
      <w:pPr>
        <w:shd w:val="clear" w:color="auto" w:fill="FFFFFF"/>
      </w:pPr>
    </w:p>
    <w:p w14:paraId="3BE57549" w14:textId="77777777" w:rsidR="001D6268" w:rsidRPr="005A7728" w:rsidRDefault="001D6268" w:rsidP="001D6268">
      <w:pPr>
        <w:shd w:val="clear" w:color="auto" w:fill="FFFFFF"/>
      </w:pPr>
      <w:r w:rsidRPr="005A7728">
        <w:t>Z treści ogłoszeń o zawarciu umowy koncesji wynika, że koncesje dotyczyły:</w:t>
      </w:r>
    </w:p>
    <w:p w14:paraId="6CD13D7F" w14:textId="701BCD45" w:rsidR="001D6268" w:rsidRPr="00475AEA" w:rsidRDefault="001D6268" w:rsidP="001D6268">
      <w:pPr>
        <w:numPr>
          <w:ilvl w:val="0"/>
          <w:numId w:val="2"/>
        </w:numPr>
        <w:shd w:val="clear" w:color="auto" w:fill="FFFFFF"/>
        <w:contextualSpacing/>
        <w:rPr>
          <w:szCs w:val="22"/>
          <w:lang w:val="x-none" w:eastAsia="x-none"/>
        </w:rPr>
      </w:pPr>
      <w:r w:rsidRPr="005B4502">
        <w:rPr>
          <w:szCs w:val="22"/>
          <w:lang w:val="x-none" w:eastAsia="x-none"/>
        </w:rPr>
        <w:t>świadczenia usług w zakresie zbiorowego zaopatrzenia w wodę i zbiorowego odprowadzania ścieków na</w:t>
      </w:r>
      <w:r w:rsidRPr="005B4502">
        <w:rPr>
          <w:szCs w:val="22"/>
          <w:lang w:eastAsia="x-none"/>
        </w:rPr>
        <w:t xml:space="preserve"> </w:t>
      </w:r>
      <w:r w:rsidRPr="005B4502">
        <w:rPr>
          <w:szCs w:val="22"/>
          <w:lang w:val="x-none" w:eastAsia="x-none"/>
        </w:rPr>
        <w:t>terenie gminy</w:t>
      </w:r>
      <w:r>
        <w:rPr>
          <w:szCs w:val="22"/>
          <w:lang w:eastAsia="x-none"/>
        </w:rPr>
        <w:t>;</w:t>
      </w:r>
      <w:r w:rsidR="009343A1">
        <w:rPr>
          <w:szCs w:val="22"/>
          <w:lang w:eastAsia="x-none"/>
        </w:rPr>
        <w:t xml:space="preserve"> </w:t>
      </w:r>
      <w:r>
        <w:rPr>
          <w:szCs w:val="22"/>
          <w:lang w:val="x-none" w:eastAsia="x-none"/>
        </w:rPr>
        <w:t>o</w:t>
      </w:r>
      <w:r w:rsidRPr="00475AEA">
        <w:rPr>
          <w:szCs w:val="22"/>
          <w:lang w:val="x-none" w:eastAsia="x-none"/>
        </w:rPr>
        <w:t>kres realizacji umowy koncesji:</w:t>
      </w:r>
      <w:r w:rsidRPr="005B4502">
        <w:rPr>
          <w:szCs w:val="22"/>
          <w:lang w:val="x-none" w:eastAsia="x-none"/>
        </w:rPr>
        <w:t xml:space="preserve"> od 2022-01-01 do 2023-12-31</w:t>
      </w:r>
      <w:r>
        <w:rPr>
          <w:szCs w:val="22"/>
          <w:lang w:eastAsia="x-none"/>
        </w:rPr>
        <w:t>; w</w:t>
      </w:r>
      <w:r w:rsidRPr="00475AEA">
        <w:rPr>
          <w:szCs w:val="22"/>
          <w:lang w:eastAsia="x-none"/>
        </w:rPr>
        <w:t xml:space="preserve">artość umowy koncesji: </w:t>
      </w:r>
      <w:r>
        <w:rPr>
          <w:szCs w:val="22"/>
          <w:lang w:eastAsia="x-none"/>
        </w:rPr>
        <w:t>brak danych;</w:t>
      </w:r>
    </w:p>
    <w:p w14:paraId="32311205" w14:textId="42891288" w:rsidR="001D6268" w:rsidRPr="00475AEA" w:rsidRDefault="001D6268" w:rsidP="001D6268">
      <w:pPr>
        <w:numPr>
          <w:ilvl w:val="0"/>
          <w:numId w:val="2"/>
        </w:numPr>
        <w:shd w:val="clear" w:color="auto" w:fill="FFFFFF"/>
        <w:contextualSpacing/>
        <w:rPr>
          <w:szCs w:val="22"/>
          <w:lang w:val="x-none" w:eastAsia="x-none"/>
        </w:rPr>
      </w:pPr>
      <w:r>
        <w:rPr>
          <w:szCs w:val="22"/>
          <w:lang w:val="x-none" w:eastAsia="x-none"/>
        </w:rPr>
        <w:t>świadczenia</w:t>
      </w:r>
      <w:r w:rsidRPr="00475AEA">
        <w:rPr>
          <w:szCs w:val="22"/>
          <w:lang w:val="x-none" w:eastAsia="x-none"/>
        </w:rPr>
        <w:t xml:space="preserve"> usługi w zakresie zbiorowego zaopatrzenia w wodę</w:t>
      </w:r>
      <w:r w:rsidRPr="00475AEA">
        <w:rPr>
          <w:szCs w:val="22"/>
          <w:lang w:eastAsia="x-none"/>
        </w:rPr>
        <w:t xml:space="preserve"> </w:t>
      </w:r>
      <w:r>
        <w:rPr>
          <w:szCs w:val="22"/>
          <w:lang w:val="x-none" w:eastAsia="x-none"/>
        </w:rPr>
        <w:t>na terenie g</w:t>
      </w:r>
      <w:r w:rsidRPr="00475AEA">
        <w:rPr>
          <w:szCs w:val="22"/>
          <w:lang w:val="x-none" w:eastAsia="x-none"/>
        </w:rPr>
        <w:t>miny</w:t>
      </w:r>
      <w:r>
        <w:rPr>
          <w:szCs w:val="22"/>
          <w:lang w:eastAsia="x-none"/>
        </w:rPr>
        <w:t>; o</w:t>
      </w:r>
      <w:r w:rsidRPr="00475AEA">
        <w:rPr>
          <w:szCs w:val="22"/>
          <w:lang w:eastAsia="x-none"/>
        </w:rPr>
        <w:t>kres realizacji umowy koncesji:</w:t>
      </w:r>
      <w:r>
        <w:rPr>
          <w:szCs w:val="22"/>
          <w:lang w:eastAsia="x-none"/>
        </w:rPr>
        <w:t xml:space="preserve"> </w:t>
      </w:r>
      <w:r w:rsidRPr="00475AEA">
        <w:rPr>
          <w:szCs w:val="22"/>
          <w:lang w:eastAsia="x-none"/>
        </w:rPr>
        <w:t>od 2022-04-01 do 2025-03-31</w:t>
      </w:r>
      <w:r>
        <w:rPr>
          <w:szCs w:val="22"/>
          <w:lang w:eastAsia="x-none"/>
        </w:rPr>
        <w:t>; w</w:t>
      </w:r>
      <w:r w:rsidRPr="00B837F2">
        <w:rPr>
          <w:szCs w:val="22"/>
          <w:lang w:eastAsia="x-none"/>
        </w:rPr>
        <w:t>artość umowy koncesji: 3</w:t>
      </w:r>
      <w:r w:rsidR="009343A1">
        <w:rPr>
          <w:szCs w:val="22"/>
          <w:lang w:eastAsia="x-none"/>
        </w:rPr>
        <w:t xml:space="preserve"> </w:t>
      </w:r>
      <w:r w:rsidRPr="00B837F2">
        <w:rPr>
          <w:szCs w:val="22"/>
          <w:lang w:eastAsia="x-none"/>
        </w:rPr>
        <w:t>230</w:t>
      </w:r>
      <w:r w:rsidR="009343A1">
        <w:rPr>
          <w:szCs w:val="22"/>
          <w:lang w:eastAsia="x-none"/>
        </w:rPr>
        <w:t xml:space="preserve"> </w:t>
      </w:r>
      <w:r w:rsidRPr="00B837F2">
        <w:rPr>
          <w:szCs w:val="22"/>
          <w:lang w:eastAsia="x-none"/>
        </w:rPr>
        <w:t>499 PLN</w:t>
      </w:r>
      <w:r>
        <w:rPr>
          <w:szCs w:val="22"/>
          <w:lang w:eastAsia="x-none"/>
        </w:rPr>
        <w:t>;</w:t>
      </w:r>
    </w:p>
    <w:p w14:paraId="1F8D1E6A" w14:textId="40A62CA6" w:rsidR="001D6268" w:rsidRPr="000D17F8" w:rsidRDefault="001D6268" w:rsidP="001D6268">
      <w:pPr>
        <w:numPr>
          <w:ilvl w:val="0"/>
          <w:numId w:val="2"/>
        </w:numPr>
        <w:shd w:val="clear" w:color="auto" w:fill="FFFFFF"/>
        <w:contextualSpacing/>
        <w:rPr>
          <w:szCs w:val="22"/>
          <w:lang w:val="x-none" w:eastAsia="x-none"/>
        </w:rPr>
      </w:pPr>
      <w:r w:rsidRPr="00DC6BF2">
        <w:rPr>
          <w:szCs w:val="22"/>
          <w:lang w:val="x-none" w:eastAsia="x-none"/>
        </w:rPr>
        <w:t>świadczenia usługi polegającej na pozyskaniu, zagospodarowaniu i przetworzeniu w użyteczne formy energii elektrycznej,</w:t>
      </w:r>
      <w:r w:rsidRPr="00DC6BF2">
        <w:rPr>
          <w:szCs w:val="22"/>
          <w:lang w:eastAsia="x-none"/>
        </w:rPr>
        <w:t xml:space="preserve"> </w:t>
      </w:r>
      <w:r w:rsidRPr="00DC6BF2">
        <w:rPr>
          <w:szCs w:val="22"/>
          <w:lang w:val="x-none" w:eastAsia="x-none"/>
        </w:rPr>
        <w:t>biogazu wytwarzanego na składowisku odpadów</w:t>
      </w:r>
      <w:r>
        <w:rPr>
          <w:szCs w:val="22"/>
          <w:lang w:eastAsia="x-none"/>
        </w:rPr>
        <w:t xml:space="preserve">; </w:t>
      </w:r>
      <w:r w:rsidRPr="00B727AE">
        <w:rPr>
          <w:szCs w:val="22"/>
          <w:lang w:eastAsia="x-none"/>
        </w:rPr>
        <w:t>okres realizacji umowy koncesji: od 2022-01-23 do 2023-01-22</w:t>
      </w:r>
      <w:r>
        <w:rPr>
          <w:szCs w:val="22"/>
          <w:lang w:eastAsia="x-none"/>
        </w:rPr>
        <w:t>; w</w:t>
      </w:r>
      <w:r w:rsidRPr="000D17F8">
        <w:rPr>
          <w:szCs w:val="22"/>
          <w:lang w:eastAsia="x-none"/>
        </w:rPr>
        <w:t>artość umowy koncesji: 290</w:t>
      </w:r>
      <w:r w:rsidR="009343A1">
        <w:rPr>
          <w:szCs w:val="22"/>
          <w:lang w:eastAsia="x-none"/>
        </w:rPr>
        <w:t xml:space="preserve"> </w:t>
      </w:r>
      <w:r w:rsidRPr="000D17F8">
        <w:rPr>
          <w:szCs w:val="22"/>
          <w:lang w:eastAsia="x-none"/>
        </w:rPr>
        <w:t>107,49 PLN</w:t>
      </w:r>
      <w:r>
        <w:rPr>
          <w:szCs w:val="22"/>
          <w:lang w:eastAsia="x-none"/>
        </w:rPr>
        <w:t>;</w:t>
      </w:r>
    </w:p>
    <w:p w14:paraId="03D47EC3" w14:textId="00F8207C" w:rsidR="001D6268" w:rsidRPr="007547A6" w:rsidRDefault="001D6268" w:rsidP="001D6268">
      <w:pPr>
        <w:numPr>
          <w:ilvl w:val="0"/>
          <w:numId w:val="2"/>
        </w:numPr>
        <w:shd w:val="clear" w:color="auto" w:fill="FFFFFF"/>
        <w:contextualSpacing/>
        <w:rPr>
          <w:szCs w:val="22"/>
          <w:lang w:val="x-none" w:eastAsia="x-none"/>
        </w:rPr>
      </w:pPr>
      <w:r w:rsidRPr="003F7AB1">
        <w:rPr>
          <w:szCs w:val="22"/>
          <w:lang w:val="x-none" w:eastAsia="x-none"/>
        </w:rPr>
        <w:t>kompleksowe</w:t>
      </w:r>
      <w:r w:rsidRPr="003F7AB1">
        <w:rPr>
          <w:szCs w:val="22"/>
          <w:lang w:eastAsia="x-none"/>
        </w:rPr>
        <w:t>go</w:t>
      </w:r>
      <w:r w:rsidRPr="003F7AB1">
        <w:rPr>
          <w:szCs w:val="22"/>
          <w:lang w:val="x-none" w:eastAsia="x-none"/>
        </w:rPr>
        <w:t xml:space="preserve"> zarządzania </w:t>
      </w:r>
      <w:r>
        <w:rPr>
          <w:szCs w:val="22"/>
          <w:lang w:val="x-none" w:eastAsia="x-none"/>
        </w:rPr>
        <w:t>inkubatorem p</w:t>
      </w:r>
      <w:r w:rsidRPr="003F7AB1">
        <w:rPr>
          <w:szCs w:val="22"/>
          <w:lang w:val="x-none" w:eastAsia="x-none"/>
        </w:rPr>
        <w:t>rzedsiębiorczości</w:t>
      </w:r>
      <w:r w:rsidRPr="003F7AB1">
        <w:rPr>
          <w:szCs w:val="22"/>
          <w:lang w:eastAsia="x-none"/>
        </w:rPr>
        <w:t xml:space="preserve">; okres realizacji umowy koncesji: </w:t>
      </w:r>
      <w:r>
        <w:rPr>
          <w:szCs w:val="22"/>
          <w:lang w:eastAsia="x-none"/>
        </w:rPr>
        <w:t>60 miesięcy; w</w:t>
      </w:r>
      <w:r w:rsidRPr="003F7AB1">
        <w:rPr>
          <w:szCs w:val="22"/>
          <w:lang w:eastAsia="x-none"/>
        </w:rPr>
        <w:t>artość umowy koncesji: 3</w:t>
      </w:r>
      <w:r w:rsidR="009343A1">
        <w:rPr>
          <w:szCs w:val="22"/>
          <w:lang w:eastAsia="x-none"/>
        </w:rPr>
        <w:t xml:space="preserve"> </w:t>
      </w:r>
      <w:r w:rsidRPr="003F7AB1">
        <w:rPr>
          <w:szCs w:val="22"/>
          <w:lang w:eastAsia="x-none"/>
        </w:rPr>
        <w:t>355</w:t>
      </w:r>
      <w:r w:rsidR="009343A1">
        <w:rPr>
          <w:szCs w:val="22"/>
          <w:lang w:eastAsia="x-none"/>
        </w:rPr>
        <w:t xml:space="preserve"> </w:t>
      </w:r>
      <w:r w:rsidRPr="003F7AB1">
        <w:rPr>
          <w:szCs w:val="22"/>
          <w:lang w:eastAsia="x-none"/>
        </w:rPr>
        <w:t>000,00 PLN</w:t>
      </w:r>
      <w:r>
        <w:rPr>
          <w:szCs w:val="22"/>
          <w:lang w:eastAsia="x-none"/>
        </w:rPr>
        <w:t>;</w:t>
      </w:r>
    </w:p>
    <w:p w14:paraId="0A0F9F70" w14:textId="15EFE493" w:rsidR="001D6268" w:rsidRPr="00170A6B" w:rsidRDefault="001D6268" w:rsidP="001D6268">
      <w:pPr>
        <w:numPr>
          <w:ilvl w:val="0"/>
          <w:numId w:val="2"/>
        </w:numPr>
        <w:shd w:val="clear" w:color="auto" w:fill="FFFFFF"/>
        <w:contextualSpacing/>
        <w:rPr>
          <w:szCs w:val="22"/>
          <w:lang w:val="x-none" w:eastAsia="x-none"/>
        </w:rPr>
      </w:pPr>
      <w:r w:rsidRPr="007547A6">
        <w:rPr>
          <w:szCs w:val="22"/>
          <w:lang w:val="x-none" w:eastAsia="x-none"/>
        </w:rPr>
        <w:t>świadczenia usług związanych z prowadzeniem kąpieliska leśnego</w:t>
      </w:r>
      <w:r w:rsidRPr="007547A6">
        <w:rPr>
          <w:szCs w:val="22"/>
          <w:lang w:eastAsia="x-none"/>
        </w:rPr>
        <w:t xml:space="preserve">; okres realizacji umowy koncesji: </w:t>
      </w:r>
      <w:r>
        <w:rPr>
          <w:szCs w:val="22"/>
          <w:lang w:eastAsia="x-none"/>
        </w:rPr>
        <w:t>60 miesięcy; w</w:t>
      </w:r>
      <w:r w:rsidRPr="007547A6">
        <w:rPr>
          <w:szCs w:val="22"/>
          <w:lang w:eastAsia="x-none"/>
        </w:rPr>
        <w:t>artość umowy koncesji: 1</w:t>
      </w:r>
      <w:r w:rsidR="009343A1">
        <w:rPr>
          <w:szCs w:val="22"/>
          <w:lang w:eastAsia="x-none"/>
        </w:rPr>
        <w:t xml:space="preserve"> </w:t>
      </w:r>
      <w:r w:rsidRPr="007547A6">
        <w:rPr>
          <w:szCs w:val="22"/>
          <w:lang w:eastAsia="x-none"/>
        </w:rPr>
        <w:t>230</w:t>
      </w:r>
      <w:r w:rsidR="009343A1">
        <w:rPr>
          <w:szCs w:val="22"/>
          <w:lang w:eastAsia="x-none"/>
        </w:rPr>
        <w:t xml:space="preserve"> </w:t>
      </w:r>
      <w:r w:rsidRPr="007547A6">
        <w:rPr>
          <w:szCs w:val="22"/>
          <w:lang w:eastAsia="x-none"/>
        </w:rPr>
        <w:t>000 PLN</w:t>
      </w:r>
      <w:r>
        <w:rPr>
          <w:szCs w:val="22"/>
          <w:lang w:eastAsia="x-none"/>
        </w:rPr>
        <w:t>;</w:t>
      </w:r>
    </w:p>
    <w:p w14:paraId="14643FB1" w14:textId="7B8A9D67" w:rsidR="001D6268" w:rsidRPr="00163F93" w:rsidRDefault="001D6268" w:rsidP="001D6268">
      <w:pPr>
        <w:numPr>
          <w:ilvl w:val="0"/>
          <w:numId w:val="2"/>
        </w:numPr>
        <w:shd w:val="clear" w:color="auto" w:fill="FFFFFF"/>
        <w:contextualSpacing/>
        <w:rPr>
          <w:szCs w:val="22"/>
          <w:lang w:val="x-none" w:eastAsia="x-none"/>
        </w:rPr>
      </w:pPr>
      <w:r w:rsidRPr="00725ADF">
        <w:rPr>
          <w:szCs w:val="22"/>
          <w:lang w:val="x-none" w:eastAsia="x-none"/>
        </w:rPr>
        <w:t>przebudowy i aranżacji pomieszczeń centrum kulturalnego</w:t>
      </w:r>
      <w:r w:rsidRPr="00725ADF">
        <w:rPr>
          <w:szCs w:val="22"/>
          <w:lang w:eastAsia="x-none"/>
        </w:rPr>
        <w:t xml:space="preserve">; okres realizacji umowy koncesji: </w:t>
      </w:r>
      <w:r>
        <w:rPr>
          <w:szCs w:val="22"/>
          <w:lang w:eastAsia="x-none"/>
        </w:rPr>
        <w:t>300 miesięcy; w</w:t>
      </w:r>
      <w:r w:rsidRPr="00725ADF">
        <w:rPr>
          <w:szCs w:val="22"/>
          <w:lang w:eastAsia="x-none"/>
        </w:rPr>
        <w:t>artość umowy koncesji: 1</w:t>
      </w:r>
      <w:r w:rsidR="009343A1">
        <w:rPr>
          <w:szCs w:val="22"/>
          <w:lang w:eastAsia="x-none"/>
        </w:rPr>
        <w:t xml:space="preserve"> </w:t>
      </w:r>
      <w:r w:rsidRPr="00725ADF">
        <w:rPr>
          <w:szCs w:val="22"/>
          <w:lang w:eastAsia="x-none"/>
        </w:rPr>
        <w:t>473</w:t>
      </w:r>
      <w:r w:rsidR="009343A1">
        <w:rPr>
          <w:szCs w:val="22"/>
          <w:lang w:eastAsia="x-none"/>
        </w:rPr>
        <w:t xml:space="preserve"> </w:t>
      </w:r>
      <w:r w:rsidRPr="00725ADF">
        <w:rPr>
          <w:szCs w:val="22"/>
          <w:lang w:eastAsia="x-none"/>
        </w:rPr>
        <w:t>690,98 PLN</w:t>
      </w:r>
      <w:r>
        <w:rPr>
          <w:szCs w:val="22"/>
          <w:lang w:eastAsia="x-none"/>
        </w:rPr>
        <w:t>;</w:t>
      </w:r>
    </w:p>
    <w:p w14:paraId="64EC1F06" w14:textId="23B75446" w:rsidR="001D6268" w:rsidRPr="00E91B1E" w:rsidRDefault="001D6268" w:rsidP="001D6268">
      <w:pPr>
        <w:numPr>
          <w:ilvl w:val="0"/>
          <w:numId w:val="2"/>
        </w:numPr>
        <w:shd w:val="clear" w:color="auto" w:fill="FFFFFF"/>
        <w:contextualSpacing/>
        <w:rPr>
          <w:szCs w:val="22"/>
          <w:lang w:val="x-none" w:eastAsia="x-none"/>
        </w:rPr>
      </w:pPr>
      <w:r>
        <w:rPr>
          <w:szCs w:val="22"/>
          <w:lang w:val="x-none" w:eastAsia="x-none"/>
        </w:rPr>
        <w:t>pełnienia</w:t>
      </w:r>
      <w:r w:rsidRPr="00ED5544">
        <w:rPr>
          <w:szCs w:val="22"/>
          <w:lang w:val="x-none" w:eastAsia="x-none"/>
        </w:rPr>
        <w:t xml:space="preserve"> funkcji operatora infrastruktury teleinformatycznej</w:t>
      </w:r>
      <w:r w:rsidRPr="00ED5544">
        <w:rPr>
          <w:szCs w:val="22"/>
          <w:lang w:eastAsia="x-none"/>
        </w:rPr>
        <w:t xml:space="preserve"> </w:t>
      </w:r>
      <w:r w:rsidRPr="00ED5544">
        <w:rPr>
          <w:szCs w:val="22"/>
          <w:lang w:val="x-none" w:eastAsia="x-none"/>
        </w:rPr>
        <w:t>na terenie gminy</w:t>
      </w:r>
      <w:r w:rsidRPr="00ED5544">
        <w:rPr>
          <w:szCs w:val="22"/>
          <w:lang w:eastAsia="x-none"/>
        </w:rPr>
        <w:t xml:space="preserve">; okres realizacji umowy koncesji: </w:t>
      </w:r>
      <w:r>
        <w:rPr>
          <w:szCs w:val="22"/>
          <w:lang w:eastAsia="x-none"/>
        </w:rPr>
        <w:t>60 miesięcy; w</w:t>
      </w:r>
      <w:r w:rsidRPr="00ED5544">
        <w:rPr>
          <w:szCs w:val="22"/>
          <w:lang w:eastAsia="x-none"/>
        </w:rPr>
        <w:t>artość umowy koncesji: 332</w:t>
      </w:r>
      <w:r w:rsidR="009343A1">
        <w:rPr>
          <w:szCs w:val="22"/>
          <w:lang w:eastAsia="x-none"/>
        </w:rPr>
        <w:t xml:space="preserve"> </w:t>
      </w:r>
      <w:r w:rsidRPr="00ED5544">
        <w:rPr>
          <w:szCs w:val="22"/>
          <w:lang w:eastAsia="x-none"/>
        </w:rPr>
        <w:t>100 PLN</w:t>
      </w:r>
      <w:r>
        <w:rPr>
          <w:szCs w:val="22"/>
          <w:lang w:eastAsia="x-none"/>
        </w:rPr>
        <w:t>;</w:t>
      </w:r>
    </w:p>
    <w:p w14:paraId="516F0C16" w14:textId="77777777" w:rsidR="001D6268" w:rsidRPr="00E91B1E" w:rsidRDefault="001D6268" w:rsidP="001D6268">
      <w:pPr>
        <w:numPr>
          <w:ilvl w:val="0"/>
          <w:numId w:val="2"/>
        </w:numPr>
        <w:shd w:val="clear" w:color="auto" w:fill="FFFFFF"/>
        <w:contextualSpacing/>
        <w:rPr>
          <w:szCs w:val="22"/>
          <w:lang w:val="x-none" w:eastAsia="x-none"/>
        </w:rPr>
      </w:pPr>
      <w:r w:rsidRPr="00E91B1E">
        <w:rPr>
          <w:szCs w:val="22"/>
          <w:lang w:val="x-none" w:eastAsia="x-none"/>
        </w:rPr>
        <w:t>wyb</w:t>
      </w:r>
      <w:r w:rsidRPr="00E91B1E">
        <w:rPr>
          <w:szCs w:val="22"/>
          <w:lang w:eastAsia="x-none"/>
        </w:rPr>
        <w:t>oru</w:t>
      </w:r>
      <w:r w:rsidRPr="00E91B1E">
        <w:rPr>
          <w:szCs w:val="22"/>
          <w:lang w:val="x-none" w:eastAsia="x-none"/>
        </w:rPr>
        <w:t xml:space="preserve"> operatora zarządzającego pomieszczeniami przeznaczonymi na cele związane z projekcją filmów i innych usług</w:t>
      </w:r>
      <w:r w:rsidRPr="00E91B1E">
        <w:rPr>
          <w:szCs w:val="22"/>
          <w:lang w:eastAsia="x-none"/>
        </w:rPr>
        <w:t xml:space="preserve"> </w:t>
      </w:r>
      <w:r w:rsidRPr="00E91B1E">
        <w:rPr>
          <w:szCs w:val="22"/>
          <w:lang w:val="x-none" w:eastAsia="x-none"/>
        </w:rPr>
        <w:t xml:space="preserve">towarzyszących w budynku gminnego </w:t>
      </w:r>
      <w:r w:rsidRPr="00E91B1E">
        <w:rPr>
          <w:szCs w:val="22"/>
          <w:lang w:eastAsia="x-none"/>
        </w:rPr>
        <w:t>o</w:t>
      </w:r>
      <w:r w:rsidRPr="00E91B1E">
        <w:rPr>
          <w:szCs w:val="22"/>
          <w:lang w:val="x-none" w:eastAsia="x-none"/>
        </w:rPr>
        <w:t>środka kultury</w:t>
      </w:r>
      <w:r w:rsidRPr="00E91B1E">
        <w:rPr>
          <w:szCs w:val="22"/>
          <w:lang w:eastAsia="x-none"/>
        </w:rPr>
        <w:t xml:space="preserve">; okres realizacji umowy koncesji: </w:t>
      </w:r>
      <w:r>
        <w:rPr>
          <w:szCs w:val="22"/>
          <w:lang w:eastAsia="x-none"/>
        </w:rPr>
        <w:t>36 miesięcy; w</w:t>
      </w:r>
      <w:r w:rsidRPr="00E91B1E">
        <w:rPr>
          <w:szCs w:val="22"/>
          <w:lang w:eastAsia="x-none"/>
        </w:rPr>
        <w:t>artość umowy koncesji: 81</w:t>
      </w:r>
      <w:r>
        <w:rPr>
          <w:szCs w:val="22"/>
          <w:lang w:eastAsia="x-none"/>
        </w:rPr>
        <w:t xml:space="preserve"> </w:t>
      </w:r>
      <w:r w:rsidRPr="00E91B1E">
        <w:rPr>
          <w:szCs w:val="22"/>
          <w:lang w:eastAsia="x-none"/>
        </w:rPr>
        <w:t>918,00 PLN</w:t>
      </w:r>
      <w:r>
        <w:rPr>
          <w:szCs w:val="22"/>
          <w:lang w:eastAsia="x-none"/>
        </w:rPr>
        <w:t>;</w:t>
      </w:r>
    </w:p>
    <w:p w14:paraId="2C2F78D7" w14:textId="3762F9A9" w:rsidR="001D6268" w:rsidRPr="00B06004" w:rsidRDefault="001D6268" w:rsidP="001D6268">
      <w:pPr>
        <w:numPr>
          <w:ilvl w:val="0"/>
          <w:numId w:val="2"/>
        </w:numPr>
        <w:shd w:val="clear" w:color="auto" w:fill="FFFFFF"/>
        <w:contextualSpacing/>
        <w:rPr>
          <w:szCs w:val="22"/>
          <w:lang w:val="x-none" w:eastAsia="x-none"/>
        </w:rPr>
      </w:pPr>
      <w:r w:rsidRPr="00B06004">
        <w:rPr>
          <w:szCs w:val="22"/>
          <w:lang w:val="x-none" w:eastAsia="x-none"/>
        </w:rPr>
        <w:t>świadczenia usług promocji miasta poprzez wydarzenia kulturalne, sportowe, eventowe oraz gospodarcze; okres obowiązywania koncesji:</w:t>
      </w:r>
      <w:r w:rsidRPr="00B06004">
        <w:rPr>
          <w:szCs w:val="22"/>
          <w:lang w:eastAsia="x-none"/>
        </w:rPr>
        <w:t xml:space="preserve"> 60 miesięcy; całkowita wartość zamówienia (bez VAT): 169</w:t>
      </w:r>
      <w:r w:rsidR="009343A1">
        <w:rPr>
          <w:szCs w:val="22"/>
          <w:lang w:eastAsia="x-none"/>
        </w:rPr>
        <w:t xml:space="preserve"> </w:t>
      </w:r>
      <w:r w:rsidRPr="00B06004">
        <w:rPr>
          <w:szCs w:val="22"/>
          <w:lang w:eastAsia="x-none"/>
        </w:rPr>
        <w:t>189</w:t>
      </w:r>
      <w:r w:rsidR="009343A1">
        <w:rPr>
          <w:szCs w:val="22"/>
          <w:lang w:eastAsia="x-none"/>
        </w:rPr>
        <w:t xml:space="preserve"> </w:t>
      </w:r>
      <w:r w:rsidRPr="00B06004">
        <w:rPr>
          <w:szCs w:val="22"/>
          <w:lang w:eastAsia="x-none"/>
        </w:rPr>
        <w:t>205</w:t>
      </w:r>
      <w:r w:rsidR="00486E49">
        <w:rPr>
          <w:szCs w:val="22"/>
          <w:lang w:eastAsia="x-none"/>
        </w:rPr>
        <w:t>,</w:t>
      </w:r>
      <w:r w:rsidRPr="00B06004">
        <w:rPr>
          <w:szCs w:val="22"/>
          <w:lang w:eastAsia="x-none"/>
        </w:rPr>
        <w:t>00 PLN</w:t>
      </w:r>
      <w:r>
        <w:rPr>
          <w:szCs w:val="22"/>
          <w:lang w:eastAsia="x-none"/>
        </w:rPr>
        <w:t>.</w:t>
      </w:r>
    </w:p>
    <w:p w14:paraId="0B46EBE9" w14:textId="70AFFF36" w:rsidR="00563E94" w:rsidRDefault="00563E94" w:rsidP="00F058DB">
      <w:pPr>
        <w:shd w:val="clear" w:color="auto" w:fill="FFFFFF"/>
      </w:pPr>
    </w:p>
    <w:p w14:paraId="1BC2CA81" w14:textId="77777777" w:rsidR="00716498" w:rsidRDefault="00716498" w:rsidP="00F058DB">
      <w:pPr>
        <w:shd w:val="clear" w:color="auto" w:fill="FFFFFF"/>
      </w:pPr>
    </w:p>
    <w:tbl>
      <w:tblPr>
        <w:tblW w:w="8912" w:type="dxa"/>
        <w:tblInd w:w="374" w:type="dxa"/>
        <w:tblLayout w:type="fixed"/>
        <w:tblLook w:val="04A0" w:firstRow="1" w:lastRow="0" w:firstColumn="1" w:lastColumn="0" w:noHBand="0" w:noVBand="1"/>
      </w:tblPr>
      <w:tblGrid>
        <w:gridCol w:w="236"/>
        <w:gridCol w:w="8676"/>
      </w:tblGrid>
      <w:tr w:rsidR="00716498" w:rsidRPr="001E7D51" w14:paraId="5CFCB26A" w14:textId="77777777" w:rsidTr="005B7C0F">
        <w:trPr>
          <w:cantSplit/>
        </w:trPr>
        <w:tc>
          <w:tcPr>
            <w:tcW w:w="236" w:type="dxa"/>
            <w:shd w:val="clear" w:color="auto" w:fill="B8CCE4"/>
          </w:tcPr>
          <w:p w14:paraId="1ADF6612" w14:textId="77777777" w:rsidR="00716498" w:rsidRPr="001E7D51" w:rsidRDefault="00716498" w:rsidP="00F058DB">
            <w:pPr>
              <w:rPr>
                <w:sz w:val="24"/>
              </w:rPr>
            </w:pPr>
          </w:p>
        </w:tc>
        <w:tc>
          <w:tcPr>
            <w:tcW w:w="8676" w:type="dxa"/>
          </w:tcPr>
          <w:p w14:paraId="075B84A7" w14:textId="77777777" w:rsidR="00716498" w:rsidRPr="00045A24" w:rsidRDefault="00716498" w:rsidP="00F058DB">
            <w:pPr>
              <w:pStyle w:val="Nagwek3"/>
              <w:shd w:val="clear" w:color="auto" w:fill="FFFFFF"/>
              <w:spacing w:after="120"/>
              <w:ind w:left="0"/>
              <w:rPr>
                <w:color w:val="0070C0"/>
                <w:sz w:val="24"/>
                <w:szCs w:val="24"/>
              </w:rPr>
            </w:pPr>
            <w:bookmarkStart w:id="70" w:name="_Toc64451855"/>
            <w:bookmarkStart w:id="71" w:name="_Toc141276434"/>
            <w:r w:rsidRPr="00045A24">
              <w:rPr>
                <w:color w:val="0070C0"/>
                <w:sz w:val="24"/>
                <w:szCs w:val="24"/>
              </w:rPr>
              <w:t>II.1.7. Zamówienia in-house</w:t>
            </w:r>
            <w:bookmarkEnd w:id="70"/>
            <w:bookmarkEnd w:id="71"/>
          </w:p>
        </w:tc>
      </w:tr>
    </w:tbl>
    <w:p w14:paraId="50058CCF" w14:textId="77777777" w:rsidR="005B7C0F" w:rsidRPr="006C079C" w:rsidRDefault="005B7C0F" w:rsidP="005B7C0F">
      <w:pPr>
        <w:rPr>
          <w:szCs w:val="22"/>
        </w:rPr>
      </w:pPr>
    </w:p>
    <w:p w14:paraId="4CF600C0" w14:textId="573DD93C" w:rsidR="006C079C" w:rsidRPr="00381E1A" w:rsidRDefault="003C6136" w:rsidP="006C079C">
      <w:pPr>
        <w:pStyle w:val="Akapitzlist"/>
        <w:numPr>
          <w:ilvl w:val="0"/>
          <w:numId w:val="3"/>
        </w:numPr>
        <w:rPr>
          <w:b/>
          <w:color w:val="0070C0"/>
          <w:sz w:val="22"/>
          <w:szCs w:val="22"/>
          <w:lang w:val="pl-PL"/>
        </w:rPr>
      </w:pPr>
      <w:r w:rsidRPr="00381E1A">
        <w:rPr>
          <w:b/>
          <w:color w:val="0070C0"/>
          <w:sz w:val="22"/>
          <w:szCs w:val="22"/>
          <w:lang w:val="pl-PL"/>
        </w:rPr>
        <w:t>Zamówienia in-house udzielane</w:t>
      </w:r>
      <w:r w:rsidR="006C079C" w:rsidRPr="00381E1A">
        <w:rPr>
          <w:b/>
          <w:color w:val="0070C0"/>
          <w:sz w:val="22"/>
          <w:szCs w:val="22"/>
          <w:lang w:val="pl-PL"/>
        </w:rPr>
        <w:t xml:space="preserve"> na podstawie art. 10 us</w:t>
      </w:r>
      <w:r w:rsidR="000E211C">
        <w:rPr>
          <w:b/>
          <w:color w:val="0070C0"/>
          <w:sz w:val="22"/>
          <w:szCs w:val="22"/>
          <w:lang w:val="pl-PL"/>
        </w:rPr>
        <w:t>t. 2 pkt 3 ustawy Pzp</w:t>
      </w:r>
    </w:p>
    <w:p w14:paraId="3DD07AA8" w14:textId="2AF7C6E7" w:rsidR="005B7C0F" w:rsidRDefault="005B7C0F" w:rsidP="005B7C0F">
      <w:pPr>
        <w:rPr>
          <w:szCs w:val="22"/>
        </w:rPr>
      </w:pPr>
    </w:p>
    <w:p w14:paraId="1CEDE2A8" w14:textId="516A9920" w:rsidR="00381E1A" w:rsidRDefault="00381E1A" w:rsidP="00381E1A">
      <w:pPr>
        <w:rPr>
          <w:szCs w:val="22"/>
        </w:rPr>
      </w:pPr>
      <w:r w:rsidRPr="00805E04">
        <w:rPr>
          <w:szCs w:val="22"/>
        </w:rPr>
        <w:t xml:space="preserve">Z danych zawartych w rocznych sprawozdaniach o zamówieniach </w:t>
      </w:r>
      <w:r w:rsidR="00ED0581" w:rsidRPr="00805E04">
        <w:rPr>
          <w:szCs w:val="22"/>
        </w:rPr>
        <w:t xml:space="preserve">udzielonych </w:t>
      </w:r>
      <w:r w:rsidRPr="00805E04">
        <w:rPr>
          <w:szCs w:val="22"/>
        </w:rPr>
        <w:t>w 202</w:t>
      </w:r>
      <w:r w:rsidR="002C7B2F">
        <w:rPr>
          <w:szCs w:val="22"/>
        </w:rPr>
        <w:t>2</w:t>
      </w:r>
      <w:r w:rsidRPr="00805E04">
        <w:rPr>
          <w:szCs w:val="22"/>
        </w:rPr>
        <w:t xml:space="preserve"> r. wynika, że w oparciu o wskazaną powyżej regulację udzielono </w:t>
      </w:r>
      <w:r w:rsidR="002C7B2F" w:rsidRPr="002C7B2F">
        <w:rPr>
          <w:szCs w:val="22"/>
        </w:rPr>
        <w:t>3</w:t>
      </w:r>
      <w:r w:rsidR="002C7B2F">
        <w:rPr>
          <w:szCs w:val="22"/>
        </w:rPr>
        <w:t> </w:t>
      </w:r>
      <w:r w:rsidR="002C7B2F" w:rsidRPr="002C7B2F">
        <w:rPr>
          <w:szCs w:val="22"/>
        </w:rPr>
        <w:t>225</w:t>
      </w:r>
      <w:r w:rsidR="002C7B2F">
        <w:rPr>
          <w:szCs w:val="22"/>
        </w:rPr>
        <w:t xml:space="preserve"> </w:t>
      </w:r>
      <w:r w:rsidRPr="00805E04">
        <w:rPr>
          <w:szCs w:val="22"/>
        </w:rPr>
        <w:t>zamówie</w:t>
      </w:r>
      <w:r w:rsidR="002C7B2F">
        <w:rPr>
          <w:szCs w:val="22"/>
        </w:rPr>
        <w:t>ń</w:t>
      </w:r>
      <w:r w:rsidRPr="00805E04">
        <w:rPr>
          <w:szCs w:val="22"/>
        </w:rPr>
        <w:t xml:space="preserve"> na kwotę ok. </w:t>
      </w:r>
      <w:r w:rsidR="002C7B2F">
        <w:rPr>
          <w:szCs w:val="22"/>
        </w:rPr>
        <w:t>4</w:t>
      </w:r>
      <w:r>
        <w:rPr>
          <w:szCs w:val="22"/>
        </w:rPr>
        <w:t>35</w:t>
      </w:r>
      <w:r w:rsidRPr="00805E04">
        <w:rPr>
          <w:szCs w:val="22"/>
        </w:rPr>
        <w:t>,6</w:t>
      </w:r>
      <w:r w:rsidR="002C7B2F">
        <w:rPr>
          <w:szCs w:val="22"/>
        </w:rPr>
        <w:t>07</w:t>
      </w:r>
      <w:r w:rsidRPr="00805E04">
        <w:rPr>
          <w:szCs w:val="22"/>
        </w:rPr>
        <w:t xml:space="preserve"> mln zł. W 20</w:t>
      </w:r>
      <w:r>
        <w:rPr>
          <w:szCs w:val="22"/>
        </w:rPr>
        <w:t>21</w:t>
      </w:r>
      <w:r w:rsidRPr="00805E04">
        <w:rPr>
          <w:szCs w:val="22"/>
        </w:rPr>
        <w:t xml:space="preserve"> r. zamówień takich udzielono 1</w:t>
      </w:r>
      <w:r>
        <w:rPr>
          <w:szCs w:val="22"/>
        </w:rPr>
        <w:t> </w:t>
      </w:r>
      <w:r w:rsidRPr="00805E04">
        <w:rPr>
          <w:szCs w:val="22"/>
        </w:rPr>
        <w:t xml:space="preserve">884 na kwotę ok. </w:t>
      </w:r>
      <w:r>
        <w:rPr>
          <w:szCs w:val="22"/>
        </w:rPr>
        <w:t>365</w:t>
      </w:r>
      <w:r w:rsidRPr="00805E04">
        <w:rPr>
          <w:szCs w:val="22"/>
        </w:rPr>
        <w:t>,6</w:t>
      </w:r>
      <w:r>
        <w:rPr>
          <w:szCs w:val="22"/>
        </w:rPr>
        <w:t>33</w:t>
      </w:r>
      <w:r w:rsidRPr="00805E04">
        <w:rPr>
          <w:szCs w:val="22"/>
        </w:rPr>
        <w:t xml:space="preserve"> mln zł.</w:t>
      </w:r>
    </w:p>
    <w:p w14:paraId="7E965A97" w14:textId="1487988C" w:rsidR="006C079C" w:rsidRDefault="006C079C" w:rsidP="005B7C0F">
      <w:pPr>
        <w:rPr>
          <w:szCs w:val="22"/>
        </w:rPr>
      </w:pPr>
    </w:p>
    <w:p w14:paraId="30F401AF" w14:textId="1BF173B6" w:rsidR="006C079C" w:rsidRDefault="006C079C" w:rsidP="005B7C0F">
      <w:pPr>
        <w:rPr>
          <w:szCs w:val="22"/>
        </w:rPr>
      </w:pPr>
    </w:p>
    <w:p w14:paraId="5E52785F" w14:textId="1242E5A4" w:rsidR="006C079C" w:rsidRPr="0075069E" w:rsidRDefault="003C6136" w:rsidP="006C079C">
      <w:pPr>
        <w:pStyle w:val="Akapitzlist"/>
        <w:numPr>
          <w:ilvl w:val="0"/>
          <w:numId w:val="3"/>
        </w:numPr>
        <w:rPr>
          <w:b/>
          <w:color w:val="0070C0"/>
          <w:sz w:val="22"/>
          <w:szCs w:val="22"/>
          <w:lang w:val="pl-PL"/>
        </w:rPr>
      </w:pPr>
      <w:r w:rsidRPr="00F35843">
        <w:rPr>
          <w:b/>
          <w:color w:val="0070C0"/>
          <w:sz w:val="22"/>
          <w:szCs w:val="22"/>
          <w:lang w:val="pl-PL"/>
        </w:rPr>
        <w:t>Zamówienia in-house udzielane</w:t>
      </w:r>
      <w:r w:rsidR="006C079C" w:rsidRPr="00F35843">
        <w:rPr>
          <w:b/>
          <w:color w:val="0070C0"/>
          <w:sz w:val="22"/>
          <w:szCs w:val="22"/>
          <w:lang w:val="pl-PL"/>
        </w:rPr>
        <w:t xml:space="preserve"> na podstawi</w:t>
      </w:r>
      <w:r w:rsidR="00F35843">
        <w:rPr>
          <w:b/>
          <w:color w:val="0070C0"/>
          <w:sz w:val="22"/>
          <w:szCs w:val="22"/>
          <w:lang w:val="pl-PL"/>
        </w:rPr>
        <w:t>e art. 214 ust. 1</w:t>
      </w:r>
      <w:r w:rsidR="0001608D">
        <w:rPr>
          <w:b/>
          <w:color w:val="0070C0"/>
          <w:sz w:val="22"/>
          <w:szCs w:val="22"/>
          <w:lang w:val="pl-PL"/>
        </w:rPr>
        <w:t xml:space="preserve"> ustawy</w:t>
      </w:r>
      <w:r w:rsidR="00F35843">
        <w:rPr>
          <w:b/>
          <w:color w:val="0070C0"/>
          <w:sz w:val="22"/>
          <w:szCs w:val="22"/>
          <w:lang w:val="pl-PL"/>
        </w:rPr>
        <w:t xml:space="preserve"> Pzp</w:t>
      </w:r>
    </w:p>
    <w:p w14:paraId="18F0DE7E" w14:textId="77777777" w:rsidR="006C079C" w:rsidRDefault="006C079C" w:rsidP="005B7C0F">
      <w:pPr>
        <w:rPr>
          <w:szCs w:val="22"/>
        </w:rPr>
      </w:pPr>
    </w:p>
    <w:p w14:paraId="57F77FFD" w14:textId="4F422976" w:rsidR="006C079C" w:rsidRDefault="00F84825" w:rsidP="005B7C0F">
      <w:pPr>
        <w:rPr>
          <w:szCs w:val="22"/>
        </w:rPr>
      </w:pPr>
      <w:r>
        <w:rPr>
          <w:szCs w:val="22"/>
        </w:rPr>
        <w:t>W</w:t>
      </w:r>
      <w:r w:rsidRPr="00F84825">
        <w:rPr>
          <w:szCs w:val="22"/>
        </w:rPr>
        <w:t xml:space="preserve"> 202</w:t>
      </w:r>
      <w:r>
        <w:rPr>
          <w:szCs w:val="22"/>
        </w:rPr>
        <w:t>2</w:t>
      </w:r>
      <w:r w:rsidRPr="00F84825">
        <w:rPr>
          <w:szCs w:val="22"/>
        </w:rPr>
        <w:t xml:space="preserve"> r. </w:t>
      </w:r>
      <w:r>
        <w:rPr>
          <w:szCs w:val="22"/>
        </w:rPr>
        <w:t xml:space="preserve">w </w:t>
      </w:r>
      <w:r w:rsidR="00AC0D1B">
        <w:rPr>
          <w:szCs w:val="22"/>
        </w:rPr>
        <w:t xml:space="preserve">Biuletynie Zamówień Publicznych </w:t>
      </w:r>
      <w:r w:rsidRPr="00F84825">
        <w:rPr>
          <w:szCs w:val="22"/>
        </w:rPr>
        <w:t xml:space="preserve">zamieszczono ogółem </w:t>
      </w:r>
      <w:r>
        <w:rPr>
          <w:szCs w:val="22"/>
        </w:rPr>
        <w:t>840</w:t>
      </w:r>
      <w:r w:rsidRPr="00F84825">
        <w:rPr>
          <w:szCs w:val="22"/>
        </w:rPr>
        <w:t xml:space="preserve"> ogłoszeń o wyniku postępowania (lub o udzieleniu zamówienia), w których wskazano, że wykorzystano przesłanki zastosowania trybu zamówienia z wolnej ręki w zakresie zamówień in-house. W 202</w:t>
      </w:r>
      <w:r>
        <w:rPr>
          <w:szCs w:val="22"/>
        </w:rPr>
        <w:t>1</w:t>
      </w:r>
      <w:r w:rsidRPr="00F84825">
        <w:rPr>
          <w:szCs w:val="22"/>
        </w:rPr>
        <w:t xml:space="preserve"> r. ogłoszeń takich opublikowano </w:t>
      </w:r>
      <w:r>
        <w:rPr>
          <w:szCs w:val="22"/>
        </w:rPr>
        <w:t>712</w:t>
      </w:r>
      <w:r w:rsidRPr="00F84825">
        <w:rPr>
          <w:szCs w:val="22"/>
        </w:rPr>
        <w:t>.</w:t>
      </w:r>
    </w:p>
    <w:p w14:paraId="6E96CE02" w14:textId="77777777" w:rsidR="00F84825" w:rsidRDefault="00F84825" w:rsidP="00F84825">
      <w:pPr>
        <w:rPr>
          <w:szCs w:val="22"/>
        </w:rPr>
      </w:pPr>
    </w:p>
    <w:p w14:paraId="2A6A0DE0" w14:textId="7FDA8106" w:rsidR="00F84825" w:rsidRDefault="00F84825" w:rsidP="00F84825">
      <w:pPr>
        <w:rPr>
          <w:szCs w:val="22"/>
        </w:rPr>
      </w:pPr>
      <w:r>
        <w:rPr>
          <w:szCs w:val="22"/>
        </w:rPr>
        <w:t>Z</w:t>
      </w:r>
      <w:r w:rsidRPr="007B24E6">
        <w:rPr>
          <w:szCs w:val="22"/>
        </w:rPr>
        <w:t>amawiający najczęściej wykorzystywali przesłankę z art. 214 ust. 1</w:t>
      </w:r>
      <w:r>
        <w:rPr>
          <w:szCs w:val="22"/>
        </w:rPr>
        <w:t xml:space="preserve"> pkt 11 ustawy Pzp</w:t>
      </w:r>
      <w:r w:rsidRPr="007B24E6">
        <w:rPr>
          <w:szCs w:val="22"/>
        </w:rPr>
        <w:t>.</w:t>
      </w:r>
      <w:r>
        <w:rPr>
          <w:szCs w:val="22"/>
        </w:rPr>
        <w:t xml:space="preserve"> </w:t>
      </w:r>
      <w:r w:rsidRPr="0083137E">
        <w:rPr>
          <w:szCs w:val="22"/>
        </w:rPr>
        <w:t xml:space="preserve">Na jej podstawie </w:t>
      </w:r>
      <w:r>
        <w:rPr>
          <w:szCs w:val="22"/>
        </w:rPr>
        <w:t>przeprowadzono</w:t>
      </w:r>
      <w:r w:rsidRPr="0083137E">
        <w:rPr>
          <w:szCs w:val="22"/>
        </w:rPr>
        <w:t xml:space="preserve"> </w:t>
      </w:r>
      <w:r>
        <w:rPr>
          <w:szCs w:val="22"/>
        </w:rPr>
        <w:t>718</w:t>
      </w:r>
      <w:r w:rsidR="001C0F70">
        <w:rPr>
          <w:szCs w:val="22"/>
        </w:rPr>
        <w:t xml:space="preserve"> postępowań</w:t>
      </w:r>
      <w:r>
        <w:rPr>
          <w:szCs w:val="22"/>
        </w:rPr>
        <w:t xml:space="preserve"> (w 2021 r. – 634). Z kolei </w:t>
      </w:r>
      <w:r w:rsidRPr="00110C2E">
        <w:rPr>
          <w:szCs w:val="22"/>
        </w:rPr>
        <w:t xml:space="preserve">uregulowanie zawarte w </w:t>
      </w:r>
      <w:r w:rsidRPr="007B24E6">
        <w:rPr>
          <w:szCs w:val="22"/>
        </w:rPr>
        <w:t>art. 214 ust. 1</w:t>
      </w:r>
      <w:r>
        <w:rPr>
          <w:szCs w:val="22"/>
        </w:rPr>
        <w:t xml:space="preserve"> pkt 12 ustawy Pzp </w:t>
      </w:r>
      <w:r w:rsidRPr="009842F4">
        <w:rPr>
          <w:szCs w:val="22"/>
        </w:rPr>
        <w:t>zamawiający wybrali</w:t>
      </w:r>
      <w:r w:rsidR="008614D9">
        <w:rPr>
          <w:szCs w:val="22"/>
        </w:rPr>
        <w:t xml:space="preserve"> w 45 postępowaniach (w 2021</w:t>
      </w:r>
      <w:r>
        <w:rPr>
          <w:szCs w:val="22"/>
        </w:rPr>
        <w:t xml:space="preserve"> r. – </w:t>
      </w:r>
      <w:r w:rsidR="008614D9">
        <w:rPr>
          <w:szCs w:val="22"/>
        </w:rPr>
        <w:t>3</w:t>
      </w:r>
      <w:r>
        <w:rPr>
          <w:szCs w:val="22"/>
        </w:rPr>
        <w:t xml:space="preserve">4). </w:t>
      </w:r>
      <w:r w:rsidRPr="00194372">
        <w:rPr>
          <w:szCs w:val="22"/>
        </w:rPr>
        <w:t xml:space="preserve">Przesłankę z </w:t>
      </w:r>
      <w:r w:rsidRPr="007B24E6">
        <w:rPr>
          <w:szCs w:val="22"/>
        </w:rPr>
        <w:t>art. 214 ust. 1</w:t>
      </w:r>
      <w:r w:rsidR="00F35843">
        <w:rPr>
          <w:szCs w:val="22"/>
        </w:rPr>
        <w:t xml:space="preserve"> pkt 13 ustawy Pzp </w:t>
      </w:r>
      <w:r>
        <w:rPr>
          <w:szCs w:val="22"/>
        </w:rPr>
        <w:t>zastoso</w:t>
      </w:r>
      <w:r w:rsidR="008614D9">
        <w:rPr>
          <w:szCs w:val="22"/>
        </w:rPr>
        <w:t>wano w 72 postępowaniach (w 2021</w:t>
      </w:r>
      <w:r>
        <w:rPr>
          <w:szCs w:val="22"/>
        </w:rPr>
        <w:t xml:space="preserve"> r. – </w:t>
      </w:r>
      <w:r w:rsidR="008614D9">
        <w:rPr>
          <w:szCs w:val="22"/>
        </w:rPr>
        <w:t>40</w:t>
      </w:r>
      <w:r>
        <w:rPr>
          <w:szCs w:val="22"/>
        </w:rPr>
        <w:t>), a</w:t>
      </w:r>
      <w:r w:rsidR="009343A1">
        <w:rPr>
          <w:szCs w:val="22"/>
        </w:rPr>
        <w:t xml:space="preserve"> </w:t>
      </w:r>
      <w:r w:rsidRPr="007B24E6">
        <w:rPr>
          <w:szCs w:val="22"/>
        </w:rPr>
        <w:t>art. 214 ust. 1</w:t>
      </w:r>
      <w:r>
        <w:rPr>
          <w:szCs w:val="22"/>
        </w:rPr>
        <w:t xml:space="preserve"> pkt 14 ustawy Pzp wybrano w </w:t>
      </w:r>
      <w:r w:rsidR="001B4219">
        <w:rPr>
          <w:szCs w:val="22"/>
        </w:rPr>
        <w:t>5</w:t>
      </w:r>
      <w:r>
        <w:rPr>
          <w:szCs w:val="22"/>
        </w:rPr>
        <w:t xml:space="preserve"> przypadkach (w 202</w:t>
      </w:r>
      <w:r w:rsidR="001B4219">
        <w:rPr>
          <w:szCs w:val="22"/>
        </w:rPr>
        <w:t>1</w:t>
      </w:r>
      <w:r>
        <w:rPr>
          <w:szCs w:val="22"/>
        </w:rPr>
        <w:t xml:space="preserve"> r. – </w:t>
      </w:r>
      <w:r w:rsidR="001B4219">
        <w:rPr>
          <w:szCs w:val="22"/>
        </w:rPr>
        <w:t>4</w:t>
      </w:r>
      <w:r>
        <w:rPr>
          <w:szCs w:val="22"/>
        </w:rPr>
        <w:t>).</w:t>
      </w:r>
    </w:p>
    <w:p w14:paraId="7722379E" w14:textId="38784CAD" w:rsidR="00795CF2" w:rsidRDefault="00795CF2" w:rsidP="005B7C0F">
      <w:pPr>
        <w:rPr>
          <w:szCs w:val="22"/>
        </w:rPr>
      </w:pPr>
    </w:p>
    <w:p w14:paraId="7A224F94" w14:textId="2FE2D0F2" w:rsidR="00F84825" w:rsidRDefault="00A02351" w:rsidP="005B7C0F">
      <w:pPr>
        <w:rPr>
          <w:szCs w:val="22"/>
        </w:rPr>
      </w:pPr>
      <w:r w:rsidRPr="00A02351">
        <w:rPr>
          <w:szCs w:val="22"/>
        </w:rPr>
        <w:t>Większość wykazanych powyżej zamówień dotyczyła usług – 6</w:t>
      </w:r>
      <w:r>
        <w:rPr>
          <w:szCs w:val="22"/>
        </w:rPr>
        <w:t>1</w:t>
      </w:r>
      <w:r w:rsidRPr="00A02351">
        <w:rPr>
          <w:szCs w:val="22"/>
        </w:rPr>
        <w:t>% postępowań, z kolei roboty budowlane stanowiły 3</w:t>
      </w:r>
      <w:r>
        <w:rPr>
          <w:szCs w:val="22"/>
        </w:rPr>
        <w:t>8</w:t>
      </w:r>
      <w:r w:rsidRPr="00A02351">
        <w:rPr>
          <w:szCs w:val="22"/>
        </w:rPr>
        <w:t>% przypadków. Pozostał</w:t>
      </w:r>
      <w:r>
        <w:rPr>
          <w:szCs w:val="22"/>
        </w:rPr>
        <w:t>y</w:t>
      </w:r>
      <w:r w:rsidRPr="00A02351">
        <w:rPr>
          <w:szCs w:val="22"/>
        </w:rPr>
        <w:t xml:space="preserve"> </w:t>
      </w:r>
      <w:r>
        <w:rPr>
          <w:szCs w:val="22"/>
        </w:rPr>
        <w:t>1</w:t>
      </w:r>
      <w:r w:rsidRPr="00A02351">
        <w:rPr>
          <w:szCs w:val="22"/>
        </w:rPr>
        <w:t>% to postępowania na dostawy.</w:t>
      </w:r>
    </w:p>
    <w:p w14:paraId="56DC7F04" w14:textId="6401A533" w:rsidR="00F84825" w:rsidRDefault="00F84825" w:rsidP="005B7C0F">
      <w:pPr>
        <w:rPr>
          <w:szCs w:val="22"/>
        </w:rPr>
      </w:pPr>
    </w:p>
    <w:p w14:paraId="2E2B932F" w14:textId="58BA3D00" w:rsidR="00F84825" w:rsidRDefault="00F84825" w:rsidP="005B7C0F">
      <w:pPr>
        <w:rPr>
          <w:szCs w:val="22"/>
        </w:rPr>
      </w:pPr>
    </w:p>
    <w:p w14:paraId="76354A97" w14:textId="707BF507" w:rsidR="00A11DE8" w:rsidRDefault="00A11DE8" w:rsidP="00A11DE8">
      <w:pPr>
        <w:rPr>
          <w:szCs w:val="22"/>
        </w:rPr>
      </w:pPr>
      <w:r>
        <w:rPr>
          <w:szCs w:val="22"/>
        </w:rPr>
        <w:t>Natomiast z danych zawartych w rocznych sprawozdaniach o udzielonych zamówieniach w 202</w:t>
      </w:r>
      <w:r w:rsidR="00551CF0">
        <w:rPr>
          <w:szCs w:val="22"/>
        </w:rPr>
        <w:t>2</w:t>
      </w:r>
      <w:r>
        <w:rPr>
          <w:szCs w:val="22"/>
        </w:rPr>
        <w:t xml:space="preserve"> r. wynika, że udzielono 2</w:t>
      </w:r>
      <w:r w:rsidR="00551CF0">
        <w:rPr>
          <w:szCs w:val="22"/>
        </w:rPr>
        <w:t>15 zamówień</w:t>
      </w:r>
      <w:r>
        <w:rPr>
          <w:szCs w:val="22"/>
        </w:rPr>
        <w:t xml:space="preserve"> o wartościach </w:t>
      </w:r>
      <w:r w:rsidR="00794C94" w:rsidRPr="00794C94">
        <w:rPr>
          <w:szCs w:val="22"/>
        </w:rPr>
        <w:t>równ</w:t>
      </w:r>
      <w:r w:rsidR="00794C94">
        <w:rPr>
          <w:szCs w:val="22"/>
        </w:rPr>
        <w:t>ych</w:t>
      </w:r>
      <w:r w:rsidR="00794C94" w:rsidRPr="00794C94">
        <w:rPr>
          <w:szCs w:val="22"/>
        </w:rPr>
        <w:t xml:space="preserve"> lub przekraczając</w:t>
      </w:r>
      <w:r w:rsidR="00794C94">
        <w:rPr>
          <w:szCs w:val="22"/>
        </w:rPr>
        <w:t>ych</w:t>
      </w:r>
      <w:r w:rsidR="00794C94" w:rsidRPr="00794C94">
        <w:rPr>
          <w:szCs w:val="22"/>
        </w:rPr>
        <w:t xml:space="preserve"> progi unijne</w:t>
      </w:r>
      <w:r>
        <w:rPr>
          <w:szCs w:val="22"/>
        </w:rPr>
        <w:t xml:space="preserve">, w których wykorzystano przesłanki zastosowania trybu zamówienia z wolnej ręki w zakresie zamówień in-house. Kwota tych zamówień wyniosła ok. </w:t>
      </w:r>
      <w:r w:rsidR="00551CF0">
        <w:rPr>
          <w:szCs w:val="22"/>
        </w:rPr>
        <w:t>2</w:t>
      </w:r>
      <w:r>
        <w:rPr>
          <w:szCs w:val="22"/>
        </w:rPr>
        <w:t>,</w:t>
      </w:r>
      <w:r w:rsidR="00551CF0">
        <w:rPr>
          <w:szCs w:val="22"/>
        </w:rPr>
        <w:t>085</w:t>
      </w:r>
      <w:r>
        <w:rPr>
          <w:szCs w:val="22"/>
        </w:rPr>
        <w:t xml:space="preserve"> mld zł.</w:t>
      </w:r>
    </w:p>
    <w:p w14:paraId="757B6A2E" w14:textId="77777777" w:rsidR="00A11DE8" w:rsidRDefault="00A11DE8" w:rsidP="00A11DE8">
      <w:pPr>
        <w:rPr>
          <w:szCs w:val="22"/>
        </w:rPr>
      </w:pPr>
    </w:p>
    <w:p w14:paraId="1F9FC0B5" w14:textId="7290B86E" w:rsidR="000072B5" w:rsidRDefault="00A11DE8" w:rsidP="000072B5">
      <w:pPr>
        <w:rPr>
          <w:szCs w:val="22"/>
        </w:rPr>
      </w:pPr>
      <w:r>
        <w:rPr>
          <w:szCs w:val="22"/>
        </w:rPr>
        <w:t xml:space="preserve">Zamówienia w formule in-house </w:t>
      </w:r>
      <w:r w:rsidR="000072B5">
        <w:rPr>
          <w:szCs w:val="22"/>
        </w:rPr>
        <w:t>o największej wartości udzielił</w:t>
      </w:r>
      <w:r>
        <w:rPr>
          <w:szCs w:val="22"/>
        </w:rPr>
        <w:t xml:space="preserve"> </w:t>
      </w:r>
      <w:r w:rsidR="000072B5" w:rsidRPr="000072B5">
        <w:rPr>
          <w:szCs w:val="22"/>
        </w:rPr>
        <w:t xml:space="preserve">Miejski Zarząd Dróg </w:t>
      </w:r>
      <w:r w:rsidR="000072B5">
        <w:rPr>
          <w:szCs w:val="22"/>
        </w:rPr>
        <w:t>i</w:t>
      </w:r>
      <w:r w:rsidR="000072B5" w:rsidRPr="000072B5">
        <w:rPr>
          <w:szCs w:val="22"/>
        </w:rPr>
        <w:t xml:space="preserve"> Komunikacji</w:t>
      </w:r>
      <w:r w:rsidR="000072B5">
        <w:rPr>
          <w:szCs w:val="22"/>
        </w:rPr>
        <w:t xml:space="preserve"> w Radomiu</w:t>
      </w:r>
      <w:r>
        <w:rPr>
          <w:szCs w:val="22"/>
        </w:rPr>
        <w:t xml:space="preserve"> na </w:t>
      </w:r>
      <w:r w:rsidR="000072B5" w:rsidRPr="000072B5">
        <w:rPr>
          <w:szCs w:val="22"/>
        </w:rPr>
        <w:t>usługi regularnego przewozu osób wykonywane w ramach komunikacji miejskiej na liniach</w:t>
      </w:r>
      <w:r w:rsidR="000072B5">
        <w:rPr>
          <w:szCs w:val="22"/>
        </w:rPr>
        <w:t xml:space="preserve"> </w:t>
      </w:r>
      <w:r w:rsidR="000072B5" w:rsidRPr="000072B5">
        <w:rPr>
          <w:szCs w:val="22"/>
        </w:rPr>
        <w:t>komunikacyjnych w ramach sieci komunikacyjnej na terenie Gminy Radom oraz Gmin sąsiadujących, z którymi Gmina</w:t>
      </w:r>
      <w:r w:rsidR="000072B5">
        <w:rPr>
          <w:szCs w:val="22"/>
        </w:rPr>
        <w:t xml:space="preserve"> </w:t>
      </w:r>
      <w:r w:rsidR="000072B5" w:rsidRPr="000072B5">
        <w:rPr>
          <w:szCs w:val="22"/>
        </w:rPr>
        <w:t>Radom zawarła porozumienie w zakresie publicznego transportu zbiorowego</w:t>
      </w:r>
      <w:r w:rsidR="000072B5">
        <w:rPr>
          <w:szCs w:val="22"/>
        </w:rPr>
        <w:t xml:space="preserve">; okres realizacji zamówienia: 120 miesięcy; </w:t>
      </w:r>
      <w:r w:rsidR="00101B51">
        <w:rPr>
          <w:szCs w:val="22"/>
        </w:rPr>
        <w:t>k</w:t>
      </w:r>
      <w:r w:rsidR="000072B5" w:rsidRPr="000072B5">
        <w:rPr>
          <w:szCs w:val="22"/>
        </w:rPr>
        <w:t xml:space="preserve">wota zamówienia wyniosła </w:t>
      </w:r>
      <w:r w:rsidR="00101B51">
        <w:rPr>
          <w:szCs w:val="22"/>
        </w:rPr>
        <w:t>940,5</w:t>
      </w:r>
      <w:r w:rsidR="000072B5" w:rsidRPr="000072B5">
        <w:rPr>
          <w:szCs w:val="22"/>
        </w:rPr>
        <w:t xml:space="preserve"> ml</w:t>
      </w:r>
      <w:r w:rsidR="00101B51">
        <w:rPr>
          <w:szCs w:val="22"/>
        </w:rPr>
        <w:t>n</w:t>
      </w:r>
      <w:r w:rsidR="000072B5" w:rsidRPr="000072B5">
        <w:rPr>
          <w:szCs w:val="22"/>
        </w:rPr>
        <w:t xml:space="preserve"> zł.</w:t>
      </w:r>
    </w:p>
    <w:p w14:paraId="537312E5" w14:textId="7DC0B3E9" w:rsidR="00A11DE8" w:rsidRDefault="00A11DE8" w:rsidP="00A11DE8">
      <w:pPr>
        <w:rPr>
          <w:szCs w:val="22"/>
        </w:rPr>
      </w:pPr>
    </w:p>
    <w:p w14:paraId="00A8C957" w14:textId="12629627" w:rsidR="00A11DE8" w:rsidRDefault="00A11DE8" w:rsidP="00A11DE8">
      <w:pPr>
        <w:rPr>
          <w:szCs w:val="22"/>
        </w:rPr>
      </w:pPr>
      <w:r>
        <w:rPr>
          <w:szCs w:val="22"/>
        </w:rPr>
        <w:t xml:space="preserve">Podobnie jak w postępowaniach o wartościach poniżej progów unijnych, także w tych zamówieniach zamawiający najczęściej stosowali </w:t>
      </w:r>
      <w:r w:rsidRPr="007B24E6">
        <w:rPr>
          <w:szCs w:val="22"/>
        </w:rPr>
        <w:t>art. 214 ust. 1</w:t>
      </w:r>
      <w:r>
        <w:rPr>
          <w:szCs w:val="22"/>
        </w:rPr>
        <w:t xml:space="preserve"> pkt 11 ustawy Pzp</w:t>
      </w:r>
      <w:r w:rsidR="00AD20E1">
        <w:rPr>
          <w:szCs w:val="22"/>
        </w:rPr>
        <w:t>.</w:t>
      </w:r>
    </w:p>
    <w:p w14:paraId="44726879" w14:textId="77777777" w:rsidR="00AB49BF" w:rsidRDefault="00AB49BF" w:rsidP="005B7C0F">
      <w:pPr>
        <w:rPr>
          <w:szCs w:val="22"/>
        </w:rPr>
      </w:pPr>
    </w:p>
    <w:p w14:paraId="01FE446B" w14:textId="70EB377E" w:rsidR="005B7C0F" w:rsidRDefault="005B7C0F" w:rsidP="005B7C0F">
      <w:pPr>
        <w:pStyle w:val="Legenda"/>
      </w:pPr>
      <w:bookmarkStart w:id="72" w:name="_Toc141276512"/>
      <w:r w:rsidRPr="00AD20E1">
        <w:t xml:space="preserve">Tab. </w:t>
      </w:r>
      <w:r w:rsidR="00BE2079">
        <w:fldChar w:fldCharType="begin"/>
      </w:r>
      <w:r w:rsidR="00BE2079">
        <w:instrText xml:space="preserve"> SEQ Tab. \* ARABIC </w:instrText>
      </w:r>
      <w:r w:rsidR="00BE2079">
        <w:fldChar w:fldCharType="separate"/>
      </w:r>
      <w:r w:rsidR="00A43C68">
        <w:rPr>
          <w:noProof/>
        </w:rPr>
        <w:t>5</w:t>
      </w:r>
      <w:r w:rsidR="00BE2079">
        <w:rPr>
          <w:noProof/>
        </w:rPr>
        <w:fldChar w:fldCharType="end"/>
      </w:r>
      <w:r w:rsidRPr="00AD20E1">
        <w:t>. Zamówienia, w których zastosowano odpowiednią przesłankę in-house</w:t>
      </w:r>
      <w:bookmarkEnd w:id="72"/>
    </w:p>
    <w:tbl>
      <w:tblPr>
        <w:tblW w:w="0" w:type="auto"/>
        <w:tblInd w:w="-5" w:type="dxa"/>
        <w:tblLayout w:type="fixed"/>
        <w:tblLook w:val="04A0" w:firstRow="1" w:lastRow="0" w:firstColumn="1" w:lastColumn="0" w:noHBand="0" w:noVBand="1"/>
      </w:tblPr>
      <w:tblGrid>
        <w:gridCol w:w="2240"/>
        <w:gridCol w:w="1701"/>
        <w:gridCol w:w="1984"/>
      </w:tblGrid>
      <w:tr w:rsidR="005B7C0F" w:rsidRPr="00477692" w14:paraId="0F0DA26F" w14:textId="77777777" w:rsidTr="0042706A">
        <w:trPr>
          <w:tblHeader/>
        </w:trPr>
        <w:tc>
          <w:tcPr>
            <w:tcW w:w="2240" w:type="dxa"/>
            <w:tcBorders>
              <w:right w:val="single" w:sz="4" w:space="0" w:color="FFFFFF"/>
            </w:tcBorders>
            <w:shd w:val="clear" w:color="auto" w:fill="002060"/>
            <w:vAlign w:val="center"/>
          </w:tcPr>
          <w:p w14:paraId="129377FE" w14:textId="77777777" w:rsidR="005B7C0F" w:rsidRPr="00477692" w:rsidRDefault="005B7C0F" w:rsidP="0042706A">
            <w:pPr>
              <w:spacing w:before="60" w:after="60"/>
              <w:jc w:val="center"/>
              <w:rPr>
                <w:b/>
                <w:sz w:val="18"/>
                <w:szCs w:val="18"/>
              </w:rPr>
            </w:pPr>
            <w:r w:rsidRPr="00477692">
              <w:rPr>
                <w:b/>
                <w:sz w:val="18"/>
                <w:szCs w:val="18"/>
              </w:rPr>
              <w:t>Przesłanka</w:t>
            </w:r>
          </w:p>
          <w:p w14:paraId="3E6F0AD1" w14:textId="77777777" w:rsidR="005B7C0F" w:rsidRPr="00477692" w:rsidRDefault="005B7C0F" w:rsidP="0042706A">
            <w:pPr>
              <w:spacing w:before="60" w:after="60"/>
              <w:jc w:val="center"/>
              <w:rPr>
                <w:b/>
                <w:sz w:val="18"/>
                <w:szCs w:val="18"/>
              </w:rPr>
            </w:pPr>
            <w:r w:rsidRPr="00477692">
              <w:rPr>
                <w:b/>
                <w:sz w:val="18"/>
                <w:szCs w:val="18"/>
              </w:rPr>
              <w:t>art. 214 ust. 1 Pzp</w:t>
            </w:r>
          </w:p>
        </w:tc>
        <w:tc>
          <w:tcPr>
            <w:tcW w:w="1701" w:type="dxa"/>
            <w:tcBorders>
              <w:left w:val="single" w:sz="4" w:space="0" w:color="FFFFFF"/>
            </w:tcBorders>
            <w:shd w:val="clear" w:color="auto" w:fill="002060"/>
            <w:vAlign w:val="center"/>
          </w:tcPr>
          <w:p w14:paraId="44FEBF9A" w14:textId="77777777" w:rsidR="005B7C0F" w:rsidRPr="00477692" w:rsidRDefault="005B7C0F" w:rsidP="0042706A">
            <w:pPr>
              <w:spacing w:before="60" w:after="60"/>
              <w:jc w:val="center"/>
              <w:rPr>
                <w:b/>
                <w:sz w:val="18"/>
                <w:szCs w:val="18"/>
              </w:rPr>
            </w:pPr>
            <w:r w:rsidRPr="00477692">
              <w:rPr>
                <w:b/>
                <w:sz w:val="18"/>
                <w:szCs w:val="18"/>
              </w:rPr>
              <w:t>Liczba</w:t>
            </w:r>
          </w:p>
        </w:tc>
        <w:tc>
          <w:tcPr>
            <w:tcW w:w="1984" w:type="dxa"/>
            <w:tcBorders>
              <w:left w:val="single" w:sz="4" w:space="0" w:color="FFFFFF"/>
            </w:tcBorders>
            <w:shd w:val="clear" w:color="auto" w:fill="002060"/>
            <w:vAlign w:val="center"/>
          </w:tcPr>
          <w:p w14:paraId="7C096250" w14:textId="77777777" w:rsidR="005B7C0F" w:rsidRPr="00477692" w:rsidRDefault="005B7C0F" w:rsidP="0042706A">
            <w:pPr>
              <w:spacing w:before="60" w:after="60"/>
              <w:jc w:val="center"/>
              <w:rPr>
                <w:b/>
                <w:sz w:val="18"/>
                <w:szCs w:val="18"/>
              </w:rPr>
            </w:pPr>
            <w:r w:rsidRPr="00477692">
              <w:rPr>
                <w:b/>
                <w:sz w:val="18"/>
                <w:szCs w:val="18"/>
              </w:rPr>
              <w:t>Wartość</w:t>
            </w:r>
          </w:p>
        </w:tc>
      </w:tr>
      <w:tr w:rsidR="005B7C0F" w:rsidRPr="00477692" w14:paraId="28668332" w14:textId="77777777" w:rsidTr="0042706A">
        <w:tc>
          <w:tcPr>
            <w:tcW w:w="2240" w:type="dxa"/>
            <w:tcBorders>
              <w:right w:val="single" w:sz="4" w:space="0" w:color="FFFFFF"/>
            </w:tcBorders>
            <w:shd w:val="clear" w:color="auto" w:fill="auto"/>
            <w:vAlign w:val="center"/>
          </w:tcPr>
          <w:p w14:paraId="191D2A1C" w14:textId="77777777" w:rsidR="005B7C0F" w:rsidRPr="00477692" w:rsidRDefault="005B7C0F" w:rsidP="0042706A">
            <w:pPr>
              <w:spacing w:before="60" w:after="60"/>
              <w:jc w:val="left"/>
              <w:rPr>
                <w:sz w:val="18"/>
                <w:szCs w:val="18"/>
              </w:rPr>
            </w:pPr>
            <w:r w:rsidRPr="00477692">
              <w:rPr>
                <w:sz w:val="18"/>
                <w:szCs w:val="18"/>
              </w:rPr>
              <w:t>pkt 11</w:t>
            </w:r>
          </w:p>
        </w:tc>
        <w:tc>
          <w:tcPr>
            <w:tcW w:w="1701" w:type="dxa"/>
            <w:tcBorders>
              <w:left w:val="single" w:sz="4" w:space="0" w:color="FFFFFF"/>
            </w:tcBorders>
            <w:shd w:val="clear" w:color="auto" w:fill="auto"/>
            <w:vAlign w:val="center"/>
          </w:tcPr>
          <w:p w14:paraId="0EE526FA" w14:textId="3552DF7C" w:rsidR="005B7C0F" w:rsidRPr="00477692" w:rsidRDefault="005D2FA7" w:rsidP="0042706A">
            <w:pPr>
              <w:autoSpaceDE w:val="0"/>
              <w:autoSpaceDN w:val="0"/>
              <w:adjustRightInd w:val="0"/>
              <w:jc w:val="center"/>
              <w:rPr>
                <w:color w:val="000000"/>
                <w:sz w:val="18"/>
                <w:szCs w:val="18"/>
              </w:rPr>
            </w:pPr>
            <w:r>
              <w:rPr>
                <w:color w:val="000000"/>
                <w:sz w:val="18"/>
                <w:szCs w:val="18"/>
              </w:rPr>
              <w:t>183</w:t>
            </w:r>
          </w:p>
        </w:tc>
        <w:tc>
          <w:tcPr>
            <w:tcW w:w="1984" w:type="dxa"/>
            <w:tcBorders>
              <w:left w:val="single" w:sz="4" w:space="0" w:color="FFFFFF"/>
            </w:tcBorders>
            <w:shd w:val="clear" w:color="auto" w:fill="auto"/>
            <w:vAlign w:val="center"/>
          </w:tcPr>
          <w:p w14:paraId="0814FE25" w14:textId="471B1B84" w:rsidR="005B7C0F" w:rsidRPr="00477692" w:rsidRDefault="005D2FA7" w:rsidP="0042706A">
            <w:pPr>
              <w:autoSpaceDE w:val="0"/>
              <w:autoSpaceDN w:val="0"/>
              <w:adjustRightInd w:val="0"/>
              <w:jc w:val="right"/>
              <w:rPr>
                <w:color w:val="000000"/>
                <w:sz w:val="18"/>
                <w:szCs w:val="18"/>
              </w:rPr>
            </w:pPr>
            <w:r w:rsidRPr="005D2FA7">
              <w:rPr>
                <w:color w:val="000000"/>
                <w:sz w:val="18"/>
                <w:szCs w:val="18"/>
              </w:rPr>
              <w:t>2 041 697 160,89 zł</w:t>
            </w:r>
          </w:p>
        </w:tc>
      </w:tr>
      <w:tr w:rsidR="005B7C0F" w:rsidRPr="00477692" w14:paraId="5DF3C5CE" w14:textId="77777777" w:rsidTr="0042706A">
        <w:tc>
          <w:tcPr>
            <w:tcW w:w="2240" w:type="dxa"/>
            <w:tcBorders>
              <w:right w:val="single" w:sz="4" w:space="0" w:color="FFFFFF"/>
            </w:tcBorders>
            <w:shd w:val="clear" w:color="auto" w:fill="00B0F0"/>
            <w:vAlign w:val="center"/>
          </w:tcPr>
          <w:p w14:paraId="7FC3E004" w14:textId="77777777" w:rsidR="005B7C0F" w:rsidRPr="00477692" w:rsidRDefault="005B7C0F" w:rsidP="0042706A">
            <w:pPr>
              <w:spacing w:before="60" w:after="60"/>
              <w:jc w:val="left"/>
              <w:rPr>
                <w:sz w:val="18"/>
                <w:szCs w:val="18"/>
              </w:rPr>
            </w:pPr>
            <w:r w:rsidRPr="00477692">
              <w:rPr>
                <w:sz w:val="18"/>
                <w:szCs w:val="18"/>
              </w:rPr>
              <w:t>pkt 12</w:t>
            </w:r>
          </w:p>
        </w:tc>
        <w:tc>
          <w:tcPr>
            <w:tcW w:w="1701" w:type="dxa"/>
            <w:tcBorders>
              <w:left w:val="single" w:sz="4" w:space="0" w:color="FFFFFF"/>
            </w:tcBorders>
            <w:shd w:val="clear" w:color="auto" w:fill="00B0F0"/>
            <w:vAlign w:val="center"/>
          </w:tcPr>
          <w:p w14:paraId="1875E4E7" w14:textId="151824F8" w:rsidR="005B7C0F" w:rsidRPr="00477692" w:rsidRDefault="005567D1" w:rsidP="0042706A">
            <w:pPr>
              <w:autoSpaceDE w:val="0"/>
              <w:autoSpaceDN w:val="0"/>
              <w:adjustRightInd w:val="0"/>
              <w:jc w:val="center"/>
              <w:rPr>
                <w:color w:val="000000"/>
                <w:sz w:val="18"/>
                <w:szCs w:val="18"/>
              </w:rPr>
            </w:pPr>
            <w:r>
              <w:rPr>
                <w:color w:val="000000"/>
                <w:sz w:val="18"/>
                <w:szCs w:val="18"/>
              </w:rPr>
              <w:t>5</w:t>
            </w:r>
          </w:p>
        </w:tc>
        <w:tc>
          <w:tcPr>
            <w:tcW w:w="1984" w:type="dxa"/>
            <w:tcBorders>
              <w:left w:val="single" w:sz="4" w:space="0" w:color="FFFFFF"/>
            </w:tcBorders>
            <w:shd w:val="clear" w:color="auto" w:fill="00B0F0"/>
            <w:vAlign w:val="center"/>
          </w:tcPr>
          <w:p w14:paraId="7DDB37AC" w14:textId="22262D94" w:rsidR="005B7C0F" w:rsidRPr="00477692" w:rsidRDefault="005567D1" w:rsidP="0042706A">
            <w:pPr>
              <w:autoSpaceDE w:val="0"/>
              <w:autoSpaceDN w:val="0"/>
              <w:adjustRightInd w:val="0"/>
              <w:jc w:val="right"/>
              <w:rPr>
                <w:color w:val="000000"/>
                <w:sz w:val="18"/>
                <w:szCs w:val="18"/>
              </w:rPr>
            </w:pPr>
            <w:r w:rsidRPr="005567D1">
              <w:rPr>
                <w:color w:val="000000"/>
                <w:sz w:val="18"/>
                <w:szCs w:val="18"/>
              </w:rPr>
              <w:t>16 349 814,23 zł</w:t>
            </w:r>
          </w:p>
        </w:tc>
      </w:tr>
      <w:tr w:rsidR="005B7C0F" w:rsidRPr="00477692" w14:paraId="686FE4D3" w14:textId="77777777" w:rsidTr="0042706A">
        <w:tc>
          <w:tcPr>
            <w:tcW w:w="2240" w:type="dxa"/>
            <w:tcBorders>
              <w:right w:val="single" w:sz="4" w:space="0" w:color="FFFFFF"/>
            </w:tcBorders>
            <w:shd w:val="clear" w:color="auto" w:fill="auto"/>
            <w:vAlign w:val="center"/>
          </w:tcPr>
          <w:p w14:paraId="6BF867A5" w14:textId="77777777" w:rsidR="005B7C0F" w:rsidRPr="00477692" w:rsidRDefault="005B7C0F" w:rsidP="0042706A">
            <w:pPr>
              <w:spacing w:before="60" w:after="60"/>
              <w:jc w:val="left"/>
              <w:rPr>
                <w:sz w:val="18"/>
                <w:szCs w:val="18"/>
              </w:rPr>
            </w:pPr>
            <w:r w:rsidRPr="00477692">
              <w:rPr>
                <w:sz w:val="18"/>
                <w:szCs w:val="18"/>
              </w:rPr>
              <w:t>pkt 13</w:t>
            </w:r>
          </w:p>
        </w:tc>
        <w:tc>
          <w:tcPr>
            <w:tcW w:w="1701" w:type="dxa"/>
            <w:tcBorders>
              <w:left w:val="single" w:sz="4" w:space="0" w:color="FFFFFF"/>
            </w:tcBorders>
            <w:shd w:val="clear" w:color="auto" w:fill="auto"/>
            <w:vAlign w:val="center"/>
          </w:tcPr>
          <w:p w14:paraId="33AD0FCA" w14:textId="537DBE52" w:rsidR="005B7C0F" w:rsidRPr="00477692" w:rsidRDefault="005567D1" w:rsidP="0042706A">
            <w:pPr>
              <w:autoSpaceDE w:val="0"/>
              <w:autoSpaceDN w:val="0"/>
              <w:adjustRightInd w:val="0"/>
              <w:jc w:val="center"/>
              <w:rPr>
                <w:color w:val="000000"/>
                <w:sz w:val="18"/>
                <w:szCs w:val="18"/>
              </w:rPr>
            </w:pPr>
            <w:r>
              <w:rPr>
                <w:color w:val="000000"/>
                <w:sz w:val="18"/>
                <w:szCs w:val="18"/>
              </w:rPr>
              <w:t>24</w:t>
            </w:r>
          </w:p>
        </w:tc>
        <w:tc>
          <w:tcPr>
            <w:tcW w:w="1984" w:type="dxa"/>
            <w:tcBorders>
              <w:left w:val="single" w:sz="4" w:space="0" w:color="FFFFFF"/>
            </w:tcBorders>
            <w:shd w:val="clear" w:color="auto" w:fill="auto"/>
            <w:vAlign w:val="center"/>
          </w:tcPr>
          <w:p w14:paraId="11439320" w14:textId="5438E7D8" w:rsidR="005B7C0F" w:rsidRPr="00477692" w:rsidRDefault="005567D1" w:rsidP="0042706A">
            <w:pPr>
              <w:autoSpaceDE w:val="0"/>
              <w:autoSpaceDN w:val="0"/>
              <w:adjustRightInd w:val="0"/>
              <w:jc w:val="right"/>
              <w:rPr>
                <w:color w:val="000000"/>
                <w:sz w:val="18"/>
                <w:szCs w:val="18"/>
              </w:rPr>
            </w:pPr>
            <w:r w:rsidRPr="005567D1">
              <w:rPr>
                <w:color w:val="000000"/>
                <w:sz w:val="18"/>
                <w:szCs w:val="18"/>
              </w:rPr>
              <w:t>26 204 837,31 zł</w:t>
            </w:r>
          </w:p>
        </w:tc>
      </w:tr>
      <w:tr w:rsidR="005B7C0F" w:rsidRPr="00477692" w14:paraId="38D552A7" w14:textId="77777777" w:rsidTr="0042706A">
        <w:tc>
          <w:tcPr>
            <w:tcW w:w="2240" w:type="dxa"/>
            <w:tcBorders>
              <w:right w:val="single" w:sz="4" w:space="0" w:color="FFFFFF"/>
            </w:tcBorders>
            <w:shd w:val="clear" w:color="auto" w:fill="00B0F0"/>
            <w:vAlign w:val="center"/>
          </w:tcPr>
          <w:p w14:paraId="27AA6751" w14:textId="77777777" w:rsidR="005B7C0F" w:rsidRPr="00477692" w:rsidRDefault="005B7C0F" w:rsidP="0042706A">
            <w:pPr>
              <w:spacing w:before="60" w:after="60"/>
              <w:jc w:val="left"/>
              <w:rPr>
                <w:sz w:val="18"/>
                <w:szCs w:val="18"/>
              </w:rPr>
            </w:pPr>
            <w:r w:rsidRPr="00477692">
              <w:rPr>
                <w:sz w:val="18"/>
                <w:szCs w:val="18"/>
              </w:rPr>
              <w:t>pkt 14</w:t>
            </w:r>
          </w:p>
        </w:tc>
        <w:tc>
          <w:tcPr>
            <w:tcW w:w="1701" w:type="dxa"/>
            <w:tcBorders>
              <w:left w:val="single" w:sz="4" w:space="0" w:color="FFFFFF"/>
            </w:tcBorders>
            <w:shd w:val="clear" w:color="auto" w:fill="00B0F0"/>
            <w:vAlign w:val="center"/>
          </w:tcPr>
          <w:p w14:paraId="4F4A6125" w14:textId="3F9B278C" w:rsidR="005B7C0F" w:rsidRPr="00477692" w:rsidRDefault="009D006D" w:rsidP="0042706A">
            <w:pPr>
              <w:autoSpaceDE w:val="0"/>
              <w:autoSpaceDN w:val="0"/>
              <w:adjustRightInd w:val="0"/>
              <w:jc w:val="center"/>
              <w:rPr>
                <w:color w:val="000000"/>
                <w:sz w:val="18"/>
                <w:szCs w:val="18"/>
              </w:rPr>
            </w:pPr>
            <w:r>
              <w:rPr>
                <w:color w:val="000000"/>
                <w:sz w:val="18"/>
                <w:szCs w:val="18"/>
              </w:rPr>
              <w:t>3</w:t>
            </w:r>
          </w:p>
        </w:tc>
        <w:tc>
          <w:tcPr>
            <w:tcW w:w="1984" w:type="dxa"/>
            <w:tcBorders>
              <w:left w:val="single" w:sz="4" w:space="0" w:color="FFFFFF"/>
            </w:tcBorders>
            <w:shd w:val="clear" w:color="auto" w:fill="00B0F0"/>
            <w:vAlign w:val="center"/>
          </w:tcPr>
          <w:p w14:paraId="737DB6A8" w14:textId="62F0A074" w:rsidR="005B7C0F" w:rsidRPr="00477692" w:rsidRDefault="009D006D" w:rsidP="0042706A">
            <w:pPr>
              <w:autoSpaceDE w:val="0"/>
              <w:autoSpaceDN w:val="0"/>
              <w:adjustRightInd w:val="0"/>
              <w:jc w:val="right"/>
              <w:rPr>
                <w:color w:val="000000"/>
                <w:sz w:val="18"/>
                <w:szCs w:val="18"/>
              </w:rPr>
            </w:pPr>
            <w:r w:rsidRPr="009D006D">
              <w:rPr>
                <w:color w:val="000000"/>
                <w:sz w:val="18"/>
                <w:szCs w:val="18"/>
              </w:rPr>
              <w:t>728 410,16 zł</w:t>
            </w:r>
          </w:p>
        </w:tc>
      </w:tr>
      <w:tr w:rsidR="005B7C0F" w:rsidRPr="00477692" w14:paraId="140D885D" w14:textId="77777777" w:rsidTr="0042706A">
        <w:tc>
          <w:tcPr>
            <w:tcW w:w="2240" w:type="dxa"/>
            <w:tcBorders>
              <w:right w:val="single" w:sz="4" w:space="0" w:color="FFFFFF"/>
            </w:tcBorders>
            <w:shd w:val="clear" w:color="auto" w:fill="auto"/>
            <w:vAlign w:val="center"/>
          </w:tcPr>
          <w:p w14:paraId="6AD0A1D0" w14:textId="77777777" w:rsidR="005B7C0F" w:rsidRPr="00477692" w:rsidRDefault="005B7C0F" w:rsidP="0042706A">
            <w:pPr>
              <w:spacing w:before="60" w:after="60"/>
              <w:jc w:val="center"/>
              <w:rPr>
                <w:b/>
                <w:sz w:val="18"/>
                <w:szCs w:val="18"/>
              </w:rPr>
            </w:pPr>
            <w:r w:rsidRPr="00477692">
              <w:rPr>
                <w:b/>
                <w:sz w:val="18"/>
                <w:szCs w:val="18"/>
              </w:rPr>
              <w:t>Razem</w:t>
            </w:r>
          </w:p>
        </w:tc>
        <w:tc>
          <w:tcPr>
            <w:tcW w:w="1701" w:type="dxa"/>
            <w:tcBorders>
              <w:left w:val="single" w:sz="4" w:space="0" w:color="FFFFFF"/>
            </w:tcBorders>
            <w:shd w:val="clear" w:color="auto" w:fill="auto"/>
            <w:vAlign w:val="center"/>
          </w:tcPr>
          <w:p w14:paraId="60DC9DE6" w14:textId="1976FB50" w:rsidR="005B7C0F" w:rsidRPr="00477692" w:rsidRDefault="005E0B5C" w:rsidP="0042706A">
            <w:pPr>
              <w:autoSpaceDE w:val="0"/>
              <w:autoSpaceDN w:val="0"/>
              <w:adjustRightInd w:val="0"/>
              <w:jc w:val="center"/>
              <w:rPr>
                <w:b/>
                <w:color w:val="000000"/>
                <w:sz w:val="18"/>
                <w:szCs w:val="18"/>
              </w:rPr>
            </w:pPr>
            <w:r>
              <w:rPr>
                <w:b/>
                <w:color w:val="000000"/>
                <w:sz w:val="18"/>
                <w:szCs w:val="18"/>
              </w:rPr>
              <w:t>215</w:t>
            </w:r>
          </w:p>
        </w:tc>
        <w:tc>
          <w:tcPr>
            <w:tcW w:w="1984" w:type="dxa"/>
            <w:tcBorders>
              <w:left w:val="single" w:sz="4" w:space="0" w:color="FFFFFF"/>
            </w:tcBorders>
            <w:shd w:val="clear" w:color="auto" w:fill="auto"/>
            <w:vAlign w:val="center"/>
          </w:tcPr>
          <w:p w14:paraId="0AA26BC8" w14:textId="744268E3" w:rsidR="005B7C0F" w:rsidRPr="00477692" w:rsidRDefault="005E0B5C" w:rsidP="0042706A">
            <w:pPr>
              <w:autoSpaceDE w:val="0"/>
              <w:autoSpaceDN w:val="0"/>
              <w:adjustRightInd w:val="0"/>
              <w:jc w:val="right"/>
              <w:rPr>
                <w:b/>
                <w:color w:val="000000"/>
                <w:sz w:val="18"/>
                <w:szCs w:val="18"/>
              </w:rPr>
            </w:pPr>
            <w:r w:rsidRPr="005E0B5C">
              <w:rPr>
                <w:b/>
                <w:color w:val="000000"/>
                <w:sz w:val="18"/>
                <w:szCs w:val="18"/>
              </w:rPr>
              <w:t>2 084 980 222,59 zł</w:t>
            </w:r>
          </w:p>
        </w:tc>
      </w:tr>
    </w:tbl>
    <w:p w14:paraId="66350DCE" w14:textId="77777777" w:rsidR="005B7C0F" w:rsidRDefault="005B7C0F" w:rsidP="005B7C0F">
      <w:pPr>
        <w:rPr>
          <w:szCs w:val="22"/>
        </w:rPr>
      </w:pPr>
    </w:p>
    <w:p w14:paraId="7929078B" w14:textId="22D9F5AB" w:rsidR="008249C6" w:rsidRDefault="008249C6" w:rsidP="008249C6">
      <w:pPr>
        <w:rPr>
          <w:szCs w:val="22"/>
        </w:rPr>
      </w:pPr>
      <w:r>
        <w:rPr>
          <w:szCs w:val="22"/>
        </w:rPr>
        <w:t xml:space="preserve">Zdecydowana większość wykazanych powyżej zamówień dotyczyła usług – aż 99% postępowań, pozostałe 1% to postępowania na roboty budowlane. Zamawiający nie wykazali zamówień na dostawy. </w:t>
      </w:r>
    </w:p>
    <w:p w14:paraId="36136638" w14:textId="57506EDE" w:rsidR="008249C6" w:rsidRDefault="008249C6" w:rsidP="008249C6">
      <w:pPr>
        <w:rPr>
          <w:szCs w:val="22"/>
        </w:rPr>
      </w:pPr>
    </w:p>
    <w:p w14:paraId="43BA27BE" w14:textId="77777777" w:rsidR="00E70A72" w:rsidRDefault="00E70A72" w:rsidP="008249C6">
      <w:pPr>
        <w:rPr>
          <w:szCs w:val="22"/>
        </w:rPr>
      </w:pPr>
    </w:p>
    <w:p w14:paraId="21453C9A" w14:textId="6DD054FA" w:rsidR="008249C6" w:rsidRPr="00BF630D" w:rsidRDefault="008249C6" w:rsidP="008249C6">
      <w:pPr>
        <w:rPr>
          <w:szCs w:val="22"/>
        </w:rPr>
      </w:pPr>
      <w:r w:rsidRPr="00BF630D">
        <w:rPr>
          <w:szCs w:val="22"/>
        </w:rPr>
        <w:t xml:space="preserve">Zamówienia na usługi udzielane w formule in-house dotyczyły, podobnie jak w latach ubiegłych, przede wszystkim </w:t>
      </w:r>
      <w:r w:rsidR="00CB7EB7">
        <w:rPr>
          <w:szCs w:val="22"/>
        </w:rPr>
        <w:t>usług</w:t>
      </w:r>
      <w:r w:rsidR="00CB7EB7" w:rsidRPr="00CB7EB7">
        <w:rPr>
          <w:szCs w:val="22"/>
        </w:rPr>
        <w:t xml:space="preserve"> odbioru ścieków, usuwania odpadów, czyszczenia/sprzątania i usług ekologiczn</w:t>
      </w:r>
      <w:r w:rsidR="00CB7EB7">
        <w:rPr>
          <w:szCs w:val="22"/>
        </w:rPr>
        <w:t>ych</w:t>
      </w:r>
      <w:r w:rsidRPr="00BF630D">
        <w:rPr>
          <w:szCs w:val="22"/>
        </w:rPr>
        <w:t xml:space="preserve">. </w:t>
      </w:r>
      <w:r w:rsidR="00CB7EB7">
        <w:rPr>
          <w:szCs w:val="22"/>
        </w:rPr>
        <w:t>Z</w:t>
      </w:r>
      <w:r w:rsidRPr="00BF630D">
        <w:rPr>
          <w:szCs w:val="22"/>
        </w:rPr>
        <w:t>amawiano usługi utrzymania czystości i porządku na ulicach i chodnikach miast</w:t>
      </w:r>
      <w:r>
        <w:rPr>
          <w:szCs w:val="22"/>
        </w:rPr>
        <w:t>,</w:t>
      </w:r>
      <w:r w:rsidRPr="00BF630D">
        <w:rPr>
          <w:szCs w:val="22"/>
        </w:rPr>
        <w:t xml:space="preserve"> </w:t>
      </w:r>
      <w:r w:rsidR="0062007B">
        <w:rPr>
          <w:szCs w:val="22"/>
        </w:rPr>
        <w:t>u</w:t>
      </w:r>
      <w:r w:rsidR="0062007B" w:rsidRPr="0062007B">
        <w:rPr>
          <w:szCs w:val="22"/>
        </w:rPr>
        <w:t>sługi sadzenia roślin oraz utrzymania terenów zielonych</w:t>
      </w:r>
      <w:r w:rsidR="0062007B">
        <w:rPr>
          <w:szCs w:val="22"/>
        </w:rPr>
        <w:t xml:space="preserve"> </w:t>
      </w:r>
      <w:r w:rsidRPr="00BF630D">
        <w:rPr>
          <w:szCs w:val="22"/>
        </w:rPr>
        <w:t>czy usługi zimowego utrzymania dróg. Zlecano również zarządzanie nieruchomościami i utrzymanie infrastruktury czy też kompleksowe usługi oświetlenia ulicznego.</w:t>
      </w:r>
      <w:r>
        <w:rPr>
          <w:szCs w:val="22"/>
        </w:rPr>
        <w:t xml:space="preserve"> W ramach tych zamówień zlecano także usługi </w:t>
      </w:r>
      <w:r w:rsidR="0062007B">
        <w:rPr>
          <w:szCs w:val="22"/>
        </w:rPr>
        <w:t>przewozu osób czy też dowozu</w:t>
      </w:r>
      <w:r>
        <w:rPr>
          <w:szCs w:val="22"/>
        </w:rPr>
        <w:t xml:space="preserve"> uczniów.</w:t>
      </w:r>
    </w:p>
    <w:p w14:paraId="783293A5" w14:textId="77777777" w:rsidR="008249C6" w:rsidRPr="00BF630D" w:rsidRDefault="008249C6" w:rsidP="008249C6">
      <w:pPr>
        <w:rPr>
          <w:szCs w:val="22"/>
        </w:rPr>
      </w:pPr>
      <w:r w:rsidRPr="00BF630D">
        <w:rPr>
          <w:szCs w:val="22"/>
        </w:rPr>
        <w:t>W przypadku robót budowlanych przedmiotem zamówienia były remonty bieżące dróg, torowisk czy chodników</w:t>
      </w:r>
      <w:r>
        <w:rPr>
          <w:szCs w:val="22"/>
        </w:rPr>
        <w:t>,</w:t>
      </w:r>
      <w:r w:rsidRPr="00BF630D">
        <w:rPr>
          <w:szCs w:val="22"/>
        </w:rPr>
        <w:t xml:space="preserve"> remonty budynków</w:t>
      </w:r>
      <w:r>
        <w:rPr>
          <w:szCs w:val="22"/>
        </w:rPr>
        <w:t>,</w:t>
      </w:r>
      <w:r w:rsidRPr="00BF630D">
        <w:rPr>
          <w:szCs w:val="22"/>
        </w:rPr>
        <w:t xml:space="preserve"> przebudowy i budowy infrastruktury wodno-kanalizacyjnej, a także przebudowy i budowy dróg, ulic i budynków.</w:t>
      </w:r>
    </w:p>
    <w:p w14:paraId="47570785" w14:textId="77777777" w:rsidR="008249C6" w:rsidRDefault="008249C6" w:rsidP="008249C6">
      <w:pPr>
        <w:rPr>
          <w:szCs w:val="22"/>
        </w:rPr>
      </w:pPr>
      <w:r w:rsidRPr="00BF630D">
        <w:rPr>
          <w:szCs w:val="22"/>
        </w:rPr>
        <w:t xml:space="preserve">W ramach dostaw zlecano zakup </w:t>
      </w:r>
      <w:r>
        <w:rPr>
          <w:szCs w:val="22"/>
        </w:rPr>
        <w:t>wiat przystankowych; materiałów budowlanych (np. kruszywa); nowych źródeł ogrzewania (pieców); urządzeń do modernizowanej infrastruktury sieciowej.</w:t>
      </w:r>
    </w:p>
    <w:p w14:paraId="70C8466A" w14:textId="77777777" w:rsidR="008249C6" w:rsidRDefault="008249C6" w:rsidP="008249C6">
      <w:pPr>
        <w:rPr>
          <w:szCs w:val="22"/>
        </w:rPr>
      </w:pPr>
    </w:p>
    <w:p w14:paraId="4E424D30" w14:textId="7F64E756" w:rsidR="008249C6" w:rsidRDefault="008249C6" w:rsidP="008249C6">
      <w:pPr>
        <w:rPr>
          <w:szCs w:val="22"/>
        </w:rPr>
      </w:pPr>
      <w:r w:rsidRPr="00BF630D">
        <w:rPr>
          <w:szCs w:val="22"/>
        </w:rPr>
        <w:t>W przeważającej więks</w:t>
      </w:r>
      <w:r>
        <w:rPr>
          <w:szCs w:val="22"/>
        </w:rPr>
        <w:t>zości formułę in-house stosowały</w:t>
      </w:r>
      <w:r w:rsidRPr="00BF630D">
        <w:rPr>
          <w:szCs w:val="22"/>
        </w:rPr>
        <w:t xml:space="preserve"> </w:t>
      </w:r>
      <w:r>
        <w:rPr>
          <w:szCs w:val="22"/>
        </w:rPr>
        <w:t>jednostki</w:t>
      </w:r>
      <w:r w:rsidRPr="00D859CC">
        <w:rPr>
          <w:szCs w:val="22"/>
        </w:rPr>
        <w:t xml:space="preserve"> samorządu terytorialnego</w:t>
      </w:r>
      <w:r>
        <w:rPr>
          <w:szCs w:val="22"/>
        </w:rPr>
        <w:t xml:space="preserve"> </w:t>
      </w:r>
      <w:r w:rsidRPr="00BF630D">
        <w:rPr>
          <w:szCs w:val="22"/>
        </w:rPr>
        <w:t xml:space="preserve">– </w:t>
      </w:r>
      <w:r>
        <w:rPr>
          <w:szCs w:val="22"/>
        </w:rPr>
        <w:t>ok. 95</w:t>
      </w:r>
      <w:r w:rsidRPr="00BF630D">
        <w:rPr>
          <w:szCs w:val="22"/>
        </w:rPr>
        <w:t>% udzielonych zamówień</w:t>
      </w:r>
      <w:r>
        <w:rPr>
          <w:szCs w:val="22"/>
        </w:rPr>
        <w:t>. Pozostałe 5</w:t>
      </w:r>
      <w:r w:rsidRPr="00BF630D">
        <w:rPr>
          <w:szCs w:val="22"/>
        </w:rPr>
        <w:t xml:space="preserve">% tego typu zamówień udzielone zostało przez </w:t>
      </w:r>
      <w:r>
        <w:rPr>
          <w:szCs w:val="22"/>
        </w:rPr>
        <w:t xml:space="preserve">organy administracji rządowej, </w:t>
      </w:r>
      <w:r w:rsidRPr="00BF630D">
        <w:rPr>
          <w:szCs w:val="22"/>
        </w:rPr>
        <w:t>zamawiających określających się jako podmiot prawa publicznego</w:t>
      </w:r>
      <w:r w:rsidR="00B81331">
        <w:rPr>
          <w:szCs w:val="22"/>
        </w:rPr>
        <w:t xml:space="preserve">, zamawiających udzielających zamówień sektorowych </w:t>
      </w:r>
      <w:r>
        <w:rPr>
          <w:szCs w:val="22"/>
        </w:rPr>
        <w:t>oraz inny</w:t>
      </w:r>
      <w:r w:rsidRPr="00BF630D">
        <w:rPr>
          <w:szCs w:val="22"/>
        </w:rPr>
        <w:t>.</w:t>
      </w:r>
    </w:p>
    <w:p w14:paraId="71E93591" w14:textId="72FF1B28" w:rsidR="00EE1262" w:rsidRDefault="00EE1262" w:rsidP="00D85E17"/>
    <w:p w14:paraId="3FC1AF8A" w14:textId="4468E852" w:rsidR="00921C6C" w:rsidRDefault="00921C6C" w:rsidP="00D85E17"/>
    <w:tbl>
      <w:tblPr>
        <w:tblW w:w="0" w:type="auto"/>
        <w:tblInd w:w="374" w:type="dxa"/>
        <w:tblLayout w:type="fixed"/>
        <w:tblLook w:val="04A0" w:firstRow="1" w:lastRow="0" w:firstColumn="1" w:lastColumn="0" w:noHBand="0" w:noVBand="1"/>
      </w:tblPr>
      <w:tblGrid>
        <w:gridCol w:w="236"/>
        <w:gridCol w:w="8676"/>
      </w:tblGrid>
      <w:tr w:rsidR="00C57769" w:rsidRPr="001E7D51" w14:paraId="58E400C9" w14:textId="77777777" w:rsidTr="00655E15">
        <w:trPr>
          <w:cantSplit/>
        </w:trPr>
        <w:tc>
          <w:tcPr>
            <w:tcW w:w="236" w:type="dxa"/>
            <w:shd w:val="clear" w:color="auto" w:fill="B8CCE4"/>
          </w:tcPr>
          <w:p w14:paraId="56DF44E9" w14:textId="77777777" w:rsidR="00C57769" w:rsidRPr="001E7D51" w:rsidRDefault="00C57769" w:rsidP="00655E15">
            <w:pPr>
              <w:rPr>
                <w:sz w:val="24"/>
              </w:rPr>
            </w:pPr>
          </w:p>
        </w:tc>
        <w:tc>
          <w:tcPr>
            <w:tcW w:w="8676" w:type="dxa"/>
          </w:tcPr>
          <w:p w14:paraId="4E637749" w14:textId="26A57A51" w:rsidR="00C57769" w:rsidRPr="0034399A" w:rsidRDefault="00C57769" w:rsidP="00F72ABF">
            <w:pPr>
              <w:pStyle w:val="Nagwek3"/>
              <w:shd w:val="clear" w:color="auto" w:fill="FFFFFF"/>
              <w:spacing w:after="120"/>
              <w:ind w:left="680" w:hanging="680"/>
              <w:rPr>
                <w:color w:val="0070C0"/>
                <w:sz w:val="24"/>
                <w:szCs w:val="24"/>
              </w:rPr>
            </w:pPr>
            <w:bookmarkStart w:id="73" w:name="_Toc141276435"/>
            <w:r w:rsidRPr="0034399A">
              <w:rPr>
                <w:color w:val="0070C0"/>
                <w:sz w:val="24"/>
                <w:szCs w:val="24"/>
              </w:rPr>
              <w:t xml:space="preserve">II.1.8. </w:t>
            </w:r>
            <w:r w:rsidR="00F72ABF" w:rsidRPr="0034399A">
              <w:rPr>
                <w:color w:val="0070C0"/>
                <w:sz w:val="24"/>
                <w:szCs w:val="24"/>
              </w:rPr>
              <w:t>Zamówienia udzielane na podstawie wyłączeń stosowania ustawy Pzp określonych w innych ustawach</w:t>
            </w:r>
            <w:bookmarkEnd w:id="73"/>
          </w:p>
        </w:tc>
      </w:tr>
    </w:tbl>
    <w:p w14:paraId="16EB7427" w14:textId="151A4AA4" w:rsidR="00C57769" w:rsidRDefault="00C57769" w:rsidP="00D85E17"/>
    <w:p w14:paraId="5E009068" w14:textId="442178BF" w:rsidR="00A522F3" w:rsidRPr="00A522F3" w:rsidRDefault="00A522F3" w:rsidP="00E16264">
      <w:pPr>
        <w:pStyle w:val="Akapitzlist"/>
        <w:numPr>
          <w:ilvl w:val="0"/>
          <w:numId w:val="17"/>
        </w:numPr>
        <w:rPr>
          <w:b/>
          <w:color w:val="0070C0"/>
          <w:sz w:val="22"/>
          <w:szCs w:val="22"/>
          <w:lang w:val="pl-PL"/>
        </w:rPr>
      </w:pPr>
      <w:r w:rsidRPr="00A522F3">
        <w:rPr>
          <w:b/>
          <w:color w:val="0070C0"/>
          <w:sz w:val="22"/>
          <w:szCs w:val="22"/>
          <w:lang w:val="pl-PL"/>
        </w:rPr>
        <w:t>Zamówienia związane z przeciwdziałaniem COVID-19</w:t>
      </w:r>
    </w:p>
    <w:p w14:paraId="62308556" w14:textId="532203F6" w:rsidR="00047B39" w:rsidRDefault="00047B39" w:rsidP="00DD11CB"/>
    <w:p w14:paraId="0EDB8286" w14:textId="1CE0FF3A" w:rsidR="005D3F2C" w:rsidRDefault="005D3F2C" w:rsidP="005D3F2C">
      <w:r>
        <w:t>W 2022 r. nadal obowiązywały przepisy dotyczące</w:t>
      </w:r>
      <w:r w:rsidRPr="00AE5F86">
        <w:t xml:space="preserve"> przeciwdziałani</w:t>
      </w:r>
      <w:r>
        <w:t>a</w:t>
      </w:r>
      <w:r w:rsidRPr="00AE5F86">
        <w:t xml:space="preserve"> sytuacjom kryzysowym związanym z wystąpieniem COVID-19</w:t>
      </w:r>
      <w:r>
        <w:t xml:space="preserve"> zwalniające</w:t>
      </w:r>
      <w:r w:rsidRPr="00AE5F86">
        <w:t xml:space="preserve"> ze stosowania przepisów ustawy Pzp udzielanie zamówień, których przedmiotem były towary lub usługi niezbędne do przeciwdziałania COVID-19, jeżeli zachodziło wysokie prawdopodobieństwo szybkiego i niekontrolowanego rozprzestrzeniania się choroby lub jeżeli wymagała tego ochrona zdrowia publicznego</w:t>
      </w:r>
      <w:r>
        <w:t xml:space="preserve"> oraz </w:t>
      </w:r>
      <w:r w:rsidRPr="00AE5F86">
        <w:t>zobowiąz</w:t>
      </w:r>
      <w:r>
        <w:t>ujące</w:t>
      </w:r>
      <w:r w:rsidRPr="00AE5F86">
        <w:t xml:space="preserve"> zamawiających do zamieszczenia w B</w:t>
      </w:r>
      <w:r>
        <w:t xml:space="preserve">iuletynie </w:t>
      </w:r>
      <w:r w:rsidRPr="00AE5F86">
        <w:t>Z</w:t>
      </w:r>
      <w:r>
        <w:t xml:space="preserve">amówień </w:t>
      </w:r>
      <w:r w:rsidRPr="00AE5F86">
        <w:t>P</w:t>
      </w:r>
      <w:r>
        <w:t>ublicznych</w:t>
      </w:r>
      <w:r w:rsidRPr="00AE5F86">
        <w:t>, w terminie 7 dni od dnia udzielenia powyżej opisanego zamówienia, ogłoszenia o udzieleniu przedmiotowego zamówienia.</w:t>
      </w:r>
      <w:r>
        <w:rPr>
          <w:rStyle w:val="Odwoanieprzypisudolnego"/>
        </w:rPr>
        <w:footnoteReference w:id="7"/>
      </w:r>
    </w:p>
    <w:p w14:paraId="5A0F31F4" w14:textId="13FC3BE7" w:rsidR="00AE5F86" w:rsidRDefault="00AE5F86" w:rsidP="00DD11CB"/>
    <w:p w14:paraId="7B9343EE" w14:textId="3AD97CA2" w:rsidR="00611F16" w:rsidRDefault="00632E4F" w:rsidP="000F2E5C">
      <w:r>
        <w:t>Z</w:t>
      </w:r>
      <w:r w:rsidR="000F2E5C">
        <w:t xml:space="preserve"> danych zawartych w BZP</w:t>
      </w:r>
      <w:r w:rsidRPr="00632E4F">
        <w:t xml:space="preserve"> </w:t>
      </w:r>
      <w:r>
        <w:t>wynika</w:t>
      </w:r>
      <w:r w:rsidR="000F2E5C">
        <w:t>,</w:t>
      </w:r>
      <w:r>
        <w:t xml:space="preserve"> </w:t>
      </w:r>
      <w:r w:rsidR="00FE187B">
        <w:t>że</w:t>
      </w:r>
      <w:r w:rsidR="000F2E5C">
        <w:t xml:space="preserve"> w 2022 r. opublikowano 1</w:t>
      </w:r>
      <w:r w:rsidR="00055573">
        <w:t> </w:t>
      </w:r>
      <w:r w:rsidR="000F2E5C">
        <w:t>014</w:t>
      </w:r>
      <w:r w:rsidR="00055573">
        <w:t xml:space="preserve"> </w:t>
      </w:r>
      <w:r w:rsidR="000F2E5C">
        <w:t>ogłoszeń informujących</w:t>
      </w:r>
      <w:r w:rsidR="000F2E5C" w:rsidRPr="000F2E5C">
        <w:t xml:space="preserve"> o udzieleniu zamówienia z wykorzystaniem wyłącze</w:t>
      </w:r>
      <w:r w:rsidR="000F2E5C">
        <w:t>ń</w:t>
      </w:r>
      <w:r w:rsidR="000F2E5C" w:rsidRPr="000F2E5C">
        <w:t xml:space="preserve"> stosowania ustawy Pzp określon</w:t>
      </w:r>
      <w:r w:rsidR="000F2E5C">
        <w:t>ych</w:t>
      </w:r>
      <w:r w:rsidR="000F2E5C" w:rsidRPr="000F2E5C">
        <w:t xml:space="preserve"> w ustawie o szczególnych rozwiązaniach związanych z zapobieganiem, przeciwdziałaniem i zwalczaniem COVID 19, innych chorób zakaźnych oraz wywołanych nimi sytuacji kryzysowych.</w:t>
      </w:r>
      <w:r w:rsidR="000F2E5C">
        <w:t xml:space="preserve"> </w:t>
      </w:r>
    </w:p>
    <w:p w14:paraId="1FCA64CD" w14:textId="213B50B0" w:rsidR="000F2E5C" w:rsidRDefault="000F2E5C" w:rsidP="000F2E5C">
      <w:r>
        <w:t xml:space="preserve">Najwięcej takich zamówień </w:t>
      </w:r>
      <w:r w:rsidRPr="000F2E5C">
        <w:t xml:space="preserve">dotyczyło dostaw – </w:t>
      </w:r>
      <w:r w:rsidR="00CB1F2D">
        <w:t>856</w:t>
      </w:r>
      <w:r w:rsidRPr="000F2E5C">
        <w:t xml:space="preserve"> ogłoszeń (8</w:t>
      </w:r>
      <w:r w:rsidR="00CB1F2D">
        <w:t>4</w:t>
      </w:r>
      <w:r w:rsidRPr="000F2E5C">
        <w:t>%</w:t>
      </w:r>
      <w:r w:rsidR="002B1749">
        <w:t>;</w:t>
      </w:r>
      <w:r w:rsidRPr="000F2E5C">
        <w:t xml:space="preserve"> w 202</w:t>
      </w:r>
      <w:r>
        <w:t>1</w:t>
      </w:r>
      <w:r w:rsidRPr="000F2E5C">
        <w:t xml:space="preserve"> r. 8</w:t>
      </w:r>
      <w:r>
        <w:t>5</w:t>
      </w:r>
      <w:r w:rsidRPr="000F2E5C">
        <w:t xml:space="preserve">%), następnie usług – </w:t>
      </w:r>
      <w:r w:rsidR="00CB1F2D">
        <w:t>128</w:t>
      </w:r>
      <w:r w:rsidRPr="000F2E5C">
        <w:t xml:space="preserve"> ogłoszeń (1</w:t>
      </w:r>
      <w:r w:rsidR="00CB1F2D">
        <w:t>3</w:t>
      </w:r>
      <w:r w:rsidRPr="000F2E5C">
        <w:t>%</w:t>
      </w:r>
      <w:r w:rsidR="002B1749">
        <w:t>;</w:t>
      </w:r>
      <w:r w:rsidRPr="000F2E5C">
        <w:t xml:space="preserve"> w 202</w:t>
      </w:r>
      <w:r w:rsidR="00CB1F2D">
        <w:t>1</w:t>
      </w:r>
      <w:r w:rsidRPr="000F2E5C">
        <w:t xml:space="preserve"> r. 1</w:t>
      </w:r>
      <w:r w:rsidR="00CB1F2D">
        <w:t>1</w:t>
      </w:r>
      <w:r w:rsidRPr="000F2E5C">
        <w:t>%) oraz robó</w:t>
      </w:r>
      <w:r w:rsidR="002B1749">
        <w:t>t budowlanych – 21 ogłoszeń (2%;</w:t>
      </w:r>
      <w:r w:rsidRPr="000F2E5C">
        <w:t xml:space="preserve"> w 202</w:t>
      </w:r>
      <w:r w:rsidR="002B1749">
        <w:t>1</w:t>
      </w:r>
      <w:r w:rsidRPr="000F2E5C">
        <w:t xml:space="preserve"> r. </w:t>
      </w:r>
      <w:r w:rsidR="002B1749">
        <w:t>1</w:t>
      </w:r>
      <w:r w:rsidRPr="000F2E5C">
        <w:t>%). W 9 ogłoszeniach (</w:t>
      </w:r>
      <w:r w:rsidR="007E12F8">
        <w:t>1</w:t>
      </w:r>
      <w:r w:rsidRPr="000F2E5C">
        <w:t>%</w:t>
      </w:r>
      <w:r w:rsidR="0060614E">
        <w:t>; w 2021 r. 3%</w:t>
      </w:r>
      <w:r w:rsidRPr="000F2E5C">
        <w:t>) nie podano rodzaju zamówienia.</w:t>
      </w:r>
    </w:p>
    <w:p w14:paraId="17451716" w14:textId="7533925A" w:rsidR="00047B39" w:rsidRDefault="00047B39" w:rsidP="00DD11CB"/>
    <w:p w14:paraId="7681B13C" w14:textId="7DE3E04A" w:rsidR="001A738E" w:rsidRDefault="001A738E" w:rsidP="00741469">
      <w:pPr>
        <w:pStyle w:val="Legenda"/>
      </w:pPr>
      <w:bookmarkStart w:id="74" w:name="_Toc141276486"/>
      <w:r w:rsidRPr="00BD3FF3">
        <w:t xml:space="preserve">Rys. </w:t>
      </w:r>
      <w:r w:rsidR="00BE2079">
        <w:fldChar w:fldCharType="begin"/>
      </w:r>
      <w:r w:rsidR="00BE2079">
        <w:instrText xml:space="preserve"> SEQ Rys. \* ARABIC </w:instrText>
      </w:r>
      <w:r w:rsidR="00BE2079">
        <w:fldChar w:fldCharType="separate"/>
      </w:r>
      <w:r w:rsidR="00A43C68">
        <w:rPr>
          <w:noProof/>
        </w:rPr>
        <w:t>8</w:t>
      </w:r>
      <w:r w:rsidR="00BE2079">
        <w:rPr>
          <w:noProof/>
        </w:rPr>
        <w:fldChar w:fldCharType="end"/>
      </w:r>
      <w:r w:rsidRPr="00BD3FF3">
        <w:t xml:space="preserve">. </w:t>
      </w:r>
      <w:r w:rsidR="003E493D" w:rsidRPr="00BD3FF3">
        <w:t>Struktura ogłoszeń dot. wyłączeń stosowania u</w:t>
      </w:r>
      <w:r w:rsidR="00BD3FF3">
        <w:t xml:space="preserve">stawy Pzp związanych z COVID-19 </w:t>
      </w:r>
      <w:r w:rsidR="00741469">
        <w:t>opublikowanych w </w:t>
      </w:r>
      <w:r w:rsidR="003E493D" w:rsidRPr="00BD3FF3">
        <w:t>BZP</w:t>
      </w:r>
      <w:r w:rsidR="003E493D" w:rsidRPr="00DB513D">
        <w:t xml:space="preserve"> w 202</w:t>
      </w:r>
      <w:r w:rsidR="00BD3FF3">
        <w:t>2</w:t>
      </w:r>
      <w:r w:rsidR="003E493D" w:rsidRPr="00DB513D">
        <w:t xml:space="preserve"> r.</w:t>
      </w:r>
      <w:bookmarkEnd w:id="74"/>
    </w:p>
    <w:p w14:paraId="4CA02297" w14:textId="17CC105C" w:rsidR="001A738E" w:rsidRDefault="00BD3FF3" w:rsidP="00E41585">
      <w:pPr>
        <w:jc w:val="center"/>
      </w:pPr>
      <w:r>
        <w:rPr>
          <w:noProof/>
        </w:rPr>
        <w:drawing>
          <wp:inline distT="0" distB="0" distL="0" distR="0" wp14:anchorId="0A9C5525" wp14:editId="3BAAE266">
            <wp:extent cx="4572000" cy="27432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6FD5C55" w14:textId="45694085" w:rsidR="003E493D" w:rsidRDefault="003E493D" w:rsidP="00DD11CB"/>
    <w:p w14:paraId="71DCFDAA" w14:textId="77777777" w:rsidR="00986497" w:rsidRDefault="00986497" w:rsidP="00DD11CB"/>
    <w:p w14:paraId="6164054B" w14:textId="7C4D6CD7" w:rsidR="00F30314" w:rsidRDefault="00597F63" w:rsidP="00DD11CB">
      <w:r w:rsidRPr="00447E0D">
        <w:t xml:space="preserve">Jak wynika z treści ogłoszeń w sumie na podstawie </w:t>
      </w:r>
      <w:r w:rsidR="00986497" w:rsidRPr="00447E0D">
        <w:t xml:space="preserve">wyłączeń stosowania ustawy Pzp związanych z COVID-19 </w:t>
      </w:r>
      <w:r w:rsidRPr="00447E0D">
        <w:t>w 2022 r. wydatkowano ok. 270 mln zł</w:t>
      </w:r>
      <w:r w:rsidR="004A6131">
        <w:t xml:space="preserve"> </w:t>
      </w:r>
      <w:r w:rsidR="00735A6B">
        <w:t xml:space="preserve">(w 2021 r. </w:t>
      </w:r>
      <w:r w:rsidR="00735A6B" w:rsidRPr="00084844">
        <w:t xml:space="preserve">ok. </w:t>
      </w:r>
      <w:r w:rsidR="00735A6B">
        <w:t>450</w:t>
      </w:r>
      <w:r w:rsidR="00735A6B" w:rsidRPr="00084844">
        <w:t xml:space="preserve"> mln zł</w:t>
      </w:r>
      <w:r w:rsidR="00BA7A61">
        <w:t>).</w:t>
      </w:r>
    </w:p>
    <w:p w14:paraId="11F77435" w14:textId="77777777" w:rsidR="00F30314" w:rsidRDefault="00F30314" w:rsidP="00DD11CB"/>
    <w:p w14:paraId="1DA76B16" w14:textId="3AC3F04D" w:rsidR="00A522F3" w:rsidRDefault="00A522F3" w:rsidP="00DD11CB"/>
    <w:p w14:paraId="39255A69" w14:textId="01A54FBB" w:rsidR="00A522F3" w:rsidRPr="00136F81" w:rsidRDefault="00A522F3" w:rsidP="00E16264">
      <w:pPr>
        <w:pStyle w:val="Akapitzlist"/>
        <w:numPr>
          <w:ilvl w:val="0"/>
          <w:numId w:val="17"/>
        </w:numPr>
        <w:rPr>
          <w:b/>
          <w:color w:val="0070C0"/>
          <w:sz w:val="22"/>
          <w:szCs w:val="22"/>
          <w:lang w:val="pl-PL"/>
        </w:rPr>
      </w:pPr>
      <w:r w:rsidRPr="00136F81">
        <w:rPr>
          <w:b/>
          <w:color w:val="0070C0"/>
          <w:sz w:val="22"/>
          <w:szCs w:val="22"/>
          <w:lang w:val="pl-PL"/>
        </w:rPr>
        <w:t xml:space="preserve">Zamówienia </w:t>
      </w:r>
      <w:r w:rsidR="00136F81" w:rsidRPr="00136F81">
        <w:rPr>
          <w:b/>
          <w:color w:val="0070C0"/>
          <w:sz w:val="22"/>
          <w:szCs w:val="22"/>
          <w:lang w:val="pl-PL"/>
        </w:rPr>
        <w:t>na podstawie ustawy</w:t>
      </w:r>
      <w:r w:rsidR="00103B53">
        <w:rPr>
          <w:b/>
          <w:color w:val="0070C0"/>
          <w:sz w:val="22"/>
          <w:szCs w:val="22"/>
          <w:lang w:val="pl-PL"/>
        </w:rPr>
        <w:t xml:space="preserve"> o pomocy obywatelom Ukrainy</w:t>
      </w:r>
    </w:p>
    <w:p w14:paraId="09E6947D" w14:textId="6DDB4311" w:rsidR="00A522F3" w:rsidRDefault="00A522F3" w:rsidP="00DD11CB"/>
    <w:p w14:paraId="0FA8E435" w14:textId="6AED6E07" w:rsidR="00A522F3" w:rsidRDefault="00103B53" w:rsidP="00DD11CB">
      <w:r w:rsidRPr="00103B53">
        <w:t>Ustawa z dnia 12 marca 2022 r. o pomocy obywatelom Ukrainy w związku z konfliktem zbrojnym na terytorium tego państwa (Dz. U. poz. 583</w:t>
      </w:r>
      <w:r w:rsidR="00B212B8">
        <w:t xml:space="preserve">, </w:t>
      </w:r>
      <w:r w:rsidR="00B212B8" w:rsidRPr="00AE5F86">
        <w:t>z późn. zm.</w:t>
      </w:r>
      <w:r>
        <w:t xml:space="preserve">) </w:t>
      </w:r>
      <w:r w:rsidR="00BC56AF" w:rsidRPr="00BC56AF">
        <w:t>przewidzia</w:t>
      </w:r>
      <w:r w:rsidR="00BC56AF">
        <w:t>ła</w:t>
      </w:r>
      <w:r w:rsidR="00BC56AF" w:rsidRPr="00BC56AF">
        <w:t xml:space="preserve"> wyłączenia obowiązku stosowania ustawy</w:t>
      </w:r>
      <w:r w:rsidR="00BC56AF">
        <w:t xml:space="preserve"> Pzp do zamówień udzielanych na jej podstawie. Jednocześnie </w:t>
      </w:r>
      <w:r w:rsidR="001B051E">
        <w:t xml:space="preserve">w ustawie tej </w:t>
      </w:r>
      <w:r w:rsidR="00BC56AF">
        <w:t xml:space="preserve">przewidziano </w:t>
      </w:r>
      <w:r w:rsidRPr="00103B53">
        <w:t>obowiązek zamieszczania w Biuletynie Zamówień Publicznych informacji o udzieleniu zamówienia, w odniesieniu</w:t>
      </w:r>
      <w:r w:rsidR="00BA200B">
        <w:t>,</w:t>
      </w:r>
      <w:r w:rsidRPr="00103B53">
        <w:t xml:space="preserve"> do którego wyłączony został obowiązek stosowania przepisów ustawy</w:t>
      </w:r>
      <w:r>
        <w:t xml:space="preserve"> Pzp</w:t>
      </w:r>
      <w:r w:rsidR="00D17C52">
        <w:t>.</w:t>
      </w:r>
    </w:p>
    <w:p w14:paraId="5ACACCE7" w14:textId="5378209D" w:rsidR="00D17C52" w:rsidRDefault="00990355" w:rsidP="00DD11CB">
      <w:r>
        <w:t>Przepisy ustawy</w:t>
      </w:r>
      <w:r w:rsidRPr="00990355">
        <w:t xml:space="preserve"> </w:t>
      </w:r>
      <w:r>
        <w:t>weszły</w:t>
      </w:r>
      <w:r w:rsidRPr="00990355">
        <w:t xml:space="preserve"> w życie z dniem ogłoszenia, z</w:t>
      </w:r>
      <w:r>
        <w:t xml:space="preserve"> mocą od dnia 24 lutego 2022 r.</w:t>
      </w:r>
    </w:p>
    <w:p w14:paraId="1B7896D3" w14:textId="77777777" w:rsidR="00990355" w:rsidRDefault="00990355" w:rsidP="00DD11CB"/>
    <w:p w14:paraId="557E2C4F" w14:textId="467FDD8A" w:rsidR="00611F16" w:rsidRDefault="00090375" w:rsidP="00090375">
      <w:r>
        <w:t xml:space="preserve">W 2022 r. w BZP opublikowano </w:t>
      </w:r>
      <w:r w:rsidR="004867F8" w:rsidRPr="004867F8">
        <w:t>10</w:t>
      </w:r>
      <w:r w:rsidR="00055573">
        <w:t> </w:t>
      </w:r>
      <w:r w:rsidR="004867F8" w:rsidRPr="004867F8">
        <w:t>751</w:t>
      </w:r>
      <w:r w:rsidR="00055573">
        <w:t xml:space="preserve"> </w:t>
      </w:r>
      <w:r>
        <w:t>ogłoszeń informujących</w:t>
      </w:r>
      <w:r w:rsidRPr="000F2E5C">
        <w:t xml:space="preserve"> o udzieleniu zamówienia </w:t>
      </w:r>
      <w:r w:rsidR="00611F16">
        <w:t xml:space="preserve">na podstawie wyłączeń określonych w ustawie o </w:t>
      </w:r>
      <w:r w:rsidR="00611F16" w:rsidRPr="00611F16">
        <w:t>pomocy obywatelom Ukrainy w związku z konfliktem zbrojnym na terytorium tego państwa</w:t>
      </w:r>
      <w:r w:rsidR="00611F16">
        <w:t>.</w:t>
      </w:r>
    </w:p>
    <w:p w14:paraId="37616055" w14:textId="20D8A3E7" w:rsidR="00611F16" w:rsidRDefault="008F2836" w:rsidP="00090375">
      <w:r>
        <w:t xml:space="preserve">Najwięcej takich zamówień </w:t>
      </w:r>
      <w:r w:rsidRPr="000F2E5C">
        <w:t xml:space="preserve">dotyczyło </w:t>
      </w:r>
      <w:r>
        <w:t>usług</w:t>
      </w:r>
      <w:r w:rsidRPr="000F2E5C">
        <w:t xml:space="preserve"> –</w:t>
      </w:r>
      <w:r>
        <w:t xml:space="preserve"> </w:t>
      </w:r>
      <w:r w:rsidRPr="008F2836">
        <w:t>7</w:t>
      </w:r>
      <w:r w:rsidR="00055573">
        <w:t> </w:t>
      </w:r>
      <w:r w:rsidRPr="008F2836">
        <w:t>069</w:t>
      </w:r>
      <w:r w:rsidR="00055573">
        <w:t xml:space="preserve"> </w:t>
      </w:r>
      <w:r w:rsidRPr="000F2E5C">
        <w:t>ogłoszeń (</w:t>
      </w:r>
      <w:r>
        <w:t>65</w:t>
      </w:r>
      <w:r w:rsidRPr="000F2E5C">
        <w:t xml:space="preserve">%), następnie </w:t>
      </w:r>
      <w:r>
        <w:t>dostaw</w:t>
      </w:r>
      <w:r w:rsidRPr="000F2E5C">
        <w:t xml:space="preserve"> – </w:t>
      </w:r>
      <w:r w:rsidRPr="008F2836">
        <w:t>3</w:t>
      </w:r>
      <w:r w:rsidR="00055573">
        <w:t> </w:t>
      </w:r>
      <w:r w:rsidRPr="008F2836">
        <w:t>426</w:t>
      </w:r>
      <w:r w:rsidR="00055573">
        <w:t xml:space="preserve"> </w:t>
      </w:r>
      <w:r>
        <w:t>ogłoszeń (32</w:t>
      </w:r>
      <w:r w:rsidRPr="000F2E5C">
        <w:t>%</w:t>
      </w:r>
      <w:r>
        <w:t>)</w:t>
      </w:r>
      <w:r w:rsidRPr="000F2E5C">
        <w:t xml:space="preserve"> oraz robó</w:t>
      </w:r>
      <w:r>
        <w:t xml:space="preserve">t budowlanych – </w:t>
      </w:r>
      <w:r w:rsidRPr="008F2836">
        <w:t xml:space="preserve">55 </w:t>
      </w:r>
      <w:r>
        <w:t>ogłoszeń (1%</w:t>
      </w:r>
      <w:r w:rsidRPr="000F2E5C">
        <w:t xml:space="preserve">). W </w:t>
      </w:r>
      <w:r w:rsidRPr="008F2836">
        <w:t xml:space="preserve">201 </w:t>
      </w:r>
      <w:r w:rsidRPr="000F2E5C">
        <w:t>ogłoszeniach (</w:t>
      </w:r>
      <w:r>
        <w:t>2</w:t>
      </w:r>
      <w:r w:rsidRPr="000F2E5C">
        <w:t>%) nie podano rodzaju zamówienia.</w:t>
      </w:r>
    </w:p>
    <w:p w14:paraId="18541BC0" w14:textId="6DB96538" w:rsidR="00FE046B" w:rsidRDefault="00FE046B" w:rsidP="00DD11CB"/>
    <w:p w14:paraId="688318E7" w14:textId="166AC429" w:rsidR="00FE046B" w:rsidRDefault="00FE046B" w:rsidP="00682C3A">
      <w:pPr>
        <w:pStyle w:val="Legenda"/>
      </w:pPr>
      <w:bookmarkStart w:id="75" w:name="_Toc141276487"/>
      <w:r w:rsidRPr="00BD3FF3">
        <w:t xml:space="preserve">Rys. </w:t>
      </w:r>
      <w:r w:rsidR="00BE2079">
        <w:fldChar w:fldCharType="begin"/>
      </w:r>
      <w:r w:rsidR="00BE2079">
        <w:instrText xml:space="preserve"> SEQ Rys. \* ARABIC </w:instrText>
      </w:r>
      <w:r w:rsidR="00BE2079">
        <w:fldChar w:fldCharType="separate"/>
      </w:r>
      <w:r w:rsidR="00A43C68">
        <w:rPr>
          <w:noProof/>
        </w:rPr>
        <w:t>9</w:t>
      </w:r>
      <w:r w:rsidR="00BE2079">
        <w:rPr>
          <w:noProof/>
        </w:rPr>
        <w:fldChar w:fldCharType="end"/>
      </w:r>
      <w:r w:rsidRPr="00BD3FF3">
        <w:t>. Struktura ogłoszeń dot. wyłączeń stosowania u</w:t>
      </w:r>
      <w:r>
        <w:t xml:space="preserve">stawy Pzp </w:t>
      </w:r>
      <w:r w:rsidRPr="00FE046B">
        <w:t xml:space="preserve">na podstawie ustawy o pomocy obywatelom Ukrainy </w:t>
      </w:r>
      <w:r w:rsidRPr="00BD3FF3">
        <w:t>opublikowanych w BZP</w:t>
      </w:r>
      <w:r w:rsidRPr="00DB513D">
        <w:t xml:space="preserve"> w 202</w:t>
      </w:r>
      <w:r>
        <w:t>2</w:t>
      </w:r>
      <w:r w:rsidRPr="00DB513D">
        <w:t xml:space="preserve"> r.</w:t>
      </w:r>
      <w:bookmarkEnd w:id="75"/>
    </w:p>
    <w:p w14:paraId="7C6D18B1" w14:textId="0E6250DC" w:rsidR="00FE046B" w:rsidRDefault="00D54039" w:rsidP="00E64AD6">
      <w:pPr>
        <w:jc w:val="center"/>
      </w:pPr>
      <w:r>
        <w:rPr>
          <w:noProof/>
        </w:rPr>
        <w:drawing>
          <wp:inline distT="0" distB="0" distL="0" distR="0" wp14:anchorId="6CC4B76D" wp14:editId="36B4D9B8">
            <wp:extent cx="4572000" cy="2743200"/>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3F703E6" w14:textId="065D59C9" w:rsidR="00FE046B" w:rsidRDefault="00FE046B" w:rsidP="00DD11CB"/>
    <w:p w14:paraId="464A3595" w14:textId="77777777" w:rsidR="00FE046B" w:rsidRDefault="00FE046B" w:rsidP="00DD11CB"/>
    <w:p w14:paraId="5E4ECB71" w14:textId="75F6D198" w:rsidR="00C64F31" w:rsidRDefault="00C64F31" w:rsidP="00C64F31">
      <w:r w:rsidRPr="00557338">
        <w:t xml:space="preserve">Jak wynika z treści ogłoszeń w sumie na podstawie wyłączeń </w:t>
      </w:r>
      <w:r w:rsidR="00FE2AA2" w:rsidRPr="00557338">
        <w:t xml:space="preserve">stosowania ustawy Pzp </w:t>
      </w:r>
      <w:r w:rsidRPr="00557338">
        <w:t>określonych w ustawie o pomocy obywatelom Ukrainy w związku z konfliktem zbrojnym na terytorium tego państwa w 2022 r. wydatkowano ok. 1 mld zł.</w:t>
      </w:r>
    </w:p>
    <w:p w14:paraId="77671325" w14:textId="4856799D" w:rsidR="00FE046B" w:rsidRDefault="00FE046B" w:rsidP="00DD11CB"/>
    <w:p w14:paraId="388457F9" w14:textId="482FC06D" w:rsidR="00FE046B" w:rsidRDefault="00FE046B" w:rsidP="00DD11CB"/>
    <w:p w14:paraId="6DA9C5FC" w14:textId="3D6118A9" w:rsidR="00F50A4C" w:rsidRPr="00A522F3" w:rsidRDefault="00F50A4C" w:rsidP="00E16264">
      <w:pPr>
        <w:pStyle w:val="Akapitzlist"/>
        <w:numPr>
          <w:ilvl w:val="0"/>
          <w:numId w:val="17"/>
        </w:numPr>
        <w:rPr>
          <w:b/>
          <w:color w:val="0070C0"/>
          <w:sz w:val="22"/>
          <w:szCs w:val="22"/>
          <w:lang w:val="pl-PL"/>
        </w:rPr>
      </w:pPr>
      <w:r w:rsidRPr="00A522F3">
        <w:rPr>
          <w:b/>
          <w:color w:val="0070C0"/>
          <w:sz w:val="22"/>
          <w:szCs w:val="22"/>
          <w:lang w:val="pl-PL"/>
        </w:rPr>
        <w:t xml:space="preserve">Zamówienia </w:t>
      </w:r>
      <w:r w:rsidR="0036122D">
        <w:rPr>
          <w:b/>
          <w:color w:val="0070C0"/>
          <w:sz w:val="22"/>
          <w:szCs w:val="22"/>
          <w:lang w:val="pl-PL"/>
        </w:rPr>
        <w:t xml:space="preserve">na podstawie ustawy </w:t>
      </w:r>
      <w:r w:rsidR="0036122D" w:rsidRPr="0036122D">
        <w:rPr>
          <w:b/>
          <w:color w:val="0070C0"/>
          <w:sz w:val="22"/>
          <w:szCs w:val="22"/>
          <w:lang w:val="pl-PL"/>
        </w:rPr>
        <w:t>o zakupie preferencyjnym paliwa stałego dla gospodarstw</w:t>
      </w:r>
      <w:r w:rsidR="0036122D">
        <w:rPr>
          <w:b/>
          <w:color w:val="0070C0"/>
          <w:sz w:val="22"/>
          <w:szCs w:val="22"/>
          <w:lang w:val="pl-PL"/>
        </w:rPr>
        <w:t xml:space="preserve"> </w:t>
      </w:r>
      <w:r w:rsidR="0036122D" w:rsidRPr="0036122D">
        <w:rPr>
          <w:b/>
          <w:color w:val="0070C0"/>
          <w:sz w:val="22"/>
          <w:szCs w:val="22"/>
          <w:lang w:val="pl-PL"/>
        </w:rPr>
        <w:t>domowych</w:t>
      </w:r>
    </w:p>
    <w:p w14:paraId="6AF5EEAF" w14:textId="7106FE65" w:rsidR="00FE046B" w:rsidRDefault="00FE046B" w:rsidP="00DD11CB"/>
    <w:p w14:paraId="345A5424" w14:textId="42432CFE" w:rsidR="00F50A4C" w:rsidRDefault="000A5341" w:rsidP="000A5341">
      <w:r>
        <w:t xml:space="preserve">Ustawa z dnia 27 października 2022 r. o zakupie preferencyjnym paliwa stałego dla gospodarstw domowych </w:t>
      </w:r>
      <w:r w:rsidR="003E06B0">
        <w:t xml:space="preserve">(Dz. U. poz. 2236, z późn. zm.) </w:t>
      </w:r>
      <w:r w:rsidR="003D55EC">
        <w:t>wprowadziła</w:t>
      </w:r>
      <w:r w:rsidR="009A02C1">
        <w:t xml:space="preserve"> </w:t>
      </w:r>
      <w:r>
        <w:t>wyłączenie</w:t>
      </w:r>
      <w:r w:rsidR="007B62DC">
        <w:t xml:space="preserve"> obowiązku</w:t>
      </w:r>
      <w:r>
        <w:t xml:space="preserve"> stosowania ustawy Pzp do zamówień udzielanych w celu realizacji zadań</w:t>
      </w:r>
      <w:r w:rsidR="007B62DC">
        <w:t xml:space="preserve"> wynikających </w:t>
      </w:r>
      <w:r w:rsidR="008E59D6">
        <w:t xml:space="preserve">z </w:t>
      </w:r>
      <w:r w:rsidR="007B62DC">
        <w:t>tego aktu prawnego.</w:t>
      </w:r>
      <w:r>
        <w:t xml:space="preserve"> Jednocześnie </w:t>
      </w:r>
      <w:r w:rsidR="00612EA9">
        <w:t>zobligowano zamawiających do</w:t>
      </w:r>
      <w:r w:rsidR="009A02C1">
        <w:t xml:space="preserve"> </w:t>
      </w:r>
      <w:r>
        <w:t>zamieszczania w Biuletynie Zamówień Publicznych informacji o udzieleniu zamówienia podlegającego wskazanemu wyłączeniu.</w:t>
      </w:r>
    </w:p>
    <w:p w14:paraId="19F225B4" w14:textId="148BD9E3" w:rsidR="00F50A4C" w:rsidRDefault="00035773" w:rsidP="00DD11CB">
      <w:r w:rsidRPr="00035773">
        <w:t>Przepisy ustawy weszły w życie z dniem następującym po dniu ogłoszenia, t</w:t>
      </w:r>
      <w:r>
        <w:t xml:space="preserve">o </w:t>
      </w:r>
      <w:r w:rsidRPr="00035773">
        <w:t>j</w:t>
      </w:r>
      <w:r>
        <w:t>est</w:t>
      </w:r>
      <w:r w:rsidRPr="00035773">
        <w:t xml:space="preserve"> w dniu 3 listopada 2022 r.</w:t>
      </w:r>
    </w:p>
    <w:p w14:paraId="3EA072EB" w14:textId="77777777" w:rsidR="00035773" w:rsidRDefault="00035773" w:rsidP="00DD11CB"/>
    <w:p w14:paraId="5EAE6F01" w14:textId="710D35A5" w:rsidR="003E06B0" w:rsidRDefault="003E06B0" w:rsidP="003E06B0">
      <w:r>
        <w:t xml:space="preserve">Jak wynika z danych zawartych w BZP, w 2022 r. opublikowano </w:t>
      </w:r>
      <w:r w:rsidR="00BC163B">
        <w:t>2</w:t>
      </w:r>
      <w:r w:rsidR="00055573">
        <w:t> </w:t>
      </w:r>
      <w:r w:rsidR="00BC163B">
        <w:t>572</w:t>
      </w:r>
      <w:r w:rsidR="00055573">
        <w:t xml:space="preserve"> </w:t>
      </w:r>
      <w:r>
        <w:t>ogłosze</w:t>
      </w:r>
      <w:r w:rsidR="00BC163B">
        <w:t>nia informujące</w:t>
      </w:r>
      <w:r w:rsidRPr="000F2E5C">
        <w:t xml:space="preserve"> o udzieleniu zamówienia z wykorzystaniem wyłącze</w:t>
      </w:r>
      <w:r>
        <w:t>ń</w:t>
      </w:r>
      <w:r w:rsidRPr="000F2E5C">
        <w:t xml:space="preserve"> stosowania ustawy Pzp określon</w:t>
      </w:r>
      <w:r>
        <w:t>ych</w:t>
      </w:r>
      <w:r w:rsidRPr="000F2E5C">
        <w:t xml:space="preserve"> w ustawie </w:t>
      </w:r>
      <w:r w:rsidR="00035773" w:rsidRPr="00035773">
        <w:t>o zakupie preferencyjnym paliwa stałego dla gospodarstw domowych</w:t>
      </w:r>
      <w:r w:rsidRPr="000F2E5C">
        <w:t>.</w:t>
      </w:r>
      <w:r>
        <w:t xml:space="preserve"> </w:t>
      </w:r>
    </w:p>
    <w:p w14:paraId="64E568B4" w14:textId="2A6BB2D6" w:rsidR="003E06B0" w:rsidRDefault="003E06B0" w:rsidP="003E06B0">
      <w:r>
        <w:t xml:space="preserve">Najwięcej takich zamówień </w:t>
      </w:r>
      <w:r w:rsidRPr="000F2E5C">
        <w:t xml:space="preserve">dotyczyło dostaw – </w:t>
      </w:r>
      <w:r w:rsidR="00BC163B" w:rsidRPr="00BC163B">
        <w:t>1</w:t>
      </w:r>
      <w:r w:rsidR="00055573">
        <w:t> </w:t>
      </w:r>
      <w:r w:rsidR="00BC163B" w:rsidRPr="00BC163B">
        <w:t>280</w:t>
      </w:r>
      <w:r w:rsidR="00055573">
        <w:t xml:space="preserve"> </w:t>
      </w:r>
      <w:r w:rsidRPr="000F2E5C">
        <w:t>ogłoszeń (</w:t>
      </w:r>
      <w:r w:rsidR="00BC163B">
        <w:t>50</w:t>
      </w:r>
      <w:r w:rsidRPr="000F2E5C">
        <w:t>%</w:t>
      </w:r>
      <w:r w:rsidR="00BC163B">
        <w:t>), a</w:t>
      </w:r>
      <w:r w:rsidRPr="000F2E5C">
        <w:t xml:space="preserve"> następnie usług – </w:t>
      </w:r>
      <w:r w:rsidR="00BC163B" w:rsidRPr="00BC163B">
        <w:t>1</w:t>
      </w:r>
      <w:r w:rsidR="00055573">
        <w:t> </w:t>
      </w:r>
      <w:r w:rsidR="00BC163B" w:rsidRPr="00BC163B">
        <w:t>115</w:t>
      </w:r>
      <w:r w:rsidR="00BC163B">
        <w:t xml:space="preserve"> ogłoszeń (4</w:t>
      </w:r>
      <w:r>
        <w:t>3</w:t>
      </w:r>
      <w:r w:rsidRPr="000F2E5C">
        <w:t xml:space="preserve">%). W </w:t>
      </w:r>
      <w:r w:rsidR="00BC163B" w:rsidRPr="00BC163B">
        <w:t>177</w:t>
      </w:r>
      <w:r w:rsidR="00BC163B">
        <w:t xml:space="preserve"> </w:t>
      </w:r>
      <w:r w:rsidRPr="000F2E5C">
        <w:t>ogłoszeniach (</w:t>
      </w:r>
      <w:r w:rsidR="00BC163B">
        <w:t>7</w:t>
      </w:r>
      <w:r w:rsidRPr="000F2E5C">
        <w:t>%) nie podano rodzaju zamówienia.</w:t>
      </w:r>
    </w:p>
    <w:p w14:paraId="27290E99" w14:textId="0F197A1F" w:rsidR="003E06B0" w:rsidRDefault="003E06B0" w:rsidP="00DD11CB"/>
    <w:p w14:paraId="52CE99D0" w14:textId="40978348" w:rsidR="00BC163B" w:rsidRDefault="00BC163B" w:rsidP="007B4CA9">
      <w:pPr>
        <w:pStyle w:val="Legenda"/>
      </w:pPr>
      <w:bookmarkStart w:id="76" w:name="_Toc141276488"/>
      <w:r w:rsidRPr="00BD3FF3">
        <w:t xml:space="preserve">Rys. </w:t>
      </w:r>
      <w:r w:rsidR="00BE2079">
        <w:fldChar w:fldCharType="begin"/>
      </w:r>
      <w:r w:rsidR="00BE2079">
        <w:instrText xml:space="preserve"> SEQ Rys. \* ARABIC </w:instrText>
      </w:r>
      <w:r w:rsidR="00BE2079">
        <w:fldChar w:fldCharType="separate"/>
      </w:r>
      <w:r w:rsidR="00A43C68">
        <w:rPr>
          <w:noProof/>
        </w:rPr>
        <w:t>10</w:t>
      </w:r>
      <w:r w:rsidR="00BE2079">
        <w:rPr>
          <w:noProof/>
        </w:rPr>
        <w:fldChar w:fldCharType="end"/>
      </w:r>
      <w:r w:rsidRPr="00BD3FF3">
        <w:t>. Struktura ogłoszeń dot. wyłączeń stosowania u</w:t>
      </w:r>
      <w:r>
        <w:t xml:space="preserve">stawy Pzp </w:t>
      </w:r>
      <w:r w:rsidRPr="00FE046B">
        <w:t xml:space="preserve">na podstawie ustawy </w:t>
      </w:r>
      <w:r w:rsidR="00AE7E80" w:rsidRPr="00AE7E80">
        <w:t>o zakupie preferencyjnym paliwa stałego dla gospodarstw domowych</w:t>
      </w:r>
      <w:r w:rsidRPr="00FE046B">
        <w:t xml:space="preserve"> </w:t>
      </w:r>
      <w:r w:rsidRPr="00BD3FF3">
        <w:t>opublikowanych w BZP</w:t>
      </w:r>
      <w:r w:rsidRPr="00DB513D">
        <w:t xml:space="preserve"> w 202</w:t>
      </w:r>
      <w:r>
        <w:t>2</w:t>
      </w:r>
      <w:r w:rsidRPr="00DB513D">
        <w:t xml:space="preserve"> r.</w:t>
      </w:r>
      <w:bookmarkEnd w:id="76"/>
    </w:p>
    <w:p w14:paraId="5F6EA591" w14:textId="302E8F2C" w:rsidR="00BC163B" w:rsidRDefault="00243FF7" w:rsidP="00E64AD6">
      <w:pPr>
        <w:jc w:val="center"/>
      </w:pPr>
      <w:r>
        <w:rPr>
          <w:noProof/>
        </w:rPr>
        <w:drawing>
          <wp:inline distT="0" distB="0" distL="0" distR="0" wp14:anchorId="0537667A" wp14:editId="32E3005D">
            <wp:extent cx="4572000" cy="274320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407EEA3" w14:textId="77777777" w:rsidR="003E06B0" w:rsidRDefault="003E06B0" w:rsidP="00DD11CB"/>
    <w:p w14:paraId="2007ABDA" w14:textId="615886A9" w:rsidR="00F50A4C" w:rsidRDefault="00F50A4C" w:rsidP="00DD11CB"/>
    <w:p w14:paraId="711B9989" w14:textId="7F50F416" w:rsidR="00986497" w:rsidRDefault="00986497" w:rsidP="00986497">
      <w:r w:rsidRPr="00C51500">
        <w:t>Jak wynika z treści ogłoszeń w sumie na podstawie wyłączeń stosowania ustawy Pzp określonych w ustawie o zakupie preferencyjnym paliwa stałego dla gospodarstw domowych w 2022 r. wydatkowano ok. 1</w:t>
      </w:r>
      <w:r w:rsidR="003D3B84" w:rsidRPr="00C51500">
        <w:t>,8</w:t>
      </w:r>
      <w:r w:rsidRPr="00C51500">
        <w:t xml:space="preserve"> mld zł.</w:t>
      </w:r>
    </w:p>
    <w:p w14:paraId="1C32F1A4" w14:textId="77777777" w:rsidR="00F50A4C" w:rsidRDefault="00F50A4C" w:rsidP="00DD11CB"/>
    <w:p w14:paraId="7D013F68" w14:textId="77777777" w:rsidR="00716498" w:rsidRDefault="00716498" w:rsidP="00F058DB">
      <w:pPr>
        <w:shd w:val="clear" w:color="auto" w:fill="FFFFFF"/>
      </w:pPr>
    </w:p>
    <w:tbl>
      <w:tblPr>
        <w:tblW w:w="0" w:type="auto"/>
        <w:tblInd w:w="90" w:type="dxa"/>
        <w:tblLayout w:type="fixed"/>
        <w:tblLook w:val="04A0" w:firstRow="1" w:lastRow="0" w:firstColumn="1" w:lastColumn="0" w:noHBand="0" w:noVBand="1"/>
      </w:tblPr>
      <w:tblGrid>
        <w:gridCol w:w="236"/>
        <w:gridCol w:w="8960"/>
      </w:tblGrid>
      <w:tr w:rsidR="00716498" w14:paraId="686EB62E" w14:textId="77777777" w:rsidTr="004D2CDB">
        <w:trPr>
          <w:cantSplit/>
        </w:trPr>
        <w:tc>
          <w:tcPr>
            <w:tcW w:w="236" w:type="dxa"/>
            <w:shd w:val="clear" w:color="auto" w:fill="95B3D7"/>
          </w:tcPr>
          <w:p w14:paraId="33EA6FC5" w14:textId="77777777" w:rsidR="00716498" w:rsidRDefault="00716498" w:rsidP="00F058DB"/>
        </w:tc>
        <w:tc>
          <w:tcPr>
            <w:tcW w:w="8960" w:type="dxa"/>
          </w:tcPr>
          <w:p w14:paraId="43CE9D20" w14:textId="77777777" w:rsidR="00716498" w:rsidRPr="003128A2" w:rsidRDefault="00716498" w:rsidP="00F058DB">
            <w:pPr>
              <w:pStyle w:val="Nagwek2"/>
              <w:shd w:val="clear" w:color="auto" w:fill="FFFFFF"/>
              <w:spacing w:after="120"/>
              <w:rPr>
                <w:noProof/>
                <w:color w:val="0070C0"/>
                <w:sz w:val="28"/>
              </w:rPr>
            </w:pPr>
            <w:bookmarkStart w:id="77" w:name="_Toc64451856"/>
            <w:bookmarkStart w:id="78" w:name="_Toc141276436"/>
            <w:r w:rsidRPr="003128A2">
              <w:rPr>
                <w:noProof/>
                <w:color w:val="0070C0"/>
                <w:sz w:val="28"/>
              </w:rPr>
              <w:t>II.2. Funkcjonowanie rynku</w:t>
            </w:r>
            <w:bookmarkEnd w:id="77"/>
            <w:bookmarkEnd w:id="78"/>
          </w:p>
        </w:tc>
      </w:tr>
    </w:tbl>
    <w:p w14:paraId="7A4FEF94" w14:textId="77777777" w:rsidR="00716498" w:rsidRDefault="00716498" w:rsidP="007D4DE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47F945DB" w14:textId="77777777" w:rsidTr="004D2CDB">
        <w:trPr>
          <w:cantSplit/>
        </w:trPr>
        <w:tc>
          <w:tcPr>
            <w:tcW w:w="236" w:type="dxa"/>
            <w:shd w:val="clear" w:color="auto" w:fill="B8CCE4"/>
          </w:tcPr>
          <w:p w14:paraId="67A6FE0B" w14:textId="77777777" w:rsidR="00716498" w:rsidRPr="001E7D51" w:rsidRDefault="00716498" w:rsidP="007D4DEB">
            <w:pPr>
              <w:rPr>
                <w:sz w:val="24"/>
              </w:rPr>
            </w:pPr>
          </w:p>
        </w:tc>
        <w:tc>
          <w:tcPr>
            <w:tcW w:w="8676" w:type="dxa"/>
          </w:tcPr>
          <w:p w14:paraId="0C6CE0D0" w14:textId="77777777" w:rsidR="00716498" w:rsidRPr="005C78E7" w:rsidRDefault="00716498" w:rsidP="007D4DEB">
            <w:pPr>
              <w:pStyle w:val="Nagwek3"/>
              <w:shd w:val="clear" w:color="auto" w:fill="FFFFFF"/>
              <w:spacing w:after="120"/>
              <w:ind w:left="0"/>
              <w:rPr>
                <w:color w:val="0070C0"/>
                <w:sz w:val="24"/>
                <w:szCs w:val="24"/>
              </w:rPr>
            </w:pPr>
            <w:bookmarkStart w:id="79" w:name="_Toc64451857"/>
            <w:bookmarkStart w:id="80" w:name="_Toc141276437"/>
            <w:r w:rsidRPr="005C78E7">
              <w:rPr>
                <w:color w:val="0070C0"/>
                <w:sz w:val="24"/>
                <w:szCs w:val="24"/>
              </w:rPr>
              <w:t>II.2.1. Tryby stosowane w zamówieniach publicznych</w:t>
            </w:r>
            <w:bookmarkEnd w:id="79"/>
            <w:bookmarkEnd w:id="80"/>
          </w:p>
        </w:tc>
      </w:tr>
    </w:tbl>
    <w:p w14:paraId="40F9C889" w14:textId="03362F48" w:rsidR="00716498" w:rsidRDefault="00716498" w:rsidP="00D41B05">
      <w:pPr>
        <w:shd w:val="clear" w:color="auto" w:fill="FFFFFF"/>
      </w:pPr>
    </w:p>
    <w:p w14:paraId="73034CA6" w14:textId="1E6E3A3E" w:rsidR="00FB6229" w:rsidRDefault="00674805" w:rsidP="00FB6229">
      <w:pPr>
        <w:rPr>
          <w:szCs w:val="22"/>
        </w:rPr>
      </w:pPr>
      <w:r>
        <w:rPr>
          <w:szCs w:val="22"/>
        </w:rPr>
        <w:t>Zdecydowana większość zamówień publicznych udzielanych</w:t>
      </w:r>
      <w:r w:rsidR="00FB6229">
        <w:rPr>
          <w:szCs w:val="22"/>
        </w:rPr>
        <w:t xml:space="preserve"> </w:t>
      </w:r>
      <w:r>
        <w:rPr>
          <w:szCs w:val="22"/>
        </w:rPr>
        <w:t>jest</w:t>
      </w:r>
      <w:r w:rsidR="00FB6229">
        <w:rPr>
          <w:szCs w:val="22"/>
        </w:rPr>
        <w:t xml:space="preserve"> w </w:t>
      </w:r>
      <w:r w:rsidR="00831AB9">
        <w:rPr>
          <w:szCs w:val="22"/>
        </w:rPr>
        <w:t xml:space="preserve">trybach </w:t>
      </w:r>
      <w:r w:rsidR="00FB6229">
        <w:rPr>
          <w:szCs w:val="22"/>
        </w:rPr>
        <w:t>najba</w:t>
      </w:r>
      <w:r>
        <w:rPr>
          <w:szCs w:val="22"/>
        </w:rPr>
        <w:t>rdziej konkurencyjnych</w:t>
      </w:r>
      <w:r w:rsidR="00831AB9">
        <w:rPr>
          <w:szCs w:val="22"/>
        </w:rPr>
        <w:t>: w</w:t>
      </w:r>
      <w:r>
        <w:rPr>
          <w:szCs w:val="22"/>
        </w:rPr>
        <w:t xml:space="preserve"> przypadku zamówień o wartościach poniżej progów unijnych – </w:t>
      </w:r>
      <w:r w:rsidR="00FB6229">
        <w:rPr>
          <w:szCs w:val="22"/>
        </w:rPr>
        <w:t>z zastosowaniem trybu podstawowego</w:t>
      </w:r>
      <w:r>
        <w:rPr>
          <w:szCs w:val="22"/>
        </w:rPr>
        <w:t xml:space="preserve">, a w przypadku zamówień o wartościach </w:t>
      </w:r>
      <w:r w:rsidR="00794C94" w:rsidRPr="00794C94">
        <w:rPr>
          <w:szCs w:val="22"/>
        </w:rPr>
        <w:t>równych lub przekraczających progi unijne</w:t>
      </w:r>
      <w:r>
        <w:rPr>
          <w:szCs w:val="22"/>
        </w:rPr>
        <w:t xml:space="preserve"> – </w:t>
      </w:r>
      <w:r w:rsidR="00831AB9">
        <w:rPr>
          <w:szCs w:val="22"/>
        </w:rPr>
        <w:t xml:space="preserve">w </w:t>
      </w:r>
      <w:r w:rsidR="00FB6229">
        <w:rPr>
          <w:szCs w:val="22"/>
        </w:rPr>
        <w:t>tryb</w:t>
      </w:r>
      <w:r w:rsidR="00831AB9">
        <w:rPr>
          <w:szCs w:val="22"/>
        </w:rPr>
        <w:t>ie</w:t>
      </w:r>
      <w:r w:rsidR="00FB6229">
        <w:rPr>
          <w:szCs w:val="22"/>
        </w:rPr>
        <w:t xml:space="preserve"> przetargu nieograniczonego. </w:t>
      </w:r>
    </w:p>
    <w:p w14:paraId="068DA7B8" w14:textId="10C47193" w:rsidR="00FB6229" w:rsidRDefault="00FB6229" w:rsidP="00FB6229">
      <w:pPr>
        <w:rPr>
          <w:szCs w:val="22"/>
        </w:rPr>
      </w:pPr>
      <w:r>
        <w:rPr>
          <w:szCs w:val="22"/>
        </w:rPr>
        <w:t xml:space="preserve">Jeśli chodzi o </w:t>
      </w:r>
      <w:r w:rsidR="00674805">
        <w:rPr>
          <w:szCs w:val="22"/>
        </w:rPr>
        <w:t>strukturę liczby</w:t>
      </w:r>
      <w:r>
        <w:rPr>
          <w:szCs w:val="22"/>
        </w:rPr>
        <w:t xml:space="preserve"> udzielanych zamówień, w trybach tych udziel</w:t>
      </w:r>
      <w:r w:rsidR="007779F3">
        <w:rPr>
          <w:szCs w:val="22"/>
        </w:rPr>
        <w:t>ono</w:t>
      </w:r>
      <w:r>
        <w:rPr>
          <w:szCs w:val="22"/>
        </w:rPr>
        <w:t xml:space="preserve"> około 90% zamówień.</w:t>
      </w:r>
      <w:r w:rsidR="00674805">
        <w:rPr>
          <w:szCs w:val="22"/>
        </w:rPr>
        <w:t xml:space="preserve"> </w:t>
      </w:r>
      <w:r>
        <w:rPr>
          <w:szCs w:val="22"/>
        </w:rPr>
        <w:t xml:space="preserve">Podobnie w przypadku </w:t>
      </w:r>
      <w:r w:rsidR="00674805">
        <w:rPr>
          <w:szCs w:val="22"/>
        </w:rPr>
        <w:t xml:space="preserve">struktury </w:t>
      </w:r>
      <w:r>
        <w:rPr>
          <w:szCs w:val="22"/>
        </w:rPr>
        <w:t>wartości</w:t>
      </w:r>
      <w:r w:rsidR="00674805">
        <w:rPr>
          <w:szCs w:val="22"/>
        </w:rPr>
        <w:t>owej</w:t>
      </w:r>
      <w:r>
        <w:rPr>
          <w:szCs w:val="22"/>
        </w:rPr>
        <w:t xml:space="preserve"> udzielonych zamówień </w:t>
      </w:r>
      <w:r w:rsidRPr="003703E4">
        <w:rPr>
          <w:szCs w:val="22"/>
        </w:rPr>
        <w:t>–</w:t>
      </w:r>
      <w:r w:rsidR="00674805">
        <w:rPr>
          <w:szCs w:val="22"/>
        </w:rPr>
        <w:t xml:space="preserve"> wartość zamówień udzielonych w </w:t>
      </w:r>
      <w:r>
        <w:rPr>
          <w:szCs w:val="22"/>
        </w:rPr>
        <w:t>trybach</w:t>
      </w:r>
      <w:r w:rsidR="00674805">
        <w:rPr>
          <w:szCs w:val="22"/>
        </w:rPr>
        <w:t xml:space="preserve"> konkurencyjnych</w:t>
      </w:r>
      <w:r>
        <w:rPr>
          <w:szCs w:val="22"/>
        </w:rPr>
        <w:t xml:space="preserve"> stanowi</w:t>
      </w:r>
      <w:r w:rsidR="007779F3">
        <w:rPr>
          <w:szCs w:val="22"/>
        </w:rPr>
        <w:t>ła</w:t>
      </w:r>
      <w:r>
        <w:rPr>
          <w:szCs w:val="22"/>
        </w:rPr>
        <w:t xml:space="preserve"> od 8</w:t>
      </w:r>
      <w:r w:rsidR="0066199B">
        <w:rPr>
          <w:szCs w:val="22"/>
        </w:rPr>
        <w:t>3</w:t>
      </w:r>
      <w:r>
        <w:rPr>
          <w:szCs w:val="22"/>
        </w:rPr>
        <w:t>% do 9</w:t>
      </w:r>
      <w:r w:rsidR="0066199B">
        <w:rPr>
          <w:szCs w:val="22"/>
        </w:rPr>
        <w:t>6</w:t>
      </w:r>
      <w:r>
        <w:rPr>
          <w:szCs w:val="22"/>
        </w:rPr>
        <w:t>% ogólnej kwoty wydatków.</w:t>
      </w:r>
    </w:p>
    <w:p w14:paraId="398B4965" w14:textId="6D67AEE3" w:rsidR="003720EB" w:rsidRDefault="003720EB" w:rsidP="00C025D1">
      <w:pPr>
        <w:rPr>
          <w:szCs w:val="22"/>
        </w:rPr>
      </w:pPr>
    </w:p>
    <w:p w14:paraId="2197C3FA" w14:textId="54580ADA" w:rsidR="003720EB" w:rsidRDefault="00574938" w:rsidP="003720EB">
      <w:pPr>
        <w:rPr>
          <w:szCs w:val="22"/>
        </w:rPr>
      </w:pPr>
      <w:r>
        <w:rPr>
          <w:szCs w:val="22"/>
        </w:rPr>
        <w:t>W 2022 r. w</w:t>
      </w:r>
      <w:r w:rsidR="003720EB">
        <w:rPr>
          <w:szCs w:val="22"/>
        </w:rPr>
        <w:t xml:space="preserve"> zamówieniach o wartościach poniżej progów unijnych udzielanych na podstawie </w:t>
      </w:r>
      <w:r w:rsidR="003720EB" w:rsidRPr="003E7C83">
        <w:rPr>
          <w:szCs w:val="22"/>
        </w:rPr>
        <w:t>przepisów ustawy Pzp</w:t>
      </w:r>
      <w:r>
        <w:rPr>
          <w:rStyle w:val="Odwoanieprzypisudolnego"/>
          <w:szCs w:val="22"/>
        </w:rPr>
        <w:footnoteReference w:id="8"/>
      </w:r>
      <w:r>
        <w:rPr>
          <w:szCs w:val="22"/>
        </w:rPr>
        <w:t xml:space="preserve"> ponad 9</w:t>
      </w:r>
      <w:r w:rsidR="008B4426">
        <w:rPr>
          <w:szCs w:val="22"/>
        </w:rPr>
        <w:t>0</w:t>
      </w:r>
      <w:r>
        <w:rPr>
          <w:szCs w:val="22"/>
        </w:rPr>
        <w:t>% zamówień udzielono z z</w:t>
      </w:r>
      <w:r w:rsidR="00060BD3">
        <w:rPr>
          <w:szCs w:val="22"/>
        </w:rPr>
        <w:t xml:space="preserve">astosowaniem trybu podstawowego. </w:t>
      </w:r>
      <w:r w:rsidR="008B4426">
        <w:rPr>
          <w:szCs w:val="22"/>
        </w:rPr>
        <w:t>Jeżeli chodzi o wartość to w trybie tym w sumie wydatkowano ponad 95% ogólnej kwoty zamówień o wartościach poniżej progów unijnych.</w:t>
      </w:r>
    </w:p>
    <w:p w14:paraId="437F3D17" w14:textId="77777777" w:rsidR="008B4426" w:rsidRDefault="008B4426" w:rsidP="00C025D1">
      <w:pPr>
        <w:rPr>
          <w:szCs w:val="22"/>
        </w:rPr>
      </w:pPr>
    </w:p>
    <w:p w14:paraId="0BA25C5B" w14:textId="3FD39682" w:rsidR="00C025D1" w:rsidRDefault="00C025D1" w:rsidP="00C025D1">
      <w:pPr>
        <w:pStyle w:val="Legenda"/>
      </w:pPr>
      <w:bookmarkStart w:id="81" w:name="_Toc141276513"/>
      <w:r w:rsidRPr="008B4426">
        <w:t xml:space="preserve">Tab. </w:t>
      </w:r>
      <w:r w:rsidR="00BE2079">
        <w:fldChar w:fldCharType="begin"/>
      </w:r>
      <w:r w:rsidR="00BE2079">
        <w:instrText xml:space="preserve"> SEQ Tab. \* ARABIC </w:instrText>
      </w:r>
      <w:r w:rsidR="00BE2079">
        <w:fldChar w:fldCharType="separate"/>
      </w:r>
      <w:r w:rsidR="00A43C68">
        <w:rPr>
          <w:noProof/>
        </w:rPr>
        <w:t>6</w:t>
      </w:r>
      <w:r w:rsidR="00BE2079">
        <w:rPr>
          <w:noProof/>
        </w:rPr>
        <w:fldChar w:fldCharType="end"/>
      </w:r>
      <w:r w:rsidRPr="008B4426">
        <w:t>. Zamówienia o wartościach poniżej progów UE udzielone w 202</w:t>
      </w:r>
      <w:r w:rsidR="007779F3">
        <w:t>2</w:t>
      </w:r>
      <w:r w:rsidRPr="008B4426">
        <w:t xml:space="preserve"> r. na podstawie przepisów </w:t>
      </w:r>
      <w:r w:rsidR="00013938" w:rsidRPr="008B4426">
        <w:t xml:space="preserve">ustawy </w:t>
      </w:r>
      <w:r w:rsidR="00396C8C">
        <w:t>Pzp</w:t>
      </w:r>
      <w:bookmarkEnd w:id="81"/>
    </w:p>
    <w:tbl>
      <w:tblPr>
        <w:tblW w:w="9185" w:type="dxa"/>
        <w:tblInd w:w="-5" w:type="dxa"/>
        <w:tblLayout w:type="fixed"/>
        <w:tblLook w:val="04A0" w:firstRow="1" w:lastRow="0" w:firstColumn="1" w:lastColumn="0" w:noHBand="0" w:noVBand="1"/>
      </w:tblPr>
      <w:tblGrid>
        <w:gridCol w:w="5216"/>
        <w:gridCol w:w="2127"/>
        <w:gridCol w:w="1842"/>
      </w:tblGrid>
      <w:tr w:rsidR="00C025D1" w:rsidRPr="00842D79" w14:paraId="7B9217D5" w14:textId="77777777" w:rsidTr="0042706A">
        <w:trPr>
          <w:tblHeader/>
        </w:trPr>
        <w:tc>
          <w:tcPr>
            <w:tcW w:w="5216" w:type="dxa"/>
            <w:tcBorders>
              <w:right w:val="single" w:sz="4" w:space="0" w:color="FFFFFF"/>
            </w:tcBorders>
            <w:shd w:val="clear" w:color="auto" w:fill="002060"/>
            <w:vAlign w:val="center"/>
          </w:tcPr>
          <w:p w14:paraId="6EBDBF76" w14:textId="77777777" w:rsidR="00C025D1" w:rsidRPr="00842D79" w:rsidRDefault="00C025D1" w:rsidP="0042706A">
            <w:pPr>
              <w:spacing w:before="60" w:after="60"/>
              <w:jc w:val="center"/>
              <w:rPr>
                <w:b/>
                <w:sz w:val="18"/>
                <w:szCs w:val="18"/>
              </w:rPr>
            </w:pPr>
            <w:r w:rsidRPr="00842D79">
              <w:rPr>
                <w:b/>
                <w:sz w:val="18"/>
                <w:szCs w:val="18"/>
              </w:rPr>
              <w:t>Tryb zamówienia</w:t>
            </w:r>
          </w:p>
        </w:tc>
        <w:tc>
          <w:tcPr>
            <w:tcW w:w="2127" w:type="dxa"/>
            <w:tcBorders>
              <w:left w:val="single" w:sz="4" w:space="0" w:color="FFFFFF"/>
            </w:tcBorders>
            <w:shd w:val="clear" w:color="auto" w:fill="002060"/>
            <w:vAlign w:val="center"/>
          </w:tcPr>
          <w:p w14:paraId="0066F8BF" w14:textId="77777777" w:rsidR="00C025D1" w:rsidRPr="00842D79" w:rsidRDefault="00C025D1" w:rsidP="0042706A">
            <w:pPr>
              <w:spacing w:before="60" w:after="60"/>
              <w:jc w:val="center"/>
              <w:rPr>
                <w:b/>
                <w:sz w:val="18"/>
                <w:szCs w:val="18"/>
              </w:rPr>
            </w:pPr>
            <w:r w:rsidRPr="00842D79">
              <w:rPr>
                <w:b/>
                <w:sz w:val="18"/>
                <w:szCs w:val="18"/>
              </w:rPr>
              <w:t xml:space="preserve">Odsetek liczby </w:t>
            </w:r>
          </w:p>
        </w:tc>
        <w:tc>
          <w:tcPr>
            <w:tcW w:w="1842" w:type="dxa"/>
            <w:tcBorders>
              <w:left w:val="single" w:sz="4" w:space="0" w:color="FFFFFF"/>
            </w:tcBorders>
            <w:shd w:val="clear" w:color="auto" w:fill="002060"/>
            <w:vAlign w:val="center"/>
          </w:tcPr>
          <w:p w14:paraId="09617A00" w14:textId="77777777" w:rsidR="00C025D1" w:rsidRPr="00842D79" w:rsidRDefault="00C025D1" w:rsidP="0042706A">
            <w:pPr>
              <w:spacing w:before="60" w:after="60"/>
              <w:jc w:val="center"/>
              <w:rPr>
                <w:b/>
                <w:sz w:val="18"/>
                <w:szCs w:val="18"/>
              </w:rPr>
            </w:pPr>
            <w:r w:rsidRPr="00842D79">
              <w:rPr>
                <w:b/>
                <w:sz w:val="18"/>
                <w:szCs w:val="18"/>
              </w:rPr>
              <w:t xml:space="preserve">Odsetek wartości </w:t>
            </w:r>
          </w:p>
        </w:tc>
      </w:tr>
      <w:tr w:rsidR="008B4426" w:rsidRPr="00842D79" w14:paraId="64AB99CA" w14:textId="77777777" w:rsidTr="008B4426">
        <w:tc>
          <w:tcPr>
            <w:tcW w:w="5216" w:type="dxa"/>
            <w:tcBorders>
              <w:right w:val="single" w:sz="4" w:space="0" w:color="FFFFFF"/>
            </w:tcBorders>
            <w:shd w:val="clear" w:color="auto" w:fill="auto"/>
            <w:vAlign w:val="center"/>
          </w:tcPr>
          <w:p w14:paraId="2EA939B0" w14:textId="1F46DAF1" w:rsidR="008B4426" w:rsidRPr="00842D79" w:rsidRDefault="008B4426" w:rsidP="008B4426">
            <w:pPr>
              <w:spacing w:before="60" w:after="60"/>
              <w:jc w:val="left"/>
              <w:rPr>
                <w:sz w:val="18"/>
                <w:szCs w:val="18"/>
              </w:rPr>
            </w:pPr>
            <w:r w:rsidRPr="00842D79">
              <w:rPr>
                <w:sz w:val="18"/>
                <w:szCs w:val="18"/>
              </w:rPr>
              <w:t>Tryb podstawowy, o którym mowa w art. 275 pkt 1 ustawy</w:t>
            </w:r>
            <w:r>
              <w:rPr>
                <w:sz w:val="18"/>
                <w:szCs w:val="18"/>
              </w:rPr>
              <w:t xml:space="preserve"> Pzp</w:t>
            </w:r>
          </w:p>
        </w:tc>
        <w:tc>
          <w:tcPr>
            <w:tcW w:w="2127" w:type="dxa"/>
            <w:tcBorders>
              <w:left w:val="single" w:sz="4" w:space="0" w:color="FFFFFF"/>
            </w:tcBorders>
            <w:shd w:val="clear" w:color="auto" w:fill="auto"/>
            <w:vAlign w:val="center"/>
          </w:tcPr>
          <w:p w14:paraId="2D16CE1C" w14:textId="517B9750" w:rsidR="008B4426" w:rsidRPr="008B4426" w:rsidRDefault="008B4426" w:rsidP="008B4426">
            <w:pPr>
              <w:spacing w:before="60" w:after="60"/>
              <w:jc w:val="center"/>
              <w:rPr>
                <w:rFonts w:cs="Arial"/>
                <w:sz w:val="18"/>
                <w:szCs w:val="18"/>
              </w:rPr>
            </w:pPr>
            <w:r w:rsidRPr="008B4426">
              <w:rPr>
                <w:rFonts w:cs="Arial"/>
                <w:color w:val="000000"/>
                <w:sz w:val="18"/>
                <w:szCs w:val="18"/>
              </w:rPr>
              <w:t>79,03%</w:t>
            </w:r>
          </w:p>
        </w:tc>
        <w:tc>
          <w:tcPr>
            <w:tcW w:w="1842" w:type="dxa"/>
            <w:tcBorders>
              <w:left w:val="single" w:sz="4" w:space="0" w:color="FFFFFF"/>
            </w:tcBorders>
            <w:shd w:val="clear" w:color="auto" w:fill="auto"/>
            <w:vAlign w:val="center"/>
          </w:tcPr>
          <w:p w14:paraId="5EEDD259" w14:textId="4BFD697F" w:rsidR="008B4426" w:rsidRPr="008B4426" w:rsidRDefault="0077129F" w:rsidP="008B4426">
            <w:pPr>
              <w:autoSpaceDE w:val="0"/>
              <w:autoSpaceDN w:val="0"/>
              <w:adjustRightInd w:val="0"/>
              <w:jc w:val="center"/>
              <w:rPr>
                <w:rFonts w:cs="Arial"/>
                <w:color w:val="000000"/>
                <w:sz w:val="18"/>
                <w:szCs w:val="18"/>
              </w:rPr>
            </w:pPr>
            <w:r>
              <w:rPr>
                <w:rFonts w:cs="Arial"/>
                <w:color w:val="000000"/>
                <w:sz w:val="18"/>
                <w:szCs w:val="18"/>
              </w:rPr>
              <w:t>80,40</w:t>
            </w:r>
            <w:r w:rsidR="008B4426" w:rsidRPr="008B4426">
              <w:rPr>
                <w:rFonts w:cs="Arial"/>
                <w:color w:val="000000"/>
                <w:sz w:val="18"/>
                <w:szCs w:val="18"/>
              </w:rPr>
              <w:t>%</w:t>
            </w:r>
          </w:p>
        </w:tc>
      </w:tr>
      <w:tr w:rsidR="008B4426" w:rsidRPr="00842D79" w14:paraId="371DC656" w14:textId="77777777" w:rsidTr="008B4426">
        <w:tc>
          <w:tcPr>
            <w:tcW w:w="5216" w:type="dxa"/>
            <w:tcBorders>
              <w:right w:val="single" w:sz="4" w:space="0" w:color="FFFFFF"/>
            </w:tcBorders>
            <w:shd w:val="clear" w:color="auto" w:fill="00B0F0"/>
            <w:vAlign w:val="center"/>
          </w:tcPr>
          <w:p w14:paraId="2637C515" w14:textId="0131D2E2" w:rsidR="008B4426" w:rsidRPr="00842D79" w:rsidRDefault="008B4426" w:rsidP="008B4426">
            <w:pPr>
              <w:spacing w:before="60" w:after="60"/>
              <w:jc w:val="left"/>
              <w:rPr>
                <w:sz w:val="18"/>
                <w:szCs w:val="18"/>
              </w:rPr>
            </w:pPr>
            <w:r w:rsidRPr="00842D79">
              <w:rPr>
                <w:sz w:val="18"/>
                <w:szCs w:val="18"/>
              </w:rPr>
              <w:t>Tryb podstawowy, o którym mowa w art. 275 pkt 2 ustawy</w:t>
            </w:r>
            <w:r>
              <w:rPr>
                <w:sz w:val="18"/>
                <w:szCs w:val="18"/>
              </w:rPr>
              <w:t xml:space="preserve"> Pzp</w:t>
            </w:r>
          </w:p>
        </w:tc>
        <w:tc>
          <w:tcPr>
            <w:tcW w:w="2127" w:type="dxa"/>
            <w:tcBorders>
              <w:left w:val="single" w:sz="4" w:space="0" w:color="FFFFFF"/>
            </w:tcBorders>
            <w:shd w:val="clear" w:color="auto" w:fill="00B0F0"/>
            <w:vAlign w:val="center"/>
          </w:tcPr>
          <w:p w14:paraId="44908348" w14:textId="5ADA9CED" w:rsidR="008B4426" w:rsidRPr="008B4426" w:rsidRDefault="008B4426" w:rsidP="008B4426">
            <w:pPr>
              <w:spacing w:before="60" w:after="60"/>
              <w:jc w:val="center"/>
              <w:rPr>
                <w:rFonts w:cs="Arial"/>
                <w:sz w:val="18"/>
                <w:szCs w:val="18"/>
              </w:rPr>
            </w:pPr>
            <w:r w:rsidRPr="008B4426">
              <w:rPr>
                <w:rFonts w:cs="Arial"/>
                <w:color w:val="000000"/>
                <w:sz w:val="18"/>
                <w:szCs w:val="18"/>
              </w:rPr>
              <w:t>11,25%</w:t>
            </w:r>
          </w:p>
        </w:tc>
        <w:tc>
          <w:tcPr>
            <w:tcW w:w="1842" w:type="dxa"/>
            <w:tcBorders>
              <w:left w:val="single" w:sz="4" w:space="0" w:color="FFFFFF"/>
            </w:tcBorders>
            <w:shd w:val="clear" w:color="auto" w:fill="00B0F0"/>
            <w:vAlign w:val="center"/>
          </w:tcPr>
          <w:p w14:paraId="77093406" w14:textId="4B18BCF3" w:rsidR="008B4426" w:rsidRPr="008B4426" w:rsidRDefault="008B4426" w:rsidP="008B4426">
            <w:pPr>
              <w:autoSpaceDE w:val="0"/>
              <w:autoSpaceDN w:val="0"/>
              <w:adjustRightInd w:val="0"/>
              <w:jc w:val="center"/>
              <w:rPr>
                <w:rFonts w:cs="Arial"/>
                <w:color w:val="000000"/>
                <w:sz w:val="18"/>
                <w:szCs w:val="18"/>
              </w:rPr>
            </w:pPr>
            <w:r w:rsidRPr="008B4426">
              <w:rPr>
                <w:rFonts w:cs="Arial"/>
                <w:color w:val="000000"/>
                <w:sz w:val="18"/>
                <w:szCs w:val="18"/>
              </w:rPr>
              <w:t>15,13%</w:t>
            </w:r>
          </w:p>
        </w:tc>
      </w:tr>
      <w:tr w:rsidR="008B4426" w:rsidRPr="00842D79" w14:paraId="66B2D8FB" w14:textId="77777777" w:rsidTr="008B4426">
        <w:tc>
          <w:tcPr>
            <w:tcW w:w="5216" w:type="dxa"/>
            <w:tcBorders>
              <w:right w:val="single" w:sz="4" w:space="0" w:color="FFFFFF"/>
            </w:tcBorders>
            <w:shd w:val="clear" w:color="auto" w:fill="auto"/>
            <w:vAlign w:val="center"/>
          </w:tcPr>
          <w:p w14:paraId="0C4EAA56" w14:textId="6F92AD68" w:rsidR="008B4426" w:rsidRPr="00842D79" w:rsidRDefault="008B4426" w:rsidP="008B4426">
            <w:pPr>
              <w:spacing w:before="60" w:after="60"/>
              <w:jc w:val="left"/>
              <w:rPr>
                <w:sz w:val="18"/>
                <w:szCs w:val="18"/>
              </w:rPr>
            </w:pPr>
            <w:r w:rsidRPr="00842D79">
              <w:rPr>
                <w:sz w:val="18"/>
                <w:szCs w:val="18"/>
              </w:rPr>
              <w:t>Tryb podstawowy, o którym mowa w art. 275 pkt 3 ustawy</w:t>
            </w:r>
            <w:r>
              <w:rPr>
                <w:sz w:val="18"/>
                <w:szCs w:val="18"/>
              </w:rPr>
              <w:t xml:space="preserve"> Pzp</w:t>
            </w:r>
          </w:p>
        </w:tc>
        <w:tc>
          <w:tcPr>
            <w:tcW w:w="2127" w:type="dxa"/>
            <w:tcBorders>
              <w:left w:val="single" w:sz="4" w:space="0" w:color="FFFFFF"/>
            </w:tcBorders>
            <w:shd w:val="clear" w:color="auto" w:fill="auto"/>
            <w:vAlign w:val="center"/>
          </w:tcPr>
          <w:p w14:paraId="40E95798" w14:textId="4883295D" w:rsidR="008B4426" w:rsidRPr="008B4426" w:rsidRDefault="008B4426" w:rsidP="008B4426">
            <w:pPr>
              <w:spacing w:before="60" w:after="60"/>
              <w:jc w:val="center"/>
              <w:rPr>
                <w:rFonts w:cs="Arial"/>
                <w:sz w:val="18"/>
                <w:szCs w:val="18"/>
              </w:rPr>
            </w:pPr>
            <w:r w:rsidRPr="008B4426">
              <w:rPr>
                <w:rFonts w:cs="Arial"/>
                <w:color w:val="000000"/>
                <w:sz w:val="18"/>
                <w:szCs w:val="18"/>
              </w:rPr>
              <w:t>0,06%</w:t>
            </w:r>
          </w:p>
        </w:tc>
        <w:tc>
          <w:tcPr>
            <w:tcW w:w="1842" w:type="dxa"/>
            <w:tcBorders>
              <w:left w:val="single" w:sz="4" w:space="0" w:color="FFFFFF"/>
            </w:tcBorders>
            <w:shd w:val="clear" w:color="auto" w:fill="auto"/>
            <w:vAlign w:val="center"/>
          </w:tcPr>
          <w:p w14:paraId="52D23E74" w14:textId="4AA52E66" w:rsidR="008B4426" w:rsidRPr="008B4426" w:rsidRDefault="008B4426" w:rsidP="008B4426">
            <w:pPr>
              <w:autoSpaceDE w:val="0"/>
              <w:autoSpaceDN w:val="0"/>
              <w:adjustRightInd w:val="0"/>
              <w:jc w:val="center"/>
              <w:rPr>
                <w:rFonts w:cs="Arial"/>
                <w:color w:val="000000"/>
                <w:sz w:val="18"/>
                <w:szCs w:val="18"/>
              </w:rPr>
            </w:pPr>
            <w:r w:rsidRPr="008B4426">
              <w:rPr>
                <w:rFonts w:cs="Arial"/>
                <w:color w:val="000000"/>
                <w:sz w:val="18"/>
                <w:szCs w:val="18"/>
              </w:rPr>
              <w:t>0,05%</w:t>
            </w:r>
          </w:p>
        </w:tc>
      </w:tr>
      <w:tr w:rsidR="008B4426" w:rsidRPr="00842D79" w14:paraId="1C12EFE6" w14:textId="77777777" w:rsidTr="008B4426">
        <w:tc>
          <w:tcPr>
            <w:tcW w:w="5216" w:type="dxa"/>
            <w:tcBorders>
              <w:right w:val="single" w:sz="4" w:space="0" w:color="FFFFFF"/>
            </w:tcBorders>
            <w:shd w:val="clear" w:color="auto" w:fill="00B0F0"/>
            <w:vAlign w:val="center"/>
          </w:tcPr>
          <w:p w14:paraId="763B0426" w14:textId="77777777" w:rsidR="008B4426" w:rsidRPr="00842D79" w:rsidRDefault="008B4426" w:rsidP="008B4426">
            <w:pPr>
              <w:spacing w:before="60" w:after="60"/>
              <w:jc w:val="left"/>
              <w:rPr>
                <w:sz w:val="18"/>
                <w:szCs w:val="18"/>
              </w:rPr>
            </w:pPr>
            <w:r w:rsidRPr="00842D79">
              <w:rPr>
                <w:sz w:val="18"/>
                <w:szCs w:val="18"/>
              </w:rPr>
              <w:t>Partnerstwo innowacyjne</w:t>
            </w:r>
          </w:p>
        </w:tc>
        <w:tc>
          <w:tcPr>
            <w:tcW w:w="2127" w:type="dxa"/>
            <w:tcBorders>
              <w:left w:val="single" w:sz="4" w:space="0" w:color="FFFFFF"/>
            </w:tcBorders>
            <w:shd w:val="clear" w:color="auto" w:fill="00B0F0"/>
            <w:vAlign w:val="center"/>
          </w:tcPr>
          <w:p w14:paraId="511B2662" w14:textId="0162A325" w:rsidR="008B4426" w:rsidRPr="008B4426" w:rsidRDefault="008B4426" w:rsidP="008B4426">
            <w:pPr>
              <w:spacing w:before="60" w:after="60"/>
              <w:jc w:val="center"/>
              <w:rPr>
                <w:rFonts w:cs="Arial"/>
                <w:sz w:val="18"/>
                <w:szCs w:val="18"/>
              </w:rPr>
            </w:pPr>
            <w:r w:rsidRPr="008B4426">
              <w:rPr>
                <w:rFonts w:cs="Arial"/>
                <w:color w:val="000000"/>
                <w:sz w:val="18"/>
                <w:szCs w:val="18"/>
              </w:rPr>
              <w:t>0,00%</w:t>
            </w:r>
          </w:p>
        </w:tc>
        <w:tc>
          <w:tcPr>
            <w:tcW w:w="1842" w:type="dxa"/>
            <w:tcBorders>
              <w:left w:val="single" w:sz="4" w:space="0" w:color="FFFFFF"/>
            </w:tcBorders>
            <w:shd w:val="clear" w:color="auto" w:fill="00B0F0"/>
            <w:vAlign w:val="center"/>
          </w:tcPr>
          <w:p w14:paraId="199C4BC1" w14:textId="2B045319" w:rsidR="008B4426" w:rsidRPr="008B4426" w:rsidRDefault="008B4426" w:rsidP="008B4426">
            <w:pPr>
              <w:autoSpaceDE w:val="0"/>
              <w:autoSpaceDN w:val="0"/>
              <w:adjustRightInd w:val="0"/>
              <w:jc w:val="center"/>
              <w:rPr>
                <w:rFonts w:cs="Arial"/>
                <w:color w:val="000000"/>
                <w:sz w:val="18"/>
                <w:szCs w:val="18"/>
              </w:rPr>
            </w:pPr>
            <w:r w:rsidRPr="008B4426">
              <w:rPr>
                <w:rFonts w:cs="Arial"/>
                <w:color w:val="000000"/>
                <w:sz w:val="18"/>
                <w:szCs w:val="18"/>
              </w:rPr>
              <w:t>0,00%</w:t>
            </w:r>
          </w:p>
        </w:tc>
      </w:tr>
      <w:tr w:rsidR="008B4426" w:rsidRPr="00842D79" w14:paraId="64CD1F36" w14:textId="77777777" w:rsidTr="008B4426">
        <w:tc>
          <w:tcPr>
            <w:tcW w:w="5216" w:type="dxa"/>
            <w:tcBorders>
              <w:right w:val="single" w:sz="4" w:space="0" w:color="FFFFFF"/>
            </w:tcBorders>
            <w:shd w:val="clear" w:color="auto" w:fill="auto"/>
            <w:vAlign w:val="center"/>
          </w:tcPr>
          <w:p w14:paraId="1D8A1AA8" w14:textId="77777777" w:rsidR="008B4426" w:rsidRPr="00842D79" w:rsidRDefault="008B4426" w:rsidP="008B4426">
            <w:pPr>
              <w:spacing w:before="60" w:after="60"/>
              <w:jc w:val="left"/>
              <w:rPr>
                <w:sz w:val="18"/>
                <w:szCs w:val="18"/>
              </w:rPr>
            </w:pPr>
            <w:r w:rsidRPr="00842D79">
              <w:rPr>
                <w:sz w:val="18"/>
                <w:szCs w:val="18"/>
              </w:rPr>
              <w:t>Negocjacje bez ogłoszenia</w:t>
            </w:r>
          </w:p>
        </w:tc>
        <w:tc>
          <w:tcPr>
            <w:tcW w:w="2127" w:type="dxa"/>
            <w:tcBorders>
              <w:left w:val="single" w:sz="4" w:space="0" w:color="FFFFFF"/>
            </w:tcBorders>
            <w:shd w:val="clear" w:color="auto" w:fill="auto"/>
            <w:vAlign w:val="center"/>
          </w:tcPr>
          <w:p w14:paraId="562D592D" w14:textId="4A56FF36" w:rsidR="008B4426" w:rsidRPr="008B4426" w:rsidRDefault="008B4426" w:rsidP="008B4426">
            <w:pPr>
              <w:spacing w:before="60" w:after="60"/>
              <w:jc w:val="center"/>
              <w:rPr>
                <w:rFonts w:cs="Arial"/>
                <w:sz w:val="18"/>
                <w:szCs w:val="18"/>
              </w:rPr>
            </w:pPr>
            <w:r w:rsidRPr="008B4426">
              <w:rPr>
                <w:rFonts w:cs="Arial"/>
                <w:color w:val="000000"/>
                <w:sz w:val="18"/>
                <w:szCs w:val="18"/>
              </w:rPr>
              <w:t>0,07%</w:t>
            </w:r>
          </w:p>
        </w:tc>
        <w:tc>
          <w:tcPr>
            <w:tcW w:w="1842" w:type="dxa"/>
            <w:tcBorders>
              <w:left w:val="single" w:sz="4" w:space="0" w:color="FFFFFF"/>
            </w:tcBorders>
            <w:shd w:val="clear" w:color="auto" w:fill="auto"/>
            <w:vAlign w:val="center"/>
          </w:tcPr>
          <w:p w14:paraId="24C2EB64" w14:textId="64E65722" w:rsidR="008B4426" w:rsidRPr="008B4426" w:rsidRDefault="008B4426" w:rsidP="008B4426">
            <w:pPr>
              <w:autoSpaceDE w:val="0"/>
              <w:autoSpaceDN w:val="0"/>
              <w:adjustRightInd w:val="0"/>
              <w:jc w:val="center"/>
              <w:rPr>
                <w:rFonts w:cs="Arial"/>
                <w:color w:val="000000"/>
                <w:sz w:val="18"/>
                <w:szCs w:val="18"/>
              </w:rPr>
            </w:pPr>
            <w:r w:rsidRPr="008B4426">
              <w:rPr>
                <w:rFonts w:cs="Arial"/>
                <w:color w:val="000000"/>
                <w:sz w:val="18"/>
                <w:szCs w:val="18"/>
              </w:rPr>
              <w:t>0,09%</w:t>
            </w:r>
          </w:p>
        </w:tc>
      </w:tr>
      <w:tr w:rsidR="008B4426" w:rsidRPr="00842D79" w14:paraId="290A84B0" w14:textId="77777777" w:rsidTr="008B4426">
        <w:tc>
          <w:tcPr>
            <w:tcW w:w="5216" w:type="dxa"/>
            <w:tcBorders>
              <w:right w:val="single" w:sz="4" w:space="0" w:color="FFFFFF"/>
            </w:tcBorders>
            <w:shd w:val="clear" w:color="auto" w:fill="00B0F0"/>
            <w:vAlign w:val="center"/>
          </w:tcPr>
          <w:p w14:paraId="2C334A30" w14:textId="77777777" w:rsidR="008B4426" w:rsidRPr="00842D79" w:rsidRDefault="008B4426" w:rsidP="008B4426">
            <w:pPr>
              <w:spacing w:before="60" w:after="60"/>
              <w:jc w:val="left"/>
              <w:rPr>
                <w:sz w:val="18"/>
                <w:szCs w:val="18"/>
              </w:rPr>
            </w:pPr>
            <w:r w:rsidRPr="00842D79">
              <w:rPr>
                <w:sz w:val="18"/>
                <w:szCs w:val="18"/>
              </w:rPr>
              <w:t>Zamówienie z wolnej ręki</w:t>
            </w:r>
          </w:p>
        </w:tc>
        <w:tc>
          <w:tcPr>
            <w:tcW w:w="2127" w:type="dxa"/>
            <w:tcBorders>
              <w:left w:val="single" w:sz="4" w:space="0" w:color="FFFFFF"/>
            </w:tcBorders>
            <w:shd w:val="clear" w:color="auto" w:fill="00B0F0"/>
            <w:vAlign w:val="center"/>
          </w:tcPr>
          <w:p w14:paraId="46B1D8AC" w14:textId="0A793A3F" w:rsidR="008B4426" w:rsidRPr="008B4426" w:rsidRDefault="008B4426" w:rsidP="0077129F">
            <w:pPr>
              <w:spacing w:before="60" w:after="60"/>
              <w:jc w:val="center"/>
              <w:rPr>
                <w:rFonts w:cs="Arial"/>
                <w:sz w:val="18"/>
                <w:szCs w:val="18"/>
              </w:rPr>
            </w:pPr>
            <w:r w:rsidRPr="008B4426">
              <w:rPr>
                <w:rFonts w:cs="Arial"/>
                <w:color w:val="000000"/>
                <w:sz w:val="18"/>
                <w:szCs w:val="18"/>
              </w:rPr>
              <w:t>9,5</w:t>
            </w:r>
            <w:r w:rsidR="0077129F">
              <w:rPr>
                <w:rFonts w:cs="Arial"/>
                <w:color w:val="000000"/>
                <w:sz w:val="18"/>
                <w:szCs w:val="18"/>
              </w:rPr>
              <w:t>9</w:t>
            </w:r>
            <w:r w:rsidRPr="008B4426">
              <w:rPr>
                <w:rFonts w:cs="Arial"/>
                <w:color w:val="000000"/>
                <w:sz w:val="18"/>
                <w:szCs w:val="18"/>
              </w:rPr>
              <w:t>%</w:t>
            </w:r>
          </w:p>
        </w:tc>
        <w:tc>
          <w:tcPr>
            <w:tcW w:w="1842" w:type="dxa"/>
            <w:tcBorders>
              <w:left w:val="single" w:sz="4" w:space="0" w:color="FFFFFF"/>
            </w:tcBorders>
            <w:shd w:val="clear" w:color="auto" w:fill="00B0F0"/>
            <w:vAlign w:val="center"/>
          </w:tcPr>
          <w:p w14:paraId="2FD21208" w14:textId="7B30C03F" w:rsidR="008B4426" w:rsidRPr="008B4426" w:rsidRDefault="008B4426" w:rsidP="008B4426">
            <w:pPr>
              <w:autoSpaceDE w:val="0"/>
              <w:autoSpaceDN w:val="0"/>
              <w:adjustRightInd w:val="0"/>
              <w:jc w:val="center"/>
              <w:rPr>
                <w:rFonts w:cs="Arial"/>
                <w:color w:val="000000"/>
                <w:sz w:val="18"/>
                <w:szCs w:val="18"/>
              </w:rPr>
            </w:pPr>
            <w:r w:rsidRPr="008B4426">
              <w:rPr>
                <w:rFonts w:cs="Arial"/>
                <w:color w:val="000000"/>
                <w:sz w:val="18"/>
                <w:szCs w:val="18"/>
              </w:rPr>
              <w:t>4,33%</w:t>
            </w:r>
          </w:p>
        </w:tc>
      </w:tr>
    </w:tbl>
    <w:p w14:paraId="13912E3B" w14:textId="4E6AABBB" w:rsidR="00C025D1" w:rsidRDefault="00C025D1" w:rsidP="00C025D1">
      <w:pPr>
        <w:rPr>
          <w:szCs w:val="22"/>
        </w:rPr>
      </w:pPr>
    </w:p>
    <w:p w14:paraId="6D4AFC73" w14:textId="77777777" w:rsidR="00866422" w:rsidRDefault="00866422" w:rsidP="00C025D1">
      <w:pPr>
        <w:rPr>
          <w:szCs w:val="22"/>
        </w:rPr>
      </w:pPr>
    </w:p>
    <w:p w14:paraId="28E83C90" w14:textId="2191D847" w:rsidR="00575237" w:rsidRDefault="00866422" w:rsidP="00C025D1">
      <w:pPr>
        <w:rPr>
          <w:szCs w:val="22"/>
        </w:rPr>
      </w:pPr>
      <w:r>
        <w:rPr>
          <w:szCs w:val="22"/>
        </w:rPr>
        <w:t xml:space="preserve">Podobnie w przypadku zamówień o wartościach </w:t>
      </w:r>
      <w:r w:rsidR="00A31147" w:rsidRPr="00A31147">
        <w:rPr>
          <w:szCs w:val="22"/>
        </w:rPr>
        <w:t xml:space="preserve">równych lub przekraczających progi unijne </w:t>
      </w:r>
      <w:r w:rsidR="00B703A2">
        <w:rPr>
          <w:szCs w:val="22"/>
        </w:rPr>
        <w:t>–</w:t>
      </w:r>
      <w:r>
        <w:rPr>
          <w:szCs w:val="22"/>
        </w:rPr>
        <w:t xml:space="preserve"> </w:t>
      </w:r>
      <w:r w:rsidR="00B703A2">
        <w:rPr>
          <w:szCs w:val="22"/>
        </w:rPr>
        <w:t xml:space="preserve">w trybie przetargu nieograniczonego udzielono ponad 88% zamówień </w:t>
      </w:r>
      <w:r w:rsidR="007779F3">
        <w:rPr>
          <w:szCs w:val="22"/>
        </w:rPr>
        <w:t>i wydatkowano ponad 83% środków.</w:t>
      </w:r>
    </w:p>
    <w:p w14:paraId="43A73C30" w14:textId="77777777" w:rsidR="00C025D1" w:rsidRDefault="00C025D1" w:rsidP="00C025D1">
      <w:pPr>
        <w:rPr>
          <w:szCs w:val="22"/>
        </w:rPr>
      </w:pPr>
    </w:p>
    <w:p w14:paraId="01BCE478" w14:textId="2EBDD616" w:rsidR="00C025D1" w:rsidRDefault="00C025D1" w:rsidP="00C025D1">
      <w:pPr>
        <w:pStyle w:val="Legenda"/>
      </w:pPr>
      <w:bookmarkStart w:id="82" w:name="_Toc141276514"/>
      <w:r w:rsidRPr="008D219A">
        <w:t xml:space="preserve">Tab. </w:t>
      </w:r>
      <w:r w:rsidR="00BE2079">
        <w:fldChar w:fldCharType="begin"/>
      </w:r>
      <w:r w:rsidR="00BE2079">
        <w:instrText xml:space="preserve"> SEQ Tab. \* ARABIC </w:instrText>
      </w:r>
      <w:r w:rsidR="00BE2079">
        <w:fldChar w:fldCharType="separate"/>
      </w:r>
      <w:r w:rsidR="00A43C68">
        <w:rPr>
          <w:noProof/>
        </w:rPr>
        <w:t>7</w:t>
      </w:r>
      <w:r w:rsidR="00BE2079">
        <w:rPr>
          <w:noProof/>
        </w:rPr>
        <w:fldChar w:fldCharType="end"/>
      </w:r>
      <w:r w:rsidRPr="008D219A">
        <w:t xml:space="preserve">. Zamówienia o wartościach </w:t>
      </w:r>
      <w:r w:rsidR="00A31147" w:rsidRPr="00A31147">
        <w:t xml:space="preserve">równych lub przekraczających progi unijne </w:t>
      </w:r>
      <w:r w:rsidRPr="008D219A">
        <w:t>udzielone w 202</w:t>
      </w:r>
      <w:r w:rsidR="008D219A" w:rsidRPr="008D219A">
        <w:t>2</w:t>
      </w:r>
      <w:r w:rsidRPr="008D219A">
        <w:t xml:space="preserve"> r. na podstawie zarówno przepisów </w:t>
      </w:r>
      <w:r w:rsidR="00013938" w:rsidRPr="008D219A">
        <w:t xml:space="preserve">ustawy </w:t>
      </w:r>
      <w:r w:rsidRPr="008D219A">
        <w:t>Pzp z 2004 r.</w:t>
      </w:r>
      <w:r w:rsidR="00447DF9">
        <w:t>,</w:t>
      </w:r>
      <w:r w:rsidRPr="008D219A">
        <w:t xml:space="preserve"> jak i </w:t>
      </w:r>
      <w:r w:rsidR="00013938" w:rsidRPr="008D219A">
        <w:t xml:space="preserve">ustawy </w:t>
      </w:r>
      <w:r w:rsidR="003956F6">
        <w:t>Pzp</w:t>
      </w:r>
      <w:bookmarkEnd w:id="82"/>
    </w:p>
    <w:tbl>
      <w:tblPr>
        <w:tblW w:w="7484" w:type="dxa"/>
        <w:tblInd w:w="-5" w:type="dxa"/>
        <w:tblLayout w:type="fixed"/>
        <w:tblLook w:val="04A0" w:firstRow="1" w:lastRow="0" w:firstColumn="1" w:lastColumn="0" w:noHBand="0" w:noVBand="1"/>
      </w:tblPr>
      <w:tblGrid>
        <w:gridCol w:w="3515"/>
        <w:gridCol w:w="1984"/>
        <w:gridCol w:w="1985"/>
      </w:tblGrid>
      <w:tr w:rsidR="00C025D1" w:rsidRPr="00842D79" w14:paraId="4C8429FA" w14:textId="77777777" w:rsidTr="0042706A">
        <w:trPr>
          <w:tblHeader/>
        </w:trPr>
        <w:tc>
          <w:tcPr>
            <w:tcW w:w="3515" w:type="dxa"/>
            <w:tcBorders>
              <w:right w:val="single" w:sz="4" w:space="0" w:color="FFFFFF"/>
            </w:tcBorders>
            <w:shd w:val="clear" w:color="auto" w:fill="002060"/>
            <w:vAlign w:val="center"/>
          </w:tcPr>
          <w:p w14:paraId="469579B4" w14:textId="77777777" w:rsidR="00C025D1" w:rsidRPr="00842D79" w:rsidRDefault="00C025D1" w:rsidP="0042706A">
            <w:pPr>
              <w:spacing w:before="60" w:after="60"/>
              <w:jc w:val="center"/>
              <w:rPr>
                <w:b/>
                <w:sz w:val="18"/>
                <w:szCs w:val="18"/>
              </w:rPr>
            </w:pPr>
            <w:r w:rsidRPr="00842D79">
              <w:rPr>
                <w:b/>
                <w:sz w:val="18"/>
                <w:szCs w:val="18"/>
              </w:rPr>
              <w:t>Tryb zamówienia</w:t>
            </w:r>
          </w:p>
        </w:tc>
        <w:tc>
          <w:tcPr>
            <w:tcW w:w="1984" w:type="dxa"/>
            <w:tcBorders>
              <w:left w:val="single" w:sz="4" w:space="0" w:color="FFFFFF"/>
            </w:tcBorders>
            <w:shd w:val="clear" w:color="auto" w:fill="002060"/>
            <w:vAlign w:val="center"/>
          </w:tcPr>
          <w:p w14:paraId="6F6ACB60" w14:textId="77777777" w:rsidR="00C025D1" w:rsidRPr="00842D79" w:rsidRDefault="00C025D1" w:rsidP="0042706A">
            <w:pPr>
              <w:spacing w:before="60" w:after="60"/>
              <w:jc w:val="center"/>
              <w:rPr>
                <w:b/>
                <w:sz w:val="18"/>
                <w:szCs w:val="18"/>
              </w:rPr>
            </w:pPr>
            <w:r w:rsidRPr="00842D79">
              <w:rPr>
                <w:b/>
                <w:sz w:val="18"/>
                <w:szCs w:val="18"/>
              </w:rPr>
              <w:t xml:space="preserve">Odsetek liczby </w:t>
            </w:r>
          </w:p>
        </w:tc>
        <w:tc>
          <w:tcPr>
            <w:tcW w:w="1985" w:type="dxa"/>
            <w:tcBorders>
              <w:left w:val="single" w:sz="4" w:space="0" w:color="FFFFFF"/>
            </w:tcBorders>
            <w:shd w:val="clear" w:color="auto" w:fill="002060"/>
            <w:vAlign w:val="center"/>
          </w:tcPr>
          <w:p w14:paraId="6F0922AD" w14:textId="77777777" w:rsidR="00C025D1" w:rsidRPr="00842D79" w:rsidRDefault="00C025D1" w:rsidP="0042706A">
            <w:pPr>
              <w:spacing w:before="60" w:after="60"/>
              <w:jc w:val="center"/>
              <w:rPr>
                <w:b/>
                <w:sz w:val="18"/>
                <w:szCs w:val="18"/>
              </w:rPr>
            </w:pPr>
            <w:r w:rsidRPr="00842D79">
              <w:rPr>
                <w:b/>
                <w:sz w:val="18"/>
                <w:szCs w:val="18"/>
              </w:rPr>
              <w:t xml:space="preserve">Odsetek wartości </w:t>
            </w:r>
          </w:p>
        </w:tc>
      </w:tr>
      <w:tr w:rsidR="00B703A2" w:rsidRPr="00842D79" w14:paraId="688E7057" w14:textId="77777777" w:rsidTr="00B703A2">
        <w:tc>
          <w:tcPr>
            <w:tcW w:w="3515" w:type="dxa"/>
            <w:tcBorders>
              <w:right w:val="single" w:sz="4" w:space="0" w:color="FFFFFF"/>
            </w:tcBorders>
            <w:shd w:val="clear" w:color="auto" w:fill="auto"/>
            <w:vAlign w:val="center"/>
          </w:tcPr>
          <w:p w14:paraId="054B41A7"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nieograniczony</w:t>
            </w:r>
          </w:p>
        </w:tc>
        <w:tc>
          <w:tcPr>
            <w:tcW w:w="1984" w:type="dxa"/>
            <w:tcBorders>
              <w:left w:val="single" w:sz="4" w:space="0" w:color="FFFFFF"/>
            </w:tcBorders>
            <w:shd w:val="clear" w:color="auto" w:fill="auto"/>
            <w:vAlign w:val="center"/>
          </w:tcPr>
          <w:p w14:paraId="33225160" w14:textId="348FA744"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88,10%</w:t>
            </w:r>
          </w:p>
        </w:tc>
        <w:tc>
          <w:tcPr>
            <w:tcW w:w="1985" w:type="dxa"/>
            <w:tcBorders>
              <w:left w:val="single" w:sz="4" w:space="0" w:color="FFFFFF"/>
            </w:tcBorders>
            <w:shd w:val="clear" w:color="auto" w:fill="auto"/>
            <w:vAlign w:val="center"/>
          </w:tcPr>
          <w:p w14:paraId="4698A212" w14:textId="493CB0BD"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83,33%</w:t>
            </w:r>
          </w:p>
        </w:tc>
      </w:tr>
      <w:tr w:rsidR="00B703A2" w:rsidRPr="00842D79" w14:paraId="4DF6CEF7" w14:textId="77777777" w:rsidTr="00B703A2">
        <w:tc>
          <w:tcPr>
            <w:tcW w:w="3515" w:type="dxa"/>
            <w:tcBorders>
              <w:right w:val="single" w:sz="4" w:space="0" w:color="FFFFFF"/>
            </w:tcBorders>
            <w:shd w:val="clear" w:color="auto" w:fill="00B0F0"/>
            <w:vAlign w:val="center"/>
          </w:tcPr>
          <w:p w14:paraId="3B78B7B6"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ograniczony</w:t>
            </w:r>
          </w:p>
        </w:tc>
        <w:tc>
          <w:tcPr>
            <w:tcW w:w="1984" w:type="dxa"/>
            <w:tcBorders>
              <w:left w:val="single" w:sz="4" w:space="0" w:color="FFFFFF"/>
            </w:tcBorders>
            <w:shd w:val="clear" w:color="auto" w:fill="00B0F0"/>
            <w:vAlign w:val="center"/>
          </w:tcPr>
          <w:p w14:paraId="212C8F7F" w14:textId="33D73050"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0,74%</w:t>
            </w:r>
          </w:p>
        </w:tc>
        <w:tc>
          <w:tcPr>
            <w:tcW w:w="1985" w:type="dxa"/>
            <w:tcBorders>
              <w:left w:val="single" w:sz="4" w:space="0" w:color="FFFFFF"/>
            </w:tcBorders>
            <w:shd w:val="clear" w:color="auto" w:fill="00B0F0"/>
            <w:vAlign w:val="center"/>
          </w:tcPr>
          <w:p w14:paraId="4589AE76" w14:textId="0210C39E"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1,82%</w:t>
            </w:r>
          </w:p>
        </w:tc>
      </w:tr>
      <w:tr w:rsidR="00B703A2" w:rsidRPr="00842D79" w14:paraId="54F7628A" w14:textId="77777777" w:rsidTr="00B703A2">
        <w:tc>
          <w:tcPr>
            <w:tcW w:w="3515" w:type="dxa"/>
            <w:tcBorders>
              <w:right w:val="single" w:sz="4" w:space="0" w:color="FFFFFF"/>
            </w:tcBorders>
            <w:shd w:val="clear" w:color="auto" w:fill="auto"/>
            <w:vAlign w:val="center"/>
          </w:tcPr>
          <w:p w14:paraId="106EBB5E"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z ogłoszeniem</w:t>
            </w:r>
          </w:p>
        </w:tc>
        <w:tc>
          <w:tcPr>
            <w:tcW w:w="1984" w:type="dxa"/>
            <w:tcBorders>
              <w:left w:val="single" w:sz="4" w:space="0" w:color="FFFFFF"/>
            </w:tcBorders>
            <w:shd w:val="clear" w:color="auto" w:fill="auto"/>
            <w:vAlign w:val="center"/>
          </w:tcPr>
          <w:p w14:paraId="0316AC44" w14:textId="6B9D3C80"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0,2</w:t>
            </w:r>
            <w:r>
              <w:rPr>
                <w:rFonts w:cs="Arial"/>
                <w:color w:val="000000"/>
                <w:sz w:val="18"/>
                <w:szCs w:val="18"/>
              </w:rPr>
              <w:t>1</w:t>
            </w:r>
            <w:r w:rsidRPr="00B703A2">
              <w:rPr>
                <w:rFonts w:cs="Arial"/>
                <w:color w:val="000000"/>
                <w:sz w:val="18"/>
                <w:szCs w:val="18"/>
              </w:rPr>
              <w:t>%</w:t>
            </w:r>
          </w:p>
        </w:tc>
        <w:tc>
          <w:tcPr>
            <w:tcW w:w="1985" w:type="dxa"/>
            <w:tcBorders>
              <w:left w:val="single" w:sz="4" w:space="0" w:color="FFFFFF"/>
            </w:tcBorders>
            <w:shd w:val="clear" w:color="auto" w:fill="auto"/>
            <w:vAlign w:val="center"/>
          </w:tcPr>
          <w:p w14:paraId="17DB5923" w14:textId="1E33DEAA"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1,16%</w:t>
            </w:r>
          </w:p>
        </w:tc>
      </w:tr>
      <w:tr w:rsidR="00B703A2" w:rsidRPr="00842D79" w14:paraId="7A5164A2" w14:textId="77777777" w:rsidTr="00B703A2">
        <w:tc>
          <w:tcPr>
            <w:tcW w:w="3515" w:type="dxa"/>
            <w:tcBorders>
              <w:right w:val="single" w:sz="4" w:space="0" w:color="FFFFFF"/>
            </w:tcBorders>
            <w:shd w:val="clear" w:color="auto" w:fill="00B0F0"/>
            <w:vAlign w:val="center"/>
          </w:tcPr>
          <w:p w14:paraId="318C3C46"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D</w:t>
            </w:r>
            <w:r w:rsidRPr="00842D79">
              <w:rPr>
                <w:color w:val="000000"/>
                <w:sz w:val="18"/>
                <w:szCs w:val="18"/>
              </w:rPr>
              <w:t>ialog konkurencyjny</w:t>
            </w:r>
          </w:p>
        </w:tc>
        <w:tc>
          <w:tcPr>
            <w:tcW w:w="1984" w:type="dxa"/>
            <w:tcBorders>
              <w:left w:val="single" w:sz="4" w:space="0" w:color="FFFFFF"/>
            </w:tcBorders>
            <w:shd w:val="clear" w:color="auto" w:fill="00B0F0"/>
            <w:vAlign w:val="center"/>
          </w:tcPr>
          <w:p w14:paraId="6BF111BC" w14:textId="4B23DE36"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0,06%</w:t>
            </w:r>
          </w:p>
        </w:tc>
        <w:tc>
          <w:tcPr>
            <w:tcW w:w="1985" w:type="dxa"/>
            <w:tcBorders>
              <w:left w:val="single" w:sz="4" w:space="0" w:color="FFFFFF"/>
            </w:tcBorders>
            <w:shd w:val="clear" w:color="auto" w:fill="00B0F0"/>
            <w:vAlign w:val="center"/>
          </w:tcPr>
          <w:p w14:paraId="1A423E01" w14:textId="2B0D83FA"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1,28%</w:t>
            </w:r>
          </w:p>
        </w:tc>
      </w:tr>
      <w:tr w:rsidR="00B703A2" w:rsidRPr="00842D79" w14:paraId="4D75B99F" w14:textId="77777777" w:rsidTr="00B703A2">
        <w:tc>
          <w:tcPr>
            <w:tcW w:w="3515" w:type="dxa"/>
            <w:tcBorders>
              <w:right w:val="single" w:sz="4" w:space="0" w:color="FFFFFF"/>
            </w:tcBorders>
            <w:shd w:val="clear" w:color="auto" w:fill="auto"/>
            <w:vAlign w:val="center"/>
          </w:tcPr>
          <w:p w14:paraId="1F8E8481"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artnerstwo innowacyjne</w:t>
            </w:r>
          </w:p>
        </w:tc>
        <w:tc>
          <w:tcPr>
            <w:tcW w:w="1984" w:type="dxa"/>
            <w:tcBorders>
              <w:left w:val="single" w:sz="4" w:space="0" w:color="FFFFFF"/>
            </w:tcBorders>
            <w:shd w:val="clear" w:color="auto" w:fill="auto"/>
            <w:vAlign w:val="center"/>
          </w:tcPr>
          <w:p w14:paraId="397E00D6" w14:textId="76E843DA"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0,00%</w:t>
            </w:r>
          </w:p>
        </w:tc>
        <w:tc>
          <w:tcPr>
            <w:tcW w:w="1985" w:type="dxa"/>
            <w:tcBorders>
              <w:left w:val="single" w:sz="4" w:space="0" w:color="FFFFFF"/>
            </w:tcBorders>
            <w:shd w:val="clear" w:color="auto" w:fill="auto"/>
            <w:vAlign w:val="center"/>
          </w:tcPr>
          <w:p w14:paraId="31F2DF85" w14:textId="1198DAE1"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0,00%</w:t>
            </w:r>
          </w:p>
        </w:tc>
      </w:tr>
      <w:tr w:rsidR="00B703A2" w:rsidRPr="00842D79" w14:paraId="6C376602" w14:textId="77777777" w:rsidTr="00B703A2">
        <w:tc>
          <w:tcPr>
            <w:tcW w:w="3515" w:type="dxa"/>
            <w:tcBorders>
              <w:right w:val="single" w:sz="4" w:space="0" w:color="FFFFFF"/>
            </w:tcBorders>
            <w:shd w:val="clear" w:color="auto" w:fill="00B0F0"/>
            <w:vAlign w:val="center"/>
          </w:tcPr>
          <w:p w14:paraId="385EED77"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bez ogłoszenia</w:t>
            </w:r>
          </w:p>
        </w:tc>
        <w:tc>
          <w:tcPr>
            <w:tcW w:w="1984" w:type="dxa"/>
            <w:tcBorders>
              <w:left w:val="single" w:sz="4" w:space="0" w:color="FFFFFF"/>
            </w:tcBorders>
            <w:shd w:val="clear" w:color="auto" w:fill="00B0F0"/>
            <w:vAlign w:val="center"/>
          </w:tcPr>
          <w:p w14:paraId="2CC8CCDE" w14:textId="32AE8BC7"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0,39%</w:t>
            </w:r>
          </w:p>
        </w:tc>
        <w:tc>
          <w:tcPr>
            <w:tcW w:w="1985" w:type="dxa"/>
            <w:tcBorders>
              <w:left w:val="single" w:sz="4" w:space="0" w:color="FFFFFF"/>
            </w:tcBorders>
            <w:shd w:val="clear" w:color="auto" w:fill="00B0F0"/>
            <w:vAlign w:val="center"/>
          </w:tcPr>
          <w:p w14:paraId="2E6823EF" w14:textId="2A1DFC09"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0,26%</w:t>
            </w:r>
          </w:p>
        </w:tc>
      </w:tr>
      <w:tr w:rsidR="00B703A2" w:rsidRPr="00842D79" w14:paraId="3C873BE4" w14:textId="77777777" w:rsidTr="00B703A2">
        <w:tc>
          <w:tcPr>
            <w:tcW w:w="3515" w:type="dxa"/>
            <w:tcBorders>
              <w:right w:val="single" w:sz="4" w:space="0" w:color="FFFFFF"/>
            </w:tcBorders>
            <w:shd w:val="clear" w:color="auto" w:fill="auto"/>
            <w:vAlign w:val="center"/>
          </w:tcPr>
          <w:p w14:paraId="245140EE" w14:textId="77777777" w:rsidR="00B703A2" w:rsidRPr="00842D79" w:rsidRDefault="00B703A2" w:rsidP="00B703A2">
            <w:pPr>
              <w:autoSpaceDE w:val="0"/>
              <w:autoSpaceDN w:val="0"/>
              <w:adjustRightInd w:val="0"/>
              <w:spacing w:before="60" w:after="60"/>
              <w:jc w:val="left"/>
              <w:rPr>
                <w:color w:val="000000"/>
                <w:sz w:val="18"/>
                <w:szCs w:val="18"/>
              </w:rPr>
            </w:pPr>
            <w:r>
              <w:rPr>
                <w:color w:val="000000"/>
                <w:sz w:val="18"/>
                <w:szCs w:val="18"/>
              </w:rPr>
              <w:t>Z</w:t>
            </w:r>
            <w:r w:rsidRPr="00842D79">
              <w:rPr>
                <w:color w:val="000000"/>
                <w:sz w:val="18"/>
                <w:szCs w:val="18"/>
              </w:rPr>
              <w:t>amówienie z wolnej ręki</w:t>
            </w:r>
          </w:p>
        </w:tc>
        <w:tc>
          <w:tcPr>
            <w:tcW w:w="1984" w:type="dxa"/>
            <w:tcBorders>
              <w:left w:val="single" w:sz="4" w:space="0" w:color="FFFFFF"/>
            </w:tcBorders>
            <w:shd w:val="clear" w:color="auto" w:fill="auto"/>
            <w:vAlign w:val="center"/>
          </w:tcPr>
          <w:p w14:paraId="5C34BB02" w14:textId="42207554" w:rsidR="00B703A2" w:rsidRPr="00B703A2" w:rsidRDefault="00B703A2" w:rsidP="00B703A2">
            <w:pPr>
              <w:autoSpaceDE w:val="0"/>
              <w:autoSpaceDN w:val="0"/>
              <w:adjustRightInd w:val="0"/>
              <w:spacing w:before="60" w:after="60"/>
              <w:jc w:val="center"/>
              <w:rPr>
                <w:rFonts w:cs="Arial"/>
                <w:color w:val="000000"/>
                <w:sz w:val="18"/>
                <w:szCs w:val="18"/>
              </w:rPr>
            </w:pPr>
            <w:r w:rsidRPr="00B703A2">
              <w:rPr>
                <w:rFonts w:cs="Arial"/>
                <w:color w:val="000000"/>
                <w:sz w:val="18"/>
                <w:szCs w:val="18"/>
              </w:rPr>
              <w:t>10,50%</w:t>
            </w:r>
          </w:p>
        </w:tc>
        <w:tc>
          <w:tcPr>
            <w:tcW w:w="1985" w:type="dxa"/>
            <w:tcBorders>
              <w:left w:val="single" w:sz="4" w:space="0" w:color="FFFFFF"/>
            </w:tcBorders>
            <w:shd w:val="clear" w:color="auto" w:fill="auto"/>
            <w:vAlign w:val="center"/>
          </w:tcPr>
          <w:p w14:paraId="6DF71FAE" w14:textId="66F1C06F" w:rsidR="00B703A2" w:rsidRPr="00B703A2" w:rsidRDefault="00B703A2" w:rsidP="00B703A2">
            <w:pPr>
              <w:autoSpaceDE w:val="0"/>
              <w:autoSpaceDN w:val="0"/>
              <w:adjustRightInd w:val="0"/>
              <w:jc w:val="center"/>
              <w:rPr>
                <w:rFonts w:cs="Arial"/>
                <w:color w:val="000000"/>
                <w:sz w:val="18"/>
                <w:szCs w:val="18"/>
              </w:rPr>
            </w:pPr>
            <w:r w:rsidRPr="00B703A2">
              <w:rPr>
                <w:rFonts w:cs="Arial"/>
                <w:color w:val="000000"/>
                <w:sz w:val="18"/>
                <w:szCs w:val="18"/>
              </w:rPr>
              <w:t>12,15%</w:t>
            </w:r>
          </w:p>
        </w:tc>
      </w:tr>
    </w:tbl>
    <w:p w14:paraId="2B11600A" w14:textId="77777777" w:rsidR="00C025D1" w:rsidRDefault="00C025D1" w:rsidP="00C025D1">
      <w:pPr>
        <w:rPr>
          <w:szCs w:val="22"/>
        </w:rPr>
      </w:pPr>
    </w:p>
    <w:p w14:paraId="048585D7"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70E9853D" w14:textId="77777777" w:rsidTr="004D2CDB">
        <w:trPr>
          <w:cantSplit/>
        </w:trPr>
        <w:tc>
          <w:tcPr>
            <w:tcW w:w="236" w:type="dxa"/>
            <w:shd w:val="clear" w:color="auto" w:fill="B8CCE4"/>
          </w:tcPr>
          <w:p w14:paraId="116C432E" w14:textId="77777777" w:rsidR="00716498" w:rsidRPr="001E7D51" w:rsidRDefault="00716498" w:rsidP="00F058DB">
            <w:pPr>
              <w:rPr>
                <w:sz w:val="24"/>
              </w:rPr>
            </w:pPr>
          </w:p>
        </w:tc>
        <w:tc>
          <w:tcPr>
            <w:tcW w:w="8676" w:type="dxa"/>
          </w:tcPr>
          <w:p w14:paraId="0159E66D" w14:textId="77777777" w:rsidR="00716498" w:rsidRPr="00702B70" w:rsidRDefault="00716498" w:rsidP="00F058DB">
            <w:pPr>
              <w:pStyle w:val="Nagwek3"/>
              <w:shd w:val="clear" w:color="auto" w:fill="FFFFFF"/>
              <w:spacing w:after="120"/>
              <w:ind w:left="0"/>
              <w:rPr>
                <w:color w:val="0070C0"/>
                <w:sz w:val="24"/>
                <w:szCs w:val="24"/>
              </w:rPr>
            </w:pPr>
            <w:bookmarkStart w:id="83" w:name="_Toc64451858"/>
            <w:bookmarkStart w:id="84" w:name="_Toc141276438"/>
            <w:r w:rsidRPr="00702B70">
              <w:rPr>
                <w:color w:val="0070C0"/>
                <w:sz w:val="24"/>
                <w:szCs w:val="24"/>
              </w:rPr>
              <w:t>II.2.2. Czas trwania postępowania</w:t>
            </w:r>
            <w:bookmarkEnd w:id="83"/>
            <w:bookmarkEnd w:id="84"/>
          </w:p>
        </w:tc>
      </w:tr>
    </w:tbl>
    <w:p w14:paraId="2DDD7BAE" w14:textId="22A56566" w:rsidR="00A05542" w:rsidRDefault="00A05542" w:rsidP="007D4DEB">
      <w:pPr>
        <w:shd w:val="clear" w:color="auto" w:fill="FFFFFF"/>
      </w:pPr>
    </w:p>
    <w:p w14:paraId="490C6A74" w14:textId="77777777" w:rsidR="00DF4064" w:rsidRPr="005A7697" w:rsidRDefault="00DF4064" w:rsidP="00DF4064">
      <w:pPr>
        <w:pStyle w:val="StylArial11ptWyjustowany"/>
        <w:numPr>
          <w:ilvl w:val="0"/>
          <w:numId w:val="9"/>
        </w:numPr>
        <w:shd w:val="clear" w:color="auto" w:fill="FFFFFF"/>
        <w:jc w:val="left"/>
        <w:rPr>
          <w:rFonts w:cs="Arial"/>
          <w:b/>
          <w:iCs/>
          <w:color w:val="0070C0"/>
          <w:szCs w:val="22"/>
        </w:rPr>
      </w:pPr>
      <w:r w:rsidRPr="005A7697">
        <w:rPr>
          <w:rFonts w:cs="Arial"/>
          <w:b/>
          <w:iCs/>
          <w:color w:val="0070C0"/>
          <w:szCs w:val="22"/>
        </w:rPr>
        <w:t>Zamówienia o wartościach poniżej progów unijnych</w:t>
      </w:r>
    </w:p>
    <w:p w14:paraId="3E2FC103" w14:textId="77777777" w:rsidR="00DF4064" w:rsidRDefault="00DF4064" w:rsidP="007D4DEB">
      <w:pPr>
        <w:shd w:val="clear" w:color="auto" w:fill="FFFFFF"/>
      </w:pPr>
    </w:p>
    <w:p w14:paraId="7A9EB0C4" w14:textId="5E4D8612" w:rsidR="00281915" w:rsidRPr="00CF554C" w:rsidRDefault="00281915" w:rsidP="00281915">
      <w:pPr>
        <w:rPr>
          <w:szCs w:val="22"/>
        </w:rPr>
      </w:pPr>
      <w:r w:rsidRPr="00CF554C">
        <w:rPr>
          <w:szCs w:val="22"/>
        </w:rPr>
        <w:t>Z ogłoszeń opublikowanych w BZP w 202</w:t>
      </w:r>
      <w:r>
        <w:rPr>
          <w:szCs w:val="22"/>
        </w:rPr>
        <w:t>2</w:t>
      </w:r>
      <w:r w:rsidRPr="00CF554C">
        <w:rPr>
          <w:szCs w:val="22"/>
        </w:rPr>
        <w:t xml:space="preserve"> r. wynika, że średni czas trwania postępowania o zamówienie</w:t>
      </w:r>
      <w:r w:rsidRPr="00CF554C">
        <w:rPr>
          <w:rStyle w:val="Odwoanieprzypisudolnego"/>
          <w:szCs w:val="22"/>
        </w:rPr>
        <w:footnoteReference w:id="9"/>
      </w:r>
      <w:r w:rsidRPr="00CF554C">
        <w:rPr>
          <w:szCs w:val="22"/>
        </w:rPr>
        <w:t xml:space="preserve"> o wartości nieprzekraczającej progów unijnych wyniósł </w:t>
      </w:r>
      <w:r>
        <w:rPr>
          <w:szCs w:val="22"/>
        </w:rPr>
        <w:t>40 dni (w 2021 r. – 39 dni).</w:t>
      </w:r>
    </w:p>
    <w:p w14:paraId="39CD2C83" w14:textId="0EBC2455" w:rsidR="00DD7718" w:rsidRDefault="00DD7718" w:rsidP="00DD7718">
      <w:pPr>
        <w:rPr>
          <w:szCs w:val="22"/>
        </w:rPr>
      </w:pPr>
    </w:p>
    <w:p w14:paraId="457CF181" w14:textId="2AD90177" w:rsidR="00B345C3" w:rsidRDefault="00B345C3" w:rsidP="00DD7718">
      <w:pPr>
        <w:rPr>
          <w:szCs w:val="22"/>
        </w:rPr>
      </w:pPr>
      <w:r w:rsidRPr="00B345C3">
        <w:rPr>
          <w:szCs w:val="22"/>
        </w:rPr>
        <w:t xml:space="preserve">W zależności od </w:t>
      </w:r>
      <w:r>
        <w:rPr>
          <w:szCs w:val="22"/>
        </w:rPr>
        <w:t xml:space="preserve">rodzaju średni czas trwania procedury udzielenia zamówienia </w:t>
      </w:r>
      <w:r w:rsidRPr="00B345C3">
        <w:rPr>
          <w:szCs w:val="22"/>
        </w:rPr>
        <w:t>był nieco inny</w:t>
      </w:r>
      <w:r>
        <w:rPr>
          <w:szCs w:val="22"/>
        </w:rPr>
        <w:t>; w przypadku robót budowlanych wynosił 49 dni (w 2021 – 45), w dostawach 3</w:t>
      </w:r>
      <w:r w:rsidR="009C4B09">
        <w:rPr>
          <w:szCs w:val="22"/>
        </w:rPr>
        <w:t>8</w:t>
      </w:r>
      <w:r>
        <w:rPr>
          <w:szCs w:val="22"/>
        </w:rPr>
        <w:t xml:space="preserve"> dni (w 2021 r. </w:t>
      </w:r>
      <w:r w:rsidR="0058265D">
        <w:rPr>
          <w:szCs w:val="22"/>
        </w:rPr>
        <w:t>–</w:t>
      </w:r>
      <w:r>
        <w:rPr>
          <w:szCs w:val="22"/>
        </w:rPr>
        <w:t xml:space="preserve"> </w:t>
      </w:r>
      <w:r w:rsidR="0058265D">
        <w:rPr>
          <w:szCs w:val="22"/>
        </w:rPr>
        <w:t>37), a w usługach – 3</w:t>
      </w:r>
      <w:r w:rsidR="009C4B09">
        <w:rPr>
          <w:szCs w:val="22"/>
        </w:rPr>
        <w:t>9</w:t>
      </w:r>
      <w:r w:rsidR="0058265D">
        <w:rPr>
          <w:szCs w:val="22"/>
        </w:rPr>
        <w:t xml:space="preserve"> dni</w:t>
      </w:r>
      <w:r w:rsidR="009C4B09">
        <w:rPr>
          <w:szCs w:val="22"/>
        </w:rPr>
        <w:t xml:space="preserve"> (w 2021 r. – 38)</w:t>
      </w:r>
      <w:r w:rsidR="0058265D">
        <w:rPr>
          <w:szCs w:val="22"/>
        </w:rPr>
        <w:t>.</w:t>
      </w:r>
    </w:p>
    <w:p w14:paraId="5AF75FF0" w14:textId="77777777" w:rsidR="00B345C3" w:rsidRDefault="00B345C3" w:rsidP="00DD7718">
      <w:pPr>
        <w:rPr>
          <w:szCs w:val="22"/>
        </w:rPr>
      </w:pPr>
    </w:p>
    <w:p w14:paraId="7326E50E" w14:textId="21BCC990" w:rsidR="00B345C3" w:rsidRDefault="00380F04" w:rsidP="00DD7718">
      <w:pPr>
        <w:rPr>
          <w:szCs w:val="22"/>
        </w:rPr>
      </w:pPr>
      <w:r>
        <w:rPr>
          <w:szCs w:val="22"/>
        </w:rPr>
        <w:t>W 2022 r. trybem, w którym najszybciej dochodziło do udzielenia zamówienia był tryb</w:t>
      </w:r>
      <w:r w:rsidR="003F292D" w:rsidRPr="003F292D">
        <w:rPr>
          <w:szCs w:val="22"/>
        </w:rPr>
        <w:t xml:space="preserve"> podstawowy, o którym mowa w art. 275 pkt 1 ustawy Pzp</w:t>
      </w:r>
      <w:r>
        <w:rPr>
          <w:szCs w:val="22"/>
        </w:rPr>
        <w:t xml:space="preserve">. Średni czas trwania postępowania w tym trybie wyniósł </w:t>
      </w:r>
      <w:r w:rsidR="00846CD1">
        <w:rPr>
          <w:szCs w:val="22"/>
        </w:rPr>
        <w:t>40</w:t>
      </w:r>
      <w:r w:rsidR="0089143C">
        <w:rPr>
          <w:szCs w:val="22"/>
        </w:rPr>
        <w:t xml:space="preserve"> dni.</w:t>
      </w:r>
    </w:p>
    <w:p w14:paraId="314E614A" w14:textId="77777777" w:rsidR="00AB49BF" w:rsidRPr="00CF554C" w:rsidRDefault="00AB49BF" w:rsidP="00DD7718">
      <w:pPr>
        <w:rPr>
          <w:szCs w:val="22"/>
        </w:rPr>
      </w:pPr>
    </w:p>
    <w:p w14:paraId="0F316500" w14:textId="3F78D389" w:rsidR="00DD7718" w:rsidRPr="00CF554C" w:rsidRDefault="00DD7718" w:rsidP="00DD7718">
      <w:pPr>
        <w:pStyle w:val="Legenda"/>
      </w:pPr>
      <w:bookmarkStart w:id="85" w:name="_Toc141276515"/>
      <w:r w:rsidRPr="00D72CC8">
        <w:t xml:space="preserve">Tab. </w:t>
      </w:r>
      <w:r w:rsidR="00BE2079">
        <w:fldChar w:fldCharType="begin"/>
      </w:r>
      <w:r w:rsidR="00BE2079">
        <w:instrText xml:space="preserve"> SEQ Tab. \* ARABIC </w:instrText>
      </w:r>
      <w:r w:rsidR="00BE2079">
        <w:fldChar w:fldCharType="separate"/>
      </w:r>
      <w:r w:rsidR="00A43C68">
        <w:rPr>
          <w:noProof/>
        </w:rPr>
        <w:t>8</w:t>
      </w:r>
      <w:r w:rsidR="00BE2079">
        <w:rPr>
          <w:noProof/>
        </w:rPr>
        <w:fldChar w:fldCharType="end"/>
      </w:r>
      <w:r w:rsidRPr="00D72CC8">
        <w:t>. Średni czas trwania postępowań w zależności od rodzaju i tr</w:t>
      </w:r>
      <w:r w:rsidR="007F1B57">
        <w:t>ybu udzielenia zamówienia [dni]</w:t>
      </w:r>
      <w:r w:rsidRPr="00D72CC8">
        <w:br/>
        <w:t>(postępowania o wartościach poniżej progów unijnych)</w:t>
      </w:r>
      <w:bookmarkEnd w:id="85"/>
    </w:p>
    <w:tbl>
      <w:tblPr>
        <w:tblW w:w="9185" w:type="dxa"/>
        <w:tblInd w:w="-5" w:type="dxa"/>
        <w:tblLayout w:type="fixed"/>
        <w:tblLook w:val="04A0" w:firstRow="1" w:lastRow="0" w:firstColumn="1" w:lastColumn="0" w:noHBand="0" w:noVBand="1"/>
      </w:tblPr>
      <w:tblGrid>
        <w:gridCol w:w="4825"/>
        <w:gridCol w:w="1196"/>
        <w:gridCol w:w="1055"/>
        <w:gridCol w:w="1054"/>
        <w:gridCol w:w="1055"/>
      </w:tblGrid>
      <w:tr w:rsidR="00DD7718" w:rsidRPr="00CF554C" w14:paraId="4A32BC32" w14:textId="77777777" w:rsidTr="007E375D">
        <w:trPr>
          <w:tblHeader/>
        </w:trPr>
        <w:tc>
          <w:tcPr>
            <w:tcW w:w="4825" w:type="dxa"/>
            <w:tcBorders>
              <w:right w:val="single" w:sz="4" w:space="0" w:color="FFFFFF"/>
            </w:tcBorders>
            <w:shd w:val="clear" w:color="auto" w:fill="002060"/>
            <w:vAlign w:val="center"/>
          </w:tcPr>
          <w:p w14:paraId="74FC6872" w14:textId="77777777" w:rsidR="00DD7718" w:rsidRPr="00CF554C" w:rsidRDefault="00DD7718" w:rsidP="00BA7791">
            <w:pPr>
              <w:spacing w:before="60" w:after="60"/>
              <w:jc w:val="center"/>
              <w:rPr>
                <w:b/>
                <w:sz w:val="18"/>
                <w:szCs w:val="18"/>
              </w:rPr>
            </w:pPr>
            <w:r w:rsidRPr="00CF554C">
              <w:rPr>
                <w:b/>
                <w:sz w:val="18"/>
                <w:szCs w:val="18"/>
              </w:rPr>
              <w:t>Tryb zamówienia</w:t>
            </w:r>
          </w:p>
        </w:tc>
        <w:tc>
          <w:tcPr>
            <w:tcW w:w="1196" w:type="dxa"/>
            <w:tcBorders>
              <w:left w:val="single" w:sz="4" w:space="0" w:color="FFFFFF"/>
            </w:tcBorders>
            <w:shd w:val="clear" w:color="auto" w:fill="002060"/>
            <w:vAlign w:val="center"/>
          </w:tcPr>
          <w:p w14:paraId="123FC724" w14:textId="77777777" w:rsidR="00DD7718" w:rsidRPr="00CF554C" w:rsidRDefault="00DD7718" w:rsidP="00BA7791">
            <w:pPr>
              <w:spacing w:before="60" w:after="60"/>
              <w:jc w:val="center"/>
              <w:rPr>
                <w:b/>
                <w:sz w:val="18"/>
                <w:szCs w:val="18"/>
              </w:rPr>
            </w:pPr>
            <w:r w:rsidRPr="00CF554C">
              <w:rPr>
                <w:b/>
                <w:sz w:val="18"/>
                <w:szCs w:val="18"/>
              </w:rPr>
              <w:t>Roboty budowlane</w:t>
            </w:r>
          </w:p>
        </w:tc>
        <w:tc>
          <w:tcPr>
            <w:tcW w:w="1055" w:type="dxa"/>
            <w:tcBorders>
              <w:left w:val="single" w:sz="4" w:space="0" w:color="FFFFFF"/>
              <w:right w:val="single" w:sz="4" w:space="0" w:color="FFFFFF"/>
            </w:tcBorders>
            <w:shd w:val="clear" w:color="auto" w:fill="002060"/>
            <w:vAlign w:val="center"/>
          </w:tcPr>
          <w:p w14:paraId="33C76EF2" w14:textId="77777777" w:rsidR="00DD7718" w:rsidRPr="00CF554C" w:rsidRDefault="00DD7718" w:rsidP="00BA7791">
            <w:pPr>
              <w:spacing w:before="60" w:after="60"/>
              <w:jc w:val="center"/>
              <w:rPr>
                <w:b/>
                <w:sz w:val="18"/>
                <w:szCs w:val="18"/>
              </w:rPr>
            </w:pPr>
            <w:r w:rsidRPr="00CF554C">
              <w:rPr>
                <w:b/>
                <w:sz w:val="18"/>
                <w:szCs w:val="18"/>
              </w:rPr>
              <w:t>Dostawy</w:t>
            </w:r>
          </w:p>
        </w:tc>
        <w:tc>
          <w:tcPr>
            <w:tcW w:w="1054" w:type="dxa"/>
            <w:tcBorders>
              <w:left w:val="single" w:sz="4" w:space="0" w:color="FFFFFF"/>
            </w:tcBorders>
            <w:shd w:val="clear" w:color="auto" w:fill="002060"/>
            <w:vAlign w:val="center"/>
          </w:tcPr>
          <w:p w14:paraId="04F7FC9B" w14:textId="77777777" w:rsidR="00DD7718" w:rsidRPr="00CF554C" w:rsidRDefault="00DD7718" w:rsidP="00BA7791">
            <w:pPr>
              <w:spacing w:before="60" w:after="60"/>
              <w:jc w:val="center"/>
              <w:rPr>
                <w:b/>
                <w:sz w:val="18"/>
                <w:szCs w:val="18"/>
              </w:rPr>
            </w:pPr>
            <w:r w:rsidRPr="00CF554C">
              <w:rPr>
                <w:b/>
                <w:sz w:val="18"/>
                <w:szCs w:val="18"/>
              </w:rPr>
              <w:t>Usługi</w:t>
            </w:r>
          </w:p>
        </w:tc>
        <w:tc>
          <w:tcPr>
            <w:tcW w:w="1055" w:type="dxa"/>
            <w:tcBorders>
              <w:left w:val="single" w:sz="4" w:space="0" w:color="FFFFFF"/>
            </w:tcBorders>
            <w:shd w:val="clear" w:color="auto" w:fill="002060"/>
            <w:vAlign w:val="center"/>
          </w:tcPr>
          <w:p w14:paraId="38A26CBF" w14:textId="77777777" w:rsidR="00DD7718" w:rsidRPr="00CF554C" w:rsidRDefault="00DD7718" w:rsidP="00BA7791">
            <w:pPr>
              <w:spacing w:before="60" w:after="60"/>
              <w:jc w:val="center"/>
              <w:rPr>
                <w:b/>
                <w:sz w:val="18"/>
                <w:szCs w:val="18"/>
              </w:rPr>
            </w:pPr>
            <w:r w:rsidRPr="00CF554C">
              <w:rPr>
                <w:b/>
                <w:sz w:val="18"/>
                <w:szCs w:val="18"/>
              </w:rPr>
              <w:t>Średnio</w:t>
            </w:r>
          </w:p>
        </w:tc>
      </w:tr>
      <w:tr w:rsidR="0089143C" w:rsidRPr="00CF554C" w14:paraId="21F8132B" w14:textId="77777777" w:rsidTr="007E375D">
        <w:tc>
          <w:tcPr>
            <w:tcW w:w="4825" w:type="dxa"/>
            <w:tcBorders>
              <w:right w:val="single" w:sz="4" w:space="0" w:color="FFFFFF"/>
            </w:tcBorders>
            <w:shd w:val="clear" w:color="auto" w:fill="auto"/>
            <w:vAlign w:val="center"/>
          </w:tcPr>
          <w:p w14:paraId="176A97B8" w14:textId="20721301" w:rsidR="0089143C" w:rsidRPr="00CF554C" w:rsidRDefault="0089143C" w:rsidP="0089143C">
            <w:pPr>
              <w:spacing w:before="60" w:after="60"/>
              <w:jc w:val="left"/>
              <w:rPr>
                <w:sz w:val="18"/>
                <w:szCs w:val="18"/>
              </w:rPr>
            </w:pPr>
            <w:r w:rsidRPr="00CF554C">
              <w:rPr>
                <w:sz w:val="18"/>
                <w:szCs w:val="18"/>
              </w:rPr>
              <w:t>Tryb podstawowy, o którym mowa w art. 275 pkt 1 ustawy</w:t>
            </w:r>
            <w:r>
              <w:rPr>
                <w:sz w:val="18"/>
                <w:szCs w:val="18"/>
              </w:rPr>
              <w:t xml:space="preserve"> Pzp</w:t>
            </w:r>
          </w:p>
        </w:tc>
        <w:tc>
          <w:tcPr>
            <w:tcW w:w="1196" w:type="dxa"/>
            <w:tcBorders>
              <w:left w:val="single" w:sz="4" w:space="0" w:color="FFFFFF"/>
            </w:tcBorders>
            <w:shd w:val="clear" w:color="auto" w:fill="auto"/>
            <w:vAlign w:val="center"/>
          </w:tcPr>
          <w:p w14:paraId="6F4B213E" w14:textId="2F6E8089" w:rsidR="0089143C" w:rsidRPr="0089143C" w:rsidRDefault="0089143C" w:rsidP="0089143C">
            <w:pPr>
              <w:jc w:val="center"/>
              <w:rPr>
                <w:sz w:val="18"/>
                <w:szCs w:val="18"/>
              </w:rPr>
            </w:pPr>
            <w:r w:rsidRPr="0089143C">
              <w:rPr>
                <w:rFonts w:cs="Arial"/>
                <w:color w:val="000000"/>
                <w:sz w:val="18"/>
                <w:szCs w:val="18"/>
              </w:rPr>
              <w:t>48</w:t>
            </w:r>
          </w:p>
        </w:tc>
        <w:tc>
          <w:tcPr>
            <w:tcW w:w="1055" w:type="dxa"/>
            <w:tcBorders>
              <w:left w:val="single" w:sz="4" w:space="0" w:color="FFFFFF"/>
              <w:right w:val="single" w:sz="4" w:space="0" w:color="FFFFFF"/>
            </w:tcBorders>
            <w:vAlign w:val="center"/>
          </w:tcPr>
          <w:p w14:paraId="30473897" w14:textId="0C672270" w:rsidR="0089143C" w:rsidRPr="0089143C" w:rsidRDefault="0089143C" w:rsidP="004E0CFD">
            <w:pPr>
              <w:jc w:val="center"/>
              <w:rPr>
                <w:sz w:val="18"/>
                <w:szCs w:val="18"/>
              </w:rPr>
            </w:pPr>
            <w:r w:rsidRPr="0089143C">
              <w:rPr>
                <w:rFonts w:cs="Arial"/>
                <w:color w:val="000000"/>
                <w:sz w:val="18"/>
                <w:szCs w:val="18"/>
              </w:rPr>
              <w:t>3</w:t>
            </w:r>
            <w:r w:rsidR="00906D08">
              <w:rPr>
                <w:rFonts w:cs="Arial"/>
                <w:color w:val="000000"/>
                <w:sz w:val="18"/>
                <w:szCs w:val="18"/>
              </w:rPr>
              <w:t>7</w:t>
            </w:r>
          </w:p>
        </w:tc>
        <w:tc>
          <w:tcPr>
            <w:tcW w:w="1054" w:type="dxa"/>
            <w:tcBorders>
              <w:left w:val="single" w:sz="4" w:space="0" w:color="FFFFFF"/>
            </w:tcBorders>
            <w:shd w:val="clear" w:color="auto" w:fill="auto"/>
            <w:vAlign w:val="center"/>
          </w:tcPr>
          <w:p w14:paraId="3752D671" w14:textId="2831405E" w:rsidR="0089143C" w:rsidRPr="0089143C" w:rsidRDefault="0089143C" w:rsidP="004E0CFD">
            <w:pPr>
              <w:jc w:val="center"/>
              <w:rPr>
                <w:sz w:val="18"/>
                <w:szCs w:val="18"/>
              </w:rPr>
            </w:pPr>
            <w:r w:rsidRPr="0089143C">
              <w:rPr>
                <w:rFonts w:cs="Arial"/>
                <w:color w:val="000000"/>
                <w:sz w:val="18"/>
                <w:szCs w:val="18"/>
              </w:rPr>
              <w:t>3</w:t>
            </w:r>
            <w:r w:rsidR="003C0B5F">
              <w:rPr>
                <w:rFonts w:cs="Arial"/>
                <w:color w:val="000000"/>
                <w:sz w:val="18"/>
                <w:szCs w:val="18"/>
              </w:rPr>
              <w:t>9</w:t>
            </w:r>
          </w:p>
        </w:tc>
        <w:tc>
          <w:tcPr>
            <w:tcW w:w="1055" w:type="dxa"/>
            <w:tcBorders>
              <w:left w:val="single" w:sz="4" w:space="0" w:color="FFFFFF"/>
            </w:tcBorders>
            <w:vAlign w:val="center"/>
          </w:tcPr>
          <w:p w14:paraId="7FF981DE" w14:textId="25BFFBF7" w:rsidR="0089143C" w:rsidRPr="00CB0190" w:rsidRDefault="00F8210D" w:rsidP="0089143C">
            <w:pPr>
              <w:jc w:val="center"/>
              <w:rPr>
                <w:b/>
                <w:sz w:val="18"/>
                <w:szCs w:val="18"/>
              </w:rPr>
            </w:pPr>
            <w:r>
              <w:rPr>
                <w:b/>
                <w:sz w:val="18"/>
                <w:szCs w:val="18"/>
              </w:rPr>
              <w:t>40</w:t>
            </w:r>
          </w:p>
        </w:tc>
      </w:tr>
      <w:tr w:rsidR="0089143C" w:rsidRPr="00CF554C" w14:paraId="73549B2A" w14:textId="77777777" w:rsidTr="007E375D">
        <w:tc>
          <w:tcPr>
            <w:tcW w:w="4825" w:type="dxa"/>
            <w:tcBorders>
              <w:right w:val="single" w:sz="4" w:space="0" w:color="FFFFFF"/>
            </w:tcBorders>
            <w:shd w:val="clear" w:color="auto" w:fill="00B0F0"/>
            <w:vAlign w:val="center"/>
          </w:tcPr>
          <w:p w14:paraId="4504134A" w14:textId="5A8C3413" w:rsidR="0089143C" w:rsidRPr="00CF554C" w:rsidRDefault="0089143C" w:rsidP="0089143C">
            <w:pPr>
              <w:spacing w:before="60" w:after="60"/>
              <w:jc w:val="left"/>
              <w:rPr>
                <w:sz w:val="18"/>
                <w:szCs w:val="18"/>
              </w:rPr>
            </w:pPr>
            <w:r w:rsidRPr="00CF554C">
              <w:rPr>
                <w:sz w:val="18"/>
                <w:szCs w:val="18"/>
              </w:rPr>
              <w:t>Tryb podstawowy, o którym mowa w art. 275 pkt 2 ustawy</w:t>
            </w:r>
            <w:r>
              <w:rPr>
                <w:sz w:val="18"/>
                <w:szCs w:val="18"/>
              </w:rPr>
              <w:t xml:space="preserve"> Pzp</w:t>
            </w:r>
          </w:p>
        </w:tc>
        <w:tc>
          <w:tcPr>
            <w:tcW w:w="1196" w:type="dxa"/>
            <w:tcBorders>
              <w:left w:val="single" w:sz="4" w:space="0" w:color="FFFFFF"/>
            </w:tcBorders>
            <w:shd w:val="clear" w:color="auto" w:fill="00B0F0"/>
            <w:vAlign w:val="center"/>
          </w:tcPr>
          <w:p w14:paraId="4864E057" w14:textId="3C90F37C" w:rsidR="0089143C" w:rsidRPr="0089143C" w:rsidRDefault="0089143C" w:rsidP="0089143C">
            <w:pPr>
              <w:jc w:val="center"/>
              <w:rPr>
                <w:sz w:val="18"/>
                <w:szCs w:val="18"/>
              </w:rPr>
            </w:pPr>
            <w:r w:rsidRPr="0089143C">
              <w:rPr>
                <w:rFonts w:cs="Arial"/>
                <w:color w:val="000000"/>
                <w:sz w:val="18"/>
                <w:szCs w:val="18"/>
              </w:rPr>
              <w:t>54</w:t>
            </w:r>
          </w:p>
        </w:tc>
        <w:tc>
          <w:tcPr>
            <w:tcW w:w="1055" w:type="dxa"/>
            <w:tcBorders>
              <w:left w:val="single" w:sz="4" w:space="0" w:color="FFFFFF"/>
              <w:right w:val="single" w:sz="4" w:space="0" w:color="FFFFFF"/>
            </w:tcBorders>
            <w:shd w:val="clear" w:color="auto" w:fill="00B0F0"/>
            <w:vAlign w:val="center"/>
          </w:tcPr>
          <w:p w14:paraId="60FF3701" w14:textId="03FA156D" w:rsidR="0089143C" w:rsidRPr="0089143C" w:rsidRDefault="002B248B" w:rsidP="0089143C">
            <w:pPr>
              <w:jc w:val="center"/>
              <w:rPr>
                <w:sz w:val="18"/>
                <w:szCs w:val="18"/>
              </w:rPr>
            </w:pPr>
            <w:r>
              <w:rPr>
                <w:sz w:val="18"/>
                <w:szCs w:val="18"/>
              </w:rPr>
              <w:t>41</w:t>
            </w:r>
          </w:p>
        </w:tc>
        <w:tc>
          <w:tcPr>
            <w:tcW w:w="1054" w:type="dxa"/>
            <w:tcBorders>
              <w:left w:val="single" w:sz="4" w:space="0" w:color="FFFFFF"/>
            </w:tcBorders>
            <w:shd w:val="clear" w:color="auto" w:fill="00B0F0"/>
            <w:vAlign w:val="center"/>
          </w:tcPr>
          <w:p w14:paraId="39EE138E" w14:textId="3C08C4BE" w:rsidR="0089143C" w:rsidRPr="0089143C" w:rsidRDefault="0089143C" w:rsidP="0089143C">
            <w:pPr>
              <w:jc w:val="center"/>
              <w:rPr>
                <w:sz w:val="18"/>
                <w:szCs w:val="18"/>
              </w:rPr>
            </w:pPr>
            <w:r w:rsidRPr="0089143C">
              <w:rPr>
                <w:rFonts w:cs="Arial"/>
                <w:color w:val="000000"/>
                <w:sz w:val="18"/>
                <w:szCs w:val="18"/>
              </w:rPr>
              <w:t>42</w:t>
            </w:r>
          </w:p>
        </w:tc>
        <w:tc>
          <w:tcPr>
            <w:tcW w:w="1055" w:type="dxa"/>
            <w:tcBorders>
              <w:left w:val="single" w:sz="4" w:space="0" w:color="FFFFFF"/>
            </w:tcBorders>
            <w:shd w:val="clear" w:color="auto" w:fill="00B0F0"/>
            <w:vAlign w:val="center"/>
          </w:tcPr>
          <w:p w14:paraId="7D710187" w14:textId="7A13C842" w:rsidR="0089143C" w:rsidRPr="00CB0190" w:rsidRDefault="0089143C" w:rsidP="0089143C">
            <w:pPr>
              <w:jc w:val="center"/>
              <w:rPr>
                <w:b/>
                <w:sz w:val="18"/>
                <w:szCs w:val="18"/>
              </w:rPr>
            </w:pPr>
            <w:r w:rsidRPr="00CB0190">
              <w:rPr>
                <w:rFonts w:cs="Arial"/>
                <w:b/>
                <w:color w:val="000000"/>
                <w:sz w:val="18"/>
                <w:szCs w:val="18"/>
              </w:rPr>
              <w:t>45</w:t>
            </w:r>
          </w:p>
        </w:tc>
      </w:tr>
      <w:tr w:rsidR="0089143C" w:rsidRPr="00CF554C" w14:paraId="2BAA6D42" w14:textId="77777777" w:rsidTr="007E375D">
        <w:tc>
          <w:tcPr>
            <w:tcW w:w="4825" w:type="dxa"/>
            <w:tcBorders>
              <w:right w:val="single" w:sz="4" w:space="0" w:color="FFFFFF"/>
            </w:tcBorders>
            <w:shd w:val="clear" w:color="auto" w:fill="auto"/>
            <w:vAlign w:val="center"/>
          </w:tcPr>
          <w:p w14:paraId="0FD195AB" w14:textId="630C06AF" w:rsidR="0089143C" w:rsidRPr="00CF554C" w:rsidRDefault="0089143C" w:rsidP="0089143C">
            <w:pPr>
              <w:spacing w:before="60" w:after="60"/>
              <w:jc w:val="left"/>
              <w:rPr>
                <w:sz w:val="18"/>
                <w:szCs w:val="18"/>
              </w:rPr>
            </w:pPr>
            <w:r w:rsidRPr="00CF554C">
              <w:rPr>
                <w:sz w:val="18"/>
                <w:szCs w:val="18"/>
              </w:rPr>
              <w:t>Tryb podstawowy, o którym mowa w art. 275 pkt 3 ustawy</w:t>
            </w:r>
            <w:r>
              <w:rPr>
                <w:sz w:val="18"/>
                <w:szCs w:val="18"/>
              </w:rPr>
              <w:t xml:space="preserve"> Pzp</w:t>
            </w:r>
          </w:p>
        </w:tc>
        <w:tc>
          <w:tcPr>
            <w:tcW w:w="1196" w:type="dxa"/>
            <w:tcBorders>
              <w:left w:val="single" w:sz="4" w:space="0" w:color="FFFFFF"/>
            </w:tcBorders>
            <w:shd w:val="clear" w:color="auto" w:fill="auto"/>
            <w:vAlign w:val="center"/>
          </w:tcPr>
          <w:p w14:paraId="76677AE3" w14:textId="7AD67D28" w:rsidR="0089143C" w:rsidRPr="0089143C" w:rsidRDefault="0089143C" w:rsidP="0089143C">
            <w:pPr>
              <w:jc w:val="center"/>
              <w:rPr>
                <w:sz w:val="18"/>
                <w:szCs w:val="18"/>
              </w:rPr>
            </w:pPr>
            <w:r w:rsidRPr="0089143C">
              <w:rPr>
                <w:rFonts w:cs="Arial"/>
                <w:color w:val="000000"/>
                <w:sz w:val="18"/>
                <w:szCs w:val="18"/>
              </w:rPr>
              <w:t>64</w:t>
            </w:r>
          </w:p>
        </w:tc>
        <w:tc>
          <w:tcPr>
            <w:tcW w:w="1055" w:type="dxa"/>
            <w:tcBorders>
              <w:left w:val="single" w:sz="4" w:space="0" w:color="FFFFFF"/>
              <w:right w:val="single" w:sz="4" w:space="0" w:color="FFFFFF"/>
            </w:tcBorders>
            <w:vAlign w:val="center"/>
          </w:tcPr>
          <w:p w14:paraId="7AE25863" w14:textId="30020CB0" w:rsidR="0089143C" w:rsidRPr="0089143C" w:rsidRDefault="002B248B" w:rsidP="0089143C">
            <w:pPr>
              <w:jc w:val="center"/>
              <w:rPr>
                <w:sz w:val="18"/>
                <w:szCs w:val="18"/>
              </w:rPr>
            </w:pPr>
            <w:r>
              <w:rPr>
                <w:rFonts w:cs="Arial"/>
                <w:color w:val="000000"/>
                <w:sz w:val="18"/>
                <w:szCs w:val="18"/>
              </w:rPr>
              <w:t>92</w:t>
            </w:r>
          </w:p>
        </w:tc>
        <w:tc>
          <w:tcPr>
            <w:tcW w:w="1054" w:type="dxa"/>
            <w:tcBorders>
              <w:left w:val="single" w:sz="4" w:space="0" w:color="FFFFFF"/>
            </w:tcBorders>
            <w:shd w:val="clear" w:color="auto" w:fill="auto"/>
            <w:vAlign w:val="center"/>
          </w:tcPr>
          <w:p w14:paraId="5865CCF8" w14:textId="74B309C7" w:rsidR="0089143C" w:rsidRPr="0089143C" w:rsidRDefault="0089143C" w:rsidP="0089143C">
            <w:pPr>
              <w:jc w:val="center"/>
              <w:rPr>
                <w:sz w:val="18"/>
                <w:szCs w:val="18"/>
              </w:rPr>
            </w:pPr>
            <w:r w:rsidRPr="0089143C">
              <w:rPr>
                <w:rFonts w:cs="Arial"/>
                <w:color w:val="000000"/>
                <w:sz w:val="18"/>
                <w:szCs w:val="18"/>
              </w:rPr>
              <w:t>91</w:t>
            </w:r>
          </w:p>
        </w:tc>
        <w:tc>
          <w:tcPr>
            <w:tcW w:w="1055" w:type="dxa"/>
            <w:tcBorders>
              <w:left w:val="single" w:sz="4" w:space="0" w:color="FFFFFF"/>
            </w:tcBorders>
            <w:vAlign w:val="center"/>
          </w:tcPr>
          <w:p w14:paraId="54751B70" w14:textId="580B5122" w:rsidR="0089143C" w:rsidRPr="00CB0190" w:rsidRDefault="0089143C" w:rsidP="0089143C">
            <w:pPr>
              <w:jc w:val="center"/>
              <w:rPr>
                <w:b/>
                <w:sz w:val="18"/>
                <w:szCs w:val="18"/>
              </w:rPr>
            </w:pPr>
            <w:r w:rsidRPr="00CB0190">
              <w:rPr>
                <w:rFonts w:cs="Arial"/>
                <w:b/>
                <w:color w:val="000000"/>
                <w:sz w:val="18"/>
                <w:szCs w:val="18"/>
              </w:rPr>
              <w:t>8</w:t>
            </w:r>
            <w:r w:rsidR="002B248B">
              <w:rPr>
                <w:rFonts w:cs="Arial"/>
                <w:b/>
                <w:color w:val="000000"/>
                <w:sz w:val="18"/>
                <w:szCs w:val="18"/>
              </w:rPr>
              <w:t>3</w:t>
            </w:r>
          </w:p>
        </w:tc>
      </w:tr>
      <w:tr w:rsidR="00AC1727" w:rsidRPr="00CF554C" w14:paraId="133A05B4" w14:textId="77777777" w:rsidTr="00AC1727">
        <w:tc>
          <w:tcPr>
            <w:tcW w:w="4825" w:type="dxa"/>
            <w:tcBorders>
              <w:right w:val="single" w:sz="4" w:space="0" w:color="FFFFFF"/>
            </w:tcBorders>
            <w:shd w:val="clear" w:color="auto" w:fill="00B0F0"/>
            <w:vAlign w:val="center"/>
          </w:tcPr>
          <w:p w14:paraId="442E4116" w14:textId="0B042ABF" w:rsidR="00AC1727" w:rsidRPr="00CF554C" w:rsidRDefault="00AC1727" w:rsidP="00AC1727">
            <w:pPr>
              <w:spacing w:before="60" w:after="60"/>
              <w:jc w:val="center"/>
              <w:rPr>
                <w:sz w:val="18"/>
                <w:szCs w:val="18"/>
              </w:rPr>
            </w:pPr>
            <w:r w:rsidRPr="00CF554C">
              <w:rPr>
                <w:b/>
                <w:sz w:val="18"/>
                <w:szCs w:val="18"/>
              </w:rPr>
              <w:t>Średnio</w:t>
            </w:r>
          </w:p>
        </w:tc>
        <w:tc>
          <w:tcPr>
            <w:tcW w:w="1196" w:type="dxa"/>
            <w:tcBorders>
              <w:left w:val="single" w:sz="4" w:space="0" w:color="FFFFFF"/>
            </w:tcBorders>
            <w:shd w:val="clear" w:color="auto" w:fill="00B0F0"/>
            <w:vAlign w:val="center"/>
          </w:tcPr>
          <w:p w14:paraId="3D83C71A" w14:textId="39E892C4" w:rsidR="00AC1727" w:rsidRPr="00CF554C" w:rsidRDefault="00AC1727" w:rsidP="00AC1727">
            <w:pPr>
              <w:spacing w:before="60" w:after="60"/>
              <w:jc w:val="center"/>
              <w:rPr>
                <w:sz w:val="18"/>
                <w:szCs w:val="18"/>
              </w:rPr>
            </w:pPr>
            <w:r>
              <w:rPr>
                <w:b/>
                <w:sz w:val="18"/>
                <w:szCs w:val="18"/>
              </w:rPr>
              <w:t>49</w:t>
            </w:r>
          </w:p>
        </w:tc>
        <w:tc>
          <w:tcPr>
            <w:tcW w:w="1055" w:type="dxa"/>
            <w:tcBorders>
              <w:left w:val="single" w:sz="4" w:space="0" w:color="FFFFFF"/>
              <w:right w:val="single" w:sz="4" w:space="0" w:color="FFFFFF"/>
            </w:tcBorders>
            <w:shd w:val="clear" w:color="auto" w:fill="00B0F0"/>
            <w:vAlign w:val="center"/>
          </w:tcPr>
          <w:p w14:paraId="037A0FAF" w14:textId="2A533794" w:rsidR="00AC1727" w:rsidRPr="00CF554C" w:rsidRDefault="00AC1727" w:rsidP="00AC1727">
            <w:pPr>
              <w:jc w:val="center"/>
              <w:rPr>
                <w:sz w:val="18"/>
                <w:szCs w:val="18"/>
              </w:rPr>
            </w:pPr>
            <w:r>
              <w:rPr>
                <w:b/>
                <w:color w:val="000000"/>
                <w:sz w:val="18"/>
                <w:szCs w:val="18"/>
              </w:rPr>
              <w:t>38</w:t>
            </w:r>
          </w:p>
        </w:tc>
        <w:tc>
          <w:tcPr>
            <w:tcW w:w="1054" w:type="dxa"/>
            <w:tcBorders>
              <w:left w:val="single" w:sz="4" w:space="0" w:color="FFFFFF"/>
            </w:tcBorders>
            <w:shd w:val="clear" w:color="auto" w:fill="00B0F0"/>
            <w:vAlign w:val="center"/>
          </w:tcPr>
          <w:p w14:paraId="7CB85AE0" w14:textId="55880274" w:rsidR="00AC1727" w:rsidRPr="00CF554C" w:rsidRDefault="00AC1727" w:rsidP="00AC1727">
            <w:pPr>
              <w:jc w:val="center"/>
              <w:rPr>
                <w:sz w:val="18"/>
                <w:szCs w:val="18"/>
              </w:rPr>
            </w:pPr>
            <w:r w:rsidRPr="00CF554C">
              <w:rPr>
                <w:b/>
                <w:color w:val="000000"/>
                <w:sz w:val="18"/>
                <w:szCs w:val="18"/>
              </w:rPr>
              <w:t>3</w:t>
            </w:r>
            <w:r>
              <w:rPr>
                <w:b/>
                <w:color w:val="000000"/>
                <w:sz w:val="18"/>
                <w:szCs w:val="18"/>
              </w:rPr>
              <w:t>9</w:t>
            </w:r>
          </w:p>
        </w:tc>
        <w:tc>
          <w:tcPr>
            <w:tcW w:w="1055" w:type="dxa"/>
            <w:tcBorders>
              <w:left w:val="single" w:sz="4" w:space="0" w:color="FFFFFF"/>
            </w:tcBorders>
            <w:shd w:val="clear" w:color="auto" w:fill="00B0F0"/>
            <w:vAlign w:val="center"/>
          </w:tcPr>
          <w:p w14:paraId="47834D51" w14:textId="5DD3063D" w:rsidR="00AC1727" w:rsidRPr="00CB0190" w:rsidRDefault="00AC1727" w:rsidP="00AC1727">
            <w:pPr>
              <w:autoSpaceDE w:val="0"/>
              <w:autoSpaceDN w:val="0"/>
              <w:adjustRightInd w:val="0"/>
              <w:jc w:val="center"/>
              <w:rPr>
                <w:b/>
                <w:color w:val="000000"/>
                <w:sz w:val="18"/>
                <w:szCs w:val="18"/>
              </w:rPr>
            </w:pPr>
            <w:r>
              <w:rPr>
                <w:b/>
                <w:color w:val="000000"/>
                <w:sz w:val="18"/>
                <w:szCs w:val="18"/>
              </w:rPr>
              <w:t>40</w:t>
            </w:r>
          </w:p>
        </w:tc>
      </w:tr>
    </w:tbl>
    <w:p w14:paraId="6C0469C6" w14:textId="3F9BB5BA" w:rsidR="00A05542" w:rsidRDefault="00A05542" w:rsidP="00A05542">
      <w:pPr>
        <w:shd w:val="clear" w:color="auto" w:fill="FFFFFF"/>
      </w:pPr>
    </w:p>
    <w:p w14:paraId="5397773E" w14:textId="77777777" w:rsidR="0056176B" w:rsidRDefault="0056176B" w:rsidP="00A05542">
      <w:pPr>
        <w:shd w:val="clear" w:color="auto" w:fill="FFFFFF"/>
      </w:pPr>
    </w:p>
    <w:p w14:paraId="173DF990" w14:textId="38AD42BE" w:rsidR="0056176B" w:rsidRPr="005A7697" w:rsidRDefault="0056176B" w:rsidP="00E264DD">
      <w:pPr>
        <w:pStyle w:val="StylArial11ptWyjustowany"/>
        <w:numPr>
          <w:ilvl w:val="0"/>
          <w:numId w:val="9"/>
        </w:numPr>
        <w:shd w:val="clear" w:color="auto" w:fill="FFFFFF"/>
        <w:jc w:val="left"/>
        <w:rPr>
          <w:rFonts w:cs="Arial"/>
          <w:b/>
          <w:iCs/>
          <w:color w:val="0070C0"/>
          <w:szCs w:val="22"/>
        </w:rPr>
      </w:pPr>
      <w:r w:rsidRPr="005A7697">
        <w:rPr>
          <w:rFonts w:cs="Arial"/>
          <w:b/>
          <w:iCs/>
          <w:color w:val="0070C0"/>
          <w:szCs w:val="22"/>
        </w:rPr>
        <w:t xml:space="preserve">Zamówienia o wartościach </w:t>
      </w:r>
      <w:r w:rsidR="00E264DD" w:rsidRPr="00E264DD">
        <w:rPr>
          <w:rFonts w:cs="Arial"/>
          <w:b/>
          <w:iCs/>
          <w:color w:val="0070C0"/>
          <w:szCs w:val="22"/>
        </w:rPr>
        <w:t>równych lub przekraczających progi unijne</w:t>
      </w:r>
    </w:p>
    <w:p w14:paraId="593151FD" w14:textId="68DFA319" w:rsidR="0015051D" w:rsidRDefault="0015051D" w:rsidP="00A05542">
      <w:pPr>
        <w:shd w:val="clear" w:color="auto" w:fill="FFFFFF"/>
      </w:pPr>
    </w:p>
    <w:p w14:paraId="05652F7C" w14:textId="6A2E81D3" w:rsidR="00CB0190" w:rsidRDefault="00EE0167" w:rsidP="00A05542">
      <w:pPr>
        <w:shd w:val="clear" w:color="auto" w:fill="FFFFFF"/>
      </w:pPr>
      <w:r>
        <w:t>Ś</w:t>
      </w:r>
      <w:r w:rsidR="001A1C9D" w:rsidRPr="001A1C9D">
        <w:t>redni czas trwania postępowania</w:t>
      </w:r>
      <w:r w:rsidR="001A1C9D">
        <w:rPr>
          <w:rStyle w:val="Odwoanieprzypisudolnego"/>
        </w:rPr>
        <w:footnoteReference w:id="10"/>
      </w:r>
      <w:r w:rsidR="001A1C9D" w:rsidRPr="001A1C9D">
        <w:t xml:space="preserve"> o wartości </w:t>
      </w:r>
      <w:r w:rsidR="00487993" w:rsidRPr="00487993">
        <w:t xml:space="preserve">równej lub przekraczającej progi unijne </w:t>
      </w:r>
      <w:r>
        <w:t xml:space="preserve">obliczony w oparciu o dane zawarte </w:t>
      </w:r>
      <w:r w:rsidR="002D7AF9">
        <w:t>w</w:t>
      </w:r>
      <w:r w:rsidRPr="001A1C9D">
        <w:t xml:space="preserve"> ogłosze</w:t>
      </w:r>
      <w:r w:rsidR="002D7AF9">
        <w:t>niach</w:t>
      </w:r>
      <w:r w:rsidRPr="001A1C9D">
        <w:t xml:space="preserve"> opublikowanych </w:t>
      </w:r>
      <w:r w:rsidR="002D7AF9">
        <w:t xml:space="preserve">w 2022 r. </w:t>
      </w:r>
      <w:r w:rsidRPr="001A1C9D">
        <w:t>przez zamawiających w Dzienniku Urzędowym UE</w:t>
      </w:r>
      <w:r w:rsidR="001A1C9D" w:rsidRPr="001A1C9D">
        <w:t xml:space="preserve"> wyniósł 9</w:t>
      </w:r>
      <w:r w:rsidR="00027D09">
        <w:t>2</w:t>
      </w:r>
      <w:r w:rsidR="001A1C9D" w:rsidRPr="001A1C9D">
        <w:t xml:space="preserve"> dni (w 20</w:t>
      </w:r>
      <w:r w:rsidR="001A1C9D">
        <w:t>2</w:t>
      </w:r>
      <w:r w:rsidR="001A1C9D" w:rsidRPr="001A1C9D">
        <w:t>1 r. – 9</w:t>
      </w:r>
      <w:r w:rsidR="000C1816">
        <w:t>9</w:t>
      </w:r>
      <w:r w:rsidR="001A1C9D" w:rsidRPr="001A1C9D">
        <w:t xml:space="preserve"> dni).</w:t>
      </w:r>
    </w:p>
    <w:p w14:paraId="27161133" w14:textId="67A882B5" w:rsidR="00574945" w:rsidRDefault="00574945" w:rsidP="00A05542">
      <w:pPr>
        <w:shd w:val="clear" w:color="auto" w:fill="FFFFFF"/>
      </w:pPr>
    </w:p>
    <w:p w14:paraId="46AB4D5E" w14:textId="4B89F337" w:rsidR="001A1C9D" w:rsidRDefault="000C1816" w:rsidP="00A05542">
      <w:pPr>
        <w:shd w:val="clear" w:color="auto" w:fill="FFFFFF"/>
      </w:pPr>
      <w:r>
        <w:t>Podobnie jak w zamówieniach o wartościach poniżej progów unijnych, w</w:t>
      </w:r>
      <w:r w:rsidRPr="000C1816">
        <w:t xml:space="preserve"> zależności od rodzaju średni czas trwania procedury udzielenia zamówienia był nieco inny; w przypadku robót budowlanych wynosił </w:t>
      </w:r>
      <w:r>
        <w:t>125</w:t>
      </w:r>
      <w:r w:rsidRPr="000C1816">
        <w:t xml:space="preserve"> dni (w 2021 – </w:t>
      </w:r>
      <w:r>
        <w:t>136</w:t>
      </w:r>
      <w:r w:rsidRPr="000C1816">
        <w:t xml:space="preserve">), w dostawach </w:t>
      </w:r>
      <w:r w:rsidR="009F3236">
        <w:t>92</w:t>
      </w:r>
      <w:r w:rsidRPr="000C1816">
        <w:t xml:space="preserve"> dni (w 2021 r. – </w:t>
      </w:r>
      <w:r w:rsidR="009F3236">
        <w:t>99</w:t>
      </w:r>
      <w:r w:rsidRPr="000C1816">
        <w:t xml:space="preserve">), a w usługach – </w:t>
      </w:r>
      <w:r w:rsidR="009F3236">
        <w:t>8</w:t>
      </w:r>
      <w:r w:rsidRPr="000C1816">
        <w:t xml:space="preserve">9 dni (w 2021 r. – </w:t>
      </w:r>
      <w:r w:rsidR="009F3236">
        <w:t>94</w:t>
      </w:r>
      <w:r w:rsidRPr="000C1816">
        <w:t>).</w:t>
      </w:r>
    </w:p>
    <w:p w14:paraId="5C5D919B" w14:textId="0CA7C353" w:rsidR="001A1C9D" w:rsidRDefault="001A1C9D" w:rsidP="00A05542">
      <w:pPr>
        <w:shd w:val="clear" w:color="auto" w:fill="FFFFFF"/>
      </w:pPr>
    </w:p>
    <w:p w14:paraId="4904B070" w14:textId="292CA8C8" w:rsidR="00EA75A8" w:rsidRDefault="00EA75A8" w:rsidP="00EA75A8">
      <w:pPr>
        <w:rPr>
          <w:szCs w:val="22"/>
        </w:rPr>
      </w:pPr>
      <w:r>
        <w:rPr>
          <w:szCs w:val="22"/>
        </w:rPr>
        <w:t xml:space="preserve">W 2022 r. najszybciej dochodziło do udzielenia zamówienia </w:t>
      </w:r>
      <w:r w:rsidR="00444F6E">
        <w:rPr>
          <w:szCs w:val="22"/>
        </w:rPr>
        <w:t>w</w:t>
      </w:r>
      <w:r>
        <w:rPr>
          <w:szCs w:val="22"/>
        </w:rPr>
        <w:t xml:space="preserve"> tryb</w:t>
      </w:r>
      <w:r w:rsidR="00444F6E">
        <w:rPr>
          <w:szCs w:val="22"/>
        </w:rPr>
        <w:t>ie</w:t>
      </w:r>
      <w:r>
        <w:rPr>
          <w:szCs w:val="22"/>
        </w:rPr>
        <w:t xml:space="preserve"> przetargu nieograniczonego</w:t>
      </w:r>
      <w:r w:rsidR="00BA2BF1">
        <w:rPr>
          <w:szCs w:val="22"/>
        </w:rPr>
        <w:t xml:space="preserve"> i średnio</w:t>
      </w:r>
      <w:r>
        <w:rPr>
          <w:szCs w:val="22"/>
        </w:rPr>
        <w:t xml:space="preserve"> wyn</w:t>
      </w:r>
      <w:r w:rsidR="00BA2BF1">
        <w:rPr>
          <w:szCs w:val="22"/>
        </w:rPr>
        <w:t>osił on</w:t>
      </w:r>
      <w:r>
        <w:rPr>
          <w:szCs w:val="22"/>
        </w:rPr>
        <w:t xml:space="preserve"> 92 dni.</w:t>
      </w:r>
    </w:p>
    <w:p w14:paraId="1AFCFCBB" w14:textId="76C09755" w:rsidR="001A1C9D" w:rsidRDefault="001A1C9D" w:rsidP="00A05542">
      <w:pPr>
        <w:shd w:val="clear" w:color="auto" w:fill="FFFFFF"/>
      </w:pPr>
    </w:p>
    <w:p w14:paraId="59858242" w14:textId="063F270A" w:rsidR="00027D09" w:rsidRPr="00CF554C" w:rsidRDefault="00027D09" w:rsidP="00027D09">
      <w:pPr>
        <w:pStyle w:val="Legenda"/>
      </w:pPr>
      <w:bookmarkStart w:id="86" w:name="_Toc141276516"/>
      <w:r w:rsidRPr="00D72CC8">
        <w:t xml:space="preserve">Tab. </w:t>
      </w:r>
      <w:r w:rsidR="00BE2079">
        <w:fldChar w:fldCharType="begin"/>
      </w:r>
      <w:r w:rsidR="00BE2079">
        <w:instrText xml:space="preserve"> SEQ Tab. \* ARABIC </w:instrText>
      </w:r>
      <w:r w:rsidR="00BE2079">
        <w:fldChar w:fldCharType="separate"/>
      </w:r>
      <w:r w:rsidR="00A43C68">
        <w:rPr>
          <w:noProof/>
        </w:rPr>
        <w:t>9</w:t>
      </w:r>
      <w:r w:rsidR="00BE2079">
        <w:rPr>
          <w:noProof/>
        </w:rPr>
        <w:fldChar w:fldCharType="end"/>
      </w:r>
      <w:r w:rsidRPr="00D72CC8">
        <w:t>. Średni czas trwania postępowań w zależności od rodzaju i trybu udzielenia zamó</w:t>
      </w:r>
      <w:r w:rsidR="00262258">
        <w:t>wienia [dni]</w:t>
      </w:r>
      <w:r w:rsidRPr="00D72CC8">
        <w:br/>
        <w:t xml:space="preserve">(postępowania o wartościach </w:t>
      </w:r>
      <w:r w:rsidR="00B4430D" w:rsidRPr="00B4430D">
        <w:t>równych lub przekraczających progi unijne</w:t>
      </w:r>
      <w:r w:rsidRPr="00D72CC8">
        <w:t>)</w:t>
      </w:r>
      <w:bookmarkEnd w:id="86"/>
    </w:p>
    <w:tbl>
      <w:tblPr>
        <w:tblW w:w="9185" w:type="dxa"/>
        <w:tblInd w:w="-5" w:type="dxa"/>
        <w:tblLayout w:type="fixed"/>
        <w:tblLook w:val="04A0" w:firstRow="1" w:lastRow="0" w:firstColumn="1" w:lastColumn="0" w:noHBand="0" w:noVBand="1"/>
      </w:tblPr>
      <w:tblGrid>
        <w:gridCol w:w="4825"/>
        <w:gridCol w:w="1196"/>
        <w:gridCol w:w="1055"/>
        <w:gridCol w:w="1054"/>
        <w:gridCol w:w="1055"/>
      </w:tblGrid>
      <w:tr w:rsidR="00027D09" w:rsidRPr="00CF554C" w14:paraId="48E35387" w14:textId="77777777" w:rsidTr="00AE19EE">
        <w:trPr>
          <w:tblHeader/>
        </w:trPr>
        <w:tc>
          <w:tcPr>
            <w:tcW w:w="4825" w:type="dxa"/>
            <w:tcBorders>
              <w:right w:val="single" w:sz="4" w:space="0" w:color="FFFFFF"/>
            </w:tcBorders>
            <w:shd w:val="clear" w:color="auto" w:fill="002060"/>
            <w:vAlign w:val="center"/>
          </w:tcPr>
          <w:p w14:paraId="71E2F231" w14:textId="77777777" w:rsidR="00027D09" w:rsidRPr="00CF554C" w:rsidRDefault="00027D09" w:rsidP="00AE19EE">
            <w:pPr>
              <w:spacing w:before="60" w:after="60"/>
              <w:jc w:val="center"/>
              <w:rPr>
                <w:b/>
                <w:sz w:val="18"/>
                <w:szCs w:val="18"/>
              </w:rPr>
            </w:pPr>
            <w:r w:rsidRPr="00CF554C">
              <w:rPr>
                <w:b/>
                <w:sz w:val="18"/>
                <w:szCs w:val="18"/>
              </w:rPr>
              <w:t>Tryb zamówienia</w:t>
            </w:r>
          </w:p>
        </w:tc>
        <w:tc>
          <w:tcPr>
            <w:tcW w:w="1196" w:type="dxa"/>
            <w:tcBorders>
              <w:left w:val="single" w:sz="4" w:space="0" w:color="FFFFFF"/>
            </w:tcBorders>
            <w:shd w:val="clear" w:color="auto" w:fill="002060"/>
            <w:vAlign w:val="center"/>
          </w:tcPr>
          <w:p w14:paraId="2A72484C" w14:textId="77777777" w:rsidR="00027D09" w:rsidRPr="00CF554C" w:rsidRDefault="00027D09" w:rsidP="00AE19EE">
            <w:pPr>
              <w:spacing w:before="60" w:after="60"/>
              <w:jc w:val="center"/>
              <w:rPr>
                <w:b/>
                <w:sz w:val="18"/>
                <w:szCs w:val="18"/>
              </w:rPr>
            </w:pPr>
            <w:r w:rsidRPr="00CF554C">
              <w:rPr>
                <w:b/>
                <w:sz w:val="18"/>
                <w:szCs w:val="18"/>
              </w:rPr>
              <w:t>Roboty budowlane</w:t>
            </w:r>
          </w:p>
        </w:tc>
        <w:tc>
          <w:tcPr>
            <w:tcW w:w="1055" w:type="dxa"/>
            <w:tcBorders>
              <w:left w:val="single" w:sz="4" w:space="0" w:color="FFFFFF"/>
              <w:right w:val="single" w:sz="4" w:space="0" w:color="FFFFFF"/>
            </w:tcBorders>
            <w:shd w:val="clear" w:color="auto" w:fill="002060"/>
            <w:vAlign w:val="center"/>
          </w:tcPr>
          <w:p w14:paraId="7D4C673E" w14:textId="77777777" w:rsidR="00027D09" w:rsidRPr="00CF554C" w:rsidRDefault="00027D09" w:rsidP="00AE19EE">
            <w:pPr>
              <w:spacing w:before="60" w:after="60"/>
              <w:jc w:val="center"/>
              <w:rPr>
                <w:b/>
                <w:sz w:val="18"/>
                <w:szCs w:val="18"/>
              </w:rPr>
            </w:pPr>
            <w:r w:rsidRPr="00CF554C">
              <w:rPr>
                <w:b/>
                <w:sz w:val="18"/>
                <w:szCs w:val="18"/>
              </w:rPr>
              <w:t>Dostawy</w:t>
            </w:r>
          </w:p>
        </w:tc>
        <w:tc>
          <w:tcPr>
            <w:tcW w:w="1054" w:type="dxa"/>
            <w:tcBorders>
              <w:left w:val="single" w:sz="4" w:space="0" w:color="FFFFFF"/>
            </w:tcBorders>
            <w:shd w:val="clear" w:color="auto" w:fill="002060"/>
            <w:vAlign w:val="center"/>
          </w:tcPr>
          <w:p w14:paraId="7721BB58" w14:textId="77777777" w:rsidR="00027D09" w:rsidRPr="00CF554C" w:rsidRDefault="00027D09" w:rsidP="00AE19EE">
            <w:pPr>
              <w:spacing w:before="60" w:after="60"/>
              <w:jc w:val="center"/>
              <w:rPr>
                <w:b/>
                <w:sz w:val="18"/>
                <w:szCs w:val="18"/>
              </w:rPr>
            </w:pPr>
            <w:r w:rsidRPr="00CF554C">
              <w:rPr>
                <w:b/>
                <w:sz w:val="18"/>
                <w:szCs w:val="18"/>
              </w:rPr>
              <w:t>Usługi</w:t>
            </w:r>
          </w:p>
        </w:tc>
        <w:tc>
          <w:tcPr>
            <w:tcW w:w="1055" w:type="dxa"/>
            <w:tcBorders>
              <w:left w:val="single" w:sz="4" w:space="0" w:color="FFFFFF"/>
            </w:tcBorders>
            <w:shd w:val="clear" w:color="auto" w:fill="002060"/>
            <w:vAlign w:val="center"/>
          </w:tcPr>
          <w:p w14:paraId="641D08B1" w14:textId="77777777" w:rsidR="00027D09" w:rsidRPr="00CF554C" w:rsidRDefault="00027D09" w:rsidP="00AE19EE">
            <w:pPr>
              <w:spacing w:before="60" w:after="60"/>
              <w:jc w:val="center"/>
              <w:rPr>
                <w:b/>
                <w:sz w:val="18"/>
                <w:szCs w:val="18"/>
              </w:rPr>
            </w:pPr>
            <w:r w:rsidRPr="00CF554C">
              <w:rPr>
                <w:b/>
                <w:sz w:val="18"/>
                <w:szCs w:val="18"/>
              </w:rPr>
              <w:t>Średnio</w:t>
            </w:r>
          </w:p>
        </w:tc>
      </w:tr>
      <w:tr w:rsidR="001433B1" w:rsidRPr="00CF554C" w14:paraId="33AB4B2F" w14:textId="77777777" w:rsidTr="001433B1">
        <w:tc>
          <w:tcPr>
            <w:tcW w:w="4825" w:type="dxa"/>
            <w:tcBorders>
              <w:right w:val="single" w:sz="4" w:space="0" w:color="FFFFFF"/>
            </w:tcBorders>
            <w:shd w:val="clear" w:color="auto" w:fill="auto"/>
            <w:vAlign w:val="center"/>
          </w:tcPr>
          <w:p w14:paraId="54084B17" w14:textId="2C9C73B1" w:rsidR="001433B1" w:rsidRPr="001433B1" w:rsidRDefault="001433B1" w:rsidP="001433B1">
            <w:pPr>
              <w:spacing w:before="60" w:after="60"/>
              <w:jc w:val="left"/>
              <w:rPr>
                <w:sz w:val="18"/>
                <w:szCs w:val="18"/>
              </w:rPr>
            </w:pPr>
            <w:r w:rsidRPr="001433B1">
              <w:rPr>
                <w:sz w:val="18"/>
                <w:szCs w:val="18"/>
              </w:rPr>
              <w:t>Przetarg nieograniczony</w:t>
            </w:r>
          </w:p>
        </w:tc>
        <w:tc>
          <w:tcPr>
            <w:tcW w:w="1196" w:type="dxa"/>
            <w:tcBorders>
              <w:left w:val="single" w:sz="4" w:space="0" w:color="FFFFFF"/>
            </w:tcBorders>
            <w:shd w:val="clear" w:color="auto" w:fill="auto"/>
            <w:vAlign w:val="center"/>
          </w:tcPr>
          <w:p w14:paraId="5D35A485" w14:textId="7AE438A8" w:rsidR="001433B1" w:rsidRPr="0089143C" w:rsidRDefault="0005112B" w:rsidP="001433B1">
            <w:pPr>
              <w:jc w:val="center"/>
              <w:rPr>
                <w:sz w:val="18"/>
                <w:szCs w:val="18"/>
              </w:rPr>
            </w:pPr>
            <w:r>
              <w:rPr>
                <w:sz w:val="18"/>
                <w:szCs w:val="18"/>
              </w:rPr>
              <w:t>124</w:t>
            </w:r>
          </w:p>
        </w:tc>
        <w:tc>
          <w:tcPr>
            <w:tcW w:w="1055" w:type="dxa"/>
            <w:tcBorders>
              <w:left w:val="single" w:sz="4" w:space="0" w:color="FFFFFF"/>
              <w:right w:val="single" w:sz="4" w:space="0" w:color="FFFFFF"/>
            </w:tcBorders>
            <w:vAlign w:val="center"/>
          </w:tcPr>
          <w:p w14:paraId="6DF5631F" w14:textId="66EA8C5E" w:rsidR="001433B1" w:rsidRPr="0089143C" w:rsidRDefault="0005112B" w:rsidP="001433B1">
            <w:pPr>
              <w:jc w:val="center"/>
              <w:rPr>
                <w:sz w:val="18"/>
                <w:szCs w:val="18"/>
              </w:rPr>
            </w:pPr>
            <w:r>
              <w:rPr>
                <w:sz w:val="18"/>
                <w:szCs w:val="18"/>
              </w:rPr>
              <w:t>92</w:t>
            </w:r>
          </w:p>
        </w:tc>
        <w:tc>
          <w:tcPr>
            <w:tcW w:w="1054" w:type="dxa"/>
            <w:tcBorders>
              <w:left w:val="single" w:sz="4" w:space="0" w:color="FFFFFF"/>
            </w:tcBorders>
            <w:shd w:val="clear" w:color="auto" w:fill="auto"/>
            <w:vAlign w:val="center"/>
          </w:tcPr>
          <w:p w14:paraId="79E8902C" w14:textId="6157FF4B" w:rsidR="001433B1" w:rsidRPr="0089143C" w:rsidRDefault="0005112B" w:rsidP="001433B1">
            <w:pPr>
              <w:jc w:val="center"/>
              <w:rPr>
                <w:sz w:val="18"/>
                <w:szCs w:val="18"/>
              </w:rPr>
            </w:pPr>
            <w:r>
              <w:rPr>
                <w:sz w:val="18"/>
                <w:szCs w:val="18"/>
              </w:rPr>
              <w:t>89</w:t>
            </w:r>
          </w:p>
        </w:tc>
        <w:tc>
          <w:tcPr>
            <w:tcW w:w="1055" w:type="dxa"/>
            <w:tcBorders>
              <w:left w:val="single" w:sz="4" w:space="0" w:color="FFFFFF"/>
            </w:tcBorders>
            <w:vAlign w:val="center"/>
          </w:tcPr>
          <w:p w14:paraId="69EFE82F" w14:textId="0B8F6AA0" w:rsidR="001433B1" w:rsidRPr="00CB0190" w:rsidRDefault="008E3532" w:rsidP="001433B1">
            <w:pPr>
              <w:jc w:val="center"/>
              <w:rPr>
                <w:b/>
                <w:sz w:val="18"/>
                <w:szCs w:val="18"/>
              </w:rPr>
            </w:pPr>
            <w:r>
              <w:rPr>
                <w:b/>
                <w:sz w:val="18"/>
                <w:szCs w:val="18"/>
              </w:rPr>
              <w:t>92</w:t>
            </w:r>
          </w:p>
        </w:tc>
      </w:tr>
      <w:tr w:rsidR="001433B1" w:rsidRPr="00CF554C" w14:paraId="5659C97F" w14:textId="77777777" w:rsidTr="001433B1">
        <w:tc>
          <w:tcPr>
            <w:tcW w:w="4825" w:type="dxa"/>
            <w:tcBorders>
              <w:right w:val="single" w:sz="4" w:space="0" w:color="FFFFFF"/>
            </w:tcBorders>
            <w:shd w:val="clear" w:color="auto" w:fill="00B0F0"/>
            <w:vAlign w:val="center"/>
          </w:tcPr>
          <w:p w14:paraId="4D702A6E" w14:textId="090F0B92" w:rsidR="001433B1" w:rsidRPr="001433B1" w:rsidRDefault="001433B1" w:rsidP="001433B1">
            <w:pPr>
              <w:spacing w:before="60" w:after="60"/>
              <w:jc w:val="left"/>
              <w:rPr>
                <w:sz w:val="18"/>
                <w:szCs w:val="18"/>
              </w:rPr>
            </w:pPr>
            <w:r w:rsidRPr="001433B1">
              <w:rPr>
                <w:sz w:val="18"/>
                <w:szCs w:val="18"/>
              </w:rPr>
              <w:t>Przetarg ograniczony</w:t>
            </w:r>
          </w:p>
        </w:tc>
        <w:tc>
          <w:tcPr>
            <w:tcW w:w="1196" w:type="dxa"/>
            <w:tcBorders>
              <w:left w:val="single" w:sz="4" w:space="0" w:color="FFFFFF"/>
            </w:tcBorders>
            <w:shd w:val="clear" w:color="auto" w:fill="00B0F0"/>
            <w:vAlign w:val="center"/>
          </w:tcPr>
          <w:p w14:paraId="6318AE6D" w14:textId="7286261B" w:rsidR="001433B1" w:rsidRPr="0089143C" w:rsidRDefault="0005112B" w:rsidP="001433B1">
            <w:pPr>
              <w:jc w:val="center"/>
              <w:rPr>
                <w:sz w:val="18"/>
                <w:szCs w:val="18"/>
              </w:rPr>
            </w:pPr>
            <w:r>
              <w:rPr>
                <w:sz w:val="18"/>
                <w:szCs w:val="18"/>
              </w:rPr>
              <w:t>208</w:t>
            </w:r>
          </w:p>
        </w:tc>
        <w:tc>
          <w:tcPr>
            <w:tcW w:w="1055" w:type="dxa"/>
            <w:tcBorders>
              <w:left w:val="single" w:sz="4" w:space="0" w:color="FFFFFF"/>
              <w:right w:val="single" w:sz="4" w:space="0" w:color="FFFFFF"/>
            </w:tcBorders>
            <w:shd w:val="clear" w:color="auto" w:fill="00B0F0"/>
            <w:vAlign w:val="center"/>
          </w:tcPr>
          <w:p w14:paraId="44E87E17" w14:textId="50EC57C5" w:rsidR="001433B1" w:rsidRPr="0089143C" w:rsidRDefault="0005112B" w:rsidP="001433B1">
            <w:pPr>
              <w:jc w:val="center"/>
              <w:rPr>
                <w:sz w:val="18"/>
                <w:szCs w:val="18"/>
              </w:rPr>
            </w:pPr>
            <w:r>
              <w:rPr>
                <w:sz w:val="18"/>
                <w:szCs w:val="18"/>
              </w:rPr>
              <w:t>92</w:t>
            </w:r>
          </w:p>
        </w:tc>
        <w:tc>
          <w:tcPr>
            <w:tcW w:w="1054" w:type="dxa"/>
            <w:tcBorders>
              <w:left w:val="single" w:sz="4" w:space="0" w:color="FFFFFF"/>
            </w:tcBorders>
            <w:shd w:val="clear" w:color="auto" w:fill="00B0F0"/>
            <w:vAlign w:val="center"/>
          </w:tcPr>
          <w:p w14:paraId="263A00D0" w14:textId="2C3E4EC5" w:rsidR="001433B1" w:rsidRPr="0089143C" w:rsidRDefault="0005112B" w:rsidP="001433B1">
            <w:pPr>
              <w:jc w:val="center"/>
              <w:rPr>
                <w:sz w:val="18"/>
                <w:szCs w:val="18"/>
              </w:rPr>
            </w:pPr>
            <w:r>
              <w:rPr>
                <w:sz w:val="18"/>
                <w:szCs w:val="18"/>
              </w:rPr>
              <w:t>132</w:t>
            </w:r>
          </w:p>
        </w:tc>
        <w:tc>
          <w:tcPr>
            <w:tcW w:w="1055" w:type="dxa"/>
            <w:tcBorders>
              <w:left w:val="single" w:sz="4" w:space="0" w:color="FFFFFF"/>
            </w:tcBorders>
            <w:shd w:val="clear" w:color="auto" w:fill="00B0F0"/>
            <w:vAlign w:val="center"/>
          </w:tcPr>
          <w:p w14:paraId="1A3DF7D8" w14:textId="6EB39A05" w:rsidR="001433B1" w:rsidRPr="00CB0190" w:rsidRDefault="008E3532" w:rsidP="001433B1">
            <w:pPr>
              <w:jc w:val="center"/>
              <w:rPr>
                <w:b/>
                <w:sz w:val="18"/>
                <w:szCs w:val="18"/>
              </w:rPr>
            </w:pPr>
            <w:r>
              <w:rPr>
                <w:b/>
                <w:sz w:val="18"/>
                <w:szCs w:val="18"/>
              </w:rPr>
              <w:t>108</w:t>
            </w:r>
          </w:p>
        </w:tc>
      </w:tr>
      <w:tr w:rsidR="001433B1" w:rsidRPr="00CF554C" w14:paraId="451C24C6" w14:textId="77777777" w:rsidTr="001433B1">
        <w:tc>
          <w:tcPr>
            <w:tcW w:w="4825" w:type="dxa"/>
            <w:tcBorders>
              <w:right w:val="single" w:sz="4" w:space="0" w:color="FFFFFF"/>
            </w:tcBorders>
            <w:shd w:val="clear" w:color="auto" w:fill="auto"/>
            <w:vAlign w:val="center"/>
          </w:tcPr>
          <w:p w14:paraId="4D93F789" w14:textId="213B9158" w:rsidR="001433B1" w:rsidRPr="001433B1" w:rsidRDefault="001433B1" w:rsidP="001433B1">
            <w:pPr>
              <w:spacing w:before="60" w:after="60"/>
              <w:jc w:val="left"/>
              <w:rPr>
                <w:sz w:val="18"/>
                <w:szCs w:val="18"/>
              </w:rPr>
            </w:pPr>
            <w:r w:rsidRPr="001433B1">
              <w:rPr>
                <w:sz w:val="18"/>
                <w:szCs w:val="18"/>
              </w:rPr>
              <w:t>Negocjacje z ogłoszeniem</w:t>
            </w:r>
          </w:p>
        </w:tc>
        <w:tc>
          <w:tcPr>
            <w:tcW w:w="1196" w:type="dxa"/>
            <w:tcBorders>
              <w:left w:val="single" w:sz="4" w:space="0" w:color="FFFFFF"/>
            </w:tcBorders>
            <w:shd w:val="clear" w:color="auto" w:fill="auto"/>
            <w:vAlign w:val="center"/>
          </w:tcPr>
          <w:p w14:paraId="408C19E9" w14:textId="1F836D0C" w:rsidR="001433B1" w:rsidRPr="0089143C" w:rsidRDefault="0005112B" w:rsidP="001433B1">
            <w:pPr>
              <w:jc w:val="center"/>
              <w:rPr>
                <w:sz w:val="18"/>
                <w:szCs w:val="18"/>
              </w:rPr>
            </w:pPr>
            <w:r>
              <w:rPr>
                <w:sz w:val="18"/>
                <w:szCs w:val="18"/>
              </w:rPr>
              <w:t>117</w:t>
            </w:r>
          </w:p>
        </w:tc>
        <w:tc>
          <w:tcPr>
            <w:tcW w:w="1055" w:type="dxa"/>
            <w:tcBorders>
              <w:left w:val="single" w:sz="4" w:space="0" w:color="FFFFFF"/>
              <w:right w:val="single" w:sz="4" w:space="0" w:color="FFFFFF"/>
            </w:tcBorders>
            <w:vAlign w:val="center"/>
          </w:tcPr>
          <w:p w14:paraId="59CAE300" w14:textId="372DCD1E" w:rsidR="001433B1" w:rsidRPr="0089143C" w:rsidRDefault="0005112B" w:rsidP="001433B1">
            <w:pPr>
              <w:jc w:val="center"/>
              <w:rPr>
                <w:sz w:val="18"/>
                <w:szCs w:val="18"/>
              </w:rPr>
            </w:pPr>
            <w:r>
              <w:rPr>
                <w:sz w:val="18"/>
                <w:szCs w:val="18"/>
              </w:rPr>
              <w:t>141</w:t>
            </w:r>
          </w:p>
        </w:tc>
        <w:tc>
          <w:tcPr>
            <w:tcW w:w="1054" w:type="dxa"/>
            <w:tcBorders>
              <w:left w:val="single" w:sz="4" w:space="0" w:color="FFFFFF"/>
            </w:tcBorders>
            <w:shd w:val="clear" w:color="auto" w:fill="auto"/>
            <w:vAlign w:val="center"/>
          </w:tcPr>
          <w:p w14:paraId="57734B4B" w14:textId="5D13513C" w:rsidR="001433B1" w:rsidRPr="0089143C" w:rsidRDefault="0005112B" w:rsidP="001433B1">
            <w:pPr>
              <w:jc w:val="center"/>
              <w:rPr>
                <w:sz w:val="18"/>
                <w:szCs w:val="18"/>
              </w:rPr>
            </w:pPr>
            <w:r>
              <w:rPr>
                <w:sz w:val="18"/>
                <w:szCs w:val="18"/>
              </w:rPr>
              <w:t>124</w:t>
            </w:r>
          </w:p>
        </w:tc>
        <w:tc>
          <w:tcPr>
            <w:tcW w:w="1055" w:type="dxa"/>
            <w:tcBorders>
              <w:left w:val="single" w:sz="4" w:space="0" w:color="FFFFFF"/>
            </w:tcBorders>
            <w:vAlign w:val="center"/>
          </w:tcPr>
          <w:p w14:paraId="7D1C6358" w14:textId="4DA48A50" w:rsidR="001433B1" w:rsidRPr="00CB0190" w:rsidRDefault="008E3532" w:rsidP="001433B1">
            <w:pPr>
              <w:jc w:val="center"/>
              <w:rPr>
                <w:b/>
                <w:sz w:val="18"/>
                <w:szCs w:val="18"/>
              </w:rPr>
            </w:pPr>
            <w:r>
              <w:rPr>
                <w:b/>
                <w:sz w:val="18"/>
                <w:szCs w:val="18"/>
              </w:rPr>
              <w:t>130</w:t>
            </w:r>
          </w:p>
        </w:tc>
      </w:tr>
      <w:tr w:rsidR="001433B1" w:rsidRPr="00CF554C" w14:paraId="1B10D982" w14:textId="77777777" w:rsidTr="001433B1">
        <w:tc>
          <w:tcPr>
            <w:tcW w:w="4825" w:type="dxa"/>
            <w:tcBorders>
              <w:right w:val="single" w:sz="4" w:space="0" w:color="FFFFFF"/>
            </w:tcBorders>
            <w:shd w:val="clear" w:color="auto" w:fill="00B0F0"/>
            <w:vAlign w:val="center"/>
          </w:tcPr>
          <w:p w14:paraId="63BB98DE" w14:textId="0543A461" w:rsidR="001433B1" w:rsidRPr="001433B1" w:rsidRDefault="001433B1" w:rsidP="001433B1">
            <w:pPr>
              <w:spacing w:before="60" w:after="60"/>
              <w:jc w:val="left"/>
              <w:rPr>
                <w:sz w:val="18"/>
                <w:szCs w:val="18"/>
              </w:rPr>
            </w:pPr>
            <w:r w:rsidRPr="001433B1">
              <w:rPr>
                <w:sz w:val="18"/>
                <w:szCs w:val="18"/>
              </w:rPr>
              <w:t>Dialog konkurencyjny</w:t>
            </w:r>
          </w:p>
        </w:tc>
        <w:tc>
          <w:tcPr>
            <w:tcW w:w="1196" w:type="dxa"/>
            <w:tcBorders>
              <w:left w:val="single" w:sz="4" w:space="0" w:color="FFFFFF"/>
            </w:tcBorders>
            <w:shd w:val="clear" w:color="auto" w:fill="00B0F0"/>
            <w:vAlign w:val="center"/>
          </w:tcPr>
          <w:p w14:paraId="2EE46DCB" w14:textId="1F70BF7D" w:rsidR="001433B1" w:rsidRPr="00CF554C" w:rsidRDefault="0005112B" w:rsidP="001433B1">
            <w:pPr>
              <w:spacing w:before="60" w:after="60"/>
              <w:jc w:val="center"/>
              <w:rPr>
                <w:sz w:val="18"/>
                <w:szCs w:val="18"/>
              </w:rPr>
            </w:pPr>
            <w:r>
              <w:rPr>
                <w:sz w:val="18"/>
                <w:szCs w:val="18"/>
              </w:rPr>
              <w:t>-</w:t>
            </w:r>
          </w:p>
        </w:tc>
        <w:tc>
          <w:tcPr>
            <w:tcW w:w="1055" w:type="dxa"/>
            <w:tcBorders>
              <w:left w:val="single" w:sz="4" w:space="0" w:color="FFFFFF"/>
              <w:right w:val="single" w:sz="4" w:space="0" w:color="FFFFFF"/>
            </w:tcBorders>
            <w:shd w:val="clear" w:color="auto" w:fill="00B0F0"/>
            <w:vAlign w:val="center"/>
          </w:tcPr>
          <w:p w14:paraId="0C54C2DD" w14:textId="436EE49E" w:rsidR="001433B1" w:rsidRPr="00CF554C" w:rsidRDefault="0005112B" w:rsidP="001433B1">
            <w:pPr>
              <w:spacing w:before="60" w:after="60"/>
              <w:jc w:val="center"/>
              <w:rPr>
                <w:sz w:val="18"/>
                <w:szCs w:val="18"/>
              </w:rPr>
            </w:pPr>
            <w:r>
              <w:rPr>
                <w:sz w:val="18"/>
                <w:szCs w:val="18"/>
              </w:rPr>
              <w:t>-</w:t>
            </w:r>
          </w:p>
        </w:tc>
        <w:tc>
          <w:tcPr>
            <w:tcW w:w="1054" w:type="dxa"/>
            <w:tcBorders>
              <w:left w:val="single" w:sz="4" w:space="0" w:color="FFFFFF"/>
            </w:tcBorders>
            <w:shd w:val="clear" w:color="auto" w:fill="00B0F0"/>
            <w:vAlign w:val="center"/>
          </w:tcPr>
          <w:p w14:paraId="2AC46204" w14:textId="3B8BD6C3" w:rsidR="001433B1" w:rsidRPr="00CF554C" w:rsidRDefault="0005112B" w:rsidP="001433B1">
            <w:pPr>
              <w:spacing w:before="60" w:after="60"/>
              <w:jc w:val="center"/>
              <w:rPr>
                <w:sz w:val="18"/>
                <w:szCs w:val="18"/>
              </w:rPr>
            </w:pPr>
            <w:r>
              <w:rPr>
                <w:sz w:val="18"/>
                <w:szCs w:val="18"/>
              </w:rPr>
              <w:t>206</w:t>
            </w:r>
          </w:p>
        </w:tc>
        <w:tc>
          <w:tcPr>
            <w:tcW w:w="1055" w:type="dxa"/>
            <w:tcBorders>
              <w:left w:val="single" w:sz="4" w:space="0" w:color="FFFFFF"/>
            </w:tcBorders>
            <w:shd w:val="clear" w:color="auto" w:fill="00B0F0"/>
            <w:vAlign w:val="center"/>
          </w:tcPr>
          <w:p w14:paraId="4AF1031A" w14:textId="6F165B2B" w:rsidR="001433B1" w:rsidRPr="001433B1" w:rsidRDefault="008E3532" w:rsidP="001433B1">
            <w:pPr>
              <w:spacing w:before="60" w:after="60"/>
              <w:jc w:val="center"/>
              <w:rPr>
                <w:b/>
                <w:sz w:val="18"/>
                <w:szCs w:val="18"/>
              </w:rPr>
            </w:pPr>
            <w:r>
              <w:rPr>
                <w:b/>
                <w:sz w:val="18"/>
                <w:szCs w:val="18"/>
              </w:rPr>
              <w:t>206</w:t>
            </w:r>
          </w:p>
        </w:tc>
      </w:tr>
      <w:tr w:rsidR="00731888" w:rsidRPr="00CF554C" w14:paraId="069D8480" w14:textId="77777777" w:rsidTr="00731888">
        <w:tc>
          <w:tcPr>
            <w:tcW w:w="4825" w:type="dxa"/>
            <w:tcBorders>
              <w:right w:val="single" w:sz="4" w:space="0" w:color="FFFFFF"/>
            </w:tcBorders>
            <w:shd w:val="clear" w:color="auto" w:fill="auto"/>
            <w:vAlign w:val="center"/>
          </w:tcPr>
          <w:p w14:paraId="6C8E77D9" w14:textId="236D0C9E" w:rsidR="00731888" w:rsidRPr="001433B1" w:rsidRDefault="00731888" w:rsidP="00731888">
            <w:pPr>
              <w:spacing w:before="60" w:after="60"/>
              <w:jc w:val="center"/>
              <w:rPr>
                <w:sz w:val="18"/>
                <w:szCs w:val="18"/>
              </w:rPr>
            </w:pPr>
            <w:r w:rsidRPr="0039743A">
              <w:rPr>
                <w:b/>
                <w:sz w:val="18"/>
                <w:szCs w:val="18"/>
              </w:rPr>
              <w:t>Średnio</w:t>
            </w:r>
          </w:p>
        </w:tc>
        <w:tc>
          <w:tcPr>
            <w:tcW w:w="1196" w:type="dxa"/>
            <w:tcBorders>
              <w:left w:val="single" w:sz="4" w:space="0" w:color="FFFFFF"/>
            </w:tcBorders>
            <w:shd w:val="clear" w:color="auto" w:fill="auto"/>
            <w:vAlign w:val="center"/>
          </w:tcPr>
          <w:p w14:paraId="3098B59F" w14:textId="2989D6A7" w:rsidR="00731888" w:rsidRPr="0089143C" w:rsidRDefault="00731888" w:rsidP="00731888">
            <w:pPr>
              <w:jc w:val="center"/>
              <w:rPr>
                <w:sz w:val="18"/>
                <w:szCs w:val="18"/>
              </w:rPr>
            </w:pPr>
            <w:r>
              <w:rPr>
                <w:b/>
                <w:sz w:val="18"/>
                <w:szCs w:val="18"/>
              </w:rPr>
              <w:t>125</w:t>
            </w:r>
          </w:p>
        </w:tc>
        <w:tc>
          <w:tcPr>
            <w:tcW w:w="1055" w:type="dxa"/>
            <w:tcBorders>
              <w:left w:val="single" w:sz="4" w:space="0" w:color="FFFFFF"/>
              <w:right w:val="single" w:sz="4" w:space="0" w:color="FFFFFF"/>
            </w:tcBorders>
            <w:vAlign w:val="center"/>
          </w:tcPr>
          <w:p w14:paraId="6D7C5CEA" w14:textId="27FC828F" w:rsidR="00731888" w:rsidRPr="0089143C" w:rsidRDefault="00731888" w:rsidP="00731888">
            <w:pPr>
              <w:jc w:val="center"/>
              <w:rPr>
                <w:sz w:val="18"/>
                <w:szCs w:val="18"/>
              </w:rPr>
            </w:pPr>
            <w:r>
              <w:rPr>
                <w:b/>
                <w:sz w:val="18"/>
                <w:szCs w:val="18"/>
              </w:rPr>
              <w:t>92</w:t>
            </w:r>
          </w:p>
        </w:tc>
        <w:tc>
          <w:tcPr>
            <w:tcW w:w="1054" w:type="dxa"/>
            <w:tcBorders>
              <w:left w:val="single" w:sz="4" w:space="0" w:color="FFFFFF"/>
            </w:tcBorders>
            <w:shd w:val="clear" w:color="auto" w:fill="auto"/>
            <w:vAlign w:val="center"/>
          </w:tcPr>
          <w:p w14:paraId="57057A23" w14:textId="1D298324" w:rsidR="00731888" w:rsidRPr="0089143C" w:rsidRDefault="00731888" w:rsidP="00731888">
            <w:pPr>
              <w:jc w:val="center"/>
              <w:rPr>
                <w:sz w:val="18"/>
                <w:szCs w:val="18"/>
              </w:rPr>
            </w:pPr>
            <w:r>
              <w:rPr>
                <w:b/>
                <w:sz w:val="18"/>
                <w:szCs w:val="18"/>
              </w:rPr>
              <w:t>89</w:t>
            </w:r>
          </w:p>
        </w:tc>
        <w:tc>
          <w:tcPr>
            <w:tcW w:w="1055" w:type="dxa"/>
            <w:tcBorders>
              <w:left w:val="single" w:sz="4" w:space="0" w:color="FFFFFF"/>
            </w:tcBorders>
            <w:vAlign w:val="center"/>
          </w:tcPr>
          <w:p w14:paraId="082B77BF" w14:textId="5C98B1BA" w:rsidR="00731888" w:rsidRPr="00CB0190" w:rsidRDefault="00731888" w:rsidP="00731888">
            <w:pPr>
              <w:jc w:val="center"/>
              <w:rPr>
                <w:b/>
                <w:sz w:val="18"/>
                <w:szCs w:val="18"/>
              </w:rPr>
            </w:pPr>
            <w:r>
              <w:rPr>
                <w:b/>
                <w:sz w:val="18"/>
                <w:szCs w:val="18"/>
              </w:rPr>
              <w:t>92</w:t>
            </w:r>
          </w:p>
        </w:tc>
      </w:tr>
    </w:tbl>
    <w:p w14:paraId="557A8D24" w14:textId="77777777" w:rsidR="00027D09" w:rsidRDefault="00027D09" w:rsidP="00A05542">
      <w:pPr>
        <w:shd w:val="clear" w:color="auto" w:fill="FFFFFF"/>
      </w:pPr>
    </w:p>
    <w:p w14:paraId="30465034"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0835FF45" w14:textId="77777777" w:rsidTr="004D2CDB">
        <w:trPr>
          <w:cantSplit/>
        </w:trPr>
        <w:tc>
          <w:tcPr>
            <w:tcW w:w="236" w:type="dxa"/>
            <w:shd w:val="clear" w:color="auto" w:fill="B8CCE4"/>
          </w:tcPr>
          <w:p w14:paraId="147FA286" w14:textId="77777777" w:rsidR="00716498" w:rsidRPr="001E7D51" w:rsidRDefault="00716498" w:rsidP="00F058DB">
            <w:pPr>
              <w:rPr>
                <w:sz w:val="24"/>
              </w:rPr>
            </w:pPr>
          </w:p>
        </w:tc>
        <w:tc>
          <w:tcPr>
            <w:tcW w:w="8676" w:type="dxa"/>
          </w:tcPr>
          <w:p w14:paraId="7F8ABB07" w14:textId="77777777" w:rsidR="00716498" w:rsidRPr="00665BBF" w:rsidRDefault="00716498" w:rsidP="00F058DB">
            <w:pPr>
              <w:pStyle w:val="Nagwek3"/>
              <w:shd w:val="clear" w:color="auto" w:fill="FFFFFF"/>
              <w:spacing w:after="120"/>
              <w:ind w:left="0"/>
              <w:rPr>
                <w:color w:val="0070C0"/>
                <w:sz w:val="24"/>
                <w:szCs w:val="24"/>
              </w:rPr>
            </w:pPr>
            <w:bookmarkStart w:id="87" w:name="_Toc64451859"/>
            <w:bookmarkStart w:id="88" w:name="_Toc141276439"/>
            <w:r w:rsidRPr="00665BBF">
              <w:rPr>
                <w:color w:val="0070C0"/>
                <w:sz w:val="24"/>
                <w:szCs w:val="24"/>
              </w:rPr>
              <w:t>II.2.3. Kryteria oceny ofert</w:t>
            </w:r>
            <w:bookmarkEnd w:id="87"/>
            <w:bookmarkEnd w:id="88"/>
          </w:p>
        </w:tc>
      </w:tr>
    </w:tbl>
    <w:p w14:paraId="1A8EBA22" w14:textId="57309689" w:rsidR="00716498" w:rsidRDefault="00716498" w:rsidP="007D4DEB">
      <w:pPr>
        <w:shd w:val="clear" w:color="auto" w:fill="FFFFFF"/>
      </w:pPr>
    </w:p>
    <w:p w14:paraId="5FCB7F62" w14:textId="0BF42AC5" w:rsidR="003B7ED8" w:rsidRDefault="003B7ED8" w:rsidP="003B7ED8">
      <w:pPr>
        <w:rPr>
          <w:szCs w:val="22"/>
        </w:rPr>
      </w:pPr>
      <w:r>
        <w:rPr>
          <w:szCs w:val="22"/>
        </w:rPr>
        <w:t>W 2022 r.</w:t>
      </w:r>
      <w:r w:rsidR="005E5A3B">
        <w:rPr>
          <w:szCs w:val="22"/>
        </w:rPr>
        <w:t xml:space="preserve"> </w:t>
      </w:r>
      <w:r w:rsidR="00085AF1">
        <w:rPr>
          <w:szCs w:val="22"/>
        </w:rPr>
        <w:t>wyboru</w:t>
      </w:r>
      <w:r w:rsidR="005E5A3B">
        <w:rPr>
          <w:szCs w:val="22"/>
        </w:rPr>
        <w:t xml:space="preserve"> oferty najkorzystniejszej</w:t>
      </w:r>
      <w:r w:rsidR="009A02C1">
        <w:rPr>
          <w:szCs w:val="22"/>
        </w:rPr>
        <w:t xml:space="preserve"> </w:t>
      </w:r>
      <w:r w:rsidRPr="002E7A3A">
        <w:rPr>
          <w:szCs w:val="22"/>
        </w:rPr>
        <w:t xml:space="preserve">najczęściej </w:t>
      </w:r>
      <w:r w:rsidR="005E5A3B">
        <w:rPr>
          <w:szCs w:val="22"/>
        </w:rPr>
        <w:t>dokonywano</w:t>
      </w:r>
      <w:r w:rsidR="009A02C1">
        <w:rPr>
          <w:szCs w:val="22"/>
        </w:rPr>
        <w:t xml:space="preserve"> </w:t>
      </w:r>
      <w:r w:rsidRPr="002E7A3A">
        <w:rPr>
          <w:szCs w:val="22"/>
        </w:rPr>
        <w:t>w oparciu o kryterium ceny i inne, dodatkowe kryteria</w:t>
      </w:r>
      <w:r>
        <w:rPr>
          <w:szCs w:val="22"/>
        </w:rPr>
        <w:t xml:space="preserve">. </w:t>
      </w:r>
      <w:r w:rsidRPr="002E7A3A">
        <w:rPr>
          <w:szCs w:val="22"/>
        </w:rPr>
        <w:t xml:space="preserve">W postępowaniach o wartościach poniżej </w:t>
      </w:r>
      <w:r w:rsidRPr="00DA34CC">
        <w:rPr>
          <w:szCs w:val="22"/>
        </w:rPr>
        <w:t xml:space="preserve">progów unijnych </w:t>
      </w:r>
      <w:r w:rsidR="007E0F2A">
        <w:rPr>
          <w:szCs w:val="22"/>
        </w:rPr>
        <w:t>było to</w:t>
      </w:r>
      <w:r w:rsidR="009A02C1">
        <w:rPr>
          <w:szCs w:val="22"/>
        </w:rPr>
        <w:t xml:space="preserve"> </w:t>
      </w:r>
      <w:r w:rsidRPr="00DA34CC">
        <w:rPr>
          <w:szCs w:val="22"/>
        </w:rPr>
        <w:t>8</w:t>
      </w:r>
      <w:r w:rsidR="00DA34CC" w:rsidRPr="00DA34CC">
        <w:rPr>
          <w:szCs w:val="22"/>
        </w:rPr>
        <w:t>0</w:t>
      </w:r>
      <w:r w:rsidRPr="00DA34CC">
        <w:rPr>
          <w:szCs w:val="22"/>
        </w:rPr>
        <w:t>% zamówień, a w postępowaniach o wartościach</w:t>
      </w:r>
      <w:r w:rsidRPr="002E7A3A">
        <w:rPr>
          <w:szCs w:val="22"/>
        </w:rPr>
        <w:t xml:space="preserve"> </w:t>
      </w:r>
      <w:r w:rsidR="00C654AE" w:rsidRPr="00C654AE">
        <w:rPr>
          <w:szCs w:val="22"/>
        </w:rPr>
        <w:t>równych lub przekraczających progi unijne</w:t>
      </w:r>
      <w:r w:rsidRPr="00A75111">
        <w:rPr>
          <w:szCs w:val="22"/>
        </w:rPr>
        <w:t xml:space="preserve"> – 61% zamówień.</w:t>
      </w:r>
    </w:p>
    <w:p w14:paraId="6E3ED8B1" w14:textId="77777777" w:rsidR="002B60BD" w:rsidRDefault="002B60BD" w:rsidP="003B7ED8">
      <w:pPr>
        <w:rPr>
          <w:szCs w:val="22"/>
        </w:rPr>
      </w:pPr>
    </w:p>
    <w:p w14:paraId="1CE2A925" w14:textId="4F1A0320" w:rsidR="003B7ED8" w:rsidRPr="008933FD" w:rsidRDefault="003B7ED8" w:rsidP="00CB75D1">
      <w:pPr>
        <w:keepNext/>
        <w:spacing w:before="120" w:after="120"/>
        <w:jc w:val="left"/>
        <w:rPr>
          <w:iCs/>
          <w:color w:val="44546A"/>
          <w:sz w:val="18"/>
          <w:szCs w:val="18"/>
        </w:rPr>
      </w:pPr>
      <w:bookmarkStart w:id="89" w:name="_Toc141276489"/>
      <w:r w:rsidRPr="00FD5050">
        <w:rPr>
          <w:iCs/>
          <w:color w:val="44546A"/>
          <w:sz w:val="18"/>
          <w:szCs w:val="18"/>
        </w:rPr>
        <w:t xml:space="preserve">Rys. </w:t>
      </w:r>
      <w:r w:rsidRPr="00FD5050">
        <w:rPr>
          <w:iCs/>
          <w:color w:val="44546A"/>
          <w:sz w:val="18"/>
          <w:szCs w:val="18"/>
        </w:rPr>
        <w:fldChar w:fldCharType="begin"/>
      </w:r>
      <w:r w:rsidRPr="00FD5050">
        <w:rPr>
          <w:iCs/>
          <w:color w:val="44546A"/>
          <w:sz w:val="18"/>
          <w:szCs w:val="18"/>
        </w:rPr>
        <w:instrText xml:space="preserve"> SEQ Rys. \* ARABIC </w:instrText>
      </w:r>
      <w:r w:rsidRPr="00FD5050">
        <w:rPr>
          <w:iCs/>
          <w:color w:val="44546A"/>
          <w:sz w:val="18"/>
          <w:szCs w:val="18"/>
        </w:rPr>
        <w:fldChar w:fldCharType="separate"/>
      </w:r>
      <w:r w:rsidR="00A43C68">
        <w:rPr>
          <w:iCs/>
          <w:noProof/>
          <w:color w:val="44546A"/>
          <w:sz w:val="18"/>
          <w:szCs w:val="18"/>
        </w:rPr>
        <w:t>11</w:t>
      </w:r>
      <w:r w:rsidRPr="00FD5050">
        <w:rPr>
          <w:iCs/>
          <w:noProof/>
          <w:color w:val="44546A"/>
          <w:sz w:val="18"/>
          <w:szCs w:val="18"/>
        </w:rPr>
        <w:fldChar w:fldCharType="end"/>
      </w:r>
      <w:r w:rsidRPr="00FD5050">
        <w:rPr>
          <w:iCs/>
          <w:color w:val="44546A"/>
          <w:sz w:val="18"/>
          <w:szCs w:val="18"/>
        </w:rPr>
        <w:t>. Odsetek zamówień udzielanych w oparciu o cenę i inne kryteria oceny ofert</w:t>
      </w:r>
      <w:bookmarkEnd w:id="89"/>
    </w:p>
    <w:p w14:paraId="3E7FC26A" w14:textId="25B471E4" w:rsidR="003B7ED8" w:rsidRPr="008933FD" w:rsidRDefault="00183476" w:rsidP="003B7ED8">
      <w:pPr>
        <w:shd w:val="clear" w:color="auto" w:fill="FFFFFF"/>
      </w:pPr>
      <w:r>
        <w:rPr>
          <w:noProof/>
        </w:rPr>
        <w:drawing>
          <wp:inline distT="0" distB="0" distL="0" distR="0" wp14:anchorId="1681F559" wp14:editId="3A9C5077">
            <wp:extent cx="4572000" cy="274320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522B68" w14:textId="77777777" w:rsidR="003B7ED8" w:rsidRPr="008933FD" w:rsidRDefault="003B7ED8" w:rsidP="003B7ED8">
      <w:pPr>
        <w:shd w:val="clear" w:color="auto" w:fill="FFFFFF"/>
      </w:pPr>
    </w:p>
    <w:p w14:paraId="595818E2" w14:textId="28EF2BAE" w:rsidR="003B7ED8" w:rsidRDefault="003B7ED8" w:rsidP="003B7ED8">
      <w:pPr>
        <w:shd w:val="clear" w:color="auto" w:fill="FFFFFF"/>
      </w:pPr>
      <w:r w:rsidRPr="008933FD">
        <w:t xml:space="preserve">Cenę jako jedyne kryterium najrzadziej stosowano w zamówieniach na roboty budowlane. </w:t>
      </w:r>
      <w:r w:rsidRPr="00DA34CC">
        <w:t>W</w:t>
      </w:r>
      <w:r w:rsidR="009343A1">
        <w:t xml:space="preserve"> </w:t>
      </w:r>
      <w:r w:rsidRPr="00DA34CC">
        <w:t xml:space="preserve">przypadku zamówień o wartościach poniżej progów unijnych w </w:t>
      </w:r>
      <w:r w:rsidR="00DA34CC" w:rsidRPr="00DA34CC">
        <w:t>7</w:t>
      </w:r>
      <w:r w:rsidRPr="00DA34CC">
        <w:t>%, a w zamówieniach</w:t>
      </w:r>
      <w:r w:rsidRPr="008933FD">
        <w:t xml:space="preserve"> </w:t>
      </w:r>
      <w:r w:rsidRPr="00A75111">
        <w:t>o</w:t>
      </w:r>
      <w:r w:rsidR="009343A1">
        <w:t xml:space="preserve"> </w:t>
      </w:r>
      <w:r w:rsidRPr="00A75111">
        <w:t xml:space="preserve">wartościach </w:t>
      </w:r>
      <w:r w:rsidR="005E155A" w:rsidRPr="005E155A">
        <w:t xml:space="preserve">równych lub przekraczających progi unijne </w:t>
      </w:r>
      <w:r w:rsidRPr="00A75111">
        <w:t>w 26% postępowań.</w:t>
      </w:r>
      <w:r w:rsidRPr="008933FD">
        <w:t xml:space="preserve"> </w:t>
      </w:r>
    </w:p>
    <w:p w14:paraId="37D5C94D" w14:textId="77777777" w:rsidR="00E543DA" w:rsidRPr="008933FD" w:rsidRDefault="00E543DA" w:rsidP="003B7ED8">
      <w:pPr>
        <w:shd w:val="clear" w:color="auto" w:fill="FFFFFF"/>
      </w:pPr>
    </w:p>
    <w:p w14:paraId="23BF89B8" w14:textId="6A6D80AB" w:rsidR="003B7ED8" w:rsidRPr="008933FD" w:rsidRDefault="003B7ED8" w:rsidP="003B7ED8">
      <w:pPr>
        <w:keepNext/>
        <w:spacing w:before="120" w:after="120"/>
        <w:jc w:val="left"/>
        <w:rPr>
          <w:iCs/>
          <w:color w:val="44546A"/>
          <w:sz w:val="18"/>
          <w:szCs w:val="18"/>
        </w:rPr>
      </w:pPr>
      <w:bookmarkStart w:id="90" w:name="_Toc106101481"/>
      <w:bookmarkStart w:id="91" w:name="_Toc141276517"/>
      <w:r w:rsidRPr="00E50AA7">
        <w:rPr>
          <w:iCs/>
          <w:color w:val="44546A"/>
          <w:sz w:val="18"/>
          <w:szCs w:val="18"/>
        </w:rPr>
        <w:t xml:space="preserve">Tab. </w:t>
      </w:r>
      <w:r w:rsidRPr="00E50AA7">
        <w:rPr>
          <w:iCs/>
          <w:color w:val="44546A"/>
          <w:sz w:val="18"/>
          <w:szCs w:val="18"/>
        </w:rPr>
        <w:fldChar w:fldCharType="begin"/>
      </w:r>
      <w:r w:rsidRPr="00E50AA7">
        <w:rPr>
          <w:iCs/>
          <w:color w:val="44546A"/>
          <w:sz w:val="18"/>
          <w:szCs w:val="18"/>
        </w:rPr>
        <w:instrText xml:space="preserve"> SEQ Tab. \* ARABIC </w:instrText>
      </w:r>
      <w:r w:rsidRPr="00E50AA7">
        <w:rPr>
          <w:iCs/>
          <w:color w:val="44546A"/>
          <w:sz w:val="18"/>
          <w:szCs w:val="18"/>
        </w:rPr>
        <w:fldChar w:fldCharType="separate"/>
      </w:r>
      <w:r w:rsidR="00A43C68">
        <w:rPr>
          <w:iCs/>
          <w:noProof/>
          <w:color w:val="44546A"/>
          <w:sz w:val="18"/>
          <w:szCs w:val="18"/>
        </w:rPr>
        <w:t>10</w:t>
      </w:r>
      <w:r w:rsidRPr="00E50AA7">
        <w:rPr>
          <w:iCs/>
          <w:noProof/>
          <w:color w:val="44546A"/>
          <w:sz w:val="18"/>
          <w:szCs w:val="18"/>
        </w:rPr>
        <w:fldChar w:fldCharType="end"/>
      </w:r>
      <w:r w:rsidRPr="00E50AA7">
        <w:rPr>
          <w:iCs/>
          <w:color w:val="44546A"/>
          <w:sz w:val="18"/>
          <w:szCs w:val="18"/>
        </w:rPr>
        <w:t>. Odsetek postępowań z ceną jako jedynym kryterium oceny ofert</w:t>
      </w:r>
      <w:bookmarkEnd w:id="90"/>
      <w:bookmarkEnd w:id="91"/>
    </w:p>
    <w:tbl>
      <w:tblPr>
        <w:tblStyle w:val="Tabela-Siatka1"/>
        <w:tblW w:w="9781" w:type="dxa"/>
        <w:tblInd w:w="-147" w:type="dxa"/>
        <w:tblLayout w:type="fixed"/>
        <w:tblLook w:val="01E0" w:firstRow="1" w:lastRow="1" w:firstColumn="1" w:lastColumn="1" w:noHBand="0" w:noVBand="0"/>
      </w:tblPr>
      <w:tblGrid>
        <w:gridCol w:w="1702"/>
        <w:gridCol w:w="1027"/>
        <w:gridCol w:w="1028"/>
        <w:gridCol w:w="1027"/>
        <w:gridCol w:w="887"/>
        <w:gridCol w:w="1169"/>
        <w:gridCol w:w="1027"/>
        <w:gridCol w:w="1028"/>
        <w:gridCol w:w="886"/>
      </w:tblGrid>
      <w:tr w:rsidR="003B7ED8" w:rsidRPr="008933FD" w14:paraId="4C6A1063" w14:textId="77777777" w:rsidTr="00FF35EB">
        <w:trPr>
          <w:trHeight w:val="47"/>
          <w:tblHeader/>
        </w:trPr>
        <w:tc>
          <w:tcPr>
            <w:tcW w:w="1702" w:type="dxa"/>
            <w:vMerge w:val="restart"/>
            <w:tcBorders>
              <w:top w:val="single" w:sz="4" w:space="0" w:color="FFFFFF"/>
              <w:left w:val="single" w:sz="4" w:space="0" w:color="FFFFFF"/>
              <w:right w:val="single" w:sz="4" w:space="0" w:color="FFFFFF"/>
            </w:tcBorders>
            <w:shd w:val="clear" w:color="auto" w:fill="002060"/>
            <w:vAlign w:val="center"/>
          </w:tcPr>
          <w:p w14:paraId="061315BD" w14:textId="77777777" w:rsidR="003B7ED8" w:rsidRPr="008933FD" w:rsidRDefault="003B7ED8" w:rsidP="00FF35EB">
            <w:pPr>
              <w:spacing w:before="60" w:after="60"/>
              <w:jc w:val="center"/>
              <w:rPr>
                <w:rFonts w:cs="Arial"/>
                <w:b/>
                <w:sz w:val="18"/>
                <w:szCs w:val="18"/>
              </w:rPr>
            </w:pPr>
            <w:r w:rsidRPr="008933FD">
              <w:rPr>
                <w:rFonts w:cs="Arial"/>
                <w:b/>
                <w:sz w:val="18"/>
                <w:szCs w:val="18"/>
              </w:rPr>
              <w:t>Rodzaj zamówienia</w:t>
            </w:r>
          </w:p>
        </w:tc>
        <w:tc>
          <w:tcPr>
            <w:tcW w:w="3969" w:type="dxa"/>
            <w:gridSpan w:val="4"/>
            <w:tcBorders>
              <w:top w:val="single" w:sz="4" w:space="0" w:color="FFFFFF"/>
              <w:left w:val="single" w:sz="4" w:space="0" w:color="FFFFFF"/>
              <w:bottom w:val="single" w:sz="4" w:space="0" w:color="FFFFFF"/>
              <w:right w:val="single" w:sz="4" w:space="0" w:color="FFFFFF"/>
            </w:tcBorders>
            <w:shd w:val="clear" w:color="auto" w:fill="002060"/>
            <w:vAlign w:val="center"/>
          </w:tcPr>
          <w:p w14:paraId="2535A87D" w14:textId="77777777" w:rsidR="003B7ED8" w:rsidRPr="008933FD" w:rsidRDefault="003B7ED8" w:rsidP="00FF35EB">
            <w:pPr>
              <w:spacing w:before="60" w:after="60"/>
              <w:jc w:val="center"/>
              <w:rPr>
                <w:rFonts w:cs="Arial"/>
                <w:b/>
                <w:sz w:val="17"/>
                <w:szCs w:val="17"/>
              </w:rPr>
            </w:pPr>
            <w:r w:rsidRPr="008933FD">
              <w:rPr>
                <w:rFonts w:cs="Arial"/>
                <w:b/>
                <w:sz w:val="17"/>
                <w:szCs w:val="17"/>
              </w:rPr>
              <w:t>zamówienia o wartościach poniżej progów UE</w:t>
            </w:r>
          </w:p>
        </w:tc>
        <w:tc>
          <w:tcPr>
            <w:tcW w:w="4110" w:type="dxa"/>
            <w:gridSpan w:val="4"/>
            <w:tcBorders>
              <w:top w:val="single" w:sz="4" w:space="0" w:color="FFFFFF"/>
              <w:left w:val="single" w:sz="4" w:space="0" w:color="FFFFFF"/>
              <w:bottom w:val="single" w:sz="4" w:space="0" w:color="FFFFFF"/>
              <w:right w:val="single" w:sz="4" w:space="0" w:color="FFFFFF"/>
            </w:tcBorders>
            <w:shd w:val="clear" w:color="auto" w:fill="002060"/>
            <w:vAlign w:val="center"/>
          </w:tcPr>
          <w:p w14:paraId="168D7910" w14:textId="1BB3E3DF" w:rsidR="003B7ED8" w:rsidRPr="008933FD" w:rsidRDefault="003B7ED8" w:rsidP="00FF35EB">
            <w:pPr>
              <w:spacing w:before="60" w:after="60"/>
              <w:jc w:val="center"/>
              <w:rPr>
                <w:rFonts w:cs="Arial"/>
                <w:b/>
                <w:sz w:val="17"/>
                <w:szCs w:val="17"/>
              </w:rPr>
            </w:pPr>
            <w:r w:rsidRPr="008933FD">
              <w:rPr>
                <w:rFonts w:cs="Arial"/>
                <w:b/>
                <w:sz w:val="17"/>
                <w:szCs w:val="17"/>
              </w:rPr>
              <w:t xml:space="preserve">zamówienia o wartościach </w:t>
            </w:r>
            <w:r w:rsidR="005E155A" w:rsidRPr="005E155A">
              <w:rPr>
                <w:rFonts w:cs="Arial"/>
                <w:b/>
                <w:sz w:val="17"/>
                <w:szCs w:val="17"/>
              </w:rPr>
              <w:t xml:space="preserve">równych </w:t>
            </w:r>
            <w:r w:rsidR="00E83616">
              <w:rPr>
                <w:rFonts w:cs="Arial"/>
                <w:b/>
                <w:sz w:val="17"/>
                <w:szCs w:val="17"/>
              </w:rPr>
              <w:t>lub przekraczających progi UE</w:t>
            </w:r>
          </w:p>
        </w:tc>
      </w:tr>
      <w:tr w:rsidR="003B7ED8" w:rsidRPr="008933FD" w14:paraId="0B41215D" w14:textId="77777777" w:rsidTr="00FF35EB">
        <w:trPr>
          <w:trHeight w:val="177"/>
          <w:tblHeader/>
        </w:trPr>
        <w:tc>
          <w:tcPr>
            <w:tcW w:w="1702" w:type="dxa"/>
            <w:vMerge/>
            <w:tcBorders>
              <w:left w:val="single" w:sz="4" w:space="0" w:color="FFFFFF"/>
              <w:bottom w:val="single" w:sz="4" w:space="0" w:color="FFFFFF"/>
              <w:right w:val="single" w:sz="4" w:space="0" w:color="FFFFFF"/>
            </w:tcBorders>
            <w:shd w:val="clear" w:color="auto" w:fill="002060"/>
            <w:vAlign w:val="center"/>
          </w:tcPr>
          <w:p w14:paraId="1C037AF0" w14:textId="77777777" w:rsidR="003B7ED8" w:rsidRPr="008933FD" w:rsidRDefault="003B7ED8" w:rsidP="00FF35EB">
            <w:pPr>
              <w:spacing w:before="60" w:after="60"/>
              <w:jc w:val="center"/>
              <w:rPr>
                <w:rFonts w:cs="Arial"/>
                <w:b/>
                <w:sz w:val="18"/>
                <w:szCs w:val="18"/>
              </w:rPr>
            </w:pPr>
          </w:p>
        </w:tc>
        <w:tc>
          <w:tcPr>
            <w:tcW w:w="1027" w:type="dxa"/>
            <w:tcBorders>
              <w:top w:val="single" w:sz="4" w:space="0" w:color="FFFFFF"/>
              <w:left w:val="single" w:sz="4" w:space="0" w:color="FFFFFF"/>
              <w:right w:val="single" w:sz="4" w:space="0" w:color="FFFFFF"/>
            </w:tcBorders>
            <w:shd w:val="clear" w:color="auto" w:fill="002060"/>
            <w:vAlign w:val="center"/>
          </w:tcPr>
          <w:p w14:paraId="4C8FFBEA" w14:textId="77777777" w:rsidR="003B7ED8" w:rsidRPr="008933FD" w:rsidRDefault="003B7ED8" w:rsidP="00FF35EB">
            <w:pPr>
              <w:spacing w:before="60" w:after="60"/>
              <w:jc w:val="center"/>
              <w:rPr>
                <w:rFonts w:cs="Arial"/>
                <w:b/>
                <w:sz w:val="18"/>
                <w:szCs w:val="18"/>
              </w:rPr>
            </w:pPr>
            <w:r w:rsidRPr="008933FD">
              <w:rPr>
                <w:rFonts w:cs="Arial"/>
                <w:b/>
                <w:sz w:val="18"/>
                <w:szCs w:val="18"/>
              </w:rPr>
              <w:t>2019</w:t>
            </w:r>
          </w:p>
        </w:tc>
        <w:tc>
          <w:tcPr>
            <w:tcW w:w="1028" w:type="dxa"/>
            <w:tcBorders>
              <w:top w:val="single" w:sz="4" w:space="0" w:color="FFFFFF"/>
              <w:left w:val="single" w:sz="4" w:space="0" w:color="FFFFFF"/>
              <w:right w:val="single" w:sz="4" w:space="0" w:color="FFFFFF"/>
            </w:tcBorders>
            <w:shd w:val="clear" w:color="auto" w:fill="002060"/>
            <w:vAlign w:val="center"/>
          </w:tcPr>
          <w:p w14:paraId="4AC018B9" w14:textId="77777777" w:rsidR="003B7ED8" w:rsidRPr="008933FD" w:rsidRDefault="003B7ED8" w:rsidP="00FF35EB">
            <w:pPr>
              <w:spacing w:before="60" w:after="60"/>
              <w:jc w:val="center"/>
              <w:rPr>
                <w:rFonts w:cs="Arial"/>
                <w:b/>
                <w:sz w:val="18"/>
                <w:szCs w:val="18"/>
              </w:rPr>
            </w:pPr>
            <w:r w:rsidRPr="008933FD">
              <w:rPr>
                <w:rFonts w:cs="Arial"/>
                <w:b/>
                <w:sz w:val="18"/>
                <w:szCs w:val="18"/>
              </w:rPr>
              <w:t>2020</w:t>
            </w:r>
          </w:p>
        </w:tc>
        <w:tc>
          <w:tcPr>
            <w:tcW w:w="1027" w:type="dxa"/>
            <w:tcBorders>
              <w:top w:val="single" w:sz="4" w:space="0" w:color="FFFFFF"/>
              <w:left w:val="single" w:sz="4" w:space="0" w:color="FFFFFF"/>
              <w:right w:val="single" w:sz="4" w:space="0" w:color="FFFFFF"/>
            </w:tcBorders>
            <w:shd w:val="clear" w:color="auto" w:fill="002060"/>
            <w:vAlign w:val="center"/>
          </w:tcPr>
          <w:p w14:paraId="46814D72" w14:textId="77777777" w:rsidR="003B7ED8" w:rsidRPr="008933FD" w:rsidRDefault="003B7ED8" w:rsidP="00FF35EB">
            <w:pPr>
              <w:spacing w:before="60" w:after="60"/>
              <w:jc w:val="center"/>
              <w:rPr>
                <w:rFonts w:cs="Arial"/>
                <w:b/>
                <w:sz w:val="18"/>
                <w:szCs w:val="18"/>
              </w:rPr>
            </w:pPr>
            <w:r w:rsidRPr="008933FD">
              <w:rPr>
                <w:rFonts w:cs="Arial"/>
                <w:b/>
                <w:sz w:val="18"/>
                <w:szCs w:val="18"/>
              </w:rPr>
              <w:t>2021</w:t>
            </w:r>
          </w:p>
        </w:tc>
        <w:tc>
          <w:tcPr>
            <w:tcW w:w="887" w:type="dxa"/>
            <w:tcBorders>
              <w:top w:val="single" w:sz="4" w:space="0" w:color="FFFFFF"/>
              <w:left w:val="single" w:sz="4" w:space="0" w:color="FFFFFF"/>
              <w:right w:val="single" w:sz="4" w:space="0" w:color="FFFFFF"/>
            </w:tcBorders>
            <w:shd w:val="clear" w:color="auto" w:fill="002060"/>
            <w:vAlign w:val="center"/>
          </w:tcPr>
          <w:p w14:paraId="6984D8E4" w14:textId="77777777" w:rsidR="003B7ED8" w:rsidRPr="008933FD" w:rsidRDefault="003B7ED8" w:rsidP="00FF35EB">
            <w:pPr>
              <w:spacing w:before="60" w:after="60"/>
              <w:jc w:val="center"/>
              <w:rPr>
                <w:rFonts w:cs="Arial"/>
                <w:b/>
                <w:sz w:val="18"/>
                <w:szCs w:val="18"/>
              </w:rPr>
            </w:pPr>
            <w:r>
              <w:rPr>
                <w:rFonts w:cs="Arial"/>
                <w:b/>
                <w:sz w:val="18"/>
                <w:szCs w:val="18"/>
              </w:rPr>
              <w:t>2022</w:t>
            </w:r>
          </w:p>
        </w:tc>
        <w:tc>
          <w:tcPr>
            <w:tcW w:w="1169" w:type="dxa"/>
            <w:tcBorders>
              <w:top w:val="single" w:sz="4" w:space="0" w:color="FFFFFF"/>
              <w:left w:val="single" w:sz="4" w:space="0" w:color="FFFFFF"/>
              <w:right w:val="single" w:sz="4" w:space="0" w:color="FFFFFF"/>
            </w:tcBorders>
            <w:shd w:val="clear" w:color="auto" w:fill="002060"/>
            <w:vAlign w:val="center"/>
          </w:tcPr>
          <w:p w14:paraId="288191CC" w14:textId="77777777" w:rsidR="003B7ED8" w:rsidRPr="008933FD" w:rsidRDefault="003B7ED8" w:rsidP="00FF35EB">
            <w:pPr>
              <w:spacing w:before="60" w:after="60"/>
              <w:jc w:val="center"/>
              <w:rPr>
                <w:rFonts w:cs="Arial"/>
                <w:b/>
                <w:sz w:val="18"/>
                <w:szCs w:val="18"/>
              </w:rPr>
            </w:pPr>
            <w:r w:rsidRPr="008933FD">
              <w:rPr>
                <w:rFonts w:cs="Arial"/>
                <w:b/>
                <w:sz w:val="18"/>
                <w:szCs w:val="18"/>
              </w:rPr>
              <w:t>2019</w:t>
            </w:r>
          </w:p>
        </w:tc>
        <w:tc>
          <w:tcPr>
            <w:tcW w:w="1027" w:type="dxa"/>
            <w:tcBorders>
              <w:top w:val="single" w:sz="4" w:space="0" w:color="FFFFFF"/>
              <w:left w:val="single" w:sz="4" w:space="0" w:color="FFFFFF"/>
              <w:right w:val="single" w:sz="4" w:space="0" w:color="FFFFFF"/>
            </w:tcBorders>
            <w:shd w:val="clear" w:color="auto" w:fill="002060"/>
            <w:vAlign w:val="center"/>
          </w:tcPr>
          <w:p w14:paraId="0DC31954" w14:textId="77777777" w:rsidR="003B7ED8" w:rsidRPr="008933FD" w:rsidRDefault="003B7ED8" w:rsidP="00FF35EB">
            <w:pPr>
              <w:spacing w:before="60" w:after="60"/>
              <w:jc w:val="center"/>
              <w:rPr>
                <w:rFonts w:cs="Arial"/>
                <w:b/>
                <w:sz w:val="18"/>
                <w:szCs w:val="18"/>
              </w:rPr>
            </w:pPr>
            <w:r w:rsidRPr="008933FD">
              <w:rPr>
                <w:rFonts w:cs="Arial"/>
                <w:b/>
                <w:sz w:val="18"/>
                <w:szCs w:val="18"/>
              </w:rPr>
              <w:t>2020</w:t>
            </w:r>
          </w:p>
        </w:tc>
        <w:tc>
          <w:tcPr>
            <w:tcW w:w="1028" w:type="dxa"/>
            <w:tcBorders>
              <w:top w:val="single" w:sz="4" w:space="0" w:color="FFFFFF"/>
              <w:left w:val="single" w:sz="4" w:space="0" w:color="FFFFFF"/>
              <w:right w:val="single" w:sz="4" w:space="0" w:color="FFFFFF"/>
            </w:tcBorders>
            <w:shd w:val="clear" w:color="auto" w:fill="002060"/>
            <w:vAlign w:val="center"/>
          </w:tcPr>
          <w:p w14:paraId="10AF534E" w14:textId="77777777" w:rsidR="003B7ED8" w:rsidRPr="008933FD" w:rsidRDefault="003B7ED8" w:rsidP="00FF35EB">
            <w:pPr>
              <w:spacing w:before="60" w:after="60"/>
              <w:jc w:val="center"/>
              <w:rPr>
                <w:rFonts w:cs="Arial"/>
                <w:b/>
                <w:sz w:val="18"/>
                <w:szCs w:val="18"/>
              </w:rPr>
            </w:pPr>
            <w:r w:rsidRPr="008933FD">
              <w:rPr>
                <w:rFonts w:cs="Arial"/>
                <w:b/>
                <w:sz w:val="18"/>
                <w:szCs w:val="18"/>
              </w:rPr>
              <w:t>2021</w:t>
            </w:r>
          </w:p>
        </w:tc>
        <w:tc>
          <w:tcPr>
            <w:tcW w:w="886" w:type="dxa"/>
            <w:tcBorders>
              <w:top w:val="single" w:sz="4" w:space="0" w:color="FFFFFF"/>
              <w:left w:val="single" w:sz="4" w:space="0" w:color="FFFFFF"/>
              <w:right w:val="single" w:sz="4" w:space="0" w:color="FFFFFF"/>
            </w:tcBorders>
            <w:shd w:val="clear" w:color="auto" w:fill="002060"/>
            <w:vAlign w:val="center"/>
          </w:tcPr>
          <w:p w14:paraId="311B9C1F" w14:textId="77777777" w:rsidR="003B7ED8" w:rsidRPr="008933FD" w:rsidRDefault="003B7ED8" w:rsidP="00FF35EB">
            <w:pPr>
              <w:spacing w:before="60" w:after="60"/>
              <w:jc w:val="center"/>
              <w:rPr>
                <w:rFonts w:cs="Arial"/>
                <w:b/>
                <w:sz w:val="18"/>
                <w:szCs w:val="18"/>
              </w:rPr>
            </w:pPr>
            <w:r>
              <w:rPr>
                <w:rFonts w:cs="Arial"/>
                <w:b/>
                <w:sz w:val="18"/>
                <w:szCs w:val="18"/>
              </w:rPr>
              <w:t>2022</w:t>
            </w:r>
          </w:p>
        </w:tc>
      </w:tr>
      <w:tr w:rsidR="003B7ED8" w:rsidRPr="008933FD" w14:paraId="11CE0B04" w14:textId="77777777" w:rsidTr="00FF35EB">
        <w:trPr>
          <w:trHeight w:val="44"/>
        </w:trPr>
        <w:tc>
          <w:tcPr>
            <w:tcW w:w="1702" w:type="dxa"/>
            <w:tcBorders>
              <w:top w:val="nil"/>
              <w:left w:val="nil"/>
              <w:bottom w:val="nil"/>
              <w:right w:val="single" w:sz="4" w:space="0" w:color="FFFFFF"/>
            </w:tcBorders>
            <w:vAlign w:val="center"/>
          </w:tcPr>
          <w:p w14:paraId="5CA9A6EE" w14:textId="77777777" w:rsidR="003B7ED8" w:rsidRPr="008933FD" w:rsidRDefault="003B7ED8" w:rsidP="00FF35EB">
            <w:pPr>
              <w:spacing w:before="60" w:after="60"/>
              <w:jc w:val="left"/>
              <w:rPr>
                <w:rFonts w:cs="Arial"/>
                <w:bCs/>
                <w:sz w:val="18"/>
                <w:szCs w:val="18"/>
              </w:rPr>
            </w:pPr>
            <w:r w:rsidRPr="008933FD">
              <w:rPr>
                <w:rFonts w:cs="Arial"/>
                <w:bCs/>
                <w:sz w:val="18"/>
                <w:szCs w:val="18"/>
              </w:rPr>
              <w:t>roboty budowlane</w:t>
            </w:r>
          </w:p>
        </w:tc>
        <w:tc>
          <w:tcPr>
            <w:tcW w:w="1027" w:type="dxa"/>
            <w:tcBorders>
              <w:top w:val="nil"/>
              <w:left w:val="single" w:sz="4" w:space="0" w:color="FFFFFF"/>
              <w:bottom w:val="nil"/>
              <w:right w:val="single" w:sz="4" w:space="0" w:color="FFFFFF"/>
            </w:tcBorders>
            <w:vAlign w:val="center"/>
          </w:tcPr>
          <w:p w14:paraId="7375D080" w14:textId="77777777" w:rsidR="003B7ED8" w:rsidRPr="008933FD" w:rsidRDefault="003B7ED8" w:rsidP="00FF35EB">
            <w:pPr>
              <w:spacing w:before="60" w:after="60"/>
              <w:jc w:val="center"/>
              <w:rPr>
                <w:rFonts w:cs="Arial"/>
                <w:sz w:val="18"/>
                <w:szCs w:val="18"/>
              </w:rPr>
            </w:pPr>
            <w:r w:rsidRPr="008933FD">
              <w:rPr>
                <w:rFonts w:cs="Arial"/>
                <w:sz w:val="18"/>
                <w:szCs w:val="18"/>
              </w:rPr>
              <w:t>2%</w:t>
            </w:r>
          </w:p>
        </w:tc>
        <w:tc>
          <w:tcPr>
            <w:tcW w:w="1028" w:type="dxa"/>
            <w:tcBorders>
              <w:top w:val="nil"/>
              <w:left w:val="single" w:sz="4" w:space="0" w:color="FFFFFF"/>
              <w:bottom w:val="nil"/>
              <w:right w:val="single" w:sz="4" w:space="0" w:color="FFFFFF"/>
            </w:tcBorders>
            <w:vAlign w:val="center"/>
          </w:tcPr>
          <w:p w14:paraId="09CCA8C1" w14:textId="77777777" w:rsidR="003B7ED8" w:rsidRPr="008933FD" w:rsidRDefault="003B7ED8" w:rsidP="00FF35EB">
            <w:pPr>
              <w:spacing w:before="60" w:after="60"/>
              <w:jc w:val="center"/>
              <w:rPr>
                <w:rFonts w:cs="Arial"/>
                <w:sz w:val="18"/>
                <w:szCs w:val="18"/>
              </w:rPr>
            </w:pPr>
            <w:r w:rsidRPr="008933FD">
              <w:rPr>
                <w:rFonts w:cs="Arial"/>
                <w:sz w:val="18"/>
                <w:szCs w:val="18"/>
              </w:rPr>
              <w:t>3%</w:t>
            </w:r>
          </w:p>
        </w:tc>
        <w:tc>
          <w:tcPr>
            <w:tcW w:w="1027" w:type="dxa"/>
            <w:tcBorders>
              <w:top w:val="nil"/>
              <w:left w:val="single" w:sz="4" w:space="0" w:color="FFFFFF"/>
              <w:bottom w:val="nil"/>
              <w:right w:val="single" w:sz="4" w:space="0" w:color="FFFFFF"/>
            </w:tcBorders>
            <w:vAlign w:val="center"/>
          </w:tcPr>
          <w:p w14:paraId="0B72971C" w14:textId="77777777" w:rsidR="003B7ED8" w:rsidRPr="008933FD" w:rsidRDefault="003B7ED8" w:rsidP="00FF35EB">
            <w:pPr>
              <w:spacing w:before="60" w:after="60"/>
              <w:jc w:val="center"/>
              <w:rPr>
                <w:rFonts w:cs="Arial"/>
                <w:sz w:val="18"/>
                <w:szCs w:val="18"/>
              </w:rPr>
            </w:pPr>
            <w:r w:rsidRPr="008933FD">
              <w:rPr>
                <w:rFonts w:cs="Arial"/>
                <w:sz w:val="18"/>
                <w:szCs w:val="18"/>
              </w:rPr>
              <w:t>6%</w:t>
            </w:r>
          </w:p>
        </w:tc>
        <w:tc>
          <w:tcPr>
            <w:tcW w:w="887" w:type="dxa"/>
            <w:tcBorders>
              <w:top w:val="nil"/>
              <w:left w:val="single" w:sz="4" w:space="0" w:color="FFFFFF"/>
              <w:bottom w:val="nil"/>
              <w:right w:val="single" w:sz="4" w:space="0" w:color="FFFFFF"/>
            </w:tcBorders>
            <w:vAlign w:val="center"/>
          </w:tcPr>
          <w:p w14:paraId="461BB9FB" w14:textId="36BCEDAD" w:rsidR="003B7ED8" w:rsidRPr="008933FD" w:rsidRDefault="00DA34CC" w:rsidP="00FF35EB">
            <w:pPr>
              <w:spacing w:before="60" w:after="60"/>
              <w:jc w:val="center"/>
              <w:rPr>
                <w:rFonts w:cs="Arial"/>
                <w:sz w:val="18"/>
                <w:szCs w:val="18"/>
              </w:rPr>
            </w:pPr>
            <w:r>
              <w:rPr>
                <w:rFonts w:cs="Arial"/>
                <w:sz w:val="18"/>
                <w:szCs w:val="18"/>
              </w:rPr>
              <w:t>7%</w:t>
            </w:r>
          </w:p>
        </w:tc>
        <w:tc>
          <w:tcPr>
            <w:tcW w:w="1169" w:type="dxa"/>
            <w:tcBorders>
              <w:top w:val="nil"/>
              <w:left w:val="single" w:sz="4" w:space="0" w:color="FFFFFF"/>
              <w:bottom w:val="nil"/>
              <w:right w:val="single" w:sz="4" w:space="0" w:color="FFFFFF"/>
            </w:tcBorders>
            <w:vAlign w:val="center"/>
          </w:tcPr>
          <w:p w14:paraId="30BA9D7D" w14:textId="77777777" w:rsidR="003B7ED8" w:rsidRPr="008933FD" w:rsidRDefault="003B7ED8" w:rsidP="00FF35EB">
            <w:pPr>
              <w:spacing w:before="60" w:after="60"/>
              <w:jc w:val="center"/>
              <w:rPr>
                <w:rFonts w:cs="Arial"/>
                <w:sz w:val="18"/>
                <w:szCs w:val="18"/>
              </w:rPr>
            </w:pPr>
            <w:r w:rsidRPr="008933FD">
              <w:rPr>
                <w:rFonts w:cs="Arial"/>
                <w:sz w:val="18"/>
                <w:szCs w:val="18"/>
              </w:rPr>
              <w:t>19%</w:t>
            </w:r>
          </w:p>
        </w:tc>
        <w:tc>
          <w:tcPr>
            <w:tcW w:w="1027" w:type="dxa"/>
            <w:tcBorders>
              <w:top w:val="nil"/>
              <w:left w:val="single" w:sz="4" w:space="0" w:color="FFFFFF"/>
              <w:bottom w:val="nil"/>
              <w:right w:val="single" w:sz="4" w:space="0" w:color="FFFFFF"/>
            </w:tcBorders>
            <w:vAlign w:val="center"/>
          </w:tcPr>
          <w:p w14:paraId="02388CF2" w14:textId="77777777" w:rsidR="003B7ED8" w:rsidRPr="008933FD" w:rsidRDefault="003B7ED8" w:rsidP="00FF35EB">
            <w:pPr>
              <w:spacing w:before="60" w:after="60"/>
              <w:jc w:val="center"/>
              <w:rPr>
                <w:rFonts w:cs="Arial"/>
                <w:sz w:val="18"/>
                <w:szCs w:val="18"/>
              </w:rPr>
            </w:pPr>
            <w:r w:rsidRPr="008933FD">
              <w:rPr>
                <w:rFonts w:cs="Arial"/>
                <w:sz w:val="18"/>
                <w:szCs w:val="18"/>
              </w:rPr>
              <w:t>19%</w:t>
            </w:r>
          </w:p>
        </w:tc>
        <w:tc>
          <w:tcPr>
            <w:tcW w:w="1028" w:type="dxa"/>
            <w:tcBorders>
              <w:top w:val="nil"/>
              <w:left w:val="single" w:sz="4" w:space="0" w:color="FFFFFF"/>
              <w:bottom w:val="nil"/>
              <w:right w:val="single" w:sz="4" w:space="0" w:color="FFFFFF"/>
            </w:tcBorders>
            <w:vAlign w:val="center"/>
          </w:tcPr>
          <w:p w14:paraId="4E83CCCC" w14:textId="77777777" w:rsidR="003B7ED8" w:rsidRPr="008933FD" w:rsidRDefault="003B7ED8" w:rsidP="00FF35EB">
            <w:pPr>
              <w:spacing w:before="60" w:after="60"/>
              <w:jc w:val="center"/>
              <w:rPr>
                <w:rFonts w:cs="Arial"/>
                <w:bCs/>
                <w:sz w:val="18"/>
                <w:szCs w:val="18"/>
              </w:rPr>
            </w:pPr>
            <w:r w:rsidRPr="008933FD">
              <w:rPr>
                <w:rFonts w:cs="Arial"/>
                <w:bCs/>
                <w:sz w:val="18"/>
                <w:szCs w:val="18"/>
              </w:rPr>
              <w:t>27%</w:t>
            </w:r>
          </w:p>
        </w:tc>
        <w:tc>
          <w:tcPr>
            <w:tcW w:w="886" w:type="dxa"/>
            <w:tcBorders>
              <w:top w:val="nil"/>
              <w:left w:val="single" w:sz="4" w:space="0" w:color="FFFFFF"/>
              <w:bottom w:val="nil"/>
              <w:right w:val="nil"/>
            </w:tcBorders>
            <w:vAlign w:val="center"/>
          </w:tcPr>
          <w:p w14:paraId="31548062" w14:textId="77777777" w:rsidR="003B7ED8" w:rsidRPr="008933FD" w:rsidRDefault="003B7ED8" w:rsidP="00FF35EB">
            <w:pPr>
              <w:spacing w:before="60" w:after="60"/>
              <w:jc w:val="center"/>
              <w:rPr>
                <w:rFonts w:cs="Arial"/>
                <w:bCs/>
                <w:sz w:val="18"/>
                <w:szCs w:val="18"/>
              </w:rPr>
            </w:pPr>
            <w:r>
              <w:rPr>
                <w:rFonts w:cs="Arial"/>
                <w:bCs/>
                <w:sz w:val="18"/>
                <w:szCs w:val="18"/>
              </w:rPr>
              <w:t>26%</w:t>
            </w:r>
          </w:p>
        </w:tc>
      </w:tr>
      <w:tr w:rsidR="003B7ED8" w:rsidRPr="008933FD" w14:paraId="5669BA63" w14:textId="77777777" w:rsidTr="00FF35EB">
        <w:trPr>
          <w:trHeight w:val="59"/>
        </w:trPr>
        <w:tc>
          <w:tcPr>
            <w:tcW w:w="1702" w:type="dxa"/>
            <w:tcBorders>
              <w:top w:val="nil"/>
              <w:left w:val="nil"/>
              <w:bottom w:val="nil"/>
              <w:right w:val="single" w:sz="4" w:space="0" w:color="FFFFFF"/>
            </w:tcBorders>
            <w:shd w:val="clear" w:color="auto" w:fill="00B0F0"/>
            <w:vAlign w:val="center"/>
          </w:tcPr>
          <w:p w14:paraId="28896302" w14:textId="77777777" w:rsidR="003B7ED8" w:rsidRPr="008933FD" w:rsidRDefault="003B7ED8" w:rsidP="00FF35EB">
            <w:pPr>
              <w:spacing w:before="60" w:after="60"/>
              <w:jc w:val="left"/>
              <w:rPr>
                <w:rFonts w:cs="Arial"/>
                <w:bCs/>
                <w:sz w:val="18"/>
                <w:szCs w:val="18"/>
              </w:rPr>
            </w:pPr>
            <w:r w:rsidRPr="008933FD">
              <w:rPr>
                <w:rFonts w:cs="Arial"/>
                <w:bCs/>
                <w:sz w:val="18"/>
                <w:szCs w:val="18"/>
              </w:rPr>
              <w:t>dostawy</w:t>
            </w:r>
          </w:p>
        </w:tc>
        <w:tc>
          <w:tcPr>
            <w:tcW w:w="1027" w:type="dxa"/>
            <w:tcBorders>
              <w:top w:val="nil"/>
              <w:left w:val="single" w:sz="4" w:space="0" w:color="FFFFFF"/>
              <w:bottom w:val="nil"/>
              <w:right w:val="single" w:sz="4" w:space="0" w:color="FFFFFF"/>
            </w:tcBorders>
            <w:shd w:val="clear" w:color="auto" w:fill="00B0F0"/>
            <w:vAlign w:val="center"/>
          </w:tcPr>
          <w:p w14:paraId="39A8134D" w14:textId="77777777" w:rsidR="003B7ED8" w:rsidRPr="008933FD" w:rsidRDefault="003B7ED8" w:rsidP="00FF35EB">
            <w:pPr>
              <w:spacing w:before="60" w:after="60"/>
              <w:jc w:val="center"/>
              <w:rPr>
                <w:rFonts w:cs="Arial"/>
                <w:sz w:val="18"/>
                <w:szCs w:val="18"/>
              </w:rPr>
            </w:pPr>
            <w:r w:rsidRPr="008933FD">
              <w:rPr>
                <w:rFonts w:cs="Arial"/>
                <w:sz w:val="18"/>
                <w:szCs w:val="18"/>
              </w:rPr>
              <w:t>23%</w:t>
            </w:r>
          </w:p>
        </w:tc>
        <w:tc>
          <w:tcPr>
            <w:tcW w:w="1028" w:type="dxa"/>
            <w:tcBorders>
              <w:top w:val="nil"/>
              <w:left w:val="single" w:sz="4" w:space="0" w:color="FFFFFF"/>
              <w:bottom w:val="nil"/>
              <w:right w:val="single" w:sz="4" w:space="0" w:color="FFFFFF"/>
            </w:tcBorders>
            <w:shd w:val="clear" w:color="auto" w:fill="00B0F0"/>
            <w:vAlign w:val="center"/>
          </w:tcPr>
          <w:p w14:paraId="7FF94710" w14:textId="77777777" w:rsidR="003B7ED8" w:rsidRPr="008933FD" w:rsidRDefault="003B7ED8" w:rsidP="00FF35EB">
            <w:pPr>
              <w:spacing w:before="60" w:after="60"/>
              <w:jc w:val="center"/>
              <w:rPr>
                <w:rFonts w:cs="Arial"/>
                <w:sz w:val="18"/>
                <w:szCs w:val="18"/>
              </w:rPr>
            </w:pPr>
            <w:r w:rsidRPr="008933FD">
              <w:rPr>
                <w:rFonts w:cs="Arial"/>
                <w:sz w:val="18"/>
                <w:szCs w:val="18"/>
              </w:rPr>
              <w:t>24%</w:t>
            </w:r>
          </w:p>
        </w:tc>
        <w:tc>
          <w:tcPr>
            <w:tcW w:w="1027" w:type="dxa"/>
            <w:tcBorders>
              <w:top w:val="nil"/>
              <w:left w:val="single" w:sz="4" w:space="0" w:color="FFFFFF"/>
              <w:bottom w:val="nil"/>
              <w:right w:val="single" w:sz="4" w:space="0" w:color="FFFFFF"/>
            </w:tcBorders>
            <w:shd w:val="clear" w:color="auto" w:fill="00B0F0"/>
            <w:vAlign w:val="center"/>
          </w:tcPr>
          <w:p w14:paraId="192825B4" w14:textId="77777777" w:rsidR="003B7ED8" w:rsidRPr="008933FD" w:rsidRDefault="003B7ED8" w:rsidP="00FF35EB">
            <w:pPr>
              <w:spacing w:before="60" w:after="60"/>
              <w:jc w:val="center"/>
              <w:rPr>
                <w:rFonts w:cs="Arial"/>
                <w:sz w:val="18"/>
                <w:szCs w:val="18"/>
              </w:rPr>
            </w:pPr>
            <w:r w:rsidRPr="008933FD">
              <w:rPr>
                <w:rFonts w:cs="Arial"/>
                <w:sz w:val="18"/>
                <w:szCs w:val="18"/>
              </w:rPr>
              <w:t>30%</w:t>
            </w:r>
          </w:p>
        </w:tc>
        <w:tc>
          <w:tcPr>
            <w:tcW w:w="887" w:type="dxa"/>
            <w:tcBorders>
              <w:top w:val="nil"/>
              <w:left w:val="single" w:sz="4" w:space="0" w:color="FFFFFF"/>
              <w:bottom w:val="nil"/>
              <w:right w:val="single" w:sz="4" w:space="0" w:color="FFFFFF"/>
            </w:tcBorders>
            <w:shd w:val="clear" w:color="auto" w:fill="00B0F0"/>
            <w:vAlign w:val="center"/>
          </w:tcPr>
          <w:p w14:paraId="343B2BA7" w14:textId="153AF569" w:rsidR="003B7ED8" w:rsidRPr="008933FD" w:rsidRDefault="00DA34CC" w:rsidP="00FF35EB">
            <w:pPr>
              <w:spacing w:before="60" w:after="60"/>
              <w:jc w:val="center"/>
              <w:rPr>
                <w:rFonts w:cs="Arial"/>
                <w:sz w:val="18"/>
                <w:szCs w:val="18"/>
              </w:rPr>
            </w:pPr>
            <w:r>
              <w:rPr>
                <w:rFonts w:cs="Arial"/>
                <w:sz w:val="18"/>
                <w:szCs w:val="18"/>
              </w:rPr>
              <w:t>33%</w:t>
            </w:r>
          </w:p>
        </w:tc>
        <w:tc>
          <w:tcPr>
            <w:tcW w:w="1169" w:type="dxa"/>
            <w:tcBorders>
              <w:top w:val="nil"/>
              <w:left w:val="single" w:sz="4" w:space="0" w:color="FFFFFF"/>
              <w:bottom w:val="nil"/>
              <w:right w:val="single" w:sz="4" w:space="0" w:color="FFFFFF"/>
            </w:tcBorders>
            <w:shd w:val="clear" w:color="auto" w:fill="00B0F0"/>
            <w:vAlign w:val="center"/>
          </w:tcPr>
          <w:p w14:paraId="5D068786" w14:textId="77777777" w:rsidR="003B7ED8" w:rsidRPr="008933FD" w:rsidRDefault="003B7ED8" w:rsidP="00FF35EB">
            <w:pPr>
              <w:spacing w:before="60" w:after="60"/>
              <w:jc w:val="center"/>
              <w:rPr>
                <w:rFonts w:cs="Arial"/>
                <w:sz w:val="18"/>
                <w:szCs w:val="18"/>
              </w:rPr>
            </w:pPr>
            <w:r w:rsidRPr="008933FD">
              <w:rPr>
                <w:rFonts w:cs="Arial"/>
                <w:sz w:val="18"/>
                <w:szCs w:val="18"/>
              </w:rPr>
              <w:t>29%</w:t>
            </w:r>
          </w:p>
        </w:tc>
        <w:tc>
          <w:tcPr>
            <w:tcW w:w="1027" w:type="dxa"/>
            <w:tcBorders>
              <w:top w:val="nil"/>
              <w:left w:val="single" w:sz="4" w:space="0" w:color="FFFFFF"/>
              <w:bottom w:val="nil"/>
              <w:right w:val="single" w:sz="4" w:space="0" w:color="FFFFFF"/>
            </w:tcBorders>
            <w:shd w:val="clear" w:color="auto" w:fill="00B0F0"/>
            <w:vAlign w:val="center"/>
          </w:tcPr>
          <w:p w14:paraId="5E8A020F" w14:textId="77777777" w:rsidR="003B7ED8" w:rsidRPr="008933FD" w:rsidRDefault="003B7ED8" w:rsidP="00FF35EB">
            <w:pPr>
              <w:spacing w:before="60" w:after="60"/>
              <w:jc w:val="center"/>
              <w:rPr>
                <w:rFonts w:cs="Arial"/>
                <w:sz w:val="18"/>
                <w:szCs w:val="18"/>
              </w:rPr>
            </w:pPr>
            <w:r w:rsidRPr="008933FD">
              <w:rPr>
                <w:rFonts w:cs="Arial"/>
                <w:sz w:val="18"/>
                <w:szCs w:val="18"/>
              </w:rPr>
              <w:t>29%</w:t>
            </w:r>
          </w:p>
        </w:tc>
        <w:tc>
          <w:tcPr>
            <w:tcW w:w="1028" w:type="dxa"/>
            <w:tcBorders>
              <w:top w:val="nil"/>
              <w:left w:val="single" w:sz="4" w:space="0" w:color="FFFFFF"/>
              <w:bottom w:val="nil"/>
              <w:right w:val="single" w:sz="4" w:space="0" w:color="FFFFFF"/>
            </w:tcBorders>
            <w:shd w:val="clear" w:color="auto" w:fill="00B0F0"/>
            <w:vAlign w:val="center"/>
          </w:tcPr>
          <w:p w14:paraId="6F7DE63E" w14:textId="77777777" w:rsidR="003B7ED8" w:rsidRPr="008933FD" w:rsidRDefault="003B7ED8" w:rsidP="00FF35EB">
            <w:pPr>
              <w:spacing w:before="60" w:after="60"/>
              <w:jc w:val="center"/>
              <w:rPr>
                <w:rFonts w:cs="Arial"/>
                <w:bCs/>
                <w:sz w:val="18"/>
                <w:szCs w:val="18"/>
              </w:rPr>
            </w:pPr>
            <w:r w:rsidRPr="008933FD">
              <w:rPr>
                <w:rFonts w:cs="Arial"/>
                <w:bCs/>
                <w:sz w:val="18"/>
                <w:szCs w:val="18"/>
              </w:rPr>
              <w:t>34%</w:t>
            </w:r>
          </w:p>
        </w:tc>
        <w:tc>
          <w:tcPr>
            <w:tcW w:w="886" w:type="dxa"/>
            <w:tcBorders>
              <w:top w:val="nil"/>
              <w:left w:val="single" w:sz="4" w:space="0" w:color="FFFFFF"/>
              <w:bottom w:val="nil"/>
              <w:right w:val="nil"/>
            </w:tcBorders>
            <w:shd w:val="clear" w:color="auto" w:fill="00B0F0"/>
            <w:vAlign w:val="center"/>
          </w:tcPr>
          <w:p w14:paraId="4BF6CED6" w14:textId="77777777" w:rsidR="003B7ED8" w:rsidRPr="008933FD" w:rsidRDefault="003B7ED8" w:rsidP="00FF35EB">
            <w:pPr>
              <w:spacing w:before="60" w:after="60"/>
              <w:jc w:val="center"/>
              <w:rPr>
                <w:rFonts w:cs="Arial"/>
                <w:bCs/>
                <w:sz w:val="18"/>
                <w:szCs w:val="18"/>
              </w:rPr>
            </w:pPr>
            <w:r>
              <w:rPr>
                <w:rFonts w:cs="Arial"/>
                <w:bCs/>
                <w:sz w:val="18"/>
                <w:szCs w:val="18"/>
              </w:rPr>
              <w:t>41%</w:t>
            </w:r>
          </w:p>
        </w:tc>
      </w:tr>
      <w:tr w:rsidR="003B7ED8" w:rsidRPr="008933FD" w14:paraId="39611945" w14:textId="77777777" w:rsidTr="00FF35EB">
        <w:trPr>
          <w:trHeight w:val="106"/>
        </w:trPr>
        <w:tc>
          <w:tcPr>
            <w:tcW w:w="1702" w:type="dxa"/>
            <w:tcBorders>
              <w:top w:val="nil"/>
              <w:left w:val="nil"/>
              <w:bottom w:val="nil"/>
              <w:right w:val="single" w:sz="4" w:space="0" w:color="FFFFFF"/>
            </w:tcBorders>
            <w:vAlign w:val="center"/>
          </w:tcPr>
          <w:p w14:paraId="31204F38" w14:textId="77777777" w:rsidR="003B7ED8" w:rsidRPr="008933FD" w:rsidRDefault="003B7ED8" w:rsidP="00FF35EB">
            <w:pPr>
              <w:spacing w:before="60" w:after="60"/>
              <w:jc w:val="left"/>
              <w:rPr>
                <w:rFonts w:cs="Arial"/>
                <w:bCs/>
                <w:sz w:val="18"/>
                <w:szCs w:val="18"/>
              </w:rPr>
            </w:pPr>
            <w:r w:rsidRPr="008933FD">
              <w:rPr>
                <w:rFonts w:cs="Arial"/>
                <w:bCs/>
                <w:sz w:val="18"/>
                <w:szCs w:val="18"/>
              </w:rPr>
              <w:t>usługi</w:t>
            </w:r>
          </w:p>
        </w:tc>
        <w:tc>
          <w:tcPr>
            <w:tcW w:w="1027" w:type="dxa"/>
            <w:tcBorders>
              <w:top w:val="nil"/>
              <w:left w:val="single" w:sz="4" w:space="0" w:color="FFFFFF"/>
              <w:bottom w:val="nil"/>
              <w:right w:val="single" w:sz="4" w:space="0" w:color="FFFFFF"/>
            </w:tcBorders>
            <w:vAlign w:val="center"/>
          </w:tcPr>
          <w:p w14:paraId="3F8BD65C" w14:textId="77777777" w:rsidR="003B7ED8" w:rsidRPr="008933FD" w:rsidRDefault="003B7ED8" w:rsidP="00FF35EB">
            <w:pPr>
              <w:spacing w:before="60" w:after="60"/>
              <w:jc w:val="center"/>
              <w:rPr>
                <w:rFonts w:cs="Arial"/>
                <w:sz w:val="18"/>
                <w:szCs w:val="18"/>
              </w:rPr>
            </w:pPr>
            <w:r w:rsidRPr="008933FD">
              <w:rPr>
                <w:rFonts w:cs="Arial"/>
                <w:sz w:val="18"/>
                <w:szCs w:val="18"/>
              </w:rPr>
              <w:t>13%</w:t>
            </w:r>
          </w:p>
        </w:tc>
        <w:tc>
          <w:tcPr>
            <w:tcW w:w="1028" w:type="dxa"/>
            <w:tcBorders>
              <w:top w:val="nil"/>
              <w:left w:val="single" w:sz="4" w:space="0" w:color="FFFFFF"/>
              <w:bottom w:val="nil"/>
              <w:right w:val="single" w:sz="4" w:space="0" w:color="FFFFFF"/>
            </w:tcBorders>
            <w:vAlign w:val="center"/>
          </w:tcPr>
          <w:p w14:paraId="72AB580B" w14:textId="77777777" w:rsidR="003B7ED8" w:rsidRPr="008933FD" w:rsidRDefault="003B7ED8" w:rsidP="00FF35EB">
            <w:pPr>
              <w:spacing w:before="60" w:after="60"/>
              <w:jc w:val="center"/>
              <w:rPr>
                <w:rFonts w:cs="Arial"/>
                <w:sz w:val="18"/>
                <w:szCs w:val="18"/>
              </w:rPr>
            </w:pPr>
            <w:r w:rsidRPr="008933FD">
              <w:rPr>
                <w:rFonts w:cs="Arial"/>
                <w:sz w:val="18"/>
                <w:szCs w:val="18"/>
              </w:rPr>
              <w:t>14%</w:t>
            </w:r>
          </w:p>
        </w:tc>
        <w:tc>
          <w:tcPr>
            <w:tcW w:w="1027" w:type="dxa"/>
            <w:tcBorders>
              <w:top w:val="nil"/>
              <w:left w:val="single" w:sz="4" w:space="0" w:color="FFFFFF"/>
              <w:bottom w:val="nil"/>
              <w:right w:val="single" w:sz="4" w:space="0" w:color="FFFFFF"/>
            </w:tcBorders>
            <w:vAlign w:val="center"/>
          </w:tcPr>
          <w:p w14:paraId="325D88EC" w14:textId="77777777" w:rsidR="003B7ED8" w:rsidRPr="008933FD" w:rsidRDefault="003B7ED8" w:rsidP="00FF35EB">
            <w:pPr>
              <w:spacing w:before="60" w:after="60"/>
              <w:jc w:val="center"/>
              <w:rPr>
                <w:rFonts w:cs="Arial"/>
                <w:sz w:val="18"/>
                <w:szCs w:val="18"/>
              </w:rPr>
            </w:pPr>
            <w:r w:rsidRPr="008933FD">
              <w:rPr>
                <w:rFonts w:cs="Arial"/>
                <w:sz w:val="18"/>
                <w:szCs w:val="18"/>
              </w:rPr>
              <w:t>17%</w:t>
            </w:r>
          </w:p>
        </w:tc>
        <w:tc>
          <w:tcPr>
            <w:tcW w:w="887" w:type="dxa"/>
            <w:tcBorders>
              <w:top w:val="nil"/>
              <w:left w:val="single" w:sz="4" w:space="0" w:color="FFFFFF"/>
              <w:bottom w:val="nil"/>
              <w:right w:val="single" w:sz="4" w:space="0" w:color="FFFFFF"/>
            </w:tcBorders>
            <w:vAlign w:val="center"/>
          </w:tcPr>
          <w:p w14:paraId="495A8101" w14:textId="36329243" w:rsidR="003B7ED8" w:rsidRPr="008933FD" w:rsidRDefault="00E50AA7" w:rsidP="00FF35EB">
            <w:pPr>
              <w:spacing w:before="60" w:after="60"/>
              <w:jc w:val="center"/>
              <w:rPr>
                <w:rFonts w:cs="Arial"/>
                <w:sz w:val="18"/>
                <w:szCs w:val="18"/>
              </w:rPr>
            </w:pPr>
            <w:r>
              <w:rPr>
                <w:rFonts w:cs="Arial"/>
                <w:sz w:val="18"/>
                <w:szCs w:val="18"/>
              </w:rPr>
              <w:t>20%</w:t>
            </w:r>
          </w:p>
        </w:tc>
        <w:tc>
          <w:tcPr>
            <w:tcW w:w="1169" w:type="dxa"/>
            <w:tcBorders>
              <w:top w:val="nil"/>
              <w:left w:val="single" w:sz="4" w:space="0" w:color="FFFFFF"/>
              <w:bottom w:val="nil"/>
              <w:right w:val="single" w:sz="4" w:space="0" w:color="FFFFFF"/>
            </w:tcBorders>
            <w:vAlign w:val="center"/>
          </w:tcPr>
          <w:p w14:paraId="3013D0D7" w14:textId="77777777" w:rsidR="003B7ED8" w:rsidRPr="008933FD" w:rsidRDefault="003B7ED8" w:rsidP="00FF35EB">
            <w:pPr>
              <w:spacing w:before="60" w:after="60"/>
              <w:jc w:val="center"/>
              <w:rPr>
                <w:rFonts w:cs="Arial"/>
                <w:sz w:val="18"/>
                <w:szCs w:val="18"/>
              </w:rPr>
            </w:pPr>
            <w:r w:rsidRPr="008933FD">
              <w:rPr>
                <w:rFonts w:cs="Arial"/>
                <w:sz w:val="18"/>
                <w:szCs w:val="18"/>
              </w:rPr>
              <w:t>30%</w:t>
            </w:r>
          </w:p>
        </w:tc>
        <w:tc>
          <w:tcPr>
            <w:tcW w:w="1027" w:type="dxa"/>
            <w:tcBorders>
              <w:top w:val="nil"/>
              <w:left w:val="single" w:sz="4" w:space="0" w:color="FFFFFF"/>
              <w:bottom w:val="nil"/>
              <w:right w:val="single" w:sz="4" w:space="0" w:color="FFFFFF"/>
            </w:tcBorders>
            <w:vAlign w:val="center"/>
          </w:tcPr>
          <w:p w14:paraId="033F9AE8" w14:textId="77777777" w:rsidR="003B7ED8" w:rsidRPr="008933FD" w:rsidRDefault="003B7ED8" w:rsidP="00FF35EB">
            <w:pPr>
              <w:spacing w:before="60" w:after="60"/>
              <w:jc w:val="center"/>
              <w:rPr>
                <w:rFonts w:cs="Arial"/>
                <w:sz w:val="18"/>
                <w:szCs w:val="18"/>
              </w:rPr>
            </w:pPr>
            <w:r w:rsidRPr="008933FD">
              <w:rPr>
                <w:rFonts w:cs="Arial"/>
                <w:sz w:val="18"/>
                <w:szCs w:val="18"/>
              </w:rPr>
              <w:t>29%</w:t>
            </w:r>
          </w:p>
        </w:tc>
        <w:tc>
          <w:tcPr>
            <w:tcW w:w="1028" w:type="dxa"/>
            <w:tcBorders>
              <w:top w:val="nil"/>
              <w:left w:val="single" w:sz="4" w:space="0" w:color="FFFFFF"/>
              <w:bottom w:val="nil"/>
              <w:right w:val="single" w:sz="4" w:space="0" w:color="FFFFFF"/>
            </w:tcBorders>
            <w:vAlign w:val="center"/>
          </w:tcPr>
          <w:p w14:paraId="3A265EBE" w14:textId="77777777" w:rsidR="003B7ED8" w:rsidRPr="008933FD" w:rsidRDefault="003B7ED8" w:rsidP="00FF35EB">
            <w:pPr>
              <w:spacing w:before="60" w:after="60"/>
              <w:jc w:val="center"/>
              <w:rPr>
                <w:rFonts w:cs="Arial"/>
                <w:bCs/>
                <w:sz w:val="18"/>
                <w:szCs w:val="18"/>
              </w:rPr>
            </w:pPr>
            <w:r w:rsidRPr="008933FD">
              <w:rPr>
                <w:rFonts w:cs="Arial"/>
                <w:bCs/>
                <w:sz w:val="18"/>
                <w:szCs w:val="18"/>
              </w:rPr>
              <w:t>36%</w:t>
            </w:r>
          </w:p>
        </w:tc>
        <w:tc>
          <w:tcPr>
            <w:tcW w:w="886" w:type="dxa"/>
            <w:tcBorders>
              <w:top w:val="nil"/>
              <w:left w:val="single" w:sz="4" w:space="0" w:color="FFFFFF"/>
              <w:bottom w:val="nil"/>
              <w:right w:val="nil"/>
            </w:tcBorders>
            <w:vAlign w:val="center"/>
          </w:tcPr>
          <w:p w14:paraId="6D0D7C29" w14:textId="77777777" w:rsidR="003B7ED8" w:rsidRPr="008933FD" w:rsidRDefault="003B7ED8" w:rsidP="00FF35EB">
            <w:pPr>
              <w:spacing w:before="60" w:after="60"/>
              <w:jc w:val="center"/>
              <w:rPr>
                <w:rFonts w:cs="Arial"/>
                <w:bCs/>
                <w:sz w:val="18"/>
                <w:szCs w:val="18"/>
              </w:rPr>
            </w:pPr>
            <w:r>
              <w:rPr>
                <w:rFonts w:cs="Arial"/>
                <w:bCs/>
                <w:sz w:val="18"/>
                <w:szCs w:val="18"/>
              </w:rPr>
              <w:t>39%</w:t>
            </w:r>
          </w:p>
        </w:tc>
      </w:tr>
    </w:tbl>
    <w:p w14:paraId="5D1346F4" w14:textId="4BDA5E78" w:rsidR="003B7ED8" w:rsidRDefault="003B7ED8" w:rsidP="003B7ED8">
      <w:pPr>
        <w:shd w:val="clear" w:color="auto" w:fill="FFFFFF"/>
      </w:pPr>
    </w:p>
    <w:p w14:paraId="13670121" w14:textId="77777777" w:rsidR="004E105E" w:rsidRPr="008933FD" w:rsidRDefault="004E105E" w:rsidP="003B7ED8">
      <w:pPr>
        <w:shd w:val="clear" w:color="auto" w:fill="FFFFFF"/>
      </w:pPr>
    </w:p>
    <w:p w14:paraId="25F79D7C" w14:textId="2EA44FB7" w:rsidR="00887B9F" w:rsidRDefault="004E105E" w:rsidP="003B7ED8">
      <w:pPr>
        <w:shd w:val="clear" w:color="auto" w:fill="FFFFFF"/>
      </w:pPr>
      <w:r>
        <w:t>W</w:t>
      </w:r>
      <w:r w:rsidRPr="004E105E">
        <w:t xml:space="preserve"> zamówieniach udzielanych w 2022 r. w oparciu o kryterium ceny i inne dodatkowe kryteria</w:t>
      </w:r>
      <w:r>
        <w:t>, w</w:t>
      </w:r>
      <w:r w:rsidRPr="004E105E">
        <w:t xml:space="preserve"> przypadku zamówień o wartościach poniżej progów unijnych średnio</w:t>
      </w:r>
      <w:r>
        <w:t xml:space="preserve"> stosowano 2,27 kryteria</w:t>
      </w:r>
      <w:r w:rsidR="00D360D0">
        <w:t>,</w:t>
      </w:r>
      <w:r>
        <w:t xml:space="preserve"> natomiast w</w:t>
      </w:r>
      <w:r w:rsidRPr="004E105E">
        <w:t xml:space="preserve"> przypadku zamówień o wartościach </w:t>
      </w:r>
      <w:r w:rsidR="00F50AD3" w:rsidRPr="00F50AD3">
        <w:t xml:space="preserve">równych lub przekraczających progi unijne </w:t>
      </w:r>
      <w:r w:rsidR="00C054B5">
        <w:t xml:space="preserve">– 2,57 kryteria. </w:t>
      </w:r>
      <w:r w:rsidR="00C054B5" w:rsidRPr="00C054B5">
        <w:t>Najczęściej jednak (</w:t>
      </w:r>
      <w:r w:rsidR="00C054B5">
        <w:t xml:space="preserve">odpowiednio w 77% oraz </w:t>
      </w:r>
      <w:r w:rsidR="00C054B5" w:rsidRPr="00C054B5">
        <w:t>w 59% postępowań) dokonywano oceny ofert w oparciu o dwa kryteria (cenę i jedno kryterium pozacenowe).</w:t>
      </w:r>
    </w:p>
    <w:p w14:paraId="1F3105DD" w14:textId="020EFBC7" w:rsidR="00D10371" w:rsidRPr="008933FD" w:rsidRDefault="00D10371" w:rsidP="003B7ED8">
      <w:pPr>
        <w:shd w:val="clear" w:color="auto" w:fill="FFFFFF"/>
      </w:pPr>
    </w:p>
    <w:p w14:paraId="5C84827F" w14:textId="75CB94C7" w:rsidR="003B7ED8" w:rsidRPr="008933FD" w:rsidRDefault="003B7ED8" w:rsidP="003B7ED8">
      <w:pPr>
        <w:keepNext/>
        <w:spacing w:before="120" w:after="120"/>
        <w:jc w:val="left"/>
        <w:rPr>
          <w:iCs/>
          <w:color w:val="44546A"/>
          <w:sz w:val="18"/>
          <w:szCs w:val="18"/>
        </w:rPr>
      </w:pPr>
      <w:bookmarkStart w:id="92" w:name="_Toc106101482"/>
      <w:bookmarkStart w:id="93" w:name="_Toc141276518"/>
      <w:r w:rsidRPr="008933FD">
        <w:rPr>
          <w:iCs/>
          <w:color w:val="44546A"/>
          <w:sz w:val="18"/>
          <w:szCs w:val="18"/>
        </w:rPr>
        <w:t xml:space="preserve">Tab. </w:t>
      </w:r>
      <w:r w:rsidRPr="008933FD">
        <w:rPr>
          <w:iCs/>
          <w:color w:val="44546A"/>
          <w:sz w:val="18"/>
          <w:szCs w:val="18"/>
        </w:rPr>
        <w:fldChar w:fldCharType="begin"/>
      </w:r>
      <w:r w:rsidRPr="008933FD">
        <w:rPr>
          <w:iCs/>
          <w:color w:val="44546A"/>
          <w:sz w:val="18"/>
          <w:szCs w:val="18"/>
        </w:rPr>
        <w:instrText xml:space="preserve"> SEQ Tab. \* ARABIC </w:instrText>
      </w:r>
      <w:r w:rsidRPr="008933FD">
        <w:rPr>
          <w:iCs/>
          <w:color w:val="44546A"/>
          <w:sz w:val="18"/>
          <w:szCs w:val="18"/>
        </w:rPr>
        <w:fldChar w:fldCharType="separate"/>
      </w:r>
      <w:r w:rsidR="00A43C68">
        <w:rPr>
          <w:iCs/>
          <w:noProof/>
          <w:color w:val="44546A"/>
          <w:sz w:val="18"/>
          <w:szCs w:val="18"/>
        </w:rPr>
        <w:t>11</w:t>
      </w:r>
      <w:r w:rsidRPr="008933FD">
        <w:rPr>
          <w:iCs/>
          <w:noProof/>
          <w:color w:val="44546A"/>
          <w:sz w:val="18"/>
          <w:szCs w:val="18"/>
        </w:rPr>
        <w:fldChar w:fldCharType="end"/>
      </w:r>
      <w:r w:rsidRPr="008933FD">
        <w:rPr>
          <w:iCs/>
          <w:color w:val="44546A"/>
          <w:sz w:val="18"/>
          <w:szCs w:val="18"/>
        </w:rPr>
        <w:t>. Odsetek postępowań z odpowiednią liczbą kryteriów oceny ofert</w:t>
      </w:r>
      <w:bookmarkEnd w:id="92"/>
      <w:bookmarkEnd w:id="93"/>
    </w:p>
    <w:tbl>
      <w:tblPr>
        <w:tblStyle w:val="Tabela-Siatka1"/>
        <w:tblW w:w="6663" w:type="dxa"/>
        <w:tblInd w:w="-147" w:type="dxa"/>
        <w:tblLayout w:type="fixed"/>
        <w:tblLook w:val="01E0" w:firstRow="1" w:lastRow="1" w:firstColumn="1" w:lastColumn="1" w:noHBand="0" w:noVBand="0"/>
      </w:tblPr>
      <w:tblGrid>
        <w:gridCol w:w="1702"/>
        <w:gridCol w:w="2480"/>
        <w:gridCol w:w="2481"/>
      </w:tblGrid>
      <w:tr w:rsidR="00F50AD3" w:rsidRPr="008933FD" w14:paraId="10D1B57B" w14:textId="77777777" w:rsidTr="00E62445">
        <w:trPr>
          <w:trHeight w:val="643"/>
          <w:tblHeader/>
        </w:trPr>
        <w:tc>
          <w:tcPr>
            <w:tcW w:w="1702" w:type="dxa"/>
            <w:tcBorders>
              <w:top w:val="single" w:sz="4" w:space="0" w:color="FFFFFF"/>
              <w:left w:val="single" w:sz="4" w:space="0" w:color="FFFFFF"/>
              <w:right w:val="single" w:sz="4" w:space="0" w:color="FFFFFF"/>
            </w:tcBorders>
            <w:shd w:val="clear" w:color="auto" w:fill="002060"/>
            <w:vAlign w:val="center"/>
          </w:tcPr>
          <w:p w14:paraId="628F3BF8" w14:textId="77777777" w:rsidR="00F50AD3" w:rsidRPr="008933FD" w:rsidRDefault="00F50AD3" w:rsidP="00F50AD3">
            <w:pPr>
              <w:spacing w:before="60" w:after="60"/>
              <w:jc w:val="center"/>
              <w:rPr>
                <w:rFonts w:cs="Arial"/>
                <w:b/>
                <w:sz w:val="18"/>
                <w:szCs w:val="18"/>
              </w:rPr>
            </w:pPr>
            <w:r w:rsidRPr="008933FD">
              <w:rPr>
                <w:rFonts w:cs="Arial"/>
                <w:b/>
                <w:sz w:val="18"/>
                <w:szCs w:val="18"/>
              </w:rPr>
              <w:t>Liczba kryteriów</w:t>
            </w:r>
          </w:p>
        </w:tc>
        <w:tc>
          <w:tcPr>
            <w:tcW w:w="2480" w:type="dxa"/>
            <w:tcBorders>
              <w:top w:val="single" w:sz="4" w:space="0" w:color="FFFFFF"/>
              <w:left w:val="single" w:sz="4" w:space="0" w:color="FFFFFF"/>
              <w:right w:val="single" w:sz="4" w:space="0" w:color="FFFFFF"/>
            </w:tcBorders>
            <w:shd w:val="clear" w:color="auto" w:fill="002060"/>
            <w:vAlign w:val="center"/>
          </w:tcPr>
          <w:p w14:paraId="3AD22F34" w14:textId="79EEF8A1" w:rsidR="00F50AD3" w:rsidRPr="008933FD" w:rsidRDefault="00F50AD3" w:rsidP="00F50AD3">
            <w:pPr>
              <w:spacing w:before="60" w:after="60"/>
              <w:jc w:val="center"/>
              <w:rPr>
                <w:rFonts w:cs="Arial"/>
                <w:b/>
                <w:sz w:val="17"/>
                <w:szCs w:val="17"/>
              </w:rPr>
            </w:pPr>
            <w:r w:rsidRPr="008933FD">
              <w:rPr>
                <w:rFonts w:cs="Arial"/>
                <w:b/>
                <w:sz w:val="17"/>
                <w:szCs w:val="17"/>
              </w:rPr>
              <w:t xml:space="preserve">zamówienia o wartościach </w:t>
            </w:r>
            <w:r>
              <w:rPr>
                <w:rFonts w:cs="Arial"/>
                <w:b/>
                <w:sz w:val="17"/>
                <w:szCs w:val="17"/>
              </w:rPr>
              <w:t>poniżej</w:t>
            </w:r>
            <w:r w:rsidRPr="008933FD">
              <w:rPr>
                <w:rFonts w:cs="Arial"/>
                <w:b/>
                <w:sz w:val="17"/>
                <w:szCs w:val="17"/>
              </w:rPr>
              <w:t xml:space="preserve"> progów UE</w:t>
            </w:r>
          </w:p>
        </w:tc>
        <w:tc>
          <w:tcPr>
            <w:tcW w:w="2481" w:type="dxa"/>
            <w:tcBorders>
              <w:top w:val="single" w:sz="4" w:space="0" w:color="FFFFFF"/>
              <w:left w:val="single" w:sz="4" w:space="0" w:color="FFFFFF"/>
              <w:right w:val="single" w:sz="4" w:space="0" w:color="FFFFFF"/>
            </w:tcBorders>
            <w:shd w:val="clear" w:color="auto" w:fill="002060"/>
            <w:vAlign w:val="center"/>
          </w:tcPr>
          <w:p w14:paraId="2BFC8046" w14:textId="65039128" w:rsidR="00F50AD3" w:rsidRPr="008933FD" w:rsidRDefault="00F50AD3" w:rsidP="00F50AD3">
            <w:pPr>
              <w:spacing w:before="60" w:after="60"/>
              <w:jc w:val="center"/>
              <w:rPr>
                <w:rFonts w:cs="Arial"/>
                <w:b/>
                <w:sz w:val="17"/>
                <w:szCs w:val="17"/>
              </w:rPr>
            </w:pPr>
            <w:r w:rsidRPr="008933FD">
              <w:rPr>
                <w:rFonts w:cs="Arial"/>
                <w:b/>
                <w:sz w:val="17"/>
                <w:szCs w:val="17"/>
              </w:rPr>
              <w:t xml:space="preserve">zamówienia o wartościach </w:t>
            </w:r>
            <w:r w:rsidRPr="005E155A">
              <w:rPr>
                <w:rFonts w:cs="Arial"/>
                <w:b/>
                <w:sz w:val="17"/>
                <w:szCs w:val="17"/>
              </w:rPr>
              <w:t xml:space="preserve">równych </w:t>
            </w:r>
            <w:r>
              <w:rPr>
                <w:rFonts w:cs="Arial"/>
                <w:b/>
                <w:sz w:val="17"/>
                <w:szCs w:val="17"/>
              </w:rPr>
              <w:t>lub przekraczających progi UE</w:t>
            </w:r>
          </w:p>
        </w:tc>
      </w:tr>
      <w:tr w:rsidR="00C054B5" w:rsidRPr="008933FD" w14:paraId="5F2389B3" w14:textId="77777777" w:rsidTr="00E62445">
        <w:trPr>
          <w:trHeight w:val="44"/>
        </w:trPr>
        <w:tc>
          <w:tcPr>
            <w:tcW w:w="1702" w:type="dxa"/>
            <w:tcBorders>
              <w:top w:val="nil"/>
              <w:left w:val="nil"/>
              <w:bottom w:val="nil"/>
              <w:right w:val="single" w:sz="4" w:space="0" w:color="FFFFFF"/>
            </w:tcBorders>
            <w:vAlign w:val="center"/>
          </w:tcPr>
          <w:p w14:paraId="6F777CBE" w14:textId="77777777" w:rsidR="00C054B5" w:rsidRPr="008933FD" w:rsidRDefault="00C054B5" w:rsidP="00C054B5">
            <w:pPr>
              <w:spacing w:before="60" w:after="60"/>
              <w:jc w:val="left"/>
              <w:rPr>
                <w:rFonts w:cs="Arial"/>
                <w:bCs/>
                <w:sz w:val="18"/>
                <w:szCs w:val="18"/>
              </w:rPr>
            </w:pPr>
            <w:r w:rsidRPr="008933FD">
              <w:rPr>
                <w:rFonts w:cs="Arial"/>
                <w:bCs/>
                <w:sz w:val="18"/>
                <w:szCs w:val="18"/>
              </w:rPr>
              <w:t>dwa</w:t>
            </w:r>
          </w:p>
        </w:tc>
        <w:tc>
          <w:tcPr>
            <w:tcW w:w="2480" w:type="dxa"/>
            <w:tcBorders>
              <w:top w:val="nil"/>
              <w:left w:val="single" w:sz="4" w:space="0" w:color="FFFFFF"/>
              <w:bottom w:val="nil"/>
              <w:right w:val="single" w:sz="4" w:space="0" w:color="FFFFFF"/>
            </w:tcBorders>
            <w:vAlign w:val="center"/>
          </w:tcPr>
          <w:p w14:paraId="60E32EF5" w14:textId="6A6A4CEC" w:rsidR="00C054B5" w:rsidRPr="008933FD" w:rsidRDefault="00E62445" w:rsidP="00C054B5">
            <w:pPr>
              <w:spacing w:before="60" w:after="60"/>
              <w:jc w:val="center"/>
              <w:rPr>
                <w:rFonts w:cs="Arial"/>
                <w:sz w:val="18"/>
                <w:szCs w:val="18"/>
              </w:rPr>
            </w:pPr>
            <w:r>
              <w:rPr>
                <w:rFonts w:cs="Arial"/>
                <w:sz w:val="18"/>
                <w:szCs w:val="18"/>
              </w:rPr>
              <w:t>77%</w:t>
            </w:r>
          </w:p>
        </w:tc>
        <w:tc>
          <w:tcPr>
            <w:tcW w:w="2481" w:type="dxa"/>
            <w:tcBorders>
              <w:top w:val="nil"/>
              <w:left w:val="single" w:sz="4" w:space="0" w:color="FFFFFF"/>
              <w:bottom w:val="nil"/>
              <w:right w:val="single" w:sz="4" w:space="0" w:color="FFFFFF"/>
            </w:tcBorders>
            <w:vAlign w:val="center"/>
          </w:tcPr>
          <w:p w14:paraId="74F7BD3B" w14:textId="77777777" w:rsidR="00C054B5" w:rsidRPr="008933FD" w:rsidRDefault="00C054B5" w:rsidP="00C054B5">
            <w:pPr>
              <w:spacing w:before="60" w:after="60"/>
              <w:jc w:val="center"/>
              <w:rPr>
                <w:rFonts w:cs="Arial"/>
                <w:bCs/>
                <w:sz w:val="18"/>
                <w:szCs w:val="18"/>
              </w:rPr>
            </w:pPr>
            <w:r>
              <w:rPr>
                <w:rFonts w:cs="Arial"/>
                <w:bCs/>
                <w:sz w:val="18"/>
                <w:szCs w:val="18"/>
              </w:rPr>
              <w:t>59%</w:t>
            </w:r>
          </w:p>
        </w:tc>
      </w:tr>
      <w:tr w:rsidR="00C054B5" w:rsidRPr="008933FD" w14:paraId="3AE57B42" w14:textId="77777777" w:rsidTr="00E62445">
        <w:trPr>
          <w:trHeight w:val="59"/>
        </w:trPr>
        <w:tc>
          <w:tcPr>
            <w:tcW w:w="1702" w:type="dxa"/>
            <w:tcBorders>
              <w:top w:val="nil"/>
              <w:left w:val="nil"/>
              <w:bottom w:val="nil"/>
              <w:right w:val="single" w:sz="4" w:space="0" w:color="FFFFFF"/>
            </w:tcBorders>
            <w:shd w:val="clear" w:color="auto" w:fill="00B0F0"/>
            <w:vAlign w:val="center"/>
          </w:tcPr>
          <w:p w14:paraId="71668F3C" w14:textId="77777777" w:rsidR="00C054B5" w:rsidRPr="008933FD" w:rsidRDefault="00C054B5" w:rsidP="00C054B5">
            <w:pPr>
              <w:spacing w:before="60" w:after="60"/>
              <w:jc w:val="left"/>
              <w:rPr>
                <w:rFonts w:cs="Arial"/>
                <w:bCs/>
                <w:sz w:val="18"/>
                <w:szCs w:val="18"/>
              </w:rPr>
            </w:pPr>
            <w:r w:rsidRPr="008933FD">
              <w:rPr>
                <w:rFonts w:cs="Arial"/>
                <w:bCs/>
                <w:sz w:val="18"/>
                <w:szCs w:val="18"/>
              </w:rPr>
              <w:t>trzy</w:t>
            </w:r>
          </w:p>
        </w:tc>
        <w:tc>
          <w:tcPr>
            <w:tcW w:w="2480" w:type="dxa"/>
            <w:tcBorders>
              <w:top w:val="nil"/>
              <w:left w:val="single" w:sz="4" w:space="0" w:color="FFFFFF"/>
              <w:bottom w:val="nil"/>
              <w:right w:val="single" w:sz="4" w:space="0" w:color="FFFFFF"/>
            </w:tcBorders>
            <w:shd w:val="clear" w:color="auto" w:fill="00B0F0"/>
            <w:vAlign w:val="center"/>
          </w:tcPr>
          <w:p w14:paraId="27C8FF78" w14:textId="213012CB" w:rsidR="00C054B5" w:rsidRPr="008933FD" w:rsidRDefault="00E62445" w:rsidP="00C054B5">
            <w:pPr>
              <w:spacing w:before="60" w:after="60"/>
              <w:jc w:val="center"/>
              <w:rPr>
                <w:rFonts w:cs="Arial"/>
                <w:sz w:val="18"/>
                <w:szCs w:val="18"/>
              </w:rPr>
            </w:pPr>
            <w:r>
              <w:rPr>
                <w:rFonts w:cs="Arial"/>
                <w:sz w:val="18"/>
                <w:szCs w:val="18"/>
              </w:rPr>
              <w:t>20%</w:t>
            </w:r>
          </w:p>
        </w:tc>
        <w:tc>
          <w:tcPr>
            <w:tcW w:w="2481" w:type="dxa"/>
            <w:tcBorders>
              <w:top w:val="nil"/>
              <w:left w:val="single" w:sz="4" w:space="0" w:color="FFFFFF"/>
              <w:bottom w:val="nil"/>
              <w:right w:val="single" w:sz="4" w:space="0" w:color="FFFFFF"/>
            </w:tcBorders>
            <w:shd w:val="clear" w:color="auto" w:fill="00B0F0"/>
            <w:vAlign w:val="center"/>
          </w:tcPr>
          <w:p w14:paraId="6A5E335E" w14:textId="77777777" w:rsidR="00C054B5" w:rsidRPr="008933FD" w:rsidRDefault="00C054B5" w:rsidP="00C054B5">
            <w:pPr>
              <w:spacing w:before="60" w:after="60"/>
              <w:jc w:val="center"/>
              <w:rPr>
                <w:rFonts w:cs="Arial"/>
                <w:bCs/>
                <w:sz w:val="18"/>
                <w:szCs w:val="18"/>
              </w:rPr>
            </w:pPr>
            <w:r>
              <w:rPr>
                <w:rFonts w:cs="Arial"/>
                <w:bCs/>
                <w:sz w:val="18"/>
                <w:szCs w:val="18"/>
              </w:rPr>
              <w:t>30%</w:t>
            </w:r>
          </w:p>
        </w:tc>
      </w:tr>
      <w:tr w:rsidR="00C054B5" w:rsidRPr="008933FD" w14:paraId="31F8FFC2" w14:textId="77777777" w:rsidTr="00E62445">
        <w:trPr>
          <w:trHeight w:val="106"/>
        </w:trPr>
        <w:tc>
          <w:tcPr>
            <w:tcW w:w="1702" w:type="dxa"/>
            <w:tcBorders>
              <w:top w:val="nil"/>
              <w:left w:val="nil"/>
              <w:bottom w:val="nil"/>
              <w:right w:val="single" w:sz="4" w:space="0" w:color="FFFFFF"/>
            </w:tcBorders>
            <w:vAlign w:val="center"/>
          </w:tcPr>
          <w:p w14:paraId="10B67237" w14:textId="77777777" w:rsidR="00C054B5" w:rsidRPr="008933FD" w:rsidRDefault="00C054B5" w:rsidP="00C054B5">
            <w:pPr>
              <w:spacing w:before="60" w:after="60"/>
              <w:jc w:val="left"/>
              <w:rPr>
                <w:rFonts w:cs="Arial"/>
                <w:bCs/>
                <w:sz w:val="18"/>
                <w:szCs w:val="18"/>
              </w:rPr>
            </w:pPr>
            <w:r w:rsidRPr="008933FD">
              <w:rPr>
                <w:rFonts w:cs="Arial"/>
                <w:bCs/>
                <w:sz w:val="18"/>
                <w:szCs w:val="18"/>
              </w:rPr>
              <w:t>cztery</w:t>
            </w:r>
          </w:p>
        </w:tc>
        <w:tc>
          <w:tcPr>
            <w:tcW w:w="2480" w:type="dxa"/>
            <w:tcBorders>
              <w:top w:val="nil"/>
              <w:left w:val="single" w:sz="4" w:space="0" w:color="FFFFFF"/>
              <w:bottom w:val="nil"/>
              <w:right w:val="single" w:sz="4" w:space="0" w:color="FFFFFF"/>
            </w:tcBorders>
            <w:vAlign w:val="center"/>
          </w:tcPr>
          <w:p w14:paraId="6C231219" w14:textId="5AA6BE46" w:rsidR="00C054B5" w:rsidRPr="008933FD" w:rsidRDefault="00E62445" w:rsidP="00C054B5">
            <w:pPr>
              <w:spacing w:before="60" w:after="60"/>
              <w:jc w:val="center"/>
              <w:rPr>
                <w:rFonts w:cs="Arial"/>
                <w:sz w:val="18"/>
                <w:szCs w:val="18"/>
              </w:rPr>
            </w:pPr>
            <w:r>
              <w:rPr>
                <w:rFonts w:cs="Arial"/>
                <w:sz w:val="18"/>
                <w:szCs w:val="18"/>
              </w:rPr>
              <w:t>2%</w:t>
            </w:r>
          </w:p>
        </w:tc>
        <w:tc>
          <w:tcPr>
            <w:tcW w:w="2481" w:type="dxa"/>
            <w:tcBorders>
              <w:top w:val="nil"/>
              <w:left w:val="single" w:sz="4" w:space="0" w:color="FFFFFF"/>
              <w:bottom w:val="nil"/>
              <w:right w:val="single" w:sz="4" w:space="0" w:color="FFFFFF"/>
            </w:tcBorders>
            <w:vAlign w:val="center"/>
          </w:tcPr>
          <w:p w14:paraId="22E7CEE6" w14:textId="77777777" w:rsidR="00C054B5" w:rsidRPr="008933FD" w:rsidRDefault="00C054B5" w:rsidP="00C054B5">
            <w:pPr>
              <w:spacing w:before="60" w:after="60"/>
              <w:jc w:val="center"/>
              <w:rPr>
                <w:rFonts w:cs="Arial"/>
                <w:bCs/>
                <w:sz w:val="18"/>
                <w:szCs w:val="18"/>
              </w:rPr>
            </w:pPr>
            <w:r>
              <w:rPr>
                <w:rFonts w:cs="Arial"/>
                <w:bCs/>
                <w:sz w:val="18"/>
                <w:szCs w:val="18"/>
              </w:rPr>
              <w:t>7%</w:t>
            </w:r>
          </w:p>
        </w:tc>
      </w:tr>
      <w:tr w:rsidR="00C054B5" w:rsidRPr="008933FD" w14:paraId="1E3457B3" w14:textId="77777777" w:rsidTr="00E62445">
        <w:trPr>
          <w:trHeight w:val="151"/>
        </w:trPr>
        <w:tc>
          <w:tcPr>
            <w:tcW w:w="1702" w:type="dxa"/>
            <w:tcBorders>
              <w:top w:val="nil"/>
              <w:left w:val="nil"/>
              <w:bottom w:val="nil"/>
              <w:right w:val="single" w:sz="4" w:space="0" w:color="FFFFFF"/>
            </w:tcBorders>
            <w:shd w:val="clear" w:color="auto" w:fill="00B0F0"/>
            <w:vAlign w:val="center"/>
          </w:tcPr>
          <w:p w14:paraId="387883C7" w14:textId="77777777" w:rsidR="00C054B5" w:rsidRPr="008933FD" w:rsidRDefault="00C054B5" w:rsidP="00C054B5">
            <w:pPr>
              <w:spacing w:before="60" w:after="60"/>
              <w:jc w:val="left"/>
              <w:rPr>
                <w:rFonts w:cs="Arial"/>
                <w:bCs/>
                <w:sz w:val="18"/>
                <w:szCs w:val="18"/>
              </w:rPr>
            </w:pPr>
            <w:r w:rsidRPr="008933FD">
              <w:rPr>
                <w:rFonts w:cs="Arial"/>
                <w:bCs/>
                <w:sz w:val="18"/>
                <w:szCs w:val="18"/>
              </w:rPr>
              <w:t>pięć i więcej</w:t>
            </w:r>
          </w:p>
        </w:tc>
        <w:tc>
          <w:tcPr>
            <w:tcW w:w="2480" w:type="dxa"/>
            <w:tcBorders>
              <w:top w:val="nil"/>
              <w:left w:val="single" w:sz="4" w:space="0" w:color="FFFFFF"/>
              <w:bottom w:val="nil"/>
              <w:right w:val="single" w:sz="4" w:space="0" w:color="FFFFFF"/>
            </w:tcBorders>
            <w:shd w:val="clear" w:color="auto" w:fill="00B0F0"/>
            <w:vAlign w:val="center"/>
          </w:tcPr>
          <w:p w14:paraId="5A5F2D4F" w14:textId="75089694" w:rsidR="00C054B5" w:rsidRPr="008933FD" w:rsidRDefault="00E62445" w:rsidP="00C054B5">
            <w:pPr>
              <w:spacing w:before="60" w:after="60"/>
              <w:jc w:val="center"/>
              <w:rPr>
                <w:rFonts w:cs="Arial"/>
                <w:sz w:val="18"/>
                <w:szCs w:val="18"/>
              </w:rPr>
            </w:pPr>
            <w:r>
              <w:rPr>
                <w:rFonts w:cs="Arial"/>
                <w:sz w:val="18"/>
                <w:szCs w:val="18"/>
              </w:rPr>
              <w:t>1%</w:t>
            </w:r>
          </w:p>
        </w:tc>
        <w:tc>
          <w:tcPr>
            <w:tcW w:w="2481" w:type="dxa"/>
            <w:tcBorders>
              <w:top w:val="nil"/>
              <w:left w:val="single" w:sz="4" w:space="0" w:color="FFFFFF"/>
              <w:bottom w:val="nil"/>
              <w:right w:val="single" w:sz="4" w:space="0" w:color="FFFFFF"/>
            </w:tcBorders>
            <w:shd w:val="clear" w:color="auto" w:fill="00B0F0"/>
            <w:vAlign w:val="center"/>
          </w:tcPr>
          <w:p w14:paraId="6A496F01" w14:textId="77777777" w:rsidR="00C054B5" w:rsidRPr="008933FD" w:rsidRDefault="00C054B5" w:rsidP="00C054B5">
            <w:pPr>
              <w:spacing w:before="60" w:after="60"/>
              <w:jc w:val="center"/>
              <w:rPr>
                <w:rFonts w:cs="Arial"/>
                <w:bCs/>
                <w:sz w:val="18"/>
                <w:szCs w:val="18"/>
              </w:rPr>
            </w:pPr>
            <w:r>
              <w:rPr>
                <w:rFonts w:cs="Arial"/>
                <w:bCs/>
                <w:sz w:val="18"/>
                <w:szCs w:val="18"/>
              </w:rPr>
              <w:t>4%</w:t>
            </w:r>
          </w:p>
        </w:tc>
      </w:tr>
    </w:tbl>
    <w:p w14:paraId="59153BCD" w14:textId="48178ECD" w:rsidR="003B7ED8" w:rsidRDefault="003B7ED8" w:rsidP="003B7ED8">
      <w:pPr>
        <w:shd w:val="clear" w:color="auto" w:fill="FFFFFF"/>
      </w:pPr>
    </w:p>
    <w:p w14:paraId="4ACE3499" w14:textId="6A4DCBEF" w:rsidR="00581D99" w:rsidRDefault="00581D99" w:rsidP="003B7ED8">
      <w:pPr>
        <w:shd w:val="clear" w:color="auto" w:fill="FFFFFF"/>
      </w:pPr>
    </w:p>
    <w:p w14:paraId="459592B9" w14:textId="0190D757" w:rsidR="00E62445" w:rsidRDefault="00513687" w:rsidP="003B7ED8">
      <w:pPr>
        <w:shd w:val="clear" w:color="auto" w:fill="FFFFFF"/>
      </w:pPr>
      <w:r>
        <w:t>Zarówno w zamówieniach o wartościach poniżej</w:t>
      </w:r>
      <w:r w:rsidR="00447DF9">
        <w:t>,</w:t>
      </w:r>
      <w:r>
        <w:t xml:space="preserve"> jak i </w:t>
      </w:r>
      <w:r w:rsidR="00C95F0B" w:rsidRPr="00C95F0B">
        <w:t xml:space="preserve">równych lub przekraczających progi unijne </w:t>
      </w:r>
      <w:r>
        <w:t>najczęściej stosowanym kryterium pozacenowym było k</w:t>
      </w:r>
      <w:r w:rsidRPr="00513687">
        <w:t>ryterium związane z warunkami gwarancji bądź rękojmi</w:t>
      </w:r>
      <w:r>
        <w:t xml:space="preserve"> – odpowiednio </w:t>
      </w:r>
      <w:r w:rsidR="000028F1">
        <w:t>w ok. 43% oraz</w:t>
      </w:r>
      <w:r>
        <w:t xml:space="preserve"> w ok. 37% postępowań.</w:t>
      </w:r>
    </w:p>
    <w:p w14:paraId="02BB4DCE" w14:textId="6F207416" w:rsidR="00513687" w:rsidRDefault="00392302" w:rsidP="003B7ED8">
      <w:pPr>
        <w:shd w:val="clear" w:color="auto" w:fill="FFFFFF"/>
      </w:pPr>
      <w:r>
        <w:t>Innym</w:t>
      </w:r>
      <w:r w:rsidR="00513687">
        <w:t xml:space="preserve">, najczęściej stosowanym kryterium pozacenowym </w:t>
      </w:r>
      <w:r w:rsidR="008A58F6" w:rsidRPr="008A58F6">
        <w:t>był termin realizacji zamówienia (czas dostawy)</w:t>
      </w:r>
      <w:r w:rsidR="008A58F6">
        <w:t xml:space="preserve"> – odpowiednio w ok. 25% oraz w ok. 35% postępowań.</w:t>
      </w:r>
    </w:p>
    <w:p w14:paraId="5640CA62" w14:textId="5C06B40A" w:rsidR="008A58F6" w:rsidRDefault="008A58F6" w:rsidP="003B7ED8">
      <w:pPr>
        <w:shd w:val="clear" w:color="auto" w:fill="FFFFFF"/>
      </w:pPr>
      <w:r w:rsidRPr="008A58F6">
        <w:t xml:space="preserve">Korzystano także z kryteriów odnoszących się do </w:t>
      </w:r>
      <w:r w:rsidR="00BE7B87">
        <w:t>doświadczenia osób wykonujących zamówienie</w:t>
      </w:r>
      <w:r w:rsidR="00BF61D0">
        <w:t xml:space="preserve"> (</w:t>
      </w:r>
      <w:r w:rsidR="000028F1">
        <w:t>ok. 12% oraz ok. 11%)</w:t>
      </w:r>
      <w:r w:rsidR="00BE7B87">
        <w:t xml:space="preserve">; do </w:t>
      </w:r>
      <w:r w:rsidRPr="008A58F6">
        <w:t>jakości, funkcjonalności czy parametrów tec</w:t>
      </w:r>
      <w:r>
        <w:t>hnicznych przedmiotu zamówienia</w:t>
      </w:r>
      <w:r w:rsidR="000028F1">
        <w:t xml:space="preserve"> (ok. 9% oraz ok. 19%)</w:t>
      </w:r>
      <w:r w:rsidR="00BE7B87">
        <w:t>;</w:t>
      </w:r>
      <w:r>
        <w:t xml:space="preserve"> </w:t>
      </w:r>
      <w:r w:rsidR="00BE7B87">
        <w:t>do warunków/terminów płatności</w:t>
      </w:r>
      <w:r w:rsidR="000028F1">
        <w:t xml:space="preserve"> (</w:t>
      </w:r>
      <w:r w:rsidR="009D0E06">
        <w:t xml:space="preserve">ok. 8% oraz </w:t>
      </w:r>
      <w:r w:rsidR="00687372">
        <w:t xml:space="preserve">ok. </w:t>
      </w:r>
      <w:r w:rsidR="009D0E06">
        <w:t>7%)</w:t>
      </w:r>
      <w:r w:rsidR="00BE7B87">
        <w:t xml:space="preserve">, a także </w:t>
      </w:r>
      <w:r w:rsidR="00BF61D0">
        <w:t>związanych z czasem reakcji na zgłoszenia błędów czy reklamacji</w:t>
      </w:r>
      <w:r w:rsidR="009D0E06">
        <w:t xml:space="preserve"> (</w:t>
      </w:r>
      <w:r w:rsidR="00263F87">
        <w:t>ok. 4%)</w:t>
      </w:r>
      <w:r w:rsidR="00BF61D0">
        <w:t>.</w:t>
      </w:r>
      <w:r w:rsidR="00BE7B87">
        <w:t xml:space="preserve"> </w:t>
      </w:r>
    </w:p>
    <w:p w14:paraId="070DAF69" w14:textId="77777777" w:rsidR="00EF3DF0" w:rsidRDefault="00EF3DF0" w:rsidP="003B7ED8">
      <w:pPr>
        <w:shd w:val="clear" w:color="auto" w:fill="FFFFFF"/>
      </w:pPr>
    </w:p>
    <w:p w14:paraId="4454732D" w14:textId="77777777" w:rsidR="00A72CA5" w:rsidRDefault="00A72CA5" w:rsidP="003B7ED8">
      <w:pPr>
        <w:shd w:val="clear" w:color="auto" w:fill="FFFFFF"/>
      </w:pPr>
      <w:r w:rsidRPr="00A72CA5">
        <w:t>Wagi pozacenowych kryteriów oceny ofert stosowane przez zamawiających najczęściej mieściły się w przedziale 2</w:t>
      </w:r>
      <w:r>
        <w:t>5</w:t>
      </w:r>
      <w:r w:rsidRPr="00A72CA5">
        <w:t xml:space="preserve">% – 30%. </w:t>
      </w:r>
    </w:p>
    <w:p w14:paraId="6DC4ADC5" w14:textId="5079EB11" w:rsidR="0098453C" w:rsidRDefault="00A72CA5" w:rsidP="003B7ED8">
      <w:pPr>
        <w:shd w:val="clear" w:color="auto" w:fill="FFFFFF"/>
      </w:pPr>
      <w:r w:rsidRPr="00A72CA5">
        <w:t>Natomiast średnia waga kryterium ceny w 202</w:t>
      </w:r>
      <w:r>
        <w:t>2</w:t>
      </w:r>
      <w:r w:rsidRPr="00A72CA5">
        <w:t xml:space="preserve"> r.</w:t>
      </w:r>
      <w:r w:rsidR="00953B5F">
        <w:t>, z</w:t>
      </w:r>
      <w:r w:rsidR="00953B5F" w:rsidRPr="0098453C">
        <w:t>arówno w zamówieniach o wartościach poniżej</w:t>
      </w:r>
      <w:r w:rsidR="00447DF9">
        <w:t>,</w:t>
      </w:r>
      <w:r w:rsidR="00953B5F" w:rsidRPr="0098453C">
        <w:t xml:space="preserve"> jak i </w:t>
      </w:r>
      <w:r w:rsidR="00C95F0B" w:rsidRPr="00C95F0B">
        <w:t>równych lub przekraczających progi unijne</w:t>
      </w:r>
      <w:r w:rsidR="00953B5F">
        <w:t xml:space="preserve">, </w:t>
      </w:r>
      <w:r w:rsidRPr="00A72CA5">
        <w:t>wynosiła</w:t>
      </w:r>
      <w:r w:rsidR="0098453C">
        <w:t xml:space="preserve"> ok. 62%.</w:t>
      </w:r>
    </w:p>
    <w:p w14:paraId="3F853D0E" w14:textId="77777777" w:rsidR="0098453C" w:rsidRDefault="0098453C" w:rsidP="003B7ED8">
      <w:pPr>
        <w:shd w:val="clear" w:color="auto" w:fill="FFFFFF"/>
      </w:pPr>
    </w:p>
    <w:p w14:paraId="3737C9F9" w14:textId="77777777" w:rsidR="00A05542" w:rsidRDefault="00A05542"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05C3DA4E" w14:textId="77777777" w:rsidTr="004D2CDB">
        <w:trPr>
          <w:cantSplit/>
        </w:trPr>
        <w:tc>
          <w:tcPr>
            <w:tcW w:w="236" w:type="dxa"/>
            <w:shd w:val="clear" w:color="auto" w:fill="B8CCE4"/>
          </w:tcPr>
          <w:p w14:paraId="4454C1F3" w14:textId="77777777" w:rsidR="00716498" w:rsidRPr="001E7D51" w:rsidRDefault="00716498" w:rsidP="00F058DB">
            <w:pPr>
              <w:rPr>
                <w:sz w:val="24"/>
              </w:rPr>
            </w:pPr>
          </w:p>
        </w:tc>
        <w:tc>
          <w:tcPr>
            <w:tcW w:w="8676" w:type="dxa"/>
            <w:shd w:val="clear" w:color="auto" w:fill="auto"/>
          </w:tcPr>
          <w:p w14:paraId="02A16C49" w14:textId="77777777" w:rsidR="00716498" w:rsidRPr="00D76A94" w:rsidRDefault="00716498" w:rsidP="00F058DB">
            <w:pPr>
              <w:pStyle w:val="Nagwek3"/>
              <w:shd w:val="clear" w:color="auto" w:fill="FFFFFF"/>
              <w:spacing w:after="120"/>
              <w:ind w:left="0"/>
              <w:rPr>
                <w:color w:val="0070C0"/>
                <w:sz w:val="24"/>
                <w:szCs w:val="24"/>
              </w:rPr>
            </w:pPr>
            <w:bookmarkStart w:id="94" w:name="_Toc64451860"/>
            <w:bookmarkStart w:id="95" w:name="_Toc141276440"/>
            <w:r w:rsidRPr="00D76A94">
              <w:rPr>
                <w:color w:val="0070C0"/>
                <w:sz w:val="24"/>
                <w:szCs w:val="24"/>
              </w:rPr>
              <w:t>II.2.4. Konkurencyjność postępowań</w:t>
            </w:r>
            <w:bookmarkEnd w:id="94"/>
            <w:bookmarkEnd w:id="95"/>
          </w:p>
        </w:tc>
      </w:tr>
    </w:tbl>
    <w:p w14:paraId="33A5CB00" w14:textId="7E9A1B9B" w:rsidR="00716498" w:rsidRDefault="00716498" w:rsidP="007D4DEB">
      <w:pPr>
        <w:rPr>
          <w:rFonts w:cs="Arial"/>
          <w:szCs w:val="22"/>
        </w:rPr>
      </w:pPr>
    </w:p>
    <w:p w14:paraId="5DDF6423" w14:textId="77777777" w:rsidR="004507FB" w:rsidRPr="005A7697" w:rsidRDefault="004507FB" w:rsidP="005C7DF9">
      <w:pPr>
        <w:pStyle w:val="StylArial11ptWyjustowany"/>
        <w:numPr>
          <w:ilvl w:val="0"/>
          <w:numId w:val="67"/>
        </w:numPr>
        <w:shd w:val="clear" w:color="auto" w:fill="FFFFFF"/>
        <w:jc w:val="left"/>
        <w:rPr>
          <w:rFonts w:cs="Arial"/>
          <w:b/>
          <w:iCs/>
          <w:color w:val="0070C0"/>
          <w:szCs w:val="22"/>
        </w:rPr>
      </w:pPr>
      <w:r w:rsidRPr="005A7697">
        <w:rPr>
          <w:rFonts w:cs="Arial"/>
          <w:b/>
          <w:iCs/>
          <w:color w:val="0070C0"/>
          <w:szCs w:val="22"/>
        </w:rPr>
        <w:t>Zamówienia o wartościach poniżej progów unijnych</w:t>
      </w:r>
    </w:p>
    <w:p w14:paraId="5E118844" w14:textId="77777777" w:rsidR="004507FB" w:rsidRDefault="004507FB" w:rsidP="004507FB">
      <w:pPr>
        <w:rPr>
          <w:szCs w:val="22"/>
        </w:rPr>
      </w:pPr>
    </w:p>
    <w:p w14:paraId="599BF4E3" w14:textId="6EB5A4F3" w:rsidR="005D0407" w:rsidRPr="00CB5D4D" w:rsidRDefault="00486CB2" w:rsidP="005D0407">
      <w:pPr>
        <w:rPr>
          <w:szCs w:val="22"/>
        </w:rPr>
      </w:pPr>
      <w:r>
        <w:rPr>
          <w:szCs w:val="22"/>
        </w:rPr>
        <w:t>Z treści ogłoszeń o wyniku postępowania publikowanych w BZP wynika, że w</w:t>
      </w:r>
      <w:r w:rsidR="005D0407">
        <w:rPr>
          <w:szCs w:val="22"/>
        </w:rPr>
        <w:t xml:space="preserve"> </w:t>
      </w:r>
      <w:r w:rsidR="005D0407" w:rsidRPr="00CB5D4D">
        <w:rPr>
          <w:szCs w:val="22"/>
        </w:rPr>
        <w:t xml:space="preserve">zamówieniach publicznych o wartościach poniżej progów unijnych </w:t>
      </w:r>
      <w:r w:rsidR="005D0407">
        <w:rPr>
          <w:szCs w:val="22"/>
        </w:rPr>
        <w:t xml:space="preserve">w 2022 r. </w:t>
      </w:r>
      <w:r w:rsidR="005D0407" w:rsidRPr="00CB5D4D">
        <w:rPr>
          <w:szCs w:val="22"/>
        </w:rPr>
        <w:t>średnio składano 2,</w:t>
      </w:r>
      <w:r w:rsidR="002D3EBA">
        <w:rPr>
          <w:szCs w:val="22"/>
        </w:rPr>
        <w:t>43</w:t>
      </w:r>
      <w:r w:rsidR="005D0407" w:rsidRPr="00CB5D4D">
        <w:rPr>
          <w:szCs w:val="22"/>
        </w:rPr>
        <w:t xml:space="preserve"> oferty</w:t>
      </w:r>
      <w:r w:rsidR="005D0407" w:rsidRPr="00CB5D4D">
        <w:rPr>
          <w:rStyle w:val="Odwoanieprzypisudolnego"/>
          <w:szCs w:val="22"/>
        </w:rPr>
        <w:footnoteReference w:id="11"/>
      </w:r>
      <w:r w:rsidR="005D0407" w:rsidRPr="00CB5D4D">
        <w:rPr>
          <w:szCs w:val="22"/>
        </w:rPr>
        <w:t xml:space="preserve"> (w 202</w:t>
      </w:r>
      <w:r w:rsidR="005D0407">
        <w:rPr>
          <w:szCs w:val="22"/>
        </w:rPr>
        <w:t>1</w:t>
      </w:r>
      <w:r w:rsidR="005D0407" w:rsidRPr="00CB5D4D">
        <w:rPr>
          <w:szCs w:val="22"/>
        </w:rPr>
        <w:t xml:space="preserve"> r. – 2,</w:t>
      </w:r>
      <w:r w:rsidR="005D0407">
        <w:rPr>
          <w:szCs w:val="22"/>
        </w:rPr>
        <w:t>59</w:t>
      </w:r>
      <w:r w:rsidR="005D0407" w:rsidRPr="00CB5D4D">
        <w:rPr>
          <w:szCs w:val="22"/>
        </w:rPr>
        <w:t>).</w:t>
      </w:r>
    </w:p>
    <w:p w14:paraId="4F0E8706" w14:textId="77777777" w:rsidR="005D0407" w:rsidRPr="00CB5D4D" w:rsidRDefault="005D0407" w:rsidP="005D0407">
      <w:pPr>
        <w:rPr>
          <w:szCs w:val="22"/>
        </w:rPr>
      </w:pPr>
    </w:p>
    <w:p w14:paraId="7B5ED3DB" w14:textId="306D49BF" w:rsidR="005D0407" w:rsidRPr="00CB5D4D" w:rsidRDefault="00A56933" w:rsidP="005D0407">
      <w:pPr>
        <w:rPr>
          <w:szCs w:val="22"/>
        </w:rPr>
      </w:pPr>
      <w:r>
        <w:rPr>
          <w:szCs w:val="22"/>
        </w:rPr>
        <w:t>Podobnie jak w 2021 r., ś</w:t>
      </w:r>
      <w:r w:rsidR="005D0407" w:rsidRPr="00CB5D4D">
        <w:rPr>
          <w:szCs w:val="22"/>
        </w:rPr>
        <w:t xml:space="preserve">rednio najwięcej ofert wpływało w </w:t>
      </w:r>
      <w:r w:rsidR="005C3550">
        <w:rPr>
          <w:szCs w:val="22"/>
        </w:rPr>
        <w:t>zamówieniach</w:t>
      </w:r>
      <w:r w:rsidR="005D0407" w:rsidRPr="00CB5D4D">
        <w:rPr>
          <w:szCs w:val="22"/>
        </w:rPr>
        <w:t xml:space="preserve"> udzielanych w trybie podstawowym</w:t>
      </w:r>
      <w:r w:rsidR="005D0407">
        <w:rPr>
          <w:szCs w:val="22"/>
        </w:rPr>
        <w:t xml:space="preserve"> z</w:t>
      </w:r>
      <w:r>
        <w:rPr>
          <w:szCs w:val="22"/>
        </w:rPr>
        <w:t xml:space="preserve"> </w:t>
      </w:r>
      <w:r w:rsidR="005D0407">
        <w:rPr>
          <w:szCs w:val="22"/>
        </w:rPr>
        <w:t>możliwością negocjacji</w:t>
      </w:r>
      <w:r w:rsidR="005D0407" w:rsidRPr="00CB5D4D">
        <w:rPr>
          <w:szCs w:val="22"/>
        </w:rPr>
        <w:t>, o którym mowa w art. 275 pkt 2 ustawy</w:t>
      </w:r>
      <w:r w:rsidR="005D0407">
        <w:rPr>
          <w:szCs w:val="22"/>
        </w:rPr>
        <w:t xml:space="preserve"> Pzp</w:t>
      </w:r>
      <w:r w:rsidR="005D0407" w:rsidRPr="00CB5D4D">
        <w:rPr>
          <w:szCs w:val="22"/>
        </w:rPr>
        <w:t>.</w:t>
      </w:r>
    </w:p>
    <w:p w14:paraId="50F11D35" w14:textId="77777777" w:rsidR="0015051D" w:rsidRPr="00CB5D4D" w:rsidRDefault="0015051D" w:rsidP="004507FB">
      <w:pPr>
        <w:rPr>
          <w:szCs w:val="22"/>
        </w:rPr>
      </w:pPr>
    </w:p>
    <w:p w14:paraId="0BFC1702" w14:textId="4B6CC768" w:rsidR="004507FB" w:rsidRPr="00CB5D4D" w:rsidRDefault="004507FB" w:rsidP="004507FB">
      <w:pPr>
        <w:pStyle w:val="Legenda"/>
      </w:pPr>
      <w:bookmarkStart w:id="96" w:name="_Toc141276519"/>
      <w:r w:rsidRPr="00A56933">
        <w:t xml:space="preserve">Tab. </w:t>
      </w:r>
      <w:r w:rsidR="00BE2079">
        <w:fldChar w:fldCharType="begin"/>
      </w:r>
      <w:r w:rsidR="00BE2079">
        <w:instrText xml:space="preserve"> SEQ Tab. \* ARABIC </w:instrText>
      </w:r>
      <w:r w:rsidR="00BE2079">
        <w:fldChar w:fldCharType="separate"/>
      </w:r>
      <w:r w:rsidR="00A43C68">
        <w:rPr>
          <w:noProof/>
        </w:rPr>
        <w:t>12</w:t>
      </w:r>
      <w:r w:rsidR="00BE2079">
        <w:rPr>
          <w:noProof/>
        </w:rPr>
        <w:fldChar w:fldCharType="end"/>
      </w:r>
      <w:r w:rsidRPr="00A56933">
        <w:t>. Średnia liczba ofert składanych w poszczególnych trybach (postępowania o wartościach poniżej progów unijnych)</w:t>
      </w:r>
      <w:bookmarkEnd w:id="96"/>
    </w:p>
    <w:tbl>
      <w:tblPr>
        <w:tblW w:w="7484" w:type="dxa"/>
        <w:tblInd w:w="-5" w:type="dxa"/>
        <w:tblLayout w:type="fixed"/>
        <w:tblLook w:val="04A0" w:firstRow="1" w:lastRow="0" w:firstColumn="1" w:lastColumn="0" w:noHBand="0" w:noVBand="1"/>
      </w:tblPr>
      <w:tblGrid>
        <w:gridCol w:w="5392"/>
        <w:gridCol w:w="2092"/>
      </w:tblGrid>
      <w:tr w:rsidR="004507FB" w:rsidRPr="00CB5D4D" w14:paraId="1B4DB7C1" w14:textId="77777777" w:rsidTr="00F27C34">
        <w:trPr>
          <w:tblHeader/>
        </w:trPr>
        <w:tc>
          <w:tcPr>
            <w:tcW w:w="5392" w:type="dxa"/>
            <w:tcBorders>
              <w:right w:val="single" w:sz="4" w:space="0" w:color="FFFFFF"/>
            </w:tcBorders>
            <w:shd w:val="clear" w:color="auto" w:fill="002060"/>
            <w:vAlign w:val="center"/>
          </w:tcPr>
          <w:p w14:paraId="610B5D39" w14:textId="77777777" w:rsidR="004507FB" w:rsidRPr="00CB5D4D" w:rsidRDefault="004507FB" w:rsidP="00BA7791">
            <w:pPr>
              <w:spacing w:before="60" w:after="60"/>
              <w:jc w:val="center"/>
              <w:rPr>
                <w:b/>
                <w:sz w:val="18"/>
                <w:szCs w:val="18"/>
              </w:rPr>
            </w:pPr>
            <w:r w:rsidRPr="00CB5D4D">
              <w:rPr>
                <w:b/>
                <w:sz w:val="18"/>
                <w:szCs w:val="18"/>
              </w:rPr>
              <w:t>Tryb zamówienia</w:t>
            </w:r>
          </w:p>
        </w:tc>
        <w:tc>
          <w:tcPr>
            <w:tcW w:w="2092" w:type="dxa"/>
            <w:tcBorders>
              <w:left w:val="single" w:sz="4" w:space="0" w:color="FFFFFF"/>
            </w:tcBorders>
            <w:shd w:val="clear" w:color="auto" w:fill="002060"/>
            <w:vAlign w:val="center"/>
          </w:tcPr>
          <w:p w14:paraId="0C044813" w14:textId="77777777" w:rsidR="004507FB" w:rsidRPr="00CB5D4D" w:rsidRDefault="004507FB" w:rsidP="00BA7791">
            <w:pPr>
              <w:spacing w:before="60" w:after="60"/>
              <w:jc w:val="center"/>
              <w:rPr>
                <w:b/>
                <w:sz w:val="18"/>
                <w:szCs w:val="18"/>
              </w:rPr>
            </w:pPr>
            <w:r w:rsidRPr="00CB5D4D">
              <w:rPr>
                <w:b/>
                <w:sz w:val="18"/>
                <w:szCs w:val="18"/>
              </w:rPr>
              <w:t>Średnia liczba ofert</w:t>
            </w:r>
          </w:p>
        </w:tc>
      </w:tr>
      <w:tr w:rsidR="004507FB" w:rsidRPr="00CB5D4D" w14:paraId="5FFAA29E" w14:textId="77777777" w:rsidTr="00F27C34">
        <w:tc>
          <w:tcPr>
            <w:tcW w:w="5392" w:type="dxa"/>
            <w:tcBorders>
              <w:right w:val="single" w:sz="4" w:space="0" w:color="FFFFFF"/>
            </w:tcBorders>
            <w:shd w:val="clear" w:color="auto" w:fill="auto"/>
            <w:vAlign w:val="center"/>
          </w:tcPr>
          <w:p w14:paraId="0F8F1918" w14:textId="7B52C0AA" w:rsidR="004507FB" w:rsidRPr="00CB5D4D" w:rsidRDefault="004507FB" w:rsidP="00BA7791">
            <w:pPr>
              <w:spacing w:before="60" w:after="60"/>
              <w:jc w:val="left"/>
              <w:rPr>
                <w:sz w:val="18"/>
                <w:szCs w:val="18"/>
              </w:rPr>
            </w:pPr>
            <w:r w:rsidRPr="00CB5D4D">
              <w:rPr>
                <w:sz w:val="18"/>
                <w:szCs w:val="18"/>
              </w:rPr>
              <w:t>Tryb podstawowy, o którym mowa w art. 275 pkt 1 ustawy</w:t>
            </w:r>
            <w:r w:rsidR="00013938">
              <w:rPr>
                <w:sz w:val="18"/>
                <w:szCs w:val="18"/>
              </w:rPr>
              <w:t xml:space="preserve"> Pzp</w:t>
            </w:r>
          </w:p>
        </w:tc>
        <w:tc>
          <w:tcPr>
            <w:tcW w:w="2092" w:type="dxa"/>
            <w:tcBorders>
              <w:left w:val="single" w:sz="4" w:space="0" w:color="FFFFFF"/>
            </w:tcBorders>
            <w:shd w:val="clear" w:color="auto" w:fill="auto"/>
            <w:vAlign w:val="center"/>
          </w:tcPr>
          <w:p w14:paraId="7FC2671C" w14:textId="7D445F33" w:rsidR="004507FB" w:rsidRPr="00CB5D4D" w:rsidRDefault="004507FB" w:rsidP="002D3EBA">
            <w:pPr>
              <w:jc w:val="center"/>
              <w:rPr>
                <w:sz w:val="18"/>
                <w:szCs w:val="18"/>
              </w:rPr>
            </w:pPr>
            <w:r w:rsidRPr="00CB5D4D">
              <w:rPr>
                <w:sz w:val="18"/>
                <w:szCs w:val="18"/>
              </w:rPr>
              <w:t>2,</w:t>
            </w:r>
            <w:r w:rsidR="002D3EBA">
              <w:rPr>
                <w:sz w:val="18"/>
                <w:szCs w:val="18"/>
              </w:rPr>
              <w:t>43</w:t>
            </w:r>
          </w:p>
        </w:tc>
      </w:tr>
      <w:tr w:rsidR="004507FB" w:rsidRPr="00CB5D4D" w14:paraId="0C49A690" w14:textId="77777777" w:rsidTr="00F27C34">
        <w:tc>
          <w:tcPr>
            <w:tcW w:w="5392" w:type="dxa"/>
            <w:tcBorders>
              <w:right w:val="single" w:sz="4" w:space="0" w:color="FFFFFF"/>
            </w:tcBorders>
            <w:shd w:val="clear" w:color="auto" w:fill="00B0F0"/>
            <w:vAlign w:val="center"/>
          </w:tcPr>
          <w:p w14:paraId="2D3D7492" w14:textId="51AF99ED" w:rsidR="004507FB" w:rsidRPr="00CB5D4D" w:rsidRDefault="004507FB" w:rsidP="00BA7791">
            <w:pPr>
              <w:spacing w:before="60" w:after="60"/>
              <w:jc w:val="left"/>
              <w:rPr>
                <w:sz w:val="18"/>
                <w:szCs w:val="18"/>
              </w:rPr>
            </w:pPr>
            <w:r w:rsidRPr="00CB5D4D">
              <w:rPr>
                <w:sz w:val="18"/>
                <w:szCs w:val="18"/>
              </w:rPr>
              <w:t>Tryb podstawowy, o którym mowa w art. 275 pkt 2 ustawy</w:t>
            </w:r>
            <w:r w:rsidR="00013938">
              <w:rPr>
                <w:sz w:val="18"/>
                <w:szCs w:val="18"/>
              </w:rPr>
              <w:t xml:space="preserve"> Pzp</w:t>
            </w:r>
          </w:p>
        </w:tc>
        <w:tc>
          <w:tcPr>
            <w:tcW w:w="2092" w:type="dxa"/>
            <w:tcBorders>
              <w:left w:val="single" w:sz="4" w:space="0" w:color="FFFFFF"/>
            </w:tcBorders>
            <w:shd w:val="clear" w:color="auto" w:fill="00B0F0"/>
            <w:vAlign w:val="center"/>
          </w:tcPr>
          <w:p w14:paraId="29ADD178" w14:textId="46B7EF0E" w:rsidR="004507FB" w:rsidRPr="00CB5D4D" w:rsidRDefault="004507FB" w:rsidP="002D3EBA">
            <w:pPr>
              <w:jc w:val="center"/>
              <w:rPr>
                <w:sz w:val="18"/>
                <w:szCs w:val="18"/>
              </w:rPr>
            </w:pPr>
            <w:r w:rsidRPr="00CB5D4D">
              <w:rPr>
                <w:sz w:val="18"/>
                <w:szCs w:val="18"/>
              </w:rPr>
              <w:t>2,</w:t>
            </w:r>
            <w:r w:rsidR="002D3EBA">
              <w:rPr>
                <w:sz w:val="18"/>
                <w:szCs w:val="18"/>
              </w:rPr>
              <w:t>44</w:t>
            </w:r>
          </w:p>
        </w:tc>
      </w:tr>
      <w:tr w:rsidR="004507FB" w:rsidRPr="00CB5D4D" w14:paraId="5E1D3457" w14:textId="77777777" w:rsidTr="00F27C34">
        <w:tc>
          <w:tcPr>
            <w:tcW w:w="5392" w:type="dxa"/>
            <w:tcBorders>
              <w:right w:val="single" w:sz="4" w:space="0" w:color="FFFFFF"/>
            </w:tcBorders>
            <w:shd w:val="clear" w:color="auto" w:fill="auto"/>
            <w:vAlign w:val="center"/>
          </w:tcPr>
          <w:p w14:paraId="00879E1C" w14:textId="05641ADE" w:rsidR="004507FB" w:rsidRPr="00CB5D4D" w:rsidRDefault="004507FB" w:rsidP="00BA7791">
            <w:pPr>
              <w:spacing w:before="60" w:after="60"/>
              <w:jc w:val="left"/>
              <w:rPr>
                <w:sz w:val="18"/>
                <w:szCs w:val="18"/>
              </w:rPr>
            </w:pPr>
            <w:r w:rsidRPr="00CB5D4D">
              <w:rPr>
                <w:sz w:val="18"/>
                <w:szCs w:val="18"/>
              </w:rPr>
              <w:t>Tryb podstawowy, o którym mowa w art. 275 pkt 3 ustawy</w:t>
            </w:r>
            <w:r w:rsidR="00013938">
              <w:rPr>
                <w:sz w:val="18"/>
                <w:szCs w:val="18"/>
              </w:rPr>
              <w:t xml:space="preserve"> Pzp</w:t>
            </w:r>
          </w:p>
        </w:tc>
        <w:tc>
          <w:tcPr>
            <w:tcW w:w="2092" w:type="dxa"/>
            <w:tcBorders>
              <w:left w:val="single" w:sz="4" w:space="0" w:color="FFFFFF"/>
            </w:tcBorders>
            <w:shd w:val="clear" w:color="auto" w:fill="auto"/>
            <w:vAlign w:val="center"/>
          </w:tcPr>
          <w:p w14:paraId="6DC949B2" w14:textId="3DD5A4E6" w:rsidR="004507FB" w:rsidRPr="00CB5D4D" w:rsidRDefault="004507FB" w:rsidP="002D3EBA">
            <w:pPr>
              <w:jc w:val="center"/>
              <w:rPr>
                <w:sz w:val="18"/>
                <w:szCs w:val="18"/>
              </w:rPr>
            </w:pPr>
            <w:r w:rsidRPr="00CB5D4D">
              <w:rPr>
                <w:sz w:val="18"/>
                <w:szCs w:val="18"/>
              </w:rPr>
              <w:t>1,</w:t>
            </w:r>
            <w:r w:rsidR="002D3EBA">
              <w:rPr>
                <w:sz w:val="18"/>
                <w:szCs w:val="18"/>
              </w:rPr>
              <w:t>53</w:t>
            </w:r>
          </w:p>
        </w:tc>
      </w:tr>
    </w:tbl>
    <w:p w14:paraId="069E5959" w14:textId="77777777" w:rsidR="004507FB" w:rsidRPr="00CB5D4D" w:rsidRDefault="004507FB" w:rsidP="004507FB">
      <w:pPr>
        <w:rPr>
          <w:szCs w:val="22"/>
        </w:rPr>
      </w:pPr>
    </w:p>
    <w:p w14:paraId="03D65645" w14:textId="75EFCB5E" w:rsidR="004507FB" w:rsidRDefault="004507FB" w:rsidP="004507FB">
      <w:pPr>
        <w:rPr>
          <w:szCs w:val="22"/>
        </w:rPr>
      </w:pPr>
    </w:p>
    <w:p w14:paraId="048ACD90" w14:textId="75C9516B" w:rsidR="004D1C0B" w:rsidRDefault="004D1C0B" w:rsidP="004D1C0B">
      <w:pPr>
        <w:rPr>
          <w:szCs w:val="22"/>
        </w:rPr>
      </w:pPr>
      <w:r>
        <w:rPr>
          <w:szCs w:val="22"/>
        </w:rPr>
        <w:t xml:space="preserve">W 2022 r. </w:t>
      </w:r>
      <w:r w:rsidRPr="004D1C0B">
        <w:rPr>
          <w:szCs w:val="22"/>
        </w:rPr>
        <w:t xml:space="preserve">nie uległy zmianie proporcje dotyczące liczby ofert </w:t>
      </w:r>
      <w:r w:rsidR="00A95C2C">
        <w:rPr>
          <w:szCs w:val="22"/>
        </w:rPr>
        <w:t>w zależności od</w:t>
      </w:r>
      <w:r w:rsidRPr="004D1C0B">
        <w:rPr>
          <w:szCs w:val="22"/>
        </w:rPr>
        <w:t xml:space="preserve"> rodzaju zamówienia.</w:t>
      </w:r>
      <w:r>
        <w:rPr>
          <w:szCs w:val="22"/>
        </w:rPr>
        <w:t xml:space="preserve"> Ś</w:t>
      </w:r>
      <w:r w:rsidRPr="00CB5D4D">
        <w:rPr>
          <w:szCs w:val="22"/>
        </w:rPr>
        <w:t xml:space="preserve">rednio najwięcej ofert wpływało w </w:t>
      </w:r>
      <w:r w:rsidR="00E01B15">
        <w:rPr>
          <w:szCs w:val="22"/>
        </w:rPr>
        <w:t>zamówieniach</w:t>
      </w:r>
      <w:r w:rsidRPr="00CB5D4D">
        <w:rPr>
          <w:szCs w:val="22"/>
        </w:rPr>
        <w:t xml:space="preserve"> na roboty budowlane – 3,</w:t>
      </w:r>
      <w:r>
        <w:rPr>
          <w:szCs w:val="22"/>
        </w:rPr>
        <w:t>00</w:t>
      </w:r>
      <w:r w:rsidRPr="00CB5D4D">
        <w:rPr>
          <w:szCs w:val="22"/>
        </w:rPr>
        <w:t xml:space="preserve"> (w 202</w:t>
      </w:r>
      <w:r>
        <w:rPr>
          <w:szCs w:val="22"/>
        </w:rPr>
        <w:t>1</w:t>
      </w:r>
      <w:r w:rsidRPr="00CB5D4D">
        <w:rPr>
          <w:szCs w:val="22"/>
        </w:rPr>
        <w:t xml:space="preserve"> r. – </w:t>
      </w:r>
      <w:r>
        <w:rPr>
          <w:szCs w:val="22"/>
        </w:rPr>
        <w:t>3</w:t>
      </w:r>
      <w:r w:rsidRPr="00CB5D4D">
        <w:rPr>
          <w:szCs w:val="22"/>
        </w:rPr>
        <w:t>,</w:t>
      </w:r>
      <w:r>
        <w:rPr>
          <w:szCs w:val="22"/>
        </w:rPr>
        <w:t>32</w:t>
      </w:r>
      <w:r w:rsidRPr="00CB5D4D">
        <w:rPr>
          <w:szCs w:val="22"/>
        </w:rPr>
        <w:t>), a najmniej na dostawy – 2,</w:t>
      </w:r>
      <w:r>
        <w:rPr>
          <w:szCs w:val="22"/>
        </w:rPr>
        <w:t>10</w:t>
      </w:r>
      <w:r w:rsidRPr="00CB5D4D">
        <w:rPr>
          <w:szCs w:val="22"/>
        </w:rPr>
        <w:t xml:space="preserve"> (w 202</w:t>
      </w:r>
      <w:r>
        <w:rPr>
          <w:szCs w:val="22"/>
        </w:rPr>
        <w:t>1</w:t>
      </w:r>
      <w:r w:rsidRPr="00CB5D4D">
        <w:rPr>
          <w:szCs w:val="22"/>
        </w:rPr>
        <w:t xml:space="preserve"> r. – 2,2</w:t>
      </w:r>
      <w:r>
        <w:rPr>
          <w:szCs w:val="22"/>
        </w:rPr>
        <w:t>4</w:t>
      </w:r>
      <w:r w:rsidRPr="00CB5D4D">
        <w:rPr>
          <w:szCs w:val="22"/>
        </w:rPr>
        <w:t>). Na usługi składano 2,5</w:t>
      </w:r>
      <w:r>
        <w:rPr>
          <w:szCs w:val="22"/>
        </w:rPr>
        <w:t>9</w:t>
      </w:r>
      <w:r w:rsidRPr="00CB5D4D">
        <w:rPr>
          <w:szCs w:val="22"/>
        </w:rPr>
        <w:t xml:space="preserve"> oferty (w 202</w:t>
      </w:r>
      <w:r>
        <w:rPr>
          <w:szCs w:val="22"/>
        </w:rPr>
        <w:t>1 r. – 2,5</w:t>
      </w:r>
      <w:r w:rsidRPr="00CB5D4D">
        <w:rPr>
          <w:szCs w:val="22"/>
        </w:rPr>
        <w:t>5).</w:t>
      </w:r>
    </w:p>
    <w:p w14:paraId="4939A8DE" w14:textId="77777777" w:rsidR="004507FB" w:rsidRPr="00CB5D4D" w:rsidRDefault="004507FB" w:rsidP="004507FB">
      <w:pPr>
        <w:rPr>
          <w:szCs w:val="22"/>
        </w:rPr>
      </w:pPr>
    </w:p>
    <w:p w14:paraId="44101687" w14:textId="219665BE" w:rsidR="004507FB" w:rsidRPr="00CB5D4D" w:rsidRDefault="004507FB" w:rsidP="004507FB">
      <w:pPr>
        <w:pStyle w:val="Legenda"/>
      </w:pPr>
      <w:bookmarkStart w:id="97" w:name="_Toc141276520"/>
      <w:r w:rsidRPr="00FD73BC">
        <w:t xml:space="preserve">Tab. </w:t>
      </w:r>
      <w:r w:rsidR="00BE2079">
        <w:fldChar w:fldCharType="begin"/>
      </w:r>
      <w:r w:rsidR="00BE2079">
        <w:instrText xml:space="preserve"> SEQ Tab. \* ARABIC </w:instrText>
      </w:r>
      <w:r w:rsidR="00BE2079">
        <w:fldChar w:fldCharType="separate"/>
      </w:r>
      <w:r w:rsidR="00A43C68">
        <w:rPr>
          <w:noProof/>
        </w:rPr>
        <w:t>13</w:t>
      </w:r>
      <w:r w:rsidR="00BE2079">
        <w:rPr>
          <w:noProof/>
        </w:rPr>
        <w:fldChar w:fldCharType="end"/>
      </w:r>
      <w:r w:rsidRPr="00FD73BC">
        <w:t>. Średnia liczba ofert składanych na poszczególne rodzaje zamówień (postępowania o wartościach poniżej progów unijnych)</w:t>
      </w:r>
      <w:bookmarkEnd w:id="97"/>
    </w:p>
    <w:tbl>
      <w:tblPr>
        <w:tblW w:w="5642" w:type="dxa"/>
        <w:tblInd w:w="-5" w:type="dxa"/>
        <w:tblLayout w:type="fixed"/>
        <w:tblLook w:val="04A0" w:firstRow="1" w:lastRow="0" w:firstColumn="1" w:lastColumn="0" w:noHBand="0" w:noVBand="1"/>
      </w:tblPr>
      <w:tblGrid>
        <w:gridCol w:w="3515"/>
        <w:gridCol w:w="2127"/>
      </w:tblGrid>
      <w:tr w:rsidR="004507FB" w:rsidRPr="00CB5D4D" w14:paraId="1F17E8DB" w14:textId="77777777" w:rsidTr="00BA7791">
        <w:trPr>
          <w:tblHeader/>
        </w:trPr>
        <w:tc>
          <w:tcPr>
            <w:tcW w:w="3515" w:type="dxa"/>
            <w:tcBorders>
              <w:right w:val="single" w:sz="4" w:space="0" w:color="FFFFFF"/>
            </w:tcBorders>
            <w:shd w:val="clear" w:color="auto" w:fill="002060"/>
            <w:vAlign w:val="center"/>
          </w:tcPr>
          <w:p w14:paraId="383D16A1" w14:textId="77777777" w:rsidR="004507FB" w:rsidRPr="00CB5D4D" w:rsidRDefault="004507FB" w:rsidP="00BA7791">
            <w:pPr>
              <w:spacing w:before="60" w:after="60"/>
              <w:jc w:val="center"/>
              <w:rPr>
                <w:b/>
                <w:sz w:val="18"/>
                <w:szCs w:val="18"/>
              </w:rPr>
            </w:pPr>
            <w:r w:rsidRPr="00CB5D4D">
              <w:rPr>
                <w:b/>
                <w:sz w:val="18"/>
                <w:szCs w:val="18"/>
              </w:rPr>
              <w:t>Rodzaj zamówienia</w:t>
            </w:r>
          </w:p>
        </w:tc>
        <w:tc>
          <w:tcPr>
            <w:tcW w:w="2127" w:type="dxa"/>
            <w:tcBorders>
              <w:left w:val="single" w:sz="4" w:space="0" w:color="FFFFFF"/>
            </w:tcBorders>
            <w:shd w:val="clear" w:color="auto" w:fill="002060"/>
            <w:vAlign w:val="center"/>
          </w:tcPr>
          <w:p w14:paraId="1A99F34F" w14:textId="77777777" w:rsidR="004507FB" w:rsidRPr="00CB5D4D" w:rsidRDefault="004507FB" w:rsidP="00BA7791">
            <w:pPr>
              <w:spacing w:before="60" w:after="60"/>
              <w:jc w:val="center"/>
              <w:rPr>
                <w:b/>
                <w:sz w:val="18"/>
                <w:szCs w:val="18"/>
              </w:rPr>
            </w:pPr>
            <w:r w:rsidRPr="00CB5D4D">
              <w:rPr>
                <w:b/>
                <w:sz w:val="18"/>
                <w:szCs w:val="18"/>
              </w:rPr>
              <w:t>Średnia liczba ofert</w:t>
            </w:r>
          </w:p>
        </w:tc>
      </w:tr>
      <w:tr w:rsidR="004507FB" w:rsidRPr="00CB5D4D" w14:paraId="235979A1" w14:textId="77777777" w:rsidTr="00BA7791">
        <w:tc>
          <w:tcPr>
            <w:tcW w:w="3515" w:type="dxa"/>
            <w:tcBorders>
              <w:right w:val="single" w:sz="4" w:space="0" w:color="FFFFFF"/>
            </w:tcBorders>
            <w:shd w:val="clear" w:color="auto" w:fill="auto"/>
            <w:vAlign w:val="center"/>
          </w:tcPr>
          <w:p w14:paraId="734CD426" w14:textId="77777777" w:rsidR="004507FB" w:rsidRPr="00CB5D4D" w:rsidRDefault="004507FB" w:rsidP="00BA7791">
            <w:pPr>
              <w:autoSpaceDE w:val="0"/>
              <w:autoSpaceDN w:val="0"/>
              <w:adjustRightInd w:val="0"/>
              <w:spacing w:before="60" w:after="60"/>
              <w:jc w:val="left"/>
              <w:rPr>
                <w:color w:val="000000"/>
                <w:sz w:val="18"/>
                <w:szCs w:val="18"/>
              </w:rPr>
            </w:pPr>
            <w:r w:rsidRPr="00CB5D4D">
              <w:rPr>
                <w:color w:val="000000"/>
                <w:sz w:val="18"/>
                <w:szCs w:val="18"/>
              </w:rPr>
              <w:t>Roboty budowlane</w:t>
            </w:r>
          </w:p>
        </w:tc>
        <w:tc>
          <w:tcPr>
            <w:tcW w:w="2127" w:type="dxa"/>
            <w:tcBorders>
              <w:left w:val="single" w:sz="4" w:space="0" w:color="FFFFFF"/>
            </w:tcBorders>
            <w:shd w:val="clear" w:color="auto" w:fill="auto"/>
            <w:vAlign w:val="center"/>
          </w:tcPr>
          <w:p w14:paraId="6573B7A7" w14:textId="1AC033C4" w:rsidR="004507FB" w:rsidRPr="00CB5D4D" w:rsidRDefault="004507FB" w:rsidP="004D1C0B">
            <w:pPr>
              <w:autoSpaceDE w:val="0"/>
              <w:autoSpaceDN w:val="0"/>
              <w:adjustRightInd w:val="0"/>
              <w:spacing w:before="60" w:after="60"/>
              <w:jc w:val="center"/>
              <w:rPr>
                <w:color w:val="000000"/>
                <w:sz w:val="18"/>
                <w:szCs w:val="18"/>
              </w:rPr>
            </w:pPr>
            <w:r w:rsidRPr="00CB5D4D">
              <w:rPr>
                <w:color w:val="000000"/>
                <w:sz w:val="18"/>
                <w:szCs w:val="18"/>
              </w:rPr>
              <w:t>3,</w:t>
            </w:r>
            <w:r w:rsidR="004D1C0B">
              <w:rPr>
                <w:color w:val="000000"/>
                <w:sz w:val="18"/>
                <w:szCs w:val="18"/>
              </w:rPr>
              <w:t>00</w:t>
            </w:r>
          </w:p>
        </w:tc>
      </w:tr>
      <w:tr w:rsidR="004507FB" w:rsidRPr="00CB5D4D" w14:paraId="086586A8" w14:textId="77777777" w:rsidTr="00BA7791">
        <w:tc>
          <w:tcPr>
            <w:tcW w:w="3515" w:type="dxa"/>
            <w:tcBorders>
              <w:right w:val="single" w:sz="4" w:space="0" w:color="FFFFFF"/>
            </w:tcBorders>
            <w:shd w:val="clear" w:color="auto" w:fill="00B0F0"/>
            <w:vAlign w:val="center"/>
          </w:tcPr>
          <w:p w14:paraId="3A9BE7E9" w14:textId="77777777" w:rsidR="004507FB" w:rsidRPr="00CB5D4D" w:rsidRDefault="004507FB" w:rsidP="00BA7791">
            <w:pPr>
              <w:autoSpaceDE w:val="0"/>
              <w:autoSpaceDN w:val="0"/>
              <w:adjustRightInd w:val="0"/>
              <w:spacing w:before="60" w:after="60"/>
              <w:jc w:val="left"/>
              <w:rPr>
                <w:color w:val="000000"/>
                <w:sz w:val="18"/>
                <w:szCs w:val="18"/>
              </w:rPr>
            </w:pPr>
            <w:r w:rsidRPr="00CB5D4D">
              <w:rPr>
                <w:color w:val="000000"/>
                <w:sz w:val="18"/>
                <w:szCs w:val="18"/>
              </w:rPr>
              <w:t>Dostawy</w:t>
            </w:r>
          </w:p>
        </w:tc>
        <w:tc>
          <w:tcPr>
            <w:tcW w:w="2127" w:type="dxa"/>
            <w:tcBorders>
              <w:left w:val="single" w:sz="4" w:space="0" w:color="FFFFFF"/>
            </w:tcBorders>
            <w:shd w:val="clear" w:color="auto" w:fill="00B0F0"/>
            <w:vAlign w:val="center"/>
          </w:tcPr>
          <w:p w14:paraId="0A1CA7FF" w14:textId="0205ADB3" w:rsidR="004507FB" w:rsidRPr="00CB5D4D" w:rsidRDefault="004507FB" w:rsidP="004D1C0B">
            <w:pPr>
              <w:autoSpaceDE w:val="0"/>
              <w:autoSpaceDN w:val="0"/>
              <w:adjustRightInd w:val="0"/>
              <w:spacing w:before="60" w:after="60"/>
              <w:jc w:val="center"/>
              <w:rPr>
                <w:color w:val="000000"/>
                <w:sz w:val="18"/>
                <w:szCs w:val="18"/>
              </w:rPr>
            </w:pPr>
            <w:r w:rsidRPr="00CB5D4D">
              <w:rPr>
                <w:color w:val="000000"/>
                <w:sz w:val="18"/>
                <w:szCs w:val="18"/>
              </w:rPr>
              <w:t>2,</w:t>
            </w:r>
            <w:r w:rsidR="004D1C0B">
              <w:rPr>
                <w:color w:val="000000"/>
                <w:sz w:val="18"/>
                <w:szCs w:val="18"/>
              </w:rPr>
              <w:t>10</w:t>
            </w:r>
          </w:p>
        </w:tc>
      </w:tr>
      <w:tr w:rsidR="004507FB" w:rsidRPr="00CB5D4D" w14:paraId="23065609" w14:textId="77777777" w:rsidTr="00BA7791">
        <w:tc>
          <w:tcPr>
            <w:tcW w:w="3515" w:type="dxa"/>
            <w:tcBorders>
              <w:right w:val="single" w:sz="4" w:space="0" w:color="FFFFFF"/>
            </w:tcBorders>
            <w:shd w:val="clear" w:color="auto" w:fill="auto"/>
            <w:vAlign w:val="center"/>
          </w:tcPr>
          <w:p w14:paraId="39EB842B" w14:textId="77777777" w:rsidR="004507FB" w:rsidRPr="00CB5D4D" w:rsidRDefault="004507FB" w:rsidP="00BA7791">
            <w:pPr>
              <w:autoSpaceDE w:val="0"/>
              <w:autoSpaceDN w:val="0"/>
              <w:adjustRightInd w:val="0"/>
              <w:spacing w:before="60" w:after="60"/>
              <w:jc w:val="left"/>
              <w:rPr>
                <w:color w:val="000000"/>
                <w:sz w:val="18"/>
                <w:szCs w:val="18"/>
              </w:rPr>
            </w:pPr>
            <w:r w:rsidRPr="00CB5D4D">
              <w:rPr>
                <w:color w:val="000000"/>
                <w:sz w:val="18"/>
                <w:szCs w:val="18"/>
              </w:rPr>
              <w:t>Usługi</w:t>
            </w:r>
          </w:p>
        </w:tc>
        <w:tc>
          <w:tcPr>
            <w:tcW w:w="2127" w:type="dxa"/>
            <w:tcBorders>
              <w:left w:val="single" w:sz="4" w:space="0" w:color="FFFFFF"/>
            </w:tcBorders>
            <w:shd w:val="clear" w:color="auto" w:fill="auto"/>
            <w:vAlign w:val="center"/>
          </w:tcPr>
          <w:p w14:paraId="1B3A34BF" w14:textId="2FECB0C8" w:rsidR="004507FB" w:rsidRPr="00CB5D4D" w:rsidRDefault="004507FB" w:rsidP="004D1C0B">
            <w:pPr>
              <w:autoSpaceDE w:val="0"/>
              <w:autoSpaceDN w:val="0"/>
              <w:adjustRightInd w:val="0"/>
              <w:spacing w:before="60" w:after="60"/>
              <w:jc w:val="center"/>
              <w:rPr>
                <w:color w:val="000000"/>
                <w:sz w:val="18"/>
                <w:szCs w:val="18"/>
              </w:rPr>
            </w:pPr>
            <w:r w:rsidRPr="00CB5D4D">
              <w:rPr>
                <w:color w:val="000000"/>
                <w:sz w:val="18"/>
                <w:szCs w:val="18"/>
              </w:rPr>
              <w:t>2,5</w:t>
            </w:r>
            <w:r w:rsidR="004D1C0B">
              <w:rPr>
                <w:color w:val="000000"/>
                <w:sz w:val="18"/>
                <w:szCs w:val="18"/>
              </w:rPr>
              <w:t>9</w:t>
            </w:r>
          </w:p>
        </w:tc>
      </w:tr>
    </w:tbl>
    <w:p w14:paraId="451F5828" w14:textId="77777777" w:rsidR="004507FB" w:rsidRPr="00CB5D4D" w:rsidRDefault="004507FB" w:rsidP="004507FB">
      <w:pPr>
        <w:rPr>
          <w:szCs w:val="22"/>
        </w:rPr>
      </w:pPr>
    </w:p>
    <w:p w14:paraId="5E85DBE8" w14:textId="5D4139C7" w:rsidR="004507FB" w:rsidRDefault="004507FB" w:rsidP="004507FB">
      <w:pPr>
        <w:rPr>
          <w:szCs w:val="22"/>
        </w:rPr>
      </w:pPr>
    </w:p>
    <w:p w14:paraId="3DD77965" w14:textId="1EA9AEDD" w:rsidR="00CF1F10" w:rsidRDefault="00B91E0A" w:rsidP="00B633C5">
      <w:pPr>
        <w:rPr>
          <w:szCs w:val="22"/>
        </w:rPr>
      </w:pPr>
      <w:r>
        <w:rPr>
          <w:szCs w:val="22"/>
        </w:rPr>
        <w:t>W b</w:t>
      </w:r>
      <w:r w:rsidR="00484C8F">
        <w:rPr>
          <w:szCs w:val="22"/>
        </w:rPr>
        <w:t>lisko</w:t>
      </w:r>
      <w:r w:rsidR="00B633C5">
        <w:rPr>
          <w:szCs w:val="22"/>
        </w:rPr>
        <w:t xml:space="preserve"> 58% </w:t>
      </w:r>
      <w:r w:rsidR="00E01B15">
        <w:rPr>
          <w:szCs w:val="22"/>
        </w:rPr>
        <w:t>zamówień</w:t>
      </w:r>
      <w:r w:rsidR="00B633C5">
        <w:rPr>
          <w:szCs w:val="22"/>
        </w:rPr>
        <w:t xml:space="preserve"> </w:t>
      </w:r>
      <w:r w:rsidR="00CF1F10" w:rsidRPr="00CB5D4D">
        <w:rPr>
          <w:szCs w:val="22"/>
        </w:rPr>
        <w:t xml:space="preserve">o wartościach poniżej progów unijnych </w:t>
      </w:r>
      <w:r w:rsidR="00B633C5" w:rsidRPr="00CB5D4D">
        <w:rPr>
          <w:szCs w:val="22"/>
        </w:rPr>
        <w:t>złożono więcej niż jedną ofertę</w:t>
      </w:r>
      <w:r w:rsidR="00B633C5">
        <w:rPr>
          <w:szCs w:val="22"/>
        </w:rPr>
        <w:t xml:space="preserve">. </w:t>
      </w:r>
    </w:p>
    <w:p w14:paraId="074D7F08" w14:textId="15CDCBE5" w:rsidR="00CF1F10" w:rsidRDefault="00CF1F10" w:rsidP="00B633C5">
      <w:pPr>
        <w:rPr>
          <w:szCs w:val="22"/>
        </w:rPr>
      </w:pPr>
      <w:r>
        <w:rPr>
          <w:szCs w:val="22"/>
        </w:rPr>
        <w:t xml:space="preserve">W przypadku robót budowlanych </w:t>
      </w:r>
      <w:r w:rsidR="00E01B15">
        <w:rPr>
          <w:szCs w:val="22"/>
        </w:rPr>
        <w:t>zamówień</w:t>
      </w:r>
      <w:r>
        <w:rPr>
          <w:szCs w:val="22"/>
        </w:rPr>
        <w:t xml:space="preserve">, w których złożono tylko jedną ofertę było ok. 23%; </w:t>
      </w:r>
      <w:r w:rsidRPr="00CF1F10">
        <w:rPr>
          <w:szCs w:val="22"/>
        </w:rPr>
        <w:t xml:space="preserve">w dostawach </w:t>
      </w:r>
      <w:r>
        <w:rPr>
          <w:szCs w:val="22"/>
        </w:rPr>
        <w:t>ponad</w:t>
      </w:r>
      <w:r w:rsidRPr="00CF1F10">
        <w:rPr>
          <w:szCs w:val="22"/>
        </w:rPr>
        <w:t xml:space="preserve"> 4</w:t>
      </w:r>
      <w:r>
        <w:rPr>
          <w:szCs w:val="22"/>
        </w:rPr>
        <w:t>9</w:t>
      </w:r>
      <w:r w:rsidRPr="00CF1F10">
        <w:rPr>
          <w:szCs w:val="22"/>
        </w:rPr>
        <w:t xml:space="preserve">%, a w przypadku usług odsetek ten wyniósł </w:t>
      </w:r>
      <w:r>
        <w:rPr>
          <w:szCs w:val="22"/>
        </w:rPr>
        <w:t>ponad</w:t>
      </w:r>
      <w:r w:rsidRPr="00CF1F10">
        <w:rPr>
          <w:szCs w:val="22"/>
        </w:rPr>
        <w:t xml:space="preserve"> 40%.</w:t>
      </w:r>
    </w:p>
    <w:p w14:paraId="7FF7FD9F" w14:textId="77777777" w:rsidR="004507FB" w:rsidRPr="00035B66" w:rsidRDefault="004507FB" w:rsidP="004507FB">
      <w:pPr>
        <w:rPr>
          <w:szCs w:val="22"/>
        </w:rPr>
      </w:pPr>
    </w:p>
    <w:p w14:paraId="67C9C4AE" w14:textId="47F6DF4E" w:rsidR="004507FB" w:rsidRPr="00CB5D4D" w:rsidRDefault="004507FB" w:rsidP="004507FB">
      <w:pPr>
        <w:pStyle w:val="Legenda"/>
      </w:pPr>
      <w:bookmarkStart w:id="98" w:name="_Toc141276521"/>
      <w:r w:rsidRPr="00286247">
        <w:t xml:space="preserve">Tab. </w:t>
      </w:r>
      <w:r w:rsidR="00BE2079">
        <w:fldChar w:fldCharType="begin"/>
      </w:r>
      <w:r w:rsidR="00BE2079">
        <w:instrText xml:space="preserve"> SEQ Tab. \* ARABIC </w:instrText>
      </w:r>
      <w:r w:rsidR="00BE2079">
        <w:fldChar w:fldCharType="separate"/>
      </w:r>
      <w:r w:rsidR="00A43C68">
        <w:rPr>
          <w:noProof/>
        </w:rPr>
        <w:t>14</w:t>
      </w:r>
      <w:r w:rsidR="00BE2079">
        <w:rPr>
          <w:noProof/>
        </w:rPr>
        <w:fldChar w:fldCharType="end"/>
      </w:r>
      <w:r w:rsidRPr="00286247">
        <w:t xml:space="preserve">. Odsetek </w:t>
      </w:r>
      <w:r w:rsidR="00365B2F">
        <w:t>zamówień</w:t>
      </w:r>
      <w:r w:rsidRPr="00286247">
        <w:t>, w których wykonawcy składali odpowiednią liczbę ofert (postępowania o</w:t>
      </w:r>
      <w:r w:rsidR="00CB75D1">
        <w:t> </w:t>
      </w:r>
      <w:r w:rsidRPr="00286247">
        <w:t>wartościach poniżej progów unijnych)</w:t>
      </w:r>
      <w:bookmarkEnd w:id="98"/>
    </w:p>
    <w:tbl>
      <w:tblPr>
        <w:tblW w:w="9185" w:type="dxa"/>
        <w:tblInd w:w="-5" w:type="dxa"/>
        <w:tblLayout w:type="fixed"/>
        <w:tblLook w:val="04A0" w:firstRow="1" w:lastRow="0" w:firstColumn="1" w:lastColumn="0" w:noHBand="0" w:noVBand="1"/>
      </w:tblPr>
      <w:tblGrid>
        <w:gridCol w:w="1673"/>
        <w:gridCol w:w="1984"/>
        <w:gridCol w:w="1842"/>
        <w:gridCol w:w="1843"/>
        <w:gridCol w:w="1843"/>
      </w:tblGrid>
      <w:tr w:rsidR="004507FB" w:rsidRPr="00CB5D4D" w14:paraId="3CD14BED" w14:textId="77777777" w:rsidTr="00BA7791">
        <w:trPr>
          <w:tblHeader/>
        </w:trPr>
        <w:tc>
          <w:tcPr>
            <w:tcW w:w="1673" w:type="dxa"/>
            <w:tcBorders>
              <w:right w:val="single" w:sz="4" w:space="0" w:color="FFFFFF"/>
            </w:tcBorders>
            <w:shd w:val="clear" w:color="auto" w:fill="002060"/>
            <w:vAlign w:val="center"/>
          </w:tcPr>
          <w:p w14:paraId="428B343B" w14:textId="77777777" w:rsidR="004507FB" w:rsidRPr="00CB5D4D" w:rsidRDefault="004507FB" w:rsidP="00BA7791">
            <w:pPr>
              <w:spacing w:before="60" w:after="60"/>
              <w:jc w:val="center"/>
              <w:rPr>
                <w:b/>
                <w:sz w:val="18"/>
                <w:szCs w:val="18"/>
              </w:rPr>
            </w:pPr>
            <w:r w:rsidRPr="00CB5D4D">
              <w:rPr>
                <w:b/>
                <w:sz w:val="18"/>
                <w:szCs w:val="18"/>
              </w:rPr>
              <w:t>Liczba złożonych ofert</w:t>
            </w:r>
          </w:p>
        </w:tc>
        <w:tc>
          <w:tcPr>
            <w:tcW w:w="1984" w:type="dxa"/>
            <w:tcBorders>
              <w:left w:val="single" w:sz="4" w:space="0" w:color="FFFFFF"/>
            </w:tcBorders>
            <w:shd w:val="clear" w:color="auto" w:fill="002060"/>
            <w:vAlign w:val="center"/>
          </w:tcPr>
          <w:p w14:paraId="715FA049" w14:textId="77777777" w:rsidR="004507FB" w:rsidRPr="00CB5D4D" w:rsidRDefault="004507FB" w:rsidP="00BA7791">
            <w:pPr>
              <w:spacing w:before="60" w:after="60"/>
              <w:jc w:val="center"/>
              <w:rPr>
                <w:b/>
                <w:sz w:val="18"/>
                <w:szCs w:val="18"/>
              </w:rPr>
            </w:pPr>
            <w:r w:rsidRPr="00CB5D4D">
              <w:rPr>
                <w:b/>
                <w:sz w:val="18"/>
                <w:szCs w:val="18"/>
              </w:rPr>
              <w:t>Roboty budowlane</w:t>
            </w:r>
          </w:p>
        </w:tc>
        <w:tc>
          <w:tcPr>
            <w:tcW w:w="1842" w:type="dxa"/>
            <w:tcBorders>
              <w:left w:val="single" w:sz="4" w:space="0" w:color="FFFFFF"/>
            </w:tcBorders>
            <w:shd w:val="clear" w:color="auto" w:fill="002060"/>
            <w:vAlign w:val="center"/>
          </w:tcPr>
          <w:p w14:paraId="7C94FD16" w14:textId="77777777" w:rsidR="004507FB" w:rsidRPr="00CB5D4D" w:rsidRDefault="004507FB" w:rsidP="00BA7791">
            <w:pPr>
              <w:spacing w:before="60" w:after="60"/>
              <w:jc w:val="center"/>
              <w:rPr>
                <w:b/>
                <w:sz w:val="18"/>
                <w:szCs w:val="18"/>
              </w:rPr>
            </w:pPr>
            <w:r w:rsidRPr="00CB5D4D">
              <w:rPr>
                <w:b/>
                <w:sz w:val="18"/>
                <w:szCs w:val="18"/>
              </w:rPr>
              <w:t>Dostawy</w:t>
            </w:r>
          </w:p>
        </w:tc>
        <w:tc>
          <w:tcPr>
            <w:tcW w:w="1843" w:type="dxa"/>
            <w:tcBorders>
              <w:left w:val="single" w:sz="4" w:space="0" w:color="FFFFFF"/>
            </w:tcBorders>
            <w:shd w:val="clear" w:color="auto" w:fill="002060"/>
            <w:vAlign w:val="center"/>
          </w:tcPr>
          <w:p w14:paraId="7ABE3CD5" w14:textId="77777777" w:rsidR="004507FB" w:rsidRPr="00CB5D4D" w:rsidRDefault="004507FB" w:rsidP="00BA7791">
            <w:pPr>
              <w:spacing w:before="60" w:after="60"/>
              <w:jc w:val="center"/>
              <w:rPr>
                <w:b/>
                <w:sz w:val="18"/>
                <w:szCs w:val="18"/>
              </w:rPr>
            </w:pPr>
            <w:r w:rsidRPr="00CB5D4D">
              <w:rPr>
                <w:b/>
                <w:sz w:val="18"/>
                <w:szCs w:val="18"/>
              </w:rPr>
              <w:t>Usługi</w:t>
            </w:r>
          </w:p>
        </w:tc>
        <w:tc>
          <w:tcPr>
            <w:tcW w:w="1843" w:type="dxa"/>
            <w:tcBorders>
              <w:left w:val="single" w:sz="4" w:space="0" w:color="FFFFFF"/>
            </w:tcBorders>
            <w:shd w:val="clear" w:color="auto" w:fill="002060"/>
            <w:vAlign w:val="center"/>
          </w:tcPr>
          <w:p w14:paraId="6F30C3B8" w14:textId="77777777" w:rsidR="004507FB" w:rsidRPr="00CB5D4D" w:rsidRDefault="004507FB" w:rsidP="00BA7791">
            <w:pPr>
              <w:spacing w:before="60" w:after="60"/>
              <w:jc w:val="center"/>
              <w:rPr>
                <w:b/>
                <w:sz w:val="18"/>
                <w:szCs w:val="18"/>
              </w:rPr>
            </w:pPr>
            <w:r w:rsidRPr="00CB5D4D">
              <w:rPr>
                <w:b/>
                <w:sz w:val="18"/>
                <w:szCs w:val="18"/>
              </w:rPr>
              <w:t>Ogółem</w:t>
            </w:r>
          </w:p>
        </w:tc>
      </w:tr>
      <w:tr w:rsidR="00172E29" w:rsidRPr="00CB5D4D" w14:paraId="6C7CA83B" w14:textId="77777777" w:rsidTr="00172E29">
        <w:tc>
          <w:tcPr>
            <w:tcW w:w="1673" w:type="dxa"/>
            <w:tcBorders>
              <w:right w:val="single" w:sz="4" w:space="0" w:color="FFFFFF"/>
            </w:tcBorders>
            <w:shd w:val="clear" w:color="auto" w:fill="auto"/>
            <w:vAlign w:val="center"/>
          </w:tcPr>
          <w:p w14:paraId="445A9418" w14:textId="77777777" w:rsidR="00172E29" w:rsidRPr="00CB5D4D" w:rsidRDefault="00172E29" w:rsidP="00172E29">
            <w:pPr>
              <w:autoSpaceDE w:val="0"/>
              <w:autoSpaceDN w:val="0"/>
              <w:adjustRightInd w:val="0"/>
              <w:spacing w:before="60" w:after="60"/>
              <w:jc w:val="center"/>
              <w:rPr>
                <w:color w:val="000000"/>
                <w:sz w:val="18"/>
                <w:szCs w:val="18"/>
              </w:rPr>
            </w:pPr>
            <w:r w:rsidRPr="00CB5D4D">
              <w:rPr>
                <w:color w:val="000000"/>
                <w:sz w:val="18"/>
                <w:szCs w:val="18"/>
              </w:rPr>
              <w:t>1</w:t>
            </w:r>
          </w:p>
        </w:tc>
        <w:tc>
          <w:tcPr>
            <w:tcW w:w="1984" w:type="dxa"/>
            <w:tcBorders>
              <w:left w:val="single" w:sz="4" w:space="0" w:color="FFFFFF"/>
            </w:tcBorders>
            <w:shd w:val="clear" w:color="auto" w:fill="auto"/>
            <w:vAlign w:val="center"/>
          </w:tcPr>
          <w:p w14:paraId="61F0441E" w14:textId="60455645" w:rsidR="00172E29" w:rsidRPr="00172E29" w:rsidRDefault="00172E29" w:rsidP="00172E29">
            <w:pPr>
              <w:jc w:val="center"/>
              <w:rPr>
                <w:sz w:val="18"/>
                <w:szCs w:val="18"/>
              </w:rPr>
            </w:pPr>
            <w:r w:rsidRPr="00172E29">
              <w:rPr>
                <w:rFonts w:cs="Arial"/>
                <w:color w:val="000000"/>
                <w:sz w:val="18"/>
                <w:szCs w:val="18"/>
              </w:rPr>
              <w:t>22,95%</w:t>
            </w:r>
          </w:p>
        </w:tc>
        <w:tc>
          <w:tcPr>
            <w:tcW w:w="1842" w:type="dxa"/>
            <w:tcBorders>
              <w:left w:val="single" w:sz="4" w:space="0" w:color="FFFFFF"/>
            </w:tcBorders>
            <w:shd w:val="clear" w:color="auto" w:fill="auto"/>
            <w:vAlign w:val="center"/>
          </w:tcPr>
          <w:p w14:paraId="59722636" w14:textId="55E99D99" w:rsidR="00172E29" w:rsidRPr="00172E29" w:rsidRDefault="00172E29" w:rsidP="00172E29">
            <w:pPr>
              <w:jc w:val="center"/>
              <w:rPr>
                <w:sz w:val="18"/>
                <w:szCs w:val="18"/>
              </w:rPr>
            </w:pPr>
            <w:r w:rsidRPr="00172E29">
              <w:rPr>
                <w:rFonts w:cs="Arial"/>
                <w:color w:val="000000"/>
                <w:sz w:val="18"/>
                <w:szCs w:val="18"/>
              </w:rPr>
              <w:t>49,51%</w:t>
            </w:r>
          </w:p>
        </w:tc>
        <w:tc>
          <w:tcPr>
            <w:tcW w:w="1843" w:type="dxa"/>
            <w:tcBorders>
              <w:left w:val="single" w:sz="4" w:space="0" w:color="FFFFFF"/>
            </w:tcBorders>
            <w:vAlign w:val="center"/>
          </w:tcPr>
          <w:p w14:paraId="0B30D45D" w14:textId="575A6CA3" w:rsidR="00172E29" w:rsidRPr="00172E29" w:rsidRDefault="00172E29" w:rsidP="00172E29">
            <w:pPr>
              <w:jc w:val="center"/>
              <w:rPr>
                <w:sz w:val="18"/>
                <w:szCs w:val="18"/>
              </w:rPr>
            </w:pPr>
            <w:r w:rsidRPr="00172E29">
              <w:rPr>
                <w:rFonts w:cs="Arial"/>
                <w:color w:val="000000"/>
                <w:sz w:val="18"/>
                <w:szCs w:val="18"/>
              </w:rPr>
              <w:t>40,49%</w:t>
            </w:r>
          </w:p>
        </w:tc>
        <w:tc>
          <w:tcPr>
            <w:tcW w:w="1843" w:type="dxa"/>
            <w:tcBorders>
              <w:left w:val="single" w:sz="4" w:space="0" w:color="FFFFFF"/>
            </w:tcBorders>
            <w:vAlign w:val="center"/>
          </w:tcPr>
          <w:p w14:paraId="6B4FB917" w14:textId="6E6DE445" w:rsidR="00172E29" w:rsidRPr="00172E29" w:rsidRDefault="00172E29" w:rsidP="00172E29">
            <w:pPr>
              <w:jc w:val="center"/>
              <w:rPr>
                <w:sz w:val="18"/>
                <w:szCs w:val="18"/>
              </w:rPr>
            </w:pPr>
            <w:r w:rsidRPr="00172E29">
              <w:rPr>
                <w:rFonts w:cs="Arial"/>
                <w:color w:val="000000"/>
                <w:sz w:val="18"/>
                <w:szCs w:val="18"/>
              </w:rPr>
              <w:t>41,28%</w:t>
            </w:r>
          </w:p>
        </w:tc>
      </w:tr>
      <w:tr w:rsidR="00172E29" w:rsidRPr="00CB5D4D" w14:paraId="67CA2DF8" w14:textId="77777777" w:rsidTr="00172E29">
        <w:tc>
          <w:tcPr>
            <w:tcW w:w="1673" w:type="dxa"/>
            <w:tcBorders>
              <w:right w:val="single" w:sz="4" w:space="0" w:color="FFFFFF"/>
            </w:tcBorders>
            <w:shd w:val="clear" w:color="auto" w:fill="00B0F0"/>
            <w:vAlign w:val="center"/>
          </w:tcPr>
          <w:p w14:paraId="054EC976" w14:textId="77777777" w:rsidR="00172E29" w:rsidRPr="00CB5D4D" w:rsidRDefault="00172E29" w:rsidP="00172E29">
            <w:pPr>
              <w:autoSpaceDE w:val="0"/>
              <w:autoSpaceDN w:val="0"/>
              <w:adjustRightInd w:val="0"/>
              <w:spacing w:before="60" w:after="60"/>
              <w:jc w:val="center"/>
              <w:rPr>
                <w:color w:val="000000"/>
                <w:sz w:val="18"/>
                <w:szCs w:val="18"/>
              </w:rPr>
            </w:pPr>
            <w:r w:rsidRPr="00CB5D4D">
              <w:rPr>
                <w:color w:val="000000"/>
                <w:sz w:val="18"/>
                <w:szCs w:val="18"/>
              </w:rPr>
              <w:t>2</w:t>
            </w:r>
          </w:p>
        </w:tc>
        <w:tc>
          <w:tcPr>
            <w:tcW w:w="1984" w:type="dxa"/>
            <w:tcBorders>
              <w:left w:val="single" w:sz="4" w:space="0" w:color="FFFFFF"/>
            </w:tcBorders>
            <w:shd w:val="clear" w:color="auto" w:fill="00B0F0"/>
            <w:vAlign w:val="center"/>
          </w:tcPr>
          <w:p w14:paraId="3A93683E" w14:textId="5832292E" w:rsidR="00172E29" w:rsidRPr="00172E29" w:rsidRDefault="00172E29" w:rsidP="00172E29">
            <w:pPr>
              <w:jc w:val="center"/>
              <w:rPr>
                <w:sz w:val="18"/>
                <w:szCs w:val="18"/>
              </w:rPr>
            </w:pPr>
            <w:r w:rsidRPr="00172E29">
              <w:rPr>
                <w:rFonts w:cs="Arial"/>
                <w:color w:val="000000"/>
                <w:sz w:val="18"/>
                <w:szCs w:val="18"/>
              </w:rPr>
              <w:t>26,41%</w:t>
            </w:r>
          </w:p>
        </w:tc>
        <w:tc>
          <w:tcPr>
            <w:tcW w:w="1842" w:type="dxa"/>
            <w:tcBorders>
              <w:left w:val="single" w:sz="4" w:space="0" w:color="FFFFFF"/>
            </w:tcBorders>
            <w:shd w:val="clear" w:color="auto" w:fill="00B0F0"/>
            <w:vAlign w:val="center"/>
          </w:tcPr>
          <w:p w14:paraId="4412EB17" w14:textId="3D7F9186" w:rsidR="00172E29" w:rsidRPr="00172E29" w:rsidRDefault="00172E29" w:rsidP="00172E29">
            <w:pPr>
              <w:jc w:val="center"/>
              <w:rPr>
                <w:sz w:val="18"/>
                <w:szCs w:val="18"/>
              </w:rPr>
            </w:pPr>
            <w:r w:rsidRPr="00172E29">
              <w:rPr>
                <w:rFonts w:cs="Arial"/>
                <w:color w:val="000000"/>
                <w:sz w:val="18"/>
                <w:szCs w:val="18"/>
              </w:rPr>
              <w:t>24,56%</w:t>
            </w:r>
          </w:p>
        </w:tc>
        <w:tc>
          <w:tcPr>
            <w:tcW w:w="1843" w:type="dxa"/>
            <w:tcBorders>
              <w:left w:val="single" w:sz="4" w:space="0" w:color="FFFFFF"/>
            </w:tcBorders>
            <w:shd w:val="clear" w:color="auto" w:fill="00B0F0"/>
            <w:vAlign w:val="center"/>
          </w:tcPr>
          <w:p w14:paraId="24D19FA8" w14:textId="01811965" w:rsidR="00172E29" w:rsidRPr="00172E29" w:rsidRDefault="00172E29" w:rsidP="00172E29">
            <w:pPr>
              <w:jc w:val="center"/>
              <w:rPr>
                <w:sz w:val="18"/>
                <w:szCs w:val="18"/>
              </w:rPr>
            </w:pPr>
            <w:r w:rsidRPr="00172E29">
              <w:rPr>
                <w:rFonts w:cs="Arial"/>
                <w:color w:val="000000"/>
                <w:sz w:val="18"/>
                <w:szCs w:val="18"/>
              </w:rPr>
              <w:t>23,15%</w:t>
            </w:r>
          </w:p>
        </w:tc>
        <w:tc>
          <w:tcPr>
            <w:tcW w:w="1843" w:type="dxa"/>
            <w:tcBorders>
              <w:left w:val="single" w:sz="4" w:space="0" w:color="FFFFFF"/>
            </w:tcBorders>
            <w:shd w:val="clear" w:color="auto" w:fill="00B0F0"/>
            <w:vAlign w:val="center"/>
          </w:tcPr>
          <w:p w14:paraId="18E6C2C1" w14:textId="3B0D7F10" w:rsidR="00172E29" w:rsidRPr="00172E29" w:rsidRDefault="00172E29" w:rsidP="00172E29">
            <w:pPr>
              <w:jc w:val="center"/>
              <w:rPr>
                <w:sz w:val="18"/>
                <w:szCs w:val="18"/>
              </w:rPr>
            </w:pPr>
            <w:r w:rsidRPr="00172E29">
              <w:rPr>
                <w:rFonts w:cs="Arial"/>
                <w:color w:val="000000"/>
                <w:sz w:val="18"/>
                <w:szCs w:val="18"/>
              </w:rPr>
              <w:t>24,56%</w:t>
            </w:r>
          </w:p>
        </w:tc>
      </w:tr>
      <w:tr w:rsidR="00172E29" w:rsidRPr="00CB5D4D" w14:paraId="68DC41DF" w14:textId="77777777" w:rsidTr="00172E29">
        <w:tc>
          <w:tcPr>
            <w:tcW w:w="1673" w:type="dxa"/>
            <w:tcBorders>
              <w:right w:val="single" w:sz="4" w:space="0" w:color="FFFFFF"/>
            </w:tcBorders>
            <w:shd w:val="clear" w:color="auto" w:fill="auto"/>
            <w:vAlign w:val="center"/>
          </w:tcPr>
          <w:p w14:paraId="5252645A" w14:textId="77777777" w:rsidR="00172E29" w:rsidRPr="00CB5D4D" w:rsidRDefault="00172E29" w:rsidP="00172E29">
            <w:pPr>
              <w:autoSpaceDE w:val="0"/>
              <w:autoSpaceDN w:val="0"/>
              <w:adjustRightInd w:val="0"/>
              <w:spacing w:before="60" w:after="60"/>
              <w:jc w:val="center"/>
              <w:rPr>
                <w:color w:val="000000"/>
                <w:sz w:val="18"/>
                <w:szCs w:val="18"/>
              </w:rPr>
            </w:pPr>
            <w:r w:rsidRPr="00CB5D4D">
              <w:rPr>
                <w:color w:val="000000"/>
                <w:sz w:val="18"/>
                <w:szCs w:val="18"/>
              </w:rPr>
              <w:t>3</w:t>
            </w:r>
          </w:p>
        </w:tc>
        <w:tc>
          <w:tcPr>
            <w:tcW w:w="1984" w:type="dxa"/>
            <w:tcBorders>
              <w:left w:val="single" w:sz="4" w:space="0" w:color="FFFFFF"/>
            </w:tcBorders>
            <w:shd w:val="clear" w:color="auto" w:fill="auto"/>
            <w:vAlign w:val="center"/>
          </w:tcPr>
          <w:p w14:paraId="3DE0A1B1" w14:textId="461B0CB9" w:rsidR="00172E29" w:rsidRPr="00172E29" w:rsidRDefault="00172E29" w:rsidP="00172E29">
            <w:pPr>
              <w:jc w:val="center"/>
              <w:rPr>
                <w:sz w:val="18"/>
                <w:szCs w:val="18"/>
              </w:rPr>
            </w:pPr>
            <w:r w:rsidRPr="00172E29">
              <w:rPr>
                <w:rFonts w:cs="Arial"/>
                <w:color w:val="000000"/>
                <w:sz w:val="18"/>
                <w:szCs w:val="18"/>
              </w:rPr>
              <w:t>20,34%</w:t>
            </w:r>
          </w:p>
        </w:tc>
        <w:tc>
          <w:tcPr>
            <w:tcW w:w="1842" w:type="dxa"/>
            <w:tcBorders>
              <w:left w:val="single" w:sz="4" w:space="0" w:color="FFFFFF"/>
            </w:tcBorders>
            <w:shd w:val="clear" w:color="auto" w:fill="auto"/>
            <w:vAlign w:val="center"/>
          </w:tcPr>
          <w:p w14:paraId="6DA7EAB3" w14:textId="7526B77F" w:rsidR="00172E29" w:rsidRPr="00172E29" w:rsidRDefault="00172E29" w:rsidP="00172E29">
            <w:pPr>
              <w:jc w:val="center"/>
              <w:rPr>
                <w:sz w:val="18"/>
                <w:szCs w:val="18"/>
              </w:rPr>
            </w:pPr>
            <w:r w:rsidRPr="00172E29">
              <w:rPr>
                <w:rFonts w:cs="Arial"/>
                <w:color w:val="000000"/>
                <w:sz w:val="18"/>
                <w:szCs w:val="18"/>
              </w:rPr>
              <w:t>12,32%</w:t>
            </w:r>
          </w:p>
        </w:tc>
        <w:tc>
          <w:tcPr>
            <w:tcW w:w="1843" w:type="dxa"/>
            <w:tcBorders>
              <w:left w:val="single" w:sz="4" w:space="0" w:color="FFFFFF"/>
            </w:tcBorders>
            <w:vAlign w:val="center"/>
          </w:tcPr>
          <w:p w14:paraId="5DE3C857" w14:textId="4CBE9CC5" w:rsidR="00172E29" w:rsidRPr="00172E29" w:rsidRDefault="00172E29" w:rsidP="00172E29">
            <w:pPr>
              <w:jc w:val="center"/>
              <w:rPr>
                <w:sz w:val="18"/>
                <w:szCs w:val="18"/>
              </w:rPr>
            </w:pPr>
            <w:r w:rsidRPr="00172E29">
              <w:rPr>
                <w:rFonts w:cs="Arial"/>
                <w:color w:val="000000"/>
                <w:sz w:val="18"/>
                <w:szCs w:val="18"/>
              </w:rPr>
              <w:t>14,25%</w:t>
            </w:r>
          </w:p>
        </w:tc>
        <w:tc>
          <w:tcPr>
            <w:tcW w:w="1843" w:type="dxa"/>
            <w:tcBorders>
              <w:left w:val="single" w:sz="4" w:space="0" w:color="FFFFFF"/>
            </w:tcBorders>
            <w:vAlign w:val="center"/>
          </w:tcPr>
          <w:p w14:paraId="0689A06E" w14:textId="24C26BAF" w:rsidR="00172E29" w:rsidRPr="00172E29" w:rsidRDefault="00172E29" w:rsidP="00172E29">
            <w:pPr>
              <w:jc w:val="center"/>
              <w:rPr>
                <w:sz w:val="18"/>
                <w:szCs w:val="18"/>
              </w:rPr>
            </w:pPr>
            <w:r w:rsidRPr="00172E29">
              <w:rPr>
                <w:rFonts w:cs="Arial"/>
                <w:color w:val="000000"/>
                <w:sz w:val="18"/>
                <w:szCs w:val="18"/>
              </w:rPr>
              <w:t>14,58%</w:t>
            </w:r>
          </w:p>
        </w:tc>
      </w:tr>
      <w:tr w:rsidR="00172E29" w:rsidRPr="00CB5D4D" w14:paraId="6965EE39" w14:textId="77777777" w:rsidTr="00172E29">
        <w:tc>
          <w:tcPr>
            <w:tcW w:w="1673" w:type="dxa"/>
            <w:tcBorders>
              <w:right w:val="single" w:sz="4" w:space="0" w:color="FFFFFF"/>
            </w:tcBorders>
            <w:shd w:val="clear" w:color="auto" w:fill="00B0F0"/>
            <w:vAlign w:val="center"/>
          </w:tcPr>
          <w:p w14:paraId="64D804C4" w14:textId="77777777" w:rsidR="00172E29" w:rsidRPr="00CB5D4D" w:rsidRDefault="00172E29" w:rsidP="00172E29">
            <w:pPr>
              <w:autoSpaceDE w:val="0"/>
              <w:autoSpaceDN w:val="0"/>
              <w:adjustRightInd w:val="0"/>
              <w:spacing w:before="60" w:after="60"/>
              <w:jc w:val="center"/>
              <w:rPr>
                <w:color w:val="000000"/>
                <w:sz w:val="18"/>
                <w:szCs w:val="18"/>
              </w:rPr>
            </w:pPr>
            <w:r w:rsidRPr="00CB5D4D">
              <w:rPr>
                <w:color w:val="000000"/>
                <w:sz w:val="18"/>
                <w:szCs w:val="18"/>
              </w:rPr>
              <w:t>4</w:t>
            </w:r>
          </w:p>
        </w:tc>
        <w:tc>
          <w:tcPr>
            <w:tcW w:w="1984" w:type="dxa"/>
            <w:tcBorders>
              <w:left w:val="single" w:sz="4" w:space="0" w:color="FFFFFF"/>
            </w:tcBorders>
            <w:shd w:val="clear" w:color="auto" w:fill="00B0F0"/>
            <w:vAlign w:val="center"/>
          </w:tcPr>
          <w:p w14:paraId="4E3BBD9A" w14:textId="7E588E9A" w:rsidR="00172E29" w:rsidRPr="00172E29" w:rsidRDefault="00172E29" w:rsidP="00172E29">
            <w:pPr>
              <w:jc w:val="center"/>
              <w:rPr>
                <w:sz w:val="18"/>
                <w:szCs w:val="18"/>
              </w:rPr>
            </w:pPr>
            <w:r w:rsidRPr="00172E29">
              <w:rPr>
                <w:rFonts w:cs="Arial"/>
                <w:color w:val="000000"/>
                <w:sz w:val="18"/>
                <w:szCs w:val="18"/>
              </w:rPr>
              <w:t>12,67%</w:t>
            </w:r>
          </w:p>
        </w:tc>
        <w:tc>
          <w:tcPr>
            <w:tcW w:w="1842" w:type="dxa"/>
            <w:tcBorders>
              <w:left w:val="single" w:sz="4" w:space="0" w:color="FFFFFF"/>
            </w:tcBorders>
            <w:shd w:val="clear" w:color="auto" w:fill="00B0F0"/>
            <w:vAlign w:val="center"/>
          </w:tcPr>
          <w:p w14:paraId="64E59416" w14:textId="5663FE11" w:rsidR="00172E29" w:rsidRPr="00172E29" w:rsidRDefault="00172E29" w:rsidP="00172E29">
            <w:pPr>
              <w:jc w:val="center"/>
              <w:rPr>
                <w:sz w:val="18"/>
                <w:szCs w:val="18"/>
              </w:rPr>
            </w:pPr>
            <w:r w:rsidRPr="00172E29">
              <w:rPr>
                <w:rFonts w:cs="Arial"/>
                <w:color w:val="000000"/>
                <w:sz w:val="18"/>
                <w:szCs w:val="18"/>
              </w:rPr>
              <w:t>6,21%</w:t>
            </w:r>
          </w:p>
        </w:tc>
        <w:tc>
          <w:tcPr>
            <w:tcW w:w="1843" w:type="dxa"/>
            <w:tcBorders>
              <w:left w:val="single" w:sz="4" w:space="0" w:color="FFFFFF"/>
            </w:tcBorders>
            <w:shd w:val="clear" w:color="auto" w:fill="00B0F0"/>
            <w:vAlign w:val="center"/>
          </w:tcPr>
          <w:p w14:paraId="566EF359" w14:textId="6594DBCD" w:rsidR="00172E29" w:rsidRPr="00172E29" w:rsidRDefault="00172E29" w:rsidP="00172E29">
            <w:pPr>
              <w:jc w:val="center"/>
              <w:rPr>
                <w:sz w:val="18"/>
                <w:szCs w:val="18"/>
              </w:rPr>
            </w:pPr>
            <w:r w:rsidRPr="00172E29">
              <w:rPr>
                <w:rFonts w:cs="Arial"/>
                <w:color w:val="000000"/>
                <w:sz w:val="18"/>
                <w:szCs w:val="18"/>
              </w:rPr>
              <w:t>8,53%</w:t>
            </w:r>
          </w:p>
        </w:tc>
        <w:tc>
          <w:tcPr>
            <w:tcW w:w="1843" w:type="dxa"/>
            <w:tcBorders>
              <w:left w:val="single" w:sz="4" w:space="0" w:color="FFFFFF"/>
            </w:tcBorders>
            <w:shd w:val="clear" w:color="auto" w:fill="00B0F0"/>
            <w:vAlign w:val="center"/>
          </w:tcPr>
          <w:p w14:paraId="797A71A0" w14:textId="7E2AAB9A" w:rsidR="00172E29" w:rsidRPr="00172E29" w:rsidRDefault="00172E29" w:rsidP="00172E29">
            <w:pPr>
              <w:jc w:val="center"/>
              <w:rPr>
                <w:sz w:val="18"/>
                <w:szCs w:val="18"/>
              </w:rPr>
            </w:pPr>
            <w:r w:rsidRPr="00172E29">
              <w:rPr>
                <w:rFonts w:cs="Arial"/>
                <w:color w:val="000000"/>
                <w:sz w:val="18"/>
                <w:szCs w:val="18"/>
              </w:rPr>
              <w:t>8,25%</w:t>
            </w:r>
          </w:p>
        </w:tc>
      </w:tr>
      <w:tr w:rsidR="00172E29" w:rsidRPr="00CB5D4D" w14:paraId="0B3A8BB6" w14:textId="77777777" w:rsidTr="00172E29">
        <w:tc>
          <w:tcPr>
            <w:tcW w:w="1673" w:type="dxa"/>
            <w:tcBorders>
              <w:right w:val="single" w:sz="4" w:space="0" w:color="FFFFFF"/>
            </w:tcBorders>
            <w:shd w:val="clear" w:color="auto" w:fill="auto"/>
            <w:vAlign w:val="center"/>
          </w:tcPr>
          <w:p w14:paraId="0670FE84" w14:textId="77777777" w:rsidR="00172E29" w:rsidRPr="00CB5D4D" w:rsidRDefault="00172E29" w:rsidP="00172E29">
            <w:pPr>
              <w:autoSpaceDE w:val="0"/>
              <w:autoSpaceDN w:val="0"/>
              <w:adjustRightInd w:val="0"/>
              <w:spacing w:before="60" w:after="60"/>
              <w:jc w:val="center"/>
              <w:rPr>
                <w:color w:val="000000"/>
                <w:sz w:val="18"/>
                <w:szCs w:val="18"/>
              </w:rPr>
            </w:pPr>
            <w:r w:rsidRPr="00CB5D4D">
              <w:rPr>
                <w:color w:val="000000"/>
                <w:sz w:val="18"/>
                <w:szCs w:val="18"/>
              </w:rPr>
              <w:t>5 i więcej</w:t>
            </w:r>
          </w:p>
        </w:tc>
        <w:tc>
          <w:tcPr>
            <w:tcW w:w="1984" w:type="dxa"/>
            <w:tcBorders>
              <w:left w:val="single" w:sz="4" w:space="0" w:color="FFFFFF"/>
            </w:tcBorders>
            <w:shd w:val="clear" w:color="auto" w:fill="auto"/>
            <w:vAlign w:val="center"/>
          </w:tcPr>
          <w:p w14:paraId="37E0C075" w14:textId="7635B283" w:rsidR="00172E29" w:rsidRPr="00172E29" w:rsidRDefault="00172E29" w:rsidP="00172E29">
            <w:pPr>
              <w:jc w:val="center"/>
              <w:rPr>
                <w:sz w:val="18"/>
                <w:szCs w:val="18"/>
              </w:rPr>
            </w:pPr>
            <w:r w:rsidRPr="00172E29">
              <w:rPr>
                <w:rFonts w:cs="Arial"/>
                <w:color w:val="000000"/>
                <w:sz w:val="18"/>
                <w:szCs w:val="18"/>
              </w:rPr>
              <w:t>17,63%</w:t>
            </w:r>
          </w:p>
        </w:tc>
        <w:tc>
          <w:tcPr>
            <w:tcW w:w="1842" w:type="dxa"/>
            <w:tcBorders>
              <w:left w:val="single" w:sz="4" w:space="0" w:color="FFFFFF"/>
            </w:tcBorders>
            <w:shd w:val="clear" w:color="auto" w:fill="auto"/>
            <w:vAlign w:val="center"/>
          </w:tcPr>
          <w:p w14:paraId="44440C50" w14:textId="0FF1A2E8" w:rsidR="00172E29" w:rsidRPr="00172E29" w:rsidRDefault="00172E29" w:rsidP="00172E29">
            <w:pPr>
              <w:jc w:val="center"/>
              <w:rPr>
                <w:sz w:val="18"/>
                <w:szCs w:val="18"/>
              </w:rPr>
            </w:pPr>
            <w:r w:rsidRPr="00172E29">
              <w:rPr>
                <w:rFonts w:cs="Arial"/>
                <w:color w:val="000000"/>
                <w:sz w:val="18"/>
                <w:szCs w:val="18"/>
              </w:rPr>
              <w:t>7,40%</w:t>
            </w:r>
          </w:p>
        </w:tc>
        <w:tc>
          <w:tcPr>
            <w:tcW w:w="1843" w:type="dxa"/>
            <w:tcBorders>
              <w:left w:val="single" w:sz="4" w:space="0" w:color="FFFFFF"/>
            </w:tcBorders>
            <w:vAlign w:val="center"/>
          </w:tcPr>
          <w:p w14:paraId="019941AB" w14:textId="51EDC869" w:rsidR="00172E29" w:rsidRPr="00172E29" w:rsidRDefault="00172E29" w:rsidP="00172E29">
            <w:pPr>
              <w:jc w:val="center"/>
              <w:rPr>
                <w:sz w:val="18"/>
                <w:szCs w:val="18"/>
              </w:rPr>
            </w:pPr>
            <w:r w:rsidRPr="00172E29">
              <w:rPr>
                <w:rFonts w:cs="Arial"/>
                <w:color w:val="000000"/>
                <w:sz w:val="18"/>
                <w:szCs w:val="18"/>
              </w:rPr>
              <w:t>13,58%</w:t>
            </w:r>
          </w:p>
        </w:tc>
        <w:tc>
          <w:tcPr>
            <w:tcW w:w="1843" w:type="dxa"/>
            <w:tcBorders>
              <w:left w:val="single" w:sz="4" w:space="0" w:color="FFFFFF"/>
            </w:tcBorders>
            <w:vAlign w:val="center"/>
          </w:tcPr>
          <w:p w14:paraId="6F78E01C" w14:textId="4BEA1443" w:rsidR="00172E29" w:rsidRPr="00172E29" w:rsidRDefault="00172E29" w:rsidP="00172E29">
            <w:pPr>
              <w:jc w:val="center"/>
              <w:rPr>
                <w:sz w:val="18"/>
                <w:szCs w:val="18"/>
              </w:rPr>
            </w:pPr>
            <w:r w:rsidRPr="00172E29">
              <w:rPr>
                <w:rFonts w:cs="Arial"/>
                <w:color w:val="000000"/>
                <w:sz w:val="18"/>
                <w:szCs w:val="18"/>
              </w:rPr>
              <w:t>11,33%</w:t>
            </w:r>
          </w:p>
        </w:tc>
      </w:tr>
      <w:tr w:rsidR="004507FB" w:rsidRPr="00CB5D4D" w14:paraId="2AA6C578" w14:textId="77777777" w:rsidTr="00BA7791">
        <w:tc>
          <w:tcPr>
            <w:tcW w:w="1673" w:type="dxa"/>
            <w:tcBorders>
              <w:right w:val="single" w:sz="4" w:space="0" w:color="FFFFFF"/>
            </w:tcBorders>
            <w:shd w:val="clear" w:color="auto" w:fill="00B0F0"/>
            <w:vAlign w:val="center"/>
          </w:tcPr>
          <w:p w14:paraId="600E7598" w14:textId="77777777" w:rsidR="004507FB" w:rsidRPr="00CB5D4D" w:rsidRDefault="004507FB" w:rsidP="00BA7791">
            <w:pPr>
              <w:autoSpaceDE w:val="0"/>
              <w:autoSpaceDN w:val="0"/>
              <w:adjustRightInd w:val="0"/>
              <w:spacing w:before="60" w:after="60"/>
              <w:jc w:val="center"/>
              <w:rPr>
                <w:b/>
                <w:color w:val="000000"/>
                <w:sz w:val="18"/>
                <w:szCs w:val="18"/>
              </w:rPr>
            </w:pPr>
            <w:r w:rsidRPr="00CB5D4D">
              <w:rPr>
                <w:b/>
                <w:color w:val="000000"/>
                <w:sz w:val="18"/>
                <w:szCs w:val="18"/>
              </w:rPr>
              <w:t>Razem</w:t>
            </w:r>
          </w:p>
        </w:tc>
        <w:tc>
          <w:tcPr>
            <w:tcW w:w="1984" w:type="dxa"/>
            <w:tcBorders>
              <w:left w:val="single" w:sz="4" w:space="0" w:color="FFFFFF"/>
            </w:tcBorders>
            <w:shd w:val="clear" w:color="auto" w:fill="00B0F0"/>
            <w:vAlign w:val="center"/>
          </w:tcPr>
          <w:p w14:paraId="25C23611"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2" w:type="dxa"/>
            <w:tcBorders>
              <w:left w:val="single" w:sz="4" w:space="0" w:color="FFFFFF"/>
            </w:tcBorders>
            <w:shd w:val="clear" w:color="auto" w:fill="00B0F0"/>
            <w:vAlign w:val="center"/>
          </w:tcPr>
          <w:p w14:paraId="26A0E898"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3" w:type="dxa"/>
            <w:tcBorders>
              <w:left w:val="single" w:sz="4" w:space="0" w:color="FFFFFF"/>
            </w:tcBorders>
            <w:shd w:val="clear" w:color="auto" w:fill="00B0F0"/>
            <w:vAlign w:val="center"/>
          </w:tcPr>
          <w:p w14:paraId="0607CE76"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c>
          <w:tcPr>
            <w:tcW w:w="1843" w:type="dxa"/>
            <w:tcBorders>
              <w:left w:val="single" w:sz="4" w:space="0" w:color="FFFFFF"/>
            </w:tcBorders>
            <w:shd w:val="clear" w:color="auto" w:fill="00B0F0"/>
            <w:vAlign w:val="center"/>
          </w:tcPr>
          <w:p w14:paraId="74884407" w14:textId="77777777" w:rsidR="004507FB" w:rsidRPr="00CB5D4D" w:rsidRDefault="004507FB" w:rsidP="00BA7791">
            <w:pPr>
              <w:autoSpaceDE w:val="0"/>
              <w:autoSpaceDN w:val="0"/>
              <w:adjustRightInd w:val="0"/>
              <w:jc w:val="center"/>
              <w:rPr>
                <w:b/>
                <w:color w:val="000000"/>
                <w:sz w:val="18"/>
                <w:szCs w:val="18"/>
              </w:rPr>
            </w:pPr>
            <w:r w:rsidRPr="00CB5D4D">
              <w:rPr>
                <w:b/>
                <w:color w:val="000000"/>
                <w:sz w:val="18"/>
                <w:szCs w:val="18"/>
              </w:rPr>
              <w:t>100,00%</w:t>
            </w:r>
          </w:p>
        </w:tc>
      </w:tr>
    </w:tbl>
    <w:p w14:paraId="5AF2490F" w14:textId="77777777" w:rsidR="004507FB" w:rsidRPr="00CB5D4D" w:rsidRDefault="004507FB" w:rsidP="004507FB">
      <w:pPr>
        <w:rPr>
          <w:szCs w:val="22"/>
        </w:rPr>
      </w:pPr>
    </w:p>
    <w:p w14:paraId="1BE9B4B2" w14:textId="7D000A54" w:rsidR="004507FB" w:rsidRDefault="004507FB" w:rsidP="004507FB">
      <w:pPr>
        <w:rPr>
          <w:szCs w:val="22"/>
        </w:rPr>
      </w:pPr>
    </w:p>
    <w:p w14:paraId="72CFDD3D" w14:textId="15C6ED81" w:rsidR="00B46396" w:rsidRDefault="00CF1F10" w:rsidP="00CF1F10">
      <w:pPr>
        <w:rPr>
          <w:szCs w:val="22"/>
        </w:rPr>
      </w:pPr>
      <w:r w:rsidRPr="00CB5D4D">
        <w:rPr>
          <w:szCs w:val="22"/>
        </w:rPr>
        <w:t xml:space="preserve">W </w:t>
      </w:r>
      <w:r>
        <w:rPr>
          <w:szCs w:val="22"/>
        </w:rPr>
        <w:t xml:space="preserve">2022 r. </w:t>
      </w:r>
      <w:r w:rsidR="005045F0">
        <w:rPr>
          <w:szCs w:val="22"/>
        </w:rPr>
        <w:t xml:space="preserve">w </w:t>
      </w:r>
      <w:r w:rsidRPr="00CB5D4D">
        <w:rPr>
          <w:szCs w:val="22"/>
        </w:rPr>
        <w:t>około 2</w:t>
      </w:r>
      <w:r w:rsidR="005045F0">
        <w:rPr>
          <w:szCs w:val="22"/>
        </w:rPr>
        <w:t>0</w:t>
      </w:r>
      <w:r w:rsidRPr="00CB5D4D">
        <w:rPr>
          <w:szCs w:val="22"/>
        </w:rPr>
        <w:t xml:space="preserve">% </w:t>
      </w:r>
      <w:r w:rsidR="00A95C2C">
        <w:rPr>
          <w:szCs w:val="22"/>
        </w:rPr>
        <w:t>zamówień</w:t>
      </w:r>
      <w:r w:rsidRPr="00CB5D4D">
        <w:rPr>
          <w:szCs w:val="22"/>
        </w:rPr>
        <w:t xml:space="preserve"> (w 202</w:t>
      </w:r>
      <w:r>
        <w:rPr>
          <w:szCs w:val="22"/>
        </w:rPr>
        <w:t>1</w:t>
      </w:r>
      <w:r w:rsidRPr="00CB5D4D">
        <w:rPr>
          <w:szCs w:val="22"/>
        </w:rPr>
        <w:t xml:space="preserve"> r. – </w:t>
      </w:r>
      <w:r>
        <w:rPr>
          <w:szCs w:val="22"/>
        </w:rPr>
        <w:t>2</w:t>
      </w:r>
      <w:r w:rsidRPr="00CB5D4D">
        <w:rPr>
          <w:szCs w:val="22"/>
        </w:rPr>
        <w:t>1%) dochodziło do odrzucenia ofert. W zamówieniach takich średnio odrzucano 1,</w:t>
      </w:r>
      <w:r w:rsidR="005045F0">
        <w:rPr>
          <w:szCs w:val="22"/>
        </w:rPr>
        <w:t>54</w:t>
      </w:r>
      <w:r w:rsidRPr="00CB5D4D">
        <w:rPr>
          <w:szCs w:val="22"/>
        </w:rPr>
        <w:t xml:space="preserve"> oferty (w 202</w:t>
      </w:r>
      <w:r w:rsidR="005045F0">
        <w:rPr>
          <w:szCs w:val="22"/>
        </w:rPr>
        <w:t>1</w:t>
      </w:r>
      <w:r w:rsidRPr="00CB5D4D">
        <w:rPr>
          <w:szCs w:val="22"/>
        </w:rPr>
        <w:t xml:space="preserve"> r. – 1,6</w:t>
      </w:r>
      <w:r w:rsidR="005045F0">
        <w:rPr>
          <w:szCs w:val="22"/>
        </w:rPr>
        <w:t>9</w:t>
      </w:r>
      <w:r w:rsidRPr="00CB5D4D">
        <w:rPr>
          <w:szCs w:val="22"/>
        </w:rPr>
        <w:t xml:space="preserve">). </w:t>
      </w:r>
    </w:p>
    <w:p w14:paraId="280DD7F0" w14:textId="56A8402F" w:rsidR="00B46396" w:rsidRDefault="00CF1F10" w:rsidP="00CF1F10">
      <w:pPr>
        <w:rPr>
          <w:szCs w:val="22"/>
        </w:rPr>
      </w:pPr>
      <w:r w:rsidRPr="00CB5D4D">
        <w:rPr>
          <w:szCs w:val="22"/>
        </w:rPr>
        <w:t>Największą liczbę ofert odrzucano w</w:t>
      </w:r>
      <w:r w:rsidR="00B46396">
        <w:rPr>
          <w:szCs w:val="22"/>
        </w:rPr>
        <w:t xml:space="preserve"> przetargach na usługi – średnio 1,58 oferty (w 2021 r. – 1,65). W robotach budowlanych odrzucano średnio 1,56 oferty (w 2021 r. – 1,77) natomiast w </w:t>
      </w:r>
      <w:r w:rsidR="005B60AD">
        <w:rPr>
          <w:szCs w:val="22"/>
        </w:rPr>
        <w:t>dostawach – 1,51 oferty (w 2021 r. – 1,66).</w:t>
      </w:r>
    </w:p>
    <w:p w14:paraId="4C5D71C0" w14:textId="77777777" w:rsidR="00B46396" w:rsidRDefault="00B46396" w:rsidP="00CF1F10">
      <w:pPr>
        <w:rPr>
          <w:szCs w:val="22"/>
        </w:rPr>
      </w:pPr>
    </w:p>
    <w:p w14:paraId="6BA5AAB8" w14:textId="77777777" w:rsidR="004507FB" w:rsidRDefault="004507FB" w:rsidP="007D4DEB">
      <w:pPr>
        <w:rPr>
          <w:rFonts w:cs="Arial"/>
          <w:szCs w:val="22"/>
        </w:rPr>
      </w:pPr>
    </w:p>
    <w:p w14:paraId="0788524D" w14:textId="5E64A903" w:rsidR="004C24FD" w:rsidRPr="005A7697" w:rsidRDefault="004C24FD" w:rsidP="002668E2">
      <w:pPr>
        <w:pStyle w:val="StylArial11ptWyjustowany"/>
        <w:numPr>
          <w:ilvl w:val="0"/>
          <w:numId w:val="67"/>
        </w:numPr>
        <w:shd w:val="clear" w:color="auto" w:fill="FFFFFF"/>
        <w:jc w:val="left"/>
        <w:rPr>
          <w:rFonts w:cs="Arial"/>
          <w:b/>
          <w:iCs/>
          <w:color w:val="0070C0"/>
          <w:szCs w:val="22"/>
        </w:rPr>
      </w:pPr>
      <w:r w:rsidRPr="005A7697">
        <w:rPr>
          <w:rFonts w:cs="Arial"/>
          <w:b/>
          <w:iCs/>
          <w:color w:val="0070C0"/>
          <w:szCs w:val="22"/>
        </w:rPr>
        <w:t xml:space="preserve">Zamówienia o wartościach </w:t>
      </w:r>
      <w:r w:rsidR="002668E2" w:rsidRPr="002668E2">
        <w:rPr>
          <w:rFonts w:cs="Arial"/>
          <w:b/>
          <w:iCs/>
          <w:color w:val="0070C0"/>
          <w:szCs w:val="22"/>
        </w:rPr>
        <w:t>równych lub przekraczających progi unijne</w:t>
      </w:r>
    </w:p>
    <w:p w14:paraId="13CA0368" w14:textId="77777777" w:rsidR="004C24FD" w:rsidRDefault="004C24FD" w:rsidP="004C24FD">
      <w:pPr>
        <w:rPr>
          <w:szCs w:val="22"/>
        </w:rPr>
      </w:pPr>
    </w:p>
    <w:p w14:paraId="5A2D3E8F" w14:textId="2CC441C7" w:rsidR="0076367F" w:rsidRPr="00CB5D4D" w:rsidRDefault="0076367F" w:rsidP="0076367F">
      <w:pPr>
        <w:rPr>
          <w:szCs w:val="22"/>
        </w:rPr>
      </w:pPr>
      <w:r>
        <w:rPr>
          <w:szCs w:val="22"/>
        </w:rPr>
        <w:t xml:space="preserve">Z </w:t>
      </w:r>
      <w:r w:rsidR="003160E3">
        <w:rPr>
          <w:szCs w:val="22"/>
        </w:rPr>
        <w:t>danych zawartych w</w:t>
      </w:r>
      <w:r w:rsidR="009A02C1">
        <w:rPr>
          <w:szCs w:val="22"/>
        </w:rPr>
        <w:t xml:space="preserve"> </w:t>
      </w:r>
      <w:r>
        <w:rPr>
          <w:szCs w:val="22"/>
        </w:rPr>
        <w:t>ogłosze</w:t>
      </w:r>
      <w:r w:rsidR="003160E3">
        <w:rPr>
          <w:szCs w:val="22"/>
        </w:rPr>
        <w:t>niach</w:t>
      </w:r>
      <w:r>
        <w:rPr>
          <w:szCs w:val="22"/>
        </w:rPr>
        <w:t xml:space="preserve"> o udzieleniu zamówienia publikowanych w Dz. Urz. UE </w:t>
      </w:r>
      <w:r w:rsidR="003160E3">
        <w:rPr>
          <w:szCs w:val="22"/>
        </w:rPr>
        <w:t>w 20</w:t>
      </w:r>
      <w:r w:rsidR="003F4E86">
        <w:rPr>
          <w:szCs w:val="22"/>
        </w:rPr>
        <w:t xml:space="preserve">22 r. </w:t>
      </w:r>
      <w:r>
        <w:rPr>
          <w:szCs w:val="22"/>
        </w:rPr>
        <w:t xml:space="preserve">wynika, że w </w:t>
      </w:r>
      <w:r w:rsidRPr="00CB5D4D">
        <w:rPr>
          <w:szCs w:val="22"/>
        </w:rPr>
        <w:t xml:space="preserve">zamówieniach publicznych o wartościach </w:t>
      </w:r>
      <w:r w:rsidR="002668E2" w:rsidRPr="002668E2">
        <w:rPr>
          <w:szCs w:val="22"/>
        </w:rPr>
        <w:t xml:space="preserve">równych lub przekraczających progi unijne </w:t>
      </w:r>
      <w:r w:rsidRPr="00CB5D4D">
        <w:rPr>
          <w:szCs w:val="22"/>
        </w:rPr>
        <w:t>średnio składano 2,</w:t>
      </w:r>
      <w:r>
        <w:rPr>
          <w:szCs w:val="22"/>
        </w:rPr>
        <w:t>18</w:t>
      </w:r>
      <w:r w:rsidRPr="00CB5D4D">
        <w:rPr>
          <w:szCs w:val="22"/>
        </w:rPr>
        <w:t xml:space="preserve"> oferty</w:t>
      </w:r>
      <w:r w:rsidRPr="00CB5D4D">
        <w:rPr>
          <w:rStyle w:val="Odwoanieprzypisudolnego"/>
          <w:szCs w:val="22"/>
        </w:rPr>
        <w:footnoteReference w:id="12"/>
      </w:r>
      <w:r w:rsidRPr="00CB5D4D">
        <w:rPr>
          <w:szCs w:val="22"/>
        </w:rPr>
        <w:t xml:space="preserve"> (w 202</w:t>
      </w:r>
      <w:r>
        <w:rPr>
          <w:szCs w:val="22"/>
        </w:rPr>
        <w:t>1</w:t>
      </w:r>
      <w:r w:rsidRPr="00CB5D4D">
        <w:rPr>
          <w:szCs w:val="22"/>
        </w:rPr>
        <w:t xml:space="preserve"> r. – 2,</w:t>
      </w:r>
      <w:r>
        <w:rPr>
          <w:szCs w:val="22"/>
        </w:rPr>
        <w:t>25</w:t>
      </w:r>
      <w:r w:rsidRPr="00CB5D4D">
        <w:rPr>
          <w:szCs w:val="22"/>
        </w:rPr>
        <w:t>).</w:t>
      </w:r>
    </w:p>
    <w:p w14:paraId="14C5DB47" w14:textId="77777777" w:rsidR="0076367F" w:rsidRPr="00CB5D4D" w:rsidRDefault="0076367F" w:rsidP="0076367F">
      <w:pPr>
        <w:rPr>
          <w:szCs w:val="22"/>
        </w:rPr>
      </w:pPr>
    </w:p>
    <w:p w14:paraId="0579F8C8" w14:textId="7D3A49CD" w:rsidR="0076367F" w:rsidRPr="00CB5D4D" w:rsidRDefault="009D180E" w:rsidP="0076367F">
      <w:pPr>
        <w:rPr>
          <w:szCs w:val="22"/>
        </w:rPr>
      </w:pPr>
      <w:r>
        <w:rPr>
          <w:szCs w:val="22"/>
        </w:rPr>
        <w:t>Ś</w:t>
      </w:r>
      <w:r w:rsidR="0076367F" w:rsidRPr="00CB5D4D">
        <w:rPr>
          <w:szCs w:val="22"/>
        </w:rPr>
        <w:t xml:space="preserve">rednio najwięcej ofert wpływało w </w:t>
      </w:r>
      <w:r w:rsidR="0076367F">
        <w:rPr>
          <w:szCs w:val="22"/>
        </w:rPr>
        <w:t>zamówieniach</w:t>
      </w:r>
      <w:r w:rsidR="0076367F" w:rsidRPr="00CB5D4D">
        <w:rPr>
          <w:szCs w:val="22"/>
        </w:rPr>
        <w:t xml:space="preserve"> udzielanych w trybie </w:t>
      </w:r>
      <w:r>
        <w:rPr>
          <w:szCs w:val="22"/>
        </w:rPr>
        <w:t>przetargu ograniczonego</w:t>
      </w:r>
      <w:r w:rsidR="0076367F" w:rsidRPr="00CB5D4D">
        <w:rPr>
          <w:szCs w:val="22"/>
        </w:rPr>
        <w:t>.</w:t>
      </w:r>
    </w:p>
    <w:p w14:paraId="55B341E9" w14:textId="77777777" w:rsidR="00162582" w:rsidRDefault="00162582" w:rsidP="004C24FD">
      <w:pPr>
        <w:rPr>
          <w:szCs w:val="22"/>
        </w:rPr>
      </w:pPr>
    </w:p>
    <w:p w14:paraId="37EA47D2" w14:textId="75E985D3" w:rsidR="004A022E" w:rsidRPr="00CB5D4D" w:rsidRDefault="004A022E" w:rsidP="004A022E">
      <w:pPr>
        <w:pStyle w:val="Legenda"/>
      </w:pPr>
      <w:bookmarkStart w:id="99" w:name="_Toc141276522"/>
      <w:r w:rsidRPr="00A56933">
        <w:t xml:space="preserve">Tab. </w:t>
      </w:r>
      <w:r w:rsidR="00BE2079">
        <w:fldChar w:fldCharType="begin"/>
      </w:r>
      <w:r w:rsidR="00BE2079">
        <w:instrText xml:space="preserve"> SEQ Tab. \* ARABIC </w:instrText>
      </w:r>
      <w:r w:rsidR="00BE2079">
        <w:fldChar w:fldCharType="separate"/>
      </w:r>
      <w:r w:rsidR="00A43C68">
        <w:rPr>
          <w:noProof/>
        </w:rPr>
        <w:t>15</w:t>
      </w:r>
      <w:r w:rsidR="00BE2079">
        <w:rPr>
          <w:noProof/>
        </w:rPr>
        <w:fldChar w:fldCharType="end"/>
      </w:r>
      <w:r w:rsidRPr="00A56933">
        <w:t xml:space="preserve">. Średnia liczba ofert składanych w poszczególnych trybach (postępowania o wartościach </w:t>
      </w:r>
      <w:r w:rsidR="002668E2" w:rsidRPr="002668E2">
        <w:t>równych lub przekraczających progi unijne</w:t>
      </w:r>
      <w:r w:rsidRPr="00A56933">
        <w:t>)</w:t>
      </w:r>
      <w:bookmarkEnd w:id="99"/>
    </w:p>
    <w:tbl>
      <w:tblPr>
        <w:tblW w:w="5642" w:type="dxa"/>
        <w:tblInd w:w="-5" w:type="dxa"/>
        <w:tblLayout w:type="fixed"/>
        <w:tblLook w:val="04A0" w:firstRow="1" w:lastRow="0" w:firstColumn="1" w:lastColumn="0" w:noHBand="0" w:noVBand="1"/>
      </w:tblPr>
      <w:tblGrid>
        <w:gridCol w:w="3515"/>
        <w:gridCol w:w="2127"/>
      </w:tblGrid>
      <w:tr w:rsidR="004C24FD" w:rsidRPr="00842D79" w14:paraId="75DD4466" w14:textId="77777777" w:rsidTr="0042706A">
        <w:trPr>
          <w:tblHeader/>
        </w:trPr>
        <w:tc>
          <w:tcPr>
            <w:tcW w:w="3515" w:type="dxa"/>
            <w:tcBorders>
              <w:right w:val="single" w:sz="4" w:space="0" w:color="FFFFFF"/>
            </w:tcBorders>
            <w:shd w:val="clear" w:color="auto" w:fill="002060"/>
            <w:vAlign w:val="center"/>
          </w:tcPr>
          <w:p w14:paraId="1C05BBAD" w14:textId="77777777" w:rsidR="004C24FD" w:rsidRPr="00842D79" w:rsidRDefault="004C24FD" w:rsidP="0042706A">
            <w:pPr>
              <w:spacing w:before="60" w:after="60"/>
              <w:jc w:val="center"/>
              <w:rPr>
                <w:b/>
                <w:sz w:val="18"/>
                <w:szCs w:val="18"/>
              </w:rPr>
            </w:pPr>
            <w:r w:rsidRPr="00842D79">
              <w:rPr>
                <w:b/>
                <w:sz w:val="18"/>
                <w:szCs w:val="18"/>
              </w:rPr>
              <w:t>Tryb zamówienia</w:t>
            </w:r>
          </w:p>
        </w:tc>
        <w:tc>
          <w:tcPr>
            <w:tcW w:w="2127" w:type="dxa"/>
            <w:tcBorders>
              <w:left w:val="single" w:sz="4" w:space="0" w:color="FFFFFF"/>
            </w:tcBorders>
            <w:shd w:val="clear" w:color="auto" w:fill="002060"/>
            <w:vAlign w:val="center"/>
          </w:tcPr>
          <w:p w14:paraId="22FD98D7" w14:textId="77777777" w:rsidR="004C24FD" w:rsidRPr="00842D79" w:rsidRDefault="004C24FD" w:rsidP="0042706A">
            <w:pPr>
              <w:spacing w:before="60" w:after="60"/>
              <w:jc w:val="center"/>
              <w:rPr>
                <w:b/>
                <w:sz w:val="18"/>
                <w:szCs w:val="18"/>
              </w:rPr>
            </w:pPr>
            <w:r w:rsidRPr="00DA37C2">
              <w:rPr>
                <w:b/>
                <w:sz w:val="18"/>
                <w:szCs w:val="18"/>
              </w:rPr>
              <w:t>Średnia liczba ofert</w:t>
            </w:r>
          </w:p>
        </w:tc>
      </w:tr>
      <w:tr w:rsidR="004C24FD" w:rsidRPr="00842D79" w14:paraId="5BAB8E52" w14:textId="77777777" w:rsidTr="0042706A">
        <w:tc>
          <w:tcPr>
            <w:tcW w:w="3515" w:type="dxa"/>
            <w:tcBorders>
              <w:right w:val="single" w:sz="4" w:space="0" w:color="FFFFFF"/>
            </w:tcBorders>
            <w:shd w:val="clear" w:color="auto" w:fill="auto"/>
            <w:vAlign w:val="center"/>
          </w:tcPr>
          <w:p w14:paraId="4495E428"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nieograniczony</w:t>
            </w:r>
          </w:p>
        </w:tc>
        <w:tc>
          <w:tcPr>
            <w:tcW w:w="2127" w:type="dxa"/>
            <w:tcBorders>
              <w:left w:val="single" w:sz="4" w:space="0" w:color="FFFFFF"/>
            </w:tcBorders>
            <w:shd w:val="clear" w:color="auto" w:fill="auto"/>
            <w:vAlign w:val="center"/>
          </w:tcPr>
          <w:p w14:paraId="455EA9F9" w14:textId="38141A90" w:rsidR="004C24FD" w:rsidRPr="00842D79" w:rsidRDefault="004C24FD" w:rsidP="00F849FE">
            <w:pPr>
              <w:autoSpaceDE w:val="0"/>
              <w:autoSpaceDN w:val="0"/>
              <w:adjustRightInd w:val="0"/>
              <w:spacing w:before="60" w:after="60"/>
              <w:jc w:val="center"/>
              <w:rPr>
                <w:color w:val="000000"/>
                <w:sz w:val="18"/>
                <w:szCs w:val="18"/>
              </w:rPr>
            </w:pPr>
            <w:r>
              <w:rPr>
                <w:color w:val="000000"/>
                <w:sz w:val="18"/>
                <w:szCs w:val="18"/>
              </w:rPr>
              <w:t>2,</w:t>
            </w:r>
            <w:r w:rsidR="00F849FE">
              <w:rPr>
                <w:color w:val="000000"/>
                <w:sz w:val="18"/>
                <w:szCs w:val="18"/>
              </w:rPr>
              <w:t>17</w:t>
            </w:r>
          </w:p>
        </w:tc>
      </w:tr>
      <w:tr w:rsidR="004C24FD" w:rsidRPr="00842D79" w14:paraId="293E5573" w14:textId="77777777" w:rsidTr="0042706A">
        <w:tc>
          <w:tcPr>
            <w:tcW w:w="3515" w:type="dxa"/>
            <w:tcBorders>
              <w:right w:val="single" w:sz="4" w:space="0" w:color="FFFFFF"/>
            </w:tcBorders>
            <w:shd w:val="clear" w:color="auto" w:fill="00B0F0"/>
            <w:vAlign w:val="center"/>
          </w:tcPr>
          <w:p w14:paraId="5F7FC9F6"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P</w:t>
            </w:r>
            <w:r w:rsidRPr="00842D79">
              <w:rPr>
                <w:color w:val="000000"/>
                <w:sz w:val="18"/>
                <w:szCs w:val="18"/>
              </w:rPr>
              <w:t>rzetarg ograniczony</w:t>
            </w:r>
          </w:p>
        </w:tc>
        <w:tc>
          <w:tcPr>
            <w:tcW w:w="2127" w:type="dxa"/>
            <w:tcBorders>
              <w:left w:val="single" w:sz="4" w:space="0" w:color="FFFFFF"/>
            </w:tcBorders>
            <w:shd w:val="clear" w:color="auto" w:fill="00B0F0"/>
            <w:vAlign w:val="center"/>
          </w:tcPr>
          <w:p w14:paraId="4473CAF8" w14:textId="1F974F2A" w:rsidR="004C24FD" w:rsidRPr="00842D79" w:rsidRDefault="004C24FD" w:rsidP="00F849FE">
            <w:pPr>
              <w:autoSpaceDE w:val="0"/>
              <w:autoSpaceDN w:val="0"/>
              <w:adjustRightInd w:val="0"/>
              <w:spacing w:before="60" w:after="60"/>
              <w:jc w:val="center"/>
              <w:rPr>
                <w:color w:val="000000"/>
                <w:sz w:val="18"/>
                <w:szCs w:val="18"/>
              </w:rPr>
            </w:pPr>
            <w:r>
              <w:rPr>
                <w:color w:val="000000"/>
                <w:sz w:val="18"/>
                <w:szCs w:val="18"/>
              </w:rPr>
              <w:t>2,</w:t>
            </w:r>
            <w:r w:rsidR="00F849FE">
              <w:rPr>
                <w:color w:val="000000"/>
                <w:sz w:val="18"/>
                <w:szCs w:val="18"/>
              </w:rPr>
              <w:t>38</w:t>
            </w:r>
          </w:p>
        </w:tc>
      </w:tr>
      <w:tr w:rsidR="004C24FD" w:rsidRPr="00842D79" w14:paraId="467004A9" w14:textId="77777777" w:rsidTr="0042706A">
        <w:tc>
          <w:tcPr>
            <w:tcW w:w="3515" w:type="dxa"/>
            <w:tcBorders>
              <w:right w:val="single" w:sz="4" w:space="0" w:color="FFFFFF"/>
            </w:tcBorders>
            <w:shd w:val="clear" w:color="auto" w:fill="auto"/>
            <w:vAlign w:val="center"/>
          </w:tcPr>
          <w:p w14:paraId="5760EFF2"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N</w:t>
            </w:r>
            <w:r w:rsidRPr="00842D79">
              <w:rPr>
                <w:color w:val="000000"/>
                <w:sz w:val="18"/>
                <w:szCs w:val="18"/>
              </w:rPr>
              <w:t>egocjacje z ogłoszeniem</w:t>
            </w:r>
          </w:p>
        </w:tc>
        <w:tc>
          <w:tcPr>
            <w:tcW w:w="2127" w:type="dxa"/>
            <w:tcBorders>
              <w:left w:val="single" w:sz="4" w:space="0" w:color="FFFFFF"/>
            </w:tcBorders>
            <w:shd w:val="clear" w:color="auto" w:fill="auto"/>
            <w:vAlign w:val="center"/>
          </w:tcPr>
          <w:p w14:paraId="3CE20895" w14:textId="2AD07590" w:rsidR="004C24FD" w:rsidRPr="00842D79" w:rsidRDefault="004C24FD" w:rsidP="00F849FE">
            <w:pPr>
              <w:autoSpaceDE w:val="0"/>
              <w:autoSpaceDN w:val="0"/>
              <w:adjustRightInd w:val="0"/>
              <w:spacing w:before="60" w:after="60"/>
              <w:jc w:val="center"/>
              <w:rPr>
                <w:color w:val="000000"/>
                <w:sz w:val="18"/>
                <w:szCs w:val="18"/>
              </w:rPr>
            </w:pPr>
            <w:r>
              <w:rPr>
                <w:color w:val="000000"/>
                <w:sz w:val="18"/>
                <w:szCs w:val="18"/>
              </w:rPr>
              <w:t>2,</w:t>
            </w:r>
            <w:r w:rsidR="00F849FE">
              <w:rPr>
                <w:color w:val="000000"/>
                <w:sz w:val="18"/>
                <w:szCs w:val="18"/>
              </w:rPr>
              <w:t>28</w:t>
            </w:r>
          </w:p>
        </w:tc>
      </w:tr>
      <w:tr w:rsidR="004C24FD" w:rsidRPr="00842D79" w14:paraId="09130A9C" w14:textId="77777777" w:rsidTr="0042706A">
        <w:tc>
          <w:tcPr>
            <w:tcW w:w="3515" w:type="dxa"/>
            <w:tcBorders>
              <w:right w:val="single" w:sz="4" w:space="0" w:color="FFFFFF"/>
            </w:tcBorders>
            <w:shd w:val="clear" w:color="auto" w:fill="00B0F0"/>
            <w:vAlign w:val="center"/>
          </w:tcPr>
          <w:p w14:paraId="526F9AA4"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D</w:t>
            </w:r>
            <w:r w:rsidRPr="00842D79">
              <w:rPr>
                <w:color w:val="000000"/>
                <w:sz w:val="18"/>
                <w:szCs w:val="18"/>
              </w:rPr>
              <w:t>ialog konkurencyjny</w:t>
            </w:r>
          </w:p>
        </w:tc>
        <w:tc>
          <w:tcPr>
            <w:tcW w:w="2127" w:type="dxa"/>
            <w:tcBorders>
              <w:left w:val="single" w:sz="4" w:space="0" w:color="FFFFFF"/>
            </w:tcBorders>
            <w:shd w:val="clear" w:color="auto" w:fill="00B0F0"/>
            <w:vAlign w:val="center"/>
          </w:tcPr>
          <w:p w14:paraId="1E8C57DA" w14:textId="3108745E" w:rsidR="004C24FD" w:rsidRPr="00842D79" w:rsidRDefault="00F849FE" w:rsidP="00F849FE">
            <w:pPr>
              <w:autoSpaceDE w:val="0"/>
              <w:autoSpaceDN w:val="0"/>
              <w:adjustRightInd w:val="0"/>
              <w:spacing w:before="60" w:after="60"/>
              <w:jc w:val="center"/>
              <w:rPr>
                <w:color w:val="000000"/>
                <w:sz w:val="18"/>
                <w:szCs w:val="18"/>
              </w:rPr>
            </w:pPr>
            <w:r>
              <w:rPr>
                <w:color w:val="000000"/>
                <w:sz w:val="18"/>
                <w:szCs w:val="18"/>
              </w:rPr>
              <w:t>2</w:t>
            </w:r>
            <w:r w:rsidR="004C24FD">
              <w:rPr>
                <w:color w:val="000000"/>
                <w:sz w:val="18"/>
                <w:szCs w:val="18"/>
              </w:rPr>
              <w:t>,</w:t>
            </w:r>
            <w:r>
              <w:rPr>
                <w:color w:val="000000"/>
                <w:sz w:val="18"/>
                <w:szCs w:val="18"/>
              </w:rPr>
              <w:t>14</w:t>
            </w:r>
          </w:p>
        </w:tc>
      </w:tr>
    </w:tbl>
    <w:p w14:paraId="30C479AA" w14:textId="426D0103" w:rsidR="004C24FD" w:rsidRDefault="004C24FD" w:rsidP="004C24FD">
      <w:pPr>
        <w:rPr>
          <w:szCs w:val="22"/>
        </w:rPr>
      </w:pPr>
    </w:p>
    <w:p w14:paraId="6ACCAFC5" w14:textId="77777777" w:rsidR="001A374C" w:rsidRDefault="001A374C" w:rsidP="004C24FD">
      <w:pPr>
        <w:rPr>
          <w:szCs w:val="22"/>
        </w:rPr>
      </w:pPr>
    </w:p>
    <w:p w14:paraId="122577AE" w14:textId="67FB3106" w:rsidR="001A374C" w:rsidRDefault="00244BEE" w:rsidP="001A374C">
      <w:pPr>
        <w:rPr>
          <w:szCs w:val="22"/>
        </w:rPr>
      </w:pPr>
      <w:r>
        <w:rPr>
          <w:szCs w:val="22"/>
        </w:rPr>
        <w:t>P</w:t>
      </w:r>
      <w:r w:rsidR="001A374C" w:rsidRPr="004D1C0B">
        <w:rPr>
          <w:szCs w:val="22"/>
        </w:rPr>
        <w:t xml:space="preserve">roporcje dotyczące liczby ofert </w:t>
      </w:r>
      <w:r w:rsidR="001A374C">
        <w:rPr>
          <w:szCs w:val="22"/>
        </w:rPr>
        <w:t>w zależności od</w:t>
      </w:r>
      <w:r w:rsidR="001A374C" w:rsidRPr="004D1C0B">
        <w:rPr>
          <w:szCs w:val="22"/>
        </w:rPr>
        <w:t xml:space="preserve"> rodzaju zamówienia</w:t>
      </w:r>
      <w:r w:rsidR="00130BB1">
        <w:rPr>
          <w:szCs w:val="22"/>
        </w:rPr>
        <w:t xml:space="preserve"> były podobne do występujących wcześniej</w:t>
      </w:r>
      <w:r w:rsidR="001A374C" w:rsidRPr="004D1C0B">
        <w:rPr>
          <w:szCs w:val="22"/>
        </w:rPr>
        <w:t>.</w:t>
      </w:r>
      <w:r w:rsidR="001A374C">
        <w:rPr>
          <w:szCs w:val="22"/>
        </w:rPr>
        <w:t xml:space="preserve"> Ś</w:t>
      </w:r>
      <w:r w:rsidR="001A374C" w:rsidRPr="00CB5D4D">
        <w:rPr>
          <w:szCs w:val="22"/>
        </w:rPr>
        <w:t xml:space="preserve">rednio najwięcej ofert wpływało w </w:t>
      </w:r>
      <w:r w:rsidR="001A374C">
        <w:rPr>
          <w:szCs w:val="22"/>
        </w:rPr>
        <w:t>zamówieniach</w:t>
      </w:r>
      <w:r w:rsidR="001A374C" w:rsidRPr="00CB5D4D">
        <w:rPr>
          <w:szCs w:val="22"/>
        </w:rPr>
        <w:t xml:space="preserve"> na roboty budowlane – 3,</w:t>
      </w:r>
      <w:r w:rsidR="00C2106C">
        <w:rPr>
          <w:szCs w:val="22"/>
        </w:rPr>
        <w:t>45</w:t>
      </w:r>
      <w:r w:rsidR="001A374C" w:rsidRPr="00CB5D4D">
        <w:rPr>
          <w:szCs w:val="22"/>
        </w:rPr>
        <w:t xml:space="preserve"> (w 202</w:t>
      </w:r>
      <w:r w:rsidR="001A374C">
        <w:rPr>
          <w:szCs w:val="22"/>
        </w:rPr>
        <w:t>1</w:t>
      </w:r>
      <w:r w:rsidR="001A374C" w:rsidRPr="00CB5D4D">
        <w:rPr>
          <w:szCs w:val="22"/>
        </w:rPr>
        <w:t xml:space="preserve"> r. – </w:t>
      </w:r>
      <w:r w:rsidR="00C2106C">
        <w:rPr>
          <w:szCs w:val="22"/>
        </w:rPr>
        <w:t>4</w:t>
      </w:r>
      <w:r w:rsidR="001A374C" w:rsidRPr="00CB5D4D">
        <w:rPr>
          <w:szCs w:val="22"/>
        </w:rPr>
        <w:t>,</w:t>
      </w:r>
      <w:r w:rsidR="00C2106C">
        <w:rPr>
          <w:szCs w:val="22"/>
        </w:rPr>
        <w:t>68</w:t>
      </w:r>
      <w:r w:rsidR="001A374C" w:rsidRPr="00CB5D4D">
        <w:rPr>
          <w:szCs w:val="22"/>
        </w:rPr>
        <w:t>), a najmniej na dostawy – 2,</w:t>
      </w:r>
      <w:r w:rsidR="001A374C">
        <w:rPr>
          <w:szCs w:val="22"/>
        </w:rPr>
        <w:t>1</w:t>
      </w:r>
      <w:r w:rsidR="00C2106C">
        <w:rPr>
          <w:szCs w:val="22"/>
        </w:rPr>
        <w:t>1</w:t>
      </w:r>
      <w:r w:rsidR="001A374C" w:rsidRPr="00CB5D4D">
        <w:rPr>
          <w:szCs w:val="22"/>
        </w:rPr>
        <w:t xml:space="preserve"> (w 202</w:t>
      </w:r>
      <w:r w:rsidR="001A374C">
        <w:rPr>
          <w:szCs w:val="22"/>
        </w:rPr>
        <w:t>1</w:t>
      </w:r>
      <w:r w:rsidR="001A374C" w:rsidRPr="00CB5D4D">
        <w:rPr>
          <w:szCs w:val="22"/>
        </w:rPr>
        <w:t xml:space="preserve"> r. – 2,</w:t>
      </w:r>
      <w:r w:rsidR="00C2106C">
        <w:rPr>
          <w:szCs w:val="22"/>
        </w:rPr>
        <w:t>1</w:t>
      </w:r>
      <w:r w:rsidR="001A374C">
        <w:rPr>
          <w:szCs w:val="22"/>
        </w:rPr>
        <w:t>4</w:t>
      </w:r>
      <w:r w:rsidR="001A374C" w:rsidRPr="00CB5D4D">
        <w:rPr>
          <w:szCs w:val="22"/>
        </w:rPr>
        <w:t>). Na usługi składano 2,</w:t>
      </w:r>
      <w:r w:rsidR="00BF5241">
        <w:rPr>
          <w:szCs w:val="22"/>
        </w:rPr>
        <w:t>37</w:t>
      </w:r>
      <w:r w:rsidR="001A374C" w:rsidRPr="00CB5D4D">
        <w:rPr>
          <w:szCs w:val="22"/>
        </w:rPr>
        <w:t xml:space="preserve"> oferty (w 202</w:t>
      </w:r>
      <w:r w:rsidR="001A374C">
        <w:rPr>
          <w:szCs w:val="22"/>
        </w:rPr>
        <w:t>1 r. – 2,5</w:t>
      </w:r>
      <w:r w:rsidR="00BF5241">
        <w:rPr>
          <w:szCs w:val="22"/>
        </w:rPr>
        <w:t>9</w:t>
      </w:r>
      <w:r w:rsidR="001A374C" w:rsidRPr="00CB5D4D">
        <w:rPr>
          <w:szCs w:val="22"/>
        </w:rPr>
        <w:t>).</w:t>
      </w:r>
    </w:p>
    <w:p w14:paraId="42186821" w14:textId="77777777" w:rsidR="004C24FD" w:rsidRDefault="004C24FD" w:rsidP="004C24FD">
      <w:pPr>
        <w:rPr>
          <w:szCs w:val="22"/>
        </w:rPr>
      </w:pPr>
    </w:p>
    <w:p w14:paraId="153E6EA2" w14:textId="77777777" w:rsidR="004C24FD" w:rsidRDefault="004C24FD" w:rsidP="004C24FD">
      <w:pPr>
        <w:rPr>
          <w:szCs w:val="22"/>
        </w:rPr>
      </w:pPr>
    </w:p>
    <w:p w14:paraId="0958ED11" w14:textId="1F1DE82C" w:rsidR="001A374C" w:rsidRPr="00CB5D4D" w:rsidRDefault="001A374C" w:rsidP="001A374C">
      <w:pPr>
        <w:pStyle w:val="Legenda"/>
      </w:pPr>
      <w:bookmarkStart w:id="100" w:name="_Toc141276523"/>
      <w:r w:rsidRPr="00FD73BC">
        <w:t xml:space="preserve">Tab. </w:t>
      </w:r>
      <w:r w:rsidR="00BE2079">
        <w:fldChar w:fldCharType="begin"/>
      </w:r>
      <w:r w:rsidR="00BE2079">
        <w:instrText xml:space="preserve"> SEQ Tab. \* ARABIC </w:instrText>
      </w:r>
      <w:r w:rsidR="00BE2079">
        <w:fldChar w:fldCharType="separate"/>
      </w:r>
      <w:r w:rsidR="00A43C68">
        <w:rPr>
          <w:noProof/>
        </w:rPr>
        <w:t>16</w:t>
      </w:r>
      <w:r w:rsidR="00BE2079">
        <w:rPr>
          <w:noProof/>
        </w:rPr>
        <w:fldChar w:fldCharType="end"/>
      </w:r>
      <w:r w:rsidRPr="00FD73BC">
        <w:t xml:space="preserve">. Średnia liczba ofert składanych na poszczególne rodzaje zamówień (postępowania o wartościach </w:t>
      </w:r>
      <w:r w:rsidR="00C535E3" w:rsidRPr="00C535E3">
        <w:t>równych lub przekraczających progi unijne</w:t>
      </w:r>
      <w:r w:rsidRPr="00FD73BC">
        <w:t>)</w:t>
      </w:r>
      <w:bookmarkEnd w:id="100"/>
    </w:p>
    <w:tbl>
      <w:tblPr>
        <w:tblW w:w="5642" w:type="dxa"/>
        <w:tblInd w:w="-5" w:type="dxa"/>
        <w:tblLayout w:type="fixed"/>
        <w:tblLook w:val="04A0" w:firstRow="1" w:lastRow="0" w:firstColumn="1" w:lastColumn="0" w:noHBand="0" w:noVBand="1"/>
      </w:tblPr>
      <w:tblGrid>
        <w:gridCol w:w="3515"/>
        <w:gridCol w:w="2127"/>
      </w:tblGrid>
      <w:tr w:rsidR="004C24FD" w:rsidRPr="00842D79" w14:paraId="212B4387" w14:textId="77777777" w:rsidTr="0042706A">
        <w:trPr>
          <w:tblHeader/>
        </w:trPr>
        <w:tc>
          <w:tcPr>
            <w:tcW w:w="3515" w:type="dxa"/>
            <w:tcBorders>
              <w:right w:val="single" w:sz="4" w:space="0" w:color="FFFFFF"/>
            </w:tcBorders>
            <w:shd w:val="clear" w:color="auto" w:fill="002060"/>
            <w:vAlign w:val="center"/>
          </w:tcPr>
          <w:p w14:paraId="4C37B42E" w14:textId="77777777" w:rsidR="004C24FD" w:rsidRPr="00842D79" w:rsidRDefault="004C24FD" w:rsidP="0042706A">
            <w:pPr>
              <w:spacing w:before="60" w:after="60"/>
              <w:jc w:val="center"/>
              <w:rPr>
                <w:b/>
                <w:sz w:val="18"/>
                <w:szCs w:val="18"/>
              </w:rPr>
            </w:pPr>
            <w:r>
              <w:rPr>
                <w:b/>
                <w:sz w:val="18"/>
                <w:szCs w:val="18"/>
              </w:rPr>
              <w:t>Rodzaj</w:t>
            </w:r>
            <w:r w:rsidRPr="00842D79">
              <w:rPr>
                <w:b/>
                <w:sz w:val="18"/>
                <w:szCs w:val="18"/>
              </w:rPr>
              <w:t xml:space="preserve"> zamówienia</w:t>
            </w:r>
          </w:p>
        </w:tc>
        <w:tc>
          <w:tcPr>
            <w:tcW w:w="2127" w:type="dxa"/>
            <w:tcBorders>
              <w:left w:val="single" w:sz="4" w:space="0" w:color="FFFFFF"/>
            </w:tcBorders>
            <w:shd w:val="clear" w:color="auto" w:fill="002060"/>
            <w:vAlign w:val="center"/>
          </w:tcPr>
          <w:p w14:paraId="10081571" w14:textId="77777777" w:rsidR="004C24FD" w:rsidRPr="00842D79" w:rsidRDefault="004C24FD" w:rsidP="0042706A">
            <w:pPr>
              <w:spacing w:before="60" w:after="60"/>
              <w:jc w:val="center"/>
              <w:rPr>
                <w:b/>
                <w:sz w:val="18"/>
                <w:szCs w:val="18"/>
              </w:rPr>
            </w:pPr>
            <w:r w:rsidRPr="00DA37C2">
              <w:rPr>
                <w:b/>
                <w:sz w:val="18"/>
                <w:szCs w:val="18"/>
              </w:rPr>
              <w:t>Średnia liczba ofert</w:t>
            </w:r>
          </w:p>
        </w:tc>
      </w:tr>
      <w:tr w:rsidR="004C24FD" w:rsidRPr="00842D79" w14:paraId="450C053D" w14:textId="77777777" w:rsidTr="0042706A">
        <w:tc>
          <w:tcPr>
            <w:tcW w:w="3515" w:type="dxa"/>
            <w:tcBorders>
              <w:right w:val="single" w:sz="4" w:space="0" w:color="FFFFFF"/>
            </w:tcBorders>
            <w:shd w:val="clear" w:color="auto" w:fill="auto"/>
            <w:vAlign w:val="center"/>
          </w:tcPr>
          <w:p w14:paraId="13CA63B8"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Roboty budowlane</w:t>
            </w:r>
          </w:p>
        </w:tc>
        <w:tc>
          <w:tcPr>
            <w:tcW w:w="2127" w:type="dxa"/>
            <w:tcBorders>
              <w:left w:val="single" w:sz="4" w:space="0" w:color="FFFFFF"/>
            </w:tcBorders>
            <w:shd w:val="clear" w:color="auto" w:fill="auto"/>
            <w:vAlign w:val="center"/>
          </w:tcPr>
          <w:p w14:paraId="56603CDE" w14:textId="428ACFB9" w:rsidR="004C24FD" w:rsidRPr="00842D79" w:rsidRDefault="00473D7F" w:rsidP="00473D7F">
            <w:pPr>
              <w:autoSpaceDE w:val="0"/>
              <w:autoSpaceDN w:val="0"/>
              <w:adjustRightInd w:val="0"/>
              <w:spacing w:before="60" w:after="60"/>
              <w:jc w:val="center"/>
              <w:rPr>
                <w:color w:val="000000"/>
                <w:sz w:val="18"/>
                <w:szCs w:val="18"/>
              </w:rPr>
            </w:pPr>
            <w:r>
              <w:rPr>
                <w:color w:val="000000"/>
                <w:sz w:val="18"/>
                <w:szCs w:val="18"/>
              </w:rPr>
              <w:t>3</w:t>
            </w:r>
            <w:r w:rsidR="004C24FD">
              <w:rPr>
                <w:color w:val="000000"/>
                <w:sz w:val="18"/>
                <w:szCs w:val="18"/>
              </w:rPr>
              <w:t>,</w:t>
            </w:r>
            <w:r>
              <w:rPr>
                <w:color w:val="000000"/>
                <w:sz w:val="18"/>
                <w:szCs w:val="18"/>
              </w:rPr>
              <w:t>45</w:t>
            </w:r>
          </w:p>
        </w:tc>
      </w:tr>
      <w:tr w:rsidR="004C24FD" w:rsidRPr="00842D79" w14:paraId="390D5094" w14:textId="77777777" w:rsidTr="0042706A">
        <w:tc>
          <w:tcPr>
            <w:tcW w:w="3515" w:type="dxa"/>
            <w:tcBorders>
              <w:right w:val="single" w:sz="4" w:space="0" w:color="FFFFFF"/>
            </w:tcBorders>
            <w:shd w:val="clear" w:color="auto" w:fill="00B0F0"/>
            <w:vAlign w:val="center"/>
          </w:tcPr>
          <w:p w14:paraId="7931C0E9"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Dostawy</w:t>
            </w:r>
          </w:p>
        </w:tc>
        <w:tc>
          <w:tcPr>
            <w:tcW w:w="2127" w:type="dxa"/>
            <w:tcBorders>
              <w:left w:val="single" w:sz="4" w:space="0" w:color="FFFFFF"/>
            </w:tcBorders>
            <w:shd w:val="clear" w:color="auto" w:fill="00B0F0"/>
            <w:vAlign w:val="center"/>
          </w:tcPr>
          <w:p w14:paraId="04C29CFD" w14:textId="5BF7F27A" w:rsidR="004C24FD" w:rsidRPr="00842D79" w:rsidRDefault="004C24FD" w:rsidP="00473D7F">
            <w:pPr>
              <w:autoSpaceDE w:val="0"/>
              <w:autoSpaceDN w:val="0"/>
              <w:adjustRightInd w:val="0"/>
              <w:spacing w:before="60" w:after="60"/>
              <w:jc w:val="center"/>
              <w:rPr>
                <w:color w:val="000000"/>
                <w:sz w:val="18"/>
                <w:szCs w:val="18"/>
              </w:rPr>
            </w:pPr>
            <w:r>
              <w:rPr>
                <w:color w:val="000000"/>
                <w:sz w:val="18"/>
                <w:szCs w:val="18"/>
              </w:rPr>
              <w:t>2,</w:t>
            </w:r>
            <w:r w:rsidR="00473D7F">
              <w:rPr>
                <w:color w:val="000000"/>
                <w:sz w:val="18"/>
                <w:szCs w:val="18"/>
              </w:rPr>
              <w:t>11</w:t>
            </w:r>
          </w:p>
        </w:tc>
      </w:tr>
      <w:tr w:rsidR="004C24FD" w:rsidRPr="00842D79" w14:paraId="31FC1600" w14:textId="77777777" w:rsidTr="0042706A">
        <w:tc>
          <w:tcPr>
            <w:tcW w:w="3515" w:type="dxa"/>
            <w:tcBorders>
              <w:right w:val="single" w:sz="4" w:space="0" w:color="FFFFFF"/>
            </w:tcBorders>
            <w:shd w:val="clear" w:color="auto" w:fill="auto"/>
            <w:vAlign w:val="center"/>
          </w:tcPr>
          <w:p w14:paraId="4ED92039" w14:textId="77777777" w:rsidR="004C24FD" w:rsidRPr="00842D79" w:rsidRDefault="004C24FD" w:rsidP="0042706A">
            <w:pPr>
              <w:autoSpaceDE w:val="0"/>
              <w:autoSpaceDN w:val="0"/>
              <w:adjustRightInd w:val="0"/>
              <w:spacing w:before="60" w:after="60"/>
              <w:jc w:val="left"/>
              <w:rPr>
                <w:color w:val="000000"/>
                <w:sz w:val="18"/>
                <w:szCs w:val="18"/>
              </w:rPr>
            </w:pPr>
            <w:r>
              <w:rPr>
                <w:color w:val="000000"/>
                <w:sz w:val="18"/>
                <w:szCs w:val="18"/>
              </w:rPr>
              <w:t>Usługi</w:t>
            </w:r>
          </w:p>
        </w:tc>
        <w:tc>
          <w:tcPr>
            <w:tcW w:w="2127" w:type="dxa"/>
            <w:tcBorders>
              <w:left w:val="single" w:sz="4" w:space="0" w:color="FFFFFF"/>
            </w:tcBorders>
            <w:shd w:val="clear" w:color="auto" w:fill="auto"/>
            <w:vAlign w:val="center"/>
          </w:tcPr>
          <w:p w14:paraId="7AB5F81B" w14:textId="6EE1B861" w:rsidR="004C24FD" w:rsidRPr="00842D79" w:rsidRDefault="004C24FD" w:rsidP="00473D7F">
            <w:pPr>
              <w:autoSpaceDE w:val="0"/>
              <w:autoSpaceDN w:val="0"/>
              <w:adjustRightInd w:val="0"/>
              <w:spacing w:before="60" w:after="60"/>
              <w:jc w:val="center"/>
              <w:rPr>
                <w:color w:val="000000"/>
                <w:sz w:val="18"/>
                <w:szCs w:val="18"/>
              </w:rPr>
            </w:pPr>
            <w:r>
              <w:rPr>
                <w:color w:val="000000"/>
                <w:sz w:val="18"/>
                <w:szCs w:val="18"/>
              </w:rPr>
              <w:t>2,</w:t>
            </w:r>
            <w:r w:rsidR="00473D7F">
              <w:rPr>
                <w:color w:val="000000"/>
                <w:sz w:val="18"/>
                <w:szCs w:val="18"/>
              </w:rPr>
              <w:t>37</w:t>
            </w:r>
          </w:p>
        </w:tc>
      </w:tr>
    </w:tbl>
    <w:p w14:paraId="2EE4D0F2" w14:textId="77777777" w:rsidR="004C24FD" w:rsidRDefault="004C24FD" w:rsidP="004C24FD">
      <w:pPr>
        <w:rPr>
          <w:szCs w:val="22"/>
        </w:rPr>
      </w:pPr>
    </w:p>
    <w:p w14:paraId="1B30B0AE" w14:textId="4BEC8FD6" w:rsidR="004C24FD" w:rsidRDefault="004C24FD" w:rsidP="004C24FD">
      <w:pPr>
        <w:rPr>
          <w:szCs w:val="22"/>
        </w:rPr>
      </w:pPr>
    </w:p>
    <w:p w14:paraId="192725FC" w14:textId="3E9F038A" w:rsidR="005157AB" w:rsidRDefault="00C15581" w:rsidP="005157AB">
      <w:pPr>
        <w:rPr>
          <w:szCs w:val="22"/>
        </w:rPr>
      </w:pPr>
      <w:r>
        <w:rPr>
          <w:szCs w:val="22"/>
        </w:rPr>
        <w:t>W</w:t>
      </w:r>
      <w:r w:rsidR="009C1C5A">
        <w:rPr>
          <w:szCs w:val="22"/>
        </w:rPr>
        <w:t xml:space="preserve"> postępowaniach o </w:t>
      </w:r>
      <w:r w:rsidR="009C1C5A" w:rsidRPr="00CB5D4D">
        <w:rPr>
          <w:szCs w:val="22"/>
        </w:rPr>
        <w:t xml:space="preserve">wartościach </w:t>
      </w:r>
      <w:r w:rsidR="00C535E3" w:rsidRPr="00C535E3">
        <w:rPr>
          <w:szCs w:val="22"/>
        </w:rPr>
        <w:t xml:space="preserve">równych lub przekraczających progi unijne </w:t>
      </w:r>
      <w:r w:rsidR="009C1C5A">
        <w:rPr>
          <w:szCs w:val="22"/>
        </w:rPr>
        <w:t xml:space="preserve">średnio w </w:t>
      </w:r>
      <w:r w:rsidR="005157AB">
        <w:rPr>
          <w:szCs w:val="22"/>
        </w:rPr>
        <w:t>prawie 5</w:t>
      </w:r>
      <w:r w:rsidR="000E1B8A">
        <w:rPr>
          <w:szCs w:val="22"/>
        </w:rPr>
        <w:t>2</w:t>
      </w:r>
      <w:r w:rsidR="005157AB">
        <w:rPr>
          <w:szCs w:val="22"/>
        </w:rPr>
        <w:t>% zamówień</w:t>
      </w:r>
      <w:r w:rsidR="005157AB" w:rsidRPr="00CB5D4D">
        <w:rPr>
          <w:szCs w:val="22"/>
        </w:rPr>
        <w:t xml:space="preserve"> </w:t>
      </w:r>
      <w:r w:rsidR="00065180">
        <w:rPr>
          <w:szCs w:val="22"/>
        </w:rPr>
        <w:t>złożono</w:t>
      </w:r>
      <w:r w:rsidR="009C1C5A">
        <w:rPr>
          <w:szCs w:val="22"/>
        </w:rPr>
        <w:t xml:space="preserve"> tylko</w:t>
      </w:r>
      <w:r w:rsidR="00065180">
        <w:rPr>
          <w:szCs w:val="22"/>
        </w:rPr>
        <w:t xml:space="preserve"> </w:t>
      </w:r>
      <w:r w:rsidR="005157AB" w:rsidRPr="00CB5D4D">
        <w:rPr>
          <w:szCs w:val="22"/>
        </w:rPr>
        <w:t>jedną ofertę</w:t>
      </w:r>
      <w:r w:rsidR="005157AB">
        <w:rPr>
          <w:szCs w:val="22"/>
        </w:rPr>
        <w:t xml:space="preserve">. </w:t>
      </w:r>
      <w:r w:rsidR="00065180">
        <w:rPr>
          <w:szCs w:val="22"/>
        </w:rPr>
        <w:t xml:space="preserve">Największy odsetek zamówień z jedną ofertą </w:t>
      </w:r>
      <w:r w:rsidR="009C1C5A">
        <w:rPr>
          <w:szCs w:val="22"/>
        </w:rPr>
        <w:t>występował w przypadku dostaw – prawie 54%</w:t>
      </w:r>
      <w:r w:rsidR="00FE1C3A">
        <w:rPr>
          <w:szCs w:val="22"/>
        </w:rPr>
        <w:t>,</w:t>
      </w:r>
      <w:r w:rsidR="009C1C5A">
        <w:rPr>
          <w:szCs w:val="22"/>
        </w:rPr>
        <w:t xml:space="preserve"> natomiast najmniejszy w zamówieniach na roboty budowlane – niecałe 19%.</w:t>
      </w:r>
    </w:p>
    <w:p w14:paraId="1920A84B" w14:textId="77777777" w:rsidR="00065180" w:rsidRDefault="00065180" w:rsidP="005157AB">
      <w:pPr>
        <w:rPr>
          <w:szCs w:val="22"/>
        </w:rPr>
      </w:pPr>
    </w:p>
    <w:p w14:paraId="1A7D33BD" w14:textId="2FDB4A73" w:rsidR="005157AB" w:rsidRPr="00CB5D4D" w:rsidRDefault="005157AB" w:rsidP="005157AB">
      <w:pPr>
        <w:pStyle w:val="Legenda"/>
      </w:pPr>
      <w:bookmarkStart w:id="101" w:name="_Toc141276524"/>
      <w:r w:rsidRPr="00286247">
        <w:t xml:space="preserve">Tab. </w:t>
      </w:r>
      <w:r w:rsidR="00BE2079">
        <w:fldChar w:fldCharType="begin"/>
      </w:r>
      <w:r w:rsidR="00BE2079">
        <w:instrText xml:space="preserve"> SEQ Tab. \* ARABIC </w:instrText>
      </w:r>
      <w:r w:rsidR="00BE2079">
        <w:fldChar w:fldCharType="separate"/>
      </w:r>
      <w:r w:rsidR="00A43C68">
        <w:rPr>
          <w:noProof/>
        </w:rPr>
        <w:t>17</w:t>
      </w:r>
      <w:r w:rsidR="00BE2079">
        <w:rPr>
          <w:noProof/>
        </w:rPr>
        <w:fldChar w:fldCharType="end"/>
      </w:r>
      <w:r w:rsidRPr="00286247">
        <w:t xml:space="preserve">. Odsetek </w:t>
      </w:r>
      <w:r>
        <w:t>zamówień</w:t>
      </w:r>
      <w:r w:rsidRPr="00286247">
        <w:t>, w których wykonawcy składali odpowiednią liczbę ofert (postępowania o</w:t>
      </w:r>
      <w:r>
        <w:t xml:space="preserve"> </w:t>
      </w:r>
      <w:r w:rsidRPr="00286247">
        <w:t xml:space="preserve">wartościach </w:t>
      </w:r>
      <w:r w:rsidR="00A73EB2" w:rsidRPr="00A73EB2">
        <w:t>równych lub przekraczających progi unijne</w:t>
      </w:r>
      <w:r w:rsidRPr="00286247">
        <w:t>)</w:t>
      </w:r>
      <w:bookmarkEnd w:id="101"/>
    </w:p>
    <w:tbl>
      <w:tblPr>
        <w:tblW w:w="9185" w:type="dxa"/>
        <w:tblInd w:w="-5" w:type="dxa"/>
        <w:tblLayout w:type="fixed"/>
        <w:tblLook w:val="04A0" w:firstRow="1" w:lastRow="0" w:firstColumn="1" w:lastColumn="0" w:noHBand="0" w:noVBand="1"/>
      </w:tblPr>
      <w:tblGrid>
        <w:gridCol w:w="1673"/>
        <w:gridCol w:w="1984"/>
        <w:gridCol w:w="1842"/>
        <w:gridCol w:w="1843"/>
        <w:gridCol w:w="1843"/>
      </w:tblGrid>
      <w:tr w:rsidR="004C24FD" w:rsidRPr="00842D79" w14:paraId="1394EA75" w14:textId="77777777" w:rsidTr="0042706A">
        <w:trPr>
          <w:tblHeader/>
        </w:trPr>
        <w:tc>
          <w:tcPr>
            <w:tcW w:w="1673" w:type="dxa"/>
            <w:tcBorders>
              <w:right w:val="single" w:sz="4" w:space="0" w:color="FFFFFF"/>
            </w:tcBorders>
            <w:shd w:val="clear" w:color="auto" w:fill="002060"/>
            <w:vAlign w:val="center"/>
          </w:tcPr>
          <w:p w14:paraId="1C1B9FA8" w14:textId="77777777" w:rsidR="004C24FD" w:rsidRPr="00842D79" w:rsidRDefault="004C24FD" w:rsidP="0042706A">
            <w:pPr>
              <w:spacing w:before="60" w:after="60"/>
              <w:jc w:val="center"/>
              <w:rPr>
                <w:b/>
                <w:sz w:val="18"/>
                <w:szCs w:val="18"/>
              </w:rPr>
            </w:pPr>
            <w:r w:rsidRPr="006B7DD5">
              <w:rPr>
                <w:b/>
                <w:sz w:val="18"/>
                <w:szCs w:val="18"/>
              </w:rPr>
              <w:t>Liczba złożonych ofert</w:t>
            </w:r>
          </w:p>
        </w:tc>
        <w:tc>
          <w:tcPr>
            <w:tcW w:w="1984" w:type="dxa"/>
            <w:tcBorders>
              <w:left w:val="single" w:sz="4" w:space="0" w:color="FFFFFF"/>
            </w:tcBorders>
            <w:shd w:val="clear" w:color="auto" w:fill="002060"/>
            <w:vAlign w:val="center"/>
          </w:tcPr>
          <w:p w14:paraId="6AC8BE08" w14:textId="77777777" w:rsidR="004C24FD" w:rsidRPr="00842D79" w:rsidRDefault="004C24FD" w:rsidP="0042706A">
            <w:pPr>
              <w:spacing w:before="60" w:after="60"/>
              <w:jc w:val="center"/>
              <w:rPr>
                <w:b/>
                <w:sz w:val="18"/>
                <w:szCs w:val="18"/>
              </w:rPr>
            </w:pPr>
            <w:r w:rsidRPr="006B7DD5">
              <w:rPr>
                <w:b/>
                <w:sz w:val="18"/>
                <w:szCs w:val="18"/>
              </w:rPr>
              <w:t>Roboty budowlane</w:t>
            </w:r>
          </w:p>
        </w:tc>
        <w:tc>
          <w:tcPr>
            <w:tcW w:w="1842" w:type="dxa"/>
            <w:tcBorders>
              <w:left w:val="single" w:sz="4" w:space="0" w:color="FFFFFF"/>
            </w:tcBorders>
            <w:shd w:val="clear" w:color="auto" w:fill="002060"/>
            <w:vAlign w:val="center"/>
          </w:tcPr>
          <w:p w14:paraId="322F161E" w14:textId="77777777" w:rsidR="004C24FD" w:rsidRPr="00842D79" w:rsidRDefault="004C24FD" w:rsidP="0042706A">
            <w:pPr>
              <w:spacing w:before="60" w:after="60"/>
              <w:jc w:val="center"/>
              <w:rPr>
                <w:b/>
                <w:sz w:val="18"/>
                <w:szCs w:val="18"/>
              </w:rPr>
            </w:pPr>
            <w:r w:rsidRPr="006B7DD5">
              <w:rPr>
                <w:b/>
                <w:sz w:val="18"/>
                <w:szCs w:val="18"/>
              </w:rPr>
              <w:t>Dostawy</w:t>
            </w:r>
          </w:p>
        </w:tc>
        <w:tc>
          <w:tcPr>
            <w:tcW w:w="1843" w:type="dxa"/>
            <w:tcBorders>
              <w:left w:val="single" w:sz="4" w:space="0" w:color="FFFFFF"/>
            </w:tcBorders>
            <w:shd w:val="clear" w:color="auto" w:fill="002060"/>
            <w:vAlign w:val="center"/>
          </w:tcPr>
          <w:p w14:paraId="5370553D" w14:textId="77777777" w:rsidR="004C24FD" w:rsidRPr="00842D79" w:rsidRDefault="004C24FD" w:rsidP="0042706A">
            <w:pPr>
              <w:spacing w:before="60" w:after="60"/>
              <w:jc w:val="center"/>
              <w:rPr>
                <w:b/>
                <w:sz w:val="18"/>
                <w:szCs w:val="18"/>
              </w:rPr>
            </w:pPr>
            <w:r w:rsidRPr="006B7DD5">
              <w:rPr>
                <w:b/>
                <w:sz w:val="18"/>
                <w:szCs w:val="18"/>
              </w:rPr>
              <w:t>Usługi</w:t>
            </w:r>
          </w:p>
        </w:tc>
        <w:tc>
          <w:tcPr>
            <w:tcW w:w="1843" w:type="dxa"/>
            <w:tcBorders>
              <w:left w:val="single" w:sz="4" w:space="0" w:color="FFFFFF"/>
            </w:tcBorders>
            <w:shd w:val="clear" w:color="auto" w:fill="002060"/>
            <w:vAlign w:val="center"/>
          </w:tcPr>
          <w:p w14:paraId="1782E4EC" w14:textId="77777777" w:rsidR="004C24FD" w:rsidRPr="00842D79" w:rsidRDefault="004C24FD" w:rsidP="0042706A">
            <w:pPr>
              <w:spacing w:before="60" w:after="60"/>
              <w:jc w:val="center"/>
              <w:rPr>
                <w:b/>
                <w:sz w:val="18"/>
                <w:szCs w:val="18"/>
              </w:rPr>
            </w:pPr>
            <w:r>
              <w:rPr>
                <w:b/>
                <w:sz w:val="18"/>
                <w:szCs w:val="18"/>
              </w:rPr>
              <w:t>Ogółem</w:t>
            </w:r>
          </w:p>
        </w:tc>
      </w:tr>
      <w:tr w:rsidR="00754C4F" w:rsidRPr="00842D79" w14:paraId="5453D555" w14:textId="77777777" w:rsidTr="00754C4F">
        <w:tc>
          <w:tcPr>
            <w:tcW w:w="1673" w:type="dxa"/>
            <w:tcBorders>
              <w:right w:val="single" w:sz="4" w:space="0" w:color="FFFFFF"/>
            </w:tcBorders>
            <w:shd w:val="clear" w:color="auto" w:fill="auto"/>
            <w:vAlign w:val="center"/>
          </w:tcPr>
          <w:p w14:paraId="52F3513C" w14:textId="77777777" w:rsidR="00754C4F" w:rsidRPr="00842D79" w:rsidRDefault="00754C4F" w:rsidP="00754C4F">
            <w:pPr>
              <w:autoSpaceDE w:val="0"/>
              <w:autoSpaceDN w:val="0"/>
              <w:adjustRightInd w:val="0"/>
              <w:spacing w:before="60" w:after="60"/>
              <w:jc w:val="center"/>
              <w:rPr>
                <w:color w:val="000000"/>
                <w:sz w:val="18"/>
                <w:szCs w:val="18"/>
              </w:rPr>
            </w:pPr>
            <w:r>
              <w:rPr>
                <w:color w:val="000000"/>
                <w:sz w:val="18"/>
                <w:szCs w:val="18"/>
              </w:rPr>
              <w:t>1</w:t>
            </w:r>
          </w:p>
        </w:tc>
        <w:tc>
          <w:tcPr>
            <w:tcW w:w="1984" w:type="dxa"/>
            <w:tcBorders>
              <w:left w:val="single" w:sz="4" w:space="0" w:color="FFFFFF"/>
            </w:tcBorders>
            <w:shd w:val="clear" w:color="auto" w:fill="auto"/>
            <w:vAlign w:val="center"/>
          </w:tcPr>
          <w:p w14:paraId="5B80569E" w14:textId="7FBC1D74"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18,81%</w:t>
            </w:r>
          </w:p>
        </w:tc>
        <w:tc>
          <w:tcPr>
            <w:tcW w:w="1842" w:type="dxa"/>
            <w:tcBorders>
              <w:left w:val="single" w:sz="4" w:space="0" w:color="FFFFFF"/>
            </w:tcBorders>
            <w:shd w:val="clear" w:color="auto" w:fill="auto"/>
            <w:vAlign w:val="center"/>
          </w:tcPr>
          <w:p w14:paraId="6587D3D9" w14:textId="4441BDF1"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53,83%</w:t>
            </w:r>
          </w:p>
        </w:tc>
        <w:tc>
          <w:tcPr>
            <w:tcW w:w="1843" w:type="dxa"/>
            <w:tcBorders>
              <w:left w:val="single" w:sz="4" w:space="0" w:color="FFFFFF"/>
            </w:tcBorders>
            <w:vAlign w:val="center"/>
          </w:tcPr>
          <w:p w14:paraId="26D70D9E" w14:textId="664B1041"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45,66%</w:t>
            </w:r>
          </w:p>
        </w:tc>
        <w:tc>
          <w:tcPr>
            <w:tcW w:w="1843" w:type="dxa"/>
            <w:tcBorders>
              <w:left w:val="single" w:sz="4" w:space="0" w:color="FFFFFF"/>
            </w:tcBorders>
            <w:vAlign w:val="center"/>
          </w:tcPr>
          <w:p w14:paraId="23321B73" w14:textId="7A1A8C30"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51,87%</w:t>
            </w:r>
          </w:p>
        </w:tc>
      </w:tr>
      <w:tr w:rsidR="00754C4F" w:rsidRPr="00842D79" w14:paraId="2B519C2B" w14:textId="77777777" w:rsidTr="00754C4F">
        <w:tc>
          <w:tcPr>
            <w:tcW w:w="1673" w:type="dxa"/>
            <w:tcBorders>
              <w:right w:val="single" w:sz="4" w:space="0" w:color="FFFFFF"/>
            </w:tcBorders>
            <w:shd w:val="clear" w:color="auto" w:fill="00B0F0"/>
            <w:vAlign w:val="center"/>
          </w:tcPr>
          <w:p w14:paraId="2F2BED74" w14:textId="77777777" w:rsidR="00754C4F" w:rsidRPr="00842D79" w:rsidRDefault="00754C4F" w:rsidP="00754C4F">
            <w:pPr>
              <w:autoSpaceDE w:val="0"/>
              <w:autoSpaceDN w:val="0"/>
              <w:adjustRightInd w:val="0"/>
              <w:spacing w:before="60" w:after="60"/>
              <w:jc w:val="center"/>
              <w:rPr>
                <w:color w:val="000000"/>
                <w:sz w:val="18"/>
                <w:szCs w:val="18"/>
              </w:rPr>
            </w:pPr>
            <w:r>
              <w:rPr>
                <w:color w:val="000000"/>
                <w:sz w:val="18"/>
                <w:szCs w:val="18"/>
              </w:rPr>
              <w:t>2</w:t>
            </w:r>
          </w:p>
        </w:tc>
        <w:tc>
          <w:tcPr>
            <w:tcW w:w="1984" w:type="dxa"/>
            <w:tcBorders>
              <w:left w:val="single" w:sz="4" w:space="0" w:color="FFFFFF"/>
            </w:tcBorders>
            <w:shd w:val="clear" w:color="auto" w:fill="00B0F0"/>
            <w:vAlign w:val="center"/>
          </w:tcPr>
          <w:p w14:paraId="4341513C" w14:textId="5A31FE23"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24,97%</w:t>
            </w:r>
          </w:p>
        </w:tc>
        <w:tc>
          <w:tcPr>
            <w:tcW w:w="1842" w:type="dxa"/>
            <w:tcBorders>
              <w:left w:val="single" w:sz="4" w:space="0" w:color="FFFFFF"/>
            </w:tcBorders>
            <w:shd w:val="clear" w:color="auto" w:fill="00B0F0"/>
            <w:vAlign w:val="center"/>
          </w:tcPr>
          <w:p w14:paraId="3BD63953" w14:textId="5F77F7D0"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20,48%</w:t>
            </w:r>
          </w:p>
        </w:tc>
        <w:tc>
          <w:tcPr>
            <w:tcW w:w="1843" w:type="dxa"/>
            <w:tcBorders>
              <w:left w:val="single" w:sz="4" w:space="0" w:color="FFFFFF"/>
            </w:tcBorders>
            <w:shd w:val="clear" w:color="auto" w:fill="00B0F0"/>
            <w:vAlign w:val="center"/>
          </w:tcPr>
          <w:p w14:paraId="2461E66B" w14:textId="53AE9237"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22,43%</w:t>
            </w:r>
          </w:p>
        </w:tc>
        <w:tc>
          <w:tcPr>
            <w:tcW w:w="1843" w:type="dxa"/>
            <w:tcBorders>
              <w:left w:val="single" w:sz="4" w:space="0" w:color="FFFFFF"/>
            </w:tcBorders>
            <w:shd w:val="clear" w:color="auto" w:fill="00B0F0"/>
            <w:vAlign w:val="center"/>
          </w:tcPr>
          <w:p w14:paraId="5AD1525D" w14:textId="1AC07CEF"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20,90%</w:t>
            </w:r>
          </w:p>
        </w:tc>
      </w:tr>
      <w:tr w:rsidR="00754C4F" w:rsidRPr="00842D79" w14:paraId="21ACBE93" w14:textId="77777777" w:rsidTr="00754C4F">
        <w:tc>
          <w:tcPr>
            <w:tcW w:w="1673" w:type="dxa"/>
            <w:tcBorders>
              <w:right w:val="single" w:sz="4" w:space="0" w:color="FFFFFF"/>
            </w:tcBorders>
            <w:shd w:val="clear" w:color="auto" w:fill="auto"/>
            <w:vAlign w:val="center"/>
          </w:tcPr>
          <w:p w14:paraId="74E0E40D" w14:textId="77777777" w:rsidR="00754C4F" w:rsidRPr="00842D79" w:rsidRDefault="00754C4F" w:rsidP="00754C4F">
            <w:pPr>
              <w:autoSpaceDE w:val="0"/>
              <w:autoSpaceDN w:val="0"/>
              <w:adjustRightInd w:val="0"/>
              <w:spacing w:before="60" w:after="60"/>
              <w:jc w:val="center"/>
              <w:rPr>
                <w:color w:val="000000"/>
                <w:sz w:val="18"/>
                <w:szCs w:val="18"/>
              </w:rPr>
            </w:pPr>
            <w:r>
              <w:rPr>
                <w:color w:val="000000"/>
                <w:sz w:val="18"/>
                <w:szCs w:val="18"/>
              </w:rPr>
              <w:t>3</w:t>
            </w:r>
          </w:p>
        </w:tc>
        <w:tc>
          <w:tcPr>
            <w:tcW w:w="1984" w:type="dxa"/>
            <w:tcBorders>
              <w:left w:val="single" w:sz="4" w:space="0" w:color="FFFFFF"/>
            </w:tcBorders>
            <w:shd w:val="clear" w:color="auto" w:fill="auto"/>
            <w:vAlign w:val="center"/>
          </w:tcPr>
          <w:p w14:paraId="7299BD08" w14:textId="5070A679"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18,65%</w:t>
            </w:r>
          </w:p>
        </w:tc>
        <w:tc>
          <w:tcPr>
            <w:tcW w:w="1842" w:type="dxa"/>
            <w:tcBorders>
              <w:left w:val="single" w:sz="4" w:space="0" w:color="FFFFFF"/>
            </w:tcBorders>
            <w:shd w:val="clear" w:color="auto" w:fill="auto"/>
            <w:vAlign w:val="center"/>
          </w:tcPr>
          <w:p w14:paraId="0EF5D4EB" w14:textId="39E8BD37"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12,14%</w:t>
            </w:r>
          </w:p>
        </w:tc>
        <w:tc>
          <w:tcPr>
            <w:tcW w:w="1843" w:type="dxa"/>
            <w:tcBorders>
              <w:left w:val="single" w:sz="4" w:space="0" w:color="FFFFFF"/>
            </w:tcBorders>
            <w:vAlign w:val="center"/>
          </w:tcPr>
          <w:p w14:paraId="07F5FC56" w14:textId="614B8C8C"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13,07%</w:t>
            </w:r>
          </w:p>
        </w:tc>
        <w:tc>
          <w:tcPr>
            <w:tcW w:w="1843" w:type="dxa"/>
            <w:tcBorders>
              <w:left w:val="single" w:sz="4" w:space="0" w:color="FFFFFF"/>
            </w:tcBorders>
            <w:vAlign w:val="center"/>
          </w:tcPr>
          <w:p w14:paraId="02DE353B" w14:textId="1B5FCBA6"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12,40%</w:t>
            </w:r>
          </w:p>
        </w:tc>
      </w:tr>
      <w:tr w:rsidR="00754C4F" w:rsidRPr="00842D79" w14:paraId="5C7A8D31" w14:textId="77777777" w:rsidTr="00754C4F">
        <w:tc>
          <w:tcPr>
            <w:tcW w:w="1673" w:type="dxa"/>
            <w:tcBorders>
              <w:right w:val="single" w:sz="4" w:space="0" w:color="FFFFFF"/>
            </w:tcBorders>
            <w:shd w:val="clear" w:color="auto" w:fill="00B0F0"/>
            <w:vAlign w:val="center"/>
          </w:tcPr>
          <w:p w14:paraId="7B17D256" w14:textId="77777777" w:rsidR="00754C4F" w:rsidRPr="00842D79" w:rsidRDefault="00754C4F" w:rsidP="00754C4F">
            <w:pPr>
              <w:autoSpaceDE w:val="0"/>
              <w:autoSpaceDN w:val="0"/>
              <w:adjustRightInd w:val="0"/>
              <w:spacing w:before="60" w:after="60"/>
              <w:jc w:val="center"/>
              <w:rPr>
                <w:color w:val="000000"/>
                <w:sz w:val="18"/>
                <w:szCs w:val="18"/>
              </w:rPr>
            </w:pPr>
            <w:r>
              <w:rPr>
                <w:color w:val="000000"/>
                <w:sz w:val="18"/>
                <w:szCs w:val="18"/>
              </w:rPr>
              <w:t>4</w:t>
            </w:r>
          </w:p>
        </w:tc>
        <w:tc>
          <w:tcPr>
            <w:tcW w:w="1984" w:type="dxa"/>
            <w:tcBorders>
              <w:left w:val="single" w:sz="4" w:space="0" w:color="FFFFFF"/>
            </w:tcBorders>
            <w:shd w:val="clear" w:color="auto" w:fill="00B0F0"/>
            <w:vAlign w:val="center"/>
          </w:tcPr>
          <w:p w14:paraId="5BED2247" w14:textId="3A6A754A"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11,95%</w:t>
            </w:r>
          </w:p>
        </w:tc>
        <w:tc>
          <w:tcPr>
            <w:tcW w:w="1842" w:type="dxa"/>
            <w:tcBorders>
              <w:left w:val="single" w:sz="4" w:space="0" w:color="FFFFFF"/>
            </w:tcBorders>
            <w:shd w:val="clear" w:color="auto" w:fill="00B0F0"/>
            <w:vAlign w:val="center"/>
          </w:tcPr>
          <w:p w14:paraId="3348F382" w14:textId="42A24A2C"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6,74%</w:t>
            </w:r>
          </w:p>
        </w:tc>
        <w:tc>
          <w:tcPr>
            <w:tcW w:w="1843" w:type="dxa"/>
            <w:tcBorders>
              <w:left w:val="single" w:sz="4" w:space="0" w:color="FFFFFF"/>
            </w:tcBorders>
            <w:shd w:val="clear" w:color="auto" w:fill="00B0F0"/>
            <w:vAlign w:val="center"/>
          </w:tcPr>
          <w:p w14:paraId="10B2836B" w14:textId="29C631B5"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7,54%</w:t>
            </w:r>
          </w:p>
        </w:tc>
        <w:tc>
          <w:tcPr>
            <w:tcW w:w="1843" w:type="dxa"/>
            <w:tcBorders>
              <w:left w:val="single" w:sz="4" w:space="0" w:color="FFFFFF"/>
            </w:tcBorders>
            <w:shd w:val="clear" w:color="auto" w:fill="00B0F0"/>
            <w:vAlign w:val="center"/>
          </w:tcPr>
          <w:p w14:paraId="2B685466" w14:textId="7F150985"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6,9</w:t>
            </w:r>
            <w:r>
              <w:rPr>
                <w:rFonts w:cs="Arial"/>
                <w:color w:val="000000"/>
                <w:sz w:val="18"/>
                <w:szCs w:val="18"/>
              </w:rPr>
              <w:t>5</w:t>
            </w:r>
            <w:r w:rsidRPr="00754C4F">
              <w:rPr>
                <w:rFonts w:cs="Arial"/>
                <w:color w:val="000000"/>
                <w:sz w:val="18"/>
                <w:szCs w:val="18"/>
              </w:rPr>
              <w:t>%</w:t>
            </w:r>
          </w:p>
        </w:tc>
      </w:tr>
      <w:tr w:rsidR="00754C4F" w:rsidRPr="00842D79" w14:paraId="2392EFA2" w14:textId="77777777" w:rsidTr="00754C4F">
        <w:tc>
          <w:tcPr>
            <w:tcW w:w="1673" w:type="dxa"/>
            <w:tcBorders>
              <w:right w:val="single" w:sz="4" w:space="0" w:color="FFFFFF"/>
            </w:tcBorders>
            <w:shd w:val="clear" w:color="auto" w:fill="auto"/>
            <w:vAlign w:val="center"/>
          </w:tcPr>
          <w:p w14:paraId="64877D38" w14:textId="77777777" w:rsidR="00754C4F" w:rsidRPr="00842D79" w:rsidRDefault="00754C4F" w:rsidP="00754C4F">
            <w:pPr>
              <w:autoSpaceDE w:val="0"/>
              <w:autoSpaceDN w:val="0"/>
              <w:adjustRightInd w:val="0"/>
              <w:spacing w:before="60" w:after="60"/>
              <w:jc w:val="center"/>
              <w:rPr>
                <w:color w:val="000000"/>
                <w:sz w:val="18"/>
                <w:szCs w:val="18"/>
              </w:rPr>
            </w:pPr>
            <w:r>
              <w:rPr>
                <w:color w:val="000000"/>
                <w:sz w:val="18"/>
                <w:szCs w:val="18"/>
              </w:rPr>
              <w:t>5 i więcej</w:t>
            </w:r>
          </w:p>
        </w:tc>
        <w:tc>
          <w:tcPr>
            <w:tcW w:w="1984" w:type="dxa"/>
            <w:tcBorders>
              <w:left w:val="single" w:sz="4" w:space="0" w:color="FFFFFF"/>
            </w:tcBorders>
            <w:shd w:val="clear" w:color="auto" w:fill="auto"/>
            <w:vAlign w:val="center"/>
          </w:tcPr>
          <w:p w14:paraId="3CDBC72D" w14:textId="44D9326E"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25,62%</w:t>
            </w:r>
          </w:p>
        </w:tc>
        <w:tc>
          <w:tcPr>
            <w:tcW w:w="1842" w:type="dxa"/>
            <w:tcBorders>
              <w:left w:val="single" w:sz="4" w:space="0" w:color="FFFFFF"/>
            </w:tcBorders>
            <w:shd w:val="clear" w:color="auto" w:fill="auto"/>
            <w:vAlign w:val="center"/>
          </w:tcPr>
          <w:p w14:paraId="5674F086" w14:textId="072B5E68"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6,81%</w:t>
            </w:r>
          </w:p>
        </w:tc>
        <w:tc>
          <w:tcPr>
            <w:tcW w:w="1843" w:type="dxa"/>
            <w:tcBorders>
              <w:left w:val="single" w:sz="4" w:space="0" w:color="FFFFFF"/>
            </w:tcBorders>
            <w:vAlign w:val="center"/>
          </w:tcPr>
          <w:p w14:paraId="5F3C2316" w14:textId="6D2A99B8"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11,30%</w:t>
            </w:r>
          </w:p>
        </w:tc>
        <w:tc>
          <w:tcPr>
            <w:tcW w:w="1843" w:type="dxa"/>
            <w:tcBorders>
              <w:left w:val="single" w:sz="4" w:space="0" w:color="FFFFFF"/>
            </w:tcBorders>
            <w:vAlign w:val="center"/>
          </w:tcPr>
          <w:p w14:paraId="211AFE1A" w14:textId="4A3C9D33" w:rsidR="00754C4F" w:rsidRPr="00754C4F" w:rsidRDefault="00754C4F" w:rsidP="00754C4F">
            <w:pPr>
              <w:autoSpaceDE w:val="0"/>
              <w:autoSpaceDN w:val="0"/>
              <w:adjustRightInd w:val="0"/>
              <w:jc w:val="center"/>
              <w:rPr>
                <w:rFonts w:cs="Arial"/>
                <w:color w:val="000000"/>
                <w:sz w:val="18"/>
                <w:szCs w:val="18"/>
              </w:rPr>
            </w:pPr>
            <w:r w:rsidRPr="00754C4F">
              <w:rPr>
                <w:rFonts w:cs="Arial"/>
                <w:color w:val="000000"/>
                <w:sz w:val="18"/>
                <w:szCs w:val="18"/>
              </w:rPr>
              <w:t>7,88%</w:t>
            </w:r>
          </w:p>
        </w:tc>
      </w:tr>
      <w:tr w:rsidR="004C24FD" w:rsidRPr="006B7DD5" w14:paraId="11FFAF8E" w14:textId="77777777" w:rsidTr="0042706A">
        <w:tc>
          <w:tcPr>
            <w:tcW w:w="1673" w:type="dxa"/>
            <w:tcBorders>
              <w:right w:val="single" w:sz="4" w:space="0" w:color="FFFFFF"/>
            </w:tcBorders>
            <w:shd w:val="clear" w:color="auto" w:fill="00B0F0"/>
            <w:vAlign w:val="center"/>
          </w:tcPr>
          <w:p w14:paraId="56FFD891" w14:textId="77777777" w:rsidR="004C24FD" w:rsidRPr="006B7DD5" w:rsidRDefault="004C24FD" w:rsidP="0042706A">
            <w:pPr>
              <w:autoSpaceDE w:val="0"/>
              <w:autoSpaceDN w:val="0"/>
              <w:adjustRightInd w:val="0"/>
              <w:spacing w:before="60" w:after="60"/>
              <w:jc w:val="center"/>
              <w:rPr>
                <w:b/>
                <w:color w:val="000000"/>
                <w:sz w:val="18"/>
                <w:szCs w:val="18"/>
              </w:rPr>
            </w:pPr>
            <w:r w:rsidRPr="006B7DD5">
              <w:rPr>
                <w:b/>
                <w:color w:val="000000"/>
                <w:sz w:val="18"/>
                <w:szCs w:val="18"/>
              </w:rPr>
              <w:t>Razem</w:t>
            </w:r>
          </w:p>
        </w:tc>
        <w:tc>
          <w:tcPr>
            <w:tcW w:w="1984" w:type="dxa"/>
            <w:tcBorders>
              <w:left w:val="single" w:sz="4" w:space="0" w:color="FFFFFF"/>
            </w:tcBorders>
            <w:shd w:val="clear" w:color="auto" w:fill="00B0F0"/>
            <w:vAlign w:val="center"/>
          </w:tcPr>
          <w:p w14:paraId="30240DCA"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2" w:type="dxa"/>
            <w:tcBorders>
              <w:left w:val="single" w:sz="4" w:space="0" w:color="FFFFFF"/>
            </w:tcBorders>
            <w:shd w:val="clear" w:color="auto" w:fill="00B0F0"/>
            <w:vAlign w:val="center"/>
          </w:tcPr>
          <w:p w14:paraId="7231D36C"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3" w:type="dxa"/>
            <w:tcBorders>
              <w:left w:val="single" w:sz="4" w:space="0" w:color="FFFFFF"/>
            </w:tcBorders>
            <w:shd w:val="clear" w:color="auto" w:fill="00B0F0"/>
            <w:vAlign w:val="center"/>
          </w:tcPr>
          <w:p w14:paraId="7C88DCA7"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c>
          <w:tcPr>
            <w:tcW w:w="1843" w:type="dxa"/>
            <w:tcBorders>
              <w:left w:val="single" w:sz="4" w:space="0" w:color="FFFFFF"/>
            </w:tcBorders>
            <w:shd w:val="clear" w:color="auto" w:fill="00B0F0"/>
            <w:vAlign w:val="center"/>
          </w:tcPr>
          <w:p w14:paraId="2985EDC7" w14:textId="77777777" w:rsidR="004C24FD" w:rsidRPr="006B7DD5" w:rsidRDefault="004C24FD" w:rsidP="0042706A">
            <w:pPr>
              <w:autoSpaceDE w:val="0"/>
              <w:autoSpaceDN w:val="0"/>
              <w:adjustRightInd w:val="0"/>
              <w:jc w:val="center"/>
              <w:rPr>
                <w:b/>
                <w:color w:val="000000"/>
                <w:sz w:val="18"/>
                <w:szCs w:val="18"/>
              </w:rPr>
            </w:pPr>
            <w:r w:rsidRPr="006B7DD5">
              <w:rPr>
                <w:b/>
                <w:color w:val="000000"/>
                <w:sz w:val="18"/>
                <w:szCs w:val="18"/>
              </w:rPr>
              <w:t>100,00%</w:t>
            </w:r>
          </w:p>
        </w:tc>
      </w:tr>
    </w:tbl>
    <w:p w14:paraId="18FEA046" w14:textId="77777777" w:rsidR="004C24FD" w:rsidRDefault="004C24FD" w:rsidP="004C24FD">
      <w:pPr>
        <w:rPr>
          <w:szCs w:val="22"/>
        </w:rPr>
      </w:pPr>
    </w:p>
    <w:p w14:paraId="7B574E0E" w14:textId="628FFE32" w:rsidR="004C24FD" w:rsidRDefault="004C24FD" w:rsidP="004C24FD">
      <w:pPr>
        <w:rPr>
          <w:szCs w:val="22"/>
        </w:rPr>
      </w:pPr>
    </w:p>
    <w:p w14:paraId="2A155E09" w14:textId="7E4CF866" w:rsidR="00A87617" w:rsidRPr="00436689" w:rsidRDefault="00A87617" w:rsidP="00A87617">
      <w:pPr>
        <w:rPr>
          <w:szCs w:val="22"/>
        </w:rPr>
      </w:pPr>
      <w:r w:rsidRPr="00436689">
        <w:rPr>
          <w:szCs w:val="22"/>
        </w:rPr>
        <w:t>Natomiast dan</w:t>
      </w:r>
      <w:r w:rsidR="00D74CEF">
        <w:rPr>
          <w:szCs w:val="22"/>
        </w:rPr>
        <w:t>e</w:t>
      </w:r>
      <w:r w:rsidRPr="00436689">
        <w:rPr>
          <w:szCs w:val="22"/>
        </w:rPr>
        <w:t xml:space="preserve"> zawart</w:t>
      </w:r>
      <w:r w:rsidR="00D74CEF">
        <w:rPr>
          <w:szCs w:val="22"/>
        </w:rPr>
        <w:t>e</w:t>
      </w:r>
      <w:r w:rsidRPr="00436689">
        <w:rPr>
          <w:szCs w:val="22"/>
        </w:rPr>
        <w:t xml:space="preserve"> w rocznych sprawozdaniach </w:t>
      </w:r>
      <w:r w:rsidR="00D74CEF">
        <w:rPr>
          <w:szCs w:val="22"/>
        </w:rPr>
        <w:t xml:space="preserve">świadczą o </w:t>
      </w:r>
      <w:r w:rsidR="00023A73" w:rsidRPr="00436689">
        <w:rPr>
          <w:szCs w:val="22"/>
        </w:rPr>
        <w:t>odrzuc</w:t>
      </w:r>
      <w:r w:rsidR="00023A73">
        <w:rPr>
          <w:szCs w:val="22"/>
        </w:rPr>
        <w:t>aniu</w:t>
      </w:r>
      <w:r w:rsidR="00023A73" w:rsidRPr="00436689">
        <w:rPr>
          <w:szCs w:val="22"/>
        </w:rPr>
        <w:t xml:space="preserve"> ofert</w:t>
      </w:r>
      <w:r w:rsidR="00023A73">
        <w:rPr>
          <w:szCs w:val="22"/>
        </w:rPr>
        <w:t xml:space="preserve"> </w:t>
      </w:r>
      <w:r w:rsidR="00023A73" w:rsidRPr="00436689">
        <w:rPr>
          <w:szCs w:val="22"/>
        </w:rPr>
        <w:t xml:space="preserve">w około 24% </w:t>
      </w:r>
      <w:r w:rsidR="00023A73">
        <w:rPr>
          <w:szCs w:val="22"/>
        </w:rPr>
        <w:t>przypadków</w:t>
      </w:r>
      <w:r w:rsidR="00023A73" w:rsidRPr="00436689">
        <w:rPr>
          <w:szCs w:val="22"/>
        </w:rPr>
        <w:t xml:space="preserve"> </w:t>
      </w:r>
      <w:r w:rsidR="00DD19CD" w:rsidRPr="00436689">
        <w:rPr>
          <w:szCs w:val="22"/>
        </w:rPr>
        <w:t>(w 2021 r. – 2</w:t>
      </w:r>
      <w:r w:rsidR="00DD19CD">
        <w:rPr>
          <w:szCs w:val="22"/>
        </w:rPr>
        <w:t>1</w:t>
      </w:r>
      <w:r w:rsidR="00DD19CD" w:rsidRPr="00436689">
        <w:rPr>
          <w:szCs w:val="22"/>
        </w:rPr>
        <w:t>%)</w:t>
      </w:r>
      <w:r w:rsidRPr="00436689">
        <w:rPr>
          <w:szCs w:val="22"/>
        </w:rPr>
        <w:t xml:space="preserve"> </w:t>
      </w:r>
      <w:r w:rsidR="00D963A2">
        <w:rPr>
          <w:szCs w:val="22"/>
        </w:rPr>
        <w:t xml:space="preserve">w postępowaniach o </w:t>
      </w:r>
      <w:r w:rsidR="00D963A2" w:rsidRPr="00CB5D4D">
        <w:rPr>
          <w:szCs w:val="22"/>
        </w:rPr>
        <w:t xml:space="preserve">wartościach </w:t>
      </w:r>
      <w:r w:rsidR="00A73EB2" w:rsidRPr="00A73EB2">
        <w:rPr>
          <w:szCs w:val="22"/>
        </w:rPr>
        <w:t>równych lub przekraczających progi unijne</w:t>
      </w:r>
      <w:r w:rsidRPr="00436689">
        <w:rPr>
          <w:szCs w:val="22"/>
        </w:rPr>
        <w:t>.</w:t>
      </w:r>
      <w:r w:rsidR="009A02C1">
        <w:rPr>
          <w:szCs w:val="22"/>
        </w:rPr>
        <w:t xml:space="preserve"> </w:t>
      </w:r>
      <w:r w:rsidRPr="00436689">
        <w:rPr>
          <w:szCs w:val="22"/>
        </w:rPr>
        <w:t xml:space="preserve">W </w:t>
      </w:r>
      <w:r w:rsidR="009D6DDD">
        <w:rPr>
          <w:szCs w:val="22"/>
        </w:rPr>
        <w:t>postępowaniach</w:t>
      </w:r>
      <w:r w:rsidRPr="00436689">
        <w:rPr>
          <w:szCs w:val="22"/>
        </w:rPr>
        <w:t xml:space="preserve"> takich średnio odrzucano 1,</w:t>
      </w:r>
      <w:r w:rsidR="00436689">
        <w:rPr>
          <w:szCs w:val="22"/>
        </w:rPr>
        <w:t>0</w:t>
      </w:r>
      <w:r w:rsidRPr="00436689">
        <w:rPr>
          <w:szCs w:val="22"/>
        </w:rPr>
        <w:t>4 oferty (w 2021 r. – 1,</w:t>
      </w:r>
      <w:r w:rsidR="00436689">
        <w:rPr>
          <w:szCs w:val="22"/>
        </w:rPr>
        <w:t>0</w:t>
      </w:r>
      <w:r w:rsidRPr="00436689">
        <w:rPr>
          <w:szCs w:val="22"/>
        </w:rPr>
        <w:t xml:space="preserve">6). </w:t>
      </w:r>
    </w:p>
    <w:p w14:paraId="10C558AA" w14:textId="3C260BB5" w:rsidR="00A87617" w:rsidRDefault="00A87617" w:rsidP="00A87617">
      <w:pPr>
        <w:rPr>
          <w:szCs w:val="22"/>
        </w:rPr>
      </w:pPr>
      <w:r w:rsidRPr="002B5627">
        <w:rPr>
          <w:szCs w:val="22"/>
        </w:rPr>
        <w:t>Największą liczbę ofert odrzucano w przetargach na</w:t>
      </w:r>
      <w:r w:rsidR="002B5627">
        <w:rPr>
          <w:szCs w:val="22"/>
        </w:rPr>
        <w:t xml:space="preserve"> roboty budowlane – </w:t>
      </w:r>
      <w:r w:rsidR="002B5627" w:rsidRPr="002B5627">
        <w:rPr>
          <w:szCs w:val="22"/>
        </w:rPr>
        <w:t>średnio 1,</w:t>
      </w:r>
      <w:r w:rsidR="002B5627">
        <w:rPr>
          <w:szCs w:val="22"/>
        </w:rPr>
        <w:t>87</w:t>
      </w:r>
      <w:r w:rsidR="002B5627" w:rsidRPr="002B5627">
        <w:rPr>
          <w:szCs w:val="22"/>
        </w:rPr>
        <w:t xml:space="preserve"> oferty (w 2021 r. – 1,</w:t>
      </w:r>
      <w:r w:rsidR="002B5627">
        <w:rPr>
          <w:szCs w:val="22"/>
        </w:rPr>
        <w:t>80</w:t>
      </w:r>
      <w:r w:rsidR="002B5627" w:rsidRPr="002B5627">
        <w:rPr>
          <w:szCs w:val="22"/>
        </w:rPr>
        <w:t>)</w:t>
      </w:r>
      <w:r w:rsidR="002B5627">
        <w:rPr>
          <w:szCs w:val="22"/>
        </w:rPr>
        <w:t xml:space="preserve">. </w:t>
      </w:r>
      <w:r w:rsidRPr="00436689">
        <w:rPr>
          <w:szCs w:val="22"/>
        </w:rPr>
        <w:t xml:space="preserve">W </w:t>
      </w:r>
      <w:r w:rsidR="002B5627">
        <w:rPr>
          <w:szCs w:val="22"/>
        </w:rPr>
        <w:t>usługach</w:t>
      </w:r>
      <w:r w:rsidRPr="00436689">
        <w:rPr>
          <w:szCs w:val="22"/>
        </w:rPr>
        <w:t xml:space="preserve"> odrzucano średnio 1,</w:t>
      </w:r>
      <w:r w:rsidR="002B5627">
        <w:rPr>
          <w:szCs w:val="22"/>
        </w:rPr>
        <w:t>20</w:t>
      </w:r>
      <w:r w:rsidRPr="00436689">
        <w:rPr>
          <w:szCs w:val="22"/>
        </w:rPr>
        <w:t xml:space="preserve"> oferty (w 2021 r. – 1,</w:t>
      </w:r>
      <w:r w:rsidR="002B5627">
        <w:rPr>
          <w:szCs w:val="22"/>
        </w:rPr>
        <w:t>23</w:t>
      </w:r>
      <w:r w:rsidRPr="00436689">
        <w:rPr>
          <w:szCs w:val="22"/>
        </w:rPr>
        <w:t>) na</w:t>
      </w:r>
      <w:r w:rsidR="002B5627">
        <w:rPr>
          <w:szCs w:val="22"/>
        </w:rPr>
        <w:t>tomiast najmniej w dostawach – 0</w:t>
      </w:r>
      <w:r w:rsidRPr="00436689">
        <w:rPr>
          <w:szCs w:val="22"/>
        </w:rPr>
        <w:t>,</w:t>
      </w:r>
      <w:r w:rsidR="002B5627">
        <w:rPr>
          <w:szCs w:val="22"/>
        </w:rPr>
        <w:t>89</w:t>
      </w:r>
      <w:r w:rsidRPr="00436689">
        <w:rPr>
          <w:szCs w:val="22"/>
        </w:rPr>
        <w:t xml:space="preserve"> oferty (w 2021 r. – </w:t>
      </w:r>
      <w:r w:rsidR="002B5627">
        <w:rPr>
          <w:szCs w:val="22"/>
        </w:rPr>
        <w:t>0</w:t>
      </w:r>
      <w:r w:rsidRPr="00436689">
        <w:rPr>
          <w:szCs w:val="22"/>
        </w:rPr>
        <w:t>,</w:t>
      </w:r>
      <w:r w:rsidR="002B5627">
        <w:rPr>
          <w:szCs w:val="22"/>
        </w:rPr>
        <w:t>92</w:t>
      </w:r>
      <w:r w:rsidRPr="00436689">
        <w:rPr>
          <w:szCs w:val="22"/>
        </w:rPr>
        <w:t>).</w:t>
      </w:r>
    </w:p>
    <w:p w14:paraId="4BEFC83E" w14:textId="37298923" w:rsidR="00A05542" w:rsidRDefault="00A05542" w:rsidP="007D4DEB">
      <w:pPr>
        <w:rPr>
          <w:rFonts w:cs="Arial"/>
          <w:szCs w:val="22"/>
        </w:rPr>
      </w:pPr>
    </w:p>
    <w:p w14:paraId="4422B18E" w14:textId="2D53027B" w:rsidR="00E86891" w:rsidRPr="002B6985" w:rsidRDefault="00400E9B" w:rsidP="00D50761">
      <w:pPr>
        <w:pStyle w:val="Legenda"/>
      </w:pPr>
      <w:bookmarkStart w:id="102" w:name="_Toc141276490"/>
      <w:r w:rsidRPr="00510956">
        <w:rPr>
          <w:noProof/>
          <w:szCs w:val="22"/>
        </w:rPr>
        <w:drawing>
          <wp:anchor distT="0" distB="0" distL="114300" distR="114300" simplePos="0" relativeHeight="251663872" behindDoc="0" locked="0" layoutInCell="1" allowOverlap="1" wp14:anchorId="29FFCCAD" wp14:editId="1EA15AD9">
            <wp:simplePos x="0" y="0"/>
            <wp:positionH relativeFrom="margin">
              <wp:posOffset>-139700</wp:posOffset>
            </wp:positionH>
            <wp:positionV relativeFrom="paragraph">
              <wp:posOffset>433070</wp:posOffset>
            </wp:positionV>
            <wp:extent cx="6287135" cy="5457825"/>
            <wp:effectExtent l="0" t="0" r="0" b="9525"/>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6287135" cy="5457825"/>
                    </a:xfrm>
                    <a:prstGeom prst="rect">
                      <a:avLst/>
                    </a:prstGeom>
                    <a:noFill/>
                  </pic:spPr>
                </pic:pic>
              </a:graphicData>
            </a:graphic>
            <wp14:sizeRelH relativeFrom="margin">
              <wp14:pctWidth>0</wp14:pctWidth>
            </wp14:sizeRelH>
            <wp14:sizeRelV relativeFrom="margin">
              <wp14:pctHeight>0</wp14:pctHeight>
            </wp14:sizeRelV>
          </wp:anchor>
        </w:drawing>
      </w:r>
      <w:r w:rsidR="00E86891" w:rsidRPr="00510956">
        <w:t xml:space="preserve">Rys. </w:t>
      </w:r>
      <w:r w:rsidR="00BE2079">
        <w:fldChar w:fldCharType="begin"/>
      </w:r>
      <w:r w:rsidR="00BE2079">
        <w:instrText xml:space="preserve"> SEQ Rys. \* ARABIC </w:instrText>
      </w:r>
      <w:r w:rsidR="00BE2079">
        <w:fldChar w:fldCharType="separate"/>
      </w:r>
      <w:r w:rsidR="00A43C68">
        <w:rPr>
          <w:noProof/>
        </w:rPr>
        <w:t>12</w:t>
      </w:r>
      <w:r w:rsidR="00BE2079">
        <w:rPr>
          <w:noProof/>
        </w:rPr>
        <w:fldChar w:fldCharType="end"/>
      </w:r>
      <w:r w:rsidR="00E86891" w:rsidRPr="00510956">
        <w:t xml:space="preserve">. Średnia liczba ofert składanych </w:t>
      </w:r>
      <w:r w:rsidR="00B331E7" w:rsidRPr="00510956">
        <w:t>w 202</w:t>
      </w:r>
      <w:r w:rsidR="00510956" w:rsidRPr="00510956">
        <w:t>2</w:t>
      </w:r>
      <w:r w:rsidR="00B331E7" w:rsidRPr="00510956">
        <w:t xml:space="preserve"> r. </w:t>
      </w:r>
      <w:r w:rsidR="00E86891" w:rsidRPr="00510956">
        <w:t>w postępowaniach o wartościach poniżej progów unijnych i</w:t>
      </w:r>
      <w:r w:rsidR="00F90CC9">
        <w:t> </w:t>
      </w:r>
      <w:r w:rsidR="00A73EB2" w:rsidRPr="00A73EB2">
        <w:t>równych lub przekraczających progi unijne</w:t>
      </w:r>
      <w:r w:rsidR="00E86891" w:rsidRPr="00510956">
        <w:t xml:space="preserve"> w podziale na województwa</w:t>
      </w:r>
      <w:bookmarkEnd w:id="102"/>
    </w:p>
    <w:p w14:paraId="0202716D" w14:textId="6F516C13" w:rsidR="00E86891" w:rsidRDefault="00E86891" w:rsidP="00E86891">
      <w:pPr>
        <w:rPr>
          <w:szCs w:val="22"/>
        </w:rPr>
      </w:pPr>
    </w:p>
    <w:p w14:paraId="4F7ECC78" w14:textId="5E7306EB" w:rsidR="00E86891" w:rsidRDefault="00E86891" w:rsidP="007D4DEB">
      <w:pPr>
        <w:rPr>
          <w:rFonts w:cs="Arial"/>
          <w:szCs w:val="22"/>
        </w:rPr>
      </w:pPr>
    </w:p>
    <w:p w14:paraId="6A916E4F" w14:textId="77777777" w:rsidR="004463FB" w:rsidRDefault="004463FB"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4463FB" w:rsidRPr="001E7D51" w14:paraId="7A7FAEDB" w14:textId="77777777" w:rsidTr="00521494">
        <w:trPr>
          <w:cantSplit/>
        </w:trPr>
        <w:tc>
          <w:tcPr>
            <w:tcW w:w="236" w:type="dxa"/>
            <w:shd w:val="clear" w:color="auto" w:fill="B8CCE4"/>
          </w:tcPr>
          <w:p w14:paraId="6841B320" w14:textId="77777777" w:rsidR="004463FB" w:rsidRPr="001E7D51" w:rsidRDefault="004463FB" w:rsidP="00F058DB">
            <w:pPr>
              <w:rPr>
                <w:sz w:val="24"/>
              </w:rPr>
            </w:pPr>
          </w:p>
        </w:tc>
        <w:tc>
          <w:tcPr>
            <w:tcW w:w="8676" w:type="dxa"/>
          </w:tcPr>
          <w:p w14:paraId="3B81B814" w14:textId="79EB0DA4" w:rsidR="004463FB" w:rsidRPr="00661667" w:rsidRDefault="004463FB" w:rsidP="00F058DB">
            <w:pPr>
              <w:pStyle w:val="Nagwek3"/>
              <w:shd w:val="clear" w:color="auto" w:fill="FFFFFF"/>
              <w:spacing w:after="120"/>
              <w:ind w:left="0"/>
              <w:rPr>
                <w:color w:val="0070C0"/>
                <w:sz w:val="24"/>
                <w:szCs w:val="24"/>
              </w:rPr>
            </w:pPr>
            <w:bookmarkStart w:id="103" w:name="_Toc64451862"/>
            <w:bookmarkStart w:id="104" w:name="_Toc141276441"/>
            <w:r w:rsidRPr="00661667">
              <w:rPr>
                <w:color w:val="0070C0"/>
                <w:sz w:val="24"/>
                <w:szCs w:val="24"/>
              </w:rPr>
              <w:t>II.2.</w:t>
            </w:r>
            <w:r w:rsidR="00870A10" w:rsidRPr="00661667">
              <w:rPr>
                <w:color w:val="0070C0"/>
                <w:sz w:val="24"/>
                <w:szCs w:val="24"/>
              </w:rPr>
              <w:t>5</w:t>
            </w:r>
            <w:r w:rsidRPr="00661667">
              <w:rPr>
                <w:color w:val="0070C0"/>
                <w:sz w:val="24"/>
                <w:szCs w:val="24"/>
              </w:rPr>
              <w:t>. Udział w zamówieniach publicznych wykonawców z sektora MŚP</w:t>
            </w:r>
            <w:bookmarkEnd w:id="103"/>
            <w:bookmarkEnd w:id="104"/>
          </w:p>
        </w:tc>
      </w:tr>
    </w:tbl>
    <w:p w14:paraId="7759CFD1" w14:textId="09E56837" w:rsidR="00A05542" w:rsidRDefault="00A05542" w:rsidP="00111739"/>
    <w:p w14:paraId="5DA44D29" w14:textId="77777777" w:rsidR="00A377F0" w:rsidRPr="00661667" w:rsidRDefault="00A377F0" w:rsidP="00A377F0">
      <w:pPr>
        <w:pStyle w:val="StylArial11ptWyjustowany"/>
        <w:numPr>
          <w:ilvl w:val="0"/>
          <w:numId w:val="70"/>
        </w:numPr>
        <w:shd w:val="clear" w:color="auto" w:fill="FFFFFF"/>
        <w:jc w:val="left"/>
        <w:rPr>
          <w:rFonts w:cs="Arial"/>
          <w:b/>
          <w:iCs/>
          <w:color w:val="0070C0"/>
          <w:szCs w:val="22"/>
        </w:rPr>
      </w:pPr>
      <w:r w:rsidRPr="00661667">
        <w:rPr>
          <w:rFonts w:cs="Arial"/>
          <w:b/>
          <w:iCs/>
          <w:color w:val="0070C0"/>
          <w:szCs w:val="22"/>
        </w:rPr>
        <w:t>Zamówienia o wartościach poniżej progów unijnych</w:t>
      </w:r>
    </w:p>
    <w:p w14:paraId="2F7B58B8" w14:textId="415EC007" w:rsidR="00CA688C" w:rsidRDefault="00CA688C" w:rsidP="00111739"/>
    <w:p w14:paraId="7A797793" w14:textId="3247E37A" w:rsidR="00275324" w:rsidRDefault="00275324" w:rsidP="00275324">
      <w:pPr>
        <w:rPr>
          <w:szCs w:val="22"/>
        </w:rPr>
      </w:pPr>
      <w:r>
        <w:rPr>
          <w:szCs w:val="22"/>
        </w:rPr>
        <w:t xml:space="preserve">W 2022 r. ok. 81% (w 2021 r. – ok. 88%) składanych ofert </w:t>
      </w:r>
      <w:r w:rsidRPr="005F163B">
        <w:rPr>
          <w:szCs w:val="22"/>
        </w:rPr>
        <w:t>pochodziło od wykonawców z sektora MŚP</w:t>
      </w:r>
      <w:r>
        <w:rPr>
          <w:szCs w:val="22"/>
        </w:rPr>
        <w:t xml:space="preserve"> (</w:t>
      </w:r>
      <w:r w:rsidR="00065CED">
        <w:t>dane z ogłoszeń z BZP</w:t>
      </w:r>
      <w:r>
        <w:rPr>
          <w:szCs w:val="22"/>
        </w:rPr>
        <w:t xml:space="preserve">). </w:t>
      </w:r>
      <w:r w:rsidRPr="005F163B">
        <w:rPr>
          <w:szCs w:val="22"/>
        </w:rPr>
        <w:t xml:space="preserve">Największym zainteresowaniem tej grupy przedsiębiorców cieszyły się zamówienia na </w:t>
      </w:r>
      <w:r w:rsidR="00065CED">
        <w:rPr>
          <w:szCs w:val="22"/>
        </w:rPr>
        <w:t>roboty budowlane</w:t>
      </w:r>
      <w:r w:rsidRPr="005F163B">
        <w:rPr>
          <w:szCs w:val="22"/>
        </w:rPr>
        <w:t xml:space="preserve"> – </w:t>
      </w:r>
      <w:r>
        <w:rPr>
          <w:szCs w:val="22"/>
        </w:rPr>
        <w:t>9</w:t>
      </w:r>
      <w:r w:rsidR="00065CED">
        <w:rPr>
          <w:szCs w:val="22"/>
        </w:rPr>
        <w:t>5</w:t>
      </w:r>
      <w:r w:rsidRPr="005F163B">
        <w:rPr>
          <w:szCs w:val="22"/>
        </w:rPr>
        <w:t xml:space="preserve">% złożonych ofert. Z kolei w postępowaniach na </w:t>
      </w:r>
      <w:r>
        <w:rPr>
          <w:szCs w:val="22"/>
        </w:rPr>
        <w:t>dostawy</w:t>
      </w:r>
      <w:r w:rsidRPr="005F163B">
        <w:rPr>
          <w:szCs w:val="22"/>
        </w:rPr>
        <w:t xml:space="preserve"> </w:t>
      </w:r>
      <w:r w:rsidR="00065CED">
        <w:rPr>
          <w:szCs w:val="22"/>
        </w:rPr>
        <w:t xml:space="preserve">i usługi </w:t>
      </w:r>
      <w:r w:rsidRPr="005F163B">
        <w:rPr>
          <w:szCs w:val="22"/>
        </w:rPr>
        <w:t xml:space="preserve">odsetek ofert od MŚP wynosił </w:t>
      </w:r>
      <w:r>
        <w:rPr>
          <w:szCs w:val="22"/>
        </w:rPr>
        <w:t>odpowiednio</w:t>
      </w:r>
      <w:r w:rsidRPr="005F163B">
        <w:rPr>
          <w:szCs w:val="22"/>
        </w:rPr>
        <w:t xml:space="preserve"> 7</w:t>
      </w:r>
      <w:r>
        <w:rPr>
          <w:szCs w:val="22"/>
        </w:rPr>
        <w:t>6</w:t>
      </w:r>
      <w:r w:rsidRPr="005F163B">
        <w:rPr>
          <w:szCs w:val="22"/>
        </w:rPr>
        <w:t>%</w:t>
      </w:r>
      <w:r>
        <w:rPr>
          <w:szCs w:val="22"/>
        </w:rPr>
        <w:t xml:space="preserve"> oraz </w:t>
      </w:r>
      <w:r w:rsidR="00065CED">
        <w:rPr>
          <w:szCs w:val="22"/>
        </w:rPr>
        <w:t>77</w:t>
      </w:r>
      <w:r>
        <w:rPr>
          <w:szCs w:val="22"/>
        </w:rPr>
        <w:t>%</w:t>
      </w:r>
      <w:r w:rsidRPr="005F163B">
        <w:rPr>
          <w:szCs w:val="22"/>
        </w:rPr>
        <w:t>.</w:t>
      </w:r>
    </w:p>
    <w:p w14:paraId="4F627E9E" w14:textId="77777777" w:rsidR="00275324" w:rsidRDefault="00275324" w:rsidP="00111739"/>
    <w:p w14:paraId="6AF9B225" w14:textId="69F039DD" w:rsidR="00A377F0" w:rsidRDefault="008F7BE2" w:rsidP="00111739">
      <w:r>
        <w:t>W</w:t>
      </w:r>
      <w:r w:rsidRPr="00AF033A">
        <w:t xml:space="preserve"> postępowaniach o wartościach poniżej progów unijnych </w:t>
      </w:r>
      <w:r>
        <w:t>o</w:t>
      </w:r>
      <w:r w:rsidR="00AF033A" w:rsidRPr="00AF033A">
        <w:t xml:space="preserve">ferty złożone przez przedsiębiorców z sektora MŚP uznano za najkorzystniejsze w </w:t>
      </w:r>
      <w:r w:rsidR="00AF033A">
        <w:t>7</w:t>
      </w:r>
      <w:r w:rsidR="00AF033A" w:rsidRPr="00AF033A">
        <w:t>1% zamówień</w:t>
      </w:r>
      <w:r w:rsidR="00AF033A">
        <w:t xml:space="preserve">. Natomiast </w:t>
      </w:r>
      <w:r w:rsidR="00AF033A" w:rsidRPr="00AF033A">
        <w:t xml:space="preserve">kwota zamówień udzielonych wykonawcom </w:t>
      </w:r>
      <w:r w:rsidR="00AF033A">
        <w:t xml:space="preserve">MŚP </w:t>
      </w:r>
      <w:r w:rsidR="00AF033A" w:rsidRPr="00AF033A">
        <w:t>stanowiła 8</w:t>
      </w:r>
      <w:r w:rsidR="00AF033A">
        <w:t>1</w:t>
      </w:r>
      <w:r w:rsidR="00AF033A" w:rsidRPr="00AF033A">
        <w:t>% ogólnej wartości tych zamówień.</w:t>
      </w:r>
    </w:p>
    <w:p w14:paraId="3AAB47C4" w14:textId="654F849C" w:rsidR="00AF033A" w:rsidRDefault="00AF033A" w:rsidP="00111739"/>
    <w:p w14:paraId="0559665A" w14:textId="5821E669" w:rsidR="006842D2" w:rsidRDefault="006842D2" w:rsidP="006842D2">
      <w:pPr>
        <w:pStyle w:val="Legenda"/>
      </w:pPr>
      <w:bookmarkStart w:id="105" w:name="_Toc141276525"/>
      <w:r w:rsidRPr="00E13DF6">
        <w:t xml:space="preserve">Tab. </w:t>
      </w:r>
      <w:r w:rsidR="00BE2079">
        <w:fldChar w:fldCharType="begin"/>
      </w:r>
      <w:r w:rsidR="00BE2079">
        <w:instrText xml:space="preserve"> SEQ Tab. \* ARABIC </w:instrText>
      </w:r>
      <w:r w:rsidR="00BE2079">
        <w:fldChar w:fldCharType="separate"/>
      </w:r>
      <w:r w:rsidR="00A43C68">
        <w:rPr>
          <w:noProof/>
        </w:rPr>
        <w:t>18</w:t>
      </w:r>
      <w:r w:rsidR="00BE2079">
        <w:rPr>
          <w:noProof/>
        </w:rPr>
        <w:fldChar w:fldCharType="end"/>
      </w:r>
      <w:r w:rsidRPr="00E13DF6">
        <w:t>. Odsetek zamówień udzielonych wykonawcom z sektora MŚP</w:t>
      </w:r>
      <w:r>
        <w:t xml:space="preserve"> (postępowania o wartościach poniżej progów unijnych)</w:t>
      </w:r>
      <w:bookmarkEnd w:id="105"/>
    </w:p>
    <w:tbl>
      <w:tblPr>
        <w:tblW w:w="7484" w:type="dxa"/>
        <w:tblInd w:w="-5" w:type="dxa"/>
        <w:tblLayout w:type="fixed"/>
        <w:tblLook w:val="04A0" w:firstRow="1" w:lastRow="0" w:firstColumn="1" w:lastColumn="0" w:noHBand="0" w:noVBand="1"/>
      </w:tblPr>
      <w:tblGrid>
        <w:gridCol w:w="3515"/>
        <w:gridCol w:w="1984"/>
        <w:gridCol w:w="1985"/>
      </w:tblGrid>
      <w:tr w:rsidR="006842D2" w:rsidRPr="00842D79" w14:paraId="049D678D" w14:textId="77777777" w:rsidTr="00CC0814">
        <w:trPr>
          <w:tblHeader/>
        </w:trPr>
        <w:tc>
          <w:tcPr>
            <w:tcW w:w="3515" w:type="dxa"/>
            <w:tcBorders>
              <w:right w:val="single" w:sz="4" w:space="0" w:color="FFFFFF"/>
            </w:tcBorders>
            <w:shd w:val="clear" w:color="auto" w:fill="002060"/>
            <w:vAlign w:val="center"/>
          </w:tcPr>
          <w:p w14:paraId="51B845F6" w14:textId="77777777" w:rsidR="006842D2" w:rsidRPr="00842D79" w:rsidRDefault="006842D2" w:rsidP="00CC0814">
            <w:pPr>
              <w:spacing w:before="60" w:after="60"/>
              <w:jc w:val="center"/>
              <w:rPr>
                <w:b/>
                <w:sz w:val="18"/>
                <w:szCs w:val="18"/>
              </w:rPr>
            </w:pPr>
            <w:r w:rsidRPr="00842D79">
              <w:rPr>
                <w:b/>
                <w:sz w:val="18"/>
                <w:szCs w:val="18"/>
              </w:rPr>
              <w:t>Rodzaj zamówienia</w:t>
            </w:r>
          </w:p>
        </w:tc>
        <w:tc>
          <w:tcPr>
            <w:tcW w:w="1984" w:type="dxa"/>
            <w:tcBorders>
              <w:left w:val="single" w:sz="4" w:space="0" w:color="FFFFFF"/>
            </w:tcBorders>
            <w:shd w:val="clear" w:color="auto" w:fill="002060"/>
            <w:vAlign w:val="center"/>
          </w:tcPr>
          <w:p w14:paraId="2560E235" w14:textId="77777777" w:rsidR="006842D2" w:rsidRPr="00842D79" w:rsidRDefault="006842D2" w:rsidP="00CC0814">
            <w:pPr>
              <w:spacing w:before="60" w:after="60"/>
              <w:jc w:val="center"/>
              <w:rPr>
                <w:b/>
                <w:sz w:val="18"/>
                <w:szCs w:val="18"/>
              </w:rPr>
            </w:pPr>
            <w:r w:rsidRPr="00842D79">
              <w:rPr>
                <w:b/>
                <w:sz w:val="18"/>
                <w:szCs w:val="18"/>
              </w:rPr>
              <w:t xml:space="preserve">Odsetek liczby </w:t>
            </w:r>
          </w:p>
        </w:tc>
        <w:tc>
          <w:tcPr>
            <w:tcW w:w="1985" w:type="dxa"/>
            <w:tcBorders>
              <w:left w:val="single" w:sz="4" w:space="0" w:color="FFFFFF"/>
            </w:tcBorders>
            <w:shd w:val="clear" w:color="auto" w:fill="002060"/>
            <w:vAlign w:val="center"/>
          </w:tcPr>
          <w:p w14:paraId="10D2DE0E" w14:textId="77777777" w:rsidR="006842D2" w:rsidRPr="00842D79" w:rsidRDefault="006842D2" w:rsidP="00CC0814">
            <w:pPr>
              <w:spacing w:before="60" w:after="60"/>
              <w:jc w:val="center"/>
              <w:rPr>
                <w:b/>
                <w:sz w:val="18"/>
                <w:szCs w:val="18"/>
              </w:rPr>
            </w:pPr>
            <w:r w:rsidRPr="00842D79">
              <w:rPr>
                <w:b/>
                <w:sz w:val="18"/>
                <w:szCs w:val="18"/>
              </w:rPr>
              <w:t xml:space="preserve">Odsetek wartości </w:t>
            </w:r>
          </w:p>
        </w:tc>
      </w:tr>
      <w:tr w:rsidR="006842D2" w:rsidRPr="00842D79" w14:paraId="099B1B06" w14:textId="77777777" w:rsidTr="00CC0814">
        <w:tc>
          <w:tcPr>
            <w:tcW w:w="3515" w:type="dxa"/>
            <w:tcBorders>
              <w:right w:val="single" w:sz="4" w:space="0" w:color="FFFFFF"/>
            </w:tcBorders>
            <w:shd w:val="clear" w:color="auto" w:fill="auto"/>
            <w:vAlign w:val="center"/>
          </w:tcPr>
          <w:p w14:paraId="259A42FF" w14:textId="77777777" w:rsidR="006842D2" w:rsidRPr="00842D79" w:rsidRDefault="006842D2" w:rsidP="00CC0814">
            <w:pPr>
              <w:autoSpaceDE w:val="0"/>
              <w:autoSpaceDN w:val="0"/>
              <w:adjustRightInd w:val="0"/>
              <w:spacing w:before="60" w:after="60"/>
              <w:jc w:val="left"/>
              <w:rPr>
                <w:color w:val="000000"/>
                <w:sz w:val="18"/>
                <w:szCs w:val="18"/>
              </w:rPr>
            </w:pPr>
            <w:r w:rsidRPr="00842D79">
              <w:rPr>
                <w:color w:val="000000"/>
                <w:sz w:val="18"/>
                <w:szCs w:val="18"/>
              </w:rPr>
              <w:t>Roboty budowlane</w:t>
            </w:r>
          </w:p>
        </w:tc>
        <w:tc>
          <w:tcPr>
            <w:tcW w:w="1984" w:type="dxa"/>
            <w:tcBorders>
              <w:left w:val="single" w:sz="4" w:space="0" w:color="FFFFFF"/>
            </w:tcBorders>
            <w:shd w:val="clear" w:color="auto" w:fill="auto"/>
            <w:vAlign w:val="center"/>
          </w:tcPr>
          <w:p w14:paraId="2A090203" w14:textId="33B12B09" w:rsidR="006842D2" w:rsidRPr="00842D79" w:rsidRDefault="00DF6090" w:rsidP="00CC0814">
            <w:pPr>
              <w:autoSpaceDE w:val="0"/>
              <w:autoSpaceDN w:val="0"/>
              <w:adjustRightInd w:val="0"/>
              <w:spacing w:before="60" w:after="60"/>
              <w:jc w:val="center"/>
              <w:rPr>
                <w:color w:val="000000"/>
                <w:sz w:val="18"/>
                <w:szCs w:val="18"/>
              </w:rPr>
            </w:pPr>
            <w:r>
              <w:rPr>
                <w:color w:val="000000"/>
                <w:sz w:val="18"/>
                <w:szCs w:val="18"/>
              </w:rPr>
              <w:t>88</w:t>
            </w:r>
            <w:r w:rsidR="006842D2" w:rsidRPr="00842D79">
              <w:rPr>
                <w:color w:val="000000"/>
                <w:sz w:val="18"/>
                <w:szCs w:val="18"/>
              </w:rPr>
              <w:t>%</w:t>
            </w:r>
          </w:p>
        </w:tc>
        <w:tc>
          <w:tcPr>
            <w:tcW w:w="1985" w:type="dxa"/>
            <w:tcBorders>
              <w:left w:val="single" w:sz="4" w:space="0" w:color="FFFFFF"/>
            </w:tcBorders>
            <w:shd w:val="clear" w:color="auto" w:fill="auto"/>
            <w:vAlign w:val="center"/>
          </w:tcPr>
          <w:p w14:paraId="369EEA9B" w14:textId="30223B68" w:rsidR="006842D2" w:rsidRPr="00842D79" w:rsidRDefault="00DF6090" w:rsidP="00CC0814">
            <w:pPr>
              <w:autoSpaceDE w:val="0"/>
              <w:autoSpaceDN w:val="0"/>
              <w:adjustRightInd w:val="0"/>
              <w:jc w:val="center"/>
              <w:rPr>
                <w:color w:val="000000"/>
                <w:sz w:val="18"/>
                <w:szCs w:val="18"/>
              </w:rPr>
            </w:pPr>
            <w:r>
              <w:rPr>
                <w:color w:val="000000"/>
                <w:sz w:val="18"/>
                <w:szCs w:val="18"/>
              </w:rPr>
              <w:t>86</w:t>
            </w:r>
            <w:r w:rsidR="006842D2" w:rsidRPr="00842D79">
              <w:rPr>
                <w:color w:val="000000"/>
                <w:sz w:val="18"/>
                <w:szCs w:val="18"/>
              </w:rPr>
              <w:t>%</w:t>
            </w:r>
          </w:p>
        </w:tc>
      </w:tr>
      <w:tr w:rsidR="006842D2" w:rsidRPr="00842D79" w14:paraId="74715CB4" w14:textId="77777777" w:rsidTr="00CC0814">
        <w:tc>
          <w:tcPr>
            <w:tcW w:w="3515" w:type="dxa"/>
            <w:tcBorders>
              <w:right w:val="single" w:sz="4" w:space="0" w:color="FFFFFF"/>
            </w:tcBorders>
            <w:shd w:val="clear" w:color="auto" w:fill="00B0F0"/>
            <w:vAlign w:val="center"/>
          </w:tcPr>
          <w:p w14:paraId="1E685913" w14:textId="77777777" w:rsidR="006842D2" w:rsidRPr="00842D79" w:rsidRDefault="006842D2" w:rsidP="00CC0814">
            <w:pPr>
              <w:autoSpaceDE w:val="0"/>
              <w:autoSpaceDN w:val="0"/>
              <w:adjustRightInd w:val="0"/>
              <w:spacing w:before="60" w:after="60"/>
              <w:jc w:val="left"/>
              <w:rPr>
                <w:color w:val="000000"/>
                <w:sz w:val="18"/>
                <w:szCs w:val="18"/>
              </w:rPr>
            </w:pPr>
            <w:r w:rsidRPr="00842D79">
              <w:rPr>
                <w:color w:val="000000"/>
                <w:sz w:val="18"/>
                <w:szCs w:val="18"/>
              </w:rPr>
              <w:t>Dostawy</w:t>
            </w:r>
          </w:p>
        </w:tc>
        <w:tc>
          <w:tcPr>
            <w:tcW w:w="1984" w:type="dxa"/>
            <w:tcBorders>
              <w:left w:val="single" w:sz="4" w:space="0" w:color="FFFFFF"/>
            </w:tcBorders>
            <w:shd w:val="clear" w:color="auto" w:fill="00B0F0"/>
            <w:vAlign w:val="center"/>
          </w:tcPr>
          <w:p w14:paraId="242DE19B" w14:textId="5B0DD9E1" w:rsidR="006842D2" w:rsidRPr="00842D79" w:rsidRDefault="006842D2" w:rsidP="00DF6090">
            <w:pPr>
              <w:autoSpaceDE w:val="0"/>
              <w:autoSpaceDN w:val="0"/>
              <w:adjustRightInd w:val="0"/>
              <w:spacing w:before="60" w:after="60"/>
              <w:jc w:val="center"/>
              <w:rPr>
                <w:color w:val="000000"/>
                <w:sz w:val="18"/>
                <w:szCs w:val="18"/>
              </w:rPr>
            </w:pPr>
            <w:r>
              <w:rPr>
                <w:color w:val="000000"/>
                <w:sz w:val="18"/>
                <w:szCs w:val="18"/>
              </w:rPr>
              <w:t>6</w:t>
            </w:r>
            <w:r w:rsidR="00DF6090">
              <w:rPr>
                <w:color w:val="000000"/>
                <w:sz w:val="18"/>
                <w:szCs w:val="18"/>
              </w:rPr>
              <w:t>4</w:t>
            </w:r>
            <w:r w:rsidRPr="00842D79">
              <w:rPr>
                <w:color w:val="000000"/>
                <w:sz w:val="18"/>
                <w:szCs w:val="18"/>
              </w:rPr>
              <w:t>%</w:t>
            </w:r>
          </w:p>
        </w:tc>
        <w:tc>
          <w:tcPr>
            <w:tcW w:w="1985" w:type="dxa"/>
            <w:tcBorders>
              <w:left w:val="single" w:sz="4" w:space="0" w:color="FFFFFF"/>
            </w:tcBorders>
            <w:shd w:val="clear" w:color="auto" w:fill="00B0F0"/>
            <w:vAlign w:val="center"/>
          </w:tcPr>
          <w:p w14:paraId="0F34B787" w14:textId="7AB054AA" w:rsidR="006842D2" w:rsidRPr="00842D79" w:rsidRDefault="00DF6090" w:rsidP="00CC0814">
            <w:pPr>
              <w:autoSpaceDE w:val="0"/>
              <w:autoSpaceDN w:val="0"/>
              <w:adjustRightInd w:val="0"/>
              <w:jc w:val="center"/>
              <w:rPr>
                <w:color w:val="000000"/>
                <w:sz w:val="18"/>
                <w:szCs w:val="18"/>
              </w:rPr>
            </w:pPr>
            <w:r>
              <w:rPr>
                <w:color w:val="000000"/>
                <w:sz w:val="18"/>
                <w:szCs w:val="18"/>
              </w:rPr>
              <w:t>6</w:t>
            </w:r>
            <w:r w:rsidR="006842D2">
              <w:rPr>
                <w:color w:val="000000"/>
                <w:sz w:val="18"/>
                <w:szCs w:val="18"/>
              </w:rPr>
              <w:t>9</w:t>
            </w:r>
            <w:r w:rsidR="006842D2" w:rsidRPr="00842D79">
              <w:rPr>
                <w:color w:val="000000"/>
                <w:sz w:val="18"/>
                <w:szCs w:val="18"/>
              </w:rPr>
              <w:t>%</w:t>
            </w:r>
          </w:p>
        </w:tc>
      </w:tr>
      <w:tr w:rsidR="006842D2" w:rsidRPr="00842D79" w14:paraId="3E568513" w14:textId="77777777" w:rsidTr="00CC0814">
        <w:tc>
          <w:tcPr>
            <w:tcW w:w="3515" w:type="dxa"/>
            <w:tcBorders>
              <w:right w:val="single" w:sz="4" w:space="0" w:color="FFFFFF"/>
            </w:tcBorders>
            <w:shd w:val="clear" w:color="auto" w:fill="auto"/>
            <w:vAlign w:val="center"/>
          </w:tcPr>
          <w:p w14:paraId="3BFE5B1B" w14:textId="77777777" w:rsidR="006842D2" w:rsidRPr="00842D79" w:rsidRDefault="006842D2" w:rsidP="00CC0814">
            <w:pPr>
              <w:autoSpaceDE w:val="0"/>
              <w:autoSpaceDN w:val="0"/>
              <w:adjustRightInd w:val="0"/>
              <w:spacing w:before="60" w:after="60"/>
              <w:jc w:val="left"/>
              <w:rPr>
                <w:color w:val="000000"/>
                <w:sz w:val="18"/>
                <w:szCs w:val="18"/>
              </w:rPr>
            </w:pPr>
            <w:r w:rsidRPr="00842D79">
              <w:rPr>
                <w:color w:val="000000"/>
                <w:sz w:val="18"/>
                <w:szCs w:val="18"/>
              </w:rPr>
              <w:t>Usługi</w:t>
            </w:r>
          </w:p>
        </w:tc>
        <w:tc>
          <w:tcPr>
            <w:tcW w:w="1984" w:type="dxa"/>
            <w:tcBorders>
              <w:left w:val="single" w:sz="4" w:space="0" w:color="FFFFFF"/>
            </w:tcBorders>
            <w:shd w:val="clear" w:color="auto" w:fill="auto"/>
            <w:vAlign w:val="center"/>
          </w:tcPr>
          <w:p w14:paraId="27F9DC13" w14:textId="657F37C8" w:rsidR="006842D2" w:rsidRPr="00842D79" w:rsidRDefault="00DF6090" w:rsidP="00CC0814">
            <w:pPr>
              <w:autoSpaceDE w:val="0"/>
              <w:autoSpaceDN w:val="0"/>
              <w:adjustRightInd w:val="0"/>
              <w:spacing w:before="60" w:after="60"/>
              <w:jc w:val="center"/>
              <w:rPr>
                <w:color w:val="000000"/>
                <w:sz w:val="18"/>
                <w:szCs w:val="18"/>
              </w:rPr>
            </w:pPr>
            <w:r>
              <w:rPr>
                <w:color w:val="000000"/>
                <w:sz w:val="18"/>
                <w:szCs w:val="18"/>
              </w:rPr>
              <w:t>6</w:t>
            </w:r>
            <w:r w:rsidR="006842D2">
              <w:rPr>
                <w:color w:val="000000"/>
                <w:sz w:val="18"/>
                <w:szCs w:val="18"/>
              </w:rPr>
              <w:t>9</w:t>
            </w:r>
            <w:r w:rsidR="006842D2" w:rsidRPr="00842D79">
              <w:rPr>
                <w:color w:val="000000"/>
                <w:sz w:val="18"/>
                <w:szCs w:val="18"/>
              </w:rPr>
              <w:t>%</w:t>
            </w:r>
          </w:p>
        </w:tc>
        <w:tc>
          <w:tcPr>
            <w:tcW w:w="1985" w:type="dxa"/>
            <w:tcBorders>
              <w:left w:val="single" w:sz="4" w:space="0" w:color="FFFFFF"/>
            </w:tcBorders>
            <w:shd w:val="clear" w:color="auto" w:fill="auto"/>
            <w:vAlign w:val="center"/>
          </w:tcPr>
          <w:p w14:paraId="377C8065" w14:textId="12235213" w:rsidR="006842D2" w:rsidRPr="00842D79" w:rsidRDefault="00DF6090" w:rsidP="00CC0814">
            <w:pPr>
              <w:autoSpaceDE w:val="0"/>
              <w:autoSpaceDN w:val="0"/>
              <w:adjustRightInd w:val="0"/>
              <w:jc w:val="center"/>
              <w:rPr>
                <w:color w:val="000000"/>
                <w:sz w:val="18"/>
                <w:szCs w:val="18"/>
              </w:rPr>
            </w:pPr>
            <w:r>
              <w:rPr>
                <w:color w:val="000000"/>
                <w:sz w:val="18"/>
                <w:szCs w:val="18"/>
              </w:rPr>
              <w:t>64</w:t>
            </w:r>
            <w:r w:rsidR="006842D2" w:rsidRPr="00842D79">
              <w:rPr>
                <w:color w:val="000000"/>
                <w:sz w:val="18"/>
                <w:szCs w:val="18"/>
              </w:rPr>
              <w:t>%</w:t>
            </w:r>
          </w:p>
        </w:tc>
      </w:tr>
      <w:tr w:rsidR="006842D2" w:rsidRPr="00842D79" w14:paraId="59AA99CB" w14:textId="77777777" w:rsidTr="00CC0814">
        <w:tc>
          <w:tcPr>
            <w:tcW w:w="3515" w:type="dxa"/>
            <w:tcBorders>
              <w:right w:val="single" w:sz="4" w:space="0" w:color="FFFFFF"/>
            </w:tcBorders>
            <w:shd w:val="clear" w:color="auto" w:fill="00B0F0"/>
            <w:vAlign w:val="center"/>
          </w:tcPr>
          <w:p w14:paraId="183BF056" w14:textId="77777777" w:rsidR="006842D2" w:rsidRPr="00842D79" w:rsidRDefault="006842D2" w:rsidP="00CC0814">
            <w:pPr>
              <w:autoSpaceDE w:val="0"/>
              <w:autoSpaceDN w:val="0"/>
              <w:adjustRightInd w:val="0"/>
              <w:spacing w:before="60" w:after="60"/>
              <w:jc w:val="center"/>
              <w:rPr>
                <w:b/>
                <w:color w:val="000000"/>
                <w:sz w:val="18"/>
                <w:szCs w:val="18"/>
              </w:rPr>
            </w:pPr>
            <w:r w:rsidRPr="00842D79">
              <w:rPr>
                <w:b/>
                <w:color w:val="000000"/>
                <w:sz w:val="18"/>
                <w:szCs w:val="18"/>
              </w:rPr>
              <w:t>Ogółem</w:t>
            </w:r>
          </w:p>
        </w:tc>
        <w:tc>
          <w:tcPr>
            <w:tcW w:w="1984" w:type="dxa"/>
            <w:tcBorders>
              <w:left w:val="single" w:sz="4" w:space="0" w:color="FFFFFF"/>
            </w:tcBorders>
            <w:shd w:val="clear" w:color="auto" w:fill="00B0F0"/>
            <w:vAlign w:val="center"/>
          </w:tcPr>
          <w:p w14:paraId="4E7FE331" w14:textId="7C48F41C" w:rsidR="006842D2" w:rsidRPr="00842D79" w:rsidRDefault="006842D2" w:rsidP="004B5D54">
            <w:pPr>
              <w:autoSpaceDE w:val="0"/>
              <w:autoSpaceDN w:val="0"/>
              <w:adjustRightInd w:val="0"/>
              <w:spacing w:before="60" w:after="60"/>
              <w:jc w:val="center"/>
              <w:rPr>
                <w:b/>
                <w:color w:val="000000"/>
                <w:sz w:val="18"/>
                <w:szCs w:val="18"/>
              </w:rPr>
            </w:pPr>
            <w:r>
              <w:rPr>
                <w:b/>
                <w:color w:val="000000"/>
                <w:sz w:val="18"/>
                <w:szCs w:val="18"/>
              </w:rPr>
              <w:t>7</w:t>
            </w:r>
            <w:r w:rsidR="004B5D54">
              <w:rPr>
                <w:b/>
                <w:color w:val="000000"/>
                <w:sz w:val="18"/>
                <w:szCs w:val="18"/>
              </w:rPr>
              <w:t>1</w:t>
            </w:r>
            <w:r w:rsidRPr="00842D79">
              <w:rPr>
                <w:b/>
                <w:color w:val="000000"/>
                <w:sz w:val="18"/>
                <w:szCs w:val="18"/>
              </w:rPr>
              <w:t>%</w:t>
            </w:r>
          </w:p>
        </w:tc>
        <w:tc>
          <w:tcPr>
            <w:tcW w:w="1985" w:type="dxa"/>
            <w:tcBorders>
              <w:left w:val="single" w:sz="4" w:space="0" w:color="FFFFFF"/>
            </w:tcBorders>
            <w:shd w:val="clear" w:color="auto" w:fill="00B0F0"/>
            <w:vAlign w:val="center"/>
          </w:tcPr>
          <w:p w14:paraId="1B3BA160" w14:textId="2F28841B" w:rsidR="006842D2" w:rsidRPr="00842D79" w:rsidRDefault="00AA3955" w:rsidP="00CC0814">
            <w:pPr>
              <w:autoSpaceDE w:val="0"/>
              <w:autoSpaceDN w:val="0"/>
              <w:adjustRightInd w:val="0"/>
              <w:jc w:val="center"/>
              <w:rPr>
                <w:b/>
                <w:color w:val="000000"/>
                <w:sz w:val="18"/>
                <w:szCs w:val="18"/>
              </w:rPr>
            </w:pPr>
            <w:r>
              <w:rPr>
                <w:b/>
                <w:color w:val="000000"/>
                <w:sz w:val="18"/>
                <w:szCs w:val="18"/>
              </w:rPr>
              <w:t>81</w:t>
            </w:r>
            <w:r w:rsidR="006842D2" w:rsidRPr="00842D79">
              <w:rPr>
                <w:b/>
                <w:color w:val="000000"/>
                <w:sz w:val="18"/>
                <w:szCs w:val="18"/>
              </w:rPr>
              <w:t>%</w:t>
            </w:r>
          </w:p>
        </w:tc>
      </w:tr>
    </w:tbl>
    <w:p w14:paraId="369F35DB" w14:textId="77777777" w:rsidR="006842D2" w:rsidRDefault="006842D2" w:rsidP="00111739"/>
    <w:p w14:paraId="00A89770" w14:textId="77777777" w:rsidR="00A377F0" w:rsidRDefault="00A377F0" w:rsidP="00111739"/>
    <w:p w14:paraId="726E03CB" w14:textId="2C889C0C" w:rsidR="004C24FD" w:rsidRPr="00EA7DBE" w:rsidRDefault="004C24FD" w:rsidP="00AE0334">
      <w:pPr>
        <w:pStyle w:val="StylArial11ptWyjustowany"/>
        <w:numPr>
          <w:ilvl w:val="0"/>
          <w:numId w:val="70"/>
        </w:numPr>
        <w:shd w:val="clear" w:color="auto" w:fill="FFFFFF"/>
        <w:jc w:val="left"/>
        <w:rPr>
          <w:rFonts w:cs="Arial"/>
          <w:b/>
          <w:iCs/>
          <w:color w:val="0070C0"/>
          <w:szCs w:val="22"/>
        </w:rPr>
      </w:pPr>
      <w:r w:rsidRPr="00EA7DBE">
        <w:rPr>
          <w:rFonts w:cs="Arial"/>
          <w:b/>
          <w:iCs/>
          <w:color w:val="0070C0"/>
          <w:szCs w:val="22"/>
        </w:rPr>
        <w:t xml:space="preserve">Zamówienia o wartościach </w:t>
      </w:r>
      <w:r w:rsidR="00AE0334" w:rsidRPr="00AE0334">
        <w:rPr>
          <w:rFonts w:cs="Arial"/>
          <w:b/>
          <w:iCs/>
          <w:color w:val="0070C0"/>
          <w:szCs w:val="22"/>
        </w:rPr>
        <w:t>równych lub przekraczających progi unijne</w:t>
      </w:r>
    </w:p>
    <w:p w14:paraId="01946CC6" w14:textId="77777777" w:rsidR="004C24FD" w:rsidRDefault="004C24FD" w:rsidP="004C24FD">
      <w:pPr>
        <w:rPr>
          <w:szCs w:val="22"/>
        </w:rPr>
      </w:pPr>
    </w:p>
    <w:p w14:paraId="3356472A" w14:textId="07500822" w:rsidR="00F42828" w:rsidRDefault="0030217C" w:rsidP="00F42828">
      <w:pPr>
        <w:rPr>
          <w:szCs w:val="22"/>
        </w:rPr>
      </w:pPr>
      <w:r>
        <w:rPr>
          <w:szCs w:val="22"/>
        </w:rPr>
        <w:t>W</w:t>
      </w:r>
      <w:r w:rsidR="00F42828">
        <w:rPr>
          <w:szCs w:val="22"/>
        </w:rPr>
        <w:t xml:space="preserve"> 2022 r. ok. 56% (w 2021 r. – ok. 58%) składanych ofert </w:t>
      </w:r>
      <w:r w:rsidR="00F42828" w:rsidRPr="005F163B">
        <w:rPr>
          <w:szCs w:val="22"/>
        </w:rPr>
        <w:t>pochodziło od wykonawców z sektora MŚP</w:t>
      </w:r>
      <w:r>
        <w:rPr>
          <w:szCs w:val="22"/>
        </w:rPr>
        <w:t xml:space="preserve"> (dane ze sprawozdań rocznych)</w:t>
      </w:r>
      <w:r w:rsidR="00F42828">
        <w:rPr>
          <w:szCs w:val="22"/>
        </w:rPr>
        <w:t xml:space="preserve">. </w:t>
      </w:r>
      <w:r w:rsidR="00F42828" w:rsidRPr="005F163B">
        <w:rPr>
          <w:szCs w:val="22"/>
        </w:rPr>
        <w:t xml:space="preserve">Największym zainteresowaniem tej grupy przedsiębiorców cieszyły się zamówienia na </w:t>
      </w:r>
      <w:r w:rsidR="00F42828">
        <w:rPr>
          <w:szCs w:val="22"/>
        </w:rPr>
        <w:t>usługi</w:t>
      </w:r>
      <w:r w:rsidR="00F42828" w:rsidRPr="005F163B">
        <w:rPr>
          <w:szCs w:val="22"/>
        </w:rPr>
        <w:t xml:space="preserve"> – </w:t>
      </w:r>
      <w:r w:rsidR="00F42828">
        <w:rPr>
          <w:szCs w:val="22"/>
        </w:rPr>
        <w:t>79</w:t>
      </w:r>
      <w:r w:rsidR="00F42828" w:rsidRPr="005F163B">
        <w:rPr>
          <w:szCs w:val="22"/>
        </w:rPr>
        <w:t xml:space="preserve">% złożonych ofert. Z kolei w postępowaniach na </w:t>
      </w:r>
      <w:r w:rsidR="00F42828">
        <w:rPr>
          <w:szCs w:val="22"/>
        </w:rPr>
        <w:t>roboty budowlane</w:t>
      </w:r>
      <w:r w:rsidR="00F42828" w:rsidRPr="005F163B">
        <w:rPr>
          <w:szCs w:val="22"/>
        </w:rPr>
        <w:t xml:space="preserve"> i </w:t>
      </w:r>
      <w:r w:rsidR="00F42828">
        <w:rPr>
          <w:szCs w:val="22"/>
        </w:rPr>
        <w:t>dostawy</w:t>
      </w:r>
      <w:r w:rsidR="00F42828" w:rsidRPr="005F163B">
        <w:rPr>
          <w:szCs w:val="22"/>
        </w:rPr>
        <w:t xml:space="preserve"> odsetek ofert od MŚP wynosił </w:t>
      </w:r>
      <w:r w:rsidR="00F42828">
        <w:rPr>
          <w:szCs w:val="22"/>
        </w:rPr>
        <w:t>odpowiednio</w:t>
      </w:r>
      <w:r w:rsidR="00F42828" w:rsidRPr="005F163B">
        <w:rPr>
          <w:szCs w:val="22"/>
        </w:rPr>
        <w:t xml:space="preserve"> 7</w:t>
      </w:r>
      <w:r w:rsidR="00F42828">
        <w:rPr>
          <w:szCs w:val="22"/>
        </w:rPr>
        <w:t>6</w:t>
      </w:r>
      <w:r w:rsidR="00F42828" w:rsidRPr="005F163B">
        <w:rPr>
          <w:szCs w:val="22"/>
        </w:rPr>
        <w:t>%</w:t>
      </w:r>
      <w:r w:rsidR="00F42828">
        <w:rPr>
          <w:szCs w:val="22"/>
        </w:rPr>
        <w:t xml:space="preserve"> oraz 48%</w:t>
      </w:r>
      <w:r w:rsidR="00F42828" w:rsidRPr="005F163B">
        <w:rPr>
          <w:szCs w:val="22"/>
        </w:rPr>
        <w:t>.</w:t>
      </w:r>
    </w:p>
    <w:p w14:paraId="0FF4DD4B" w14:textId="77777777" w:rsidR="00F42828" w:rsidRDefault="00F42828" w:rsidP="00F42828">
      <w:pPr>
        <w:rPr>
          <w:szCs w:val="22"/>
        </w:rPr>
      </w:pPr>
    </w:p>
    <w:p w14:paraId="3FDA4137" w14:textId="2C1027D9" w:rsidR="00F42828" w:rsidRDefault="00F42828" w:rsidP="00F42828">
      <w:pPr>
        <w:rPr>
          <w:szCs w:val="22"/>
        </w:rPr>
      </w:pPr>
      <w:r>
        <w:rPr>
          <w:szCs w:val="22"/>
        </w:rPr>
        <w:t>O</w:t>
      </w:r>
      <w:r w:rsidRPr="005F163B">
        <w:rPr>
          <w:szCs w:val="22"/>
        </w:rPr>
        <w:t>ferty złożone przez przedsiębiorców z sektora MŚP</w:t>
      </w:r>
      <w:r>
        <w:rPr>
          <w:szCs w:val="22"/>
        </w:rPr>
        <w:t xml:space="preserve"> </w:t>
      </w:r>
      <w:r w:rsidRPr="005F163B">
        <w:rPr>
          <w:szCs w:val="22"/>
        </w:rPr>
        <w:t>uznano za najkorzystniejsze w</w:t>
      </w:r>
      <w:r>
        <w:rPr>
          <w:szCs w:val="22"/>
        </w:rPr>
        <w:t> </w:t>
      </w:r>
      <w:r w:rsidR="00096C5C">
        <w:rPr>
          <w:szCs w:val="22"/>
        </w:rPr>
        <w:t>73</w:t>
      </w:r>
      <w:r w:rsidRPr="005F163B">
        <w:rPr>
          <w:szCs w:val="22"/>
        </w:rPr>
        <w:t xml:space="preserve">% </w:t>
      </w:r>
      <w:r>
        <w:rPr>
          <w:szCs w:val="22"/>
        </w:rPr>
        <w:t xml:space="preserve">postępowań (w </w:t>
      </w:r>
      <w:r w:rsidR="00096C5C">
        <w:rPr>
          <w:szCs w:val="22"/>
        </w:rPr>
        <w:t>2021 r. –</w:t>
      </w:r>
      <w:r>
        <w:rPr>
          <w:szCs w:val="22"/>
        </w:rPr>
        <w:t xml:space="preserve"> ok. 6</w:t>
      </w:r>
      <w:r w:rsidR="00096C5C">
        <w:rPr>
          <w:szCs w:val="22"/>
        </w:rPr>
        <w:t>9</w:t>
      </w:r>
      <w:r>
        <w:rPr>
          <w:szCs w:val="22"/>
        </w:rPr>
        <w:t xml:space="preserve">%), a </w:t>
      </w:r>
      <w:r w:rsidR="001B5B23">
        <w:rPr>
          <w:szCs w:val="22"/>
        </w:rPr>
        <w:t xml:space="preserve">kwota udzielonych im </w:t>
      </w:r>
      <w:r w:rsidR="006778BB">
        <w:rPr>
          <w:szCs w:val="22"/>
        </w:rPr>
        <w:t xml:space="preserve">zamówień stanowiła </w:t>
      </w:r>
      <w:r w:rsidR="001F6397">
        <w:rPr>
          <w:szCs w:val="22"/>
        </w:rPr>
        <w:t>53</w:t>
      </w:r>
      <w:r>
        <w:rPr>
          <w:szCs w:val="22"/>
        </w:rPr>
        <w:t>% ogólnej wartości (</w:t>
      </w:r>
      <w:r w:rsidR="001F6397">
        <w:rPr>
          <w:szCs w:val="22"/>
        </w:rPr>
        <w:t>w 2021 r. –</w:t>
      </w:r>
      <w:r>
        <w:rPr>
          <w:szCs w:val="22"/>
        </w:rPr>
        <w:t xml:space="preserve"> 4</w:t>
      </w:r>
      <w:r w:rsidR="001F6397">
        <w:rPr>
          <w:szCs w:val="22"/>
        </w:rPr>
        <w:t>9</w:t>
      </w:r>
      <w:r>
        <w:rPr>
          <w:szCs w:val="22"/>
        </w:rPr>
        <w:t>%).</w:t>
      </w:r>
    </w:p>
    <w:p w14:paraId="041B43B3" w14:textId="77777777" w:rsidR="00C624D1" w:rsidRDefault="00C624D1" w:rsidP="004C24FD">
      <w:pPr>
        <w:rPr>
          <w:szCs w:val="22"/>
        </w:rPr>
      </w:pPr>
    </w:p>
    <w:p w14:paraId="50A6684E" w14:textId="165768B0" w:rsidR="004C24FD" w:rsidRDefault="004C24FD" w:rsidP="004C24FD">
      <w:pPr>
        <w:pStyle w:val="Legenda"/>
      </w:pPr>
      <w:bookmarkStart w:id="106" w:name="_Toc141276526"/>
      <w:r w:rsidRPr="00E13DF6">
        <w:t xml:space="preserve">Tab. </w:t>
      </w:r>
      <w:r w:rsidR="00BE2079">
        <w:fldChar w:fldCharType="begin"/>
      </w:r>
      <w:r w:rsidR="00BE2079">
        <w:instrText xml:space="preserve"> SEQ Tab. \* ARABIC </w:instrText>
      </w:r>
      <w:r w:rsidR="00BE2079">
        <w:fldChar w:fldCharType="separate"/>
      </w:r>
      <w:r w:rsidR="00A43C68">
        <w:rPr>
          <w:noProof/>
        </w:rPr>
        <w:t>19</w:t>
      </w:r>
      <w:r w:rsidR="00BE2079">
        <w:rPr>
          <w:noProof/>
        </w:rPr>
        <w:fldChar w:fldCharType="end"/>
      </w:r>
      <w:r w:rsidRPr="00E13DF6">
        <w:t>. Odsetek zamówień udzielonych wykonawcom z sektora MŚP</w:t>
      </w:r>
      <w:r w:rsidR="00F835F8">
        <w:t xml:space="preserve"> </w:t>
      </w:r>
      <w:r w:rsidR="00F835F8" w:rsidRPr="00F835F8">
        <w:t xml:space="preserve">(postępowania o wartościach </w:t>
      </w:r>
      <w:r w:rsidR="00AE0334" w:rsidRPr="00AE0334">
        <w:t>równych lub przekraczających progi unijne</w:t>
      </w:r>
      <w:r w:rsidR="00F835F8" w:rsidRPr="00F835F8">
        <w:t>)</w:t>
      </w:r>
      <w:bookmarkEnd w:id="106"/>
    </w:p>
    <w:tbl>
      <w:tblPr>
        <w:tblW w:w="7484" w:type="dxa"/>
        <w:tblInd w:w="-5" w:type="dxa"/>
        <w:tblLayout w:type="fixed"/>
        <w:tblLook w:val="04A0" w:firstRow="1" w:lastRow="0" w:firstColumn="1" w:lastColumn="0" w:noHBand="0" w:noVBand="1"/>
      </w:tblPr>
      <w:tblGrid>
        <w:gridCol w:w="3515"/>
        <w:gridCol w:w="1984"/>
        <w:gridCol w:w="1985"/>
      </w:tblGrid>
      <w:tr w:rsidR="004C24FD" w:rsidRPr="00842D79" w14:paraId="44B2DE09" w14:textId="77777777" w:rsidTr="0042706A">
        <w:trPr>
          <w:tblHeader/>
        </w:trPr>
        <w:tc>
          <w:tcPr>
            <w:tcW w:w="3515" w:type="dxa"/>
            <w:tcBorders>
              <w:right w:val="single" w:sz="4" w:space="0" w:color="FFFFFF"/>
            </w:tcBorders>
            <w:shd w:val="clear" w:color="auto" w:fill="002060"/>
            <w:vAlign w:val="center"/>
          </w:tcPr>
          <w:p w14:paraId="1AFC4630" w14:textId="77777777" w:rsidR="004C24FD" w:rsidRPr="00842D79" w:rsidRDefault="004C24FD" w:rsidP="0042706A">
            <w:pPr>
              <w:spacing w:before="60" w:after="60"/>
              <w:jc w:val="center"/>
              <w:rPr>
                <w:b/>
                <w:sz w:val="18"/>
                <w:szCs w:val="18"/>
              </w:rPr>
            </w:pPr>
            <w:r w:rsidRPr="00842D79">
              <w:rPr>
                <w:b/>
                <w:sz w:val="18"/>
                <w:szCs w:val="18"/>
              </w:rPr>
              <w:t>Rodzaj zamówienia</w:t>
            </w:r>
          </w:p>
        </w:tc>
        <w:tc>
          <w:tcPr>
            <w:tcW w:w="1984" w:type="dxa"/>
            <w:tcBorders>
              <w:left w:val="single" w:sz="4" w:space="0" w:color="FFFFFF"/>
            </w:tcBorders>
            <w:shd w:val="clear" w:color="auto" w:fill="002060"/>
            <w:vAlign w:val="center"/>
          </w:tcPr>
          <w:p w14:paraId="5B1D6EB6" w14:textId="77777777" w:rsidR="004C24FD" w:rsidRPr="00842D79" w:rsidRDefault="004C24FD" w:rsidP="0042706A">
            <w:pPr>
              <w:spacing w:before="60" w:after="60"/>
              <w:jc w:val="center"/>
              <w:rPr>
                <w:b/>
                <w:sz w:val="18"/>
                <w:szCs w:val="18"/>
              </w:rPr>
            </w:pPr>
            <w:r w:rsidRPr="00842D79">
              <w:rPr>
                <w:b/>
                <w:sz w:val="18"/>
                <w:szCs w:val="18"/>
              </w:rPr>
              <w:t xml:space="preserve">Odsetek liczby </w:t>
            </w:r>
          </w:p>
        </w:tc>
        <w:tc>
          <w:tcPr>
            <w:tcW w:w="1985" w:type="dxa"/>
            <w:tcBorders>
              <w:left w:val="single" w:sz="4" w:space="0" w:color="FFFFFF"/>
            </w:tcBorders>
            <w:shd w:val="clear" w:color="auto" w:fill="002060"/>
            <w:vAlign w:val="center"/>
          </w:tcPr>
          <w:p w14:paraId="132D1CB4" w14:textId="77777777" w:rsidR="004C24FD" w:rsidRPr="00842D79" w:rsidRDefault="004C24FD" w:rsidP="0042706A">
            <w:pPr>
              <w:spacing w:before="60" w:after="60"/>
              <w:jc w:val="center"/>
              <w:rPr>
                <w:b/>
                <w:sz w:val="18"/>
                <w:szCs w:val="18"/>
              </w:rPr>
            </w:pPr>
            <w:r w:rsidRPr="00842D79">
              <w:rPr>
                <w:b/>
                <w:sz w:val="18"/>
                <w:szCs w:val="18"/>
              </w:rPr>
              <w:t xml:space="preserve">Odsetek wartości </w:t>
            </w:r>
          </w:p>
        </w:tc>
      </w:tr>
      <w:tr w:rsidR="004C24FD" w:rsidRPr="00842D79" w14:paraId="4FB2BA66" w14:textId="77777777" w:rsidTr="0042706A">
        <w:tc>
          <w:tcPr>
            <w:tcW w:w="3515" w:type="dxa"/>
            <w:tcBorders>
              <w:right w:val="single" w:sz="4" w:space="0" w:color="FFFFFF"/>
            </w:tcBorders>
            <w:shd w:val="clear" w:color="auto" w:fill="auto"/>
            <w:vAlign w:val="center"/>
          </w:tcPr>
          <w:p w14:paraId="1CFCE566" w14:textId="77777777" w:rsidR="004C24FD" w:rsidRPr="00842D79" w:rsidRDefault="004C24FD" w:rsidP="0042706A">
            <w:pPr>
              <w:autoSpaceDE w:val="0"/>
              <w:autoSpaceDN w:val="0"/>
              <w:adjustRightInd w:val="0"/>
              <w:spacing w:before="60" w:after="60"/>
              <w:jc w:val="left"/>
              <w:rPr>
                <w:color w:val="000000"/>
                <w:sz w:val="18"/>
                <w:szCs w:val="18"/>
              </w:rPr>
            </w:pPr>
            <w:r w:rsidRPr="00842D79">
              <w:rPr>
                <w:color w:val="000000"/>
                <w:sz w:val="18"/>
                <w:szCs w:val="18"/>
              </w:rPr>
              <w:t>Roboty budowlane</w:t>
            </w:r>
          </w:p>
        </w:tc>
        <w:tc>
          <w:tcPr>
            <w:tcW w:w="1984" w:type="dxa"/>
            <w:tcBorders>
              <w:left w:val="single" w:sz="4" w:space="0" w:color="FFFFFF"/>
            </w:tcBorders>
            <w:shd w:val="clear" w:color="auto" w:fill="auto"/>
            <w:vAlign w:val="center"/>
          </w:tcPr>
          <w:p w14:paraId="2CF943A3" w14:textId="5C23E408" w:rsidR="004C24FD" w:rsidRPr="00842D79" w:rsidRDefault="004C24FD" w:rsidP="00E13DF6">
            <w:pPr>
              <w:autoSpaceDE w:val="0"/>
              <w:autoSpaceDN w:val="0"/>
              <w:adjustRightInd w:val="0"/>
              <w:spacing w:before="60" w:after="60"/>
              <w:jc w:val="center"/>
              <w:rPr>
                <w:color w:val="000000"/>
                <w:sz w:val="18"/>
                <w:szCs w:val="18"/>
              </w:rPr>
            </w:pPr>
            <w:r w:rsidRPr="00842D79">
              <w:rPr>
                <w:color w:val="000000"/>
                <w:sz w:val="18"/>
                <w:szCs w:val="18"/>
              </w:rPr>
              <w:t>7</w:t>
            </w:r>
            <w:r w:rsidR="00E13DF6">
              <w:rPr>
                <w:color w:val="000000"/>
                <w:sz w:val="18"/>
                <w:szCs w:val="18"/>
              </w:rPr>
              <w:t>9</w:t>
            </w:r>
            <w:r w:rsidRPr="00842D79">
              <w:rPr>
                <w:color w:val="000000"/>
                <w:sz w:val="18"/>
                <w:szCs w:val="18"/>
              </w:rPr>
              <w:t>%</w:t>
            </w:r>
          </w:p>
        </w:tc>
        <w:tc>
          <w:tcPr>
            <w:tcW w:w="1985" w:type="dxa"/>
            <w:tcBorders>
              <w:left w:val="single" w:sz="4" w:space="0" w:color="FFFFFF"/>
            </w:tcBorders>
            <w:shd w:val="clear" w:color="auto" w:fill="auto"/>
            <w:vAlign w:val="center"/>
          </w:tcPr>
          <w:p w14:paraId="71A485ED" w14:textId="4165C1A6" w:rsidR="004C24FD" w:rsidRPr="00842D79" w:rsidRDefault="0039160F" w:rsidP="0042706A">
            <w:pPr>
              <w:autoSpaceDE w:val="0"/>
              <w:autoSpaceDN w:val="0"/>
              <w:adjustRightInd w:val="0"/>
              <w:jc w:val="center"/>
              <w:rPr>
                <w:color w:val="000000"/>
                <w:sz w:val="18"/>
                <w:szCs w:val="18"/>
              </w:rPr>
            </w:pPr>
            <w:r>
              <w:rPr>
                <w:color w:val="000000"/>
                <w:sz w:val="18"/>
                <w:szCs w:val="18"/>
              </w:rPr>
              <w:t>39</w:t>
            </w:r>
            <w:r w:rsidR="004C24FD" w:rsidRPr="00842D79">
              <w:rPr>
                <w:color w:val="000000"/>
                <w:sz w:val="18"/>
                <w:szCs w:val="18"/>
              </w:rPr>
              <w:t>%</w:t>
            </w:r>
          </w:p>
        </w:tc>
      </w:tr>
      <w:tr w:rsidR="004C24FD" w:rsidRPr="00842D79" w14:paraId="61B8682A" w14:textId="77777777" w:rsidTr="0042706A">
        <w:tc>
          <w:tcPr>
            <w:tcW w:w="3515" w:type="dxa"/>
            <w:tcBorders>
              <w:right w:val="single" w:sz="4" w:space="0" w:color="FFFFFF"/>
            </w:tcBorders>
            <w:shd w:val="clear" w:color="auto" w:fill="00B0F0"/>
            <w:vAlign w:val="center"/>
          </w:tcPr>
          <w:p w14:paraId="16A5CB13" w14:textId="77777777" w:rsidR="004C24FD" w:rsidRPr="00842D79" w:rsidRDefault="004C24FD" w:rsidP="0042706A">
            <w:pPr>
              <w:autoSpaceDE w:val="0"/>
              <w:autoSpaceDN w:val="0"/>
              <w:adjustRightInd w:val="0"/>
              <w:spacing w:before="60" w:after="60"/>
              <w:jc w:val="left"/>
              <w:rPr>
                <w:color w:val="000000"/>
                <w:sz w:val="18"/>
                <w:szCs w:val="18"/>
              </w:rPr>
            </w:pPr>
            <w:r w:rsidRPr="00842D79">
              <w:rPr>
                <w:color w:val="000000"/>
                <w:sz w:val="18"/>
                <w:szCs w:val="18"/>
              </w:rPr>
              <w:t>Dostawy</w:t>
            </w:r>
          </w:p>
        </w:tc>
        <w:tc>
          <w:tcPr>
            <w:tcW w:w="1984" w:type="dxa"/>
            <w:tcBorders>
              <w:left w:val="single" w:sz="4" w:space="0" w:color="FFFFFF"/>
            </w:tcBorders>
            <w:shd w:val="clear" w:color="auto" w:fill="00B0F0"/>
            <w:vAlign w:val="center"/>
          </w:tcPr>
          <w:p w14:paraId="716C6095" w14:textId="111A4BA8" w:rsidR="004C24FD" w:rsidRPr="00842D79" w:rsidRDefault="00E13DF6" w:rsidP="0042706A">
            <w:pPr>
              <w:autoSpaceDE w:val="0"/>
              <w:autoSpaceDN w:val="0"/>
              <w:adjustRightInd w:val="0"/>
              <w:spacing w:before="60" w:after="60"/>
              <w:jc w:val="center"/>
              <w:rPr>
                <w:color w:val="000000"/>
                <w:sz w:val="18"/>
                <w:szCs w:val="18"/>
              </w:rPr>
            </w:pPr>
            <w:r>
              <w:rPr>
                <w:color w:val="000000"/>
                <w:sz w:val="18"/>
                <w:szCs w:val="18"/>
              </w:rPr>
              <w:t>69</w:t>
            </w:r>
            <w:r w:rsidR="004C24FD" w:rsidRPr="00842D79">
              <w:rPr>
                <w:color w:val="000000"/>
                <w:sz w:val="18"/>
                <w:szCs w:val="18"/>
              </w:rPr>
              <w:t>%</w:t>
            </w:r>
          </w:p>
        </w:tc>
        <w:tc>
          <w:tcPr>
            <w:tcW w:w="1985" w:type="dxa"/>
            <w:tcBorders>
              <w:left w:val="single" w:sz="4" w:space="0" w:color="FFFFFF"/>
            </w:tcBorders>
            <w:shd w:val="clear" w:color="auto" w:fill="00B0F0"/>
            <w:vAlign w:val="center"/>
          </w:tcPr>
          <w:p w14:paraId="65C2154F" w14:textId="669585CF" w:rsidR="004C24FD" w:rsidRPr="00842D79" w:rsidRDefault="0039160F" w:rsidP="0042706A">
            <w:pPr>
              <w:autoSpaceDE w:val="0"/>
              <w:autoSpaceDN w:val="0"/>
              <w:adjustRightInd w:val="0"/>
              <w:jc w:val="center"/>
              <w:rPr>
                <w:color w:val="000000"/>
                <w:sz w:val="18"/>
                <w:szCs w:val="18"/>
              </w:rPr>
            </w:pPr>
            <w:r>
              <w:rPr>
                <w:color w:val="000000"/>
                <w:sz w:val="18"/>
                <w:szCs w:val="18"/>
              </w:rPr>
              <w:t>49</w:t>
            </w:r>
            <w:r w:rsidR="004C24FD" w:rsidRPr="00842D79">
              <w:rPr>
                <w:color w:val="000000"/>
                <w:sz w:val="18"/>
                <w:szCs w:val="18"/>
              </w:rPr>
              <w:t>%</w:t>
            </w:r>
          </w:p>
        </w:tc>
      </w:tr>
      <w:tr w:rsidR="004C24FD" w:rsidRPr="00842D79" w14:paraId="489E57AB" w14:textId="77777777" w:rsidTr="0042706A">
        <w:tc>
          <w:tcPr>
            <w:tcW w:w="3515" w:type="dxa"/>
            <w:tcBorders>
              <w:right w:val="single" w:sz="4" w:space="0" w:color="FFFFFF"/>
            </w:tcBorders>
            <w:shd w:val="clear" w:color="auto" w:fill="auto"/>
            <w:vAlign w:val="center"/>
          </w:tcPr>
          <w:p w14:paraId="7A8105BF" w14:textId="77777777" w:rsidR="004C24FD" w:rsidRPr="00842D79" w:rsidRDefault="004C24FD" w:rsidP="0042706A">
            <w:pPr>
              <w:autoSpaceDE w:val="0"/>
              <w:autoSpaceDN w:val="0"/>
              <w:adjustRightInd w:val="0"/>
              <w:spacing w:before="60" w:after="60"/>
              <w:jc w:val="left"/>
              <w:rPr>
                <w:color w:val="000000"/>
                <w:sz w:val="18"/>
                <w:szCs w:val="18"/>
              </w:rPr>
            </w:pPr>
            <w:r w:rsidRPr="00842D79">
              <w:rPr>
                <w:color w:val="000000"/>
                <w:sz w:val="18"/>
                <w:szCs w:val="18"/>
              </w:rPr>
              <w:t>Usługi</w:t>
            </w:r>
          </w:p>
        </w:tc>
        <w:tc>
          <w:tcPr>
            <w:tcW w:w="1984" w:type="dxa"/>
            <w:tcBorders>
              <w:left w:val="single" w:sz="4" w:space="0" w:color="FFFFFF"/>
            </w:tcBorders>
            <w:shd w:val="clear" w:color="auto" w:fill="auto"/>
            <w:vAlign w:val="center"/>
          </w:tcPr>
          <w:p w14:paraId="42C65F35" w14:textId="628B56E1" w:rsidR="004C24FD" w:rsidRPr="00842D79" w:rsidRDefault="004C24FD" w:rsidP="00E13DF6">
            <w:pPr>
              <w:autoSpaceDE w:val="0"/>
              <w:autoSpaceDN w:val="0"/>
              <w:adjustRightInd w:val="0"/>
              <w:spacing w:before="60" w:after="60"/>
              <w:jc w:val="center"/>
              <w:rPr>
                <w:color w:val="000000"/>
                <w:sz w:val="18"/>
                <w:szCs w:val="18"/>
              </w:rPr>
            </w:pPr>
            <w:r w:rsidRPr="00842D79">
              <w:rPr>
                <w:color w:val="000000"/>
                <w:sz w:val="18"/>
                <w:szCs w:val="18"/>
              </w:rPr>
              <w:t>7</w:t>
            </w:r>
            <w:r w:rsidR="00E13DF6">
              <w:rPr>
                <w:color w:val="000000"/>
                <w:sz w:val="18"/>
                <w:szCs w:val="18"/>
              </w:rPr>
              <w:t>9</w:t>
            </w:r>
            <w:r w:rsidRPr="00842D79">
              <w:rPr>
                <w:color w:val="000000"/>
                <w:sz w:val="18"/>
                <w:szCs w:val="18"/>
              </w:rPr>
              <w:t>%</w:t>
            </w:r>
          </w:p>
        </w:tc>
        <w:tc>
          <w:tcPr>
            <w:tcW w:w="1985" w:type="dxa"/>
            <w:tcBorders>
              <w:left w:val="single" w:sz="4" w:space="0" w:color="FFFFFF"/>
            </w:tcBorders>
            <w:shd w:val="clear" w:color="auto" w:fill="auto"/>
            <w:vAlign w:val="center"/>
          </w:tcPr>
          <w:p w14:paraId="4F3F409B" w14:textId="5B7580BC" w:rsidR="004C24FD" w:rsidRPr="00842D79" w:rsidRDefault="0039160F" w:rsidP="0042706A">
            <w:pPr>
              <w:autoSpaceDE w:val="0"/>
              <w:autoSpaceDN w:val="0"/>
              <w:adjustRightInd w:val="0"/>
              <w:jc w:val="center"/>
              <w:rPr>
                <w:color w:val="000000"/>
                <w:sz w:val="18"/>
                <w:szCs w:val="18"/>
              </w:rPr>
            </w:pPr>
            <w:r>
              <w:rPr>
                <w:color w:val="000000"/>
                <w:sz w:val="18"/>
                <w:szCs w:val="18"/>
              </w:rPr>
              <w:t>66</w:t>
            </w:r>
            <w:r w:rsidR="004C24FD" w:rsidRPr="00842D79">
              <w:rPr>
                <w:color w:val="000000"/>
                <w:sz w:val="18"/>
                <w:szCs w:val="18"/>
              </w:rPr>
              <w:t>%</w:t>
            </w:r>
          </w:p>
        </w:tc>
      </w:tr>
      <w:tr w:rsidR="004C24FD" w:rsidRPr="00842D79" w14:paraId="7CB9D610" w14:textId="77777777" w:rsidTr="0042706A">
        <w:tc>
          <w:tcPr>
            <w:tcW w:w="3515" w:type="dxa"/>
            <w:tcBorders>
              <w:right w:val="single" w:sz="4" w:space="0" w:color="FFFFFF"/>
            </w:tcBorders>
            <w:shd w:val="clear" w:color="auto" w:fill="00B0F0"/>
            <w:vAlign w:val="center"/>
          </w:tcPr>
          <w:p w14:paraId="7D962165" w14:textId="77777777" w:rsidR="004C24FD" w:rsidRPr="00842D79" w:rsidRDefault="004C24FD" w:rsidP="0042706A">
            <w:pPr>
              <w:autoSpaceDE w:val="0"/>
              <w:autoSpaceDN w:val="0"/>
              <w:adjustRightInd w:val="0"/>
              <w:spacing w:before="60" w:after="60"/>
              <w:jc w:val="center"/>
              <w:rPr>
                <w:b/>
                <w:color w:val="000000"/>
                <w:sz w:val="18"/>
                <w:szCs w:val="18"/>
              </w:rPr>
            </w:pPr>
            <w:r w:rsidRPr="00842D79">
              <w:rPr>
                <w:b/>
                <w:color w:val="000000"/>
                <w:sz w:val="18"/>
                <w:szCs w:val="18"/>
              </w:rPr>
              <w:t>Ogółem</w:t>
            </w:r>
          </w:p>
        </w:tc>
        <w:tc>
          <w:tcPr>
            <w:tcW w:w="1984" w:type="dxa"/>
            <w:tcBorders>
              <w:left w:val="single" w:sz="4" w:space="0" w:color="FFFFFF"/>
            </w:tcBorders>
            <w:shd w:val="clear" w:color="auto" w:fill="00B0F0"/>
            <w:vAlign w:val="center"/>
          </w:tcPr>
          <w:p w14:paraId="038C1D93" w14:textId="24977B69" w:rsidR="004C24FD" w:rsidRPr="00842D79" w:rsidRDefault="00E13DF6" w:rsidP="0042706A">
            <w:pPr>
              <w:autoSpaceDE w:val="0"/>
              <w:autoSpaceDN w:val="0"/>
              <w:adjustRightInd w:val="0"/>
              <w:spacing w:before="60" w:after="60"/>
              <w:jc w:val="center"/>
              <w:rPr>
                <w:b/>
                <w:color w:val="000000"/>
                <w:sz w:val="18"/>
                <w:szCs w:val="18"/>
              </w:rPr>
            </w:pPr>
            <w:r>
              <w:rPr>
                <w:b/>
                <w:color w:val="000000"/>
                <w:sz w:val="18"/>
                <w:szCs w:val="18"/>
              </w:rPr>
              <w:t>73</w:t>
            </w:r>
            <w:r w:rsidR="004C24FD" w:rsidRPr="00842D79">
              <w:rPr>
                <w:b/>
                <w:color w:val="000000"/>
                <w:sz w:val="18"/>
                <w:szCs w:val="18"/>
              </w:rPr>
              <w:t>%</w:t>
            </w:r>
          </w:p>
        </w:tc>
        <w:tc>
          <w:tcPr>
            <w:tcW w:w="1985" w:type="dxa"/>
            <w:tcBorders>
              <w:left w:val="single" w:sz="4" w:space="0" w:color="FFFFFF"/>
            </w:tcBorders>
            <w:shd w:val="clear" w:color="auto" w:fill="00B0F0"/>
            <w:vAlign w:val="center"/>
          </w:tcPr>
          <w:p w14:paraId="315749E0" w14:textId="576FDE15" w:rsidR="004C24FD" w:rsidRPr="00842D79" w:rsidRDefault="0039160F" w:rsidP="0042706A">
            <w:pPr>
              <w:autoSpaceDE w:val="0"/>
              <w:autoSpaceDN w:val="0"/>
              <w:adjustRightInd w:val="0"/>
              <w:jc w:val="center"/>
              <w:rPr>
                <w:b/>
                <w:color w:val="000000"/>
                <w:sz w:val="18"/>
                <w:szCs w:val="18"/>
              </w:rPr>
            </w:pPr>
            <w:r>
              <w:rPr>
                <w:b/>
                <w:color w:val="000000"/>
                <w:sz w:val="18"/>
                <w:szCs w:val="18"/>
              </w:rPr>
              <w:t>53</w:t>
            </w:r>
            <w:r w:rsidR="004C24FD" w:rsidRPr="00842D79">
              <w:rPr>
                <w:b/>
                <w:color w:val="000000"/>
                <w:sz w:val="18"/>
                <w:szCs w:val="18"/>
              </w:rPr>
              <w:t>%</w:t>
            </w:r>
          </w:p>
        </w:tc>
      </w:tr>
    </w:tbl>
    <w:p w14:paraId="00560CCB" w14:textId="77777777" w:rsidR="004C24FD" w:rsidRDefault="004C24FD" w:rsidP="004C24FD">
      <w:pPr>
        <w:rPr>
          <w:szCs w:val="22"/>
        </w:rPr>
      </w:pPr>
    </w:p>
    <w:p w14:paraId="3EC5996D" w14:textId="77777777" w:rsidR="004463FB" w:rsidRDefault="004463FB"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636D3882" w14:textId="77777777" w:rsidTr="004D2CDB">
        <w:trPr>
          <w:cantSplit/>
        </w:trPr>
        <w:tc>
          <w:tcPr>
            <w:tcW w:w="236" w:type="dxa"/>
            <w:shd w:val="clear" w:color="auto" w:fill="B8CCE4"/>
          </w:tcPr>
          <w:p w14:paraId="3D9BB377" w14:textId="77777777" w:rsidR="00716498" w:rsidRPr="001E7D51" w:rsidRDefault="00716498" w:rsidP="00F058DB">
            <w:pPr>
              <w:rPr>
                <w:sz w:val="24"/>
              </w:rPr>
            </w:pPr>
          </w:p>
        </w:tc>
        <w:tc>
          <w:tcPr>
            <w:tcW w:w="8676" w:type="dxa"/>
          </w:tcPr>
          <w:p w14:paraId="1940BBB1" w14:textId="49774D01" w:rsidR="00716498" w:rsidRPr="00AD1B2C" w:rsidRDefault="00716498" w:rsidP="00F058DB">
            <w:pPr>
              <w:pStyle w:val="Nagwek3"/>
              <w:shd w:val="clear" w:color="auto" w:fill="FFFFFF"/>
              <w:spacing w:after="120"/>
              <w:ind w:left="0"/>
              <w:rPr>
                <w:color w:val="0070C0"/>
                <w:sz w:val="24"/>
                <w:szCs w:val="24"/>
              </w:rPr>
            </w:pPr>
            <w:bookmarkStart w:id="107" w:name="_Toc64451863"/>
            <w:bookmarkStart w:id="108" w:name="_Toc141276442"/>
            <w:r w:rsidRPr="00AD1B2C">
              <w:rPr>
                <w:color w:val="0070C0"/>
                <w:sz w:val="24"/>
                <w:szCs w:val="24"/>
              </w:rPr>
              <w:t>II.2.</w:t>
            </w:r>
            <w:r w:rsidR="00870A10" w:rsidRPr="00AD1B2C">
              <w:rPr>
                <w:color w:val="0070C0"/>
                <w:sz w:val="24"/>
                <w:szCs w:val="24"/>
              </w:rPr>
              <w:t>6</w:t>
            </w:r>
            <w:r w:rsidRPr="00AD1B2C">
              <w:rPr>
                <w:color w:val="0070C0"/>
                <w:sz w:val="24"/>
                <w:szCs w:val="24"/>
              </w:rPr>
              <w:t>. Udział polskich przedsiębiorców w rynku europejskim</w:t>
            </w:r>
            <w:bookmarkEnd w:id="107"/>
            <w:bookmarkEnd w:id="108"/>
          </w:p>
        </w:tc>
      </w:tr>
    </w:tbl>
    <w:p w14:paraId="701DD0CE" w14:textId="77777777" w:rsidR="00716498" w:rsidRDefault="00716498" w:rsidP="007D4DEB">
      <w:pPr>
        <w:shd w:val="clear" w:color="auto" w:fill="FFFFFF"/>
      </w:pPr>
    </w:p>
    <w:p w14:paraId="1985063A" w14:textId="73F87B17" w:rsidR="000C4EAC" w:rsidRDefault="00C77C93" w:rsidP="004F4275">
      <w:pPr>
        <w:shd w:val="clear" w:color="auto" w:fill="FFFFFF"/>
      </w:pPr>
      <w:r>
        <w:t>W</w:t>
      </w:r>
      <w:r w:rsidR="004F4275">
        <w:t xml:space="preserve"> 202</w:t>
      </w:r>
      <w:r w:rsidR="000C4EAC">
        <w:t>2</w:t>
      </w:r>
      <w:r w:rsidR="004F4275">
        <w:t xml:space="preserve"> r. </w:t>
      </w:r>
      <w:r w:rsidR="004F4275" w:rsidRPr="005B1254">
        <w:t>na europejskim ry</w:t>
      </w:r>
      <w:r w:rsidR="004F4275">
        <w:t>nku zamówień publicznych oferty polskich</w:t>
      </w:r>
      <w:r w:rsidR="004F4275">
        <w:rPr>
          <w:rStyle w:val="Odwoanieprzypisudolnego"/>
        </w:rPr>
        <w:footnoteReference w:id="13"/>
      </w:r>
      <w:r w:rsidR="004F4275">
        <w:t xml:space="preserve"> przedsiębiorców były wybierane w </w:t>
      </w:r>
      <w:r w:rsidR="000C4EAC">
        <w:t>114</w:t>
      </w:r>
      <w:r w:rsidR="004F4275">
        <w:t xml:space="preserve"> postępowaniach</w:t>
      </w:r>
      <w:r w:rsidR="00C60A95">
        <w:rPr>
          <w:rStyle w:val="Odwoanieprzypisudolnego"/>
        </w:rPr>
        <w:footnoteReference w:id="14"/>
      </w:r>
      <w:r w:rsidR="004F4275">
        <w:t xml:space="preserve">. Jest to </w:t>
      </w:r>
      <w:r w:rsidR="000C4EAC">
        <w:t xml:space="preserve">nieznacznie mniej niż w 2021 r., w którym polskim wykonawcom udzielono 123 </w:t>
      </w:r>
      <w:r w:rsidR="006020B2">
        <w:t>zamówienia</w:t>
      </w:r>
      <w:r w:rsidR="000C4EAC">
        <w:t xml:space="preserve"> i nieco </w:t>
      </w:r>
      <w:r w:rsidR="004F4275">
        <w:t>więcej niż w latach 2019 i 2020</w:t>
      </w:r>
      <w:r w:rsidR="000C4EAC">
        <w:t>, w których polskim wykonawcom udzielono po 109 zamówień</w:t>
      </w:r>
      <w:r w:rsidR="009A56F2">
        <w:rPr>
          <w:rStyle w:val="Odwoanieprzypisudolnego"/>
        </w:rPr>
        <w:footnoteReference w:id="15"/>
      </w:r>
      <w:r w:rsidR="000C4EAC">
        <w:t>.</w:t>
      </w:r>
    </w:p>
    <w:p w14:paraId="5939E409" w14:textId="77777777" w:rsidR="000C4EAC" w:rsidRDefault="000C4EAC" w:rsidP="004F4275">
      <w:pPr>
        <w:shd w:val="clear" w:color="auto" w:fill="FFFFFF"/>
      </w:pPr>
    </w:p>
    <w:p w14:paraId="10562E22" w14:textId="207F6699" w:rsidR="00316293" w:rsidRDefault="004F4275" w:rsidP="004F4275">
      <w:pPr>
        <w:shd w:val="clear" w:color="auto" w:fill="FFFFFF"/>
      </w:pPr>
      <w:r w:rsidRPr="00EB4347">
        <w:t>Przedsiębiorcom z Polski najwięcej zamówień udzielono w</w:t>
      </w:r>
      <w:r>
        <w:t xml:space="preserve"> Czechach </w:t>
      </w:r>
      <w:r w:rsidR="006020B2">
        <w:t xml:space="preserve">(26), </w:t>
      </w:r>
      <w:r>
        <w:t>Niemczech</w:t>
      </w:r>
      <w:r w:rsidR="006020B2">
        <w:t xml:space="preserve"> (14) oraz w Luksemburgu (9)</w:t>
      </w:r>
      <w:r>
        <w:t>.</w:t>
      </w:r>
      <w:r w:rsidR="00316293">
        <w:t xml:space="preserve"> </w:t>
      </w:r>
      <w:r w:rsidR="00316293" w:rsidRPr="00316293">
        <w:t xml:space="preserve">Natomiast </w:t>
      </w:r>
      <w:r w:rsidR="00316293">
        <w:t>ze względu na wartość polscy wykonawcy największe środki pozyskali w Czechach (ok. 404 mln euro)</w:t>
      </w:r>
      <w:r w:rsidR="009A02C1">
        <w:t xml:space="preserve"> </w:t>
      </w:r>
      <w:r w:rsidR="00316293">
        <w:t xml:space="preserve">Słowacji (ok. 154 mln euro) oraz </w:t>
      </w:r>
      <w:r w:rsidR="00934F77">
        <w:t>Rumunii (ok. 65 mln euro).</w:t>
      </w:r>
    </w:p>
    <w:p w14:paraId="5D08F54B" w14:textId="77777777" w:rsidR="00316293" w:rsidRDefault="00316293" w:rsidP="004F4275">
      <w:pPr>
        <w:shd w:val="clear" w:color="auto" w:fill="FFFFFF"/>
      </w:pPr>
    </w:p>
    <w:p w14:paraId="3097842D" w14:textId="42610478" w:rsidR="007262D2" w:rsidRDefault="007262D2" w:rsidP="007262D2">
      <w:pPr>
        <w:pStyle w:val="Legenda"/>
      </w:pPr>
      <w:bookmarkStart w:id="109" w:name="_Toc141276527"/>
      <w:r w:rsidRPr="00CA4F13">
        <w:t xml:space="preserve">Tab. </w:t>
      </w:r>
      <w:r w:rsidR="00BE2079">
        <w:fldChar w:fldCharType="begin"/>
      </w:r>
      <w:r w:rsidR="00BE2079">
        <w:instrText xml:space="preserve"> SEQ Tab. \* ARABIC </w:instrText>
      </w:r>
      <w:r w:rsidR="00BE2079">
        <w:fldChar w:fldCharType="separate"/>
      </w:r>
      <w:r w:rsidR="00A43C68">
        <w:rPr>
          <w:noProof/>
        </w:rPr>
        <w:t>20</w:t>
      </w:r>
      <w:r w:rsidR="00BE2079">
        <w:rPr>
          <w:noProof/>
        </w:rPr>
        <w:fldChar w:fldCharType="end"/>
      </w:r>
      <w:r w:rsidRPr="00CA4F13">
        <w:t xml:space="preserve">. Liczba i wartość zamówień udzielonych </w:t>
      </w:r>
      <w:r w:rsidR="00B21554" w:rsidRPr="00CA4F13">
        <w:t>w 202</w:t>
      </w:r>
      <w:r w:rsidR="00CA4F13" w:rsidRPr="00CA4F13">
        <w:t>2</w:t>
      </w:r>
      <w:r w:rsidR="00B21554" w:rsidRPr="00CA4F13">
        <w:t xml:space="preserve"> r. </w:t>
      </w:r>
      <w:r w:rsidRPr="00CA4F13">
        <w:t>polskim wykonawcom na europejskim rynku zamówień</w:t>
      </w:r>
      <w:r w:rsidRPr="007262D2">
        <w:t xml:space="preserve"> publicznych</w:t>
      </w:r>
      <w:bookmarkEnd w:id="109"/>
    </w:p>
    <w:tbl>
      <w:tblPr>
        <w:tblStyle w:val="Tabela-Siatka"/>
        <w:tblW w:w="10206" w:type="dxa"/>
        <w:tblInd w:w="-572" w:type="dxa"/>
        <w:tblLayout w:type="fixed"/>
        <w:tblLook w:val="01E0" w:firstRow="1" w:lastRow="1" w:firstColumn="1" w:lastColumn="1" w:noHBand="0" w:noVBand="0"/>
      </w:tblPr>
      <w:tblGrid>
        <w:gridCol w:w="1276"/>
        <w:gridCol w:w="851"/>
        <w:gridCol w:w="1275"/>
        <w:gridCol w:w="851"/>
        <w:gridCol w:w="1417"/>
        <w:gridCol w:w="851"/>
        <w:gridCol w:w="1417"/>
        <w:gridCol w:w="851"/>
        <w:gridCol w:w="1417"/>
      </w:tblGrid>
      <w:tr w:rsidR="002C5416" w:rsidRPr="004670A4" w14:paraId="4846C692" w14:textId="3C04BFF6" w:rsidTr="00124B5D">
        <w:trPr>
          <w:trHeight w:val="101"/>
          <w:tblHeader/>
        </w:trPr>
        <w:tc>
          <w:tcPr>
            <w:tcW w:w="127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B0F1E16" w14:textId="300FCFB0" w:rsidR="002C5416" w:rsidRPr="004670A4" w:rsidRDefault="002C5416" w:rsidP="00233D1B">
            <w:pPr>
              <w:spacing w:before="60" w:after="60"/>
              <w:jc w:val="center"/>
              <w:rPr>
                <w:rFonts w:cs="Arial"/>
                <w:b/>
                <w:sz w:val="18"/>
                <w:szCs w:val="18"/>
              </w:rPr>
            </w:pPr>
            <w:r>
              <w:rPr>
                <w:rFonts w:cs="Arial"/>
                <w:b/>
                <w:sz w:val="18"/>
                <w:szCs w:val="18"/>
              </w:rPr>
              <w:t>Kraj</w:t>
            </w:r>
          </w:p>
        </w:tc>
        <w:tc>
          <w:tcPr>
            <w:tcW w:w="66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50AC295" w14:textId="57473355" w:rsidR="002C5416" w:rsidRPr="004670A4" w:rsidRDefault="002C5416" w:rsidP="00233D1B">
            <w:pPr>
              <w:spacing w:before="60" w:after="60"/>
              <w:jc w:val="center"/>
              <w:rPr>
                <w:rFonts w:cs="Arial"/>
                <w:b/>
                <w:sz w:val="18"/>
                <w:szCs w:val="18"/>
              </w:rPr>
            </w:pPr>
            <w:r w:rsidRPr="00235358">
              <w:rPr>
                <w:rFonts w:cs="Arial"/>
                <w:b/>
                <w:sz w:val="18"/>
                <w:szCs w:val="18"/>
              </w:rPr>
              <w:t>Rodzaj zamówienia – liczba kontraktów, wartości kontraktów [w EUR]</w:t>
            </w:r>
          </w:p>
        </w:tc>
        <w:tc>
          <w:tcPr>
            <w:tcW w:w="22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D451650" w14:textId="3A39491D" w:rsidR="002C5416" w:rsidRPr="004670A4" w:rsidRDefault="002C5416" w:rsidP="00233D1B">
            <w:pPr>
              <w:spacing w:before="60" w:after="60"/>
              <w:jc w:val="center"/>
              <w:rPr>
                <w:rFonts w:cs="Arial"/>
                <w:b/>
                <w:sz w:val="18"/>
                <w:szCs w:val="18"/>
              </w:rPr>
            </w:pPr>
            <w:r>
              <w:rPr>
                <w:rFonts w:cs="Arial"/>
                <w:b/>
                <w:sz w:val="18"/>
                <w:szCs w:val="18"/>
              </w:rPr>
              <w:t>Razem</w:t>
            </w:r>
          </w:p>
        </w:tc>
      </w:tr>
      <w:tr w:rsidR="002C5416" w:rsidRPr="004670A4" w14:paraId="7E0EBCFE" w14:textId="7E75BBA6" w:rsidTr="00124B5D">
        <w:trPr>
          <w:trHeight w:val="44"/>
          <w:tblHeader/>
        </w:trPr>
        <w:tc>
          <w:tcPr>
            <w:tcW w:w="1276"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5E3CB2C4" w14:textId="77777777" w:rsidR="002C5416" w:rsidRPr="004670A4" w:rsidRDefault="002C5416" w:rsidP="00233D1B">
            <w:pPr>
              <w:spacing w:before="60" w:after="60"/>
              <w:jc w:val="center"/>
              <w:rPr>
                <w:rFonts w:cs="Arial"/>
                <w:b/>
                <w:sz w:val="18"/>
                <w:szCs w:val="18"/>
              </w:rPr>
            </w:pPr>
          </w:p>
        </w:tc>
        <w:tc>
          <w:tcPr>
            <w:tcW w:w="2126"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663208F5" w14:textId="1B1E6E84" w:rsidR="002C5416" w:rsidRPr="004670A4" w:rsidRDefault="002F3220" w:rsidP="00A566F7">
            <w:pPr>
              <w:spacing w:before="60" w:after="60"/>
              <w:jc w:val="center"/>
              <w:rPr>
                <w:rFonts w:cs="Arial"/>
                <w:b/>
                <w:sz w:val="18"/>
                <w:szCs w:val="18"/>
              </w:rPr>
            </w:pPr>
            <w:r>
              <w:rPr>
                <w:rFonts w:cs="Arial"/>
                <w:b/>
                <w:sz w:val="18"/>
                <w:szCs w:val="18"/>
              </w:rPr>
              <w:t>R</w:t>
            </w:r>
            <w:r w:rsidR="002C5416">
              <w:rPr>
                <w:rFonts w:cs="Arial"/>
                <w:b/>
                <w:sz w:val="18"/>
                <w:szCs w:val="18"/>
              </w:rPr>
              <w:t>ob</w:t>
            </w:r>
            <w:r w:rsidR="00A566F7">
              <w:rPr>
                <w:rFonts w:cs="Arial"/>
                <w:b/>
                <w:sz w:val="18"/>
                <w:szCs w:val="18"/>
              </w:rPr>
              <w:t>oty</w:t>
            </w:r>
            <w:r w:rsidR="002C5416">
              <w:rPr>
                <w:rFonts w:cs="Arial"/>
                <w:b/>
                <w:sz w:val="18"/>
                <w:szCs w:val="18"/>
              </w:rPr>
              <w:t xml:space="preserve"> budowlane</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2609521" w14:textId="2AD556BB" w:rsidR="002C5416" w:rsidRPr="004670A4" w:rsidRDefault="002F3220" w:rsidP="00233D1B">
            <w:pPr>
              <w:spacing w:before="60" w:after="60"/>
              <w:jc w:val="center"/>
              <w:rPr>
                <w:rFonts w:cs="Arial"/>
                <w:b/>
                <w:sz w:val="18"/>
                <w:szCs w:val="18"/>
              </w:rPr>
            </w:pPr>
            <w:r>
              <w:rPr>
                <w:rFonts w:cs="Arial"/>
                <w:b/>
                <w:sz w:val="18"/>
                <w:szCs w:val="18"/>
              </w:rPr>
              <w:t>D</w:t>
            </w:r>
            <w:r w:rsidR="002C5416">
              <w:rPr>
                <w:rFonts w:cs="Arial"/>
                <w:b/>
                <w:sz w:val="18"/>
                <w:szCs w:val="18"/>
              </w:rPr>
              <w:t>ostawy</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485B987D" w14:textId="0209CE9E" w:rsidR="002C5416" w:rsidRPr="004670A4" w:rsidRDefault="002F3220" w:rsidP="00233D1B">
            <w:pPr>
              <w:spacing w:before="60" w:after="60"/>
              <w:jc w:val="center"/>
              <w:rPr>
                <w:rFonts w:cs="Arial"/>
                <w:b/>
                <w:sz w:val="18"/>
                <w:szCs w:val="18"/>
              </w:rPr>
            </w:pPr>
            <w:r>
              <w:rPr>
                <w:rFonts w:cs="Arial"/>
                <w:b/>
                <w:sz w:val="18"/>
                <w:szCs w:val="18"/>
              </w:rPr>
              <w:t>U</w:t>
            </w:r>
            <w:r w:rsidR="002C5416">
              <w:rPr>
                <w:rFonts w:cs="Arial"/>
                <w:b/>
                <w:sz w:val="18"/>
                <w:szCs w:val="18"/>
              </w:rPr>
              <w:t>sługi</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22DA83E7" w14:textId="10A6615F" w:rsidR="002C5416" w:rsidRPr="004670A4" w:rsidRDefault="002C5416" w:rsidP="00233D1B">
            <w:pPr>
              <w:spacing w:before="60" w:after="60"/>
              <w:jc w:val="center"/>
              <w:rPr>
                <w:rFonts w:cs="Arial"/>
                <w:b/>
                <w:sz w:val="18"/>
                <w:szCs w:val="18"/>
              </w:rPr>
            </w:pPr>
            <w:r>
              <w:rPr>
                <w:rFonts w:cs="Arial"/>
                <w:b/>
                <w:sz w:val="18"/>
                <w:szCs w:val="18"/>
              </w:rPr>
              <w:t>Liczba</w:t>
            </w:r>
          </w:p>
        </w:tc>
        <w:tc>
          <w:tcPr>
            <w:tcW w:w="14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5ACBF2D" w14:textId="11CE7204" w:rsidR="002C5416" w:rsidRPr="004670A4" w:rsidRDefault="002C5416" w:rsidP="00233D1B">
            <w:pPr>
              <w:spacing w:before="60" w:after="60"/>
              <w:jc w:val="center"/>
              <w:rPr>
                <w:rFonts w:cs="Arial"/>
                <w:b/>
                <w:sz w:val="18"/>
                <w:szCs w:val="18"/>
              </w:rPr>
            </w:pPr>
            <w:r>
              <w:rPr>
                <w:rFonts w:cs="Arial"/>
                <w:b/>
                <w:sz w:val="18"/>
                <w:szCs w:val="18"/>
              </w:rPr>
              <w:t>Wartość</w:t>
            </w:r>
          </w:p>
        </w:tc>
      </w:tr>
      <w:tr w:rsidR="00C6761E" w:rsidRPr="004670A4" w14:paraId="7AB73A57" w14:textId="4F2EDC2A" w:rsidTr="00C6761E">
        <w:trPr>
          <w:trHeight w:val="44"/>
        </w:trPr>
        <w:tc>
          <w:tcPr>
            <w:tcW w:w="1276" w:type="dxa"/>
            <w:tcBorders>
              <w:top w:val="nil"/>
              <w:left w:val="nil"/>
              <w:bottom w:val="nil"/>
              <w:right w:val="single" w:sz="4" w:space="0" w:color="FFFFFF" w:themeColor="background1"/>
            </w:tcBorders>
            <w:vAlign w:val="center"/>
          </w:tcPr>
          <w:p w14:paraId="16756A7D" w14:textId="17D2E784" w:rsidR="00C6761E" w:rsidRPr="00927EDF" w:rsidRDefault="00C6761E" w:rsidP="00C6761E">
            <w:pPr>
              <w:spacing w:before="60" w:after="60"/>
              <w:jc w:val="center"/>
              <w:rPr>
                <w:rFonts w:cs="Arial"/>
                <w:bCs/>
                <w:sz w:val="18"/>
                <w:szCs w:val="18"/>
              </w:rPr>
            </w:pPr>
            <w:r w:rsidRPr="00927EDF">
              <w:rPr>
                <w:rFonts w:cs="Arial"/>
                <w:bCs/>
                <w:color w:val="000000"/>
                <w:sz w:val="18"/>
                <w:szCs w:val="18"/>
              </w:rPr>
              <w:t>Austria</w:t>
            </w:r>
          </w:p>
        </w:tc>
        <w:tc>
          <w:tcPr>
            <w:tcW w:w="851" w:type="dxa"/>
            <w:tcBorders>
              <w:top w:val="nil"/>
              <w:left w:val="single" w:sz="4" w:space="0" w:color="FFFFFF" w:themeColor="background1"/>
              <w:bottom w:val="nil"/>
              <w:right w:val="single" w:sz="4" w:space="0" w:color="FFFFFF" w:themeColor="background1"/>
            </w:tcBorders>
            <w:vAlign w:val="center"/>
          </w:tcPr>
          <w:p w14:paraId="48AFD6B5" w14:textId="7354291A"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1CCCB832" w14:textId="3F61A74C"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74C312DA" w14:textId="11085F77"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61BFAC18" w14:textId="094307AA" w:rsidR="00C6761E" w:rsidRPr="00927EDF" w:rsidRDefault="00C6761E" w:rsidP="00C6761E">
            <w:pPr>
              <w:spacing w:before="60" w:after="60"/>
              <w:jc w:val="right"/>
              <w:rPr>
                <w:rFonts w:cs="Arial"/>
                <w:bCs/>
                <w:sz w:val="18"/>
                <w:szCs w:val="18"/>
              </w:rPr>
            </w:pPr>
            <w:r w:rsidRPr="00927EDF">
              <w:rPr>
                <w:rFonts w:cs="Arial"/>
                <w:color w:val="000000"/>
                <w:sz w:val="18"/>
                <w:szCs w:val="18"/>
              </w:rPr>
              <w:t>967 178</w:t>
            </w:r>
          </w:p>
        </w:tc>
        <w:tc>
          <w:tcPr>
            <w:tcW w:w="851" w:type="dxa"/>
            <w:tcBorders>
              <w:top w:val="nil"/>
              <w:left w:val="single" w:sz="4" w:space="0" w:color="FFFFFF" w:themeColor="background1"/>
              <w:bottom w:val="nil"/>
              <w:right w:val="single" w:sz="4" w:space="0" w:color="FFFFFF" w:themeColor="background1"/>
            </w:tcBorders>
            <w:vAlign w:val="center"/>
          </w:tcPr>
          <w:p w14:paraId="441B7FD9" w14:textId="0B6793C4" w:rsidR="00C6761E" w:rsidRPr="00927EDF" w:rsidRDefault="001C6E39"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7B969004" w14:textId="4B2A554A"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6EE21921" w14:textId="1B53E4DF" w:rsidR="00C6761E" w:rsidRPr="00C6761E" w:rsidRDefault="00C6761E" w:rsidP="00C6761E">
            <w:pPr>
              <w:spacing w:before="60" w:after="60"/>
              <w:jc w:val="right"/>
              <w:rPr>
                <w:rFonts w:cs="Arial"/>
                <w:bCs/>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vAlign w:val="center"/>
          </w:tcPr>
          <w:p w14:paraId="53C127A6" w14:textId="7C800DE8" w:rsidR="00C6761E" w:rsidRPr="00C6761E" w:rsidRDefault="00C6761E" w:rsidP="00C6761E">
            <w:pPr>
              <w:spacing w:before="60" w:after="60"/>
              <w:jc w:val="right"/>
              <w:rPr>
                <w:rFonts w:cs="Arial"/>
                <w:bCs/>
                <w:sz w:val="18"/>
                <w:szCs w:val="18"/>
              </w:rPr>
            </w:pPr>
            <w:r w:rsidRPr="00C6761E">
              <w:rPr>
                <w:rFonts w:cs="Arial"/>
                <w:bCs/>
                <w:color w:val="000000"/>
                <w:sz w:val="18"/>
                <w:szCs w:val="18"/>
              </w:rPr>
              <w:t>967 178</w:t>
            </w:r>
          </w:p>
        </w:tc>
      </w:tr>
      <w:tr w:rsidR="00C6761E" w:rsidRPr="004670A4" w14:paraId="2C2B6583" w14:textId="341AF6D4" w:rsidTr="00C6761E">
        <w:trPr>
          <w:trHeight w:val="59"/>
        </w:trPr>
        <w:tc>
          <w:tcPr>
            <w:tcW w:w="1276" w:type="dxa"/>
            <w:tcBorders>
              <w:top w:val="nil"/>
              <w:left w:val="nil"/>
              <w:bottom w:val="nil"/>
              <w:right w:val="single" w:sz="4" w:space="0" w:color="FFFFFF" w:themeColor="background1"/>
            </w:tcBorders>
            <w:shd w:val="clear" w:color="auto" w:fill="00B0F0"/>
            <w:vAlign w:val="center"/>
          </w:tcPr>
          <w:p w14:paraId="62461344" w14:textId="6B89B768" w:rsidR="00C6761E" w:rsidRPr="00927EDF" w:rsidRDefault="00C6761E" w:rsidP="00C6761E">
            <w:pPr>
              <w:spacing w:before="60" w:after="60"/>
              <w:jc w:val="center"/>
              <w:rPr>
                <w:rFonts w:cs="Arial"/>
                <w:bCs/>
                <w:sz w:val="18"/>
                <w:szCs w:val="18"/>
              </w:rPr>
            </w:pPr>
            <w:r w:rsidRPr="00927EDF">
              <w:rPr>
                <w:rFonts w:cs="Arial"/>
                <w:bCs/>
                <w:color w:val="000000"/>
                <w:sz w:val="18"/>
                <w:szCs w:val="18"/>
              </w:rPr>
              <w:t>Belgia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9CDB3E7" w14:textId="0245F23C"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37BA38D" w14:textId="26D113A8" w:rsidR="00C6761E" w:rsidRPr="00927EDF" w:rsidRDefault="001C6E39" w:rsidP="00C6761E">
            <w:pPr>
              <w:spacing w:before="60" w:after="60"/>
              <w:jc w:val="right"/>
              <w:rPr>
                <w:rFonts w:cs="Arial"/>
                <w:sz w:val="18"/>
                <w:szCs w:val="18"/>
              </w:rPr>
            </w:pPr>
            <w:r>
              <w:rPr>
                <w:rStyle w:val="Odwoaniedokomentarza"/>
              </w:rPr>
              <w:t>-</w:t>
            </w:r>
          </w:p>
        </w:tc>
        <w:tc>
          <w:tcPr>
            <w:tcW w:w="851" w:type="dxa"/>
            <w:tcBorders>
              <w:top w:val="nil"/>
              <w:left w:val="single" w:sz="4" w:space="0" w:color="FFFFFF" w:themeColor="background1"/>
              <w:bottom w:val="nil"/>
              <w:right w:val="nil"/>
            </w:tcBorders>
            <w:shd w:val="clear" w:color="auto" w:fill="00B0F0"/>
            <w:vAlign w:val="center"/>
          </w:tcPr>
          <w:p w14:paraId="093E0AA7" w14:textId="60747FC2" w:rsidR="00C6761E" w:rsidRPr="00927EDF" w:rsidRDefault="001C6E39"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79EB8E4E" w14:textId="0B76D888"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F98E204" w14:textId="1D4E08E5" w:rsidR="00C6761E" w:rsidRPr="00927EDF" w:rsidRDefault="00C6761E" w:rsidP="00C6761E">
            <w:pPr>
              <w:spacing w:before="60" w:after="60"/>
              <w:jc w:val="right"/>
              <w:rPr>
                <w:rFonts w:cs="Arial"/>
                <w:bCs/>
                <w:sz w:val="18"/>
                <w:szCs w:val="18"/>
              </w:rPr>
            </w:pPr>
            <w:r w:rsidRPr="00927EDF">
              <w:rPr>
                <w:rFonts w:cs="Arial"/>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1398F7B2" w14:textId="55B7F343" w:rsidR="00C6761E" w:rsidRPr="00927EDF" w:rsidRDefault="00C6761E" w:rsidP="00C6761E">
            <w:pPr>
              <w:spacing w:before="60" w:after="60"/>
              <w:jc w:val="right"/>
              <w:rPr>
                <w:rFonts w:cs="Arial"/>
                <w:bCs/>
                <w:sz w:val="18"/>
                <w:szCs w:val="18"/>
              </w:rPr>
            </w:pPr>
            <w:r w:rsidRPr="00927EDF">
              <w:rPr>
                <w:rFonts w:cs="Arial"/>
                <w:color w:val="000000"/>
                <w:sz w:val="18"/>
                <w:szCs w:val="18"/>
              </w:rPr>
              <w:t>42 426 530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97D82CB" w14:textId="57A287BF" w:rsidR="00C6761E" w:rsidRPr="00C6761E" w:rsidRDefault="00C6761E" w:rsidP="00C6761E">
            <w:pPr>
              <w:spacing w:before="60" w:after="60"/>
              <w:jc w:val="right"/>
              <w:rPr>
                <w:rFonts w:cs="Arial"/>
                <w:bCs/>
                <w:sz w:val="18"/>
                <w:szCs w:val="18"/>
              </w:rPr>
            </w:pPr>
            <w:r w:rsidRPr="00C6761E">
              <w:rPr>
                <w:rFonts w:cs="Arial"/>
                <w:bCs/>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097BEF99" w14:textId="113E9E01" w:rsidR="00C6761E" w:rsidRPr="00C6761E" w:rsidRDefault="00C6761E" w:rsidP="00C6761E">
            <w:pPr>
              <w:spacing w:before="60" w:after="60"/>
              <w:jc w:val="right"/>
              <w:rPr>
                <w:rFonts w:cs="Arial"/>
                <w:bCs/>
                <w:sz w:val="18"/>
                <w:szCs w:val="18"/>
              </w:rPr>
            </w:pPr>
            <w:r w:rsidRPr="00C6761E">
              <w:rPr>
                <w:rFonts w:cs="Arial"/>
                <w:bCs/>
                <w:color w:val="000000"/>
                <w:sz w:val="18"/>
                <w:szCs w:val="18"/>
              </w:rPr>
              <w:t>42 426 530</w:t>
            </w:r>
          </w:p>
        </w:tc>
      </w:tr>
      <w:tr w:rsidR="00C6761E" w:rsidRPr="004670A4" w14:paraId="22916E30" w14:textId="72A3661E" w:rsidTr="00C6761E">
        <w:trPr>
          <w:trHeight w:val="106"/>
        </w:trPr>
        <w:tc>
          <w:tcPr>
            <w:tcW w:w="1276" w:type="dxa"/>
            <w:tcBorders>
              <w:top w:val="nil"/>
              <w:left w:val="nil"/>
              <w:bottom w:val="nil"/>
              <w:right w:val="single" w:sz="4" w:space="0" w:color="FFFFFF" w:themeColor="background1"/>
            </w:tcBorders>
            <w:vAlign w:val="center"/>
          </w:tcPr>
          <w:p w14:paraId="17E218F3" w14:textId="0CFC226A" w:rsidR="00C6761E" w:rsidRPr="00927EDF" w:rsidRDefault="00C6761E" w:rsidP="00C6761E">
            <w:pPr>
              <w:spacing w:before="60" w:after="60"/>
              <w:jc w:val="center"/>
              <w:rPr>
                <w:rFonts w:cs="Arial"/>
                <w:bCs/>
                <w:sz w:val="18"/>
                <w:szCs w:val="18"/>
              </w:rPr>
            </w:pPr>
            <w:r w:rsidRPr="00927EDF">
              <w:rPr>
                <w:rFonts w:cs="Arial"/>
                <w:bCs/>
                <w:color w:val="000000"/>
                <w:sz w:val="18"/>
                <w:szCs w:val="18"/>
              </w:rPr>
              <w:t>Bułgaria</w:t>
            </w:r>
          </w:p>
        </w:tc>
        <w:tc>
          <w:tcPr>
            <w:tcW w:w="851" w:type="dxa"/>
            <w:tcBorders>
              <w:top w:val="nil"/>
              <w:left w:val="single" w:sz="4" w:space="0" w:color="FFFFFF" w:themeColor="background1"/>
              <w:bottom w:val="nil"/>
              <w:right w:val="single" w:sz="4" w:space="0" w:color="FFFFFF" w:themeColor="background1"/>
            </w:tcBorders>
            <w:vAlign w:val="center"/>
          </w:tcPr>
          <w:p w14:paraId="79401A8F" w14:textId="63993216"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2B47EB3E" w14:textId="3EEB818C"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011876C7" w14:textId="3FC10484"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2D2ADA1C" w14:textId="6AD704C8" w:rsidR="00C6761E" w:rsidRPr="00927EDF" w:rsidRDefault="00C6761E" w:rsidP="00C6761E">
            <w:pPr>
              <w:spacing w:before="60" w:after="60"/>
              <w:jc w:val="right"/>
              <w:rPr>
                <w:rFonts w:cs="Arial"/>
                <w:bCs/>
                <w:sz w:val="18"/>
                <w:szCs w:val="18"/>
              </w:rPr>
            </w:pPr>
            <w:r w:rsidRPr="00927EDF">
              <w:rPr>
                <w:rFonts w:cs="Arial"/>
                <w:color w:val="000000"/>
                <w:sz w:val="18"/>
                <w:szCs w:val="18"/>
              </w:rPr>
              <w:t>8 472 947</w:t>
            </w:r>
          </w:p>
        </w:tc>
        <w:tc>
          <w:tcPr>
            <w:tcW w:w="851" w:type="dxa"/>
            <w:tcBorders>
              <w:top w:val="nil"/>
              <w:left w:val="single" w:sz="4" w:space="0" w:color="FFFFFF" w:themeColor="background1"/>
              <w:bottom w:val="nil"/>
              <w:right w:val="single" w:sz="4" w:space="0" w:color="FFFFFF" w:themeColor="background1"/>
            </w:tcBorders>
            <w:vAlign w:val="center"/>
          </w:tcPr>
          <w:p w14:paraId="5A7A41B6" w14:textId="55DF5BC6"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6F2E368B" w14:textId="74D0A327" w:rsidR="00C6761E" w:rsidRPr="00927EDF" w:rsidRDefault="00C6761E" w:rsidP="00C6761E">
            <w:pPr>
              <w:spacing w:before="60" w:after="60"/>
              <w:jc w:val="right"/>
              <w:rPr>
                <w:rFonts w:cs="Arial"/>
                <w:bCs/>
                <w:sz w:val="18"/>
                <w:szCs w:val="18"/>
              </w:rPr>
            </w:pPr>
            <w:r w:rsidRPr="00927EDF">
              <w:rPr>
                <w:rFonts w:cs="Arial"/>
                <w:color w:val="000000"/>
                <w:sz w:val="18"/>
                <w:szCs w:val="18"/>
              </w:rPr>
              <w:t>155 001</w:t>
            </w:r>
          </w:p>
        </w:tc>
        <w:tc>
          <w:tcPr>
            <w:tcW w:w="851" w:type="dxa"/>
            <w:tcBorders>
              <w:top w:val="nil"/>
              <w:left w:val="single" w:sz="4" w:space="0" w:color="FFFFFF" w:themeColor="background1"/>
              <w:bottom w:val="nil"/>
              <w:right w:val="single" w:sz="4" w:space="0" w:color="FFFFFF" w:themeColor="background1"/>
            </w:tcBorders>
            <w:vAlign w:val="center"/>
          </w:tcPr>
          <w:p w14:paraId="2EE982D3" w14:textId="2A404A41" w:rsidR="00C6761E" w:rsidRPr="00C6761E" w:rsidRDefault="00C6761E" w:rsidP="00C6761E">
            <w:pPr>
              <w:spacing w:before="60" w:after="60"/>
              <w:jc w:val="right"/>
              <w:rPr>
                <w:rFonts w:cs="Arial"/>
                <w:bCs/>
                <w:sz w:val="18"/>
                <w:szCs w:val="18"/>
              </w:rPr>
            </w:pPr>
            <w:r w:rsidRPr="00C6761E">
              <w:rPr>
                <w:rFonts w:cs="Arial"/>
                <w:bCs/>
                <w:color w:val="000000"/>
                <w:sz w:val="18"/>
                <w:szCs w:val="18"/>
              </w:rPr>
              <w:t>2</w:t>
            </w:r>
          </w:p>
        </w:tc>
        <w:tc>
          <w:tcPr>
            <w:tcW w:w="1417" w:type="dxa"/>
            <w:tcBorders>
              <w:top w:val="nil"/>
              <w:left w:val="single" w:sz="4" w:space="0" w:color="FFFFFF" w:themeColor="background1"/>
              <w:bottom w:val="nil"/>
              <w:right w:val="nil"/>
            </w:tcBorders>
            <w:vAlign w:val="center"/>
          </w:tcPr>
          <w:p w14:paraId="01918D2E" w14:textId="7F6D7ACC" w:rsidR="00C6761E" w:rsidRPr="00C6761E" w:rsidRDefault="00C6761E" w:rsidP="00C6761E">
            <w:pPr>
              <w:spacing w:before="60" w:after="60"/>
              <w:jc w:val="right"/>
              <w:rPr>
                <w:rFonts w:cs="Arial"/>
                <w:bCs/>
                <w:sz w:val="18"/>
                <w:szCs w:val="18"/>
              </w:rPr>
            </w:pPr>
            <w:r w:rsidRPr="00C6761E">
              <w:rPr>
                <w:rFonts w:cs="Arial"/>
                <w:bCs/>
                <w:color w:val="000000"/>
                <w:sz w:val="18"/>
                <w:szCs w:val="18"/>
              </w:rPr>
              <w:t>8 627 948</w:t>
            </w:r>
          </w:p>
        </w:tc>
      </w:tr>
      <w:tr w:rsidR="00C6761E" w:rsidRPr="004670A4" w14:paraId="52964636" w14:textId="47E1CFFD" w:rsidTr="00C6761E">
        <w:trPr>
          <w:trHeight w:val="151"/>
        </w:trPr>
        <w:tc>
          <w:tcPr>
            <w:tcW w:w="1276" w:type="dxa"/>
            <w:tcBorders>
              <w:top w:val="nil"/>
              <w:left w:val="nil"/>
              <w:bottom w:val="nil"/>
              <w:right w:val="single" w:sz="4" w:space="0" w:color="FFFFFF" w:themeColor="background1"/>
            </w:tcBorders>
            <w:shd w:val="clear" w:color="auto" w:fill="00B0F0"/>
            <w:vAlign w:val="center"/>
          </w:tcPr>
          <w:p w14:paraId="403CDC43" w14:textId="03100269" w:rsidR="00C6761E" w:rsidRPr="00927EDF" w:rsidRDefault="00C6761E" w:rsidP="00C6761E">
            <w:pPr>
              <w:spacing w:before="60" w:after="60"/>
              <w:jc w:val="center"/>
              <w:rPr>
                <w:rFonts w:cs="Arial"/>
                <w:bCs/>
                <w:sz w:val="18"/>
                <w:szCs w:val="18"/>
              </w:rPr>
            </w:pPr>
            <w:r w:rsidRPr="00927EDF">
              <w:rPr>
                <w:rFonts w:cs="Arial"/>
                <w:bCs/>
                <w:color w:val="000000"/>
                <w:sz w:val="18"/>
                <w:szCs w:val="18"/>
              </w:rPr>
              <w:t>Chorwacja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ACAF44D" w14:textId="5C4E8D63"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70AFAC6" w14:textId="38AA6DE1"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2B435EBD" w14:textId="183937B6"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3716B0D7" w14:textId="661AF21F" w:rsidR="00C6761E" w:rsidRPr="00927EDF" w:rsidRDefault="00C6761E" w:rsidP="00C6761E">
            <w:pPr>
              <w:spacing w:before="60" w:after="60"/>
              <w:jc w:val="right"/>
              <w:rPr>
                <w:rFonts w:cs="Arial"/>
                <w:bCs/>
                <w:sz w:val="18"/>
                <w:szCs w:val="18"/>
              </w:rPr>
            </w:pPr>
            <w:r w:rsidRPr="00927EDF">
              <w:rPr>
                <w:rFonts w:cs="Arial"/>
                <w:color w:val="000000"/>
                <w:sz w:val="18"/>
                <w:szCs w:val="18"/>
              </w:rPr>
              <w:t>55 173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7619FCC" w14:textId="2092A0E5" w:rsidR="00C6761E" w:rsidRPr="00927EDF" w:rsidRDefault="001C6E39"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2DCE1D43" w14:textId="2945E8E7"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87A4AB6" w14:textId="260CE67D" w:rsidR="00C6761E" w:rsidRPr="00C6761E" w:rsidRDefault="00C6761E" w:rsidP="00C6761E">
            <w:pPr>
              <w:spacing w:before="60" w:after="60"/>
              <w:jc w:val="right"/>
              <w:rPr>
                <w:rFonts w:cs="Arial"/>
                <w:bCs/>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3CF4F22E" w14:textId="57F2FEFC" w:rsidR="00C6761E" w:rsidRPr="00C6761E" w:rsidRDefault="00C6761E" w:rsidP="00C6761E">
            <w:pPr>
              <w:spacing w:before="60" w:after="60"/>
              <w:jc w:val="right"/>
              <w:rPr>
                <w:rFonts w:cs="Arial"/>
                <w:bCs/>
                <w:sz w:val="18"/>
                <w:szCs w:val="18"/>
              </w:rPr>
            </w:pPr>
            <w:r w:rsidRPr="00C6761E">
              <w:rPr>
                <w:rFonts w:cs="Arial"/>
                <w:bCs/>
                <w:color w:val="000000"/>
                <w:sz w:val="18"/>
                <w:szCs w:val="18"/>
              </w:rPr>
              <w:t>55 173</w:t>
            </w:r>
          </w:p>
        </w:tc>
      </w:tr>
      <w:tr w:rsidR="00C6761E" w:rsidRPr="004670A4" w14:paraId="472D7015" w14:textId="1BFBA8C7" w:rsidTr="00C6761E">
        <w:trPr>
          <w:trHeight w:val="78"/>
        </w:trPr>
        <w:tc>
          <w:tcPr>
            <w:tcW w:w="1276" w:type="dxa"/>
            <w:tcBorders>
              <w:top w:val="nil"/>
              <w:left w:val="nil"/>
              <w:bottom w:val="nil"/>
              <w:right w:val="single" w:sz="4" w:space="0" w:color="FFFFFF" w:themeColor="background1"/>
            </w:tcBorders>
            <w:vAlign w:val="center"/>
          </w:tcPr>
          <w:p w14:paraId="6A105F61" w14:textId="32C7782A" w:rsidR="00C6761E" w:rsidRPr="00927EDF" w:rsidRDefault="00C6761E" w:rsidP="00C6761E">
            <w:pPr>
              <w:spacing w:before="60" w:after="60"/>
              <w:jc w:val="center"/>
              <w:rPr>
                <w:rFonts w:cs="Arial"/>
                <w:bCs/>
                <w:sz w:val="18"/>
                <w:szCs w:val="18"/>
              </w:rPr>
            </w:pPr>
            <w:r w:rsidRPr="00927EDF">
              <w:rPr>
                <w:rFonts w:cs="Arial"/>
                <w:bCs/>
                <w:color w:val="000000"/>
                <w:sz w:val="18"/>
                <w:szCs w:val="18"/>
              </w:rPr>
              <w:t>Czechy</w:t>
            </w:r>
          </w:p>
        </w:tc>
        <w:tc>
          <w:tcPr>
            <w:tcW w:w="851" w:type="dxa"/>
            <w:tcBorders>
              <w:top w:val="nil"/>
              <w:left w:val="single" w:sz="4" w:space="0" w:color="FFFFFF" w:themeColor="background1"/>
              <w:bottom w:val="nil"/>
              <w:right w:val="single" w:sz="4" w:space="0" w:color="FFFFFF" w:themeColor="background1"/>
            </w:tcBorders>
            <w:vAlign w:val="center"/>
          </w:tcPr>
          <w:p w14:paraId="689978D9" w14:textId="2959A220" w:rsidR="00C6761E" w:rsidRPr="00927EDF" w:rsidRDefault="00C6761E" w:rsidP="00C6761E">
            <w:pPr>
              <w:spacing w:before="60" w:after="60"/>
              <w:jc w:val="right"/>
              <w:rPr>
                <w:rFonts w:cs="Arial"/>
                <w:sz w:val="18"/>
                <w:szCs w:val="18"/>
              </w:rPr>
            </w:pPr>
            <w:r w:rsidRPr="00927EDF">
              <w:rPr>
                <w:rFonts w:cs="Arial"/>
                <w:color w:val="000000"/>
                <w:sz w:val="18"/>
                <w:szCs w:val="18"/>
              </w:rPr>
              <w:t>6</w:t>
            </w:r>
          </w:p>
        </w:tc>
        <w:tc>
          <w:tcPr>
            <w:tcW w:w="1275" w:type="dxa"/>
            <w:tcBorders>
              <w:top w:val="nil"/>
              <w:left w:val="single" w:sz="4" w:space="0" w:color="FFFFFF" w:themeColor="background1"/>
              <w:bottom w:val="nil"/>
              <w:right w:val="single" w:sz="4" w:space="0" w:color="FFFFFF" w:themeColor="background1"/>
            </w:tcBorders>
            <w:vAlign w:val="center"/>
          </w:tcPr>
          <w:p w14:paraId="62BDFD6A" w14:textId="6EAD684F" w:rsidR="00C6761E" w:rsidRPr="00927EDF" w:rsidRDefault="00C6761E" w:rsidP="00C6761E">
            <w:pPr>
              <w:spacing w:before="60" w:after="60"/>
              <w:jc w:val="right"/>
              <w:rPr>
                <w:rFonts w:cs="Arial"/>
                <w:sz w:val="18"/>
                <w:szCs w:val="18"/>
              </w:rPr>
            </w:pPr>
            <w:r w:rsidRPr="00927EDF">
              <w:rPr>
                <w:rFonts w:cs="Arial"/>
                <w:color w:val="000000"/>
                <w:sz w:val="18"/>
                <w:szCs w:val="18"/>
              </w:rPr>
              <w:t>280 863 595</w:t>
            </w:r>
          </w:p>
        </w:tc>
        <w:tc>
          <w:tcPr>
            <w:tcW w:w="851" w:type="dxa"/>
            <w:tcBorders>
              <w:top w:val="nil"/>
              <w:left w:val="single" w:sz="4" w:space="0" w:color="FFFFFF" w:themeColor="background1"/>
              <w:bottom w:val="nil"/>
              <w:right w:val="nil"/>
            </w:tcBorders>
            <w:vAlign w:val="center"/>
          </w:tcPr>
          <w:p w14:paraId="2DAFAA85" w14:textId="0D8791DE" w:rsidR="00C6761E" w:rsidRPr="00927EDF" w:rsidRDefault="00C6761E" w:rsidP="00C6761E">
            <w:pPr>
              <w:spacing w:before="60" w:after="60"/>
              <w:jc w:val="right"/>
              <w:rPr>
                <w:rFonts w:cs="Arial"/>
                <w:bCs/>
                <w:sz w:val="18"/>
                <w:szCs w:val="18"/>
              </w:rPr>
            </w:pPr>
            <w:r w:rsidRPr="00927EDF">
              <w:rPr>
                <w:rFonts w:cs="Arial"/>
                <w:color w:val="000000"/>
                <w:sz w:val="18"/>
                <w:szCs w:val="18"/>
              </w:rPr>
              <w:t>15</w:t>
            </w:r>
          </w:p>
        </w:tc>
        <w:tc>
          <w:tcPr>
            <w:tcW w:w="1417" w:type="dxa"/>
            <w:tcBorders>
              <w:top w:val="nil"/>
              <w:left w:val="single" w:sz="4" w:space="0" w:color="FFFFFF" w:themeColor="background1"/>
              <w:bottom w:val="nil"/>
              <w:right w:val="nil"/>
            </w:tcBorders>
            <w:vAlign w:val="center"/>
          </w:tcPr>
          <w:p w14:paraId="7C0D1020" w14:textId="24F3AC2B" w:rsidR="00C6761E" w:rsidRPr="00927EDF" w:rsidRDefault="00C6761E" w:rsidP="00C6761E">
            <w:pPr>
              <w:spacing w:before="60" w:after="60"/>
              <w:jc w:val="right"/>
              <w:rPr>
                <w:rFonts w:cs="Arial"/>
                <w:bCs/>
                <w:sz w:val="18"/>
                <w:szCs w:val="18"/>
              </w:rPr>
            </w:pPr>
            <w:r w:rsidRPr="00927EDF">
              <w:rPr>
                <w:rFonts w:cs="Arial"/>
                <w:color w:val="000000"/>
                <w:sz w:val="18"/>
                <w:szCs w:val="18"/>
              </w:rPr>
              <w:t>109 238 687</w:t>
            </w:r>
          </w:p>
        </w:tc>
        <w:tc>
          <w:tcPr>
            <w:tcW w:w="851" w:type="dxa"/>
            <w:tcBorders>
              <w:top w:val="nil"/>
              <w:left w:val="single" w:sz="4" w:space="0" w:color="FFFFFF" w:themeColor="background1"/>
              <w:bottom w:val="nil"/>
              <w:right w:val="single" w:sz="4" w:space="0" w:color="FFFFFF" w:themeColor="background1"/>
            </w:tcBorders>
            <w:vAlign w:val="center"/>
          </w:tcPr>
          <w:p w14:paraId="1C2F62F3" w14:textId="3320C224" w:rsidR="00C6761E" w:rsidRPr="00927EDF" w:rsidRDefault="00C6761E" w:rsidP="00C6761E">
            <w:pPr>
              <w:spacing w:before="60" w:after="60"/>
              <w:jc w:val="right"/>
              <w:rPr>
                <w:rFonts w:cs="Arial"/>
                <w:bCs/>
                <w:sz w:val="18"/>
                <w:szCs w:val="18"/>
              </w:rPr>
            </w:pPr>
            <w:r w:rsidRPr="00927EDF">
              <w:rPr>
                <w:rFonts w:cs="Arial"/>
                <w:color w:val="000000"/>
                <w:sz w:val="18"/>
                <w:szCs w:val="18"/>
              </w:rPr>
              <w:t>5</w:t>
            </w:r>
          </w:p>
        </w:tc>
        <w:tc>
          <w:tcPr>
            <w:tcW w:w="1417" w:type="dxa"/>
            <w:tcBorders>
              <w:top w:val="nil"/>
              <w:left w:val="single" w:sz="4" w:space="0" w:color="FFFFFF" w:themeColor="background1"/>
              <w:bottom w:val="nil"/>
              <w:right w:val="nil"/>
            </w:tcBorders>
            <w:vAlign w:val="center"/>
          </w:tcPr>
          <w:p w14:paraId="18E2A448" w14:textId="0AC4B4BA" w:rsidR="00C6761E" w:rsidRPr="00927EDF" w:rsidRDefault="00C6761E" w:rsidP="00C6761E">
            <w:pPr>
              <w:spacing w:before="60" w:after="60"/>
              <w:jc w:val="right"/>
              <w:rPr>
                <w:rFonts w:cs="Arial"/>
                <w:bCs/>
                <w:sz w:val="18"/>
                <w:szCs w:val="18"/>
              </w:rPr>
            </w:pPr>
            <w:r w:rsidRPr="00927EDF">
              <w:rPr>
                <w:rFonts w:cs="Arial"/>
                <w:color w:val="000000"/>
                <w:sz w:val="18"/>
                <w:szCs w:val="18"/>
              </w:rPr>
              <w:t>13 900 793</w:t>
            </w:r>
          </w:p>
        </w:tc>
        <w:tc>
          <w:tcPr>
            <w:tcW w:w="851" w:type="dxa"/>
            <w:tcBorders>
              <w:top w:val="nil"/>
              <w:left w:val="single" w:sz="4" w:space="0" w:color="FFFFFF" w:themeColor="background1"/>
              <w:bottom w:val="nil"/>
              <w:right w:val="single" w:sz="4" w:space="0" w:color="FFFFFF" w:themeColor="background1"/>
            </w:tcBorders>
            <w:vAlign w:val="center"/>
          </w:tcPr>
          <w:p w14:paraId="51A38118" w14:textId="202CDE85" w:rsidR="00C6761E" w:rsidRPr="00C6761E" w:rsidRDefault="00C6761E" w:rsidP="00C6761E">
            <w:pPr>
              <w:spacing w:before="60" w:after="60"/>
              <w:jc w:val="right"/>
              <w:rPr>
                <w:rFonts w:cs="Arial"/>
                <w:bCs/>
                <w:sz w:val="18"/>
                <w:szCs w:val="18"/>
              </w:rPr>
            </w:pPr>
            <w:r w:rsidRPr="00C6761E">
              <w:rPr>
                <w:rFonts w:cs="Arial"/>
                <w:bCs/>
                <w:color w:val="000000"/>
                <w:sz w:val="18"/>
                <w:szCs w:val="18"/>
              </w:rPr>
              <w:t>26</w:t>
            </w:r>
          </w:p>
        </w:tc>
        <w:tc>
          <w:tcPr>
            <w:tcW w:w="1417" w:type="dxa"/>
            <w:tcBorders>
              <w:top w:val="nil"/>
              <w:left w:val="single" w:sz="4" w:space="0" w:color="FFFFFF" w:themeColor="background1"/>
              <w:bottom w:val="nil"/>
              <w:right w:val="nil"/>
            </w:tcBorders>
            <w:vAlign w:val="center"/>
          </w:tcPr>
          <w:p w14:paraId="20869A82" w14:textId="7461470A" w:rsidR="00C6761E" w:rsidRPr="00C6761E" w:rsidRDefault="00C6761E" w:rsidP="00C6761E">
            <w:pPr>
              <w:spacing w:before="60" w:after="60"/>
              <w:jc w:val="right"/>
              <w:rPr>
                <w:rFonts w:cs="Arial"/>
                <w:bCs/>
                <w:sz w:val="18"/>
                <w:szCs w:val="18"/>
              </w:rPr>
            </w:pPr>
            <w:r w:rsidRPr="00C6761E">
              <w:rPr>
                <w:rFonts w:cs="Arial"/>
                <w:bCs/>
                <w:color w:val="000000"/>
                <w:sz w:val="18"/>
                <w:szCs w:val="18"/>
              </w:rPr>
              <w:t>404 003 075</w:t>
            </w:r>
          </w:p>
        </w:tc>
      </w:tr>
      <w:tr w:rsidR="00C6761E" w:rsidRPr="004670A4" w14:paraId="5FE005EF" w14:textId="66E23A40"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35319F36" w14:textId="3755E849" w:rsidR="00C6761E" w:rsidRPr="00927EDF" w:rsidRDefault="00C6761E" w:rsidP="00C6761E">
            <w:pPr>
              <w:spacing w:before="60" w:after="60"/>
              <w:jc w:val="center"/>
              <w:rPr>
                <w:rFonts w:cs="Arial"/>
                <w:bCs/>
                <w:sz w:val="18"/>
                <w:szCs w:val="18"/>
              </w:rPr>
            </w:pPr>
            <w:r w:rsidRPr="00927EDF">
              <w:rPr>
                <w:rFonts w:cs="Arial"/>
                <w:bCs/>
                <w:color w:val="000000"/>
                <w:sz w:val="18"/>
                <w:szCs w:val="18"/>
              </w:rPr>
              <w:t>Dania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8274898" w14:textId="75BD1281"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618D066" w14:textId="717BE4D5" w:rsidR="00C6761E" w:rsidRPr="00927EDF" w:rsidRDefault="00C6761E" w:rsidP="00C6761E">
            <w:pPr>
              <w:spacing w:before="60" w:after="60"/>
              <w:jc w:val="right"/>
              <w:rPr>
                <w:rFonts w:cs="Arial"/>
                <w:bCs/>
                <w:sz w:val="18"/>
                <w:szCs w:val="18"/>
              </w:rPr>
            </w:pPr>
            <w:r w:rsidRPr="00927EDF">
              <w:rPr>
                <w:rFonts w:cs="Arial"/>
                <w:color w:val="000000"/>
                <w:sz w:val="18"/>
                <w:szCs w:val="18"/>
              </w:rPr>
              <w:t>40 263 592</w:t>
            </w:r>
          </w:p>
        </w:tc>
        <w:tc>
          <w:tcPr>
            <w:tcW w:w="851" w:type="dxa"/>
            <w:tcBorders>
              <w:top w:val="nil"/>
              <w:left w:val="single" w:sz="4" w:space="0" w:color="FFFFFF" w:themeColor="background1"/>
              <w:bottom w:val="nil"/>
              <w:right w:val="nil"/>
            </w:tcBorders>
            <w:shd w:val="clear" w:color="auto" w:fill="00B0F0"/>
            <w:vAlign w:val="center"/>
          </w:tcPr>
          <w:p w14:paraId="30FFC973" w14:textId="445B0825" w:rsidR="00C6761E" w:rsidRPr="00927EDF" w:rsidRDefault="001C6E39" w:rsidP="00C6761E">
            <w:pPr>
              <w:keepNext/>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0F8C2921" w14:textId="161258FC" w:rsidR="00C6761E" w:rsidRPr="00927EDF" w:rsidRDefault="001C6E39" w:rsidP="00C6761E">
            <w:pPr>
              <w:keepNext/>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3E555DF" w14:textId="3906B6E4"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27D22A92" w14:textId="51A317E0" w:rsidR="00C6761E" w:rsidRPr="00927EDF" w:rsidRDefault="00C6761E" w:rsidP="00C6761E">
            <w:pPr>
              <w:keepNext/>
              <w:spacing w:before="60" w:after="60"/>
              <w:jc w:val="right"/>
              <w:rPr>
                <w:rFonts w:cs="Arial"/>
                <w:bCs/>
                <w:sz w:val="18"/>
                <w:szCs w:val="18"/>
              </w:rPr>
            </w:pPr>
            <w:r w:rsidRPr="00927EDF">
              <w:rPr>
                <w:rFonts w:cs="Arial"/>
                <w:color w:val="000000"/>
                <w:sz w:val="18"/>
                <w:szCs w:val="18"/>
              </w:rPr>
              <w:t>4 345 247</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E464265" w14:textId="52EF49B6"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0FE19EF7" w14:textId="40EBA75B"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44 608 839</w:t>
            </w:r>
          </w:p>
        </w:tc>
      </w:tr>
      <w:tr w:rsidR="00C6761E" w:rsidRPr="004670A4" w14:paraId="76528191" w14:textId="77777777" w:rsidTr="00C6761E">
        <w:trPr>
          <w:trHeight w:val="78"/>
        </w:trPr>
        <w:tc>
          <w:tcPr>
            <w:tcW w:w="1276" w:type="dxa"/>
            <w:tcBorders>
              <w:top w:val="nil"/>
              <w:left w:val="nil"/>
              <w:bottom w:val="nil"/>
              <w:right w:val="single" w:sz="4" w:space="0" w:color="FFFFFF" w:themeColor="background1"/>
            </w:tcBorders>
            <w:vAlign w:val="center"/>
          </w:tcPr>
          <w:p w14:paraId="248E3B85" w14:textId="78D7DE6A" w:rsidR="00C6761E" w:rsidRPr="00927EDF" w:rsidRDefault="00C6761E" w:rsidP="00C6761E">
            <w:pPr>
              <w:spacing w:before="60" w:after="60"/>
              <w:jc w:val="center"/>
              <w:rPr>
                <w:rFonts w:cs="Arial"/>
                <w:bCs/>
                <w:sz w:val="18"/>
                <w:szCs w:val="18"/>
              </w:rPr>
            </w:pPr>
            <w:r w:rsidRPr="00927EDF">
              <w:rPr>
                <w:rFonts w:cs="Arial"/>
                <w:bCs/>
                <w:color w:val="000000"/>
                <w:sz w:val="18"/>
                <w:szCs w:val="18"/>
              </w:rPr>
              <w:t>Estonia</w:t>
            </w:r>
          </w:p>
        </w:tc>
        <w:tc>
          <w:tcPr>
            <w:tcW w:w="851" w:type="dxa"/>
            <w:tcBorders>
              <w:top w:val="nil"/>
              <w:left w:val="single" w:sz="4" w:space="0" w:color="FFFFFF" w:themeColor="background1"/>
              <w:bottom w:val="nil"/>
              <w:right w:val="single" w:sz="4" w:space="0" w:color="FFFFFF" w:themeColor="background1"/>
            </w:tcBorders>
            <w:vAlign w:val="center"/>
          </w:tcPr>
          <w:p w14:paraId="7F8E1D14" w14:textId="183BF72C"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9FE7836" w14:textId="7986E9E5"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0256717C" w14:textId="0C7C73E2" w:rsidR="00C6761E" w:rsidRPr="00927EDF" w:rsidRDefault="00C6761E" w:rsidP="00C6761E">
            <w:pPr>
              <w:spacing w:before="60" w:after="60"/>
              <w:jc w:val="right"/>
              <w:rPr>
                <w:rFonts w:cs="Arial"/>
                <w:bCs/>
                <w:sz w:val="18"/>
                <w:szCs w:val="18"/>
              </w:rPr>
            </w:pPr>
            <w:r w:rsidRPr="00927EDF">
              <w:rPr>
                <w:rFonts w:cs="Arial"/>
                <w:color w:val="000000"/>
                <w:sz w:val="18"/>
                <w:szCs w:val="18"/>
              </w:rPr>
              <w:t>3</w:t>
            </w:r>
          </w:p>
        </w:tc>
        <w:tc>
          <w:tcPr>
            <w:tcW w:w="1417" w:type="dxa"/>
            <w:tcBorders>
              <w:top w:val="nil"/>
              <w:left w:val="single" w:sz="4" w:space="0" w:color="FFFFFF" w:themeColor="background1"/>
              <w:bottom w:val="nil"/>
              <w:right w:val="nil"/>
            </w:tcBorders>
            <w:vAlign w:val="center"/>
          </w:tcPr>
          <w:p w14:paraId="494C488F" w14:textId="1D7663D2" w:rsidR="00C6761E" w:rsidRPr="00927EDF" w:rsidRDefault="00C6761E" w:rsidP="00C6761E">
            <w:pPr>
              <w:spacing w:before="60" w:after="60"/>
              <w:jc w:val="right"/>
              <w:rPr>
                <w:rFonts w:cs="Arial"/>
                <w:bCs/>
                <w:sz w:val="18"/>
                <w:szCs w:val="18"/>
              </w:rPr>
            </w:pPr>
            <w:r w:rsidRPr="00927EDF">
              <w:rPr>
                <w:rFonts w:cs="Arial"/>
                <w:color w:val="000000"/>
                <w:sz w:val="18"/>
                <w:szCs w:val="18"/>
              </w:rPr>
              <w:t>2 370 353</w:t>
            </w:r>
          </w:p>
        </w:tc>
        <w:tc>
          <w:tcPr>
            <w:tcW w:w="851" w:type="dxa"/>
            <w:tcBorders>
              <w:top w:val="nil"/>
              <w:left w:val="single" w:sz="4" w:space="0" w:color="FFFFFF" w:themeColor="background1"/>
              <w:bottom w:val="nil"/>
              <w:right w:val="single" w:sz="4" w:space="0" w:color="FFFFFF" w:themeColor="background1"/>
            </w:tcBorders>
            <w:vAlign w:val="center"/>
          </w:tcPr>
          <w:p w14:paraId="0E887DBB" w14:textId="61E02409" w:rsidR="00C6761E" w:rsidRPr="00927EDF" w:rsidRDefault="00C6761E" w:rsidP="00C6761E">
            <w:pPr>
              <w:spacing w:before="60" w:after="60"/>
              <w:jc w:val="right"/>
              <w:rPr>
                <w:rFonts w:cs="Arial"/>
                <w:bCs/>
                <w:sz w:val="18"/>
                <w:szCs w:val="18"/>
              </w:rPr>
            </w:pPr>
            <w:r w:rsidRPr="00927EDF">
              <w:rPr>
                <w:rFonts w:cs="Arial"/>
                <w:color w:val="000000"/>
                <w:sz w:val="18"/>
                <w:szCs w:val="18"/>
              </w:rPr>
              <w:t>3</w:t>
            </w:r>
          </w:p>
        </w:tc>
        <w:tc>
          <w:tcPr>
            <w:tcW w:w="1417" w:type="dxa"/>
            <w:tcBorders>
              <w:top w:val="nil"/>
              <w:left w:val="single" w:sz="4" w:space="0" w:color="FFFFFF" w:themeColor="background1"/>
              <w:bottom w:val="nil"/>
              <w:right w:val="nil"/>
            </w:tcBorders>
            <w:vAlign w:val="center"/>
          </w:tcPr>
          <w:p w14:paraId="254C2901" w14:textId="6ED368AD" w:rsidR="00C6761E" w:rsidRPr="00927EDF" w:rsidRDefault="00C6761E" w:rsidP="00C6761E">
            <w:pPr>
              <w:spacing w:before="60" w:after="60"/>
              <w:jc w:val="right"/>
              <w:rPr>
                <w:rFonts w:cs="Arial"/>
                <w:bCs/>
                <w:sz w:val="18"/>
                <w:szCs w:val="18"/>
              </w:rPr>
            </w:pPr>
            <w:r w:rsidRPr="00927EDF">
              <w:rPr>
                <w:rFonts w:cs="Arial"/>
                <w:color w:val="000000"/>
                <w:sz w:val="18"/>
                <w:szCs w:val="18"/>
              </w:rPr>
              <w:t>165 400</w:t>
            </w:r>
          </w:p>
        </w:tc>
        <w:tc>
          <w:tcPr>
            <w:tcW w:w="851" w:type="dxa"/>
            <w:tcBorders>
              <w:top w:val="nil"/>
              <w:left w:val="single" w:sz="4" w:space="0" w:color="FFFFFF" w:themeColor="background1"/>
              <w:bottom w:val="nil"/>
              <w:right w:val="single" w:sz="4" w:space="0" w:color="FFFFFF" w:themeColor="background1"/>
            </w:tcBorders>
            <w:vAlign w:val="center"/>
          </w:tcPr>
          <w:p w14:paraId="75CDDC6F" w14:textId="2B80188A" w:rsidR="00C6761E" w:rsidRPr="00C6761E" w:rsidRDefault="00C6761E" w:rsidP="00C6761E">
            <w:pPr>
              <w:spacing w:before="60" w:after="60"/>
              <w:jc w:val="right"/>
              <w:rPr>
                <w:rFonts w:cs="Arial"/>
                <w:bCs/>
                <w:sz w:val="18"/>
                <w:szCs w:val="18"/>
              </w:rPr>
            </w:pPr>
            <w:r w:rsidRPr="00C6761E">
              <w:rPr>
                <w:rFonts w:cs="Arial"/>
                <w:bCs/>
                <w:color w:val="000000"/>
                <w:sz w:val="18"/>
                <w:szCs w:val="18"/>
              </w:rPr>
              <w:t>6</w:t>
            </w:r>
          </w:p>
        </w:tc>
        <w:tc>
          <w:tcPr>
            <w:tcW w:w="1417" w:type="dxa"/>
            <w:tcBorders>
              <w:top w:val="nil"/>
              <w:left w:val="single" w:sz="4" w:space="0" w:color="FFFFFF" w:themeColor="background1"/>
              <w:bottom w:val="nil"/>
              <w:right w:val="nil"/>
            </w:tcBorders>
            <w:vAlign w:val="center"/>
          </w:tcPr>
          <w:p w14:paraId="758E7CB1" w14:textId="6C3A2EBC" w:rsidR="00C6761E" w:rsidRPr="00C6761E" w:rsidRDefault="00C6761E" w:rsidP="00C6761E">
            <w:pPr>
              <w:spacing w:before="60" w:after="60"/>
              <w:jc w:val="right"/>
              <w:rPr>
                <w:rFonts w:cs="Arial"/>
                <w:bCs/>
                <w:sz w:val="18"/>
                <w:szCs w:val="18"/>
              </w:rPr>
            </w:pPr>
            <w:r w:rsidRPr="00C6761E">
              <w:rPr>
                <w:rFonts w:cs="Arial"/>
                <w:bCs/>
                <w:color w:val="000000"/>
                <w:sz w:val="18"/>
                <w:szCs w:val="18"/>
              </w:rPr>
              <w:t>2 535 753</w:t>
            </w:r>
          </w:p>
        </w:tc>
      </w:tr>
      <w:tr w:rsidR="00C6761E" w:rsidRPr="004670A4" w14:paraId="00D40A59"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2BCCE053" w14:textId="3F6394E8" w:rsidR="00C6761E" w:rsidRPr="00927EDF" w:rsidRDefault="00C6761E" w:rsidP="00C6761E">
            <w:pPr>
              <w:spacing w:before="60" w:after="60"/>
              <w:jc w:val="center"/>
              <w:rPr>
                <w:rFonts w:cs="Arial"/>
                <w:bCs/>
                <w:sz w:val="18"/>
                <w:szCs w:val="18"/>
              </w:rPr>
            </w:pPr>
            <w:r w:rsidRPr="00927EDF">
              <w:rPr>
                <w:rFonts w:cs="Arial"/>
                <w:bCs/>
                <w:color w:val="000000"/>
                <w:sz w:val="18"/>
                <w:szCs w:val="18"/>
              </w:rPr>
              <w:t>Finlandia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DC6A3EB" w14:textId="0519DF4D" w:rsidR="00C6761E" w:rsidRPr="00927EDF" w:rsidRDefault="001C6E39"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88B716B" w14:textId="5F414215"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188B0A3D" w14:textId="6A545D06"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29147D16" w14:textId="418199BA" w:rsidR="00C6761E" w:rsidRPr="00927EDF" w:rsidRDefault="00C6761E" w:rsidP="00C6761E">
            <w:pPr>
              <w:keepNext/>
              <w:spacing w:before="60" w:after="60"/>
              <w:jc w:val="right"/>
              <w:rPr>
                <w:rFonts w:cs="Arial"/>
                <w:bCs/>
                <w:sz w:val="18"/>
                <w:szCs w:val="18"/>
              </w:rPr>
            </w:pPr>
            <w:r w:rsidRPr="00927EDF">
              <w:rPr>
                <w:rFonts w:cs="Arial"/>
                <w:color w:val="000000"/>
                <w:sz w:val="18"/>
                <w:szCs w:val="18"/>
              </w:rPr>
              <w:t>622 185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20F6DF1" w14:textId="23F359A7"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74F96BD2" w14:textId="49C3106B"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2 764 953</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FAA5D1D" w14:textId="0F1FE2E1"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65C2E4E5" w14:textId="554F7986"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3 387 138</w:t>
            </w:r>
          </w:p>
        </w:tc>
      </w:tr>
      <w:tr w:rsidR="00C6761E" w:rsidRPr="004670A4" w14:paraId="15FBB143" w14:textId="77777777" w:rsidTr="00C6761E">
        <w:trPr>
          <w:trHeight w:val="78"/>
        </w:trPr>
        <w:tc>
          <w:tcPr>
            <w:tcW w:w="1276" w:type="dxa"/>
            <w:tcBorders>
              <w:top w:val="nil"/>
              <w:left w:val="nil"/>
              <w:bottom w:val="nil"/>
              <w:right w:val="single" w:sz="4" w:space="0" w:color="FFFFFF" w:themeColor="background1"/>
            </w:tcBorders>
            <w:vAlign w:val="center"/>
          </w:tcPr>
          <w:p w14:paraId="1ABFEEC9" w14:textId="5B59ADEA" w:rsidR="00C6761E" w:rsidRPr="00927EDF" w:rsidRDefault="00C6761E" w:rsidP="00C6761E">
            <w:pPr>
              <w:spacing w:before="60" w:after="60"/>
              <w:jc w:val="center"/>
              <w:rPr>
                <w:rFonts w:cs="Arial"/>
                <w:bCs/>
                <w:sz w:val="18"/>
                <w:szCs w:val="18"/>
              </w:rPr>
            </w:pPr>
            <w:r w:rsidRPr="00927EDF">
              <w:rPr>
                <w:rFonts w:cs="Arial"/>
                <w:bCs/>
                <w:color w:val="000000"/>
                <w:sz w:val="18"/>
                <w:szCs w:val="18"/>
              </w:rPr>
              <w:t>Francja</w:t>
            </w:r>
          </w:p>
        </w:tc>
        <w:tc>
          <w:tcPr>
            <w:tcW w:w="851" w:type="dxa"/>
            <w:tcBorders>
              <w:top w:val="nil"/>
              <w:left w:val="single" w:sz="4" w:space="0" w:color="FFFFFF" w:themeColor="background1"/>
              <w:bottom w:val="nil"/>
              <w:right w:val="single" w:sz="4" w:space="0" w:color="FFFFFF" w:themeColor="background1"/>
            </w:tcBorders>
            <w:vAlign w:val="center"/>
          </w:tcPr>
          <w:p w14:paraId="503856E1" w14:textId="3E919BAE"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1C69E8FB" w14:textId="72ADC6C1"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261BA699" w14:textId="1A71CA12" w:rsidR="00C6761E" w:rsidRPr="00927EDF" w:rsidRDefault="00C6761E" w:rsidP="00C6761E">
            <w:pPr>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0DD30504" w14:textId="1A61C2C6" w:rsidR="00C6761E" w:rsidRPr="00927EDF" w:rsidRDefault="00C6761E" w:rsidP="00C6761E">
            <w:pPr>
              <w:spacing w:before="60" w:after="60"/>
              <w:jc w:val="right"/>
              <w:rPr>
                <w:rFonts w:cs="Arial"/>
                <w:bCs/>
                <w:sz w:val="18"/>
                <w:szCs w:val="18"/>
              </w:rPr>
            </w:pPr>
            <w:r w:rsidRPr="00927EDF">
              <w:rPr>
                <w:rFonts w:cs="Arial"/>
                <w:color w:val="000000"/>
                <w:sz w:val="18"/>
                <w:szCs w:val="18"/>
              </w:rPr>
              <w:t>1 100 000</w:t>
            </w:r>
          </w:p>
        </w:tc>
        <w:tc>
          <w:tcPr>
            <w:tcW w:w="851" w:type="dxa"/>
            <w:tcBorders>
              <w:top w:val="nil"/>
              <w:left w:val="single" w:sz="4" w:space="0" w:color="FFFFFF" w:themeColor="background1"/>
              <w:bottom w:val="nil"/>
              <w:right w:val="single" w:sz="4" w:space="0" w:color="FFFFFF" w:themeColor="background1"/>
            </w:tcBorders>
            <w:vAlign w:val="center"/>
          </w:tcPr>
          <w:p w14:paraId="73741E3A" w14:textId="3379DC2E" w:rsidR="00C6761E" w:rsidRPr="00927EDF" w:rsidRDefault="00C6761E" w:rsidP="00C6761E">
            <w:pPr>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48B8849E" w14:textId="650097AB" w:rsidR="00C6761E" w:rsidRPr="00927EDF" w:rsidRDefault="00C6761E" w:rsidP="00C6761E">
            <w:pPr>
              <w:spacing w:before="60" w:after="60"/>
              <w:jc w:val="right"/>
              <w:rPr>
                <w:rFonts w:cs="Arial"/>
                <w:bCs/>
                <w:sz w:val="18"/>
                <w:szCs w:val="18"/>
              </w:rPr>
            </w:pPr>
            <w:r w:rsidRPr="00927EDF">
              <w:rPr>
                <w:rFonts w:cs="Arial"/>
                <w:color w:val="000000"/>
                <w:sz w:val="18"/>
                <w:szCs w:val="18"/>
              </w:rPr>
              <w:t>1 627 696</w:t>
            </w:r>
          </w:p>
        </w:tc>
        <w:tc>
          <w:tcPr>
            <w:tcW w:w="851" w:type="dxa"/>
            <w:tcBorders>
              <w:top w:val="nil"/>
              <w:left w:val="single" w:sz="4" w:space="0" w:color="FFFFFF" w:themeColor="background1"/>
              <w:bottom w:val="nil"/>
              <w:right w:val="single" w:sz="4" w:space="0" w:color="FFFFFF" w:themeColor="background1"/>
            </w:tcBorders>
            <w:vAlign w:val="center"/>
          </w:tcPr>
          <w:p w14:paraId="69C46A74" w14:textId="64F5F4D3" w:rsidR="00C6761E" w:rsidRPr="00C6761E" w:rsidRDefault="00C6761E" w:rsidP="00C6761E">
            <w:pPr>
              <w:spacing w:before="60" w:after="60"/>
              <w:jc w:val="right"/>
              <w:rPr>
                <w:rFonts w:cs="Arial"/>
                <w:bCs/>
                <w:sz w:val="18"/>
                <w:szCs w:val="18"/>
              </w:rPr>
            </w:pPr>
            <w:r w:rsidRPr="00C6761E">
              <w:rPr>
                <w:rFonts w:cs="Arial"/>
                <w:bCs/>
                <w:color w:val="000000"/>
                <w:sz w:val="18"/>
                <w:szCs w:val="18"/>
              </w:rPr>
              <w:t>4</w:t>
            </w:r>
          </w:p>
        </w:tc>
        <w:tc>
          <w:tcPr>
            <w:tcW w:w="1417" w:type="dxa"/>
            <w:tcBorders>
              <w:top w:val="nil"/>
              <w:left w:val="single" w:sz="4" w:space="0" w:color="FFFFFF" w:themeColor="background1"/>
              <w:bottom w:val="nil"/>
              <w:right w:val="nil"/>
            </w:tcBorders>
            <w:vAlign w:val="center"/>
          </w:tcPr>
          <w:p w14:paraId="2F34C1CD" w14:textId="4ABE391D" w:rsidR="00C6761E" w:rsidRPr="00C6761E" w:rsidRDefault="00C6761E" w:rsidP="00C6761E">
            <w:pPr>
              <w:spacing w:before="60" w:after="60"/>
              <w:jc w:val="right"/>
              <w:rPr>
                <w:rFonts w:cs="Arial"/>
                <w:bCs/>
                <w:sz w:val="18"/>
                <w:szCs w:val="18"/>
              </w:rPr>
            </w:pPr>
            <w:r w:rsidRPr="00C6761E">
              <w:rPr>
                <w:rFonts w:cs="Arial"/>
                <w:bCs/>
                <w:color w:val="000000"/>
                <w:sz w:val="18"/>
                <w:szCs w:val="18"/>
              </w:rPr>
              <w:t>2 727 696</w:t>
            </w:r>
          </w:p>
        </w:tc>
      </w:tr>
      <w:tr w:rsidR="00C6761E" w:rsidRPr="004670A4" w14:paraId="731605BC"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1ECE6D55" w14:textId="62C7557C" w:rsidR="00C6761E" w:rsidRPr="00927EDF" w:rsidRDefault="00C6761E" w:rsidP="00C6761E">
            <w:pPr>
              <w:spacing w:before="60" w:after="60"/>
              <w:jc w:val="center"/>
              <w:rPr>
                <w:rFonts w:cs="Arial"/>
                <w:bCs/>
                <w:sz w:val="18"/>
                <w:szCs w:val="18"/>
              </w:rPr>
            </w:pPr>
            <w:r w:rsidRPr="00927EDF">
              <w:rPr>
                <w:rFonts w:cs="Arial"/>
                <w:bCs/>
                <w:color w:val="000000"/>
                <w:sz w:val="18"/>
                <w:szCs w:val="18"/>
              </w:rPr>
              <w:t>Irlandia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0451A66" w14:textId="1CC1837F" w:rsidR="00C6761E" w:rsidRPr="00927EDF" w:rsidRDefault="001C6E39"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612AC50" w14:textId="0520501D"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35692E7D" w14:textId="283E6C20" w:rsidR="00C6761E" w:rsidRPr="00927EDF" w:rsidRDefault="001C6E39" w:rsidP="00C6761E">
            <w:pPr>
              <w:keepNext/>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1F293872" w14:textId="3B6F37AD" w:rsidR="00C6761E" w:rsidRPr="00927EDF" w:rsidRDefault="001C6E39" w:rsidP="00C6761E">
            <w:pPr>
              <w:keepNext/>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B672863" w14:textId="14275223"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0F850F92" w14:textId="4386C542"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162 600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EB310F4" w14:textId="7EA1EE0A"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369E5455" w14:textId="2535F40A"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162 600</w:t>
            </w:r>
          </w:p>
        </w:tc>
      </w:tr>
      <w:tr w:rsidR="00C6761E" w:rsidRPr="004670A4" w14:paraId="6129E49F" w14:textId="77777777" w:rsidTr="00C6761E">
        <w:trPr>
          <w:trHeight w:val="78"/>
        </w:trPr>
        <w:tc>
          <w:tcPr>
            <w:tcW w:w="1276" w:type="dxa"/>
            <w:tcBorders>
              <w:top w:val="nil"/>
              <w:left w:val="nil"/>
              <w:bottom w:val="nil"/>
              <w:right w:val="single" w:sz="4" w:space="0" w:color="FFFFFF" w:themeColor="background1"/>
            </w:tcBorders>
            <w:vAlign w:val="center"/>
          </w:tcPr>
          <w:p w14:paraId="534ED61D" w14:textId="244A45D4" w:rsidR="00C6761E" w:rsidRPr="00927EDF" w:rsidRDefault="00C6761E" w:rsidP="00C6761E">
            <w:pPr>
              <w:spacing w:before="60" w:after="60"/>
              <w:jc w:val="center"/>
              <w:rPr>
                <w:rFonts w:cs="Arial"/>
                <w:bCs/>
                <w:sz w:val="18"/>
                <w:szCs w:val="18"/>
              </w:rPr>
            </w:pPr>
            <w:r w:rsidRPr="00927EDF">
              <w:rPr>
                <w:rFonts w:cs="Arial"/>
                <w:bCs/>
                <w:color w:val="000000"/>
                <w:sz w:val="18"/>
                <w:szCs w:val="18"/>
              </w:rPr>
              <w:t>Litwa</w:t>
            </w:r>
          </w:p>
        </w:tc>
        <w:tc>
          <w:tcPr>
            <w:tcW w:w="851" w:type="dxa"/>
            <w:tcBorders>
              <w:top w:val="nil"/>
              <w:left w:val="single" w:sz="4" w:space="0" w:color="FFFFFF" w:themeColor="background1"/>
              <w:bottom w:val="nil"/>
              <w:right w:val="single" w:sz="4" w:space="0" w:color="FFFFFF" w:themeColor="background1"/>
            </w:tcBorders>
            <w:vAlign w:val="center"/>
          </w:tcPr>
          <w:p w14:paraId="1278F147" w14:textId="5065891E" w:rsidR="00C6761E" w:rsidRPr="00927EDF" w:rsidRDefault="00C6761E" w:rsidP="00C6761E">
            <w:pPr>
              <w:spacing w:before="60" w:after="60"/>
              <w:jc w:val="right"/>
              <w:rPr>
                <w:rFonts w:cs="Arial"/>
                <w:sz w:val="18"/>
                <w:szCs w:val="18"/>
              </w:rPr>
            </w:pPr>
            <w:r w:rsidRPr="00927EDF">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vAlign w:val="center"/>
          </w:tcPr>
          <w:p w14:paraId="44CCE2FF" w14:textId="624A1917" w:rsidR="00C6761E" w:rsidRPr="00927EDF" w:rsidRDefault="00C6761E" w:rsidP="00C6761E">
            <w:pPr>
              <w:spacing w:before="60" w:after="60"/>
              <w:jc w:val="right"/>
              <w:rPr>
                <w:rFonts w:cs="Arial"/>
                <w:sz w:val="18"/>
                <w:szCs w:val="18"/>
              </w:rPr>
            </w:pPr>
            <w:r w:rsidRPr="00927EDF">
              <w:rPr>
                <w:rFonts w:cs="Arial"/>
                <w:color w:val="000000"/>
                <w:sz w:val="18"/>
                <w:szCs w:val="18"/>
              </w:rPr>
              <w:t>963 500</w:t>
            </w:r>
          </w:p>
        </w:tc>
        <w:tc>
          <w:tcPr>
            <w:tcW w:w="851" w:type="dxa"/>
            <w:tcBorders>
              <w:top w:val="nil"/>
              <w:left w:val="single" w:sz="4" w:space="0" w:color="FFFFFF" w:themeColor="background1"/>
              <w:bottom w:val="nil"/>
              <w:right w:val="nil"/>
            </w:tcBorders>
            <w:vAlign w:val="center"/>
          </w:tcPr>
          <w:p w14:paraId="032D1EF1" w14:textId="4FB17559"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7508AFE8" w14:textId="65EFCA0C" w:rsidR="00C6761E" w:rsidRPr="00927EDF" w:rsidRDefault="00C6761E" w:rsidP="00C6761E">
            <w:pPr>
              <w:spacing w:before="60" w:after="60"/>
              <w:jc w:val="right"/>
              <w:rPr>
                <w:rFonts w:cs="Arial"/>
                <w:bCs/>
                <w:sz w:val="18"/>
                <w:szCs w:val="18"/>
              </w:rPr>
            </w:pPr>
            <w:r w:rsidRPr="00927EDF">
              <w:rPr>
                <w:rFonts w:cs="Arial"/>
                <w:color w:val="000000"/>
                <w:sz w:val="18"/>
                <w:szCs w:val="18"/>
              </w:rPr>
              <w:t>2 564 540</w:t>
            </w:r>
          </w:p>
        </w:tc>
        <w:tc>
          <w:tcPr>
            <w:tcW w:w="851" w:type="dxa"/>
            <w:tcBorders>
              <w:top w:val="nil"/>
              <w:left w:val="single" w:sz="4" w:space="0" w:color="FFFFFF" w:themeColor="background1"/>
              <w:bottom w:val="nil"/>
              <w:right w:val="single" w:sz="4" w:space="0" w:color="FFFFFF" w:themeColor="background1"/>
            </w:tcBorders>
            <w:vAlign w:val="center"/>
          </w:tcPr>
          <w:p w14:paraId="69514580" w14:textId="3B270BB8" w:rsidR="00C6761E" w:rsidRPr="00927EDF" w:rsidRDefault="00C6761E" w:rsidP="00C6761E">
            <w:pPr>
              <w:spacing w:before="60" w:after="60"/>
              <w:jc w:val="right"/>
              <w:rPr>
                <w:rFonts w:cs="Arial"/>
                <w:bCs/>
                <w:sz w:val="18"/>
                <w:szCs w:val="18"/>
              </w:rPr>
            </w:pPr>
            <w:r w:rsidRPr="00927EDF">
              <w:rPr>
                <w:rFonts w:cs="Arial"/>
                <w:color w:val="000000"/>
                <w:sz w:val="18"/>
                <w:szCs w:val="18"/>
              </w:rPr>
              <w:t>3</w:t>
            </w:r>
          </w:p>
        </w:tc>
        <w:tc>
          <w:tcPr>
            <w:tcW w:w="1417" w:type="dxa"/>
            <w:tcBorders>
              <w:top w:val="nil"/>
              <w:left w:val="single" w:sz="4" w:space="0" w:color="FFFFFF" w:themeColor="background1"/>
              <w:bottom w:val="nil"/>
              <w:right w:val="nil"/>
            </w:tcBorders>
            <w:vAlign w:val="center"/>
          </w:tcPr>
          <w:p w14:paraId="6DE437C2" w14:textId="63F9781E" w:rsidR="00C6761E" w:rsidRPr="00927EDF" w:rsidRDefault="00C6761E" w:rsidP="00C6761E">
            <w:pPr>
              <w:spacing w:before="60" w:after="60"/>
              <w:jc w:val="right"/>
              <w:rPr>
                <w:rFonts w:cs="Arial"/>
                <w:bCs/>
                <w:sz w:val="18"/>
                <w:szCs w:val="18"/>
              </w:rPr>
            </w:pPr>
            <w:r w:rsidRPr="00927EDF">
              <w:rPr>
                <w:rFonts w:cs="Arial"/>
                <w:color w:val="000000"/>
                <w:sz w:val="18"/>
                <w:szCs w:val="18"/>
              </w:rPr>
              <w:t>370 661</w:t>
            </w:r>
          </w:p>
        </w:tc>
        <w:tc>
          <w:tcPr>
            <w:tcW w:w="851" w:type="dxa"/>
            <w:tcBorders>
              <w:top w:val="nil"/>
              <w:left w:val="single" w:sz="4" w:space="0" w:color="FFFFFF" w:themeColor="background1"/>
              <w:bottom w:val="nil"/>
              <w:right w:val="single" w:sz="4" w:space="0" w:color="FFFFFF" w:themeColor="background1"/>
            </w:tcBorders>
            <w:vAlign w:val="center"/>
          </w:tcPr>
          <w:p w14:paraId="673BFBC5" w14:textId="21DFE798" w:rsidR="00C6761E" w:rsidRPr="00C6761E" w:rsidRDefault="00C6761E" w:rsidP="00C6761E">
            <w:pPr>
              <w:spacing w:before="60" w:after="60"/>
              <w:jc w:val="right"/>
              <w:rPr>
                <w:rFonts w:cs="Arial"/>
                <w:bCs/>
                <w:sz w:val="18"/>
                <w:szCs w:val="18"/>
              </w:rPr>
            </w:pPr>
            <w:r w:rsidRPr="00C6761E">
              <w:rPr>
                <w:rFonts w:cs="Arial"/>
                <w:bCs/>
                <w:color w:val="000000"/>
                <w:sz w:val="18"/>
                <w:szCs w:val="18"/>
              </w:rPr>
              <w:t>5</w:t>
            </w:r>
          </w:p>
        </w:tc>
        <w:tc>
          <w:tcPr>
            <w:tcW w:w="1417" w:type="dxa"/>
            <w:tcBorders>
              <w:top w:val="nil"/>
              <w:left w:val="single" w:sz="4" w:space="0" w:color="FFFFFF" w:themeColor="background1"/>
              <w:bottom w:val="nil"/>
              <w:right w:val="nil"/>
            </w:tcBorders>
            <w:vAlign w:val="center"/>
          </w:tcPr>
          <w:p w14:paraId="03369CCC" w14:textId="25C48265" w:rsidR="00C6761E" w:rsidRPr="00C6761E" w:rsidRDefault="00C6761E" w:rsidP="00C6761E">
            <w:pPr>
              <w:spacing w:before="60" w:after="60"/>
              <w:jc w:val="right"/>
              <w:rPr>
                <w:rFonts w:cs="Arial"/>
                <w:bCs/>
                <w:sz w:val="18"/>
                <w:szCs w:val="18"/>
              </w:rPr>
            </w:pPr>
            <w:r w:rsidRPr="00C6761E">
              <w:rPr>
                <w:rFonts w:cs="Arial"/>
                <w:bCs/>
                <w:color w:val="000000"/>
                <w:sz w:val="18"/>
                <w:szCs w:val="18"/>
              </w:rPr>
              <w:t>3 898 701</w:t>
            </w:r>
          </w:p>
        </w:tc>
      </w:tr>
      <w:tr w:rsidR="00C6761E" w:rsidRPr="004670A4" w14:paraId="47D1BD6F"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162128AF" w14:textId="748214C6" w:rsidR="00C6761E" w:rsidRPr="00927EDF" w:rsidRDefault="00C6761E" w:rsidP="00C6761E">
            <w:pPr>
              <w:spacing w:before="60" w:after="60"/>
              <w:jc w:val="center"/>
              <w:rPr>
                <w:rFonts w:cs="Arial"/>
                <w:bCs/>
                <w:sz w:val="18"/>
                <w:szCs w:val="18"/>
              </w:rPr>
            </w:pPr>
            <w:r w:rsidRPr="00927EDF">
              <w:rPr>
                <w:rFonts w:cs="Arial"/>
                <w:bCs/>
                <w:color w:val="000000"/>
                <w:sz w:val="18"/>
                <w:szCs w:val="18"/>
              </w:rPr>
              <w:t>Luksemburg</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1229220" w14:textId="6BD84076" w:rsidR="00C6761E" w:rsidRPr="00927EDF" w:rsidRDefault="001C6E39"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64C9337" w14:textId="3734AB4B"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72B88AA8" w14:textId="365B7D7F" w:rsidR="00C6761E" w:rsidRPr="00927EDF" w:rsidRDefault="001C6E39" w:rsidP="00C6761E">
            <w:pPr>
              <w:keepNext/>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2CAC3B9B" w14:textId="4870E0AB" w:rsidR="00C6761E" w:rsidRPr="00927EDF" w:rsidRDefault="001C6E39" w:rsidP="00C6761E">
            <w:pPr>
              <w:keepNext/>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677646D" w14:textId="3D63F620" w:rsidR="00C6761E" w:rsidRPr="00927EDF" w:rsidRDefault="00C6761E" w:rsidP="00C6761E">
            <w:pPr>
              <w:keepNext/>
              <w:spacing w:before="60" w:after="60"/>
              <w:jc w:val="right"/>
              <w:rPr>
                <w:rFonts w:cs="Arial"/>
                <w:bCs/>
                <w:sz w:val="18"/>
                <w:szCs w:val="18"/>
              </w:rPr>
            </w:pPr>
            <w:r w:rsidRPr="00927EDF">
              <w:rPr>
                <w:rFonts w:cs="Arial"/>
                <w:color w:val="000000"/>
                <w:sz w:val="18"/>
                <w:szCs w:val="18"/>
              </w:rPr>
              <w:t>9</w:t>
            </w:r>
          </w:p>
        </w:tc>
        <w:tc>
          <w:tcPr>
            <w:tcW w:w="1417" w:type="dxa"/>
            <w:tcBorders>
              <w:top w:val="nil"/>
              <w:left w:val="single" w:sz="4" w:space="0" w:color="FFFFFF" w:themeColor="background1"/>
              <w:bottom w:val="nil"/>
              <w:right w:val="nil"/>
            </w:tcBorders>
            <w:shd w:val="clear" w:color="auto" w:fill="00B0F0"/>
            <w:vAlign w:val="center"/>
          </w:tcPr>
          <w:p w14:paraId="0D548F81" w14:textId="3EE60FC1" w:rsidR="00C6761E" w:rsidRPr="00927EDF" w:rsidRDefault="00C6761E" w:rsidP="00C6761E">
            <w:pPr>
              <w:keepNext/>
              <w:spacing w:before="60" w:after="60"/>
              <w:jc w:val="right"/>
              <w:rPr>
                <w:rFonts w:cs="Arial"/>
                <w:bCs/>
                <w:sz w:val="18"/>
                <w:szCs w:val="18"/>
              </w:rPr>
            </w:pPr>
            <w:r w:rsidRPr="00927EDF">
              <w:rPr>
                <w:rFonts w:cs="Arial"/>
                <w:color w:val="000000"/>
                <w:sz w:val="18"/>
                <w:szCs w:val="18"/>
              </w:rPr>
              <w:t>34 673 800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011FC8B" w14:textId="7ECB1DCD"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9</w:t>
            </w:r>
          </w:p>
        </w:tc>
        <w:tc>
          <w:tcPr>
            <w:tcW w:w="1417" w:type="dxa"/>
            <w:tcBorders>
              <w:top w:val="nil"/>
              <w:left w:val="single" w:sz="4" w:space="0" w:color="FFFFFF" w:themeColor="background1"/>
              <w:bottom w:val="nil"/>
              <w:right w:val="nil"/>
            </w:tcBorders>
            <w:shd w:val="clear" w:color="auto" w:fill="00B0F0"/>
            <w:vAlign w:val="center"/>
          </w:tcPr>
          <w:p w14:paraId="4D120835" w14:textId="51433BC1"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34 673 800</w:t>
            </w:r>
          </w:p>
        </w:tc>
      </w:tr>
      <w:tr w:rsidR="00C6761E" w:rsidRPr="004670A4" w14:paraId="048A1623" w14:textId="77777777" w:rsidTr="00C6761E">
        <w:trPr>
          <w:trHeight w:val="78"/>
        </w:trPr>
        <w:tc>
          <w:tcPr>
            <w:tcW w:w="1276" w:type="dxa"/>
            <w:tcBorders>
              <w:top w:val="nil"/>
              <w:left w:val="nil"/>
              <w:bottom w:val="nil"/>
              <w:right w:val="single" w:sz="4" w:space="0" w:color="FFFFFF" w:themeColor="background1"/>
            </w:tcBorders>
            <w:vAlign w:val="center"/>
          </w:tcPr>
          <w:p w14:paraId="6D601CC6" w14:textId="1AF728B2" w:rsidR="00C6761E" w:rsidRPr="00927EDF" w:rsidRDefault="00C6761E" w:rsidP="00C6761E">
            <w:pPr>
              <w:spacing w:before="60" w:after="60"/>
              <w:jc w:val="center"/>
              <w:rPr>
                <w:rFonts w:cs="Arial"/>
                <w:bCs/>
                <w:sz w:val="18"/>
                <w:szCs w:val="18"/>
              </w:rPr>
            </w:pPr>
            <w:r w:rsidRPr="00927EDF">
              <w:rPr>
                <w:rFonts w:cs="Arial"/>
                <w:bCs/>
                <w:color w:val="000000"/>
                <w:sz w:val="18"/>
                <w:szCs w:val="18"/>
              </w:rPr>
              <w:t>Łotwa</w:t>
            </w:r>
          </w:p>
        </w:tc>
        <w:tc>
          <w:tcPr>
            <w:tcW w:w="851" w:type="dxa"/>
            <w:tcBorders>
              <w:top w:val="nil"/>
              <w:left w:val="single" w:sz="4" w:space="0" w:color="FFFFFF" w:themeColor="background1"/>
              <w:bottom w:val="nil"/>
              <w:right w:val="single" w:sz="4" w:space="0" w:color="FFFFFF" w:themeColor="background1"/>
            </w:tcBorders>
            <w:vAlign w:val="center"/>
          </w:tcPr>
          <w:p w14:paraId="1B3CB824" w14:textId="76CBBFAB"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370F940" w14:textId="4FF8D4C3"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2016BA42" w14:textId="16E0F661" w:rsidR="00C6761E" w:rsidRPr="00927EDF" w:rsidRDefault="00C6761E" w:rsidP="00C6761E">
            <w:pPr>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22F43DAF" w14:textId="4F58A62D" w:rsidR="00C6761E" w:rsidRPr="00927EDF" w:rsidRDefault="00C6761E" w:rsidP="00C6761E">
            <w:pPr>
              <w:spacing w:before="60" w:after="60"/>
              <w:jc w:val="right"/>
              <w:rPr>
                <w:rFonts w:cs="Arial"/>
                <w:bCs/>
                <w:sz w:val="18"/>
                <w:szCs w:val="18"/>
              </w:rPr>
            </w:pPr>
            <w:r w:rsidRPr="00927EDF">
              <w:rPr>
                <w:rFonts w:cs="Arial"/>
                <w:color w:val="000000"/>
                <w:sz w:val="18"/>
                <w:szCs w:val="18"/>
              </w:rPr>
              <w:t>3 400 848</w:t>
            </w:r>
          </w:p>
        </w:tc>
        <w:tc>
          <w:tcPr>
            <w:tcW w:w="851" w:type="dxa"/>
            <w:tcBorders>
              <w:top w:val="nil"/>
              <w:left w:val="single" w:sz="4" w:space="0" w:color="FFFFFF" w:themeColor="background1"/>
              <w:bottom w:val="nil"/>
              <w:right w:val="single" w:sz="4" w:space="0" w:color="FFFFFF" w:themeColor="background1"/>
            </w:tcBorders>
            <w:vAlign w:val="center"/>
          </w:tcPr>
          <w:p w14:paraId="0EEF35E6" w14:textId="7FE54653" w:rsidR="00C6761E" w:rsidRPr="00927EDF" w:rsidRDefault="001C6E39"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09F36B6F" w14:textId="6C3DA1DF"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5A6D419D" w14:textId="1B5845BD" w:rsidR="00C6761E" w:rsidRPr="00C6761E" w:rsidRDefault="00C6761E" w:rsidP="00C6761E">
            <w:pPr>
              <w:spacing w:before="60" w:after="60"/>
              <w:jc w:val="right"/>
              <w:rPr>
                <w:rFonts w:cs="Arial"/>
                <w:bCs/>
                <w:sz w:val="18"/>
                <w:szCs w:val="18"/>
              </w:rPr>
            </w:pPr>
            <w:r w:rsidRPr="00C6761E">
              <w:rPr>
                <w:rFonts w:cs="Arial"/>
                <w:bCs/>
                <w:color w:val="000000"/>
                <w:sz w:val="18"/>
                <w:szCs w:val="18"/>
              </w:rPr>
              <w:t>2</w:t>
            </w:r>
          </w:p>
        </w:tc>
        <w:tc>
          <w:tcPr>
            <w:tcW w:w="1417" w:type="dxa"/>
            <w:tcBorders>
              <w:top w:val="nil"/>
              <w:left w:val="single" w:sz="4" w:space="0" w:color="FFFFFF" w:themeColor="background1"/>
              <w:bottom w:val="nil"/>
              <w:right w:val="nil"/>
            </w:tcBorders>
            <w:vAlign w:val="center"/>
          </w:tcPr>
          <w:p w14:paraId="2C7AF808" w14:textId="24782958" w:rsidR="00C6761E" w:rsidRPr="00C6761E" w:rsidRDefault="00C6761E" w:rsidP="00C6761E">
            <w:pPr>
              <w:spacing w:before="60" w:after="60"/>
              <w:jc w:val="right"/>
              <w:rPr>
                <w:rFonts w:cs="Arial"/>
                <w:bCs/>
                <w:sz w:val="18"/>
                <w:szCs w:val="18"/>
              </w:rPr>
            </w:pPr>
            <w:r w:rsidRPr="00C6761E">
              <w:rPr>
                <w:rFonts w:cs="Arial"/>
                <w:bCs/>
                <w:color w:val="000000"/>
                <w:sz w:val="18"/>
                <w:szCs w:val="18"/>
              </w:rPr>
              <w:t>3 400 848</w:t>
            </w:r>
          </w:p>
        </w:tc>
      </w:tr>
      <w:tr w:rsidR="00C6761E" w:rsidRPr="004670A4" w14:paraId="46F1FA11"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20809117" w14:textId="16EBFC5E" w:rsidR="00C6761E" w:rsidRPr="00927EDF" w:rsidRDefault="00C6761E" w:rsidP="00C6761E">
            <w:pPr>
              <w:spacing w:before="60" w:after="60"/>
              <w:jc w:val="center"/>
              <w:rPr>
                <w:rFonts w:cs="Arial"/>
                <w:bCs/>
                <w:sz w:val="18"/>
                <w:szCs w:val="18"/>
              </w:rPr>
            </w:pPr>
            <w:r w:rsidRPr="00927EDF">
              <w:rPr>
                <w:rFonts w:cs="Arial"/>
                <w:bCs/>
                <w:color w:val="000000"/>
                <w:sz w:val="18"/>
                <w:szCs w:val="18"/>
              </w:rPr>
              <w:t>Malta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F4AE6FC" w14:textId="5B71FFC9" w:rsidR="00C6761E" w:rsidRPr="00927EDF" w:rsidRDefault="001C6E39"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78C4442" w14:textId="39DEDBF7"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5B239BC6" w14:textId="1F2B2862" w:rsidR="00C6761E" w:rsidRPr="00927EDF" w:rsidRDefault="001C6E39" w:rsidP="00C6761E">
            <w:pPr>
              <w:keepNext/>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shd w:val="clear" w:color="auto" w:fill="00B0F0"/>
            <w:vAlign w:val="center"/>
          </w:tcPr>
          <w:p w14:paraId="001BE841" w14:textId="453096EF" w:rsidR="00C6761E" w:rsidRPr="00927EDF" w:rsidRDefault="001C6E39" w:rsidP="00C6761E">
            <w:pPr>
              <w:keepNext/>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9A9B99D" w14:textId="763D6AD3"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0F429820" w14:textId="2D382833"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162 000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D2CE8F" w14:textId="30D6EBF6"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1A4AE9A4" w14:textId="402711C9"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162 000</w:t>
            </w:r>
          </w:p>
        </w:tc>
      </w:tr>
      <w:tr w:rsidR="00C6761E" w:rsidRPr="004670A4" w14:paraId="23FF55CF" w14:textId="77777777" w:rsidTr="00C6761E">
        <w:trPr>
          <w:trHeight w:val="78"/>
        </w:trPr>
        <w:tc>
          <w:tcPr>
            <w:tcW w:w="1276" w:type="dxa"/>
            <w:tcBorders>
              <w:top w:val="nil"/>
              <w:left w:val="nil"/>
              <w:bottom w:val="nil"/>
              <w:right w:val="single" w:sz="4" w:space="0" w:color="FFFFFF" w:themeColor="background1"/>
            </w:tcBorders>
            <w:vAlign w:val="center"/>
          </w:tcPr>
          <w:p w14:paraId="262D6A9E" w14:textId="5E6AF6A1" w:rsidR="00C6761E" w:rsidRPr="00927EDF" w:rsidRDefault="00C6761E" w:rsidP="00C6761E">
            <w:pPr>
              <w:spacing w:before="60" w:after="60"/>
              <w:jc w:val="center"/>
              <w:rPr>
                <w:rFonts w:cs="Arial"/>
                <w:bCs/>
                <w:sz w:val="18"/>
                <w:szCs w:val="18"/>
              </w:rPr>
            </w:pPr>
            <w:r w:rsidRPr="00927EDF">
              <w:rPr>
                <w:rFonts w:cs="Arial"/>
                <w:bCs/>
                <w:color w:val="000000"/>
                <w:sz w:val="18"/>
                <w:szCs w:val="18"/>
              </w:rPr>
              <w:t>Niderlandy</w:t>
            </w:r>
          </w:p>
        </w:tc>
        <w:tc>
          <w:tcPr>
            <w:tcW w:w="851" w:type="dxa"/>
            <w:tcBorders>
              <w:top w:val="nil"/>
              <w:left w:val="single" w:sz="4" w:space="0" w:color="FFFFFF" w:themeColor="background1"/>
              <w:bottom w:val="nil"/>
              <w:right w:val="single" w:sz="4" w:space="0" w:color="FFFFFF" w:themeColor="background1"/>
            </w:tcBorders>
            <w:vAlign w:val="center"/>
          </w:tcPr>
          <w:p w14:paraId="375FEF17" w14:textId="2B888BF7" w:rsidR="00C6761E" w:rsidRPr="00927EDF" w:rsidRDefault="001C6E39"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766407F7" w14:textId="2A816E26" w:rsidR="00C6761E" w:rsidRPr="00927EDF" w:rsidRDefault="001C6E39"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76927AED" w14:textId="488470FA"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6C82BB06" w14:textId="1BEF15A4" w:rsidR="00C6761E" w:rsidRPr="00927EDF" w:rsidRDefault="00C6761E" w:rsidP="00C6761E">
            <w:pPr>
              <w:spacing w:before="60" w:after="60"/>
              <w:jc w:val="right"/>
              <w:rPr>
                <w:rFonts w:cs="Arial"/>
                <w:bCs/>
                <w:sz w:val="18"/>
                <w:szCs w:val="18"/>
              </w:rPr>
            </w:pPr>
            <w:r w:rsidRPr="00927EDF">
              <w:rPr>
                <w:rFonts w:cs="Arial"/>
                <w:color w:val="000000"/>
                <w:sz w:val="18"/>
                <w:szCs w:val="18"/>
              </w:rPr>
              <w:t>112 774</w:t>
            </w:r>
          </w:p>
        </w:tc>
        <w:tc>
          <w:tcPr>
            <w:tcW w:w="851" w:type="dxa"/>
            <w:tcBorders>
              <w:top w:val="nil"/>
              <w:left w:val="single" w:sz="4" w:space="0" w:color="FFFFFF" w:themeColor="background1"/>
              <w:bottom w:val="nil"/>
              <w:right w:val="single" w:sz="4" w:space="0" w:color="FFFFFF" w:themeColor="background1"/>
            </w:tcBorders>
            <w:vAlign w:val="center"/>
          </w:tcPr>
          <w:p w14:paraId="6E4DC8CB" w14:textId="5FA91174" w:rsidR="00C6761E" w:rsidRPr="00927EDF" w:rsidRDefault="001C6E39"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391CF813" w14:textId="62D74E67" w:rsidR="00C6761E" w:rsidRPr="00927EDF" w:rsidRDefault="001C6E39"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2765D323" w14:textId="35E2288F" w:rsidR="00C6761E" w:rsidRPr="00C6761E" w:rsidRDefault="00C6761E" w:rsidP="00C6761E">
            <w:pPr>
              <w:spacing w:before="60" w:after="60"/>
              <w:jc w:val="right"/>
              <w:rPr>
                <w:rFonts w:cs="Arial"/>
                <w:bCs/>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vAlign w:val="center"/>
          </w:tcPr>
          <w:p w14:paraId="08619E37" w14:textId="403AB5F0" w:rsidR="00C6761E" w:rsidRPr="00C6761E" w:rsidRDefault="00C6761E" w:rsidP="00C6761E">
            <w:pPr>
              <w:spacing w:before="60" w:after="60"/>
              <w:jc w:val="right"/>
              <w:rPr>
                <w:rFonts w:cs="Arial"/>
                <w:bCs/>
                <w:sz w:val="18"/>
                <w:szCs w:val="18"/>
              </w:rPr>
            </w:pPr>
            <w:r w:rsidRPr="00C6761E">
              <w:rPr>
                <w:rFonts w:cs="Arial"/>
                <w:bCs/>
                <w:color w:val="000000"/>
                <w:sz w:val="18"/>
                <w:szCs w:val="18"/>
              </w:rPr>
              <w:t>112 774</w:t>
            </w:r>
          </w:p>
        </w:tc>
      </w:tr>
      <w:tr w:rsidR="00C6761E" w:rsidRPr="004670A4" w14:paraId="5D1958C7"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7B957B7B" w14:textId="3E1E00DB" w:rsidR="00C6761E" w:rsidRPr="00927EDF" w:rsidRDefault="00C6761E" w:rsidP="00C6761E">
            <w:pPr>
              <w:spacing w:before="60" w:after="60"/>
              <w:jc w:val="center"/>
              <w:rPr>
                <w:rFonts w:cs="Arial"/>
                <w:bCs/>
                <w:sz w:val="18"/>
                <w:szCs w:val="18"/>
              </w:rPr>
            </w:pPr>
            <w:r w:rsidRPr="00927EDF">
              <w:rPr>
                <w:rFonts w:cs="Arial"/>
                <w:bCs/>
                <w:color w:val="000000"/>
                <w:sz w:val="18"/>
                <w:szCs w:val="18"/>
              </w:rPr>
              <w:t>Niemcy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0AF14BF" w14:textId="2013A7F4"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7BBAEFD" w14:textId="2D1EFFAD" w:rsidR="00C6761E" w:rsidRPr="00927EDF" w:rsidRDefault="00C6761E" w:rsidP="00C6761E">
            <w:pPr>
              <w:spacing w:before="60" w:after="60"/>
              <w:jc w:val="right"/>
              <w:rPr>
                <w:rFonts w:cs="Arial"/>
                <w:bCs/>
                <w:sz w:val="18"/>
                <w:szCs w:val="18"/>
              </w:rPr>
            </w:pPr>
            <w:r w:rsidRPr="00927EDF">
              <w:rPr>
                <w:rFonts w:cs="Arial"/>
                <w:color w:val="000000"/>
                <w:sz w:val="18"/>
                <w:szCs w:val="18"/>
              </w:rPr>
              <w:t>213 281</w:t>
            </w:r>
          </w:p>
        </w:tc>
        <w:tc>
          <w:tcPr>
            <w:tcW w:w="851" w:type="dxa"/>
            <w:tcBorders>
              <w:top w:val="nil"/>
              <w:left w:val="single" w:sz="4" w:space="0" w:color="FFFFFF" w:themeColor="background1"/>
              <w:bottom w:val="nil"/>
              <w:right w:val="nil"/>
            </w:tcBorders>
            <w:shd w:val="clear" w:color="auto" w:fill="00B0F0"/>
            <w:vAlign w:val="center"/>
          </w:tcPr>
          <w:p w14:paraId="06350451" w14:textId="194366FE" w:rsidR="00C6761E" w:rsidRPr="00927EDF" w:rsidRDefault="00C6761E" w:rsidP="00C6761E">
            <w:pPr>
              <w:keepNext/>
              <w:spacing w:before="60" w:after="60"/>
              <w:jc w:val="right"/>
              <w:rPr>
                <w:rFonts w:cs="Arial"/>
                <w:bCs/>
                <w:sz w:val="18"/>
                <w:szCs w:val="18"/>
              </w:rPr>
            </w:pPr>
            <w:r w:rsidRPr="00927EDF">
              <w:rPr>
                <w:rFonts w:cs="Arial"/>
                <w:color w:val="000000"/>
                <w:sz w:val="18"/>
                <w:szCs w:val="18"/>
              </w:rPr>
              <w:t>8</w:t>
            </w:r>
          </w:p>
        </w:tc>
        <w:tc>
          <w:tcPr>
            <w:tcW w:w="1417" w:type="dxa"/>
            <w:tcBorders>
              <w:top w:val="nil"/>
              <w:left w:val="single" w:sz="4" w:space="0" w:color="FFFFFF" w:themeColor="background1"/>
              <w:bottom w:val="nil"/>
              <w:right w:val="nil"/>
            </w:tcBorders>
            <w:shd w:val="clear" w:color="auto" w:fill="00B0F0"/>
            <w:vAlign w:val="center"/>
          </w:tcPr>
          <w:p w14:paraId="3AF35A30" w14:textId="49D2DB44"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14 703 039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4D7B736" w14:textId="39329400" w:rsidR="00C6761E" w:rsidRPr="00927EDF" w:rsidRDefault="00C6761E" w:rsidP="00C6761E">
            <w:pPr>
              <w:keepNext/>
              <w:spacing w:before="60" w:after="60"/>
              <w:jc w:val="right"/>
              <w:rPr>
                <w:rFonts w:cs="Arial"/>
                <w:bCs/>
                <w:sz w:val="18"/>
                <w:szCs w:val="18"/>
              </w:rPr>
            </w:pPr>
            <w:r w:rsidRPr="00927EDF">
              <w:rPr>
                <w:rFonts w:cs="Arial"/>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029C48F2" w14:textId="646484BC"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1 219 700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0A7137A" w14:textId="276296AD"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14</w:t>
            </w:r>
          </w:p>
        </w:tc>
        <w:tc>
          <w:tcPr>
            <w:tcW w:w="1417" w:type="dxa"/>
            <w:tcBorders>
              <w:top w:val="nil"/>
              <w:left w:val="single" w:sz="4" w:space="0" w:color="FFFFFF" w:themeColor="background1"/>
              <w:bottom w:val="nil"/>
              <w:right w:val="nil"/>
            </w:tcBorders>
            <w:shd w:val="clear" w:color="auto" w:fill="00B0F0"/>
            <w:vAlign w:val="center"/>
          </w:tcPr>
          <w:p w14:paraId="64A30590" w14:textId="0C3B2033"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16 136 020</w:t>
            </w:r>
          </w:p>
        </w:tc>
      </w:tr>
      <w:tr w:rsidR="00C6761E" w:rsidRPr="004670A4" w14:paraId="0526EB2D" w14:textId="77777777" w:rsidTr="00C6761E">
        <w:trPr>
          <w:trHeight w:val="78"/>
        </w:trPr>
        <w:tc>
          <w:tcPr>
            <w:tcW w:w="1276" w:type="dxa"/>
            <w:tcBorders>
              <w:top w:val="nil"/>
              <w:left w:val="nil"/>
              <w:bottom w:val="nil"/>
              <w:right w:val="single" w:sz="4" w:space="0" w:color="FFFFFF" w:themeColor="background1"/>
            </w:tcBorders>
            <w:vAlign w:val="center"/>
          </w:tcPr>
          <w:p w14:paraId="3D5A5B6B" w14:textId="7F451E19" w:rsidR="00C6761E" w:rsidRPr="00927EDF" w:rsidRDefault="00C6761E" w:rsidP="00C6761E">
            <w:pPr>
              <w:spacing w:before="60" w:after="60"/>
              <w:jc w:val="center"/>
              <w:rPr>
                <w:rFonts w:cs="Arial"/>
                <w:bCs/>
                <w:sz w:val="18"/>
                <w:szCs w:val="18"/>
              </w:rPr>
            </w:pPr>
            <w:r w:rsidRPr="00927EDF">
              <w:rPr>
                <w:rFonts w:cs="Arial"/>
                <w:bCs/>
                <w:color w:val="000000"/>
                <w:sz w:val="18"/>
                <w:szCs w:val="18"/>
              </w:rPr>
              <w:t>Rumunia</w:t>
            </w:r>
          </w:p>
        </w:tc>
        <w:tc>
          <w:tcPr>
            <w:tcW w:w="851" w:type="dxa"/>
            <w:tcBorders>
              <w:top w:val="nil"/>
              <w:left w:val="single" w:sz="4" w:space="0" w:color="FFFFFF" w:themeColor="background1"/>
              <w:bottom w:val="nil"/>
              <w:right w:val="single" w:sz="4" w:space="0" w:color="FFFFFF" w:themeColor="background1"/>
            </w:tcBorders>
            <w:vAlign w:val="center"/>
          </w:tcPr>
          <w:p w14:paraId="4E71F5AE" w14:textId="19A0A450" w:rsidR="00C6761E" w:rsidRPr="00927EDF" w:rsidRDefault="00C6761E" w:rsidP="00C6761E">
            <w:pPr>
              <w:spacing w:before="60" w:after="60"/>
              <w:jc w:val="right"/>
              <w:rPr>
                <w:rFonts w:cs="Arial"/>
                <w:sz w:val="18"/>
                <w:szCs w:val="18"/>
              </w:rPr>
            </w:pPr>
            <w:r w:rsidRPr="00927EDF">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vAlign w:val="center"/>
          </w:tcPr>
          <w:p w14:paraId="04EAFDF0" w14:textId="42CC5506" w:rsidR="00C6761E" w:rsidRPr="00927EDF" w:rsidRDefault="00C6761E" w:rsidP="00C6761E">
            <w:pPr>
              <w:spacing w:before="60" w:after="60"/>
              <w:jc w:val="right"/>
              <w:rPr>
                <w:rFonts w:cs="Arial"/>
                <w:sz w:val="18"/>
                <w:szCs w:val="18"/>
              </w:rPr>
            </w:pPr>
            <w:r w:rsidRPr="00927EDF">
              <w:rPr>
                <w:rFonts w:cs="Arial"/>
                <w:color w:val="000000"/>
                <w:sz w:val="18"/>
                <w:szCs w:val="18"/>
              </w:rPr>
              <w:t>61 911 186</w:t>
            </w:r>
          </w:p>
        </w:tc>
        <w:tc>
          <w:tcPr>
            <w:tcW w:w="851" w:type="dxa"/>
            <w:tcBorders>
              <w:top w:val="nil"/>
              <w:left w:val="single" w:sz="4" w:space="0" w:color="FFFFFF" w:themeColor="background1"/>
              <w:bottom w:val="nil"/>
              <w:right w:val="nil"/>
            </w:tcBorders>
            <w:vAlign w:val="center"/>
          </w:tcPr>
          <w:p w14:paraId="461C9EFA" w14:textId="33E6975B" w:rsidR="00C6761E" w:rsidRPr="00927EDF" w:rsidRDefault="00C6761E" w:rsidP="00C6761E">
            <w:pPr>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530BBEE7" w14:textId="30493F2C" w:rsidR="00C6761E" w:rsidRPr="00927EDF" w:rsidRDefault="00C6761E" w:rsidP="00C6761E">
            <w:pPr>
              <w:spacing w:before="60" w:after="60"/>
              <w:jc w:val="right"/>
              <w:rPr>
                <w:rFonts w:cs="Arial"/>
                <w:bCs/>
                <w:sz w:val="18"/>
                <w:szCs w:val="18"/>
              </w:rPr>
            </w:pPr>
            <w:r w:rsidRPr="00927EDF">
              <w:rPr>
                <w:rFonts w:cs="Arial"/>
                <w:color w:val="000000"/>
                <w:sz w:val="18"/>
                <w:szCs w:val="18"/>
              </w:rPr>
              <w:t>3 029 991</w:t>
            </w:r>
          </w:p>
        </w:tc>
        <w:tc>
          <w:tcPr>
            <w:tcW w:w="851" w:type="dxa"/>
            <w:tcBorders>
              <w:top w:val="nil"/>
              <w:left w:val="single" w:sz="4" w:space="0" w:color="FFFFFF" w:themeColor="background1"/>
              <w:bottom w:val="nil"/>
              <w:right w:val="single" w:sz="4" w:space="0" w:color="FFFFFF" w:themeColor="background1"/>
            </w:tcBorders>
            <w:vAlign w:val="center"/>
          </w:tcPr>
          <w:p w14:paraId="04A774D8" w14:textId="264725DA" w:rsidR="00C6761E" w:rsidRPr="00927EDF" w:rsidRDefault="005C4513"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273A3C8A" w14:textId="19CB815C" w:rsidR="00C6761E" w:rsidRPr="00927EDF" w:rsidRDefault="005C4513"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00314B36" w14:textId="534F0497" w:rsidR="00C6761E" w:rsidRPr="00C6761E" w:rsidRDefault="00C6761E" w:rsidP="00C6761E">
            <w:pPr>
              <w:spacing w:before="60" w:after="60"/>
              <w:jc w:val="right"/>
              <w:rPr>
                <w:rFonts w:cs="Arial"/>
                <w:bCs/>
                <w:sz w:val="18"/>
                <w:szCs w:val="18"/>
              </w:rPr>
            </w:pPr>
            <w:r w:rsidRPr="00C6761E">
              <w:rPr>
                <w:rFonts w:cs="Arial"/>
                <w:bCs/>
                <w:color w:val="000000"/>
                <w:sz w:val="18"/>
                <w:szCs w:val="18"/>
              </w:rPr>
              <w:t>3</w:t>
            </w:r>
          </w:p>
        </w:tc>
        <w:tc>
          <w:tcPr>
            <w:tcW w:w="1417" w:type="dxa"/>
            <w:tcBorders>
              <w:top w:val="nil"/>
              <w:left w:val="single" w:sz="4" w:space="0" w:color="FFFFFF" w:themeColor="background1"/>
              <w:bottom w:val="nil"/>
              <w:right w:val="nil"/>
            </w:tcBorders>
            <w:vAlign w:val="center"/>
          </w:tcPr>
          <w:p w14:paraId="7E1EF842" w14:textId="196FFA50" w:rsidR="00C6761E" w:rsidRPr="00C6761E" w:rsidRDefault="00C6761E" w:rsidP="00C6761E">
            <w:pPr>
              <w:spacing w:before="60" w:after="60"/>
              <w:jc w:val="right"/>
              <w:rPr>
                <w:rFonts w:cs="Arial"/>
                <w:bCs/>
                <w:sz w:val="18"/>
                <w:szCs w:val="18"/>
              </w:rPr>
            </w:pPr>
            <w:r w:rsidRPr="00C6761E">
              <w:rPr>
                <w:rFonts w:cs="Arial"/>
                <w:bCs/>
                <w:color w:val="000000"/>
                <w:sz w:val="18"/>
                <w:szCs w:val="18"/>
              </w:rPr>
              <w:t>64 941 177</w:t>
            </w:r>
          </w:p>
        </w:tc>
      </w:tr>
      <w:tr w:rsidR="00C6761E" w:rsidRPr="004670A4" w14:paraId="0C9FF7E4"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100E4985" w14:textId="05094EE8" w:rsidR="00C6761E" w:rsidRPr="00927EDF" w:rsidRDefault="00C6761E" w:rsidP="00C6761E">
            <w:pPr>
              <w:spacing w:before="60" w:after="60"/>
              <w:jc w:val="center"/>
              <w:rPr>
                <w:rFonts w:cs="Arial"/>
                <w:bCs/>
                <w:sz w:val="18"/>
                <w:szCs w:val="18"/>
              </w:rPr>
            </w:pPr>
            <w:r w:rsidRPr="00927EDF">
              <w:rPr>
                <w:rFonts w:cs="Arial"/>
                <w:bCs/>
                <w:color w:val="000000"/>
                <w:sz w:val="18"/>
                <w:szCs w:val="18"/>
              </w:rPr>
              <w:t>Słowacja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F273196" w14:textId="5124DE8A" w:rsidR="00C6761E" w:rsidRPr="00927EDF" w:rsidRDefault="00C6761E" w:rsidP="00C6761E">
            <w:pPr>
              <w:spacing w:before="60" w:after="60"/>
              <w:jc w:val="right"/>
              <w:rPr>
                <w:rFonts w:cs="Arial"/>
                <w:bCs/>
                <w:sz w:val="18"/>
                <w:szCs w:val="18"/>
              </w:rPr>
            </w:pPr>
            <w:r w:rsidRPr="00927EDF">
              <w:rPr>
                <w:rFonts w:cs="Arial"/>
                <w:color w:val="000000"/>
                <w:sz w:val="18"/>
                <w:szCs w:val="18"/>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DA5F8CB" w14:textId="0E7A402F" w:rsidR="00C6761E" w:rsidRPr="00927EDF" w:rsidRDefault="00C6761E" w:rsidP="00C6761E">
            <w:pPr>
              <w:spacing w:before="60" w:after="60"/>
              <w:jc w:val="right"/>
              <w:rPr>
                <w:rFonts w:cs="Arial"/>
                <w:bCs/>
                <w:sz w:val="18"/>
                <w:szCs w:val="18"/>
              </w:rPr>
            </w:pPr>
            <w:r w:rsidRPr="00927EDF">
              <w:rPr>
                <w:rFonts w:cs="Arial"/>
                <w:color w:val="000000"/>
                <w:sz w:val="18"/>
                <w:szCs w:val="18"/>
              </w:rPr>
              <w:t>110 850 898</w:t>
            </w:r>
          </w:p>
        </w:tc>
        <w:tc>
          <w:tcPr>
            <w:tcW w:w="851" w:type="dxa"/>
            <w:tcBorders>
              <w:top w:val="nil"/>
              <w:left w:val="single" w:sz="4" w:space="0" w:color="FFFFFF" w:themeColor="background1"/>
              <w:bottom w:val="nil"/>
              <w:right w:val="nil"/>
            </w:tcBorders>
            <w:shd w:val="clear" w:color="auto" w:fill="00B0F0"/>
            <w:vAlign w:val="center"/>
          </w:tcPr>
          <w:p w14:paraId="13467185" w14:textId="02FCFBB5" w:rsidR="00C6761E" w:rsidRPr="00927EDF" w:rsidRDefault="00C6761E" w:rsidP="00C6761E">
            <w:pPr>
              <w:keepNext/>
              <w:spacing w:before="60" w:after="60"/>
              <w:jc w:val="right"/>
              <w:rPr>
                <w:rFonts w:cs="Arial"/>
                <w:bCs/>
                <w:sz w:val="18"/>
                <w:szCs w:val="18"/>
              </w:rPr>
            </w:pPr>
            <w:r w:rsidRPr="00927EDF">
              <w:rPr>
                <w:rFonts w:cs="Arial"/>
                <w:color w:val="000000"/>
                <w:sz w:val="18"/>
                <w:szCs w:val="18"/>
              </w:rPr>
              <w:t>5</w:t>
            </w:r>
          </w:p>
        </w:tc>
        <w:tc>
          <w:tcPr>
            <w:tcW w:w="1417" w:type="dxa"/>
            <w:tcBorders>
              <w:top w:val="nil"/>
              <w:left w:val="single" w:sz="4" w:space="0" w:color="FFFFFF" w:themeColor="background1"/>
              <w:bottom w:val="nil"/>
              <w:right w:val="nil"/>
            </w:tcBorders>
            <w:shd w:val="clear" w:color="auto" w:fill="00B0F0"/>
            <w:vAlign w:val="center"/>
          </w:tcPr>
          <w:p w14:paraId="107DB2D7" w14:textId="3E50FDCF" w:rsidR="00C6761E" w:rsidRPr="00927EDF" w:rsidRDefault="00C6761E" w:rsidP="00C6761E">
            <w:pPr>
              <w:keepNext/>
              <w:spacing w:before="60" w:after="60"/>
              <w:jc w:val="right"/>
              <w:rPr>
                <w:rFonts w:cs="Arial"/>
                <w:bCs/>
                <w:sz w:val="18"/>
                <w:szCs w:val="18"/>
              </w:rPr>
            </w:pPr>
            <w:r w:rsidRPr="00927EDF">
              <w:rPr>
                <w:rFonts w:cs="Arial"/>
                <w:color w:val="000000"/>
                <w:sz w:val="18"/>
                <w:szCs w:val="18"/>
              </w:rPr>
              <w:t>43 090 279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142AC6F" w14:textId="4425CABD"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shd w:val="clear" w:color="auto" w:fill="00B0F0"/>
            <w:vAlign w:val="center"/>
          </w:tcPr>
          <w:p w14:paraId="35DDFF5B" w14:textId="78DF8BA6"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193 668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09A2884" w14:textId="77E2804A"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8</w:t>
            </w:r>
          </w:p>
        </w:tc>
        <w:tc>
          <w:tcPr>
            <w:tcW w:w="1417" w:type="dxa"/>
            <w:tcBorders>
              <w:top w:val="nil"/>
              <w:left w:val="single" w:sz="4" w:space="0" w:color="FFFFFF" w:themeColor="background1"/>
              <w:bottom w:val="nil"/>
              <w:right w:val="nil"/>
            </w:tcBorders>
            <w:shd w:val="clear" w:color="auto" w:fill="00B0F0"/>
            <w:vAlign w:val="center"/>
          </w:tcPr>
          <w:p w14:paraId="55111D5A" w14:textId="47607DAF"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154 134 844</w:t>
            </w:r>
          </w:p>
        </w:tc>
      </w:tr>
      <w:tr w:rsidR="00C6761E" w:rsidRPr="004670A4" w14:paraId="15C3BAC9" w14:textId="77777777" w:rsidTr="00C6761E">
        <w:trPr>
          <w:trHeight w:val="78"/>
        </w:trPr>
        <w:tc>
          <w:tcPr>
            <w:tcW w:w="1276" w:type="dxa"/>
            <w:tcBorders>
              <w:top w:val="nil"/>
              <w:left w:val="nil"/>
              <w:bottom w:val="nil"/>
              <w:right w:val="single" w:sz="4" w:space="0" w:color="FFFFFF" w:themeColor="background1"/>
            </w:tcBorders>
            <w:vAlign w:val="center"/>
          </w:tcPr>
          <w:p w14:paraId="7C4190B2" w14:textId="32FD5B16" w:rsidR="00C6761E" w:rsidRPr="00927EDF" w:rsidRDefault="00C6761E" w:rsidP="00C6761E">
            <w:pPr>
              <w:spacing w:before="60" w:after="60"/>
              <w:jc w:val="center"/>
              <w:rPr>
                <w:rFonts w:cs="Arial"/>
                <w:sz w:val="18"/>
                <w:szCs w:val="18"/>
              </w:rPr>
            </w:pPr>
            <w:r w:rsidRPr="00927EDF">
              <w:rPr>
                <w:rFonts w:cs="Arial"/>
                <w:bCs/>
                <w:color w:val="000000"/>
                <w:sz w:val="18"/>
                <w:szCs w:val="18"/>
              </w:rPr>
              <w:t>Słowenia</w:t>
            </w:r>
          </w:p>
        </w:tc>
        <w:tc>
          <w:tcPr>
            <w:tcW w:w="851" w:type="dxa"/>
            <w:tcBorders>
              <w:top w:val="nil"/>
              <w:left w:val="single" w:sz="4" w:space="0" w:color="FFFFFF" w:themeColor="background1"/>
              <w:bottom w:val="nil"/>
              <w:right w:val="single" w:sz="4" w:space="0" w:color="FFFFFF" w:themeColor="background1"/>
            </w:tcBorders>
            <w:vAlign w:val="center"/>
          </w:tcPr>
          <w:p w14:paraId="7A58ED5A" w14:textId="101F0936" w:rsidR="00C6761E" w:rsidRPr="00927EDF" w:rsidRDefault="005C4513"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40969D17" w14:textId="7637E2BE" w:rsidR="00C6761E" w:rsidRPr="00927EDF" w:rsidRDefault="005C4513"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6D155DE2" w14:textId="3C9C3787" w:rsidR="00C6761E" w:rsidRPr="00927EDF" w:rsidRDefault="00C6761E" w:rsidP="00C6761E">
            <w:pPr>
              <w:spacing w:before="60" w:after="60"/>
              <w:jc w:val="right"/>
              <w:rPr>
                <w:rFonts w:cs="Arial"/>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vAlign w:val="center"/>
          </w:tcPr>
          <w:p w14:paraId="67BFA1D5" w14:textId="500B1C65" w:rsidR="00C6761E" w:rsidRPr="00927EDF" w:rsidRDefault="00C6761E" w:rsidP="00C6761E">
            <w:pPr>
              <w:spacing w:before="60" w:after="60"/>
              <w:jc w:val="right"/>
              <w:rPr>
                <w:rFonts w:cs="Arial"/>
                <w:sz w:val="18"/>
                <w:szCs w:val="18"/>
              </w:rPr>
            </w:pPr>
            <w:r w:rsidRPr="00927EDF">
              <w:rPr>
                <w:rFonts w:cs="Arial"/>
                <w:color w:val="000000"/>
                <w:sz w:val="18"/>
                <w:szCs w:val="18"/>
              </w:rPr>
              <w:t>4 566 380</w:t>
            </w:r>
          </w:p>
        </w:tc>
        <w:tc>
          <w:tcPr>
            <w:tcW w:w="851" w:type="dxa"/>
            <w:tcBorders>
              <w:top w:val="nil"/>
              <w:left w:val="single" w:sz="4" w:space="0" w:color="FFFFFF" w:themeColor="background1"/>
              <w:bottom w:val="nil"/>
              <w:right w:val="single" w:sz="4" w:space="0" w:color="FFFFFF" w:themeColor="background1"/>
            </w:tcBorders>
            <w:vAlign w:val="center"/>
          </w:tcPr>
          <w:p w14:paraId="3DB05699" w14:textId="0139EC4D" w:rsidR="00C6761E" w:rsidRPr="00927EDF" w:rsidRDefault="005C4513" w:rsidP="00C6761E">
            <w:pPr>
              <w:spacing w:before="60" w:after="60"/>
              <w:jc w:val="right"/>
              <w:rPr>
                <w:rFonts w:cs="Arial"/>
                <w:bCs/>
                <w:sz w:val="18"/>
                <w:szCs w:val="18"/>
              </w:rPr>
            </w:pPr>
            <w:r>
              <w:rPr>
                <w:rFonts w:cs="Arial"/>
                <w:bCs/>
                <w:sz w:val="18"/>
                <w:szCs w:val="18"/>
              </w:rPr>
              <w:t>-</w:t>
            </w:r>
          </w:p>
        </w:tc>
        <w:tc>
          <w:tcPr>
            <w:tcW w:w="1417" w:type="dxa"/>
            <w:tcBorders>
              <w:top w:val="nil"/>
              <w:left w:val="single" w:sz="4" w:space="0" w:color="FFFFFF" w:themeColor="background1"/>
              <w:bottom w:val="nil"/>
              <w:right w:val="nil"/>
            </w:tcBorders>
            <w:vAlign w:val="center"/>
          </w:tcPr>
          <w:p w14:paraId="30F70CD7" w14:textId="1E80E493" w:rsidR="00C6761E" w:rsidRPr="00927EDF" w:rsidRDefault="005C4513"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single" w:sz="4" w:space="0" w:color="FFFFFF" w:themeColor="background1"/>
            </w:tcBorders>
            <w:vAlign w:val="center"/>
          </w:tcPr>
          <w:p w14:paraId="10B4651B" w14:textId="5BC28481" w:rsidR="00C6761E" w:rsidRPr="00C6761E" w:rsidRDefault="00C6761E" w:rsidP="00C6761E">
            <w:pPr>
              <w:spacing w:before="60" w:after="60"/>
              <w:jc w:val="right"/>
              <w:rPr>
                <w:rFonts w:cs="Arial"/>
                <w:sz w:val="18"/>
                <w:szCs w:val="18"/>
              </w:rPr>
            </w:pPr>
            <w:r w:rsidRPr="00C6761E">
              <w:rPr>
                <w:rFonts w:cs="Arial"/>
                <w:bCs/>
                <w:color w:val="000000"/>
                <w:sz w:val="18"/>
                <w:szCs w:val="18"/>
              </w:rPr>
              <w:t>1</w:t>
            </w:r>
          </w:p>
        </w:tc>
        <w:tc>
          <w:tcPr>
            <w:tcW w:w="1417" w:type="dxa"/>
            <w:tcBorders>
              <w:top w:val="nil"/>
              <w:left w:val="single" w:sz="4" w:space="0" w:color="FFFFFF" w:themeColor="background1"/>
              <w:bottom w:val="nil"/>
              <w:right w:val="nil"/>
            </w:tcBorders>
            <w:vAlign w:val="center"/>
          </w:tcPr>
          <w:p w14:paraId="73977DD8" w14:textId="50623236" w:rsidR="00C6761E" w:rsidRPr="00C6761E" w:rsidRDefault="00C6761E" w:rsidP="00C6761E">
            <w:pPr>
              <w:spacing w:before="60" w:after="60"/>
              <w:jc w:val="right"/>
              <w:rPr>
                <w:rFonts w:cs="Arial"/>
                <w:sz w:val="18"/>
                <w:szCs w:val="18"/>
              </w:rPr>
            </w:pPr>
            <w:r w:rsidRPr="00C6761E">
              <w:rPr>
                <w:rFonts w:cs="Arial"/>
                <w:bCs/>
                <w:color w:val="000000"/>
                <w:sz w:val="18"/>
                <w:szCs w:val="18"/>
              </w:rPr>
              <w:t>4 566 380</w:t>
            </w:r>
          </w:p>
        </w:tc>
      </w:tr>
      <w:tr w:rsidR="00C6761E" w:rsidRPr="004670A4" w14:paraId="66BBD898"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3BD184E1" w14:textId="554D2D2D" w:rsidR="00C6761E" w:rsidRPr="00927EDF" w:rsidRDefault="00C6761E" w:rsidP="00C6761E">
            <w:pPr>
              <w:spacing w:before="60" w:after="60"/>
              <w:jc w:val="center"/>
              <w:rPr>
                <w:rFonts w:cs="Arial"/>
                <w:bCs/>
                <w:sz w:val="18"/>
                <w:szCs w:val="18"/>
              </w:rPr>
            </w:pPr>
            <w:r w:rsidRPr="00927EDF">
              <w:rPr>
                <w:rFonts w:cs="Arial"/>
                <w:bCs/>
                <w:color w:val="000000"/>
                <w:sz w:val="18"/>
                <w:szCs w:val="18"/>
              </w:rPr>
              <w:t>Szwecja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FE38952" w14:textId="1CA615B6" w:rsidR="00C6761E" w:rsidRPr="00927EDF" w:rsidRDefault="005C4513"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071809FA" w14:textId="48FC3A48" w:rsidR="00C6761E" w:rsidRPr="00927EDF" w:rsidRDefault="005C4513"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4043609C" w14:textId="0CCAF310" w:rsidR="00C6761E" w:rsidRPr="00927EDF" w:rsidRDefault="00C6761E" w:rsidP="00C6761E">
            <w:pPr>
              <w:keepNext/>
              <w:spacing w:before="60" w:after="60"/>
              <w:jc w:val="right"/>
              <w:rPr>
                <w:rFonts w:cs="Arial"/>
                <w:bCs/>
                <w:sz w:val="18"/>
                <w:szCs w:val="18"/>
              </w:rPr>
            </w:pPr>
            <w:r w:rsidRPr="00927EDF">
              <w:rPr>
                <w:rFonts w:cs="Arial"/>
                <w:color w:val="000000"/>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73DE21A0" w14:textId="60DB6CE0" w:rsidR="00C6761E" w:rsidRPr="00927EDF" w:rsidRDefault="00C6761E" w:rsidP="00C6761E">
            <w:pPr>
              <w:keepNext/>
              <w:spacing w:before="60" w:after="60"/>
              <w:jc w:val="right"/>
              <w:rPr>
                <w:rFonts w:cs="Arial"/>
                <w:bCs/>
                <w:sz w:val="18"/>
                <w:szCs w:val="18"/>
              </w:rPr>
            </w:pPr>
            <w:r w:rsidRPr="00927EDF">
              <w:rPr>
                <w:rFonts w:cs="Arial"/>
                <w:color w:val="000000"/>
                <w:sz w:val="18"/>
                <w:szCs w:val="18"/>
              </w:rPr>
              <w:t>6 726 022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BBCF8FA" w14:textId="5CECB2D4"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w:t>
            </w:r>
          </w:p>
        </w:tc>
        <w:tc>
          <w:tcPr>
            <w:tcW w:w="1417" w:type="dxa"/>
            <w:tcBorders>
              <w:top w:val="nil"/>
              <w:left w:val="single" w:sz="4" w:space="0" w:color="FFFFFF" w:themeColor="background1"/>
              <w:bottom w:val="nil"/>
              <w:right w:val="nil"/>
            </w:tcBorders>
            <w:shd w:val="clear" w:color="auto" w:fill="00B0F0"/>
            <w:vAlign w:val="center"/>
          </w:tcPr>
          <w:p w14:paraId="0BA8606C" w14:textId="7F95469A"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192 245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587BB4B" w14:textId="622D2A4A"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5328FE97" w14:textId="79BC4F91"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6 918 267</w:t>
            </w:r>
          </w:p>
        </w:tc>
      </w:tr>
      <w:tr w:rsidR="00C6761E" w:rsidRPr="004670A4" w14:paraId="0CB5F700" w14:textId="77777777" w:rsidTr="00C6761E">
        <w:trPr>
          <w:trHeight w:val="78"/>
        </w:trPr>
        <w:tc>
          <w:tcPr>
            <w:tcW w:w="1276" w:type="dxa"/>
            <w:tcBorders>
              <w:top w:val="nil"/>
              <w:left w:val="nil"/>
              <w:bottom w:val="nil"/>
              <w:right w:val="single" w:sz="4" w:space="0" w:color="FFFFFF" w:themeColor="background1"/>
            </w:tcBorders>
            <w:vAlign w:val="center"/>
          </w:tcPr>
          <w:p w14:paraId="692477DC" w14:textId="1CC28F1D" w:rsidR="00C6761E" w:rsidRPr="00927EDF" w:rsidRDefault="00C6761E" w:rsidP="00C6761E">
            <w:pPr>
              <w:spacing w:before="60" w:after="60"/>
              <w:jc w:val="center"/>
              <w:rPr>
                <w:rFonts w:cs="Arial"/>
                <w:sz w:val="18"/>
                <w:szCs w:val="18"/>
              </w:rPr>
            </w:pPr>
            <w:r w:rsidRPr="00927EDF">
              <w:rPr>
                <w:rFonts w:cs="Arial"/>
                <w:bCs/>
                <w:color w:val="000000"/>
                <w:sz w:val="18"/>
                <w:szCs w:val="18"/>
              </w:rPr>
              <w:t>Węgry</w:t>
            </w:r>
          </w:p>
        </w:tc>
        <w:tc>
          <w:tcPr>
            <w:tcW w:w="851" w:type="dxa"/>
            <w:tcBorders>
              <w:top w:val="nil"/>
              <w:left w:val="single" w:sz="4" w:space="0" w:color="FFFFFF" w:themeColor="background1"/>
              <w:bottom w:val="nil"/>
              <w:right w:val="single" w:sz="4" w:space="0" w:color="FFFFFF" w:themeColor="background1"/>
            </w:tcBorders>
            <w:vAlign w:val="center"/>
          </w:tcPr>
          <w:p w14:paraId="37172976" w14:textId="3584CA9D" w:rsidR="00C6761E" w:rsidRPr="00927EDF" w:rsidRDefault="005C4513" w:rsidP="00C6761E">
            <w:pPr>
              <w:spacing w:before="60" w:after="60"/>
              <w:jc w:val="right"/>
              <w:rPr>
                <w:rFonts w:cs="Arial"/>
                <w:sz w:val="18"/>
                <w:szCs w:val="18"/>
              </w:rPr>
            </w:pPr>
            <w:r>
              <w:rPr>
                <w:rFonts w:cs="Arial"/>
                <w:sz w:val="18"/>
                <w:szCs w:val="18"/>
              </w:rPr>
              <w:t>-</w:t>
            </w:r>
          </w:p>
        </w:tc>
        <w:tc>
          <w:tcPr>
            <w:tcW w:w="1275" w:type="dxa"/>
            <w:tcBorders>
              <w:top w:val="nil"/>
              <w:left w:val="single" w:sz="4" w:space="0" w:color="FFFFFF" w:themeColor="background1"/>
              <w:bottom w:val="nil"/>
              <w:right w:val="single" w:sz="4" w:space="0" w:color="FFFFFF" w:themeColor="background1"/>
            </w:tcBorders>
            <w:vAlign w:val="center"/>
          </w:tcPr>
          <w:p w14:paraId="0E9E54FC" w14:textId="4D1BEDD4" w:rsidR="00C6761E" w:rsidRPr="00927EDF" w:rsidRDefault="005C4513" w:rsidP="00C6761E">
            <w:pPr>
              <w:spacing w:before="60" w:after="60"/>
              <w:jc w:val="right"/>
              <w:rPr>
                <w:rFonts w:cs="Arial"/>
                <w:sz w:val="18"/>
                <w:szCs w:val="18"/>
              </w:rPr>
            </w:pPr>
            <w:r>
              <w:rPr>
                <w:rFonts w:cs="Arial"/>
                <w:sz w:val="18"/>
                <w:szCs w:val="18"/>
              </w:rPr>
              <w:t>-</w:t>
            </w:r>
          </w:p>
        </w:tc>
        <w:tc>
          <w:tcPr>
            <w:tcW w:w="851" w:type="dxa"/>
            <w:tcBorders>
              <w:top w:val="nil"/>
              <w:left w:val="single" w:sz="4" w:space="0" w:color="FFFFFF" w:themeColor="background1"/>
              <w:bottom w:val="nil"/>
              <w:right w:val="nil"/>
            </w:tcBorders>
            <w:vAlign w:val="center"/>
          </w:tcPr>
          <w:p w14:paraId="6B2EF51A" w14:textId="6EF9071A" w:rsidR="00C6761E" w:rsidRPr="00927EDF" w:rsidRDefault="00C6761E" w:rsidP="00C6761E">
            <w:pPr>
              <w:spacing w:before="60" w:after="60"/>
              <w:jc w:val="right"/>
              <w:rPr>
                <w:rFonts w:cs="Arial"/>
                <w:sz w:val="18"/>
                <w:szCs w:val="18"/>
              </w:rPr>
            </w:pPr>
            <w:r w:rsidRPr="00927EDF">
              <w:rPr>
                <w:rFonts w:cs="Arial"/>
                <w:color w:val="000000"/>
                <w:sz w:val="18"/>
                <w:szCs w:val="18"/>
              </w:rPr>
              <w:t>4</w:t>
            </w:r>
          </w:p>
        </w:tc>
        <w:tc>
          <w:tcPr>
            <w:tcW w:w="1417" w:type="dxa"/>
            <w:tcBorders>
              <w:top w:val="nil"/>
              <w:left w:val="single" w:sz="4" w:space="0" w:color="FFFFFF" w:themeColor="background1"/>
              <w:bottom w:val="nil"/>
              <w:right w:val="nil"/>
            </w:tcBorders>
            <w:vAlign w:val="center"/>
          </w:tcPr>
          <w:p w14:paraId="037DD113" w14:textId="629259CB" w:rsidR="00C6761E" w:rsidRPr="00927EDF" w:rsidRDefault="00C6761E" w:rsidP="00C6761E">
            <w:pPr>
              <w:spacing w:before="60" w:after="60"/>
              <w:jc w:val="right"/>
              <w:rPr>
                <w:rFonts w:cs="Arial"/>
                <w:sz w:val="18"/>
                <w:szCs w:val="18"/>
              </w:rPr>
            </w:pPr>
            <w:r w:rsidRPr="00927EDF">
              <w:rPr>
                <w:rFonts w:cs="Arial"/>
                <w:color w:val="000000"/>
                <w:sz w:val="18"/>
                <w:szCs w:val="18"/>
              </w:rPr>
              <w:t>26 526 146</w:t>
            </w:r>
          </w:p>
        </w:tc>
        <w:tc>
          <w:tcPr>
            <w:tcW w:w="851" w:type="dxa"/>
            <w:tcBorders>
              <w:top w:val="nil"/>
              <w:left w:val="single" w:sz="4" w:space="0" w:color="FFFFFF" w:themeColor="background1"/>
              <w:bottom w:val="nil"/>
              <w:right w:val="single" w:sz="4" w:space="0" w:color="FFFFFF" w:themeColor="background1"/>
            </w:tcBorders>
            <w:vAlign w:val="center"/>
          </w:tcPr>
          <w:p w14:paraId="0CCA654D" w14:textId="238BA993" w:rsidR="00C6761E" w:rsidRPr="00927EDF" w:rsidRDefault="00C6761E" w:rsidP="00C6761E">
            <w:pPr>
              <w:spacing w:before="60" w:after="60"/>
              <w:jc w:val="right"/>
              <w:rPr>
                <w:rFonts w:cs="Arial"/>
                <w:bCs/>
                <w:sz w:val="18"/>
                <w:szCs w:val="18"/>
              </w:rPr>
            </w:pPr>
            <w:r w:rsidRPr="00927EDF">
              <w:rPr>
                <w:rFonts w:cs="Arial"/>
                <w:color w:val="000000"/>
                <w:sz w:val="18"/>
                <w:szCs w:val="18"/>
              </w:rPr>
              <w:t>2</w:t>
            </w:r>
          </w:p>
        </w:tc>
        <w:tc>
          <w:tcPr>
            <w:tcW w:w="1417" w:type="dxa"/>
            <w:tcBorders>
              <w:top w:val="nil"/>
              <w:left w:val="single" w:sz="4" w:space="0" w:color="FFFFFF" w:themeColor="background1"/>
              <w:bottom w:val="nil"/>
              <w:right w:val="nil"/>
            </w:tcBorders>
            <w:vAlign w:val="center"/>
          </w:tcPr>
          <w:p w14:paraId="4B9CF292" w14:textId="3FF5244D" w:rsidR="00C6761E" w:rsidRPr="00927EDF" w:rsidRDefault="00C6761E" w:rsidP="00C6761E">
            <w:pPr>
              <w:spacing w:before="60" w:after="60"/>
              <w:jc w:val="right"/>
              <w:rPr>
                <w:rFonts w:cs="Arial"/>
                <w:bCs/>
                <w:sz w:val="18"/>
                <w:szCs w:val="18"/>
              </w:rPr>
            </w:pPr>
            <w:r w:rsidRPr="00927EDF">
              <w:rPr>
                <w:rFonts w:cs="Arial"/>
                <w:color w:val="000000"/>
                <w:sz w:val="18"/>
                <w:szCs w:val="18"/>
              </w:rPr>
              <w:t>122 054</w:t>
            </w:r>
          </w:p>
        </w:tc>
        <w:tc>
          <w:tcPr>
            <w:tcW w:w="851" w:type="dxa"/>
            <w:tcBorders>
              <w:top w:val="nil"/>
              <w:left w:val="single" w:sz="4" w:space="0" w:color="FFFFFF" w:themeColor="background1"/>
              <w:bottom w:val="nil"/>
              <w:right w:val="single" w:sz="4" w:space="0" w:color="FFFFFF" w:themeColor="background1"/>
            </w:tcBorders>
            <w:vAlign w:val="center"/>
          </w:tcPr>
          <w:p w14:paraId="5F129C56" w14:textId="48456317" w:rsidR="00C6761E" w:rsidRPr="00C6761E" w:rsidRDefault="00C6761E" w:rsidP="00C6761E">
            <w:pPr>
              <w:spacing w:before="60" w:after="60"/>
              <w:jc w:val="right"/>
              <w:rPr>
                <w:rFonts w:cs="Arial"/>
                <w:sz w:val="18"/>
                <w:szCs w:val="18"/>
              </w:rPr>
            </w:pPr>
            <w:r w:rsidRPr="00C6761E">
              <w:rPr>
                <w:rFonts w:cs="Arial"/>
                <w:bCs/>
                <w:color w:val="000000"/>
                <w:sz w:val="18"/>
                <w:szCs w:val="18"/>
              </w:rPr>
              <w:t>6</w:t>
            </w:r>
          </w:p>
        </w:tc>
        <w:tc>
          <w:tcPr>
            <w:tcW w:w="1417" w:type="dxa"/>
            <w:tcBorders>
              <w:top w:val="nil"/>
              <w:left w:val="single" w:sz="4" w:space="0" w:color="FFFFFF" w:themeColor="background1"/>
              <w:bottom w:val="nil"/>
              <w:right w:val="nil"/>
            </w:tcBorders>
            <w:vAlign w:val="center"/>
          </w:tcPr>
          <w:p w14:paraId="68046C27" w14:textId="28F7351C" w:rsidR="00C6761E" w:rsidRPr="00C6761E" w:rsidRDefault="00C6761E" w:rsidP="00C6761E">
            <w:pPr>
              <w:spacing w:before="60" w:after="60"/>
              <w:jc w:val="right"/>
              <w:rPr>
                <w:rFonts w:cs="Arial"/>
                <w:sz w:val="18"/>
                <w:szCs w:val="18"/>
              </w:rPr>
            </w:pPr>
            <w:r w:rsidRPr="00C6761E">
              <w:rPr>
                <w:rFonts w:cs="Arial"/>
                <w:bCs/>
                <w:color w:val="000000"/>
                <w:sz w:val="18"/>
                <w:szCs w:val="18"/>
              </w:rPr>
              <w:t>26 648 200</w:t>
            </w:r>
          </w:p>
        </w:tc>
      </w:tr>
      <w:tr w:rsidR="00C6761E" w:rsidRPr="004670A4" w14:paraId="49949AE8" w14:textId="77777777" w:rsidTr="00C6761E">
        <w:trPr>
          <w:trHeight w:val="44"/>
        </w:trPr>
        <w:tc>
          <w:tcPr>
            <w:tcW w:w="1276" w:type="dxa"/>
            <w:tcBorders>
              <w:top w:val="nil"/>
              <w:left w:val="nil"/>
              <w:bottom w:val="nil"/>
              <w:right w:val="single" w:sz="4" w:space="0" w:color="FFFFFF" w:themeColor="background1"/>
            </w:tcBorders>
            <w:shd w:val="clear" w:color="auto" w:fill="00B0F0"/>
            <w:vAlign w:val="center"/>
          </w:tcPr>
          <w:p w14:paraId="5DB4BB54" w14:textId="3A7E64C8" w:rsidR="00C6761E" w:rsidRPr="00927EDF" w:rsidRDefault="00C6761E" w:rsidP="00C6761E">
            <w:pPr>
              <w:spacing w:before="60" w:after="60"/>
              <w:jc w:val="center"/>
              <w:rPr>
                <w:rFonts w:cs="Arial"/>
                <w:bCs/>
                <w:sz w:val="18"/>
                <w:szCs w:val="18"/>
              </w:rPr>
            </w:pPr>
            <w:r w:rsidRPr="00927EDF">
              <w:rPr>
                <w:rFonts w:cs="Arial"/>
                <w:bCs/>
                <w:color w:val="000000"/>
                <w:sz w:val="18"/>
                <w:szCs w:val="18"/>
              </w:rPr>
              <w:t>Włochy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9836FB0" w14:textId="6EE59B30" w:rsidR="00C6761E" w:rsidRPr="00927EDF" w:rsidRDefault="005C4513" w:rsidP="00C6761E">
            <w:pPr>
              <w:spacing w:before="60" w:after="60"/>
              <w:jc w:val="right"/>
              <w:rPr>
                <w:rFonts w:cs="Arial"/>
                <w:bCs/>
                <w:sz w:val="18"/>
                <w:szCs w:val="18"/>
              </w:rPr>
            </w:pPr>
            <w:r>
              <w:rPr>
                <w:rFonts w:cs="Arial"/>
                <w:bCs/>
                <w:sz w:val="18"/>
                <w:szCs w:val="18"/>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2609B8A" w14:textId="4C406FF3" w:rsidR="00C6761E" w:rsidRPr="00927EDF" w:rsidRDefault="005C4513" w:rsidP="00C6761E">
            <w:pPr>
              <w:spacing w:before="60" w:after="60"/>
              <w:jc w:val="right"/>
              <w:rPr>
                <w:rFonts w:cs="Arial"/>
                <w:bCs/>
                <w:sz w:val="18"/>
                <w:szCs w:val="18"/>
              </w:rPr>
            </w:pPr>
            <w:r>
              <w:rPr>
                <w:rFonts w:cs="Arial"/>
                <w:bCs/>
                <w:sz w:val="18"/>
                <w:szCs w:val="18"/>
              </w:rPr>
              <w:t>-</w:t>
            </w:r>
          </w:p>
        </w:tc>
        <w:tc>
          <w:tcPr>
            <w:tcW w:w="851" w:type="dxa"/>
            <w:tcBorders>
              <w:top w:val="nil"/>
              <w:left w:val="single" w:sz="4" w:space="0" w:color="FFFFFF" w:themeColor="background1"/>
              <w:bottom w:val="nil"/>
              <w:right w:val="nil"/>
            </w:tcBorders>
            <w:shd w:val="clear" w:color="auto" w:fill="00B0F0"/>
            <w:vAlign w:val="center"/>
          </w:tcPr>
          <w:p w14:paraId="0F3BC67E" w14:textId="1DED1916" w:rsidR="00C6761E" w:rsidRPr="00927EDF" w:rsidRDefault="00C6761E" w:rsidP="00C6761E">
            <w:pPr>
              <w:keepNext/>
              <w:spacing w:before="60" w:after="60"/>
              <w:jc w:val="right"/>
              <w:rPr>
                <w:rFonts w:cs="Arial"/>
                <w:bCs/>
                <w:sz w:val="18"/>
                <w:szCs w:val="18"/>
              </w:rPr>
            </w:pPr>
            <w:r w:rsidRPr="00927EDF">
              <w:rPr>
                <w:rFonts w:cs="Arial"/>
                <w:color w:val="000000"/>
                <w:sz w:val="18"/>
                <w:szCs w:val="18"/>
              </w:rPr>
              <w:t>4</w:t>
            </w:r>
          </w:p>
        </w:tc>
        <w:tc>
          <w:tcPr>
            <w:tcW w:w="1417" w:type="dxa"/>
            <w:tcBorders>
              <w:top w:val="nil"/>
              <w:left w:val="single" w:sz="4" w:space="0" w:color="FFFFFF" w:themeColor="background1"/>
              <w:bottom w:val="nil"/>
              <w:right w:val="nil"/>
            </w:tcBorders>
            <w:shd w:val="clear" w:color="auto" w:fill="00B0F0"/>
            <w:vAlign w:val="center"/>
          </w:tcPr>
          <w:p w14:paraId="033A7C96" w14:textId="2BE81EF6" w:rsidR="00C6761E" w:rsidRPr="00927EDF" w:rsidRDefault="00C6761E" w:rsidP="00C6761E">
            <w:pPr>
              <w:keepNext/>
              <w:spacing w:before="60" w:after="60"/>
              <w:jc w:val="right"/>
              <w:rPr>
                <w:rFonts w:cs="Arial"/>
                <w:bCs/>
                <w:sz w:val="18"/>
                <w:szCs w:val="18"/>
              </w:rPr>
            </w:pPr>
            <w:r w:rsidRPr="00927EDF">
              <w:rPr>
                <w:rFonts w:cs="Arial"/>
                <w:color w:val="000000"/>
                <w:sz w:val="18"/>
                <w:szCs w:val="18"/>
              </w:rPr>
              <w:t>25 551 418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CA2B6E" w14:textId="02F87F2A" w:rsidR="00C6761E" w:rsidRPr="00927EDF" w:rsidRDefault="00C6761E" w:rsidP="00C6761E">
            <w:pPr>
              <w:keepNext/>
              <w:spacing w:before="60" w:after="60"/>
              <w:jc w:val="right"/>
              <w:rPr>
                <w:rFonts w:cs="Arial"/>
                <w:bCs/>
                <w:sz w:val="18"/>
                <w:szCs w:val="18"/>
              </w:rPr>
            </w:pPr>
            <w:r w:rsidRPr="00927EDF">
              <w:rPr>
                <w:rFonts w:cs="Arial"/>
                <w:color w:val="000000"/>
                <w:sz w:val="18"/>
                <w:szCs w:val="18"/>
              </w:rPr>
              <w:t>3</w:t>
            </w:r>
          </w:p>
        </w:tc>
        <w:tc>
          <w:tcPr>
            <w:tcW w:w="1417" w:type="dxa"/>
            <w:tcBorders>
              <w:top w:val="nil"/>
              <w:left w:val="single" w:sz="4" w:space="0" w:color="FFFFFF" w:themeColor="background1"/>
              <w:bottom w:val="nil"/>
              <w:right w:val="nil"/>
            </w:tcBorders>
            <w:shd w:val="clear" w:color="auto" w:fill="00B0F0"/>
            <w:vAlign w:val="center"/>
          </w:tcPr>
          <w:p w14:paraId="67F109DB" w14:textId="12331FCA" w:rsidR="00C6761E" w:rsidRPr="00927EDF" w:rsidRDefault="00C6761E" w:rsidP="00C6761E">
            <w:pPr>
              <w:keepNext/>
              <w:spacing w:before="60" w:after="60"/>
              <w:jc w:val="right"/>
              <w:rPr>
                <w:rFonts w:cs="Arial"/>
                <w:bCs/>
                <w:sz w:val="18"/>
                <w:szCs w:val="18"/>
              </w:rPr>
            </w:pPr>
            <w:r w:rsidRPr="00927EDF">
              <w:rPr>
                <w:rFonts w:cs="Arial"/>
                <w:color w:val="000000"/>
                <w:sz w:val="18"/>
                <w:szCs w:val="18"/>
              </w:rPr>
              <w:t>17 500 000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51400E2" w14:textId="2EBD3F27"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7</w:t>
            </w:r>
          </w:p>
        </w:tc>
        <w:tc>
          <w:tcPr>
            <w:tcW w:w="1417" w:type="dxa"/>
            <w:tcBorders>
              <w:top w:val="nil"/>
              <w:left w:val="single" w:sz="4" w:space="0" w:color="FFFFFF" w:themeColor="background1"/>
              <w:bottom w:val="nil"/>
              <w:right w:val="nil"/>
            </w:tcBorders>
            <w:shd w:val="clear" w:color="auto" w:fill="00B0F0"/>
            <w:vAlign w:val="center"/>
          </w:tcPr>
          <w:p w14:paraId="0B72AE47" w14:textId="2D2C75B0" w:rsidR="00C6761E" w:rsidRPr="00C6761E" w:rsidRDefault="00C6761E" w:rsidP="00C6761E">
            <w:pPr>
              <w:keepNext/>
              <w:spacing w:before="60" w:after="60"/>
              <w:jc w:val="right"/>
              <w:rPr>
                <w:rFonts w:cs="Arial"/>
                <w:bCs/>
                <w:sz w:val="18"/>
                <w:szCs w:val="18"/>
              </w:rPr>
            </w:pPr>
            <w:r w:rsidRPr="00C6761E">
              <w:rPr>
                <w:rFonts w:cs="Arial"/>
                <w:bCs/>
                <w:color w:val="000000"/>
                <w:sz w:val="18"/>
                <w:szCs w:val="18"/>
              </w:rPr>
              <w:t>43 051 418</w:t>
            </w:r>
          </w:p>
        </w:tc>
      </w:tr>
      <w:tr w:rsidR="00C6761E" w:rsidRPr="004670A4" w14:paraId="58C376E3" w14:textId="77777777" w:rsidTr="00C6761E">
        <w:trPr>
          <w:trHeight w:val="78"/>
        </w:trPr>
        <w:tc>
          <w:tcPr>
            <w:tcW w:w="1276" w:type="dxa"/>
            <w:tcBorders>
              <w:top w:val="nil"/>
              <w:left w:val="nil"/>
              <w:bottom w:val="nil"/>
              <w:right w:val="single" w:sz="4" w:space="0" w:color="FFFFFF" w:themeColor="background1"/>
            </w:tcBorders>
            <w:vAlign w:val="center"/>
          </w:tcPr>
          <w:p w14:paraId="3EDB0A2C" w14:textId="04721EB9" w:rsidR="00C6761E" w:rsidRPr="004670A4" w:rsidRDefault="00C6761E" w:rsidP="00C6761E">
            <w:pPr>
              <w:spacing w:before="60" w:after="60"/>
              <w:jc w:val="center"/>
              <w:rPr>
                <w:rFonts w:cs="Arial"/>
                <w:sz w:val="18"/>
                <w:szCs w:val="18"/>
              </w:rPr>
            </w:pPr>
            <w:r w:rsidRPr="004670A4">
              <w:rPr>
                <w:rFonts w:cs="Arial"/>
                <w:b/>
                <w:bCs/>
                <w:sz w:val="18"/>
                <w:szCs w:val="18"/>
              </w:rPr>
              <w:t>Razem</w:t>
            </w:r>
          </w:p>
        </w:tc>
        <w:tc>
          <w:tcPr>
            <w:tcW w:w="851" w:type="dxa"/>
            <w:tcBorders>
              <w:top w:val="nil"/>
              <w:left w:val="single" w:sz="4" w:space="0" w:color="FFFFFF" w:themeColor="background1"/>
              <w:bottom w:val="nil"/>
              <w:right w:val="single" w:sz="4" w:space="0" w:color="FFFFFF" w:themeColor="background1"/>
            </w:tcBorders>
            <w:vAlign w:val="center"/>
          </w:tcPr>
          <w:p w14:paraId="74221A44" w14:textId="2D27ED75" w:rsidR="00C6761E" w:rsidRPr="00C6761E" w:rsidRDefault="00C6761E" w:rsidP="00C6761E">
            <w:pPr>
              <w:spacing w:before="60" w:after="60"/>
              <w:jc w:val="right"/>
              <w:rPr>
                <w:rFonts w:cs="Arial"/>
                <w:sz w:val="18"/>
                <w:szCs w:val="18"/>
              </w:rPr>
            </w:pPr>
            <w:r w:rsidRPr="00C6761E">
              <w:rPr>
                <w:rFonts w:cs="Arial"/>
                <w:b/>
                <w:bCs/>
                <w:color w:val="000000"/>
                <w:sz w:val="18"/>
                <w:szCs w:val="18"/>
              </w:rPr>
              <w:t>11</w:t>
            </w:r>
          </w:p>
        </w:tc>
        <w:tc>
          <w:tcPr>
            <w:tcW w:w="1275" w:type="dxa"/>
            <w:tcBorders>
              <w:top w:val="nil"/>
              <w:left w:val="single" w:sz="4" w:space="0" w:color="FFFFFF" w:themeColor="background1"/>
              <w:bottom w:val="nil"/>
              <w:right w:val="single" w:sz="4" w:space="0" w:color="FFFFFF" w:themeColor="background1"/>
            </w:tcBorders>
            <w:vAlign w:val="center"/>
          </w:tcPr>
          <w:p w14:paraId="5B568C33" w14:textId="6FCD79B1" w:rsidR="00C6761E" w:rsidRPr="00C6761E" w:rsidRDefault="00C6761E" w:rsidP="00C6761E">
            <w:pPr>
              <w:spacing w:before="60" w:after="60"/>
              <w:jc w:val="right"/>
              <w:rPr>
                <w:rFonts w:cs="Arial"/>
                <w:sz w:val="18"/>
                <w:szCs w:val="18"/>
              </w:rPr>
            </w:pPr>
            <w:r w:rsidRPr="00C6761E">
              <w:rPr>
                <w:rFonts w:cs="Arial"/>
                <w:b/>
                <w:bCs/>
                <w:color w:val="000000"/>
                <w:sz w:val="18"/>
                <w:szCs w:val="18"/>
              </w:rPr>
              <w:t>495 066 052</w:t>
            </w:r>
          </w:p>
        </w:tc>
        <w:tc>
          <w:tcPr>
            <w:tcW w:w="851" w:type="dxa"/>
            <w:tcBorders>
              <w:top w:val="nil"/>
              <w:left w:val="single" w:sz="4" w:space="0" w:color="FFFFFF" w:themeColor="background1"/>
              <w:bottom w:val="nil"/>
              <w:right w:val="nil"/>
            </w:tcBorders>
            <w:vAlign w:val="center"/>
          </w:tcPr>
          <w:p w14:paraId="224D7724" w14:textId="38C2737D" w:rsidR="00C6761E" w:rsidRPr="00C6761E" w:rsidRDefault="00C6761E" w:rsidP="00C6761E">
            <w:pPr>
              <w:spacing w:before="60" w:after="60"/>
              <w:jc w:val="right"/>
              <w:rPr>
                <w:rFonts w:cs="Arial"/>
                <w:sz w:val="18"/>
                <w:szCs w:val="18"/>
              </w:rPr>
            </w:pPr>
            <w:r w:rsidRPr="00C6761E">
              <w:rPr>
                <w:rFonts w:cs="Arial"/>
                <w:b/>
                <w:bCs/>
                <w:color w:val="000000"/>
                <w:sz w:val="18"/>
                <w:szCs w:val="18"/>
              </w:rPr>
              <w:t>56</w:t>
            </w:r>
          </w:p>
        </w:tc>
        <w:tc>
          <w:tcPr>
            <w:tcW w:w="1417" w:type="dxa"/>
            <w:tcBorders>
              <w:top w:val="nil"/>
              <w:left w:val="single" w:sz="4" w:space="0" w:color="FFFFFF" w:themeColor="background1"/>
              <w:bottom w:val="nil"/>
              <w:right w:val="nil"/>
            </w:tcBorders>
            <w:vAlign w:val="center"/>
          </w:tcPr>
          <w:p w14:paraId="10E0682A" w14:textId="16D54360" w:rsidR="00C6761E" w:rsidRPr="00C6761E" w:rsidRDefault="00C6761E" w:rsidP="00C6761E">
            <w:pPr>
              <w:spacing w:before="60" w:after="60"/>
              <w:jc w:val="right"/>
              <w:rPr>
                <w:rFonts w:cs="Arial"/>
                <w:sz w:val="18"/>
                <w:szCs w:val="18"/>
              </w:rPr>
            </w:pPr>
            <w:r w:rsidRPr="00C6761E">
              <w:rPr>
                <w:rFonts w:cs="Arial"/>
                <w:b/>
                <w:bCs/>
                <w:color w:val="000000"/>
                <w:sz w:val="18"/>
                <w:szCs w:val="18"/>
              </w:rPr>
              <w:t>253 097 960</w:t>
            </w:r>
          </w:p>
        </w:tc>
        <w:tc>
          <w:tcPr>
            <w:tcW w:w="851" w:type="dxa"/>
            <w:tcBorders>
              <w:top w:val="nil"/>
              <w:left w:val="single" w:sz="4" w:space="0" w:color="FFFFFF" w:themeColor="background1"/>
              <w:bottom w:val="nil"/>
              <w:right w:val="single" w:sz="4" w:space="0" w:color="FFFFFF" w:themeColor="background1"/>
            </w:tcBorders>
            <w:vAlign w:val="center"/>
          </w:tcPr>
          <w:p w14:paraId="0C08BCB2" w14:textId="0E867FDD" w:rsidR="00C6761E" w:rsidRPr="00C6761E" w:rsidRDefault="00C6761E" w:rsidP="00C6761E">
            <w:pPr>
              <w:spacing w:before="60" w:after="60"/>
              <w:jc w:val="right"/>
              <w:rPr>
                <w:rFonts w:cs="Arial"/>
                <w:bCs/>
                <w:sz w:val="18"/>
                <w:szCs w:val="18"/>
              </w:rPr>
            </w:pPr>
            <w:r w:rsidRPr="00C6761E">
              <w:rPr>
                <w:rFonts w:cs="Arial"/>
                <w:b/>
                <w:bCs/>
                <w:color w:val="000000"/>
                <w:sz w:val="18"/>
                <w:szCs w:val="18"/>
              </w:rPr>
              <w:t>47</w:t>
            </w:r>
          </w:p>
        </w:tc>
        <w:tc>
          <w:tcPr>
            <w:tcW w:w="1417" w:type="dxa"/>
            <w:tcBorders>
              <w:top w:val="nil"/>
              <w:left w:val="single" w:sz="4" w:space="0" w:color="FFFFFF" w:themeColor="background1"/>
              <w:bottom w:val="nil"/>
              <w:right w:val="nil"/>
            </w:tcBorders>
            <w:vAlign w:val="center"/>
          </w:tcPr>
          <w:p w14:paraId="463BBD4C" w14:textId="58E3E76C" w:rsidR="00C6761E" w:rsidRPr="00C6761E" w:rsidRDefault="00C6761E" w:rsidP="00C6761E">
            <w:pPr>
              <w:spacing w:before="60" w:after="60"/>
              <w:jc w:val="right"/>
              <w:rPr>
                <w:rFonts w:cs="Arial"/>
                <w:bCs/>
                <w:sz w:val="18"/>
                <w:szCs w:val="18"/>
              </w:rPr>
            </w:pPr>
            <w:r w:rsidRPr="00C6761E">
              <w:rPr>
                <w:rFonts w:cs="Arial"/>
                <w:b/>
                <w:bCs/>
                <w:color w:val="000000"/>
                <w:sz w:val="18"/>
                <w:szCs w:val="18"/>
              </w:rPr>
              <w:t>119 982 348</w:t>
            </w:r>
          </w:p>
        </w:tc>
        <w:tc>
          <w:tcPr>
            <w:tcW w:w="851" w:type="dxa"/>
            <w:tcBorders>
              <w:top w:val="nil"/>
              <w:left w:val="single" w:sz="4" w:space="0" w:color="FFFFFF" w:themeColor="background1"/>
              <w:bottom w:val="nil"/>
              <w:right w:val="single" w:sz="4" w:space="0" w:color="FFFFFF" w:themeColor="background1"/>
            </w:tcBorders>
            <w:vAlign w:val="center"/>
          </w:tcPr>
          <w:p w14:paraId="7CD9F522" w14:textId="018D7346" w:rsidR="00C6761E" w:rsidRPr="00C6761E" w:rsidRDefault="00C6761E" w:rsidP="00C6761E">
            <w:pPr>
              <w:spacing w:before="60" w:after="60"/>
              <w:jc w:val="right"/>
              <w:rPr>
                <w:rFonts w:cs="Arial"/>
                <w:sz w:val="18"/>
                <w:szCs w:val="18"/>
              </w:rPr>
            </w:pPr>
            <w:r w:rsidRPr="00C6761E">
              <w:rPr>
                <w:rFonts w:cs="Arial"/>
                <w:b/>
                <w:bCs/>
                <w:color w:val="000000"/>
                <w:sz w:val="18"/>
                <w:szCs w:val="18"/>
              </w:rPr>
              <w:t>114</w:t>
            </w:r>
          </w:p>
        </w:tc>
        <w:tc>
          <w:tcPr>
            <w:tcW w:w="1417" w:type="dxa"/>
            <w:tcBorders>
              <w:top w:val="nil"/>
              <w:left w:val="single" w:sz="4" w:space="0" w:color="FFFFFF" w:themeColor="background1"/>
              <w:bottom w:val="nil"/>
              <w:right w:val="nil"/>
            </w:tcBorders>
            <w:vAlign w:val="center"/>
          </w:tcPr>
          <w:p w14:paraId="509E021A" w14:textId="2A8BE4BA" w:rsidR="00C6761E" w:rsidRPr="00C6761E" w:rsidRDefault="00C6761E" w:rsidP="00C6761E">
            <w:pPr>
              <w:spacing w:before="60" w:after="60"/>
              <w:jc w:val="right"/>
              <w:rPr>
                <w:rFonts w:cs="Arial"/>
                <w:sz w:val="18"/>
                <w:szCs w:val="18"/>
              </w:rPr>
            </w:pPr>
            <w:r w:rsidRPr="00C6761E">
              <w:rPr>
                <w:rFonts w:cs="Arial"/>
                <w:b/>
                <w:bCs/>
                <w:color w:val="000000"/>
                <w:sz w:val="18"/>
                <w:szCs w:val="18"/>
              </w:rPr>
              <w:t>868 146 360</w:t>
            </w:r>
          </w:p>
        </w:tc>
      </w:tr>
    </w:tbl>
    <w:p w14:paraId="6049420D" w14:textId="02EC4AB6" w:rsidR="00EB4347" w:rsidRDefault="00EB4347" w:rsidP="00856AD0">
      <w:pPr>
        <w:shd w:val="clear" w:color="auto" w:fill="FFFFFF"/>
      </w:pPr>
    </w:p>
    <w:p w14:paraId="4D4DFBDE" w14:textId="28B4D726" w:rsidR="003C612D" w:rsidRDefault="005643BF" w:rsidP="003C612D">
      <w:pPr>
        <w:shd w:val="clear" w:color="auto" w:fill="FFFFFF"/>
      </w:pPr>
      <w:r>
        <w:t>Inaczej</w:t>
      </w:r>
      <w:r w:rsidR="009A02C1">
        <w:t xml:space="preserve"> </w:t>
      </w:r>
      <w:r w:rsidR="00216CF0">
        <w:t xml:space="preserve">niż w latach wcześniejszych, w 2022 r. najwięcej kontraktów stanowiły zamówienia na dostawy – 56 (w 2021 r. – 46; w 2020 r. – 52; w </w:t>
      </w:r>
      <w:r w:rsidR="00216CF0" w:rsidRPr="007F02D2">
        <w:t xml:space="preserve">2019 r. – </w:t>
      </w:r>
      <w:r w:rsidR="00216CF0">
        <w:t xml:space="preserve">44). </w:t>
      </w:r>
      <w:r w:rsidR="00216CF0" w:rsidRPr="00216CF0">
        <w:t xml:space="preserve">Z kolei </w:t>
      </w:r>
      <w:r w:rsidR="00216CF0">
        <w:t>usługi</w:t>
      </w:r>
      <w:r w:rsidR="00216CF0" w:rsidRPr="00216CF0">
        <w:t xml:space="preserve"> </w:t>
      </w:r>
      <w:r w:rsidR="006558EE">
        <w:t xml:space="preserve">zlecano </w:t>
      </w:r>
      <w:r w:rsidR="00216CF0" w:rsidRPr="00216CF0">
        <w:t>polski</w:t>
      </w:r>
      <w:r w:rsidR="006558EE">
        <w:t>m</w:t>
      </w:r>
      <w:r w:rsidR="00216CF0" w:rsidRPr="00216CF0">
        <w:t xml:space="preserve"> wykonawc</w:t>
      </w:r>
      <w:r w:rsidR="00F912BD">
        <w:t>om</w:t>
      </w:r>
      <w:r w:rsidR="00216CF0" w:rsidRPr="00216CF0">
        <w:t xml:space="preserve"> w 4</w:t>
      </w:r>
      <w:r w:rsidR="00216CF0">
        <w:t>7</w:t>
      </w:r>
      <w:r w:rsidR="00216CF0" w:rsidRPr="00216CF0">
        <w:t xml:space="preserve"> przypadkach</w:t>
      </w:r>
      <w:r w:rsidR="003C612D">
        <w:t xml:space="preserve"> (w 2021 r. – 70; w 2020 r. – 55; w </w:t>
      </w:r>
      <w:r w:rsidR="003C612D" w:rsidRPr="007F02D2">
        <w:t>2019 r. – 60</w:t>
      </w:r>
      <w:r w:rsidR="003C612D">
        <w:t>), a roboty budowlane w 11 (w 2021 r. – 7; w 2020</w:t>
      </w:r>
      <w:r w:rsidR="009343A1">
        <w:t xml:space="preserve"> </w:t>
      </w:r>
      <w:r w:rsidR="003C612D">
        <w:t xml:space="preserve">r. – 2; </w:t>
      </w:r>
      <w:r w:rsidR="003C612D" w:rsidRPr="00AE3785">
        <w:t>w 2019 r. – 5</w:t>
      </w:r>
      <w:r w:rsidR="003C612D">
        <w:t>).</w:t>
      </w:r>
    </w:p>
    <w:p w14:paraId="15C3E2A5" w14:textId="41655F5B" w:rsidR="00216CF0" w:rsidRDefault="00216CF0" w:rsidP="00216CF0">
      <w:pPr>
        <w:shd w:val="clear" w:color="auto" w:fill="FFFFFF"/>
      </w:pPr>
    </w:p>
    <w:p w14:paraId="16DA985B" w14:textId="70B7D942" w:rsidR="00216CF0" w:rsidRDefault="00216CF0" w:rsidP="00216CF0">
      <w:pPr>
        <w:shd w:val="clear" w:color="auto" w:fill="FFFFFF"/>
      </w:pPr>
      <w:r w:rsidRPr="00AE3785">
        <w:t xml:space="preserve">Z danych zamieszczonych w treści ogłoszeń </w:t>
      </w:r>
      <w:r>
        <w:t xml:space="preserve">o udzieleniu zamówienia </w:t>
      </w:r>
      <w:r w:rsidRPr="00AE3785">
        <w:t>wynika, że w 202</w:t>
      </w:r>
      <w:r w:rsidR="00AC0375">
        <w:t>2</w:t>
      </w:r>
      <w:r w:rsidRPr="00AE3785">
        <w:t xml:space="preserve"> r. polskim wykonawcom udzielono za granicą zamówień na kwotę ok. </w:t>
      </w:r>
      <w:r>
        <w:t>8</w:t>
      </w:r>
      <w:r w:rsidR="00E468AD">
        <w:t>68,1</w:t>
      </w:r>
      <w:r w:rsidRPr="00AE3785">
        <w:t xml:space="preserve"> mln euro (</w:t>
      </w:r>
      <w:r w:rsidR="00AC0375">
        <w:t>w 2021 r. – ok. 1</w:t>
      </w:r>
      <w:r w:rsidR="009343A1">
        <w:t xml:space="preserve"> </w:t>
      </w:r>
      <w:r w:rsidR="00AC0375">
        <w:t xml:space="preserve">851 mln euro; </w:t>
      </w:r>
      <w:r>
        <w:t>w 2020 r. – ok. 4</w:t>
      </w:r>
      <w:r w:rsidR="009343A1">
        <w:t xml:space="preserve"> </w:t>
      </w:r>
      <w:r>
        <w:t xml:space="preserve">622,3 mln euro; </w:t>
      </w:r>
      <w:r w:rsidRPr="00AE3785">
        <w:t>w 2019 r. – ok. 402,6 mln euro)</w:t>
      </w:r>
      <w:r>
        <w:rPr>
          <w:rStyle w:val="Odwoanieprzypisudolnego"/>
        </w:rPr>
        <w:footnoteReference w:id="16"/>
      </w:r>
      <w:r w:rsidRPr="00AE3785">
        <w:t xml:space="preserve">. </w:t>
      </w:r>
    </w:p>
    <w:p w14:paraId="3DFAE961" w14:textId="77777777" w:rsidR="008A4FB9" w:rsidRDefault="008A4FB9" w:rsidP="00856AD0">
      <w:pPr>
        <w:shd w:val="clear" w:color="auto" w:fill="FFFFFF"/>
      </w:pPr>
    </w:p>
    <w:p w14:paraId="24E66DAE" w14:textId="02B35396" w:rsidR="005F0246" w:rsidRDefault="005F0246" w:rsidP="005F0246">
      <w:pPr>
        <w:shd w:val="clear" w:color="auto" w:fill="FFFFFF"/>
      </w:pPr>
      <w:r>
        <w:t xml:space="preserve">Niezmiennie od lat </w:t>
      </w:r>
      <w:r w:rsidRPr="005F0246">
        <w:t>oferty wykonawców z Polski</w:t>
      </w:r>
      <w:r>
        <w:t xml:space="preserve"> wybierane są w </w:t>
      </w:r>
      <w:r w:rsidRPr="005F0246">
        <w:t>postępowaniach dotyczących podobnych rodzajów zamówień.</w:t>
      </w:r>
    </w:p>
    <w:p w14:paraId="248AB14D" w14:textId="7033690C" w:rsidR="005F0246" w:rsidRDefault="005F0246" w:rsidP="005F0246">
      <w:pPr>
        <w:shd w:val="clear" w:color="auto" w:fill="FFFFFF"/>
      </w:pPr>
      <w:r>
        <w:t xml:space="preserve">Usługi realizowane przez polskich wykonawców to głównie usługi inżynieryjne i budowlane; reklamowe i marketingowe; tłumaczenia; doradcze i badawcze; z zakresu ochrony; szkoleniowe i rekrutacyjne; </w:t>
      </w:r>
      <w:r w:rsidR="007D01BA">
        <w:t>informatyczne;</w:t>
      </w:r>
      <w:r>
        <w:t xml:space="preserve"> a także usługi napraw i konserwacji maszyn przemysłowych i pojazdów.</w:t>
      </w:r>
    </w:p>
    <w:p w14:paraId="77C09D07" w14:textId="167C6EC1" w:rsidR="005F0246" w:rsidRDefault="005F0246" w:rsidP="005F0246">
      <w:pPr>
        <w:shd w:val="clear" w:color="auto" w:fill="FFFFFF"/>
      </w:pPr>
      <w:r>
        <w:t>W przypadku dostaw przedmiotem zamówienia są przede wszystkim dostawy autobusów, pojazdów specjalnych; tabor kolejowy i tramwajowy jak również sprzęt lotniczy; maszyny przemysłowe i górnicze; części do maszyn i pojazdów; chemikalia i produkty lecznicze; odzież w tym robocza; sprzęt laboratoryjny; urządzenia komputerowe, elektryczne i precyzyjne;</w:t>
      </w:r>
      <w:r w:rsidR="007D01BA">
        <w:t xml:space="preserve"> a także</w:t>
      </w:r>
      <w:r>
        <w:t xml:space="preserve"> pakiety oprogramowania i systemy informatyczne.</w:t>
      </w:r>
    </w:p>
    <w:p w14:paraId="349A471B" w14:textId="2714EE35" w:rsidR="005F0246" w:rsidRDefault="005F0246" w:rsidP="005F0246">
      <w:pPr>
        <w:shd w:val="clear" w:color="auto" w:fill="FFFFFF"/>
      </w:pPr>
      <w:r>
        <w:t>Natomiast roboty budowlane dotycz</w:t>
      </w:r>
      <w:r w:rsidR="007D01BA">
        <w:t>ą</w:t>
      </w:r>
      <w:r>
        <w:t xml:space="preserve"> budowy budynków i innej infrastruktury oraz remontów.</w:t>
      </w:r>
    </w:p>
    <w:p w14:paraId="280226B3" w14:textId="77777777" w:rsidR="005F0246" w:rsidRDefault="005F0246" w:rsidP="005F0246">
      <w:pPr>
        <w:shd w:val="clear" w:color="auto" w:fill="FFFFFF"/>
      </w:pPr>
    </w:p>
    <w:p w14:paraId="41BD02C7" w14:textId="69D48119" w:rsidR="00991D22" w:rsidRDefault="00AD1B2C" w:rsidP="00856AD0">
      <w:pPr>
        <w:shd w:val="clear" w:color="auto" w:fill="FFFFFF"/>
      </w:pPr>
      <w:r w:rsidRPr="00AD1B2C">
        <w:t>Szczegółowe informacje dotyczące wykonawców; zamawiających, w tym kraju udzielenia zamówienia; przedmiotu zamówienia oraz wartości zamówień udzielonych polskim wykonawcom zamieszczane są na stronach internetowych Urzędu Zamówień Publicznych w comiesięcznych informacjach o polskim i europejskim rynku zamówień publicznych; link:</w:t>
      </w:r>
    </w:p>
    <w:p w14:paraId="18698FED" w14:textId="2C0CAC7A" w:rsidR="00AD1B2C" w:rsidRDefault="00BE2079" w:rsidP="00856AD0">
      <w:pPr>
        <w:shd w:val="clear" w:color="auto" w:fill="FFFFFF"/>
      </w:pPr>
      <w:hyperlink r:id="rId28" w:history="1">
        <w:r w:rsidR="00AD1B2C" w:rsidRPr="004129AB">
          <w:rPr>
            <w:rStyle w:val="Hipercze"/>
          </w:rPr>
          <w:t>https://www.gov.pl/web/uzp/informacja-o-polskim-i-europejskim-rynku-zamowien-publicznych2</w:t>
        </w:r>
      </w:hyperlink>
      <w:r w:rsidR="00AD1B2C">
        <w:t xml:space="preserve"> </w:t>
      </w:r>
    </w:p>
    <w:p w14:paraId="7628CA71" w14:textId="15EB4617" w:rsidR="00991D22" w:rsidRDefault="00991D22" w:rsidP="00856AD0">
      <w:pPr>
        <w:shd w:val="clear" w:color="auto" w:fill="FFFFFF"/>
      </w:pPr>
    </w:p>
    <w:p w14:paraId="36A59629" w14:textId="77777777" w:rsidR="00716498" w:rsidRDefault="00716498"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716498" w:rsidRPr="001E7D51" w14:paraId="7078300F" w14:textId="77777777" w:rsidTr="004D2CDB">
        <w:trPr>
          <w:cantSplit/>
        </w:trPr>
        <w:tc>
          <w:tcPr>
            <w:tcW w:w="236" w:type="dxa"/>
            <w:shd w:val="clear" w:color="auto" w:fill="B8CCE4"/>
          </w:tcPr>
          <w:p w14:paraId="097E78EA" w14:textId="77777777" w:rsidR="00716498" w:rsidRPr="001E7D51" w:rsidRDefault="00716498" w:rsidP="00F058DB">
            <w:pPr>
              <w:rPr>
                <w:sz w:val="24"/>
              </w:rPr>
            </w:pPr>
          </w:p>
        </w:tc>
        <w:tc>
          <w:tcPr>
            <w:tcW w:w="8676" w:type="dxa"/>
          </w:tcPr>
          <w:p w14:paraId="53F17090" w14:textId="00D20618" w:rsidR="00716498" w:rsidRPr="00C06067" w:rsidRDefault="00716498" w:rsidP="00F058DB">
            <w:pPr>
              <w:pStyle w:val="Nagwek3"/>
              <w:shd w:val="clear" w:color="auto" w:fill="FFFFFF"/>
              <w:spacing w:after="120"/>
              <w:ind w:left="0"/>
              <w:rPr>
                <w:color w:val="0070C0"/>
                <w:sz w:val="24"/>
                <w:szCs w:val="24"/>
              </w:rPr>
            </w:pPr>
            <w:bookmarkStart w:id="110" w:name="_Toc64451864"/>
            <w:bookmarkStart w:id="111" w:name="_Toc141276443"/>
            <w:r w:rsidRPr="00C06067">
              <w:rPr>
                <w:color w:val="0070C0"/>
                <w:sz w:val="24"/>
                <w:szCs w:val="24"/>
              </w:rPr>
              <w:t>II.2.</w:t>
            </w:r>
            <w:r w:rsidR="00870A10" w:rsidRPr="00C06067">
              <w:rPr>
                <w:color w:val="0070C0"/>
                <w:sz w:val="24"/>
                <w:szCs w:val="24"/>
              </w:rPr>
              <w:t>7</w:t>
            </w:r>
            <w:r w:rsidRPr="00C06067">
              <w:rPr>
                <w:color w:val="0070C0"/>
                <w:sz w:val="24"/>
                <w:szCs w:val="24"/>
              </w:rPr>
              <w:t>. Podmioty zagraniczne na polskim rynku zamówień publicznych</w:t>
            </w:r>
            <w:bookmarkEnd w:id="110"/>
            <w:bookmarkEnd w:id="111"/>
          </w:p>
        </w:tc>
      </w:tr>
    </w:tbl>
    <w:p w14:paraId="184ABC6A" w14:textId="53B3D153" w:rsidR="00ED29B9" w:rsidRDefault="00ED29B9" w:rsidP="00F058DB">
      <w:pPr>
        <w:shd w:val="clear" w:color="auto" w:fill="FFFFFF"/>
      </w:pPr>
    </w:p>
    <w:p w14:paraId="527CEBA7" w14:textId="6FCBD3F2" w:rsidR="003E1D45" w:rsidRDefault="003E1D45" w:rsidP="003E1D45">
      <w:pPr>
        <w:shd w:val="clear" w:color="auto" w:fill="FFFFFF"/>
      </w:pPr>
      <w:r>
        <w:t xml:space="preserve">W oparciu o dane zawarte w ogłoszeniach o udzieleniu zamówienia opublikowanych </w:t>
      </w:r>
      <w:r w:rsidR="00A6458D">
        <w:t xml:space="preserve">przez polskich zamawiających </w:t>
      </w:r>
      <w:r>
        <w:t>w</w:t>
      </w:r>
      <w:r w:rsidR="009343A1">
        <w:t xml:space="preserve"> </w:t>
      </w:r>
      <w:r>
        <w:t>Dzienniku Urzędowym Unii Europejskiej można ustalić, iż w</w:t>
      </w:r>
      <w:r w:rsidR="009343A1">
        <w:t xml:space="preserve"> </w:t>
      </w:r>
      <w:r>
        <w:t>202</w:t>
      </w:r>
      <w:r w:rsidR="00680836">
        <w:t>2</w:t>
      </w:r>
      <w:r w:rsidR="00753EC0">
        <w:t> </w:t>
      </w:r>
      <w:r>
        <w:t>r. podmiotom spoza Polski</w:t>
      </w:r>
      <w:r>
        <w:rPr>
          <w:rStyle w:val="Odwoanieprzypisudolnego"/>
        </w:rPr>
        <w:footnoteReference w:id="17"/>
      </w:r>
      <w:r>
        <w:t xml:space="preserve"> udzielono </w:t>
      </w:r>
      <w:r w:rsidR="00111221">
        <w:t>806</w:t>
      </w:r>
      <w:r>
        <w:t xml:space="preserve"> zamówień, co stanowiło ok. 2,</w:t>
      </w:r>
      <w:r w:rsidR="00807010">
        <w:t>14</w:t>
      </w:r>
      <w:r>
        <w:t xml:space="preserve">% postępowań. </w:t>
      </w:r>
    </w:p>
    <w:p w14:paraId="1D6934DF" w14:textId="18DF5AF4" w:rsidR="003E1D45" w:rsidRDefault="00850093" w:rsidP="003E1D45">
      <w:pPr>
        <w:shd w:val="clear" w:color="auto" w:fill="FFFFFF"/>
      </w:pPr>
      <w:r>
        <w:t>W</w:t>
      </w:r>
      <w:r w:rsidR="009343A1">
        <w:t xml:space="preserve"> </w:t>
      </w:r>
      <w:r w:rsidR="003E1D45">
        <w:t>latach</w:t>
      </w:r>
      <w:r w:rsidR="00111221">
        <w:t xml:space="preserve"> wcześniejszych </w:t>
      </w:r>
      <w:r w:rsidR="000D24F7">
        <w:t>dane te prezentowały się następująco</w:t>
      </w:r>
      <w:r w:rsidR="003E1D45">
        <w:t xml:space="preserve">: </w:t>
      </w:r>
      <w:r w:rsidR="00111221">
        <w:t xml:space="preserve">w 2021 r. – 831 (2,72%); w </w:t>
      </w:r>
      <w:r w:rsidR="003E1D45">
        <w:t xml:space="preserve">2020 r. – 874 (3,07%); </w:t>
      </w:r>
      <w:r w:rsidR="00111221">
        <w:t xml:space="preserve">w </w:t>
      </w:r>
      <w:r w:rsidR="003E1D45">
        <w:t>2019 r. – 817 (2,91%).</w:t>
      </w:r>
    </w:p>
    <w:p w14:paraId="681E0243" w14:textId="77777777" w:rsidR="003E1D45" w:rsidRDefault="003E1D45" w:rsidP="003E1D45">
      <w:pPr>
        <w:shd w:val="clear" w:color="auto" w:fill="FFFFFF"/>
      </w:pPr>
    </w:p>
    <w:p w14:paraId="6249A778" w14:textId="5EC08E69" w:rsidR="003E1D45" w:rsidRDefault="003E1D45" w:rsidP="003E1D45">
      <w:pPr>
        <w:shd w:val="clear" w:color="auto" w:fill="FFFFFF"/>
      </w:pPr>
      <w:r>
        <w:t>W</w:t>
      </w:r>
      <w:r w:rsidR="00903938">
        <w:t xml:space="preserve">artość </w:t>
      </w:r>
      <w:r>
        <w:t>zamówień dla zagranicznych wykonawców w 202</w:t>
      </w:r>
      <w:r w:rsidR="00903938">
        <w:t>2</w:t>
      </w:r>
      <w:r>
        <w:t xml:space="preserve"> r. wyniosła ok. </w:t>
      </w:r>
      <w:r w:rsidR="00903938">
        <w:t>23</w:t>
      </w:r>
      <w:r>
        <w:t>,</w:t>
      </w:r>
      <w:r w:rsidR="00903938">
        <w:t>8</w:t>
      </w:r>
      <w:r>
        <w:t xml:space="preserve"> mld zł, czyli </w:t>
      </w:r>
      <w:r w:rsidRPr="00AB7EE5">
        <w:t xml:space="preserve">ok. </w:t>
      </w:r>
      <w:r w:rsidR="00AB7EE5" w:rsidRPr="00AB7EE5">
        <w:t>12</w:t>
      </w:r>
      <w:r w:rsidRPr="00AB7EE5">
        <w:t xml:space="preserve">% ogólnej wartości zamówień </w:t>
      </w:r>
      <w:r w:rsidR="00B11CF6" w:rsidRPr="00B11CF6">
        <w:t>o wartościach równych lub przekraczających progi unijne</w:t>
      </w:r>
      <w:r w:rsidRPr="00AB7EE5">
        <w:t xml:space="preserve">. </w:t>
      </w:r>
      <w:r w:rsidR="001E42DE">
        <w:t>W</w:t>
      </w:r>
      <w:r w:rsidRPr="00AB7EE5">
        <w:t xml:space="preserve"> 202</w:t>
      </w:r>
      <w:r w:rsidR="00903938" w:rsidRPr="00AB7EE5">
        <w:t>1</w:t>
      </w:r>
      <w:r w:rsidRPr="00AB7EE5">
        <w:t xml:space="preserve"> r.</w:t>
      </w:r>
      <w:r>
        <w:t xml:space="preserve"> wykonawcom zagranicznym udzielono zamówień na ok. 1</w:t>
      </w:r>
      <w:r w:rsidR="00903938">
        <w:t>0</w:t>
      </w:r>
      <w:r>
        <w:t>,</w:t>
      </w:r>
      <w:r w:rsidR="00903938">
        <w:t>0</w:t>
      </w:r>
      <w:r>
        <w:t xml:space="preserve"> mld zł (</w:t>
      </w:r>
      <w:r w:rsidR="00AB7EE5">
        <w:t>7</w:t>
      </w:r>
      <w:r>
        <w:t>%), w 20</w:t>
      </w:r>
      <w:r w:rsidR="00903938">
        <w:t>20</w:t>
      </w:r>
      <w:r>
        <w:t xml:space="preserve"> r. – ok. </w:t>
      </w:r>
      <w:r w:rsidR="00903938">
        <w:t>17,2 mld zł (13%)</w:t>
      </w:r>
      <w:r>
        <w:t>, a w 201</w:t>
      </w:r>
      <w:r w:rsidR="00903938">
        <w:t>9</w:t>
      </w:r>
      <w:r>
        <w:t xml:space="preserve"> r. – ok. </w:t>
      </w:r>
      <w:r w:rsidR="00903938">
        <w:t>12,5 mld zł (9%)</w:t>
      </w:r>
      <w:r>
        <w:t>.</w:t>
      </w:r>
    </w:p>
    <w:p w14:paraId="3EAA8C59" w14:textId="77777777" w:rsidR="003E1D45" w:rsidRDefault="003E1D45" w:rsidP="003E1D45">
      <w:pPr>
        <w:shd w:val="clear" w:color="auto" w:fill="FFFFFF"/>
      </w:pPr>
    </w:p>
    <w:p w14:paraId="2FD6FF6F" w14:textId="349C0BC1" w:rsidR="003E1D45" w:rsidRDefault="003E1D45" w:rsidP="003E1D45">
      <w:pPr>
        <w:shd w:val="clear" w:color="auto" w:fill="FFFFFF"/>
      </w:pPr>
      <w:r>
        <w:t xml:space="preserve">Pod względem </w:t>
      </w:r>
      <w:r w:rsidR="00A33AA4">
        <w:t xml:space="preserve">liczby kontraktów </w:t>
      </w:r>
      <w:r>
        <w:t xml:space="preserve">najwięcej </w:t>
      </w:r>
      <w:r w:rsidR="00A33AA4">
        <w:t xml:space="preserve">zamówień </w:t>
      </w:r>
      <w:r>
        <w:t>pozyskali wykonawcy z Niemiec</w:t>
      </w:r>
      <w:r w:rsidR="00A33AA4">
        <w:t xml:space="preserve"> (222)</w:t>
      </w:r>
      <w:r>
        <w:t xml:space="preserve">, </w:t>
      </w:r>
      <w:r w:rsidR="00A33AA4">
        <w:t>Węgier (137)</w:t>
      </w:r>
      <w:r>
        <w:t xml:space="preserve"> oraz </w:t>
      </w:r>
      <w:r w:rsidR="002162D4">
        <w:t>Czech (77)</w:t>
      </w:r>
      <w:r>
        <w:t xml:space="preserve"> i były to przede wszystkim zamówienia na dostawy</w:t>
      </w:r>
      <w:r w:rsidR="002162D4">
        <w:t>.</w:t>
      </w:r>
      <w:r>
        <w:t xml:space="preserve"> Natomiast zamówień o największej wartości udzielono wykonawcom z </w:t>
      </w:r>
      <w:r w:rsidR="002162D4">
        <w:t>Hiszpanii (ok. 7,6 mld zł) i</w:t>
      </w:r>
      <w:r>
        <w:t xml:space="preserve"> </w:t>
      </w:r>
      <w:r w:rsidR="002162D4">
        <w:t>Francji (ok. 6,1 mld zł) – zamówienia przede wszystkim na usługi</w:t>
      </w:r>
      <w:r w:rsidR="00545522">
        <w:t>,</w:t>
      </w:r>
      <w:r w:rsidR="002162D4">
        <w:t xml:space="preserve"> oraz z </w:t>
      </w:r>
      <w:r w:rsidR="00296863">
        <w:t>Turcji (2,4 mld zł) – z</w:t>
      </w:r>
      <w:r>
        <w:t xml:space="preserve">amówienia te dotyczyły </w:t>
      </w:r>
      <w:r w:rsidR="00296863">
        <w:t>usług i</w:t>
      </w:r>
      <w:r>
        <w:t xml:space="preserve"> robót budowlanych.</w:t>
      </w:r>
    </w:p>
    <w:p w14:paraId="615045D5" w14:textId="77777777" w:rsidR="00C624D1" w:rsidRDefault="00C624D1" w:rsidP="00F058DB">
      <w:pPr>
        <w:shd w:val="clear" w:color="auto" w:fill="FFFFFF"/>
      </w:pPr>
    </w:p>
    <w:p w14:paraId="3543E21F" w14:textId="7BCB362D" w:rsidR="00D15310" w:rsidRDefault="00D15310" w:rsidP="00D15310">
      <w:pPr>
        <w:pStyle w:val="Legenda"/>
      </w:pPr>
      <w:bookmarkStart w:id="112" w:name="_Toc141276528"/>
      <w:r w:rsidRPr="0088343F">
        <w:t xml:space="preserve">Tab. </w:t>
      </w:r>
      <w:r w:rsidR="00BE2079">
        <w:fldChar w:fldCharType="begin"/>
      </w:r>
      <w:r w:rsidR="00BE2079">
        <w:instrText xml:space="preserve"> SEQ Tab. \* ARABIC </w:instrText>
      </w:r>
      <w:r w:rsidR="00BE2079">
        <w:fldChar w:fldCharType="separate"/>
      </w:r>
      <w:r w:rsidR="00A43C68">
        <w:rPr>
          <w:noProof/>
        </w:rPr>
        <w:t>21</w:t>
      </w:r>
      <w:r w:rsidR="00BE2079">
        <w:rPr>
          <w:noProof/>
        </w:rPr>
        <w:fldChar w:fldCharType="end"/>
      </w:r>
      <w:r w:rsidRPr="0088343F">
        <w:t>. Liczba i wartość zamówień udzielonych w 202</w:t>
      </w:r>
      <w:r w:rsidR="0088343F" w:rsidRPr="0088343F">
        <w:t>2</w:t>
      </w:r>
      <w:r w:rsidRPr="0088343F">
        <w:t xml:space="preserve"> r. </w:t>
      </w:r>
      <w:r w:rsidR="00C6066F" w:rsidRPr="0088343F">
        <w:t>przez polskich zamawiających wykonawcom</w:t>
      </w:r>
      <w:r w:rsidR="00C6066F" w:rsidRPr="00C6066F">
        <w:t xml:space="preserve"> zagranicznym</w:t>
      </w:r>
      <w:bookmarkEnd w:id="112"/>
    </w:p>
    <w:tbl>
      <w:tblPr>
        <w:tblStyle w:val="Tabela-Siatka"/>
        <w:tblW w:w="10206" w:type="dxa"/>
        <w:tblInd w:w="-572" w:type="dxa"/>
        <w:tblLayout w:type="fixed"/>
        <w:tblLook w:val="01E0" w:firstRow="1" w:lastRow="1" w:firstColumn="1" w:lastColumn="1" w:noHBand="0" w:noVBand="0"/>
      </w:tblPr>
      <w:tblGrid>
        <w:gridCol w:w="1276"/>
        <w:gridCol w:w="851"/>
        <w:gridCol w:w="1275"/>
        <w:gridCol w:w="851"/>
        <w:gridCol w:w="1417"/>
        <w:gridCol w:w="851"/>
        <w:gridCol w:w="1417"/>
        <w:gridCol w:w="851"/>
        <w:gridCol w:w="1417"/>
      </w:tblGrid>
      <w:tr w:rsidR="00C4432B" w:rsidRPr="00124B5D" w14:paraId="71240D60" w14:textId="77777777" w:rsidTr="00124B5D">
        <w:trPr>
          <w:trHeight w:val="101"/>
          <w:tblHeader/>
        </w:trPr>
        <w:tc>
          <w:tcPr>
            <w:tcW w:w="127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32B1E31" w14:textId="77777777" w:rsidR="00C4432B" w:rsidRPr="00124B5D" w:rsidRDefault="00C4432B" w:rsidP="00124B5D">
            <w:pPr>
              <w:spacing w:before="60" w:after="60"/>
              <w:jc w:val="center"/>
              <w:rPr>
                <w:rFonts w:cs="Arial"/>
                <w:b/>
                <w:sz w:val="16"/>
                <w:szCs w:val="16"/>
              </w:rPr>
            </w:pPr>
            <w:r w:rsidRPr="00124B5D">
              <w:rPr>
                <w:rFonts w:cs="Arial"/>
                <w:b/>
                <w:sz w:val="16"/>
                <w:szCs w:val="16"/>
              </w:rPr>
              <w:t>Kraj</w:t>
            </w:r>
          </w:p>
        </w:tc>
        <w:tc>
          <w:tcPr>
            <w:tcW w:w="6662"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3233BD" w14:textId="52AC9A29" w:rsidR="00C4432B" w:rsidRPr="00124B5D" w:rsidRDefault="00C4432B" w:rsidP="00C4432B">
            <w:pPr>
              <w:spacing w:before="60" w:after="60"/>
              <w:jc w:val="center"/>
              <w:rPr>
                <w:rFonts w:cs="Arial"/>
                <w:b/>
                <w:sz w:val="16"/>
                <w:szCs w:val="16"/>
              </w:rPr>
            </w:pPr>
            <w:r w:rsidRPr="00124B5D">
              <w:rPr>
                <w:rFonts w:cs="Arial"/>
                <w:b/>
                <w:sz w:val="16"/>
                <w:szCs w:val="16"/>
              </w:rPr>
              <w:t>Rodzaj zamówienia – liczba kontraktów, wartości kontraktów [w PLN]</w:t>
            </w:r>
          </w:p>
        </w:tc>
        <w:tc>
          <w:tcPr>
            <w:tcW w:w="226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8F7AFE8" w14:textId="77777777" w:rsidR="00C4432B" w:rsidRPr="00124B5D" w:rsidRDefault="00C4432B" w:rsidP="00124B5D">
            <w:pPr>
              <w:spacing w:before="60" w:after="60"/>
              <w:jc w:val="center"/>
              <w:rPr>
                <w:rFonts w:cs="Arial"/>
                <w:b/>
                <w:sz w:val="16"/>
                <w:szCs w:val="16"/>
              </w:rPr>
            </w:pPr>
            <w:r w:rsidRPr="00124B5D">
              <w:rPr>
                <w:rFonts w:cs="Arial"/>
                <w:b/>
                <w:sz w:val="16"/>
                <w:szCs w:val="16"/>
              </w:rPr>
              <w:t>Razem</w:t>
            </w:r>
          </w:p>
        </w:tc>
      </w:tr>
      <w:tr w:rsidR="00C4432B" w:rsidRPr="00124B5D" w14:paraId="3FC1D489" w14:textId="77777777" w:rsidTr="00124B5D">
        <w:trPr>
          <w:trHeight w:val="44"/>
          <w:tblHeader/>
        </w:trPr>
        <w:tc>
          <w:tcPr>
            <w:tcW w:w="1276"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0F2221A0" w14:textId="77777777" w:rsidR="00C4432B" w:rsidRPr="00124B5D" w:rsidRDefault="00C4432B" w:rsidP="00124B5D">
            <w:pPr>
              <w:spacing w:before="60" w:after="60"/>
              <w:jc w:val="center"/>
              <w:rPr>
                <w:rFonts w:cs="Arial"/>
                <w:b/>
                <w:sz w:val="16"/>
                <w:szCs w:val="16"/>
              </w:rPr>
            </w:pPr>
          </w:p>
        </w:tc>
        <w:tc>
          <w:tcPr>
            <w:tcW w:w="2126"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2B70B372" w14:textId="5C0861EA" w:rsidR="00C4432B" w:rsidRPr="00124B5D" w:rsidRDefault="00C4432B" w:rsidP="00A82736">
            <w:pPr>
              <w:spacing w:before="60" w:after="60"/>
              <w:jc w:val="center"/>
              <w:rPr>
                <w:rFonts w:cs="Arial"/>
                <w:b/>
                <w:sz w:val="16"/>
                <w:szCs w:val="16"/>
              </w:rPr>
            </w:pPr>
            <w:r w:rsidRPr="00124B5D">
              <w:rPr>
                <w:rFonts w:cs="Arial"/>
                <w:b/>
                <w:sz w:val="16"/>
                <w:szCs w:val="16"/>
              </w:rPr>
              <w:t>Rob</w:t>
            </w:r>
            <w:r w:rsidR="00A82736">
              <w:rPr>
                <w:rFonts w:cs="Arial"/>
                <w:b/>
                <w:sz w:val="16"/>
                <w:szCs w:val="16"/>
              </w:rPr>
              <w:t>oty</w:t>
            </w:r>
            <w:r w:rsidRPr="00124B5D">
              <w:rPr>
                <w:rFonts w:cs="Arial"/>
                <w:b/>
                <w:sz w:val="16"/>
                <w:szCs w:val="16"/>
              </w:rPr>
              <w:t xml:space="preserve"> budowlane</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DA0D85C" w14:textId="77777777" w:rsidR="00C4432B" w:rsidRPr="00124B5D" w:rsidRDefault="00C4432B" w:rsidP="00124B5D">
            <w:pPr>
              <w:spacing w:before="60" w:after="60"/>
              <w:jc w:val="center"/>
              <w:rPr>
                <w:rFonts w:cs="Arial"/>
                <w:b/>
                <w:sz w:val="16"/>
                <w:szCs w:val="16"/>
              </w:rPr>
            </w:pPr>
            <w:r w:rsidRPr="00124B5D">
              <w:rPr>
                <w:rFonts w:cs="Arial"/>
                <w:b/>
                <w:sz w:val="16"/>
                <w:szCs w:val="16"/>
              </w:rPr>
              <w:t>Dostawy</w:t>
            </w:r>
          </w:p>
        </w:tc>
        <w:tc>
          <w:tcPr>
            <w:tcW w:w="2268"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3E9900E3" w14:textId="77777777" w:rsidR="00C4432B" w:rsidRPr="00124B5D" w:rsidRDefault="00C4432B" w:rsidP="00124B5D">
            <w:pPr>
              <w:spacing w:before="60" w:after="60"/>
              <w:jc w:val="center"/>
              <w:rPr>
                <w:rFonts w:cs="Arial"/>
                <w:b/>
                <w:sz w:val="16"/>
                <w:szCs w:val="16"/>
              </w:rPr>
            </w:pPr>
            <w:r w:rsidRPr="00124B5D">
              <w:rPr>
                <w:rFonts w:cs="Arial"/>
                <w:b/>
                <w:sz w:val="16"/>
                <w:szCs w:val="16"/>
              </w:rPr>
              <w:t>Usługi</w:t>
            </w:r>
          </w:p>
        </w:tc>
        <w:tc>
          <w:tcPr>
            <w:tcW w:w="85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EC3D88A" w14:textId="77777777" w:rsidR="00C4432B" w:rsidRPr="00124B5D" w:rsidRDefault="00C4432B" w:rsidP="00124B5D">
            <w:pPr>
              <w:spacing w:before="60" w:after="60"/>
              <w:jc w:val="center"/>
              <w:rPr>
                <w:rFonts w:cs="Arial"/>
                <w:b/>
                <w:sz w:val="16"/>
                <w:szCs w:val="16"/>
              </w:rPr>
            </w:pPr>
            <w:r w:rsidRPr="00124B5D">
              <w:rPr>
                <w:rFonts w:cs="Arial"/>
                <w:b/>
                <w:sz w:val="16"/>
                <w:szCs w:val="16"/>
              </w:rPr>
              <w:t>Liczba</w:t>
            </w:r>
          </w:p>
        </w:tc>
        <w:tc>
          <w:tcPr>
            <w:tcW w:w="1417"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tcPr>
          <w:p w14:paraId="0A56D1F8" w14:textId="77777777" w:rsidR="00C4432B" w:rsidRPr="00124B5D" w:rsidRDefault="00C4432B" w:rsidP="00124B5D">
            <w:pPr>
              <w:spacing w:before="60" w:after="60"/>
              <w:jc w:val="center"/>
              <w:rPr>
                <w:rFonts w:cs="Arial"/>
                <w:b/>
                <w:sz w:val="16"/>
                <w:szCs w:val="16"/>
              </w:rPr>
            </w:pPr>
            <w:r w:rsidRPr="00124B5D">
              <w:rPr>
                <w:rFonts w:cs="Arial"/>
                <w:b/>
                <w:sz w:val="16"/>
                <w:szCs w:val="16"/>
              </w:rPr>
              <w:t>Wartość</w:t>
            </w:r>
          </w:p>
        </w:tc>
      </w:tr>
      <w:tr w:rsidR="00BB2B8C" w:rsidRPr="00124B5D" w14:paraId="7166BB62" w14:textId="77777777" w:rsidTr="000C4EAC">
        <w:trPr>
          <w:trHeight w:val="44"/>
        </w:trPr>
        <w:tc>
          <w:tcPr>
            <w:tcW w:w="1276" w:type="dxa"/>
            <w:tcBorders>
              <w:top w:val="nil"/>
              <w:left w:val="nil"/>
              <w:bottom w:val="nil"/>
              <w:right w:val="single" w:sz="4" w:space="0" w:color="FFFFFF" w:themeColor="background1"/>
            </w:tcBorders>
            <w:vAlign w:val="center"/>
          </w:tcPr>
          <w:p w14:paraId="0A036384" w14:textId="4A73E7B9" w:rsidR="00BB2B8C" w:rsidRPr="00BB4F21" w:rsidRDefault="00BB2B8C" w:rsidP="00BB2B8C">
            <w:pPr>
              <w:spacing w:before="60" w:after="60"/>
              <w:jc w:val="center"/>
              <w:rPr>
                <w:rFonts w:cs="Arial"/>
                <w:bCs/>
                <w:sz w:val="16"/>
                <w:szCs w:val="16"/>
              </w:rPr>
            </w:pPr>
            <w:r w:rsidRPr="00BB4F21">
              <w:rPr>
                <w:rFonts w:cs="Arial"/>
                <w:bCs/>
                <w:color w:val="000000"/>
                <w:sz w:val="16"/>
                <w:szCs w:val="16"/>
              </w:rPr>
              <w:t>Austria</w:t>
            </w:r>
          </w:p>
        </w:tc>
        <w:tc>
          <w:tcPr>
            <w:tcW w:w="851" w:type="dxa"/>
            <w:tcBorders>
              <w:top w:val="nil"/>
              <w:left w:val="single" w:sz="4" w:space="0" w:color="FFFFFF" w:themeColor="background1"/>
              <w:bottom w:val="nil"/>
              <w:right w:val="single" w:sz="4" w:space="0" w:color="FFFFFF" w:themeColor="background1"/>
            </w:tcBorders>
            <w:vAlign w:val="center"/>
          </w:tcPr>
          <w:p w14:paraId="3F0D66F7" w14:textId="5B8D932D"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vAlign w:val="center"/>
          </w:tcPr>
          <w:p w14:paraId="0033EB6D" w14:textId="61541690" w:rsidR="00BB2B8C" w:rsidRPr="00BB4F21" w:rsidRDefault="00BB2B8C" w:rsidP="00BB2B8C">
            <w:pPr>
              <w:spacing w:before="60" w:after="60"/>
              <w:jc w:val="right"/>
              <w:rPr>
                <w:rFonts w:cs="Arial"/>
                <w:sz w:val="16"/>
                <w:szCs w:val="16"/>
              </w:rPr>
            </w:pPr>
            <w:r w:rsidRPr="00BB4F21">
              <w:rPr>
                <w:rFonts w:cs="Arial"/>
                <w:color w:val="000000"/>
                <w:sz w:val="16"/>
                <w:szCs w:val="16"/>
              </w:rPr>
              <w:t>97 688 500</w:t>
            </w:r>
          </w:p>
        </w:tc>
        <w:tc>
          <w:tcPr>
            <w:tcW w:w="851" w:type="dxa"/>
            <w:tcBorders>
              <w:top w:val="nil"/>
              <w:left w:val="single" w:sz="4" w:space="0" w:color="FFFFFF" w:themeColor="background1"/>
              <w:bottom w:val="nil"/>
              <w:right w:val="nil"/>
            </w:tcBorders>
            <w:vAlign w:val="center"/>
          </w:tcPr>
          <w:p w14:paraId="62DB51F8" w14:textId="71F27DC2" w:rsidR="00BB2B8C" w:rsidRPr="00BB4F21" w:rsidRDefault="00BB2B8C" w:rsidP="00BB2B8C">
            <w:pPr>
              <w:spacing w:before="60" w:after="60"/>
              <w:jc w:val="right"/>
              <w:rPr>
                <w:rFonts w:cs="Arial"/>
                <w:bCs/>
                <w:sz w:val="16"/>
                <w:szCs w:val="16"/>
              </w:rPr>
            </w:pPr>
            <w:r w:rsidRPr="00BB4F21">
              <w:rPr>
                <w:rFonts w:cs="Arial"/>
                <w:color w:val="000000"/>
                <w:sz w:val="16"/>
                <w:szCs w:val="16"/>
              </w:rPr>
              <w:t>13</w:t>
            </w:r>
          </w:p>
        </w:tc>
        <w:tc>
          <w:tcPr>
            <w:tcW w:w="1417" w:type="dxa"/>
            <w:tcBorders>
              <w:top w:val="nil"/>
              <w:left w:val="single" w:sz="4" w:space="0" w:color="FFFFFF" w:themeColor="background1"/>
              <w:bottom w:val="nil"/>
              <w:right w:val="nil"/>
            </w:tcBorders>
            <w:vAlign w:val="center"/>
          </w:tcPr>
          <w:p w14:paraId="12E478BB" w14:textId="7ECF6772" w:rsidR="00BB2B8C" w:rsidRPr="00BB4F21" w:rsidRDefault="00BB2B8C" w:rsidP="00BB2B8C">
            <w:pPr>
              <w:spacing w:before="60" w:after="60"/>
              <w:jc w:val="right"/>
              <w:rPr>
                <w:rFonts w:cs="Arial"/>
                <w:bCs/>
                <w:sz w:val="16"/>
                <w:szCs w:val="16"/>
              </w:rPr>
            </w:pPr>
            <w:r w:rsidRPr="00BB4F21">
              <w:rPr>
                <w:rFonts w:cs="Arial"/>
                <w:color w:val="000000"/>
                <w:sz w:val="16"/>
                <w:szCs w:val="16"/>
              </w:rPr>
              <w:t>123 227 804</w:t>
            </w:r>
          </w:p>
        </w:tc>
        <w:tc>
          <w:tcPr>
            <w:tcW w:w="851" w:type="dxa"/>
            <w:tcBorders>
              <w:top w:val="nil"/>
              <w:left w:val="single" w:sz="4" w:space="0" w:color="FFFFFF" w:themeColor="background1"/>
              <w:bottom w:val="nil"/>
              <w:right w:val="single" w:sz="4" w:space="0" w:color="FFFFFF" w:themeColor="background1"/>
            </w:tcBorders>
            <w:vAlign w:val="center"/>
          </w:tcPr>
          <w:p w14:paraId="61F8536E" w14:textId="75C076DF" w:rsidR="00BB2B8C" w:rsidRPr="00BB4F21" w:rsidRDefault="00BB2B8C" w:rsidP="00BB2B8C">
            <w:pPr>
              <w:spacing w:before="60" w:after="60"/>
              <w:jc w:val="right"/>
              <w:rPr>
                <w:rFonts w:cs="Arial"/>
                <w:bCs/>
                <w:sz w:val="16"/>
                <w:szCs w:val="16"/>
              </w:rPr>
            </w:pPr>
            <w:r w:rsidRPr="00BB4F21">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0EA59754" w14:textId="739D4FF4" w:rsidR="00BB2B8C" w:rsidRPr="00BB4F21" w:rsidRDefault="00BB2B8C" w:rsidP="00BB2B8C">
            <w:pPr>
              <w:spacing w:before="60" w:after="60"/>
              <w:jc w:val="right"/>
              <w:rPr>
                <w:rFonts w:cs="Arial"/>
                <w:bCs/>
                <w:sz w:val="16"/>
                <w:szCs w:val="16"/>
              </w:rPr>
            </w:pPr>
            <w:r w:rsidRPr="00BB4F21">
              <w:rPr>
                <w:rFonts w:cs="Arial"/>
                <w:color w:val="000000"/>
                <w:sz w:val="16"/>
                <w:szCs w:val="16"/>
              </w:rPr>
              <w:t>44 069 114</w:t>
            </w:r>
          </w:p>
        </w:tc>
        <w:tc>
          <w:tcPr>
            <w:tcW w:w="851" w:type="dxa"/>
            <w:tcBorders>
              <w:top w:val="nil"/>
              <w:left w:val="single" w:sz="4" w:space="0" w:color="FFFFFF" w:themeColor="background1"/>
              <w:bottom w:val="nil"/>
              <w:right w:val="single" w:sz="4" w:space="0" w:color="FFFFFF" w:themeColor="background1"/>
            </w:tcBorders>
            <w:vAlign w:val="center"/>
          </w:tcPr>
          <w:p w14:paraId="01AB285E" w14:textId="0D5B1004" w:rsidR="00BB2B8C" w:rsidRPr="00BB2B8C" w:rsidRDefault="00BB2B8C" w:rsidP="00BB2B8C">
            <w:pPr>
              <w:spacing w:before="60" w:after="60"/>
              <w:jc w:val="right"/>
              <w:rPr>
                <w:rFonts w:cs="Arial"/>
                <w:bCs/>
                <w:sz w:val="16"/>
                <w:szCs w:val="16"/>
              </w:rPr>
            </w:pPr>
            <w:r w:rsidRPr="00BB2B8C">
              <w:rPr>
                <w:rFonts w:cs="Arial"/>
                <w:bCs/>
                <w:color w:val="000000"/>
                <w:sz w:val="16"/>
                <w:szCs w:val="16"/>
              </w:rPr>
              <w:t>17</w:t>
            </w:r>
          </w:p>
        </w:tc>
        <w:tc>
          <w:tcPr>
            <w:tcW w:w="1417" w:type="dxa"/>
            <w:tcBorders>
              <w:top w:val="nil"/>
              <w:left w:val="single" w:sz="4" w:space="0" w:color="FFFFFF" w:themeColor="background1"/>
              <w:bottom w:val="nil"/>
              <w:right w:val="nil"/>
            </w:tcBorders>
            <w:vAlign w:val="center"/>
          </w:tcPr>
          <w:p w14:paraId="1E385021" w14:textId="79822937" w:rsidR="00BB2B8C" w:rsidRPr="00BB2B8C" w:rsidRDefault="00BB2B8C" w:rsidP="00BB2B8C">
            <w:pPr>
              <w:spacing w:before="60" w:after="60"/>
              <w:jc w:val="right"/>
              <w:rPr>
                <w:rFonts w:cs="Arial"/>
                <w:bCs/>
                <w:sz w:val="16"/>
                <w:szCs w:val="16"/>
              </w:rPr>
            </w:pPr>
            <w:r w:rsidRPr="00BB2B8C">
              <w:rPr>
                <w:rFonts w:cs="Arial"/>
                <w:bCs/>
                <w:color w:val="000000"/>
                <w:sz w:val="16"/>
                <w:szCs w:val="16"/>
              </w:rPr>
              <w:t>264 985 418</w:t>
            </w:r>
          </w:p>
        </w:tc>
      </w:tr>
      <w:tr w:rsidR="00BB2B8C" w:rsidRPr="00124B5D" w14:paraId="3D46BB56" w14:textId="77777777" w:rsidTr="00A839CC">
        <w:trPr>
          <w:trHeight w:val="59"/>
        </w:trPr>
        <w:tc>
          <w:tcPr>
            <w:tcW w:w="1276" w:type="dxa"/>
            <w:tcBorders>
              <w:top w:val="nil"/>
              <w:left w:val="nil"/>
              <w:bottom w:val="nil"/>
              <w:right w:val="single" w:sz="4" w:space="0" w:color="FFFFFF" w:themeColor="background1"/>
            </w:tcBorders>
            <w:shd w:val="clear" w:color="auto" w:fill="00B0F0"/>
            <w:vAlign w:val="center"/>
          </w:tcPr>
          <w:p w14:paraId="0D2F94B1" w14:textId="75114916" w:rsidR="00BB2B8C" w:rsidRPr="00BB4F21" w:rsidRDefault="00BB2B8C" w:rsidP="00BB2B8C">
            <w:pPr>
              <w:spacing w:before="60" w:after="60"/>
              <w:jc w:val="center"/>
              <w:rPr>
                <w:rFonts w:cs="Arial"/>
                <w:bCs/>
                <w:sz w:val="16"/>
                <w:szCs w:val="16"/>
              </w:rPr>
            </w:pPr>
            <w:r w:rsidRPr="00BB4F21">
              <w:rPr>
                <w:rFonts w:cs="Arial"/>
                <w:bCs/>
                <w:color w:val="000000"/>
                <w:sz w:val="16"/>
                <w:szCs w:val="16"/>
              </w:rPr>
              <w:t>Belgia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6807F7" w14:textId="332DBE2A"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3067B61" w14:textId="7CE51DC2" w:rsidR="00BB2B8C" w:rsidRPr="00BB4F21" w:rsidRDefault="00BB2B8C" w:rsidP="00BB2B8C">
            <w:pPr>
              <w:spacing w:before="60" w:after="60"/>
              <w:jc w:val="right"/>
              <w:rPr>
                <w:rFonts w:cs="Arial"/>
                <w:sz w:val="16"/>
                <w:szCs w:val="16"/>
              </w:rPr>
            </w:pPr>
            <w:r w:rsidRPr="00BB4F21">
              <w:rPr>
                <w:rFonts w:cs="Arial"/>
                <w:color w:val="000000"/>
                <w:sz w:val="16"/>
                <w:szCs w:val="16"/>
              </w:rPr>
              <w:t>174 574 335</w:t>
            </w:r>
          </w:p>
        </w:tc>
        <w:tc>
          <w:tcPr>
            <w:tcW w:w="851" w:type="dxa"/>
            <w:tcBorders>
              <w:top w:val="nil"/>
              <w:left w:val="single" w:sz="4" w:space="0" w:color="FFFFFF" w:themeColor="background1"/>
              <w:bottom w:val="nil"/>
              <w:right w:val="nil"/>
            </w:tcBorders>
            <w:shd w:val="clear" w:color="auto" w:fill="00B0F0"/>
            <w:vAlign w:val="center"/>
          </w:tcPr>
          <w:p w14:paraId="1AB7FA67" w14:textId="7CB386C5" w:rsidR="00BB2B8C" w:rsidRPr="00BB4F21" w:rsidRDefault="00BB2B8C" w:rsidP="00BB2B8C">
            <w:pPr>
              <w:spacing w:before="60" w:after="60"/>
              <w:jc w:val="right"/>
              <w:rPr>
                <w:rFonts w:cs="Arial"/>
                <w:bCs/>
                <w:sz w:val="16"/>
                <w:szCs w:val="16"/>
              </w:rPr>
            </w:pPr>
            <w:r w:rsidRPr="00BB4F21">
              <w:rPr>
                <w:rFonts w:cs="Arial"/>
                <w:color w:val="000000"/>
                <w:sz w:val="16"/>
                <w:szCs w:val="16"/>
              </w:rPr>
              <w:t>40</w:t>
            </w:r>
          </w:p>
        </w:tc>
        <w:tc>
          <w:tcPr>
            <w:tcW w:w="1417" w:type="dxa"/>
            <w:tcBorders>
              <w:top w:val="nil"/>
              <w:left w:val="single" w:sz="4" w:space="0" w:color="FFFFFF" w:themeColor="background1"/>
              <w:bottom w:val="nil"/>
              <w:right w:val="nil"/>
            </w:tcBorders>
            <w:shd w:val="clear" w:color="auto" w:fill="00B0F0"/>
            <w:vAlign w:val="center"/>
          </w:tcPr>
          <w:p w14:paraId="1F0E03CF" w14:textId="0E4637F8" w:rsidR="00BB2B8C" w:rsidRPr="00BB4F21" w:rsidRDefault="00BB2B8C" w:rsidP="00BB2B8C">
            <w:pPr>
              <w:spacing w:before="60" w:after="60"/>
              <w:jc w:val="right"/>
              <w:rPr>
                <w:rFonts w:cs="Arial"/>
                <w:bCs/>
                <w:sz w:val="16"/>
                <w:szCs w:val="16"/>
              </w:rPr>
            </w:pPr>
            <w:r w:rsidRPr="00BB4F21">
              <w:rPr>
                <w:rFonts w:cs="Arial"/>
                <w:color w:val="000000"/>
                <w:sz w:val="16"/>
                <w:szCs w:val="16"/>
              </w:rPr>
              <w:t>94 644 576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B4CD20" w14:textId="36DDD712" w:rsidR="00BB2B8C" w:rsidRPr="00BB4F21" w:rsidRDefault="00BB2B8C" w:rsidP="00BB2B8C">
            <w:pPr>
              <w:spacing w:before="60" w:after="60"/>
              <w:jc w:val="right"/>
              <w:rPr>
                <w:rFonts w:cs="Arial"/>
                <w:bCs/>
                <w:sz w:val="16"/>
                <w:szCs w:val="16"/>
              </w:rPr>
            </w:pPr>
            <w:r w:rsidRPr="00BB4F21">
              <w:rPr>
                <w:rFonts w:cs="Arial"/>
                <w:color w:val="000000"/>
                <w:sz w:val="16"/>
                <w:szCs w:val="16"/>
              </w:rPr>
              <w:t>9</w:t>
            </w:r>
          </w:p>
        </w:tc>
        <w:tc>
          <w:tcPr>
            <w:tcW w:w="1417" w:type="dxa"/>
            <w:tcBorders>
              <w:top w:val="nil"/>
              <w:left w:val="single" w:sz="4" w:space="0" w:color="FFFFFF" w:themeColor="background1"/>
              <w:bottom w:val="nil"/>
              <w:right w:val="nil"/>
            </w:tcBorders>
            <w:shd w:val="clear" w:color="auto" w:fill="00B0F0"/>
            <w:vAlign w:val="center"/>
          </w:tcPr>
          <w:p w14:paraId="6E2E35EA" w14:textId="7790AD4B" w:rsidR="00BB2B8C" w:rsidRPr="00BB4F21" w:rsidRDefault="00BB2B8C" w:rsidP="00BB2B8C">
            <w:pPr>
              <w:spacing w:before="60" w:after="60"/>
              <w:jc w:val="right"/>
              <w:rPr>
                <w:rFonts w:cs="Arial"/>
                <w:bCs/>
                <w:sz w:val="16"/>
                <w:szCs w:val="16"/>
              </w:rPr>
            </w:pPr>
            <w:r w:rsidRPr="00BB4F21">
              <w:rPr>
                <w:rFonts w:cs="Arial"/>
                <w:color w:val="000000"/>
                <w:sz w:val="16"/>
                <w:szCs w:val="16"/>
              </w:rPr>
              <w:t>84 318 868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DD7446B" w14:textId="117412ED" w:rsidR="00BB2B8C" w:rsidRPr="00BB2B8C" w:rsidRDefault="00BB2B8C" w:rsidP="00BB2B8C">
            <w:pPr>
              <w:spacing w:before="60" w:after="60"/>
              <w:jc w:val="right"/>
              <w:rPr>
                <w:rFonts w:cs="Arial"/>
                <w:bCs/>
                <w:sz w:val="16"/>
                <w:szCs w:val="16"/>
              </w:rPr>
            </w:pPr>
            <w:r w:rsidRPr="00BB2B8C">
              <w:rPr>
                <w:rFonts w:cs="Arial"/>
                <w:bCs/>
                <w:color w:val="000000"/>
                <w:sz w:val="16"/>
                <w:szCs w:val="16"/>
              </w:rPr>
              <w:t>50</w:t>
            </w:r>
          </w:p>
        </w:tc>
        <w:tc>
          <w:tcPr>
            <w:tcW w:w="1417" w:type="dxa"/>
            <w:tcBorders>
              <w:top w:val="nil"/>
              <w:left w:val="single" w:sz="4" w:space="0" w:color="FFFFFF" w:themeColor="background1"/>
              <w:bottom w:val="nil"/>
              <w:right w:val="nil"/>
            </w:tcBorders>
            <w:shd w:val="clear" w:color="auto" w:fill="00B0F0"/>
            <w:vAlign w:val="center"/>
          </w:tcPr>
          <w:p w14:paraId="4668CB29" w14:textId="2D06CFF6" w:rsidR="00BB2B8C" w:rsidRPr="00BB2B8C" w:rsidRDefault="00BB2B8C" w:rsidP="00BB2B8C">
            <w:pPr>
              <w:spacing w:before="60" w:after="60"/>
              <w:jc w:val="right"/>
              <w:rPr>
                <w:rFonts w:cs="Arial"/>
                <w:bCs/>
                <w:sz w:val="16"/>
                <w:szCs w:val="16"/>
              </w:rPr>
            </w:pPr>
            <w:r w:rsidRPr="00BB2B8C">
              <w:rPr>
                <w:rFonts w:cs="Arial"/>
                <w:bCs/>
                <w:color w:val="000000"/>
                <w:sz w:val="16"/>
                <w:szCs w:val="16"/>
              </w:rPr>
              <w:t>353 537 780</w:t>
            </w:r>
          </w:p>
        </w:tc>
      </w:tr>
      <w:tr w:rsidR="00BB2B8C" w:rsidRPr="00124B5D" w14:paraId="57371F7C" w14:textId="77777777" w:rsidTr="00A839CC">
        <w:trPr>
          <w:trHeight w:val="106"/>
        </w:trPr>
        <w:tc>
          <w:tcPr>
            <w:tcW w:w="1276" w:type="dxa"/>
            <w:tcBorders>
              <w:top w:val="nil"/>
              <w:left w:val="nil"/>
              <w:bottom w:val="nil"/>
              <w:right w:val="single" w:sz="4" w:space="0" w:color="FFFFFF" w:themeColor="background1"/>
            </w:tcBorders>
            <w:vAlign w:val="center"/>
          </w:tcPr>
          <w:p w14:paraId="5D8DAB1B" w14:textId="04551BB3" w:rsidR="00BB2B8C" w:rsidRPr="00BB4F21" w:rsidRDefault="00BB2B8C" w:rsidP="00BB2B8C">
            <w:pPr>
              <w:spacing w:before="60" w:after="60"/>
              <w:jc w:val="center"/>
              <w:rPr>
                <w:rFonts w:cs="Arial"/>
                <w:bCs/>
                <w:sz w:val="16"/>
                <w:szCs w:val="16"/>
              </w:rPr>
            </w:pPr>
            <w:r w:rsidRPr="00BB4F21">
              <w:rPr>
                <w:rFonts w:cs="Arial"/>
                <w:bCs/>
                <w:color w:val="000000"/>
                <w:sz w:val="16"/>
                <w:szCs w:val="16"/>
              </w:rPr>
              <w:t>Bułgaria</w:t>
            </w:r>
          </w:p>
        </w:tc>
        <w:tc>
          <w:tcPr>
            <w:tcW w:w="851" w:type="dxa"/>
            <w:tcBorders>
              <w:top w:val="nil"/>
              <w:left w:val="single" w:sz="4" w:space="0" w:color="FFFFFF" w:themeColor="background1"/>
              <w:bottom w:val="nil"/>
              <w:right w:val="single" w:sz="4" w:space="0" w:color="FFFFFF" w:themeColor="background1"/>
            </w:tcBorders>
            <w:vAlign w:val="center"/>
          </w:tcPr>
          <w:p w14:paraId="1EEA14FC" w14:textId="31C59D5F"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1533C9C9" w14:textId="643F431C"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ED0ED5F" w14:textId="766DBE98"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302F4F0C" w14:textId="55472215"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21F84AD0" w14:textId="50144278"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4D5AE407" w14:textId="3446E863" w:rsidR="00BB2B8C" w:rsidRPr="00BB4F21" w:rsidRDefault="00BB2B8C" w:rsidP="00BB2B8C">
            <w:pPr>
              <w:spacing w:before="60" w:after="60"/>
              <w:jc w:val="right"/>
              <w:rPr>
                <w:rFonts w:cs="Arial"/>
                <w:bCs/>
                <w:sz w:val="16"/>
                <w:szCs w:val="16"/>
              </w:rPr>
            </w:pPr>
            <w:r w:rsidRPr="00BB4F21">
              <w:rPr>
                <w:rFonts w:cs="Arial"/>
                <w:color w:val="000000"/>
                <w:sz w:val="16"/>
                <w:szCs w:val="16"/>
              </w:rPr>
              <w:t>1 113 400</w:t>
            </w:r>
          </w:p>
        </w:tc>
        <w:tc>
          <w:tcPr>
            <w:tcW w:w="851" w:type="dxa"/>
            <w:tcBorders>
              <w:top w:val="nil"/>
              <w:left w:val="single" w:sz="4" w:space="0" w:color="FFFFFF" w:themeColor="background1"/>
              <w:bottom w:val="nil"/>
              <w:right w:val="single" w:sz="4" w:space="0" w:color="FFFFFF" w:themeColor="background1"/>
            </w:tcBorders>
            <w:vAlign w:val="center"/>
          </w:tcPr>
          <w:p w14:paraId="32EAD1E9" w14:textId="7964DD3E" w:rsidR="00BB2B8C" w:rsidRPr="00BB2B8C" w:rsidRDefault="00BB2B8C" w:rsidP="00BB2B8C">
            <w:pPr>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vAlign w:val="center"/>
          </w:tcPr>
          <w:p w14:paraId="7583AAAA" w14:textId="2D887B4D" w:rsidR="00BB2B8C" w:rsidRPr="00BB2B8C" w:rsidRDefault="00BB2B8C" w:rsidP="00BB2B8C">
            <w:pPr>
              <w:spacing w:before="60" w:after="60"/>
              <w:jc w:val="right"/>
              <w:rPr>
                <w:rFonts w:cs="Arial"/>
                <w:bCs/>
                <w:sz w:val="16"/>
                <w:szCs w:val="16"/>
              </w:rPr>
            </w:pPr>
            <w:r w:rsidRPr="00BB2B8C">
              <w:rPr>
                <w:rFonts w:cs="Arial"/>
                <w:bCs/>
                <w:color w:val="000000"/>
                <w:sz w:val="16"/>
                <w:szCs w:val="16"/>
              </w:rPr>
              <w:t>1 113 400</w:t>
            </w:r>
          </w:p>
        </w:tc>
      </w:tr>
      <w:tr w:rsidR="00BB2B8C" w:rsidRPr="00124B5D" w14:paraId="091D2CE2" w14:textId="77777777" w:rsidTr="00A839CC">
        <w:trPr>
          <w:trHeight w:val="151"/>
        </w:trPr>
        <w:tc>
          <w:tcPr>
            <w:tcW w:w="1276" w:type="dxa"/>
            <w:tcBorders>
              <w:top w:val="nil"/>
              <w:left w:val="nil"/>
              <w:bottom w:val="nil"/>
              <w:right w:val="single" w:sz="4" w:space="0" w:color="FFFFFF" w:themeColor="background1"/>
            </w:tcBorders>
            <w:shd w:val="clear" w:color="auto" w:fill="00B0F0"/>
            <w:vAlign w:val="center"/>
          </w:tcPr>
          <w:p w14:paraId="78BFCF41" w14:textId="1F4DDBEF" w:rsidR="00BB2B8C" w:rsidRPr="00BB4F21" w:rsidRDefault="00BB2B8C" w:rsidP="00BB2B8C">
            <w:pPr>
              <w:spacing w:before="60" w:after="60"/>
              <w:jc w:val="center"/>
              <w:rPr>
                <w:rFonts w:cs="Arial"/>
                <w:bCs/>
                <w:sz w:val="16"/>
                <w:szCs w:val="16"/>
              </w:rPr>
            </w:pPr>
            <w:r w:rsidRPr="00BB4F21">
              <w:rPr>
                <w:rFonts w:cs="Arial"/>
                <w:bCs/>
                <w:color w:val="000000"/>
                <w:sz w:val="16"/>
                <w:szCs w:val="16"/>
              </w:rPr>
              <w:t>Chiny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7EF070" w14:textId="08FB1B9F" w:rsidR="00BB2B8C" w:rsidRPr="00BB4F21" w:rsidRDefault="00BB2B8C" w:rsidP="00BB2B8C">
            <w:pPr>
              <w:spacing w:before="60" w:after="60"/>
              <w:jc w:val="right"/>
              <w:rPr>
                <w:rFonts w:cs="Arial"/>
                <w:sz w:val="16"/>
                <w:szCs w:val="16"/>
              </w:rPr>
            </w:pPr>
            <w:r w:rsidRPr="00BB4F21">
              <w:rPr>
                <w:rFonts w:cs="Arial"/>
                <w:color w:val="000000"/>
                <w:sz w:val="16"/>
                <w:szCs w:val="16"/>
              </w:rPr>
              <w:t>2</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DDAF465" w14:textId="245F544B" w:rsidR="00BB2B8C" w:rsidRPr="00BB4F21" w:rsidRDefault="00BB2B8C" w:rsidP="00BB2B8C">
            <w:pPr>
              <w:spacing w:before="60" w:after="60"/>
              <w:jc w:val="right"/>
              <w:rPr>
                <w:rFonts w:cs="Arial"/>
                <w:sz w:val="16"/>
                <w:szCs w:val="16"/>
              </w:rPr>
            </w:pPr>
            <w:r w:rsidRPr="00BB4F21">
              <w:rPr>
                <w:rFonts w:cs="Arial"/>
                <w:color w:val="000000"/>
                <w:sz w:val="16"/>
                <w:szCs w:val="16"/>
              </w:rPr>
              <w:t>1 034 442 823</w:t>
            </w:r>
          </w:p>
        </w:tc>
        <w:tc>
          <w:tcPr>
            <w:tcW w:w="851" w:type="dxa"/>
            <w:tcBorders>
              <w:top w:val="nil"/>
              <w:left w:val="single" w:sz="4" w:space="0" w:color="FFFFFF" w:themeColor="background1"/>
              <w:bottom w:val="nil"/>
              <w:right w:val="nil"/>
            </w:tcBorders>
            <w:shd w:val="clear" w:color="auto" w:fill="00B0F0"/>
            <w:vAlign w:val="center"/>
          </w:tcPr>
          <w:p w14:paraId="43DE9C56" w14:textId="78F588BF"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4E205A52" w14:textId="672BEB4D"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A35D5C7" w14:textId="6B11A831"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E5712E8" w14:textId="0E172738"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D7CF911" w14:textId="67EF027A" w:rsidR="00BB2B8C" w:rsidRPr="00BB2B8C" w:rsidRDefault="00BB2B8C" w:rsidP="00BB2B8C">
            <w:pPr>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7E6BD026" w14:textId="573EE36D" w:rsidR="00BB2B8C" w:rsidRPr="00BB2B8C" w:rsidRDefault="00BB2B8C" w:rsidP="00BB2B8C">
            <w:pPr>
              <w:spacing w:before="60" w:after="60"/>
              <w:jc w:val="right"/>
              <w:rPr>
                <w:rFonts w:cs="Arial"/>
                <w:bCs/>
                <w:sz w:val="16"/>
                <w:szCs w:val="16"/>
              </w:rPr>
            </w:pPr>
            <w:r w:rsidRPr="00BB2B8C">
              <w:rPr>
                <w:rFonts w:cs="Arial"/>
                <w:bCs/>
                <w:color w:val="000000"/>
                <w:sz w:val="16"/>
                <w:szCs w:val="16"/>
              </w:rPr>
              <w:t>1 034 442 823</w:t>
            </w:r>
          </w:p>
        </w:tc>
      </w:tr>
      <w:tr w:rsidR="00BB2B8C" w:rsidRPr="00124B5D" w14:paraId="6BFA95DC" w14:textId="77777777" w:rsidTr="00A839CC">
        <w:trPr>
          <w:trHeight w:val="78"/>
        </w:trPr>
        <w:tc>
          <w:tcPr>
            <w:tcW w:w="1276" w:type="dxa"/>
            <w:tcBorders>
              <w:top w:val="nil"/>
              <w:left w:val="nil"/>
              <w:bottom w:val="nil"/>
              <w:right w:val="single" w:sz="4" w:space="0" w:color="FFFFFF" w:themeColor="background1"/>
            </w:tcBorders>
            <w:vAlign w:val="center"/>
          </w:tcPr>
          <w:p w14:paraId="3F4F7CF2" w14:textId="78317731" w:rsidR="00BB2B8C" w:rsidRPr="00BB4F21" w:rsidRDefault="00BB2B8C" w:rsidP="00BB2B8C">
            <w:pPr>
              <w:spacing w:before="60" w:after="60"/>
              <w:jc w:val="center"/>
              <w:rPr>
                <w:rFonts w:cs="Arial"/>
                <w:bCs/>
                <w:sz w:val="16"/>
                <w:szCs w:val="16"/>
              </w:rPr>
            </w:pPr>
            <w:r w:rsidRPr="00BB4F21">
              <w:rPr>
                <w:rFonts w:cs="Arial"/>
                <w:bCs/>
                <w:color w:val="000000"/>
                <w:sz w:val="16"/>
                <w:szCs w:val="16"/>
              </w:rPr>
              <w:t>Czechy</w:t>
            </w:r>
          </w:p>
        </w:tc>
        <w:tc>
          <w:tcPr>
            <w:tcW w:w="851" w:type="dxa"/>
            <w:tcBorders>
              <w:top w:val="nil"/>
              <w:left w:val="single" w:sz="4" w:space="0" w:color="FFFFFF" w:themeColor="background1"/>
              <w:bottom w:val="nil"/>
              <w:right w:val="single" w:sz="4" w:space="0" w:color="FFFFFF" w:themeColor="background1"/>
            </w:tcBorders>
            <w:vAlign w:val="center"/>
          </w:tcPr>
          <w:p w14:paraId="67791525" w14:textId="1CB68A9D"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vAlign w:val="center"/>
          </w:tcPr>
          <w:p w14:paraId="2B2D265A" w14:textId="21F06D99" w:rsidR="00BB2B8C" w:rsidRPr="00BB4F21" w:rsidRDefault="00BB2B8C" w:rsidP="00BB2B8C">
            <w:pPr>
              <w:spacing w:before="60" w:after="60"/>
              <w:jc w:val="right"/>
              <w:rPr>
                <w:rFonts w:cs="Arial"/>
                <w:sz w:val="16"/>
                <w:szCs w:val="16"/>
              </w:rPr>
            </w:pPr>
            <w:r w:rsidRPr="00BB4F21">
              <w:rPr>
                <w:rFonts w:cs="Arial"/>
                <w:color w:val="000000"/>
                <w:sz w:val="16"/>
                <w:szCs w:val="16"/>
              </w:rPr>
              <w:t>2 490 800</w:t>
            </w:r>
          </w:p>
        </w:tc>
        <w:tc>
          <w:tcPr>
            <w:tcW w:w="851" w:type="dxa"/>
            <w:tcBorders>
              <w:top w:val="nil"/>
              <w:left w:val="single" w:sz="4" w:space="0" w:color="FFFFFF" w:themeColor="background1"/>
              <w:bottom w:val="nil"/>
              <w:right w:val="nil"/>
            </w:tcBorders>
            <w:vAlign w:val="center"/>
          </w:tcPr>
          <w:p w14:paraId="7E251279" w14:textId="1FA941C7" w:rsidR="00BB2B8C" w:rsidRPr="00BB4F21" w:rsidRDefault="00BB2B8C" w:rsidP="00BB2B8C">
            <w:pPr>
              <w:spacing w:before="60" w:after="60"/>
              <w:jc w:val="right"/>
              <w:rPr>
                <w:rFonts w:cs="Arial"/>
                <w:bCs/>
                <w:sz w:val="16"/>
                <w:szCs w:val="16"/>
              </w:rPr>
            </w:pPr>
            <w:r w:rsidRPr="00BB4F21">
              <w:rPr>
                <w:rFonts w:cs="Arial"/>
                <w:color w:val="000000"/>
                <w:sz w:val="16"/>
                <w:szCs w:val="16"/>
              </w:rPr>
              <w:t>63</w:t>
            </w:r>
          </w:p>
        </w:tc>
        <w:tc>
          <w:tcPr>
            <w:tcW w:w="1417" w:type="dxa"/>
            <w:tcBorders>
              <w:top w:val="nil"/>
              <w:left w:val="single" w:sz="4" w:space="0" w:color="FFFFFF" w:themeColor="background1"/>
              <w:bottom w:val="nil"/>
              <w:right w:val="nil"/>
            </w:tcBorders>
            <w:vAlign w:val="center"/>
          </w:tcPr>
          <w:p w14:paraId="6F42AC9B" w14:textId="3B4D35CD" w:rsidR="00BB2B8C" w:rsidRPr="00BB4F21" w:rsidRDefault="00BB2B8C" w:rsidP="00BB2B8C">
            <w:pPr>
              <w:spacing w:before="60" w:after="60"/>
              <w:jc w:val="right"/>
              <w:rPr>
                <w:rFonts w:cs="Arial"/>
                <w:bCs/>
                <w:sz w:val="16"/>
                <w:szCs w:val="16"/>
              </w:rPr>
            </w:pPr>
            <w:r w:rsidRPr="00BB4F21">
              <w:rPr>
                <w:rFonts w:cs="Arial"/>
                <w:color w:val="000000"/>
                <w:sz w:val="16"/>
                <w:szCs w:val="16"/>
              </w:rPr>
              <w:t>271 336 321</w:t>
            </w:r>
          </w:p>
        </w:tc>
        <w:tc>
          <w:tcPr>
            <w:tcW w:w="851" w:type="dxa"/>
            <w:tcBorders>
              <w:top w:val="nil"/>
              <w:left w:val="single" w:sz="4" w:space="0" w:color="FFFFFF" w:themeColor="background1"/>
              <w:bottom w:val="nil"/>
              <w:right w:val="single" w:sz="4" w:space="0" w:color="FFFFFF" w:themeColor="background1"/>
            </w:tcBorders>
            <w:vAlign w:val="center"/>
          </w:tcPr>
          <w:p w14:paraId="6BE4B1DD" w14:textId="1C15D064" w:rsidR="00BB2B8C" w:rsidRPr="00BB4F21" w:rsidRDefault="00BB2B8C" w:rsidP="00BB2B8C">
            <w:pPr>
              <w:spacing w:before="60" w:after="60"/>
              <w:jc w:val="right"/>
              <w:rPr>
                <w:rFonts w:cs="Arial"/>
                <w:bCs/>
                <w:sz w:val="16"/>
                <w:szCs w:val="16"/>
              </w:rPr>
            </w:pPr>
            <w:r w:rsidRPr="00BB4F21">
              <w:rPr>
                <w:rFonts w:cs="Arial"/>
                <w:color w:val="000000"/>
                <w:sz w:val="16"/>
                <w:szCs w:val="16"/>
              </w:rPr>
              <w:t>13</w:t>
            </w:r>
          </w:p>
        </w:tc>
        <w:tc>
          <w:tcPr>
            <w:tcW w:w="1417" w:type="dxa"/>
            <w:tcBorders>
              <w:top w:val="nil"/>
              <w:left w:val="single" w:sz="4" w:space="0" w:color="FFFFFF" w:themeColor="background1"/>
              <w:bottom w:val="nil"/>
              <w:right w:val="nil"/>
            </w:tcBorders>
            <w:vAlign w:val="center"/>
          </w:tcPr>
          <w:p w14:paraId="3F88595B" w14:textId="0BE85AC8" w:rsidR="00BB2B8C" w:rsidRPr="00BB4F21" w:rsidRDefault="00BB2B8C" w:rsidP="00BB2B8C">
            <w:pPr>
              <w:spacing w:before="60" w:after="60"/>
              <w:jc w:val="right"/>
              <w:rPr>
                <w:rFonts w:cs="Arial"/>
                <w:bCs/>
                <w:sz w:val="16"/>
                <w:szCs w:val="16"/>
              </w:rPr>
            </w:pPr>
            <w:r w:rsidRPr="00BB4F21">
              <w:rPr>
                <w:rFonts w:cs="Arial"/>
                <w:color w:val="000000"/>
                <w:sz w:val="16"/>
                <w:szCs w:val="16"/>
              </w:rPr>
              <w:t>47 824 729</w:t>
            </w:r>
          </w:p>
        </w:tc>
        <w:tc>
          <w:tcPr>
            <w:tcW w:w="851" w:type="dxa"/>
            <w:tcBorders>
              <w:top w:val="nil"/>
              <w:left w:val="single" w:sz="4" w:space="0" w:color="FFFFFF" w:themeColor="background1"/>
              <w:bottom w:val="nil"/>
              <w:right w:val="single" w:sz="4" w:space="0" w:color="FFFFFF" w:themeColor="background1"/>
            </w:tcBorders>
            <w:vAlign w:val="center"/>
          </w:tcPr>
          <w:p w14:paraId="6CD8CB74" w14:textId="22A7B606" w:rsidR="00BB2B8C" w:rsidRPr="00BB2B8C" w:rsidRDefault="00BB2B8C" w:rsidP="00BB2B8C">
            <w:pPr>
              <w:spacing w:before="60" w:after="60"/>
              <w:jc w:val="right"/>
              <w:rPr>
                <w:rFonts w:cs="Arial"/>
                <w:bCs/>
                <w:sz w:val="16"/>
                <w:szCs w:val="16"/>
              </w:rPr>
            </w:pPr>
            <w:r w:rsidRPr="00BB2B8C">
              <w:rPr>
                <w:rFonts w:cs="Arial"/>
                <w:bCs/>
                <w:color w:val="000000"/>
                <w:sz w:val="16"/>
                <w:szCs w:val="16"/>
              </w:rPr>
              <w:t>77</w:t>
            </w:r>
          </w:p>
        </w:tc>
        <w:tc>
          <w:tcPr>
            <w:tcW w:w="1417" w:type="dxa"/>
            <w:tcBorders>
              <w:top w:val="nil"/>
              <w:left w:val="single" w:sz="4" w:space="0" w:color="FFFFFF" w:themeColor="background1"/>
              <w:bottom w:val="nil"/>
              <w:right w:val="nil"/>
            </w:tcBorders>
            <w:vAlign w:val="center"/>
          </w:tcPr>
          <w:p w14:paraId="54020159" w14:textId="16FECD76" w:rsidR="00BB2B8C" w:rsidRPr="00BB2B8C" w:rsidRDefault="00BB2B8C" w:rsidP="00BB2B8C">
            <w:pPr>
              <w:spacing w:before="60" w:after="60"/>
              <w:jc w:val="right"/>
              <w:rPr>
                <w:rFonts w:cs="Arial"/>
                <w:bCs/>
                <w:sz w:val="16"/>
                <w:szCs w:val="16"/>
              </w:rPr>
            </w:pPr>
            <w:r w:rsidRPr="00BB2B8C">
              <w:rPr>
                <w:rFonts w:cs="Arial"/>
                <w:bCs/>
                <w:color w:val="000000"/>
                <w:sz w:val="16"/>
                <w:szCs w:val="16"/>
              </w:rPr>
              <w:t>321 651 850</w:t>
            </w:r>
          </w:p>
        </w:tc>
      </w:tr>
      <w:tr w:rsidR="00BB2B8C" w:rsidRPr="00124B5D" w14:paraId="34861631"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075413A9" w14:textId="6BEF64F3" w:rsidR="00BB2B8C" w:rsidRPr="00BB4F21" w:rsidRDefault="00BB2B8C" w:rsidP="00BB2B8C">
            <w:pPr>
              <w:spacing w:before="60" w:after="60"/>
              <w:jc w:val="center"/>
              <w:rPr>
                <w:rFonts w:cs="Arial"/>
                <w:bCs/>
                <w:sz w:val="16"/>
                <w:szCs w:val="16"/>
              </w:rPr>
            </w:pPr>
            <w:r w:rsidRPr="00BB4F21">
              <w:rPr>
                <w:rFonts w:cs="Arial"/>
                <w:bCs/>
                <w:color w:val="000000"/>
                <w:sz w:val="16"/>
                <w:szCs w:val="16"/>
              </w:rPr>
              <w:t>Dania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F82DBE3" w14:textId="5A00A441"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A3A74B9" w14:textId="65AA33B1" w:rsidR="00BB2B8C" w:rsidRPr="00BB4F21" w:rsidRDefault="00BB2B8C" w:rsidP="00BB2B8C">
            <w:pPr>
              <w:spacing w:before="60" w:after="60"/>
              <w:jc w:val="right"/>
              <w:rPr>
                <w:rFonts w:cs="Arial"/>
                <w:bCs/>
                <w:sz w:val="16"/>
                <w:szCs w:val="16"/>
              </w:rPr>
            </w:pPr>
            <w:r w:rsidRPr="00BB4F21">
              <w:rPr>
                <w:rFonts w:cs="Arial"/>
                <w:color w:val="000000"/>
                <w:sz w:val="16"/>
                <w:szCs w:val="16"/>
              </w:rPr>
              <w:t>240 522 176</w:t>
            </w:r>
          </w:p>
        </w:tc>
        <w:tc>
          <w:tcPr>
            <w:tcW w:w="851" w:type="dxa"/>
            <w:tcBorders>
              <w:top w:val="nil"/>
              <w:left w:val="single" w:sz="4" w:space="0" w:color="FFFFFF" w:themeColor="background1"/>
              <w:bottom w:val="nil"/>
              <w:right w:val="nil"/>
            </w:tcBorders>
            <w:shd w:val="clear" w:color="auto" w:fill="00B0F0"/>
            <w:vAlign w:val="center"/>
          </w:tcPr>
          <w:p w14:paraId="4F9CAE34" w14:textId="4D8E0496"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48D3E84B" w14:textId="5C52CEEC" w:rsidR="00BB2B8C" w:rsidRPr="00BB4F21" w:rsidRDefault="00BB2B8C" w:rsidP="00BB2B8C">
            <w:pPr>
              <w:keepNext/>
              <w:spacing w:before="60" w:after="60"/>
              <w:jc w:val="right"/>
              <w:rPr>
                <w:rFonts w:cs="Arial"/>
                <w:bCs/>
                <w:sz w:val="16"/>
                <w:szCs w:val="16"/>
              </w:rPr>
            </w:pPr>
            <w:r w:rsidRPr="00BB4F21">
              <w:rPr>
                <w:rFonts w:cs="Arial"/>
                <w:color w:val="000000"/>
                <w:sz w:val="16"/>
                <w:szCs w:val="16"/>
              </w:rPr>
              <w:t>6 923 356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4835234" w14:textId="6FD92B2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4</w:t>
            </w:r>
          </w:p>
        </w:tc>
        <w:tc>
          <w:tcPr>
            <w:tcW w:w="1417" w:type="dxa"/>
            <w:tcBorders>
              <w:top w:val="nil"/>
              <w:left w:val="single" w:sz="4" w:space="0" w:color="FFFFFF" w:themeColor="background1"/>
              <w:bottom w:val="nil"/>
              <w:right w:val="nil"/>
            </w:tcBorders>
            <w:shd w:val="clear" w:color="auto" w:fill="00B0F0"/>
            <w:vAlign w:val="center"/>
          </w:tcPr>
          <w:p w14:paraId="3CF536E9" w14:textId="7959FEFD"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21 465 754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6484DF5" w14:textId="481CF412"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8</w:t>
            </w:r>
          </w:p>
        </w:tc>
        <w:tc>
          <w:tcPr>
            <w:tcW w:w="1417" w:type="dxa"/>
            <w:tcBorders>
              <w:top w:val="nil"/>
              <w:left w:val="single" w:sz="4" w:space="0" w:color="FFFFFF" w:themeColor="background1"/>
              <w:bottom w:val="nil"/>
              <w:right w:val="nil"/>
            </w:tcBorders>
            <w:shd w:val="clear" w:color="auto" w:fill="00B0F0"/>
            <w:vAlign w:val="center"/>
          </w:tcPr>
          <w:p w14:paraId="3EE36428" w14:textId="19CC25F7"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268 911 286</w:t>
            </w:r>
          </w:p>
        </w:tc>
      </w:tr>
      <w:tr w:rsidR="00BB2B8C" w:rsidRPr="00124B5D" w14:paraId="3F146FB9" w14:textId="77777777" w:rsidTr="00A839CC">
        <w:trPr>
          <w:trHeight w:val="78"/>
        </w:trPr>
        <w:tc>
          <w:tcPr>
            <w:tcW w:w="1276" w:type="dxa"/>
            <w:tcBorders>
              <w:top w:val="nil"/>
              <w:left w:val="nil"/>
              <w:bottom w:val="nil"/>
              <w:right w:val="single" w:sz="4" w:space="0" w:color="FFFFFF" w:themeColor="background1"/>
            </w:tcBorders>
            <w:vAlign w:val="center"/>
          </w:tcPr>
          <w:p w14:paraId="170E3078" w14:textId="0C981F2F" w:rsidR="00BB2B8C" w:rsidRPr="00BB4F21" w:rsidRDefault="00BB2B8C" w:rsidP="00BB2B8C">
            <w:pPr>
              <w:spacing w:before="60" w:after="60"/>
              <w:jc w:val="center"/>
              <w:rPr>
                <w:rFonts w:cs="Arial"/>
                <w:bCs/>
                <w:sz w:val="16"/>
                <w:szCs w:val="16"/>
              </w:rPr>
            </w:pPr>
            <w:r w:rsidRPr="00BB4F21">
              <w:rPr>
                <w:rFonts w:cs="Arial"/>
                <w:bCs/>
                <w:color w:val="000000"/>
                <w:sz w:val="16"/>
                <w:szCs w:val="16"/>
              </w:rPr>
              <w:t>Estonia</w:t>
            </w:r>
          </w:p>
        </w:tc>
        <w:tc>
          <w:tcPr>
            <w:tcW w:w="851" w:type="dxa"/>
            <w:tcBorders>
              <w:top w:val="nil"/>
              <w:left w:val="single" w:sz="4" w:space="0" w:color="FFFFFF" w:themeColor="background1"/>
              <w:bottom w:val="nil"/>
              <w:right w:val="single" w:sz="4" w:space="0" w:color="FFFFFF" w:themeColor="background1"/>
            </w:tcBorders>
            <w:vAlign w:val="center"/>
          </w:tcPr>
          <w:p w14:paraId="166616D5" w14:textId="4F94E5B8"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6586956F" w14:textId="00AE5593"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71FBC08" w14:textId="42F0F782" w:rsidR="00BB2B8C" w:rsidRPr="00BB4F21" w:rsidRDefault="00BB2B8C" w:rsidP="00BB2B8C">
            <w:pPr>
              <w:spacing w:before="60" w:after="60"/>
              <w:jc w:val="right"/>
              <w:rPr>
                <w:rFonts w:cs="Arial"/>
                <w:bCs/>
                <w:sz w:val="16"/>
                <w:szCs w:val="16"/>
              </w:rPr>
            </w:pPr>
            <w:r w:rsidRPr="00BB4F21">
              <w:rPr>
                <w:rFonts w:cs="Arial"/>
                <w:color w:val="000000"/>
                <w:sz w:val="16"/>
                <w:szCs w:val="16"/>
              </w:rPr>
              <w:t>5</w:t>
            </w:r>
          </w:p>
        </w:tc>
        <w:tc>
          <w:tcPr>
            <w:tcW w:w="1417" w:type="dxa"/>
            <w:tcBorders>
              <w:top w:val="nil"/>
              <w:left w:val="single" w:sz="4" w:space="0" w:color="FFFFFF" w:themeColor="background1"/>
              <w:bottom w:val="nil"/>
              <w:right w:val="nil"/>
            </w:tcBorders>
            <w:vAlign w:val="center"/>
          </w:tcPr>
          <w:p w14:paraId="177D70A6" w14:textId="3154213A" w:rsidR="00BB2B8C" w:rsidRPr="00BB4F21" w:rsidRDefault="00BB2B8C" w:rsidP="00BB2B8C">
            <w:pPr>
              <w:spacing w:before="60" w:after="60"/>
              <w:jc w:val="right"/>
              <w:rPr>
                <w:rFonts w:cs="Arial"/>
                <w:bCs/>
                <w:sz w:val="16"/>
                <w:szCs w:val="16"/>
              </w:rPr>
            </w:pPr>
            <w:r w:rsidRPr="00BB4F21">
              <w:rPr>
                <w:rFonts w:cs="Arial"/>
                <w:color w:val="000000"/>
                <w:sz w:val="16"/>
                <w:szCs w:val="16"/>
              </w:rPr>
              <w:t>4 017 765</w:t>
            </w:r>
          </w:p>
        </w:tc>
        <w:tc>
          <w:tcPr>
            <w:tcW w:w="851" w:type="dxa"/>
            <w:tcBorders>
              <w:top w:val="nil"/>
              <w:left w:val="single" w:sz="4" w:space="0" w:color="FFFFFF" w:themeColor="background1"/>
              <w:bottom w:val="nil"/>
              <w:right w:val="single" w:sz="4" w:space="0" w:color="FFFFFF" w:themeColor="background1"/>
            </w:tcBorders>
            <w:vAlign w:val="center"/>
          </w:tcPr>
          <w:p w14:paraId="42575FF4" w14:textId="038B703C"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2D08F0B4" w14:textId="175D7030" w:rsidR="00BB2B8C" w:rsidRPr="00BB4F21" w:rsidRDefault="00BB2B8C" w:rsidP="00BB2B8C">
            <w:pPr>
              <w:spacing w:before="60" w:after="60"/>
              <w:jc w:val="right"/>
              <w:rPr>
                <w:rFonts w:cs="Arial"/>
                <w:bCs/>
                <w:sz w:val="16"/>
                <w:szCs w:val="16"/>
              </w:rPr>
            </w:pPr>
            <w:r w:rsidRPr="00BB4F21">
              <w:rPr>
                <w:rFonts w:cs="Arial"/>
                <w:color w:val="000000"/>
                <w:sz w:val="16"/>
                <w:szCs w:val="16"/>
              </w:rPr>
              <w:t>66 804 000</w:t>
            </w:r>
          </w:p>
        </w:tc>
        <w:tc>
          <w:tcPr>
            <w:tcW w:w="851" w:type="dxa"/>
            <w:tcBorders>
              <w:top w:val="nil"/>
              <w:left w:val="single" w:sz="4" w:space="0" w:color="FFFFFF" w:themeColor="background1"/>
              <w:bottom w:val="nil"/>
              <w:right w:val="single" w:sz="4" w:space="0" w:color="FFFFFF" w:themeColor="background1"/>
            </w:tcBorders>
            <w:vAlign w:val="center"/>
          </w:tcPr>
          <w:p w14:paraId="4B06F3CB" w14:textId="47D93CE3" w:rsidR="00BB2B8C" w:rsidRPr="00BB2B8C" w:rsidRDefault="00BB2B8C" w:rsidP="00BB2B8C">
            <w:pPr>
              <w:spacing w:before="60" w:after="60"/>
              <w:jc w:val="right"/>
              <w:rPr>
                <w:rFonts w:cs="Arial"/>
                <w:bCs/>
                <w:sz w:val="16"/>
                <w:szCs w:val="16"/>
              </w:rPr>
            </w:pPr>
            <w:r w:rsidRPr="00BB2B8C">
              <w:rPr>
                <w:rFonts w:cs="Arial"/>
                <w:bCs/>
                <w:color w:val="000000"/>
                <w:sz w:val="16"/>
                <w:szCs w:val="16"/>
              </w:rPr>
              <w:t>6</w:t>
            </w:r>
          </w:p>
        </w:tc>
        <w:tc>
          <w:tcPr>
            <w:tcW w:w="1417" w:type="dxa"/>
            <w:tcBorders>
              <w:top w:val="nil"/>
              <w:left w:val="single" w:sz="4" w:space="0" w:color="FFFFFF" w:themeColor="background1"/>
              <w:bottom w:val="nil"/>
              <w:right w:val="nil"/>
            </w:tcBorders>
            <w:vAlign w:val="center"/>
          </w:tcPr>
          <w:p w14:paraId="64C39ABF" w14:textId="7401A73B" w:rsidR="00BB2B8C" w:rsidRPr="00BB2B8C" w:rsidRDefault="00BB2B8C" w:rsidP="00BB2B8C">
            <w:pPr>
              <w:spacing w:before="60" w:after="60"/>
              <w:jc w:val="right"/>
              <w:rPr>
                <w:rFonts w:cs="Arial"/>
                <w:bCs/>
                <w:sz w:val="16"/>
                <w:szCs w:val="16"/>
              </w:rPr>
            </w:pPr>
            <w:r w:rsidRPr="00BB2B8C">
              <w:rPr>
                <w:rFonts w:cs="Arial"/>
                <w:bCs/>
                <w:color w:val="000000"/>
                <w:sz w:val="16"/>
                <w:szCs w:val="16"/>
              </w:rPr>
              <w:t>70 821 765</w:t>
            </w:r>
          </w:p>
        </w:tc>
      </w:tr>
      <w:tr w:rsidR="00BB2B8C" w:rsidRPr="00124B5D" w14:paraId="6E442FFE"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0E0ED9FC" w14:textId="76A5925D" w:rsidR="00BB2B8C" w:rsidRPr="00BB4F21" w:rsidRDefault="00BB2B8C" w:rsidP="00BB2B8C">
            <w:pPr>
              <w:spacing w:before="60" w:after="60"/>
              <w:jc w:val="center"/>
              <w:rPr>
                <w:rFonts w:cs="Arial"/>
                <w:bCs/>
                <w:sz w:val="16"/>
                <w:szCs w:val="16"/>
              </w:rPr>
            </w:pPr>
            <w:r w:rsidRPr="00BB4F21">
              <w:rPr>
                <w:rFonts w:cs="Arial"/>
                <w:bCs/>
                <w:color w:val="000000"/>
                <w:sz w:val="16"/>
                <w:szCs w:val="16"/>
              </w:rPr>
              <w:t>Finlandia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ACD60DA" w14:textId="35E4DFBF"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4096FE6" w14:textId="36FFDC11"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916A930" w14:textId="48ECEB14" w:rsidR="00BB2B8C" w:rsidRPr="00BB4F21" w:rsidRDefault="00BB2B8C" w:rsidP="00BB2B8C">
            <w:pPr>
              <w:keepNext/>
              <w:spacing w:before="60" w:after="60"/>
              <w:jc w:val="right"/>
              <w:rPr>
                <w:rFonts w:cs="Arial"/>
                <w:bCs/>
                <w:sz w:val="16"/>
                <w:szCs w:val="16"/>
              </w:rPr>
            </w:pPr>
            <w:r w:rsidRPr="00BB4F21">
              <w:rPr>
                <w:rFonts w:cs="Arial"/>
                <w:color w:val="000000"/>
                <w:sz w:val="16"/>
                <w:szCs w:val="16"/>
              </w:rPr>
              <w:t>4</w:t>
            </w:r>
          </w:p>
        </w:tc>
        <w:tc>
          <w:tcPr>
            <w:tcW w:w="1417" w:type="dxa"/>
            <w:tcBorders>
              <w:top w:val="nil"/>
              <w:left w:val="single" w:sz="4" w:space="0" w:color="FFFFFF" w:themeColor="background1"/>
              <w:bottom w:val="nil"/>
              <w:right w:val="nil"/>
            </w:tcBorders>
            <w:shd w:val="clear" w:color="auto" w:fill="00B0F0"/>
            <w:vAlign w:val="center"/>
          </w:tcPr>
          <w:p w14:paraId="55658016" w14:textId="44032A51" w:rsidR="00BB2B8C" w:rsidRPr="00BB4F21" w:rsidRDefault="00BB2B8C" w:rsidP="00BB2B8C">
            <w:pPr>
              <w:keepNext/>
              <w:spacing w:before="60" w:after="60"/>
              <w:jc w:val="right"/>
              <w:rPr>
                <w:rFonts w:cs="Arial"/>
                <w:bCs/>
                <w:sz w:val="16"/>
                <w:szCs w:val="16"/>
              </w:rPr>
            </w:pPr>
            <w:r w:rsidRPr="00BB4F21">
              <w:rPr>
                <w:rFonts w:cs="Arial"/>
                <w:color w:val="000000"/>
                <w:sz w:val="16"/>
                <w:szCs w:val="16"/>
              </w:rPr>
              <w:t>95 656 126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1EFAA2E" w14:textId="2790CED7"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5260668D" w14:textId="25F61B3C"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74AFFC5" w14:textId="7E79694F"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4</w:t>
            </w:r>
          </w:p>
        </w:tc>
        <w:tc>
          <w:tcPr>
            <w:tcW w:w="1417" w:type="dxa"/>
            <w:tcBorders>
              <w:top w:val="nil"/>
              <w:left w:val="single" w:sz="4" w:space="0" w:color="FFFFFF" w:themeColor="background1"/>
              <w:bottom w:val="nil"/>
              <w:right w:val="nil"/>
            </w:tcBorders>
            <w:shd w:val="clear" w:color="auto" w:fill="00B0F0"/>
            <w:vAlign w:val="center"/>
          </w:tcPr>
          <w:p w14:paraId="73430C85" w14:textId="12C9E4AD"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95 656 126</w:t>
            </w:r>
          </w:p>
        </w:tc>
      </w:tr>
      <w:tr w:rsidR="00BB2B8C" w:rsidRPr="00124B5D" w14:paraId="5325772B" w14:textId="77777777" w:rsidTr="00A839CC">
        <w:trPr>
          <w:trHeight w:val="78"/>
        </w:trPr>
        <w:tc>
          <w:tcPr>
            <w:tcW w:w="1276" w:type="dxa"/>
            <w:tcBorders>
              <w:top w:val="nil"/>
              <w:left w:val="nil"/>
              <w:bottom w:val="nil"/>
              <w:right w:val="single" w:sz="4" w:space="0" w:color="FFFFFF" w:themeColor="background1"/>
            </w:tcBorders>
            <w:vAlign w:val="center"/>
          </w:tcPr>
          <w:p w14:paraId="48F20FD8" w14:textId="487B4D47" w:rsidR="00BB2B8C" w:rsidRPr="00BB4F21" w:rsidRDefault="00BB2B8C" w:rsidP="00BB2B8C">
            <w:pPr>
              <w:spacing w:before="60" w:after="60"/>
              <w:jc w:val="center"/>
              <w:rPr>
                <w:rFonts w:cs="Arial"/>
                <w:bCs/>
                <w:sz w:val="16"/>
                <w:szCs w:val="16"/>
              </w:rPr>
            </w:pPr>
            <w:r w:rsidRPr="00BB4F21">
              <w:rPr>
                <w:rFonts w:cs="Arial"/>
                <w:bCs/>
                <w:color w:val="000000"/>
                <w:sz w:val="16"/>
                <w:szCs w:val="16"/>
              </w:rPr>
              <w:t>Francja</w:t>
            </w:r>
          </w:p>
        </w:tc>
        <w:tc>
          <w:tcPr>
            <w:tcW w:w="851" w:type="dxa"/>
            <w:tcBorders>
              <w:top w:val="nil"/>
              <w:left w:val="single" w:sz="4" w:space="0" w:color="FFFFFF" w:themeColor="background1"/>
              <w:bottom w:val="nil"/>
              <w:right w:val="single" w:sz="4" w:space="0" w:color="FFFFFF" w:themeColor="background1"/>
            </w:tcBorders>
            <w:vAlign w:val="center"/>
          </w:tcPr>
          <w:p w14:paraId="0956B2F4" w14:textId="6F70E550"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5E1BFA2E" w14:textId="798FA236"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25991BF" w14:textId="3D506D31" w:rsidR="00BB2B8C" w:rsidRPr="00BB4F21" w:rsidRDefault="00BB2B8C" w:rsidP="00BB2B8C">
            <w:pPr>
              <w:spacing w:before="60" w:after="60"/>
              <w:jc w:val="right"/>
              <w:rPr>
                <w:rFonts w:cs="Arial"/>
                <w:bCs/>
                <w:sz w:val="16"/>
                <w:szCs w:val="16"/>
              </w:rPr>
            </w:pPr>
            <w:r w:rsidRPr="00BB4F21">
              <w:rPr>
                <w:rFonts w:cs="Arial"/>
                <w:color w:val="000000"/>
                <w:sz w:val="16"/>
                <w:szCs w:val="16"/>
              </w:rPr>
              <w:t>19</w:t>
            </w:r>
          </w:p>
        </w:tc>
        <w:tc>
          <w:tcPr>
            <w:tcW w:w="1417" w:type="dxa"/>
            <w:tcBorders>
              <w:top w:val="nil"/>
              <w:left w:val="single" w:sz="4" w:space="0" w:color="FFFFFF" w:themeColor="background1"/>
              <w:bottom w:val="nil"/>
              <w:right w:val="nil"/>
            </w:tcBorders>
            <w:vAlign w:val="center"/>
          </w:tcPr>
          <w:p w14:paraId="713940D3" w14:textId="5179C6D1" w:rsidR="00BB2B8C" w:rsidRPr="00BB4F21" w:rsidRDefault="00BB2B8C" w:rsidP="00BB2B8C">
            <w:pPr>
              <w:spacing w:before="60" w:after="60"/>
              <w:jc w:val="right"/>
              <w:rPr>
                <w:rFonts w:cs="Arial"/>
                <w:bCs/>
                <w:sz w:val="16"/>
                <w:szCs w:val="16"/>
              </w:rPr>
            </w:pPr>
            <w:r w:rsidRPr="00BB4F21">
              <w:rPr>
                <w:rFonts w:cs="Arial"/>
                <w:color w:val="000000"/>
                <w:sz w:val="16"/>
                <w:szCs w:val="16"/>
              </w:rPr>
              <w:t>1 583 917 973</w:t>
            </w:r>
          </w:p>
        </w:tc>
        <w:tc>
          <w:tcPr>
            <w:tcW w:w="851" w:type="dxa"/>
            <w:tcBorders>
              <w:top w:val="nil"/>
              <w:left w:val="single" w:sz="4" w:space="0" w:color="FFFFFF" w:themeColor="background1"/>
              <w:bottom w:val="nil"/>
              <w:right w:val="single" w:sz="4" w:space="0" w:color="FFFFFF" w:themeColor="background1"/>
            </w:tcBorders>
            <w:vAlign w:val="center"/>
          </w:tcPr>
          <w:p w14:paraId="3C78C2FB" w14:textId="47CD2DD8" w:rsidR="00BB2B8C" w:rsidRPr="00BB4F21" w:rsidRDefault="00BB2B8C" w:rsidP="00BB2B8C">
            <w:pPr>
              <w:spacing w:before="60" w:after="60"/>
              <w:jc w:val="right"/>
              <w:rPr>
                <w:rFonts w:cs="Arial"/>
                <w:bCs/>
                <w:sz w:val="16"/>
                <w:szCs w:val="16"/>
              </w:rPr>
            </w:pPr>
            <w:r w:rsidRPr="00BB4F21">
              <w:rPr>
                <w:rFonts w:cs="Arial"/>
                <w:color w:val="000000"/>
                <w:sz w:val="16"/>
                <w:szCs w:val="16"/>
              </w:rPr>
              <w:t>23</w:t>
            </w:r>
          </w:p>
        </w:tc>
        <w:tc>
          <w:tcPr>
            <w:tcW w:w="1417" w:type="dxa"/>
            <w:tcBorders>
              <w:top w:val="nil"/>
              <w:left w:val="single" w:sz="4" w:space="0" w:color="FFFFFF" w:themeColor="background1"/>
              <w:bottom w:val="nil"/>
              <w:right w:val="nil"/>
            </w:tcBorders>
            <w:vAlign w:val="center"/>
          </w:tcPr>
          <w:p w14:paraId="7FDCF969" w14:textId="2564A338" w:rsidR="00BB2B8C" w:rsidRPr="00BB4F21" w:rsidRDefault="00BB2B8C" w:rsidP="00BB2B8C">
            <w:pPr>
              <w:spacing w:before="60" w:after="60"/>
              <w:jc w:val="right"/>
              <w:rPr>
                <w:rFonts w:cs="Arial"/>
                <w:bCs/>
                <w:sz w:val="16"/>
                <w:szCs w:val="16"/>
              </w:rPr>
            </w:pPr>
            <w:r w:rsidRPr="00BB4F21">
              <w:rPr>
                <w:rFonts w:cs="Arial"/>
                <w:color w:val="000000"/>
                <w:sz w:val="16"/>
                <w:szCs w:val="16"/>
              </w:rPr>
              <w:t>4 566 339 784</w:t>
            </w:r>
          </w:p>
        </w:tc>
        <w:tc>
          <w:tcPr>
            <w:tcW w:w="851" w:type="dxa"/>
            <w:tcBorders>
              <w:top w:val="nil"/>
              <w:left w:val="single" w:sz="4" w:space="0" w:color="FFFFFF" w:themeColor="background1"/>
              <w:bottom w:val="nil"/>
              <w:right w:val="single" w:sz="4" w:space="0" w:color="FFFFFF" w:themeColor="background1"/>
            </w:tcBorders>
            <w:vAlign w:val="center"/>
          </w:tcPr>
          <w:p w14:paraId="5B59365E" w14:textId="665686C1" w:rsidR="00BB2B8C" w:rsidRPr="00BB2B8C" w:rsidRDefault="00BB2B8C" w:rsidP="00BB2B8C">
            <w:pPr>
              <w:spacing w:before="60" w:after="60"/>
              <w:jc w:val="right"/>
              <w:rPr>
                <w:rFonts w:cs="Arial"/>
                <w:bCs/>
                <w:sz w:val="16"/>
                <w:szCs w:val="16"/>
              </w:rPr>
            </w:pPr>
            <w:r w:rsidRPr="00BB2B8C">
              <w:rPr>
                <w:rFonts w:cs="Arial"/>
                <w:bCs/>
                <w:color w:val="000000"/>
                <w:sz w:val="16"/>
                <w:szCs w:val="16"/>
              </w:rPr>
              <w:t>42</w:t>
            </w:r>
          </w:p>
        </w:tc>
        <w:tc>
          <w:tcPr>
            <w:tcW w:w="1417" w:type="dxa"/>
            <w:tcBorders>
              <w:top w:val="nil"/>
              <w:left w:val="single" w:sz="4" w:space="0" w:color="FFFFFF" w:themeColor="background1"/>
              <w:bottom w:val="nil"/>
              <w:right w:val="nil"/>
            </w:tcBorders>
            <w:vAlign w:val="center"/>
          </w:tcPr>
          <w:p w14:paraId="08878C7E" w14:textId="207C8603" w:rsidR="00BB2B8C" w:rsidRPr="00BB2B8C" w:rsidRDefault="00BB2B8C" w:rsidP="00BB2B8C">
            <w:pPr>
              <w:spacing w:before="60" w:after="60"/>
              <w:jc w:val="right"/>
              <w:rPr>
                <w:rFonts w:cs="Arial"/>
                <w:bCs/>
                <w:sz w:val="16"/>
                <w:szCs w:val="16"/>
              </w:rPr>
            </w:pPr>
            <w:r w:rsidRPr="00BB2B8C">
              <w:rPr>
                <w:rFonts w:cs="Arial"/>
                <w:bCs/>
                <w:color w:val="000000"/>
                <w:sz w:val="16"/>
                <w:szCs w:val="16"/>
              </w:rPr>
              <w:t>6 150 257 757</w:t>
            </w:r>
          </w:p>
        </w:tc>
      </w:tr>
      <w:tr w:rsidR="00BB2B8C" w:rsidRPr="00124B5D" w14:paraId="1856F5A6"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5F598BB4" w14:textId="20D65677" w:rsidR="00BB2B8C" w:rsidRPr="00BB4F21" w:rsidRDefault="00BB2B8C" w:rsidP="00BB2B8C">
            <w:pPr>
              <w:spacing w:before="60" w:after="60"/>
              <w:jc w:val="center"/>
              <w:rPr>
                <w:rFonts w:cs="Arial"/>
                <w:bCs/>
                <w:sz w:val="16"/>
                <w:szCs w:val="16"/>
              </w:rPr>
            </w:pPr>
            <w:r w:rsidRPr="00BB4F21">
              <w:rPr>
                <w:rFonts w:cs="Arial"/>
                <w:bCs/>
                <w:color w:val="000000"/>
                <w:sz w:val="16"/>
                <w:szCs w:val="16"/>
              </w:rPr>
              <w:t>Grecja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951657D" w14:textId="26B91CC5"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2AF31DF" w14:textId="0F6462CC"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618FA19" w14:textId="59BFD2C5"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73F72DD" w14:textId="2F05AA9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b.d.</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2663B4" w14:textId="076ECA63"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43CB9495" w14:textId="4056F5C8"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13 561 212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40FE7B3" w14:textId="642DEA25"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2138BA7C" w14:textId="507C6B1A"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13 561 212</w:t>
            </w:r>
          </w:p>
        </w:tc>
      </w:tr>
      <w:tr w:rsidR="00BB2B8C" w:rsidRPr="00124B5D" w14:paraId="1E68CDCE" w14:textId="77777777" w:rsidTr="00A839CC">
        <w:trPr>
          <w:trHeight w:val="78"/>
        </w:trPr>
        <w:tc>
          <w:tcPr>
            <w:tcW w:w="1276" w:type="dxa"/>
            <w:tcBorders>
              <w:top w:val="nil"/>
              <w:left w:val="nil"/>
              <w:bottom w:val="nil"/>
              <w:right w:val="single" w:sz="4" w:space="0" w:color="FFFFFF" w:themeColor="background1"/>
            </w:tcBorders>
            <w:vAlign w:val="center"/>
          </w:tcPr>
          <w:p w14:paraId="5B1AA989" w14:textId="631FCDE0" w:rsidR="00BB2B8C" w:rsidRPr="00BB4F21" w:rsidRDefault="00BB2B8C" w:rsidP="00BB2B8C">
            <w:pPr>
              <w:spacing w:before="60" w:after="60"/>
              <w:jc w:val="center"/>
              <w:rPr>
                <w:rFonts w:cs="Arial"/>
                <w:bCs/>
                <w:sz w:val="16"/>
                <w:szCs w:val="16"/>
              </w:rPr>
            </w:pPr>
            <w:r w:rsidRPr="00BB4F21">
              <w:rPr>
                <w:rFonts w:cs="Arial"/>
                <w:bCs/>
                <w:color w:val="000000"/>
                <w:sz w:val="16"/>
                <w:szCs w:val="16"/>
              </w:rPr>
              <w:t>Hiszpania</w:t>
            </w:r>
          </w:p>
        </w:tc>
        <w:tc>
          <w:tcPr>
            <w:tcW w:w="851" w:type="dxa"/>
            <w:tcBorders>
              <w:top w:val="nil"/>
              <w:left w:val="single" w:sz="4" w:space="0" w:color="FFFFFF" w:themeColor="background1"/>
              <w:bottom w:val="nil"/>
              <w:right w:val="single" w:sz="4" w:space="0" w:color="FFFFFF" w:themeColor="background1"/>
            </w:tcBorders>
            <w:vAlign w:val="center"/>
          </w:tcPr>
          <w:p w14:paraId="28E6CA82" w14:textId="5629EA82" w:rsidR="00BB2B8C" w:rsidRPr="00BB4F21" w:rsidRDefault="00BB2B8C" w:rsidP="00BB2B8C">
            <w:pPr>
              <w:spacing w:before="60" w:after="60"/>
              <w:jc w:val="right"/>
              <w:rPr>
                <w:rFonts w:cs="Arial"/>
                <w:sz w:val="16"/>
                <w:szCs w:val="16"/>
              </w:rPr>
            </w:pPr>
            <w:r w:rsidRPr="00BB4F21">
              <w:rPr>
                <w:rFonts w:cs="Arial"/>
                <w:color w:val="000000"/>
                <w:sz w:val="16"/>
                <w:szCs w:val="16"/>
              </w:rPr>
              <w:t>5</w:t>
            </w:r>
          </w:p>
        </w:tc>
        <w:tc>
          <w:tcPr>
            <w:tcW w:w="1275" w:type="dxa"/>
            <w:tcBorders>
              <w:top w:val="nil"/>
              <w:left w:val="single" w:sz="4" w:space="0" w:color="FFFFFF" w:themeColor="background1"/>
              <w:bottom w:val="nil"/>
              <w:right w:val="single" w:sz="4" w:space="0" w:color="FFFFFF" w:themeColor="background1"/>
            </w:tcBorders>
            <w:vAlign w:val="center"/>
          </w:tcPr>
          <w:p w14:paraId="38F3999F" w14:textId="211658CB" w:rsidR="00BB2B8C" w:rsidRPr="00BB4F21" w:rsidRDefault="00BB2B8C" w:rsidP="00BB2B8C">
            <w:pPr>
              <w:spacing w:before="60" w:after="60"/>
              <w:jc w:val="right"/>
              <w:rPr>
                <w:rFonts w:cs="Arial"/>
                <w:sz w:val="16"/>
                <w:szCs w:val="16"/>
              </w:rPr>
            </w:pPr>
            <w:r w:rsidRPr="00BB4F21">
              <w:rPr>
                <w:rFonts w:cs="Arial"/>
                <w:color w:val="000000"/>
                <w:sz w:val="16"/>
                <w:szCs w:val="16"/>
              </w:rPr>
              <w:t>216 138 785</w:t>
            </w:r>
          </w:p>
        </w:tc>
        <w:tc>
          <w:tcPr>
            <w:tcW w:w="851" w:type="dxa"/>
            <w:tcBorders>
              <w:top w:val="nil"/>
              <w:left w:val="single" w:sz="4" w:space="0" w:color="FFFFFF" w:themeColor="background1"/>
              <w:bottom w:val="nil"/>
              <w:right w:val="nil"/>
            </w:tcBorders>
            <w:vAlign w:val="center"/>
          </w:tcPr>
          <w:p w14:paraId="74592BAB" w14:textId="715915DF"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1BED4732" w14:textId="01A8F9B6" w:rsidR="00BB2B8C" w:rsidRPr="00BB4F21" w:rsidRDefault="00BB2B8C" w:rsidP="00BB2B8C">
            <w:pPr>
              <w:spacing w:before="60" w:after="60"/>
              <w:jc w:val="right"/>
              <w:rPr>
                <w:rFonts w:cs="Arial"/>
                <w:bCs/>
                <w:sz w:val="16"/>
                <w:szCs w:val="16"/>
              </w:rPr>
            </w:pPr>
            <w:r w:rsidRPr="00BB4F21">
              <w:rPr>
                <w:rFonts w:cs="Arial"/>
                <w:color w:val="000000"/>
                <w:sz w:val="16"/>
                <w:szCs w:val="16"/>
              </w:rPr>
              <w:t>19 690 511</w:t>
            </w:r>
          </w:p>
        </w:tc>
        <w:tc>
          <w:tcPr>
            <w:tcW w:w="851" w:type="dxa"/>
            <w:tcBorders>
              <w:top w:val="nil"/>
              <w:left w:val="single" w:sz="4" w:space="0" w:color="FFFFFF" w:themeColor="background1"/>
              <w:bottom w:val="nil"/>
              <w:right w:val="single" w:sz="4" w:space="0" w:color="FFFFFF" w:themeColor="background1"/>
            </w:tcBorders>
            <w:vAlign w:val="center"/>
          </w:tcPr>
          <w:p w14:paraId="78D0F73E" w14:textId="4A806B98" w:rsidR="00BB2B8C" w:rsidRPr="00BB4F21" w:rsidRDefault="00BB2B8C" w:rsidP="00BB2B8C">
            <w:pPr>
              <w:spacing w:before="60" w:after="60"/>
              <w:jc w:val="right"/>
              <w:rPr>
                <w:rFonts w:cs="Arial"/>
                <w:bCs/>
                <w:sz w:val="16"/>
                <w:szCs w:val="16"/>
              </w:rPr>
            </w:pPr>
            <w:r w:rsidRPr="00BB4F21">
              <w:rPr>
                <w:rFonts w:cs="Arial"/>
                <w:color w:val="000000"/>
                <w:sz w:val="16"/>
                <w:szCs w:val="16"/>
              </w:rPr>
              <w:t>6</w:t>
            </w:r>
          </w:p>
        </w:tc>
        <w:tc>
          <w:tcPr>
            <w:tcW w:w="1417" w:type="dxa"/>
            <w:tcBorders>
              <w:top w:val="nil"/>
              <w:left w:val="single" w:sz="4" w:space="0" w:color="FFFFFF" w:themeColor="background1"/>
              <w:bottom w:val="nil"/>
              <w:right w:val="nil"/>
            </w:tcBorders>
            <w:vAlign w:val="center"/>
          </w:tcPr>
          <w:p w14:paraId="03A9FA91" w14:textId="3BAC9411" w:rsidR="00BB2B8C" w:rsidRPr="00BB4F21" w:rsidRDefault="00BB2B8C" w:rsidP="00BB2B8C">
            <w:pPr>
              <w:spacing w:before="60" w:after="60"/>
              <w:jc w:val="right"/>
              <w:rPr>
                <w:rFonts w:cs="Arial"/>
                <w:bCs/>
                <w:sz w:val="16"/>
                <w:szCs w:val="16"/>
              </w:rPr>
            </w:pPr>
            <w:r w:rsidRPr="00BB4F21">
              <w:rPr>
                <w:rFonts w:cs="Arial"/>
                <w:color w:val="000000"/>
                <w:sz w:val="16"/>
                <w:szCs w:val="16"/>
              </w:rPr>
              <w:t>7 359 154 552</w:t>
            </w:r>
          </w:p>
        </w:tc>
        <w:tc>
          <w:tcPr>
            <w:tcW w:w="851" w:type="dxa"/>
            <w:tcBorders>
              <w:top w:val="nil"/>
              <w:left w:val="single" w:sz="4" w:space="0" w:color="FFFFFF" w:themeColor="background1"/>
              <w:bottom w:val="nil"/>
              <w:right w:val="single" w:sz="4" w:space="0" w:color="FFFFFF" w:themeColor="background1"/>
            </w:tcBorders>
            <w:vAlign w:val="center"/>
          </w:tcPr>
          <w:p w14:paraId="2AFE35AA" w14:textId="5025A03B" w:rsidR="00BB2B8C" w:rsidRPr="00BB2B8C" w:rsidRDefault="00BB2B8C" w:rsidP="00BB2B8C">
            <w:pPr>
              <w:spacing w:before="60" w:after="60"/>
              <w:jc w:val="right"/>
              <w:rPr>
                <w:rFonts w:cs="Arial"/>
                <w:bCs/>
                <w:sz w:val="16"/>
                <w:szCs w:val="16"/>
              </w:rPr>
            </w:pPr>
            <w:r w:rsidRPr="00BB2B8C">
              <w:rPr>
                <w:rFonts w:cs="Arial"/>
                <w:bCs/>
                <w:color w:val="000000"/>
                <w:sz w:val="16"/>
                <w:szCs w:val="16"/>
              </w:rPr>
              <w:t>13</w:t>
            </w:r>
          </w:p>
        </w:tc>
        <w:tc>
          <w:tcPr>
            <w:tcW w:w="1417" w:type="dxa"/>
            <w:tcBorders>
              <w:top w:val="nil"/>
              <w:left w:val="single" w:sz="4" w:space="0" w:color="FFFFFF" w:themeColor="background1"/>
              <w:bottom w:val="nil"/>
              <w:right w:val="nil"/>
            </w:tcBorders>
            <w:vAlign w:val="center"/>
          </w:tcPr>
          <w:p w14:paraId="755D7BF1" w14:textId="4E80E4D4" w:rsidR="00BB2B8C" w:rsidRPr="00BB2B8C" w:rsidRDefault="00BB2B8C" w:rsidP="00BB2B8C">
            <w:pPr>
              <w:spacing w:before="60" w:after="60"/>
              <w:jc w:val="right"/>
              <w:rPr>
                <w:rFonts w:cs="Arial"/>
                <w:bCs/>
                <w:sz w:val="16"/>
                <w:szCs w:val="16"/>
              </w:rPr>
            </w:pPr>
            <w:r w:rsidRPr="00BB2B8C">
              <w:rPr>
                <w:rFonts w:cs="Arial"/>
                <w:bCs/>
                <w:color w:val="000000"/>
                <w:sz w:val="16"/>
                <w:szCs w:val="16"/>
              </w:rPr>
              <w:t>7 594 983 848</w:t>
            </w:r>
          </w:p>
        </w:tc>
      </w:tr>
      <w:tr w:rsidR="00BB2B8C" w:rsidRPr="00124B5D" w14:paraId="10838D74"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35AC180D" w14:textId="66B91A0E" w:rsidR="00BB2B8C" w:rsidRPr="00BB4F21" w:rsidRDefault="00BB2B8C" w:rsidP="00BB2B8C">
            <w:pPr>
              <w:spacing w:before="60" w:after="60"/>
              <w:jc w:val="center"/>
              <w:rPr>
                <w:rFonts w:cs="Arial"/>
                <w:bCs/>
                <w:sz w:val="16"/>
                <w:szCs w:val="16"/>
              </w:rPr>
            </w:pPr>
            <w:r w:rsidRPr="00BB4F21">
              <w:rPr>
                <w:rFonts w:cs="Arial"/>
                <w:bCs/>
                <w:color w:val="000000"/>
                <w:sz w:val="16"/>
                <w:szCs w:val="16"/>
              </w:rPr>
              <w:t>Irlandia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62377C0" w14:textId="18A9E5DC"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9B5D01A" w14:textId="12A62ED5"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0EFD36A3" w14:textId="662968A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325BFBE" w14:textId="5DA1634D"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29 839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A399C29" w14:textId="06B7F202"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F28BD52" w14:textId="26E53420"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8F39FF9" w14:textId="41D77A59"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54CDB3E" w14:textId="027D804D"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29 839</w:t>
            </w:r>
          </w:p>
        </w:tc>
      </w:tr>
      <w:tr w:rsidR="00BB2B8C" w:rsidRPr="00124B5D" w14:paraId="24A335E0" w14:textId="77777777" w:rsidTr="00A839CC">
        <w:trPr>
          <w:trHeight w:val="78"/>
        </w:trPr>
        <w:tc>
          <w:tcPr>
            <w:tcW w:w="1276" w:type="dxa"/>
            <w:tcBorders>
              <w:top w:val="nil"/>
              <w:left w:val="nil"/>
              <w:bottom w:val="nil"/>
              <w:right w:val="single" w:sz="4" w:space="0" w:color="FFFFFF" w:themeColor="background1"/>
            </w:tcBorders>
            <w:vAlign w:val="center"/>
          </w:tcPr>
          <w:p w14:paraId="21D649E6" w14:textId="136B727E" w:rsidR="00BB2B8C" w:rsidRPr="00BB4F21" w:rsidRDefault="00BB2B8C" w:rsidP="00BB2B8C">
            <w:pPr>
              <w:spacing w:before="60" w:after="60"/>
              <w:jc w:val="center"/>
              <w:rPr>
                <w:rFonts w:cs="Arial"/>
                <w:bCs/>
                <w:sz w:val="16"/>
                <w:szCs w:val="16"/>
              </w:rPr>
            </w:pPr>
            <w:r w:rsidRPr="00BB4F21">
              <w:rPr>
                <w:rFonts w:cs="Arial"/>
                <w:bCs/>
                <w:color w:val="000000"/>
                <w:sz w:val="16"/>
                <w:szCs w:val="16"/>
              </w:rPr>
              <w:t>Izrael</w:t>
            </w:r>
          </w:p>
        </w:tc>
        <w:tc>
          <w:tcPr>
            <w:tcW w:w="851" w:type="dxa"/>
            <w:tcBorders>
              <w:top w:val="nil"/>
              <w:left w:val="single" w:sz="4" w:space="0" w:color="FFFFFF" w:themeColor="background1"/>
              <w:bottom w:val="nil"/>
              <w:right w:val="single" w:sz="4" w:space="0" w:color="FFFFFF" w:themeColor="background1"/>
            </w:tcBorders>
            <w:vAlign w:val="center"/>
          </w:tcPr>
          <w:p w14:paraId="34DDBD38" w14:textId="7C988ADB"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39B0DDD1" w14:textId="052A6841"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513A77E9" w14:textId="1C14065F"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4B170F71" w14:textId="47451FA3" w:rsidR="00BB2B8C" w:rsidRPr="00BB4F21" w:rsidRDefault="00BB2B8C" w:rsidP="00BB2B8C">
            <w:pPr>
              <w:spacing w:before="60" w:after="60"/>
              <w:jc w:val="right"/>
              <w:rPr>
                <w:rFonts w:cs="Arial"/>
                <w:bCs/>
                <w:sz w:val="16"/>
                <w:szCs w:val="16"/>
              </w:rPr>
            </w:pPr>
            <w:r w:rsidRPr="00BB4F21">
              <w:rPr>
                <w:rFonts w:cs="Arial"/>
                <w:color w:val="000000"/>
                <w:sz w:val="16"/>
                <w:szCs w:val="16"/>
              </w:rPr>
              <w:t>226 672 622</w:t>
            </w:r>
          </w:p>
        </w:tc>
        <w:tc>
          <w:tcPr>
            <w:tcW w:w="851" w:type="dxa"/>
            <w:tcBorders>
              <w:top w:val="nil"/>
              <w:left w:val="single" w:sz="4" w:space="0" w:color="FFFFFF" w:themeColor="background1"/>
              <w:bottom w:val="nil"/>
              <w:right w:val="single" w:sz="4" w:space="0" w:color="FFFFFF" w:themeColor="background1"/>
            </w:tcBorders>
            <w:vAlign w:val="center"/>
          </w:tcPr>
          <w:p w14:paraId="4EB84E2C" w14:textId="41DB81BD" w:rsidR="00BB2B8C" w:rsidRPr="00BB4F21" w:rsidRDefault="00BB2B8C" w:rsidP="00BB2B8C">
            <w:pPr>
              <w:spacing w:before="60" w:after="60"/>
              <w:jc w:val="right"/>
              <w:rPr>
                <w:rFonts w:cs="Arial"/>
                <w:bCs/>
                <w:sz w:val="16"/>
                <w:szCs w:val="16"/>
              </w:rPr>
            </w:pPr>
            <w:r w:rsidRPr="00BB4F21">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0F9BCBF3" w14:textId="1D0CFB1E" w:rsidR="00BB2B8C" w:rsidRPr="00BB4F21" w:rsidRDefault="00BB2B8C" w:rsidP="00BB2B8C">
            <w:pPr>
              <w:spacing w:before="60" w:after="60"/>
              <w:jc w:val="right"/>
              <w:rPr>
                <w:rFonts w:cs="Arial"/>
                <w:bCs/>
                <w:sz w:val="16"/>
                <w:szCs w:val="16"/>
              </w:rPr>
            </w:pPr>
            <w:r w:rsidRPr="00BB4F21">
              <w:rPr>
                <w:rFonts w:cs="Arial"/>
                <w:color w:val="000000"/>
                <w:sz w:val="16"/>
                <w:szCs w:val="16"/>
              </w:rPr>
              <w:t>20 376 947</w:t>
            </w:r>
          </w:p>
        </w:tc>
        <w:tc>
          <w:tcPr>
            <w:tcW w:w="851" w:type="dxa"/>
            <w:tcBorders>
              <w:top w:val="nil"/>
              <w:left w:val="single" w:sz="4" w:space="0" w:color="FFFFFF" w:themeColor="background1"/>
              <w:bottom w:val="nil"/>
              <w:right w:val="single" w:sz="4" w:space="0" w:color="FFFFFF" w:themeColor="background1"/>
            </w:tcBorders>
            <w:vAlign w:val="center"/>
          </w:tcPr>
          <w:p w14:paraId="66EBD436" w14:textId="23AFC6E4" w:rsidR="00BB2B8C" w:rsidRPr="00BB2B8C" w:rsidRDefault="00BB2B8C" w:rsidP="00BB2B8C">
            <w:pPr>
              <w:spacing w:before="60" w:after="60"/>
              <w:jc w:val="right"/>
              <w:rPr>
                <w:rFonts w:cs="Arial"/>
                <w:bCs/>
                <w:sz w:val="16"/>
                <w:szCs w:val="16"/>
              </w:rPr>
            </w:pPr>
            <w:r w:rsidRPr="00BB2B8C">
              <w:rPr>
                <w:rFonts w:cs="Arial"/>
                <w:bCs/>
                <w:color w:val="000000"/>
                <w:sz w:val="16"/>
                <w:szCs w:val="16"/>
              </w:rPr>
              <w:t>4</w:t>
            </w:r>
          </w:p>
        </w:tc>
        <w:tc>
          <w:tcPr>
            <w:tcW w:w="1417" w:type="dxa"/>
            <w:tcBorders>
              <w:top w:val="nil"/>
              <w:left w:val="single" w:sz="4" w:space="0" w:color="FFFFFF" w:themeColor="background1"/>
              <w:bottom w:val="nil"/>
              <w:right w:val="nil"/>
            </w:tcBorders>
            <w:vAlign w:val="center"/>
          </w:tcPr>
          <w:p w14:paraId="0038F888" w14:textId="296DE628" w:rsidR="00BB2B8C" w:rsidRPr="00BB2B8C" w:rsidRDefault="00BB2B8C" w:rsidP="00BB2B8C">
            <w:pPr>
              <w:spacing w:before="60" w:after="60"/>
              <w:jc w:val="right"/>
              <w:rPr>
                <w:rFonts w:cs="Arial"/>
                <w:bCs/>
                <w:sz w:val="16"/>
                <w:szCs w:val="16"/>
              </w:rPr>
            </w:pPr>
            <w:r w:rsidRPr="00BB2B8C">
              <w:rPr>
                <w:rFonts w:cs="Arial"/>
                <w:bCs/>
                <w:color w:val="000000"/>
                <w:sz w:val="16"/>
                <w:szCs w:val="16"/>
              </w:rPr>
              <w:t>247 049 569</w:t>
            </w:r>
          </w:p>
        </w:tc>
      </w:tr>
      <w:tr w:rsidR="00BB2B8C" w:rsidRPr="00124B5D" w14:paraId="21194B74"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24569C42" w14:textId="160A5E01" w:rsidR="00BB2B8C" w:rsidRPr="00BB4F21" w:rsidRDefault="00BB2B8C" w:rsidP="00BB2B8C">
            <w:pPr>
              <w:spacing w:before="60" w:after="60"/>
              <w:jc w:val="center"/>
              <w:rPr>
                <w:rFonts w:cs="Arial"/>
                <w:bCs/>
                <w:sz w:val="16"/>
                <w:szCs w:val="16"/>
              </w:rPr>
            </w:pPr>
            <w:r w:rsidRPr="00BB4F21">
              <w:rPr>
                <w:rFonts w:cs="Arial"/>
                <w:bCs/>
                <w:color w:val="000000"/>
                <w:sz w:val="16"/>
                <w:szCs w:val="16"/>
              </w:rPr>
              <w:t>Japonia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9B55596" w14:textId="5D80C10C"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CA12B84" w14:textId="3C86C358"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3E0F407E" w14:textId="26C5175E"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A29FDEF" w14:textId="721E442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4 065 041</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7FFA3B2" w14:textId="6AAA1AD8"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5537D6C1" w14:textId="1CE2DF34"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A3683F3" w14:textId="78236864"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7870F94F" w14:textId="0168B8B2"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4 065 041</w:t>
            </w:r>
          </w:p>
        </w:tc>
      </w:tr>
      <w:tr w:rsidR="00BB2B8C" w:rsidRPr="00124B5D" w14:paraId="6EABEDD5" w14:textId="77777777" w:rsidTr="00A839CC">
        <w:trPr>
          <w:trHeight w:val="78"/>
        </w:trPr>
        <w:tc>
          <w:tcPr>
            <w:tcW w:w="1276" w:type="dxa"/>
            <w:tcBorders>
              <w:top w:val="nil"/>
              <w:left w:val="nil"/>
              <w:bottom w:val="nil"/>
              <w:right w:val="single" w:sz="4" w:space="0" w:color="FFFFFF" w:themeColor="background1"/>
            </w:tcBorders>
            <w:vAlign w:val="center"/>
          </w:tcPr>
          <w:p w14:paraId="62706F70" w14:textId="0E2A095B" w:rsidR="00BB2B8C" w:rsidRPr="00BB4F21" w:rsidRDefault="00BB2B8C" w:rsidP="00BB2B8C">
            <w:pPr>
              <w:spacing w:before="60" w:after="60"/>
              <w:jc w:val="center"/>
              <w:rPr>
                <w:rFonts w:cs="Arial"/>
                <w:bCs/>
                <w:sz w:val="16"/>
                <w:szCs w:val="16"/>
              </w:rPr>
            </w:pPr>
            <w:r w:rsidRPr="00BB4F21">
              <w:rPr>
                <w:rFonts w:cs="Arial"/>
                <w:bCs/>
                <w:color w:val="000000"/>
                <w:sz w:val="16"/>
                <w:szCs w:val="16"/>
              </w:rPr>
              <w:t>Kanada</w:t>
            </w:r>
          </w:p>
        </w:tc>
        <w:tc>
          <w:tcPr>
            <w:tcW w:w="851" w:type="dxa"/>
            <w:tcBorders>
              <w:top w:val="nil"/>
              <w:left w:val="single" w:sz="4" w:space="0" w:color="FFFFFF" w:themeColor="background1"/>
              <w:bottom w:val="nil"/>
              <w:right w:val="single" w:sz="4" w:space="0" w:color="FFFFFF" w:themeColor="background1"/>
            </w:tcBorders>
            <w:vAlign w:val="center"/>
          </w:tcPr>
          <w:p w14:paraId="0E7014C6" w14:textId="15559658"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7CD9B7C8" w14:textId="78F97425"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476C7B47" w14:textId="7DB5928A"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27C223F1" w14:textId="39C3B7F6" w:rsidR="00BB2B8C" w:rsidRPr="00BB4F21" w:rsidRDefault="00BB2B8C" w:rsidP="00BB2B8C">
            <w:pPr>
              <w:spacing w:before="60" w:after="60"/>
              <w:jc w:val="right"/>
              <w:rPr>
                <w:rFonts w:cs="Arial"/>
                <w:bCs/>
                <w:sz w:val="16"/>
                <w:szCs w:val="16"/>
              </w:rPr>
            </w:pPr>
            <w:r w:rsidRPr="00BB4F21">
              <w:rPr>
                <w:rFonts w:cs="Arial"/>
                <w:color w:val="000000"/>
                <w:sz w:val="16"/>
                <w:szCs w:val="16"/>
              </w:rPr>
              <w:t>1 653 484</w:t>
            </w:r>
          </w:p>
        </w:tc>
        <w:tc>
          <w:tcPr>
            <w:tcW w:w="851" w:type="dxa"/>
            <w:tcBorders>
              <w:top w:val="nil"/>
              <w:left w:val="single" w:sz="4" w:space="0" w:color="FFFFFF" w:themeColor="background1"/>
              <w:bottom w:val="nil"/>
              <w:right w:val="single" w:sz="4" w:space="0" w:color="FFFFFF" w:themeColor="background1"/>
            </w:tcBorders>
            <w:vAlign w:val="center"/>
          </w:tcPr>
          <w:p w14:paraId="5DE9A386" w14:textId="55F5394F"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673336C0" w14:textId="1F014768"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32C8533F" w14:textId="29823B97" w:rsidR="00BB2B8C" w:rsidRPr="00BB2B8C" w:rsidRDefault="00BB2B8C" w:rsidP="00BB2B8C">
            <w:pPr>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vAlign w:val="center"/>
          </w:tcPr>
          <w:p w14:paraId="4A2E5627" w14:textId="0434C8CE" w:rsidR="00BB2B8C" w:rsidRPr="00BB2B8C" w:rsidRDefault="00BB2B8C" w:rsidP="00BB2B8C">
            <w:pPr>
              <w:spacing w:before="60" w:after="60"/>
              <w:jc w:val="right"/>
              <w:rPr>
                <w:rFonts w:cs="Arial"/>
                <w:bCs/>
                <w:sz w:val="16"/>
                <w:szCs w:val="16"/>
              </w:rPr>
            </w:pPr>
            <w:r w:rsidRPr="00BB2B8C">
              <w:rPr>
                <w:rFonts w:cs="Arial"/>
                <w:bCs/>
                <w:color w:val="000000"/>
                <w:sz w:val="16"/>
                <w:szCs w:val="16"/>
              </w:rPr>
              <w:t>1 653 484</w:t>
            </w:r>
          </w:p>
        </w:tc>
      </w:tr>
      <w:tr w:rsidR="00BB2B8C" w:rsidRPr="00124B5D" w14:paraId="0CB67248"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54CFF226" w14:textId="24752DB6" w:rsidR="00BB2B8C" w:rsidRPr="00BB4F21" w:rsidRDefault="00BB2B8C" w:rsidP="00BB2B8C">
            <w:pPr>
              <w:spacing w:before="60" w:after="60"/>
              <w:jc w:val="center"/>
              <w:rPr>
                <w:rFonts w:cs="Arial"/>
                <w:bCs/>
                <w:sz w:val="16"/>
                <w:szCs w:val="16"/>
              </w:rPr>
            </w:pPr>
            <w:r w:rsidRPr="00BB4F21">
              <w:rPr>
                <w:rFonts w:cs="Arial"/>
                <w:bCs/>
                <w:color w:val="000000"/>
                <w:sz w:val="16"/>
                <w:szCs w:val="16"/>
              </w:rPr>
              <w:t>Kazachstan</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88979B1" w14:textId="3E6774B0" w:rsidR="00BB2B8C" w:rsidRPr="00BB4F21" w:rsidRDefault="00BB2B8C" w:rsidP="00BB2B8C">
            <w:pPr>
              <w:spacing w:before="60" w:after="60"/>
              <w:jc w:val="right"/>
              <w:rPr>
                <w:rFonts w:cs="Arial"/>
                <w:bCs/>
                <w:sz w:val="16"/>
                <w:szCs w:val="16"/>
              </w:rPr>
            </w:pPr>
            <w:r w:rsidRPr="00BB4F21">
              <w:rPr>
                <w:rFonts w:cs="Arial"/>
                <w:color w:val="000000"/>
                <w:sz w:val="16"/>
                <w:szCs w:val="16"/>
              </w:rPr>
              <w:t>3</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5D0E45A1" w14:textId="21F4480D" w:rsidR="00BB2B8C" w:rsidRPr="00BB4F21" w:rsidRDefault="00BB2B8C" w:rsidP="00BB2B8C">
            <w:pPr>
              <w:spacing w:before="60" w:after="60"/>
              <w:jc w:val="right"/>
              <w:rPr>
                <w:rFonts w:cs="Arial"/>
                <w:bCs/>
                <w:sz w:val="16"/>
                <w:szCs w:val="16"/>
              </w:rPr>
            </w:pPr>
            <w:r w:rsidRPr="00BB4F21">
              <w:rPr>
                <w:rFonts w:cs="Arial"/>
                <w:color w:val="000000"/>
                <w:sz w:val="16"/>
                <w:szCs w:val="16"/>
              </w:rPr>
              <w:t>613 588 424</w:t>
            </w:r>
          </w:p>
        </w:tc>
        <w:tc>
          <w:tcPr>
            <w:tcW w:w="851" w:type="dxa"/>
            <w:tcBorders>
              <w:top w:val="nil"/>
              <w:left w:val="single" w:sz="4" w:space="0" w:color="FFFFFF" w:themeColor="background1"/>
              <w:bottom w:val="nil"/>
              <w:right w:val="nil"/>
            </w:tcBorders>
            <w:shd w:val="clear" w:color="auto" w:fill="00B0F0"/>
            <w:vAlign w:val="center"/>
          </w:tcPr>
          <w:p w14:paraId="07921286" w14:textId="1D737EBA"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9DD5AC7" w14:textId="3D751CDF"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BF02B56" w14:textId="1444EAD5"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17BB27B6" w14:textId="3254823F"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1EF1DB4" w14:textId="7808479C"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4D5338CA" w14:textId="70B019C7"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613 588 424</w:t>
            </w:r>
          </w:p>
        </w:tc>
      </w:tr>
      <w:tr w:rsidR="00BB2B8C" w:rsidRPr="00124B5D" w14:paraId="3B6F303E" w14:textId="77777777" w:rsidTr="00A839CC">
        <w:trPr>
          <w:trHeight w:val="78"/>
        </w:trPr>
        <w:tc>
          <w:tcPr>
            <w:tcW w:w="1276" w:type="dxa"/>
            <w:tcBorders>
              <w:top w:val="nil"/>
              <w:left w:val="nil"/>
              <w:bottom w:val="nil"/>
              <w:right w:val="single" w:sz="4" w:space="0" w:color="FFFFFF" w:themeColor="background1"/>
            </w:tcBorders>
            <w:vAlign w:val="center"/>
          </w:tcPr>
          <w:p w14:paraId="4E4AF6EB" w14:textId="337CD278" w:rsidR="00BB2B8C" w:rsidRPr="00BB4F21" w:rsidRDefault="00BB2B8C" w:rsidP="00BB2B8C">
            <w:pPr>
              <w:spacing w:before="60" w:after="60"/>
              <w:jc w:val="center"/>
              <w:rPr>
                <w:rFonts w:cs="Arial"/>
                <w:bCs/>
                <w:sz w:val="16"/>
                <w:szCs w:val="16"/>
              </w:rPr>
            </w:pPr>
            <w:r w:rsidRPr="00BB4F21">
              <w:rPr>
                <w:rFonts w:cs="Arial"/>
                <w:bCs/>
                <w:color w:val="000000"/>
                <w:sz w:val="16"/>
                <w:szCs w:val="16"/>
              </w:rPr>
              <w:t>Korea Południowa</w:t>
            </w:r>
          </w:p>
        </w:tc>
        <w:tc>
          <w:tcPr>
            <w:tcW w:w="851" w:type="dxa"/>
            <w:tcBorders>
              <w:top w:val="nil"/>
              <w:left w:val="single" w:sz="4" w:space="0" w:color="FFFFFF" w:themeColor="background1"/>
              <w:bottom w:val="nil"/>
              <w:right w:val="single" w:sz="4" w:space="0" w:color="FFFFFF" w:themeColor="background1"/>
            </w:tcBorders>
            <w:vAlign w:val="center"/>
          </w:tcPr>
          <w:p w14:paraId="2CEF6924" w14:textId="3387947D"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77A166C3" w14:textId="57A5D0F7"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05F03B22" w14:textId="56A324D4"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6C19373A" w14:textId="4BC8ADAF" w:rsidR="00BB2B8C" w:rsidRPr="00BB4F21" w:rsidRDefault="00BB2B8C" w:rsidP="00BB2B8C">
            <w:pPr>
              <w:spacing w:before="60" w:after="60"/>
              <w:jc w:val="right"/>
              <w:rPr>
                <w:rFonts w:cs="Arial"/>
                <w:bCs/>
                <w:sz w:val="16"/>
                <w:szCs w:val="16"/>
              </w:rPr>
            </w:pPr>
            <w:r w:rsidRPr="00BB4F21">
              <w:rPr>
                <w:rFonts w:cs="Arial"/>
                <w:color w:val="000000"/>
                <w:sz w:val="16"/>
                <w:szCs w:val="16"/>
              </w:rPr>
              <w:t>11 438 300</w:t>
            </w:r>
          </w:p>
        </w:tc>
        <w:tc>
          <w:tcPr>
            <w:tcW w:w="851" w:type="dxa"/>
            <w:tcBorders>
              <w:top w:val="nil"/>
              <w:left w:val="single" w:sz="4" w:space="0" w:color="FFFFFF" w:themeColor="background1"/>
              <w:bottom w:val="nil"/>
              <w:right w:val="single" w:sz="4" w:space="0" w:color="FFFFFF" w:themeColor="background1"/>
            </w:tcBorders>
            <w:vAlign w:val="center"/>
          </w:tcPr>
          <w:p w14:paraId="1E68AEE6" w14:textId="6CBBF627"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310A66BA" w14:textId="01DF1F5F" w:rsidR="00BB2B8C" w:rsidRPr="00BB4F21" w:rsidRDefault="00BB2B8C" w:rsidP="00BB2B8C">
            <w:pPr>
              <w:spacing w:before="60" w:after="60"/>
              <w:jc w:val="right"/>
              <w:rPr>
                <w:rFonts w:cs="Arial"/>
                <w:bCs/>
                <w:sz w:val="16"/>
                <w:szCs w:val="16"/>
              </w:rPr>
            </w:pPr>
            <w:r w:rsidRPr="00BB4F21">
              <w:rPr>
                <w:rFonts w:cs="Arial"/>
                <w:color w:val="000000"/>
                <w:sz w:val="16"/>
                <w:szCs w:val="16"/>
              </w:rPr>
              <w:t>b.d.</w:t>
            </w:r>
          </w:p>
        </w:tc>
        <w:tc>
          <w:tcPr>
            <w:tcW w:w="851" w:type="dxa"/>
            <w:tcBorders>
              <w:top w:val="nil"/>
              <w:left w:val="single" w:sz="4" w:space="0" w:color="FFFFFF" w:themeColor="background1"/>
              <w:bottom w:val="nil"/>
              <w:right w:val="single" w:sz="4" w:space="0" w:color="FFFFFF" w:themeColor="background1"/>
            </w:tcBorders>
            <w:vAlign w:val="center"/>
          </w:tcPr>
          <w:p w14:paraId="7713B7BF" w14:textId="2ED9D151" w:rsidR="00BB2B8C" w:rsidRPr="00BB2B8C" w:rsidRDefault="00BB2B8C" w:rsidP="00BB2B8C">
            <w:pPr>
              <w:spacing w:before="60" w:after="60"/>
              <w:jc w:val="right"/>
              <w:rPr>
                <w:rFonts w:cs="Arial"/>
                <w:bCs/>
                <w:sz w:val="16"/>
                <w:szCs w:val="16"/>
              </w:rPr>
            </w:pPr>
            <w:r w:rsidRPr="00BB2B8C">
              <w:rPr>
                <w:rFonts w:cs="Arial"/>
                <w:bCs/>
                <w:color w:val="000000"/>
                <w:sz w:val="16"/>
                <w:szCs w:val="16"/>
              </w:rPr>
              <w:t>3</w:t>
            </w:r>
          </w:p>
        </w:tc>
        <w:tc>
          <w:tcPr>
            <w:tcW w:w="1417" w:type="dxa"/>
            <w:tcBorders>
              <w:top w:val="nil"/>
              <w:left w:val="single" w:sz="4" w:space="0" w:color="FFFFFF" w:themeColor="background1"/>
              <w:bottom w:val="nil"/>
              <w:right w:val="nil"/>
            </w:tcBorders>
            <w:vAlign w:val="center"/>
          </w:tcPr>
          <w:p w14:paraId="4A7D13D8" w14:textId="753FEB29" w:rsidR="00BB2B8C" w:rsidRPr="00BB2B8C" w:rsidRDefault="00BB2B8C" w:rsidP="00BB2B8C">
            <w:pPr>
              <w:spacing w:before="60" w:after="60"/>
              <w:jc w:val="right"/>
              <w:rPr>
                <w:rFonts w:cs="Arial"/>
                <w:bCs/>
                <w:sz w:val="16"/>
                <w:szCs w:val="16"/>
              </w:rPr>
            </w:pPr>
            <w:r w:rsidRPr="00BB2B8C">
              <w:rPr>
                <w:rFonts w:cs="Arial"/>
                <w:bCs/>
                <w:color w:val="000000"/>
                <w:sz w:val="16"/>
                <w:szCs w:val="16"/>
              </w:rPr>
              <w:t>11 438 300</w:t>
            </w:r>
          </w:p>
        </w:tc>
      </w:tr>
      <w:tr w:rsidR="00BB2B8C" w:rsidRPr="00124B5D" w14:paraId="632BB2A0"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339A8E25" w14:textId="67C333E2" w:rsidR="00BB2B8C" w:rsidRPr="00BB4F21" w:rsidRDefault="00BB2B8C" w:rsidP="00BB2B8C">
            <w:pPr>
              <w:spacing w:before="60" w:after="60"/>
              <w:jc w:val="center"/>
              <w:rPr>
                <w:rFonts w:cs="Arial"/>
                <w:bCs/>
                <w:sz w:val="16"/>
                <w:szCs w:val="16"/>
              </w:rPr>
            </w:pPr>
            <w:r w:rsidRPr="00BB4F21">
              <w:rPr>
                <w:rFonts w:cs="Arial"/>
                <w:bCs/>
                <w:color w:val="000000"/>
                <w:sz w:val="16"/>
                <w:szCs w:val="16"/>
              </w:rPr>
              <w:t>Liban</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B4BF031" w14:textId="591A050D"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3B4A5DF8" w14:textId="3B9E2A09"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2F03C897" w14:textId="426FD9F0"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3F3305FF" w14:textId="5DBE88C2"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379E9DF" w14:textId="46AA6408"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170DC883" w14:textId="11CC6C36" w:rsidR="00BB2B8C" w:rsidRPr="00BB4F21" w:rsidRDefault="00BB2B8C" w:rsidP="00BB2B8C">
            <w:pPr>
              <w:keepNext/>
              <w:spacing w:before="60" w:after="60"/>
              <w:jc w:val="right"/>
              <w:rPr>
                <w:rFonts w:cs="Arial"/>
                <w:bCs/>
                <w:sz w:val="16"/>
                <w:szCs w:val="16"/>
              </w:rPr>
            </w:pPr>
            <w:r w:rsidRPr="00BB4F21">
              <w:rPr>
                <w:rFonts w:cs="Arial"/>
                <w:color w:val="000000"/>
                <w:sz w:val="16"/>
                <w:szCs w:val="16"/>
              </w:rPr>
              <w:t>412 709 858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6D1FB6C" w14:textId="302D82D3"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40A709B1" w14:textId="5D00A71A"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412 709 858</w:t>
            </w:r>
          </w:p>
        </w:tc>
      </w:tr>
      <w:tr w:rsidR="00BB2B8C" w:rsidRPr="00124B5D" w14:paraId="128BD755" w14:textId="77777777" w:rsidTr="00A839CC">
        <w:trPr>
          <w:trHeight w:val="44"/>
        </w:trPr>
        <w:tc>
          <w:tcPr>
            <w:tcW w:w="1276" w:type="dxa"/>
            <w:tcBorders>
              <w:top w:val="nil"/>
              <w:left w:val="nil"/>
              <w:bottom w:val="nil"/>
              <w:right w:val="single" w:sz="4" w:space="0" w:color="FFFFFF" w:themeColor="background1"/>
            </w:tcBorders>
            <w:vAlign w:val="center"/>
          </w:tcPr>
          <w:p w14:paraId="49437CEF" w14:textId="6A601D45" w:rsidR="00BB2B8C" w:rsidRPr="00BB4F21" w:rsidRDefault="00BB2B8C" w:rsidP="00BB2B8C">
            <w:pPr>
              <w:spacing w:before="60" w:after="60"/>
              <w:jc w:val="center"/>
              <w:rPr>
                <w:rFonts w:cs="Arial"/>
                <w:bCs/>
                <w:sz w:val="16"/>
                <w:szCs w:val="16"/>
              </w:rPr>
            </w:pPr>
            <w:r w:rsidRPr="00BB4F21">
              <w:rPr>
                <w:rFonts w:cs="Arial"/>
                <w:bCs/>
                <w:color w:val="000000"/>
                <w:sz w:val="16"/>
                <w:szCs w:val="16"/>
              </w:rPr>
              <w:t>Litwa</w:t>
            </w:r>
          </w:p>
        </w:tc>
        <w:tc>
          <w:tcPr>
            <w:tcW w:w="851" w:type="dxa"/>
            <w:tcBorders>
              <w:top w:val="nil"/>
              <w:left w:val="single" w:sz="4" w:space="0" w:color="FFFFFF" w:themeColor="background1"/>
              <w:bottom w:val="nil"/>
              <w:right w:val="single" w:sz="4" w:space="0" w:color="FFFFFF" w:themeColor="background1"/>
            </w:tcBorders>
            <w:vAlign w:val="center"/>
          </w:tcPr>
          <w:p w14:paraId="3D1CC4C0" w14:textId="044FCF1D"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vAlign w:val="center"/>
          </w:tcPr>
          <w:p w14:paraId="13B4D11F" w14:textId="04C9465C" w:rsidR="00BB2B8C" w:rsidRPr="00BB4F21" w:rsidRDefault="00BB2B8C" w:rsidP="00BB2B8C">
            <w:pPr>
              <w:spacing w:before="60" w:after="60"/>
              <w:jc w:val="right"/>
              <w:rPr>
                <w:rFonts w:cs="Arial"/>
                <w:sz w:val="16"/>
                <w:szCs w:val="16"/>
              </w:rPr>
            </w:pPr>
            <w:r w:rsidRPr="00BB4F21">
              <w:rPr>
                <w:rFonts w:cs="Arial"/>
                <w:color w:val="000000"/>
                <w:sz w:val="16"/>
                <w:szCs w:val="16"/>
              </w:rPr>
              <w:t>18 999 000</w:t>
            </w:r>
          </w:p>
        </w:tc>
        <w:tc>
          <w:tcPr>
            <w:tcW w:w="851" w:type="dxa"/>
            <w:tcBorders>
              <w:top w:val="nil"/>
              <w:left w:val="single" w:sz="4" w:space="0" w:color="FFFFFF" w:themeColor="background1"/>
              <w:bottom w:val="nil"/>
              <w:right w:val="nil"/>
            </w:tcBorders>
            <w:vAlign w:val="center"/>
          </w:tcPr>
          <w:p w14:paraId="1AC73DCC" w14:textId="389CDB17" w:rsidR="00BB2B8C" w:rsidRPr="00BB4F21" w:rsidRDefault="00BB2B8C" w:rsidP="00BB2B8C">
            <w:pPr>
              <w:spacing w:before="60" w:after="60"/>
              <w:jc w:val="right"/>
              <w:rPr>
                <w:rFonts w:cs="Arial"/>
                <w:bCs/>
                <w:sz w:val="16"/>
                <w:szCs w:val="16"/>
              </w:rPr>
            </w:pPr>
            <w:r w:rsidRPr="00BB4F21">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689A830A" w14:textId="748DC683" w:rsidR="00BB2B8C" w:rsidRPr="00BB4F21" w:rsidRDefault="00BB2B8C" w:rsidP="00BB2B8C">
            <w:pPr>
              <w:spacing w:before="60" w:after="60"/>
              <w:jc w:val="right"/>
              <w:rPr>
                <w:rFonts w:cs="Arial"/>
                <w:bCs/>
                <w:sz w:val="16"/>
                <w:szCs w:val="16"/>
              </w:rPr>
            </w:pPr>
            <w:r w:rsidRPr="00BB4F21">
              <w:rPr>
                <w:rFonts w:cs="Arial"/>
                <w:color w:val="000000"/>
                <w:sz w:val="16"/>
                <w:szCs w:val="16"/>
              </w:rPr>
              <w:t>14 063 370</w:t>
            </w:r>
          </w:p>
        </w:tc>
        <w:tc>
          <w:tcPr>
            <w:tcW w:w="851" w:type="dxa"/>
            <w:tcBorders>
              <w:top w:val="nil"/>
              <w:left w:val="single" w:sz="4" w:space="0" w:color="FFFFFF" w:themeColor="background1"/>
              <w:bottom w:val="nil"/>
              <w:right w:val="single" w:sz="4" w:space="0" w:color="FFFFFF" w:themeColor="background1"/>
            </w:tcBorders>
            <w:vAlign w:val="center"/>
          </w:tcPr>
          <w:p w14:paraId="0AA1FEDD" w14:textId="7E058287" w:rsidR="00BB2B8C" w:rsidRPr="00BB4F21" w:rsidRDefault="00BB2B8C" w:rsidP="00BB2B8C">
            <w:pPr>
              <w:spacing w:before="60" w:after="60"/>
              <w:jc w:val="right"/>
              <w:rPr>
                <w:rFonts w:cs="Arial"/>
                <w:bCs/>
                <w:sz w:val="16"/>
                <w:szCs w:val="16"/>
              </w:rPr>
            </w:pPr>
            <w:r w:rsidRPr="00BB4F21">
              <w:rPr>
                <w:rFonts w:cs="Arial"/>
                <w:color w:val="000000"/>
                <w:sz w:val="16"/>
                <w:szCs w:val="16"/>
              </w:rPr>
              <w:t>4</w:t>
            </w:r>
          </w:p>
        </w:tc>
        <w:tc>
          <w:tcPr>
            <w:tcW w:w="1417" w:type="dxa"/>
            <w:tcBorders>
              <w:top w:val="nil"/>
              <w:left w:val="single" w:sz="4" w:space="0" w:color="FFFFFF" w:themeColor="background1"/>
              <w:bottom w:val="nil"/>
              <w:right w:val="nil"/>
            </w:tcBorders>
            <w:vAlign w:val="center"/>
          </w:tcPr>
          <w:p w14:paraId="03BB0ACD" w14:textId="346D6776" w:rsidR="00BB2B8C" w:rsidRPr="00BB4F21" w:rsidRDefault="00BB2B8C" w:rsidP="00BB2B8C">
            <w:pPr>
              <w:spacing w:before="60" w:after="60"/>
              <w:jc w:val="right"/>
              <w:rPr>
                <w:rFonts w:cs="Arial"/>
                <w:bCs/>
                <w:sz w:val="16"/>
                <w:szCs w:val="16"/>
              </w:rPr>
            </w:pPr>
            <w:r w:rsidRPr="00BB4F21">
              <w:rPr>
                <w:rFonts w:cs="Arial"/>
                <w:color w:val="000000"/>
                <w:sz w:val="16"/>
                <w:szCs w:val="16"/>
              </w:rPr>
              <w:t>20 044 013</w:t>
            </w:r>
          </w:p>
        </w:tc>
        <w:tc>
          <w:tcPr>
            <w:tcW w:w="851" w:type="dxa"/>
            <w:tcBorders>
              <w:top w:val="nil"/>
              <w:left w:val="single" w:sz="4" w:space="0" w:color="FFFFFF" w:themeColor="background1"/>
              <w:bottom w:val="nil"/>
              <w:right w:val="single" w:sz="4" w:space="0" w:color="FFFFFF" w:themeColor="background1"/>
            </w:tcBorders>
            <w:vAlign w:val="center"/>
          </w:tcPr>
          <w:p w14:paraId="399A1BE3" w14:textId="7D177119" w:rsidR="00BB2B8C" w:rsidRPr="00BB2B8C" w:rsidRDefault="00BB2B8C" w:rsidP="00BB2B8C">
            <w:pPr>
              <w:spacing w:before="60" w:after="60"/>
              <w:jc w:val="right"/>
              <w:rPr>
                <w:rFonts w:cs="Arial"/>
                <w:bCs/>
                <w:sz w:val="16"/>
                <w:szCs w:val="16"/>
              </w:rPr>
            </w:pPr>
            <w:r w:rsidRPr="00BB2B8C">
              <w:rPr>
                <w:rFonts w:cs="Arial"/>
                <w:bCs/>
                <w:color w:val="000000"/>
                <w:sz w:val="16"/>
                <w:szCs w:val="16"/>
              </w:rPr>
              <w:t>8</w:t>
            </w:r>
          </w:p>
        </w:tc>
        <w:tc>
          <w:tcPr>
            <w:tcW w:w="1417" w:type="dxa"/>
            <w:tcBorders>
              <w:top w:val="nil"/>
              <w:left w:val="single" w:sz="4" w:space="0" w:color="FFFFFF" w:themeColor="background1"/>
              <w:bottom w:val="nil"/>
              <w:right w:val="nil"/>
            </w:tcBorders>
            <w:vAlign w:val="center"/>
          </w:tcPr>
          <w:p w14:paraId="682C9CE4" w14:textId="075AD86D" w:rsidR="00BB2B8C" w:rsidRPr="00BB2B8C" w:rsidRDefault="00BB2B8C" w:rsidP="00BB2B8C">
            <w:pPr>
              <w:spacing w:before="60" w:after="60"/>
              <w:jc w:val="right"/>
              <w:rPr>
                <w:rFonts w:cs="Arial"/>
                <w:bCs/>
                <w:sz w:val="16"/>
                <w:szCs w:val="16"/>
              </w:rPr>
            </w:pPr>
            <w:r w:rsidRPr="00BB2B8C">
              <w:rPr>
                <w:rFonts w:cs="Arial"/>
                <w:bCs/>
                <w:color w:val="000000"/>
                <w:sz w:val="16"/>
                <w:szCs w:val="16"/>
              </w:rPr>
              <w:t>53 106 383</w:t>
            </w:r>
          </w:p>
        </w:tc>
      </w:tr>
      <w:tr w:rsidR="00BB2B8C" w:rsidRPr="00124B5D" w14:paraId="36AB5904" w14:textId="77777777" w:rsidTr="00A839CC">
        <w:trPr>
          <w:trHeight w:val="59"/>
        </w:trPr>
        <w:tc>
          <w:tcPr>
            <w:tcW w:w="1276" w:type="dxa"/>
            <w:tcBorders>
              <w:top w:val="nil"/>
              <w:left w:val="nil"/>
              <w:bottom w:val="nil"/>
              <w:right w:val="single" w:sz="4" w:space="0" w:color="FFFFFF" w:themeColor="background1"/>
            </w:tcBorders>
            <w:shd w:val="clear" w:color="auto" w:fill="00B0F0"/>
            <w:vAlign w:val="center"/>
          </w:tcPr>
          <w:p w14:paraId="19D09F10" w14:textId="6426DB6D" w:rsidR="00BB2B8C" w:rsidRPr="00BB4F21" w:rsidRDefault="00BB2B8C" w:rsidP="00BB2B8C">
            <w:pPr>
              <w:spacing w:before="60" w:after="60"/>
              <w:jc w:val="center"/>
              <w:rPr>
                <w:rFonts w:cs="Arial"/>
                <w:bCs/>
                <w:sz w:val="16"/>
                <w:szCs w:val="16"/>
              </w:rPr>
            </w:pPr>
            <w:r w:rsidRPr="00BB4F21">
              <w:rPr>
                <w:rFonts w:cs="Arial"/>
                <w:bCs/>
                <w:color w:val="000000"/>
                <w:sz w:val="16"/>
                <w:szCs w:val="16"/>
              </w:rPr>
              <w:t>Luksemburg</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372F1B7" w14:textId="6B779E67"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BAFEF92" w14:textId="7C953028"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78671B4" w14:textId="3A4CE5B3"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0BC4F30A" w14:textId="4F2D82E9"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DAC88A6" w14:textId="41BCE254"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7F02FCC0" w14:textId="0643826B" w:rsidR="00BB2B8C" w:rsidRPr="00BB4F21" w:rsidRDefault="00BB2B8C" w:rsidP="00BB2B8C">
            <w:pPr>
              <w:spacing w:before="60" w:after="60"/>
              <w:jc w:val="right"/>
              <w:rPr>
                <w:rFonts w:cs="Arial"/>
                <w:bCs/>
                <w:sz w:val="16"/>
                <w:szCs w:val="16"/>
              </w:rPr>
            </w:pPr>
            <w:r w:rsidRPr="00BB4F21">
              <w:rPr>
                <w:rFonts w:cs="Arial"/>
                <w:color w:val="000000"/>
                <w:sz w:val="16"/>
                <w:szCs w:val="16"/>
              </w:rPr>
              <w:t>13 360 800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0A757A6" w14:textId="432D8951" w:rsidR="00BB2B8C" w:rsidRPr="00BB2B8C" w:rsidRDefault="00BB2B8C" w:rsidP="00BB2B8C">
            <w:pPr>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1EDA4590" w14:textId="44F9B959" w:rsidR="00BB2B8C" w:rsidRPr="00BB2B8C" w:rsidRDefault="00BB2B8C" w:rsidP="00BB2B8C">
            <w:pPr>
              <w:spacing w:before="60" w:after="60"/>
              <w:jc w:val="right"/>
              <w:rPr>
                <w:rFonts w:cs="Arial"/>
                <w:bCs/>
                <w:sz w:val="16"/>
                <w:szCs w:val="16"/>
              </w:rPr>
            </w:pPr>
            <w:r w:rsidRPr="00BB2B8C">
              <w:rPr>
                <w:rFonts w:cs="Arial"/>
                <w:bCs/>
                <w:color w:val="000000"/>
                <w:sz w:val="16"/>
                <w:szCs w:val="16"/>
              </w:rPr>
              <w:t>13 360 800</w:t>
            </w:r>
          </w:p>
        </w:tc>
      </w:tr>
      <w:tr w:rsidR="00BB2B8C" w:rsidRPr="00124B5D" w14:paraId="12890486" w14:textId="77777777" w:rsidTr="00A839CC">
        <w:trPr>
          <w:trHeight w:val="106"/>
        </w:trPr>
        <w:tc>
          <w:tcPr>
            <w:tcW w:w="1276" w:type="dxa"/>
            <w:tcBorders>
              <w:top w:val="nil"/>
              <w:left w:val="nil"/>
              <w:bottom w:val="nil"/>
              <w:right w:val="single" w:sz="4" w:space="0" w:color="FFFFFF" w:themeColor="background1"/>
            </w:tcBorders>
            <w:vAlign w:val="center"/>
          </w:tcPr>
          <w:p w14:paraId="6682AEAA" w14:textId="66EEE470" w:rsidR="00BB2B8C" w:rsidRPr="00BB4F21" w:rsidRDefault="00BB2B8C" w:rsidP="00BB2B8C">
            <w:pPr>
              <w:spacing w:before="60" w:after="60"/>
              <w:jc w:val="center"/>
              <w:rPr>
                <w:rFonts w:cs="Arial"/>
                <w:bCs/>
                <w:sz w:val="16"/>
                <w:szCs w:val="16"/>
              </w:rPr>
            </w:pPr>
            <w:r w:rsidRPr="00BB4F21">
              <w:rPr>
                <w:rFonts w:cs="Arial"/>
                <w:bCs/>
                <w:color w:val="000000"/>
                <w:sz w:val="16"/>
                <w:szCs w:val="16"/>
              </w:rPr>
              <w:t>Łotwa</w:t>
            </w:r>
          </w:p>
        </w:tc>
        <w:tc>
          <w:tcPr>
            <w:tcW w:w="851" w:type="dxa"/>
            <w:tcBorders>
              <w:top w:val="nil"/>
              <w:left w:val="single" w:sz="4" w:space="0" w:color="FFFFFF" w:themeColor="background1"/>
              <w:bottom w:val="nil"/>
              <w:right w:val="single" w:sz="4" w:space="0" w:color="FFFFFF" w:themeColor="background1"/>
            </w:tcBorders>
            <w:vAlign w:val="center"/>
          </w:tcPr>
          <w:p w14:paraId="3E73A326" w14:textId="0B8980CC"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7546B827" w14:textId="38EFF637"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351397B8" w14:textId="75BE84E9"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4BB048E2" w14:textId="28FDD1E3" w:rsidR="00BB2B8C" w:rsidRPr="00BB4F21" w:rsidRDefault="00BB2B8C" w:rsidP="00BB2B8C">
            <w:pPr>
              <w:spacing w:before="60" w:after="60"/>
              <w:jc w:val="right"/>
              <w:rPr>
                <w:rFonts w:cs="Arial"/>
                <w:bCs/>
                <w:sz w:val="16"/>
                <w:szCs w:val="16"/>
              </w:rPr>
            </w:pPr>
            <w:r w:rsidRPr="00BB4F21">
              <w:rPr>
                <w:rFonts w:cs="Arial"/>
                <w:color w:val="000000"/>
                <w:sz w:val="16"/>
                <w:szCs w:val="16"/>
              </w:rPr>
              <w:t>19 557 317</w:t>
            </w:r>
          </w:p>
        </w:tc>
        <w:tc>
          <w:tcPr>
            <w:tcW w:w="851" w:type="dxa"/>
            <w:tcBorders>
              <w:top w:val="nil"/>
              <w:left w:val="single" w:sz="4" w:space="0" w:color="FFFFFF" w:themeColor="background1"/>
              <w:bottom w:val="nil"/>
              <w:right w:val="single" w:sz="4" w:space="0" w:color="FFFFFF" w:themeColor="background1"/>
            </w:tcBorders>
            <w:vAlign w:val="center"/>
          </w:tcPr>
          <w:p w14:paraId="44E8D42D" w14:textId="79B8AE5C"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3320A687" w14:textId="1E2C919A"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06A15D44" w14:textId="3B486BC4" w:rsidR="00BB2B8C" w:rsidRPr="00BB2B8C" w:rsidRDefault="00BB2B8C" w:rsidP="00BB2B8C">
            <w:pPr>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vAlign w:val="center"/>
          </w:tcPr>
          <w:p w14:paraId="7783B378" w14:textId="645B0F46" w:rsidR="00BB2B8C" w:rsidRPr="00BB2B8C" w:rsidRDefault="00BB2B8C" w:rsidP="00BB2B8C">
            <w:pPr>
              <w:spacing w:before="60" w:after="60"/>
              <w:jc w:val="right"/>
              <w:rPr>
                <w:rFonts w:cs="Arial"/>
                <w:bCs/>
                <w:sz w:val="16"/>
                <w:szCs w:val="16"/>
              </w:rPr>
            </w:pPr>
            <w:r w:rsidRPr="00BB2B8C">
              <w:rPr>
                <w:rFonts w:cs="Arial"/>
                <w:bCs/>
                <w:color w:val="000000"/>
                <w:sz w:val="16"/>
                <w:szCs w:val="16"/>
              </w:rPr>
              <w:t>19 557 317</w:t>
            </w:r>
          </w:p>
        </w:tc>
      </w:tr>
      <w:tr w:rsidR="00BB2B8C" w:rsidRPr="00124B5D" w14:paraId="3D3AF65D" w14:textId="77777777" w:rsidTr="00A839CC">
        <w:trPr>
          <w:trHeight w:val="151"/>
        </w:trPr>
        <w:tc>
          <w:tcPr>
            <w:tcW w:w="1276" w:type="dxa"/>
            <w:tcBorders>
              <w:top w:val="nil"/>
              <w:left w:val="nil"/>
              <w:bottom w:val="nil"/>
              <w:right w:val="single" w:sz="4" w:space="0" w:color="FFFFFF" w:themeColor="background1"/>
            </w:tcBorders>
            <w:shd w:val="clear" w:color="auto" w:fill="00B0F0"/>
            <w:vAlign w:val="center"/>
          </w:tcPr>
          <w:p w14:paraId="2D7F3AF5" w14:textId="2C69B307" w:rsidR="00BB2B8C" w:rsidRPr="00BB4F21" w:rsidRDefault="00BB2B8C" w:rsidP="00BB2B8C">
            <w:pPr>
              <w:spacing w:before="60" w:after="60"/>
              <w:jc w:val="center"/>
              <w:rPr>
                <w:rFonts w:cs="Arial"/>
                <w:bCs/>
                <w:sz w:val="16"/>
                <w:szCs w:val="16"/>
              </w:rPr>
            </w:pPr>
            <w:r w:rsidRPr="00BB4F21">
              <w:rPr>
                <w:rFonts w:cs="Arial"/>
                <w:bCs/>
                <w:color w:val="000000"/>
                <w:sz w:val="16"/>
                <w:szCs w:val="16"/>
              </w:rPr>
              <w:t>Malta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5059E47" w14:textId="0A2B2FD5"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4395B208" w14:textId="6898FEE9"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0DBA523" w14:textId="4620CC19"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655B0D73" w14:textId="7F6E3F6F"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1FD788" w14:textId="6E05EAE8"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6D9C65AE" w14:textId="7411BE8A" w:rsidR="00BB2B8C" w:rsidRPr="00BB4F21" w:rsidRDefault="00BB2B8C" w:rsidP="00BB2B8C">
            <w:pPr>
              <w:spacing w:before="60" w:after="60"/>
              <w:jc w:val="right"/>
              <w:rPr>
                <w:rFonts w:cs="Arial"/>
                <w:bCs/>
                <w:sz w:val="16"/>
                <w:szCs w:val="16"/>
              </w:rPr>
            </w:pPr>
            <w:r w:rsidRPr="00BB4F21">
              <w:rPr>
                <w:rFonts w:cs="Arial"/>
                <w:color w:val="000000"/>
                <w:sz w:val="16"/>
                <w:szCs w:val="16"/>
              </w:rPr>
              <w:t>80 164 800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3F5A5FF" w14:textId="1465DECD" w:rsidR="00BB2B8C" w:rsidRPr="00BB2B8C" w:rsidRDefault="00BB2B8C" w:rsidP="00BB2B8C">
            <w:pPr>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21EDDCC3" w14:textId="2321274E" w:rsidR="00BB2B8C" w:rsidRPr="00BB2B8C" w:rsidRDefault="00BB2B8C" w:rsidP="00BB2B8C">
            <w:pPr>
              <w:spacing w:before="60" w:after="60"/>
              <w:jc w:val="right"/>
              <w:rPr>
                <w:rFonts w:cs="Arial"/>
                <w:bCs/>
                <w:sz w:val="16"/>
                <w:szCs w:val="16"/>
              </w:rPr>
            </w:pPr>
            <w:r w:rsidRPr="00BB2B8C">
              <w:rPr>
                <w:rFonts w:cs="Arial"/>
                <w:bCs/>
                <w:color w:val="000000"/>
                <w:sz w:val="16"/>
                <w:szCs w:val="16"/>
              </w:rPr>
              <w:t>80 164 800</w:t>
            </w:r>
          </w:p>
        </w:tc>
      </w:tr>
      <w:tr w:rsidR="00BB2B8C" w:rsidRPr="00124B5D" w14:paraId="1A4229E5" w14:textId="77777777" w:rsidTr="00A839CC">
        <w:trPr>
          <w:trHeight w:val="78"/>
        </w:trPr>
        <w:tc>
          <w:tcPr>
            <w:tcW w:w="1276" w:type="dxa"/>
            <w:tcBorders>
              <w:top w:val="nil"/>
              <w:left w:val="nil"/>
              <w:bottom w:val="nil"/>
              <w:right w:val="single" w:sz="4" w:space="0" w:color="FFFFFF" w:themeColor="background1"/>
            </w:tcBorders>
            <w:vAlign w:val="center"/>
          </w:tcPr>
          <w:p w14:paraId="1A0A193E" w14:textId="67C7A280" w:rsidR="00BB2B8C" w:rsidRPr="00BB4F21" w:rsidRDefault="00BB2B8C" w:rsidP="00BB2B8C">
            <w:pPr>
              <w:spacing w:before="60" w:after="60"/>
              <w:jc w:val="center"/>
              <w:rPr>
                <w:rFonts w:cs="Arial"/>
                <w:bCs/>
                <w:sz w:val="16"/>
                <w:szCs w:val="16"/>
              </w:rPr>
            </w:pPr>
            <w:r w:rsidRPr="00BB4F21">
              <w:rPr>
                <w:rFonts w:cs="Arial"/>
                <w:bCs/>
                <w:color w:val="000000"/>
                <w:sz w:val="16"/>
                <w:szCs w:val="16"/>
              </w:rPr>
              <w:t>Monako</w:t>
            </w:r>
          </w:p>
        </w:tc>
        <w:tc>
          <w:tcPr>
            <w:tcW w:w="851" w:type="dxa"/>
            <w:tcBorders>
              <w:top w:val="nil"/>
              <w:left w:val="single" w:sz="4" w:space="0" w:color="FFFFFF" w:themeColor="background1"/>
              <w:bottom w:val="nil"/>
              <w:right w:val="single" w:sz="4" w:space="0" w:color="FFFFFF" w:themeColor="background1"/>
            </w:tcBorders>
            <w:vAlign w:val="center"/>
          </w:tcPr>
          <w:p w14:paraId="10770FA1" w14:textId="740C5A58"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429F5E7E" w14:textId="153784B8"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6F8DACA" w14:textId="70B1F7C4"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43EE817A" w14:textId="767B104A" w:rsidR="00BB2B8C" w:rsidRPr="00BB4F21" w:rsidRDefault="00BB2B8C" w:rsidP="00BB2B8C">
            <w:pPr>
              <w:spacing w:before="60" w:after="60"/>
              <w:jc w:val="right"/>
              <w:rPr>
                <w:rFonts w:cs="Arial"/>
                <w:bCs/>
                <w:sz w:val="16"/>
                <w:szCs w:val="16"/>
              </w:rPr>
            </w:pPr>
            <w:r w:rsidRPr="00BB4F21">
              <w:rPr>
                <w:rFonts w:cs="Arial"/>
                <w:color w:val="000000"/>
                <w:sz w:val="16"/>
                <w:szCs w:val="16"/>
              </w:rPr>
              <w:t>8 336 820</w:t>
            </w:r>
          </w:p>
        </w:tc>
        <w:tc>
          <w:tcPr>
            <w:tcW w:w="851" w:type="dxa"/>
            <w:tcBorders>
              <w:top w:val="nil"/>
              <w:left w:val="single" w:sz="4" w:space="0" w:color="FFFFFF" w:themeColor="background1"/>
              <w:bottom w:val="nil"/>
              <w:right w:val="single" w:sz="4" w:space="0" w:color="FFFFFF" w:themeColor="background1"/>
            </w:tcBorders>
            <w:vAlign w:val="center"/>
          </w:tcPr>
          <w:p w14:paraId="2FE9F62B" w14:textId="3B9DC2B7"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3D95A916" w14:textId="39AA5D22"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31848630" w14:textId="49EDA417" w:rsidR="00BB2B8C" w:rsidRPr="00BB2B8C" w:rsidRDefault="00BB2B8C" w:rsidP="00BB2B8C">
            <w:pPr>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vAlign w:val="center"/>
          </w:tcPr>
          <w:p w14:paraId="441CA712" w14:textId="3CBCEE82" w:rsidR="00BB2B8C" w:rsidRPr="00BB2B8C" w:rsidRDefault="00BB2B8C" w:rsidP="00BB2B8C">
            <w:pPr>
              <w:spacing w:before="60" w:after="60"/>
              <w:jc w:val="right"/>
              <w:rPr>
                <w:rFonts w:cs="Arial"/>
                <w:bCs/>
                <w:sz w:val="16"/>
                <w:szCs w:val="16"/>
              </w:rPr>
            </w:pPr>
            <w:r w:rsidRPr="00BB2B8C">
              <w:rPr>
                <w:rFonts w:cs="Arial"/>
                <w:bCs/>
                <w:color w:val="000000"/>
                <w:sz w:val="16"/>
                <w:szCs w:val="16"/>
              </w:rPr>
              <w:t>8 336 820</w:t>
            </w:r>
          </w:p>
        </w:tc>
      </w:tr>
      <w:tr w:rsidR="00BB2B8C" w:rsidRPr="00124B5D" w14:paraId="6FEA2C83"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74DED30" w14:textId="6A2CCAE9" w:rsidR="00BB2B8C" w:rsidRPr="00BB4F21" w:rsidRDefault="00BB2B8C" w:rsidP="00BB2B8C">
            <w:pPr>
              <w:spacing w:before="60" w:after="60"/>
              <w:jc w:val="center"/>
              <w:rPr>
                <w:rFonts w:cs="Arial"/>
                <w:bCs/>
                <w:sz w:val="16"/>
                <w:szCs w:val="16"/>
              </w:rPr>
            </w:pPr>
            <w:r w:rsidRPr="00BB4F21">
              <w:rPr>
                <w:rFonts w:cs="Arial"/>
                <w:bCs/>
                <w:color w:val="000000"/>
                <w:sz w:val="16"/>
                <w:szCs w:val="16"/>
              </w:rPr>
              <w:t>Niderlandy</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39130B8" w14:textId="00A30636"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7406B412" w14:textId="3D72961C"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4036FD57" w14:textId="5371395D" w:rsidR="00BB2B8C" w:rsidRPr="00BB4F21" w:rsidRDefault="00BB2B8C" w:rsidP="00BB2B8C">
            <w:pPr>
              <w:keepNext/>
              <w:spacing w:before="60" w:after="60"/>
              <w:jc w:val="right"/>
              <w:rPr>
                <w:rFonts w:cs="Arial"/>
                <w:bCs/>
                <w:sz w:val="16"/>
                <w:szCs w:val="16"/>
              </w:rPr>
            </w:pPr>
            <w:r w:rsidRPr="00BB4F21">
              <w:rPr>
                <w:rFonts w:cs="Arial"/>
                <w:color w:val="000000"/>
                <w:sz w:val="16"/>
                <w:szCs w:val="16"/>
              </w:rPr>
              <w:t>33</w:t>
            </w:r>
          </w:p>
        </w:tc>
        <w:tc>
          <w:tcPr>
            <w:tcW w:w="1417" w:type="dxa"/>
            <w:tcBorders>
              <w:top w:val="nil"/>
              <w:left w:val="single" w:sz="4" w:space="0" w:color="FFFFFF" w:themeColor="background1"/>
              <w:bottom w:val="nil"/>
              <w:right w:val="nil"/>
            </w:tcBorders>
            <w:shd w:val="clear" w:color="auto" w:fill="00B0F0"/>
            <w:vAlign w:val="center"/>
          </w:tcPr>
          <w:p w14:paraId="18A1D48A" w14:textId="39B29421"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24 008 529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363751F" w14:textId="12E98CA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7</w:t>
            </w:r>
          </w:p>
        </w:tc>
        <w:tc>
          <w:tcPr>
            <w:tcW w:w="1417" w:type="dxa"/>
            <w:tcBorders>
              <w:top w:val="nil"/>
              <w:left w:val="single" w:sz="4" w:space="0" w:color="FFFFFF" w:themeColor="background1"/>
              <w:bottom w:val="nil"/>
              <w:right w:val="nil"/>
            </w:tcBorders>
            <w:shd w:val="clear" w:color="auto" w:fill="00B0F0"/>
            <w:vAlign w:val="center"/>
          </w:tcPr>
          <w:p w14:paraId="6990E892" w14:textId="24C6CF1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230 302 106</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371FB9" w14:textId="3716B723"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40</w:t>
            </w:r>
          </w:p>
        </w:tc>
        <w:tc>
          <w:tcPr>
            <w:tcW w:w="1417" w:type="dxa"/>
            <w:tcBorders>
              <w:top w:val="nil"/>
              <w:left w:val="single" w:sz="4" w:space="0" w:color="FFFFFF" w:themeColor="background1"/>
              <w:bottom w:val="nil"/>
              <w:right w:val="nil"/>
            </w:tcBorders>
            <w:shd w:val="clear" w:color="auto" w:fill="00B0F0"/>
            <w:vAlign w:val="center"/>
          </w:tcPr>
          <w:p w14:paraId="18C8F19F" w14:textId="7D7C7F3F"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254 310 635</w:t>
            </w:r>
          </w:p>
        </w:tc>
      </w:tr>
      <w:tr w:rsidR="00BB2B8C" w:rsidRPr="00124B5D" w14:paraId="61C9F071" w14:textId="77777777" w:rsidTr="00A839CC">
        <w:trPr>
          <w:trHeight w:val="78"/>
        </w:trPr>
        <w:tc>
          <w:tcPr>
            <w:tcW w:w="1276" w:type="dxa"/>
            <w:tcBorders>
              <w:top w:val="nil"/>
              <w:left w:val="nil"/>
              <w:bottom w:val="nil"/>
              <w:right w:val="single" w:sz="4" w:space="0" w:color="FFFFFF" w:themeColor="background1"/>
            </w:tcBorders>
            <w:vAlign w:val="center"/>
          </w:tcPr>
          <w:p w14:paraId="05BA8FEF" w14:textId="7A049EEA" w:rsidR="00BB2B8C" w:rsidRPr="00BB4F21" w:rsidRDefault="00BB2B8C" w:rsidP="00BB2B8C">
            <w:pPr>
              <w:spacing w:before="60" w:after="60"/>
              <w:jc w:val="center"/>
              <w:rPr>
                <w:rFonts w:cs="Arial"/>
                <w:bCs/>
                <w:sz w:val="16"/>
                <w:szCs w:val="16"/>
              </w:rPr>
            </w:pPr>
            <w:r w:rsidRPr="00BB4F21">
              <w:rPr>
                <w:rFonts w:cs="Arial"/>
                <w:bCs/>
                <w:color w:val="000000"/>
                <w:sz w:val="16"/>
                <w:szCs w:val="16"/>
              </w:rPr>
              <w:t>Niemcy</w:t>
            </w:r>
          </w:p>
        </w:tc>
        <w:tc>
          <w:tcPr>
            <w:tcW w:w="851" w:type="dxa"/>
            <w:tcBorders>
              <w:top w:val="nil"/>
              <w:left w:val="single" w:sz="4" w:space="0" w:color="FFFFFF" w:themeColor="background1"/>
              <w:bottom w:val="nil"/>
              <w:right w:val="single" w:sz="4" w:space="0" w:color="FFFFFF" w:themeColor="background1"/>
            </w:tcBorders>
            <w:vAlign w:val="center"/>
          </w:tcPr>
          <w:p w14:paraId="61307E7E" w14:textId="1E51823A" w:rsidR="00BB2B8C" w:rsidRPr="00BB4F21" w:rsidRDefault="00BB2B8C" w:rsidP="00BB2B8C">
            <w:pPr>
              <w:spacing w:before="60" w:after="60"/>
              <w:jc w:val="right"/>
              <w:rPr>
                <w:rFonts w:cs="Arial"/>
                <w:sz w:val="16"/>
                <w:szCs w:val="16"/>
              </w:rPr>
            </w:pPr>
            <w:r w:rsidRPr="00BB4F21">
              <w:rPr>
                <w:rFonts w:cs="Arial"/>
                <w:color w:val="000000"/>
                <w:sz w:val="16"/>
                <w:szCs w:val="16"/>
              </w:rPr>
              <w:t>2</w:t>
            </w:r>
          </w:p>
        </w:tc>
        <w:tc>
          <w:tcPr>
            <w:tcW w:w="1275" w:type="dxa"/>
            <w:tcBorders>
              <w:top w:val="nil"/>
              <w:left w:val="single" w:sz="4" w:space="0" w:color="FFFFFF" w:themeColor="background1"/>
              <w:bottom w:val="nil"/>
              <w:right w:val="single" w:sz="4" w:space="0" w:color="FFFFFF" w:themeColor="background1"/>
            </w:tcBorders>
            <w:vAlign w:val="center"/>
          </w:tcPr>
          <w:p w14:paraId="1C718A3B" w14:textId="37FDB16E" w:rsidR="00BB2B8C" w:rsidRPr="00BB4F21" w:rsidRDefault="00BB2B8C" w:rsidP="00BB2B8C">
            <w:pPr>
              <w:spacing w:before="60" w:after="60"/>
              <w:jc w:val="right"/>
              <w:rPr>
                <w:rFonts w:cs="Arial"/>
                <w:sz w:val="16"/>
                <w:szCs w:val="16"/>
              </w:rPr>
            </w:pPr>
            <w:r w:rsidRPr="00BB4F21">
              <w:rPr>
                <w:rFonts w:cs="Arial"/>
                <w:color w:val="000000"/>
                <w:sz w:val="16"/>
                <w:szCs w:val="16"/>
              </w:rPr>
              <w:t>153 765 854</w:t>
            </w:r>
          </w:p>
        </w:tc>
        <w:tc>
          <w:tcPr>
            <w:tcW w:w="851" w:type="dxa"/>
            <w:tcBorders>
              <w:top w:val="nil"/>
              <w:left w:val="single" w:sz="4" w:space="0" w:color="FFFFFF" w:themeColor="background1"/>
              <w:bottom w:val="nil"/>
              <w:right w:val="nil"/>
            </w:tcBorders>
            <w:vAlign w:val="center"/>
          </w:tcPr>
          <w:p w14:paraId="4AD0C6D6" w14:textId="1A8C91F2" w:rsidR="00BB2B8C" w:rsidRPr="00BB4F21" w:rsidRDefault="00BB2B8C" w:rsidP="00BB2B8C">
            <w:pPr>
              <w:spacing w:before="60" w:after="60"/>
              <w:jc w:val="right"/>
              <w:rPr>
                <w:rFonts w:cs="Arial"/>
                <w:bCs/>
                <w:sz w:val="16"/>
                <w:szCs w:val="16"/>
              </w:rPr>
            </w:pPr>
            <w:r w:rsidRPr="00BB4F21">
              <w:rPr>
                <w:rFonts w:cs="Arial"/>
                <w:color w:val="000000"/>
                <w:sz w:val="16"/>
                <w:szCs w:val="16"/>
              </w:rPr>
              <w:t>198</w:t>
            </w:r>
          </w:p>
        </w:tc>
        <w:tc>
          <w:tcPr>
            <w:tcW w:w="1417" w:type="dxa"/>
            <w:tcBorders>
              <w:top w:val="nil"/>
              <w:left w:val="single" w:sz="4" w:space="0" w:color="FFFFFF" w:themeColor="background1"/>
              <w:bottom w:val="nil"/>
              <w:right w:val="nil"/>
            </w:tcBorders>
            <w:vAlign w:val="center"/>
          </w:tcPr>
          <w:p w14:paraId="4668CB92" w14:textId="1DC7A13F" w:rsidR="00BB2B8C" w:rsidRPr="00BB4F21" w:rsidRDefault="00BB2B8C" w:rsidP="00BB2B8C">
            <w:pPr>
              <w:spacing w:before="60" w:after="60"/>
              <w:jc w:val="right"/>
              <w:rPr>
                <w:rFonts w:cs="Arial"/>
                <w:bCs/>
                <w:sz w:val="16"/>
                <w:szCs w:val="16"/>
              </w:rPr>
            </w:pPr>
            <w:r w:rsidRPr="00BB4F21">
              <w:rPr>
                <w:rFonts w:cs="Arial"/>
                <w:color w:val="000000"/>
                <w:sz w:val="16"/>
                <w:szCs w:val="16"/>
              </w:rPr>
              <w:t>527 962 423</w:t>
            </w:r>
          </w:p>
        </w:tc>
        <w:tc>
          <w:tcPr>
            <w:tcW w:w="851" w:type="dxa"/>
            <w:tcBorders>
              <w:top w:val="nil"/>
              <w:left w:val="single" w:sz="4" w:space="0" w:color="FFFFFF" w:themeColor="background1"/>
              <w:bottom w:val="nil"/>
              <w:right w:val="single" w:sz="4" w:space="0" w:color="FFFFFF" w:themeColor="background1"/>
            </w:tcBorders>
            <w:vAlign w:val="center"/>
          </w:tcPr>
          <w:p w14:paraId="3D5672FC" w14:textId="0E81A76F" w:rsidR="00BB2B8C" w:rsidRPr="00BB4F21" w:rsidRDefault="00BB2B8C" w:rsidP="00BB2B8C">
            <w:pPr>
              <w:spacing w:before="60" w:after="60"/>
              <w:jc w:val="right"/>
              <w:rPr>
                <w:rFonts w:cs="Arial"/>
                <w:bCs/>
                <w:sz w:val="16"/>
                <w:szCs w:val="16"/>
              </w:rPr>
            </w:pPr>
            <w:r w:rsidRPr="00BB4F21">
              <w:rPr>
                <w:rFonts w:cs="Arial"/>
                <w:color w:val="000000"/>
                <w:sz w:val="16"/>
                <w:szCs w:val="16"/>
              </w:rPr>
              <w:t>22</w:t>
            </w:r>
          </w:p>
        </w:tc>
        <w:tc>
          <w:tcPr>
            <w:tcW w:w="1417" w:type="dxa"/>
            <w:tcBorders>
              <w:top w:val="nil"/>
              <w:left w:val="single" w:sz="4" w:space="0" w:color="FFFFFF" w:themeColor="background1"/>
              <w:bottom w:val="nil"/>
              <w:right w:val="nil"/>
            </w:tcBorders>
            <w:vAlign w:val="center"/>
          </w:tcPr>
          <w:p w14:paraId="38860A4F" w14:textId="1F0113FC" w:rsidR="00BB2B8C" w:rsidRPr="00BB4F21" w:rsidRDefault="00BB2B8C" w:rsidP="00BB2B8C">
            <w:pPr>
              <w:spacing w:before="60" w:after="60"/>
              <w:jc w:val="right"/>
              <w:rPr>
                <w:rFonts w:cs="Arial"/>
                <w:bCs/>
                <w:sz w:val="16"/>
                <w:szCs w:val="16"/>
              </w:rPr>
            </w:pPr>
            <w:r w:rsidRPr="00BB4F21">
              <w:rPr>
                <w:rFonts w:cs="Arial"/>
                <w:color w:val="000000"/>
                <w:sz w:val="16"/>
                <w:szCs w:val="16"/>
              </w:rPr>
              <w:t>623 618 482</w:t>
            </w:r>
          </w:p>
        </w:tc>
        <w:tc>
          <w:tcPr>
            <w:tcW w:w="851" w:type="dxa"/>
            <w:tcBorders>
              <w:top w:val="nil"/>
              <w:left w:val="single" w:sz="4" w:space="0" w:color="FFFFFF" w:themeColor="background1"/>
              <w:bottom w:val="nil"/>
              <w:right w:val="single" w:sz="4" w:space="0" w:color="FFFFFF" w:themeColor="background1"/>
            </w:tcBorders>
            <w:vAlign w:val="center"/>
          </w:tcPr>
          <w:p w14:paraId="09464D99" w14:textId="2C2A834E" w:rsidR="00BB2B8C" w:rsidRPr="00BB2B8C" w:rsidRDefault="00BB2B8C" w:rsidP="00BB2B8C">
            <w:pPr>
              <w:spacing w:before="60" w:after="60"/>
              <w:jc w:val="right"/>
              <w:rPr>
                <w:rFonts w:cs="Arial"/>
                <w:bCs/>
                <w:sz w:val="16"/>
                <w:szCs w:val="16"/>
              </w:rPr>
            </w:pPr>
            <w:r w:rsidRPr="00BB2B8C">
              <w:rPr>
                <w:rFonts w:cs="Arial"/>
                <w:bCs/>
                <w:color w:val="000000"/>
                <w:sz w:val="16"/>
                <w:szCs w:val="16"/>
              </w:rPr>
              <w:t>222</w:t>
            </w:r>
          </w:p>
        </w:tc>
        <w:tc>
          <w:tcPr>
            <w:tcW w:w="1417" w:type="dxa"/>
            <w:tcBorders>
              <w:top w:val="nil"/>
              <w:left w:val="single" w:sz="4" w:space="0" w:color="FFFFFF" w:themeColor="background1"/>
              <w:bottom w:val="nil"/>
              <w:right w:val="nil"/>
            </w:tcBorders>
            <w:vAlign w:val="center"/>
          </w:tcPr>
          <w:p w14:paraId="691B9257" w14:textId="75FC2511" w:rsidR="00BB2B8C" w:rsidRPr="00BB2B8C" w:rsidRDefault="00BB2B8C" w:rsidP="00BB2B8C">
            <w:pPr>
              <w:spacing w:before="60" w:after="60"/>
              <w:jc w:val="right"/>
              <w:rPr>
                <w:rFonts w:cs="Arial"/>
                <w:bCs/>
                <w:sz w:val="16"/>
                <w:szCs w:val="16"/>
              </w:rPr>
            </w:pPr>
            <w:r w:rsidRPr="00BB2B8C">
              <w:rPr>
                <w:rFonts w:cs="Arial"/>
                <w:bCs/>
                <w:color w:val="000000"/>
                <w:sz w:val="16"/>
                <w:szCs w:val="16"/>
              </w:rPr>
              <w:t>1 305 346 758</w:t>
            </w:r>
          </w:p>
        </w:tc>
      </w:tr>
      <w:tr w:rsidR="00BB2B8C" w:rsidRPr="00124B5D" w14:paraId="3E8ECCFE"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1B19FAEA" w14:textId="0768690A" w:rsidR="00BB2B8C" w:rsidRPr="00BB4F21" w:rsidRDefault="00BB2B8C" w:rsidP="00BB2B8C">
            <w:pPr>
              <w:spacing w:before="60" w:after="60"/>
              <w:jc w:val="center"/>
              <w:rPr>
                <w:rFonts w:cs="Arial"/>
                <w:bCs/>
                <w:sz w:val="16"/>
                <w:szCs w:val="16"/>
              </w:rPr>
            </w:pPr>
            <w:r w:rsidRPr="00BB4F21">
              <w:rPr>
                <w:rFonts w:cs="Arial"/>
                <w:bCs/>
                <w:color w:val="000000"/>
                <w:sz w:val="16"/>
                <w:szCs w:val="16"/>
              </w:rPr>
              <w:t>Norwegia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EBBB102" w14:textId="742FFC75"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18276F1" w14:textId="7226769E"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519AD87" w14:textId="1A447DF9"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5522F3CD" w14:textId="58AAB95C"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8EFDE8F" w14:textId="4B926AD7" w:rsidR="00BB2B8C" w:rsidRPr="00BB4F21" w:rsidRDefault="00BB2B8C" w:rsidP="00BB2B8C">
            <w:pPr>
              <w:keepNext/>
              <w:spacing w:before="60" w:after="60"/>
              <w:jc w:val="right"/>
              <w:rPr>
                <w:rFonts w:cs="Arial"/>
                <w:bCs/>
                <w:sz w:val="16"/>
                <w:szCs w:val="16"/>
              </w:rPr>
            </w:pPr>
            <w:r w:rsidRPr="00BB4F21">
              <w:rPr>
                <w:rFonts w:cs="Arial"/>
                <w:color w:val="000000"/>
                <w:sz w:val="16"/>
                <w:szCs w:val="16"/>
              </w:rPr>
              <w:t>5</w:t>
            </w:r>
          </w:p>
        </w:tc>
        <w:tc>
          <w:tcPr>
            <w:tcW w:w="1417" w:type="dxa"/>
            <w:tcBorders>
              <w:top w:val="nil"/>
              <w:left w:val="single" w:sz="4" w:space="0" w:color="FFFFFF" w:themeColor="background1"/>
              <w:bottom w:val="nil"/>
              <w:right w:val="nil"/>
            </w:tcBorders>
            <w:shd w:val="clear" w:color="auto" w:fill="00B0F0"/>
            <w:vAlign w:val="center"/>
          </w:tcPr>
          <w:p w14:paraId="6539DAAE" w14:textId="4B199B83" w:rsidR="00BB2B8C" w:rsidRPr="00BB4F21" w:rsidRDefault="00BB2B8C" w:rsidP="00BB2B8C">
            <w:pPr>
              <w:keepNext/>
              <w:spacing w:before="60" w:after="60"/>
              <w:jc w:val="right"/>
              <w:rPr>
                <w:rFonts w:cs="Arial"/>
                <w:bCs/>
                <w:sz w:val="16"/>
                <w:szCs w:val="16"/>
              </w:rPr>
            </w:pPr>
            <w:r w:rsidRPr="00BB4F21">
              <w:rPr>
                <w:rFonts w:cs="Arial"/>
                <w:color w:val="000000"/>
                <w:sz w:val="16"/>
                <w:szCs w:val="16"/>
              </w:rPr>
              <w:t>56 946 854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7873108" w14:textId="6527064B"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5</w:t>
            </w:r>
          </w:p>
        </w:tc>
        <w:tc>
          <w:tcPr>
            <w:tcW w:w="1417" w:type="dxa"/>
            <w:tcBorders>
              <w:top w:val="nil"/>
              <w:left w:val="single" w:sz="4" w:space="0" w:color="FFFFFF" w:themeColor="background1"/>
              <w:bottom w:val="nil"/>
              <w:right w:val="nil"/>
            </w:tcBorders>
            <w:shd w:val="clear" w:color="auto" w:fill="00B0F0"/>
            <w:vAlign w:val="center"/>
          </w:tcPr>
          <w:p w14:paraId="1870E85C" w14:textId="252954AC"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56 946 854</w:t>
            </w:r>
          </w:p>
        </w:tc>
      </w:tr>
      <w:tr w:rsidR="00BB2B8C" w:rsidRPr="00124B5D" w14:paraId="6654CBB4" w14:textId="77777777" w:rsidTr="00A839CC">
        <w:trPr>
          <w:trHeight w:val="78"/>
        </w:trPr>
        <w:tc>
          <w:tcPr>
            <w:tcW w:w="1276" w:type="dxa"/>
            <w:tcBorders>
              <w:top w:val="nil"/>
              <w:left w:val="nil"/>
              <w:bottom w:val="nil"/>
              <w:right w:val="single" w:sz="4" w:space="0" w:color="FFFFFF" w:themeColor="background1"/>
            </w:tcBorders>
            <w:vAlign w:val="center"/>
          </w:tcPr>
          <w:p w14:paraId="075AEF43" w14:textId="306FCF86" w:rsidR="00BB2B8C" w:rsidRPr="00BB4F21" w:rsidRDefault="00BB2B8C" w:rsidP="00BB2B8C">
            <w:pPr>
              <w:spacing w:before="60" w:after="60"/>
              <w:jc w:val="center"/>
              <w:rPr>
                <w:rFonts w:cs="Arial"/>
                <w:bCs/>
                <w:sz w:val="16"/>
                <w:szCs w:val="16"/>
              </w:rPr>
            </w:pPr>
            <w:r w:rsidRPr="00BB4F21">
              <w:rPr>
                <w:rFonts w:cs="Arial"/>
                <w:bCs/>
                <w:color w:val="000000"/>
                <w:sz w:val="16"/>
                <w:szCs w:val="16"/>
              </w:rPr>
              <w:t>Rosja</w:t>
            </w:r>
          </w:p>
        </w:tc>
        <w:tc>
          <w:tcPr>
            <w:tcW w:w="851" w:type="dxa"/>
            <w:tcBorders>
              <w:top w:val="nil"/>
              <w:left w:val="single" w:sz="4" w:space="0" w:color="FFFFFF" w:themeColor="background1"/>
              <w:bottom w:val="nil"/>
              <w:right w:val="single" w:sz="4" w:space="0" w:color="FFFFFF" w:themeColor="background1"/>
            </w:tcBorders>
            <w:vAlign w:val="center"/>
          </w:tcPr>
          <w:p w14:paraId="46999FA7" w14:textId="4EEA33F6"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0E8E99FF" w14:textId="2E750200"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0FB67453" w14:textId="4C7926D7"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vAlign w:val="center"/>
          </w:tcPr>
          <w:p w14:paraId="65995FD4" w14:textId="5ED3D3CE" w:rsidR="00BB2B8C" w:rsidRPr="00BB4F21" w:rsidRDefault="00BB2B8C" w:rsidP="00BB2B8C">
            <w:pPr>
              <w:spacing w:before="60" w:after="60"/>
              <w:jc w:val="right"/>
              <w:rPr>
                <w:rFonts w:cs="Arial"/>
                <w:bCs/>
                <w:sz w:val="16"/>
                <w:szCs w:val="16"/>
              </w:rPr>
            </w:pPr>
            <w:r w:rsidRPr="00BB4F21">
              <w:rPr>
                <w:rFonts w:cs="Arial"/>
                <w:color w:val="000000"/>
                <w:sz w:val="16"/>
                <w:szCs w:val="16"/>
              </w:rPr>
              <w:t>348 000</w:t>
            </w:r>
          </w:p>
        </w:tc>
        <w:tc>
          <w:tcPr>
            <w:tcW w:w="851" w:type="dxa"/>
            <w:tcBorders>
              <w:top w:val="nil"/>
              <w:left w:val="single" w:sz="4" w:space="0" w:color="FFFFFF" w:themeColor="background1"/>
              <w:bottom w:val="nil"/>
              <w:right w:val="single" w:sz="4" w:space="0" w:color="FFFFFF" w:themeColor="background1"/>
            </w:tcBorders>
            <w:vAlign w:val="center"/>
          </w:tcPr>
          <w:p w14:paraId="47FE3363" w14:textId="74D93E10"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7E0641F7" w14:textId="3D78EACD"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511D9B3D" w14:textId="3DA213C4" w:rsidR="00BB2B8C" w:rsidRPr="00BB2B8C" w:rsidRDefault="00BB2B8C" w:rsidP="00BB2B8C">
            <w:pPr>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vAlign w:val="center"/>
          </w:tcPr>
          <w:p w14:paraId="77D94C66" w14:textId="0DDD1269" w:rsidR="00BB2B8C" w:rsidRPr="00BB2B8C" w:rsidRDefault="00BB2B8C" w:rsidP="00BB2B8C">
            <w:pPr>
              <w:spacing w:before="60" w:after="60"/>
              <w:jc w:val="right"/>
              <w:rPr>
                <w:rFonts w:cs="Arial"/>
                <w:bCs/>
                <w:sz w:val="16"/>
                <w:szCs w:val="16"/>
              </w:rPr>
            </w:pPr>
            <w:r w:rsidRPr="00BB2B8C">
              <w:rPr>
                <w:rFonts w:cs="Arial"/>
                <w:bCs/>
                <w:color w:val="000000"/>
                <w:sz w:val="16"/>
                <w:szCs w:val="16"/>
              </w:rPr>
              <w:t>348 000</w:t>
            </w:r>
          </w:p>
        </w:tc>
      </w:tr>
      <w:tr w:rsidR="00BB2B8C" w:rsidRPr="00124B5D" w14:paraId="2BC2ADEA"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5E17B2E6" w14:textId="7F716D88" w:rsidR="00BB2B8C" w:rsidRPr="00BB4F21" w:rsidRDefault="00BB2B8C" w:rsidP="00BB2B8C">
            <w:pPr>
              <w:spacing w:before="60" w:after="60"/>
              <w:jc w:val="center"/>
              <w:rPr>
                <w:rFonts w:cs="Arial"/>
                <w:bCs/>
                <w:sz w:val="16"/>
                <w:szCs w:val="16"/>
              </w:rPr>
            </w:pPr>
            <w:r w:rsidRPr="00BB4F21">
              <w:rPr>
                <w:rFonts w:cs="Arial"/>
                <w:bCs/>
                <w:color w:val="000000"/>
                <w:sz w:val="16"/>
                <w:szCs w:val="16"/>
              </w:rPr>
              <w:t>Rumunia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E36FAB8" w14:textId="3EC0897B"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2E3D4487" w14:textId="57815D63"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7F7AC728" w14:textId="7D9DF43E"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24373AC0" w14:textId="19065A1B"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5D59CE8" w14:textId="3D840998"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1EF16339" w14:textId="0D70EA8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7 376 854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D784DC3" w14:textId="7517EF34"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w:t>
            </w:r>
          </w:p>
        </w:tc>
        <w:tc>
          <w:tcPr>
            <w:tcW w:w="1417" w:type="dxa"/>
            <w:tcBorders>
              <w:top w:val="nil"/>
              <w:left w:val="single" w:sz="4" w:space="0" w:color="FFFFFF" w:themeColor="background1"/>
              <w:bottom w:val="nil"/>
              <w:right w:val="nil"/>
            </w:tcBorders>
            <w:shd w:val="clear" w:color="auto" w:fill="00B0F0"/>
            <w:vAlign w:val="center"/>
          </w:tcPr>
          <w:p w14:paraId="7B4BF353" w14:textId="32408C69"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7 376 854</w:t>
            </w:r>
          </w:p>
        </w:tc>
      </w:tr>
      <w:tr w:rsidR="00BB2B8C" w:rsidRPr="00124B5D" w14:paraId="5D587458" w14:textId="77777777" w:rsidTr="00A839CC">
        <w:trPr>
          <w:trHeight w:val="78"/>
        </w:trPr>
        <w:tc>
          <w:tcPr>
            <w:tcW w:w="1276" w:type="dxa"/>
            <w:tcBorders>
              <w:top w:val="nil"/>
              <w:left w:val="nil"/>
              <w:bottom w:val="nil"/>
              <w:right w:val="single" w:sz="4" w:space="0" w:color="FFFFFF" w:themeColor="background1"/>
            </w:tcBorders>
            <w:vAlign w:val="center"/>
          </w:tcPr>
          <w:p w14:paraId="6696C019" w14:textId="3FE3175D" w:rsidR="00BB2B8C" w:rsidRPr="00BB4F21" w:rsidRDefault="00BB2B8C" w:rsidP="00BB2B8C">
            <w:pPr>
              <w:spacing w:before="60" w:after="60"/>
              <w:jc w:val="center"/>
              <w:rPr>
                <w:rFonts w:cs="Arial"/>
                <w:bCs/>
                <w:sz w:val="16"/>
                <w:szCs w:val="16"/>
              </w:rPr>
            </w:pPr>
            <w:r w:rsidRPr="00BB4F21">
              <w:rPr>
                <w:rFonts w:cs="Arial"/>
                <w:bCs/>
                <w:color w:val="000000"/>
                <w:sz w:val="16"/>
                <w:szCs w:val="16"/>
              </w:rPr>
              <w:t>Słowacja</w:t>
            </w:r>
          </w:p>
        </w:tc>
        <w:tc>
          <w:tcPr>
            <w:tcW w:w="851" w:type="dxa"/>
            <w:tcBorders>
              <w:top w:val="nil"/>
              <w:left w:val="single" w:sz="4" w:space="0" w:color="FFFFFF" w:themeColor="background1"/>
              <w:bottom w:val="nil"/>
              <w:right w:val="single" w:sz="4" w:space="0" w:color="FFFFFF" w:themeColor="background1"/>
            </w:tcBorders>
            <w:vAlign w:val="center"/>
          </w:tcPr>
          <w:p w14:paraId="405473F8" w14:textId="67795427"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02F1D8B9" w14:textId="62E8133F"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1313ECB4" w14:textId="06041318" w:rsidR="00BB2B8C" w:rsidRPr="00BB4F21" w:rsidRDefault="00BB2B8C" w:rsidP="00BB2B8C">
            <w:pPr>
              <w:spacing w:before="60" w:after="60"/>
              <w:jc w:val="right"/>
              <w:rPr>
                <w:rFonts w:cs="Arial"/>
                <w:bCs/>
                <w:sz w:val="16"/>
                <w:szCs w:val="16"/>
              </w:rPr>
            </w:pPr>
            <w:r w:rsidRPr="00BB4F21">
              <w:rPr>
                <w:rFonts w:cs="Arial"/>
                <w:color w:val="000000"/>
                <w:sz w:val="16"/>
                <w:szCs w:val="16"/>
              </w:rPr>
              <w:t>3</w:t>
            </w:r>
          </w:p>
        </w:tc>
        <w:tc>
          <w:tcPr>
            <w:tcW w:w="1417" w:type="dxa"/>
            <w:tcBorders>
              <w:top w:val="nil"/>
              <w:left w:val="single" w:sz="4" w:space="0" w:color="FFFFFF" w:themeColor="background1"/>
              <w:bottom w:val="nil"/>
              <w:right w:val="nil"/>
            </w:tcBorders>
            <w:vAlign w:val="center"/>
          </w:tcPr>
          <w:p w14:paraId="7E6C7168" w14:textId="655D3E0F" w:rsidR="00BB2B8C" w:rsidRPr="00BB4F21" w:rsidRDefault="00BB2B8C" w:rsidP="00BB2B8C">
            <w:pPr>
              <w:spacing w:before="60" w:after="60"/>
              <w:jc w:val="right"/>
              <w:rPr>
                <w:rFonts w:cs="Arial"/>
                <w:bCs/>
                <w:sz w:val="16"/>
                <w:szCs w:val="16"/>
              </w:rPr>
            </w:pPr>
            <w:r w:rsidRPr="00BB4F21">
              <w:rPr>
                <w:rFonts w:cs="Arial"/>
                <w:color w:val="000000"/>
                <w:sz w:val="16"/>
                <w:szCs w:val="16"/>
              </w:rPr>
              <w:t>6 577 400</w:t>
            </w:r>
          </w:p>
        </w:tc>
        <w:tc>
          <w:tcPr>
            <w:tcW w:w="851" w:type="dxa"/>
            <w:tcBorders>
              <w:top w:val="nil"/>
              <w:left w:val="single" w:sz="4" w:space="0" w:color="FFFFFF" w:themeColor="background1"/>
              <w:bottom w:val="nil"/>
              <w:right w:val="single" w:sz="4" w:space="0" w:color="FFFFFF" w:themeColor="background1"/>
            </w:tcBorders>
            <w:vAlign w:val="center"/>
          </w:tcPr>
          <w:p w14:paraId="2147A695" w14:textId="4522A415"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54CE6916" w14:textId="5CFDA347" w:rsidR="00BB2B8C" w:rsidRPr="00BB4F21" w:rsidRDefault="00BB2B8C" w:rsidP="00BB2B8C">
            <w:pPr>
              <w:spacing w:before="60" w:after="60"/>
              <w:jc w:val="right"/>
              <w:rPr>
                <w:rFonts w:cs="Arial"/>
                <w:bCs/>
                <w:sz w:val="16"/>
                <w:szCs w:val="16"/>
              </w:rPr>
            </w:pPr>
            <w:r w:rsidRPr="00BB4F21">
              <w:rPr>
                <w:rFonts w:cs="Arial"/>
                <w:color w:val="000000"/>
                <w:sz w:val="16"/>
                <w:szCs w:val="16"/>
              </w:rPr>
              <w:t>785 100</w:t>
            </w:r>
          </w:p>
        </w:tc>
        <w:tc>
          <w:tcPr>
            <w:tcW w:w="851" w:type="dxa"/>
            <w:tcBorders>
              <w:top w:val="nil"/>
              <w:left w:val="single" w:sz="4" w:space="0" w:color="FFFFFF" w:themeColor="background1"/>
              <w:bottom w:val="nil"/>
              <w:right w:val="single" w:sz="4" w:space="0" w:color="FFFFFF" w:themeColor="background1"/>
            </w:tcBorders>
            <w:vAlign w:val="center"/>
          </w:tcPr>
          <w:p w14:paraId="0DA24B5C" w14:textId="71576EFC" w:rsidR="00BB2B8C" w:rsidRPr="00BB2B8C" w:rsidRDefault="00BB2B8C" w:rsidP="00BB2B8C">
            <w:pPr>
              <w:spacing w:before="60" w:after="60"/>
              <w:jc w:val="right"/>
              <w:rPr>
                <w:rFonts w:cs="Arial"/>
                <w:bCs/>
                <w:sz w:val="16"/>
                <w:szCs w:val="16"/>
              </w:rPr>
            </w:pPr>
            <w:r w:rsidRPr="00BB2B8C">
              <w:rPr>
                <w:rFonts w:cs="Arial"/>
                <w:bCs/>
                <w:color w:val="000000"/>
                <w:sz w:val="16"/>
                <w:szCs w:val="16"/>
              </w:rPr>
              <w:t>5</w:t>
            </w:r>
          </w:p>
        </w:tc>
        <w:tc>
          <w:tcPr>
            <w:tcW w:w="1417" w:type="dxa"/>
            <w:tcBorders>
              <w:top w:val="nil"/>
              <w:left w:val="single" w:sz="4" w:space="0" w:color="FFFFFF" w:themeColor="background1"/>
              <w:bottom w:val="nil"/>
              <w:right w:val="nil"/>
            </w:tcBorders>
            <w:vAlign w:val="center"/>
          </w:tcPr>
          <w:p w14:paraId="2631BE26" w14:textId="4249A764" w:rsidR="00BB2B8C" w:rsidRPr="00BB2B8C" w:rsidRDefault="00BB2B8C" w:rsidP="00BB2B8C">
            <w:pPr>
              <w:spacing w:before="60" w:after="60"/>
              <w:jc w:val="right"/>
              <w:rPr>
                <w:rFonts w:cs="Arial"/>
                <w:bCs/>
                <w:sz w:val="16"/>
                <w:szCs w:val="16"/>
              </w:rPr>
            </w:pPr>
            <w:r w:rsidRPr="00BB2B8C">
              <w:rPr>
                <w:rFonts w:cs="Arial"/>
                <w:bCs/>
                <w:color w:val="000000"/>
                <w:sz w:val="16"/>
                <w:szCs w:val="16"/>
              </w:rPr>
              <w:t>7 362 500</w:t>
            </w:r>
          </w:p>
        </w:tc>
      </w:tr>
      <w:tr w:rsidR="00BB2B8C" w:rsidRPr="00124B5D" w14:paraId="40D95523"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079F9063" w14:textId="77777777" w:rsidR="00BB2B8C" w:rsidRDefault="00BB2B8C" w:rsidP="00BB2B8C">
            <w:pPr>
              <w:spacing w:before="60" w:after="60"/>
              <w:jc w:val="center"/>
              <w:rPr>
                <w:rFonts w:cs="Arial"/>
                <w:bCs/>
                <w:color w:val="000000"/>
                <w:sz w:val="16"/>
                <w:szCs w:val="16"/>
              </w:rPr>
            </w:pPr>
            <w:r w:rsidRPr="00BB4F21">
              <w:rPr>
                <w:rFonts w:cs="Arial"/>
                <w:bCs/>
                <w:color w:val="000000"/>
                <w:sz w:val="16"/>
                <w:szCs w:val="16"/>
              </w:rPr>
              <w:t>Szwajcaria</w:t>
            </w:r>
          </w:p>
          <w:p w14:paraId="25744B2E" w14:textId="4C5169BC" w:rsidR="00BB2B8C" w:rsidRPr="00BB4F21" w:rsidRDefault="00BB2B8C" w:rsidP="00BB2B8C">
            <w:pPr>
              <w:spacing w:before="60" w:after="60"/>
              <w:jc w:val="center"/>
              <w:rPr>
                <w:rFonts w:cs="Arial"/>
                <w:bCs/>
                <w:sz w:val="16"/>
                <w:szCs w:val="16"/>
              </w:rPr>
            </w:pPr>
            <w:r>
              <w:rPr>
                <w:rFonts w:cs="Arial"/>
                <w:bCs/>
                <w:color w:val="000000"/>
                <w:sz w:val="16"/>
                <w:szCs w:val="16"/>
              </w:rPr>
              <w:t>konkurs</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974FD2C" w14:textId="179DD6DE"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8217C8B" w14:textId="1EA2A5E7"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7B3A834" w14:textId="515E3506" w:rsidR="00BB2B8C" w:rsidRPr="00BB4F21" w:rsidRDefault="00BB2B8C" w:rsidP="00BB2B8C">
            <w:pPr>
              <w:keepNext/>
              <w:spacing w:before="60" w:after="60"/>
              <w:jc w:val="right"/>
              <w:rPr>
                <w:rFonts w:cs="Arial"/>
                <w:bCs/>
                <w:sz w:val="16"/>
                <w:szCs w:val="16"/>
              </w:rPr>
            </w:pPr>
            <w:r w:rsidRPr="00BB4F21">
              <w:rPr>
                <w:rFonts w:cs="Arial"/>
                <w:color w:val="000000"/>
                <w:sz w:val="16"/>
                <w:szCs w:val="16"/>
              </w:rPr>
              <w:t>59</w:t>
            </w:r>
          </w:p>
        </w:tc>
        <w:tc>
          <w:tcPr>
            <w:tcW w:w="1417" w:type="dxa"/>
            <w:tcBorders>
              <w:top w:val="nil"/>
              <w:left w:val="single" w:sz="4" w:space="0" w:color="FFFFFF" w:themeColor="background1"/>
              <w:bottom w:val="nil"/>
              <w:right w:val="nil"/>
            </w:tcBorders>
            <w:shd w:val="clear" w:color="auto" w:fill="00B0F0"/>
            <w:vAlign w:val="center"/>
          </w:tcPr>
          <w:p w14:paraId="2248A637" w14:textId="2624F7B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66 070 460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6F83F5E8" w14:textId="77777777" w:rsidR="00BB2B8C" w:rsidRDefault="00BB2B8C" w:rsidP="00BB2B8C">
            <w:pPr>
              <w:keepNext/>
              <w:spacing w:before="60" w:after="60"/>
              <w:jc w:val="right"/>
              <w:rPr>
                <w:rFonts w:cs="Arial"/>
                <w:color w:val="000000"/>
                <w:sz w:val="16"/>
                <w:szCs w:val="16"/>
              </w:rPr>
            </w:pPr>
            <w:r w:rsidRPr="00BB4F21">
              <w:rPr>
                <w:rFonts w:cs="Arial"/>
                <w:color w:val="000000"/>
                <w:sz w:val="16"/>
                <w:szCs w:val="16"/>
              </w:rPr>
              <w:t>10</w:t>
            </w:r>
          </w:p>
          <w:p w14:paraId="581D3EDB" w14:textId="347DBED1" w:rsidR="00BB2B8C" w:rsidRPr="00BB4F21" w:rsidRDefault="00BB2B8C" w:rsidP="00BB2B8C">
            <w:pPr>
              <w:keepNext/>
              <w:spacing w:before="60" w:after="60"/>
              <w:jc w:val="right"/>
              <w:rPr>
                <w:rFonts w:cs="Arial"/>
                <w:bCs/>
                <w:sz w:val="16"/>
                <w:szCs w:val="16"/>
              </w:rPr>
            </w:pPr>
            <w:r>
              <w:rPr>
                <w:rFonts w:cs="Arial"/>
                <w:bCs/>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547016B4" w14:textId="628199AD" w:rsidR="00BB2B8C" w:rsidRDefault="00BB2B8C" w:rsidP="00BB2B8C">
            <w:pPr>
              <w:keepNext/>
              <w:spacing w:before="60" w:after="60"/>
              <w:jc w:val="right"/>
              <w:rPr>
                <w:rFonts w:cs="Arial"/>
                <w:color w:val="000000"/>
                <w:sz w:val="16"/>
                <w:szCs w:val="16"/>
              </w:rPr>
            </w:pPr>
            <w:r w:rsidRPr="00BB4F21">
              <w:rPr>
                <w:rFonts w:cs="Arial"/>
                <w:color w:val="000000"/>
                <w:sz w:val="16"/>
                <w:szCs w:val="16"/>
              </w:rPr>
              <w:t>183</w:t>
            </w:r>
            <w:r w:rsidR="009343A1">
              <w:rPr>
                <w:rFonts w:cs="Arial"/>
                <w:color w:val="000000"/>
                <w:sz w:val="16"/>
                <w:szCs w:val="16"/>
              </w:rPr>
              <w:t xml:space="preserve"> </w:t>
            </w:r>
            <w:r w:rsidRPr="00BB4F21">
              <w:rPr>
                <w:rFonts w:cs="Arial"/>
                <w:color w:val="000000"/>
                <w:sz w:val="16"/>
                <w:szCs w:val="16"/>
              </w:rPr>
              <w:t>906</w:t>
            </w:r>
            <w:r>
              <w:rPr>
                <w:rFonts w:cs="Arial"/>
                <w:color w:val="000000"/>
                <w:sz w:val="16"/>
                <w:szCs w:val="16"/>
              </w:rPr>
              <w:t xml:space="preserve"> </w:t>
            </w:r>
            <w:r w:rsidRPr="00BB4F21">
              <w:rPr>
                <w:rFonts w:cs="Arial"/>
                <w:color w:val="000000"/>
                <w:sz w:val="16"/>
                <w:szCs w:val="16"/>
              </w:rPr>
              <w:t>948</w:t>
            </w:r>
          </w:p>
          <w:p w14:paraId="75013E35" w14:textId="4E5D7803" w:rsidR="00BB2B8C" w:rsidRPr="00BB4F21" w:rsidRDefault="00BB2B8C" w:rsidP="00BB2B8C">
            <w:pPr>
              <w:keepNext/>
              <w:spacing w:before="60" w:after="60"/>
              <w:jc w:val="right"/>
              <w:rPr>
                <w:rFonts w:cs="Arial"/>
                <w:bCs/>
                <w:sz w:val="16"/>
                <w:szCs w:val="16"/>
              </w:rPr>
            </w:pPr>
            <w:r w:rsidRPr="00BB2B8C">
              <w:rPr>
                <w:rFonts w:cs="Arial"/>
                <w:bCs/>
                <w:sz w:val="16"/>
                <w:szCs w:val="16"/>
              </w:rPr>
              <w:t>287 552</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4BBC719D" w14:textId="1EA78C42"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71</w:t>
            </w:r>
          </w:p>
        </w:tc>
        <w:tc>
          <w:tcPr>
            <w:tcW w:w="1417" w:type="dxa"/>
            <w:tcBorders>
              <w:top w:val="nil"/>
              <w:left w:val="single" w:sz="4" w:space="0" w:color="FFFFFF" w:themeColor="background1"/>
              <w:bottom w:val="nil"/>
              <w:right w:val="nil"/>
            </w:tcBorders>
            <w:shd w:val="clear" w:color="auto" w:fill="00B0F0"/>
            <w:vAlign w:val="center"/>
          </w:tcPr>
          <w:p w14:paraId="175F5F57" w14:textId="1CBC8D28"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250 264 960</w:t>
            </w:r>
          </w:p>
        </w:tc>
      </w:tr>
      <w:tr w:rsidR="00BB2B8C" w:rsidRPr="00124B5D" w14:paraId="5A868F05" w14:textId="77777777" w:rsidTr="00A839CC">
        <w:trPr>
          <w:trHeight w:val="78"/>
        </w:trPr>
        <w:tc>
          <w:tcPr>
            <w:tcW w:w="1276" w:type="dxa"/>
            <w:tcBorders>
              <w:top w:val="nil"/>
              <w:left w:val="nil"/>
              <w:bottom w:val="nil"/>
              <w:right w:val="single" w:sz="4" w:space="0" w:color="FFFFFF" w:themeColor="background1"/>
            </w:tcBorders>
            <w:vAlign w:val="center"/>
          </w:tcPr>
          <w:p w14:paraId="6CA3F2F5" w14:textId="77DA4FA0" w:rsidR="00BB2B8C" w:rsidRPr="00BB4F21" w:rsidRDefault="00BB2B8C" w:rsidP="00BB2B8C">
            <w:pPr>
              <w:spacing w:before="60" w:after="60"/>
              <w:jc w:val="center"/>
              <w:rPr>
                <w:rFonts w:cs="Arial"/>
                <w:bCs/>
                <w:sz w:val="16"/>
                <w:szCs w:val="16"/>
              </w:rPr>
            </w:pPr>
            <w:r w:rsidRPr="00BB4F21">
              <w:rPr>
                <w:rFonts w:cs="Arial"/>
                <w:bCs/>
                <w:color w:val="000000"/>
                <w:sz w:val="16"/>
                <w:szCs w:val="16"/>
              </w:rPr>
              <w:t>Szwecja</w:t>
            </w:r>
          </w:p>
        </w:tc>
        <w:tc>
          <w:tcPr>
            <w:tcW w:w="851" w:type="dxa"/>
            <w:tcBorders>
              <w:top w:val="nil"/>
              <w:left w:val="single" w:sz="4" w:space="0" w:color="FFFFFF" w:themeColor="background1"/>
              <w:bottom w:val="nil"/>
              <w:right w:val="single" w:sz="4" w:space="0" w:color="FFFFFF" w:themeColor="background1"/>
            </w:tcBorders>
            <w:vAlign w:val="center"/>
          </w:tcPr>
          <w:p w14:paraId="68AC99A3" w14:textId="68A7ADC8"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408EED23" w14:textId="0964608F"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462C3945" w14:textId="0D2DB4E6" w:rsidR="00BB2B8C" w:rsidRPr="00BB4F21" w:rsidRDefault="00BB2B8C" w:rsidP="00BB2B8C">
            <w:pPr>
              <w:spacing w:before="60" w:after="60"/>
              <w:jc w:val="right"/>
              <w:rPr>
                <w:rFonts w:cs="Arial"/>
                <w:bCs/>
                <w:sz w:val="16"/>
                <w:szCs w:val="16"/>
              </w:rPr>
            </w:pPr>
            <w:r w:rsidRPr="00BB4F21">
              <w:rPr>
                <w:rFonts w:cs="Arial"/>
                <w:color w:val="000000"/>
                <w:sz w:val="16"/>
                <w:szCs w:val="16"/>
              </w:rPr>
              <w:t>12</w:t>
            </w:r>
          </w:p>
        </w:tc>
        <w:tc>
          <w:tcPr>
            <w:tcW w:w="1417" w:type="dxa"/>
            <w:tcBorders>
              <w:top w:val="nil"/>
              <w:left w:val="single" w:sz="4" w:space="0" w:color="FFFFFF" w:themeColor="background1"/>
              <w:bottom w:val="nil"/>
              <w:right w:val="nil"/>
            </w:tcBorders>
            <w:vAlign w:val="center"/>
          </w:tcPr>
          <w:p w14:paraId="299DF8F0" w14:textId="2D819421" w:rsidR="00BB2B8C" w:rsidRPr="00BB4F21" w:rsidRDefault="00BB2B8C" w:rsidP="00BB2B8C">
            <w:pPr>
              <w:spacing w:before="60" w:after="60"/>
              <w:jc w:val="right"/>
              <w:rPr>
                <w:rFonts w:cs="Arial"/>
                <w:bCs/>
                <w:sz w:val="16"/>
                <w:szCs w:val="16"/>
              </w:rPr>
            </w:pPr>
            <w:r w:rsidRPr="00BB4F21">
              <w:rPr>
                <w:rFonts w:cs="Arial"/>
                <w:color w:val="000000"/>
                <w:sz w:val="16"/>
                <w:szCs w:val="16"/>
              </w:rPr>
              <w:t>73 442 208</w:t>
            </w:r>
          </w:p>
        </w:tc>
        <w:tc>
          <w:tcPr>
            <w:tcW w:w="851" w:type="dxa"/>
            <w:tcBorders>
              <w:top w:val="nil"/>
              <w:left w:val="single" w:sz="4" w:space="0" w:color="FFFFFF" w:themeColor="background1"/>
              <w:bottom w:val="nil"/>
              <w:right w:val="single" w:sz="4" w:space="0" w:color="FFFFFF" w:themeColor="background1"/>
            </w:tcBorders>
            <w:vAlign w:val="center"/>
          </w:tcPr>
          <w:p w14:paraId="2C63E61B" w14:textId="5F1C6EC8"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0F7F6843" w14:textId="60D2E2B8" w:rsidR="00BB2B8C" w:rsidRPr="00BB4F21" w:rsidRDefault="00BB2B8C" w:rsidP="00BB2B8C">
            <w:pPr>
              <w:spacing w:before="60" w:after="60"/>
              <w:jc w:val="right"/>
              <w:rPr>
                <w:rFonts w:cs="Arial"/>
                <w:bCs/>
                <w:sz w:val="16"/>
                <w:szCs w:val="16"/>
              </w:rPr>
            </w:pPr>
            <w:r w:rsidRPr="00BB4F21">
              <w:rPr>
                <w:rFonts w:cs="Arial"/>
                <w:color w:val="000000"/>
                <w:sz w:val="16"/>
                <w:szCs w:val="16"/>
              </w:rPr>
              <w:t>19 649 494</w:t>
            </w:r>
          </w:p>
        </w:tc>
        <w:tc>
          <w:tcPr>
            <w:tcW w:w="851" w:type="dxa"/>
            <w:tcBorders>
              <w:top w:val="nil"/>
              <w:left w:val="single" w:sz="4" w:space="0" w:color="FFFFFF" w:themeColor="background1"/>
              <w:bottom w:val="nil"/>
              <w:right w:val="single" w:sz="4" w:space="0" w:color="FFFFFF" w:themeColor="background1"/>
            </w:tcBorders>
            <w:vAlign w:val="center"/>
          </w:tcPr>
          <w:p w14:paraId="25CF8CA3" w14:textId="087FEE75" w:rsidR="00BB2B8C" w:rsidRPr="00BB2B8C" w:rsidRDefault="00BB2B8C" w:rsidP="00BB2B8C">
            <w:pPr>
              <w:spacing w:before="60" w:after="60"/>
              <w:jc w:val="right"/>
              <w:rPr>
                <w:rFonts w:cs="Arial"/>
                <w:bCs/>
                <w:sz w:val="16"/>
                <w:szCs w:val="16"/>
              </w:rPr>
            </w:pPr>
            <w:r w:rsidRPr="00BB2B8C">
              <w:rPr>
                <w:rFonts w:cs="Arial"/>
                <w:bCs/>
                <w:color w:val="000000"/>
                <w:sz w:val="16"/>
                <w:szCs w:val="16"/>
              </w:rPr>
              <w:t>14</w:t>
            </w:r>
          </w:p>
        </w:tc>
        <w:tc>
          <w:tcPr>
            <w:tcW w:w="1417" w:type="dxa"/>
            <w:tcBorders>
              <w:top w:val="nil"/>
              <w:left w:val="single" w:sz="4" w:space="0" w:color="FFFFFF" w:themeColor="background1"/>
              <w:bottom w:val="nil"/>
              <w:right w:val="nil"/>
            </w:tcBorders>
            <w:vAlign w:val="center"/>
          </w:tcPr>
          <w:p w14:paraId="265308D5" w14:textId="2EEBB773" w:rsidR="00BB2B8C" w:rsidRPr="00BB2B8C" w:rsidRDefault="00BB2B8C" w:rsidP="00BB2B8C">
            <w:pPr>
              <w:spacing w:before="60" w:after="60"/>
              <w:jc w:val="right"/>
              <w:rPr>
                <w:rFonts w:cs="Arial"/>
                <w:bCs/>
                <w:sz w:val="16"/>
                <w:szCs w:val="16"/>
              </w:rPr>
            </w:pPr>
            <w:r w:rsidRPr="00BB2B8C">
              <w:rPr>
                <w:rFonts w:cs="Arial"/>
                <w:bCs/>
                <w:color w:val="000000"/>
                <w:sz w:val="16"/>
                <w:szCs w:val="16"/>
              </w:rPr>
              <w:t>93 091 702</w:t>
            </w:r>
          </w:p>
        </w:tc>
      </w:tr>
      <w:tr w:rsidR="00BB2B8C" w:rsidRPr="00124B5D" w14:paraId="15D6BB2E"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729A322" w14:textId="1550948C" w:rsidR="00BB2B8C" w:rsidRPr="00BB4F21" w:rsidRDefault="00BB2B8C" w:rsidP="00BB2B8C">
            <w:pPr>
              <w:spacing w:before="60" w:after="60"/>
              <w:jc w:val="center"/>
              <w:rPr>
                <w:rFonts w:cs="Arial"/>
                <w:bCs/>
                <w:sz w:val="16"/>
                <w:szCs w:val="16"/>
              </w:rPr>
            </w:pPr>
            <w:r w:rsidRPr="00BB4F21">
              <w:rPr>
                <w:rFonts w:cs="Arial"/>
                <w:bCs/>
                <w:color w:val="000000"/>
                <w:sz w:val="16"/>
                <w:szCs w:val="16"/>
              </w:rPr>
              <w:t>Turcja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36433E9" w14:textId="4F5F8152" w:rsidR="00BB2B8C" w:rsidRPr="00BB4F21" w:rsidRDefault="00BB2B8C" w:rsidP="00BB2B8C">
            <w:pPr>
              <w:spacing w:before="60" w:after="60"/>
              <w:jc w:val="right"/>
              <w:rPr>
                <w:rFonts w:cs="Arial"/>
                <w:bCs/>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06281C22" w14:textId="1DF1050D" w:rsidR="00BB2B8C" w:rsidRPr="00BB4F21" w:rsidRDefault="00BB2B8C" w:rsidP="00BB2B8C">
            <w:pPr>
              <w:spacing w:before="60" w:after="60"/>
              <w:jc w:val="right"/>
              <w:rPr>
                <w:rFonts w:cs="Arial"/>
                <w:bCs/>
                <w:sz w:val="16"/>
                <w:szCs w:val="16"/>
              </w:rPr>
            </w:pPr>
            <w:r w:rsidRPr="00BB4F21">
              <w:rPr>
                <w:rFonts w:cs="Arial"/>
                <w:color w:val="000000"/>
                <w:sz w:val="16"/>
                <w:szCs w:val="16"/>
              </w:rPr>
              <w:t>668 667 000</w:t>
            </w:r>
          </w:p>
        </w:tc>
        <w:tc>
          <w:tcPr>
            <w:tcW w:w="851" w:type="dxa"/>
            <w:tcBorders>
              <w:top w:val="nil"/>
              <w:left w:val="single" w:sz="4" w:space="0" w:color="FFFFFF" w:themeColor="background1"/>
              <w:bottom w:val="nil"/>
              <w:right w:val="nil"/>
            </w:tcBorders>
            <w:shd w:val="clear" w:color="auto" w:fill="00B0F0"/>
            <w:vAlign w:val="center"/>
          </w:tcPr>
          <w:p w14:paraId="4BCBF774" w14:textId="425B8A88" w:rsidR="00BB2B8C" w:rsidRPr="00BB4F21" w:rsidRDefault="00BB2B8C" w:rsidP="00BB2B8C">
            <w:pPr>
              <w:keepNext/>
              <w:spacing w:before="60" w:after="60"/>
              <w:jc w:val="right"/>
              <w:rPr>
                <w:rFonts w:cs="Arial"/>
                <w:bCs/>
                <w:sz w:val="16"/>
                <w:szCs w:val="16"/>
              </w:rPr>
            </w:pPr>
            <w:r w:rsidRPr="00BB4F21">
              <w:rPr>
                <w:rFonts w:cs="Arial"/>
                <w:color w:val="000000"/>
                <w:sz w:val="16"/>
                <w:szCs w:val="16"/>
              </w:rPr>
              <w:t>3</w:t>
            </w:r>
          </w:p>
        </w:tc>
        <w:tc>
          <w:tcPr>
            <w:tcW w:w="1417" w:type="dxa"/>
            <w:tcBorders>
              <w:top w:val="nil"/>
              <w:left w:val="single" w:sz="4" w:space="0" w:color="FFFFFF" w:themeColor="background1"/>
              <w:bottom w:val="nil"/>
              <w:right w:val="nil"/>
            </w:tcBorders>
            <w:shd w:val="clear" w:color="auto" w:fill="00B0F0"/>
            <w:vAlign w:val="center"/>
          </w:tcPr>
          <w:p w14:paraId="6AE0F255" w14:textId="4CDE4FD5"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1 778 672 719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2BD94DF" w14:textId="796FA08A"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4E0521BA" w14:textId="5E671D20"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5EBB9EF" w14:textId="23E9926B"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4</w:t>
            </w:r>
          </w:p>
        </w:tc>
        <w:tc>
          <w:tcPr>
            <w:tcW w:w="1417" w:type="dxa"/>
            <w:tcBorders>
              <w:top w:val="nil"/>
              <w:left w:val="single" w:sz="4" w:space="0" w:color="FFFFFF" w:themeColor="background1"/>
              <w:bottom w:val="nil"/>
              <w:right w:val="nil"/>
            </w:tcBorders>
            <w:shd w:val="clear" w:color="auto" w:fill="00B0F0"/>
            <w:vAlign w:val="center"/>
          </w:tcPr>
          <w:p w14:paraId="2F48C5BD" w14:textId="52A2CBF7"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2 447 339 719</w:t>
            </w:r>
          </w:p>
        </w:tc>
      </w:tr>
      <w:tr w:rsidR="00BB2B8C" w:rsidRPr="00124B5D" w14:paraId="73009483" w14:textId="77777777" w:rsidTr="00A839CC">
        <w:trPr>
          <w:trHeight w:val="78"/>
        </w:trPr>
        <w:tc>
          <w:tcPr>
            <w:tcW w:w="1276" w:type="dxa"/>
            <w:tcBorders>
              <w:top w:val="nil"/>
              <w:left w:val="nil"/>
              <w:bottom w:val="nil"/>
              <w:right w:val="single" w:sz="4" w:space="0" w:color="FFFFFF" w:themeColor="background1"/>
            </w:tcBorders>
            <w:vAlign w:val="center"/>
          </w:tcPr>
          <w:p w14:paraId="69D78D2E" w14:textId="07A982B6" w:rsidR="00BB2B8C" w:rsidRPr="00BB4F21" w:rsidRDefault="00BB2B8C" w:rsidP="00BB2B8C">
            <w:pPr>
              <w:spacing w:before="60" w:after="60"/>
              <w:jc w:val="center"/>
              <w:rPr>
                <w:rFonts w:cs="Arial"/>
                <w:bCs/>
                <w:sz w:val="16"/>
                <w:szCs w:val="16"/>
              </w:rPr>
            </w:pPr>
            <w:r w:rsidRPr="00BB4F21">
              <w:rPr>
                <w:rFonts w:cs="Arial"/>
                <w:bCs/>
                <w:color w:val="000000"/>
                <w:sz w:val="16"/>
                <w:szCs w:val="16"/>
              </w:rPr>
              <w:t>Ukraina</w:t>
            </w:r>
          </w:p>
        </w:tc>
        <w:tc>
          <w:tcPr>
            <w:tcW w:w="851" w:type="dxa"/>
            <w:tcBorders>
              <w:top w:val="nil"/>
              <w:left w:val="single" w:sz="4" w:space="0" w:color="FFFFFF" w:themeColor="background1"/>
              <w:bottom w:val="nil"/>
              <w:right w:val="single" w:sz="4" w:space="0" w:color="FFFFFF" w:themeColor="background1"/>
            </w:tcBorders>
            <w:vAlign w:val="center"/>
          </w:tcPr>
          <w:p w14:paraId="0D5003C4" w14:textId="624582B4" w:rsidR="00BB2B8C" w:rsidRPr="00BB4F21" w:rsidRDefault="00DE200D" w:rsidP="00BB2B8C">
            <w:pPr>
              <w:spacing w:before="60" w:after="60"/>
              <w:jc w:val="right"/>
              <w:rPr>
                <w:rFonts w:cs="Arial"/>
                <w:sz w:val="16"/>
                <w:szCs w:val="16"/>
              </w:rPr>
            </w:pPr>
            <w:r>
              <w:rPr>
                <w:rFonts w:cs="Arial"/>
                <w:sz w:val="16"/>
                <w:szCs w:val="16"/>
              </w:rPr>
              <w:t>-</w:t>
            </w:r>
          </w:p>
        </w:tc>
        <w:tc>
          <w:tcPr>
            <w:tcW w:w="1275" w:type="dxa"/>
            <w:tcBorders>
              <w:top w:val="nil"/>
              <w:left w:val="single" w:sz="4" w:space="0" w:color="FFFFFF" w:themeColor="background1"/>
              <w:bottom w:val="nil"/>
              <w:right w:val="single" w:sz="4" w:space="0" w:color="FFFFFF" w:themeColor="background1"/>
            </w:tcBorders>
            <w:vAlign w:val="center"/>
          </w:tcPr>
          <w:p w14:paraId="51AD38D0" w14:textId="18958975" w:rsidR="00BB2B8C" w:rsidRPr="00BB4F21" w:rsidRDefault="00DE200D" w:rsidP="00BB2B8C">
            <w:pPr>
              <w:spacing w:before="60" w:after="60"/>
              <w:jc w:val="right"/>
              <w:rPr>
                <w:rFonts w:cs="Arial"/>
                <w:sz w:val="16"/>
                <w:szCs w:val="16"/>
              </w:rPr>
            </w:pPr>
            <w:r>
              <w:rPr>
                <w:rFonts w:cs="Arial"/>
                <w:sz w:val="16"/>
                <w:szCs w:val="16"/>
              </w:rPr>
              <w:t>-</w:t>
            </w:r>
          </w:p>
        </w:tc>
        <w:tc>
          <w:tcPr>
            <w:tcW w:w="851" w:type="dxa"/>
            <w:tcBorders>
              <w:top w:val="nil"/>
              <w:left w:val="single" w:sz="4" w:space="0" w:color="FFFFFF" w:themeColor="background1"/>
              <w:bottom w:val="nil"/>
              <w:right w:val="nil"/>
            </w:tcBorders>
            <w:vAlign w:val="center"/>
          </w:tcPr>
          <w:p w14:paraId="7D696FC1" w14:textId="0D083BEA" w:rsidR="00BB2B8C" w:rsidRPr="00BB4F21" w:rsidRDefault="00BB2B8C" w:rsidP="00BB2B8C">
            <w:pPr>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vAlign w:val="center"/>
          </w:tcPr>
          <w:p w14:paraId="50F14A67" w14:textId="0FEF318A" w:rsidR="00BB2B8C" w:rsidRPr="00BB4F21" w:rsidRDefault="00BB2B8C" w:rsidP="00BB2B8C">
            <w:pPr>
              <w:spacing w:before="60" w:after="60"/>
              <w:jc w:val="right"/>
              <w:rPr>
                <w:rFonts w:cs="Arial"/>
                <w:bCs/>
                <w:sz w:val="16"/>
                <w:szCs w:val="16"/>
              </w:rPr>
            </w:pPr>
            <w:r w:rsidRPr="00BB4F21">
              <w:rPr>
                <w:rFonts w:cs="Arial"/>
                <w:color w:val="000000"/>
                <w:sz w:val="16"/>
                <w:szCs w:val="16"/>
              </w:rPr>
              <w:t>12 465 918</w:t>
            </w:r>
          </w:p>
        </w:tc>
        <w:tc>
          <w:tcPr>
            <w:tcW w:w="851" w:type="dxa"/>
            <w:tcBorders>
              <w:top w:val="nil"/>
              <w:left w:val="single" w:sz="4" w:space="0" w:color="FFFFFF" w:themeColor="background1"/>
              <w:bottom w:val="nil"/>
              <w:right w:val="single" w:sz="4" w:space="0" w:color="FFFFFF" w:themeColor="background1"/>
            </w:tcBorders>
            <w:vAlign w:val="center"/>
          </w:tcPr>
          <w:p w14:paraId="53C04508" w14:textId="6C02149D"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1225282A" w14:textId="76A8FA33"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36828815" w14:textId="4A77AC4E" w:rsidR="00BB2B8C" w:rsidRPr="00BB2B8C" w:rsidRDefault="00BB2B8C" w:rsidP="00BB2B8C">
            <w:pPr>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vAlign w:val="center"/>
          </w:tcPr>
          <w:p w14:paraId="48AB69A4" w14:textId="6C1A038D" w:rsidR="00BB2B8C" w:rsidRPr="00BB2B8C" w:rsidRDefault="00BB2B8C" w:rsidP="00BB2B8C">
            <w:pPr>
              <w:spacing w:before="60" w:after="60"/>
              <w:jc w:val="right"/>
              <w:rPr>
                <w:rFonts w:cs="Arial"/>
                <w:bCs/>
                <w:sz w:val="16"/>
                <w:szCs w:val="16"/>
              </w:rPr>
            </w:pPr>
            <w:r w:rsidRPr="00BB2B8C">
              <w:rPr>
                <w:rFonts w:cs="Arial"/>
                <w:bCs/>
                <w:color w:val="000000"/>
                <w:sz w:val="16"/>
                <w:szCs w:val="16"/>
              </w:rPr>
              <w:t>12 465 918</w:t>
            </w:r>
          </w:p>
        </w:tc>
      </w:tr>
      <w:tr w:rsidR="00BB2B8C" w:rsidRPr="00124B5D" w14:paraId="3FDEDE92"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784E60EB" w14:textId="664C3114" w:rsidR="00BB2B8C" w:rsidRPr="00BB4F21" w:rsidRDefault="00BB2B8C" w:rsidP="00BB2B8C">
            <w:pPr>
              <w:spacing w:before="60" w:after="60"/>
              <w:jc w:val="center"/>
              <w:rPr>
                <w:rFonts w:cs="Arial"/>
                <w:bCs/>
                <w:sz w:val="16"/>
                <w:szCs w:val="16"/>
              </w:rPr>
            </w:pPr>
            <w:r w:rsidRPr="00BB4F21">
              <w:rPr>
                <w:rFonts w:cs="Arial"/>
                <w:bCs/>
                <w:color w:val="000000"/>
                <w:sz w:val="16"/>
                <w:szCs w:val="16"/>
              </w:rPr>
              <w:t>USA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1E916F9" w14:textId="237F0925"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16233530" w14:textId="17939416"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5FBC271C" w14:textId="1403C414"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10</w:t>
            </w:r>
          </w:p>
        </w:tc>
        <w:tc>
          <w:tcPr>
            <w:tcW w:w="1417" w:type="dxa"/>
            <w:tcBorders>
              <w:top w:val="nil"/>
              <w:left w:val="single" w:sz="4" w:space="0" w:color="FFFFFF" w:themeColor="background1"/>
              <w:bottom w:val="nil"/>
              <w:right w:val="nil"/>
            </w:tcBorders>
            <w:shd w:val="clear" w:color="auto" w:fill="00B0F0"/>
            <w:vAlign w:val="center"/>
          </w:tcPr>
          <w:p w14:paraId="5035519C" w14:textId="6F85F7B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27 908 064</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2888B1DA" w14:textId="017E5B58" w:rsidR="00BB2B8C" w:rsidRPr="00BB4F21" w:rsidRDefault="00BB2B8C" w:rsidP="00BB2B8C">
            <w:pPr>
              <w:keepNext/>
              <w:spacing w:before="60" w:after="60"/>
              <w:jc w:val="right"/>
              <w:rPr>
                <w:rFonts w:cs="Arial"/>
                <w:bCs/>
                <w:sz w:val="16"/>
                <w:szCs w:val="16"/>
              </w:rPr>
            </w:pPr>
            <w:r w:rsidRPr="00BB4F21">
              <w:rPr>
                <w:rFonts w:cs="Arial"/>
                <w:color w:val="000000"/>
                <w:sz w:val="16"/>
                <w:szCs w:val="16"/>
              </w:rPr>
              <w:t>6</w:t>
            </w:r>
          </w:p>
        </w:tc>
        <w:tc>
          <w:tcPr>
            <w:tcW w:w="1417" w:type="dxa"/>
            <w:tcBorders>
              <w:top w:val="nil"/>
              <w:left w:val="single" w:sz="4" w:space="0" w:color="FFFFFF" w:themeColor="background1"/>
              <w:bottom w:val="nil"/>
              <w:right w:val="nil"/>
            </w:tcBorders>
            <w:shd w:val="clear" w:color="auto" w:fill="00B0F0"/>
            <w:vAlign w:val="center"/>
          </w:tcPr>
          <w:p w14:paraId="1F1BCC6B" w14:textId="6782E34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67 165 309</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087DDEA5" w14:textId="3D07228C"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16</w:t>
            </w:r>
          </w:p>
        </w:tc>
        <w:tc>
          <w:tcPr>
            <w:tcW w:w="1417" w:type="dxa"/>
            <w:tcBorders>
              <w:top w:val="nil"/>
              <w:left w:val="single" w:sz="4" w:space="0" w:color="FFFFFF" w:themeColor="background1"/>
              <w:bottom w:val="nil"/>
              <w:right w:val="nil"/>
            </w:tcBorders>
            <w:shd w:val="clear" w:color="auto" w:fill="00B0F0"/>
            <w:vAlign w:val="center"/>
          </w:tcPr>
          <w:p w14:paraId="5FD31524" w14:textId="55C5251B"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95 073 373</w:t>
            </w:r>
          </w:p>
        </w:tc>
      </w:tr>
      <w:tr w:rsidR="00BB2B8C" w:rsidRPr="00124B5D" w14:paraId="533C705D" w14:textId="77777777" w:rsidTr="00A839CC">
        <w:trPr>
          <w:trHeight w:val="78"/>
        </w:trPr>
        <w:tc>
          <w:tcPr>
            <w:tcW w:w="1276" w:type="dxa"/>
            <w:tcBorders>
              <w:top w:val="nil"/>
              <w:left w:val="nil"/>
              <w:bottom w:val="nil"/>
              <w:right w:val="single" w:sz="4" w:space="0" w:color="FFFFFF" w:themeColor="background1"/>
            </w:tcBorders>
            <w:vAlign w:val="center"/>
          </w:tcPr>
          <w:p w14:paraId="640D4E5E" w14:textId="23572B37" w:rsidR="00BB2B8C" w:rsidRPr="00BB4F21" w:rsidRDefault="00BB2B8C" w:rsidP="00BB2B8C">
            <w:pPr>
              <w:spacing w:before="60" w:after="60"/>
              <w:jc w:val="center"/>
              <w:rPr>
                <w:rFonts w:cs="Arial"/>
                <w:bCs/>
                <w:sz w:val="16"/>
                <w:szCs w:val="16"/>
              </w:rPr>
            </w:pPr>
            <w:r w:rsidRPr="00BB4F21">
              <w:rPr>
                <w:rFonts w:cs="Arial"/>
                <w:bCs/>
                <w:color w:val="000000"/>
                <w:sz w:val="16"/>
                <w:szCs w:val="16"/>
              </w:rPr>
              <w:t>Węgry</w:t>
            </w:r>
          </w:p>
        </w:tc>
        <w:tc>
          <w:tcPr>
            <w:tcW w:w="851" w:type="dxa"/>
            <w:tcBorders>
              <w:top w:val="nil"/>
              <w:left w:val="single" w:sz="4" w:space="0" w:color="FFFFFF" w:themeColor="background1"/>
              <w:bottom w:val="nil"/>
              <w:right w:val="single" w:sz="4" w:space="0" w:color="FFFFFF" w:themeColor="background1"/>
            </w:tcBorders>
            <w:vAlign w:val="center"/>
          </w:tcPr>
          <w:p w14:paraId="6D84695A" w14:textId="62218FEE"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vAlign w:val="center"/>
          </w:tcPr>
          <w:p w14:paraId="0BCA8F8B" w14:textId="3C9B8B15" w:rsidR="00BB2B8C" w:rsidRPr="00BB4F21" w:rsidRDefault="00BB2B8C" w:rsidP="00BB2B8C">
            <w:pPr>
              <w:spacing w:before="60" w:after="60"/>
              <w:jc w:val="right"/>
              <w:rPr>
                <w:rFonts w:cs="Arial"/>
                <w:sz w:val="16"/>
                <w:szCs w:val="16"/>
              </w:rPr>
            </w:pPr>
            <w:r w:rsidRPr="00BB4F21">
              <w:rPr>
                <w:rFonts w:cs="Arial"/>
                <w:color w:val="000000"/>
                <w:sz w:val="16"/>
                <w:szCs w:val="16"/>
              </w:rPr>
              <w:t>118 253 737</w:t>
            </w:r>
          </w:p>
        </w:tc>
        <w:tc>
          <w:tcPr>
            <w:tcW w:w="851" w:type="dxa"/>
            <w:tcBorders>
              <w:top w:val="nil"/>
              <w:left w:val="single" w:sz="4" w:space="0" w:color="FFFFFF" w:themeColor="background1"/>
              <w:bottom w:val="nil"/>
              <w:right w:val="nil"/>
            </w:tcBorders>
            <w:vAlign w:val="center"/>
          </w:tcPr>
          <w:p w14:paraId="74F1860F" w14:textId="36337481" w:rsidR="00BB2B8C" w:rsidRPr="00BB4F21" w:rsidRDefault="00BB2B8C" w:rsidP="00BB2B8C">
            <w:pPr>
              <w:spacing w:before="60" w:after="60"/>
              <w:jc w:val="right"/>
              <w:rPr>
                <w:rFonts w:cs="Arial"/>
                <w:bCs/>
                <w:sz w:val="16"/>
                <w:szCs w:val="16"/>
              </w:rPr>
            </w:pPr>
            <w:r w:rsidRPr="00BB4F21">
              <w:rPr>
                <w:rFonts w:cs="Arial"/>
                <w:color w:val="000000"/>
                <w:sz w:val="16"/>
                <w:szCs w:val="16"/>
              </w:rPr>
              <w:t>136</w:t>
            </w:r>
          </w:p>
        </w:tc>
        <w:tc>
          <w:tcPr>
            <w:tcW w:w="1417" w:type="dxa"/>
            <w:tcBorders>
              <w:top w:val="nil"/>
              <w:left w:val="single" w:sz="4" w:space="0" w:color="FFFFFF" w:themeColor="background1"/>
              <w:bottom w:val="nil"/>
              <w:right w:val="nil"/>
            </w:tcBorders>
            <w:vAlign w:val="center"/>
          </w:tcPr>
          <w:p w14:paraId="70B0E0FC" w14:textId="6F094477" w:rsidR="00BB2B8C" w:rsidRPr="00BB4F21" w:rsidRDefault="00BB2B8C" w:rsidP="00BB2B8C">
            <w:pPr>
              <w:spacing w:before="60" w:after="60"/>
              <w:jc w:val="right"/>
              <w:rPr>
                <w:rFonts w:cs="Arial"/>
                <w:bCs/>
                <w:sz w:val="16"/>
                <w:szCs w:val="16"/>
              </w:rPr>
            </w:pPr>
            <w:r w:rsidRPr="00BB4F21">
              <w:rPr>
                <w:rFonts w:cs="Arial"/>
                <w:color w:val="000000"/>
                <w:sz w:val="16"/>
                <w:szCs w:val="16"/>
              </w:rPr>
              <w:t>346 472 609</w:t>
            </w:r>
          </w:p>
        </w:tc>
        <w:tc>
          <w:tcPr>
            <w:tcW w:w="851" w:type="dxa"/>
            <w:tcBorders>
              <w:top w:val="nil"/>
              <w:left w:val="single" w:sz="4" w:space="0" w:color="FFFFFF" w:themeColor="background1"/>
              <w:bottom w:val="nil"/>
              <w:right w:val="single" w:sz="4" w:space="0" w:color="FFFFFF" w:themeColor="background1"/>
            </w:tcBorders>
            <w:vAlign w:val="center"/>
          </w:tcPr>
          <w:p w14:paraId="4CB42758" w14:textId="50CE27B0" w:rsidR="00BB2B8C" w:rsidRPr="00BB4F21" w:rsidRDefault="00DE200D" w:rsidP="00BB2B8C">
            <w:pPr>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vAlign w:val="center"/>
          </w:tcPr>
          <w:p w14:paraId="3656484A" w14:textId="56587ACE"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vAlign w:val="center"/>
          </w:tcPr>
          <w:p w14:paraId="27201940" w14:textId="072D6B42" w:rsidR="00BB2B8C" w:rsidRPr="00BB2B8C" w:rsidRDefault="00BB2B8C" w:rsidP="00BB2B8C">
            <w:pPr>
              <w:spacing w:before="60" w:after="60"/>
              <w:jc w:val="right"/>
              <w:rPr>
                <w:rFonts w:cs="Arial"/>
                <w:bCs/>
                <w:sz w:val="16"/>
                <w:szCs w:val="16"/>
              </w:rPr>
            </w:pPr>
            <w:r w:rsidRPr="00BB2B8C">
              <w:rPr>
                <w:rFonts w:cs="Arial"/>
                <w:bCs/>
                <w:color w:val="000000"/>
                <w:sz w:val="16"/>
                <w:szCs w:val="16"/>
              </w:rPr>
              <w:t>137</w:t>
            </w:r>
          </w:p>
        </w:tc>
        <w:tc>
          <w:tcPr>
            <w:tcW w:w="1417" w:type="dxa"/>
            <w:tcBorders>
              <w:top w:val="nil"/>
              <w:left w:val="single" w:sz="4" w:space="0" w:color="FFFFFF" w:themeColor="background1"/>
              <w:bottom w:val="nil"/>
              <w:right w:val="nil"/>
            </w:tcBorders>
            <w:vAlign w:val="center"/>
          </w:tcPr>
          <w:p w14:paraId="157561FA" w14:textId="74786C69" w:rsidR="00BB2B8C" w:rsidRPr="00BB2B8C" w:rsidRDefault="00BB2B8C" w:rsidP="00BB2B8C">
            <w:pPr>
              <w:spacing w:before="60" w:after="60"/>
              <w:jc w:val="right"/>
              <w:rPr>
                <w:rFonts w:cs="Arial"/>
                <w:bCs/>
                <w:sz w:val="16"/>
                <w:szCs w:val="16"/>
              </w:rPr>
            </w:pPr>
            <w:r w:rsidRPr="00BB2B8C">
              <w:rPr>
                <w:rFonts w:cs="Arial"/>
                <w:bCs/>
                <w:color w:val="000000"/>
                <w:sz w:val="16"/>
                <w:szCs w:val="16"/>
              </w:rPr>
              <w:t>464 726 346</w:t>
            </w:r>
          </w:p>
        </w:tc>
      </w:tr>
      <w:tr w:rsidR="00BB2B8C" w:rsidRPr="00124B5D" w14:paraId="08D19A87" w14:textId="77777777" w:rsidTr="000C4EAC">
        <w:trPr>
          <w:trHeight w:val="44"/>
        </w:trPr>
        <w:tc>
          <w:tcPr>
            <w:tcW w:w="1276" w:type="dxa"/>
            <w:tcBorders>
              <w:top w:val="nil"/>
              <w:left w:val="nil"/>
              <w:bottom w:val="nil"/>
              <w:right w:val="single" w:sz="4" w:space="0" w:color="FFFFFF" w:themeColor="background1"/>
            </w:tcBorders>
            <w:shd w:val="clear" w:color="auto" w:fill="00B0F0"/>
            <w:vAlign w:val="center"/>
          </w:tcPr>
          <w:p w14:paraId="0A813D99" w14:textId="51946DA2" w:rsidR="00BB2B8C" w:rsidRPr="00BB4F21" w:rsidRDefault="00BB2B8C" w:rsidP="00BB2B8C">
            <w:pPr>
              <w:spacing w:before="60" w:after="60"/>
              <w:jc w:val="center"/>
              <w:rPr>
                <w:rFonts w:cs="Arial"/>
                <w:bCs/>
                <w:sz w:val="16"/>
                <w:szCs w:val="16"/>
              </w:rPr>
            </w:pPr>
            <w:r w:rsidRPr="00BB4F21">
              <w:rPr>
                <w:rFonts w:cs="Arial"/>
                <w:bCs/>
                <w:color w:val="000000"/>
                <w:sz w:val="16"/>
                <w:szCs w:val="16"/>
              </w:rPr>
              <w:t>Wielka Brytania</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1B24CD95" w14:textId="126E720D"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6DEF8D0A" w14:textId="50125716"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1A02B684" w14:textId="463EC8FA" w:rsidR="00BB2B8C" w:rsidRPr="00BB4F21" w:rsidRDefault="00BB2B8C" w:rsidP="00BB2B8C">
            <w:pPr>
              <w:keepNext/>
              <w:spacing w:before="60" w:after="60"/>
              <w:jc w:val="right"/>
              <w:rPr>
                <w:rFonts w:cs="Arial"/>
                <w:bCs/>
                <w:sz w:val="16"/>
                <w:szCs w:val="16"/>
              </w:rPr>
            </w:pPr>
            <w:r w:rsidRPr="00BB4F21">
              <w:rPr>
                <w:rFonts w:cs="Arial"/>
                <w:color w:val="000000"/>
                <w:sz w:val="16"/>
                <w:szCs w:val="16"/>
              </w:rPr>
              <w:t>5</w:t>
            </w:r>
          </w:p>
        </w:tc>
        <w:tc>
          <w:tcPr>
            <w:tcW w:w="1417" w:type="dxa"/>
            <w:tcBorders>
              <w:top w:val="nil"/>
              <w:left w:val="single" w:sz="4" w:space="0" w:color="FFFFFF" w:themeColor="background1"/>
              <w:bottom w:val="nil"/>
              <w:right w:val="nil"/>
            </w:tcBorders>
            <w:shd w:val="clear" w:color="auto" w:fill="00B0F0"/>
            <w:vAlign w:val="center"/>
          </w:tcPr>
          <w:p w14:paraId="75209F6C" w14:textId="71B0F296" w:rsidR="00BB2B8C" w:rsidRPr="00BB4F21" w:rsidRDefault="00BB2B8C" w:rsidP="00BB2B8C">
            <w:pPr>
              <w:keepNext/>
              <w:spacing w:before="60" w:after="60"/>
              <w:jc w:val="right"/>
              <w:rPr>
                <w:rFonts w:cs="Arial"/>
                <w:bCs/>
                <w:sz w:val="16"/>
                <w:szCs w:val="16"/>
              </w:rPr>
            </w:pPr>
            <w:r w:rsidRPr="00BB4F21">
              <w:rPr>
                <w:rFonts w:cs="Arial"/>
                <w:color w:val="000000"/>
                <w:sz w:val="16"/>
                <w:szCs w:val="16"/>
              </w:rPr>
              <w:t>46 378 035</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F90D848" w14:textId="2C57678B"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11</w:t>
            </w:r>
          </w:p>
        </w:tc>
        <w:tc>
          <w:tcPr>
            <w:tcW w:w="1417" w:type="dxa"/>
            <w:tcBorders>
              <w:top w:val="nil"/>
              <w:left w:val="single" w:sz="4" w:space="0" w:color="FFFFFF" w:themeColor="background1"/>
              <w:bottom w:val="nil"/>
              <w:right w:val="nil"/>
            </w:tcBorders>
            <w:shd w:val="clear" w:color="auto" w:fill="00B0F0"/>
            <w:vAlign w:val="center"/>
          </w:tcPr>
          <w:p w14:paraId="72C651A4" w14:textId="302C0D7F"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255 981 388</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3D36FAC9" w14:textId="4AE3E324"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16</w:t>
            </w:r>
          </w:p>
        </w:tc>
        <w:tc>
          <w:tcPr>
            <w:tcW w:w="1417" w:type="dxa"/>
            <w:tcBorders>
              <w:top w:val="nil"/>
              <w:left w:val="single" w:sz="4" w:space="0" w:color="FFFFFF" w:themeColor="background1"/>
              <w:bottom w:val="nil"/>
              <w:right w:val="nil"/>
            </w:tcBorders>
            <w:shd w:val="clear" w:color="auto" w:fill="00B0F0"/>
            <w:vAlign w:val="center"/>
          </w:tcPr>
          <w:p w14:paraId="013FD4C1" w14:textId="238DC49B"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302 359 423</w:t>
            </w:r>
          </w:p>
        </w:tc>
      </w:tr>
      <w:tr w:rsidR="00BB2B8C" w:rsidRPr="00124B5D" w14:paraId="12248B12" w14:textId="77777777" w:rsidTr="00A839CC">
        <w:trPr>
          <w:trHeight w:val="78"/>
        </w:trPr>
        <w:tc>
          <w:tcPr>
            <w:tcW w:w="1276" w:type="dxa"/>
            <w:tcBorders>
              <w:top w:val="nil"/>
              <w:left w:val="nil"/>
              <w:bottom w:val="nil"/>
              <w:right w:val="single" w:sz="4" w:space="0" w:color="FFFFFF" w:themeColor="background1"/>
            </w:tcBorders>
            <w:vAlign w:val="center"/>
          </w:tcPr>
          <w:p w14:paraId="162D41CE" w14:textId="250E9E59" w:rsidR="00BB2B8C" w:rsidRPr="00BB4F21" w:rsidRDefault="00BB2B8C" w:rsidP="00BB2B8C">
            <w:pPr>
              <w:spacing w:before="60" w:after="60"/>
              <w:jc w:val="center"/>
              <w:rPr>
                <w:rFonts w:cs="Arial"/>
                <w:bCs/>
                <w:sz w:val="16"/>
                <w:szCs w:val="16"/>
              </w:rPr>
            </w:pPr>
            <w:r w:rsidRPr="00BB4F21">
              <w:rPr>
                <w:rFonts w:cs="Arial"/>
                <w:bCs/>
                <w:color w:val="000000"/>
                <w:sz w:val="16"/>
                <w:szCs w:val="16"/>
              </w:rPr>
              <w:t>Włochy</w:t>
            </w:r>
          </w:p>
        </w:tc>
        <w:tc>
          <w:tcPr>
            <w:tcW w:w="851" w:type="dxa"/>
            <w:tcBorders>
              <w:top w:val="nil"/>
              <w:left w:val="single" w:sz="4" w:space="0" w:color="FFFFFF" w:themeColor="background1"/>
              <w:bottom w:val="nil"/>
              <w:right w:val="single" w:sz="4" w:space="0" w:color="FFFFFF" w:themeColor="background1"/>
            </w:tcBorders>
            <w:vAlign w:val="center"/>
          </w:tcPr>
          <w:p w14:paraId="61424231" w14:textId="3CDD94AC" w:rsidR="00BB2B8C" w:rsidRPr="00BB4F21" w:rsidRDefault="00BB2B8C" w:rsidP="00BB2B8C">
            <w:pPr>
              <w:spacing w:before="60" w:after="60"/>
              <w:jc w:val="right"/>
              <w:rPr>
                <w:rFonts w:cs="Arial"/>
                <w:sz w:val="16"/>
                <w:szCs w:val="16"/>
              </w:rPr>
            </w:pPr>
            <w:r w:rsidRPr="00BB4F21">
              <w:rPr>
                <w:rFonts w:cs="Arial"/>
                <w:color w:val="000000"/>
                <w:sz w:val="16"/>
                <w:szCs w:val="16"/>
              </w:rPr>
              <w:t>1</w:t>
            </w:r>
          </w:p>
        </w:tc>
        <w:tc>
          <w:tcPr>
            <w:tcW w:w="1275" w:type="dxa"/>
            <w:tcBorders>
              <w:top w:val="nil"/>
              <w:left w:val="single" w:sz="4" w:space="0" w:color="FFFFFF" w:themeColor="background1"/>
              <w:bottom w:val="nil"/>
              <w:right w:val="single" w:sz="4" w:space="0" w:color="FFFFFF" w:themeColor="background1"/>
            </w:tcBorders>
            <w:vAlign w:val="center"/>
          </w:tcPr>
          <w:p w14:paraId="45F24125" w14:textId="1B9D6A3F" w:rsidR="00BB2B8C" w:rsidRPr="00BB4F21" w:rsidRDefault="00BB2B8C" w:rsidP="00BB2B8C">
            <w:pPr>
              <w:spacing w:before="60" w:after="60"/>
              <w:jc w:val="right"/>
              <w:rPr>
                <w:rFonts w:cs="Arial"/>
                <w:sz w:val="16"/>
                <w:szCs w:val="16"/>
              </w:rPr>
            </w:pPr>
            <w:r w:rsidRPr="00BB4F21">
              <w:rPr>
                <w:rFonts w:cs="Arial"/>
                <w:color w:val="000000"/>
                <w:sz w:val="16"/>
                <w:szCs w:val="16"/>
              </w:rPr>
              <w:t>377 196 000</w:t>
            </w:r>
          </w:p>
        </w:tc>
        <w:tc>
          <w:tcPr>
            <w:tcW w:w="851" w:type="dxa"/>
            <w:tcBorders>
              <w:top w:val="nil"/>
              <w:left w:val="single" w:sz="4" w:space="0" w:color="FFFFFF" w:themeColor="background1"/>
              <w:bottom w:val="nil"/>
              <w:right w:val="nil"/>
            </w:tcBorders>
            <w:vAlign w:val="center"/>
          </w:tcPr>
          <w:p w14:paraId="79B9FF21" w14:textId="0101AB9D" w:rsidR="00BB2B8C" w:rsidRPr="00BB4F21" w:rsidRDefault="00BB2B8C" w:rsidP="00BB2B8C">
            <w:pPr>
              <w:spacing w:before="60" w:after="60"/>
              <w:jc w:val="right"/>
              <w:rPr>
                <w:rFonts w:cs="Arial"/>
                <w:bCs/>
                <w:sz w:val="16"/>
                <w:szCs w:val="16"/>
              </w:rPr>
            </w:pPr>
            <w:r w:rsidRPr="00BB4F21">
              <w:rPr>
                <w:rFonts w:cs="Arial"/>
                <w:color w:val="000000"/>
                <w:sz w:val="16"/>
                <w:szCs w:val="16"/>
              </w:rPr>
              <w:t>8</w:t>
            </w:r>
          </w:p>
        </w:tc>
        <w:tc>
          <w:tcPr>
            <w:tcW w:w="1417" w:type="dxa"/>
            <w:tcBorders>
              <w:top w:val="nil"/>
              <w:left w:val="single" w:sz="4" w:space="0" w:color="FFFFFF" w:themeColor="background1"/>
              <w:bottom w:val="nil"/>
              <w:right w:val="nil"/>
            </w:tcBorders>
            <w:vAlign w:val="center"/>
          </w:tcPr>
          <w:p w14:paraId="6F7D9B42" w14:textId="38214668" w:rsidR="00BB2B8C" w:rsidRPr="00BB4F21" w:rsidRDefault="00BB2B8C" w:rsidP="00BB2B8C">
            <w:pPr>
              <w:spacing w:before="60" w:after="60"/>
              <w:jc w:val="right"/>
              <w:rPr>
                <w:rFonts w:cs="Arial"/>
                <w:bCs/>
                <w:sz w:val="16"/>
                <w:szCs w:val="16"/>
              </w:rPr>
            </w:pPr>
            <w:r w:rsidRPr="00BB4F21">
              <w:rPr>
                <w:rFonts w:cs="Arial"/>
                <w:color w:val="000000"/>
                <w:sz w:val="16"/>
                <w:szCs w:val="16"/>
              </w:rPr>
              <w:t>17 650 549</w:t>
            </w:r>
          </w:p>
        </w:tc>
        <w:tc>
          <w:tcPr>
            <w:tcW w:w="851" w:type="dxa"/>
            <w:tcBorders>
              <w:top w:val="nil"/>
              <w:left w:val="single" w:sz="4" w:space="0" w:color="FFFFFF" w:themeColor="background1"/>
              <w:bottom w:val="nil"/>
              <w:right w:val="single" w:sz="4" w:space="0" w:color="FFFFFF" w:themeColor="background1"/>
            </w:tcBorders>
            <w:vAlign w:val="center"/>
          </w:tcPr>
          <w:p w14:paraId="40BA1FFF" w14:textId="6F96C93D" w:rsidR="00BB2B8C" w:rsidRPr="00BB4F21" w:rsidRDefault="00BB2B8C" w:rsidP="00BB2B8C">
            <w:pPr>
              <w:spacing w:before="60" w:after="60"/>
              <w:jc w:val="right"/>
              <w:rPr>
                <w:rFonts w:cs="Arial"/>
                <w:bCs/>
                <w:sz w:val="16"/>
                <w:szCs w:val="16"/>
              </w:rPr>
            </w:pPr>
            <w:r w:rsidRPr="00BB4F21">
              <w:rPr>
                <w:rFonts w:cs="Arial"/>
                <w:color w:val="000000"/>
                <w:sz w:val="16"/>
                <w:szCs w:val="16"/>
              </w:rPr>
              <w:t>9</w:t>
            </w:r>
          </w:p>
        </w:tc>
        <w:tc>
          <w:tcPr>
            <w:tcW w:w="1417" w:type="dxa"/>
            <w:tcBorders>
              <w:top w:val="nil"/>
              <w:left w:val="single" w:sz="4" w:space="0" w:color="FFFFFF" w:themeColor="background1"/>
              <w:bottom w:val="nil"/>
              <w:right w:val="nil"/>
            </w:tcBorders>
            <w:vAlign w:val="center"/>
          </w:tcPr>
          <w:p w14:paraId="3F6A5E91" w14:textId="06B31D14" w:rsidR="00BB2B8C" w:rsidRPr="00BB4F21" w:rsidRDefault="00BB2B8C" w:rsidP="00BB2B8C">
            <w:pPr>
              <w:spacing w:before="60" w:after="60"/>
              <w:jc w:val="right"/>
              <w:rPr>
                <w:rFonts w:cs="Arial"/>
                <w:bCs/>
                <w:sz w:val="16"/>
                <w:szCs w:val="16"/>
              </w:rPr>
            </w:pPr>
            <w:r w:rsidRPr="00BB4F21">
              <w:rPr>
                <w:rFonts w:cs="Arial"/>
                <w:color w:val="000000"/>
                <w:sz w:val="16"/>
                <w:szCs w:val="16"/>
              </w:rPr>
              <w:t>420 101 129</w:t>
            </w:r>
          </w:p>
        </w:tc>
        <w:tc>
          <w:tcPr>
            <w:tcW w:w="851" w:type="dxa"/>
            <w:tcBorders>
              <w:top w:val="nil"/>
              <w:left w:val="single" w:sz="4" w:space="0" w:color="FFFFFF" w:themeColor="background1"/>
              <w:bottom w:val="nil"/>
              <w:right w:val="single" w:sz="4" w:space="0" w:color="FFFFFF" w:themeColor="background1"/>
            </w:tcBorders>
            <w:vAlign w:val="center"/>
          </w:tcPr>
          <w:p w14:paraId="6EBAADD9" w14:textId="10BC30B3" w:rsidR="00BB2B8C" w:rsidRPr="00BB2B8C" w:rsidRDefault="00BB2B8C" w:rsidP="00BB2B8C">
            <w:pPr>
              <w:spacing w:before="60" w:after="60"/>
              <w:jc w:val="right"/>
              <w:rPr>
                <w:rFonts w:cs="Arial"/>
                <w:bCs/>
                <w:sz w:val="16"/>
                <w:szCs w:val="16"/>
              </w:rPr>
            </w:pPr>
            <w:r w:rsidRPr="00BB2B8C">
              <w:rPr>
                <w:rFonts w:cs="Arial"/>
                <w:bCs/>
                <w:color w:val="000000"/>
                <w:sz w:val="16"/>
                <w:szCs w:val="16"/>
              </w:rPr>
              <w:t>18</w:t>
            </w:r>
          </w:p>
        </w:tc>
        <w:tc>
          <w:tcPr>
            <w:tcW w:w="1417" w:type="dxa"/>
            <w:tcBorders>
              <w:top w:val="nil"/>
              <w:left w:val="single" w:sz="4" w:space="0" w:color="FFFFFF" w:themeColor="background1"/>
              <w:bottom w:val="nil"/>
              <w:right w:val="nil"/>
            </w:tcBorders>
            <w:vAlign w:val="center"/>
          </w:tcPr>
          <w:p w14:paraId="0AAC617C" w14:textId="1EA4F3F5" w:rsidR="00BB2B8C" w:rsidRPr="00BB2B8C" w:rsidRDefault="00BB2B8C" w:rsidP="00BB2B8C">
            <w:pPr>
              <w:spacing w:before="60" w:after="60"/>
              <w:jc w:val="right"/>
              <w:rPr>
                <w:rFonts w:cs="Arial"/>
                <w:bCs/>
                <w:sz w:val="16"/>
                <w:szCs w:val="16"/>
              </w:rPr>
            </w:pPr>
            <w:r w:rsidRPr="00BB2B8C">
              <w:rPr>
                <w:rFonts w:cs="Arial"/>
                <w:bCs/>
                <w:color w:val="000000"/>
                <w:sz w:val="16"/>
                <w:szCs w:val="16"/>
              </w:rPr>
              <w:t>814 947 678</w:t>
            </w:r>
          </w:p>
        </w:tc>
      </w:tr>
      <w:tr w:rsidR="00BB2B8C" w:rsidRPr="00124B5D" w14:paraId="43B36674" w14:textId="77777777" w:rsidTr="00A839CC">
        <w:trPr>
          <w:trHeight w:val="44"/>
        </w:trPr>
        <w:tc>
          <w:tcPr>
            <w:tcW w:w="1276" w:type="dxa"/>
            <w:tcBorders>
              <w:top w:val="nil"/>
              <w:left w:val="nil"/>
              <w:bottom w:val="nil"/>
              <w:right w:val="single" w:sz="4" w:space="0" w:color="FFFFFF" w:themeColor="background1"/>
            </w:tcBorders>
            <w:shd w:val="clear" w:color="auto" w:fill="00B0F0"/>
            <w:vAlign w:val="center"/>
          </w:tcPr>
          <w:p w14:paraId="6F613122" w14:textId="206F3BBE" w:rsidR="00BB2B8C" w:rsidRPr="00BB4F21" w:rsidRDefault="00BB2B8C" w:rsidP="00BB2B8C">
            <w:pPr>
              <w:spacing w:before="60" w:after="60"/>
              <w:jc w:val="center"/>
              <w:rPr>
                <w:rFonts w:cs="Arial"/>
                <w:bCs/>
                <w:sz w:val="16"/>
                <w:szCs w:val="16"/>
              </w:rPr>
            </w:pPr>
            <w:r w:rsidRPr="00BB4F21">
              <w:rPr>
                <w:rFonts w:cs="Arial"/>
                <w:bCs/>
                <w:color w:val="000000"/>
                <w:sz w:val="16"/>
                <w:szCs w:val="16"/>
              </w:rPr>
              <w:t>Wyspa Man</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7EA6C87A" w14:textId="3B2831D5" w:rsidR="00BB2B8C" w:rsidRPr="00BB4F21" w:rsidRDefault="00DE200D" w:rsidP="00BB2B8C">
            <w:pPr>
              <w:spacing w:before="60" w:after="60"/>
              <w:jc w:val="right"/>
              <w:rPr>
                <w:rFonts w:cs="Arial"/>
                <w:bCs/>
                <w:sz w:val="16"/>
                <w:szCs w:val="16"/>
              </w:rPr>
            </w:pPr>
            <w:r>
              <w:rPr>
                <w:rFonts w:cs="Arial"/>
                <w:bCs/>
                <w:sz w:val="16"/>
                <w:szCs w:val="16"/>
              </w:rPr>
              <w:t>-</w:t>
            </w:r>
          </w:p>
        </w:tc>
        <w:tc>
          <w:tcPr>
            <w:tcW w:w="1275" w:type="dxa"/>
            <w:tcBorders>
              <w:top w:val="nil"/>
              <w:left w:val="single" w:sz="4" w:space="0" w:color="FFFFFF" w:themeColor="background1"/>
              <w:bottom w:val="nil"/>
              <w:right w:val="single" w:sz="4" w:space="0" w:color="FFFFFF" w:themeColor="background1"/>
            </w:tcBorders>
            <w:shd w:val="clear" w:color="auto" w:fill="00B0F0"/>
            <w:vAlign w:val="center"/>
          </w:tcPr>
          <w:p w14:paraId="5F65FC82" w14:textId="588C034E" w:rsidR="00BB2B8C" w:rsidRPr="00BB4F21" w:rsidRDefault="00DE200D" w:rsidP="00BB2B8C">
            <w:pPr>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nil"/>
            </w:tcBorders>
            <w:shd w:val="clear" w:color="auto" w:fill="00B0F0"/>
            <w:vAlign w:val="center"/>
          </w:tcPr>
          <w:p w14:paraId="669501BB" w14:textId="66F95147" w:rsidR="00BB2B8C" w:rsidRPr="00BB4F21" w:rsidRDefault="00DE200D" w:rsidP="00BB2B8C">
            <w:pPr>
              <w:keepNext/>
              <w:spacing w:before="60" w:after="60"/>
              <w:jc w:val="right"/>
              <w:rPr>
                <w:rFonts w:cs="Arial"/>
                <w:bCs/>
                <w:sz w:val="16"/>
                <w:szCs w:val="16"/>
              </w:rPr>
            </w:pPr>
            <w:r>
              <w:rPr>
                <w:rFonts w:cs="Arial"/>
                <w:bCs/>
                <w:sz w:val="16"/>
                <w:szCs w:val="16"/>
              </w:rPr>
              <w:t>-</w:t>
            </w:r>
          </w:p>
        </w:tc>
        <w:tc>
          <w:tcPr>
            <w:tcW w:w="1417" w:type="dxa"/>
            <w:tcBorders>
              <w:top w:val="nil"/>
              <w:left w:val="single" w:sz="4" w:space="0" w:color="FFFFFF" w:themeColor="background1"/>
              <w:bottom w:val="nil"/>
              <w:right w:val="nil"/>
            </w:tcBorders>
            <w:shd w:val="clear" w:color="auto" w:fill="00B0F0"/>
            <w:vAlign w:val="center"/>
          </w:tcPr>
          <w:p w14:paraId="7D706275" w14:textId="7940E089" w:rsidR="00BB2B8C" w:rsidRPr="00BB4F21" w:rsidRDefault="00DE200D" w:rsidP="00BB2B8C">
            <w:pPr>
              <w:keepNext/>
              <w:spacing w:before="60" w:after="60"/>
              <w:jc w:val="right"/>
              <w:rPr>
                <w:rFonts w:cs="Arial"/>
                <w:bCs/>
                <w:sz w:val="16"/>
                <w:szCs w:val="16"/>
              </w:rPr>
            </w:pPr>
            <w:r>
              <w:rPr>
                <w:rFonts w:cs="Arial"/>
                <w:bCs/>
                <w:sz w:val="16"/>
                <w:szCs w:val="16"/>
              </w:rPr>
              <w:t>-</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B7E288D" w14:textId="6653B9B1" w:rsidR="00BB2B8C" w:rsidRPr="00BB4F21" w:rsidRDefault="00BB2B8C" w:rsidP="00BB2B8C">
            <w:pPr>
              <w:keepNext/>
              <w:spacing w:before="60" w:after="60"/>
              <w:jc w:val="right"/>
              <w:rPr>
                <w:rFonts w:cs="Arial"/>
                <w:bCs/>
                <w:sz w:val="16"/>
                <w:szCs w:val="16"/>
              </w:rPr>
            </w:pPr>
            <w:r w:rsidRPr="00BB4F21">
              <w:rPr>
                <w:rFonts w:cs="Arial"/>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11E6816B" w14:textId="3507BB0E" w:rsidR="00BB2B8C" w:rsidRPr="00BB4F21" w:rsidRDefault="00BB2B8C" w:rsidP="00BB2B8C">
            <w:pPr>
              <w:keepNext/>
              <w:spacing w:before="60" w:after="60"/>
              <w:jc w:val="right"/>
              <w:rPr>
                <w:rFonts w:cs="Arial"/>
                <w:bCs/>
                <w:sz w:val="16"/>
                <w:szCs w:val="16"/>
              </w:rPr>
            </w:pPr>
            <w:r w:rsidRPr="00BB4F21">
              <w:rPr>
                <w:rFonts w:cs="Arial"/>
                <w:color w:val="000000"/>
                <w:sz w:val="16"/>
                <w:szCs w:val="16"/>
              </w:rPr>
              <w:t>15 300 000</w:t>
            </w:r>
          </w:p>
        </w:tc>
        <w:tc>
          <w:tcPr>
            <w:tcW w:w="851" w:type="dxa"/>
            <w:tcBorders>
              <w:top w:val="nil"/>
              <w:left w:val="single" w:sz="4" w:space="0" w:color="FFFFFF" w:themeColor="background1"/>
              <w:bottom w:val="nil"/>
              <w:right w:val="single" w:sz="4" w:space="0" w:color="FFFFFF" w:themeColor="background1"/>
            </w:tcBorders>
            <w:shd w:val="clear" w:color="auto" w:fill="00B0F0"/>
            <w:vAlign w:val="center"/>
          </w:tcPr>
          <w:p w14:paraId="52FF9154" w14:textId="392FC8EF"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2</w:t>
            </w:r>
          </w:p>
        </w:tc>
        <w:tc>
          <w:tcPr>
            <w:tcW w:w="1417" w:type="dxa"/>
            <w:tcBorders>
              <w:top w:val="nil"/>
              <w:left w:val="single" w:sz="4" w:space="0" w:color="FFFFFF" w:themeColor="background1"/>
              <w:bottom w:val="nil"/>
              <w:right w:val="nil"/>
            </w:tcBorders>
            <w:shd w:val="clear" w:color="auto" w:fill="00B0F0"/>
            <w:vAlign w:val="center"/>
          </w:tcPr>
          <w:p w14:paraId="31772AD8" w14:textId="793C44E0" w:rsidR="00BB2B8C" w:rsidRPr="00BB2B8C" w:rsidRDefault="00BB2B8C" w:rsidP="00BB2B8C">
            <w:pPr>
              <w:keepNext/>
              <w:spacing w:before="60" w:after="60"/>
              <w:jc w:val="right"/>
              <w:rPr>
                <w:rFonts w:cs="Arial"/>
                <w:bCs/>
                <w:sz w:val="16"/>
                <w:szCs w:val="16"/>
              </w:rPr>
            </w:pPr>
            <w:r w:rsidRPr="00BB2B8C">
              <w:rPr>
                <w:rFonts w:cs="Arial"/>
                <w:bCs/>
                <w:color w:val="000000"/>
                <w:sz w:val="16"/>
                <w:szCs w:val="16"/>
              </w:rPr>
              <w:t>15 300 000</w:t>
            </w:r>
          </w:p>
        </w:tc>
      </w:tr>
      <w:tr w:rsidR="00DA5C65" w:rsidRPr="00A839CC" w14:paraId="09C848DC" w14:textId="77777777" w:rsidTr="00BB117E">
        <w:trPr>
          <w:trHeight w:val="78"/>
        </w:trPr>
        <w:tc>
          <w:tcPr>
            <w:tcW w:w="1276" w:type="dxa"/>
            <w:tcBorders>
              <w:top w:val="nil"/>
              <w:left w:val="nil"/>
              <w:bottom w:val="nil"/>
              <w:right w:val="single" w:sz="4" w:space="0" w:color="FFFFFF" w:themeColor="background1"/>
            </w:tcBorders>
            <w:vAlign w:val="center"/>
          </w:tcPr>
          <w:p w14:paraId="01F28FE4" w14:textId="77777777" w:rsidR="00DA5C65" w:rsidRDefault="00DA5C65" w:rsidP="00DA5C65">
            <w:pPr>
              <w:spacing w:before="60" w:after="60"/>
              <w:jc w:val="center"/>
              <w:rPr>
                <w:rFonts w:cs="Arial"/>
                <w:b/>
                <w:sz w:val="16"/>
                <w:szCs w:val="16"/>
              </w:rPr>
            </w:pPr>
            <w:r w:rsidRPr="00A839CC">
              <w:rPr>
                <w:rFonts w:cs="Arial"/>
                <w:b/>
                <w:sz w:val="16"/>
                <w:szCs w:val="16"/>
              </w:rPr>
              <w:t>Razem</w:t>
            </w:r>
          </w:p>
          <w:p w14:paraId="3F9B8F65" w14:textId="6CB6CAF9" w:rsidR="00DA5C65" w:rsidRPr="00A839CC" w:rsidRDefault="00DA5C65" w:rsidP="00DA5C65">
            <w:pPr>
              <w:spacing w:before="60" w:after="60"/>
              <w:jc w:val="center"/>
              <w:rPr>
                <w:rFonts w:cs="Arial"/>
                <w:b/>
                <w:bCs/>
                <w:sz w:val="16"/>
                <w:szCs w:val="16"/>
              </w:rPr>
            </w:pPr>
            <w:r>
              <w:rPr>
                <w:rFonts w:cs="Arial"/>
                <w:b/>
                <w:sz w:val="16"/>
                <w:szCs w:val="16"/>
              </w:rPr>
              <w:t>konkurs</w:t>
            </w:r>
          </w:p>
        </w:tc>
        <w:tc>
          <w:tcPr>
            <w:tcW w:w="851" w:type="dxa"/>
            <w:tcBorders>
              <w:top w:val="nil"/>
              <w:left w:val="single" w:sz="4" w:space="0" w:color="FFFFFF" w:themeColor="background1"/>
              <w:bottom w:val="nil"/>
              <w:right w:val="single" w:sz="4" w:space="0" w:color="FFFFFF" w:themeColor="background1"/>
            </w:tcBorders>
          </w:tcPr>
          <w:p w14:paraId="4DD8E531" w14:textId="7ABEFB9D" w:rsidR="00DA5C65" w:rsidRPr="00A839CC" w:rsidRDefault="00DA5C65" w:rsidP="00BB117E">
            <w:pPr>
              <w:spacing w:before="60" w:after="60"/>
              <w:jc w:val="right"/>
              <w:rPr>
                <w:rFonts w:cs="Arial"/>
                <w:b/>
                <w:sz w:val="16"/>
                <w:szCs w:val="16"/>
              </w:rPr>
            </w:pPr>
            <w:r w:rsidRPr="0017376F">
              <w:rPr>
                <w:rFonts w:cs="Arial"/>
                <w:b/>
                <w:bCs/>
                <w:color w:val="000000"/>
                <w:sz w:val="16"/>
                <w:szCs w:val="16"/>
              </w:rPr>
              <w:t>21</w:t>
            </w:r>
          </w:p>
        </w:tc>
        <w:tc>
          <w:tcPr>
            <w:tcW w:w="1275" w:type="dxa"/>
            <w:tcBorders>
              <w:top w:val="nil"/>
              <w:left w:val="single" w:sz="4" w:space="0" w:color="FFFFFF" w:themeColor="background1"/>
              <w:bottom w:val="nil"/>
              <w:right w:val="single" w:sz="4" w:space="0" w:color="FFFFFF" w:themeColor="background1"/>
            </w:tcBorders>
          </w:tcPr>
          <w:p w14:paraId="14DD57EE" w14:textId="05FDA70D" w:rsidR="00DA5C65" w:rsidRPr="00A839CC" w:rsidRDefault="00DA5C65" w:rsidP="00BB117E">
            <w:pPr>
              <w:spacing w:before="60" w:after="60"/>
              <w:jc w:val="right"/>
              <w:rPr>
                <w:rFonts w:cs="Arial"/>
                <w:b/>
                <w:sz w:val="16"/>
                <w:szCs w:val="16"/>
              </w:rPr>
            </w:pPr>
            <w:r w:rsidRPr="0017376F">
              <w:rPr>
                <w:rFonts w:cs="Arial"/>
                <w:b/>
                <w:bCs/>
                <w:color w:val="000000"/>
                <w:sz w:val="16"/>
                <w:szCs w:val="16"/>
              </w:rPr>
              <w:t>3 716 327 434</w:t>
            </w:r>
          </w:p>
        </w:tc>
        <w:tc>
          <w:tcPr>
            <w:tcW w:w="851" w:type="dxa"/>
            <w:tcBorders>
              <w:top w:val="nil"/>
              <w:left w:val="single" w:sz="4" w:space="0" w:color="FFFFFF" w:themeColor="background1"/>
              <w:bottom w:val="nil"/>
              <w:right w:val="nil"/>
            </w:tcBorders>
          </w:tcPr>
          <w:p w14:paraId="0A82F1BF" w14:textId="2DE27EAD" w:rsidR="00DA5C65" w:rsidRPr="00A839CC" w:rsidRDefault="00DA5C65" w:rsidP="00BB117E">
            <w:pPr>
              <w:spacing w:before="60" w:after="60"/>
              <w:jc w:val="right"/>
              <w:rPr>
                <w:rFonts w:cs="Arial"/>
                <w:b/>
                <w:bCs/>
                <w:sz w:val="16"/>
                <w:szCs w:val="16"/>
              </w:rPr>
            </w:pPr>
            <w:r w:rsidRPr="0017376F">
              <w:rPr>
                <w:rFonts w:cs="Arial"/>
                <w:b/>
                <w:bCs/>
                <w:color w:val="000000"/>
                <w:sz w:val="16"/>
                <w:szCs w:val="16"/>
              </w:rPr>
              <w:t>631</w:t>
            </w:r>
          </w:p>
        </w:tc>
        <w:tc>
          <w:tcPr>
            <w:tcW w:w="1417" w:type="dxa"/>
            <w:tcBorders>
              <w:top w:val="nil"/>
              <w:left w:val="single" w:sz="4" w:space="0" w:color="FFFFFF" w:themeColor="background1"/>
              <w:bottom w:val="nil"/>
              <w:right w:val="nil"/>
            </w:tcBorders>
          </w:tcPr>
          <w:p w14:paraId="5C80ED46" w14:textId="750F8090" w:rsidR="00DA5C65" w:rsidRPr="00A839CC" w:rsidRDefault="00DA5C65" w:rsidP="00BB117E">
            <w:pPr>
              <w:spacing w:before="60" w:after="60"/>
              <w:jc w:val="right"/>
              <w:rPr>
                <w:rFonts w:cs="Arial"/>
                <w:b/>
                <w:bCs/>
                <w:sz w:val="16"/>
                <w:szCs w:val="16"/>
              </w:rPr>
            </w:pPr>
            <w:r w:rsidRPr="0017376F">
              <w:rPr>
                <w:rFonts w:cs="Arial"/>
                <w:b/>
                <w:bCs/>
                <w:color w:val="000000"/>
                <w:sz w:val="16"/>
                <w:szCs w:val="16"/>
              </w:rPr>
              <w:t>5 413 188 140</w:t>
            </w:r>
          </w:p>
        </w:tc>
        <w:tc>
          <w:tcPr>
            <w:tcW w:w="851" w:type="dxa"/>
            <w:tcBorders>
              <w:top w:val="nil"/>
              <w:left w:val="single" w:sz="4" w:space="0" w:color="FFFFFF" w:themeColor="background1"/>
              <w:bottom w:val="nil"/>
              <w:right w:val="single" w:sz="4" w:space="0" w:color="FFFFFF" w:themeColor="background1"/>
            </w:tcBorders>
            <w:vAlign w:val="center"/>
          </w:tcPr>
          <w:p w14:paraId="0214F7AF" w14:textId="77777777" w:rsidR="00DA5C65" w:rsidRDefault="00DA5C65" w:rsidP="00DA5C65">
            <w:pPr>
              <w:spacing w:before="60" w:after="60"/>
              <w:jc w:val="right"/>
              <w:rPr>
                <w:rFonts w:cs="Arial"/>
                <w:b/>
                <w:bCs/>
                <w:color w:val="000000"/>
                <w:sz w:val="16"/>
                <w:szCs w:val="16"/>
              </w:rPr>
            </w:pPr>
            <w:r w:rsidRPr="0017376F">
              <w:rPr>
                <w:rFonts w:cs="Arial"/>
                <w:b/>
                <w:bCs/>
                <w:color w:val="000000"/>
                <w:sz w:val="16"/>
                <w:szCs w:val="16"/>
              </w:rPr>
              <w:t>152</w:t>
            </w:r>
          </w:p>
          <w:p w14:paraId="591B7BCE" w14:textId="796EA161" w:rsidR="00BB117E" w:rsidRPr="00A839CC" w:rsidRDefault="00BB117E" w:rsidP="00DA5C65">
            <w:pPr>
              <w:spacing w:before="60" w:after="60"/>
              <w:jc w:val="right"/>
              <w:rPr>
                <w:rFonts w:cs="Arial"/>
                <w:b/>
                <w:bCs/>
                <w:sz w:val="16"/>
                <w:szCs w:val="16"/>
              </w:rPr>
            </w:pPr>
            <w:r>
              <w:rPr>
                <w:rFonts w:cs="Arial"/>
                <w:b/>
                <w:bCs/>
                <w:color w:val="000000"/>
                <w:sz w:val="16"/>
                <w:szCs w:val="16"/>
              </w:rPr>
              <w:t>2</w:t>
            </w:r>
          </w:p>
        </w:tc>
        <w:tc>
          <w:tcPr>
            <w:tcW w:w="1417" w:type="dxa"/>
            <w:tcBorders>
              <w:top w:val="nil"/>
              <w:left w:val="single" w:sz="4" w:space="0" w:color="FFFFFF" w:themeColor="background1"/>
              <w:bottom w:val="nil"/>
              <w:right w:val="nil"/>
            </w:tcBorders>
            <w:vAlign w:val="center"/>
          </w:tcPr>
          <w:p w14:paraId="2C005ED1" w14:textId="6A033651" w:rsidR="00DA5C65" w:rsidRDefault="00DA5C65" w:rsidP="00DA5C65">
            <w:pPr>
              <w:spacing w:before="60" w:after="60"/>
              <w:jc w:val="right"/>
              <w:rPr>
                <w:rFonts w:cs="Arial"/>
                <w:b/>
                <w:bCs/>
                <w:color w:val="000000"/>
                <w:sz w:val="16"/>
                <w:szCs w:val="16"/>
              </w:rPr>
            </w:pPr>
            <w:r w:rsidRPr="0017376F">
              <w:rPr>
                <w:rFonts w:cs="Arial"/>
                <w:b/>
                <w:bCs/>
                <w:color w:val="000000"/>
                <w:sz w:val="16"/>
                <w:szCs w:val="16"/>
              </w:rPr>
              <w:t>14 632 441</w:t>
            </w:r>
            <w:r w:rsidR="009343A1">
              <w:rPr>
                <w:rFonts w:cs="Arial"/>
                <w:b/>
                <w:bCs/>
                <w:color w:val="000000"/>
                <w:sz w:val="16"/>
                <w:szCs w:val="16"/>
              </w:rPr>
              <w:t xml:space="preserve"> </w:t>
            </w:r>
            <w:r w:rsidRPr="0017376F">
              <w:rPr>
                <w:rFonts w:cs="Arial"/>
                <w:b/>
                <w:bCs/>
                <w:color w:val="000000"/>
                <w:sz w:val="16"/>
                <w:szCs w:val="16"/>
              </w:rPr>
              <w:t>495</w:t>
            </w:r>
          </w:p>
          <w:p w14:paraId="0E6984D3" w14:textId="3FE835F2" w:rsidR="00BB117E" w:rsidRPr="00A839CC" w:rsidRDefault="00BB117E" w:rsidP="00DA5C65">
            <w:pPr>
              <w:spacing w:before="60" w:after="60"/>
              <w:jc w:val="right"/>
              <w:rPr>
                <w:rFonts w:cs="Arial"/>
                <w:b/>
                <w:bCs/>
                <w:sz w:val="16"/>
                <w:szCs w:val="16"/>
              </w:rPr>
            </w:pPr>
            <w:r w:rsidRPr="00BB117E">
              <w:rPr>
                <w:rFonts w:cs="Arial"/>
                <w:b/>
                <w:bCs/>
                <w:sz w:val="16"/>
                <w:szCs w:val="16"/>
              </w:rPr>
              <w:t>287 552</w:t>
            </w:r>
          </w:p>
        </w:tc>
        <w:tc>
          <w:tcPr>
            <w:tcW w:w="851" w:type="dxa"/>
            <w:tcBorders>
              <w:top w:val="nil"/>
              <w:left w:val="single" w:sz="4" w:space="0" w:color="FFFFFF" w:themeColor="background1"/>
              <w:bottom w:val="nil"/>
              <w:right w:val="single" w:sz="4" w:space="0" w:color="FFFFFF" w:themeColor="background1"/>
            </w:tcBorders>
            <w:vAlign w:val="center"/>
          </w:tcPr>
          <w:p w14:paraId="01195737" w14:textId="2FF70121" w:rsidR="00DA5C65" w:rsidRPr="00A839CC" w:rsidRDefault="00DA5C65" w:rsidP="00BB117E">
            <w:pPr>
              <w:spacing w:before="60" w:after="60"/>
              <w:jc w:val="right"/>
              <w:rPr>
                <w:rFonts w:cs="Arial"/>
                <w:b/>
                <w:bCs/>
                <w:sz w:val="16"/>
                <w:szCs w:val="16"/>
              </w:rPr>
            </w:pPr>
            <w:r w:rsidRPr="0017376F">
              <w:rPr>
                <w:rFonts w:cs="Arial"/>
                <w:b/>
                <w:bCs/>
                <w:color w:val="000000"/>
                <w:sz w:val="16"/>
                <w:szCs w:val="16"/>
              </w:rPr>
              <w:t>806</w:t>
            </w:r>
          </w:p>
        </w:tc>
        <w:tc>
          <w:tcPr>
            <w:tcW w:w="1417" w:type="dxa"/>
            <w:tcBorders>
              <w:top w:val="nil"/>
              <w:left w:val="single" w:sz="4" w:space="0" w:color="FFFFFF" w:themeColor="background1"/>
              <w:bottom w:val="nil"/>
              <w:right w:val="nil"/>
            </w:tcBorders>
            <w:vAlign w:val="center"/>
          </w:tcPr>
          <w:p w14:paraId="4433942D" w14:textId="54DD27F1" w:rsidR="00DA5C65" w:rsidRPr="00A839CC" w:rsidRDefault="00DA5C65" w:rsidP="00BB117E">
            <w:pPr>
              <w:spacing w:before="60" w:after="60"/>
              <w:jc w:val="right"/>
              <w:rPr>
                <w:rFonts w:cs="Arial"/>
                <w:b/>
                <w:bCs/>
                <w:sz w:val="16"/>
                <w:szCs w:val="16"/>
              </w:rPr>
            </w:pPr>
            <w:r w:rsidRPr="0017376F">
              <w:rPr>
                <w:rFonts w:cs="Arial"/>
                <w:b/>
                <w:bCs/>
                <w:color w:val="000000"/>
                <w:sz w:val="16"/>
                <w:szCs w:val="16"/>
              </w:rPr>
              <w:t>23 762 244 621</w:t>
            </w:r>
          </w:p>
        </w:tc>
      </w:tr>
    </w:tbl>
    <w:p w14:paraId="7CD0B20B" w14:textId="1543BB5F" w:rsidR="00C4432B" w:rsidRDefault="00C4432B" w:rsidP="00F058DB">
      <w:pPr>
        <w:shd w:val="clear" w:color="auto" w:fill="FFFFFF"/>
      </w:pPr>
    </w:p>
    <w:p w14:paraId="6088B414" w14:textId="0B23C05D" w:rsidR="00545522" w:rsidRDefault="00545522" w:rsidP="00545522">
      <w:pPr>
        <w:shd w:val="clear" w:color="auto" w:fill="FFFFFF"/>
      </w:pPr>
      <w:r>
        <w:t>Najwięcej zamówień udzielanych podmiotom zagranicznym stanowiły dostawy – 6</w:t>
      </w:r>
      <w:r w:rsidR="001A426A">
        <w:t>31</w:t>
      </w:r>
      <w:r>
        <w:t xml:space="preserve"> czyli </w:t>
      </w:r>
      <w:r w:rsidR="00C40553">
        <w:t>7</w:t>
      </w:r>
      <w:r>
        <w:t>8%. Z kolei usługi zlecono w 1</w:t>
      </w:r>
      <w:r w:rsidR="001A426A">
        <w:t>52</w:t>
      </w:r>
      <w:r>
        <w:t xml:space="preserve"> (1</w:t>
      </w:r>
      <w:r w:rsidR="00C40553">
        <w:t>9</w:t>
      </w:r>
      <w:r>
        <w:t>%), a roboty budowlane w 2</w:t>
      </w:r>
      <w:r w:rsidR="001A426A">
        <w:t>1</w:t>
      </w:r>
      <w:r>
        <w:t xml:space="preserve"> (</w:t>
      </w:r>
      <w:r w:rsidR="00C40553">
        <w:t>3</w:t>
      </w:r>
      <w:r>
        <w:t xml:space="preserve">%) przypadkach. </w:t>
      </w:r>
      <w:r w:rsidRPr="00CE37E1">
        <w:t xml:space="preserve">Wykonawca zagraniczny został również wybrany w </w:t>
      </w:r>
      <w:r w:rsidR="00C40553">
        <w:t>dwóch konkursach</w:t>
      </w:r>
      <w:r w:rsidRPr="00CE37E1">
        <w:t>.</w:t>
      </w:r>
    </w:p>
    <w:p w14:paraId="77714AE3" w14:textId="77777777" w:rsidR="00545522" w:rsidRDefault="00545522" w:rsidP="00545522">
      <w:pPr>
        <w:shd w:val="clear" w:color="auto" w:fill="FFFFFF"/>
      </w:pPr>
    </w:p>
    <w:p w14:paraId="2AEBBD6B" w14:textId="7487EF9A" w:rsidR="00092BB7" w:rsidRDefault="00007F1A" w:rsidP="00545522">
      <w:pPr>
        <w:shd w:val="clear" w:color="auto" w:fill="FFFFFF"/>
      </w:pPr>
      <w:r>
        <w:t>Z perspektywy</w:t>
      </w:r>
      <w:r w:rsidR="009A02C1">
        <w:t xml:space="preserve"> </w:t>
      </w:r>
      <w:r w:rsidR="00545522">
        <w:t>wartoś</w:t>
      </w:r>
      <w:r w:rsidR="004835C1">
        <w:t>ci</w:t>
      </w:r>
      <w:r w:rsidR="00545522">
        <w:t xml:space="preserve"> zamówień najwięcej środków wydatkowano na </w:t>
      </w:r>
      <w:r w:rsidR="00092BB7" w:rsidRPr="00092BB7">
        <w:t>usługi</w:t>
      </w:r>
      <w:r w:rsidR="00092BB7">
        <w:t xml:space="preserve"> – </w:t>
      </w:r>
      <w:r w:rsidR="007B4DA0">
        <w:t xml:space="preserve">ok. </w:t>
      </w:r>
      <w:r w:rsidR="00092BB7">
        <w:t>14,6</w:t>
      </w:r>
      <w:r w:rsidR="00970267">
        <w:t>32</w:t>
      </w:r>
      <w:r w:rsidR="00092BB7">
        <w:t xml:space="preserve"> mld zł (62%), następnie na dostawy – </w:t>
      </w:r>
      <w:r w:rsidR="007B4DA0">
        <w:t>ok. 5</w:t>
      </w:r>
      <w:r w:rsidR="00092BB7">
        <w:t>,4</w:t>
      </w:r>
      <w:r w:rsidR="00970267">
        <w:t>13</w:t>
      </w:r>
      <w:r w:rsidR="00092BB7">
        <w:t xml:space="preserve"> mld zł (2</w:t>
      </w:r>
      <w:r w:rsidR="007B4DA0">
        <w:t>3</w:t>
      </w:r>
      <w:r w:rsidR="00092BB7">
        <w:t>%) oraz na</w:t>
      </w:r>
      <w:r w:rsidR="007B4DA0">
        <w:t xml:space="preserve"> roboty budowlane – ok. 3,7</w:t>
      </w:r>
      <w:r w:rsidR="00970267">
        <w:t xml:space="preserve">16 </w:t>
      </w:r>
      <w:r w:rsidR="007B4DA0">
        <w:t xml:space="preserve">mld zł (15%). Na konkurs przeznaczono </w:t>
      </w:r>
      <w:r w:rsidR="00F7795E">
        <w:t xml:space="preserve">ok. </w:t>
      </w:r>
      <w:r w:rsidR="007B4DA0">
        <w:t>287 tys. zł.</w:t>
      </w:r>
    </w:p>
    <w:p w14:paraId="7C62D2D9" w14:textId="77777777" w:rsidR="00092BB7" w:rsidRDefault="00092BB7" w:rsidP="00545522">
      <w:pPr>
        <w:shd w:val="clear" w:color="auto" w:fill="FFFFFF"/>
      </w:pPr>
    </w:p>
    <w:p w14:paraId="2340EA2E" w14:textId="77777777" w:rsidR="00545522" w:rsidRDefault="00545522" w:rsidP="00545522">
      <w:pPr>
        <w:shd w:val="clear" w:color="auto" w:fill="FFFFFF"/>
      </w:pPr>
      <w:r>
        <w:t>Po</w:t>
      </w:r>
      <w:r w:rsidRPr="006E36B6">
        <w:t>dobnie jak w przypadku polskich wykonawców na rynku europejskim</w:t>
      </w:r>
      <w:r>
        <w:t>, s</w:t>
      </w:r>
      <w:r w:rsidRPr="006E36B6">
        <w:t>truktura przedmiotu zamówień udzielanych wykonawcom zagranicznym</w:t>
      </w:r>
      <w:r>
        <w:t xml:space="preserve"> od lat nie ulega większym zmianom.</w:t>
      </w:r>
    </w:p>
    <w:p w14:paraId="0C64AE6C" w14:textId="77777777" w:rsidR="00545522" w:rsidRDefault="00545522" w:rsidP="00545522">
      <w:pPr>
        <w:shd w:val="clear" w:color="auto" w:fill="FFFFFF"/>
      </w:pPr>
      <w:r w:rsidRPr="006E36B6">
        <w:t xml:space="preserve">W przypadku dostaw </w:t>
      </w:r>
      <w:r>
        <w:t xml:space="preserve">największy odsetek stanowią </w:t>
      </w:r>
      <w:r w:rsidRPr="006E36B6">
        <w:t>zakupy sprzętu medycznego (w tym jednorazowego), lekarstw i odczynników.</w:t>
      </w:r>
      <w:r>
        <w:t xml:space="preserve"> Dodatkowo wykonawcy spoza Polski otrzymują zamówienia na </w:t>
      </w:r>
      <w:r w:rsidRPr="006E36B6">
        <w:t>urządzenia optyczne i precyzyjne; sprzęt laboratoryjny czy sprzęt górniczy</w:t>
      </w:r>
      <w:r>
        <w:t>. Wykonawcy zagraniczni realizują</w:t>
      </w:r>
      <w:r w:rsidRPr="00E526FB">
        <w:t xml:space="preserve"> również dostawy autobusów, tramwajów i pojazdów specjalistycznych oraz części do nich.</w:t>
      </w:r>
    </w:p>
    <w:p w14:paraId="0D841232" w14:textId="77777777" w:rsidR="00545522" w:rsidRDefault="00545522" w:rsidP="00545522">
      <w:pPr>
        <w:shd w:val="clear" w:color="auto" w:fill="FFFFFF"/>
      </w:pPr>
      <w:r>
        <w:t>Dużą część usług stanowią</w:t>
      </w:r>
      <w:r w:rsidRPr="00E526FB">
        <w:t xml:space="preserve"> remonty sprzętu górniczego i wydobywczego</w:t>
      </w:r>
      <w:r>
        <w:t>. U</w:t>
      </w:r>
      <w:r w:rsidRPr="00E526FB">
        <w:t xml:space="preserve"> wykonawców zagranicznych </w:t>
      </w:r>
      <w:r>
        <w:t>zamawiane są również</w:t>
      </w:r>
      <w:r w:rsidRPr="00E526FB">
        <w:t xml:space="preserve"> prawa licencyjne do oprogramowania oraz dostęp do baz danych, a także nadzór inwestorski, przygotowywanie dokumentacji projektowej, usługi ubezpieczeniowe i szkolenia specjalistyczne</w:t>
      </w:r>
      <w:r>
        <w:t>.</w:t>
      </w:r>
    </w:p>
    <w:p w14:paraId="1EBABB0B" w14:textId="77777777" w:rsidR="00545522" w:rsidRDefault="00545522" w:rsidP="00545522">
      <w:pPr>
        <w:shd w:val="clear" w:color="auto" w:fill="FFFFFF"/>
      </w:pPr>
      <w:r w:rsidRPr="00FB2029">
        <w:t>W przypadku robót budowlanych zamówienia dotyczą budowy oraz remontów dróg i autostrad</w:t>
      </w:r>
      <w:r>
        <w:t>,</w:t>
      </w:r>
      <w:r w:rsidRPr="00FB2029">
        <w:t xml:space="preserve"> a także linii kolejowych oraz budowy lub przebudowy budynków, w tym także budowy obiektów infrastruktury energetycznej. </w:t>
      </w:r>
      <w:r>
        <w:t>W</w:t>
      </w:r>
      <w:r w:rsidRPr="00FB2029">
        <w:t xml:space="preserve"> dużej części </w:t>
      </w:r>
      <w:r>
        <w:t xml:space="preserve">tych </w:t>
      </w:r>
      <w:r w:rsidRPr="00FB2029">
        <w:t>zamówień wybierane są oferty konsorcjów, w skład których wchodzą także polscy wykonawcy.</w:t>
      </w:r>
    </w:p>
    <w:p w14:paraId="0C5E6E17" w14:textId="77777777" w:rsidR="006E36B6" w:rsidRDefault="006E36B6" w:rsidP="00B2565A">
      <w:pPr>
        <w:shd w:val="clear" w:color="auto" w:fill="FFFFFF"/>
      </w:pPr>
    </w:p>
    <w:p w14:paraId="3EDE9C58" w14:textId="77777777" w:rsidR="00281762" w:rsidRDefault="00281762"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E63700" w:rsidRPr="001E7D51" w14:paraId="68BACC50" w14:textId="77777777" w:rsidTr="005C700F">
        <w:trPr>
          <w:cantSplit/>
        </w:trPr>
        <w:tc>
          <w:tcPr>
            <w:tcW w:w="236" w:type="dxa"/>
            <w:shd w:val="clear" w:color="auto" w:fill="B8CCE4"/>
          </w:tcPr>
          <w:p w14:paraId="7D20BF06" w14:textId="77777777" w:rsidR="00E63700" w:rsidRPr="001E7D51" w:rsidRDefault="00E63700" w:rsidP="00F058DB">
            <w:pPr>
              <w:rPr>
                <w:sz w:val="24"/>
              </w:rPr>
            </w:pPr>
          </w:p>
        </w:tc>
        <w:tc>
          <w:tcPr>
            <w:tcW w:w="8676" w:type="dxa"/>
          </w:tcPr>
          <w:p w14:paraId="6C4D336D" w14:textId="08C7BFE7" w:rsidR="00E63700" w:rsidRPr="002E4B1E" w:rsidRDefault="00967BD0" w:rsidP="00F058DB">
            <w:pPr>
              <w:pStyle w:val="Nagwek3"/>
              <w:shd w:val="clear" w:color="auto" w:fill="FFFFFF"/>
              <w:spacing w:after="120"/>
              <w:ind w:left="0"/>
              <w:rPr>
                <w:color w:val="0070C0"/>
                <w:sz w:val="24"/>
                <w:szCs w:val="24"/>
              </w:rPr>
            </w:pPr>
            <w:bookmarkStart w:id="113" w:name="_Toc64451865"/>
            <w:bookmarkStart w:id="114" w:name="_Toc141276444"/>
            <w:r w:rsidRPr="002E4B1E">
              <w:rPr>
                <w:color w:val="0070C0"/>
                <w:sz w:val="24"/>
                <w:szCs w:val="24"/>
              </w:rPr>
              <w:t>II.2.</w:t>
            </w:r>
            <w:r w:rsidR="00870A10" w:rsidRPr="002E4B1E">
              <w:rPr>
                <w:color w:val="0070C0"/>
                <w:sz w:val="24"/>
                <w:szCs w:val="24"/>
              </w:rPr>
              <w:t>8</w:t>
            </w:r>
            <w:r w:rsidRPr="002E4B1E">
              <w:rPr>
                <w:color w:val="0070C0"/>
                <w:sz w:val="24"/>
                <w:szCs w:val="24"/>
              </w:rPr>
              <w:t>.</w:t>
            </w:r>
            <w:r w:rsidR="00750B05" w:rsidRPr="002E4B1E">
              <w:rPr>
                <w:color w:val="0070C0"/>
                <w:sz w:val="24"/>
                <w:szCs w:val="24"/>
              </w:rPr>
              <w:t xml:space="preserve"> </w:t>
            </w:r>
            <w:r w:rsidR="005577EC" w:rsidRPr="002E4B1E">
              <w:rPr>
                <w:color w:val="0070C0"/>
                <w:sz w:val="24"/>
                <w:szCs w:val="24"/>
              </w:rPr>
              <w:t>Korzystanie ze środków ochrony prawnej</w:t>
            </w:r>
            <w:bookmarkEnd w:id="113"/>
            <w:bookmarkEnd w:id="114"/>
          </w:p>
        </w:tc>
      </w:tr>
    </w:tbl>
    <w:p w14:paraId="7B1C1D3A" w14:textId="2CDD08C2" w:rsidR="008D7F04" w:rsidRDefault="008D7F04" w:rsidP="00FD1F9D">
      <w:pPr>
        <w:shd w:val="clear" w:color="auto" w:fill="FFFFFF"/>
      </w:pPr>
    </w:p>
    <w:p w14:paraId="67190E56" w14:textId="63D8334E" w:rsidR="000459D8" w:rsidRPr="00BB47E1" w:rsidRDefault="000459D8" w:rsidP="00E16264">
      <w:pPr>
        <w:pStyle w:val="Default"/>
        <w:numPr>
          <w:ilvl w:val="0"/>
          <w:numId w:val="54"/>
        </w:numPr>
        <w:jc w:val="both"/>
        <w:rPr>
          <w:b/>
          <w:bCs/>
          <w:color w:val="2E74B5" w:themeColor="accent1" w:themeShade="BF"/>
          <w:sz w:val="22"/>
          <w:szCs w:val="22"/>
        </w:rPr>
      </w:pPr>
      <w:r w:rsidRPr="00BB47E1">
        <w:rPr>
          <w:b/>
          <w:bCs/>
          <w:color w:val="2E74B5" w:themeColor="accent1" w:themeShade="BF"/>
          <w:sz w:val="22"/>
          <w:szCs w:val="22"/>
        </w:rPr>
        <w:t>Dane statystyczne dotyczące odwołań wnoszonych do Prezesa Krajowej Izby Odwoławczej</w:t>
      </w:r>
    </w:p>
    <w:p w14:paraId="4747F459" w14:textId="77777777" w:rsidR="000459D8" w:rsidRPr="00567465" w:rsidRDefault="000459D8" w:rsidP="000459D8">
      <w:pPr>
        <w:shd w:val="clear" w:color="auto" w:fill="FFFFFF"/>
        <w:rPr>
          <w:rFonts w:cs="Arial"/>
        </w:rPr>
      </w:pPr>
    </w:p>
    <w:p w14:paraId="194528C5" w14:textId="77777777" w:rsidR="00EA142B" w:rsidRPr="00EA142B" w:rsidRDefault="00EA142B" w:rsidP="00EA142B">
      <w:pPr>
        <w:shd w:val="clear" w:color="auto" w:fill="FFFFFF"/>
        <w:rPr>
          <w:rFonts w:cs="Arial"/>
        </w:rPr>
      </w:pPr>
      <w:r w:rsidRPr="00EA142B">
        <w:rPr>
          <w:rFonts w:cs="Arial"/>
        </w:rPr>
        <w:t>W ostatnich latach liczba wnoszonych odwołań przedstawiała się następująco:</w:t>
      </w:r>
    </w:p>
    <w:p w14:paraId="0021E176" w14:textId="77777777" w:rsidR="00EA142B" w:rsidRPr="00EA142B" w:rsidRDefault="00EA142B" w:rsidP="00E16264">
      <w:pPr>
        <w:numPr>
          <w:ilvl w:val="0"/>
          <w:numId w:val="55"/>
        </w:numPr>
        <w:shd w:val="clear" w:color="auto" w:fill="FFFFFF"/>
        <w:rPr>
          <w:rFonts w:cs="Arial"/>
        </w:rPr>
      </w:pPr>
      <w:r w:rsidRPr="00EA142B">
        <w:rPr>
          <w:rFonts w:cs="Arial"/>
        </w:rPr>
        <w:t>2019 r. – 2 694 odwołania</w:t>
      </w:r>
    </w:p>
    <w:p w14:paraId="2ED30A37" w14:textId="130FF858" w:rsidR="00EA142B" w:rsidRPr="00EA142B" w:rsidRDefault="00EA142B" w:rsidP="00E16264">
      <w:pPr>
        <w:numPr>
          <w:ilvl w:val="0"/>
          <w:numId w:val="55"/>
        </w:numPr>
        <w:shd w:val="clear" w:color="auto" w:fill="FFFFFF"/>
        <w:rPr>
          <w:rFonts w:cs="Arial"/>
        </w:rPr>
      </w:pPr>
      <w:r w:rsidRPr="00EA142B">
        <w:rPr>
          <w:rFonts w:cs="Arial"/>
        </w:rPr>
        <w:t>2020 r. – 3</w:t>
      </w:r>
      <w:r w:rsidR="009343A1">
        <w:rPr>
          <w:rFonts w:cs="Arial"/>
        </w:rPr>
        <w:t xml:space="preserve"> </w:t>
      </w:r>
      <w:r w:rsidRPr="00EA142B">
        <w:rPr>
          <w:rFonts w:cs="Arial"/>
        </w:rPr>
        <w:t>545 odwołań</w:t>
      </w:r>
    </w:p>
    <w:p w14:paraId="713BA91C" w14:textId="77777777" w:rsidR="00EA142B" w:rsidRPr="00EA142B" w:rsidRDefault="00EA142B" w:rsidP="00E16264">
      <w:pPr>
        <w:numPr>
          <w:ilvl w:val="0"/>
          <w:numId w:val="55"/>
        </w:numPr>
        <w:shd w:val="clear" w:color="auto" w:fill="FFFFFF"/>
        <w:rPr>
          <w:rFonts w:cs="Arial"/>
        </w:rPr>
      </w:pPr>
      <w:r w:rsidRPr="00EA142B">
        <w:rPr>
          <w:rFonts w:cs="Arial"/>
        </w:rPr>
        <w:t>2021 r. – 3 811 odwołań</w:t>
      </w:r>
    </w:p>
    <w:p w14:paraId="18D38A31" w14:textId="77777777" w:rsidR="00EA142B" w:rsidRPr="00EA142B" w:rsidRDefault="00EA142B" w:rsidP="00E16264">
      <w:pPr>
        <w:numPr>
          <w:ilvl w:val="0"/>
          <w:numId w:val="55"/>
        </w:numPr>
        <w:shd w:val="clear" w:color="auto" w:fill="FFFFFF"/>
        <w:rPr>
          <w:rFonts w:cs="Arial"/>
        </w:rPr>
      </w:pPr>
      <w:r w:rsidRPr="00EA142B">
        <w:rPr>
          <w:rFonts w:cs="Arial"/>
        </w:rPr>
        <w:t>2022 r. – 3 537 odwołań</w:t>
      </w:r>
    </w:p>
    <w:p w14:paraId="06692663" w14:textId="77777777" w:rsidR="00EA142B" w:rsidRPr="00EA142B" w:rsidRDefault="00EA142B" w:rsidP="00EA142B">
      <w:pPr>
        <w:shd w:val="clear" w:color="auto" w:fill="FFFFFF"/>
        <w:rPr>
          <w:rFonts w:cs="Arial"/>
        </w:rPr>
      </w:pPr>
    </w:p>
    <w:p w14:paraId="0AF25A5E" w14:textId="77777777" w:rsidR="00EA142B" w:rsidRPr="00EA142B" w:rsidRDefault="00EA142B" w:rsidP="00EA142B">
      <w:pPr>
        <w:shd w:val="clear" w:color="auto" w:fill="FFFFFF"/>
        <w:rPr>
          <w:rFonts w:cs="Arial"/>
        </w:rPr>
      </w:pPr>
      <w:r w:rsidRPr="00EA142B">
        <w:rPr>
          <w:rFonts w:cs="Arial"/>
        </w:rPr>
        <w:t>Liczba odwołań wniesionych w 2022 r. spadła względem roku poprzedniego i osiągnęła poziom zbliżony do roku 2020.</w:t>
      </w:r>
    </w:p>
    <w:p w14:paraId="4460E209" w14:textId="77777777" w:rsidR="00C624D1" w:rsidRPr="000B6E9E" w:rsidRDefault="00C624D1" w:rsidP="000459D8">
      <w:pPr>
        <w:shd w:val="clear" w:color="auto" w:fill="FFFFFF"/>
        <w:rPr>
          <w:rFonts w:cs="Arial"/>
        </w:rPr>
      </w:pPr>
    </w:p>
    <w:p w14:paraId="5471ABF7" w14:textId="2E28F073" w:rsidR="008A4FB9" w:rsidRDefault="008A4FB9" w:rsidP="006B58E7">
      <w:pPr>
        <w:pStyle w:val="Legenda"/>
      </w:pPr>
      <w:bookmarkStart w:id="115" w:name="_Toc141276491"/>
      <w:r w:rsidRPr="00EA41DB">
        <w:t xml:space="preserve">Rys. </w:t>
      </w:r>
      <w:r w:rsidR="00BE2079">
        <w:fldChar w:fldCharType="begin"/>
      </w:r>
      <w:r w:rsidR="00BE2079">
        <w:instrText xml:space="preserve"> SEQ Rys. \* ARABIC </w:instrText>
      </w:r>
      <w:r w:rsidR="00BE2079">
        <w:fldChar w:fldCharType="separate"/>
      </w:r>
      <w:r w:rsidR="00A43C68">
        <w:rPr>
          <w:noProof/>
        </w:rPr>
        <w:t>13</w:t>
      </w:r>
      <w:r w:rsidR="00BE2079">
        <w:rPr>
          <w:noProof/>
        </w:rPr>
        <w:fldChar w:fldCharType="end"/>
      </w:r>
      <w:r w:rsidRPr="00EA41DB">
        <w:t>. Liczba wniesionych odwołań w latach 201</w:t>
      </w:r>
      <w:r w:rsidR="00EA142B" w:rsidRPr="00EA41DB">
        <w:t>9</w:t>
      </w:r>
      <w:r w:rsidRPr="00EA41DB">
        <w:t>–202</w:t>
      </w:r>
      <w:r w:rsidR="00EA142B" w:rsidRPr="00EA41DB">
        <w:t>2</w:t>
      </w:r>
      <w:r w:rsidRPr="00EA41DB">
        <w:t xml:space="preserve"> w podziale na rodzaj zamówienia</w:t>
      </w:r>
      <w:r w:rsidR="006409BB" w:rsidRPr="00EA41DB">
        <w:t xml:space="preserve"> oraz ogółem</w:t>
      </w:r>
      <w:bookmarkEnd w:id="115"/>
    </w:p>
    <w:p w14:paraId="1B8C96C0" w14:textId="2EEDD58A" w:rsidR="008A4FB9" w:rsidRDefault="001D1D39" w:rsidP="000459D8">
      <w:pPr>
        <w:shd w:val="clear" w:color="auto" w:fill="FFFFFF"/>
        <w:rPr>
          <w:rFonts w:cs="Arial"/>
        </w:rPr>
      </w:pPr>
      <w:r>
        <w:rPr>
          <w:noProof/>
        </w:rPr>
        <w:drawing>
          <wp:inline distT="0" distB="0" distL="0" distR="0" wp14:anchorId="7525CDC5" wp14:editId="1E872725">
            <wp:extent cx="5250174" cy="3188970"/>
            <wp:effectExtent l="0" t="0" r="8255" b="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61D058F" w14:textId="77777777" w:rsidR="008A4FB9" w:rsidRPr="000B6E9E" w:rsidRDefault="008A4FB9" w:rsidP="000459D8">
      <w:pPr>
        <w:shd w:val="clear" w:color="auto" w:fill="FFFFFF"/>
        <w:rPr>
          <w:rFonts w:cs="Arial"/>
        </w:rPr>
      </w:pPr>
    </w:p>
    <w:p w14:paraId="53FEDA5E" w14:textId="77777777" w:rsidR="000459D8" w:rsidRPr="00C624D1" w:rsidRDefault="000459D8" w:rsidP="000459D8">
      <w:pPr>
        <w:shd w:val="clear" w:color="auto" w:fill="FFFFFF"/>
        <w:rPr>
          <w:rFonts w:cs="Arial"/>
        </w:rPr>
      </w:pPr>
    </w:p>
    <w:p w14:paraId="730C237C" w14:textId="4FC8A4DF" w:rsidR="000459D8" w:rsidRPr="00742E01" w:rsidRDefault="000459D8" w:rsidP="00E16264">
      <w:pPr>
        <w:pStyle w:val="Default"/>
        <w:numPr>
          <w:ilvl w:val="0"/>
          <w:numId w:val="54"/>
        </w:numPr>
        <w:jc w:val="both"/>
        <w:rPr>
          <w:b/>
          <w:bCs/>
          <w:color w:val="2E74B5" w:themeColor="accent1" w:themeShade="BF"/>
          <w:sz w:val="22"/>
          <w:szCs w:val="22"/>
        </w:rPr>
      </w:pPr>
      <w:r w:rsidRPr="00742E01">
        <w:rPr>
          <w:b/>
          <w:bCs/>
          <w:color w:val="2E74B5" w:themeColor="accent1" w:themeShade="BF"/>
          <w:sz w:val="22"/>
          <w:szCs w:val="22"/>
        </w:rPr>
        <w:t xml:space="preserve">Struktura wyników rozpatrzonych odwołań </w:t>
      </w:r>
    </w:p>
    <w:p w14:paraId="33BA35FF" w14:textId="77777777" w:rsidR="000459D8" w:rsidRPr="00C624D1" w:rsidRDefault="000459D8" w:rsidP="000459D8">
      <w:pPr>
        <w:shd w:val="clear" w:color="auto" w:fill="FFFFFF"/>
        <w:rPr>
          <w:rFonts w:cs="Arial"/>
        </w:rPr>
      </w:pPr>
    </w:p>
    <w:p w14:paraId="3631C1FC" w14:textId="6AB9521E" w:rsidR="00742E01" w:rsidRPr="00742E01" w:rsidRDefault="00742E01" w:rsidP="00742E01">
      <w:pPr>
        <w:shd w:val="clear" w:color="auto" w:fill="FFFFFF"/>
        <w:rPr>
          <w:rFonts w:cs="Arial"/>
        </w:rPr>
      </w:pPr>
      <w:r w:rsidRPr="00742E01">
        <w:rPr>
          <w:rFonts w:cs="Arial"/>
        </w:rPr>
        <w:t>W okresie od 1 stycznia do 31 grudnia 2022 r. Krajowa Izba Odwoławcza rozpoznała 3 514 odwołań. Orzeczenia KIO, przedstawia</w:t>
      </w:r>
      <w:r w:rsidR="001F54F3">
        <w:rPr>
          <w:rFonts w:cs="Arial"/>
        </w:rPr>
        <w:t>ły</w:t>
      </w:r>
      <w:r w:rsidRPr="00742E01">
        <w:rPr>
          <w:rFonts w:cs="Arial"/>
        </w:rPr>
        <w:t xml:space="preserve"> się następująco:</w:t>
      </w:r>
    </w:p>
    <w:p w14:paraId="1BE2049E" w14:textId="467A03B9" w:rsidR="000459D8" w:rsidRDefault="000459D8" w:rsidP="000459D8">
      <w:pPr>
        <w:shd w:val="clear" w:color="auto" w:fill="FFFFFF"/>
        <w:rPr>
          <w:rFonts w:cs="Arial"/>
        </w:rPr>
      </w:pPr>
    </w:p>
    <w:p w14:paraId="4A0AF7C9" w14:textId="421700AF" w:rsidR="00742E01" w:rsidRDefault="00742E01" w:rsidP="00742E01">
      <w:pPr>
        <w:pStyle w:val="Legenda"/>
      </w:pPr>
      <w:bookmarkStart w:id="116" w:name="_Toc141276529"/>
      <w:r w:rsidRPr="00742E01">
        <w:t xml:space="preserve">Tab. </w:t>
      </w:r>
      <w:r w:rsidR="00BE2079">
        <w:fldChar w:fldCharType="begin"/>
      </w:r>
      <w:r w:rsidR="00BE2079">
        <w:instrText xml:space="preserve"> SEQ Tab. \* ARABIC </w:instrText>
      </w:r>
      <w:r w:rsidR="00BE2079">
        <w:fldChar w:fldCharType="separate"/>
      </w:r>
      <w:r w:rsidR="00A43C68">
        <w:rPr>
          <w:noProof/>
        </w:rPr>
        <w:t>22</w:t>
      </w:r>
      <w:r w:rsidR="00BE2079">
        <w:rPr>
          <w:noProof/>
        </w:rPr>
        <w:fldChar w:fldCharType="end"/>
      </w:r>
      <w:r w:rsidRPr="00742E01">
        <w:t xml:space="preserve">. Struktura </w:t>
      </w:r>
      <w:r>
        <w:t>rozpatrzonych odwołań</w:t>
      </w:r>
      <w:r w:rsidRPr="00742E01">
        <w:t xml:space="preserve"> – 2022 r.</w:t>
      </w:r>
      <w:bookmarkEnd w:id="116"/>
    </w:p>
    <w:tbl>
      <w:tblPr>
        <w:tblW w:w="9077" w:type="dxa"/>
        <w:tblInd w:w="-5" w:type="dxa"/>
        <w:tblLayout w:type="fixed"/>
        <w:tblLook w:val="04A0" w:firstRow="1" w:lastRow="0" w:firstColumn="1" w:lastColumn="0" w:noHBand="0" w:noVBand="1"/>
      </w:tblPr>
      <w:tblGrid>
        <w:gridCol w:w="6809"/>
        <w:gridCol w:w="1134"/>
        <w:gridCol w:w="1134"/>
      </w:tblGrid>
      <w:tr w:rsidR="00742E01" w:rsidRPr="00842D79" w14:paraId="3C7F6968" w14:textId="77777777" w:rsidTr="009F3EF5">
        <w:trPr>
          <w:tblHeader/>
        </w:trPr>
        <w:tc>
          <w:tcPr>
            <w:tcW w:w="6809" w:type="dxa"/>
            <w:tcBorders>
              <w:right w:val="single" w:sz="4" w:space="0" w:color="FFFFFF"/>
            </w:tcBorders>
            <w:shd w:val="clear" w:color="auto" w:fill="002060"/>
            <w:vAlign w:val="center"/>
          </w:tcPr>
          <w:p w14:paraId="21D0ABEB" w14:textId="3E4B2E66" w:rsidR="00742E01" w:rsidRPr="00842D79" w:rsidRDefault="009F3EF5" w:rsidP="007B18EC">
            <w:pPr>
              <w:spacing w:before="60" w:after="60"/>
              <w:jc w:val="center"/>
              <w:rPr>
                <w:b/>
                <w:sz w:val="18"/>
                <w:szCs w:val="18"/>
              </w:rPr>
            </w:pPr>
            <w:r>
              <w:rPr>
                <w:b/>
                <w:sz w:val="18"/>
                <w:szCs w:val="18"/>
              </w:rPr>
              <w:t>Orzeczeni</w:t>
            </w:r>
            <w:r w:rsidR="00CD44CD">
              <w:rPr>
                <w:b/>
                <w:sz w:val="18"/>
                <w:szCs w:val="18"/>
              </w:rPr>
              <w:t>e</w:t>
            </w:r>
          </w:p>
        </w:tc>
        <w:tc>
          <w:tcPr>
            <w:tcW w:w="1134" w:type="dxa"/>
            <w:tcBorders>
              <w:left w:val="single" w:sz="4" w:space="0" w:color="FFFFFF"/>
            </w:tcBorders>
            <w:shd w:val="clear" w:color="auto" w:fill="002060"/>
            <w:vAlign w:val="center"/>
          </w:tcPr>
          <w:p w14:paraId="5D601E4D" w14:textId="043A5380" w:rsidR="00742E01" w:rsidRPr="00842D79" w:rsidRDefault="009F3EF5" w:rsidP="007B18EC">
            <w:pPr>
              <w:spacing w:before="60" w:after="60"/>
              <w:jc w:val="center"/>
              <w:rPr>
                <w:b/>
                <w:sz w:val="18"/>
                <w:szCs w:val="18"/>
              </w:rPr>
            </w:pPr>
            <w:r>
              <w:rPr>
                <w:b/>
                <w:sz w:val="18"/>
                <w:szCs w:val="18"/>
              </w:rPr>
              <w:t>Liczba</w:t>
            </w:r>
          </w:p>
        </w:tc>
        <w:tc>
          <w:tcPr>
            <w:tcW w:w="1134" w:type="dxa"/>
            <w:tcBorders>
              <w:left w:val="single" w:sz="4" w:space="0" w:color="FFFFFF"/>
            </w:tcBorders>
            <w:shd w:val="clear" w:color="auto" w:fill="002060"/>
            <w:vAlign w:val="center"/>
          </w:tcPr>
          <w:p w14:paraId="4B775833" w14:textId="418D04CD" w:rsidR="00742E01" w:rsidRPr="00842D79" w:rsidRDefault="009F3EF5" w:rsidP="007B18EC">
            <w:pPr>
              <w:spacing w:before="60" w:after="60"/>
              <w:jc w:val="center"/>
              <w:rPr>
                <w:b/>
                <w:sz w:val="18"/>
                <w:szCs w:val="18"/>
              </w:rPr>
            </w:pPr>
            <w:r>
              <w:rPr>
                <w:b/>
                <w:sz w:val="18"/>
                <w:szCs w:val="18"/>
              </w:rPr>
              <w:t>Odsetek</w:t>
            </w:r>
          </w:p>
        </w:tc>
      </w:tr>
      <w:tr w:rsidR="009F3EF5" w:rsidRPr="00842D79" w14:paraId="1D12389B" w14:textId="77777777" w:rsidTr="009F3EF5">
        <w:tc>
          <w:tcPr>
            <w:tcW w:w="6809" w:type="dxa"/>
            <w:tcBorders>
              <w:right w:val="single" w:sz="4" w:space="0" w:color="FFFFFF"/>
            </w:tcBorders>
            <w:shd w:val="clear" w:color="auto" w:fill="auto"/>
            <w:vAlign w:val="center"/>
          </w:tcPr>
          <w:p w14:paraId="7EFB7C31" w14:textId="55ACCEDB" w:rsidR="009F3EF5" w:rsidRPr="00842D79" w:rsidRDefault="009F3EF5" w:rsidP="009F3EF5">
            <w:pPr>
              <w:autoSpaceDE w:val="0"/>
              <w:autoSpaceDN w:val="0"/>
              <w:adjustRightInd w:val="0"/>
              <w:spacing w:before="60" w:after="60"/>
              <w:jc w:val="left"/>
              <w:rPr>
                <w:color w:val="000000"/>
                <w:sz w:val="18"/>
                <w:szCs w:val="18"/>
              </w:rPr>
            </w:pPr>
            <w:r>
              <w:rPr>
                <w:color w:val="000000"/>
                <w:sz w:val="18"/>
                <w:szCs w:val="18"/>
              </w:rPr>
              <w:t>Rozpatrzone</w:t>
            </w:r>
          </w:p>
        </w:tc>
        <w:tc>
          <w:tcPr>
            <w:tcW w:w="1134" w:type="dxa"/>
            <w:tcBorders>
              <w:left w:val="single" w:sz="4" w:space="0" w:color="FFFFFF"/>
            </w:tcBorders>
            <w:shd w:val="clear" w:color="auto" w:fill="auto"/>
            <w:vAlign w:val="center"/>
          </w:tcPr>
          <w:p w14:paraId="10D85399" w14:textId="49B92C9F"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3</w:t>
            </w:r>
            <w:r>
              <w:rPr>
                <w:rFonts w:cs="Arial"/>
                <w:sz w:val="18"/>
                <w:szCs w:val="18"/>
              </w:rPr>
              <w:t xml:space="preserve"> </w:t>
            </w:r>
            <w:r w:rsidRPr="009F3EF5">
              <w:rPr>
                <w:rFonts w:cs="Arial"/>
                <w:sz w:val="18"/>
                <w:szCs w:val="18"/>
              </w:rPr>
              <w:t>514</w:t>
            </w:r>
          </w:p>
        </w:tc>
        <w:tc>
          <w:tcPr>
            <w:tcW w:w="1134" w:type="dxa"/>
            <w:tcBorders>
              <w:left w:val="single" w:sz="4" w:space="0" w:color="FFFFFF"/>
            </w:tcBorders>
            <w:shd w:val="clear" w:color="auto" w:fill="auto"/>
            <w:vAlign w:val="center"/>
          </w:tcPr>
          <w:p w14:paraId="560BC85B" w14:textId="352376B4"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100%</w:t>
            </w:r>
          </w:p>
        </w:tc>
      </w:tr>
      <w:tr w:rsidR="009F3EF5" w:rsidRPr="00842D79" w14:paraId="17FA3A85" w14:textId="77777777" w:rsidTr="009F3EF5">
        <w:tc>
          <w:tcPr>
            <w:tcW w:w="6809" w:type="dxa"/>
            <w:tcBorders>
              <w:right w:val="single" w:sz="4" w:space="0" w:color="FFFFFF"/>
            </w:tcBorders>
            <w:shd w:val="clear" w:color="auto" w:fill="00B0F0"/>
            <w:vAlign w:val="center"/>
          </w:tcPr>
          <w:p w14:paraId="5F125B36" w14:textId="1EAF948E" w:rsidR="009F3EF5" w:rsidRPr="00842D79" w:rsidRDefault="009F3EF5" w:rsidP="009F3EF5">
            <w:pPr>
              <w:autoSpaceDE w:val="0"/>
              <w:autoSpaceDN w:val="0"/>
              <w:adjustRightInd w:val="0"/>
              <w:spacing w:before="60" w:after="60"/>
              <w:jc w:val="left"/>
              <w:rPr>
                <w:color w:val="000000"/>
                <w:sz w:val="18"/>
                <w:szCs w:val="18"/>
              </w:rPr>
            </w:pPr>
            <w:r w:rsidRPr="009F3EF5">
              <w:rPr>
                <w:color w:val="000000"/>
                <w:sz w:val="18"/>
                <w:szCs w:val="18"/>
              </w:rPr>
              <w:t>Zwrot z powodu braku wpisu lub nieuzupełnienia braków formalnych</w:t>
            </w:r>
          </w:p>
        </w:tc>
        <w:tc>
          <w:tcPr>
            <w:tcW w:w="1134" w:type="dxa"/>
            <w:tcBorders>
              <w:left w:val="single" w:sz="4" w:space="0" w:color="FFFFFF"/>
            </w:tcBorders>
            <w:shd w:val="clear" w:color="auto" w:fill="00B0F0"/>
            <w:vAlign w:val="center"/>
          </w:tcPr>
          <w:p w14:paraId="5E421CB4" w14:textId="0A4646B5"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168</w:t>
            </w:r>
          </w:p>
        </w:tc>
        <w:tc>
          <w:tcPr>
            <w:tcW w:w="1134" w:type="dxa"/>
            <w:tcBorders>
              <w:left w:val="single" w:sz="4" w:space="0" w:color="FFFFFF"/>
            </w:tcBorders>
            <w:shd w:val="clear" w:color="auto" w:fill="00B0F0"/>
            <w:vAlign w:val="center"/>
          </w:tcPr>
          <w:p w14:paraId="2954096C" w14:textId="52B83766"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5%</w:t>
            </w:r>
          </w:p>
        </w:tc>
      </w:tr>
      <w:tr w:rsidR="009F3EF5" w:rsidRPr="00842D79" w14:paraId="3AFC1DE7" w14:textId="77777777" w:rsidTr="009F3EF5">
        <w:tc>
          <w:tcPr>
            <w:tcW w:w="6809" w:type="dxa"/>
            <w:tcBorders>
              <w:right w:val="single" w:sz="4" w:space="0" w:color="FFFFFF"/>
            </w:tcBorders>
            <w:shd w:val="clear" w:color="auto" w:fill="auto"/>
            <w:vAlign w:val="center"/>
          </w:tcPr>
          <w:p w14:paraId="75A3C253" w14:textId="32BE609D" w:rsidR="009F3EF5" w:rsidRPr="00842D79" w:rsidRDefault="009F3EF5" w:rsidP="009F3EF5">
            <w:pPr>
              <w:autoSpaceDE w:val="0"/>
              <w:autoSpaceDN w:val="0"/>
              <w:adjustRightInd w:val="0"/>
              <w:spacing w:before="60" w:after="60"/>
              <w:jc w:val="left"/>
              <w:rPr>
                <w:color w:val="000000"/>
                <w:sz w:val="18"/>
                <w:szCs w:val="18"/>
              </w:rPr>
            </w:pPr>
            <w:r w:rsidRPr="009F3EF5">
              <w:rPr>
                <w:color w:val="000000"/>
                <w:sz w:val="18"/>
                <w:szCs w:val="18"/>
              </w:rPr>
              <w:t>Umorzenie postępowania z powodu uwzględnienia zarzutów odwołania przez zamawiającego</w:t>
            </w:r>
          </w:p>
        </w:tc>
        <w:tc>
          <w:tcPr>
            <w:tcW w:w="1134" w:type="dxa"/>
            <w:tcBorders>
              <w:left w:val="single" w:sz="4" w:space="0" w:color="FFFFFF"/>
            </w:tcBorders>
            <w:shd w:val="clear" w:color="auto" w:fill="auto"/>
            <w:vAlign w:val="center"/>
          </w:tcPr>
          <w:p w14:paraId="2662EB55" w14:textId="45134DAB"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851</w:t>
            </w:r>
          </w:p>
        </w:tc>
        <w:tc>
          <w:tcPr>
            <w:tcW w:w="1134" w:type="dxa"/>
            <w:tcBorders>
              <w:left w:val="single" w:sz="4" w:space="0" w:color="FFFFFF"/>
            </w:tcBorders>
            <w:shd w:val="clear" w:color="auto" w:fill="auto"/>
            <w:vAlign w:val="center"/>
          </w:tcPr>
          <w:p w14:paraId="3BEAD50D" w14:textId="1E0DA7BA"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24%</w:t>
            </w:r>
          </w:p>
        </w:tc>
      </w:tr>
      <w:tr w:rsidR="009F3EF5" w:rsidRPr="009F3EF5" w14:paraId="4F3A9D24" w14:textId="77777777" w:rsidTr="009F3EF5">
        <w:tc>
          <w:tcPr>
            <w:tcW w:w="6809" w:type="dxa"/>
            <w:tcBorders>
              <w:right w:val="single" w:sz="4" w:space="0" w:color="FFFFFF"/>
            </w:tcBorders>
            <w:shd w:val="clear" w:color="auto" w:fill="00B0F0"/>
            <w:vAlign w:val="center"/>
          </w:tcPr>
          <w:p w14:paraId="7513FA03" w14:textId="7F620866" w:rsidR="009F3EF5" w:rsidRPr="009F3EF5" w:rsidRDefault="009F3EF5" w:rsidP="009F3EF5">
            <w:pPr>
              <w:autoSpaceDE w:val="0"/>
              <w:autoSpaceDN w:val="0"/>
              <w:adjustRightInd w:val="0"/>
              <w:spacing w:before="60" w:after="60"/>
              <w:jc w:val="left"/>
              <w:rPr>
                <w:color w:val="000000"/>
                <w:sz w:val="18"/>
                <w:szCs w:val="18"/>
              </w:rPr>
            </w:pPr>
            <w:r w:rsidRPr="009F3EF5">
              <w:rPr>
                <w:color w:val="000000"/>
                <w:sz w:val="18"/>
                <w:szCs w:val="18"/>
              </w:rPr>
              <w:t>Umorzenie postępowania z powodu cofnięcia odwołania</w:t>
            </w:r>
          </w:p>
        </w:tc>
        <w:tc>
          <w:tcPr>
            <w:tcW w:w="1134" w:type="dxa"/>
            <w:tcBorders>
              <w:left w:val="single" w:sz="4" w:space="0" w:color="FFFFFF"/>
            </w:tcBorders>
            <w:shd w:val="clear" w:color="auto" w:fill="00B0F0"/>
            <w:vAlign w:val="center"/>
          </w:tcPr>
          <w:p w14:paraId="1A6B2FCA" w14:textId="109770A4"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847</w:t>
            </w:r>
          </w:p>
        </w:tc>
        <w:tc>
          <w:tcPr>
            <w:tcW w:w="1134" w:type="dxa"/>
            <w:tcBorders>
              <w:left w:val="single" w:sz="4" w:space="0" w:color="FFFFFF"/>
            </w:tcBorders>
            <w:shd w:val="clear" w:color="auto" w:fill="00B0F0"/>
            <w:vAlign w:val="center"/>
          </w:tcPr>
          <w:p w14:paraId="1D152509" w14:textId="47CBCDF3"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24%</w:t>
            </w:r>
          </w:p>
        </w:tc>
      </w:tr>
      <w:tr w:rsidR="009F3EF5" w:rsidRPr="00842D79" w14:paraId="075F3689" w14:textId="77777777" w:rsidTr="009F3EF5">
        <w:tc>
          <w:tcPr>
            <w:tcW w:w="6809" w:type="dxa"/>
            <w:tcBorders>
              <w:right w:val="single" w:sz="4" w:space="0" w:color="FFFFFF"/>
            </w:tcBorders>
            <w:shd w:val="clear" w:color="auto" w:fill="auto"/>
            <w:vAlign w:val="center"/>
          </w:tcPr>
          <w:p w14:paraId="4AB19D12" w14:textId="10792B4A" w:rsidR="009F3EF5" w:rsidRPr="00842D79" w:rsidRDefault="009F3EF5" w:rsidP="009F3EF5">
            <w:pPr>
              <w:autoSpaceDE w:val="0"/>
              <w:autoSpaceDN w:val="0"/>
              <w:adjustRightInd w:val="0"/>
              <w:spacing w:before="60" w:after="60"/>
              <w:jc w:val="left"/>
              <w:rPr>
                <w:color w:val="000000"/>
                <w:sz w:val="18"/>
                <w:szCs w:val="18"/>
              </w:rPr>
            </w:pPr>
            <w:r w:rsidRPr="009F3EF5">
              <w:rPr>
                <w:color w:val="000000"/>
                <w:sz w:val="18"/>
                <w:szCs w:val="18"/>
              </w:rPr>
              <w:t>Odrzucone</w:t>
            </w:r>
          </w:p>
        </w:tc>
        <w:tc>
          <w:tcPr>
            <w:tcW w:w="1134" w:type="dxa"/>
            <w:tcBorders>
              <w:left w:val="single" w:sz="4" w:space="0" w:color="FFFFFF"/>
            </w:tcBorders>
            <w:shd w:val="clear" w:color="auto" w:fill="auto"/>
            <w:vAlign w:val="center"/>
          </w:tcPr>
          <w:p w14:paraId="1AE392FC" w14:textId="1CC8FD0D"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74</w:t>
            </w:r>
          </w:p>
        </w:tc>
        <w:tc>
          <w:tcPr>
            <w:tcW w:w="1134" w:type="dxa"/>
            <w:tcBorders>
              <w:left w:val="single" w:sz="4" w:space="0" w:color="FFFFFF"/>
            </w:tcBorders>
            <w:shd w:val="clear" w:color="auto" w:fill="auto"/>
            <w:vAlign w:val="center"/>
          </w:tcPr>
          <w:p w14:paraId="278A800D" w14:textId="11F39606"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2%</w:t>
            </w:r>
          </w:p>
        </w:tc>
      </w:tr>
      <w:tr w:rsidR="009F3EF5" w:rsidRPr="009F3EF5" w14:paraId="55F96278" w14:textId="77777777" w:rsidTr="009F3EF5">
        <w:tc>
          <w:tcPr>
            <w:tcW w:w="6809" w:type="dxa"/>
            <w:tcBorders>
              <w:right w:val="single" w:sz="4" w:space="0" w:color="FFFFFF"/>
            </w:tcBorders>
            <w:shd w:val="clear" w:color="auto" w:fill="00B0F0"/>
            <w:vAlign w:val="center"/>
          </w:tcPr>
          <w:p w14:paraId="24B1555B" w14:textId="0B72B412" w:rsidR="009F3EF5" w:rsidRPr="009F3EF5" w:rsidRDefault="009F3EF5" w:rsidP="009F3EF5">
            <w:pPr>
              <w:autoSpaceDE w:val="0"/>
              <w:autoSpaceDN w:val="0"/>
              <w:adjustRightInd w:val="0"/>
              <w:spacing w:before="60" w:after="60"/>
              <w:jc w:val="left"/>
              <w:rPr>
                <w:color w:val="000000"/>
                <w:sz w:val="18"/>
                <w:szCs w:val="18"/>
              </w:rPr>
            </w:pPr>
            <w:r w:rsidRPr="009F3EF5">
              <w:rPr>
                <w:color w:val="000000"/>
                <w:sz w:val="18"/>
                <w:szCs w:val="18"/>
              </w:rPr>
              <w:t>Oddalone</w:t>
            </w:r>
          </w:p>
        </w:tc>
        <w:tc>
          <w:tcPr>
            <w:tcW w:w="1134" w:type="dxa"/>
            <w:tcBorders>
              <w:left w:val="single" w:sz="4" w:space="0" w:color="FFFFFF"/>
            </w:tcBorders>
            <w:shd w:val="clear" w:color="auto" w:fill="00B0F0"/>
            <w:vAlign w:val="center"/>
          </w:tcPr>
          <w:p w14:paraId="42245030" w14:textId="5FF199F0"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1</w:t>
            </w:r>
            <w:r>
              <w:rPr>
                <w:rFonts w:cs="Arial"/>
                <w:sz w:val="18"/>
                <w:szCs w:val="18"/>
              </w:rPr>
              <w:t xml:space="preserve"> </w:t>
            </w:r>
            <w:r w:rsidRPr="009F3EF5">
              <w:rPr>
                <w:rFonts w:cs="Arial"/>
                <w:sz w:val="18"/>
                <w:szCs w:val="18"/>
              </w:rPr>
              <w:t>020</w:t>
            </w:r>
          </w:p>
        </w:tc>
        <w:tc>
          <w:tcPr>
            <w:tcW w:w="1134" w:type="dxa"/>
            <w:tcBorders>
              <w:left w:val="single" w:sz="4" w:space="0" w:color="FFFFFF"/>
            </w:tcBorders>
            <w:shd w:val="clear" w:color="auto" w:fill="00B0F0"/>
            <w:vAlign w:val="center"/>
          </w:tcPr>
          <w:p w14:paraId="062509E6" w14:textId="48CF2FA2"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29%</w:t>
            </w:r>
          </w:p>
        </w:tc>
      </w:tr>
      <w:tr w:rsidR="009F3EF5" w:rsidRPr="00842D79" w14:paraId="45601B50" w14:textId="77777777" w:rsidTr="009F3EF5">
        <w:tc>
          <w:tcPr>
            <w:tcW w:w="6809" w:type="dxa"/>
            <w:tcBorders>
              <w:right w:val="single" w:sz="4" w:space="0" w:color="FFFFFF"/>
            </w:tcBorders>
            <w:shd w:val="clear" w:color="auto" w:fill="auto"/>
            <w:vAlign w:val="center"/>
          </w:tcPr>
          <w:p w14:paraId="74836014" w14:textId="526311C6" w:rsidR="009F3EF5" w:rsidRPr="00842D79" w:rsidRDefault="009F3EF5" w:rsidP="009F3EF5">
            <w:pPr>
              <w:autoSpaceDE w:val="0"/>
              <w:autoSpaceDN w:val="0"/>
              <w:adjustRightInd w:val="0"/>
              <w:spacing w:before="60" w:after="60"/>
              <w:jc w:val="left"/>
              <w:rPr>
                <w:color w:val="000000"/>
                <w:sz w:val="18"/>
                <w:szCs w:val="18"/>
              </w:rPr>
            </w:pPr>
            <w:r w:rsidRPr="009F3EF5">
              <w:rPr>
                <w:color w:val="000000"/>
                <w:sz w:val="18"/>
                <w:szCs w:val="18"/>
              </w:rPr>
              <w:t>Uwzględnione</w:t>
            </w:r>
          </w:p>
        </w:tc>
        <w:tc>
          <w:tcPr>
            <w:tcW w:w="1134" w:type="dxa"/>
            <w:tcBorders>
              <w:left w:val="single" w:sz="4" w:space="0" w:color="FFFFFF"/>
            </w:tcBorders>
            <w:shd w:val="clear" w:color="auto" w:fill="auto"/>
            <w:vAlign w:val="center"/>
          </w:tcPr>
          <w:p w14:paraId="6F09E589" w14:textId="5D76F41E" w:rsidR="009F3EF5" w:rsidRPr="009F3EF5" w:rsidRDefault="009F3EF5" w:rsidP="009F3EF5">
            <w:pPr>
              <w:autoSpaceDE w:val="0"/>
              <w:autoSpaceDN w:val="0"/>
              <w:adjustRightInd w:val="0"/>
              <w:spacing w:before="60" w:after="60"/>
              <w:jc w:val="center"/>
              <w:rPr>
                <w:color w:val="000000"/>
                <w:sz w:val="18"/>
                <w:szCs w:val="18"/>
              </w:rPr>
            </w:pPr>
            <w:r w:rsidRPr="009F3EF5">
              <w:rPr>
                <w:rFonts w:cs="Arial"/>
                <w:sz w:val="18"/>
                <w:szCs w:val="18"/>
              </w:rPr>
              <w:t>554</w:t>
            </w:r>
          </w:p>
        </w:tc>
        <w:tc>
          <w:tcPr>
            <w:tcW w:w="1134" w:type="dxa"/>
            <w:tcBorders>
              <w:left w:val="single" w:sz="4" w:space="0" w:color="FFFFFF"/>
            </w:tcBorders>
            <w:shd w:val="clear" w:color="auto" w:fill="auto"/>
            <w:vAlign w:val="center"/>
          </w:tcPr>
          <w:p w14:paraId="69B7A5CA" w14:textId="2B4184CB" w:rsidR="009F3EF5" w:rsidRPr="009F3EF5" w:rsidRDefault="009F3EF5" w:rsidP="00D31F57">
            <w:pPr>
              <w:autoSpaceDE w:val="0"/>
              <w:autoSpaceDN w:val="0"/>
              <w:adjustRightInd w:val="0"/>
              <w:spacing w:before="60" w:after="60"/>
              <w:jc w:val="center"/>
              <w:rPr>
                <w:color w:val="000000"/>
                <w:sz w:val="18"/>
                <w:szCs w:val="18"/>
              </w:rPr>
            </w:pPr>
            <w:r w:rsidRPr="009F3EF5">
              <w:rPr>
                <w:rFonts w:cs="Arial"/>
                <w:sz w:val="18"/>
                <w:szCs w:val="18"/>
              </w:rPr>
              <w:t>16%</w:t>
            </w:r>
          </w:p>
        </w:tc>
      </w:tr>
    </w:tbl>
    <w:p w14:paraId="51EDB822" w14:textId="27BDC7B8" w:rsidR="00742E01" w:rsidRDefault="00742E01" w:rsidP="000459D8">
      <w:pPr>
        <w:shd w:val="clear" w:color="auto" w:fill="FFFFFF"/>
        <w:rPr>
          <w:rFonts w:cs="Arial"/>
        </w:rPr>
      </w:pPr>
    </w:p>
    <w:p w14:paraId="09814943" w14:textId="77777777" w:rsidR="00121C09" w:rsidRPr="00121C09" w:rsidRDefault="00121C09" w:rsidP="00121C09">
      <w:pPr>
        <w:shd w:val="clear" w:color="auto" w:fill="FFFFFF"/>
        <w:rPr>
          <w:rFonts w:cs="Arial"/>
        </w:rPr>
      </w:pPr>
      <w:r w:rsidRPr="00121C09">
        <w:rPr>
          <w:rFonts w:cs="Arial"/>
        </w:rPr>
        <w:t>Dla porównania struktura rozpatrzonych odwołań w 2021 r.:</w:t>
      </w:r>
    </w:p>
    <w:p w14:paraId="36A3AFBE" w14:textId="35D25BD8" w:rsidR="00742E01" w:rsidRDefault="00742E01" w:rsidP="000459D8">
      <w:pPr>
        <w:shd w:val="clear" w:color="auto" w:fill="FFFFFF"/>
        <w:rPr>
          <w:rFonts w:cs="Arial"/>
        </w:rPr>
      </w:pPr>
    </w:p>
    <w:p w14:paraId="393D1B19" w14:textId="1332ADEB" w:rsidR="00121C09" w:rsidRDefault="00121C09" w:rsidP="00121C09">
      <w:pPr>
        <w:pStyle w:val="Legenda"/>
      </w:pPr>
      <w:bookmarkStart w:id="117" w:name="_Toc141276530"/>
      <w:r w:rsidRPr="00742E01">
        <w:t xml:space="preserve">Tab. </w:t>
      </w:r>
      <w:r w:rsidR="00BE2079">
        <w:fldChar w:fldCharType="begin"/>
      </w:r>
      <w:r w:rsidR="00BE2079">
        <w:instrText xml:space="preserve"> SEQ Tab. \* ARABIC </w:instrText>
      </w:r>
      <w:r w:rsidR="00BE2079">
        <w:fldChar w:fldCharType="separate"/>
      </w:r>
      <w:r w:rsidR="00A43C68">
        <w:rPr>
          <w:noProof/>
        </w:rPr>
        <w:t>23</w:t>
      </w:r>
      <w:r w:rsidR="00BE2079">
        <w:rPr>
          <w:noProof/>
        </w:rPr>
        <w:fldChar w:fldCharType="end"/>
      </w:r>
      <w:r w:rsidRPr="00742E01">
        <w:t xml:space="preserve">. Struktura </w:t>
      </w:r>
      <w:r>
        <w:t>rozpatrzonych odwołań</w:t>
      </w:r>
      <w:r w:rsidRPr="00742E01">
        <w:t xml:space="preserve"> – 202</w:t>
      </w:r>
      <w:r>
        <w:t>1</w:t>
      </w:r>
      <w:r w:rsidRPr="00742E01">
        <w:t xml:space="preserve"> r.</w:t>
      </w:r>
      <w:bookmarkEnd w:id="117"/>
    </w:p>
    <w:tbl>
      <w:tblPr>
        <w:tblW w:w="9077" w:type="dxa"/>
        <w:tblInd w:w="-5" w:type="dxa"/>
        <w:tblLayout w:type="fixed"/>
        <w:tblLook w:val="04A0" w:firstRow="1" w:lastRow="0" w:firstColumn="1" w:lastColumn="0" w:noHBand="0" w:noVBand="1"/>
      </w:tblPr>
      <w:tblGrid>
        <w:gridCol w:w="6809"/>
        <w:gridCol w:w="1134"/>
        <w:gridCol w:w="1134"/>
      </w:tblGrid>
      <w:tr w:rsidR="00121C09" w:rsidRPr="00842D79" w14:paraId="7C9B28A0" w14:textId="77777777" w:rsidTr="00BF2E0D">
        <w:trPr>
          <w:tblHeader/>
        </w:trPr>
        <w:tc>
          <w:tcPr>
            <w:tcW w:w="6809" w:type="dxa"/>
            <w:tcBorders>
              <w:right w:val="single" w:sz="4" w:space="0" w:color="FFFFFF"/>
            </w:tcBorders>
            <w:shd w:val="clear" w:color="auto" w:fill="002060"/>
            <w:vAlign w:val="center"/>
          </w:tcPr>
          <w:p w14:paraId="78456A04" w14:textId="653FDEA9" w:rsidR="00121C09" w:rsidRPr="00842D79" w:rsidRDefault="00121C09" w:rsidP="007B18EC">
            <w:pPr>
              <w:spacing w:before="60" w:after="60"/>
              <w:jc w:val="center"/>
              <w:rPr>
                <w:b/>
                <w:sz w:val="18"/>
                <w:szCs w:val="18"/>
              </w:rPr>
            </w:pPr>
            <w:r>
              <w:rPr>
                <w:b/>
                <w:sz w:val="18"/>
                <w:szCs w:val="18"/>
              </w:rPr>
              <w:t>Orzeczeni</w:t>
            </w:r>
            <w:r w:rsidR="00CD44CD">
              <w:rPr>
                <w:b/>
                <w:sz w:val="18"/>
                <w:szCs w:val="18"/>
              </w:rPr>
              <w:t>e</w:t>
            </w:r>
          </w:p>
        </w:tc>
        <w:tc>
          <w:tcPr>
            <w:tcW w:w="1134" w:type="dxa"/>
            <w:tcBorders>
              <w:left w:val="single" w:sz="4" w:space="0" w:color="FFFFFF"/>
            </w:tcBorders>
            <w:shd w:val="clear" w:color="auto" w:fill="002060"/>
            <w:vAlign w:val="center"/>
          </w:tcPr>
          <w:p w14:paraId="1A0116CA" w14:textId="77777777" w:rsidR="00121C09" w:rsidRPr="00BF2E0D" w:rsidRDefault="00121C09" w:rsidP="00BF2E0D">
            <w:pPr>
              <w:spacing w:before="60" w:after="60"/>
              <w:jc w:val="center"/>
              <w:rPr>
                <w:b/>
                <w:sz w:val="18"/>
                <w:szCs w:val="18"/>
              </w:rPr>
            </w:pPr>
            <w:r w:rsidRPr="00BF2E0D">
              <w:rPr>
                <w:b/>
                <w:sz w:val="18"/>
                <w:szCs w:val="18"/>
              </w:rPr>
              <w:t>Liczba</w:t>
            </w:r>
          </w:p>
        </w:tc>
        <w:tc>
          <w:tcPr>
            <w:tcW w:w="1134" w:type="dxa"/>
            <w:tcBorders>
              <w:left w:val="single" w:sz="4" w:space="0" w:color="FFFFFF"/>
            </w:tcBorders>
            <w:shd w:val="clear" w:color="auto" w:fill="002060"/>
            <w:vAlign w:val="center"/>
          </w:tcPr>
          <w:p w14:paraId="36D3F643" w14:textId="77777777" w:rsidR="00121C09" w:rsidRPr="00BF2E0D" w:rsidRDefault="00121C09" w:rsidP="00BF2E0D">
            <w:pPr>
              <w:spacing w:before="60" w:after="60"/>
              <w:jc w:val="center"/>
              <w:rPr>
                <w:b/>
                <w:sz w:val="18"/>
                <w:szCs w:val="18"/>
              </w:rPr>
            </w:pPr>
            <w:r w:rsidRPr="00BF2E0D">
              <w:rPr>
                <w:b/>
                <w:sz w:val="18"/>
                <w:szCs w:val="18"/>
              </w:rPr>
              <w:t>Odsetek</w:t>
            </w:r>
          </w:p>
        </w:tc>
      </w:tr>
      <w:tr w:rsidR="00BF2E0D" w:rsidRPr="00842D79" w14:paraId="197D6151" w14:textId="77777777" w:rsidTr="00BF2E0D">
        <w:tc>
          <w:tcPr>
            <w:tcW w:w="6809" w:type="dxa"/>
            <w:tcBorders>
              <w:right w:val="single" w:sz="4" w:space="0" w:color="FFFFFF"/>
            </w:tcBorders>
            <w:shd w:val="clear" w:color="auto" w:fill="auto"/>
            <w:vAlign w:val="center"/>
          </w:tcPr>
          <w:p w14:paraId="67727C7B" w14:textId="77777777" w:rsidR="00BF2E0D" w:rsidRPr="00842D79" w:rsidRDefault="00BF2E0D" w:rsidP="00BF2E0D">
            <w:pPr>
              <w:autoSpaceDE w:val="0"/>
              <w:autoSpaceDN w:val="0"/>
              <w:adjustRightInd w:val="0"/>
              <w:spacing w:before="60" w:after="60"/>
              <w:jc w:val="left"/>
              <w:rPr>
                <w:color w:val="000000"/>
                <w:sz w:val="18"/>
                <w:szCs w:val="18"/>
              </w:rPr>
            </w:pPr>
            <w:r>
              <w:rPr>
                <w:color w:val="000000"/>
                <w:sz w:val="18"/>
                <w:szCs w:val="18"/>
              </w:rPr>
              <w:t>Rozpatrzone</w:t>
            </w:r>
          </w:p>
        </w:tc>
        <w:tc>
          <w:tcPr>
            <w:tcW w:w="1134" w:type="dxa"/>
            <w:tcBorders>
              <w:left w:val="single" w:sz="4" w:space="0" w:color="FFFFFF"/>
            </w:tcBorders>
            <w:shd w:val="clear" w:color="auto" w:fill="auto"/>
            <w:vAlign w:val="center"/>
          </w:tcPr>
          <w:p w14:paraId="2E1E6C5A" w14:textId="39286DCF"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3</w:t>
            </w:r>
            <w:r>
              <w:rPr>
                <w:rFonts w:cs="Arial"/>
                <w:sz w:val="18"/>
                <w:szCs w:val="18"/>
              </w:rPr>
              <w:t xml:space="preserve"> </w:t>
            </w:r>
            <w:r w:rsidRPr="00BF2E0D">
              <w:rPr>
                <w:rFonts w:cs="Arial"/>
                <w:sz w:val="18"/>
                <w:szCs w:val="18"/>
              </w:rPr>
              <w:t>928</w:t>
            </w:r>
          </w:p>
        </w:tc>
        <w:tc>
          <w:tcPr>
            <w:tcW w:w="1134" w:type="dxa"/>
            <w:tcBorders>
              <w:left w:val="single" w:sz="4" w:space="0" w:color="FFFFFF"/>
            </w:tcBorders>
            <w:shd w:val="clear" w:color="auto" w:fill="auto"/>
            <w:vAlign w:val="center"/>
          </w:tcPr>
          <w:p w14:paraId="602F8139" w14:textId="2580426E"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100%</w:t>
            </w:r>
          </w:p>
        </w:tc>
      </w:tr>
      <w:tr w:rsidR="00BF2E0D" w:rsidRPr="00842D79" w14:paraId="66DDBA51" w14:textId="77777777" w:rsidTr="00BF2E0D">
        <w:tc>
          <w:tcPr>
            <w:tcW w:w="6809" w:type="dxa"/>
            <w:tcBorders>
              <w:right w:val="single" w:sz="4" w:space="0" w:color="FFFFFF"/>
            </w:tcBorders>
            <w:shd w:val="clear" w:color="auto" w:fill="00B0F0"/>
            <w:vAlign w:val="center"/>
          </w:tcPr>
          <w:p w14:paraId="7A0B32B2" w14:textId="77777777" w:rsidR="00BF2E0D" w:rsidRPr="00842D79" w:rsidRDefault="00BF2E0D" w:rsidP="00BF2E0D">
            <w:pPr>
              <w:autoSpaceDE w:val="0"/>
              <w:autoSpaceDN w:val="0"/>
              <w:adjustRightInd w:val="0"/>
              <w:spacing w:before="60" w:after="60"/>
              <w:jc w:val="left"/>
              <w:rPr>
                <w:color w:val="000000"/>
                <w:sz w:val="18"/>
                <w:szCs w:val="18"/>
              </w:rPr>
            </w:pPr>
            <w:r w:rsidRPr="009F3EF5">
              <w:rPr>
                <w:color w:val="000000"/>
                <w:sz w:val="18"/>
                <w:szCs w:val="18"/>
              </w:rPr>
              <w:t>Zwrot z powodu braku wpisu lub nieuzupełnienia braków formalnych</w:t>
            </w:r>
          </w:p>
        </w:tc>
        <w:tc>
          <w:tcPr>
            <w:tcW w:w="1134" w:type="dxa"/>
            <w:tcBorders>
              <w:left w:val="single" w:sz="4" w:space="0" w:color="FFFFFF"/>
            </w:tcBorders>
            <w:shd w:val="clear" w:color="auto" w:fill="00B0F0"/>
            <w:vAlign w:val="center"/>
          </w:tcPr>
          <w:p w14:paraId="1AA4C171" w14:textId="1E46B5DB"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187</w:t>
            </w:r>
          </w:p>
        </w:tc>
        <w:tc>
          <w:tcPr>
            <w:tcW w:w="1134" w:type="dxa"/>
            <w:tcBorders>
              <w:left w:val="single" w:sz="4" w:space="0" w:color="FFFFFF"/>
            </w:tcBorders>
            <w:shd w:val="clear" w:color="auto" w:fill="00B0F0"/>
            <w:vAlign w:val="center"/>
          </w:tcPr>
          <w:p w14:paraId="3D9DB962" w14:textId="2A3F1DF0"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5%</w:t>
            </w:r>
          </w:p>
        </w:tc>
      </w:tr>
      <w:tr w:rsidR="00BF2E0D" w:rsidRPr="00842D79" w14:paraId="050DFAA9" w14:textId="77777777" w:rsidTr="00BF2E0D">
        <w:tc>
          <w:tcPr>
            <w:tcW w:w="6809" w:type="dxa"/>
            <w:tcBorders>
              <w:right w:val="single" w:sz="4" w:space="0" w:color="FFFFFF"/>
            </w:tcBorders>
            <w:shd w:val="clear" w:color="auto" w:fill="auto"/>
            <w:vAlign w:val="center"/>
          </w:tcPr>
          <w:p w14:paraId="6341ADD5" w14:textId="77777777" w:rsidR="00BF2E0D" w:rsidRPr="00842D79" w:rsidRDefault="00BF2E0D" w:rsidP="00BF2E0D">
            <w:pPr>
              <w:autoSpaceDE w:val="0"/>
              <w:autoSpaceDN w:val="0"/>
              <w:adjustRightInd w:val="0"/>
              <w:spacing w:before="60" w:after="60"/>
              <w:jc w:val="left"/>
              <w:rPr>
                <w:color w:val="000000"/>
                <w:sz w:val="18"/>
                <w:szCs w:val="18"/>
              </w:rPr>
            </w:pPr>
            <w:r w:rsidRPr="009F3EF5">
              <w:rPr>
                <w:color w:val="000000"/>
                <w:sz w:val="18"/>
                <w:szCs w:val="18"/>
              </w:rPr>
              <w:t>Umorzenie postępowania z powodu uwzględnienia zarzutów odwołania przez zamawiającego</w:t>
            </w:r>
          </w:p>
        </w:tc>
        <w:tc>
          <w:tcPr>
            <w:tcW w:w="1134" w:type="dxa"/>
            <w:tcBorders>
              <w:left w:val="single" w:sz="4" w:space="0" w:color="FFFFFF"/>
            </w:tcBorders>
            <w:shd w:val="clear" w:color="auto" w:fill="auto"/>
            <w:vAlign w:val="center"/>
          </w:tcPr>
          <w:p w14:paraId="69B6C09C" w14:textId="41802D2C"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730</w:t>
            </w:r>
          </w:p>
        </w:tc>
        <w:tc>
          <w:tcPr>
            <w:tcW w:w="1134" w:type="dxa"/>
            <w:tcBorders>
              <w:left w:val="single" w:sz="4" w:space="0" w:color="FFFFFF"/>
            </w:tcBorders>
            <w:shd w:val="clear" w:color="auto" w:fill="auto"/>
            <w:vAlign w:val="center"/>
          </w:tcPr>
          <w:p w14:paraId="230800A8" w14:textId="20A9FD05"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18%</w:t>
            </w:r>
          </w:p>
        </w:tc>
      </w:tr>
      <w:tr w:rsidR="00BF2E0D" w:rsidRPr="009F3EF5" w14:paraId="608282AF" w14:textId="77777777" w:rsidTr="00BF2E0D">
        <w:tc>
          <w:tcPr>
            <w:tcW w:w="6809" w:type="dxa"/>
            <w:tcBorders>
              <w:right w:val="single" w:sz="4" w:space="0" w:color="FFFFFF"/>
            </w:tcBorders>
            <w:shd w:val="clear" w:color="auto" w:fill="00B0F0"/>
            <w:vAlign w:val="center"/>
          </w:tcPr>
          <w:p w14:paraId="0455DFC5" w14:textId="77777777" w:rsidR="00BF2E0D" w:rsidRPr="009F3EF5" w:rsidRDefault="00BF2E0D" w:rsidP="00BF2E0D">
            <w:pPr>
              <w:autoSpaceDE w:val="0"/>
              <w:autoSpaceDN w:val="0"/>
              <w:adjustRightInd w:val="0"/>
              <w:spacing w:before="60" w:after="60"/>
              <w:jc w:val="left"/>
              <w:rPr>
                <w:color w:val="000000"/>
                <w:sz w:val="18"/>
                <w:szCs w:val="18"/>
              </w:rPr>
            </w:pPr>
            <w:r w:rsidRPr="009F3EF5">
              <w:rPr>
                <w:color w:val="000000"/>
                <w:sz w:val="18"/>
                <w:szCs w:val="18"/>
              </w:rPr>
              <w:t>Umorzenie postępowania z powodu cofnięcia odwołania</w:t>
            </w:r>
          </w:p>
        </w:tc>
        <w:tc>
          <w:tcPr>
            <w:tcW w:w="1134" w:type="dxa"/>
            <w:tcBorders>
              <w:left w:val="single" w:sz="4" w:space="0" w:color="FFFFFF"/>
            </w:tcBorders>
            <w:shd w:val="clear" w:color="auto" w:fill="00B0F0"/>
            <w:vAlign w:val="center"/>
          </w:tcPr>
          <w:p w14:paraId="6D7628C8" w14:textId="5F0965AE"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1</w:t>
            </w:r>
            <w:r>
              <w:rPr>
                <w:rFonts w:cs="Arial"/>
                <w:sz w:val="18"/>
                <w:szCs w:val="18"/>
              </w:rPr>
              <w:t xml:space="preserve"> </w:t>
            </w:r>
            <w:r w:rsidRPr="00BF2E0D">
              <w:rPr>
                <w:rFonts w:cs="Arial"/>
                <w:sz w:val="18"/>
                <w:szCs w:val="18"/>
              </w:rPr>
              <w:t>055</w:t>
            </w:r>
          </w:p>
        </w:tc>
        <w:tc>
          <w:tcPr>
            <w:tcW w:w="1134" w:type="dxa"/>
            <w:tcBorders>
              <w:left w:val="single" w:sz="4" w:space="0" w:color="FFFFFF"/>
            </w:tcBorders>
            <w:shd w:val="clear" w:color="auto" w:fill="00B0F0"/>
            <w:vAlign w:val="center"/>
          </w:tcPr>
          <w:p w14:paraId="690784E7" w14:textId="59E271A9"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27%</w:t>
            </w:r>
          </w:p>
        </w:tc>
      </w:tr>
      <w:tr w:rsidR="00BF2E0D" w:rsidRPr="00842D79" w14:paraId="59AAC4FE" w14:textId="77777777" w:rsidTr="00BF2E0D">
        <w:tc>
          <w:tcPr>
            <w:tcW w:w="6809" w:type="dxa"/>
            <w:tcBorders>
              <w:right w:val="single" w:sz="4" w:space="0" w:color="FFFFFF"/>
            </w:tcBorders>
            <w:shd w:val="clear" w:color="auto" w:fill="auto"/>
            <w:vAlign w:val="center"/>
          </w:tcPr>
          <w:p w14:paraId="09DC5B94" w14:textId="77777777" w:rsidR="00BF2E0D" w:rsidRPr="00842D79" w:rsidRDefault="00BF2E0D" w:rsidP="00BF2E0D">
            <w:pPr>
              <w:autoSpaceDE w:val="0"/>
              <w:autoSpaceDN w:val="0"/>
              <w:adjustRightInd w:val="0"/>
              <w:spacing w:before="60" w:after="60"/>
              <w:jc w:val="left"/>
              <w:rPr>
                <w:color w:val="000000"/>
                <w:sz w:val="18"/>
                <w:szCs w:val="18"/>
              </w:rPr>
            </w:pPr>
            <w:r w:rsidRPr="009F3EF5">
              <w:rPr>
                <w:color w:val="000000"/>
                <w:sz w:val="18"/>
                <w:szCs w:val="18"/>
              </w:rPr>
              <w:t>Odrzucone</w:t>
            </w:r>
          </w:p>
        </w:tc>
        <w:tc>
          <w:tcPr>
            <w:tcW w:w="1134" w:type="dxa"/>
            <w:tcBorders>
              <w:left w:val="single" w:sz="4" w:space="0" w:color="FFFFFF"/>
            </w:tcBorders>
            <w:shd w:val="clear" w:color="auto" w:fill="auto"/>
            <w:vAlign w:val="center"/>
          </w:tcPr>
          <w:p w14:paraId="65B1F4BC" w14:textId="56A50FC4"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75</w:t>
            </w:r>
          </w:p>
        </w:tc>
        <w:tc>
          <w:tcPr>
            <w:tcW w:w="1134" w:type="dxa"/>
            <w:tcBorders>
              <w:left w:val="single" w:sz="4" w:space="0" w:color="FFFFFF"/>
            </w:tcBorders>
            <w:shd w:val="clear" w:color="auto" w:fill="auto"/>
            <w:vAlign w:val="center"/>
          </w:tcPr>
          <w:p w14:paraId="7706C46F" w14:textId="35FE91C0"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2%</w:t>
            </w:r>
          </w:p>
        </w:tc>
      </w:tr>
      <w:tr w:rsidR="00BF2E0D" w:rsidRPr="009F3EF5" w14:paraId="41C537C5" w14:textId="77777777" w:rsidTr="00BF2E0D">
        <w:tc>
          <w:tcPr>
            <w:tcW w:w="6809" w:type="dxa"/>
            <w:tcBorders>
              <w:right w:val="single" w:sz="4" w:space="0" w:color="FFFFFF"/>
            </w:tcBorders>
            <w:shd w:val="clear" w:color="auto" w:fill="00B0F0"/>
            <w:vAlign w:val="center"/>
          </w:tcPr>
          <w:p w14:paraId="0754290E" w14:textId="77777777" w:rsidR="00BF2E0D" w:rsidRPr="009F3EF5" w:rsidRDefault="00BF2E0D" w:rsidP="00BF2E0D">
            <w:pPr>
              <w:autoSpaceDE w:val="0"/>
              <w:autoSpaceDN w:val="0"/>
              <w:adjustRightInd w:val="0"/>
              <w:spacing w:before="60" w:after="60"/>
              <w:jc w:val="left"/>
              <w:rPr>
                <w:color w:val="000000"/>
                <w:sz w:val="18"/>
                <w:szCs w:val="18"/>
              </w:rPr>
            </w:pPr>
            <w:r w:rsidRPr="009F3EF5">
              <w:rPr>
                <w:color w:val="000000"/>
                <w:sz w:val="18"/>
                <w:szCs w:val="18"/>
              </w:rPr>
              <w:t>Oddalone</w:t>
            </w:r>
          </w:p>
        </w:tc>
        <w:tc>
          <w:tcPr>
            <w:tcW w:w="1134" w:type="dxa"/>
            <w:tcBorders>
              <w:left w:val="single" w:sz="4" w:space="0" w:color="FFFFFF"/>
            </w:tcBorders>
            <w:shd w:val="clear" w:color="auto" w:fill="00B0F0"/>
            <w:vAlign w:val="center"/>
          </w:tcPr>
          <w:p w14:paraId="42B7BD53" w14:textId="068EA8FE"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1</w:t>
            </w:r>
            <w:r>
              <w:rPr>
                <w:rFonts w:cs="Arial"/>
                <w:sz w:val="18"/>
                <w:szCs w:val="18"/>
              </w:rPr>
              <w:t xml:space="preserve"> </w:t>
            </w:r>
            <w:r w:rsidRPr="00BF2E0D">
              <w:rPr>
                <w:rFonts w:cs="Arial"/>
                <w:sz w:val="18"/>
                <w:szCs w:val="18"/>
              </w:rPr>
              <w:t>178</w:t>
            </w:r>
          </w:p>
        </w:tc>
        <w:tc>
          <w:tcPr>
            <w:tcW w:w="1134" w:type="dxa"/>
            <w:tcBorders>
              <w:left w:val="single" w:sz="4" w:space="0" w:color="FFFFFF"/>
            </w:tcBorders>
            <w:shd w:val="clear" w:color="auto" w:fill="00B0F0"/>
            <w:vAlign w:val="center"/>
          </w:tcPr>
          <w:p w14:paraId="1DE6FEAF" w14:textId="280BD998"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30%</w:t>
            </w:r>
          </w:p>
        </w:tc>
      </w:tr>
      <w:tr w:rsidR="00BF2E0D" w:rsidRPr="00842D79" w14:paraId="6B92378E" w14:textId="77777777" w:rsidTr="00BF2E0D">
        <w:tc>
          <w:tcPr>
            <w:tcW w:w="6809" w:type="dxa"/>
            <w:tcBorders>
              <w:right w:val="single" w:sz="4" w:space="0" w:color="FFFFFF"/>
            </w:tcBorders>
            <w:shd w:val="clear" w:color="auto" w:fill="auto"/>
            <w:vAlign w:val="center"/>
          </w:tcPr>
          <w:p w14:paraId="45F9633F" w14:textId="77777777" w:rsidR="00BF2E0D" w:rsidRPr="00842D79" w:rsidRDefault="00BF2E0D" w:rsidP="00BF2E0D">
            <w:pPr>
              <w:autoSpaceDE w:val="0"/>
              <w:autoSpaceDN w:val="0"/>
              <w:adjustRightInd w:val="0"/>
              <w:spacing w:before="60" w:after="60"/>
              <w:jc w:val="left"/>
              <w:rPr>
                <w:color w:val="000000"/>
                <w:sz w:val="18"/>
                <w:szCs w:val="18"/>
              </w:rPr>
            </w:pPr>
            <w:r w:rsidRPr="009F3EF5">
              <w:rPr>
                <w:color w:val="000000"/>
                <w:sz w:val="18"/>
                <w:szCs w:val="18"/>
              </w:rPr>
              <w:t>Uwzględnione</w:t>
            </w:r>
          </w:p>
        </w:tc>
        <w:tc>
          <w:tcPr>
            <w:tcW w:w="1134" w:type="dxa"/>
            <w:tcBorders>
              <w:left w:val="single" w:sz="4" w:space="0" w:color="FFFFFF"/>
            </w:tcBorders>
            <w:shd w:val="clear" w:color="auto" w:fill="auto"/>
            <w:vAlign w:val="center"/>
          </w:tcPr>
          <w:p w14:paraId="0B614A32" w14:textId="0BBCF8D0" w:rsidR="00BF2E0D" w:rsidRPr="00BF2E0D" w:rsidRDefault="00BF2E0D" w:rsidP="00BF2E0D">
            <w:pPr>
              <w:autoSpaceDE w:val="0"/>
              <w:autoSpaceDN w:val="0"/>
              <w:adjustRightInd w:val="0"/>
              <w:spacing w:before="60" w:after="60"/>
              <w:jc w:val="center"/>
              <w:rPr>
                <w:color w:val="000000"/>
                <w:sz w:val="18"/>
                <w:szCs w:val="18"/>
              </w:rPr>
            </w:pPr>
            <w:r w:rsidRPr="00BF2E0D">
              <w:rPr>
                <w:rFonts w:cs="Arial"/>
                <w:sz w:val="18"/>
                <w:szCs w:val="18"/>
              </w:rPr>
              <w:t>703</w:t>
            </w:r>
          </w:p>
        </w:tc>
        <w:tc>
          <w:tcPr>
            <w:tcW w:w="1134" w:type="dxa"/>
            <w:tcBorders>
              <w:left w:val="single" w:sz="4" w:space="0" w:color="FFFFFF"/>
            </w:tcBorders>
            <w:shd w:val="clear" w:color="auto" w:fill="auto"/>
            <w:vAlign w:val="center"/>
          </w:tcPr>
          <w:p w14:paraId="2E681FA1" w14:textId="57077608" w:rsidR="00BF2E0D" w:rsidRPr="00BF2E0D" w:rsidRDefault="00BF2E0D" w:rsidP="00D31F57">
            <w:pPr>
              <w:autoSpaceDE w:val="0"/>
              <w:autoSpaceDN w:val="0"/>
              <w:adjustRightInd w:val="0"/>
              <w:spacing w:before="60" w:after="60"/>
              <w:jc w:val="center"/>
              <w:rPr>
                <w:color w:val="000000"/>
                <w:sz w:val="18"/>
                <w:szCs w:val="18"/>
              </w:rPr>
            </w:pPr>
            <w:r w:rsidRPr="00BF2E0D">
              <w:rPr>
                <w:rFonts w:cs="Arial"/>
                <w:sz w:val="18"/>
                <w:szCs w:val="18"/>
              </w:rPr>
              <w:t>18%</w:t>
            </w:r>
          </w:p>
        </w:tc>
      </w:tr>
    </w:tbl>
    <w:p w14:paraId="621A456F" w14:textId="77777777" w:rsidR="00121C09" w:rsidRDefault="00121C09" w:rsidP="000459D8">
      <w:pPr>
        <w:shd w:val="clear" w:color="auto" w:fill="FFFFFF"/>
        <w:rPr>
          <w:rFonts w:cs="Arial"/>
        </w:rPr>
      </w:pPr>
    </w:p>
    <w:p w14:paraId="607AAD3D" w14:textId="77777777" w:rsidR="00BE1FA1" w:rsidRPr="00BE1FA1" w:rsidRDefault="00BE1FA1" w:rsidP="00BE1FA1">
      <w:pPr>
        <w:shd w:val="clear" w:color="auto" w:fill="FFFFFF"/>
        <w:rPr>
          <w:rFonts w:cs="Arial"/>
        </w:rPr>
      </w:pPr>
      <w:r w:rsidRPr="00BE1FA1">
        <w:rPr>
          <w:rFonts w:cs="Arial"/>
        </w:rPr>
        <w:t>Rozkład procentowy rozstrzygnięć podejmowanych przez Izbę w roku 2022 wskazuje na spadek liczby odwołań rozstrzyganych merytorycznie oraz wzrost liczby postępowań umarzanych.</w:t>
      </w:r>
    </w:p>
    <w:p w14:paraId="566B8E46" w14:textId="773DEC97" w:rsidR="00C624D1" w:rsidRDefault="00C624D1" w:rsidP="000459D8">
      <w:pPr>
        <w:shd w:val="clear" w:color="auto" w:fill="FFFFFF"/>
        <w:rPr>
          <w:rFonts w:cs="Arial"/>
        </w:rPr>
      </w:pPr>
    </w:p>
    <w:p w14:paraId="1DAA62E8" w14:textId="77777777" w:rsidR="00C624D1" w:rsidRPr="000B6E9E" w:rsidRDefault="00C624D1" w:rsidP="000459D8">
      <w:pPr>
        <w:shd w:val="clear" w:color="auto" w:fill="FFFFFF"/>
        <w:rPr>
          <w:rFonts w:cs="Arial"/>
        </w:rPr>
      </w:pPr>
    </w:p>
    <w:p w14:paraId="22B0A066" w14:textId="6D94C005" w:rsidR="000459D8" w:rsidRPr="00BE1FA1" w:rsidRDefault="000459D8" w:rsidP="00E16264">
      <w:pPr>
        <w:pStyle w:val="Default"/>
        <w:numPr>
          <w:ilvl w:val="0"/>
          <w:numId w:val="54"/>
        </w:numPr>
        <w:jc w:val="both"/>
        <w:rPr>
          <w:b/>
          <w:bCs/>
          <w:color w:val="2E74B5" w:themeColor="accent1" w:themeShade="BF"/>
          <w:sz w:val="22"/>
          <w:szCs w:val="22"/>
        </w:rPr>
      </w:pPr>
      <w:r w:rsidRPr="00BE1FA1">
        <w:rPr>
          <w:b/>
          <w:bCs/>
          <w:color w:val="2E74B5" w:themeColor="accent1" w:themeShade="BF"/>
          <w:sz w:val="22"/>
          <w:szCs w:val="22"/>
        </w:rPr>
        <w:t>Odwołania a rodzaj zamówienia</w:t>
      </w:r>
    </w:p>
    <w:p w14:paraId="6D063B19" w14:textId="77777777" w:rsidR="000459D8" w:rsidRPr="00C624D1" w:rsidRDefault="000459D8" w:rsidP="000459D8">
      <w:pPr>
        <w:shd w:val="clear" w:color="auto" w:fill="FFFFFF"/>
        <w:rPr>
          <w:rFonts w:cs="Arial"/>
          <w:bCs/>
        </w:rPr>
      </w:pPr>
    </w:p>
    <w:p w14:paraId="10160B42" w14:textId="77777777" w:rsidR="00BE1FA1" w:rsidRPr="00BE1FA1" w:rsidRDefault="00BE1FA1" w:rsidP="00BE1FA1">
      <w:pPr>
        <w:shd w:val="clear" w:color="auto" w:fill="FFFFFF"/>
      </w:pPr>
      <w:r w:rsidRPr="00BE1FA1">
        <w:t>Odwołania najczęściej składane były w postępowaniach, których przedmiot stanowiły usługi (53%) oraz dostawy (25%), natomiast najmniej odwołań składano w postępowaniach na roboty budowlane (22%).</w:t>
      </w:r>
    </w:p>
    <w:p w14:paraId="38BA9960" w14:textId="5BE42C8C" w:rsidR="00BE1FA1" w:rsidRPr="00BE1FA1" w:rsidRDefault="00BE1FA1" w:rsidP="00BE1FA1">
      <w:pPr>
        <w:shd w:val="clear" w:color="auto" w:fill="FFFFFF"/>
      </w:pPr>
      <w:r w:rsidRPr="00BE1FA1">
        <w:t>Dla porównania, w roku 2021 w postępowaniach na usługi zostało złożonych 44% odwołań, na dostawy 29%, a na roboty budowlane – 27%. Zmiany procentowe wskazują na utrzymujący się wzrost liczby odwołań wnoszonych w postępowaniach na usługi.</w:t>
      </w:r>
    </w:p>
    <w:p w14:paraId="39F3D3FF" w14:textId="5A189E99" w:rsidR="00C624D1" w:rsidRDefault="00C624D1" w:rsidP="00C624D1">
      <w:pPr>
        <w:shd w:val="clear" w:color="auto" w:fill="FFFFFF"/>
      </w:pPr>
    </w:p>
    <w:p w14:paraId="7D893FED" w14:textId="77777777" w:rsidR="00C624D1" w:rsidRPr="000B6E9E" w:rsidRDefault="00C624D1" w:rsidP="00C624D1">
      <w:pPr>
        <w:shd w:val="clear" w:color="auto" w:fill="FFFFFF"/>
      </w:pPr>
    </w:p>
    <w:p w14:paraId="19B06410" w14:textId="55225EEC" w:rsidR="000459D8" w:rsidRPr="00BE1FA1" w:rsidRDefault="000459D8" w:rsidP="00F45B72">
      <w:pPr>
        <w:pStyle w:val="Default"/>
        <w:numPr>
          <w:ilvl w:val="0"/>
          <w:numId w:val="54"/>
        </w:numPr>
        <w:jc w:val="both"/>
        <w:rPr>
          <w:b/>
          <w:bCs/>
          <w:color w:val="2E74B5" w:themeColor="accent1" w:themeShade="BF"/>
          <w:sz w:val="22"/>
          <w:szCs w:val="22"/>
        </w:rPr>
      </w:pPr>
      <w:r w:rsidRPr="00BE1FA1">
        <w:rPr>
          <w:b/>
          <w:bCs/>
          <w:color w:val="2E74B5" w:themeColor="accent1" w:themeShade="BF"/>
          <w:sz w:val="22"/>
          <w:szCs w:val="22"/>
        </w:rPr>
        <w:t xml:space="preserve">Odwołania w sprawach </w:t>
      </w:r>
      <w:r w:rsidR="00886A8A">
        <w:rPr>
          <w:b/>
          <w:bCs/>
          <w:color w:val="2E74B5" w:themeColor="accent1" w:themeShade="BF"/>
          <w:sz w:val="22"/>
          <w:szCs w:val="22"/>
        </w:rPr>
        <w:t xml:space="preserve">zamówień </w:t>
      </w:r>
      <w:r w:rsidR="00F45B72" w:rsidRPr="00F45B72">
        <w:rPr>
          <w:b/>
          <w:bCs/>
          <w:color w:val="2E74B5" w:themeColor="accent1" w:themeShade="BF"/>
          <w:sz w:val="22"/>
          <w:szCs w:val="22"/>
        </w:rPr>
        <w:t>o wartościach równych lub przekraczających progi unijne</w:t>
      </w:r>
      <w:r w:rsidR="00F45B72">
        <w:rPr>
          <w:b/>
          <w:bCs/>
          <w:color w:val="2E74B5" w:themeColor="accent1" w:themeShade="BF"/>
          <w:sz w:val="22"/>
          <w:szCs w:val="22"/>
        </w:rPr>
        <w:t xml:space="preserve"> </w:t>
      </w:r>
      <w:r w:rsidRPr="00BE1FA1">
        <w:rPr>
          <w:b/>
          <w:bCs/>
          <w:color w:val="2E74B5" w:themeColor="accent1" w:themeShade="BF"/>
          <w:sz w:val="22"/>
          <w:szCs w:val="22"/>
        </w:rPr>
        <w:t xml:space="preserve">i </w:t>
      </w:r>
      <w:r w:rsidR="00F45B72">
        <w:rPr>
          <w:b/>
          <w:bCs/>
          <w:color w:val="2E74B5" w:themeColor="accent1" w:themeShade="BF"/>
          <w:sz w:val="22"/>
          <w:szCs w:val="22"/>
        </w:rPr>
        <w:t xml:space="preserve">o wartościach </w:t>
      </w:r>
      <w:r w:rsidRPr="00BE1FA1">
        <w:rPr>
          <w:b/>
          <w:bCs/>
          <w:color w:val="2E74B5" w:themeColor="accent1" w:themeShade="BF"/>
          <w:sz w:val="22"/>
          <w:szCs w:val="22"/>
        </w:rPr>
        <w:t xml:space="preserve">poniżej progów </w:t>
      </w:r>
      <w:r w:rsidR="00F45B72">
        <w:rPr>
          <w:b/>
          <w:bCs/>
          <w:color w:val="2E74B5" w:themeColor="accent1" w:themeShade="BF"/>
          <w:sz w:val="22"/>
          <w:szCs w:val="22"/>
        </w:rPr>
        <w:t>unijnych</w:t>
      </w:r>
    </w:p>
    <w:p w14:paraId="1EFB8126" w14:textId="77777777" w:rsidR="000459D8" w:rsidRPr="00DE2654" w:rsidRDefault="000459D8" w:rsidP="000459D8">
      <w:pPr>
        <w:shd w:val="clear" w:color="auto" w:fill="FFFFFF"/>
        <w:rPr>
          <w:rFonts w:cs="Arial"/>
          <w:bCs/>
        </w:rPr>
      </w:pPr>
    </w:p>
    <w:p w14:paraId="6C069B00" w14:textId="3A8254AA" w:rsidR="000459D8" w:rsidRPr="00DE2654" w:rsidRDefault="00BE1FA1" w:rsidP="000459D8">
      <w:pPr>
        <w:shd w:val="clear" w:color="auto" w:fill="FFFFFF"/>
        <w:rPr>
          <w:rFonts w:cs="Arial"/>
          <w:bCs/>
        </w:rPr>
      </w:pPr>
      <w:r w:rsidRPr="00BE1FA1">
        <w:rPr>
          <w:rFonts w:cs="Arial"/>
          <w:bCs/>
        </w:rPr>
        <w:t xml:space="preserve">W roku 2022 najwięcej odwołań złożonych zostało w postępowaniach o udzielenie zamówienia publicznego, których wartość </w:t>
      </w:r>
      <w:r w:rsidR="001A1AAE">
        <w:rPr>
          <w:rFonts w:cs="Arial"/>
          <w:bCs/>
        </w:rPr>
        <w:t xml:space="preserve">była równa lub </w:t>
      </w:r>
      <w:r w:rsidRPr="00BE1FA1">
        <w:rPr>
          <w:rFonts w:cs="Arial"/>
          <w:bCs/>
        </w:rPr>
        <w:t>przekracza</w:t>
      </w:r>
      <w:r w:rsidR="001A1AAE">
        <w:rPr>
          <w:rFonts w:cs="Arial"/>
          <w:bCs/>
        </w:rPr>
        <w:t>ła</w:t>
      </w:r>
      <w:r w:rsidRPr="00BE1FA1">
        <w:rPr>
          <w:rFonts w:cs="Arial"/>
          <w:bCs/>
        </w:rPr>
        <w:t xml:space="preserve"> progi unijne. Stanowiły one 64% wszystkich wniesionych odwołań. Pozostałe 36% odwołań dotyczyło postępowań o</w:t>
      </w:r>
      <w:r w:rsidR="009343A1">
        <w:rPr>
          <w:rFonts w:cs="Arial"/>
          <w:bCs/>
        </w:rPr>
        <w:t xml:space="preserve"> </w:t>
      </w:r>
      <w:r w:rsidRPr="00BE1FA1">
        <w:rPr>
          <w:rFonts w:cs="Arial"/>
          <w:bCs/>
        </w:rPr>
        <w:t xml:space="preserve">wartościach </w:t>
      </w:r>
      <w:r w:rsidR="001A1AAE">
        <w:rPr>
          <w:rFonts w:cs="Arial"/>
          <w:bCs/>
        </w:rPr>
        <w:t>poniżej progów unijnych</w:t>
      </w:r>
      <w:r w:rsidRPr="00BE1FA1">
        <w:rPr>
          <w:rFonts w:cs="Arial"/>
          <w:bCs/>
        </w:rPr>
        <w:t xml:space="preserve">. Rozkład procentowy odwołań, które w 2021 r. były składane w postępowaniach o udzielenie zamówienia publicznego </w:t>
      </w:r>
      <w:r w:rsidR="00A5297F">
        <w:rPr>
          <w:rFonts w:cs="Arial"/>
          <w:bCs/>
        </w:rPr>
        <w:t xml:space="preserve">o wartości </w:t>
      </w:r>
      <w:r w:rsidR="00A5297F" w:rsidRPr="00A5297F">
        <w:rPr>
          <w:rFonts w:cs="Arial"/>
          <w:bCs/>
        </w:rPr>
        <w:t xml:space="preserve">równej lub przekraczającej progi unijne </w:t>
      </w:r>
      <w:r w:rsidRPr="00BE1FA1">
        <w:rPr>
          <w:rFonts w:cs="Arial"/>
          <w:bCs/>
        </w:rPr>
        <w:t xml:space="preserve">i </w:t>
      </w:r>
      <w:r w:rsidR="00A5297F">
        <w:rPr>
          <w:rFonts w:cs="Arial"/>
          <w:bCs/>
        </w:rPr>
        <w:t xml:space="preserve">o wartości </w:t>
      </w:r>
      <w:r w:rsidRPr="00BE1FA1">
        <w:rPr>
          <w:rFonts w:cs="Arial"/>
          <w:bCs/>
        </w:rPr>
        <w:t>poniżej progów unijnych, kształtował się bardzo podobnie i</w:t>
      </w:r>
      <w:r w:rsidR="009343A1">
        <w:rPr>
          <w:rFonts w:cs="Arial"/>
          <w:bCs/>
        </w:rPr>
        <w:t xml:space="preserve"> </w:t>
      </w:r>
      <w:r w:rsidRPr="00BE1FA1">
        <w:rPr>
          <w:rFonts w:cs="Arial"/>
          <w:bCs/>
        </w:rPr>
        <w:t>wynosił odpowiednio 67% oraz 33%.</w:t>
      </w:r>
    </w:p>
    <w:p w14:paraId="72436E6B" w14:textId="1FEFE779" w:rsidR="00DE2654" w:rsidRPr="00DE2654" w:rsidRDefault="00DE2654" w:rsidP="000459D8">
      <w:pPr>
        <w:shd w:val="clear" w:color="auto" w:fill="FFFFFF"/>
        <w:rPr>
          <w:rFonts w:cs="Arial"/>
          <w:bCs/>
        </w:rPr>
      </w:pPr>
    </w:p>
    <w:p w14:paraId="518FD650" w14:textId="77777777" w:rsidR="00DE2654" w:rsidRPr="00DE2654" w:rsidRDefault="00DE2654" w:rsidP="000459D8">
      <w:pPr>
        <w:shd w:val="clear" w:color="auto" w:fill="FFFFFF"/>
        <w:rPr>
          <w:rFonts w:cs="Arial"/>
          <w:bCs/>
        </w:rPr>
      </w:pPr>
    </w:p>
    <w:p w14:paraId="2F503EF9" w14:textId="2B4F9C36" w:rsidR="000459D8" w:rsidRPr="00BE1FA1" w:rsidRDefault="000459D8" w:rsidP="00E16264">
      <w:pPr>
        <w:pStyle w:val="Default"/>
        <w:numPr>
          <w:ilvl w:val="0"/>
          <w:numId w:val="54"/>
        </w:numPr>
        <w:jc w:val="both"/>
        <w:rPr>
          <w:b/>
          <w:bCs/>
          <w:color w:val="2E74B5" w:themeColor="accent1" w:themeShade="BF"/>
          <w:sz w:val="22"/>
          <w:szCs w:val="22"/>
        </w:rPr>
      </w:pPr>
      <w:r w:rsidRPr="00BE1FA1">
        <w:rPr>
          <w:b/>
          <w:bCs/>
          <w:color w:val="2E74B5" w:themeColor="accent1" w:themeShade="BF"/>
          <w:sz w:val="22"/>
          <w:szCs w:val="22"/>
        </w:rPr>
        <w:t>Odwołania w poszczególnych branżach i sektorach rynku</w:t>
      </w:r>
    </w:p>
    <w:p w14:paraId="348C9C97" w14:textId="45C1A468" w:rsidR="000459D8" w:rsidRPr="00035B66" w:rsidRDefault="000459D8" w:rsidP="000459D8">
      <w:pPr>
        <w:rPr>
          <w:szCs w:val="22"/>
        </w:rPr>
      </w:pPr>
    </w:p>
    <w:p w14:paraId="30CD0D96" w14:textId="5B2C0546" w:rsidR="00903BFB" w:rsidRPr="00035B66" w:rsidRDefault="00903BFB" w:rsidP="000459D8">
      <w:pPr>
        <w:rPr>
          <w:szCs w:val="22"/>
        </w:rPr>
      </w:pPr>
      <w:r w:rsidRPr="00903BFB">
        <w:rPr>
          <w:szCs w:val="22"/>
        </w:rPr>
        <w:t xml:space="preserve">W roku 2022, podobnie jak w roku 2021, najwięcej odwołań wniesiono w sektorach </w:t>
      </w:r>
      <w:r w:rsidRPr="00035B66">
        <w:rPr>
          <w:szCs w:val="22"/>
        </w:rPr>
        <w:t>budowlanym oraz informatycznym (w roku 2021 było to odpowiednio 15,61% i 12,99%).</w:t>
      </w:r>
    </w:p>
    <w:p w14:paraId="1BAECB2D" w14:textId="77777777" w:rsidR="00903BFB" w:rsidRPr="00035B66" w:rsidRDefault="00903BFB" w:rsidP="000459D8">
      <w:pPr>
        <w:rPr>
          <w:szCs w:val="22"/>
        </w:rPr>
      </w:pPr>
    </w:p>
    <w:p w14:paraId="1306763F" w14:textId="707109E5" w:rsidR="00B554F4" w:rsidRDefault="00B554F4" w:rsidP="00B554F4">
      <w:pPr>
        <w:pStyle w:val="Legenda"/>
      </w:pPr>
      <w:bookmarkStart w:id="118" w:name="_Toc141276531"/>
      <w:r w:rsidRPr="00742E01">
        <w:t xml:space="preserve">Tab. </w:t>
      </w:r>
      <w:r w:rsidR="00BE2079">
        <w:fldChar w:fldCharType="begin"/>
      </w:r>
      <w:r w:rsidR="00BE2079">
        <w:instrText xml:space="preserve"> SEQ Tab. \* ARABIC </w:instrText>
      </w:r>
      <w:r w:rsidR="00BE2079">
        <w:fldChar w:fldCharType="separate"/>
      </w:r>
      <w:r w:rsidR="00A43C68">
        <w:rPr>
          <w:noProof/>
        </w:rPr>
        <w:t>24</w:t>
      </w:r>
      <w:r w:rsidR="00BE2079">
        <w:rPr>
          <w:noProof/>
        </w:rPr>
        <w:fldChar w:fldCharType="end"/>
      </w:r>
      <w:r w:rsidRPr="00742E01">
        <w:t xml:space="preserve">. Struktura </w:t>
      </w:r>
      <w:r>
        <w:t>odwołań</w:t>
      </w:r>
      <w:r w:rsidRPr="00742E01">
        <w:t xml:space="preserve"> </w:t>
      </w:r>
      <w:r>
        <w:t>w podziale na sektor/branżę</w:t>
      </w:r>
      <w:bookmarkEnd w:id="118"/>
    </w:p>
    <w:tbl>
      <w:tblPr>
        <w:tblW w:w="9214" w:type="dxa"/>
        <w:tblInd w:w="-142" w:type="dxa"/>
        <w:tblLayout w:type="fixed"/>
        <w:tblLook w:val="04A0" w:firstRow="1" w:lastRow="0" w:firstColumn="1" w:lastColumn="0" w:noHBand="0" w:noVBand="1"/>
      </w:tblPr>
      <w:tblGrid>
        <w:gridCol w:w="709"/>
        <w:gridCol w:w="6521"/>
        <w:gridCol w:w="850"/>
        <w:gridCol w:w="1134"/>
      </w:tblGrid>
      <w:tr w:rsidR="00B076C1" w:rsidRPr="002E7DDA" w14:paraId="33D1885C" w14:textId="77777777" w:rsidTr="002E7DDA">
        <w:trPr>
          <w:tblHeader/>
        </w:trPr>
        <w:tc>
          <w:tcPr>
            <w:tcW w:w="709" w:type="dxa"/>
            <w:tcBorders>
              <w:right w:val="single" w:sz="4" w:space="0" w:color="FFFFFF"/>
            </w:tcBorders>
            <w:shd w:val="clear" w:color="auto" w:fill="002060"/>
          </w:tcPr>
          <w:p w14:paraId="2EDC26C1" w14:textId="4E0F9571" w:rsidR="00B076C1" w:rsidRPr="002E7DDA" w:rsidRDefault="009E2508" w:rsidP="00D835A0">
            <w:pPr>
              <w:spacing w:before="60" w:after="60"/>
              <w:jc w:val="center"/>
              <w:rPr>
                <w:rFonts w:cs="Arial"/>
                <w:b/>
                <w:sz w:val="18"/>
                <w:szCs w:val="18"/>
              </w:rPr>
            </w:pPr>
            <w:r w:rsidRPr="002E7DDA">
              <w:rPr>
                <w:rFonts w:cs="Arial"/>
                <w:b/>
                <w:sz w:val="18"/>
                <w:szCs w:val="18"/>
              </w:rPr>
              <w:t>Lp.</w:t>
            </w:r>
          </w:p>
        </w:tc>
        <w:tc>
          <w:tcPr>
            <w:tcW w:w="6521" w:type="dxa"/>
            <w:tcBorders>
              <w:right w:val="single" w:sz="4" w:space="0" w:color="FFFFFF"/>
            </w:tcBorders>
            <w:shd w:val="clear" w:color="auto" w:fill="002060"/>
            <w:vAlign w:val="center"/>
          </w:tcPr>
          <w:p w14:paraId="79F3089E" w14:textId="7DB93D4E" w:rsidR="00B076C1" w:rsidRPr="002E7DDA" w:rsidRDefault="009E2508" w:rsidP="002E7DDA">
            <w:pPr>
              <w:spacing w:before="60" w:after="60"/>
              <w:jc w:val="center"/>
              <w:rPr>
                <w:rFonts w:cs="Arial"/>
                <w:b/>
                <w:sz w:val="18"/>
                <w:szCs w:val="18"/>
              </w:rPr>
            </w:pPr>
            <w:r w:rsidRPr="002E7DDA">
              <w:rPr>
                <w:rFonts w:cs="Arial"/>
                <w:b/>
                <w:sz w:val="18"/>
                <w:szCs w:val="18"/>
              </w:rPr>
              <w:t>Sektor/branża</w:t>
            </w:r>
          </w:p>
        </w:tc>
        <w:tc>
          <w:tcPr>
            <w:tcW w:w="850" w:type="dxa"/>
            <w:tcBorders>
              <w:left w:val="single" w:sz="4" w:space="0" w:color="FFFFFF"/>
            </w:tcBorders>
            <w:shd w:val="clear" w:color="auto" w:fill="002060"/>
            <w:vAlign w:val="center"/>
          </w:tcPr>
          <w:p w14:paraId="7B9E80A8" w14:textId="77777777" w:rsidR="00B076C1" w:rsidRPr="002E7DDA" w:rsidRDefault="00B076C1" w:rsidP="002E7DDA">
            <w:pPr>
              <w:spacing w:before="60" w:after="60"/>
              <w:jc w:val="center"/>
              <w:rPr>
                <w:rFonts w:cs="Arial"/>
                <w:b/>
                <w:sz w:val="18"/>
                <w:szCs w:val="18"/>
              </w:rPr>
            </w:pPr>
            <w:r w:rsidRPr="002E7DDA">
              <w:rPr>
                <w:rFonts w:cs="Arial"/>
                <w:b/>
                <w:sz w:val="18"/>
                <w:szCs w:val="18"/>
              </w:rPr>
              <w:t>Liczba</w:t>
            </w:r>
          </w:p>
        </w:tc>
        <w:tc>
          <w:tcPr>
            <w:tcW w:w="1134" w:type="dxa"/>
            <w:tcBorders>
              <w:left w:val="single" w:sz="4" w:space="0" w:color="FFFFFF"/>
            </w:tcBorders>
            <w:shd w:val="clear" w:color="auto" w:fill="002060"/>
            <w:vAlign w:val="center"/>
          </w:tcPr>
          <w:p w14:paraId="0ABA9ACE" w14:textId="77777777" w:rsidR="00B076C1" w:rsidRPr="002E7DDA" w:rsidRDefault="00B076C1" w:rsidP="002E7DDA">
            <w:pPr>
              <w:spacing w:before="60" w:after="60"/>
              <w:jc w:val="center"/>
              <w:rPr>
                <w:rFonts w:cs="Arial"/>
                <w:b/>
                <w:sz w:val="18"/>
                <w:szCs w:val="18"/>
              </w:rPr>
            </w:pPr>
            <w:r w:rsidRPr="002E7DDA">
              <w:rPr>
                <w:rFonts w:cs="Arial"/>
                <w:b/>
                <w:sz w:val="18"/>
                <w:szCs w:val="18"/>
              </w:rPr>
              <w:t>Odsetek</w:t>
            </w:r>
          </w:p>
        </w:tc>
      </w:tr>
      <w:tr w:rsidR="00B076C1" w:rsidRPr="002E7DDA" w14:paraId="528AF1EF" w14:textId="77777777" w:rsidTr="002E7DDA">
        <w:tc>
          <w:tcPr>
            <w:tcW w:w="709" w:type="dxa"/>
            <w:tcBorders>
              <w:right w:val="single" w:sz="4" w:space="0" w:color="FFFFFF"/>
            </w:tcBorders>
          </w:tcPr>
          <w:p w14:paraId="54BB4068" w14:textId="77777777" w:rsidR="00B076C1" w:rsidRPr="00DB24F0" w:rsidRDefault="00B076C1"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3E96295" w14:textId="77777777" w:rsidR="009E2508" w:rsidRPr="002E7DDA" w:rsidRDefault="009E2508" w:rsidP="002E7DDA">
            <w:pPr>
              <w:autoSpaceDE w:val="0"/>
              <w:autoSpaceDN w:val="0"/>
              <w:adjustRightInd w:val="0"/>
              <w:spacing w:before="60" w:after="60"/>
              <w:jc w:val="left"/>
              <w:rPr>
                <w:rFonts w:cs="Arial"/>
                <w:color w:val="000000"/>
                <w:sz w:val="18"/>
                <w:szCs w:val="18"/>
              </w:rPr>
            </w:pPr>
            <w:r w:rsidRPr="002E7DDA">
              <w:rPr>
                <w:rFonts w:cs="Arial"/>
                <w:color w:val="000000"/>
                <w:sz w:val="18"/>
                <w:szCs w:val="18"/>
              </w:rPr>
              <w:t>Budownictwo, w tym:</w:t>
            </w:r>
          </w:p>
          <w:p w14:paraId="4B77AF8A" w14:textId="4617D5C9" w:rsidR="009E2508" w:rsidRPr="002E7DDA" w:rsidRDefault="009E2508" w:rsidP="002E7DDA">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 dróg i autostrad</w:t>
            </w:r>
          </w:p>
          <w:p w14:paraId="499630ED" w14:textId="7C5C9A77" w:rsidR="009E2508" w:rsidRPr="002E7DDA" w:rsidRDefault="009E2508" w:rsidP="002E7DDA">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obiektów sportowych</w:t>
            </w:r>
          </w:p>
          <w:p w14:paraId="21DFCE3D" w14:textId="0996AFD6" w:rsidR="009E2508" w:rsidRPr="002E7DDA" w:rsidRDefault="009E2508" w:rsidP="002E7DDA">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budynków</w:t>
            </w:r>
          </w:p>
          <w:p w14:paraId="0868FBC1" w14:textId="3ADE66CA" w:rsidR="00B076C1" w:rsidRPr="002E7DDA" w:rsidRDefault="009E2508" w:rsidP="002E7DDA">
            <w:pPr>
              <w:autoSpaceDE w:val="0"/>
              <w:autoSpaceDN w:val="0"/>
              <w:adjustRightInd w:val="0"/>
              <w:spacing w:before="60" w:after="60"/>
              <w:ind w:left="321"/>
              <w:jc w:val="left"/>
              <w:rPr>
                <w:rFonts w:cs="Arial"/>
                <w:color w:val="000000"/>
                <w:sz w:val="18"/>
                <w:szCs w:val="18"/>
              </w:rPr>
            </w:pPr>
            <w:r w:rsidRPr="002E7DDA">
              <w:rPr>
                <w:rFonts w:cs="Arial"/>
                <w:color w:val="000000"/>
                <w:sz w:val="18"/>
                <w:szCs w:val="18"/>
              </w:rPr>
              <w:t>- budowa lub remonty placów, parkingów</w:t>
            </w:r>
          </w:p>
        </w:tc>
        <w:tc>
          <w:tcPr>
            <w:tcW w:w="850" w:type="dxa"/>
            <w:tcBorders>
              <w:left w:val="single" w:sz="4" w:space="0" w:color="FFFFFF"/>
            </w:tcBorders>
            <w:shd w:val="clear" w:color="auto" w:fill="auto"/>
            <w:vAlign w:val="center"/>
          </w:tcPr>
          <w:p w14:paraId="16DCFBCE"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536</w:t>
            </w:r>
          </w:p>
          <w:p w14:paraId="36B4D146"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152</w:t>
            </w:r>
          </w:p>
          <w:p w14:paraId="51CD3BB0"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61</w:t>
            </w:r>
          </w:p>
          <w:p w14:paraId="4977BB95"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312</w:t>
            </w:r>
          </w:p>
          <w:p w14:paraId="3E8ED5C8" w14:textId="11642B82" w:rsidR="00B076C1"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11</w:t>
            </w:r>
          </w:p>
        </w:tc>
        <w:tc>
          <w:tcPr>
            <w:tcW w:w="1134" w:type="dxa"/>
            <w:tcBorders>
              <w:left w:val="single" w:sz="4" w:space="0" w:color="FFFFFF"/>
            </w:tcBorders>
            <w:shd w:val="clear" w:color="auto" w:fill="auto"/>
            <w:vAlign w:val="center"/>
          </w:tcPr>
          <w:p w14:paraId="6597310E"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15,15%</w:t>
            </w:r>
          </w:p>
          <w:p w14:paraId="7441D547"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4,29%</w:t>
            </w:r>
          </w:p>
          <w:p w14:paraId="1C9FF3EA"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1,73%</w:t>
            </w:r>
          </w:p>
          <w:p w14:paraId="3F5D19DF" w14:textId="77777777" w:rsidR="009E2508"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8,82%</w:t>
            </w:r>
          </w:p>
          <w:p w14:paraId="08AC3C1E" w14:textId="71B64CE3" w:rsidR="00B076C1" w:rsidRPr="002E7DDA" w:rsidRDefault="009E2508" w:rsidP="002E7DDA">
            <w:pPr>
              <w:autoSpaceDE w:val="0"/>
              <w:autoSpaceDN w:val="0"/>
              <w:adjustRightInd w:val="0"/>
              <w:spacing w:before="60" w:after="60"/>
              <w:jc w:val="center"/>
              <w:rPr>
                <w:rFonts w:cs="Arial"/>
                <w:color w:val="000000"/>
                <w:sz w:val="18"/>
                <w:szCs w:val="18"/>
              </w:rPr>
            </w:pPr>
            <w:r w:rsidRPr="002E7DDA">
              <w:rPr>
                <w:rFonts w:cs="Arial"/>
                <w:color w:val="000000"/>
                <w:sz w:val="18"/>
                <w:szCs w:val="18"/>
              </w:rPr>
              <w:t>0,31%</w:t>
            </w:r>
          </w:p>
        </w:tc>
      </w:tr>
      <w:tr w:rsidR="002E7DDA" w:rsidRPr="002E7DDA" w14:paraId="1FDAF3D2" w14:textId="77777777" w:rsidTr="002E7DDA">
        <w:tc>
          <w:tcPr>
            <w:tcW w:w="709" w:type="dxa"/>
            <w:tcBorders>
              <w:right w:val="single" w:sz="4" w:space="0" w:color="FFFFFF"/>
            </w:tcBorders>
            <w:shd w:val="clear" w:color="auto" w:fill="00B0F0"/>
          </w:tcPr>
          <w:p w14:paraId="30C848FD"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37705004" w14:textId="4ACE2A19"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color w:val="000000"/>
                <w:sz w:val="18"/>
                <w:szCs w:val="18"/>
              </w:rPr>
              <w:t>Informatyka</w:t>
            </w:r>
          </w:p>
        </w:tc>
        <w:tc>
          <w:tcPr>
            <w:tcW w:w="850" w:type="dxa"/>
            <w:tcBorders>
              <w:left w:val="single" w:sz="4" w:space="0" w:color="FFFFFF"/>
            </w:tcBorders>
            <w:shd w:val="clear" w:color="auto" w:fill="00B0F0"/>
            <w:vAlign w:val="center"/>
          </w:tcPr>
          <w:p w14:paraId="6ABA7C65" w14:textId="533EFCC3"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440</w:t>
            </w:r>
          </w:p>
        </w:tc>
        <w:tc>
          <w:tcPr>
            <w:tcW w:w="1134" w:type="dxa"/>
            <w:tcBorders>
              <w:left w:val="single" w:sz="4" w:space="0" w:color="FFFFFF"/>
            </w:tcBorders>
            <w:shd w:val="clear" w:color="auto" w:fill="00B0F0"/>
            <w:vAlign w:val="center"/>
          </w:tcPr>
          <w:p w14:paraId="0F4331D2" w14:textId="3273B229"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12,44%</w:t>
            </w:r>
          </w:p>
        </w:tc>
      </w:tr>
      <w:tr w:rsidR="002E7DDA" w:rsidRPr="002E7DDA" w14:paraId="6138BC5C" w14:textId="77777777" w:rsidTr="002E7DDA">
        <w:tc>
          <w:tcPr>
            <w:tcW w:w="709" w:type="dxa"/>
            <w:tcBorders>
              <w:right w:val="single" w:sz="4" w:space="0" w:color="FFFFFF"/>
            </w:tcBorders>
          </w:tcPr>
          <w:p w14:paraId="6673C7C0"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DC89169" w14:textId="559210A3"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color w:val="000000"/>
                <w:sz w:val="18"/>
                <w:szCs w:val="18"/>
              </w:rPr>
              <w:t>Pozostałe (m.in.: obsługa bankowa, usługi ubezpieczeniowe, zarządzanie nieruchomościami, usługi komunalne)</w:t>
            </w:r>
          </w:p>
        </w:tc>
        <w:tc>
          <w:tcPr>
            <w:tcW w:w="850" w:type="dxa"/>
            <w:tcBorders>
              <w:left w:val="single" w:sz="4" w:space="0" w:color="FFFFFF"/>
            </w:tcBorders>
            <w:shd w:val="clear" w:color="auto" w:fill="auto"/>
            <w:vAlign w:val="center"/>
          </w:tcPr>
          <w:p w14:paraId="027F45FC" w14:textId="1B86A943"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432</w:t>
            </w:r>
          </w:p>
        </w:tc>
        <w:tc>
          <w:tcPr>
            <w:tcW w:w="1134" w:type="dxa"/>
            <w:tcBorders>
              <w:left w:val="single" w:sz="4" w:space="0" w:color="FFFFFF"/>
            </w:tcBorders>
            <w:shd w:val="clear" w:color="auto" w:fill="auto"/>
            <w:vAlign w:val="center"/>
          </w:tcPr>
          <w:p w14:paraId="67AC8A0B" w14:textId="18182511"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12,21%</w:t>
            </w:r>
          </w:p>
        </w:tc>
      </w:tr>
      <w:tr w:rsidR="002E7DDA" w:rsidRPr="002E7DDA" w14:paraId="79CB988F" w14:textId="77777777" w:rsidTr="002E7DDA">
        <w:tc>
          <w:tcPr>
            <w:tcW w:w="709" w:type="dxa"/>
            <w:tcBorders>
              <w:right w:val="single" w:sz="4" w:space="0" w:color="FFFFFF"/>
            </w:tcBorders>
            <w:shd w:val="clear" w:color="auto" w:fill="00B0F0"/>
          </w:tcPr>
          <w:p w14:paraId="6C0871B7"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1AFF600F" w14:textId="7A98A2E8"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color w:val="000000"/>
                <w:sz w:val="18"/>
                <w:szCs w:val="18"/>
              </w:rPr>
              <w:t>Sektor medyczny</w:t>
            </w:r>
          </w:p>
        </w:tc>
        <w:tc>
          <w:tcPr>
            <w:tcW w:w="850" w:type="dxa"/>
            <w:tcBorders>
              <w:left w:val="single" w:sz="4" w:space="0" w:color="FFFFFF"/>
            </w:tcBorders>
            <w:shd w:val="clear" w:color="auto" w:fill="00B0F0"/>
            <w:vAlign w:val="center"/>
          </w:tcPr>
          <w:p w14:paraId="5214EC8D" w14:textId="7152B9B7"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416</w:t>
            </w:r>
          </w:p>
        </w:tc>
        <w:tc>
          <w:tcPr>
            <w:tcW w:w="1134" w:type="dxa"/>
            <w:tcBorders>
              <w:left w:val="single" w:sz="4" w:space="0" w:color="FFFFFF"/>
            </w:tcBorders>
            <w:shd w:val="clear" w:color="auto" w:fill="00B0F0"/>
            <w:vAlign w:val="center"/>
          </w:tcPr>
          <w:p w14:paraId="07C3B38B" w14:textId="0DAB98B2"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11,76%</w:t>
            </w:r>
          </w:p>
        </w:tc>
      </w:tr>
      <w:tr w:rsidR="002E7DDA" w:rsidRPr="002E7DDA" w14:paraId="2D3F16A8" w14:textId="77777777" w:rsidTr="002E7DDA">
        <w:tc>
          <w:tcPr>
            <w:tcW w:w="709" w:type="dxa"/>
            <w:tcBorders>
              <w:right w:val="single" w:sz="4" w:space="0" w:color="FFFFFF"/>
            </w:tcBorders>
          </w:tcPr>
          <w:p w14:paraId="1C69E4DB"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57D5B36" w14:textId="313D329B"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Gospodarka odpadami</w:t>
            </w:r>
          </w:p>
        </w:tc>
        <w:tc>
          <w:tcPr>
            <w:tcW w:w="850" w:type="dxa"/>
            <w:tcBorders>
              <w:left w:val="single" w:sz="4" w:space="0" w:color="FFFFFF"/>
            </w:tcBorders>
            <w:shd w:val="clear" w:color="auto" w:fill="auto"/>
            <w:vAlign w:val="center"/>
          </w:tcPr>
          <w:p w14:paraId="5520DC31" w14:textId="0B0D97D8"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329</w:t>
            </w:r>
          </w:p>
        </w:tc>
        <w:tc>
          <w:tcPr>
            <w:tcW w:w="1134" w:type="dxa"/>
            <w:tcBorders>
              <w:left w:val="single" w:sz="4" w:space="0" w:color="FFFFFF"/>
            </w:tcBorders>
            <w:shd w:val="clear" w:color="auto" w:fill="auto"/>
            <w:vAlign w:val="center"/>
          </w:tcPr>
          <w:p w14:paraId="68AC18C4" w14:textId="2386EF45"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9,30%</w:t>
            </w:r>
          </w:p>
        </w:tc>
      </w:tr>
      <w:tr w:rsidR="002E7DDA" w:rsidRPr="002E7DDA" w14:paraId="1D5B8749" w14:textId="77777777" w:rsidTr="002E7DDA">
        <w:tc>
          <w:tcPr>
            <w:tcW w:w="709" w:type="dxa"/>
            <w:tcBorders>
              <w:right w:val="single" w:sz="4" w:space="0" w:color="FFFFFF"/>
            </w:tcBorders>
            <w:shd w:val="clear" w:color="auto" w:fill="00B0F0"/>
          </w:tcPr>
          <w:p w14:paraId="0CE1DB2F"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589F09A2" w14:textId="13CB2281"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Sprzątanie</w:t>
            </w:r>
          </w:p>
        </w:tc>
        <w:tc>
          <w:tcPr>
            <w:tcW w:w="850" w:type="dxa"/>
            <w:tcBorders>
              <w:left w:val="single" w:sz="4" w:space="0" w:color="FFFFFF"/>
            </w:tcBorders>
            <w:shd w:val="clear" w:color="auto" w:fill="00B0F0"/>
            <w:vAlign w:val="center"/>
          </w:tcPr>
          <w:p w14:paraId="6841817D" w14:textId="0A95ED95"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215</w:t>
            </w:r>
          </w:p>
        </w:tc>
        <w:tc>
          <w:tcPr>
            <w:tcW w:w="1134" w:type="dxa"/>
            <w:tcBorders>
              <w:left w:val="single" w:sz="4" w:space="0" w:color="FFFFFF"/>
            </w:tcBorders>
            <w:shd w:val="clear" w:color="auto" w:fill="00B0F0"/>
            <w:vAlign w:val="center"/>
          </w:tcPr>
          <w:p w14:paraId="341178FE" w14:textId="34C8137E"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6,08%</w:t>
            </w:r>
          </w:p>
        </w:tc>
      </w:tr>
      <w:tr w:rsidR="002E7DDA" w:rsidRPr="002E7DDA" w14:paraId="3CDD3FD6" w14:textId="77777777" w:rsidTr="002E7DDA">
        <w:tc>
          <w:tcPr>
            <w:tcW w:w="709" w:type="dxa"/>
            <w:tcBorders>
              <w:right w:val="single" w:sz="4" w:space="0" w:color="FFFFFF"/>
            </w:tcBorders>
          </w:tcPr>
          <w:p w14:paraId="2024474A"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5B61BB48" w14:textId="72F75932"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Utrzymanie dróg (oznakowanie, sygnalizacja, parkometry, oczyszczanie, utrzymanie zieleni)</w:t>
            </w:r>
          </w:p>
        </w:tc>
        <w:tc>
          <w:tcPr>
            <w:tcW w:w="850" w:type="dxa"/>
            <w:tcBorders>
              <w:left w:val="single" w:sz="4" w:space="0" w:color="FFFFFF"/>
            </w:tcBorders>
            <w:shd w:val="clear" w:color="auto" w:fill="auto"/>
            <w:vAlign w:val="center"/>
          </w:tcPr>
          <w:p w14:paraId="4F5AA919" w14:textId="7AA0A29C"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180</w:t>
            </w:r>
          </w:p>
        </w:tc>
        <w:tc>
          <w:tcPr>
            <w:tcW w:w="1134" w:type="dxa"/>
            <w:tcBorders>
              <w:left w:val="single" w:sz="4" w:space="0" w:color="FFFFFF"/>
            </w:tcBorders>
            <w:shd w:val="clear" w:color="auto" w:fill="auto"/>
            <w:vAlign w:val="center"/>
          </w:tcPr>
          <w:p w14:paraId="64160C28" w14:textId="7F8B32B4"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5,09%</w:t>
            </w:r>
          </w:p>
        </w:tc>
      </w:tr>
      <w:tr w:rsidR="002E7DDA" w:rsidRPr="002E7DDA" w14:paraId="6A7F00B6" w14:textId="77777777" w:rsidTr="002E7DDA">
        <w:tc>
          <w:tcPr>
            <w:tcW w:w="709" w:type="dxa"/>
            <w:tcBorders>
              <w:right w:val="single" w:sz="4" w:space="0" w:color="FFFFFF"/>
            </w:tcBorders>
            <w:shd w:val="clear" w:color="auto" w:fill="00B0F0"/>
          </w:tcPr>
          <w:p w14:paraId="78AA5BB4"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0EE6BE66" w14:textId="76B516D9"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Ochrona fizyczna</w:t>
            </w:r>
          </w:p>
        </w:tc>
        <w:tc>
          <w:tcPr>
            <w:tcW w:w="850" w:type="dxa"/>
            <w:tcBorders>
              <w:left w:val="single" w:sz="4" w:space="0" w:color="FFFFFF"/>
            </w:tcBorders>
            <w:shd w:val="clear" w:color="auto" w:fill="00B0F0"/>
            <w:vAlign w:val="center"/>
          </w:tcPr>
          <w:p w14:paraId="452317BC" w14:textId="1A25234C"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170</w:t>
            </w:r>
          </w:p>
        </w:tc>
        <w:tc>
          <w:tcPr>
            <w:tcW w:w="1134" w:type="dxa"/>
            <w:tcBorders>
              <w:left w:val="single" w:sz="4" w:space="0" w:color="FFFFFF"/>
            </w:tcBorders>
            <w:shd w:val="clear" w:color="auto" w:fill="00B0F0"/>
            <w:vAlign w:val="center"/>
          </w:tcPr>
          <w:p w14:paraId="6E52687A" w14:textId="1DC7D07C"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4,81%</w:t>
            </w:r>
          </w:p>
        </w:tc>
      </w:tr>
      <w:tr w:rsidR="002E7DDA" w:rsidRPr="002E7DDA" w14:paraId="1EE5333E" w14:textId="77777777" w:rsidTr="002E7DDA">
        <w:tc>
          <w:tcPr>
            <w:tcW w:w="709" w:type="dxa"/>
            <w:tcBorders>
              <w:right w:val="single" w:sz="4" w:space="0" w:color="FFFFFF"/>
            </w:tcBorders>
          </w:tcPr>
          <w:p w14:paraId="4DA3F701"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54B31A4" w14:textId="1C3A70C2"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Dostawy i usługi dla służb mundurowych</w:t>
            </w:r>
          </w:p>
        </w:tc>
        <w:tc>
          <w:tcPr>
            <w:tcW w:w="850" w:type="dxa"/>
            <w:tcBorders>
              <w:left w:val="single" w:sz="4" w:space="0" w:color="FFFFFF"/>
            </w:tcBorders>
            <w:shd w:val="clear" w:color="auto" w:fill="auto"/>
            <w:vAlign w:val="center"/>
          </w:tcPr>
          <w:p w14:paraId="50BC2D27" w14:textId="1595EF87"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154</w:t>
            </w:r>
          </w:p>
        </w:tc>
        <w:tc>
          <w:tcPr>
            <w:tcW w:w="1134" w:type="dxa"/>
            <w:tcBorders>
              <w:left w:val="single" w:sz="4" w:space="0" w:color="FFFFFF"/>
            </w:tcBorders>
            <w:shd w:val="clear" w:color="auto" w:fill="auto"/>
            <w:vAlign w:val="center"/>
          </w:tcPr>
          <w:p w14:paraId="5E1D236F" w14:textId="3412D6A6"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4,35%</w:t>
            </w:r>
          </w:p>
        </w:tc>
      </w:tr>
      <w:tr w:rsidR="002E7DDA" w:rsidRPr="002E7DDA" w14:paraId="7061BACE" w14:textId="77777777" w:rsidTr="002E7DDA">
        <w:tc>
          <w:tcPr>
            <w:tcW w:w="709" w:type="dxa"/>
            <w:tcBorders>
              <w:right w:val="single" w:sz="4" w:space="0" w:color="FFFFFF"/>
            </w:tcBorders>
            <w:shd w:val="clear" w:color="auto" w:fill="00B0F0"/>
          </w:tcPr>
          <w:p w14:paraId="3D5E6B9C"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6A530A99" w14:textId="6E696FEC"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Wybór inżyniera kontraktu, nadzór budowlany, inwestor zastępczy)</w:t>
            </w:r>
          </w:p>
        </w:tc>
        <w:tc>
          <w:tcPr>
            <w:tcW w:w="850" w:type="dxa"/>
            <w:tcBorders>
              <w:left w:val="single" w:sz="4" w:space="0" w:color="FFFFFF"/>
            </w:tcBorders>
            <w:shd w:val="clear" w:color="auto" w:fill="00B0F0"/>
            <w:vAlign w:val="center"/>
          </w:tcPr>
          <w:p w14:paraId="0ECA8200" w14:textId="51C17885"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119</w:t>
            </w:r>
          </w:p>
        </w:tc>
        <w:tc>
          <w:tcPr>
            <w:tcW w:w="1134" w:type="dxa"/>
            <w:tcBorders>
              <w:left w:val="single" w:sz="4" w:space="0" w:color="FFFFFF"/>
            </w:tcBorders>
            <w:shd w:val="clear" w:color="auto" w:fill="00B0F0"/>
            <w:vAlign w:val="center"/>
          </w:tcPr>
          <w:p w14:paraId="09E9FB7E" w14:textId="06395478"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3,36%</w:t>
            </w:r>
          </w:p>
        </w:tc>
      </w:tr>
      <w:tr w:rsidR="002E7DDA" w:rsidRPr="002E7DDA" w14:paraId="236F1FF0" w14:textId="77777777" w:rsidTr="002E7DDA">
        <w:tc>
          <w:tcPr>
            <w:tcW w:w="709" w:type="dxa"/>
            <w:tcBorders>
              <w:right w:val="single" w:sz="4" w:space="0" w:color="FFFFFF"/>
            </w:tcBorders>
          </w:tcPr>
          <w:p w14:paraId="70486D37"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2592C4E7" w14:textId="5DF7AE17"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Sektor energetyczny</w:t>
            </w:r>
          </w:p>
        </w:tc>
        <w:tc>
          <w:tcPr>
            <w:tcW w:w="850" w:type="dxa"/>
            <w:tcBorders>
              <w:left w:val="single" w:sz="4" w:space="0" w:color="FFFFFF"/>
            </w:tcBorders>
            <w:shd w:val="clear" w:color="auto" w:fill="auto"/>
            <w:vAlign w:val="center"/>
          </w:tcPr>
          <w:p w14:paraId="0A989761" w14:textId="606A4460"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97</w:t>
            </w:r>
          </w:p>
        </w:tc>
        <w:tc>
          <w:tcPr>
            <w:tcW w:w="1134" w:type="dxa"/>
            <w:tcBorders>
              <w:left w:val="single" w:sz="4" w:space="0" w:color="FFFFFF"/>
            </w:tcBorders>
            <w:shd w:val="clear" w:color="auto" w:fill="auto"/>
            <w:vAlign w:val="center"/>
          </w:tcPr>
          <w:p w14:paraId="1AF42654" w14:textId="67CE0D56"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2,74%</w:t>
            </w:r>
          </w:p>
        </w:tc>
      </w:tr>
      <w:tr w:rsidR="002E7DDA" w:rsidRPr="002E7DDA" w14:paraId="7615D120" w14:textId="77777777" w:rsidTr="002E7DDA">
        <w:tc>
          <w:tcPr>
            <w:tcW w:w="709" w:type="dxa"/>
            <w:tcBorders>
              <w:right w:val="single" w:sz="4" w:space="0" w:color="FFFFFF"/>
            </w:tcBorders>
            <w:shd w:val="clear" w:color="auto" w:fill="00B0F0"/>
          </w:tcPr>
          <w:p w14:paraId="7928EF3C"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326EC1B7" w14:textId="01DE8964"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Sektor kolejowy</w:t>
            </w:r>
          </w:p>
        </w:tc>
        <w:tc>
          <w:tcPr>
            <w:tcW w:w="850" w:type="dxa"/>
            <w:tcBorders>
              <w:left w:val="single" w:sz="4" w:space="0" w:color="FFFFFF"/>
            </w:tcBorders>
            <w:shd w:val="clear" w:color="auto" w:fill="00B0F0"/>
            <w:vAlign w:val="center"/>
          </w:tcPr>
          <w:p w14:paraId="5E0A5921" w14:textId="66E27CB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76</w:t>
            </w:r>
          </w:p>
        </w:tc>
        <w:tc>
          <w:tcPr>
            <w:tcW w:w="1134" w:type="dxa"/>
            <w:tcBorders>
              <w:left w:val="single" w:sz="4" w:space="0" w:color="FFFFFF"/>
            </w:tcBorders>
            <w:shd w:val="clear" w:color="auto" w:fill="00B0F0"/>
            <w:vAlign w:val="center"/>
          </w:tcPr>
          <w:p w14:paraId="4E0A240C" w14:textId="19D8A9CB"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2,15%</w:t>
            </w:r>
          </w:p>
        </w:tc>
      </w:tr>
      <w:tr w:rsidR="002E7DDA" w:rsidRPr="002E7DDA" w14:paraId="301CC3AB" w14:textId="77777777" w:rsidTr="002E7DDA">
        <w:tc>
          <w:tcPr>
            <w:tcW w:w="709" w:type="dxa"/>
            <w:tcBorders>
              <w:right w:val="single" w:sz="4" w:space="0" w:color="FFFFFF"/>
            </w:tcBorders>
          </w:tcPr>
          <w:p w14:paraId="3E04A0A0"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5292F875" w14:textId="0FB5375F"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Opracowanie projektów budowlanych</w:t>
            </w:r>
          </w:p>
        </w:tc>
        <w:tc>
          <w:tcPr>
            <w:tcW w:w="850" w:type="dxa"/>
            <w:tcBorders>
              <w:left w:val="single" w:sz="4" w:space="0" w:color="FFFFFF"/>
            </w:tcBorders>
            <w:shd w:val="clear" w:color="auto" w:fill="auto"/>
            <w:vAlign w:val="center"/>
          </w:tcPr>
          <w:p w14:paraId="6B5294A4" w14:textId="27F694A2"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68</w:t>
            </w:r>
          </w:p>
        </w:tc>
        <w:tc>
          <w:tcPr>
            <w:tcW w:w="1134" w:type="dxa"/>
            <w:tcBorders>
              <w:left w:val="single" w:sz="4" w:space="0" w:color="FFFFFF"/>
            </w:tcBorders>
            <w:shd w:val="clear" w:color="auto" w:fill="auto"/>
            <w:vAlign w:val="center"/>
          </w:tcPr>
          <w:p w14:paraId="5A1D463F" w14:textId="39B0D40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1,92%</w:t>
            </w:r>
          </w:p>
        </w:tc>
      </w:tr>
      <w:tr w:rsidR="002E7DDA" w:rsidRPr="002E7DDA" w14:paraId="7A44556F" w14:textId="77777777" w:rsidTr="002E7DDA">
        <w:tc>
          <w:tcPr>
            <w:tcW w:w="709" w:type="dxa"/>
            <w:tcBorders>
              <w:right w:val="single" w:sz="4" w:space="0" w:color="FFFFFF"/>
            </w:tcBorders>
            <w:shd w:val="clear" w:color="auto" w:fill="00B0F0"/>
          </w:tcPr>
          <w:p w14:paraId="6F794A26"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1B1E86AC" w14:textId="3619F5DA"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Transport publiczny</w:t>
            </w:r>
          </w:p>
        </w:tc>
        <w:tc>
          <w:tcPr>
            <w:tcW w:w="850" w:type="dxa"/>
            <w:tcBorders>
              <w:left w:val="single" w:sz="4" w:space="0" w:color="FFFFFF"/>
            </w:tcBorders>
            <w:shd w:val="clear" w:color="auto" w:fill="00B0F0"/>
            <w:vAlign w:val="center"/>
          </w:tcPr>
          <w:p w14:paraId="7D21397D" w14:textId="4FC408A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64</w:t>
            </w:r>
          </w:p>
        </w:tc>
        <w:tc>
          <w:tcPr>
            <w:tcW w:w="1134" w:type="dxa"/>
            <w:tcBorders>
              <w:left w:val="single" w:sz="4" w:space="0" w:color="FFFFFF"/>
            </w:tcBorders>
            <w:shd w:val="clear" w:color="auto" w:fill="00B0F0"/>
            <w:vAlign w:val="center"/>
          </w:tcPr>
          <w:p w14:paraId="7EA77BC6" w14:textId="2E8DF51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1,81%</w:t>
            </w:r>
          </w:p>
        </w:tc>
      </w:tr>
      <w:tr w:rsidR="002E7DDA" w:rsidRPr="002E7DDA" w14:paraId="603E9629" w14:textId="77777777" w:rsidTr="002E7DDA">
        <w:tc>
          <w:tcPr>
            <w:tcW w:w="709" w:type="dxa"/>
            <w:tcBorders>
              <w:right w:val="single" w:sz="4" w:space="0" w:color="FFFFFF"/>
            </w:tcBorders>
          </w:tcPr>
          <w:p w14:paraId="2A8E82EE"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3841A4D3" w14:textId="1CF98AD5"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Radiokomunikacja i telekomunikacja</w:t>
            </w:r>
          </w:p>
        </w:tc>
        <w:tc>
          <w:tcPr>
            <w:tcW w:w="850" w:type="dxa"/>
            <w:tcBorders>
              <w:left w:val="single" w:sz="4" w:space="0" w:color="FFFFFF"/>
            </w:tcBorders>
            <w:shd w:val="clear" w:color="auto" w:fill="auto"/>
            <w:vAlign w:val="center"/>
          </w:tcPr>
          <w:p w14:paraId="495D0D9D" w14:textId="17016E0C"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61</w:t>
            </w:r>
          </w:p>
        </w:tc>
        <w:tc>
          <w:tcPr>
            <w:tcW w:w="1134" w:type="dxa"/>
            <w:tcBorders>
              <w:left w:val="single" w:sz="4" w:space="0" w:color="FFFFFF"/>
            </w:tcBorders>
            <w:shd w:val="clear" w:color="auto" w:fill="auto"/>
            <w:vAlign w:val="center"/>
          </w:tcPr>
          <w:p w14:paraId="11E02D82" w14:textId="2CE77649"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1,72%</w:t>
            </w:r>
          </w:p>
        </w:tc>
      </w:tr>
      <w:tr w:rsidR="002E7DDA" w:rsidRPr="002E7DDA" w14:paraId="26CAFA25" w14:textId="77777777" w:rsidTr="002E7DDA">
        <w:tc>
          <w:tcPr>
            <w:tcW w:w="709" w:type="dxa"/>
            <w:tcBorders>
              <w:right w:val="single" w:sz="4" w:space="0" w:color="FFFFFF"/>
            </w:tcBorders>
            <w:shd w:val="clear" w:color="auto" w:fill="00B0F0"/>
          </w:tcPr>
          <w:p w14:paraId="5D6C4CF8"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1ED19C90" w14:textId="2C4FD0AB"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Sektor górniczy</w:t>
            </w:r>
          </w:p>
        </w:tc>
        <w:tc>
          <w:tcPr>
            <w:tcW w:w="850" w:type="dxa"/>
            <w:tcBorders>
              <w:left w:val="single" w:sz="4" w:space="0" w:color="FFFFFF"/>
            </w:tcBorders>
            <w:shd w:val="clear" w:color="auto" w:fill="00B0F0"/>
            <w:vAlign w:val="center"/>
          </w:tcPr>
          <w:p w14:paraId="6A700B50" w14:textId="46B1A3A3"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59</w:t>
            </w:r>
          </w:p>
        </w:tc>
        <w:tc>
          <w:tcPr>
            <w:tcW w:w="1134" w:type="dxa"/>
            <w:tcBorders>
              <w:left w:val="single" w:sz="4" w:space="0" w:color="FFFFFF"/>
            </w:tcBorders>
            <w:shd w:val="clear" w:color="auto" w:fill="00B0F0"/>
            <w:vAlign w:val="center"/>
          </w:tcPr>
          <w:p w14:paraId="676EF572" w14:textId="27DF8B3E"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1,67%</w:t>
            </w:r>
          </w:p>
        </w:tc>
      </w:tr>
      <w:tr w:rsidR="002E7DDA" w:rsidRPr="002E7DDA" w14:paraId="7194AB37" w14:textId="77777777" w:rsidTr="002E7DDA">
        <w:tc>
          <w:tcPr>
            <w:tcW w:w="709" w:type="dxa"/>
            <w:tcBorders>
              <w:right w:val="single" w:sz="4" w:space="0" w:color="FFFFFF"/>
            </w:tcBorders>
          </w:tcPr>
          <w:p w14:paraId="53EB2E37"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0058C67B" w14:textId="01CEEEC1"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Wodociągi i kanalizacja</w:t>
            </w:r>
          </w:p>
        </w:tc>
        <w:tc>
          <w:tcPr>
            <w:tcW w:w="850" w:type="dxa"/>
            <w:tcBorders>
              <w:left w:val="single" w:sz="4" w:space="0" w:color="FFFFFF"/>
            </w:tcBorders>
            <w:shd w:val="clear" w:color="auto" w:fill="auto"/>
            <w:vAlign w:val="center"/>
          </w:tcPr>
          <w:p w14:paraId="68C30FA2" w14:textId="45ED99F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57</w:t>
            </w:r>
          </w:p>
        </w:tc>
        <w:tc>
          <w:tcPr>
            <w:tcW w:w="1134" w:type="dxa"/>
            <w:tcBorders>
              <w:left w:val="single" w:sz="4" w:space="0" w:color="FFFFFF"/>
            </w:tcBorders>
            <w:shd w:val="clear" w:color="auto" w:fill="auto"/>
            <w:vAlign w:val="center"/>
          </w:tcPr>
          <w:p w14:paraId="1E3BA77A" w14:textId="4739A89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1,61%</w:t>
            </w:r>
          </w:p>
        </w:tc>
      </w:tr>
      <w:tr w:rsidR="002E7DDA" w:rsidRPr="002E7DDA" w14:paraId="1259B98B" w14:textId="77777777" w:rsidTr="002E7DDA">
        <w:tc>
          <w:tcPr>
            <w:tcW w:w="709" w:type="dxa"/>
            <w:tcBorders>
              <w:right w:val="single" w:sz="4" w:space="0" w:color="FFFFFF"/>
            </w:tcBorders>
            <w:shd w:val="clear" w:color="auto" w:fill="00B0F0"/>
          </w:tcPr>
          <w:p w14:paraId="5A8B365C"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00B0F0"/>
            <w:vAlign w:val="center"/>
          </w:tcPr>
          <w:p w14:paraId="29B14CF4" w14:textId="7AAA2505"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Gospodarka wodna (gosp. rzeczna, gosp. morska, zbiorniki retencyjne, przeciwpowodziowe)</w:t>
            </w:r>
          </w:p>
        </w:tc>
        <w:tc>
          <w:tcPr>
            <w:tcW w:w="850" w:type="dxa"/>
            <w:tcBorders>
              <w:left w:val="single" w:sz="4" w:space="0" w:color="FFFFFF"/>
            </w:tcBorders>
            <w:shd w:val="clear" w:color="auto" w:fill="00B0F0"/>
            <w:vAlign w:val="center"/>
          </w:tcPr>
          <w:p w14:paraId="11E1E4D7" w14:textId="0A06C590"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43</w:t>
            </w:r>
          </w:p>
        </w:tc>
        <w:tc>
          <w:tcPr>
            <w:tcW w:w="1134" w:type="dxa"/>
            <w:tcBorders>
              <w:left w:val="single" w:sz="4" w:space="0" w:color="FFFFFF"/>
            </w:tcBorders>
            <w:shd w:val="clear" w:color="auto" w:fill="00B0F0"/>
            <w:vAlign w:val="center"/>
          </w:tcPr>
          <w:p w14:paraId="2214C86D" w14:textId="40D5EB12"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1,22%</w:t>
            </w:r>
          </w:p>
        </w:tc>
      </w:tr>
      <w:tr w:rsidR="002E7DDA" w:rsidRPr="002E7DDA" w14:paraId="5B7C6005" w14:textId="77777777" w:rsidTr="002E7DDA">
        <w:tc>
          <w:tcPr>
            <w:tcW w:w="709" w:type="dxa"/>
            <w:tcBorders>
              <w:right w:val="single" w:sz="4" w:space="0" w:color="FFFFFF"/>
            </w:tcBorders>
          </w:tcPr>
          <w:p w14:paraId="172FC8F7" w14:textId="77777777" w:rsidR="002E7DDA" w:rsidRPr="00DB24F0" w:rsidRDefault="002E7DDA" w:rsidP="006C4C38">
            <w:pPr>
              <w:pStyle w:val="Akapitzlist"/>
              <w:numPr>
                <w:ilvl w:val="0"/>
                <w:numId w:val="56"/>
              </w:numPr>
              <w:autoSpaceDE w:val="0"/>
              <w:autoSpaceDN w:val="0"/>
              <w:adjustRightInd w:val="0"/>
              <w:spacing w:before="60" w:after="60"/>
              <w:jc w:val="left"/>
              <w:rPr>
                <w:rFonts w:cs="Arial"/>
                <w:color w:val="000000"/>
                <w:sz w:val="18"/>
                <w:szCs w:val="18"/>
              </w:rPr>
            </w:pPr>
          </w:p>
        </w:tc>
        <w:tc>
          <w:tcPr>
            <w:tcW w:w="6521" w:type="dxa"/>
            <w:tcBorders>
              <w:right w:val="single" w:sz="4" w:space="0" w:color="FFFFFF"/>
            </w:tcBorders>
            <w:shd w:val="clear" w:color="auto" w:fill="auto"/>
            <w:vAlign w:val="center"/>
          </w:tcPr>
          <w:p w14:paraId="1F3D5970" w14:textId="6C5B38E3" w:rsidR="002E7DDA" w:rsidRPr="002E7DDA" w:rsidRDefault="002E7DDA" w:rsidP="002E7DDA">
            <w:pPr>
              <w:autoSpaceDE w:val="0"/>
              <w:autoSpaceDN w:val="0"/>
              <w:adjustRightInd w:val="0"/>
              <w:spacing w:before="60" w:after="60"/>
              <w:jc w:val="left"/>
              <w:rPr>
                <w:rFonts w:cs="Arial"/>
                <w:color w:val="000000"/>
                <w:sz w:val="18"/>
                <w:szCs w:val="18"/>
              </w:rPr>
            </w:pPr>
            <w:r w:rsidRPr="002E7DDA">
              <w:rPr>
                <w:rFonts w:cs="Arial"/>
                <w:sz w:val="18"/>
                <w:szCs w:val="18"/>
              </w:rPr>
              <w:t>Usługi leśne</w:t>
            </w:r>
          </w:p>
        </w:tc>
        <w:tc>
          <w:tcPr>
            <w:tcW w:w="850" w:type="dxa"/>
            <w:tcBorders>
              <w:left w:val="single" w:sz="4" w:space="0" w:color="FFFFFF"/>
            </w:tcBorders>
            <w:shd w:val="clear" w:color="auto" w:fill="auto"/>
            <w:vAlign w:val="center"/>
          </w:tcPr>
          <w:p w14:paraId="0F9CEFE3" w14:textId="69A7EF7F"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21</w:t>
            </w:r>
          </w:p>
        </w:tc>
        <w:tc>
          <w:tcPr>
            <w:tcW w:w="1134" w:type="dxa"/>
            <w:tcBorders>
              <w:left w:val="single" w:sz="4" w:space="0" w:color="FFFFFF"/>
            </w:tcBorders>
            <w:shd w:val="clear" w:color="auto" w:fill="auto"/>
            <w:vAlign w:val="center"/>
          </w:tcPr>
          <w:p w14:paraId="12AB94E9" w14:textId="6A9BD2CC" w:rsidR="002E7DDA" w:rsidRPr="002E7DDA" w:rsidRDefault="002E7DDA" w:rsidP="002E7DDA">
            <w:pPr>
              <w:autoSpaceDE w:val="0"/>
              <w:autoSpaceDN w:val="0"/>
              <w:adjustRightInd w:val="0"/>
              <w:spacing w:before="60" w:after="60"/>
              <w:jc w:val="center"/>
              <w:rPr>
                <w:rFonts w:cs="Arial"/>
                <w:color w:val="000000"/>
                <w:sz w:val="18"/>
                <w:szCs w:val="18"/>
              </w:rPr>
            </w:pPr>
            <w:r w:rsidRPr="002E7DDA">
              <w:rPr>
                <w:rFonts w:cs="Arial"/>
                <w:sz w:val="18"/>
                <w:szCs w:val="18"/>
              </w:rPr>
              <w:t>0,59%</w:t>
            </w:r>
          </w:p>
        </w:tc>
      </w:tr>
      <w:tr w:rsidR="002E7DDA" w:rsidRPr="00875B55" w14:paraId="5D974F0A" w14:textId="77777777" w:rsidTr="002E7DDA">
        <w:tc>
          <w:tcPr>
            <w:tcW w:w="709" w:type="dxa"/>
            <w:tcBorders>
              <w:right w:val="single" w:sz="4" w:space="0" w:color="FFFFFF"/>
            </w:tcBorders>
            <w:shd w:val="clear" w:color="auto" w:fill="00B0F0"/>
          </w:tcPr>
          <w:p w14:paraId="59DD724B" w14:textId="77777777" w:rsidR="002E7DDA" w:rsidRPr="00875B55" w:rsidRDefault="002E7DDA" w:rsidP="00D835A0">
            <w:pPr>
              <w:autoSpaceDE w:val="0"/>
              <w:autoSpaceDN w:val="0"/>
              <w:adjustRightInd w:val="0"/>
              <w:spacing w:before="60" w:after="60"/>
              <w:jc w:val="left"/>
              <w:rPr>
                <w:rFonts w:cs="Arial"/>
                <w:b/>
                <w:color w:val="000000"/>
                <w:sz w:val="18"/>
                <w:szCs w:val="18"/>
              </w:rPr>
            </w:pPr>
          </w:p>
        </w:tc>
        <w:tc>
          <w:tcPr>
            <w:tcW w:w="6521" w:type="dxa"/>
            <w:tcBorders>
              <w:right w:val="single" w:sz="4" w:space="0" w:color="FFFFFF"/>
            </w:tcBorders>
            <w:shd w:val="clear" w:color="auto" w:fill="00B0F0"/>
            <w:vAlign w:val="center"/>
          </w:tcPr>
          <w:p w14:paraId="1F768C2D" w14:textId="37C6189F" w:rsidR="002E7DDA" w:rsidRPr="00875B55" w:rsidRDefault="002E7DDA" w:rsidP="002E7DDA">
            <w:pPr>
              <w:autoSpaceDE w:val="0"/>
              <w:autoSpaceDN w:val="0"/>
              <w:adjustRightInd w:val="0"/>
              <w:spacing w:before="60" w:after="60"/>
              <w:jc w:val="left"/>
              <w:rPr>
                <w:rFonts w:cs="Arial"/>
                <w:b/>
                <w:color w:val="000000"/>
                <w:sz w:val="18"/>
                <w:szCs w:val="18"/>
              </w:rPr>
            </w:pPr>
            <w:r w:rsidRPr="00875B55">
              <w:rPr>
                <w:rFonts w:cs="Arial"/>
                <w:b/>
                <w:color w:val="000000"/>
                <w:sz w:val="18"/>
                <w:szCs w:val="18"/>
              </w:rPr>
              <w:t>Liczba ogółem wniesionych odwołań</w:t>
            </w:r>
          </w:p>
        </w:tc>
        <w:tc>
          <w:tcPr>
            <w:tcW w:w="850" w:type="dxa"/>
            <w:tcBorders>
              <w:left w:val="single" w:sz="4" w:space="0" w:color="FFFFFF"/>
            </w:tcBorders>
            <w:shd w:val="clear" w:color="auto" w:fill="00B0F0"/>
            <w:vAlign w:val="center"/>
          </w:tcPr>
          <w:p w14:paraId="21EC6787" w14:textId="0F2A917D" w:rsidR="002E7DDA" w:rsidRPr="00875B55" w:rsidRDefault="00875B55" w:rsidP="002E7DDA">
            <w:pPr>
              <w:autoSpaceDE w:val="0"/>
              <w:autoSpaceDN w:val="0"/>
              <w:adjustRightInd w:val="0"/>
              <w:spacing w:before="60" w:after="60"/>
              <w:jc w:val="center"/>
              <w:rPr>
                <w:rFonts w:cs="Arial"/>
                <w:b/>
                <w:color w:val="000000"/>
                <w:sz w:val="18"/>
                <w:szCs w:val="18"/>
              </w:rPr>
            </w:pPr>
            <w:r w:rsidRPr="00875B55">
              <w:rPr>
                <w:rFonts w:cs="Arial"/>
                <w:b/>
                <w:color w:val="000000"/>
                <w:sz w:val="18"/>
                <w:szCs w:val="18"/>
              </w:rPr>
              <w:t>3 537</w:t>
            </w:r>
          </w:p>
        </w:tc>
        <w:tc>
          <w:tcPr>
            <w:tcW w:w="1134" w:type="dxa"/>
            <w:tcBorders>
              <w:left w:val="single" w:sz="4" w:space="0" w:color="FFFFFF"/>
            </w:tcBorders>
            <w:shd w:val="clear" w:color="auto" w:fill="00B0F0"/>
            <w:vAlign w:val="center"/>
          </w:tcPr>
          <w:p w14:paraId="054C5CF8" w14:textId="7EF1EC57" w:rsidR="002E7DDA" w:rsidRPr="00875B55" w:rsidRDefault="00875B55" w:rsidP="002E7DDA">
            <w:pPr>
              <w:autoSpaceDE w:val="0"/>
              <w:autoSpaceDN w:val="0"/>
              <w:adjustRightInd w:val="0"/>
              <w:spacing w:before="60" w:after="60"/>
              <w:jc w:val="center"/>
              <w:rPr>
                <w:rFonts w:cs="Arial"/>
                <w:b/>
                <w:color w:val="000000"/>
                <w:sz w:val="18"/>
                <w:szCs w:val="18"/>
              </w:rPr>
            </w:pPr>
            <w:r>
              <w:rPr>
                <w:rFonts w:cs="Arial"/>
                <w:b/>
                <w:color w:val="000000"/>
                <w:sz w:val="18"/>
                <w:szCs w:val="18"/>
              </w:rPr>
              <w:t>100%</w:t>
            </w:r>
          </w:p>
        </w:tc>
      </w:tr>
    </w:tbl>
    <w:p w14:paraId="2BCFB4C8" w14:textId="77777777" w:rsidR="00834511" w:rsidRPr="00035B66" w:rsidRDefault="00834511" w:rsidP="000459D8">
      <w:pPr>
        <w:rPr>
          <w:szCs w:val="22"/>
        </w:rPr>
      </w:pPr>
    </w:p>
    <w:p w14:paraId="00F9C1CE" w14:textId="77777777" w:rsidR="000459D8" w:rsidRPr="00035B66" w:rsidRDefault="000459D8" w:rsidP="000459D8">
      <w:pPr>
        <w:shd w:val="clear" w:color="auto" w:fill="FFFFFF"/>
      </w:pPr>
    </w:p>
    <w:p w14:paraId="17E3A51A" w14:textId="3704D2CE" w:rsidR="000459D8" w:rsidRPr="00035B66" w:rsidRDefault="000459D8" w:rsidP="00E16264">
      <w:pPr>
        <w:pStyle w:val="Default"/>
        <w:numPr>
          <w:ilvl w:val="0"/>
          <w:numId w:val="54"/>
        </w:numPr>
        <w:jc w:val="both"/>
        <w:rPr>
          <w:b/>
          <w:bCs/>
          <w:color w:val="2E74B5" w:themeColor="accent1" w:themeShade="BF"/>
          <w:sz w:val="22"/>
          <w:szCs w:val="22"/>
        </w:rPr>
      </w:pPr>
      <w:r w:rsidRPr="00035B66">
        <w:rPr>
          <w:b/>
          <w:bCs/>
          <w:color w:val="2E74B5" w:themeColor="accent1" w:themeShade="BF"/>
          <w:sz w:val="22"/>
          <w:szCs w:val="22"/>
        </w:rPr>
        <w:t>Dane dotyczące skarg do sądów okręgowych na orzeczenia Krajowej Izby Odwoławczej</w:t>
      </w:r>
    </w:p>
    <w:p w14:paraId="13418D09" w14:textId="77777777" w:rsidR="000459D8" w:rsidRPr="00DE2654" w:rsidRDefault="000459D8" w:rsidP="000459D8"/>
    <w:p w14:paraId="16978732" w14:textId="4FE663B2" w:rsidR="00264323" w:rsidRPr="00264323" w:rsidRDefault="00264323" w:rsidP="00264323">
      <w:r w:rsidRPr="00264323">
        <w:t>W 2022 r. liczba skarg wnoszonych na orzeczenia Krajowej Izby Odwoławczej do sądu okręgowego nieznacznie spadła (do Krajowej Izby Odwoławczej wpłynęło o 10 skarg mniej niż w roku poprzednim). Nie wpłynęło to jednak na procentową zmianę liczby skarg względem rozpatrzonych odwołań</w:t>
      </w:r>
      <w:r w:rsidR="009343A1">
        <w:t xml:space="preserve"> </w:t>
      </w:r>
      <w:r w:rsidRPr="00264323">
        <w:t xml:space="preserve">(w 2022 r. </w:t>
      </w:r>
      <w:r w:rsidR="00C11EE8">
        <w:t>–</w:t>
      </w:r>
      <w:r w:rsidRPr="00264323">
        <w:t xml:space="preserve"> 4%,</w:t>
      </w:r>
      <w:r w:rsidR="009343A1">
        <w:t xml:space="preserve"> </w:t>
      </w:r>
      <w:r w:rsidRPr="00264323">
        <w:t>w</w:t>
      </w:r>
      <w:r w:rsidR="009343A1">
        <w:t xml:space="preserve"> </w:t>
      </w:r>
      <w:r w:rsidRPr="00264323">
        <w:t>2021</w:t>
      </w:r>
      <w:r w:rsidR="009343A1">
        <w:t xml:space="preserve"> </w:t>
      </w:r>
      <w:r w:rsidRPr="00264323">
        <w:t>– 4%). Poniżej liczba skarg składanych w ostatnich latach:</w:t>
      </w:r>
    </w:p>
    <w:p w14:paraId="48986C64" w14:textId="26911BDF" w:rsidR="00264323" w:rsidRPr="00264323" w:rsidRDefault="00264323" w:rsidP="006C4C38">
      <w:pPr>
        <w:pStyle w:val="Akapitzlist"/>
        <w:numPr>
          <w:ilvl w:val="0"/>
          <w:numId w:val="57"/>
        </w:numPr>
        <w:rPr>
          <w:sz w:val="22"/>
          <w:szCs w:val="22"/>
        </w:rPr>
      </w:pPr>
      <w:r w:rsidRPr="00264323">
        <w:rPr>
          <w:sz w:val="22"/>
          <w:szCs w:val="22"/>
        </w:rPr>
        <w:t>2019 r. – 126</w:t>
      </w:r>
      <w:r>
        <w:rPr>
          <w:sz w:val="22"/>
          <w:szCs w:val="22"/>
          <w:lang w:val="pl-PL"/>
        </w:rPr>
        <w:t>,</w:t>
      </w:r>
    </w:p>
    <w:p w14:paraId="1A83207B" w14:textId="27E70F5B" w:rsidR="00264323" w:rsidRPr="00264323" w:rsidRDefault="00264323" w:rsidP="006C4C38">
      <w:pPr>
        <w:pStyle w:val="Akapitzlist"/>
        <w:numPr>
          <w:ilvl w:val="0"/>
          <w:numId w:val="57"/>
        </w:numPr>
        <w:rPr>
          <w:sz w:val="22"/>
          <w:szCs w:val="22"/>
        </w:rPr>
      </w:pPr>
      <w:r w:rsidRPr="00264323">
        <w:rPr>
          <w:sz w:val="22"/>
          <w:szCs w:val="22"/>
        </w:rPr>
        <w:t>2020 r. – 122</w:t>
      </w:r>
      <w:r>
        <w:rPr>
          <w:sz w:val="22"/>
          <w:szCs w:val="22"/>
          <w:lang w:val="pl-PL"/>
        </w:rPr>
        <w:t>,</w:t>
      </w:r>
    </w:p>
    <w:p w14:paraId="3381D498" w14:textId="6644EBA0" w:rsidR="00264323" w:rsidRPr="00264323" w:rsidRDefault="00264323" w:rsidP="006C4C38">
      <w:pPr>
        <w:pStyle w:val="Akapitzlist"/>
        <w:numPr>
          <w:ilvl w:val="0"/>
          <w:numId w:val="57"/>
        </w:numPr>
        <w:rPr>
          <w:sz w:val="22"/>
          <w:szCs w:val="22"/>
        </w:rPr>
      </w:pPr>
      <w:r w:rsidRPr="00264323">
        <w:rPr>
          <w:sz w:val="22"/>
          <w:szCs w:val="22"/>
        </w:rPr>
        <w:t>2021 r. – 165</w:t>
      </w:r>
      <w:r>
        <w:rPr>
          <w:sz w:val="22"/>
          <w:szCs w:val="22"/>
          <w:lang w:val="pl-PL"/>
        </w:rPr>
        <w:t>,</w:t>
      </w:r>
    </w:p>
    <w:p w14:paraId="16C590C1" w14:textId="6B794676" w:rsidR="00264323" w:rsidRPr="00264323" w:rsidRDefault="00264323" w:rsidP="006C4C38">
      <w:pPr>
        <w:pStyle w:val="Akapitzlist"/>
        <w:numPr>
          <w:ilvl w:val="0"/>
          <w:numId w:val="57"/>
        </w:numPr>
        <w:rPr>
          <w:sz w:val="22"/>
          <w:szCs w:val="22"/>
        </w:rPr>
      </w:pPr>
      <w:r w:rsidRPr="00264323">
        <w:rPr>
          <w:sz w:val="22"/>
          <w:szCs w:val="22"/>
        </w:rPr>
        <w:t xml:space="preserve">2022 r. </w:t>
      </w:r>
      <w:r>
        <w:rPr>
          <w:sz w:val="22"/>
          <w:szCs w:val="22"/>
        </w:rPr>
        <w:t>–</w:t>
      </w:r>
      <w:r w:rsidRPr="00264323">
        <w:rPr>
          <w:sz w:val="22"/>
          <w:szCs w:val="22"/>
        </w:rPr>
        <w:t xml:space="preserve"> 155</w:t>
      </w:r>
      <w:r>
        <w:rPr>
          <w:sz w:val="22"/>
          <w:szCs w:val="22"/>
          <w:lang w:val="pl-PL"/>
        </w:rPr>
        <w:t>.</w:t>
      </w:r>
    </w:p>
    <w:p w14:paraId="344F052B" w14:textId="77777777" w:rsidR="00264323" w:rsidRPr="00264323" w:rsidRDefault="00264323" w:rsidP="00264323"/>
    <w:p w14:paraId="56862048" w14:textId="77777777" w:rsidR="00264323" w:rsidRPr="00264323" w:rsidRDefault="00264323" w:rsidP="00264323">
      <w:r w:rsidRPr="00264323">
        <w:t>W 2022 r. spośród 155 skarg na orzeczenia KIO 109 (70%) złożonych zostało przez odwołujących, 24 (16%) przez zamawiających, 22 (14%) przez wykonawców przystępujących do postępowania odwoławczego.</w:t>
      </w:r>
    </w:p>
    <w:p w14:paraId="729145F1" w14:textId="77777777" w:rsidR="00264323" w:rsidRPr="00264323" w:rsidRDefault="00264323" w:rsidP="00264323"/>
    <w:p w14:paraId="4A351BF2" w14:textId="2ADDF13C" w:rsidR="00264323" w:rsidRPr="00264323" w:rsidRDefault="00264323" w:rsidP="00264323">
      <w:r w:rsidRPr="00264323">
        <w:t xml:space="preserve">Na podstawie </w:t>
      </w:r>
      <w:r w:rsidR="00095456" w:rsidRPr="00264323">
        <w:t xml:space="preserve">61 orzeczeń sądów okręgowych </w:t>
      </w:r>
      <w:r w:rsidRPr="00264323">
        <w:t xml:space="preserve">przekazanych do Urzędu </w:t>
      </w:r>
      <w:r w:rsidR="00095456">
        <w:t xml:space="preserve">Zamówień Publicznych </w:t>
      </w:r>
      <w:r w:rsidRPr="00264323">
        <w:t>(stan na 31.01.2023</w:t>
      </w:r>
      <w:r w:rsidR="009343A1">
        <w:t xml:space="preserve"> </w:t>
      </w:r>
      <w:r w:rsidRPr="00264323">
        <w:t>r.), jakie zapadły w wyniku rozpatrzenia skarg, rozstrzygnięcia sądów przedstawiają się następująco:</w:t>
      </w:r>
    </w:p>
    <w:p w14:paraId="650FECDA" w14:textId="77777777" w:rsidR="00264323" w:rsidRPr="00264323" w:rsidRDefault="00264323" w:rsidP="006C4C38">
      <w:pPr>
        <w:numPr>
          <w:ilvl w:val="0"/>
          <w:numId w:val="58"/>
        </w:numPr>
        <w:rPr>
          <w:lang w:val="x-none"/>
        </w:rPr>
      </w:pPr>
      <w:r w:rsidRPr="00264323">
        <w:rPr>
          <w:lang w:val="x-none"/>
        </w:rPr>
        <w:t xml:space="preserve">oddalenie skargi </w:t>
      </w:r>
      <w:r w:rsidRPr="00264323">
        <w:t>–</w:t>
      </w:r>
      <w:r w:rsidRPr="00264323">
        <w:rPr>
          <w:lang w:val="x-none"/>
        </w:rPr>
        <w:t xml:space="preserve"> </w:t>
      </w:r>
      <w:r w:rsidRPr="00264323">
        <w:t>38</w:t>
      </w:r>
      <w:r w:rsidRPr="00264323">
        <w:rPr>
          <w:lang w:val="x-none"/>
        </w:rPr>
        <w:t xml:space="preserve"> (</w:t>
      </w:r>
      <w:r w:rsidRPr="00264323">
        <w:t>63</w:t>
      </w:r>
      <w:r w:rsidRPr="00264323">
        <w:rPr>
          <w:lang w:val="x-none"/>
        </w:rPr>
        <w:t>%)</w:t>
      </w:r>
    </w:p>
    <w:p w14:paraId="2EFE4AA0" w14:textId="77777777" w:rsidR="00264323" w:rsidRPr="00264323" w:rsidRDefault="00264323" w:rsidP="006C4C38">
      <w:pPr>
        <w:numPr>
          <w:ilvl w:val="0"/>
          <w:numId w:val="58"/>
        </w:numPr>
        <w:rPr>
          <w:lang w:val="x-none"/>
        </w:rPr>
      </w:pPr>
      <w:r w:rsidRPr="00264323">
        <w:rPr>
          <w:lang w:val="x-none"/>
        </w:rPr>
        <w:t xml:space="preserve">odrzucenie skargi – </w:t>
      </w:r>
      <w:r w:rsidRPr="00264323">
        <w:t>8</w:t>
      </w:r>
      <w:r w:rsidRPr="00264323">
        <w:rPr>
          <w:lang w:val="x-none"/>
        </w:rPr>
        <w:t xml:space="preserve"> (</w:t>
      </w:r>
      <w:r w:rsidRPr="00264323">
        <w:t>13</w:t>
      </w:r>
      <w:r w:rsidRPr="00264323">
        <w:rPr>
          <w:lang w:val="x-none"/>
        </w:rPr>
        <w:t>%)</w:t>
      </w:r>
    </w:p>
    <w:p w14:paraId="6C81B763" w14:textId="77777777" w:rsidR="00264323" w:rsidRPr="00264323" w:rsidRDefault="00264323" w:rsidP="006C4C38">
      <w:pPr>
        <w:numPr>
          <w:ilvl w:val="0"/>
          <w:numId w:val="58"/>
        </w:numPr>
        <w:rPr>
          <w:lang w:val="x-none"/>
        </w:rPr>
      </w:pPr>
      <w:r w:rsidRPr="00264323">
        <w:rPr>
          <w:lang w:val="x-none"/>
        </w:rPr>
        <w:t xml:space="preserve">umorzenie postępowania – </w:t>
      </w:r>
      <w:r w:rsidRPr="00264323">
        <w:t>8</w:t>
      </w:r>
      <w:r w:rsidRPr="00264323">
        <w:rPr>
          <w:lang w:val="x-none"/>
        </w:rPr>
        <w:t xml:space="preserve"> (13%)</w:t>
      </w:r>
    </w:p>
    <w:p w14:paraId="476533F2" w14:textId="77777777" w:rsidR="00264323" w:rsidRPr="00264323" w:rsidRDefault="00264323" w:rsidP="006C4C38">
      <w:pPr>
        <w:numPr>
          <w:ilvl w:val="0"/>
          <w:numId w:val="58"/>
        </w:numPr>
        <w:rPr>
          <w:lang w:val="x-none"/>
        </w:rPr>
      </w:pPr>
      <w:r w:rsidRPr="00264323">
        <w:rPr>
          <w:lang w:val="x-none"/>
        </w:rPr>
        <w:t xml:space="preserve">zmieniony wyrok KIO – </w:t>
      </w:r>
      <w:r w:rsidRPr="00264323">
        <w:t xml:space="preserve">5 </w:t>
      </w:r>
      <w:r w:rsidRPr="00264323">
        <w:rPr>
          <w:lang w:val="x-none"/>
        </w:rPr>
        <w:t>(</w:t>
      </w:r>
      <w:r w:rsidRPr="00264323">
        <w:t>8</w:t>
      </w:r>
      <w:r w:rsidRPr="00264323">
        <w:rPr>
          <w:lang w:val="x-none"/>
        </w:rPr>
        <w:t>%)</w:t>
      </w:r>
    </w:p>
    <w:p w14:paraId="1086A2CF" w14:textId="77777777" w:rsidR="00264323" w:rsidRPr="00264323" w:rsidRDefault="00264323" w:rsidP="006C4C38">
      <w:pPr>
        <w:numPr>
          <w:ilvl w:val="0"/>
          <w:numId w:val="58"/>
        </w:numPr>
        <w:rPr>
          <w:lang w:val="x-none"/>
        </w:rPr>
      </w:pPr>
      <w:r w:rsidRPr="00264323">
        <w:rPr>
          <w:lang w:val="x-none"/>
        </w:rPr>
        <w:t>wycofana skarga – 0 (0%)</w:t>
      </w:r>
    </w:p>
    <w:p w14:paraId="18209526" w14:textId="77777777" w:rsidR="00264323" w:rsidRPr="00264323" w:rsidRDefault="00264323" w:rsidP="006C4C38">
      <w:pPr>
        <w:numPr>
          <w:ilvl w:val="0"/>
          <w:numId w:val="58"/>
        </w:numPr>
        <w:rPr>
          <w:lang w:val="x-none"/>
        </w:rPr>
      </w:pPr>
      <w:r w:rsidRPr="00264323">
        <w:rPr>
          <w:lang w:val="x-none"/>
        </w:rPr>
        <w:t>uwzględniona skarga – 0 (0%)</w:t>
      </w:r>
    </w:p>
    <w:p w14:paraId="3506A441" w14:textId="77777777" w:rsidR="00264323" w:rsidRPr="00264323" w:rsidRDefault="00264323" w:rsidP="006C4C38">
      <w:pPr>
        <w:numPr>
          <w:ilvl w:val="0"/>
          <w:numId w:val="58"/>
        </w:numPr>
        <w:rPr>
          <w:lang w:val="x-none"/>
        </w:rPr>
      </w:pPr>
      <w:r w:rsidRPr="00264323">
        <w:rPr>
          <w:lang w:val="x-none"/>
        </w:rPr>
        <w:t xml:space="preserve">uchylony wyrok – </w:t>
      </w:r>
      <w:r w:rsidRPr="00264323">
        <w:t>2</w:t>
      </w:r>
      <w:r w:rsidRPr="00264323">
        <w:rPr>
          <w:lang w:val="x-none"/>
        </w:rPr>
        <w:t xml:space="preserve"> (</w:t>
      </w:r>
      <w:r w:rsidRPr="00264323">
        <w:t>3</w:t>
      </w:r>
      <w:r w:rsidRPr="00264323">
        <w:rPr>
          <w:lang w:val="x-none"/>
        </w:rPr>
        <w:t>%)</w:t>
      </w:r>
    </w:p>
    <w:p w14:paraId="5AD81619" w14:textId="77777777" w:rsidR="00264323" w:rsidRPr="00264323" w:rsidRDefault="00264323" w:rsidP="00264323"/>
    <w:p w14:paraId="2ED497AC" w14:textId="1611DFAB" w:rsidR="00264323" w:rsidRPr="00264323" w:rsidRDefault="00264323" w:rsidP="00264323">
      <w:r w:rsidRPr="00264323">
        <w:t>Dla porównania w 2021 r. wniesiono 165 skarg, w tym: 93 skarg (56%) wniesionych przez odwołujących, 30 (18%) przez zamawiających, 41 (25%) przez przystępujących i</w:t>
      </w:r>
      <w:r w:rsidR="009343A1">
        <w:t xml:space="preserve"> </w:t>
      </w:r>
      <w:r w:rsidRPr="00264323">
        <w:t>1 (1%) przez Prezesa UZP.</w:t>
      </w:r>
    </w:p>
    <w:p w14:paraId="2CCB6C1D" w14:textId="77777777" w:rsidR="00264323" w:rsidRPr="00264323" w:rsidRDefault="00264323" w:rsidP="00264323">
      <w:r w:rsidRPr="00264323">
        <w:t>Od 2021 r. skargę wnosi się wyłącznie do Sądu Okręgowego w Warszawie – sądu zamówień publicznych.</w:t>
      </w:r>
    </w:p>
    <w:p w14:paraId="36A5C255" w14:textId="77777777" w:rsidR="001F5977" w:rsidRPr="00DE2654" w:rsidRDefault="001F5977" w:rsidP="00FD1F9D">
      <w:pPr>
        <w:shd w:val="clear" w:color="auto" w:fill="FFFFFF"/>
      </w:pPr>
    </w:p>
    <w:p w14:paraId="28FE5201" w14:textId="77777777" w:rsidR="00DC7515" w:rsidRPr="00DE2654" w:rsidRDefault="00DC7515" w:rsidP="00F058DB">
      <w:pPr>
        <w:shd w:val="clear" w:color="auto" w:fill="FFFFFF"/>
        <w:rPr>
          <w:szCs w:val="22"/>
        </w:rPr>
      </w:pPr>
    </w:p>
    <w:tbl>
      <w:tblPr>
        <w:tblW w:w="0" w:type="auto"/>
        <w:tblInd w:w="374" w:type="dxa"/>
        <w:tblLayout w:type="fixed"/>
        <w:tblLook w:val="04A0" w:firstRow="1" w:lastRow="0" w:firstColumn="1" w:lastColumn="0" w:noHBand="0" w:noVBand="1"/>
      </w:tblPr>
      <w:tblGrid>
        <w:gridCol w:w="236"/>
        <w:gridCol w:w="8676"/>
      </w:tblGrid>
      <w:tr w:rsidR="00E01DFD" w:rsidRPr="008A5154" w14:paraId="397E8540" w14:textId="77777777" w:rsidTr="00611C49">
        <w:trPr>
          <w:cantSplit/>
        </w:trPr>
        <w:tc>
          <w:tcPr>
            <w:tcW w:w="236" w:type="dxa"/>
            <w:shd w:val="clear" w:color="auto" w:fill="B8CCE4"/>
          </w:tcPr>
          <w:p w14:paraId="3F9CADBB" w14:textId="77777777" w:rsidR="00E01DFD" w:rsidRPr="000D7AC2" w:rsidRDefault="00E01DFD" w:rsidP="00F058DB">
            <w:pPr>
              <w:rPr>
                <w:color w:val="0070C0"/>
                <w:sz w:val="24"/>
              </w:rPr>
            </w:pPr>
          </w:p>
        </w:tc>
        <w:tc>
          <w:tcPr>
            <w:tcW w:w="8676" w:type="dxa"/>
          </w:tcPr>
          <w:p w14:paraId="78C1AFB4" w14:textId="3AD7DA31" w:rsidR="00E01DFD" w:rsidRPr="0056262A" w:rsidRDefault="00E01DFD" w:rsidP="007628E0">
            <w:pPr>
              <w:pStyle w:val="Nagwek3"/>
              <w:shd w:val="clear" w:color="auto" w:fill="FFFFFF"/>
              <w:spacing w:after="120"/>
              <w:ind w:left="0"/>
              <w:rPr>
                <w:color w:val="0070C0"/>
                <w:sz w:val="24"/>
                <w:szCs w:val="24"/>
              </w:rPr>
            </w:pPr>
            <w:bookmarkStart w:id="119" w:name="_Toc64451866"/>
            <w:bookmarkStart w:id="120" w:name="_Toc141276445"/>
            <w:r w:rsidRPr="0056262A">
              <w:rPr>
                <w:color w:val="0070C0"/>
                <w:sz w:val="24"/>
                <w:szCs w:val="24"/>
              </w:rPr>
              <w:t>II.2.</w:t>
            </w:r>
            <w:r w:rsidR="00870A10" w:rsidRPr="0056262A">
              <w:rPr>
                <w:color w:val="0070C0"/>
                <w:sz w:val="24"/>
                <w:szCs w:val="24"/>
              </w:rPr>
              <w:t>9</w:t>
            </w:r>
            <w:r w:rsidRPr="0056262A">
              <w:rPr>
                <w:color w:val="0070C0"/>
                <w:sz w:val="24"/>
                <w:szCs w:val="24"/>
              </w:rPr>
              <w:t>.</w:t>
            </w:r>
            <w:r w:rsidR="00750B05" w:rsidRPr="0056262A">
              <w:rPr>
                <w:color w:val="0070C0"/>
                <w:sz w:val="24"/>
                <w:szCs w:val="24"/>
              </w:rPr>
              <w:t xml:space="preserve"> </w:t>
            </w:r>
            <w:r w:rsidRPr="0056262A">
              <w:rPr>
                <w:color w:val="0070C0"/>
                <w:sz w:val="24"/>
                <w:szCs w:val="24"/>
              </w:rPr>
              <w:t>Stan zrównoważonych zamówień publicznych w 20</w:t>
            </w:r>
            <w:r w:rsidR="00B80348" w:rsidRPr="0056262A">
              <w:rPr>
                <w:color w:val="0070C0"/>
                <w:sz w:val="24"/>
                <w:szCs w:val="24"/>
              </w:rPr>
              <w:t>2</w:t>
            </w:r>
            <w:r w:rsidR="007628E0" w:rsidRPr="0056262A">
              <w:rPr>
                <w:color w:val="0070C0"/>
                <w:sz w:val="24"/>
                <w:szCs w:val="24"/>
              </w:rPr>
              <w:t>2</w:t>
            </w:r>
            <w:r w:rsidRPr="0056262A">
              <w:rPr>
                <w:color w:val="0070C0"/>
                <w:sz w:val="24"/>
                <w:szCs w:val="24"/>
              </w:rPr>
              <w:t xml:space="preserve"> r.</w:t>
            </w:r>
            <w:bookmarkEnd w:id="119"/>
            <w:bookmarkEnd w:id="120"/>
          </w:p>
        </w:tc>
      </w:tr>
    </w:tbl>
    <w:p w14:paraId="45CAC1A4" w14:textId="628ABF08" w:rsidR="00F4083E" w:rsidRDefault="00F4083E" w:rsidP="007D4DEB">
      <w:pPr>
        <w:rPr>
          <w:rFonts w:cs="Arial"/>
          <w:szCs w:val="22"/>
        </w:rPr>
      </w:pPr>
    </w:p>
    <w:p w14:paraId="247A1B79" w14:textId="67AF5BDE" w:rsidR="00EF7DFE" w:rsidRPr="00477F18" w:rsidRDefault="00AA4D6D" w:rsidP="00E16264">
      <w:pPr>
        <w:pStyle w:val="StylArial11ptWyjustowany"/>
        <w:numPr>
          <w:ilvl w:val="0"/>
          <w:numId w:val="6"/>
        </w:numPr>
        <w:shd w:val="clear" w:color="auto" w:fill="FFFFFF"/>
        <w:jc w:val="left"/>
        <w:rPr>
          <w:rFonts w:cs="Arial"/>
          <w:b/>
          <w:iCs/>
          <w:color w:val="0070C0"/>
          <w:szCs w:val="22"/>
        </w:rPr>
      </w:pPr>
      <w:r w:rsidRPr="00477F18">
        <w:rPr>
          <w:rFonts w:cs="Arial"/>
          <w:b/>
          <w:iCs/>
          <w:color w:val="0070C0"/>
          <w:szCs w:val="22"/>
        </w:rPr>
        <w:t>Społeczne zamówienia publiczne</w:t>
      </w:r>
    </w:p>
    <w:p w14:paraId="09C81DFD" w14:textId="2FE60BD7" w:rsidR="00AA4D6D" w:rsidRDefault="00AA4D6D" w:rsidP="00EF7DFE">
      <w:pPr>
        <w:shd w:val="clear" w:color="auto" w:fill="FFFFFF"/>
      </w:pPr>
    </w:p>
    <w:p w14:paraId="190B7239" w14:textId="4F825A42" w:rsidR="00545AC2" w:rsidRPr="00FD623C" w:rsidRDefault="00545AC2" w:rsidP="00545AC2">
      <w:pPr>
        <w:shd w:val="clear" w:color="auto" w:fill="FFFFFF"/>
        <w:rPr>
          <w:b/>
        </w:rPr>
      </w:pPr>
      <w:r w:rsidRPr="008C5059">
        <w:t>W 2022 r. 4</w:t>
      </w:r>
      <w:r>
        <w:t> </w:t>
      </w:r>
      <w:r w:rsidRPr="008C5059">
        <w:t>036 zamawiających udzieliło 38</w:t>
      </w:r>
      <w:r>
        <w:t> </w:t>
      </w:r>
      <w:r w:rsidRPr="008C5059">
        <w:t xml:space="preserve">540 zamówień publicznych uwzględniających aspekty społeczne o łącznej wartości 101 626 078 310,71 zł (bez VAT). Dla porównania, w 2021 r. </w:t>
      </w:r>
      <w:r>
        <w:t xml:space="preserve">4 676 </w:t>
      </w:r>
      <w:r w:rsidRPr="008C5059">
        <w:t>zamawiających udzieliło 31</w:t>
      </w:r>
      <w:r w:rsidR="00FE7E5D">
        <w:t> </w:t>
      </w:r>
      <w:r w:rsidRPr="008C5059">
        <w:t xml:space="preserve">753 społeczne zamówienia publiczne, których łączna wartość wyniosła 71 602 825 011,56 zł (bez VAT). Porównując dane za dwa poprzednie lata, oznacza to spadek liczby zamawiających uwzględniających aspekty społeczne w postępowaniach przetargowych aż o 640 podmiotów publicznych. Nie przełożyło się to jednak na liczbę społecznych zamówień, która w 2022 r. była większa o 6 787 zamówień </w:t>
      </w:r>
      <w:r w:rsidR="008C718C">
        <w:t xml:space="preserve">w stosunku do </w:t>
      </w:r>
      <w:r w:rsidRPr="008C5059">
        <w:t xml:space="preserve">roku 2021, co przełożyło się również na znaczny wzrost wartości takich zamówień – o </w:t>
      </w:r>
      <w:r w:rsidRPr="00C91CCE">
        <w:t xml:space="preserve">30 023 253 299,15 zł w porównaniu z 2021 rokiem. Udział społecznych zamówień publicznych w ogólnej liczbie udzielonych zamówień publicznych wyniósł </w:t>
      </w:r>
      <w:r w:rsidR="00C91CCE" w:rsidRPr="00C91CCE">
        <w:t>27%</w:t>
      </w:r>
      <w:r w:rsidRPr="00C91CCE">
        <w:t xml:space="preserve"> podczas gdy wartość społecznych zamówień publicznych w odniesieniu do łącznej wartości udzielonych zamówień publicznych stanowiła </w:t>
      </w:r>
      <w:r w:rsidR="00C91CCE" w:rsidRPr="00C91CCE">
        <w:t>37%.</w:t>
      </w:r>
    </w:p>
    <w:p w14:paraId="7D0AEB54" w14:textId="77777777" w:rsidR="00E868E2" w:rsidRDefault="00E868E2" w:rsidP="00E868E2">
      <w:pPr>
        <w:shd w:val="clear" w:color="auto" w:fill="FFFFFF"/>
      </w:pPr>
    </w:p>
    <w:p w14:paraId="23C7F2AF" w14:textId="03B61DDF" w:rsidR="006E13CD" w:rsidRPr="00FD623C" w:rsidRDefault="006E13CD" w:rsidP="006E13CD">
      <w:pPr>
        <w:pStyle w:val="Legenda"/>
      </w:pPr>
      <w:bookmarkStart w:id="121" w:name="_Toc141276532"/>
      <w:r w:rsidRPr="00C91CCE">
        <w:t xml:space="preserve">Tab. </w:t>
      </w:r>
      <w:r w:rsidR="00BE2079">
        <w:fldChar w:fldCharType="begin"/>
      </w:r>
      <w:r w:rsidR="00BE2079">
        <w:instrText xml:space="preserve"> SEQ Tab. \* ARABIC </w:instrText>
      </w:r>
      <w:r w:rsidR="00BE2079">
        <w:fldChar w:fldCharType="separate"/>
      </w:r>
      <w:r w:rsidR="00A43C68">
        <w:rPr>
          <w:noProof/>
        </w:rPr>
        <w:t>25</w:t>
      </w:r>
      <w:r w:rsidR="00BE2079">
        <w:rPr>
          <w:noProof/>
        </w:rPr>
        <w:fldChar w:fldCharType="end"/>
      </w:r>
      <w:r w:rsidRPr="00C91CCE">
        <w:t>. Społeczne zamówienia publiczne w 202</w:t>
      </w:r>
      <w:r w:rsidR="00BF5C86" w:rsidRPr="00C91CCE">
        <w:t>2</w:t>
      </w:r>
      <w:r w:rsidRPr="00C91CCE">
        <w:t xml:space="preserve"> r.</w:t>
      </w:r>
      <w:r w:rsidR="00741271">
        <w:t xml:space="preserve"> </w:t>
      </w:r>
      <w:r w:rsidRPr="00C91CCE">
        <w:t>– dane ogólne</w:t>
      </w:r>
      <w:bookmarkEnd w:id="12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E868E2" w:rsidRPr="00FD623C" w14:paraId="6B3C9A32" w14:textId="77777777" w:rsidTr="00936E52">
        <w:trPr>
          <w:trHeight w:val="300"/>
          <w:tblHeader/>
          <w:jc w:val="center"/>
        </w:trPr>
        <w:tc>
          <w:tcPr>
            <w:tcW w:w="9062" w:type="dxa"/>
            <w:gridSpan w:val="2"/>
            <w:shd w:val="clear" w:color="auto" w:fill="5B9BD5"/>
            <w:noWrap/>
            <w:vAlign w:val="center"/>
            <w:hideMark/>
          </w:tcPr>
          <w:p w14:paraId="5336753D" w14:textId="77777777" w:rsidR="00E868E2" w:rsidRPr="00FD623C" w:rsidRDefault="00E868E2" w:rsidP="00936E52">
            <w:pPr>
              <w:jc w:val="center"/>
              <w:rPr>
                <w:rFonts w:cs="Arial"/>
                <w:b/>
                <w:sz w:val="20"/>
                <w:szCs w:val="20"/>
              </w:rPr>
            </w:pPr>
            <w:r w:rsidRPr="00FD623C">
              <w:rPr>
                <w:rFonts w:cs="Arial"/>
                <w:b/>
                <w:sz w:val="20"/>
                <w:szCs w:val="20"/>
              </w:rPr>
              <w:t>DANE OGÓLNE</w:t>
            </w:r>
          </w:p>
        </w:tc>
      </w:tr>
      <w:tr w:rsidR="00870D82" w:rsidRPr="00FD623C" w14:paraId="0BCC5014" w14:textId="77777777" w:rsidTr="00936E52">
        <w:trPr>
          <w:trHeight w:val="300"/>
          <w:jc w:val="center"/>
        </w:trPr>
        <w:tc>
          <w:tcPr>
            <w:tcW w:w="6799" w:type="dxa"/>
            <w:shd w:val="clear" w:color="auto" w:fill="auto"/>
            <w:noWrap/>
            <w:vAlign w:val="center"/>
          </w:tcPr>
          <w:p w14:paraId="0EF465BB" w14:textId="4B94FB44" w:rsidR="00870D82" w:rsidRPr="00FD623C" w:rsidRDefault="00870D82" w:rsidP="00870D82">
            <w:pPr>
              <w:rPr>
                <w:rFonts w:cs="Arial"/>
                <w:bCs/>
                <w:sz w:val="20"/>
                <w:szCs w:val="20"/>
              </w:rPr>
            </w:pPr>
            <w:r w:rsidRPr="00FD623C">
              <w:rPr>
                <w:rFonts w:cs="Arial"/>
                <w:bCs/>
                <w:sz w:val="20"/>
                <w:szCs w:val="20"/>
              </w:rPr>
              <w:t xml:space="preserve">Liczba zamawiających, którzy udzielili zamówień publicznych uwzględniających aspekty społeczne </w:t>
            </w:r>
            <w:r>
              <w:rPr>
                <w:rFonts w:cs="Arial"/>
                <w:sz w:val="20"/>
                <w:szCs w:val="20"/>
              </w:rPr>
              <w:t xml:space="preserve">(na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tcPr>
          <w:p w14:paraId="50EF6A42" w14:textId="004536EC" w:rsidR="00870D82" w:rsidRPr="00FD623C" w:rsidRDefault="00870D82" w:rsidP="00870D82">
            <w:pPr>
              <w:jc w:val="center"/>
              <w:rPr>
                <w:rFonts w:cs="Arial"/>
                <w:sz w:val="20"/>
                <w:szCs w:val="20"/>
              </w:rPr>
            </w:pPr>
            <w:r>
              <w:rPr>
                <w:rFonts w:cs="Arial"/>
                <w:sz w:val="20"/>
                <w:szCs w:val="20"/>
              </w:rPr>
              <w:t>3 935</w:t>
            </w:r>
          </w:p>
        </w:tc>
      </w:tr>
      <w:tr w:rsidR="00870D82" w:rsidRPr="00FD623C" w14:paraId="53F8BEAE" w14:textId="77777777" w:rsidTr="00936E52">
        <w:trPr>
          <w:trHeight w:val="300"/>
          <w:jc w:val="center"/>
        </w:trPr>
        <w:tc>
          <w:tcPr>
            <w:tcW w:w="6799" w:type="dxa"/>
            <w:shd w:val="clear" w:color="auto" w:fill="DEEAF6"/>
            <w:noWrap/>
            <w:vAlign w:val="center"/>
          </w:tcPr>
          <w:p w14:paraId="3828CA89" w14:textId="7A7D818F" w:rsidR="00870D82" w:rsidRPr="00FD623C" w:rsidRDefault="00870D82" w:rsidP="00870D82">
            <w:pPr>
              <w:rPr>
                <w:rFonts w:cs="Arial"/>
                <w:bCs/>
                <w:sz w:val="20"/>
                <w:szCs w:val="20"/>
              </w:rPr>
            </w:pPr>
            <w:r w:rsidRPr="00FD623C">
              <w:rPr>
                <w:rFonts w:cs="Arial"/>
                <w:bCs/>
                <w:sz w:val="20"/>
                <w:szCs w:val="20"/>
              </w:rPr>
              <w:t xml:space="preserve">Liczba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DEEAF6"/>
            <w:noWrap/>
            <w:vAlign w:val="center"/>
          </w:tcPr>
          <w:p w14:paraId="0FEEB740" w14:textId="36B10304" w:rsidR="00870D82" w:rsidRPr="00FD623C" w:rsidRDefault="00870D82" w:rsidP="00870D82">
            <w:pPr>
              <w:jc w:val="center"/>
              <w:rPr>
                <w:rFonts w:cs="Arial"/>
                <w:sz w:val="20"/>
                <w:szCs w:val="20"/>
              </w:rPr>
            </w:pPr>
            <w:r>
              <w:rPr>
                <w:rFonts w:cs="Arial"/>
                <w:sz w:val="20"/>
                <w:szCs w:val="20"/>
              </w:rPr>
              <w:t>37 951</w:t>
            </w:r>
          </w:p>
        </w:tc>
      </w:tr>
      <w:tr w:rsidR="00870D82" w:rsidRPr="00FD623C" w14:paraId="5B2C7CDD" w14:textId="77777777" w:rsidTr="00936E52">
        <w:trPr>
          <w:trHeight w:val="300"/>
          <w:jc w:val="center"/>
        </w:trPr>
        <w:tc>
          <w:tcPr>
            <w:tcW w:w="6799" w:type="dxa"/>
            <w:shd w:val="clear" w:color="auto" w:fill="auto"/>
            <w:noWrap/>
            <w:vAlign w:val="center"/>
            <w:hideMark/>
          </w:tcPr>
          <w:p w14:paraId="08B80E67" w14:textId="2511FB8A" w:rsidR="00870D82" w:rsidRPr="00FD623C" w:rsidRDefault="00870D82" w:rsidP="00870D82">
            <w:pPr>
              <w:rPr>
                <w:rFonts w:cs="Arial"/>
                <w:bCs/>
                <w:sz w:val="20"/>
                <w:szCs w:val="20"/>
              </w:rPr>
            </w:pPr>
            <w:r w:rsidRPr="00FD623C">
              <w:rPr>
                <w:rFonts w:cs="Arial"/>
                <w:bCs/>
                <w:sz w:val="20"/>
                <w:szCs w:val="20"/>
              </w:rPr>
              <w:t xml:space="preserve">Wartość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hideMark/>
          </w:tcPr>
          <w:p w14:paraId="4AF47448" w14:textId="77777777" w:rsidR="00870D82" w:rsidRPr="00843829" w:rsidRDefault="00870D82" w:rsidP="00870D82">
            <w:pPr>
              <w:jc w:val="center"/>
              <w:rPr>
                <w:rFonts w:cs="Arial"/>
                <w:sz w:val="20"/>
                <w:szCs w:val="20"/>
              </w:rPr>
            </w:pPr>
            <w:r w:rsidRPr="00843829">
              <w:rPr>
                <w:rFonts w:cs="Arial"/>
                <w:sz w:val="20"/>
                <w:szCs w:val="20"/>
              </w:rPr>
              <w:t>101 315 179 847,56 zł</w:t>
            </w:r>
          </w:p>
          <w:p w14:paraId="4ECAF52C" w14:textId="1F1DBF9B" w:rsidR="00870D82" w:rsidRPr="00FD623C" w:rsidRDefault="00870D82" w:rsidP="00870D82">
            <w:pPr>
              <w:jc w:val="center"/>
              <w:rPr>
                <w:rFonts w:cs="Arial"/>
                <w:sz w:val="20"/>
                <w:szCs w:val="20"/>
              </w:rPr>
            </w:pPr>
            <w:r w:rsidRPr="00843829">
              <w:rPr>
                <w:rFonts w:cs="Arial"/>
                <w:sz w:val="20"/>
                <w:szCs w:val="20"/>
              </w:rPr>
              <w:t>(wartość bez VAT)</w:t>
            </w:r>
          </w:p>
        </w:tc>
      </w:tr>
      <w:tr w:rsidR="00870D82" w:rsidRPr="00FD623C" w14:paraId="199B4CE5" w14:textId="77777777" w:rsidTr="00936E52">
        <w:trPr>
          <w:trHeight w:val="300"/>
          <w:jc w:val="center"/>
        </w:trPr>
        <w:tc>
          <w:tcPr>
            <w:tcW w:w="6799" w:type="dxa"/>
            <w:shd w:val="clear" w:color="auto" w:fill="auto"/>
            <w:noWrap/>
            <w:vAlign w:val="center"/>
          </w:tcPr>
          <w:p w14:paraId="54BF08FE" w14:textId="14C3780F" w:rsidR="00870D82" w:rsidRPr="00C14078" w:rsidRDefault="00870D82" w:rsidP="00870D82">
            <w:pPr>
              <w:rPr>
                <w:rFonts w:eastAsia="Calibri" w:cs="Arial"/>
                <w:sz w:val="20"/>
                <w:szCs w:val="20"/>
              </w:rPr>
            </w:pPr>
            <w:r w:rsidRPr="00C14078">
              <w:rPr>
                <w:rFonts w:cs="Arial"/>
                <w:bCs/>
                <w:sz w:val="20"/>
                <w:szCs w:val="20"/>
              </w:rPr>
              <w:t xml:space="preserve">Liczba zamawiających, którzy udzielili zamówień zastrzeżonych </w:t>
            </w:r>
            <w:r w:rsidRPr="00C14078">
              <w:rPr>
                <w:rFonts w:eastAsia="Calibri" w:cs="Arial"/>
                <w:sz w:val="20"/>
                <w:szCs w:val="20"/>
              </w:rPr>
              <w:t xml:space="preserve">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auto"/>
            <w:noWrap/>
            <w:vAlign w:val="center"/>
          </w:tcPr>
          <w:p w14:paraId="3FC8E8E4" w14:textId="34508356" w:rsidR="00870D82" w:rsidRPr="00FD623C" w:rsidRDefault="00870D82" w:rsidP="00870D82">
            <w:pPr>
              <w:jc w:val="center"/>
              <w:rPr>
                <w:rFonts w:cs="Arial"/>
                <w:sz w:val="20"/>
                <w:szCs w:val="20"/>
              </w:rPr>
            </w:pPr>
            <w:r>
              <w:rPr>
                <w:rFonts w:cs="Arial"/>
                <w:sz w:val="20"/>
                <w:szCs w:val="20"/>
              </w:rPr>
              <w:t>235</w:t>
            </w:r>
          </w:p>
        </w:tc>
      </w:tr>
      <w:tr w:rsidR="00870D82" w:rsidRPr="00FD623C" w14:paraId="68F1438C" w14:textId="77777777" w:rsidTr="00936E52">
        <w:trPr>
          <w:trHeight w:val="300"/>
          <w:jc w:val="center"/>
        </w:trPr>
        <w:tc>
          <w:tcPr>
            <w:tcW w:w="6799" w:type="dxa"/>
            <w:shd w:val="clear" w:color="auto" w:fill="DEEAF6"/>
            <w:noWrap/>
            <w:vAlign w:val="center"/>
          </w:tcPr>
          <w:p w14:paraId="75E1AD67" w14:textId="4BCF60F4" w:rsidR="00870D82" w:rsidRPr="00FD623C" w:rsidRDefault="00870D82" w:rsidP="00870D82">
            <w:pPr>
              <w:rPr>
                <w:rFonts w:cs="Arial"/>
                <w:bCs/>
                <w:sz w:val="20"/>
                <w:szCs w:val="20"/>
              </w:rPr>
            </w:pPr>
            <w:r w:rsidRPr="00FD623C">
              <w:rPr>
                <w:rFonts w:eastAsia="Calibri" w:cs="Arial"/>
                <w:sz w:val="20"/>
                <w:szCs w:val="20"/>
              </w:rPr>
              <w:t xml:space="preserve">Liczba 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noWrap/>
            <w:vAlign w:val="center"/>
          </w:tcPr>
          <w:p w14:paraId="6DC63BCE" w14:textId="041DF58F" w:rsidR="00870D82" w:rsidRPr="00FD623C" w:rsidRDefault="00870D82" w:rsidP="00870D82">
            <w:pPr>
              <w:jc w:val="center"/>
              <w:rPr>
                <w:rFonts w:cs="Arial"/>
                <w:sz w:val="20"/>
                <w:szCs w:val="20"/>
              </w:rPr>
            </w:pPr>
            <w:r w:rsidRPr="0030795B">
              <w:rPr>
                <w:rFonts w:cs="Arial"/>
                <w:sz w:val="20"/>
                <w:szCs w:val="20"/>
              </w:rPr>
              <w:t>589</w:t>
            </w:r>
          </w:p>
        </w:tc>
      </w:tr>
      <w:tr w:rsidR="00870D82" w:rsidRPr="00FD623C" w14:paraId="7D51937A" w14:textId="77777777" w:rsidTr="00936E52">
        <w:trPr>
          <w:trHeight w:val="300"/>
          <w:jc w:val="center"/>
        </w:trPr>
        <w:tc>
          <w:tcPr>
            <w:tcW w:w="6799" w:type="dxa"/>
            <w:shd w:val="clear" w:color="auto" w:fill="auto"/>
            <w:noWrap/>
            <w:vAlign w:val="center"/>
          </w:tcPr>
          <w:p w14:paraId="0AB9397D" w14:textId="0F4ADBD6" w:rsidR="00870D82" w:rsidRPr="00FD623C" w:rsidRDefault="00870D82" w:rsidP="00870D82">
            <w:pPr>
              <w:rPr>
                <w:rFonts w:eastAsia="Calibri" w:cs="Arial"/>
                <w:sz w:val="20"/>
                <w:szCs w:val="20"/>
              </w:rPr>
            </w:pPr>
            <w:r w:rsidRPr="00FD623C">
              <w:rPr>
                <w:rFonts w:cs="Arial"/>
                <w:bCs/>
                <w:sz w:val="20"/>
                <w:szCs w:val="20"/>
              </w:rPr>
              <w:t xml:space="preserve">Wartość </w:t>
            </w:r>
            <w:r w:rsidRPr="00FD623C">
              <w:rPr>
                <w:rFonts w:eastAsia="Calibri" w:cs="Arial"/>
                <w:sz w:val="20"/>
                <w:szCs w:val="20"/>
              </w:rPr>
              <w:t xml:space="preserve">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auto"/>
            <w:noWrap/>
            <w:vAlign w:val="center"/>
          </w:tcPr>
          <w:p w14:paraId="2AA1AEDA" w14:textId="77777777" w:rsidR="00870D82" w:rsidRDefault="00870D82" w:rsidP="00870D82">
            <w:pPr>
              <w:jc w:val="center"/>
              <w:rPr>
                <w:rFonts w:cs="Arial"/>
                <w:sz w:val="20"/>
                <w:szCs w:val="20"/>
              </w:rPr>
            </w:pPr>
            <w:r w:rsidRPr="0030795B">
              <w:rPr>
                <w:rFonts w:cs="Arial"/>
                <w:sz w:val="20"/>
                <w:szCs w:val="20"/>
              </w:rPr>
              <w:t>310 898 463,15 zł</w:t>
            </w:r>
          </w:p>
          <w:p w14:paraId="52A41F4C" w14:textId="17BD9EF0" w:rsidR="00870D82" w:rsidRPr="00FD623C" w:rsidRDefault="00870D82" w:rsidP="00870D82">
            <w:pPr>
              <w:jc w:val="center"/>
              <w:rPr>
                <w:rFonts w:cs="Arial"/>
                <w:b/>
                <w:sz w:val="20"/>
                <w:szCs w:val="20"/>
              </w:rPr>
            </w:pPr>
            <w:r w:rsidRPr="00FD623C">
              <w:rPr>
                <w:rFonts w:cs="Arial"/>
                <w:sz w:val="20"/>
                <w:szCs w:val="20"/>
              </w:rPr>
              <w:t>(wartość bez VAT)</w:t>
            </w:r>
          </w:p>
        </w:tc>
      </w:tr>
      <w:tr w:rsidR="00870D82" w:rsidRPr="00A70DC9" w14:paraId="7D9F2958"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3D93AC9A" w14:textId="4AEBEFEE" w:rsidR="00870D82" w:rsidRPr="00A70DC9" w:rsidRDefault="00870D82" w:rsidP="00870D82">
            <w:pPr>
              <w:jc w:val="center"/>
              <w:rPr>
                <w:rFonts w:cs="Arial"/>
                <w:b/>
                <w:bCs/>
                <w:sz w:val="20"/>
                <w:szCs w:val="20"/>
              </w:rPr>
            </w:pPr>
            <w:r w:rsidRPr="00A70DC9">
              <w:rPr>
                <w:rFonts w:cs="Arial"/>
                <w:b/>
                <w:bCs/>
                <w:sz w:val="20"/>
                <w:szCs w:val="20"/>
              </w:rPr>
              <w:t>ŁĄCZNIE</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65515E65" w14:textId="77777777" w:rsidR="00870D82" w:rsidRPr="00A70DC9" w:rsidRDefault="00870D82" w:rsidP="00870D82">
            <w:pPr>
              <w:jc w:val="center"/>
              <w:rPr>
                <w:rFonts w:cs="Arial"/>
                <w:b/>
                <w:sz w:val="20"/>
                <w:szCs w:val="20"/>
              </w:rPr>
            </w:pPr>
          </w:p>
        </w:tc>
      </w:tr>
      <w:tr w:rsidR="00870D82" w:rsidRPr="00FD623C" w14:paraId="1F7E8A95"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2214F" w14:textId="00C31084" w:rsidR="00870D82" w:rsidRPr="00A70DC9" w:rsidRDefault="00870D82" w:rsidP="00870D82">
            <w:pPr>
              <w:rPr>
                <w:rFonts w:cs="Arial"/>
                <w:bCs/>
                <w:sz w:val="20"/>
                <w:szCs w:val="20"/>
              </w:rPr>
            </w:pPr>
            <w:r w:rsidRPr="00A70DC9">
              <w:rPr>
                <w:rFonts w:cs="Arial"/>
                <w:bCs/>
                <w:sz w:val="20"/>
                <w:szCs w:val="20"/>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4B5C9" w14:textId="1DEF7C00" w:rsidR="00870D82" w:rsidRPr="00FD623C" w:rsidRDefault="00870D82" w:rsidP="00870D82">
            <w:pPr>
              <w:jc w:val="center"/>
              <w:rPr>
                <w:rFonts w:cs="Arial"/>
                <w:sz w:val="20"/>
                <w:szCs w:val="20"/>
              </w:rPr>
            </w:pPr>
            <w:r>
              <w:rPr>
                <w:rFonts w:cs="Arial"/>
                <w:sz w:val="20"/>
                <w:szCs w:val="20"/>
              </w:rPr>
              <w:t>4 036</w:t>
            </w:r>
            <w:r w:rsidR="00A41025">
              <w:rPr>
                <w:rStyle w:val="Odwoanieprzypisudolnego"/>
                <w:rFonts w:cs="Arial"/>
                <w:sz w:val="20"/>
                <w:szCs w:val="20"/>
              </w:rPr>
              <w:footnoteReference w:id="18"/>
            </w:r>
          </w:p>
        </w:tc>
      </w:tr>
      <w:tr w:rsidR="00870D82" w14:paraId="54150CF3"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4973033" w14:textId="511B6F8D" w:rsidR="00870D82" w:rsidRPr="00A70DC9" w:rsidRDefault="00870D82" w:rsidP="00870D82">
            <w:pPr>
              <w:rPr>
                <w:rFonts w:cs="Arial"/>
                <w:bCs/>
                <w:sz w:val="20"/>
                <w:szCs w:val="20"/>
              </w:rPr>
            </w:pPr>
            <w:r w:rsidRPr="00A70DC9">
              <w:rPr>
                <w:rFonts w:cs="Arial"/>
                <w:bCs/>
                <w:sz w:val="20"/>
                <w:szCs w:val="20"/>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4720E59A" w14:textId="607F24AC" w:rsidR="00870D82" w:rsidRDefault="00870D82" w:rsidP="00870D82">
            <w:pPr>
              <w:jc w:val="center"/>
              <w:rPr>
                <w:rFonts w:cs="Arial"/>
                <w:sz w:val="20"/>
                <w:szCs w:val="20"/>
              </w:rPr>
            </w:pPr>
            <w:r w:rsidRPr="00397815">
              <w:rPr>
                <w:rFonts w:cs="Arial"/>
                <w:sz w:val="20"/>
                <w:szCs w:val="20"/>
              </w:rPr>
              <w:t>38 540</w:t>
            </w:r>
          </w:p>
        </w:tc>
      </w:tr>
      <w:tr w:rsidR="00870D82" w:rsidRPr="00FD623C" w14:paraId="310D15FA" w14:textId="77777777" w:rsidTr="00936E52">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EB579" w14:textId="43D2DA37" w:rsidR="00870D82" w:rsidRPr="00A70DC9" w:rsidRDefault="00870D82" w:rsidP="00870D82">
            <w:pPr>
              <w:rPr>
                <w:rFonts w:cs="Arial"/>
                <w:bCs/>
                <w:sz w:val="20"/>
                <w:szCs w:val="20"/>
              </w:rPr>
            </w:pPr>
            <w:r w:rsidRPr="00A70DC9">
              <w:rPr>
                <w:rFonts w:cs="Arial"/>
                <w:bCs/>
                <w:sz w:val="20"/>
                <w:szCs w:val="20"/>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92234" w14:textId="77777777" w:rsidR="00870D82" w:rsidRPr="00843829" w:rsidRDefault="00870D82" w:rsidP="00870D82">
            <w:pPr>
              <w:jc w:val="center"/>
              <w:rPr>
                <w:rFonts w:cs="Arial"/>
                <w:sz w:val="20"/>
                <w:szCs w:val="20"/>
              </w:rPr>
            </w:pPr>
            <w:r w:rsidRPr="00843829">
              <w:rPr>
                <w:rFonts w:cs="Arial"/>
                <w:sz w:val="20"/>
                <w:szCs w:val="20"/>
              </w:rPr>
              <w:t>101 626 078 310,71 zł</w:t>
            </w:r>
          </w:p>
          <w:p w14:paraId="355C4D45" w14:textId="5AC1FDFB" w:rsidR="00870D82" w:rsidRPr="00FD623C" w:rsidRDefault="00870D82" w:rsidP="00870D82">
            <w:pPr>
              <w:jc w:val="center"/>
              <w:rPr>
                <w:rFonts w:cs="Arial"/>
                <w:sz w:val="20"/>
                <w:szCs w:val="20"/>
              </w:rPr>
            </w:pPr>
            <w:r w:rsidRPr="00843829">
              <w:rPr>
                <w:rFonts w:cs="Arial"/>
                <w:sz w:val="20"/>
                <w:szCs w:val="20"/>
              </w:rPr>
              <w:t>(wartość bez VAT)</w:t>
            </w:r>
          </w:p>
        </w:tc>
      </w:tr>
      <w:tr w:rsidR="00E868E2" w:rsidRPr="00C91CCE" w14:paraId="1118F733" w14:textId="77777777" w:rsidTr="00F13EF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0DD5A" w14:textId="77777777" w:rsidR="00E868E2" w:rsidRPr="00C91CCE" w:rsidRDefault="00E868E2" w:rsidP="00936E52">
            <w:pPr>
              <w:rPr>
                <w:rFonts w:cs="Arial"/>
                <w:bCs/>
                <w:sz w:val="20"/>
                <w:szCs w:val="20"/>
              </w:rPr>
            </w:pPr>
            <w:r w:rsidRPr="00C91CCE">
              <w:rPr>
                <w:rFonts w:cs="Arial"/>
                <w:bCs/>
                <w:sz w:val="20"/>
                <w:szCs w:val="20"/>
              </w:rPr>
              <w:t>Udział społecznych zamówień publicznych w ogólnej liczbie udzielonych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8B51D" w14:textId="15449C4A" w:rsidR="00E868E2" w:rsidRPr="00C91CCE" w:rsidRDefault="00F33725" w:rsidP="00C91CCE">
            <w:pPr>
              <w:jc w:val="center"/>
              <w:rPr>
                <w:rFonts w:cs="Arial"/>
                <w:bCs/>
                <w:sz w:val="20"/>
                <w:szCs w:val="20"/>
              </w:rPr>
            </w:pPr>
            <w:r w:rsidRPr="00C91CCE">
              <w:rPr>
                <w:rFonts w:cs="Arial"/>
                <w:bCs/>
                <w:sz w:val="20"/>
                <w:szCs w:val="20"/>
              </w:rPr>
              <w:t>2</w:t>
            </w:r>
            <w:r w:rsidR="00C91CCE" w:rsidRPr="00C91CCE">
              <w:rPr>
                <w:rFonts w:cs="Arial"/>
                <w:bCs/>
                <w:sz w:val="20"/>
                <w:szCs w:val="20"/>
              </w:rPr>
              <w:t>7</w:t>
            </w:r>
            <w:r w:rsidRPr="00C91CCE">
              <w:rPr>
                <w:rFonts w:cs="Arial"/>
                <w:bCs/>
                <w:sz w:val="20"/>
                <w:szCs w:val="20"/>
              </w:rPr>
              <w:t>%</w:t>
            </w:r>
          </w:p>
        </w:tc>
      </w:tr>
      <w:tr w:rsidR="00E868E2" w14:paraId="6A20F6D0" w14:textId="77777777" w:rsidTr="00F13EF1">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014F5" w14:textId="77777777" w:rsidR="00E868E2" w:rsidRPr="00C91CCE" w:rsidRDefault="00E868E2" w:rsidP="00936E52">
            <w:pPr>
              <w:rPr>
                <w:rFonts w:cs="Arial"/>
                <w:bCs/>
                <w:sz w:val="20"/>
                <w:szCs w:val="20"/>
              </w:rPr>
            </w:pPr>
            <w:r w:rsidRPr="00C91CCE">
              <w:rPr>
                <w:rFonts w:cs="Arial"/>
                <w:bCs/>
                <w:sz w:val="20"/>
                <w:szCs w:val="20"/>
              </w:rPr>
              <w:t>Udział społecznych zamówień publicznych w ogólnej wartości udzielonych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09BAD" w14:textId="492E572D" w:rsidR="00E868E2" w:rsidRPr="00C91CCE" w:rsidRDefault="00F33725" w:rsidP="00C91CCE">
            <w:pPr>
              <w:jc w:val="center"/>
              <w:rPr>
                <w:rFonts w:cs="Arial"/>
                <w:sz w:val="20"/>
                <w:szCs w:val="20"/>
              </w:rPr>
            </w:pPr>
            <w:r w:rsidRPr="00C91CCE">
              <w:rPr>
                <w:rFonts w:cs="Arial"/>
                <w:sz w:val="20"/>
                <w:szCs w:val="20"/>
              </w:rPr>
              <w:t>3</w:t>
            </w:r>
            <w:r w:rsidR="00C91CCE" w:rsidRPr="00C91CCE">
              <w:rPr>
                <w:rFonts w:cs="Arial"/>
                <w:sz w:val="20"/>
                <w:szCs w:val="20"/>
              </w:rPr>
              <w:t>7</w:t>
            </w:r>
            <w:r w:rsidRPr="00C91CCE">
              <w:rPr>
                <w:rFonts w:cs="Arial"/>
                <w:sz w:val="20"/>
                <w:szCs w:val="20"/>
              </w:rPr>
              <w:t>%</w:t>
            </w:r>
          </w:p>
        </w:tc>
      </w:tr>
    </w:tbl>
    <w:p w14:paraId="0DA987E5" w14:textId="77777777" w:rsidR="00E868E2" w:rsidRPr="00A41025" w:rsidRDefault="00E868E2" w:rsidP="00A41025">
      <w:pPr>
        <w:shd w:val="clear" w:color="auto" w:fill="FFFFFF"/>
      </w:pPr>
    </w:p>
    <w:p w14:paraId="51F0DB4B" w14:textId="068E264A" w:rsidR="006E13CD" w:rsidRPr="00DE2654" w:rsidRDefault="006E13CD" w:rsidP="006E13CD">
      <w:pPr>
        <w:shd w:val="clear" w:color="auto" w:fill="FFFFFF"/>
      </w:pPr>
    </w:p>
    <w:p w14:paraId="294E9269" w14:textId="77777777" w:rsidR="003E5DA5" w:rsidRPr="003E5DA5" w:rsidRDefault="003E5DA5" w:rsidP="003E5DA5">
      <w:r w:rsidRPr="003E5DA5">
        <w:t xml:space="preserve">Instrumenty prospołeczne przewidziane ustawą Pzp w 2022 r. w większości przypadków stosowane były w zamówieniach na roboty budowlane. Dotyczyło to wymogu zatrudnienia na podstawie stosunku pracy z art. 95 ust. 1 ustawy Pzp oraz uwzględnienia w opisie przedmiotu zamówienia wymogów dotyczących dostępności i projektowania z przeznaczeniem dla wszystkich użytkowników (art. 100 ust. 1). </w:t>
      </w:r>
    </w:p>
    <w:p w14:paraId="46538682" w14:textId="77777777" w:rsidR="003E5DA5" w:rsidRPr="003E5DA5" w:rsidRDefault="003E5DA5" w:rsidP="003E5DA5">
      <w:r w:rsidRPr="003E5DA5">
        <w:t xml:space="preserve">Z kolei w zamówieniach na usługi najczęściej stosowano instrument zamówień zastrzeżonych (art. 94 ust. 1), wymagania społeczne związane z realizacją zamówienia (art. 96 ust. 1), społeczne kryteria oceny ofert (art. 242 ust. 2), a także odwołanie do etykiety społecznej (art. 104). Najrzadziej instrumenty prospołeczne wykorzystywano w zamówieniach na dostawy. </w:t>
      </w:r>
    </w:p>
    <w:p w14:paraId="16EFBF64" w14:textId="77777777" w:rsidR="008E2754" w:rsidRDefault="008E2754" w:rsidP="003E5DA5"/>
    <w:p w14:paraId="0D5C0431" w14:textId="7D7BF194" w:rsidR="003E5DA5" w:rsidRPr="003E5DA5" w:rsidRDefault="003E5DA5" w:rsidP="003E5DA5">
      <w:r w:rsidRPr="003E5DA5">
        <w:t>Poniższe tabele prezentują zestawienie szczegółowych danych dotyczących zarówno ilości, jak i wartości zamówień, w których zastosowano poszczególne instrumenty. Zestawienia te zawierają również informacje na temat zastosowania poszczególnych aspektów społecznych przewidzianych w ustawie Pzp w zamówieniach publicznych udzielonych w 2022 r. Wskazują zarówno łączną liczbę i wartość takich zamówień, jak również ujęcie w podziale na rodzaj zamówienia.</w:t>
      </w:r>
    </w:p>
    <w:p w14:paraId="36B8D714" w14:textId="77777777" w:rsidR="00DE2654" w:rsidRPr="00DE2654" w:rsidRDefault="00DE2654" w:rsidP="006E13CD"/>
    <w:p w14:paraId="786116C6" w14:textId="77777777" w:rsidR="00E868E2" w:rsidRPr="006E13CD" w:rsidRDefault="00E868E2" w:rsidP="00870D82">
      <w:pPr>
        <w:ind w:left="709"/>
        <w:rPr>
          <w:b/>
          <w:color w:val="0070C0"/>
        </w:rPr>
      </w:pPr>
      <w:r w:rsidRPr="006E13CD">
        <w:rPr>
          <w:b/>
          <w:color w:val="0070C0"/>
        </w:rPr>
        <w:t>Zamówienia udzielone jako zamówienie zastrzeżone, o którym mowa w art. 94 ust. 1 ustawy Pzp</w:t>
      </w:r>
    </w:p>
    <w:p w14:paraId="3FB3A856" w14:textId="77777777" w:rsidR="00E868E2" w:rsidRPr="00F65571" w:rsidRDefault="00E868E2" w:rsidP="00DE2654"/>
    <w:p w14:paraId="4AA6F960" w14:textId="5755A890" w:rsidR="006E13CD" w:rsidRPr="00F65571" w:rsidRDefault="006E13CD" w:rsidP="006E13CD">
      <w:pPr>
        <w:pStyle w:val="Legenda"/>
      </w:pPr>
      <w:bookmarkStart w:id="122" w:name="_Toc141276533"/>
      <w:r w:rsidRPr="00F855FF">
        <w:t xml:space="preserve">Tab. </w:t>
      </w:r>
      <w:r w:rsidR="00BE2079">
        <w:fldChar w:fldCharType="begin"/>
      </w:r>
      <w:r w:rsidR="00BE2079">
        <w:instrText xml:space="preserve"> SEQ Tab. \* ARABIC </w:instrText>
      </w:r>
      <w:r w:rsidR="00BE2079">
        <w:fldChar w:fldCharType="separate"/>
      </w:r>
      <w:r w:rsidR="00A43C68">
        <w:rPr>
          <w:noProof/>
        </w:rPr>
        <w:t>26</w:t>
      </w:r>
      <w:r w:rsidR="00BE2079">
        <w:rPr>
          <w:noProof/>
        </w:rPr>
        <w:fldChar w:fldCharType="end"/>
      </w:r>
      <w:r w:rsidRPr="00F855FF">
        <w:t>. Zamówienia publiczne z zastosowaniem art. 94 ust. 1 ustawy Pzp</w:t>
      </w:r>
      <w:bookmarkEnd w:id="12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870D82" w:rsidRPr="00F65571" w14:paraId="54EE01CD" w14:textId="77777777" w:rsidTr="00936E52">
        <w:trPr>
          <w:trHeight w:val="300"/>
          <w:jc w:val="center"/>
        </w:trPr>
        <w:tc>
          <w:tcPr>
            <w:tcW w:w="7083" w:type="dxa"/>
            <w:shd w:val="clear" w:color="auto" w:fill="DEEAF6"/>
            <w:noWrap/>
            <w:vAlign w:val="center"/>
          </w:tcPr>
          <w:p w14:paraId="41472E10" w14:textId="77777777" w:rsidR="00870D82" w:rsidRPr="00F65571" w:rsidRDefault="00870D82" w:rsidP="00870D82">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1979" w:type="dxa"/>
            <w:shd w:val="clear" w:color="auto" w:fill="DEEAF6"/>
            <w:noWrap/>
            <w:vAlign w:val="center"/>
          </w:tcPr>
          <w:p w14:paraId="62BF0349" w14:textId="2BBEB9B7" w:rsidR="00870D82" w:rsidRPr="00F65571" w:rsidRDefault="00870D82" w:rsidP="00870D82">
            <w:pPr>
              <w:jc w:val="center"/>
              <w:rPr>
                <w:rFonts w:cs="Arial"/>
                <w:sz w:val="20"/>
                <w:szCs w:val="20"/>
              </w:rPr>
            </w:pPr>
            <w:r w:rsidRPr="00262707">
              <w:rPr>
                <w:rFonts w:cs="Arial"/>
                <w:sz w:val="20"/>
                <w:szCs w:val="20"/>
              </w:rPr>
              <w:t>269</w:t>
            </w:r>
          </w:p>
        </w:tc>
      </w:tr>
      <w:tr w:rsidR="00870D82" w:rsidRPr="00F65571" w14:paraId="5BC19595" w14:textId="77777777" w:rsidTr="00936E52">
        <w:trPr>
          <w:trHeight w:val="300"/>
          <w:jc w:val="center"/>
        </w:trPr>
        <w:tc>
          <w:tcPr>
            <w:tcW w:w="7083" w:type="dxa"/>
            <w:shd w:val="clear" w:color="auto" w:fill="auto"/>
            <w:noWrap/>
            <w:vAlign w:val="center"/>
            <w:hideMark/>
          </w:tcPr>
          <w:p w14:paraId="49C80018" w14:textId="77777777" w:rsidR="00870D82" w:rsidRPr="00F65571" w:rsidRDefault="00870D82" w:rsidP="00870D82">
            <w:pPr>
              <w:rPr>
                <w:rFonts w:cs="Arial"/>
                <w:bCs/>
                <w:sz w:val="20"/>
                <w:szCs w:val="20"/>
              </w:rPr>
            </w:pPr>
            <w:r w:rsidRPr="00F65571">
              <w:rPr>
                <w:rFonts w:cs="Arial"/>
                <w:bCs/>
                <w:sz w:val="20"/>
                <w:szCs w:val="20"/>
              </w:rPr>
              <w:t xml:space="preserve">Wartość </w:t>
            </w:r>
            <w:r w:rsidRPr="00F65571">
              <w:rPr>
                <w:rFonts w:cs="Arial"/>
                <w:sz w:val="20"/>
                <w:szCs w:val="20"/>
              </w:rPr>
              <w:t xml:space="preserve">zamówień </w:t>
            </w:r>
          </w:p>
        </w:tc>
        <w:tc>
          <w:tcPr>
            <w:tcW w:w="1979" w:type="dxa"/>
            <w:shd w:val="clear" w:color="auto" w:fill="auto"/>
            <w:noWrap/>
            <w:vAlign w:val="center"/>
            <w:hideMark/>
          </w:tcPr>
          <w:p w14:paraId="18FA388C" w14:textId="77777777" w:rsidR="00870D82" w:rsidRDefault="00870D82" w:rsidP="00870D82">
            <w:pPr>
              <w:jc w:val="center"/>
              <w:rPr>
                <w:rFonts w:cs="Arial"/>
                <w:sz w:val="20"/>
                <w:szCs w:val="20"/>
              </w:rPr>
            </w:pPr>
            <w:r w:rsidRPr="00262707">
              <w:rPr>
                <w:rFonts w:cs="Arial"/>
                <w:sz w:val="20"/>
                <w:szCs w:val="20"/>
              </w:rPr>
              <w:t>728 002 624,83 zł</w:t>
            </w:r>
          </w:p>
          <w:p w14:paraId="79CA2A31" w14:textId="52580F67" w:rsidR="00870D82" w:rsidRPr="00F65571" w:rsidRDefault="00870D82" w:rsidP="00870D82">
            <w:pPr>
              <w:jc w:val="center"/>
              <w:rPr>
                <w:rFonts w:cs="Arial"/>
                <w:sz w:val="20"/>
                <w:szCs w:val="20"/>
              </w:rPr>
            </w:pPr>
            <w:r w:rsidRPr="00FD623C">
              <w:rPr>
                <w:rFonts w:cs="Arial"/>
                <w:sz w:val="20"/>
                <w:szCs w:val="20"/>
              </w:rPr>
              <w:t>(wartość bez VAT)</w:t>
            </w:r>
          </w:p>
        </w:tc>
      </w:tr>
    </w:tbl>
    <w:p w14:paraId="2C9451AB"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01"/>
        <w:gridCol w:w="4677"/>
      </w:tblGrid>
      <w:tr w:rsidR="00E868E2" w:rsidRPr="00F65571" w14:paraId="3ACCD873" w14:textId="77777777" w:rsidTr="00936E52">
        <w:trPr>
          <w:trHeight w:val="300"/>
          <w:tblHeader/>
          <w:jc w:val="center"/>
        </w:trPr>
        <w:tc>
          <w:tcPr>
            <w:tcW w:w="2689" w:type="dxa"/>
            <w:shd w:val="clear" w:color="auto" w:fill="5B9BD5"/>
            <w:noWrap/>
            <w:vAlign w:val="center"/>
          </w:tcPr>
          <w:p w14:paraId="510DCD1C"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701" w:type="dxa"/>
            <w:shd w:val="clear" w:color="auto" w:fill="5B9BD5"/>
            <w:vAlign w:val="center"/>
          </w:tcPr>
          <w:p w14:paraId="198289A9"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677" w:type="dxa"/>
            <w:shd w:val="clear" w:color="auto" w:fill="5B9BD5"/>
            <w:vAlign w:val="center"/>
          </w:tcPr>
          <w:p w14:paraId="3FE7CDBE"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872213" w:rsidRPr="00F65571" w14:paraId="0339FF1E" w14:textId="77777777" w:rsidTr="00936E52">
        <w:trPr>
          <w:trHeight w:val="300"/>
          <w:jc w:val="center"/>
        </w:trPr>
        <w:tc>
          <w:tcPr>
            <w:tcW w:w="2689" w:type="dxa"/>
            <w:shd w:val="clear" w:color="auto" w:fill="auto"/>
            <w:noWrap/>
            <w:vAlign w:val="center"/>
          </w:tcPr>
          <w:p w14:paraId="5F98993B" w14:textId="77777777" w:rsidR="00872213" w:rsidRPr="00F65571" w:rsidRDefault="00872213" w:rsidP="00872213">
            <w:pPr>
              <w:jc w:val="center"/>
              <w:rPr>
                <w:rFonts w:cs="Arial"/>
                <w:bCs/>
                <w:sz w:val="20"/>
                <w:szCs w:val="20"/>
              </w:rPr>
            </w:pPr>
            <w:r w:rsidRPr="00F65571">
              <w:rPr>
                <w:rFonts w:cs="Arial"/>
                <w:bCs/>
                <w:sz w:val="20"/>
                <w:szCs w:val="20"/>
              </w:rPr>
              <w:t>Dostawy</w:t>
            </w:r>
          </w:p>
        </w:tc>
        <w:tc>
          <w:tcPr>
            <w:tcW w:w="1701" w:type="dxa"/>
            <w:shd w:val="clear" w:color="auto" w:fill="auto"/>
            <w:noWrap/>
            <w:vAlign w:val="center"/>
          </w:tcPr>
          <w:p w14:paraId="7C3B4405" w14:textId="02B2CEAF" w:rsidR="00872213" w:rsidRPr="00F65571" w:rsidRDefault="00872213" w:rsidP="00872213">
            <w:pPr>
              <w:jc w:val="center"/>
              <w:rPr>
                <w:rFonts w:cs="Arial"/>
                <w:sz w:val="20"/>
                <w:szCs w:val="20"/>
              </w:rPr>
            </w:pPr>
            <w:r w:rsidRPr="00134082">
              <w:rPr>
                <w:sz w:val="20"/>
                <w:szCs w:val="20"/>
              </w:rPr>
              <w:t>17</w:t>
            </w:r>
          </w:p>
        </w:tc>
        <w:tc>
          <w:tcPr>
            <w:tcW w:w="4677" w:type="dxa"/>
            <w:vAlign w:val="center"/>
          </w:tcPr>
          <w:p w14:paraId="08AD80FC" w14:textId="12E02FA2" w:rsidR="00872213" w:rsidRPr="00F65571" w:rsidRDefault="00872213" w:rsidP="00872213">
            <w:pPr>
              <w:jc w:val="center"/>
              <w:rPr>
                <w:rFonts w:cs="Arial"/>
                <w:sz w:val="20"/>
                <w:szCs w:val="20"/>
              </w:rPr>
            </w:pPr>
            <w:r w:rsidRPr="00134082">
              <w:rPr>
                <w:sz w:val="20"/>
                <w:szCs w:val="20"/>
              </w:rPr>
              <w:t>65 575 894,73 zł</w:t>
            </w:r>
          </w:p>
        </w:tc>
      </w:tr>
      <w:tr w:rsidR="00872213" w:rsidRPr="00F65571" w14:paraId="5817B8BE" w14:textId="77777777" w:rsidTr="00936E52">
        <w:trPr>
          <w:trHeight w:val="300"/>
          <w:jc w:val="center"/>
        </w:trPr>
        <w:tc>
          <w:tcPr>
            <w:tcW w:w="2689" w:type="dxa"/>
            <w:shd w:val="clear" w:color="auto" w:fill="DEEAF6"/>
            <w:noWrap/>
            <w:vAlign w:val="center"/>
            <w:hideMark/>
          </w:tcPr>
          <w:p w14:paraId="62FCE4E2" w14:textId="77777777" w:rsidR="00872213" w:rsidRPr="00F65571" w:rsidRDefault="00872213" w:rsidP="00872213">
            <w:pPr>
              <w:jc w:val="center"/>
              <w:rPr>
                <w:rFonts w:cs="Arial"/>
                <w:bCs/>
                <w:sz w:val="20"/>
                <w:szCs w:val="20"/>
              </w:rPr>
            </w:pPr>
            <w:r w:rsidRPr="00F65571">
              <w:rPr>
                <w:rFonts w:cs="Arial"/>
                <w:bCs/>
                <w:sz w:val="20"/>
                <w:szCs w:val="20"/>
              </w:rPr>
              <w:t>Roboty budowlane</w:t>
            </w:r>
          </w:p>
        </w:tc>
        <w:tc>
          <w:tcPr>
            <w:tcW w:w="1701" w:type="dxa"/>
            <w:shd w:val="clear" w:color="auto" w:fill="DEEAF6"/>
            <w:noWrap/>
            <w:vAlign w:val="center"/>
          </w:tcPr>
          <w:p w14:paraId="1AE59AC8" w14:textId="59482D9A" w:rsidR="00872213" w:rsidRPr="00F65571" w:rsidRDefault="00872213" w:rsidP="00872213">
            <w:pPr>
              <w:jc w:val="center"/>
              <w:rPr>
                <w:rFonts w:cs="Arial"/>
                <w:sz w:val="20"/>
                <w:szCs w:val="20"/>
              </w:rPr>
            </w:pPr>
            <w:r w:rsidRPr="00134082">
              <w:rPr>
                <w:sz w:val="20"/>
                <w:szCs w:val="20"/>
              </w:rPr>
              <w:t>83</w:t>
            </w:r>
          </w:p>
        </w:tc>
        <w:tc>
          <w:tcPr>
            <w:tcW w:w="4677" w:type="dxa"/>
            <w:shd w:val="clear" w:color="auto" w:fill="DEEAF6"/>
            <w:vAlign w:val="center"/>
          </w:tcPr>
          <w:p w14:paraId="756FAB9E" w14:textId="44050AC6" w:rsidR="00872213" w:rsidRPr="00F65571" w:rsidRDefault="00872213" w:rsidP="00872213">
            <w:pPr>
              <w:jc w:val="center"/>
              <w:rPr>
                <w:rFonts w:cs="Arial"/>
                <w:sz w:val="20"/>
                <w:szCs w:val="20"/>
              </w:rPr>
            </w:pPr>
            <w:r w:rsidRPr="00134082">
              <w:rPr>
                <w:sz w:val="20"/>
                <w:szCs w:val="20"/>
              </w:rPr>
              <w:t>536 529 580,65 zł</w:t>
            </w:r>
          </w:p>
        </w:tc>
      </w:tr>
      <w:tr w:rsidR="00872213" w:rsidRPr="00F65571" w14:paraId="196DFE0C" w14:textId="77777777" w:rsidTr="00936E52">
        <w:trPr>
          <w:trHeight w:val="300"/>
          <w:jc w:val="center"/>
        </w:trPr>
        <w:tc>
          <w:tcPr>
            <w:tcW w:w="2689" w:type="dxa"/>
            <w:shd w:val="clear" w:color="auto" w:fill="auto"/>
            <w:noWrap/>
            <w:vAlign w:val="center"/>
          </w:tcPr>
          <w:p w14:paraId="2117440A" w14:textId="77777777" w:rsidR="00872213" w:rsidRPr="00F65571" w:rsidRDefault="00872213" w:rsidP="00872213">
            <w:pPr>
              <w:jc w:val="center"/>
              <w:rPr>
                <w:rFonts w:cs="Arial"/>
                <w:bCs/>
                <w:sz w:val="20"/>
                <w:szCs w:val="20"/>
              </w:rPr>
            </w:pPr>
            <w:r w:rsidRPr="00F65571">
              <w:rPr>
                <w:rFonts w:cs="Arial"/>
                <w:bCs/>
                <w:sz w:val="20"/>
                <w:szCs w:val="20"/>
              </w:rPr>
              <w:t>Usługi</w:t>
            </w:r>
          </w:p>
        </w:tc>
        <w:tc>
          <w:tcPr>
            <w:tcW w:w="1701" w:type="dxa"/>
            <w:shd w:val="clear" w:color="auto" w:fill="auto"/>
            <w:noWrap/>
            <w:vAlign w:val="center"/>
          </w:tcPr>
          <w:p w14:paraId="149A0682" w14:textId="6240E4C0" w:rsidR="00872213" w:rsidRPr="00F65571" w:rsidRDefault="00872213" w:rsidP="00872213">
            <w:pPr>
              <w:jc w:val="center"/>
              <w:rPr>
                <w:rFonts w:cs="Arial"/>
                <w:sz w:val="20"/>
                <w:szCs w:val="20"/>
              </w:rPr>
            </w:pPr>
            <w:r w:rsidRPr="00134082">
              <w:rPr>
                <w:sz w:val="20"/>
                <w:szCs w:val="20"/>
              </w:rPr>
              <w:t>169</w:t>
            </w:r>
          </w:p>
        </w:tc>
        <w:tc>
          <w:tcPr>
            <w:tcW w:w="4677" w:type="dxa"/>
            <w:vAlign w:val="center"/>
          </w:tcPr>
          <w:p w14:paraId="73F858A7" w14:textId="52FD58AD" w:rsidR="00872213" w:rsidRPr="00F65571" w:rsidRDefault="00872213" w:rsidP="00872213">
            <w:pPr>
              <w:jc w:val="center"/>
              <w:rPr>
                <w:rFonts w:cs="Arial"/>
                <w:sz w:val="20"/>
                <w:szCs w:val="20"/>
              </w:rPr>
            </w:pPr>
            <w:r w:rsidRPr="00134082">
              <w:rPr>
                <w:sz w:val="20"/>
                <w:szCs w:val="20"/>
              </w:rPr>
              <w:t>125 897 149,45 zł</w:t>
            </w:r>
          </w:p>
        </w:tc>
      </w:tr>
    </w:tbl>
    <w:p w14:paraId="2BB7E41C" w14:textId="078EA744" w:rsidR="00E868E2" w:rsidRDefault="00E868E2" w:rsidP="003C77DF">
      <w:pPr>
        <w:shd w:val="clear" w:color="auto" w:fill="FFFFFF"/>
      </w:pPr>
    </w:p>
    <w:p w14:paraId="06B398EC" w14:textId="77777777" w:rsidR="003C77DF" w:rsidRPr="00F65571" w:rsidRDefault="003C77DF" w:rsidP="003C77DF">
      <w:pPr>
        <w:shd w:val="clear" w:color="auto" w:fill="FFFFFF"/>
      </w:pPr>
    </w:p>
    <w:p w14:paraId="48B6C02B" w14:textId="77777777" w:rsidR="00E868E2" w:rsidRPr="003C77DF" w:rsidRDefault="00E868E2" w:rsidP="002261BC">
      <w:pPr>
        <w:shd w:val="clear" w:color="auto" w:fill="FFFFFF"/>
        <w:ind w:left="709"/>
        <w:rPr>
          <w:b/>
          <w:color w:val="0070C0"/>
        </w:rPr>
      </w:pPr>
      <w:r w:rsidRPr="003C77DF">
        <w:rPr>
          <w:b/>
          <w:color w:val="0070C0"/>
        </w:rPr>
        <w:t>Określenie w opisie przedmiotu zamówienia wymagań w zakresie dostępności dla osób niepełnosprawnych oraz projektowania z przeznaczeniem dla wszystkich użytkowników, o których mowa w art. 100 ust. 1 ustawy Pzp</w:t>
      </w:r>
    </w:p>
    <w:p w14:paraId="25F6FBBA" w14:textId="77777777" w:rsidR="00E868E2" w:rsidRPr="00F65571" w:rsidRDefault="00E868E2" w:rsidP="003C77DF">
      <w:pPr>
        <w:shd w:val="clear" w:color="auto" w:fill="FFFFFF"/>
      </w:pPr>
    </w:p>
    <w:p w14:paraId="6918582D" w14:textId="566B7D7F" w:rsidR="003C77DF" w:rsidRPr="00F65571" w:rsidRDefault="003C77DF" w:rsidP="003C77DF">
      <w:pPr>
        <w:pStyle w:val="Legenda"/>
      </w:pPr>
      <w:bookmarkStart w:id="123" w:name="_Toc141276534"/>
      <w:r w:rsidRPr="00FB5CA1">
        <w:t xml:space="preserve">Tab. </w:t>
      </w:r>
      <w:r w:rsidR="00BE2079">
        <w:fldChar w:fldCharType="begin"/>
      </w:r>
      <w:r w:rsidR="00BE2079">
        <w:instrText xml:space="preserve"> SEQ Tab. \* ARABIC </w:instrText>
      </w:r>
      <w:r w:rsidR="00BE2079">
        <w:fldChar w:fldCharType="separate"/>
      </w:r>
      <w:r w:rsidR="00A43C68">
        <w:rPr>
          <w:noProof/>
        </w:rPr>
        <w:t>27</w:t>
      </w:r>
      <w:r w:rsidR="00BE2079">
        <w:rPr>
          <w:noProof/>
        </w:rPr>
        <w:fldChar w:fldCharType="end"/>
      </w:r>
      <w:r w:rsidRPr="00FB5CA1">
        <w:t>. Zamówienia publiczne z zastosowaniem art. 100 ust. 1 ustawy Pzp</w:t>
      </w:r>
      <w:bookmarkEnd w:id="12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2261BC" w:rsidRPr="00F65571" w14:paraId="4E7078B2" w14:textId="77777777" w:rsidTr="00936E52">
        <w:trPr>
          <w:trHeight w:val="300"/>
          <w:jc w:val="center"/>
        </w:trPr>
        <w:tc>
          <w:tcPr>
            <w:tcW w:w="6799" w:type="dxa"/>
            <w:shd w:val="clear" w:color="auto" w:fill="DEEAF6"/>
            <w:noWrap/>
            <w:vAlign w:val="center"/>
          </w:tcPr>
          <w:p w14:paraId="6D89CD7B" w14:textId="77777777" w:rsidR="002261BC" w:rsidRPr="00F65571" w:rsidRDefault="002261BC" w:rsidP="002261BC">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263" w:type="dxa"/>
            <w:shd w:val="clear" w:color="auto" w:fill="DEEAF6"/>
            <w:noWrap/>
            <w:vAlign w:val="center"/>
          </w:tcPr>
          <w:p w14:paraId="5A9CDA53" w14:textId="427B6077" w:rsidR="002261BC" w:rsidRPr="00F65571" w:rsidRDefault="002261BC" w:rsidP="002261BC">
            <w:pPr>
              <w:jc w:val="center"/>
              <w:rPr>
                <w:rFonts w:cs="Arial"/>
                <w:sz w:val="20"/>
                <w:szCs w:val="20"/>
              </w:rPr>
            </w:pPr>
            <w:r w:rsidRPr="00BE025D">
              <w:rPr>
                <w:rFonts w:cs="Arial"/>
                <w:sz w:val="20"/>
                <w:szCs w:val="20"/>
              </w:rPr>
              <w:t>7 144</w:t>
            </w:r>
          </w:p>
        </w:tc>
      </w:tr>
      <w:tr w:rsidR="002261BC" w:rsidRPr="00F65571" w14:paraId="1727B6D5" w14:textId="77777777" w:rsidTr="00936E52">
        <w:trPr>
          <w:trHeight w:val="300"/>
          <w:jc w:val="center"/>
        </w:trPr>
        <w:tc>
          <w:tcPr>
            <w:tcW w:w="6799" w:type="dxa"/>
            <w:shd w:val="clear" w:color="auto" w:fill="auto"/>
            <w:noWrap/>
            <w:vAlign w:val="center"/>
            <w:hideMark/>
          </w:tcPr>
          <w:p w14:paraId="4BD316A3" w14:textId="77777777" w:rsidR="002261BC" w:rsidRPr="00F65571" w:rsidRDefault="002261BC" w:rsidP="002261BC">
            <w:pPr>
              <w:rPr>
                <w:rFonts w:cs="Arial"/>
                <w:bCs/>
                <w:sz w:val="20"/>
                <w:szCs w:val="20"/>
              </w:rPr>
            </w:pPr>
            <w:r w:rsidRPr="00F65571">
              <w:rPr>
                <w:rFonts w:cs="Arial"/>
                <w:bCs/>
                <w:sz w:val="20"/>
                <w:szCs w:val="20"/>
              </w:rPr>
              <w:t xml:space="preserve">Wartość </w:t>
            </w:r>
            <w:r w:rsidRPr="00F65571">
              <w:rPr>
                <w:rFonts w:cs="Arial"/>
                <w:sz w:val="20"/>
                <w:szCs w:val="20"/>
              </w:rPr>
              <w:t xml:space="preserve">zamówień </w:t>
            </w:r>
          </w:p>
        </w:tc>
        <w:tc>
          <w:tcPr>
            <w:tcW w:w="2263" w:type="dxa"/>
            <w:shd w:val="clear" w:color="auto" w:fill="auto"/>
            <w:noWrap/>
            <w:vAlign w:val="center"/>
            <w:hideMark/>
          </w:tcPr>
          <w:p w14:paraId="1BB1C3CE" w14:textId="77777777" w:rsidR="002261BC" w:rsidRDefault="002261BC" w:rsidP="002261BC">
            <w:pPr>
              <w:jc w:val="center"/>
              <w:rPr>
                <w:rFonts w:cs="Arial"/>
                <w:sz w:val="20"/>
                <w:szCs w:val="20"/>
              </w:rPr>
            </w:pPr>
            <w:r w:rsidRPr="00BE025D">
              <w:rPr>
                <w:rFonts w:cs="Arial"/>
                <w:sz w:val="20"/>
                <w:szCs w:val="20"/>
              </w:rPr>
              <w:t>34 304 072 107,12 zł</w:t>
            </w:r>
          </w:p>
          <w:p w14:paraId="487A4EA4" w14:textId="0DB16B57" w:rsidR="002261BC" w:rsidRPr="00F65571" w:rsidRDefault="002261BC" w:rsidP="002261BC">
            <w:pPr>
              <w:jc w:val="center"/>
              <w:rPr>
                <w:rFonts w:cs="Arial"/>
                <w:sz w:val="20"/>
                <w:szCs w:val="20"/>
              </w:rPr>
            </w:pPr>
            <w:r w:rsidRPr="00FD623C">
              <w:rPr>
                <w:rFonts w:cs="Arial"/>
                <w:sz w:val="20"/>
                <w:szCs w:val="20"/>
              </w:rPr>
              <w:t>(wartość bez VAT)</w:t>
            </w:r>
          </w:p>
        </w:tc>
      </w:tr>
    </w:tbl>
    <w:p w14:paraId="699DC744"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E868E2" w:rsidRPr="00F65571" w14:paraId="7B4C8AC7" w14:textId="77777777" w:rsidTr="00936E52">
        <w:trPr>
          <w:trHeight w:val="300"/>
          <w:tblHeader/>
          <w:jc w:val="center"/>
        </w:trPr>
        <w:tc>
          <w:tcPr>
            <w:tcW w:w="3022" w:type="dxa"/>
            <w:shd w:val="clear" w:color="auto" w:fill="5B9BD5"/>
            <w:noWrap/>
            <w:vAlign w:val="center"/>
          </w:tcPr>
          <w:p w14:paraId="64F27D41"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084" w:type="dxa"/>
            <w:shd w:val="clear" w:color="auto" w:fill="5B9BD5"/>
            <w:vAlign w:val="center"/>
          </w:tcPr>
          <w:p w14:paraId="45BC02A0"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961" w:type="dxa"/>
            <w:shd w:val="clear" w:color="auto" w:fill="5B9BD5"/>
            <w:vAlign w:val="center"/>
          </w:tcPr>
          <w:p w14:paraId="58BD9010"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6F31FD" w:rsidRPr="00F65571" w14:paraId="477181F2" w14:textId="77777777" w:rsidTr="00936E52">
        <w:trPr>
          <w:trHeight w:val="300"/>
          <w:jc w:val="center"/>
        </w:trPr>
        <w:tc>
          <w:tcPr>
            <w:tcW w:w="3022" w:type="dxa"/>
            <w:shd w:val="clear" w:color="auto" w:fill="auto"/>
            <w:noWrap/>
            <w:vAlign w:val="center"/>
          </w:tcPr>
          <w:p w14:paraId="4274F3BF" w14:textId="77777777" w:rsidR="006F31FD" w:rsidRPr="00F65571" w:rsidRDefault="006F31FD" w:rsidP="006F31FD">
            <w:pPr>
              <w:jc w:val="center"/>
              <w:rPr>
                <w:rFonts w:cs="Arial"/>
                <w:bCs/>
                <w:sz w:val="20"/>
                <w:szCs w:val="20"/>
              </w:rPr>
            </w:pPr>
            <w:r w:rsidRPr="00F65571">
              <w:rPr>
                <w:rFonts w:cs="Arial"/>
                <w:bCs/>
                <w:sz w:val="20"/>
                <w:szCs w:val="20"/>
              </w:rPr>
              <w:t>Dostawy</w:t>
            </w:r>
          </w:p>
        </w:tc>
        <w:tc>
          <w:tcPr>
            <w:tcW w:w="1084" w:type="dxa"/>
            <w:shd w:val="clear" w:color="auto" w:fill="auto"/>
            <w:noWrap/>
            <w:vAlign w:val="center"/>
          </w:tcPr>
          <w:p w14:paraId="1BB7BF2E" w14:textId="6BB5DF51" w:rsidR="006F31FD" w:rsidRPr="00F65571" w:rsidRDefault="006F31FD" w:rsidP="006F31FD">
            <w:pPr>
              <w:jc w:val="center"/>
              <w:rPr>
                <w:rFonts w:cs="Arial"/>
                <w:sz w:val="20"/>
                <w:szCs w:val="20"/>
              </w:rPr>
            </w:pPr>
            <w:r w:rsidRPr="001A3868">
              <w:rPr>
                <w:sz w:val="20"/>
                <w:szCs w:val="20"/>
              </w:rPr>
              <w:t>579</w:t>
            </w:r>
          </w:p>
        </w:tc>
        <w:tc>
          <w:tcPr>
            <w:tcW w:w="4961" w:type="dxa"/>
            <w:vAlign w:val="center"/>
          </w:tcPr>
          <w:p w14:paraId="732E048D" w14:textId="65CB2CF6" w:rsidR="006F31FD" w:rsidRPr="00F65571" w:rsidRDefault="006F31FD" w:rsidP="006F31FD">
            <w:pPr>
              <w:jc w:val="center"/>
              <w:rPr>
                <w:rFonts w:cs="Arial"/>
                <w:sz w:val="20"/>
                <w:szCs w:val="20"/>
              </w:rPr>
            </w:pPr>
            <w:r w:rsidRPr="001A3868">
              <w:rPr>
                <w:sz w:val="20"/>
                <w:szCs w:val="20"/>
              </w:rPr>
              <w:t>1 114 614 643,89 zł</w:t>
            </w:r>
          </w:p>
        </w:tc>
      </w:tr>
      <w:tr w:rsidR="006F31FD" w:rsidRPr="00F65571" w14:paraId="0B3FBBF4" w14:textId="77777777" w:rsidTr="00936E52">
        <w:trPr>
          <w:trHeight w:val="300"/>
          <w:jc w:val="center"/>
        </w:trPr>
        <w:tc>
          <w:tcPr>
            <w:tcW w:w="3022" w:type="dxa"/>
            <w:shd w:val="clear" w:color="auto" w:fill="DEEAF6"/>
            <w:noWrap/>
            <w:vAlign w:val="center"/>
            <w:hideMark/>
          </w:tcPr>
          <w:p w14:paraId="6892E9F8" w14:textId="77777777" w:rsidR="006F31FD" w:rsidRPr="00F65571" w:rsidRDefault="006F31FD" w:rsidP="006F31FD">
            <w:pPr>
              <w:jc w:val="center"/>
              <w:rPr>
                <w:rFonts w:cs="Arial"/>
                <w:bCs/>
                <w:sz w:val="20"/>
                <w:szCs w:val="20"/>
              </w:rPr>
            </w:pPr>
            <w:r w:rsidRPr="00F65571">
              <w:rPr>
                <w:rFonts w:cs="Arial"/>
                <w:bCs/>
                <w:sz w:val="20"/>
                <w:szCs w:val="20"/>
              </w:rPr>
              <w:t>Roboty budowlane</w:t>
            </w:r>
          </w:p>
        </w:tc>
        <w:tc>
          <w:tcPr>
            <w:tcW w:w="1084" w:type="dxa"/>
            <w:shd w:val="clear" w:color="auto" w:fill="DEEAF6"/>
            <w:noWrap/>
            <w:vAlign w:val="center"/>
          </w:tcPr>
          <w:p w14:paraId="6726ACC1" w14:textId="20E4C0AC" w:rsidR="006F31FD" w:rsidRPr="00F65571" w:rsidRDefault="006F31FD" w:rsidP="006F31FD">
            <w:pPr>
              <w:jc w:val="center"/>
              <w:rPr>
                <w:rFonts w:cs="Arial"/>
                <w:sz w:val="20"/>
                <w:szCs w:val="20"/>
              </w:rPr>
            </w:pPr>
            <w:r w:rsidRPr="001A3868">
              <w:rPr>
                <w:sz w:val="20"/>
                <w:szCs w:val="20"/>
              </w:rPr>
              <w:t>4 344</w:t>
            </w:r>
          </w:p>
        </w:tc>
        <w:tc>
          <w:tcPr>
            <w:tcW w:w="4961" w:type="dxa"/>
            <w:shd w:val="clear" w:color="auto" w:fill="DEEAF6"/>
            <w:vAlign w:val="center"/>
          </w:tcPr>
          <w:p w14:paraId="51BE43E6" w14:textId="27A11452" w:rsidR="006F31FD" w:rsidRPr="00F65571" w:rsidRDefault="006F31FD" w:rsidP="006F31FD">
            <w:pPr>
              <w:jc w:val="center"/>
              <w:rPr>
                <w:rFonts w:cs="Arial"/>
                <w:sz w:val="20"/>
                <w:szCs w:val="20"/>
              </w:rPr>
            </w:pPr>
            <w:r w:rsidRPr="001A3868">
              <w:rPr>
                <w:sz w:val="20"/>
                <w:szCs w:val="20"/>
              </w:rPr>
              <w:t>19 061 158 900,95 zł</w:t>
            </w:r>
          </w:p>
        </w:tc>
      </w:tr>
      <w:tr w:rsidR="006F31FD" w:rsidRPr="00F65571" w14:paraId="6528FF76" w14:textId="77777777" w:rsidTr="00936E52">
        <w:trPr>
          <w:trHeight w:val="300"/>
          <w:jc w:val="center"/>
        </w:trPr>
        <w:tc>
          <w:tcPr>
            <w:tcW w:w="3022" w:type="dxa"/>
            <w:shd w:val="clear" w:color="auto" w:fill="auto"/>
            <w:noWrap/>
            <w:vAlign w:val="center"/>
          </w:tcPr>
          <w:p w14:paraId="271A3A9C" w14:textId="77777777" w:rsidR="006F31FD" w:rsidRPr="00F65571" w:rsidRDefault="006F31FD" w:rsidP="006F31FD">
            <w:pPr>
              <w:jc w:val="center"/>
              <w:rPr>
                <w:rFonts w:cs="Arial"/>
                <w:bCs/>
                <w:sz w:val="20"/>
                <w:szCs w:val="20"/>
              </w:rPr>
            </w:pPr>
            <w:r w:rsidRPr="00F65571">
              <w:rPr>
                <w:rFonts w:cs="Arial"/>
                <w:bCs/>
                <w:sz w:val="20"/>
                <w:szCs w:val="20"/>
              </w:rPr>
              <w:t>Usługi</w:t>
            </w:r>
          </w:p>
        </w:tc>
        <w:tc>
          <w:tcPr>
            <w:tcW w:w="1084" w:type="dxa"/>
            <w:shd w:val="clear" w:color="auto" w:fill="auto"/>
            <w:noWrap/>
            <w:vAlign w:val="center"/>
          </w:tcPr>
          <w:p w14:paraId="34474AA4" w14:textId="1FF83F3B" w:rsidR="006F31FD" w:rsidRPr="00F65571" w:rsidRDefault="006F31FD" w:rsidP="006F31FD">
            <w:pPr>
              <w:jc w:val="center"/>
              <w:rPr>
                <w:rFonts w:cs="Arial"/>
                <w:sz w:val="20"/>
                <w:szCs w:val="20"/>
              </w:rPr>
            </w:pPr>
            <w:r w:rsidRPr="001A3868">
              <w:rPr>
                <w:sz w:val="20"/>
                <w:szCs w:val="20"/>
              </w:rPr>
              <w:t>2 221</w:t>
            </w:r>
          </w:p>
        </w:tc>
        <w:tc>
          <w:tcPr>
            <w:tcW w:w="4961" w:type="dxa"/>
            <w:vAlign w:val="center"/>
          </w:tcPr>
          <w:p w14:paraId="2E07327F" w14:textId="08EDB2A9" w:rsidR="006F31FD" w:rsidRPr="00F65571" w:rsidRDefault="006F31FD" w:rsidP="006F31FD">
            <w:pPr>
              <w:jc w:val="center"/>
              <w:rPr>
                <w:rFonts w:cs="Arial"/>
                <w:sz w:val="20"/>
                <w:szCs w:val="20"/>
              </w:rPr>
            </w:pPr>
            <w:r w:rsidRPr="001A3868">
              <w:rPr>
                <w:sz w:val="20"/>
                <w:szCs w:val="20"/>
              </w:rPr>
              <w:t>14 128 298 562,28 zł</w:t>
            </w:r>
          </w:p>
        </w:tc>
      </w:tr>
    </w:tbl>
    <w:p w14:paraId="70DD3D16" w14:textId="1E6661E2" w:rsidR="00E868E2" w:rsidRDefault="00E868E2" w:rsidP="00E868E2">
      <w:pPr>
        <w:shd w:val="clear" w:color="auto" w:fill="FFFFFF"/>
      </w:pPr>
    </w:p>
    <w:p w14:paraId="58C5E62E" w14:textId="77777777" w:rsidR="003C77DF" w:rsidRPr="00F65571" w:rsidRDefault="003C77DF" w:rsidP="00E868E2">
      <w:pPr>
        <w:shd w:val="clear" w:color="auto" w:fill="FFFFFF"/>
      </w:pPr>
    </w:p>
    <w:p w14:paraId="727D726B" w14:textId="77777777" w:rsidR="00E868E2" w:rsidRPr="003C77DF" w:rsidRDefault="00E868E2" w:rsidP="00A76441">
      <w:pPr>
        <w:shd w:val="clear" w:color="auto" w:fill="FFFFFF"/>
        <w:ind w:left="709"/>
        <w:rPr>
          <w:b/>
          <w:color w:val="0070C0"/>
        </w:rPr>
      </w:pPr>
      <w:r w:rsidRPr="003C77DF">
        <w:rPr>
          <w:b/>
          <w:color w:val="0070C0"/>
        </w:rPr>
        <w:t>Określenie aspektów społecznych w kryteriach oceny ofert, o których mowa w art. 242 ust. 2 ustawy Pzp</w:t>
      </w:r>
    </w:p>
    <w:p w14:paraId="519B75C5" w14:textId="77777777" w:rsidR="00E868E2" w:rsidRPr="00F65571" w:rsidRDefault="00E868E2" w:rsidP="00E868E2">
      <w:pPr>
        <w:shd w:val="clear" w:color="auto" w:fill="FFFFFF"/>
      </w:pPr>
    </w:p>
    <w:p w14:paraId="7E8E41F6" w14:textId="176D7132" w:rsidR="003C77DF" w:rsidRPr="00F65571" w:rsidRDefault="003C77DF" w:rsidP="003C77DF">
      <w:pPr>
        <w:pStyle w:val="Legenda"/>
      </w:pPr>
      <w:bookmarkStart w:id="124" w:name="_Toc141276535"/>
      <w:r w:rsidRPr="00A76441">
        <w:t xml:space="preserve">Tab. </w:t>
      </w:r>
      <w:r w:rsidR="00BE2079">
        <w:fldChar w:fldCharType="begin"/>
      </w:r>
      <w:r w:rsidR="00BE2079">
        <w:instrText xml:space="preserve"> SEQ Tab. \* ARABIC </w:instrText>
      </w:r>
      <w:r w:rsidR="00BE2079">
        <w:fldChar w:fldCharType="separate"/>
      </w:r>
      <w:r w:rsidR="00A43C68">
        <w:rPr>
          <w:noProof/>
        </w:rPr>
        <w:t>28</w:t>
      </w:r>
      <w:r w:rsidR="00BE2079">
        <w:rPr>
          <w:noProof/>
        </w:rPr>
        <w:fldChar w:fldCharType="end"/>
      </w:r>
      <w:r w:rsidRPr="00A76441">
        <w:t xml:space="preserve">. Społeczne zamówienia publiczne z zastosowaniem </w:t>
      </w:r>
      <w:r w:rsidR="00507A1E" w:rsidRPr="00A76441">
        <w:t xml:space="preserve">art. 242 ust. 2 </w:t>
      </w:r>
      <w:r w:rsidRPr="00A76441">
        <w:t>ustawy Pzp</w:t>
      </w:r>
      <w:bookmarkEnd w:id="12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A76441" w:rsidRPr="00F65571" w14:paraId="71547FB2" w14:textId="77777777" w:rsidTr="00936E52">
        <w:trPr>
          <w:trHeight w:val="300"/>
          <w:jc w:val="center"/>
        </w:trPr>
        <w:tc>
          <w:tcPr>
            <w:tcW w:w="6941" w:type="dxa"/>
            <w:shd w:val="clear" w:color="auto" w:fill="DEEAF6"/>
            <w:noWrap/>
            <w:vAlign w:val="center"/>
          </w:tcPr>
          <w:p w14:paraId="68EDB1B9" w14:textId="77777777" w:rsidR="00A76441" w:rsidRPr="00F65571" w:rsidRDefault="00A76441" w:rsidP="00A76441">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121" w:type="dxa"/>
            <w:shd w:val="clear" w:color="auto" w:fill="DEEAF6"/>
            <w:noWrap/>
            <w:vAlign w:val="center"/>
          </w:tcPr>
          <w:p w14:paraId="01C8042A" w14:textId="5F696B1F" w:rsidR="00A76441" w:rsidRPr="00F65571" w:rsidRDefault="00A76441" w:rsidP="00A76441">
            <w:pPr>
              <w:jc w:val="center"/>
              <w:rPr>
                <w:rFonts w:cs="Arial"/>
                <w:sz w:val="20"/>
                <w:szCs w:val="20"/>
              </w:rPr>
            </w:pPr>
            <w:r w:rsidRPr="001A3868">
              <w:rPr>
                <w:rFonts w:cs="Arial"/>
                <w:sz w:val="20"/>
                <w:szCs w:val="20"/>
              </w:rPr>
              <w:t>1 897</w:t>
            </w:r>
          </w:p>
        </w:tc>
      </w:tr>
      <w:tr w:rsidR="00A76441" w:rsidRPr="00F65571" w14:paraId="2F122574" w14:textId="77777777" w:rsidTr="00936E52">
        <w:trPr>
          <w:trHeight w:val="300"/>
          <w:jc w:val="center"/>
        </w:trPr>
        <w:tc>
          <w:tcPr>
            <w:tcW w:w="6941" w:type="dxa"/>
            <w:shd w:val="clear" w:color="auto" w:fill="auto"/>
            <w:noWrap/>
            <w:vAlign w:val="center"/>
            <w:hideMark/>
          </w:tcPr>
          <w:p w14:paraId="51B3B199" w14:textId="77777777" w:rsidR="00A76441" w:rsidRPr="00F65571" w:rsidRDefault="00A76441" w:rsidP="00A76441">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2121" w:type="dxa"/>
            <w:shd w:val="clear" w:color="auto" w:fill="auto"/>
            <w:noWrap/>
            <w:vAlign w:val="center"/>
            <w:hideMark/>
          </w:tcPr>
          <w:p w14:paraId="49690EAC" w14:textId="77777777" w:rsidR="00A76441" w:rsidRPr="001F5BB6" w:rsidRDefault="00A76441" w:rsidP="00A76441">
            <w:pPr>
              <w:jc w:val="center"/>
              <w:rPr>
                <w:rFonts w:cs="Arial"/>
                <w:sz w:val="20"/>
                <w:szCs w:val="20"/>
              </w:rPr>
            </w:pPr>
            <w:r w:rsidRPr="001F5BB6">
              <w:rPr>
                <w:rFonts w:cs="Arial"/>
                <w:sz w:val="20"/>
                <w:szCs w:val="20"/>
              </w:rPr>
              <w:t>6 739 611 247,90 zł</w:t>
            </w:r>
          </w:p>
          <w:p w14:paraId="256F04A6" w14:textId="5E64B486" w:rsidR="00A76441" w:rsidRPr="00F65571" w:rsidRDefault="00A76441" w:rsidP="00A76441">
            <w:pPr>
              <w:jc w:val="center"/>
              <w:rPr>
                <w:rFonts w:cs="Arial"/>
                <w:sz w:val="20"/>
                <w:szCs w:val="20"/>
              </w:rPr>
            </w:pPr>
            <w:r w:rsidRPr="001F5BB6">
              <w:rPr>
                <w:rFonts w:cs="Arial"/>
                <w:sz w:val="20"/>
                <w:szCs w:val="20"/>
              </w:rPr>
              <w:t>(wartość bez VAT)</w:t>
            </w:r>
          </w:p>
        </w:tc>
      </w:tr>
    </w:tbl>
    <w:p w14:paraId="6633A21D"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F65571" w14:paraId="3EE3881D" w14:textId="77777777" w:rsidTr="00936E52">
        <w:trPr>
          <w:trHeight w:val="300"/>
          <w:tblHeader/>
          <w:jc w:val="center"/>
        </w:trPr>
        <w:tc>
          <w:tcPr>
            <w:tcW w:w="3022" w:type="dxa"/>
            <w:shd w:val="clear" w:color="auto" w:fill="5B9BD5"/>
            <w:noWrap/>
            <w:vAlign w:val="center"/>
          </w:tcPr>
          <w:p w14:paraId="65DF1D9B"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368" w:type="dxa"/>
            <w:shd w:val="clear" w:color="auto" w:fill="5B9BD5"/>
            <w:vAlign w:val="center"/>
          </w:tcPr>
          <w:p w14:paraId="3B7FB2CD"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677" w:type="dxa"/>
            <w:shd w:val="clear" w:color="auto" w:fill="5B9BD5"/>
            <w:vAlign w:val="center"/>
          </w:tcPr>
          <w:p w14:paraId="2CFB471A"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A76441" w:rsidRPr="00F65571" w14:paraId="0A232D99" w14:textId="77777777" w:rsidTr="00936E52">
        <w:trPr>
          <w:trHeight w:val="260"/>
          <w:jc w:val="center"/>
        </w:trPr>
        <w:tc>
          <w:tcPr>
            <w:tcW w:w="3022" w:type="dxa"/>
            <w:shd w:val="clear" w:color="auto" w:fill="auto"/>
            <w:noWrap/>
            <w:vAlign w:val="center"/>
          </w:tcPr>
          <w:p w14:paraId="39E987F1" w14:textId="77777777" w:rsidR="00A76441" w:rsidRPr="00F65571" w:rsidRDefault="00A76441" w:rsidP="00A76441">
            <w:pPr>
              <w:jc w:val="center"/>
              <w:rPr>
                <w:rFonts w:cs="Arial"/>
                <w:bCs/>
                <w:sz w:val="20"/>
                <w:szCs w:val="20"/>
              </w:rPr>
            </w:pPr>
            <w:r w:rsidRPr="00F65571">
              <w:rPr>
                <w:rFonts w:cs="Arial"/>
                <w:bCs/>
                <w:sz w:val="20"/>
                <w:szCs w:val="20"/>
              </w:rPr>
              <w:t>Dostawy</w:t>
            </w:r>
          </w:p>
        </w:tc>
        <w:tc>
          <w:tcPr>
            <w:tcW w:w="1368" w:type="dxa"/>
            <w:shd w:val="clear" w:color="auto" w:fill="auto"/>
            <w:noWrap/>
            <w:vAlign w:val="center"/>
          </w:tcPr>
          <w:p w14:paraId="4F11065C" w14:textId="0898A04B" w:rsidR="00A76441" w:rsidRPr="00F65571" w:rsidRDefault="00A76441" w:rsidP="00A76441">
            <w:pPr>
              <w:jc w:val="center"/>
              <w:rPr>
                <w:rFonts w:cs="Arial"/>
                <w:sz w:val="20"/>
                <w:szCs w:val="20"/>
              </w:rPr>
            </w:pPr>
            <w:r w:rsidRPr="005A1FCC">
              <w:rPr>
                <w:sz w:val="20"/>
                <w:szCs w:val="20"/>
              </w:rPr>
              <w:t>186</w:t>
            </w:r>
          </w:p>
        </w:tc>
        <w:tc>
          <w:tcPr>
            <w:tcW w:w="4677" w:type="dxa"/>
            <w:vAlign w:val="center"/>
          </w:tcPr>
          <w:p w14:paraId="5B2DE125" w14:textId="50A3C188" w:rsidR="00A76441" w:rsidRPr="00F65571" w:rsidRDefault="00A76441" w:rsidP="00A76441">
            <w:pPr>
              <w:jc w:val="center"/>
              <w:rPr>
                <w:rFonts w:cs="Arial"/>
                <w:sz w:val="20"/>
                <w:szCs w:val="20"/>
              </w:rPr>
            </w:pPr>
            <w:r w:rsidRPr="000D32C3">
              <w:rPr>
                <w:sz w:val="20"/>
                <w:szCs w:val="20"/>
              </w:rPr>
              <w:t>280 060 102,53 zł</w:t>
            </w:r>
          </w:p>
        </w:tc>
      </w:tr>
      <w:tr w:rsidR="00A76441" w:rsidRPr="00F65571" w14:paraId="1FAD6334" w14:textId="77777777" w:rsidTr="00936E52">
        <w:trPr>
          <w:trHeight w:val="300"/>
          <w:jc w:val="center"/>
        </w:trPr>
        <w:tc>
          <w:tcPr>
            <w:tcW w:w="3022" w:type="dxa"/>
            <w:shd w:val="clear" w:color="auto" w:fill="DEEAF6"/>
            <w:noWrap/>
            <w:vAlign w:val="center"/>
            <w:hideMark/>
          </w:tcPr>
          <w:p w14:paraId="0299024E" w14:textId="77777777" w:rsidR="00A76441" w:rsidRPr="00F65571" w:rsidRDefault="00A76441" w:rsidP="00A76441">
            <w:pPr>
              <w:jc w:val="center"/>
              <w:rPr>
                <w:rFonts w:cs="Arial"/>
                <w:bCs/>
                <w:sz w:val="20"/>
                <w:szCs w:val="20"/>
              </w:rPr>
            </w:pPr>
            <w:r w:rsidRPr="00F65571">
              <w:rPr>
                <w:rFonts w:cs="Arial"/>
                <w:bCs/>
                <w:sz w:val="20"/>
                <w:szCs w:val="20"/>
              </w:rPr>
              <w:t>Roboty budowlane</w:t>
            </w:r>
          </w:p>
        </w:tc>
        <w:tc>
          <w:tcPr>
            <w:tcW w:w="1368" w:type="dxa"/>
            <w:shd w:val="clear" w:color="auto" w:fill="DEEAF6"/>
            <w:noWrap/>
            <w:vAlign w:val="center"/>
          </w:tcPr>
          <w:p w14:paraId="42FA14E5" w14:textId="19987EF5" w:rsidR="00A76441" w:rsidRPr="00F65571" w:rsidRDefault="00A76441" w:rsidP="00A76441">
            <w:pPr>
              <w:jc w:val="center"/>
              <w:rPr>
                <w:rFonts w:cs="Arial"/>
                <w:sz w:val="20"/>
                <w:szCs w:val="20"/>
              </w:rPr>
            </w:pPr>
            <w:r w:rsidRPr="005A1FCC">
              <w:rPr>
                <w:sz w:val="20"/>
                <w:szCs w:val="20"/>
              </w:rPr>
              <w:t>477</w:t>
            </w:r>
          </w:p>
        </w:tc>
        <w:tc>
          <w:tcPr>
            <w:tcW w:w="4677" w:type="dxa"/>
            <w:shd w:val="clear" w:color="auto" w:fill="DEEAF6"/>
            <w:vAlign w:val="center"/>
          </w:tcPr>
          <w:p w14:paraId="0F0075A1" w14:textId="053E85F1" w:rsidR="00A76441" w:rsidRPr="00F65571" w:rsidRDefault="00A76441" w:rsidP="00A76441">
            <w:pPr>
              <w:jc w:val="center"/>
              <w:rPr>
                <w:rFonts w:cs="Arial"/>
                <w:sz w:val="20"/>
                <w:szCs w:val="20"/>
              </w:rPr>
            </w:pPr>
            <w:r w:rsidRPr="005A1FCC">
              <w:rPr>
                <w:sz w:val="20"/>
                <w:szCs w:val="20"/>
              </w:rPr>
              <w:t>2 376 257 200,57 zł</w:t>
            </w:r>
          </w:p>
        </w:tc>
      </w:tr>
      <w:tr w:rsidR="00A76441" w:rsidRPr="00F65571" w14:paraId="67C5E575" w14:textId="77777777" w:rsidTr="00936E52">
        <w:trPr>
          <w:trHeight w:val="300"/>
          <w:jc w:val="center"/>
        </w:trPr>
        <w:tc>
          <w:tcPr>
            <w:tcW w:w="3022" w:type="dxa"/>
            <w:shd w:val="clear" w:color="auto" w:fill="auto"/>
            <w:noWrap/>
            <w:vAlign w:val="center"/>
          </w:tcPr>
          <w:p w14:paraId="59C380D4" w14:textId="77777777" w:rsidR="00A76441" w:rsidRPr="00F65571" w:rsidRDefault="00A76441" w:rsidP="00A76441">
            <w:pPr>
              <w:jc w:val="center"/>
              <w:rPr>
                <w:rFonts w:cs="Arial"/>
                <w:bCs/>
                <w:sz w:val="20"/>
                <w:szCs w:val="20"/>
              </w:rPr>
            </w:pPr>
            <w:r w:rsidRPr="00F65571">
              <w:rPr>
                <w:rFonts w:cs="Arial"/>
                <w:bCs/>
                <w:sz w:val="20"/>
                <w:szCs w:val="20"/>
              </w:rPr>
              <w:t>Usługi</w:t>
            </w:r>
          </w:p>
        </w:tc>
        <w:tc>
          <w:tcPr>
            <w:tcW w:w="1368" w:type="dxa"/>
            <w:shd w:val="clear" w:color="auto" w:fill="auto"/>
            <w:noWrap/>
            <w:vAlign w:val="center"/>
          </w:tcPr>
          <w:p w14:paraId="3C323509" w14:textId="3AAD0883" w:rsidR="00A76441" w:rsidRPr="00F65571" w:rsidRDefault="00A76441" w:rsidP="00A76441">
            <w:pPr>
              <w:jc w:val="center"/>
              <w:rPr>
                <w:rFonts w:cs="Arial"/>
                <w:sz w:val="20"/>
                <w:szCs w:val="20"/>
              </w:rPr>
            </w:pPr>
            <w:r w:rsidRPr="005A1FCC">
              <w:rPr>
                <w:sz w:val="20"/>
                <w:szCs w:val="20"/>
              </w:rPr>
              <w:t>1 234</w:t>
            </w:r>
          </w:p>
        </w:tc>
        <w:tc>
          <w:tcPr>
            <w:tcW w:w="4677" w:type="dxa"/>
            <w:vAlign w:val="center"/>
          </w:tcPr>
          <w:p w14:paraId="6D2962F3" w14:textId="0E31E431" w:rsidR="00A76441" w:rsidRPr="00F65571" w:rsidRDefault="00A76441" w:rsidP="00A76441">
            <w:pPr>
              <w:jc w:val="center"/>
              <w:rPr>
                <w:rFonts w:cs="Arial"/>
                <w:sz w:val="20"/>
                <w:szCs w:val="20"/>
              </w:rPr>
            </w:pPr>
            <w:r w:rsidRPr="001F5BB6">
              <w:rPr>
                <w:sz w:val="20"/>
                <w:szCs w:val="20"/>
              </w:rPr>
              <w:t>4 083 293 944,80 zł</w:t>
            </w:r>
          </w:p>
        </w:tc>
      </w:tr>
    </w:tbl>
    <w:p w14:paraId="2E00A9F9" w14:textId="2BDA3B0F" w:rsidR="00E868E2" w:rsidRDefault="00E868E2" w:rsidP="00E868E2">
      <w:pPr>
        <w:shd w:val="clear" w:color="auto" w:fill="FFFFFF"/>
      </w:pPr>
    </w:p>
    <w:p w14:paraId="6E1873AE" w14:textId="77777777" w:rsidR="00507A1E" w:rsidRPr="00F65571" w:rsidRDefault="00507A1E" w:rsidP="00E868E2">
      <w:pPr>
        <w:shd w:val="clear" w:color="auto" w:fill="FFFFFF"/>
      </w:pPr>
    </w:p>
    <w:p w14:paraId="6A858195" w14:textId="23962BA4" w:rsidR="00E868E2" w:rsidRPr="00507A1E" w:rsidRDefault="00E868E2" w:rsidP="00C16B35">
      <w:pPr>
        <w:shd w:val="clear" w:color="auto" w:fill="FFFFFF"/>
        <w:ind w:left="709"/>
        <w:rPr>
          <w:b/>
          <w:color w:val="0070C0"/>
        </w:rPr>
      </w:pPr>
      <w:r w:rsidRPr="00507A1E">
        <w:rPr>
          <w:b/>
          <w:color w:val="0070C0"/>
        </w:rPr>
        <w:t>Określenie wymagań zw</w:t>
      </w:r>
      <w:r w:rsidR="008A63BF">
        <w:rPr>
          <w:b/>
          <w:color w:val="0070C0"/>
        </w:rPr>
        <w:t>iązanych</w:t>
      </w:r>
      <w:r w:rsidRPr="00507A1E">
        <w:rPr>
          <w:b/>
          <w:color w:val="0070C0"/>
        </w:rPr>
        <w:t xml:space="preserve"> z realizacją zamówienia w zakresie zatrudnienia na podstawie stosunku pracy, o których mowa w art. 95 ust. 1 ustawy Pzp</w:t>
      </w:r>
    </w:p>
    <w:p w14:paraId="1EC91FF3" w14:textId="77777777" w:rsidR="00E868E2" w:rsidRPr="00F65571" w:rsidRDefault="00E868E2" w:rsidP="00E868E2">
      <w:pPr>
        <w:shd w:val="clear" w:color="auto" w:fill="FFFFFF"/>
      </w:pPr>
    </w:p>
    <w:p w14:paraId="02AFC7A8" w14:textId="61034242" w:rsidR="00507A1E" w:rsidRPr="00F65571" w:rsidRDefault="00507A1E" w:rsidP="00507A1E">
      <w:pPr>
        <w:pStyle w:val="Legenda"/>
      </w:pPr>
      <w:bookmarkStart w:id="125" w:name="_Toc141276536"/>
      <w:r w:rsidRPr="00793F0C">
        <w:t xml:space="preserve">Tab. </w:t>
      </w:r>
      <w:r w:rsidR="00BE2079">
        <w:fldChar w:fldCharType="begin"/>
      </w:r>
      <w:r w:rsidR="00BE2079">
        <w:instrText xml:space="preserve"> SEQ Tab. \* ARABIC </w:instrText>
      </w:r>
      <w:r w:rsidR="00BE2079">
        <w:fldChar w:fldCharType="separate"/>
      </w:r>
      <w:r w:rsidR="00A43C68">
        <w:rPr>
          <w:noProof/>
        </w:rPr>
        <w:t>29</w:t>
      </w:r>
      <w:r w:rsidR="00BE2079">
        <w:rPr>
          <w:noProof/>
        </w:rPr>
        <w:fldChar w:fldCharType="end"/>
      </w:r>
      <w:r w:rsidRPr="00793F0C">
        <w:t xml:space="preserve">. Zamówienia publiczne </w:t>
      </w:r>
      <w:r w:rsidR="00DF119D" w:rsidRPr="00793F0C">
        <w:t xml:space="preserve">z zastosowaniem art. 95 ust. 1 </w:t>
      </w:r>
      <w:r w:rsidRPr="00793F0C">
        <w:t>ustawy Pzp</w:t>
      </w:r>
      <w:bookmarkEnd w:id="12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176F0" w:rsidRPr="00F65571" w14:paraId="00CB9A7D" w14:textId="77777777" w:rsidTr="00936E52">
        <w:trPr>
          <w:trHeight w:val="300"/>
          <w:jc w:val="center"/>
        </w:trPr>
        <w:tc>
          <w:tcPr>
            <w:tcW w:w="6941" w:type="dxa"/>
            <w:shd w:val="clear" w:color="auto" w:fill="DEEAF6"/>
            <w:noWrap/>
            <w:vAlign w:val="center"/>
          </w:tcPr>
          <w:p w14:paraId="12D312FB" w14:textId="77777777" w:rsidR="002176F0" w:rsidRPr="00F65571" w:rsidRDefault="002176F0" w:rsidP="002176F0">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121" w:type="dxa"/>
            <w:shd w:val="clear" w:color="auto" w:fill="DEEAF6"/>
            <w:noWrap/>
            <w:vAlign w:val="center"/>
          </w:tcPr>
          <w:p w14:paraId="468BEB38" w14:textId="430216B5" w:rsidR="002176F0" w:rsidRPr="00F65571" w:rsidRDefault="002176F0" w:rsidP="002176F0">
            <w:pPr>
              <w:jc w:val="center"/>
              <w:rPr>
                <w:rFonts w:cs="Arial"/>
                <w:sz w:val="20"/>
                <w:szCs w:val="20"/>
              </w:rPr>
            </w:pPr>
            <w:r w:rsidRPr="00AB0D41">
              <w:rPr>
                <w:rFonts w:cs="Arial"/>
                <w:sz w:val="20"/>
                <w:szCs w:val="20"/>
              </w:rPr>
              <w:t>35 225</w:t>
            </w:r>
          </w:p>
        </w:tc>
      </w:tr>
      <w:tr w:rsidR="002176F0" w:rsidRPr="00F65571" w14:paraId="6B487DF8" w14:textId="77777777" w:rsidTr="00936E52">
        <w:trPr>
          <w:trHeight w:val="300"/>
          <w:jc w:val="center"/>
        </w:trPr>
        <w:tc>
          <w:tcPr>
            <w:tcW w:w="6941" w:type="dxa"/>
            <w:shd w:val="clear" w:color="auto" w:fill="auto"/>
            <w:noWrap/>
            <w:vAlign w:val="center"/>
            <w:hideMark/>
          </w:tcPr>
          <w:p w14:paraId="1DF26A67" w14:textId="77777777" w:rsidR="002176F0" w:rsidRPr="00F65571" w:rsidRDefault="002176F0" w:rsidP="002176F0">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2121" w:type="dxa"/>
            <w:shd w:val="clear" w:color="auto" w:fill="auto"/>
            <w:noWrap/>
            <w:vAlign w:val="center"/>
            <w:hideMark/>
          </w:tcPr>
          <w:p w14:paraId="381EEFAF" w14:textId="77777777" w:rsidR="002176F0" w:rsidRPr="001F5BB6" w:rsidRDefault="002176F0" w:rsidP="002176F0">
            <w:pPr>
              <w:jc w:val="center"/>
              <w:rPr>
                <w:rFonts w:cs="Arial"/>
                <w:sz w:val="20"/>
                <w:szCs w:val="20"/>
              </w:rPr>
            </w:pPr>
            <w:r w:rsidRPr="001F5BB6">
              <w:rPr>
                <w:rFonts w:cs="Arial"/>
                <w:sz w:val="20"/>
                <w:szCs w:val="20"/>
              </w:rPr>
              <w:t>95 953 672 674,17 zł</w:t>
            </w:r>
          </w:p>
          <w:p w14:paraId="37F5C9B9" w14:textId="15DDE3CB" w:rsidR="002176F0" w:rsidRPr="00F65571" w:rsidRDefault="002176F0" w:rsidP="002176F0">
            <w:pPr>
              <w:jc w:val="center"/>
              <w:rPr>
                <w:rFonts w:cs="Arial"/>
                <w:sz w:val="20"/>
                <w:szCs w:val="20"/>
              </w:rPr>
            </w:pPr>
            <w:r w:rsidRPr="001F5BB6">
              <w:rPr>
                <w:rFonts w:cs="Arial"/>
                <w:sz w:val="20"/>
                <w:szCs w:val="20"/>
              </w:rPr>
              <w:t>(wartość bez VAT)</w:t>
            </w:r>
          </w:p>
        </w:tc>
      </w:tr>
    </w:tbl>
    <w:p w14:paraId="57158309"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E868E2" w:rsidRPr="00F65571" w14:paraId="7EFCF4D1" w14:textId="77777777" w:rsidTr="00936E52">
        <w:trPr>
          <w:trHeight w:val="300"/>
          <w:tblHeader/>
          <w:jc w:val="center"/>
        </w:trPr>
        <w:tc>
          <w:tcPr>
            <w:tcW w:w="3022" w:type="dxa"/>
            <w:shd w:val="clear" w:color="auto" w:fill="5B9BD5"/>
            <w:noWrap/>
            <w:vAlign w:val="center"/>
          </w:tcPr>
          <w:p w14:paraId="6F50D87E"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084" w:type="dxa"/>
            <w:shd w:val="clear" w:color="auto" w:fill="5B9BD5"/>
            <w:vAlign w:val="center"/>
          </w:tcPr>
          <w:p w14:paraId="0B8E4D04"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961" w:type="dxa"/>
            <w:shd w:val="clear" w:color="auto" w:fill="5B9BD5"/>
            <w:vAlign w:val="center"/>
          </w:tcPr>
          <w:p w14:paraId="6D2D5403"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2176F0" w:rsidRPr="00F65571" w14:paraId="455CA70C" w14:textId="77777777" w:rsidTr="00936E52">
        <w:trPr>
          <w:trHeight w:val="313"/>
          <w:jc w:val="center"/>
        </w:trPr>
        <w:tc>
          <w:tcPr>
            <w:tcW w:w="3022" w:type="dxa"/>
            <w:shd w:val="clear" w:color="auto" w:fill="auto"/>
            <w:noWrap/>
            <w:vAlign w:val="center"/>
          </w:tcPr>
          <w:p w14:paraId="4948EE56" w14:textId="77777777" w:rsidR="002176F0" w:rsidRPr="00F65571" w:rsidRDefault="002176F0" w:rsidP="002176F0">
            <w:pPr>
              <w:jc w:val="center"/>
              <w:rPr>
                <w:rFonts w:cs="Arial"/>
                <w:bCs/>
                <w:sz w:val="20"/>
                <w:szCs w:val="20"/>
              </w:rPr>
            </w:pPr>
            <w:r w:rsidRPr="00F65571">
              <w:rPr>
                <w:rFonts w:cs="Arial"/>
                <w:bCs/>
                <w:sz w:val="20"/>
                <w:szCs w:val="20"/>
              </w:rPr>
              <w:t>Dostawy</w:t>
            </w:r>
          </w:p>
        </w:tc>
        <w:tc>
          <w:tcPr>
            <w:tcW w:w="1084" w:type="dxa"/>
            <w:shd w:val="clear" w:color="auto" w:fill="auto"/>
            <w:noWrap/>
            <w:vAlign w:val="center"/>
          </w:tcPr>
          <w:p w14:paraId="0DEC2F30" w14:textId="45C29ED9" w:rsidR="002176F0" w:rsidRPr="00F65571" w:rsidRDefault="002176F0" w:rsidP="002176F0">
            <w:pPr>
              <w:jc w:val="center"/>
              <w:rPr>
                <w:rFonts w:cs="Arial"/>
                <w:sz w:val="20"/>
                <w:szCs w:val="20"/>
              </w:rPr>
            </w:pPr>
            <w:r w:rsidRPr="00AB0D41">
              <w:rPr>
                <w:sz w:val="20"/>
                <w:szCs w:val="20"/>
              </w:rPr>
              <w:t>507</w:t>
            </w:r>
          </w:p>
        </w:tc>
        <w:tc>
          <w:tcPr>
            <w:tcW w:w="4961" w:type="dxa"/>
            <w:vAlign w:val="center"/>
          </w:tcPr>
          <w:p w14:paraId="38DB0507" w14:textId="0ACDC5E5" w:rsidR="002176F0" w:rsidRPr="00F65571" w:rsidRDefault="002176F0" w:rsidP="002176F0">
            <w:pPr>
              <w:jc w:val="center"/>
              <w:rPr>
                <w:rFonts w:cs="Arial"/>
                <w:sz w:val="20"/>
                <w:szCs w:val="20"/>
              </w:rPr>
            </w:pPr>
            <w:r w:rsidRPr="00AB0D41">
              <w:rPr>
                <w:sz w:val="20"/>
                <w:szCs w:val="20"/>
              </w:rPr>
              <w:t>565 092 913,04 zł</w:t>
            </w:r>
          </w:p>
        </w:tc>
      </w:tr>
      <w:tr w:rsidR="002176F0" w:rsidRPr="00F65571" w14:paraId="37170D44" w14:textId="77777777" w:rsidTr="00936E52">
        <w:trPr>
          <w:trHeight w:val="300"/>
          <w:jc w:val="center"/>
        </w:trPr>
        <w:tc>
          <w:tcPr>
            <w:tcW w:w="3022" w:type="dxa"/>
            <w:shd w:val="clear" w:color="auto" w:fill="DEEAF6"/>
            <w:noWrap/>
            <w:vAlign w:val="center"/>
            <w:hideMark/>
          </w:tcPr>
          <w:p w14:paraId="0E815878" w14:textId="77777777" w:rsidR="002176F0" w:rsidRPr="00F65571" w:rsidRDefault="002176F0" w:rsidP="002176F0">
            <w:pPr>
              <w:jc w:val="center"/>
              <w:rPr>
                <w:rFonts w:cs="Arial"/>
                <w:bCs/>
                <w:sz w:val="20"/>
                <w:szCs w:val="20"/>
              </w:rPr>
            </w:pPr>
            <w:r w:rsidRPr="00F65571">
              <w:rPr>
                <w:rFonts w:cs="Arial"/>
                <w:bCs/>
                <w:sz w:val="20"/>
                <w:szCs w:val="20"/>
              </w:rPr>
              <w:t>Roboty budowlane</w:t>
            </w:r>
          </w:p>
        </w:tc>
        <w:tc>
          <w:tcPr>
            <w:tcW w:w="1084" w:type="dxa"/>
            <w:shd w:val="clear" w:color="auto" w:fill="DEEAF6"/>
            <w:noWrap/>
            <w:vAlign w:val="center"/>
          </w:tcPr>
          <w:p w14:paraId="132BB6A8" w14:textId="58ED1A9C" w:rsidR="002176F0" w:rsidRPr="00F65571" w:rsidRDefault="002176F0" w:rsidP="002176F0">
            <w:pPr>
              <w:jc w:val="center"/>
              <w:rPr>
                <w:rFonts w:cs="Arial"/>
                <w:sz w:val="20"/>
                <w:szCs w:val="20"/>
              </w:rPr>
            </w:pPr>
            <w:r w:rsidRPr="00AB0D41">
              <w:rPr>
                <w:sz w:val="20"/>
                <w:szCs w:val="20"/>
              </w:rPr>
              <w:t>19 273</w:t>
            </w:r>
          </w:p>
        </w:tc>
        <w:tc>
          <w:tcPr>
            <w:tcW w:w="4961" w:type="dxa"/>
            <w:shd w:val="clear" w:color="auto" w:fill="DEEAF6"/>
            <w:vAlign w:val="center"/>
          </w:tcPr>
          <w:p w14:paraId="0F0B1450" w14:textId="1BAE55DC" w:rsidR="002176F0" w:rsidRPr="00F65571" w:rsidRDefault="002176F0" w:rsidP="002176F0">
            <w:pPr>
              <w:jc w:val="center"/>
              <w:rPr>
                <w:rFonts w:cs="Arial"/>
                <w:sz w:val="20"/>
                <w:szCs w:val="20"/>
              </w:rPr>
            </w:pPr>
            <w:r w:rsidRPr="00AB0D41">
              <w:rPr>
                <w:sz w:val="20"/>
                <w:szCs w:val="20"/>
              </w:rPr>
              <w:t>56 014 959 657,68 zł</w:t>
            </w:r>
          </w:p>
        </w:tc>
      </w:tr>
      <w:tr w:rsidR="002176F0" w:rsidRPr="00F65571" w14:paraId="280B1922" w14:textId="77777777" w:rsidTr="00936E52">
        <w:trPr>
          <w:trHeight w:val="300"/>
          <w:jc w:val="center"/>
        </w:trPr>
        <w:tc>
          <w:tcPr>
            <w:tcW w:w="3022" w:type="dxa"/>
            <w:shd w:val="clear" w:color="auto" w:fill="auto"/>
            <w:noWrap/>
            <w:vAlign w:val="center"/>
          </w:tcPr>
          <w:p w14:paraId="0A64B921" w14:textId="77777777" w:rsidR="002176F0" w:rsidRPr="00F65571" w:rsidRDefault="002176F0" w:rsidP="002176F0">
            <w:pPr>
              <w:jc w:val="center"/>
              <w:rPr>
                <w:rFonts w:cs="Arial"/>
                <w:bCs/>
                <w:sz w:val="20"/>
                <w:szCs w:val="20"/>
              </w:rPr>
            </w:pPr>
            <w:r w:rsidRPr="00F65571">
              <w:rPr>
                <w:rFonts w:cs="Arial"/>
                <w:bCs/>
                <w:sz w:val="20"/>
                <w:szCs w:val="20"/>
              </w:rPr>
              <w:t>Usługi</w:t>
            </w:r>
          </w:p>
        </w:tc>
        <w:tc>
          <w:tcPr>
            <w:tcW w:w="1084" w:type="dxa"/>
            <w:shd w:val="clear" w:color="auto" w:fill="auto"/>
            <w:noWrap/>
            <w:vAlign w:val="center"/>
          </w:tcPr>
          <w:p w14:paraId="551EEF25" w14:textId="2065F7D2" w:rsidR="002176F0" w:rsidRPr="00F65571" w:rsidRDefault="002176F0" w:rsidP="002176F0">
            <w:pPr>
              <w:jc w:val="center"/>
              <w:rPr>
                <w:rFonts w:cs="Arial"/>
                <w:sz w:val="20"/>
                <w:szCs w:val="20"/>
              </w:rPr>
            </w:pPr>
            <w:r w:rsidRPr="00AB0D41">
              <w:rPr>
                <w:sz w:val="20"/>
                <w:szCs w:val="20"/>
              </w:rPr>
              <w:t>15 445</w:t>
            </w:r>
          </w:p>
        </w:tc>
        <w:tc>
          <w:tcPr>
            <w:tcW w:w="4961" w:type="dxa"/>
            <w:vAlign w:val="center"/>
          </w:tcPr>
          <w:p w14:paraId="1EC93536" w14:textId="0AD08A0F" w:rsidR="002176F0" w:rsidRPr="00F65571" w:rsidRDefault="002176F0" w:rsidP="002176F0">
            <w:pPr>
              <w:jc w:val="center"/>
              <w:rPr>
                <w:rFonts w:cs="Arial"/>
                <w:sz w:val="20"/>
                <w:szCs w:val="20"/>
              </w:rPr>
            </w:pPr>
            <w:r w:rsidRPr="001F5BB6">
              <w:rPr>
                <w:sz w:val="20"/>
                <w:szCs w:val="20"/>
              </w:rPr>
              <w:t>39 373 620 103,45 zł</w:t>
            </w:r>
          </w:p>
        </w:tc>
      </w:tr>
    </w:tbl>
    <w:p w14:paraId="4CCFEFE3" w14:textId="0BF32C8A" w:rsidR="00E868E2" w:rsidRDefault="00E868E2" w:rsidP="00E868E2">
      <w:pPr>
        <w:shd w:val="clear" w:color="auto" w:fill="FFFFFF"/>
      </w:pPr>
    </w:p>
    <w:p w14:paraId="0B0051A0" w14:textId="77777777" w:rsidR="00D17D5A" w:rsidRPr="00F65571" w:rsidRDefault="00D17D5A" w:rsidP="00E868E2">
      <w:pPr>
        <w:shd w:val="clear" w:color="auto" w:fill="FFFFFF"/>
      </w:pPr>
    </w:p>
    <w:p w14:paraId="6032BCB1" w14:textId="657F6519" w:rsidR="00E868E2" w:rsidRPr="00D17D5A" w:rsidRDefault="00E868E2" w:rsidP="00793F0C">
      <w:pPr>
        <w:shd w:val="clear" w:color="auto" w:fill="FFFFFF"/>
        <w:ind w:left="709"/>
        <w:rPr>
          <w:b/>
          <w:color w:val="0070C0"/>
        </w:rPr>
      </w:pPr>
      <w:r w:rsidRPr="00D17D5A">
        <w:rPr>
          <w:b/>
          <w:color w:val="0070C0"/>
        </w:rPr>
        <w:t>Określenie wymagań zw</w:t>
      </w:r>
      <w:r w:rsidR="008A63BF">
        <w:rPr>
          <w:b/>
          <w:color w:val="0070C0"/>
        </w:rPr>
        <w:t>iązanych</w:t>
      </w:r>
      <w:r w:rsidRPr="00D17D5A">
        <w:rPr>
          <w:b/>
          <w:color w:val="0070C0"/>
        </w:rPr>
        <w:t xml:space="preserve"> z realizacją zamówienia obejmujących aspekty społeczne związane z zatrudnieniem, o których mowa w art. 96 ust. 1 ustawy Pzp</w:t>
      </w:r>
    </w:p>
    <w:p w14:paraId="157DBB5A" w14:textId="77777777" w:rsidR="00E868E2" w:rsidRPr="00F65571" w:rsidRDefault="00E868E2" w:rsidP="00E868E2">
      <w:pPr>
        <w:shd w:val="clear" w:color="auto" w:fill="FFFFFF"/>
      </w:pPr>
    </w:p>
    <w:p w14:paraId="76C2D430" w14:textId="20C15928" w:rsidR="00D17D5A" w:rsidRPr="00F65571" w:rsidRDefault="00D17D5A" w:rsidP="00D17D5A">
      <w:pPr>
        <w:pStyle w:val="Legenda"/>
      </w:pPr>
      <w:bookmarkStart w:id="126" w:name="_Toc141276537"/>
      <w:r w:rsidRPr="00305FA6">
        <w:t xml:space="preserve">Tab. </w:t>
      </w:r>
      <w:r w:rsidR="00BE2079">
        <w:fldChar w:fldCharType="begin"/>
      </w:r>
      <w:r w:rsidR="00BE2079">
        <w:instrText xml:space="preserve"> SEQ Tab. \* ARABIC </w:instrText>
      </w:r>
      <w:r w:rsidR="00BE2079">
        <w:fldChar w:fldCharType="separate"/>
      </w:r>
      <w:r w:rsidR="00A43C68">
        <w:rPr>
          <w:noProof/>
        </w:rPr>
        <w:t>30</w:t>
      </w:r>
      <w:r w:rsidR="00BE2079">
        <w:rPr>
          <w:noProof/>
        </w:rPr>
        <w:fldChar w:fldCharType="end"/>
      </w:r>
      <w:r w:rsidRPr="00305FA6">
        <w:t>. Społeczne zamówienia publiczne z zastosowaniem art. 96 ust. 1 ustawy Pzp</w:t>
      </w:r>
      <w:bookmarkEnd w:id="126"/>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6"/>
      </w:tblGrid>
      <w:tr w:rsidR="00F910D4" w:rsidRPr="00F65571" w14:paraId="743B1BFE" w14:textId="77777777" w:rsidTr="00936E52">
        <w:trPr>
          <w:trHeight w:val="300"/>
          <w:jc w:val="center"/>
        </w:trPr>
        <w:tc>
          <w:tcPr>
            <w:tcW w:w="6941" w:type="dxa"/>
            <w:shd w:val="clear" w:color="auto" w:fill="DEEAF6"/>
            <w:noWrap/>
            <w:vAlign w:val="center"/>
          </w:tcPr>
          <w:p w14:paraId="124940F2" w14:textId="77777777" w:rsidR="00F910D4" w:rsidRPr="00F65571" w:rsidRDefault="00F910D4" w:rsidP="00F910D4">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2126" w:type="dxa"/>
            <w:shd w:val="clear" w:color="auto" w:fill="DEEAF6"/>
            <w:noWrap/>
            <w:vAlign w:val="center"/>
          </w:tcPr>
          <w:p w14:paraId="1F4D5178" w14:textId="37058673" w:rsidR="00F910D4" w:rsidRPr="00F65571" w:rsidRDefault="00F910D4" w:rsidP="00F910D4">
            <w:pPr>
              <w:jc w:val="center"/>
              <w:rPr>
                <w:rFonts w:cs="Arial"/>
                <w:sz w:val="20"/>
                <w:szCs w:val="20"/>
              </w:rPr>
            </w:pPr>
            <w:r w:rsidRPr="000D2C61">
              <w:rPr>
                <w:rFonts w:cs="Arial"/>
                <w:sz w:val="20"/>
                <w:szCs w:val="20"/>
              </w:rPr>
              <w:t>1 123</w:t>
            </w:r>
          </w:p>
        </w:tc>
      </w:tr>
      <w:tr w:rsidR="00F910D4" w:rsidRPr="00F65571" w14:paraId="6FC709EA" w14:textId="77777777" w:rsidTr="00936E52">
        <w:trPr>
          <w:trHeight w:val="300"/>
          <w:jc w:val="center"/>
        </w:trPr>
        <w:tc>
          <w:tcPr>
            <w:tcW w:w="6941" w:type="dxa"/>
            <w:shd w:val="clear" w:color="auto" w:fill="auto"/>
            <w:noWrap/>
            <w:vAlign w:val="center"/>
            <w:hideMark/>
          </w:tcPr>
          <w:p w14:paraId="1AADD058" w14:textId="77777777" w:rsidR="00F910D4" w:rsidRPr="00F65571" w:rsidRDefault="00F910D4" w:rsidP="00F910D4">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2126" w:type="dxa"/>
            <w:shd w:val="clear" w:color="auto" w:fill="auto"/>
            <w:noWrap/>
            <w:vAlign w:val="center"/>
            <w:hideMark/>
          </w:tcPr>
          <w:p w14:paraId="5A215D5D" w14:textId="77777777" w:rsidR="00F910D4" w:rsidRPr="001F5BB6" w:rsidRDefault="00F910D4" w:rsidP="00F910D4">
            <w:pPr>
              <w:jc w:val="center"/>
              <w:rPr>
                <w:rFonts w:cs="Arial"/>
                <w:sz w:val="20"/>
                <w:szCs w:val="20"/>
              </w:rPr>
            </w:pPr>
            <w:r w:rsidRPr="001F5BB6">
              <w:rPr>
                <w:rFonts w:cs="Arial"/>
                <w:sz w:val="20"/>
                <w:szCs w:val="20"/>
              </w:rPr>
              <w:t>3 041 145 766,69 zł</w:t>
            </w:r>
          </w:p>
          <w:p w14:paraId="40CF679F" w14:textId="4D07A522" w:rsidR="00F910D4" w:rsidRPr="00F65571" w:rsidRDefault="00F910D4" w:rsidP="00F910D4">
            <w:pPr>
              <w:jc w:val="center"/>
              <w:rPr>
                <w:rFonts w:cs="Arial"/>
                <w:sz w:val="20"/>
                <w:szCs w:val="20"/>
              </w:rPr>
            </w:pPr>
            <w:r w:rsidRPr="001F5BB6">
              <w:rPr>
                <w:rFonts w:cs="Arial"/>
                <w:sz w:val="20"/>
                <w:szCs w:val="20"/>
              </w:rPr>
              <w:t>(wartość bez VAT)</w:t>
            </w:r>
          </w:p>
        </w:tc>
      </w:tr>
    </w:tbl>
    <w:p w14:paraId="41D436F7"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F65571" w14:paraId="79B83A51" w14:textId="77777777" w:rsidTr="00936E52">
        <w:trPr>
          <w:trHeight w:val="300"/>
          <w:tblHeader/>
          <w:jc w:val="center"/>
        </w:trPr>
        <w:tc>
          <w:tcPr>
            <w:tcW w:w="3022" w:type="dxa"/>
            <w:shd w:val="clear" w:color="auto" w:fill="5B9BD5"/>
            <w:noWrap/>
            <w:vAlign w:val="center"/>
          </w:tcPr>
          <w:p w14:paraId="054D7D5F" w14:textId="77777777" w:rsidR="00E868E2" w:rsidRPr="00F65571" w:rsidRDefault="00E868E2" w:rsidP="00936E52">
            <w:pPr>
              <w:jc w:val="center"/>
              <w:rPr>
                <w:rFonts w:cs="Arial"/>
                <w:sz w:val="20"/>
                <w:szCs w:val="20"/>
              </w:rPr>
            </w:pPr>
            <w:r w:rsidRPr="00F65571">
              <w:rPr>
                <w:rFonts w:cs="Arial"/>
                <w:bCs/>
                <w:sz w:val="20"/>
                <w:szCs w:val="20"/>
              </w:rPr>
              <w:t>Rodzaj zamówienia</w:t>
            </w:r>
          </w:p>
        </w:tc>
        <w:tc>
          <w:tcPr>
            <w:tcW w:w="1368" w:type="dxa"/>
            <w:shd w:val="clear" w:color="auto" w:fill="5B9BD5"/>
            <w:vAlign w:val="center"/>
          </w:tcPr>
          <w:p w14:paraId="08CF5E9C" w14:textId="77777777" w:rsidR="00E868E2" w:rsidRPr="00F65571" w:rsidRDefault="00E868E2" w:rsidP="00936E52">
            <w:pPr>
              <w:jc w:val="center"/>
              <w:rPr>
                <w:rFonts w:cs="Arial"/>
                <w:sz w:val="20"/>
                <w:szCs w:val="20"/>
              </w:rPr>
            </w:pPr>
            <w:r w:rsidRPr="00F65571">
              <w:rPr>
                <w:rFonts w:cs="Arial"/>
                <w:sz w:val="20"/>
                <w:szCs w:val="20"/>
              </w:rPr>
              <w:t>Liczba</w:t>
            </w:r>
          </w:p>
        </w:tc>
        <w:tc>
          <w:tcPr>
            <w:tcW w:w="4677" w:type="dxa"/>
            <w:shd w:val="clear" w:color="auto" w:fill="5B9BD5"/>
            <w:vAlign w:val="center"/>
          </w:tcPr>
          <w:p w14:paraId="166D49E3" w14:textId="77777777" w:rsidR="00E868E2" w:rsidRPr="00F65571" w:rsidRDefault="00E868E2" w:rsidP="00936E52">
            <w:pPr>
              <w:jc w:val="center"/>
              <w:rPr>
                <w:rFonts w:cs="Arial"/>
                <w:sz w:val="20"/>
                <w:szCs w:val="20"/>
              </w:rPr>
            </w:pPr>
            <w:r w:rsidRPr="00F65571">
              <w:rPr>
                <w:rFonts w:cs="Arial"/>
                <w:b/>
                <w:sz w:val="20"/>
                <w:szCs w:val="20"/>
              </w:rPr>
              <w:t>Wartość (bez VAT)</w:t>
            </w:r>
          </w:p>
        </w:tc>
      </w:tr>
      <w:tr w:rsidR="00F910D4" w:rsidRPr="00F65571" w14:paraId="552BFE6D" w14:textId="77777777" w:rsidTr="00522D56">
        <w:trPr>
          <w:trHeight w:val="355"/>
          <w:jc w:val="center"/>
        </w:trPr>
        <w:tc>
          <w:tcPr>
            <w:tcW w:w="3022" w:type="dxa"/>
            <w:shd w:val="clear" w:color="auto" w:fill="auto"/>
            <w:noWrap/>
            <w:vAlign w:val="center"/>
          </w:tcPr>
          <w:p w14:paraId="2BA21FC0" w14:textId="77777777" w:rsidR="00F910D4" w:rsidRPr="00F65571" w:rsidRDefault="00F910D4" w:rsidP="00F910D4">
            <w:pPr>
              <w:jc w:val="center"/>
              <w:rPr>
                <w:rFonts w:cs="Arial"/>
                <w:bCs/>
                <w:sz w:val="20"/>
                <w:szCs w:val="20"/>
              </w:rPr>
            </w:pPr>
            <w:r w:rsidRPr="00F65571">
              <w:rPr>
                <w:rFonts w:cs="Arial"/>
                <w:bCs/>
                <w:sz w:val="20"/>
                <w:szCs w:val="20"/>
              </w:rPr>
              <w:t>Dostawy</w:t>
            </w:r>
          </w:p>
        </w:tc>
        <w:tc>
          <w:tcPr>
            <w:tcW w:w="1368" w:type="dxa"/>
            <w:shd w:val="clear" w:color="auto" w:fill="auto"/>
            <w:noWrap/>
            <w:vAlign w:val="center"/>
          </w:tcPr>
          <w:p w14:paraId="05A8D901" w14:textId="0EE5CC96" w:rsidR="00F910D4" w:rsidRPr="00F65571" w:rsidRDefault="00F910D4" w:rsidP="00F910D4">
            <w:pPr>
              <w:jc w:val="center"/>
              <w:rPr>
                <w:rFonts w:cs="Arial"/>
                <w:sz w:val="20"/>
                <w:szCs w:val="20"/>
              </w:rPr>
            </w:pPr>
            <w:r w:rsidRPr="00380295">
              <w:rPr>
                <w:sz w:val="20"/>
                <w:szCs w:val="20"/>
              </w:rPr>
              <w:t>93</w:t>
            </w:r>
          </w:p>
        </w:tc>
        <w:tc>
          <w:tcPr>
            <w:tcW w:w="4677" w:type="dxa"/>
            <w:vAlign w:val="center"/>
          </w:tcPr>
          <w:p w14:paraId="39999D15" w14:textId="3FEF66E7" w:rsidR="00F910D4" w:rsidRPr="00F65571" w:rsidRDefault="00F910D4" w:rsidP="00F910D4">
            <w:pPr>
              <w:jc w:val="center"/>
              <w:rPr>
                <w:rFonts w:cs="Arial"/>
                <w:sz w:val="20"/>
                <w:szCs w:val="20"/>
              </w:rPr>
            </w:pPr>
            <w:r w:rsidRPr="00380295">
              <w:rPr>
                <w:sz w:val="20"/>
                <w:szCs w:val="20"/>
              </w:rPr>
              <w:t>216 357 541,84 zł</w:t>
            </w:r>
          </w:p>
        </w:tc>
      </w:tr>
      <w:tr w:rsidR="00F910D4" w:rsidRPr="00F65571" w14:paraId="737EC538" w14:textId="77777777" w:rsidTr="00522D56">
        <w:trPr>
          <w:trHeight w:val="300"/>
          <w:jc w:val="center"/>
        </w:trPr>
        <w:tc>
          <w:tcPr>
            <w:tcW w:w="3022" w:type="dxa"/>
            <w:shd w:val="clear" w:color="auto" w:fill="DEEAF6"/>
            <w:noWrap/>
            <w:vAlign w:val="center"/>
            <w:hideMark/>
          </w:tcPr>
          <w:p w14:paraId="13CC8699" w14:textId="77777777" w:rsidR="00F910D4" w:rsidRPr="00F65571" w:rsidRDefault="00F910D4" w:rsidP="00F910D4">
            <w:pPr>
              <w:jc w:val="center"/>
              <w:rPr>
                <w:rFonts w:cs="Arial"/>
                <w:bCs/>
                <w:sz w:val="20"/>
                <w:szCs w:val="20"/>
              </w:rPr>
            </w:pPr>
            <w:r w:rsidRPr="00F65571">
              <w:rPr>
                <w:rFonts w:cs="Arial"/>
                <w:bCs/>
                <w:sz w:val="20"/>
                <w:szCs w:val="20"/>
              </w:rPr>
              <w:t>Roboty budowlane</w:t>
            </w:r>
          </w:p>
        </w:tc>
        <w:tc>
          <w:tcPr>
            <w:tcW w:w="1368" w:type="dxa"/>
            <w:shd w:val="clear" w:color="auto" w:fill="DEEAF6"/>
            <w:noWrap/>
            <w:vAlign w:val="center"/>
          </w:tcPr>
          <w:p w14:paraId="28545DBF" w14:textId="0F7D1600" w:rsidR="00F910D4" w:rsidRPr="00F65571" w:rsidRDefault="00F910D4" w:rsidP="00F910D4">
            <w:pPr>
              <w:jc w:val="center"/>
              <w:rPr>
                <w:rFonts w:cs="Arial"/>
                <w:sz w:val="20"/>
                <w:szCs w:val="20"/>
              </w:rPr>
            </w:pPr>
            <w:r w:rsidRPr="00380295">
              <w:rPr>
                <w:sz w:val="20"/>
                <w:szCs w:val="20"/>
              </w:rPr>
              <w:t>354</w:t>
            </w:r>
          </w:p>
        </w:tc>
        <w:tc>
          <w:tcPr>
            <w:tcW w:w="4677" w:type="dxa"/>
            <w:shd w:val="clear" w:color="auto" w:fill="DEEAF6"/>
            <w:vAlign w:val="center"/>
          </w:tcPr>
          <w:p w14:paraId="479D2AC6" w14:textId="3F54D4E3" w:rsidR="00F910D4" w:rsidRPr="00F65571" w:rsidRDefault="00F910D4" w:rsidP="00F910D4">
            <w:pPr>
              <w:jc w:val="center"/>
              <w:rPr>
                <w:rFonts w:cs="Arial"/>
                <w:sz w:val="20"/>
                <w:szCs w:val="20"/>
              </w:rPr>
            </w:pPr>
            <w:r w:rsidRPr="00380295">
              <w:rPr>
                <w:sz w:val="20"/>
                <w:szCs w:val="20"/>
              </w:rPr>
              <w:t>1 059 864 761,89 zł</w:t>
            </w:r>
          </w:p>
        </w:tc>
      </w:tr>
      <w:tr w:rsidR="00F910D4" w:rsidRPr="00F65571" w14:paraId="5EF90EFC" w14:textId="77777777" w:rsidTr="00522D56">
        <w:trPr>
          <w:trHeight w:val="300"/>
          <w:jc w:val="center"/>
        </w:trPr>
        <w:tc>
          <w:tcPr>
            <w:tcW w:w="3022" w:type="dxa"/>
            <w:shd w:val="clear" w:color="auto" w:fill="auto"/>
            <w:noWrap/>
            <w:vAlign w:val="center"/>
          </w:tcPr>
          <w:p w14:paraId="6160E6A2" w14:textId="77777777" w:rsidR="00F910D4" w:rsidRPr="00F65571" w:rsidRDefault="00F910D4" w:rsidP="00F910D4">
            <w:pPr>
              <w:jc w:val="center"/>
              <w:rPr>
                <w:rFonts w:cs="Arial"/>
                <w:bCs/>
                <w:sz w:val="20"/>
                <w:szCs w:val="20"/>
              </w:rPr>
            </w:pPr>
            <w:r w:rsidRPr="00F65571">
              <w:rPr>
                <w:rFonts w:cs="Arial"/>
                <w:bCs/>
                <w:sz w:val="20"/>
                <w:szCs w:val="20"/>
              </w:rPr>
              <w:t>Usługi</w:t>
            </w:r>
          </w:p>
        </w:tc>
        <w:tc>
          <w:tcPr>
            <w:tcW w:w="1368" w:type="dxa"/>
            <w:shd w:val="clear" w:color="auto" w:fill="auto"/>
            <w:noWrap/>
            <w:vAlign w:val="center"/>
          </w:tcPr>
          <w:p w14:paraId="5D7CC744" w14:textId="75E6DF5E" w:rsidR="00F910D4" w:rsidRPr="00F65571" w:rsidRDefault="00F910D4" w:rsidP="00F910D4">
            <w:pPr>
              <w:jc w:val="center"/>
              <w:rPr>
                <w:rFonts w:cs="Arial"/>
                <w:sz w:val="20"/>
                <w:szCs w:val="20"/>
              </w:rPr>
            </w:pPr>
            <w:r w:rsidRPr="00380295">
              <w:rPr>
                <w:sz w:val="20"/>
                <w:szCs w:val="20"/>
              </w:rPr>
              <w:t>676</w:t>
            </w:r>
          </w:p>
        </w:tc>
        <w:tc>
          <w:tcPr>
            <w:tcW w:w="4677" w:type="dxa"/>
            <w:vAlign w:val="center"/>
          </w:tcPr>
          <w:p w14:paraId="16F5638E" w14:textId="5DDB71ED" w:rsidR="00F910D4" w:rsidRPr="00F65571" w:rsidRDefault="00F910D4" w:rsidP="00F910D4">
            <w:pPr>
              <w:jc w:val="center"/>
              <w:rPr>
                <w:rFonts w:cs="Arial"/>
                <w:sz w:val="20"/>
                <w:szCs w:val="20"/>
              </w:rPr>
            </w:pPr>
            <w:r w:rsidRPr="001F5BB6">
              <w:rPr>
                <w:sz w:val="20"/>
                <w:szCs w:val="20"/>
              </w:rPr>
              <w:t>1 764 923 462,96 zł</w:t>
            </w:r>
          </w:p>
        </w:tc>
      </w:tr>
    </w:tbl>
    <w:p w14:paraId="13C0AF91" w14:textId="06D32DFA" w:rsidR="00E868E2" w:rsidRDefault="00E868E2" w:rsidP="00E868E2">
      <w:pPr>
        <w:shd w:val="clear" w:color="auto" w:fill="FFFFFF"/>
      </w:pPr>
    </w:p>
    <w:p w14:paraId="6E977D4D" w14:textId="77777777" w:rsidR="00A773EB" w:rsidRPr="00F65571" w:rsidRDefault="00A773EB" w:rsidP="00E868E2">
      <w:pPr>
        <w:shd w:val="clear" w:color="auto" w:fill="FFFFFF"/>
      </w:pPr>
    </w:p>
    <w:p w14:paraId="621C153B" w14:textId="77777777" w:rsidR="00E868E2" w:rsidRPr="00A773EB" w:rsidRDefault="00E868E2" w:rsidP="000E2307">
      <w:pPr>
        <w:shd w:val="clear" w:color="auto" w:fill="FFFFFF"/>
        <w:ind w:left="709"/>
        <w:rPr>
          <w:b/>
          <w:color w:val="0070C0"/>
        </w:rPr>
      </w:pPr>
      <w:r w:rsidRPr="00A773EB">
        <w:rPr>
          <w:b/>
          <w:color w:val="0070C0"/>
        </w:rPr>
        <w:t>Określenie etykiety związanej z aspektami społecznymi albo innego przedmiotowego środka dowodowego, o których mowa w art. 104 ustawy Pzp</w:t>
      </w:r>
    </w:p>
    <w:p w14:paraId="6A67642E" w14:textId="77777777" w:rsidR="00E868E2" w:rsidRPr="00F65571" w:rsidRDefault="00E868E2" w:rsidP="00E868E2">
      <w:pPr>
        <w:shd w:val="clear" w:color="auto" w:fill="FFFFFF"/>
      </w:pPr>
    </w:p>
    <w:p w14:paraId="2939B79E" w14:textId="265029CB" w:rsidR="00A773EB" w:rsidRPr="00A773EB" w:rsidRDefault="00A773EB" w:rsidP="00A773EB">
      <w:pPr>
        <w:pStyle w:val="Legenda"/>
      </w:pPr>
      <w:bookmarkStart w:id="127" w:name="_Toc141276538"/>
      <w:r w:rsidRPr="000E2307">
        <w:t xml:space="preserve">Tab. </w:t>
      </w:r>
      <w:r w:rsidR="00BE2079">
        <w:fldChar w:fldCharType="begin"/>
      </w:r>
      <w:r w:rsidR="00BE2079">
        <w:instrText xml:space="preserve"> SEQ Tab. \* ARABIC </w:instrText>
      </w:r>
      <w:r w:rsidR="00BE2079">
        <w:fldChar w:fldCharType="separate"/>
      </w:r>
      <w:r w:rsidR="00A43C68">
        <w:rPr>
          <w:noProof/>
        </w:rPr>
        <w:t>31</w:t>
      </w:r>
      <w:r w:rsidR="00BE2079">
        <w:rPr>
          <w:noProof/>
        </w:rPr>
        <w:fldChar w:fldCharType="end"/>
      </w:r>
      <w:r w:rsidRPr="000E2307">
        <w:t>. Społeczne zamówienia publiczne z zastosowaniem art. 104 ustawy Pzp</w:t>
      </w:r>
      <w:bookmarkEnd w:id="12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0E2307" w:rsidRPr="00F65571" w14:paraId="3CB1B509" w14:textId="77777777" w:rsidTr="00936E52">
        <w:trPr>
          <w:trHeight w:val="300"/>
          <w:jc w:val="center"/>
        </w:trPr>
        <w:tc>
          <w:tcPr>
            <w:tcW w:w="7083" w:type="dxa"/>
            <w:shd w:val="clear" w:color="auto" w:fill="DEEAF6"/>
            <w:noWrap/>
            <w:vAlign w:val="center"/>
          </w:tcPr>
          <w:p w14:paraId="5CA8AFB4" w14:textId="77777777" w:rsidR="000E2307" w:rsidRPr="00F65571" w:rsidRDefault="000E2307" w:rsidP="000E2307">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w:t>
            </w:r>
          </w:p>
        </w:tc>
        <w:tc>
          <w:tcPr>
            <w:tcW w:w="1979" w:type="dxa"/>
            <w:shd w:val="clear" w:color="auto" w:fill="DEEAF6"/>
            <w:noWrap/>
            <w:vAlign w:val="center"/>
          </w:tcPr>
          <w:p w14:paraId="4E69676E" w14:textId="5DC84AE4" w:rsidR="000E2307" w:rsidRPr="00F65571" w:rsidRDefault="000E2307" w:rsidP="000E2307">
            <w:pPr>
              <w:jc w:val="center"/>
              <w:rPr>
                <w:rFonts w:cs="Arial"/>
                <w:sz w:val="20"/>
                <w:szCs w:val="20"/>
              </w:rPr>
            </w:pPr>
            <w:r w:rsidRPr="00DA3076">
              <w:rPr>
                <w:rFonts w:cs="Arial"/>
                <w:sz w:val="20"/>
                <w:szCs w:val="20"/>
              </w:rPr>
              <w:t>212</w:t>
            </w:r>
          </w:p>
        </w:tc>
      </w:tr>
      <w:tr w:rsidR="000E2307" w:rsidRPr="00F65571" w14:paraId="59811C34" w14:textId="77777777" w:rsidTr="00936E52">
        <w:trPr>
          <w:trHeight w:val="300"/>
          <w:jc w:val="center"/>
        </w:trPr>
        <w:tc>
          <w:tcPr>
            <w:tcW w:w="7083" w:type="dxa"/>
            <w:shd w:val="clear" w:color="auto" w:fill="auto"/>
            <w:noWrap/>
            <w:vAlign w:val="center"/>
            <w:hideMark/>
          </w:tcPr>
          <w:p w14:paraId="087AFE74" w14:textId="77777777" w:rsidR="000E2307" w:rsidRPr="00F65571" w:rsidRDefault="000E2307" w:rsidP="000E2307">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w:t>
            </w:r>
          </w:p>
        </w:tc>
        <w:tc>
          <w:tcPr>
            <w:tcW w:w="1979" w:type="dxa"/>
            <w:shd w:val="clear" w:color="auto" w:fill="auto"/>
            <w:noWrap/>
            <w:vAlign w:val="center"/>
            <w:hideMark/>
          </w:tcPr>
          <w:p w14:paraId="548AB7FF" w14:textId="77777777" w:rsidR="000E2307" w:rsidRDefault="000E2307" w:rsidP="000E2307">
            <w:pPr>
              <w:jc w:val="center"/>
              <w:rPr>
                <w:rFonts w:cs="Arial"/>
                <w:sz w:val="20"/>
                <w:szCs w:val="20"/>
              </w:rPr>
            </w:pPr>
            <w:r w:rsidRPr="00DA3076">
              <w:rPr>
                <w:rFonts w:cs="Arial"/>
                <w:sz w:val="20"/>
                <w:szCs w:val="20"/>
              </w:rPr>
              <w:t>306 936 276,61 zł</w:t>
            </w:r>
          </w:p>
          <w:p w14:paraId="636FF7C5" w14:textId="68C18614" w:rsidR="000E2307" w:rsidRPr="00F65571" w:rsidRDefault="000E2307" w:rsidP="000E2307">
            <w:pPr>
              <w:jc w:val="center"/>
              <w:rPr>
                <w:rFonts w:cs="Arial"/>
                <w:sz w:val="20"/>
                <w:szCs w:val="20"/>
              </w:rPr>
            </w:pPr>
            <w:r w:rsidRPr="00FD623C">
              <w:rPr>
                <w:rFonts w:cs="Arial"/>
                <w:sz w:val="20"/>
                <w:szCs w:val="20"/>
              </w:rPr>
              <w:t>(wartość bez VAT)</w:t>
            </w:r>
          </w:p>
        </w:tc>
      </w:tr>
    </w:tbl>
    <w:p w14:paraId="4923D659" w14:textId="77777777" w:rsidR="00E868E2" w:rsidRPr="00F65571" w:rsidRDefault="00E868E2" w:rsidP="00E868E2">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E868E2" w:rsidRPr="00F65571" w14:paraId="2D8C0D0B" w14:textId="77777777" w:rsidTr="00936E52">
        <w:trPr>
          <w:trHeight w:val="300"/>
          <w:tblHeader/>
          <w:jc w:val="center"/>
        </w:trPr>
        <w:tc>
          <w:tcPr>
            <w:tcW w:w="3022" w:type="dxa"/>
            <w:shd w:val="clear" w:color="auto" w:fill="5B9BD5"/>
            <w:noWrap/>
            <w:vAlign w:val="center"/>
          </w:tcPr>
          <w:p w14:paraId="7EE2FDE7" w14:textId="77777777" w:rsidR="00E868E2" w:rsidRPr="00F65571" w:rsidRDefault="00E868E2" w:rsidP="00936E52">
            <w:pPr>
              <w:jc w:val="center"/>
              <w:rPr>
                <w:rFonts w:cs="Arial"/>
                <w:b/>
                <w:sz w:val="20"/>
                <w:szCs w:val="20"/>
              </w:rPr>
            </w:pPr>
            <w:r w:rsidRPr="00F65571">
              <w:rPr>
                <w:rFonts w:cs="Arial"/>
                <w:b/>
                <w:bCs/>
                <w:sz w:val="20"/>
                <w:szCs w:val="20"/>
              </w:rPr>
              <w:t>Rodzaj zamówienia</w:t>
            </w:r>
          </w:p>
        </w:tc>
        <w:tc>
          <w:tcPr>
            <w:tcW w:w="1368" w:type="dxa"/>
            <w:shd w:val="clear" w:color="auto" w:fill="5B9BD5"/>
            <w:vAlign w:val="center"/>
          </w:tcPr>
          <w:p w14:paraId="6533847F" w14:textId="77777777" w:rsidR="00E868E2" w:rsidRPr="00F65571" w:rsidRDefault="00E868E2" w:rsidP="00936E52">
            <w:pPr>
              <w:jc w:val="center"/>
              <w:rPr>
                <w:rFonts w:cs="Arial"/>
                <w:b/>
                <w:sz w:val="20"/>
                <w:szCs w:val="20"/>
              </w:rPr>
            </w:pPr>
            <w:r w:rsidRPr="00F65571">
              <w:rPr>
                <w:rFonts w:cs="Arial"/>
                <w:b/>
                <w:sz w:val="20"/>
                <w:szCs w:val="20"/>
              </w:rPr>
              <w:t>Liczba</w:t>
            </w:r>
          </w:p>
        </w:tc>
        <w:tc>
          <w:tcPr>
            <w:tcW w:w="4677" w:type="dxa"/>
            <w:shd w:val="clear" w:color="auto" w:fill="5B9BD5"/>
            <w:vAlign w:val="center"/>
          </w:tcPr>
          <w:p w14:paraId="046EE677" w14:textId="77777777" w:rsidR="00E868E2" w:rsidRPr="00F65571" w:rsidRDefault="00E868E2" w:rsidP="00936E52">
            <w:pPr>
              <w:jc w:val="center"/>
              <w:rPr>
                <w:rFonts w:cs="Arial"/>
                <w:b/>
                <w:sz w:val="20"/>
                <w:szCs w:val="20"/>
              </w:rPr>
            </w:pPr>
            <w:r w:rsidRPr="00F65571">
              <w:rPr>
                <w:rFonts w:cs="Arial"/>
                <w:b/>
                <w:sz w:val="20"/>
                <w:szCs w:val="20"/>
              </w:rPr>
              <w:t>Wartość (bez VAT)</w:t>
            </w:r>
          </w:p>
        </w:tc>
      </w:tr>
      <w:tr w:rsidR="000E2307" w:rsidRPr="00F65571" w14:paraId="7EE924F0" w14:textId="77777777" w:rsidTr="00936E52">
        <w:trPr>
          <w:trHeight w:val="300"/>
          <w:jc w:val="center"/>
        </w:trPr>
        <w:tc>
          <w:tcPr>
            <w:tcW w:w="3022" w:type="dxa"/>
            <w:shd w:val="clear" w:color="auto" w:fill="auto"/>
            <w:noWrap/>
            <w:vAlign w:val="center"/>
          </w:tcPr>
          <w:p w14:paraId="70DD201B" w14:textId="77777777" w:rsidR="000E2307" w:rsidRPr="00F65571" w:rsidRDefault="000E2307" w:rsidP="000E2307">
            <w:pPr>
              <w:jc w:val="center"/>
              <w:rPr>
                <w:rFonts w:cs="Arial"/>
                <w:bCs/>
                <w:sz w:val="20"/>
                <w:szCs w:val="20"/>
              </w:rPr>
            </w:pPr>
            <w:r w:rsidRPr="00F65571">
              <w:rPr>
                <w:rFonts w:cs="Arial"/>
                <w:bCs/>
                <w:sz w:val="20"/>
                <w:szCs w:val="20"/>
              </w:rPr>
              <w:t>Dostawy</w:t>
            </w:r>
          </w:p>
        </w:tc>
        <w:tc>
          <w:tcPr>
            <w:tcW w:w="1368" w:type="dxa"/>
            <w:shd w:val="clear" w:color="auto" w:fill="auto"/>
            <w:noWrap/>
            <w:vAlign w:val="center"/>
          </w:tcPr>
          <w:p w14:paraId="6E25A617" w14:textId="626E4F6C" w:rsidR="000E2307" w:rsidRPr="00F65571" w:rsidRDefault="000E2307" w:rsidP="000E2307">
            <w:pPr>
              <w:jc w:val="center"/>
              <w:rPr>
                <w:rFonts w:cs="Arial"/>
                <w:sz w:val="20"/>
                <w:szCs w:val="20"/>
              </w:rPr>
            </w:pPr>
            <w:r w:rsidRPr="00DA3076">
              <w:rPr>
                <w:sz w:val="20"/>
                <w:szCs w:val="20"/>
              </w:rPr>
              <w:t>75</w:t>
            </w:r>
          </w:p>
        </w:tc>
        <w:tc>
          <w:tcPr>
            <w:tcW w:w="4677" w:type="dxa"/>
            <w:vAlign w:val="center"/>
          </w:tcPr>
          <w:p w14:paraId="3561AAFB" w14:textId="6E5F70E2" w:rsidR="000E2307" w:rsidRPr="00F65571" w:rsidRDefault="000E2307" w:rsidP="000E2307">
            <w:pPr>
              <w:jc w:val="center"/>
              <w:rPr>
                <w:rFonts w:cs="Arial"/>
                <w:sz w:val="20"/>
                <w:szCs w:val="20"/>
              </w:rPr>
            </w:pPr>
            <w:r w:rsidRPr="00DA3076">
              <w:rPr>
                <w:sz w:val="20"/>
                <w:szCs w:val="20"/>
              </w:rPr>
              <w:t>47 206 637,21 zł</w:t>
            </w:r>
          </w:p>
        </w:tc>
      </w:tr>
      <w:tr w:rsidR="000E2307" w:rsidRPr="00F65571" w14:paraId="3298A37D" w14:textId="77777777" w:rsidTr="00936E52">
        <w:trPr>
          <w:trHeight w:val="300"/>
          <w:jc w:val="center"/>
        </w:trPr>
        <w:tc>
          <w:tcPr>
            <w:tcW w:w="3022" w:type="dxa"/>
            <w:shd w:val="clear" w:color="auto" w:fill="auto"/>
            <w:noWrap/>
            <w:vAlign w:val="center"/>
            <w:hideMark/>
          </w:tcPr>
          <w:p w14:paraId="513B0F83" w14:textId="77777777" w:rsidR="000E2307" w:rsidRPr="00F65571" w:rsidRDefault="000E2307" w:rsidP="000E2307">
            <w:pPr>
              <w:jc w:val="center"/>
              <w:rPr>
                <w:rFonts w:cs="Arial"/>
                <w:bCs/>
                <w:sz w:val="20"/>
                <w:szCs w:val="20"/>
              </w:rPr>
            </w:pPr>
            <w:r w:rsidRPr="00F65571">
              <w:rPr>
                <w:rFonts w:cs="Arial"/>
                <w:bCs/>
                <w:sz w:val="20"/>
                <w:szCs w:val="20"/>
              </w:rPr>
              <w:t>Roboty budowlane</w:t>
            </w:r>
          </w:p>
        </w:tc>
        <w:tc>
          <w:tcPr>
            <w:tcW w:w="1368" w:type="dxa"/>
            <w:shd w:val="clear" w:color="auto" w:fill="auto"/>
            <w:noWrap/>
            <w:vAlign w:val="center"/>
          </w:tcPr>
          <w:p w14:paraId="61CEE609" w14:textId="1A7388F8" w:rsidR="000E2307" w:rsidRPr="00F65571" w:rsidRDefault="000E2307" w:rsidP="000E2307">
            <w:pPr>
              <w:jc w:val="center"/>
              <w:rPr>
                <w:rFonts w:cs="Arial"/>
                <w:sz w:val="20"/>
                <w:szCs w:val="20"/>
              </w:rPr>
            </w:pPr>
            <w:r w:rsidRPr="00DA3076">
              <w:rPr>
                <w:sz w:val="20"/>
                <w:szCs w:val="20"/>
              </w:rPr>
              <w:t>44</w:t>
            </w:r>
          </w:p>
        </w:tc>
        <w:tc>
          <w:tcPr>
            <w:tcW w:w="4677" w:type="dxa"/>
            <w:vAlign w:val="center"/>
          </w:tcPr>
          <w:p w14:paraId="595BD21E" w14:textId="6FA0F05E" w:rsidR="000E2307" w:rsidRPr="00F65571" w:rsidRDefault="000E2307" w:rsidP="000E2307">
            <w:pPr>
              <w:jc w:val="center"/>
              <w:rPr>
                <w:rFonts w:cs="Arial"/>
                <w:sz w:val="20"/>
                <w:szCs w:val="20"/>
              </w:rPr>
            </w:pPr>
            <w:r w:rsidRPr="00DA3076">
              <w:rPr>
                <w:sz w:val="20"/>
                <w:szCs w:val="20"/>
              </w:rPr>
              <w:t>139 596 848,79 zł</w:t>
            </w:r>
          </w:p>
        </w:tc>
      </w:tr>
      <w:tr w:rsidR="000E2307" w:rsidRPr="00F65571" w14:paraId="08D39FB1" w14:textId="77777777" w:rsidTr="00936E52">
        <w:trPr>
          <w:trHeight w:val="300"/>
          <w:jc w:val="center"/>
        </w:trPr>
        <w:tc>
          <w:tcPr>
            <w:tcW w:w="3022" w:type="dxa"/>
            <w:shd w:val="clear" w:color="auto" w:fill="auto"/>
            <w:noWrap/>
            <w:vAlign w:val="center"/>
          </w:tcPr>
          <w:p w14:paraId="24C4BD0A" w14:textId="77777777" w:rsidR="000E2307" w:rsidRPr="00F65571" w:rsidRDefault="000E2307" w:rsidP="000E2307">
            <w:pPr>
              <w:jc w:val="center"/>
              <w:rPr>
                <w:rFonts w:cs="Arial"/>
                <w:bCs/>
                <w:sz w:val="20"/>
                <w:szCs w:val="20"/>
              </w:rPr>
            </w:pPr>
            <w:r w:rsidRPr="00F65571">
              <w:rPr>
                <w:rFonts w:cs="Arial"/>
                <w:bCs/>
                <w:sz w:val="20"/>
                <w:szCs w:val="20"/>
              </w:rPr>
              <w:t>Usługi</w:t>
            </w:r>
          </w:p>
        </w:tc>
        <w:tc>
          <w:tcPr>
            <w:tcW w:w="1368" w:type="dxa"/>
            <w:shd w:val="clear" w:color="auto" w:fill="auto"/>
            <w:noWrap/>
            <w:vAlign w:val="center"/>
          </w:tcPr>
          <w:p w14:paraId="2A94FF2D" w14:textId="7BF90819" w:rsidR="000E2307" w:rsidRPr="00F65571" w:rsidRDefault="000E2307" w:rsidP="000E2307">
            <w:pPr>
              <w:jc w:val="center"/>
              <w:rPr>
                <w:rFonts w:cs="Arial"/>
                <w:sz w:val="20"/>
                <w:szCs w:val="20"/>
              </w:rPr>
            </w:pPr>
            <w:r w:rsidRPr="00DA3076">
              <w:rPr>
                <w:sz w:val="20"/>
                <w:szCs w:val="20"/>
              </w:rPr>
              <w:t>93</w:t>
            </w:r>
          </w:p>
        </w:tc>
        <w:tc>
          <w:tcPr>
            <w:tcW w:w="4677" w:type="dxa"/>
            <w:vAlign w:val="center"/>
          </w:tcPr>
          <w:p w14:paraId="310E3352" w14:textId="13642AF6" w:rsidR="000E2307" w:rsidRPr="00F65571" w:rsidRDefault="000E2307" w:rsidP="000E2307">
            <w:pPr>
              <w:jc w:val="center"/>
              <w:rPr>
                <w:rFonts w:cs="Arial"/>
                <w:sz w:val="20"/>
                <w:szCs w:val="20"/>
              </w:rPr>
            </w:pPr>
            <w:r w:rsidRPr="00DA3076">
              <w:rPr>
                <w:sz w:val="20"/>
                <w:szCs w:val="20"/>
              </w:rPr>
              <w:t>120 132 790,61 zł</w:t>
            </w:r>
          </w:p>
        </w:tc>
      </w:tr>
    </w:tbl>
    <w:p w14:paraId="39A2070B" w14:textId="76F64FC7" w:rsidR="00E868E2" w:rsidRDefault="00E868E2" w:rsidP="00E868E2">
      <w:pPr>
        <w:shd w:val="clear" w:color="auto" w:fill="FFFFFF"/>
      </w:pPr>
    </w:p>
    <w:p w14:paraId="625F8B90" w14:textId="77777777" w:rsidR="00F87745" w:rsidRPr="00F65571" w:rsidRDefault="00F87745" w:rsidP="00E868E2">
      <w:pPr>
        <w:shd w:val="clear" w:color="auto" w:fill="FFFFFF"/>
      </w:pPr>
    </w:p>
    <w:p w14:paraId="17F4FE40" w14:textId="77777777" w:rsidR="00E868E2" w:rsidRPr="00F87745" w:rsidRDefault="00E868E2" w:rsidP="00AC6379">
      <w:pPr>
        <w:shd w:val="clear" w:color="auto" w:fill="FFFFFF"/>
        <w:ind w:left="709"/>
        <w:rPr>
          <w:b/>
          <w:color w:val="0070C0"/>
        </w:rPr>
      </w:pPr>
      <w:r w:rsidRPr="00F87745">
        <w:rPr>
          <w:b/>
          <w:color w:val="0070C0"/>
        </w:rPr>
        <w:t>Zamówienie udzielone jako zamówienie zastrzeżone na usługi zdrowotne, społeczne oraz kulturalne, o którym mowa w art. 361 ust. 1 lub art. 392 ust. 3 ustawy Pzp</w:t>
      </w:r>
    </w:p>
    <w:p w14:paraId="2CCA9B24" w14:textId="77777777" w:rsidR="00E868E2" w:rsidRPr="00F65571" w:rsidRDefault="00E868E2" w:rsidP="00E868E2">
      <w:pPr>
        <w:shd w:val="clear" w:color="auto" w:fill="FFFFFF"/>
      </w:pPr>
    </w:p>
    <w:p w14:paraId="46F0DC01" w14:textId="7BC89548" w:rsidR="00F87745" w:rsidRPr="00F65571" w:rsidRDefault="00F87745" w:rsidP="00F87745">
      <w:pPr>
        <w:pStyle w:val="Legenda"/>
      </w:pPr>
      <w:bookmarkStart w:id="128" w:name="_Toc141276539"/>
      <w:r w:rsidRPr="008C6FEE">
        <w:t xml:space="preserve">Tab. </w:t>
      </w:r>
      <w:r w:rsidR="00BE2079">
        <w:fldChar w:fldCharType="begin"/>
      </w:r>
      <w:r w:rsidR="00BE2079">
        <w:instrText xml:space="preserve"> SEQ Tab. \* ARABIC </w:instrText>
      </w:r>
      <w:r w:rsidR="00BE2079">
        <w:fldChar w:fldCharType="separate"/>
      </w:r>
      <w:r w:rsidR="00A43C68">
        <w:rPr>
          <w:noProof/>
        </w:rPr>
        <w:t>32</w:t>
      </w:r>
      <w:r w:rsidR="00BE2079">
        <w:rPr>
          <w:noProof/>
        </w:rPr>
        <w:fldChar w:fldCharType="end"/>
      </w:r>
      <w:r w:rsidRPr="008C6FEE">
        <w:t>. Zamówienia publiczne z zastosowaniem art. 361 ust. 1 lub art. 392 ust. 3 ustawy Pzp</w:t>
      </w:r>
      <w:bookmarkEnd w:id="12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AC6379" w:rsidRPr="00F65571" w14:paraId="2F843CD7" w14:textId="77777777" w:rsidTr="00936E52">
        <w:trPr>
          <w:trHeight w:val="300"/>
          <w:jc w:val="center"/>
        </w:trPr>
        <w:tc>
          <w:tcPr>
            <w:tcW w:w="7225" w:type="dxa"/>
            <w:tcBorders>
              <w:bottom w:val="single" w:sz="4" w:space="0" w:color="auto"/>
            </w:tcBorders>
            <w:shd w:val="clear" w:color="auto" w:fill="DEEAF6"/>
            <w:noWrap/>
            <w:vAlign w:val="center"/>
          </w:tcPr>
          <w:p w14:paraId="0ABAFFB8" w14:textId="77777777" w:rsidR="00AC6379" w:rsidRPr="00F65571" w:rsidRDefault="00AC6379" w:rsidP="00AC6379">
            <w:pPr>
              <w:rPr>
                <w:rFonts w:eastAsia="Calibri" w:cs="Arial"/>
                <w:sz w:val="20"/>
                <w:szCs w:val="20"/>
              </w:rPr>
            </w:pPr>
            <w:r w:rsidRPr="00F65571">
              <w:rPr>
                <w:rFonts w:cs="Arial"/>
                <w:bCs/>
                <w:sz w:val="20"/>
                <w:szCs w:val="20"/>
              </w:rPr>
              <w:t xml:space="preserve">Liczba </w:t>
            </w:r>
            <w:r w:rsidRPr="00F65571">
              <w:rPr>
                <w:rFonts w:cs="Arial"/>
                <w:sz w:val="20"/>
                <w:szCs w:val="20"/>
              </w:rPr>
              <w:t xml:space="preserve">zamówień udzielonych </w:t>
            </w:r>
            <w:r w:rsidRPr="00F65571">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DEEAF6"/>
            <w:noWrap/>
            <w:vAlign w:val="center"/>
          </w:tcPr>
          <w:p w14:paraId="42F0EB6B" w14:textId="712B9C1A" w:rsidR="00AC6379" w:rsidRPr="00F65571" w:rsidRDefault="00AC6379" w:rsidP="00AC6379">
            <w:pPr>
              <w:jc w:val="center"/>
              <w:rPr>
                <w:rFonts w:cs="Arial"/>
                <w:sz w:val="20"/>
                <w:szCs w:val="20"/>
              </w:rPr>
            </w:pPr>
            <w:r w:rsidRPr="0030795B">
              <w:rPr>
                <w:rFonts w:cs="Arial"/>
                <w:sz w:val="20"/>
                <w:szCs w:val="20"/>
              </w:rPr>
              <w:t>589</w:t>
            </w:r>
          </w:p>
        </w:tc>
      </w:tr>
      <w:tr w:rsidR="00AC6379" w:rsidRPr="00F65571" w14:paraId="71BA56F9" w14:textId="77777777" w:rsidTr="00936E52">
        <w:trPr>
          <w:trHeight w:val="300"/>
          <w:jc w:val="center"/>
        </w:trPr>
        <w:tc>
          <w:tcPr>
            <w:tcW w:w="7225" w:type="dxa"/>
            <w:shd w:val="clear" w:color="auto" w:fill="DEEAF6"/>
            <w:noWrap/>
            <w:vAlign w:val="center"/>
          </w:tcPr>
          <w:p w14:paraId="7F1EDD31" w14:textId="77777777" w:rsidR="00AC6379" w:rsidRPr="00F65571" w:rsidRDefault="00AC6379" w:rsidP="00AC6379">
            <w:pPr>
              <w:rPr>
                <w:rFonts w:eastAsia="Calibri" w:cs="Arial"/>
                <w:sz w:val="20"/>
                <w:szCs w:val="20"/>
              </w:rPr>
            </w:pPr>
            <w:r w:rsidRPr="00F65571">
              <w:rPr>
                <w:rFonts w:cs="Arial"/>
                <w:bCs/>
                <w:sz w:val="20"/>
                <w:szCs w:val="20"/>
              </w:rPr>
              <w:t xml:space="preserve">Liczba zamawiających, którzy udzielili zamówień zastrzeżonych </w:t>
            </w:r>
            <w:r w:rsidRPr="00F65571">
              <w:rPr>
                <w:rFonts w:eastAsia="Calibri" w:cs="Arial"/>
                <w:sz w:val="20"/>
                <w:szCs w:val="20"/>
              </w:rPr>
              <w:t>na usługi zdrowotne, społeczne lub kulturalne, o których mowa w art. 361 ust. 1 lub art. 392 ust. 3 ustawy Pzp</w:t>
            </w:r>
          </w:p>
        </w:tc>
        <w:tc>
          <w:tcPr>
            <w:tcW w:w="1837" w:type="dxa"/>
            <w:shd w:val="clear" w:color="auto" w:fill="DEEAF6"/>
            <w:noWrap/>
            <w:vAlign w:val="center"/>
          </w:tcPr>
          <w:p w14:paraId="5E189FE1" w14:textId="579CA702" w:rsidR="00AC6379" w:rsidRPr="00F65571" w:rsidRDefault="00AC6379" w:rsidP="00AC6379">
            <w:pPr>
              <w:jc w:val="center"/>
              <w:rPr>
                <w:rFonts w:cs="Arial"/>
                <w:sz w:val="20"/>
                <w:szCs w:val="20"/>
              </w:rPr>
            </w:pPr>
            <w:r>
              <w:rPr>
                <w:rFonts w:cs="Arial"/>
                <w:sz w:val="20"/>
                <w:szCs w:val="20"/>
              </w:rPr>
              <w:t>235</w:t>
            </w:r>
          </w:p>
        </w:tc>
      </w:tr>
      <w:tr w:rsidR="00AC6379" w:rsidRPr="00F65571" w14:paraId="5EA2A743" w14:textId="77777777" w:rsidTr="00936E52">
        <w:trPr>
          <w:trHeight w:val="300"/>
          <w:jc w:val="center"/>
        </w:trPr>
        <w:tc>
          <w:tcPr>
            <w:tcW w:w="7225" w:type="dxa"/>
            <w:tcBorders>
              <w:bottom w:val="single" w:sz="4" w:space="0" w:color="auto"/>
            </w:tcBorders>
            <w:shd w:val="clear" w:color="auto" w:fill="auto"/>
            <w:noWrap/>
            <w:vAlign w:val="center"/>
            <w:hideMark/>
          </w:tcPr>
          <w:p w14:paraId="14A77F4D" w14:textId="77777777" w:rsidR="00AC6379" w:rsidRPr="00F65571" w:rsidRDefault="00AC6379" w:rsidP="00AC6379">
            <w:pPr>
              <w:rPr>
                <w:rFonts w:eastAsia="Calibri" w:cs="Arial"/>
                <w:sz w:val="20"/>
                <w:szCs w:val="20"/>
              </w:rPr>
            </w:pPr>
            <w:r w:rsidRPr="00F65571">
              <w:rPr>
                <w:rFonts w:cs="Arial"/>
                <w:bCs/>
                <w:sz w:val="20"/>
                <w:szCs w:val="20"/>
              </w:rPr>
              <w:t xml:space="preserve">Wartość </w:t>
            </w:r>
            <w:r w:rsidRPr="00F65571">
              <w:rPr>
                <w:rFonts w:cs="Arial"/>
                <w:sz w:val="20"/>
                <w:szCs w:val="20"/>
              </w:rPr>
              <w:t xml:space="preserve">zamówień udzielonych </w:t>
            </w:r>
            <w:r w:rsidRPr="00F65571">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auto"/>
            <w:noWrap/>
            <w:vAlign w:val="center"/>
            <w:hideMark/>
          </w:tcPr>
          <w:p w14:paraId="4C389F0F" w14:textId="77777777" w:rsidR="00AC6379" w:rsidRDefault="00AC6379" w:rsidP="00AC6379">
            <w:pPr>
              <w:jc w:val="center"/>
              <w:rPr>
                <w:rFonts w:cs="Arial"/>
                <w:sz w:val="20"/>
                <w:szCs w:val="20"/>
              </w:rPr>
            </w:pPr>
            <w:r w:rsidRPr="0030795B">
              <w:rPr>
                <w:rFonts w:cs="Arial"/>
                <w:sz w:val="20"/>
                <w:szCs w:val="20"/>
              </w:rPr>
              <w:t>310 898 463,15 zł</w:t>
            </w:r>
          </w:p>
          <w:p w14:paraId="307048B9" w14:textId="333ACFA0" w:rsidR="00AC6379" w:rsidRPr="00F65571" w:rsidRDefault="00AC6379" w:rsidP="00AC6379">
            <w:pPr>
              <w:jc w:val="center"/>
              <w:rPr>
                <w:rFonts w:cs="Arial"/>
                <w:sz w:val="20"/>
                <w:szCs w:val="20"/>
              </w:rPr>
            </w:pPr>
            <w:r w:rsidRPr="00FD623C">
              <w:rPr>
                <w:rFonts w:cs="Arial"/>
                <w:sz w:val="20"/>
                <w:szCs w:val="20"/>
              </w:rPr>
              <w:t>(wartość bez VAT)</w:t>
            </w:r>
          </w:p>
        </w:tc>
      </w:tr>
    </w:tbl>
    <w:p w14:paraId="20F7AF2D" w14:textId="77777777" w:rsidR="00E868E2" w:rsidRPr="00F65571" w:rsidRDefault="00E868E2" w:rsidP="00E868E2">
      <w:pPr>
        <w:shd w:val="clear" w:color="auto" w:fill="FFFFFF"/>
      </w:pPr>
    </w:p>
    <w:p w14:paraId="59081229" w14:textId="77777777" w:rsidR="00E868E2" w:rsidRPr="00FD623C" w:rsidRDefault="00E868E2" w:rsidP="00E868E2">
      <w:pPr>
        <w:shd w:val="clear" w:color="auto" w:fill="FFFFFF"/>
      </w:pPr>
    </w:p>
    <w:p w14:paraId="12AF57E4" w14:textId="7F8F8436" w:rsidR="008C6FEE" w:rsidRPr="008C6FEE" w:rsidRDefault="008C6FEE" w:rsidP="008C6FEE">
      <w:pPr>
        <w:shd w:val="clear" w:color="auto" w:fill="FFFFFF"/>
      </w:pPr>
      <w:r w:rsidRPr="008C6FEE">
        <w:t>W zdecydowanej większości społecznych zamówień publicznych udzielonych w 2022 r. zamawiający zastosowali instrument prawny z art. 95 ust. 1 ustawy Pzp. Określenie wymagań związanych z realizacją zamówienia w zakresie zatrudnienia na podstawie stosunku pracy odpowiadało również za największą wartość społecznych zamówień publicznych. W tym zakresie odnotowano również znaczący wzrost w porównaniu do roku 2021 – stosownie</w:t>
      </w:r>
      <w:r w:rsidR="006368BA">
        <w:t xml:space="preserve"> o 5 </w:t>
      </w:r>
      <w:r w:rsidRPr="008C6FEE">
        <w:t xml:space="preserve">664 zamówienia oraz o blisko 26,3 mld zł (bez VAT). </w:t>
      </w:r>
    </w:p>
    <w:p w14:paraId="4D73E8E6" w14:textId="77777777" w:rsidR="00806ECF" w:rsidRDefault="00806ECF" w:rsidP="008C6FEE">
      <w:pPr>
        <w:shd w:val="clear" w:color="auto" w:fill="FFFFFF"/>
      </w:pPr>
    </w:p>
    <w:p w14:paraId="6BCB7ED9" w14:textId="5A782017" w:rsidR="008C6FEE" w:rsidRPr="008C6FEE" w:rsidRDefault="008C6FEE" w:rsidP="008C6FEE">
      <w:pPr>
        <w:shd w:val="clear" w:color="auto" w:fill="FFFFFF"/>
      </w:pPr>
      <w:r w:rsidRPr="008C6FEE">
        <w:t xml:space="preserve">Drugim pod względem liczby i wartości aspektem społecznym uwzględnianym w zamówieniach publicznych było określenie w opisie przedmiotu zamówienia wymagań w zakresie dostępności i projektowania z przeznaczeniem dla wszystkich użytkowników, zgodnie z art. 100 ust. 1 ustawy Pzp. W przypadku tego instrumentu liczba zamówień, w których go uwzględniono znacznie wzrosła w porównaniu do 2021 r. – aż o 2219 przypadków. Przełożyło się to również na wartość zamówień w tym zakresie, która w porównaniu do roku 2021 wzrosła aż o ponad 19,3 mld zł. </w:t>
      </w:r>
    </w:p>
    <w:p w14:paraId="7A6DB6F0" w14:textId="77777777" w:rsidR="00806ECF" w:rsidRDefault="00806ECF" w:rsidP="008C6FEE">
      <w:pPr>
        <w:shd w:val="clear" w:color="auto" w:fill="FFFFFF"/>
      </w:pPr>
    </w:p>
    <w:p w14:paraId="78CE2D6F" w14:textId="72BA9186" w:rsidR="008C6FEE" w:rsidRPr="008C6FEE" w:rsidRDefault="008C6FEE" w:rsidP="008C6FEE">
      <w:pPr>
        <w:shd w:val="clear" w:color="auto" w:fill="FFFFFF"/>
      </w:pPr>
      <w:r w:rsidRPr="008C6FEE">
        <w:t>Społeczne kryteria oceny ofert (w oparciu o art. 242 ust. 2 ustawy Pzp) to trzeci najbardziej popularny instrument społeczny, co znalazło odzwierciedlenie zarówno w liczbie, jak i wartości zamówień uwzgledniających ten aspekt społeczny udzielonych w 2022 r. Zarówno pod względem liczby tych zamówień, jak również ich wartości odnotowano wzrost w porównaniu do roku 2021 odpowiednio o 295 zamówień oraz o ponad 4,3 mld zł.</w:t>
      </w:r>
    </w:p>
    <w:p w14:paraId="2B9E1D3B" w14:textId="77777777" w:rsidR="00806ECF" w:rsidRDefault="00806ECF" w:rsidP="008C6FEE">
      <w:pPr>
        <w:shd w:val="clear" w:color="auto" w:fill="FFFFFF"/>
      </w:pPr>
    </w:p>
    <w:p w14:paraId="18B1FD07" w14:textId="5E101FBA" w:rsidR="008C6FEE" w:rsidRPr="008C6FEE" w:rsidRDefault="008C6FEE" w:rsidP="008C6FEE">
      <w:pPr>
        <w:shd w:val="clear" w:color="auto" w:fill="FFFFFF"/>
      </w:pPr>
      <w:r w:rsidRPr="008C6FEE">
        <w:t xml:space="preserve">Popularność pewnych instrumentów społecznych oraz częstotliwość ich zastosowania w udzielonych zamówieniach może wynikać w dużej mierze z ich obligatoryjnego charakteru. Dotyczy to przede wszystkim instrumentów prawnych z art. 95 ust. 1 oraz art. 100 ust. 1 ustawy Pzp. Na ustanowienie społecznych kryteriów oceny ofert w części udzielonych zamówień publicznych wpływ mogły mieć z kolei przepisy art. 246 ust. 2 ustawy Pzp zobowiązujące zamawiających do stosowania pozacenowych kryteriów oceny ofert oraz przypisania im odpowiednio wysokiej wagi. </w:t>
      </w:r>
    </w:p>
    <w:p w14:paraId="7A0842DC" w14:textId="77777777" w:rsidR="00A44F4B" w:rsidRDefault="00A44F4B" w:rsidP="008C6FEE">
      <w:pPr>
        <w:shd w:val="clear" w:color="auto" w:fill="FFFFFF"/>
      </w:pPr>
    </w:p>
    <w:p w14:paraId="7F44B933" w14:textId="3A94D04F" w:rsidR="008C6FEE" w:rsidRPr="008C6FEE" w:rsidRDefault="008C6FEE" w:rsidP="008C6FEE">
      <w:pPr>
        <w:shd w:val="clear" w:color="auto" w:fill="FFFFFF"/>
      </w:pPr>
      <w:r w:rsidRPr="008C6FEE">
        <w:t>Na czwartym miejscu zarówno pod względem liczby zamówień, jak i wartości znalazły się zamówienia, w których zastosowano rozwiązanie prawne z art. 96 ust. 1 ustawy Pzp umożliwiające ustanowienie społecznych wymagań związanych z realizacją zamówienia, w tym wymagań dotyczących zatrudnienia osób z grup defaworyzowanych. W przypadku tego aspektu społecznego, w porównaniu do danych za 2021 rok, odnotowano jednak spadek zarówno w odniesieniu do liczby – o 48 przypadki, jak i wartości zamówień, w których go uwzględniono – o blisko 606 mln zł.</w:t>
      </w:r>
    </w:p>
    <w:p w14:paraId="7171EDE8" w14:textId="77777777" w:rsidR="00A44F4B" w:rsidRDefault="00A44F4B" w:rsidP="008C6FEE">
      <w:pPr>
        <w:shd w:val="clear" w:color="auto" w:fill="FFFFFF"/>
      </w:pPr>
    </w:p>
    <w:p w14:paraId="0A81DA8F" w14:textId="29F9DBCC" w:rsidR="008C6FEE" w:rsidRPr="008C6FEE" w:rsidRDefault="008C6FEE" w:rsidP="008C6FEE">
      <w:pPr>
        <w:shd w:val="clear" w:color="auto" w:fill="FFFFFF"/>
      </w:pPr>
      <w:r w:rsidRPr="008C6FEE">
        <w:t>Zastosowanie pozostałych instrumentów społecznych, które przewidują przepisy ustawy Pzp, miało jedynie charakter incydentalny. Należy jednak podkreślić, że w przypadku każdego z tych aspektów odnotowano wzrost liczby zamówień, w których je uwzględniono w porównaniu do 2021 roku. W 2022 r. udzielono 269 zamówień zastrzeżonych (na podst. art. 94 ust. 1 ustawy Pzp). Co istotne, w zakresie tego instrumentu o charakterze społecznym odnotowano nieznaczny wzrost liczby zamówień w porównaniu do 2021 roku – o 83 przypadki oraz znaczący wzrost wartości takich zamówień – o blisko 530 mln zł. Z możliwości bezpośredniego odwołania do oznakowania o charakterze społecznym albo innego przedmiotowego środka dowodowego, o których mowa w art. 104 ustawy Pzp skorzystano w 212 przypadkach zamówień publicznych, co oznacza wzrost o 34 zamówienia w porównaniu do roku 2021. Wzrosła również wartość zamówień, w których zastosowano ten instrument – o ok. 89 mln zł. W przypadku zamówień zastrzeżonych na usługi zdrowotne, społeczne i kulturalne liczba zamówień wyniosła 589, a więc więcej o 250 przypadków w porównaniu do roku 2021. W zakresie tego instrumentu odnotowano również wzrost wartości zamówień – o blisko 150 mln zł.</w:t>
      </w:r>
    </w:p>
    <w:p w14:paraId="1524FE49" w14:textId="77777777" w:rsidR="00DE2654" w:rsidRDefault="00DE2654" w:rsidP="007618DE">
      <w:pPr>
        <w:shd w:val="clear" w:color="auto" w:fill="FFFFFF"/>
      </w:pPr>
    </w:p>
    <w:p w14:paraId="1C94E62F" w14:textId="120FB1B8" w:rsidR="007618DE" w:rsidRDefault="00D002C0" w:rsidP="0093480B">
      <w:pPr>
        <w:pStyle w:val="Legenda"/>
      </w:pPr>
      <w:bookmarkStart w:id="129" w:name="_Toc141276492"/>
      <w:r w:rsidRPr="001D48D0">
        <w:t xml:space="preserve">Rys. </w:t>
      </w:r>
      <w:r w:rsidR="00BE2079">
        <w:fldChar w:fldCharType="begin"/>
      </w:r>
      <w:r w:rsidR="00BE2079">
        <w:instrText xml:space="preserve"> SEQ Rys. \* ARABIC </w:instrText>
      </w:r>
      <w:r w:rsidR="00BE2079">
        <w:fldChar w:fldCharType="separate"/>
      </w:r>
      <w:r w:rsidR="00A43C68">
        <w:rPr>
          <w:noProof/>
        </w:rPr>
        <w:t>14</w:t>
      </w:r>
      <w:r w:rsidR="00BE2079">
        <w:rPr>
          <w:noProof/>
        </w:rPr>
        <w:fldChar w:fldCharType="end"/>
      </w:r>
      <w:r w:rsidRPr="001D48D0">
        <w:t>. Liczba zamówień, w których zastosowano odpowiednie aspekty społeczne</w:t>
      </w:r>
      <w:bookmarkEnd w:id="129"/>
    </w:p>
    <w:p w14:paraId="03E2FF5D" w14:textId="6F8DDA3A" w:rsidR="00342D5B" w:rsidRPr="00342D5B" w:rsidRDefault="00342D5B" w:rsidP="008628BD">
      <w:r>
        <w:rPr>
          <w:noProof/>
        </w:rPr>
        <w:drawing>
          <wp:inline distT="0" distB="0" distL="0" distR="0" wp14:anchorId="2FF9E17A" wp14:editId="1FBDC7E8">
            <wp:extent cx="5212080" cy="5223510"/>
            <wp:effectExtent l="0" t="0" r="7620" b="15240"/>
            <wp:docPr id="1972779348" name="Wykres 1">
              <a:extLst xmlns:a="http://schemas.openxmlformats.org/drawingml/2006/main">
                <a:ext uri="{FF2B5EF4-FFF2-40B4-BE49-F238E27FC236}">
                  <a16:creationId xmlns:a16="http://schemas.microsoft.com/office/drawing/2014/main" id="{64B1B099-0882-3A63-4C75-2F7BA1A60E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EA30FCE" w14:textId="416F5DD3" w:rsidR="007618DE" w:rsidRDefault="007618DE" w:rsidP="007618DE">
      <w:pPr>
        <w:shd w:val="clear" w:color="auto" w:fill="FFFFFF"/>
      </w:pPr>
    </w:p>
    <w:p w14:paraId="6A6646EF" w14:textId="01827044" w:rsidR="007618DE" w:rsidRDefault="007618DE" w:rsidP="007618DE">
      <w:pPr>
        <w:shd w:val="clear" w:color="auto" w:fill="FFFFFF"/>
      </w:pPr>
    </w:p>
    <w:p w14:paraId="04199FCC" w14:textId="7D85D375" w:rsidR="00D63795" w:rsidRDefault="00D63795" w:rsidP="007618DE">
      <w:pPr>
        <w:shd w:val="clear" w:color="auto" w:fill="FFFFFF"/>
      </w:pPr>
    </w:p>
    <w:p w14:paraId="5187E9A3" w14:textId="057F9EC0" w:rsidR="00D63795" w:rsidRDefault="00D63795" w:rsidP="000C4AC8">
      <w:pPr>
        <w:pStyle w:val="Legenda"/>
      </w:pPr>
      <w:bookmarkStart w:id="130" w:name="_Toc141276493"/>
      <w:r w:rsidRPr="005275CC">
        <w:t xml:space="preserve">Rys. </w:t>
      </w:r>
      <w:r w:rsidR="00BE2079">
        <w:fldChar w:fldCharType="begin"/>
      </w:r>
      <w:r w:rsidR="00BE2079">
        <w:instrText xml:space="preserve"> SEQ Rys. \* ARABIC </w:instrText>
      </w:r>
      <w:r w:rsidR="00BE2079">
        <w:fldChar w:fldCharType="separate"/>
      </w:r>
      <w:r w:rsidR="00A43C68">
        <w:rPr>
          <w:noProof/>
        </w:rPr>
        <w:t>15</w:t>
      </w:r>
      <w:r w:rsidR="00BE2079">
        <w:rPr>
          <w:noProof/>
        </w:rPr>
        <w:fldChar w:fldCharType="end"/>
      </w:r>
      <w:r w:rsidRPr="005275CC">
        <w:t>. Wartość zamówień, w których zastosowano odpowiednie aspekty społeczne</w:t>
      </w:r>
      <w:bookmarkEnd w:id="130"/>
    </w:p>
    <w:p w14:paraId="1E947DD5" w14:textId="34C9F05F" w:rsidR="00D63795" w:rsidRDefault="005275CC" w:rsidP="007618DE">
      <w:pPr>
        <w:shd w:val="clear" w:color="auto" w:fill="FFFFFF"/>
      </w:pPr>
      <w:r w:rsidRPr="008852E3">
        <w:rPr>
          <w:noProof/>
        </w:rPr>
        <w:drawing>
          <wp:inline distT="0" distB="0" distL="0" distR="0" wp14:anchorId="421747D9" wp14:editId="5E7CE85C">
            <wp:extent cx="5425440" cy="5715000"/>
            <wp:effectExtent l="0" t="0" r="3810" b="0"/>
            <wp:docPr id="163935096" name="Wykres 1">
              <a:extLst xmlns:a="http://schemas.openxmlformats.org/drawingml/2006/main">
                <a:ext uri="{FF2B5EF4-FFF2-40B4-BE49-F238E27FC236}">
                  <a16:creationId xmlns:a16="http://schemas.microsoft.com/office/drawing/2014/main" id="{09EC85AA-21DC-6E86-DA24-C04BD655B7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737AFB0" w14:textId="7CD252DA" w:rsidR="00D63795" w:rsidRDefault="00D63795" w:rsidP="007618DE">
      <w:pPr>
        <w:shd w:val="clear" w:color="auto" w:fill="FFFFFF"/>
      </w:pPr>
    </w:p>
    <w:p w14:paraId="6D3F7213" w14:textId="77777777" w:rsidR="00850CFD" w:rsidRPr="00850CFD" w:rsidRDefault="00850CFD" w:rsidP="007B227B">
      <w:pPr>
        <w:shd w:val="clear" w:color="auto" w:fill="FFFFFF"/>
      </w:pPr>
    </w:p>
    <w:p w14:paraId="47B14BBD" w14:textId="17E4A1BD" w:rsidR="00363837" w:rsidRPr="008A5154" w:rsidRDefault="00363837" w:rsidP="007B227B">
      <w:pPr>
        <w:shd w:val="clear" w:color="auto" w:fill="FFFFFF"/>
        <w:rPr>
          <w:rFonts w:cs="Arial"/>
          <w:i/>
        </w:rPr>
      </w:pPr>
      <w:r w:rsidRPr="00E43DC3">
        <w:rPr>
          <w:i/>
        </w:rPr>
        <w:t>Dane dotyczące zamówień, w których zastosowano odpowiednie instrumenty prospołeczne</w:t>
      </w:r>
      <w:r w:rsidR="00F936C1">
        <w:rPr>
          <w:i/>
        </w:rPr>
        <w:t>,</w:t>
      </w:r>
      <w:r w:rsidRPr="00E43DC3">
        <w:rPr>
          <w:i/>
        </w:rPr>
        <w:t xml:space="preserve"> przedstawiono w </w:t>
      </w:r>
      <w:hyperlink w:anchor="Zał_5" w:history="1">
        <w:r w:rsidRPr="00E43DC3">
          <w:rPr>
            <w:rStyle w:val="Hipercze"/>
            <w:i/>
          </w:rPr>
          <w:t xml:space="preserve">załączniku nr </w:t>
        </w:r>
        <w:r w:rsidR="00E43DC3" w:rsidRPr="00E43DC3">
          <w:rPr>
            <w:rStyle w:val="Hipercze"/>
            <w:i/>
          </w:rPr>
          <w:t>5</w:t>
        </w:r>
      </w:hyperlink>
      <w:r w:rsidRPr="00E43DC3">
        <w:rPr>
          <w:i/>
        </w:rPr>
        <w:t xml:space="preserve"> do niniejszego Sprawozdania.</w:t>
      </w:r>
    </w:p>
    <w:p w14:paraId="3CBB6286" w14:textId="68CA88E3" w:rsidR="00EF7DFE" w:rsidRDefault="00EF7DFE" w:rsidP="007B227B">
      <w:pPr>
        <w:shd w:val="clear" w:color="auto" w:fill="FFFFFF"/>
      </w:pPr>
    </w:p>
    <w:p w14:paraId="3CF24D6C" w14:textId="5CD680C3" w:rsidR="00DB61E8" w:rsidRDefault="00DB61E8" w:rsidP="007B227B">
      <w:pPr>
        <w:shd w:val="clear" w:color="auto" w:fill="FFFFFF"/>
      </w:pPr>
    </w:p>
    <w:p w14:paraId="72308148" w14:textId="52B190B2" w:rsidR="00245B26" w:rsidRPr="009B6025" w:rsidRDefault="00245B26" w:rsidP="00E16264">
      <w:pPr>
        <w:pStyle w:val="StylArial11ptWyjustowany"/>
        <w:numPr>
          <w:ilvl w:val="0"/>
          <w:numId w:val="6"/>
        </w:numPr>
        <w:shd w:val="clear" w:color="auto" w:fill="FFFFFF"/>
        <w:jc w:val="left"/>
        <w:rPr>
          <w:rFonts w:cs="Arial"/>
          <w:b/>
          <w:iCs/>
          <w:color w:val="0070C0"/>
          <w:szCs w:val="22"/>
        </w:rPr>
      </w:pPr>
      <w:r w:rsidRPr="009B6025">
        <w:rPr>
          <w:rFonts w:cs="Arial"/>
          <w:b/>
          <w:iCs/>
          <w:color w:val="0070C0"/>
          <w:szCs w:val="22"/>
        </w:rPr>
        <w:t>Zielone zamówienia publiczne</w:t>
      </w:r>
    </w:p>
    <w:p w14:paraId="03C5062C" w14:textId="6D3E6393" w:rsidR="00245B26" w:rsidRDefault="00245B26" w:rsidP="00BF56F6">
      <w:pPr>
        <w:shd w:val="clear" w:color="auto" w:fill="FFFFFF"/>
      </w:pPr>
    </w:p>
    <w:p w14:paraId="648B9856" w14:textId="732CD0F4" w:rsidR="00DD1A87" w:rsidRPr="00DD1A87" w:rsidRDefault="00DD1A87" w:rsidP="00DD1A87">
      <w:pPr>
        <w:shd w:val="clear" w:color="auto" w:fill="FFFFFF"/>
        <w:rPr>
          <w:rFonts w:cs="Arial"/>
          <w:szCs w:val="22"/>
        </w:rPr>
      </w:pPr>
      <w:r w:rsidRPr="00DD1A87">
        <w:rPr>
          <w:rFonts w:cs="Arial"/>
          <w:szCs w:val="22"/>
        </w:rPr>
        <w:t>W 2022 r. 609 zamawiających udzieliło 3 322 zamówień publicznych uwzględniających aspekty śro</w:t>
      </w:r>
      <w:r w:rsidR="00043A68">
        <w:rPr>
          <w:rFonts w:cs="Arial"/>
          <w:szCs w:val="22"/>
        </w:rPr>
        <w:t>dowiskowe o łącznej wartości 17 </w:t>
      </w:r>
      <w:r w:rsidRPr="00DD1A87">
        <w:rPr>
          <w:rFonts w:cs="Arial"/>
          <w:szCs w:val="22"/>
        </w:rPr>
        <w:t>172</w:t>
      </w:r>
      <w:r w:rsidR="00043A68">
        <w:rPr>
          <w:rFonts w:cs="Arial"/>
          <w:szCs w:val="22"/>
        </w:rPr>
        <w:t> </w:t>
      </w:r>
      <w:r w:rsidRPr="00DD1A87">
        <w:rPr>
          <w:rFonts w:cs="Arial"/>
          <w:szCs w:val="22"/>
        </w:rPr>
        <w:t>330</w:t>
      </w:r>
      <w:r w:rsidR="00043A68">
        <w:rPr>
          <w:rFonts w:cs="Arial"/>
          <w:szCs w:val="22"/>
        </w:rPr>
        <w:t> </w:t>
      </w:r>
      <w:r w:rsidRPr="00DD1A87">
        <w:rPr>
          <w:rFonts w:cs="Arial"/>
          <w:szCs w:val="22"/>
        </w:rPr>
        <w:t xml:space="preserve">387,65 zł (bez podatku od towarów i usług). W porównaniu z rokiem 2021, oznacza to wzrost liczby zamówień zielonych o 1 384 zamówień przy jednoczesnym wzroście ich wartości o 9 642 873 299,54 zł (bez podatku od </w:t>
      </w:r>
      <w:r w:rsidRPr="000B1410">
        <w:rPr>
          <w:rFonts w:cs="Arial"/>
          <w:szCs w:val="22"/>
        </w:rPr>
        <w:t>towarów i usług). Nieznacznemu spadkowi, bo o 4 podmioty, uległa natomiast liczba zamawiających, którzy udzielili zielonych zamówień w 2022 r. Udział zielonych w ogólnej liczbie udzielonych</w:t>
      </w:r>
      <w:r w:rsidR="009A02C1">
        <w:rPr>
          <w:rFonts w:cs="Arial"/>
          <w:szCs w:val="22"/>
        </w:rPr>
        <w:t xml:space="preserve"> </w:t>
      </w:r>
      <w:r w:rsidRPr="000B1410">
        <w:rPr>
          <w:rFonts w:cs="Arial"/>
          <w:szCs w:val="22"/>
        </w:rPr>
        <w:t xml:space="preserve">w 2022 r. zamówień publicznych wyniósł </w:t>
      </w:r>
      <w:r w:rsidR="000B1410" w:rsidRPr="000B1410">
        <w:rPr>
          <w:rFonts w:cs="Arial"/>
          <w:szCs w:val="22"/>
        </w:rPr>
        <w:t>2%</w:t>
      </w:r>
      <w:r w:rsidRPr="000B1410">
        <w:rPr>
          <w:rFonts w:cs="Arial"/>
          <w:szCs w:val="22"/>
        </w:rPr>
        <w:t xml:space="preserve"> podczas gdy ich wartość stanowiła </w:t>
      </w:r>
      <w:r w:rsidR="000B1410" w:rsidRPr="000B1410">
        <w:rPr>
          <w:rFonts w:cs="Arial"/>
          <w:szCs w:val="22"/>
        </w:rPr>
        <w:t>6%</w:t>
      </w:r>
      <w:r w:rsidRPr="000B1410">
        <w:rPr>
          <w:rFonts w:cs="Arial"/>
          <w:szCs w:val="22"/>
        </w:rPr>
        <w:t xml:space="preserve"> łącznej wartości udzielonych zamówień publicznych.</w:t>
      </w:r>
    </w:p>
    <w:p w14:paraId="7EB9E67B" w14:textId="77777777" w:rsidR="002652CB" w:rsidRPr="00284073" w:rsidRDefault="002652CB" w:rsidP="00BF56F6">
      <w:pPr>
        <w:shd w:val="clear" w:color="auto" w:fill="FFFFFF"/>
        <w:rPr>
          <w:rFonts w:cs="Arial"/>
          <w:szCs w:val="22"/>
        </w:rPr>
      </w:pPr>
    </w:p>
    <w:p w14:paraId="0DE07825" w14:textId="5B0655E3" w:rsidR="0070358B" w:rsidRDefault="0070358B" w:rsidP="0070358B">
      <w:pPr>
        <w:pStyle w:val="Legenda"/>
      </w:pPr>
      <w:bookmarkStart w:id="131" w:name="_Toc141276540"/>
      <w:r w:rsidRPr="000B1410">
        <w:t xml:space="preserve">Tab. </w:t>
      </w:r>
      <w:r w:rsidR="00BE2079">
        <w:fldChar w:fldCharType="begin"/>
      </w:r>
      <w:r w:rsidR="00BE2079">
        <w:instrText xml:space="preserve"> SEQ Tab. \* ARABIC </w:instrText>
      </w:r>
      <w:r w:rsidR="00BE2079">
        <w:fldChar w:fldCharType="separate"/>
      </w:r>
      <w:r w:rsidR="00A43C68">
        <w:rPr>
          <w:noProof/>
        </w:rPr>
        <w:t>33</w:t>
      </w:r>
      <w:r w:rsidR="00BE2079">
        <w:rPr>
          <w:noProof/>
        </w:rPr>
        <w:fldChar w:fldCharType="end"/>
      </w:r>
      <w:r w:rsidRPr="000B1410">
        <w:t>. Zielone zamówienia publiczne w 202</w:t>
      </w:r>
      <w:r w:rsidR="00DD1A87" w:rsidRPr="000B1410">
        <w:t>2</w:t>
      </w:r>
      <w:r w:rsidRPr="000B1410">
        <w:t xml:space="preserve"> r.</w:t>
      </w:r>
      <w:r w:rsidR="00FF5242">
        <w:t xml:space="preserve"> </w:t>
      </w:r>
      <w:r w:rsidRPr="000B1410">
        <w:t>– dane ogólne</w:t>
      </w:r>
      <w:bookmarkEnd w:id="13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45B26" w:rsidRPr="00284073" w14:paraId="2E939A22" w14:textId="77777777" w:rsidTr="00C17ABE">
        <w:trPr>
          <w:trHeight w:val="300"/>
          <w:tblHeader/>
          <w:jc w:val="center"/>
        </w:trPr>
        <w:tc>
          <w:tcPr>
            <w:tcW w:w="9062" w:type="dxa"/>
            <w:gridSpan w:val="2"/>
            <w:shd w:val="clear" w:color="auto" w:fill="C5E0B3" w:themeFill="accent6" w:themeFillTint="66"/>
            <w:noWrap/>
            <w:vAlign w:val="center"/>
            <w:hideMark/>
          </w:tcPr>
          <w:p w14:paraId="06CAD680" w14:textId="77777777" w:rsidR="00245B26" w:rsidRPr="00284073" w:rsidRDefault="00245B26" w:rsidP="00C17ABE">
            <w:pPr>
              <w:jc w:val="center"/>
              <w:rPr>
                <w:rFonts w:cs="Arial"/>
                <w:b/>
                <w:sz w:val="20"/>
                <w:szCs w:val="20"/>
              </w:rPr>
            </w:pPr>
            <w:r w:rsidRPr="00284073">
              <w:rPr>
                <w:rFonts w:cs="Arial"/>
                <w:b/>
                <w:sz w:val="20"/>
                <w:szCs w:val="20"/>
              </w:rPr>
              <w:t>DANE OGÓLNE</w:t>
            </w:r>
          </w:p>
        </w:tc>
      </w:tr>
      <w:tr w:rsidR="00DD1A87" w:rsidRPr="00284073" w14:paraId="25D83BBE" w14:textId="77777777" w:rsidTr="00C17ABE">
        <w:trPr>
          <w:trHeight w:val="300"/>
          <w:jc w:val="center"/>
        </w:trPr>
        <w:tc>
          <w:tcPr>
            <w:tcW w:w="6941" w:type="dxa"/>
            <w:shd w:val="clear" w:color="auto" w:fill="auto"/>
            <w:noWrap/>
            <w:vAlign w:val="center"/>
            <w:hideMark/>
          </w:tcPr>
          <w:p w14:paraId="6F8CD594" w14:textId="77777777" w:rsidR="00DD1A87" w:rsidRPr="00284073" w:rsidRDefault="00DD1A87" w:rsidP="00DD1A87">
            <w:pPr>
              <w:rPr>
                <w:rFonts w:cs="Arial"/>
                <w:bCs/>
                <w:sz w:val="20"/>
                <w:szCs w:val="20"/>
              </w:rPr>
            </w:pPr>
            <w:r w:rsidRPr="00284073">
              <w:rPr>
                <w:rFonts w:cs="Arial"/>
                <w:bCs/>
                <w:sz w:val="20"/>
                <w:szCs w:val="20"/>
              </w:rPr>
              <w:t xml:space="preserve">Liczba zamawiających, którzy udzielili zamówień publicznych o charakterze środowiskowym </w:t>
            </w:r>
          </w:p>
        </w:tc>
        <w:tc>
          <w:tcPr>
            <w:tcW w:w="2121" w:type="dxa"/>
            <w:shd w:val="clear" w:color="auto" w:fill="auto"/>
            <w:noWrap/>
            <w:vAlign w:val="center"/>
          </w:tcPr>
          <w:p w14:paraId="08EA76B2" w14:textId="5D03B3AA" w:rsidR="00DD1A87" w:rsidRPr="00284073" w:rsidRDefault="00DD1A87" w:rsidP="00DD1A87">
            <w:pPr>
              <w:jc w:val="center"/>
              <w:rPr>
                <w:rFonts w:cs="Arial"/>
                <w:sz w:val="20"/>
                <w:szCs w:val="20"/>
              </w:rPr>
            </w:pPr>
            <w:r>
              <w:rPr>
                <w:rFonts w:cs="Arial"/>
                <w:sz w:val="20"/>
                <w:szCs w:val="20"/>
              </w:rPr>
              <w:t>609</w:t>
            </w:r>
          </w:p>
        </w:tc>
      </w:tr>
      <w:tr w:rsidR="00DD1A87" w:rsidRPr="00284073" w14:paraId="02148BE5" w14:textId="77777777" w:rsidTr="00C17ABE">
        <w:trPr>
          <w:trHeight w:val="300"/>
          <w:jc w:val="center"/>
        </w:trPr>
        <w:tc>
          <w:tcPr>
            <w:tcW w:w="6941" w:type="dxa"/>
            <w:shd w:val="clear" w:color="auto" w:fill="E2EFD9" w:themeFill="accent6" w:themeFillTint="33"/>
            <w:noWrap/>
            <w:vAlign w:val="center"/>
          </w:tcPr>
          <w:p w14:paraId="7378C0E3" w14:textId="77777777" w:rsidR="00DD1A87" w:rsidRPr="00284073" w:rsidRDefault="00DD1A87" w:rsidP="00DD1A87">
            <w:pPr>
              <w:rPr>
                <w:rFonts w:cs="Arial"/>
                <w:bCs/>
                <w:sz w:val="20"/>
                <w:szCs w:val="20"/>
              </w:rPr>
            </w:pPr>
            <w:r w:rsidRPr="00284073">
              <w:rPr>
                <w:rFonts w:cs="Arial"/>
                <w:bCs/>
                <w:sz w:val="20"/>
                <w:szCs w:val="20"/>
              </w:rPr>
              <w:t xml:space="preserve">Liczba </w:t>
            </w:r>
            <w:r w:rsidRPr="00284073">
              <w:rPr>
                <w:rFonts w:cs="Arial"/>
                <w:sz w:val="20"/>
                <w:szCs w:val="20"/>
              </w:rPr>
              <w:t>udzielonych zamówień uwzględniających aspekty środowiskowe</w:t>
            </w:r>
          </w:p>
        </w:tc>
        <w:tc>
          <w:tcPr>
            <w:tcW w:w="2121" w:type="dxa"/>
            <w:shd w:val="clear" w:color="auto" w:fill="E2EFD9" w:themeFill="accent6" w:themeFillTint="33"/>
            <w:noWrap/>
            <w:vAlign w:val="center"/>
          </w:tcPr>
          <w:p w14:paraId="7A8CAEA3" w14:textId="79FA3F88" w:rsidR="00DD1A87" w:rsidRPr="00284073" w:rsidRDefault="00DD1A87" w:rsidP="00DD1A87">
            <w:pPr>
              <w:jc w:val="center"/>
              <w:rPr>
                <w:rFonts w:cs="Arial"/>
                <w:sz w:val="20"/>
                <w:szCs w:val="20"/>
              </w:rPr>
            </w:pPr>
            <w:r w:rsidRPr="0057598C">
              <w:rPr>
                <w:rFonts w:cs="Arial"/>
                <w:sz w:val="20"/>
                <w:szCs w:val="20"/>
              </w:rPr>
              <w:t>3</w:t>
            </w:r>
            <w:r>
              <w:rPr>
                <w:rFonts w:cs="Arial"/>
                <w:sz w:val="20"/>
                <w:szCs w:val="20"/>
              </w:rPr>
              <w:t xml:space="preserve"> </w:t>
            </w:r>
            <w:r w:rsidRPr="0057598C">
              <w:rPr>
                <w:rFonts w:cs="Arial"/>
                <w:sz w:val="20"/>
                <w:szCs w:val="20"/>
              </w:rPr>
              <w:t>322</w:t>
            </w:r>
          </w:p>
        </w:tc>
      </w:tr>
      <w:tr w:rsidR="00DD1A87" w:rsidRPr="00284073" w14:paraId="314464D7" w14:textId="77777777" w:rsidTr="00C17ABE">
        <w:trPr>
          <w:trHeight w:val="300"/>
          <w:jc w:val="center"/>
        </w:trPr>
        <w:tc>
          <w:tcPr>
            <w:tcW w:w="6941" w:type="dxa"/>
            <w:shd w:val="clear" w:color="auto" w:fill="auto"/>
            <w:noWrap/>
            <w:vAlign w:val="center"/>
            <w:hideMark/>
          </w:tcPr>
          <w:p w14:paraId="69477A39" w14:textId="77777777" w:rsidR="00DD1A87" w:rsidRPr="00284073" w:rsidRDefault="00DD1A87" w:rsidP="00DD1A87">
            <w:pPr>
              <w:rPr>
                <w:rFonts w:cs="Arial"/>
                <w:bCs/>
                <w:sz w:val="20"/>
                <w:szCs w:val="20"/>
              </w:rPr>
            </w:pPr>
            <w:r w:rsidRPr="00284073">
              <w:rPr>
                <w:rFonts w:cs="Arial"/>
                <w:bCs/>
                <w:sz w:val="20"/>
                <w:szCs w:val="20"/>
              </w:rPr>
              <w:t xml:space="preserve">Wartość </w:t>
            </w:r>
            <w:r w:rsidRPr="00284073">
              <w:rPr>
                <w:rFonts w:cs="Arial"/>
                <w:sz w:val="20"/>
                <w:szCs w:val="20"/>
              </w:rPr>
              <w:t>udzielonych zamówień uwzględniających aspekty środowiskowe</w:t>
            </w:r>
          </w:p>
        </w:tc>
        <w:tc>
          <w:tcPr>
            <w:tcW w:w="2121" w:type="dxa"/>
            <w:shd w:val="clear" w:color="auto" w:fill="auto"/>
            <w:noWrap/>
            <w:vAlign w:val="center"/>
            <w:hideMark/>
          </w:tcPr>
          <w:p w14:paraId="733B544F" w14:textId="77777777" w:rsidR="00DD1A87" w:rsidRDefault="00DD1A87" w:rsidP="00DD1A87">
            <w:pPr>
              <w:jc w:val="center"/>
              <w:rPr>
                <w:rFonts w:cs="Arial"/>
                <w:sz w:val="20"/>
                <w:szCs w:val="20"/>
              </w:rPr>
            </w:pPr>
            <w:r w:rsidRPr="0057598C">
              <w:rPr>
                <w:rFonts w:cs="Arial"/>
                <w:sz w:val="20"/>
                <w:szCs w:val="20"/>
              </w:rPr>
              <w:t>17 172 330 387,65 zł</w:t>
            </w:r>
          </w:p>
          <w:p w14:paraId="181D25EB" w14:textId="461E5FEC" w:rsidR="00DD1A87" w:rsidRPr="00284073" w:rsidRDefault="00DD1A87" w:rsidP="00DD1A87">
            <w:pPr>
              <w:jc w:val="center"/>
              <w:rPr>
                <w:rFonts w:cs="Arial"/>
                <w:sz w:val="20"/>
                <w:szCs w:val="20"/>
              </w:rPr>
            </w:pPr>
            <w:r w:rsidRPr="00FD623C">
              <w:rPr>
                <w:rFonts w:cs="Arial"/>
                <w:sz w:val="20"/>
                <w:szCs w:val="20"/>
              </w:rPr>
              <w:t>(wartość bez VAT)</w:t>
            </w:r>
          </w:p>
        </w:tc>
      </w:tr>
      <w:tr w:rsidR="00245B26" w:rsidRPr="00284073" w14:paraId="1FE5272C"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D55FD" w14:textId="77777777" w:rsidR="00245B26" w:rsidRPr="00284073" w:rsidRDefault="00245B26" w:rsidP="00C17ABE">
            <w:pPr>
              <w:jc w:val="center"/>
              <w:rPr>
                <w:rFonts w:cs="Arial"/>
                <w:b/>
                <w:bCs/>
                <w:sz w:val="20"/>
                <w:szCs w:val="20"/>
              </w:rPr>
            </w:pPr>
            <w:r w:rsidRPr="00284073">
              <w:rPr>
                <w:rFonts w:cs="Arial"/>
                <w:b/>
                <w:bCs/>
                <w:sz w:val="20"/>
                <w:szCs w:val="20"/>
              </w:rPr>
              <w:t>ŁĄCZNIE</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88221" w14:textId="77777777" w:rsidR="00245B26" w:rsidRPr="00284073" w:rsidRDefault="00245B26" w:rsidP="00C17ABE">
            <w:pPr>
              <w:jc w:val="center"/>
              <w:rPr>
                <w:rFonts w:cs="Arial"/>
                <w:sz w:val="20"/>
                <w:szCs w:val="20"/>
              </w:rPr>
            </w:pPr>
          </w:p>
        </w:tc>
      </w:tr>
      <w:tr w:rsidR="00245B26" w:rsidRPr="000B1410" w14:paraId="5B9762F8"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351C8E23" w14:textId="77777777" w:rsidR="00245B26" w:rsidRPr="000B1410" w:rsidRDefault="00245B26" w:rsidP="00C17ABE">
            <w:pPr>
              <w:rPr>
                <w:rFonts w:cs="Arial"/>
                <w:bCs/>
                <w:sz w:val="20"/>
                <w:szCs w:val="20"/>
              </w:rPr>
            </w:pPr>
            <w:r w:rsidRPr="000B1410">
              <w:rPr>
                <w:rFonts w:cs="Arial"/>
                <w:bCs/>
                <w:sz w:val="20"/>
                <w:szCs w:val="20"/>
              </w:rPr>
              <w:t>Udział zielonych zamówień publicznych w ogólnej liczbie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385B5AD" w14:textId="4DC00A42" w:rsidR="00245B26" w:rsidRPr="000B1410" w:rsidRDefault="000B1410" w:rsidP="00C17ABE">
            <w:pPr>
              <w:jc w:val="center"/>
              <w:rPr>
                <w:rFonts w:cs="Arial"/>
                <w:sz w:val="20"/>
                <w:szCs w:val="20"/>
              </w:rPr>
            </w:pPr>
            <w:r w:rsidRPr="000B1410">
              <w:rPr>
                <w:rFonts w:cs="Arial"/>
                <w:sz w:val="20"/>
                <w:szCs w:val="20"/>
              </w:rPr>
              <w:t>2%</w:t>
            </w:r>
          </w:p>
        </w:tc>
      </w:tr>
      <w:tr w:rsidR="00245B26" w:rsidRPr="00284073" w14:paraId="4822DEAF" w14:textId="77777777" w:rsidTr="00C17ABE">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CBBFA" w14:textId="77777777" w:rsidR="00245B26" w:rsidRPr="000B1410" w:rsidRDefault="00245B26" w:rsidP="00C17ABE">
            <w:pPr>
              <w:rPr>
                <w:rFonts w:cs="Arial"/>
                <w:bCs/>
                <w:sz w:val="20"/>
                <w:szCs w:val="20"/>
              </w:rPr>
            </w:pPr>
            <w:r w:rsidRPr="000B1410">
              <w:rPr>
                <w:rFonts w:cs="Arial"/>
                <w:bCs/>
                <w:sz w:val="20"/>
                <w:szCs w:val="20"/>
              </w:rPr>
              <w:t>Udział zielonych zamówień publicznych w ogólnej wartości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457A3" w14:textId="6BE05491" w:rsidR="00245B26" w:rsidRPr="00284073" w:rsidRDefault="000B1410" w:rsidP="00C17ABE">
            <w:pPr>
              <w:jc w:val="center"/>
              <w:rPr>
                <w:rFonts w:cs="Arial"/>
                <w:sz w:val="20"/>
                <w:szCs w:val="20"/>
              </w:rPr>
            </w:pPr>
            <w:r w:rsidRPr="000B1410">
              <w:rPr>
                <w:rFonts w:cs="Arial"/>
                <w:sz w:val="20"/>
                <w:szCs w:val="20"/>
              </w:rPr>
              <w:t>6%</w:t>
            </w:r>
          </w:p>
        </w:tc>
      </w:tr>
    </w:tbl>
    <w:p w14:paraId="5BCA8FEB" w14:textId="65210AAA" w:rsidR="00BF56F6" w:rsidRDefault="00BF56F6" w:rsidP="00BF56F6"/>
    <w:p w14:paraId="751F2931" w14:textId="77777777" w:rsidR="004D0E48" w:rsidRDefault="004D0E48" w:rsidP="004D0E48"/>
    <w:p w14:paraId="17773233" w14:textId="776E6AD9" w:rsidR="004D0E48" w:rsidRDefault="004D0E48" w:rsidP="004D0E48">
      <w:r w:rsidRPr="004D0E48">
        <w:t xml:space="preserve">Instrumenty prośrodowiskowe w największej liczbie przypadków stosowano w zamówieniach na usługi, analogicznie jak w latach ubiegłych. W tego rodzaju zamówieniach najczęściej stosowano </w:t>
      </w:r>
      <w:r w:rsidRPr="004D0E48">
        <w:rPr>
          <w:bCs/>
        </w:rPr>
        <w:t xml:space="preserve">środowiskowe wymagania związane z realizacją zamówienia oraz kryteria oceny ofert odnoszące się </w:t>
      </w:r>
      <w:r w:rsidR="00777C19">
        <w:rPr>
          <w:bCs/>
        </w:rPr>
        <w:t xml:space="preserve">do </w:t>
      </w:r>
      <w:r w:rsidRPr="004D0E48">
        <w:rPr>
          <w:bCs/>
        </w:rPr>
        <w:t>aspektów środowiskowych, w tym efektywności energetycznej przedmiotu zamówienia.</w:t>
      </w:r>
      <w:r w:rsidRPr="004D0E48">
        <w:rPr>
          <w:b/>
        </w:rPr>
        <w:t xml:space="preserve"> </w:t>
      </w:r>
      <w:r w:rsidRPr="004D0E48">
        <w:t>W przypadku zamówień na dostawy, najczęściej dokonywano o</w:t>
      </w:r>
      <w:r w:rsidRPr="004D0E48">
        <w:rPr>
          <w:bCs/>
        </w:rPr>
        <w:t xml:space="preserve">kreślenia w opisie przedmiotu zamówienia wymagań środowiskowych i stosowano środowiskowe wymagania związane z realizacją zamówienia. </w:t>
      </w:r>
      <w:r w:rsidRPr="004D0E48">
        <w:t>Z kolei w robotach budowlanych do najczęściej stosowanych instrumentów prośrodowiskowych należały środowiskowe wymagania związane z realizacją zamówienia, a także wymagania środowiskowe ujmowane w ramach opisu przedmiotu zamówienia.</w:t>
      </w:r>
      <w:r w:rsidR="009A02C1">
        <w:t xml:space="preserve"> </w:t>
      </w:r>
    </w:p>
    <w:p w14:paraId="42544C2A" w14:textId="36FAAD65" w:rsidR="006E13C2" w:rsidRDefault="006E13C2" w:rsidP="004D0E48"/>
    <w:p w14:paraId="69084D8E" w14:textId="6EC22006" w:rsidR="006E13C2" w:rsidRPr="004D0E48" w:rsidRDefault="006E13C2" w:rsidP="006E13C2">
      <w:r w:rsidRPr="004D0E48">
        <w:t>Poniższe tabele prezentują zestawienie szczegółowych danych dotyczących zarówno liczby</w:t>
      </w:r>
      <w:r w:rsidR="00447DF9">
        <w:t xml:space="preserve">, </w:t>
      </w:r>
      <w:r w:rsidRPr="004D0E48">
        <w:t>jak i wartości zamówień, w których zastosowano poszczególne instrumenty, dodatkowo w podziale na rodzaj zamówienia.</w:t>
      </w:r>
    </w:p>
    <w:p w14:paraId="3FA30A21" w14:textId="6CC85CD1" w:rsidR="00A3198F" w:rsidRDefault="00A3198F" w:rsidP="00BF56F6"/>
    <w:p w14:paraId="6C6F7EAB" w14:textId="2F54E3B6" w:rsidR="00245B26" w:rsidRPr="00F5320C" w:rsidRDefault="00245B26" w:rsidP="00245B26">
      <w:pPr>
        <w:shd w:val="clear" w:color="auto" w:fill="FFFFFF"/>
        <w:ind w:left="709"/>
        <w:rPr>
          <w:b/>
          <w:color w:val="0070C0"/>
        </w:rPr>
      </w:pPr>
      <w:r w:rsidRPr="00F5320C">
        <w:rPr>
          <w:b/>
          <w:color w:val="0070C0"/>
        </w:rPr>
        <w:t>Określenie w opisie przedmiotu zamówienia wymagań środowiskowych zgodnie z art. 101 ustawy Pzp</w:t>
      </w:r>
    </w:p>
    <w:p w14:paraId="0C5B6102" w14:textId="77777777" w:rsidR="00245B26" w:rsidRPr="00284073" w:rsidRDefault="00245B26" w:rsidP="00245B26">
      <w:pPr>
        <w:shd w:val="clear" w:color="auto" w:fill="FFFFFF"/>
      </w:pPr>
    </w:p>
    <w:p w14:paraId="1F952A61" w14:textId="0AEEF1EF" w:rsidR="00BF56F6" w:rsidRPr="00284073" w:rsidRDefault="00BF56F6" w:rsidP="00BF56F6">
      <w:pPr>
        <w:pStyle w:val="Legenda"/>
      </w:pPr>
      <w:bookmarkStart w:id="132" w:name="_Toc141276541"/>
      <w:r w:rsidRPr="009477E4">
        <w:t xml:space="preserve">Tab. </w:t>
      </w:r>
      <w:r w:rsidR="00BE2079">
        <w:fldChar w:fldCharType="begin"/>
      </w:r>
      <w:r w:rsidR="00BE2079">
        <w:instrText xml:space="preserve"> SEQ Tab. \* ARABIC </w:instrText>
      </w:r>
      <w:r w:rsidR="00BE2079">
        <w:fldChar w:fldCharType="separate"/>
      </w:r>
      <w:r w:rsidR="00A43C68">
        <w:rPr>
          <w:noProof/>
        </w:rPr>
        <w:t>34</w:t>
      </w:r>
      <w:r w:rsidR="00BE2079">
        <w:rPr>
          <w:noProof/>
        </w:rPr>
        <w:fldChar w:fldCharType="end"/>
      </w:r>
      <w:r w:rsidRPr="009477E4">
        <w:t>. Zielone zamówienia publiczne z zastosowaniem art. 101 ustawy Pzp</w:t>
      </w:r>
      <w:bookmarkEnd w:id="13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9477E4" w:rsidRPr="00284073" w14:paraId="62628242" w14:textId="77777777" w:rsidTr="009477E4">
        <w:trPr>
          <w:trHeight w:val="300"/>
          <w:jc w:val="center"/>
        </w:trPr>
        <w:tc>
          <w:tcPr>
            <w:tcW w:w="6941" w:type="dxa"/>
            <w:shd w:val="clear" w:color="auto" w:fill="E2EFD9" w:themeFill="accent6" w:themeFillTint="33"/>
            <w:noWrap/>
            <w:vAlign w:val="center"/>
          </w:tcPr>
          <w:p w14:paraId="6588CCCE" w14:textId="77777777" w:rsidR="009477E4" w:rsidRPr="00284073" w:rsidRDefault="009477E4" w:rsidP="009477E4">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4C25D4D3" w14:textId="603DD99E" w:rsidR="009477E4" w:rsidRPr="00284073" w:rsidRDefault="009477E4" w:rsidP="009477E4">
            <w:pPr>
              <w:jc w:val="center"/>
              <w:rPr>
                <w:rFonts w:cs="Arial"/>
                <w:sz w:val="20"/>
                <w:szCs w:val="20"/>
              </w:rPr>
            </w:pPr>
            <w:r w:rsidRPr="008B24F1">
              <w:rPr>
                <w:rFonts w:cs="Arial"/>
                <w:sz w:val="20"/>
                <w:szCs w:val="20"/>
              </w:rPr>
              <w:t>1 405</w:t>
            </w:r>
          </w:p>
        </w:tc>
      </w:tr>
      <w:tr w:rsidR="009477E4" w:rsidRPr="00284073" w14:paraId="2FF92AB8" w14:textId="77777777" w:rsidTr="009477E4">
        <w:trPr>
          <w:trHeight w:val="300"/>
          <w:jc w:val="center"/>
        </w:trPr>
        <w:tc>
          <w:tcPr>
            <w:tcW w:w="6941" w:type="dxa"/>
            <w:shd w:val="clear" w:color="auto" w:fill="auto"/>
            <w:noWrap/>
            <w:vAlign w:val="center"/>
            <w:hideMark/>
          </w:tcPr>
          <w:p w14:paraId="782C157C" w14:textId="77777777" w:rsidR="009477E4" w:rsidRPr="00284073" w:rsidRDefault="009477E4" w:rsidP="009477E4">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77D779A6" w14:textId="77777777" w:rsidR="009477E4" w:rsidRDefault="009477E4" w:rsidP="009477E4">
            <w:pPr>
              <w:jc w:val="center"/>
              <w:rPr>
                <w:rFonts w:cs="Arial"/>
                <w:sz w:val="20"/>
                <w:szCs w:val="20"/>
              </w:rPr>
            </w:pPr>
            <w:r w:rsidRPr="008B24F1">
              <w:rPr>
                <w:rFonts w:cs="Arial"/>
                <w:sz w:val="20"/>
                <w:szCs w:val="20"/>
              </w:rPr>
              <w:t>11 849 927 278,24 zł</w:t>
            </w:r>
          </w:p>
          <w:p w14:paraId="352A39D3" w14:textId="2062CC11" w:rsidR="009477E4" w:rsidRPr="00284073" w:rsidRDefault="009477E4" w:rsidP="009477E4">
            <w:pPr>
              <w:jc w:val="center"/>
              <w:rPr>
                <w:rFonts w:cs="Arial"/>
                <w:sz w:val="20"/>
                <w:szCs w:val="20"/>
              </w:rPr>
            </w:pPr>
            <w:r w:rsidRPr="00FD623C">
              <w:rPr>
                <w:rFonts w:cs="Arial"/>
                <w:sz w:val="20"/>
                <w:szCs w:val="20"/>
              </w:rPr>
              <w:t>(wartość bez VAT)</w:t>
            </w:r>
          </w:p>
        </w:tc>
      </w:tr>
    </w:tbl>
    <w:p w14:paraId="04E8B13C"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843"/>
        <w:gridCol w:w="4677"/>
      </w:tblGrid>
      <w:tr w:rsidR="00245B26" w:rsidRPr="00284073" w14:paraId="3752CEFC" w14:textId="77777777" w:rsidTr="00C17ABE">
        <w:trPr>
          <w:trHeight w:val="300"/>
          <w:tblHeader/>
          <w:jc w:val="center"/>
        </w:trPr>
        <w:tc>
          <w:tcPr>
            <w:tcW w:w="2547" w:type="dxa"/>
            <w:shd w:val="clear" w:color="auto" w:fill="C5E0B3" w:themeFill="accent6" w:themeFillTint="66"/>
            <w:noWrap/>
            <w:vAlign w:val="center"/>
          </w:tcPr>
          <w:p w14:paraId="6DE3FCD9"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843" w:type="dxa"/>
            <w:shd w:val="clear" w:color="auto" w:fill="C5E0B3" w:themeFill="accent6" w:themeFillTint="66"/>
            <w:vAlign w:val="center"/>
          </w:tcPr>
          <w:p w14:paraId="5E67F78F"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677" w:type="dxa"/>
            <w:shd w:val="clear" w:color="auto" w:fill="C5E0B3" w:themeFill="accent6" w:themeFillTint="66"/>
            <w:vAlign w:val="center"/>
          </w:tcPr>
          <w:p w14:paraId="559103FC"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9477E4" w:rsidRPr="00284073" w14:paraId="48581084" w14:textId="77777777" w:rsidTr="00C17ABE">
        <w:trPr>
          <w:trHeight w:val="300"/>
          <w:jc w:val="center"/>
        </w:trPr>
        <w:tc>
          <w:tcPr>
            <w:tcW w:w="2547" w:type="dxa"/>
            <w:shd w:val="clear" w:color="auto" w:fill="auto"/>
            <w:noWrap/>
            <w:vAlign w:val="center"/>
          </w:tcPr>
          <w:p w14:paraId="7EDB7DB9" w14:textId="77777777" w:rsidR="009477E4" w:rsidRPr="00284073" w:rsidRDefault="009477E4" w:rsidP="009477E4">
            <w:pPr>
              <w:jc w:val="center"/>
              <w:rPr>
                <w:rFonts w:cs="Arial"/>
                <w:bCs/>
                <w:sz w:val="20"/>
                <w:szCs w:val="20"/>
              </w:rPr>
            </w:pPr>
            <w:r w:rsidRPr="00284073">
              <w:rPr>
                <w:rFonts w:cs="Arial"/>
                <w:bCs/>
                <w:sz w:val="20"/>
                <w:szCs w:val="20"/>
              </w:rPr>
              <w:t>Dostawy</w:t>
            </w:r>
          </w:p>
        </w:tc>
        <w:tc>
          <w:tcPr>
            <w:tcW w:w="1843" w:type="dxa"/>
            <w:shd w:val="clear" w:color="auto" w:fill="auto"/>
            <w:noWrap/>
            <w:vAlign w:val="center"/>
          </w:tcPr>
          <w:p w14:paraId="45731CCA" w14:textId="1392B4AB" w:rsidR="009477E4" w:rsidRPr="00284073" w:rsidRDefault="009477E4" w:rsidP="009477E4">
            <w:pPr>
              <w:jc w:val="center"/>
              <w:rPr>
                <w:rFonts w:cs="Arial"/>
                <w:sz w:val="20"/>
                <w:szCs w:val="20"/>
              </w:rPr>
            </w:pPr>
            <w:r w:rsidRPr="00117F67">
              <w:rPr>
                <w:sz w:val="20"/>
                <w:szCs w:val="20"/>
              </w:rPr>
              <w:t>565</w:t>
            </w:r>
          </w:p>
        </w:tc>
        <w:tc>
          <w:tcPr>
            <w:tcW w:w="4677" w:type="dxa"/>
            <w:vAlign w:val="center"/>
          </w:tcPr>
          <w:p w14:paraId="6C245183" w14:textId="207285E5" w:rsidR="009477E4" w:rsidRPr="00284073" w:rsidRDefault="009477E4" w:rsidP="009477E4">
            <w:pPr>
              <w:jc w:val="center"/>
              <w:rPr>
                <w:rFonts w:cs="Arial"/>
                <w:sz w:val="20"/>
                <w:szCs w:val="20"/>
              </w:rPr>
            </w:pPr>
            <w:r w:rsidRPr="00117F67">
              <w:rPr>
                <w:sz w:val="20"/>
                <w:szCs w:val="20"/>
              </w:rPr>
              <w:t>1 884 626 938,39 zł</w:t>
            </w:r>
          </w:p>
        </w:tc>
      </w:tr>
      <w:tr w:rsidR="009477E4" w:rsidRPr="00284073" w14:paraId="041DC911" w14:textId="77777777" w:rsidTr="00C17ABE">
        <w:trPr>
          <w:trHeight w:val="300"/>
          <w:jc w:val="center"/>
        </w:trPr>
        <w:tc>
          <w:tcPr>
            <w:tcW w:w="2547" w:type="dxa"/>
            <w:shd w:val="clear" w:color="auto" w:fill="E2EFD9" w:themeFill="accent6" w:themeFillTint="33"/>
            <w:noWrap/>
            <w:vAlign w:val="center"/>
            <w:hideMark/>
          </w:tcPr>
          <w:p w14:paraId="757E7097" w14:textId="77777777" w:rsidR="009477E4" w:rsidRPr="00284073" w:rsidRDefault="009477E4" w:rsidP="009477E4">
            <w:pPr>
              <w:jc w:val="center"/>
              <w:rPr>
                <w:rFonts w:cs="Arial"/>
                <w:bCs/>
                <w:sz w:val="20"/>
                <w:szCs w:val="20"/>
              </w:rPr>
            </w:pPr>
            <w:r w:rsidRPr="00284073">
              <w:rPr>
                <w:rFonts w:cs="Arial"/>
                <w:bCs/>
                <w:sz w:val="20"/>
                <w:szCs w:val="20"/>
              </w:rPr>
              <w:t>Roboty budowlane</w:t>
            </w:r>
          </w:p>
        </w:tc>
        <w:tc>
          <w:tcPr>
            <w:tcW w:w="1843" w:type="dxa"/>
            <w:shd w:val="clear" w:color="auto" w:fill="E2EFD9" w:themeFill="accent6" w:themeFillTint="33"/>
            <w:noWrap/>
            <w:vAlign w:val="center"/>
          </w:tcPr>
          <w:p w14:paraId="0EB24C7E" w14:textId="3AB42757" w:rsidR="009477E4" w:rsidRPr="00284073" w:rsidRDefault="009477E4" w:rsidP="009477E4">
            <w:pPr>
              <w:jc w:val="center"/>
              <w:rPr>
                <w:rFonts w:cs="Arial"/>
                <w:sz w:val="20"/>
                <w:szCs w:val="20"/>
              </w:rPr>
            </w:pPr>
            <w:r w:rsidRPr="00117F67">
              <w:rPr>
                <w:sz w:val="20"/>
                <w:szCs w:val="20"/>
              </w:rPr>
              <w:t>415</w:t>
            </w:r>
          </w:p>
        </w:tc>
        <w:tc>
          <w:tcPr>
            <w:tcW w:w="4677" w:type="dxa"/>
            <w:shd w:val="clear" w:color="auto" w:fill="E2EFD9" w:themeFill="accent6" w:themeFillTint="33"/>
            <w:vAlign w:val="center"/>
          </w:tcPr>
          <w:p w14:paraId="692D2628" w14:textId="7BD9C411" w:rsidR="009477E4" w:rsidRPr="00284073" w:rsidRDefault="009477E4" w:rsidP="009477E4">
            <w:pPr>
              <w:jc w:val="center"/>
              <w:rPr>
                <w:rFonts w:cs="Arial"/>
                <w:sz w:val="20"/>
                <w:szCs w:val="20"/>
              </w:rPr>
            </w:pPr>
            <w:r w:rsidRPr="00117F67">
              <w:rPr>
                <w:sz w:val="20"/>
                <w:szCs w:val="20"/>
              </w:rPr>
              <w:t>4 356 114 639,86 zł</w:t>
            </w:r>
          </w:p>
        </w:tc>
      </w:tr>
      <w:tr w:rsidR="009477E4" w:rsidRPr="00284073" w14:paraId="4ABEDF1A" w14:textId="77777777" w:rsidTr="00C17ABE">
        <w:trPr>
          <w:trHeight w:val="300"/>
          <w:jc w:val="center"/>
        </w:trPr>
        <w:tc>
          <w:tcPr>
            <w:tcW w:w="2547" w:type="dxa"/>
            <w:shd w:val="clear" w:color="auto" w:fill="auto"/>
            <w:noWrap/>
            <w:vAlign w:val="center"/>
          </w:tcPr>
          <w:p w14:paraId="05B7404F" w14:textId="77777777" w:rsidR="009477E4" w:rsidRPr="00284073" w:rsidRDefault="009477E4" w:rsidP="009477E4">
            <w:pPr>
              <w:jc w:val="center"/>
              <w:rPr>
                <w:rFonts w:cs="Arial"/>
                <w:bCs/>
                <w:sz w:val="20"/>
                <w:szCs w:val="20"/>
              </w:rPr>
            </w:pPr>
            <w:r w:rsidRPr="00284073">
              <w:rPr>
                <w:rFonts w:cs="Arial"/>
                <w:bCs/>
                <w:sz w:val="20"/>
                <w:szCs w:val="20"/>
              </w:rPr>
              <w:t>Usługi</w:t>
            </w:r>
          </w:p>
        </w:tc>
        <w:tc>
          <w:tcPr>
            <w:tcW w:w="1843" w:type="dxa"/>
            <w:shd w:val="clear" w:color="auto" w:fill="auto"/>
            <w:noWrap/>
            <w:vAlign w:val="center"/>
          </w:tcPr>
          <w:p w14:paraId="622AD3D7" w14:textId="7D01A8F3" w:rsidR="009477E4" w:rsidRPr="00284073" w:rsidRDefault="009477E4" w:rsidP="009477E4">
            <w:pPr>
              <w:jc w:val="center"/>
              <w:rPr>
                <w:rFonts w:cs="Arial"/>
                <w:sz w:val="20"/>
                <w:szCs w:val="20"/>
              </w:rPr>
            </w:pPr>
            <w:r w:rsidRPr="00117F67">
              <w:rPr>
                <w:sz w:val="20"/>
                <w:szCs w:val="20"/>
              </w:rPr>
              <w:t>425</w:t>
            </w:r>
          </w:p>
        </w:tc>
        <w:tc>
          <w:tcPr>
            <w:tcW w:w="4677" w:type="dxa"/>
            <w:vAlign w:val="center"/>
          </w:tcPr>
          <w:p w14:paraId="200DC157" w14:textId="07D63970" w:rsidR="009477E4" w:rsidRPr="00284073" w:rsidRDefault="009477E4" w:rsidP="009477E4">
            <w:pPr>
              <w:jc w:val="center"/>
              <w:rPr>
                <w:rFonts w:cs="Arial"/>
                <w:sz w:val="20"/>
                <w:szCs w:val="20"/>
              </w:rPr>
            </w:pPr>
            <w:r w:rsidRPr="00117F67">
              <w:rPr>
                <w:sz w:val="20"/>
                <w:szCs w:val="20"/>
              </w:rPr>
              <w:t>5 609 185 699,99 zł</w:t>
            </w:r>
          </w:p>
        </w:tc>
      </w:tr>
    </w:tbl>
    <w:p w14:paraId="1781C0A4" w14:textId="77777777" w:rsidR="00245B26" w:rsidRPr="00F5320C" w:rsidRDefault="00245B26" w:rsidP="00245B26">
      <w:pPr>
        <w:shd w:val="clear" w:color="auto" w:fill="FFFFFF"/>
      </w:pPr>
    </w:p>
    <w:p w14:paraId="7E8FE398" w14:textId="77777777" w:rsidR="00245B26" w:rsidRPr="00F5320C" w:rsidRDefault="00245B26" w:rsidP="00F5320C">
      <w:pPr>
        <w:shd w:val="clear" w:color="auto" w:fill="FFFFFF"/>
      </w:pPr>
    </w:p>
    <w:p w14:paraId="711B2A90" w14:textId="77777777" w:rsidR="00245B26" w:rsidRPr="00F5320C" w:rsidRDefault="00245B26" w:rsidP="00245B26">
      <w:pPr>
        <w:shd w:val="clear" w:color="auto" w:fill="FFFFFF"/>
        <w:ind w:left="709"/>
        <w:rPr>
          <w:b/>
          <w:color w:val="0070C0"/>
        </w:rPr>
      </w:pPr>
      <w:r w:rsidRPr="00F5320C">
        <w:rPr>
          <w:b/>
          <w:color w:val="0070C0"/>
        </w:rPr>
        <w:t>Określenie wymogu spełniania wymagań odpowiednich systemów lub norm zarządzania środowiskowego zgodnie z art. 116 ust. 1 ustawy Pzp</w:t>
      </w:r>
    </w:p>
    <w:p w14:paraId="3A3CC954" w14:textId="77777777" w:rsidR="00245B26" w:rsidRPr="00284073" w:rsidRDefault="00245B26" w:rsidP="00245B26">
      <w:pPr>
        <w:shd w:val="clear" w:color="auto" w:fill="FFFFFF"/>
      </w:pPr>
    </w:p>
    <w:p w14:paraId="6BAC9343" w14:textId="0E5FD0E4" w:rsidR="00F5320C" w:rsidRPr="00284073" w:rsidRDefault="00F5320C" w:rsidP="00F5320C">
      <w:pPr>
        <w:pStyle w:val="Legenda"/>
      </w:pPr>
      <w:bookmarkStart w:id="133" w:name="_Toc141276542"/>
      <w:r w:rsidRPr="009477E4">
        <w:t xml:space="preserve">Tab. </w:t>
      </w:r>
      <w:r w:rsidR="00BE2079">
        <w:fldChar w:fldCharType="begin"/>
      </w:r>
      <w:r w:rsidR="00BE2079">
        <w:instrText xml:space="preserve"> SEQ Tab. \* ARABIC </w:instrText>
      </w:r>
      <w:r w:rsidR="00BE2079">
        <w:fldChar w:fldCharType="separate"/>
      </w:r>
      <w:r w:rsidR="00A43C68">
        <w:rPr>
          <w:noProof/>
        </w:rPr>
        <w:t>35</w:t>
      </w:r>
      <w:r w:rsidR="00BE2079">
        <w:rPr>
          <w:noProof/>
        </w:rPr>
        <w:fldChar w:fldCharType="end"/>
      </w:r>
      <w:r w:rsidRPr="009477E4">
        <w:t>. Zielone zamówienia publiczne z zastosowaniem art. 116 ust. 1 ustawy Pzp</w:t>
      </w:r>
      <w:bookmarkEnd w:id="133"/>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9477E4" w:rsidRPr="00284073" w14:paraId="0D86CBBA" w14:textId="77777777" w:rsidTr="00C17ABE">
        <w:trPr>
          <w:trHeight w:val="300"/>
          <w:jc w:val="center"/>
        </w:trPr>
        <w:tc>
          <w:tcPr>
            <w:tcW w:w="7083" w:type="dxa"/>
            <w:shd w:val="clear" w:color="auto" w:fill="E2EFD9" w:themeFill="accent6" w:themeFillTint="33"/>
            <w:noWrap/>
            <w:vAlign w:val="center"/>
          </w:tcPr>
          <w:p w14:paraId="4A0E81A1" w14:textId="77777777" w:rsidR="009477E4" w:rsidRPr="00284073" w:rsidRDefault="009477E4" w:rsidP="009477E4">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1979" w:type="dxa"/>
            <w:shd w:val="clear" w:color="auto" w:fill="E2EFD9" w:themeFill="accent6" w:themeFillTint="33"/>
            <w:noWrap/>
            <w:vAlign w:val="center"/>
          </w:tcPr>
          <w:p w14:paraId="298FD262" w14:textId="2C43EEFC" w:rsidR="009477E4" w:rsidRPr="00284073" w:rsidRDefault="009477E4" w:rsidP="009477E4">
            <w:pPr>
              <w:jc w:val="center"/>
              <w:rPr>
                <w:rFonts w:cs="Arial"/>
                <w:sz w:val="20"/>
                <w:szCs w:val="20"/>
              </w:rPr>
            </w:pPr>
            <w:r w:rsidRPr="00117F67">
              <w:rPr>
                <w:rFonts w:cs="Arial"/>
                <w:sz w:val="20"/>
                <w:szCs w:val="20"/>
              </w:rPr>
              <w:t>185</w:t>
            </w:r>
          </w:p>
        </w:tc>
      </w:tr>
      <w:tr w:rsidR="009477E4" w:rsidRPr="00284073" w14:paraId="7E62BDF1" w14:textId="77777777" w:rsidTr="00C17ABE">
        <w:trPr>
          <w:trHeight w:val="300"/>
          <w:jc w:val="center"/>
        </w:trPr>
        <w:tc>
          <w:tcPr>
            <w:tcW w:w="7083" w:type="dxa"/>
            <w:shd w:val="clear" w:color="auto" w:fill="auto"/>
            <w:noWrap/>
            <w:vAlign w:val="center"/>
            <w:hideMark/>
          </w:tcPr>
          <w:p w14:paraId="0742550C" w14:textId="77777777" w:rsidR="009477E4" w:rsidRPr="00284073" w:rsidRDefault="009477E4" w:rsidP="009477E4">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1979" w:type="dxa"/>
            <w:shd w:val="clear" w:color="auto" w:fill="auto"/>
            <w:noWrap/>
            <w:vAlign w:val="center"/>
            <w:hideMark/>
          </w:tcPr>
          <w:p w14:paraId="6DC89182" w14:textId="77777777" w:rsidR="009477E4" w:rsidRDefault="009477E4" w:rsidP="009477E4">
            <w:pPr>
              <w:jc w:val="center"/>
              <w:rPr>
                <w:rFonts w:cs="Arial"/>
                <w:sz w:val="20"/>
                <w:szCs w:val="20"/>
              </w:rPr>
            </w:pPr>
            <w:r w:rsidRPr="00117F67">
              <w:rPr>
                <w:rFonts w:cs="Arial"/>
                <w:sz w:val="20"/>
                <w:szCs w:val="20"/>
              </w:rPr>
              <w:t>1 293 028 465,25 zł</w:t>
            </w:r>
          </w:p>
          <w:p w14:paraId="2D6E5FEC" w14:textId="42830EF4" w:rsidR="009477E4" w:rsidRPr="00284073" w:rsidRDefault="009477E4" w:rsidP="009477E4">
            <w:pPr>
              <w:jc w:val="center"/>
              <w:rPr>
                <w:rFonts w:cs="Arial"/>
                <w:sz w:val="20"/>
                <w:szCs w:val="20"/>
              </w:rPr>
            </w:pPr>
            <w:r w:rsidRPr="00FD623C">
              <w:rPr>
                <w:rFonts w:cs="Arial"/>
                <w:sz w:val="20"/>
                <w:szCs w:val="20"/>
              </w:rPr>
              <w:t>(wartość bez VAT)</w:t>
            </w:r>
          </w:p>
        </w:tc>
      </w:tr>
    </w:tbl>
    <w:p w14:paraId="2D1DC542"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4536"/>
      </w:tblGrid>
      <w:tr w:rsidR="00245B26" w:rsidRPr="00284073" w14:paraId="3FF6B616" w14:textId="77777777" w:rsidTr="00C17ABE">
        <w:trPr>
          <w:trHeight w:val="300"/>
          <w:tblHeader/>
          <w:jc w:val="center"/>
        </w:trPr>
        <w:tc>
          <w:tcPr>
            <w:tcW w:w="2122" w:type="dxa"/>
            <w:shd w:val="clear" w:color="auto" w:fill="C5E0B3" w:themeFill="accent6" w:themeFillTint="66"/>
            <w:noWrap/>
            <w:vAlign w:val="center"/>
          </w:tcPr>
          <w:p w14:paraId="6A252E72" w14:textId="77777777" w:rsidR="00245B26" w:rsidRPr="00284073" w:rsidRDefault="00245B26" w:rsidP="00C17ABE">
            <w:pPr>
              <w:jc w:val="center"/>
              <w:rPr>
                <w:rFonts w:cs="Arial"/>
                <w:b/>
                <w:sz w:val="20"/>
                <w:szCs w:val="20"/>
              </w:rPr>
            </w:pPr>
            <w:r w:rsidRPr="00284073">
              <w:rPr>
                <w:rFonts w:cs="Arial"/>
                <w:b/>
                <w:bCs/>
                <w:sz w:val="20"/>
                <w:szCs w:val="20"/>
              </w:rPr>
              <w:br w:type="page"/>
              <w:t>Rodzaj zamówienia</w:t>
            </w:r>
          </w:p>
        </w:tc>
        <w:tc>
          <w:tcPr>
            <w:tcW w:w="2409" w:type="dxa"/>
            <w:shd w:val="clear" w:color="auto" w:fill="C5E0B3" w:themeFill="accent6" w:themeFillTint="66"/>
            <w:vAlign w:val="center"/>
          </w:tcPr>
          <w:p w14:paraId="2F73B178"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536" w:type="dxa"/>
            <w:shd w:val="clear" w:color="auto" w:fill="C5E0B3" w:themeFill="accent6" w:themeFillTint="66"/>
            <w:vAlign w:val="center"/>
          </w:tcPr>
          <w:p w14:paraId="046C0B35"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9477E4" w:rsidRPr="00284073" w14:paraId="49641496" w14:textId="77777777" w:rsidTr="009477E4">
        <w:trPr>
          <w:trHeight w:val="300"/>
          <w:jc w:val="center"/>
        </w:trPr>
        <w:tc>
          <w:tcPr>
            <w:tcW w:w="2122" w:type="dxa"/>
            <w:shd w:val="clear" w:color="auto" w:fill="auto"/>
            <w:noWrap/>
            <w:vAlign w:val="center"/>
          </w:tcPr>
          <w:p w14:paraId="76B44EEB" w14:textId="77777777" w:rsidR="009477E4" w:rsidRPr="00284073" w:rsidRDefault="009477E4" w:rsidP="009477E4">
            <w:pPr>
              <w:jc w:val="center"/>
              <w:rPr>
                <w:rFonts w:cs="Arial"/>
                <w:bCs/>
                <w:sz w:val="20"/>
                <w:szCs w:val="20"/>
              </w:rPr>
            </w:pPr>
            <w:r w:rsidRPr="00284073">
              <w:rPr>
                <w:rFonts w:cs="Arial"/>
                <w:bCs/>
                <w:sz w:val="20"/>
                <w:szCs w:val="20"/>
              </w:rPr>
              <w:t>Dostawy</w:t>
            </w:r>
          </w:p>
        </w:tc>
        <w:tc>
          <w:tcPr>
            <w:tcW w:w="2409" w:type="dxa"/>
            <w:shd w:val="clear" w:color="auto" w:fill="auto"/>
            <w:noWrap/>
            <w:vAlign w:val="center"/>
          </w:tcPr>
          <w:p w14:paraId="7E4480E8" w14:textId="6F955B6C" w:rsidR="009477E4" w:rsidRPr="00284073" w:rsidRDefault="009477E4" w:rsidP="009477E4">
            <w:pPr>
              <w:jc w:val="center"/>
              <w:rPr>
                <w:rFonts w:cs="Arial"/>
                <w:sz w:val="20"/>
                <w:szCs w:val="20"/>
              </w:rPr>
            </w:pPr>
            <w:r w:rsidRPr="003652A5">
              <w:rPr>
                <w:sz w:val="20"/>
                <w:szCs w:val="20"/>
              </w:rPr>
              <w:t>35</w:t>
            </w:r>
          </w:p>
        </w:tc>
        <w:tc>
          <w:tcPr>
            <w:tcW w:w="4536" w:type="dxa"/>
            <w:vAlign w:val="center"/>
          </w:tcPr>
          <w:p w14:paraId="25124815" w14:textId="0B456D21" w:rsidR="009477E4" w:rsidRPr="00284073" w:rsidRDefault="009477E4" w:rsidP="009477E4">
            <w:pPr>
              <w:jc w:val="center"/>
              <w:rPr>
                <w:rFonts w:cs="Arial"/>
                <w:sz w:val="20"/>
                <w:szCs w:val="20"/>
              </w:rPr>
            </w:pPr>
            <w:r w:rsidRPr="003652A5">
              <w:rPr>
                <w:sz w:val="20"/>
                <w:szCs w:val="20"/>
              </w:rPr>
              <w:t>63 856 109,60 zł</w:t>
            </w:r>
          </w:p>
        </w:tc>
      </w:tr>
      <w:tr w:rsidR="009477E4" w:rsidRPr="00284073" w14:paraId="3BA5CEAE" w14:textId="77777777" w:rsidTr="009477E4">
        <w:trPr>
          <w:trHeight w:val="300"/>
          <w:jc w:val="center"/>
        </w:trPr>
        <w:tc>
          <w:tcPr>
            <w:tcW w:w="2122" w:type="dxa"/>
            <w:shd w:val="clear" w:color="auto" w:fill="E2EFD9" w:themeFill="accent6" w:themeFillTint="33"/>
            <w:noWrap/>
            <w:vAlign w:val="center"/>
            <w:hideMark/>
          </w:tcPr>
          <w:p w14:paraId="1F7698DC" w14:textId="77777777" w:rsidR="009477E4" w:rsidRPr="00284073" w:rsidRDefault="009477E4" w:rsidP="009477E4">
            <w:pPr>
              <w:jc w:val="center"/>
              <w:rPr>
                <w:rFonts w:cs="Arial"/>
                <w:bCs/>
                <w:sz w:val="20"/>
                <w:szCs w:val="20"/>
              </w:rPr>
            </w:pPr>
            <w:r w:rsidRPr="00284073">
              <w:rPr>
                <w:rFonts w:cs="Arial"/>
                <w:bCs/>
                <w:sz w:val="20"/>
                <w:szCs w:val="20"/>
              </w:rPr>
              <w:t>Roboty budowlane</w:t>
            </w:r>
          </w:p>
        </w:tc>
        <w:tc>
          <w:tcPr>
            <w:tcW w:w="2409" w:type="dxa"/>
            <w:shd w:val="clear" w:color="auto" w:fill="E2EFD9" w:themeFill="accent6" w:themeFillTint="33"/>
            <w:noWrap/>
            <w:vAlign w:val="center"/>
          </w:tcPr>
          <w:p w14:paraId="23D2E5A6" w14:textId="7F5FB19C" w:rsidR="009477E4" w:rsidRPr="00284073" w:rsidRDefault="009477E4" w:rsidP="009477E4">
            <w:pPr>
              <w:jc w:val="center"/>
              <w:rPr>
                <w:rFonts w:cs="Arial"/>
                <w:sz w:val="20"/>
                <w:szCs w:val="20"/>
              </w:rPr>
            </w:pPr>
            <w:r w:rsidRPr="003652A5">
              <w:rPr>
                <w:sz w:val="20"/>
                <w:szCs w:val="20"/>
              </w:rPr>
              <w:t>41</w:t>
            </w:r>
          </w:p>
        </w:tc>
        <w:tc>
          <w:tcPr>
            <w:tcW w:w="4536" w:type="dxa"/>
            <w:shd w:val="clear" w:color="auto" w:fill="E2EFD9" w:themeFill="accent6" w:themeFillTint="33"/>
            <w:vAlign w:val="center"/>
          </w:tcPr>
          <w:p w14:paraId="6CC0CDD8" w14:textId="164E9240" w:rsidR="009477E4" w:rsidRPr="00284073" w:rsidRDefault="009477E4" w:rsidP="009477E4">
            <w:pPr>
              <w:jc w:val="center"/>
              <w:rPr>
                <w:rFonts w:cs="Arial"/>
                <w:sz w:val="20"/>
                <w:szCs w:val="20"/>
              </w:rPr>
            </w:pPr>
            <w:r w:rsidRPr="003652A5">
              <w:rPr>
                <w:sz w:val="20"/>
                <w:szCs w:val="20"/>
              </w:rPr>
              <w:t>99 480 292,23 zł</w:t>
            </w:r>
          </w:p>
        </w:tc>
      </w:tr>
      <w:tr w:rsidR="009477E4" w:rsidRPr="00284073" w14:paraId="5FE6F20B" w14:textId="77777777" w:rsidTr="009477E4">
        <w:trPr>
          <w:trHeight w:val="300"/>
          <w:jc w:val="center"/>
        </w:trPr>
        <w:tc>
          <w:tcPr>
            <w:tcW w:w="2122" w:type="dxa"/>
            <w:shd w:val="clear" w:color="auto" w:fill="auto"/>
            <w:noWrap/>
            <w:vAlign w:val="center"/>
          </w:tcPr>
          <w:p w14:paraId="62F6C2C0" w14:textId="77777777" w:rsidR="009477E4" w:rsidRPr="00284073" w:rsidRDefault="009477E4" w:rsidP="009477E4">
            <w:pPr>
              <w:jc w:val="center"/>
              <w:rPr>
                <w:rFonts w:cs="Arial"/>
                <w:bCs/>
                <w:sz w:val="20"/>
                <w:szCs w:val="20"/>
              </w:rPr>
            </w:pPr>
            <w:r w:rsidRPr="00284073">
              <w:rPr>
                <w:rFonts w:cs="Arial"/>
                <w:bCs/>
                <w:sz w:val="20"/>
                <w:szCs w:val="20"/>
              </w:rPr>
              <w:t>Usługi</w:t>
            </w:r>
          </w:p>
        </w:tc>
        <w:tc>
          <w:tcPr>
            <w:tcW w:w="2409" w:type="dxa"/>
            <w:shd w:val="clear" w:color="auto" w:fill="auto"/>
            <w:noWrap/>
            <w:vAlign w:val="center"/>
          </w:tcPr>
          <w:p w14:paraId="2F9A1BEA" w14:textId="36140598" w:rsidR="009477E4" w:rsidRPr="00284073" w:rsidRDefault="009477E4" w:rsidP="009477E4">
            <w:pPr>
              <w:jc w:val="center"/>
              <w:rPr>
                <w:rFonts w:cs="Arial"/>
                <w:sz w:val="20"/>
                <w:szCs w:val="20"/>
              </w:rPr>
            </w:pPr>
            <w:r w:rsidRPr="003652A5">
              <w:rPr>
                <w:sz w:val="20"/>
                <w:szCs w:val="20"/>
              </w:rPr>
              <w:t>109</w:t>
            </w:r>
          </w:p>
        </w:tc>
        <w:tc>
          <w:tcPr>
            <w:tcW w:w="4536" w:type="dxa"/>
            <w:vAlign w:val="center"/>
          </w:tcPr>
          <w:p w14:paraId="462DA385" w14:textId="39411BC5" w:rsidR="009477E4" w:rsidRPr="00284073" w:rsidRDefault="009477E4" w:rsidP="009477E4">
            <w:pPr>
              <w:jc w:val="center"/>
              <w:rPr>
                <w:rFonts w:cs="Arial"/>
                <w:sz w:val="20"/>
                <w:szCs w:val="20"/>
              </w:rPr>
            </w:pPr>
            <w:r w:rsidRPr="003652A5">
              <w:rPr>
                <w:sz w:val="20"/>
                <w:szCs w:val="20"/>
              </w:rPr>
              <w:t>1 129 692 063,42 zł</w:t>
            </w:r>
          </w:p>
        </w:tc>
      </w:tr>
    </w:tbl>
    <w:p w14:paraId="39E069D6" w14:textId="25329396" w:rsidR="00245B26" w:rsidRDefault="00245B26" w:rsidP="00245B26">
      <w:pPr>
        <w:shd w:val="clear" w:color="auto" w:fill="FFFFFF"/>
      </w:pPr>
    </w:p>
    <w:p w14:paraId="20549EDC" w14:textId="77777777" w:rsidR="002A1EA1" w:rsidRPr="00284073" w:rsidRDefault="002A1EA1" w:rsidP="00245B26">
      <w:pPr>
        <w:shd w:val="clear" w:color="auto" w:fill="FFFFFF"/>
      </w:pPr>
    </w:p>
    <w:p w14:paraId="71490869" w14:textId="77777777" w:rsidR="00245B26" w:rsidRPr="002A1EA1" w:rsidRDefault="00245B26" w:rsidP="00245B26">
      <w:pPr>
        <w:shd w:val="clear" w:color="auto" w:fill="FFFFFF"/>
        <w:ind w:left="709"/>
        <w:rPr>
          <w:b/>
          <w:color w:val="0070C0"/>
        </w:rPr>
      </w:pPr>
      <w:r w:rsidRPr="002A1EA1">
        <w:rPr>
          <w:b/>
          <w:color w:val="0070C0"/>
        </w:rPr>
        <w:t>Określenie w kryteriach oceny ofert aspektów środowiskowych, w tym efektywności energetycznej przedmiotu zamówienia, o których mowa w art. 242 ust. 2 ustawy Pzp</w:t>
      </w:r>
    </w:p>
    <w:p w14:paraId="19D4A3E6" w14:textId="77777777" w:rsidR="00245B26" w:rsidRPr="00284073" w:rsidRDefault="00245B26" w:rsidP="00245B26">
      <w:pPr>
        <w:shd w:val="clear" w:color="auto" w:fill="FFFFFF"/>
      </w:pPr>
    </w:p>
    <w:p w14:paraId="41A3B59D" w14:textId="2EA52AAF" w:rsidR="002A1EA1" w:rsidRPr="00284073" w:rsidRDefault="002A1EA1" w:rsidP="002A1EA1">
      <w:pPr>
        <w:pStyle w:val="Legenda"/>
      </w:pPr>
      <w:bookmarkStart w:id="134" w:name="_Toc141276543"/>
      <w:r w:rsidRPr="003E238D">
        <w:t xml:space="preserve">Tab. </w:t>
      </w:r>
      <w:r w:rsidR="00BE2079">
        <w:fldChar w:fldCharType="begin"/>
      </w:r>
      <w:r w:rsidR="00BE2079">
        <w:instrText xml:space="preserve"> SEQ Tab. \* ARABIC </w:instrText>
      </w:r>
      <w:r w:rsidR="00BE2079">
        <w:fldChar w:fldCharType="separate"/>
      </w:r>
      <w:r w:rsidR="00A43C68">
        <w:rPr>
          <w:noProof/>
        </w:rPr>
        <w:t>36</w:t>
      </w:r>
      <w:r w:rsidR="00BE2079">
        <w:rPr>
          <w:noProof/>
        </w:rPr>
        <w:fldChar w:fldCharType="end"/>
      </w:r>
      <w:r w:rsidRPr="003E238D">
        <w:t>. Zielone zamówienia publiczne z zastosowaniem art. 242 ust. 2 ustawy</w:t>
      </w:r>
      <w:r w:rsidR="00E2462C" w:rsidRPr="003E238D">
        <w:t xml:space="preserve"> Pzp</w:t>
      </w:r>
      <w:bookmarkEnd w:id="13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3E238D" w:rsidRPr="00284073" w14:paraId="30358E59" w14:textId="77777777" w:rsidTr="00C17ABE">
        <w:trPr>
          <w:trHeight w:val="300"/>
          <w:jc w:val="center"/>
        </w:trPr>
        <w:tc>
          <w:tcPr>
            <w:tcW w:w="6941" w:type="dxa"/>
            <w:shd w:val="clear" w:color="auto" w:fill="E2EFD9" w:themeFill="accent6" w:themeFillTint="33"/>
            <w:noWrap/>
            <w:vAlign w:val="center"/>
          </w:tcPr>
          <w:p w14:paraId="60E2B047" w14:textId="77777777" w:rsidR="003E238D" w:rsidRPr="00284073" w:rsidRDefault="003E238D" w:rsidP="003E238D">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73918202" w14:textId="0264CCC3" w:rsidR="003E238D" w:rsidRPr="00284073" w:rsidRDefault="003E238D" w:rsidP="003E238D">
            <w:pPr>
              <w:jc w:val="center"/>
              <w:rPr>
                <w:rFonts w:cs="Arial"/>
                <w:sz w:val="20"/>
                <w:szCs w:val="20"/>
              </w:rPr>
            </w:pPr>
            <w:r w:rsidRPr="008216C7">
              <w:rPr>
                <w:rFonts w:cs="Arial"/>
                <w:sz w:val="20"/>
                <w:szCs w:val="20"/>
              </w:rPr>
              <w:t>689</w:t>
            </w:r>
          </w:p>
        </w:tc>
      </w:tr>
      <w:tr w:rsidR="003E238D" w:rsidRPr="00284073" w14:paraId="40DD22F0" w14:textId="77777777" w:rsidTr="00C17ABE">
        <w:trPr>
          <w:trHeight w:val="300"/>
          <w:jc w:val="center"/>
        </w:trPr>
        <w:tc>
          <w:tcPr>
            <w:tcW w:w="6941" w:type="dxa"/>
            <w:shd w:val="clear" w:color="auto" w:fill="auto"/>
            <w:noWrap/>
            <w:vAlign w:val="center"/>
            <w:hideMark/>
          </w:tcPr>
          <w:p w14:paraId="11A2BD7C" w14:textId="77777777" w:rsidR="003E238D" w:rsidRPr="00284073" w:rsidRDefault="003E238D" w:rsidP="003E238D">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5B519FE8" w14:textId="77777777" w:rsidR="003E238D" w:rsidRDefault="003E238D" w:rsidP="003E238D">
            <w:pPr>
              <w:jc w:val="center"/>
              <w:rPr>
                <w:rFonts w:cs="Arial"/>
                <w:sz w:val="20"/>
                <w:szCs w:val="20"/>
              </w:rPr>
            </w:pPr>
            <w:r w:rsidRPr="008216C7">
              <w:rPr>
                <w:rFonts w:cs="Arial"/>
                <w:sz w:val="20"/>
                <w:szCs w:val="20"/>
              </w:rPr>
              <w:t>5 674 143 668,72 zł</w:t>
            </w:r>
          </w:p>
          <w:p w14:paraId="19DCA61B" w14:textId="65706F34" w:rsidR="003E238D" w:rsidRPr="00284073" w:rsidRDefault="003E238D" w:rsidP="003E238D">
            <w:pPr>
              <w:jc w:val="center"/>
              <w:rPr>
                <w:rFonts w:cs="Arial"/>
                <w:sz w:val="20"/>
                <w:szCs w:val="20"/>
              </w:rPr>
            </w:pPr>
            <w:r w:rsidRPr="00FD623C">
              <w:rPr>
                <w:rFonts w:cs="Arial"/>
                <w:sz w:val="20"/>
                <w:szCs w:val="20"/>
              </w:rPr>
              <w:t>(wartość bez VAT)</w:t>
            </w:r>
          </w:p>
        </w:tc>
      </w:tr>
    </w:tbl>
    <w:p w14:paraId="7E9235D0"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245B26" w:rsidRPr="00284073" w14:paraId="685F3954" w14:textId="77777777" w:rsidTr="00C17ABE">
        <w:trPr>
          <w:trHeight w:val="300"/>
          <w:tblHeader/>
          <w:jc w:val="center"/>
        </w:trPr>
        <w:tc>
          <w:tcPr>
            <w:tcW w:w="3022" w:type="dxa"/>
            <w:shd w:val="clear" w:color="auto" w:fill="C5E0B3" w:themeFill="accent6" w:themeFillTint="66"/>
            <w:noWrap/>
            <w:vAlign w:val="center"/>
          </w:tcPr>
          <w:p w14:paraId="4A276A97"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226" w:type="dxa"/>
            <w:shd w:val="clear" w:color="auto" w:fill="C5E0B3" w:themeFill="accent6" w:themeFillTint="66"/>
            <w:vAlign w:val="center"/>
          </w:tcPr>
          <w:p w14:paraId="653110C6"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819" w:type="dxa"/>
            <w:shd w:val="clear" w:color="auto" w:fill="C5E0B3" w:themeFill="accent6" w:themeFillTint="66"/>
            <w:vAlign w:val="center"/>
          </w:tcPr>
          <w:p w14:paraId="265D67AE"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3E238D" w:rsidRPr="00284073" w14:paraId="551F7F06" w14:textId="77777777" w:rsidTr="00C17ABE">
        <w:trPr>
          <w:trHeight w:val="300"/>
          <w:jc w:val="center"/>
        </w:trPr>
        <w:tc>
          <w:tcPr>
            <w:tcW w:w="3022" w:type="dxa"/>
            <w:shd w:val="clear" w:color="auto" w:fill="auto"/>
            <w:noWrap/>
            <w:vAlign w:val="center"/>
          </w:tcPr>
          <w:p w14:paraId="2827316B" w14:textId="77777777" w:rsidR="003E238D" w:rsidRPr="00284073" w:rsidRDefault="003E238D" w:rsidP="003E238D">
            <w:pPr>
              <w:jc w:val="center"/>
              <w:rPr>
                <w:rFonts w:cs="Arial"/>
                <w:bCs/>
                <w:sz w:val="20"/>
                <w:szCs w:val="20"/>
              </w:rPr>
            </w:pPr>
            <w:r w:rsidRPr="00284073">
              <w:rPr>
                <w:rFonts w:cs="Arial"/>
                <w:bCs/>
                <w:sz w:val="20"/>
                <w:szCs w:val="20"/>
              </w:rPr>
              <w:t>Dostawy</w:t>
            </w:r>
          </w:p>
        </w:tc>
        <w:tc>
          <w:tcPr>
            <w:tcW w:w="1226" w:type="dxa"/>
            <w:shd w:val="clear" w:color="auto" w:fill="auto"/>
            <w:noWrap/>
            <w:vAlign w:val="center"/>
          </w:tcPr>
          <w:p w14:paraId="029FB0EA" w14:textId="04B0E171" w:rsidR="003E238D" w:rsidRPr="00284073" w:rsidRDefault="003E238D" w:rsidP="003E238D">
            <w:pPr>
              <w:jc w:val="center"/>
              <w:rPr>
                <w:rFonts w:cs="Arial"/>
                <w:sz w:val="20"/>
                <w:szCs w:val="20"/>
              </w:rPr>
            </w:pPr>
            <w:r w:rsidRPr="001F40C2">
              <w:rPr>
                <w:sz w:val="20"/>
                <w:szCs w:val="20"/>
              </w:rPr>
              <w:t>239</w:t>
            </w:r>
          </w:p>
        </w:tc>
        <w:tc>
          <w:tcPr>
            <w:tcW w:w="4819" w:type="dxa"/>
            <w:vAlign w:val="center"/>
          </w:tcPr>
          <w:p w14:paraId="4352A8B8" w14:textId="00BD5AE6" w:rsidR="003E238D" w:rsidRPr="00284073" w:rsidRDefault="003E238D" w:rsidP="003E238D">
            <w:pPr>
              <w:jc w:val="center"/>
              <w:rPr>
                <w:rFonts w:cs="Arial"/>
                <w:sz w:val="20"/>
                <w:szCs w:val="20"/>
              </w:rPr>
            </w:pPr>
            <w:r w:rsidRPr="001F40C2">
              <w:rPr>
                <w:sz w:val="20"/>
                <w:szCs w:val="20"/>
              </w:rPr>
              <w:t>946 327 214,34 zł</w:t>
            </w:r>
          </w:p>
        </w:tc>
      </w:tr>
      <w:tr w:rsidR="003E238D" w:rsidRPr="00284073" w14:paraId="238D41BE" w14:textId="77777777" w:rsidTr="00C17ABE">
        <w:trPr>
          <w:trHeight w:val="300"/>
          <w:jc w:val="center"/>
        </w:trPr>
        <w:tc>
          <w:tcPr>
            <w:tcW w:w="3022" w:type="dxa"/>
            <w:shd w:val="clear" w:color="auto" w:fill="E2EFD9" w:themeFill="accent6" w:themeFillTint="33"/>
            <w:noWrap/>
            <w:vAlign w:val="center"/>
            <w:hideMark/>
          </w:tcPr>
          <w:p w14:paraId="3458F467" w14:textId="77777777" w:rsidR="003E238D" w:rsidRPr="00284073" w:rsidRDefault="003E238D" w:rsidP="003E238D">
            <w:pPr>
              <w:jc w:val="center"/>
              <w:rPr>
                <w:rFonts w:cs="Arial"/>
                <w:bCs/>
                <w:sz w:val="20"/>
                <w:szCs w:val="20"/>
              </w:rPr>
            </w:pPr>
            <w:r w:rsidRPr="00284073">
              <w:rPr>
                <w:rFonts w:cs="Arial"/>
                <w:bCs/>
                <w:sz w:val="20"/>
                <w:szCs w:val="20"/>
              </w:rPr>
              <w:t>Roboty budowlane</w:t>
            </w:r>
          </w:p>
        </w:tc>
        <w:tc>
          <w:tcPr>
            <w:tcW w:w="1226" w:type="dxa"/>
            <w:shd w:val="clear" w:color="auto" w:fill="E2EFD9" w:themeFill="accent6" w:themeFillTint="33"/>
            <w:noWrap/>
            <w:vAlign w:val="center"/>
          </w:tcPr>
          <w:p w14:paraId="53A4EA7C" w14:textId="7FED01E1" w:rsidR="003E238D" w:rsidRPr="00284073" w:rsidRDefault="003E238D" w:rsidP="003E238D">
            <w:pPr>
              <w:jc w:val="center"/>
              <w:rPr>
                <w:rFonts w:cs="Arial"/>
                <w:sz w:val="20"/>
                <w:szCs w:val="20"/>
              </w:rPr>
            </w:pPr>
            <w:r w:rsidRPr="001F40C2">
              <w:rPr>
                <w:sz w:val="20"/>
                <w:szCs w:val="20"/>
              </w:rPr>
              <w:t>16</w:t>
            </w:r>
          </w:p>
        </w:tc>
        <w:tc>
          <w:tcPr>
            <w:tcW w:w="4819" w:type="dxa"/>
            <w:shd w:val="clear" w:color="auto" w:fill="E2EFD9" w:themeFill="accent6" w:themeFillTint="33"/>
            <w:vAlign w:val="center"/>
          </w:tcPr>
          <w:p w14:paraId="78C4736E" w14:textId="150C28F4" w:rsidR="003E238D" w:rsidRPr="00284073" w:rsidRDefault="003E238D" w:rsidP="003E238D">
            <w:pPr>
              <w:jc w:val="center"/>
              <w:rPr>
                <w:rFonts w:cs="Arial"/>
                <w:sz w:val="20"/>
                <w:szCs w:val="20"/>
              </w:rPr>
            </w:pPr>
            <w:r w:rsidRPr="001F40C2">
              <w:rPr>
                <w:sz w:val="20"/>
                <w:szCs w:val="20"/>
              </w:rPr>
              <w:t>70 655 967,57 zł</w:t>
            </w:r>
          </w:p>
        </w:tc>
      </w:tr>
      <w:tr w:rsidR="003E238D" w:rsidRPr="00284073" w14:paraId="6903CDB7" w14:textId="77777777" w:rsidTr="00C17ABE">
        <w:trPr>
          <w:trHeight w:val="300"/>
          <w:jc w:val="center"/>
        </w:trPr>
        <w:tc>
          <w:tcPr>
            <w:tcW w:w="3022" w:type="dxa"/>
            <w:shd w:val="clear" w:color="auto" w:fill="auto"/>
            <w:noWrap/>
            <w:vAlign w:val="center"/>
          </w:tcPr>
          <w:p w14:paraId="7D1FD662" w14:textId="77777777" w:rsidR="003E238D" w:rsidRPr="00284073" w:rsidRDefault="003E238D" w:rsidP="003E238D">
            <w:pPr>
              <w:jc w:val="center"/>
              <w:rPr>
                <w:rFonts w:cs="Arial"/>
                <w:bCs/>
                <w:sz w:val="20"/>
                <w:szCs w:val="20"/>
              </w:rPr>
            </w:pPr>
            <w:r w:rsidRPr="00284073">
              <w:rPr>
                <w:rFonts w:cs="Arial"/>
                <w:bCs/>
                <w:sz w:val="20"/>
                <w:szCs w:val="20"/>
              </w:rPr>
              <w:t>Usługi</w:t>
            </w:r>
          </w:p>
        </w:tc>
        <w:tc>
          <w:tcPr>
            <w:tcW w:w="1226" w:type="dxa"/>
            <w:shd w:val="clear" w:color="auto" w:fill="auto"/>
            <w:noWrap/>
            <w:vAlign w:val="center"/>
          </w:tcPr>
          <w:p w14:paraId="49706EED" w14:textId="2772666C" w:rsidR="003E238D" w:rsidRPr="00284073" w:rsidRDefault="003E238D" w:rsidP="003E238D">
            <w:pPr>
              <w:jc w:val="center"/>
              <w:rPr>
                <w:rFonts w:cs="Arial"/>
                <w:sz w:val="20"/>
                <w:szCs w:val="20"/>
              </w:rPr>
            </w:pPr>
            <w:r w:rsidRPr="001F40C2">
              <w:rPr>
                <w:sz w:val="20"/>
                <w:szCs w:val="20"/>
              </w:rPr>
              <w:t>434</w:t>
            </w:r>
          </w:p>
        </w:tc>
        <w:tc>
          <w:tcPr>
            <w:tcW w:w="4819" w:type="dxa"/>
            <w:vAlign w:val="center"/>
          </w:tcPr>
          <w:p w14:paraId="795C67B7" w14:textId="480A1401" w:rsidR="003E238D" w:rsidRPr="00284073" w:rsidRDefault="003E238D" w:rsidP="003E238D">
            <w:pPr>
              <w:jc w:val="center"/>
              <w:rPr>
                <w:rFonts w:cs="Arial"/>
                <w:sz w:val="20"/>
                <w:szCs w:val="20"/>
              </w:rPr>
            </w:pPr>
            <w:r w:rsidRPr="001F40C2">
              <w:rPr>
                <w:sz w:val="20"/>
                <w:szCs w:val="20"/>
              </w:rPr>
              <w:t>4 657 160 486,81 zł</w:t>
            </w:r>
          </w:p>
        </w:tc>
      </w:tr>
    </w:tbl>
    <w:p w14:paraId="51F7D798" w14:textId="7BC64A08" w:rsidR="00245B26" w:rsidRDefault="00245B26" w:rsidP="00245B26">
      <w:pPr>
        <w:shd w:val="clear" w:color="auto" w:fill="FFFFFF"/>
      </w:pPr>
    </w:p>
    <w:p w14:paraId="011312B7" w14:textId="77777777" w:rsidR="002A1EA1" w:rsidRPr="00284073" w:rsidRDefault="002A1EA1" w:rsidP="00245B26">
      <w:pPr>
        <w:shd w:val="clear" w:color="auto" w:fill="FFFFFF"/>
      </w:pPr>
    </w:p>
    <w:p w14:paraId="2C16D490" w14:textId="77777777" w:rsidR="00245B26" w:rsidRPr="002A1EA1" w:rsidRDefault="00245B26" w:rsidP="00245B26">
      <w:pPr>
        <w:shd w:val="clear" w:color="auto" w:fill="FFFFFF"/>
        <w:ind w:left="709"/>
        <w:rPr>
          <w:b/>
          <w:color w:val="0070C0"/>
        </w:rPr>
      </w:pPr>
      <w:r w:rsidRPr="002A1EA1">
        <w:rPr>
          <w:b/>
          <w:color w:val="0070C0"/>
        </w:rPr>
        <w:t>Zastosowanie kryterium kosztu z wykorzystaniem rachunku kosztów cyklu życia, o którym mowa w art. 245 ust. 1 ustawy Pzp</w:t>
      </w:r>
    </w:p>
    <w:p w14:paraId="02E552D6" w14:textId="77777777" w:rsidR="00245B26" w:rsidRPr="00284073" w:rsidRDefault="00245B26" w:rsidP="00245B26">
      <w:pPr>
        <w:shd w:val="clear" w:color="auto" w:fill="FFFFFF"/>
      </w:pPr>
    </w:p>
    <w:p w14:paraId="037AAF85" w14:textId="38EB60BC" w:rsidR="002A1EA1" w:rsidRPr="00284073" w:rsidRDefault="002A1EA1" w:rsidP="002A1EA1">
      <w:pPr>
        <w:pStyle w:val="Legenda"/>
      </w:pPr>
      <w:bookmarkStart w:id="135" w:name="_Toc141276544"/>
      <w:r w:rsidRPr="003E238D">
        <w:t xml:space="preserve">Tab. </w:t>
      </w:r>
      <w:r w:rsidR="00BE2079">
        <w:fldChar w:fldCharType="begin"/>
      </w:r>
      <w:r w:rsidR="00BE2079">
        <w:instrText xml:space="preserve"> SEQ Tab. \* ARABIC </w:instrText>
      </w:r>
      <w:r w:rsidR="00BE2079">
        <w:fldChar w:fldCharType="separate"/>
      </w:r>
      <w:r w:rsidR="00A43C68">
        <w:rPr>
          <w:noProof/>
        </w:rPr>
        <w:t>37</w:t>
      </w:r>
      <w:r w:rsidR="00BE2079">
        <w:rPr>
          <w:noProof/>
        </w:rPr>
        <w:fldChar w:fldCharType="end"/>
      </w:r>
      <w:r w:rsidRPr="003E238D">
        <w:t>. Zielone zamówienia publiczne z zastosowaniem art. 245 ust. 1 ustawy Pzp</w:t>
      </w:r>
      <w:bookmarkEnd w:id="13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3E238D" w:rsidRPr="00284073" w14:paraId="7FC70197" w14:textId="77777777" w:rsidTr="00C17ABE">
        <w:trPr>
          <w:trHeight w:val="300"/>
          <w:jc w:val="center"/>
        </w:trPr>
        <w:tc>
          <w:tcPr>
            <w:tcW w:w="6941" w:type="dxa"/>
            <w:shd w:val="clear" w:color="auto" w:fill="E2EFD9" w:themeFill="accent6" w:themeFillTint="33"/>
            <w:noWrap/>
            <w:vAlign w:val="center"/>
          </w:tcPr>
          <w:p w14:paraId="60621233" w14:textId="77777777" w:rsidR="003E238D" w:rsidRPr="00284073" w:rsidRDefault="003E238D" w:rsidP="003E238D">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2D61109C" w14:textId="74DB9C8B" w:rsidR="003E238D" w:rsidRPr="00284073" w:rsidRDefault="003E238D" w:rsidP="003E238D">
            <w:pPr>
              <w:jc w:val="center"/>
              <w:rPr>
                <w:rFonts w:cs="Arial"/>
                <w:sz w:val="20"/>
                <w:szCs w:val="20"/>
              </w:rPr>
            </w:pPr>
            <w:r w:rsidRPr="00F83D63">
              <w:rPr>
                <w:rFonts w:cs="Arial"/>
                <w:sz w:val="20"/>
                <w:szCs w:val="20"/>
              </w:rPr>
              <w:t>29</w:t>
            </w:r>
          </w:p>
        </w:tc>
      </w:tr>
      <w:tr w:rsidR="003E238D" w:rsidRPr="00284073" w14:paraId="3A70E5A1" w14:textId="77777777" w:rsidTr="00C17ABE">
        <w:trPr>
          <w:trHeight w:val="300"/>
          <w:jc w:val="center"/>
        </w:trPr>
        <w:tc>
          <w:tcPr>
            <w:tcW w:w="6941" w:type="dxa"/>
            <w:shd w:val="clear" w:color="auto" w:fill="auto"/>
            <w:noWrap/>
            <w:vAlign w:val="center"/>
            <w:hideMark/>
          </w:tcPr>
          <w:p w14:paraId="109504A8" w14:textId="77777777" w:rsidR="003E238D" w:rsidRPr="00284073" w:rsidRDefault="003E238D" w:rsidP="003E238D">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5F49DDF9" w14:textId="77777777" w:rsidR="003E238D" w:rsidRDefault="003E238D" w:rsidP="003E238D">
            <w:pPr>
              <w:jc w:val="center"/>
              <w:rPr>
                <w:rFonts w:cs="Arial"/>
                <w:sz w:val="20"/>
                <w:szCs w:val="20"/>
              </w:rPr>
            </w:pPr>
            <w:r w:rsidRPr="00F83D63">
              <w:rPr>
                <w:rFonts w:cs="Arial"/>
                <w:sz w:val="20"/>
                <w:szCs w:val="20"/>
              </w:rPr>
              <w:t>46 870 535,23 zł</w:t>
            </w:r>
          </w:p>
          <w:p w14:paraId="1AC95FE7" w14:textId="2FD581E9" w:rsidR="003E238D" w:rsidRPr="00284073" w:rsidRDefault="003E238D" w:rsidP="003E238D">
            <w:pPr>
              <w:jc w:val="center"/>
              <w:rPr>
                <w:rFonts w:cs="Arial"/>
                <w:sz w:val="20"/>
                <w:szCs w:val="20"/>
              </w:rPr>
            </w:pPr>
            <w:r w:rsidRPr="00FD623C">
              <w:rPr>
                <w:rFonts w:cs="Arial"/>
                <w:sz w:val="20"/>
                <w:szCs w:val="20"/>
              </w:rPr>
              <w:t>(wartość bez VAT)</w:t>
            </w:r>
          </w:p>
        </w:tc>
      </w:tr>
    </w:tbl>
    <w:p w14:paraId="18261A9F"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245B26" w:rsidRPr="00284073" w14:paraId="6150DEFD" w14:textId="77777777" w:rsidTr="00C17ABE">
        <w:trPr>
          <w:trHeight w:val="300"/>
          <w:tblHeader/>
          <w:jc w:val="center"/>
        </w:trPr>
        <w:tc>
          <w:tcPr>
            <w:tcW w:w="3022" w:type="dxa"/>
            <w:shd w:val="clear" w:color="auto" w:fill="C5E0B3" w:themeFill="accent6" w:themeFillTint="66"/>
            <w:noWrap/>
            <w:vAlign w:val="center"/>
          </w:tcPr>
          <w:p w14:paraId="08D80408"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368" w:type="dxa"/>
            <w:shd w:val="clear" w:color="auto" w:fill="C5E0B3" w:themeFill="accent6" w:themeFillTint="66"/>
            <w:vAlign w:val="center"/>
          </w:tcPr>
          <w:p w14:paraId="621F5835"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677" w:type="dxa"/>
            <w:shd w:val="clear" w:color="auto" w:fill="C5E0B3" w:themeFill="accent6" w:themeFillTint="66"/>
            <w:vAlign w:val="center"/>
          </w:tcPr>
          <w:p w14:paraId="6787D706"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3E238D" w:rsidRPr="00284073" w14:paraId="55E87714" w14:textId="77777777" w:rsidTr="00C17ABE">
        <w:trPr>
          <w:trHeight w:val="300"/>
          <w:jc w:val="center"/>
        </w:trPr>
        <w:tc>
          <w:tcPr>
            <w:tcW w:w="3022" w:type="dxa"/>
            <w:shd w:val="clear" w:color="auto" w:fill="auto"/>
            <w:noWrap/>
            <w:vAlign w:val="center"/>
          </w:tcPr>
          <w:p w14:paraId="768779A2" w14:textId="77777777" w:rsidR="003E238D" w:rsidRPr="00284073" w:rsidRDefault="003E238D" w:rsidP="003E238D">
            <w:pPr>
              <w:jc w:val="center"/>
              <w:rPr>
                <w:rFonts w:cs="Arial"/>
                <w:bCs/>
                <w:sz w:val="20"/>
                <w:szCs w:val="20"/>
              </w:rPr>
            </w:pPr>
            <w:r w:rsidRPr="00284073">
              <w:rPr>
                <w:rFonts w:cs="Arial"/>
                <w:bCs/>
                <w:sz w:val="20"/>
                <w:szCs w:val="20"/>
              </w:rPr>
              <w:t>Dostawy</w:t>
            </w:r>
          </w:p>
        </w:tc>
        <w:tc>
          <w:tcPr>
            <w:tcW w:w="1368" w:type="dxa"/>
            <w:shd w:val="clear" w:color="auto" w:fill="auto"/>
            <w:noWrap/>
            <w:vAlign w:val="center"/>
          </w:tcPr>
          <w:p w14:paraId="46522101" w14:textId="73316158" w:rsidR="003E238D" w:rsidRPr="00284073" w:rsidRDefault="003E238D" w:rsidP="003E238D">
            <w:pPr>
              <w:jc w:val="center"/>
              <w:rPr>
                <w:rFonts w:cs="Arial"/>
                <w:sz w:val="20"/>
                <w:szCs w:val="20"/>
              </w:rPr>
            </w:pPr>
            <w:r w:rsidRPr="00F83D63">
              <w:rPr>
                <w:sz w:val="20"/>
                <w:szCs w:val="20"/>
              </w:rPr>
              <w:t>22</w:t>
            </w:r>
          </w:p>
        </w:tc>
        <w:tc>
          <w:tcPr>
            <w:tcW w:w="4677" w:type="dxa"/>
            <w:vAlign w:val="center"/>
          </w:tcPr>
          <w:p w14:paraId="57C90598" w14:textId="1BF3A47D" w:rsidR="003E238D" w:rsidRPr="00284073" w:rsidRDefault="003E238D" w:rsidP="003E238D">
            <w:pPr>
              <w:jc w:val="center"/>
              <w:rPr>
                <w:rFonts w:cs="Arial"/>
                <w:sz w:val="20"/>
                <w:szCs w:val="20"/>
              </w:rPr>
            </w:pPr>
            <w:r w:rsidRPr="00F83D63">
              <w:rPr>
                <w:sz w:val="20"/>
                <w:szCs w:val="20"/>
              </w:rPr>
              <w:t>43 120 288,50 zł</w:t>
            </w:r>
          </w:p>
        </w:tc>
      </w:tr>
      <w:tr w:rsidR="003E238D" w:rsidRPr="00284073" w14:paraId="3675D3AB" w14:textId="77777777" w:rsidTr="00C17ABE">
        <w:trPr>
          <w:trHeight w:val="300"/>
          <w:jc w:val="center"/>
        </w:trPr>
        <w:tc>
          <w:tcPr>
            <w:tcW w:w="3022" w:type="dxa"/>
            <w:shd w:val="clear" w:color="auto" w:fill="E2EFD9" w:themeFill="accent6" w:themeFillTint="33"/>
            <w:noWrap/>
            <w:vAlign w:val="center"/>
            <w:hideMark/>
          </w:tcPr>
          <w:p w14:paraId="522D1275" w14:textId="77777777" w:rsidR="003E238D" w:rsidRPr="00284073" w:rsidRDefault="003E238D" w:rsidP="003E238D">
            <w:pPr>
              <w:jc w:val="center"/>
              <w:rPr>
                <w:rFonts w:cs="Arial"/>
                <w:bCs/>
                <w:sz w:val="20"/>
                <w:szCs w:val="20"/>
              </w:rPr>
            </w:pPr>
            <w:r w:rsidRPr="00284073">
              <w:rPr>
                <w:rFonts w:cs="Arial"/>
                <w:bCs/>
                <w:sz w:val="20"/>
                <w:szCs w:val="20"/>
              </w:rPr>
              <w:t>Roboty budowlane</w:t>
            </w:r>
          </w:p>
        </w:tc>
        <w:tc>
          <w:tcPr>
            <w:tcW w:w="1368" w:type="dxa"/>
            <w:shd w:val="clear" w:color="auto" w:fill="E2EFD9" w:themeFill="accent6" w:themeFillTint="33"/>
            <w:noWrap/>
            <w:vAlign w:val="center"/>
          </w:tcPr>
          <w:p w14:paraId="2629E454" w14:textId="529A7E9B" w:rsidR="003E238D" w:rsidRPr="00284073" w:rsidRDefault="003E238D" w:rsidP="003E238D">
            <w:pPr>
              <w:jc w:val="center"/>
              <w:rPr>
                <w:rFonts w:cs="Arial"/>
                <w:sz w:val="20"/>
                <w:szCs w:val="20"/>
              </w:rPr>
            </w:pPr>
            <w:r w:rsidRPr="00F83D63">
              <w:rPr>
                <w:rFonts w:cs="Arial"/>
                <w:sz w:val="20"/>
                <w:szCs w:val="20"/>
              </w:rPr>
              <w:t>0</w:t>
            </w:r>
          </w:p>
        </w:tc>
        <w:tc>
          <w:tcPr>
            <w:tcW w:w="4677" w:type="dxa"/>
            <w:shd w:val="clear" w:color="auto" w:fill="E2EFD9" w:themeFill="accent6" w:themeFillTint="33"/>
            <w:vAlign w:val="center"/>
          </w:tcPr>
          <w:p w14:paraId="30292B7B" w14:textId="3D987F90" w:rsidR="003E238D" w:rsidRPr="00284073" w:rsidRDefault="003E238D" w:rsidP="003E238D">
            <w:pPr>
              <w:jc w:val="center"/>
              <w:rPr>
                <w:rFonts w:cs="Arial"/>
                <w:sz w:val="20"/>
                <w:szCs w:val="20"/>
              </w:rPr>
            </w:pPr>
            <w:r w:rsidRPr="00F83D63">
              <w:rPr>
                <w:rFonts w:cs="Arial"/>
                <w:sz w:val="20"/>
                <w:szCs w:val="20"/>
              </w:rPr>
              <w:t>0,00 zł</w:t>
            </w:r>
          </w:p>
        </w:tc>
      </w:tr>
      <w:tr w:rsidR="003E238D" w:rsidRPr="00284073" w14:paraId="6DFE4C4F" w14:textId="77777777" w:rsidTr="00C17ABE">
        <w:trPr>
          <w:trHeight w:val="300"/>
          <w:jc w:val="center"/>
        </w:trPr>
        <w:tc>
          <w:tcPr>
            <w:tcW w:w="3022" w:type="dxa"/>
            <w:shd w:val="clear" w:color="auto" w:fill="auto"/>
            <w:noWrap/>
            <w:vAlign w:val="center"/>
          </w:tcPr>
          <w:p w14:paraId="6146139F" w14:textId="77777777" w:rsidR="003E238D" w:rsidRPr="00284073" w:rsidRDefault="003E238D" w:rsidP="003E238D">
            <w:pPr>
              <w:jc w:val="center"/>
              <w:rPr>
                <w:rFonts w:cs="Arial"/>
                <w:bCs/>
                <w:sz w:val="20"/>
                <w:szCs w:val="20"/>
              </w:rPr>
            </w:pPr>
            <w:r w:rsidRPr="00284073">
              <w:rPr>
                <w:rFonts w:cs="Arial"/>
                <w:bCs/>
                <w:sz w:val="20"/>
                <w:szCs w:val="20"/>
              </w:rPr>
              <w:t>Usługi</w:t>
            </w:r>
          </w:p>
        </w:tc>
        <w:tc>
          <w:tcPr>
            <w:tcW w:w="1368" w:type="dxa"/>
            <w:shd w:val="clear" w:color="auto" w:fill="auto"/>
            <w:noWrap/>
            <w:vAlign w:val="center"/>
          </w:tcPr>
          <w:p w14:paraId="586BA60F" w14:textId="4883BE87" w:rsidR="003E238D" w:rsidRPr="00284073" w:rsidRDefault="003E238D" w:rsidP="003E238D">
            <w:pPr>
              <w:jc w:val="center"/>
              <w:rPr>
                <w:rFonts w:cs="Arial"/>
                <w:sz w:val="20"/>
                <w:szCs w:val="20"/>
              </w:rPr>
            </w:pPr>
            <w:r w:rsidRPr="00F83D63">
              <w:rPr>
                <w:sz w:val="20"/>
                <w:szCs w:val="20"/>
              </w:rPr>
              <w:t>7</w:t>
            </w:r>
          </w:p>
        </w:tc>
        <w:tc>
          <w:tcPr>
            <w:tcW w:w="4677" w:type="dxa"/>
            <w:vAlign w:val="center"/>
          </w:tcPr>
          <w:p w14:paraId="34CE6B7C" w14:textId="52B06F7B" w:rsidR="003E238D" w:rsidRPr="00284073" w:rsidRDefault="003E238D" w:rsidP="003E238D">
            <w:pPr>
              <w:jc w:val="center"/>
              <w:rPr>
                <w:rFonts w:cs="Arial"/>
                <w:sz w:val="20"/>
                <w:szCs w:val="20"/>
              </w:rPr>
            </w:pPr>
            <w:r w:rsidRPr="00F83D63">
              <w:rPr>
                <w:sz w:val="20"/>
                <w:szCs w:val="20"/>
              </w:rPr>
              <w:t>3 750 246,73 zł</w:t>
            </w:r>
          </w:p>
        </w:tc>
      </w:tr>
    </w:tbl>
    <w:p w14:paraId="4FC271DA" w14:textId="2C79D83E" w:rsidR="00245B26" w:rsidRDefault="00245B26" w:rsidP="00245B26">
      <w:pPr>
        <w:shd w:val="clear" w:color="auto" w:fill="FFFFFF"/>
      </w:pPr>
    </w:p>
    <w:p w14:paraId="596993E5" w14:textId="77777777" w:rsidR="00795DAD" w:rsidRPr="00284073" w:rsidRDefault="00795DAD" w:rsidP="00245B26">
      <w:pPr>
        <w:shd w:val="clear" w:color="auto" w:fill="FFFFFF"/>
      </w:pPr>
    </w:p>
    <w:p w14:paraId="71969B79" w14:textId="7B5A2D32" w:rsidR="00245B26" w:rsidRPr="00795DAD" w:rsidRDefault="00245B26" w:rsidP="00245B26">
      <w:pPr>
        <w:shd w:val="clear" w:color="auto" w:fill="FFFFFF"/>
        <w:ind w:left="709"/>
        <w:rPr>
          <w:b/>
          <w:color w:val="0070C0"/>
        </w:rPr>
      </w:pPr>
      <w:r w:rsidRPr="00795DAD">
        <w:rPr>
          <w:b/>
          <w:color w:val="0070C0"/>
        </w:rPr>
        <w:t>Określenie wymagań zw</w:t>
      </w:r>
      <w:r w:rsidR="00D3774F">
        <w:rPr>
          <w:b/>
          <w:color w:val="0070C0"/>
        </w:rPr>
        <w:t>iązanych</w:t>
      </w:r>
      <w:r w:rsidRPr="00795DAD">
        <w:rPr>
          <w:b/>
          <w:color w:val="0070C0"/>
        </w:rPr>
        <w:t xml:space="preserve"> z realizacją zamówienia obejmujących aspekty środowiskowe, o których mowa w art. 96 ust. 1 ustawy Pzp</w:t>
      </w:r>
    </w:p>
    <w:p w14:paraId="39D764A6" w14:textId="77777777" w:rsidR="00245B26" w:rsidRPr="00284073" w:rsidRDefault="00245B26" w:rsidP="00245B26">
      <w:pPr>
        <w:shd w:val="clear" w:color="auto" w:fill="FFFFFF"/>
      </w:pPr>
    </w:p>
    <w:p w14:paraId="18E42DF3" w14:textId="1F28378F" w:rsidR="00795DAD" w:rsidRPr="00284073" w:rsidRDefault="00795DAD" w:rsidP="00795DAD">
      <w:pPr>
        <w:pStyle w:val="Legenda"/>
      </w:pPr>
      <w:bookmarkStart w:id="136" w:name="_Toc141276545"/>
      <w:r w:rsidRPr="003E238D">
        <w:t xml:space="preserve">Tab. </w:t>
      </w:r>
      <w:r w:rsidR="00BE2079">
        <w:fldChar w:fldCharType="begin"/>
      </w:r>
      <w:r w:rsidR="00BE2079">
        <w:instrText xml:space="preserve"> SEQ Tab. \* ARABIC </w:instrText>
      </w:r>
      <w:r w:rsidR="00BE2079">
        <w:fldChar w:fldCharType="separate"/>
      </w:r>
      <w:r w:rsidR="00A43C68">
        <w:rPr>
          <w:noProof/>
        </w:rPr>
        <w:t>38</w:t>
      </w:r>
      <w:r w:rsidR="00BE2079">
        <w:rPr>
          <w:noProof/>
        </w:rPr>
        <w:fldChar w:fldCharType="end"/>
      </w:r>
      <w:r w:rsidRPr="003E238D">
        <w:t>. Zamówienia publiczne z zastosowaniem art. 96 ust. 1 ustawy Pzp</w:t>
      </w:r>
      <w:bookmarkEnd w:id="13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3E238D" w:rsidRPr="00284073" w14:paraId="4672B18C" w14:textId="77777777" w:rsidTr="00C17ABE">
        <w:trPr>
          <w:trHeight w:val="300"/>
          <w:jc w:val="center"/>
        </w:trPr>
        <w:tc>
          <w:tcPr>
            <w:tcW w:w="6941" w:type="dxa"/>
            <w:shd w:val="clear" w:color="auto" w:fill="E2EFD9" w:themeFill="accent6" w:themeFillTint="33"/>
            <w:noWrap/>
            <w:vAlign w:val="center"/>
          </w:tcPr>
          <w:p w14:paraId="192F9754" w14:textId="77777777" w:rsidR="003E238D" w:rsidRPr="00284073" w:rsidRDefault="003E238D" w:rsidP="003E238D">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51CD278A" w14:textId="1B97561F" w:rsidR="003E238D" w:rsidRPr="00284073" w:rsidRDefault="003E238D" w:rsidP="003E238D">
            <w:pPr>
              <w:jc w:val="center"/>
              <w:rPr>
                <w:rFonts w:cs="Arial"/>
                <w:sz w:val="20"/>
                <w:szCs w:val="20"/>
              </w:rPr>
            </w:pPr>
            <w:r w:rsidRPr="00FD188F">
              <w:rPr>
                <w:rFonts w:cs="Arial"/>
                <w:sz w:val="20"/>
                <w:szCs w:val="20"/>
              </w:rPr>
              <w:t>1 829</w:t>
            </w:r>
          </w:p>
        </w:tc>
      </w:tr>
      <w:tr w:rsidR="003E238D" w:rsidRPr="00284073" w14:paraId="7FAA9EF8" w14:textId="77777777" w:rsidTr="00C17ABE">
        <w:trPr>
          <w:trHeight w:val="300"/>
          <w:jc w:val="center"/>
        </w:trPr>
        <w:tc>
          <w:tcPr>
            <w:tcW w:w="6941" w:type="dxa"/>
            <w:shd w:val="clear" w:color="auto" w:fill="auto"/>
            <w:noWrap/>
            <w:vAlign w:val="center"/>
            <w:hideMark/>
          </w:tcPr>
          <w:p w14:paraId="39122E96" w14:textId="77777777" w:rsidR="003E238D" w:rsidRPr="00284073" w:rsidRDefault="003E238D" w:rsidP="003E238D">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1A496BEE" w14:textId="77777777" w:rsidR="003E238D" w:rsidRDefault="003E238D" w:rsidP="003E238D">
            <w:pPr>
              <w:jc w:val="center"/>
              <w:rPr>
                <w:rFonts w:cs="Arial"/>
                <w:sz w:val="20"/>
                <w:szCs w:val="20"/>
              </w:rPr>
            </w:pPr>
            <w:r w:rsidRPr="00FD188F">
              <w:rPr>
                <w:rFonts w:cs="Arial"/>
                <w:sz w:val="20"/>
                <w:szCs w:val="20"/>
              </w:rPr>
              <w:t>7 922 615 664,44 zł</w:t>
            </w:r>
          </w:p>
          <w:p w14:paraId="42CE4E9C" w14:textId="0DBE54FE" w:rsidR="003E238D" w:rsidRPr="00284073" w:rsidRDefault="003E238D" w:rsidP="003E238D">
            <w:pPr>
              <w:jc w:val="center"/>
              <w:rPr>
                <w:rFonts w:cs="Arial"/>
                <w:sz w:val="20"/>
                <w:szCs w:val="20"/>
              </w:rPr>
            </w:pPr>
            <w:r w:rsidRPr="00FD623C">
              <w:rPr>
                <w:rFonts w:cs="Arial"/>
                <w:sz w:val="20"/>
                <w:szCs w:val="20"/>
              </w:rPr>
              <w:t>(wartość bez VAT)</w:t>
            </w:r>
          </w:p>
        </w:tc>
      </w:tr>
    </w:tbl>
    <w:p w14:paraId="4FA18A4D"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245B26" w:rsidRPr="00284073" w14:paraId="64D2CA6E" w14:textId="77777777" w:rsidTr="00C17ABE">
        <w:trPr>
          <w:trHeight w:val="300"/>
          <w:tblHeader/>
          <w:jc w:val="center"/>
        </w:trPr>
        <w:tc>
          <w:tcPr>
            <w:tcW w:w="3022" w:type="dxa"/>
            <w:shd w:val="clear" w:color="auto" w:fill="C5E0B3" w:themeFill="accent6" w:themeFillTint="66"/>
            <w:noWrap/>
            <w:vAlign w:val="center"/>
          </w:tcPr>
          <w:p w14:paraId="03438FB5"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226" w:type="dxa"/>
            <w:shd w:val="clear" w:color="auto" w:fill="C5E0B3" w:themeFill="accent6" w:themeFillTint="66"/>
            <w:vAlign w:val="center"/>
          </w:tcPr>
          <w:p w14:paraId="51ECBD2A"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819" w:type="dxa"/>
            <w:shd w:val="clear" w:color="auto" w:fill="C5E0B3" w:themeFill="accent6" w:themeFillTint="66"/>
            <w:vAlign w:val="center"/>
          </w:tcPr>
          <w:p w14:paraId="0221C6C3"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3E238D" w:rsidRPr="00284073" w14:paraId="122DC409" w14:textId="77777777" w:rsidTr="00C17ABE">
        <w:trPr>
          <w:trHeight w:val="300"/>
          <w:jc w:val="center"/>
        </w:trPr>
        <w:tc>
          <w:tcPr>
            <w:tcW w:w="3022" w:type="dxa"/>
            <w:shd w:val="clear" w:color="auto" w:fill="auto"/>
            <w:noWrap/>
            <w:vAlign w:val="center"/>
          </w:tcPr>
          <w:p w14:paraId="05ACC285" w14:textId="77777777" w:rsidR="003E238D" w:rsidRPr="00284073" w:rsidRDefault="003E238D" w:rsidP="003E238D">
            <w:pPr>
              <w:jc w:val="center"/>
              <w:rPr>
                <w:rFonts w:cs="Arial"/>
                <w:bCs/>
                <w:sz w:val="20"/>
                <w:szCs w:val="20"/>
              </w:rPr>
            </w:pPr>
            <w:r w:rsidRPr="00284073">
              <w:rPr>
                <w:rFonts w:cs="Arial"/>
                <w:bCs/>
                <w:sz w:val="20"/>
                <w:szCs w:val="20"/>
              </w:rPr>
              <w:t>Dostawy</w:t>
            </w:r>
          </w:p>
        </w:tc>
        <w:tc>
          <w:tcPr>
            <w:tcW w:w="1226" w:type="dxa"/>
            <w:shd w:val="clear" w:color="auto" w:fill="auto"/>
            <w:noWrap/>
            <w:vAlign w:val="center"/>
          </w:tcPr>
          <w:p w14:paraId="4FAF29A7" w14:textId="640E9065" w:rsidR="003E238D" w:rsidRPr="00284073" w:rsidRDefault="003E238D" w:rsidP="003E238D">
            <w:pPr>
              <w:jc w:val="center"/>
              <w:rPr>
                <w:rFonts w:cs="Arial"/>
                <w:sz w:val="20"/>
                <w:szCs w:val="20"/>
              </w:rPr>
            </w:pPr>
            <w:r w:rsidRPr="00FD188F">
              <w:rPr>
                <w:sz w:val="20"/>
                <w:szCs w:val="20"/>
              </w:rPr>
              <w:t>263</w:t>
            </w:r>
          </w:p>
        </w:tc>
        <w:tc>
          <w:tcPr>
            <w:tcW w:w="4819" w:type="dxa"/>
            <w:shd w:val="clear" w:color="auto" w:fill="auto"/>
            <w:vAlign w:val="center"/>
          </w:tcPr>
          <w:p w14:paraId="0DDDD47F" w14:textId="5D9D961E" w:rsidR="003E238D" w:rsidRPr="00284073" w:rsidRDefault="003E238D" w:rsidP="003E238D">
            <w:pPr>
              <w:jc w:val="center"/>
              <w:rPr>
                <w:rFonts w:cs="Arial"/>
                <w:sz w:val="20"/>
                <w:szCs w:val="20"/>
              </w:rPr>
            </w:pPr>
            <w:r w:rsidRPr="00FD188F">
              <w:rPr>
                <w:sz w:val="20"/>
                <w:szCs w:val="20"/>
              </w:rPr>
              <w:t>512 951 085,91 zł</w:t>
            </w:r>
          </w:p>
        </w:tc>
      </w:tr>
      <w:tr w:rsidR="003E238D" w:rsidRPr="00284073" w14:paraId="60F7971B" w14:textId="77777777" w:rsidTr="00C17ABE">
        <w:trPr>
          <w:trHeight w:val="300"/>
          <w:jc w:val="center"/>
        </w:trPr>
        <w:tc>
          <w:tcPr>
            <w:tcW w:w="3022" w:type="dxa"/>
            <w:shd w:val="clear" w:color="auto" w:fill="E2EFD9" w:themeFill="accent6" w:themeFillTint="33"/>
            <w:noWrap/>
            <w:vAlign w:val="center"/>
            <w:hideMark/>
          </w:tcPr>
          <w:p w14:paraId="00C65415" w14:textId="77777777" w:rsidR="003E238D" w:rsidRPr="00284073" w:rsidRDefault="003E238D" w:rsidP="003E238D">
            <w:pPr>
              <w:jc w:val="center"/>
              <w:rPr>
                <w:rFonts w:cs="Arial"/>
                <w:bCs/>
                <w:sz w:val="20"/>
                <w:szCs w:val="20"/>
              </w:rPr>
            </w:pPr>
            <w:r w:rsidRPr="00284073">
              <w:rPr>
                <w:rFonts w:cs="Arial"/>
                <w:bCs/>
                <w:sz w:val="20"/>
                <w:szCs w:val="20"/>
              </w:rPr>
              <w:t>Roboty budowlane</w:t>
            </w:r>
          </w:p>
        </w:tc>
        <w:tc>
          <w:tcPr>
            <w:tcW w:w="1226" w:type="dxa"/>
            <w:shd w:val="clear" w:color="auto" w:fill="E2EFD9" w:themeFill="accent6" w:themeFillTint="33"/>
            <w:noWrap/>
            <w:vAlign w:val="center"/>
          </w:tcPr>
          <w:p w14:paraId="53944FB1" w14:textId="47777164" w:rsidR="003E238D" w:rsidRPr="00284073" w:rsidRDefault="003E238D" w:rsidP="003E238D">
            <w:pPr>
              <w:jc w:val="center"/>
              <w:rPr>
                <w:rFonts w:cs="Arial"/>
                <w:sz w:val="20"/>
                <w:szCs w:val="20"/>
              </w:rPr>
            </w:pPr>
            <w:r w:rsidRPr="00FD188F">
              <w:rPr>
                <w:sz w:val="20"/>
                <w:szCs w:val="20"/>
              </w:rPr>
              <w:t>683</w:t>
            </w:r>
          </w:p>
        </w:tc>
        <w:tc>
          <w:tcPr>
            <w:tcW w:w="4819" w:type="dxa"/>
            <w:shd w:val="clear" w:color="auto" w:fill="E2EFD9" w:themeFill="accent6" w:themeFillTint="33"/>
            <w:vAlign w:val="center"/>
          </w:tcPr>
          <w:p w14:paraId="7BC21DA1" w14:textId="2FAD2B52" w:rsidR="003E238D" w:rsidRPr="00284073" w:rsidRDefault="003E238D" w:rsidP="003E238D">
            <w:pPr>
              <w:jc w:val="center"/>
              <w:rPr>
                <w:rFonts w:cs="Arial"/>
                <w:sz w:val="20"/>
                <w:szCs w:val="20"/>
              </w:rPr>
            </w:pPr>
            <w:r w:rsidRPr="00FD188F">
              <w:rPr>
                <w:sz w:val="20"/>
                <w:szCs w:val="20"/>
              </w:rPr>
              <w:t>4 931 464 150,91 zł</w:t>
            </w:r>
          </w:p>
        </w:tc>
      </w:tr>
      <w:tr w:rsidR="003E238D" w:rsidRPr="00284073" w14:paraId="2DE7BBE5" w14:textId="77777777" w:rsidTr="00C17ABE">
        <w:trPr>
          <w:trHeight w:val="300"/>
          <w:jc w:val="center"/>
        </w:trPr>
        <w:tc>
          <w:tcPr>
            <w:tcW w:w="3022" w:type="dxa"/>
            <w:shd w:val="clear" w:color="auto" w:fill="auto"/>
            <w:noWrap/>
            <w:vAlign w:val="center"/>
          </w:tcPr>
          <w:p w14:paraId="156CDD20" w14:textId="77777777" w:rsidR="003E238D" w:rsidRPr="00284073" w:rsidRDefault="003E238D" w:rsidP="003E238D">
            <w:pPr>
              <w:jc w:val="center"/>
              <w:rPr>
                <w:rFonts w:cs="Arial"/>
                <w:bCs/>
                <w:sz w:val="20"/>
                <w:szCs w:val="20"/>
              </w:rPr>
            </w:pPr>
            <w:r w:rsidRPr="00284073">
              <w:rPr>
                <w:rFonts w:cs="Arial"/>
                <w:bCs/>
                <w:sz w:val="20"/>
                <w:szCs w:val="20"/>
              </w:rPr>
              <w:t>Usługi</w:t>
            </w:r>
          </w:p>
        </w:tc>
        <w:tc>
          <w:tcPr>
            <w:tcW w:w="1226" w:type="dxa"/>
            <w:shd w:val="clear" w:color="auto" w:fill="auto"/>
            <w:noWrap/>
            <w:vAlign w:val="center"/>
          </w:tcPr>
          <w:p w14:paraId="0C6BC0D6" w14:textId="07B913FF" w:rsidR="003E238D" w:rsidRPr="00284073" w:rsidRDefault="003E238D" w:rsidP="003E238D">
            <w:pPr>
              <w:jc w:val="center"/>
              <w:rPr>
                <w:rFonts w:cs="Arial"/>
                <w:sz w:val="20"/>
                <w:szCs w:val="20"/>
              </w:rPr>
            </w:pPr>
            <w:r w:rsidRPr="00FD188F">
              <w:rPr>
                <w:sz w:val="20"/>
                <w:szCs w:val="20"/>
              </w:rPr>
              <w:t>883</w:t>
            </w:r>
          </w:p>
        </w:tc>
        <w:tc>
          <w:tcPr>
            <w:tcW w:w="4819" w:type="dxa"/>
            <w:shd w:val="clear" w:color="auto" w:fill="auto"/>
            <w:vAlign w:val="center"/>
          </w:tcPr>
          <w:p w14:paraId="1CD18BAA" w14:textId="6C10524A" w:rsidR="003E238D" w:rsidRPr="00284073" w:rsidRDefault="003E238D" w:rsidP="003E238D">
            <w:pPr>
              <w:jc w:val="center"/>
              <w:rPr>
                <w:rFonts w:cs="Arial"/>
                <w:sz w:val="20"/>
                <w:szCs w:val="20"/>
              </w:rPr>
            </w:pPr>
            <w:r w:rsidRPr="00FD188F">
              <w:rPr>
                <w:sz w:val="20"/>
                <w:szCs w:val="20"/>
              </w:rPr>
              <w:t>2 478 200 427,62 zł</w:t>
            </w:r>
          </w:p>
        </w:tc>
      </w:tr>
    </w:tbl>
    <w:p w14:paraId="2E201071" w14:textId="7CCDE9E5" w:rsidR="00245B26" w:rsidRDefault="00245B26" w:rsidP="00245B26">
      <w:pPr>
        <w:shd w:val="clear" w:color="auto" w:fill="FFFFFF"/>
      </w:pPr>
    </w:p>
    <w:p w14:paraId="02930323" w14:textId="77777777" w:rsidR="00CD03C1" w:rsidRPr="00284073" w:rsidRDefault="00CD03C1" w:rsidP="00245B26">
      <w:pPr>
        <w:shd w:val="clear" w:color="auto" w:fill="FFFFFF"/>
      </w:pPr>
    </w:p>
    <w:p w14:paraId="1F238722" w14:textId="77777777" w:rsidR="00245B26" w:rsidRPr="00CD03C1" w:rsidRDefault="00245B26" w:rsidP="00245B26">
      <w:pPr>
        <w:shd w:val="clear" w:color="auto" w:fill="FFFFFF"/>
        <w:ind w:left="709"/>
        <w:rPr>
          <w:b/>
          <w:color w:val="0070C0"/>
        </w:rPr>
      </w:pPr>
      <w:r w:rsidRPr="00CD03C1">
        <w:rPr>
          <w:b/>
          <w:color w:val="0070C0"/>
        </w:rPr>
        <w:t>Określenie etykiety związanej z aspektami środowiskowymi albo innego przedmiotowego środka dowodowego, o których mowa w art. 104 ustawy Pzp</w:t>
      </w:r>
    </w:p>
    <w:p w14:paraId="3103F327" w14:textId="77777777" w:rsidR="00245B26" w:rsidRPr="00284073" w:rsidRDefault="00245B26" w:rsidP="00245B26">
      <w:pPr>
        <w:shd w:val="clear" w:color="auto" w:fill="FFFFFF"/>
      </w:pPr>
    </w:p>
    <w:p w14:paraId="2ACE48AA" w14:textId="4E516B47" w:rsidR="00667A9B" w:rsidRPr="00667A9B" w:rsidRDefault="00667A9B" w:rsidP="00667A9B">
      <w:pPr>
        <w:pStyle w:val="Legenda"/>
      </w:pPr>
      <w:bookmarkStart w:id="137" w:name="_Toc141276546"/>
      <w:r w:rsidRPr="003E238D">
        <w:t xml:space="preserve">Tab. </w:t>
      </w:r>
      <w:r w:rsidR="00BE2079">
        <w:fldChar w:fldCharType="begin"/>
      </w:r>
      <w:r w:rsidR="00BE2079">
        <w:instrText xml:space="preserve"> SEQ Tab. \* ARABIC </w:instrText>
      </w:r>
      <w:r w:rsidR="00BE2079">
        <w:fldChar w:fldCharType="separate"/>
      </w:r>
      <w:r w:rsidR="00A43C68">
        <w:rPr>
          <w:noProof/>
        </w:rPr>
        <w:t>39</w:t>
      </w:r>
      <w:r w:rsidR="00BE2079">
        <w:rPr>
          <w:noProof/>
        </w:rPr>
        <w:fldChar w:fldCharType="end"/>
      </w:r>
      <w:r w:rsidRPr="003E238D">
        <w:t>. Zamówienia publiczne z zastosowaniem art. 104 ustawy Pzp</w:t>
      </w:r>
      <w:bookmarkEnd w:id="13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3E238D" w:rsidRPr="00284073" w14:paraId="1DE6DF21" w14:textId="77777777" w:rsidTr="00C17ABE">
        <w:trPr>
          <w:trHeight w:val="300"/>
          <w:jc w:val="center"/>
        </w:trPr>
        <w:tc>
          <w:tcPr>
            <w:tcW w:w="6941" w:type="dxa"/>
            <w:shd w:val="clear" w:color="auto" w:fill="E2EFD9" w:themeFill="accent6" w:themeFillTint="33"/>
            <w:noWrap/>
            <w:vAlign w:val="center"/>
          </w:tcPr>
          <w:p w14:paraId="679717FF" w14:textId="77777777" w:rsidR="003E238D" w:rsidRPr="00284073" w:rsidRDefault="003E238D" w:rsidP="003E238D">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E2EFD9" w:themeFill="accent6" w:themeFillTint="33"/>
            <w:noWrap/>
            <w:vAlign w:val="center"/>
          </w:tcPr>
          <w:p w14:paraId="2A807A77" w14:textId="1EE4E3C8" w:rsidR="003E238D" w:rsidRPr="00284073" w:rsidRDefault="003E238D" w:rsidP="003E238D">
            <w:pPr>
              <w:jc w:val="center"/>
              <w:rPr>
                <w:rFonts w:cs="Arial"/>
                <w:sz w:val="20"/>
                <w:szCs w:val="20"/>
              </w:rPr>
            </w:pPr>
            <w:r w:rsidRPr="002C1BEE">
              <w:rPr>
                <w:rFonts w:cs="Arial"/>
                <w:sz w:val="20"/>
                <w:szCs w:val="20"/>
              </w:rPr>
              <w:t>182</w:t>
            </w:r>
          </w:p>
        </w:tc>
      </w:tr>
      <w:tr w:rsidR="003E238D" w:rsidRPr="00284073" w14:paraId="1BFD523E" w14:textId="77777777" w:rsidTr="00C17ABE">
        <w:trPr>
          <w:trHeight w:val="300"/>
          <w:jc w:val="center"/>
        </w:trPr>
        <w:tc>
          <w:tcPr>
            <w:tcW w:w="6941" w:type="dxa"/>
            <w:shd w:val="clear" w:color="auto" w:fill="auto"/>
            <w:noWrap/>
            <w:vAlign w:val="center"/>
            <w:hideMark/>
          </w:tcPr>
          <w:p w14:paraId="3D0ABBCC" w14:textId="77777777" w:rsidR="003E238D" w:rsidRPr="00284073" w:rsidRDefault="003E238D" w:rsidP="003E238D">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2CE9F0A6" w14:textId="77777777" w:rsidR="003E238D" w:rsidRDefault="003E238D" w:rsidP="003E238D">
            <w:pPr>
              <w:jc w:val="center"/>
              <w:rPr>
                <w:rFonts w:cs="Arial"/>
                <w:sz w:val="20"/>
                <w:szCs w:val="20"/>
              </w:rPr>
            </w:pPr>
            <w:r w:rsidRPr="002C1BEE">
              <w:rPr>
                <w:rFonts w:cs="Arial"/>
                <w:sz w:val="20"/>
                <w:szCs w:val="20"/>
              </w:rPr>
              <w:t>465 369 903,72 zł</w:t>
            </w:r>
          </w:p>
          <w:p w14:paraId="48526519" w14:textId="25C1D76A" w:rsidR="003E238D" w:rsidRPr="00284073" w:rsidRDefault="003E238D" w:rsidP="003E238D">
            <w:pPr>
              <w:jc w:val="center"/>
              <w:rPr>
                <w:rFonts w:cs="Arial"/>
                <w:sz w:val="20"/>
                <w:szCs w:val="20"/>
              </w:rPr>
            </w:pPr>
            <w:r w:rsidRPr="00FD623C">
              <w:rPr>
                <w:rFonts w:cs="Arial"/>
                <w:sz w:val="20"/>
                <w:szCs w:val="20"/>
              </w:rPr>
              <w:t>(wartość bez VAT)</w:t>
            </w:r>
          </w:p>
        </w:tc>
      </w:tr>
    </w:tbl>
    <w:p w14:paraId="6048C60D" w14:textId="77777777" w:rsidR="00245B26" w:rsidRPr="00284073" w:rsidRDefault="00245B26" w:rsidP="00245B26">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245B26" w:rsidRPr="00284073" w14:paraId="57E1B71A" w14:textId="77777777" w:rsidTr="00C17ABE">
        <w:trPr>
          <w:trHeight w:val="300"/>
          <w:tblHeader/>
          <w:jc w:val="center"/>
        </w:trPr>
        <w:tc>
          <w:tcPr>
            <w:tcW w:w="3022" w:type="dxa"/>
            <w:shd w:val="clear" w:color="auto" w:fill="C5E0B3" w:themeFill="accent6" w:themeFillTint="66"/>
            <w:noWrap/>
            <w:vAlign w:val="center"/>
          </w:tcPr>
          <w:p w14:paraId="62E2BD08" w14:textId="77777777" w:rsidR="00245B26" w:rsidRPr="00284073" w:rsidRDefault="00245B26" w:rsidP="00C17ABE">
            <w:pPr>
              <w:jc w:val="center"/>
              <w:rPr>
                <w:rFonts w:cs="Arial"/>
                <w:b/>
                <w:sz w:val="20"/>
                <w:szCs w:val="20"/>
              </w:rPr>
            </w:pPr>
            <w:r w:rsidRPr="00284073">
              <w:rPr>
                <w:rFonts w:cs="Arial"/>
                <w:b/>
                <w:bCs/>
                <w:sz w:val="20"/>
                <w:szCs w:val="20"/>
              </w:rPr>
              <w:t>Rodzaj zamówienia</w:t>
            </w:r>
          </w:p>
        </w:tc>
        <w:tc>
          <w:tcPr>
            <w:tcW w:w="1368" w:type="dxa"/>
            <w:shd w:val="clear" w:color="auto" w:fill="C5E0B3" w:themeFill="accent6" w:themeFillTint="66"/>
            <w:vAlign w:val="center"/>
          </w:tcPr>
          <w:p w14:paraId="2F7AD3B8" w14:textId="77777777" w:rsidR="00245B26" w:rsidRPr="00284073" w:rsidRDefault="00245B26" w:rsidP="00C17ABE">
            <w:pPr>
              <w:jc w:val="center"/>
              <w:rPr>
                <w:rFonts w:cs="Arial"/>
                <w:b/>
                <w:sz w:val="20"/>
                <w:szCs w:val="20"/>
              </w:rPr>
            </w:pPr>
            <w:r w:rsidRPr="00284073">
              <w:rPr>
                <w:rFonts w:cs="Arial"/>
                <w:b/>
                <w:sz w:val="20"/>
                <w:szCs w:val="20"/>
              </w:rPr>
              <w:t>Liczba</w:t>
            </w:r>
          </w:p>
        </w:tc>
        <w:tc>
          <w:tcPr>
            <w:tcW w:w="4677" w:type="dxa"/>
            <w:shd w:val="clear" w:color="auto" w:fill="C5E0B3" w:themeFill="accent6" w:themeFillTint="66"/>
            <w:vAlign w:val="center"/>
          </w:tcPr>
          <w:p w14:paraId="1618FE55" w14:textId="77777777" w:rsidR="00245B26" w:rsidRPr="00284073" w:rsidRDefault="00245B26" w:rsidP="00C17ABE">
            <w:pPr>
              <w:jc w:val="center"/>
              <w:rPr>
                <w:rFonts w:cs="Arial"/>
                <w:b/>
                <w:sz w:val="20"/>
                <w:szCs w:val="20"/>
              </w:rPr>
            </w:pPr>
            <w:r w:rsidRPr="00284073">
              <w:rPr>
                <w:rFonts w:cs="Arial"/>
                <w:b/>
                <w:sz w:val="20"/>
                <w:szCs w:val="20"/>
              </w:rPr>
              <w:t>Wartość (bez VAT)</w:t>
            </w:r>
          </w:p>
        </w:tc>
      </w:tr>
      <w:tr w:rsidR="003E238D" w:rsidRPr="00284073" w14:paraId="732135AE" w14:textId="77777777" w:rsidTr="00C17ABE">
        <w:trPr>
          <w:trHeight w:val="300"/>
          <w:jc w:val="center"/>
        </w:trPr>
        <w:tc>
          <w:tcPr>
            <w:tcW w:w="3022" w:type="dxa"/>
            <w:shd w:val="clear" w:color="auto" w:fill="auto"/>
            <w:noWrap/>
            <w:vAlign w:val="center"/>
          </w:tcPr>
          <w:p w14:paraId="093A5171" w14:textId="77777777" w:rsidR="003E238D" w:rsidRPr="00284073" w:rsidRDefault="003E238D" w:rsidP="003E238D">
            <w:pPr>
              <w:jc w:val="center"/>
              <w:rPr>
                <w:rFonts w:cs="Arial"/>
                <w:bCs/>
                <w:sz w:val="20"/>
                <w:szCs w:val="20"/>
              </w:rPr>
            </w:pPr>
            <w:r w:rsidRPr="00284073">
              <w:rPr>
                <w:rFonts w:cs="Arial"/>
                <w:bCs/>
                <w:sz w:val="20"/>
                <w:szCs w:val="20"/>
              </w:rPr>
              <w:t>Dostawy</w:t>
            </w:r>
          </w:p>
        </w:tc>
        <w:tc>
          <w:tcPr>
            <w:tcW w:w="1368" w:type="dxa"/>
            <w:shd w:val="clear" w:color="auto" w:fill="auto"/>
            <w:noWrap/>
            <w:vAlign w:val="center"/>
          </w:tcPr>
          <w:p w14:paraId="1D530C3B" w14:textId="188920AF" w:rsidR="003E238D" w:rsidRPr="00284073" w:rsidRDefault="003E238D" w:rsidP="003E238D">
            <w:pPr>
              <w:jc w:val="center"/>
              <w:rPr>
                <w:rFonts w:cs="Arial"/>
                <w:sz w:val="20"/>
                <w:szCs w:val="20"/>
              </w:rPr>
            </w:pPr>
            <w:r w:rsidRPr="00986952">
              <w:rPr>
                <w:sz w:val="20"/>
                <w:szCs w:val="20"/>
              </w:rPr>
              <w:t>108</w:t>
            </w:r>
          </w:p>
        </w:tc>
        <w:tc>
          <w:tcPr>
            <w:tcW w:w="4677" w:type="dxa"/>
            <w:vAlign w:val="center"/>
          </w:tcPr>
          <w:p w14:paraId="16090568" w14:textId="1F21039B" w:rsidR="003E238D" w:rsidRPr="00284073" w:rsidRDefault="003E238D" w:rsidP="003E238D">
            <w:pPr>
              <w:jc w:val="center"/>
              <w:rPr>
                <w:rFonts w:cs="Arial"/>
                <w:sz w:val="20"/>
                <w:szCs w:val="20"/>
              </w:rPr>
            </w:pPr>
            <w:r w:rsidRPr="00986952">
              <w:rPr>
                <w:sz w:val="20"/>
                <w:szCs w:val="20"/>
              </w:rPr>
              <w:t>229 297 087,43 zł</w:t>
            </w:r>
          </w:p>
        </w:tc>
      </w:tr>
      <w:tr w:rsidR="003E238D" w:rsidRPr="00284073" w14:paraId="031F35A3" w14:textId="77777777" w:rsidTr="00C17ABE">
        <w:trPr>
          <w:trHeight w:val="300"/>
          <w:jc w:val="center"/>
        </w:trPr>
        <w:tc>
          <w:tcPr>
            <w:tcW w:w="3022" w:type="dxa"/>
            <w:shd w:val="clear" w:color="auto" w:fill="E2EFD9" w:themeFill="accent6" w:themeFillTint="33"/>
            <w:noWrap/>
            <w:vAlign w:val="center"/>
            <w:hideMark/>
          </w:tcPr>
          <w:p w14:paraId="5C153850" w14:textId="77777777" w:rsidR="003E238D" w:rsidRPr="00284073" w:rsidRDefault="003E238D" w:rsidP="003E238D">
            <w:pPr>
              <w:jc w:val="center"/>
              <w:rPr>
                <w:rFonts w:cs="Arial"/>
                <w:bCs/>
                <w:sz w:val="20"/>
                <w:szCs w:val="20"/>
              </w:rPr>
            </w:pPr>
            <w:r w:rsidRPr="00284073">
              <w:rPr>
                <w:rFonts w:cs="Arial"/>
                <w:bCs/>
                <w:sz w:val="20"/>
                <w:szCs w:val="20"/>
              </w:rPr>
              <w:t>Roboty budowlane</w:t>
            </w:r>
          </w:p>
        </w:tc>
        <w:tc>
          <w:tcPr>
            <w:tcW w:w="1368" w:type="dxa"/>
            <w:shd w:val="clear" w:color="auto" w:fill="E2EFD9" w:themeFill="accent6" w:themeFillTint="33"/>
            <w:noWrap/>
            <w:vAlign w:val="center"/>
          </w:tcPr>
          <w:p w14:paraId="351E48AE" w14:textId="5A5D1B1F" w:rsidR="003E238D" w:rsidRPr="00284073" w:rsidRDefault="003E238D" w:rsidP="003E238D">
            <w:pPr>
              <w:jc w:val="center"/>
              <w:rPr>
                <w:rFonts w:cs="Arial"/>
                <w:sz w:val="20"/>
                <w:szCs w:val="20"/>
              </w:rPr>
            </w:pPr>
            <w:r w:rsidRPr="00986952">
              <w:rPr>
                <w:sz w:val="20"/>
                <w:szCs w:val="20"/>
              </w:rPr>
              <w:t>24</w:t>
            </w:r>
          </w:p>
        </w:tc>
        <w:tc>
          <w:tcPr>
            <w:tcW w:w="4677" w:type="dxa"/>
            <w:shd w:val="clear" w:color="auto" w:fill="E2EFD9" w:themeFill="accent6" w:themeFillTint="33"/>
            <w:vAlign w:val="center"/>
          </w:tcPr>
          <w:p w14:paraId="65D6F91A" w14:textId="5E888A87" w:rsidR="003E238D" w:rsidRPr="00284073" w:rsidRDefault="003E238D" w:rsidP="003E238D">
            <w:pPr>
              <w:jc w:val="center"/>
              <w:rPr>
                <w:rFonts w:cs="Arial"/>
                <w:sz w:val="20"/>
                <w:szCs w:val="20"/>
              </w:rPr>
            </w:pPr>
            <w:r w:rsidRPr="00986952">
              <w:rPr>
                <w:sz w:val="20"/>
                <w:szCs w:val="20"/>
              </w:rPr>
              <w:t>113 258 535,70 zł</w:t>
            </w:r>
          </w:p>
        </w:tc>
      </w:tr>
      <w:tr w:rsidR="003E238D" w:rsidRPr="00284073" w14:paraId="3B38FA3C" w14:textId="77777777" w:rsidTr="00C17ABE">
        <w:trPr>
          <w:trHeight w:val="300"/>
          <w:jc w:val="center"/>
        </w:trPr>
        <w:tc>
          <w:tcPr>
            <w:tcW w:w="3022" w:type="dxa"/>
            <w:shd w:val="clear" w:color="auto" w:fill="auto"/>
            <w:noWrap/>
            <w:vAlign w:val="center"/>
          </w:tcPr>
          <w:p w14:paraId="5F5963DD" w14:textId="77777777" w:rsidR="003E238D" w:rsidRPr="00284073" w:rsidRDefault="003E238D" w:rsidP="003E238D">
            <w:pPr>
              <w:jc w:val="center"/>
              <w:rPr>
                <w:rFonts w:cs="Arial"/>
                <w:bCs/>
                <w:sz w:val="20"/>
                <w:szCs w:val="20"/>
              </w:rPr>
            </w:pPr>
            <w:r w:rsidRPr="00284073">
              <w:rPr>
                <w:rFonts w:cs="Arial"/>
                <w:bCs/>
                <w:sz w:val="20"/>
                <w:szCs w:val="20"/>
              </w:rPr>
              <w:t>Usługi</w:t>
            </w:r>
          </w:p>
        </w:tc>
        <w:tc>
          <w:tcPr>
            <w:tcW w:w="1368" w:type="dxa"/>
            <w:shd w:val="clear" w:color="auto" w:fill="auto"/>
            <w:noWrap/>
            <w:vAlign w:val="center"/>
          </w:tcPr>
          <w:p w14:paraId="0358F13B" w14:textId="61155629" w:rsidR="003E238D" w:rsidRPr="00284073" w:rsidRDefault="003E238D" w:rsidP="003E238D">
            <w:pPr>
              <w:jc w:val="center"/>
              <w:rPr>
                <w:rFonts w:cs="Arial"/>
                <w:sz w:val="20"/>
                <w:szCs w:val="20"/>
              </w:rPr>
            </w:pPr>
            <w:r w:rsidRPr="00986952">
              <w:rPr>
                <w:sz w:val="20"/>
                <w:szCs w:val="20"/>
              </w:rPr>
              <w:t>50</w:t>
            </w:r>
          </w:p>
        </w:tc>
        <w:tc>
          <w:tcPr>
            <w:tcW w:w="4677" w:type="dxa"/>
            <w:vAlign w:val="center"/>
          </w:tcPr>
          <w:p w14:paraId="062B03AF" w14:textId="6B969534" w:rsidR="003E238D" w:rsidRPr="00284073" w:rsidRDefault="003E238D" w:rsidP="003E238D">
            <w:pPr>
              <w:jc w:val="center"/>
              <w:rPr>
                <w:rFonts w:cs="Arial"/>
                <w:sz w:val="20"/>
                <w:szCs w:val="20"/>
              </w:rPr>
            </w:pPr>
            <w:r w:rsidRPr="00986952">
              <w:rPr>
                <w:sz w:val="20"/>
                <w:szCs w:val="20"/>
              </w:rPr>
              <w:t>122 814 280,59 zł</w:t>
            </w:r>
          </w:p>
        </w:tc>
      </w:tr>
    </w:tbl>
    <w:p w14:paraId="13E4A957" w14:textId="77777777" w:rsidR="00245B26" w:rsidRPr="00284073" w:rsidRDefault="00245B26" w:rsidP="00245B26">
      <w:pPr>
        <w:shd w:val="clear" w:color="auto" w:fill="FFFFFF"/>
      </w:pPr>
    </w:p>
    <w:p w14:paraId="42646F6D" w14:textId="77777777" w:rsidR="003E238D" w:rsidRPr="003E238D" w:rsidRDefault="003E238D" w:rsidP="003E238D">
      <w:pPr>
        <w:shd w:val="clear" w:color="auto" w:fill="FFFFFF"/>
        <w:rPr>
          <w:bCs/>
        </w:rPr>
      </w:pPr>
      <w:r w:rsidRPr="003E238D">
        <w:t xml:space="preserve">W zielonych zamówieniach udzielonych w 2022 r., najczęściej stosowano </w:t>
      </w:r>
      <w:r w:rsidRPr="003E238D">
        <w:rPr>
          <w:bCs/>
        </w:rPr>
        <w:t xml:space="preserve">środowiskowe wymagania związane z realizacją zamówienia. </w:t>
      </w:r>
      <w:r w:rsidRPr="003E238D">
        <w:t>Zastosowanie przez zamawiających wymogu z art. 96 ust. 1 ustawy Pzp stanowiło drugi pod względem wartości aspekt środowiskowy. W porównaniu z rokiem 2021, o 1 127 wzrosła liczba zamówień z takim aspektem środowiskowym, przy jednoczesnym wzroście ich wartości o 3 515 224 010,27 zł (bez podatku od towarów i usług).</w:t>
      </w:r>
    </w:p>
    <w:p w14:paraId="221385D0" w14:textId="77777777" w:rsidR="003E238D" w:rsidRPr="003E238D" w:rsidRDefault="003E238D" w:rsidP="003E238D">
      <w:pPr>
        <w:shd w:val="clear" w:color="auto" w:fill="FFFFFF"/>
        <w:rPr>
          <w:bCs/>
        </w:rPr>
      </w:pPr>
    </w:p>
    <w:p w14:paraId="62012E8A" w14:textId="77777777" w:rsidR="003E238D" w:rsidRPr="003E238D" w:rsidRDefault="003E238D" w:rsidP="003E238D">
      <w:pPr>
        <w:shd w:val="clear" w:color="auto" w:fill="FFFFFF"/>
        <w:rPr>
          <w:bCs/>
        </w:rPr>
      </w:pPr>
      <w:r w:rsidRPr="003E238D">
        <w:t>Drugim, najbardziej popularnym wśród zamawiających</w:t>
      </w:r>
      <w:r w:rsidRPr="003E238D">
        <w:rPr>
          <w:b/>
        </w:rPr>
        <w:t xml:space="preserve"> </w:t>
      </w:r>
      <w:r w:rsidRPr="003E238D">
        <w:t>rozwiązaniem prawnym o charakterze środowiskowym było określenie w opisie przedmiotu zamówienia wymagań środowiskowych zgodnie z art. 101 ustawy Pzp</w:t>
      </w:r>
      <w:r w:rsidRPr="003E238D">
        <w:rPr>
          <w:bCs/>
        </w:rPr>
        <w:t>, które w roku poprzedzającym stanowiło najczęściej stosowany instrument. Mimo wszystko, w</w:t>
      </w:r>
      <w:r w:rsidRPr="003E238D">
        <w:t xml:space="preserve"> porównaniu z rokiem 2021, o 547 wzrosła liczba zamówień z zastosowaniem wymagań środowiskowych w ramach OPZ, podczas gdy wartość takich zamówień wzrosła aż o 9 595 233 915,5 zł (bez podatku od towarów i usług).</w:t>
      </w:r>
    </w:p>
    <w:p w14:paraId="626343E4" w14:textId="77777777" w:rsidR="003E238D" w:rsidRPr="003E238D" w:rsidRDefault="003E238D" w:rsidP="003E238D">
      <w:pPr>
        <w:shd w:val="clear" w:color="auto" w:fill="FFFFFF"/>
      </w:pPr>
    </w:p>
    <w:p w14:paraId="153060EA" w14:textId="5C558D38" w:rsidR="003E238D" w:rsidRPr="003E238D" w:rsidRDefault="003E238D" w:rsidP="003E238D">
      <w:pPr>
        <w:shd w:val="clear" w:color="auto" w:fill="FFFFFF"/>
      </w:pPr>
      <w:r w:rsidRPr="003E238D">
        <w:t>Trzecim najczęściej stosowanym instrumentem prawnym o charakterze środowiskowym było zastosowanie środowiskowych kryteriów oceny ofert, w tym odwołanie do efektywności energetycznej przedmiotu zamówienia (zgodnie z art. 242 ust. 2 ustawy Pzp). Pod względem wartości, zamówienia publiczne z zastosowanymi środowiskowymi kryteriami oceny ofert również zajęły trzecie miejsce. Porównując z rokiem 2021, nastąpił wzrost liczby zamówień publicznych z zastosowaniem tego aspektu środowiskowego o 101 zamówień, przy jednoczesnym znacznym wzroście wartości takich zamówień (wzrost o 3 584 190 398,13 zł bez podatku od towarów i usług).</w:t>
      </w:r>
      <w:r w:rsidR="009A02C1">
        <w:t xml:space="preserve"> </w:t>
      </w:r>
    </w:p>
    <w:p w14:paraId="7C02B7BD" w14:textId="77777777" w:rsidR="003E238D" w:rsidRPr="003E238D" w:rsidRDefault="003E238D" w:rsidP="003E238D">
      <w:pPr>
        <w:shd w:val="clear" w:color="auto" w:fill="FFFFFF"/>
      </w:pPr>
    </w:p>
    <w:p w14:paraId="0F4FB97C" w14:textId="1A016B50" w:rsidR="003E238D" w:rsidRPr="003E238D" w:rsidRDefault="003E238D" w:rsidP="003E238D">
      <w:pPr>
        <w:shd w:val="clear" w:color="auto" w:fill="FFFFFF"/>
      </w:pPr>
      <w:r w:rsidRPr="003E238D">
        <w:t>Na czwartym miejscu pod względem liczby zastosowań w postępowaniach o udzielenie zamówienia publicznego znalazło się odwołanie do wymagań odpowiednich systemów lub norm zarządzania środowiskowego w ramach warunków udziału w postępowaniu (również czwarte miejsce pod względem wartości zielonych zamówień publicznych). Pomimo zmniejszenia o 38 liczby zamówień z zastosowaniem takiego aspektu w porównaniu z rokiem poprzedzającym, ich wartość wzrosła o 676 196 181,13 zł (bez podatku od towarów i usług).</w:t>
      </w:r>
      <w:r w:rsidR="009A02C1">
        <w:t xml:space="preserve"> </w:t>
      </w:r>
    </w:p>
    <w:p w14:paraId="008B8C36" w14:textId="77777777" w:rsidR="003E238D" w:rsidRPr="003E238D" w:rsidRDefault="003E238D" w:rsidP="003E238D">
      <w:pPr>
        <w:shd w:val="clear" w:color="auto" w:fill="FFFFFF"/>
      </w:pPr>
    </w:p>
    <w:p w14:paraId="048EB602" w14:textId="072A16B7" w:rsidR="003E238D" w:rsidRPr="003E238D" w:rsidRDefault="003E238D" w:rsidP="003E238D">
      <w:pPr>
        <w:shd w:val="clear" w:color="auto" w:fill="FFFFFF"/>
        <w:rPr>
          <w:b/>
        </w:rPr>
      </w:pPr>
      <w:r w:rsidRPr="003E238D">
        <w:t xml:space="preserve">Kolejne miejsce pod względem liczby i wartości zielonych zamówień zajęły zamówienia, w których określono </w:t>
      </w:r>
      <w:r w:rsidRPr="003E238D">
        <w:rPr>
          <w:bCs/>
        </w:rPr>
        <w:t>etykietę związaną z aspektami środowiskowymi albo inny przedmiotowy środek dowodowy z art. 104 ustawy Pzp.</w:t>
      </w:r>
      <w:r w:rsidRPr="003E238D">
        <w:rPr>
          <w:b/>
        </w:rPr>
        <w:t xml:space="preserve"> </w:t>
      </w:r>
      <w:r w:rsidRPr="003E238D">
        <w:rPr>
          <w:bCs/>
        </w:rPr>
        <w:t xml:space="preserve">O ile w przypadku liczby zamówień z zastosowanymi etykietami środowiskowymi odnotowany został wzrost o 4 zamówienia w porównaniu z rokiem 2021, o tyle wartość takich zamówień w 2022 r. wzrosła o 54 755 518,17 zł </w:t>
      </w:r>
      <w:r w:rsidRPr="003E238D">
        <w:t>(bez podatku od towarów i usług).</w:t>
      </w:r>
      <w:r w:rsidR="009A02C1">
        <w:t xml:space="preserve"> </w:t>
      </w:r>
    </w:p>
    <w:p w14:paraId="71E91BA7" w14:textId="77777777" w:rsidR="003E238D" w:rsidRPr="003E238D" w:rsidRDefault="003E238D" w:rsidP="003E238D">
      <w:pPr>
        <w:shd w:val="clear" w:color="auto" w:fill="FFFFFF"/>
      </w:pPr>
    </w:p>
    <w:p w14:paraId="16D6D276" w14:textId="6DD4724F" w:rsidR="003E238D" w:rsidRPr="003E238D" w:rsidRDefault="003E238D" w:rsidP="003E238D">
      <w:pPr>
        <w:shd w:val="clear" w:color="auto" w:fill="FFFFFF"/>
        <w:rPr>
          <w:b/>
        </w:rPr>
      </w:pPr>
      <w:r w:rsidRPr="003E238D">
        <w:t xml:space="preserve">Niezmiennie, najrzadziej stosowanym aspektem środowiskowym pozostaje kryterium kosztu, które pozwala na wykorzystanie rachunku kosztów cyklu życia. Jedynie w 29 zamówieniach udzielonych w 2022 r. zastosowano takie kryterium oceny ofert. Przy spadku liczby zamówień z tym aspektem środowiskowym (o 3 zamówienia w porównaniu z rokiem 2021), odnotowany został również spadek ich wartości o 29 292 441,45 </w:t>
      </w:r>
      <w:r w:rsidRPr="003E238D">
        <w:rPr>
          <w:bCs/>
        </w:rPr>
        <w:t xml:space="preserve">zł </w:t>
      </w:r>
      <w:r w:rsidRPr="003E238D">
        <w:t>(bez podatku od towarów i usług).</w:t>
      </w:r>
      <w:r w:rsidR="009A02C1">
        <w:t xml:space="preserve"> </w:t>
      </w:r>
    </w:p>
    <w:p w14:paraId="4653A2F9" w14:textId="1BAC341C" w:rsidR="00245B26" w:rsidRDefault="00245B26" w:rsidP="00245B26">
      <w:pPr>
        <w:shd w:val="clear" w:color="auto" w:fill="FFFFFF"/>
        <w:rPr>
          <w:szCs w:val="22"/>
        </w:rPr>
      </w:pPr>
    </w:p>
    <w:p w14:paraId="3857CB4C" w14:textId="5EF741A8" w:rsidR="00257BDC" w:rsidRPr="00257BDC" w:rsidRDefault="00257BDC" w:rsidP="000C4AC8">
      <w:pPr>
        <w:pStyle w:val="Legenda"/>
      </w:pPr>
      <w:bookmarkStart w:id="138" w:name="_Toc141276494"/>
      <w:r w:rsidRPr="003E365B">
        <w:t xml:space="preserve">Rys. </w:t>
      </w:r>
      <w:r w:rsidR="00BE2079">
        <w:fldChar w:fldCharType="begin"/>
      </w:r>
      <w:r w:rsidR="00BE2079">
        <w:instrText xml:space="preserve"> SEQ Rys. \* ARABIC </w:instrText>
      </w:r>
      <w:r w:rsidR="00BE2079">
        <w:fldChar w:fldCharType="separate"/>
      </w:r>
      <w:r w:rsidR="00A43C68">
        <w:rPr>
          <w:noProof/>
        </w:rPr>
        <w:t>16</w:t>
      </w:r>
      <w:r w:rsidR="00BE2079">
        <w:rPr>
          <w:noProof/>
        </w:rPr>
        <w:fldChar w:fldCharType="end"/>
      </w:r>
      <w:r w:rsidRPr="003E365B">
        <w:t>. Liczba zamówień, w których zastosowano odpowiednie aspekty środowiskowe</w:t>
      </w:r>
      <w:bookmarkEnd w:id="138"/>
    </w:p>
    <w:p w14:paraId="13594801" w14:textId="00ADBFCF" w:rsidR="00257BDC" w:rsidRDefault="003E365B" w:rsidP="00245B26">
      <w:pPr>
        <w:shd w:val="clear" w:color="auto" w:fill="FFFFFF"/>
        <w:rPr>
          <w:szCs w:val="22"/>
        </w:rPr>
      </w:pPr>
      <w:r>
        <w:rPr>
          <w:noProof/>
        </w:rPr>
        <w:drawing>
          <wp:inline distT="0" distB="0" distL="0" distR="0" wp14:anchorId="24A41AB4" wp14:editId="7C804A37">
            <wp:extent cx="5593080" cy="6179820"/>
            <wp:effectExtent l="0" t="0" r="7620" b="11430"/>
            <wp:docPr id="568686402" name="Wykres 1">
              <a:extLst xmlns:a="http://schemas.openxmlformats.org/drawingml/2006/main">
                <a:ext uri="{FF2B5EF4-FFF2-40B4-BE49-F238E27FC236}">
                  <a16:creationId xmlns:a16="http://schemas.microsoft.com/office/drawing/2014/main" id="{DBC1DFB2-D1EC-CA09-7F0D-A1E421458C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5F11928" w14:textId="4E41F83C" w:rsidR="00257BDC" w:rsidRDefault="00257BDC" w:rsidP="00245B26">
      <w:pPr>
        <w:shd w:val="clear" w:color="auto" w:fill="FFFFFF"/>
        <w:rPr>
          <w:szCs w:val="22"/>
        </w:rPr>
      </w:pPr>
    </w:p>
    <w:p w14:paraId="53DCFF25" w14:textId="6792E052" w:rsidR="00A81BDE" w:rsidRDefault="00A81BDE" w:rsidP="00245B26">
      <w:pPr>
        <w:shd w:val="clear" w:color="auto" w:fill="FFFFFF"/>
        <w:rPr>
          <w:szCs w:val="22"/>
        </w:rPr>
      </w:pPr>
    </w:p>
    <w:p w14:paraId="3724D11E" w14:textId="3433BC15" w:rsidR="00A81BDE" w:rsidRPr="00257BDC" w:rsidRDefault="00A81BDE" w:rsidP="000C4AC8">
      <w:pPr>
        <w:pStyle w:val="Legenda"/>
      </w:pPr>
      <w:bookmarkStart w:id="139" w:name="_Toc141276495"/>
      <w:r w:rsidRPr="003E365B">
        <w:t xml:space="preserve">Rys. </w:t>
      </w:r>
      <w:r w:rsidR="00BE2079">
        <w:fldChar w:fldCharType="begin"/>
      </w:r>
      <w:r w:rsidR="00BE2079">
        <w:instrText xml:space="preserve"> SEQ Rys. \* ARABIC </w:instrText>
      </w:r>
      <w:r w:rsidR="00BE2079">
        <w:fldChar w:fldCharType="separate"/>
      </w:r>
      <w:r w:rsidR="00A43C68">
        <w:rPr>
          <w:noProof/>
        </w:rPr>
        <w:t>17</w:t>
      </w:r>
      <w:r w:rsidR="00BE2079">
        <w:rPr>
          <w:noProof/>
        </w:rPr>
        <w:fldChar w:fldCharType="end"/>
      </w:r>
      <w:r w:rsidRPr="003E365B">
        <w:t>. Wartość zamówień, w których zastosowano odpowiednie aspekty środowiskowe</w:t>
      </w:r>
      <w:bookmarkEnd w:id="139"/>
    </w:p>
    <w:p w14:paraId="08B4A74C" w14:textId="56CC3CEA" w:rsidR="00A81BDE" w:rsidRDefault="003E365B" w:rsidP="00245B26">
      <w:pPr>
        <w:shd w:val="clear" w:color="auto" w:fill="FFFFFF"/>
        <w:rPr>
          <w:szCs w:val="22"/>
        </w:rPr>
      </w:pPr>
      <w:r>
        <w:rPr>
          <w:noProof/>
        </w:rPr>
        <w:drawing>
          <wp:inline distT="0" distB="0" distL="0" distR="0" wp14:anchorId="7449BF9C" wp14:editId="4E7CBCEC">
            <wp:extent cx="5759450" cy="5638165"/>
            <wp:effectExtent l="0" t="0" r="12700" b="635"/>
            <wp:docPr id="1023088508" name="Wykres 1">
              <a:extLst xmlns:a="http://schemas.openxmlformats.org/drawingml/2006/main">
                <a:ext uri="{FF2B5EF4-FFF2-40B4-BE49-F238E27FC236}">
                  <a16:creationId xmlns:a16="http://schemas.microsoft.com/office/drawing/2014/main" id="{1E2B0612-9622-85E7-9E6E-5E6774BC02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AD84D7A" w14:textId="6234DFC7" w:rsidR="00A81BDE" w:rsidRDefault="00A81BDE" w:rsidP="00245B26">
      <w:pPr>
        <w:shd w:val="clear" w:color="auto" w:fill="FFFFFF"/>
        <w:rPr>
          <w:szCs w:val="22"/>
        </w:rPr>
      </w:pPr>
    </w:p>
    <w:p w14:paraId="18B314A3" w14:textId="77777777" w:rsidR="00245B26" w:rsidRDefault="00245B26" w:rsidP="00245B26">
      <w:pPr>
        <w:rPr>
          <w:rFonts w:cs="Arial"/>
        </w:rPr>
      </w:pPr>
    </w:p>
    <w:p w14:paraId="292B600C" w14:textId="1AC89402" w:rsidR="00245B26" w:rsidRPr="00284073" w:rsidRDefault="00245B26" w:rsidP="00245B26">
      <w:pPr>
        <w:shd w:val="clear" w:color="auto" w:fill="FFFFFF"/>
        <w:rPr>
          <w:i/>
        </w:rPr>
      </w:pPr>
      <w:r w:rsidRPr="00284073">
        <w:rPr>
          <w:i/>
        </w:rPr>
        <w:t>Dane dotyczące zamówień, w których odwołano się do odpowiednich instrumentów środowiskowych</w:t>
      </w:r>
      <w:r w:rsidR="00F936C1">
        <w:rPr>
          <w:i/>
        </w:rPr>
        <w:t>,</w:t>
      </w:r>
      <w:r w:rsidRPr="00284073">
        <w:rPr>
          <w:i/>
        </w:rPr>
        <w:t xml:space="preserve"> przedstawiono w </w:t>
      </w:r>
      <w:hyperlink w:anchor="Zał_6" w:history="1">
        <w:r w:rsidRPr="004B0466">
          <w:rPr>
            <w:rStyle w:val="Hipercze"/>
            <w:i/>
          </w:rPr>
          <w:t xml:space="preserve">załączniku nr </w:t>
        </w:r>
        <w:r w:rsidR="004B0466" w:rsidRPr="004B0466">
          <w:rPr>
            <w:rStyle w:val="Hipercze"/>
            <w:i/>
          </w:rPr>
          <w:t>6</w:t>
        </w:r>
      </w:hyperlink>
      <w:r w:rsidRPr="00284073">
        <w:rPr>
          <w:i/>
        </w:rPr>
        <w:t xml:space="preserve"> do niniejszego Sprawozdania. </w:t>
      </w:r>
    </w:p>
    <w:p w14:paraId="0D7EFD8F" w14:textId="61A1496E" w:rsidR="00245B26" w:rsidRDefault="00245B26" w:rsidP="007B227B">
      <w:pPr>
        <w:shd w:val="clear" w:color="auto" w:fill="FFFFFF"/>
      </w:pPr>
    </w:p>
    <w:p w14:paraId="3D9AC26B" w14:textId="6745D168" w:rsidR="00FC6EB2" w:rsidRDefault="00FC6EB2" w:rsidP="00850CFD">
      <w:pPr>
        <w:rPr>
          <w:rFonts w:cs="Arial"/>
          <w:color w:val="000000"/>
        </w:rPr>
      </w:pPr>
    </w:p>
    <w:p w14:paraId="1906A263" w14:textId="42C1E510" w:rsidR="00245B26" w:rsidRPr="009F5FB2" w:rsidRDefault="00531CE9" w:rsidP="00E16264">
      <w:pPr>
        <w:pStyle w:val="StylArial11ptWyjustowany"/>
        <w:numPr>
          <w:ilvl w:val="0"/>
          <w:numId w:val="6"/>
        </w:numPr>
        <w:shd w:val="clear" w:color="auto" w:fill="FFFFFF"/>
        <w:jc w:val="left"/>
        <w:rPr>
          <w:rFonts w:cs="Arial"/>
          <w:b/>
          <w:iCs/>
          <w:color w:val="0070C0"/>
          <w:szCs w:val="22"/>
        </w:rPr>
      </w:pPr>
      <w:r w:rsidRPr="009F5FB2">
        <w:rPr>
          <w:rFonts w:cs="Arial"/>
          <w:b/>
          <w:iCs/>
          <w:color w:val="0070C0"/>
          <w:szCs w:val="22"/>
        </w:rPr>
        <w:t xml:space="preserve">Innowacyjne </w:t>
      </w:r>
      <w:r w:rsidR="00245B26" w:rsidRPr="009F5FB2">
        <w:rPr>
          <w:rFonts w:cs="Arial"/>
          <w:b/>
          <w:iCs/>
          <w:color w:val="0070C0"/>
          <w:szCs w:val="22"/>
        </w:rPr>
        <w:t>zamówienia publiczne</w:t>
      </w:r>
    </w:p>
    <w:p w14:paraId="45DD325E" w14:textId="007D7052" w:rsidR="00AF18F1" w:rsidRDefault="00AF18F1" w:rsidP="00850CFD">
      <w:pPr>
        <w:rPr>
          <w:rFonts w:cs="Arial"/>
          <w:color w:val="000000"/>
        </w:rPr>
      </w:pPr>
    </w:p>
    <w:p w14:paraId="7C1D3467" w14:textId="55CDAE7B" w:rsidR="00233622" w:rsidRPr="00233622" w:rsidRDefault="00233622" w:rsidP="00233622">
      <w:pPr>
        <w:shd w:val="clear" w:color="auto" w:fill="FFFFFF"/>
      </w:pPr>
      <w:r w:rsidRPr="00233622">
        <w:t xml:space="preserve">W 2022 r. 41 zamawiających udzieliło 160 zamówień publicznych uwzględniających aspekty innowacyjne o łącznej wartości 4 912 077 531,60 zł (bez podatku od towarów i usług). W porównaniu z rokiem 2021, oznacza to wzrost liczby zamówień innowacyjnych o 48 zamówienia przy jednoczesnym znacznym wzroście ich wartości (o 4 028 396 588,72 zł bez podatku od towarów i usług). Spadkowi uległa z kolei liczba zamawiających udzielających </w:t>
      </w:r>
      <w:r w:rsidRPr="009F5FB2">
        <w:t>takich zamówień (z 50 zamawiających w roku 2021, do 41 w roku 2022). Udział innowacyjnych zamówień w ogólnej liczbie udzielonych</w:t>
      </w:r>
      <w:r w:rsidR="009A02C1">
        <w:t xml:space="preserve"> </w:t>
      </w:r>
      <w:r w:rsidRPr="009F5FB2">
        <w:t xml:space="preserve">w 2022 r. zamówień publicznych wyniósł </w:t>
      </w:r>
      <w:r w:rsidR="00D30177" w:rsidRPr="009F5FB2">
        <w:t>0,11%</w:t>
      </w:r>
      <w:r w:rsidRPr="009F5FB2">
        <w:t xml:space="preserve"> podczas gdy ich wartość stanowiła </w:t>
      </w:r>
      <w:r w:rsidR="00D30177" w:rsidRPr="009F5FB2">
        <w:t>1,79%</w:t>
      </w:r>
      <w:r w:rsidRPr="009F5FB2">
        <w:t xml:space="preserve"> łącznej wartości udzielonych zamówień publicznych.</w:t>
      </w:r>
    </w:p>
    <w:p w14:paraId="1D1E184F" w14:textId="77777777" w:rsidR="00302BA1" w:rsidRPr="00A7784D" w:rsidRDefault="00302BA1" w:rsidP="00193A47">
      <w:pPr>
        <w:shd w:val="clear" w:color="auto" w:fill="FFFFFF"/>
      </w:pPr>
    </w:p>
    <w:p w14:paraId="6576ABD7" w14:textId="3A10698D" w:rsidR="00193A47" w:rsidRPr="00284073" w:rsidRDefault="00193A47" w:rsidP="00193A47">
      <w:pPr>
        <w:pStyle w:val="Legenda"/>
      </w:pPr>
      <w:bookmarkStart w:id="140" w:name="_Toc141276547"/>
      <w:r w:rsidRPr="00D30177">
        <w:t xml:space="preserve">Tab. </w:t>
      </w:r>
      <w:r w:rsidR="00BE2079">
        <w:fldChar w:fldCharType="begin"/>
      </w:r>
      <w:r w:rsidR="00BE2079">
        <w:instrText xml:space="preserve"> SEQ Tab. \* ARABIC </w:instrText>
      </w:r>
      <w:r w:rsidR="00BE2079">
        <w:fldChar w:fldCharType="separate"/>
      </w:r>
      <w:r w:rsidR="00A43C68">
        <w:rPr>
          <w:noProof/>
        </w:rPr>
        <w:t>40</w:t>
      </w:r>
      <w:r w:rsidR="00BE2079">
        <w:rPr>
          <w:noProof/>
        </w:rPr>
        <w:fldChar w:fldCharType="end"/>
      </w:r>
      <w:r w:rsidRPr="00D30177">
        <w:t>. Innowacyjne zamówienia publiczne w 202</w:t>
      </w:r>
      <w:r w:rsidR="001F7380" w:rsidRPr="00D30177">
        <w:t>2</w:t>
      </w:r>
      <w:r w:rsidRPr="00D30177">
        <w:t xml:space="preserve"> r.</w:t>
      </w:r>
      <w:r w:rsidR="00703F94">
        <w:t xml:space="preserve"> </w:t>
      </w:r>
      <w:r w:rsidRPr="00D30177">
        <w:t>– dane ogólne</w:t>
      </w:r>
      <w:bookmarkEnd w:id="14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193A47" w:rsidRPr="00284073" w14:paraId="5CD33D23" w14:textId="77777777" w:rsidTr="00EF57A8">
        <w:trPr>
          <w:trHeight w:val="300"/>
          <w:tblHeader/>
          <w:jc w:val="center"/>
        </w:trPr>
        <w:tc>
          <w:tcPr>
            <w:tcW w:w="9062" w:type="dxa"/>
            <w:gridSpan w:val="2"/>
            <w:shd w:val="clear" w:color="auto" w:fill="FFD966" w:themeFill="accent4" w:themeFillTint="99"/>
            <w:noWrap/>
            <w:vAlign w:val="center"/>
            <w:hideMark/>
          </w:tcPr>
          <w:p w14:paraId="4201DEF5" w14:textId="77777777" w:rsidR="00193A47" w:rsidRPr="00284073" w:rsidRDefault="00193A47" w:rsidP="00EF57A8">
            <w:pPr>
              <w:jc w:val="center"/>
              <w:rPr>
                <w:rFonts w:cs="Arial"/>
                <w:b/>
                <w:sz w:val="20"/>
                <w:szCs w:val="20"/>
              </w:rPr>
            </w:pPr>
            <w:r w:rsidRPr="00284073">
              <w:rPr>
                <w:rFonts w:cs="Arial"/>
                <w:b/>
                <w:sz w:val="20"/>
                <w:szCs w:val="20"/>
              </w:rPr>
              <w:t>DANE OGÓLNE</w:t>
            </w:r>
          </w:p>
        </w:tc>
      </w:tr>
      <w:tr w:rsidR="00E40B4E" w:rsidRPr="00284073" w14:paraId="12385EDB" w14:textId="77777777" w:rsidTr="00EF57A8">
        <w:trPr>
          <w:trHeight w:val="300"/>
          <w:jc w:val="center"/>
        </w:trPr>
        <w:tc>
          <w:tcPr>
            <w:tcW w:w="6941" w:type="dxa"/>
            <w:shd w:val="clear" w:color="auto" w:fill="auto"/>
            <w:noWrap/>
            <w:vAlign w:val="center"/>
            <w:hideMark/>
          </w:tcPr>
          <w:p w14:paraId="2EDD4347" w14:textId="77777777" w:rsidR="00E40B4E" w:rsidRPr="00284073" w:rsidRDefault="00E40B4E" w:rsidP="00E40B4E">
            <w:pPr>
              <w:rPr>
                <w:rFonts w:cs="Arial"/>
                <w:bCs/>
                <w:sz w:val="20"/>
                <w:szCs w:val="20"/>
              </w:rPr>
            </w:pPr>
            <w:r w:rsidRPr="00284073">
              <w:rPr>
                <w:rFonts w:cs="Arial"/>
                <w:bCs/>
                <w:sz w:val="20"/>
                <w:szCs w:val="20"/>
              </w:rPr>
              <w:t xml:space="preserve">Liczba zamawiających, którzy udzielili zamówień publicznych o charakterze innowacyjnym </w:t>
            </w:r>
          </w:p>
        </w:tc>
        <w:tc>
          <w:tcPr>
            <w:tcW w:w="2121" w:type="dxa"/>
            <w:shd w:val="clear" w:color="auto" w:fill="auto"/>
            <w:noWrap/>
            <w:vAlign w:val="center"/>
          </w:tcPr>
          <w:p w14:paraId="796AD348" w14:textId="76D43289" w:rsidR="00E40B4E" w:rsidRPr="00284073" w:rsidRDefault="00E40B4E" w:rsidP="00E40B4E">
            <w:pPr>
              <w:jc w:val="center"/>
              <w:rPr>
                <w:rFonts w:cs="Arial"/>
                <w:sz w:val="20"/>
                <w:szCs w:val="20"/>
              </w:rPr>
            </w:pPr>
            <w:r>
              <w:rPr>
                <w:rFonts w:cs="Arial"/>
                <w:sz w:val="20"/>
                <w:szCs w:val="20"/>
              </w:rPr>
              <w:t>41</w:t>
            </w:r>
          </w:p>
        </w:tc>
      </w:tr>
      <w:tr w:rsidR="00E40B4E" w:rsidRPr="00284073" w14:paraId="5A09F050" w14:textId="77777777" w:rsidTr="00EF57A8">
        <w:trPr>
          <w:trHeight w:val="300"/>
          <w:jc w:val="center"/>
        </w:trPr>
        <w:tc>
          <w:tcPr>
            <w:tcW w:w="6941" w:type="dxa"/>
            <w:shd w:val="clear" w:color="auto" w:fill="FFF2CC" w:themeFill="accent4" w:themeFillTint="33"/>
            <w:noWrap/>
            <w:vAlign w:val="center"/>
          </w:tcPr>
          <w:p w14:paraId="179BA80A" w14:textId="77777777" w:rsidR="00E40B4E" w:rsidRPr="00284073" w:rsidRDefault="00E40B4E" w:rsidP="00E40B4E">
            <w:pPr>
              <w:rPr>
                <w:rFonts w:cs="Arial"/>
                <w:bCs/>
                <w:sz w:val="20"/>
                <w:szCs w:val="20"/>
              </w:rPr>
            </w:pPr>
            <w:r w:rsidRPr="00284073">
              <w:rPr>
                <w:rFonts w:cs="Arial"/>
                <w:bCs/>
                <w:sz w:val="20"/>
                <w:szCs w:val="20"/>
              </w:rPr>
              <w:t xml:space="preserve">Liczba </w:t>
            </w:r>
            <w:r w:rsidRPr="00284073">
              <w:rPr>
                <w:rFonts w:cs="Arial"/>
                <w:sz w:val="20"/>
                <w:szCs w:val="20"/>
              </w:rPr>
              <w:t xml:space="preserve">udzielonych zamówień uwzględniających aspekty </w:t>
            </w:r>
            <w:r w:rsidRPr="00284073">
              <w:rPr>
                <w:rFonts w:cs="Arial"/>
                <w:bCs/>
                <w:sz w:val="20"/>
                <w:szCs w:val="20"/>
              </w:rPr>
              <w:t>innowacyjne</w:t>
            </w:r>
          </w:p>
        </w:tc>
        <w:tc>
          <w:tcPr>
            <w:tcW w:w="2121" w:type="dxa"/>
            <w:shd w:val="clear" w:color="auto" w:fill="FFF2CC" w:themeFill="accent4" w:themeFillTint="33"/>
            <w:noWrap/>
            <w:vAlign w:val="center"/>
          </w:tcPr>
          <w:p w14:paraId="498A4F1D" w14:textId="30A814F8" w:rsidR="00E40B4E" w:rsidRPr="00284073" w:rsidRDefault="00E40B4E" w:rsidP="00E40B4E">
            <w:pPr>
              <w:jc w:val="center"/>
              <w:rPr>
                <w:rFonts w:cs="Arial"/>
                <w:sz w:val="20"/>
                <w:szCs w:val="20"/>
              </w:rPr>
            </w:pPr>
            <w:r>
              <w:rPr>
                <w:rFonts w:cs="Arial"/>
                <w:sz w:val="20"/>
                <w:szCs w:val="20"/>
              </w:rPr>
              <w:t>160</w:t>
            </w:r>
          </w:p>
        </w:tc>
      </w:tr>
      <w:tr w:rsidR="00E40B4E" w:rsidRPr="00284073" w14:paraId="416D05F2" w14:textId="77777777" w:rsidTr="00EF57A8">
        <w:trPr>
          <w:trHeight w:val="300"/>
          <w:jc w:val="center"/>
        </w:trPr>
        <w:tc>
          <w:tcPr>
            <w:tcW w:w="6941" w:type="dxa"/>
            <w:shd w:val="clear" w:color="auto" w:fill="auto"/>
            <w:noWrap/>
            <w:vAlign w:val="center"/>
            <w:hideMark/>
          </w:tcPr>
          <w:p w14:paraId="4A5512AA" w14:textId="77777777" w:rsidR="00E40B4E" w:rsidRPr="00284073" w:rsidRDefault="00E40B4E" w:rsidP="00E40B4E">
            <w:pPr>
              <w:rPr>
                <w:rFonts w:cs="Arial"/>
                <w:bCs/>
                <w:sz w:val="20"/>
                <w:szCs w:val="20"/>
              </w:rPr>
            </w:pPr>
            <w:r w:rsidRPr="00284073">
              <w:rPr>
                <w:rFonts w:cs="Arial"/>
                <w:bCs/>
                <w:sz w:val="20"/>
                <w:szCs w:val="20"/>
              </w:rPr>
              <w:t xml:space="preserve">Wartość </w:t>
            </w:r>
            <w:r w:rsidRPr="00284073">
              <w:rPr>
                <w:rFonts w:cs="Arial"/>
                <w:sz w:val="20"/>
                <w:szCs w:val="20"/>
              </w:rPr>
              <w:t xml:space="preserve">udzielonych zamówień uwzględniających aspekty </w:t>
            </w:r>
            <w:r w:rsidRPr="00284073">
              <w:rPr>
                <w:rFonts w:cs="Arial"/>
                <w:bCs/>
                <w:sz w:val="20"/>
                <w:szCs w:val="20"/>
              </w:rPr>
              <w:t>innowacyjne</w:t>
            </w:r>
          </w:p>
        </w:tc>
        <w:tc>
          <w:tcPr>
            <w:tcW w:w="2121" w:type="dxa"/>
            <w:shd w:val="clear" w:color="auto" w:fill="auto"/>
            <w:noWrap/>
            <w:vAlign w:val="center"/>
            <w:hideMark/>
          </w:tcPr>
          <w:p w14:paraId="1CE02C26" w14:textId="77777777" w:rsidR="00E40B4E" w:rsidRDefault="00E40B4E" w:rsidP="00E40B4E">
            <w:pPr>
              <w:jc w:val="center"/>
              <w:rPr>
                <w:rFonts w:cs="Arial"/>
                <w:sz w:val="20"/>
                <w:szCs w:val="20"/>
              </w:rPr>
            </w:pPr>
            <w:r w:rsidRPr="003F6268">
              <w:rPr>
                <w:rFonts w:cs="Arial"/>
                <w:sz w:val="20"/>
                <w:szCs w:val="20"/>
              </w:rPr>
              <w:t>4 912 077 531,60 zł</w:t>
            </w:r>
          </w:p>
          <w:p w14:paraId="43377414" w14:textId="5F0A7270" w:rsidR="00E40B4E" w:rsidRPr="00284073" w:rsidRDefault="00E40B4E" w:rsidP="00E40B4E">
            <w:pPr>
              <w:jc w:val="center"/>
              <w:rPr>
                <w:rFonts w:cs="Arial"/>
                <w:sz w:val="20"/>
                <w:szCs w:val="20"/>
              </w:rPr>
            </w:pPr>
            <w:r w:rsidRPr="00FD623C">
              <w:rPr>
                <w:rFonts w:cs="Arial"/>
                <w:sz w:val="20"/>
                <w:szCs w:val="20"/>
              </w:rPr>
              <w:t>(wartość bez VAT)</w:t>
            </w:r>
          </w:p>
        </w:tc>
      </w:tr>
      <w:tr w:rsidR="00193A47" w:rsidRPr="00284073" w14:paraId="29793D0E"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9F739" w14:textId="77777777" w:rsidR="00193A47" w:rsidRPr="00284073" w:rsidRDefault="00193A47" w:rsidP="00EF57A8">
            <w:pPr>
              <w:jc w:val="center"/>
              <w:rPr>
                <w:rFonts w:cs="Arial"/>
                <w:b/>
                <w:bCs/>
                <w:sz w:val="20"/>
                <w:szCs w:val="20"/>
              </w:rPr>
            </w:pPr>
            <w:r w:rsidRPr="00284073">
              <w:rPr>
                <w:rFonts w:cs="Arial"/>
                <w:b/>
                <w:bCs/>
                <w:sz w:val="20"/>
                <w:szCs w:val="20"/>
              </w:rPr>
              <w:t>ŁĄCZNIE</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E052B" w14:textId="77777777" w:rsidR="00193A47" w:rsidRPr="00284073" w:rsidRDefault="00193A47" w:rsidP="00EF57A8">
            <w:pPr>
              <w:jc w:val="center"/>
              <w:rPr>
                <w:rFonts w:cs="Arial"/>
                <w:sz w:val="20"/>
                <w:szCs w:val="20"/>
              </w:rPr>
            </w:pPr>
          </w:p>
        </w:tc>
      </w:tr>
      <w:tr w:rsidR="00193A47" w:rsidRPr="00D30177" w14:paraId="5BB5421B"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2B281449" w14:textId="77777777" w:rsidR="00193A47" w:rsidRPr="00D30177" w:rsidRDefault="00193A47" w:rsidP="00EF57A8">
            <w:pPr>
              <w:rPr>
                <w:rFonts w:cs="Arial"/>
                <w:bCs/>
                <w:sz w:val="20"/>
                <w:szCs w:val="20"/>
              </w:rPr>
            </w:pPr>
            <w:r w:rsidRPr="00D30177">
              <w:rPr>
                <w:rFonts w:cs="Arial"/>
                <w:bCs/>
                <w:sz w:val="20"/>
                <w:szCs w:val="20"/>
              </w:rPr>
              <w:t>Udział innowacyjnych zamówień publicznych w ogólnej liczbie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3B9EF1F6" w14:textId="7F645ED7" w:rsidR="00193A47" w:rsidRPr="00D30177" w:rsidRDefault="00D30177" w:rsidP="00EF57A8">
            <w:pPr>
              <w:jc w:val="center"/>
              <w:rPr>
                <w:rFonts w:cs="Arial"/>
                <w:sz w:val="20"/>
                <w:szCs w:val="20"/>
              </w:rPr>
            </w:pPr>
            <w:r w:rsidRPr="00D30177">
              <w:rPr>
                <w:rFonts w:cs="Arial"/>
                <w:sz w:val="20"/>
                <w:szCs w:val="20"/>
              </w:rPr>
              <w:t>0,11%</w:t>
            </w:r>
          </w:p>
        </w:tc>
      </w:tr>
      <w:tr w:rsidR="00193A47" w:rsidRPr="00284073" w14:paraId="155732F6" w14:textId="77777777" w:rsidTr="00EF57A8">
        <w:trPr>
          <w:trHeight w:val="300"/>
          <w:jc w:val="center"/>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5FA8C" w14:textId="77777777" w:rsidR="00193A47" w:rsidRPr="00D30177" w:rsidRDefault="00193A47" w:rsidP="00EF57A8">
            <w:pPr>
              <w:rPr>
                <w:rFonts w:cs="Arial"/>
                <w:bCs/>
                <w:sz w:val="20"/>
                <w:szCs w:val="20"/>
              </w:rPr>
            </w:pPr>
            <w:r w:rsidRPr="00D30177">
              <w:rPr>
                <w:rFonts w:cs="Arial"/>
                <w:bCs/>
                <w:sz w:val="20"/>
                <w:szCs w:val="20"/>
              </w:rPr>
              <w:t>Udział innowacyjnych zamówień publicznych w ogólnej wartości udzielonych zamówień publicznych</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9A68D" w14:textId="3A14FBD6" w:rsidR="00193A47" w:rsidRPr="00284073" w:rsidRDefault="00D30177" w:rsidP="00EF57A8">
            <w:pPr>
              <w:jc w:val="center"/>
              <w:rPr>
                <w:rFonts w:cs="Arial"/>
                <w:sz w:val="20"/>
                <w:szCs w:val="20"/>
              </w:rPr>
            </w:pPr>
            <w:r w:rsidRPr="00D30177">
              <w:rPr>
                <w:rFonts w:cs="Arial"/>
                <w:sz w:val="20"/>
                <w:szCs w:val="20"/>
              </w:rPr>
              <w:t>1,79%</w:t>
            </w:r>
          </w:p>
        </w:tc>
      </w:tr>
    </w:tbl>
    <w:p w14:paraId="4D4AC2A3" w14:textId="77777777" w:rsidR="00193A47" w:rsidRPr="00284073" w:rsidRDefault="00193A47" w:rsidP="00193A47">
      <w:pPr>
        <w:shd w:val="clear" w:color="auto" w:fill="FFFFFF"/>
      </w:pPr>
    </w:p>
    <w:p w14:paraId="4C95BFE3" w14:textId="77777777" w:rsidR="00534004" w:rsidRPr="00534004" w:rsidRDefault="00534004" w:rsidP="00534004">
      <w:pPr>
        <w:shd w:val="clear" w:color="auto" w:fill="FFFFFF"/>
      </w:pPr>
    </w:p>
    <w:p w14:paraId="27EF425B" w14:textId="0D8D9A88" w:rsidR="00534004" w:rsidRDefault="00534004" w:rsidP="00534004">
      <w:pPr>
        <w:shd w:val="clear" w:color="auto" w:fill="FFFFFF"/>
      </w:pPr>
      <w:r w:rsidRPr="00534004">
        <w:t xml:space="preserve">Instrumenty o charakterze innowacyjnym w największej liczbie przypadków stosowano w zamówieniach na usługi, analogicznie jak w latach ubiegłych. W tego rodzaju zamówieniach najczęściej stosowano </w:t>
      </w:r>
      <w:r w:rsidRPr="00534004">
        <w:rPr>
          <w:bCs/>
        </w:rPr>
        <w:t xml:space="preserve">kryteria oceny ofert odnoszące się </w:t>
      </w:r>
      <w:r w:rsidR="00777C19">
        <w:rPr>
          <w:bCs/>
        </w:rPr>
        <w:t xml:space="preserve">do </w:t>
      </w:r>
      <w:r w:rsidRPr="00534004">
        <w:rPr>
          <w:bCs/>
        </w:rPr>
        <w:t>aspektów innowacyjnych.</w:t>
      </w:r>
      <w:r w:rsidRPr="00534004">
        <w:rPr>
          <w:b/>
        </w:rPr>
        <w:t xml:space="preserve"> </w:t>
      </w:r>
      <w:r w:rsidRPr="00534004">
        <w:t xml:space="preserve">W przypadku zamówień na dostawy również w największej liczbie przypadków stosowano </w:t>
      </w:r>
      <w:r w:rsidRPr="00534004">
        <w:rPr>
          <w:bCs/>
        </w:rPr>
        <w:t>kryteria oceny ofert odnoszące się</w:t>
      </w:r>
      <w:r w:rsidR="00777C19">
        <w:rPr>
          <w:bCs/>
        </w:rPr>
        <w:t xml:space="preserve"> do </w:t>
      </w:r>
      <w:r w:rsidRPr="00534004">
        <w:rPr>
          <w:bCs/>
        </w:rPr>
        <w:t xml:space="preserve">aspektów innowacyjnych. </w:t>
      </w:r>
      <w:r w:rsidRPr="00534004">
        <w:t>Z kolei w robotach budowlanych do najczęściej stosowanych instrumentów o charakterze innowacyjnym należały wymagania związane z realizacją zamówienia.</w:t>
      </w:r>
      <w:r w:rsidR="009A02C1">
        <w:t xml:space="preserve"> </w:t>
      </w:r>
    </w:p>
    <w:p w14:paraId="72B13182" w14:textId="12C545BC" w:rsidR="00903780" w:rsidRDefault="00903780" w:rsidP="00534004">
      <w:pPr>
        <w:shd w:val="clear" w:color="auto" w:fill="FFFFFF"/>
      </w:pPr>
    </w:p>
    <w:p w14:paraId="26D2B857" w14:textId="2429E0F2" w:rsidR="00903780" w:rsidRPr="00534004" w:rsidRDefault="00903780" w:rsidP="00903780">
      <w:pPr>
        <w:shd w:val="clear" w:color="auto" w:fill="FFFFFF"/>
      </w:pPr>
      <w:r w:rsidRPr="00534004">
        <w:t>Poniższe tabele prezentują zestawienie szczegółowych danych dotyczących zarówno liczby</w:t>
      </w:r>
      <w:r w:rsidR="00447DF9">
        <w:t xml:space="preserve">, </w:t>
      </w:r>
      <w:r w:rsidRPr="00534004">
        <w:t>jak i wartości zamówień, w których zastosowano poszczególne instrumenty, dodatkowo w podziale na rodzaj zamówienia.</w:t>
      </w:r>
    </w:p>
    <w:p w14:paraId="4819B4B1" w14:textId="77777777" w:rsidR="00193A47" w:rsidRDefault="00193A47" w:rsidP="00193A47">
      <w:pPr>
        <w:shd w:val="clear" w:color="auto" w:fill="FFFFFF"/>
      </w:pPr>
    </w:p>
    <w:p w14:paraId="1A85E13F" w14:textId="77777777" w:rsidR="00193A47" w:rsidRPr="00424C93" w:rsidRDefault="00193A47" w:rsidP="00193A47">
      <w:pPr>
        <w:shd w:val="clear" w:color="auto" w:fill="FFFFFF"/>
        <w:ind w:left="709"/>
        <w:rPr>
          <w:b/>
          <w:color w:val="0070C0"/>
        </w:rPr>
      </w:pPr>
      <w:r w:rsidRPr="00424C93">
        <w:rPr>
          <w:b/>
          <w:color w:val="0070C0"/>
        </w:rPr>
        <w:t>Określenie w kryteriach oceny ofert aspektów innowacyjnych, o których mowa w art. 242 ust. 2 ustawy Pzp</w:t>
      </w:r>
    </w:p>
    <w:p w14:paraId="1D1EE197" w14:textId="77777777" w:rsidR="00193A47" w:rsidRPr="00284073" w:rsidRDefault="00193A47" w:rsidP="00193A47">
      <w:pPr>
        <w:shd w:val="clear" w:color="auto" w:fill="FFFFFF"/>
      </w:pPr>
    </w:p>
    <w:p w14:paraId="729C000A" w14:textId="0E24D8B5" w:rsidR="00424C93" w:rsidRPr="00284073" w:rsidRDefault="00424C93" w:rsidP="00424C93">
      <w:pPr>
        <w:pStyle w:val="Legenda"/>
      </w:pPr>
      <w:bookmarkStart w:id="141" w:name="_Toc141276548"/>
      <w:r w:rsidRPr="00534004">
        <w:t xml:space="preserve">Tab. </w:t>
      </w:r>
      <w:r w:rsidR="00BE2079">
        <w:fldChar w:fldCharType="begin"/>
      </w:r>
      <w:r w:rsidR="00BE2079">
        <w:instrText xml:space="preserve"> SEQ Tab. \* ARABIC </w:instrText>
      </w:r>
      <w:r w:rsidR="00BE2079">
        <w:fldChar w:fldCharType="separate"/>
      </w:r>
      <w:r w:rsidR="00A43C68">
        <w:rPr>
          <w:noProof/>
        </w:rPr>
        <w:t>41</w:t>
      </w:r>
      <w:r w:rsidR="00BE2079">
        <w:rPr>
          <w:noProof/>
        </w:rPr>
        <w:fldChar w:fldCharType="end"/>
      </w:r>
      <w:r w:rsidRPr="00534004">
        <w:t>. Innowacyjne zamówienia publiczne z zastosowaniem art. 242 ust. 2 ustawy Pzp</w:t>
      </w:r>
      <w:bookmarkEnd w:id="14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607C3" w:rsidRPr="00284073" w14:paraId="79393CBA" w14:textId="77777777" w:rsidTr="000607C3">
        <w:trPr>
          <w:trHeight w:val="300"/>
          <w:jc w:val="center"/>
        </w:trPr>
        <w:tc>
          <w:tcPr>
            <w:tcW w:w="6941" w:type="dxa"/>
            <w:shd w:val="clear" w:color="auto" w:fill="FFF2CC" w:themeFill="accent4" w:themeFillTint="33"/>
            <w:noWrap/>
            <w:vAlign w:val="center"/>
          </w:tcPr>
          <w:p w14:paraId="3FAB6591" w14:textId="77777777" w:rsidR="000607C3" w:rsidRPr="00284073" w:rsidRDefault="000607C3" w:rsidP="000607C3">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121" w:type="dxa"/>
            <w:shd w:val="clear" w:color="auto" w:fill="FFF2CC" w:themeFill="accent4" w:themeFillTint="33"/>
            <w:noWrap/>
            <w:vAlign w:val="center"/>
          </w:tcPr>
          <w:p w14:paraId="2D643B07" w14:textId="383E97B9" w:rsidR="000607C3" w:rsidRPr="00284073" w:rsidRDefault="000607C3" w:rsidP="000607C3">
            <w:pPr>
              <w:jc w:val="center"/>
              <w:rPr>
                <w:rFonts w:cs="Arial"/>
                <w:sz w:val="20"/>
                <w:szCs w:val="20"/>
              </w:rPr>
            </w:pPr>
            <w:r w:rsidRPr="0004018F">
              <w:rPr>
                <w:rFonts w:cs="Arial"/>
                <w:sz w:val="20"/>
                <w:szCs w:val="20"/>
              </w:rPr>
              <w:t>75</w:t>
            </w:r>
          </w:p>
        </w:tc>
      </w:tr>
      <w:tr w:rsidR="000607C3" w:rsidRPr="00284073" w14:paraId="204F1333" w14:textId="77777777" w:rsidTr="000607C3">
        <w:trPr>
          <w:trHeight w:val="300"/>
          <w:jc w:val="center"/>
        </w:trPr>
        <w:tc>
          <w:tcPr>
            <w:tcW w:w="6941" w:type="dxa"/>
            <w:shd w:val="clear" w:color="auto" w:fill="auto"/>
            <w:noWrap/>
            <w:vAlign w:val="center"/>
            <w:hideMark/>
          </w:tcPr>
          <w:p w14:paraId="23DBACD3" w14:textId="77777777" w:rsidR="000607C3" w:rsidRPr="00284073" w:rsidRDefault="000607C3" w:rsidP="000607C3">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121" w:type="dxa"/>
            <w:shd w:val="clear" w:color="auto" w:fill="auto"/>
            <w:noWrap/>
            <w:vAlign w:val="center"/>
            <w:hideMark/>
          </w:tcPr>
          <w:p w14:paraId="7CAAF1A6" w14:textId="77777777" w:rsidR="000607C3" w:rsidRDefault="000607C3" w:rsidP="000607C3">
            <w:pPr>
              <w:jc w:val="center"/>
              <w:rPr>
                <w:rFonts w:cs="Arial"/>
                <w:sz w:val="20"/>
                <w:szCs w:val="20"/>
              </w:rPr>
            </w:pPr>
            <w:r w:rsidRPr="0004018F">
              <w:rPr>
                <w:rFonts w:cs="Arial"/>
                <w:sz w:val="20"/>
                <w:szCs w:val="20"/>
              </w:rPr>
              <w:t>1 253 242 009,90 zł</w:t>
            </w:r>
          </w:p>
          <w:p w14:paraId="39B643AD" w14:textId="450555FB" w:rsidR="000607C3" w:rsidRPr="00284073" w:rsidRDefault="000607C3" w:rsidP="000607C3">
            <w:pPr>
              <w:jc w:val="center"/>
              <w:rPr>
                <w:rFonts w:cs="Arial"/>
                <w:sz w:val="20"/>
                <w:szCs w:val="20"/>
              </w:rPr>
            </w:pPr>
            <w:r w:rsidRPr="00FD623C">
              <w:rPr>
                <w:rFonts w:cs="Arial"/>
                <w:sz w:val="20"/>
                <w:szCs w:val="20"/>
              </w:rPr>
              <w:t>(wartość bez VAT)</w:t>
            </w:r>
          </w:p>
        </w:tc>
      </w:tr>
    </w:tbl>
    <w:p w14:paraId="14A04CB8" w14:textId="77777777" w:rsidR="00193A47" w:rsidRPr="00284073" w:rsidRDefault="00193A47" w:rsidP="00193A4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536"/>
      </w:tblGrid>
      <w:tr w:rsidR="00193A47" w:rsidRPr="00284073" w14:paraId="261B1A0B" w14:textId="77777777" w:rsidTr="00EF57A8">
        <w:trPr>
          <w:trHeight w:val="300"/>
          <w:tblHeader/>
          <w:jc w:val="center"/>
        </w:trPr>
        <w:tc>
          <w:tcPr>
            <w:tcW w:w="2689" w:type="dxa"/>
            <w:shd w:val="clear" w:color="auto" w:fill="FFE599" w:themeFill="accent4" w:themeFillTint="66"/>
            <w:noWrap/>
            <w:vAlign w:val="center"/>
          </w:tcPr>
          <w:p w14:paraId="64ABE35E" w14:textId="77777777" w:rsidR="00193A47" w:rsidRPr="00284073" w:rsidRDefault="00193A47" w:rsidP="00EF57A8">
            <w:pPr>
              <w:jc w:val="center"/>
              <w:rPr>
                <w:rFonts w:cs="Arial"/>
                <w:b/>
                <w:sz w:val="20"/>
                <w:szCs w:val="20"/>
              </w:rPr>
            </w:pPr>
            <w:r w:rsidRPr="00284073">
              <w:rPr>
                <w:rFonts w:cs="Arial"/>
                <w:b/>
                <w:bCs/>
                <w:sz w:val="20"/>
                <w:szCs w:val="20"/>
              </w:rPr>
              <w:t>Rodzaj zamówienia</w:t>
            </w:r>
          </w:p>
        </w:tc>
        <w:tc>
          <w:tcPr>
            <w:tcW w:w="1842" w:type="dxa"/>
            <w:shd w:val="clear" w:color="auto" w:fill="FFE599" w:themeFill="accent4" w:themeFillTint="66"/>
            <w:vAlign w:val="center"/>
          </w:tcPr>
          <w:p w14:paraId="313E73A7" w14:textId="77777777" w:rsidR="00193A47" w:rsidRPr="00284073" w:rsidRDefault="00193A47" w:rsidP="00EF57A8">
            <w:pPr>
              <w:jc w:val="center"/>
              <w:rPr>
                <w:rFonts w:cs="Arial"/>
                <w:b/>
                <w:sz w:val="20"/>
                <w:szCs w:val="20"/>
              </w:rPr>
            </w:pPr>
            <w:r w:rsidRPr="00284073">
              <w:rPr>
                <w:rFonts w:cs="Arial"/>
                <w:b/>
                <w:sz w:val="20"/>
                <w:szCs w:val="20"/>
              </w:rPr>
              <w:t>Liczba</w:t>
            </w:r>
          </w:p>
        </w:tc>
        <w:tc>
          <w:tcPr>
            <w:tcW w:w="4536" w:type="dxa"/>
            <w:shd w:val="clear" w:color="auto" w:fill="FFE599" w:themeFill="accent4" w:themeFillTint="66"/>
            <w:vAlign w:val="center"/>
          </w:tcPr>
          <w:p w14:paraId="43E793BA" w14:textId="77777777" w:rsidR="00193A47" w:rsidRPr="00284073" w:rsidRDefault="00193A47" w:rsidP="00EF57A8">
            <w:pPr>
              <w:jc w:val="center"/>
              <w:rPr>
                <w:rFonts w:cs="Arial"/>
                <w:b/>
                <w:sz w:val="20"/>
                <w:szCs w:val="20"/>
              </w:rPr>
            </w:pPr>
            <w:r w:rsidRPr="00284073">
              <w:rPr>
                <w:rFonts w:cs="Arial"/>
                <w:b/>
                <w:sz w:val="20"/>
                <w:szCs w:val="20"/>
              </w:rPr>
              <w:t>Wartość (bez VAT)</w:t>
            </w:r>
          </w:p>
        </w:tc>
      </w:tr>
      <w:tr w:rsidR="000607C3" w:rsidRPr="00284073" w14:paraId="0CBC810F" w14:textId="77777777" w:rsidTr="00EF57A8">
        <w:trPr>
          <w:trHeight w:val="300"/>
          <w:jc w:val="center"/>
        </w:trPr>
        <w:tc>
          <w:tcPr>
            <w:tcW w:w="2689" w:type="dxa"/>
            <w:shd w:val="clear" w:color="auto" w:fill="auto"/>
            <w:noWrap/>
            <w:vAlign w:val="center"/>
          </w:tcPr>
          <w:p w14:paraId="78C2D8CE" w14:textId="77777777" w:rsidR="000607C3" w:rsidRPr="00284073" w:rsidRDefault="000607C3" w:rsidP="000607C3">
            <w:pPr>
              <w:jc w:val="center"/>
              <w:rPr>
                <w:rFonts w:cs="Arial"/>
                <w:bCs/>
                <w:sz w:val="20"/>
                <w:szCs w:val="20"/>
              </w:rPr>
            </w:pPr>
            <w:r w:rsidRPr="00284073">
              <w:rPr>
                <w:rFonts w:cs="Arial"/>
                <w:bCs/>
                <w:sz w:val="20"/>
                <w:szCs w:val="20"/>
              </w:rPr>
              <w:t>Dostawy</w:t>
            </w:r>
          </w:p>
        </w:tc>
        <w:tc>
          <w:tcPr>
            <w:tcW w:w="1842" w:type="dxa"/>
            <w:shd w:val="clear" w:color="auto" w:fill="auto"/>
            <w:noWrap/>
            <w:vAlign w:val="center"/>
          </w:tcPr>
          <w:p w14:paraId="66045B9B" w14:textId="2DF98C28" w:rsidR="000607C3" w:rsidRPr="00284073" w:rsidRDefault="000607C3" w:rsidP="000607C3">
            <w:pPr>
              <w:jc w:val="center"/>
              <w:rPr>
                <w:rFonts w:cs="Arial"/>
                <w:sz w:val="20"/>
                <w:szCs w:val="20"/>
              </w:rPr>
            </w:pPr>
            <w:r w:rsidRPr="00883390">
              <w:rPr>
                <w:sz w:val="20"/>
                <w:szCs w:val="20"/>
              </w:rPr>
              <w:t>23</w:t>
            </w:r>
          </w:p>
        </w:tc>
        <w:tc>
          <w:tcPr>
            <w:tcW w:w="4536" w:type="dxa"/>
            <w:shd w:val="clear" w:color="auto" w:fill="auto"/>
            <w:vAlign w:val="center"/>
          </w:tcPr>
          <w:p w14:paraId="503B446A" w14:textId="0634935A" w:rsidR="000607C3" w:rsidRPr="00284073" w:rsidRDefault="000607C3" w:rsidP="000607C3">
            <w:pPr>
              <w:jc w:val="center"/>
              <w:rPr>
                <w:rFonts w:cs="Arial"/>
                <w:sz w:val="20"/>
                <w:szCs w:val="20"/>
              </w:rPr>
            </w:pPr>
            <w:r w:rsidRPr="00883390">
              <w:rPr>
                <w:sz w:val="20"/>
                <w:szCs w:val="20"/>
              </w:rPr>
              <w:t>211 581 812,18 zł</w:t>
            </w:r>
          </w:p>
        </w:tc>
      </w:tr>
      <w:tr w:rsidR="000607C3" w:rsidRPr="00284073" w14:paraId="2D1B71A5" w14:textId="77777777" w:rsidTr="00EF57A8">
        <w:trPr>
          <w:trHeight w:val="300"/>
          <w:jc w:val="center"/>
        </w:trPr>
        <w:tc>
          <w:tcPr>
            <w:tcW w:w="2689" w:type="dxa"/>
            <w:shd w:val="clear" w:color="auto" w:fill="FFF2CC" w:themeFill="accent4" w:themeFillTint="33"/>
            <w:noWrap/>
            <w:vAlign w:val="center"/>
            <w:hideMark/>
          </w:tcPr>
          <w:p w14:paraId="36AFDB2A" w14:textId="77777777" w:rsidR="000607C3" w:rsidRPr="00284073" w:rsidRDefault="000607C3" w:rsidP="000607C3">
            <w:pPr>
              <w:jc w:val="center"/>
              <w:rPr>
                <w:rFonts w:cs="Arial"/>
                <w:bCs/>
                <w:sz w:val="20"/>
                <w:szCs w:val="20"/>
              </w:rPr>
            </w:pPr>
            <w:r w:rsidRPr="00284073">
              <w:rPr>
                <w:rFonts w:cs="Arial"/>
                <w:bCs/>
                <w:sz w:val="20"/>
                <w:szCs w:val="20"/>
              </w:rPr>
              <w:t>Roboty budowlane</w:t>
            </w:r>
          </w:p>
        </w:tc>
        <w:tc>
          <w:tcPr>
            <w:tcW w:w="1842" w:type="dxa"/>
            <w:shd w:val="clear" w:color="auto" w:fill="FFF2CC" w:themeFill="accent4" w:themeFillTint="33"/>
            <w:noWrap/>
            <w:vAlign w:val="center"/>
          </w:tcPr>
          <w:p w14:paraId="1377B560" w14:textId="334327A2" w:rsidR="000607C3" w:rsidRPr="00284073" w:rsidRDefault="000607C3" w:rsidP="000607C3">
            <w:pPr>
              <w:jc w:val="center"/>
              <w:rPr>
                <w:rFonts w:cs="Arial"/>
                <w:sz w:val="20"/>
                <w:szCs w:val="20"/>
              </w:rPr>
            </w:pPr>
            <w:r w:rsidRPr="00883390">
              <w:rPr>
                <w:sz w:val="20"/>
                <w:szCs w:val="20"/>
              </w:rPr>
              <w:t>8</w:t>
            </w:r>
          </w:p>
        </w:tc>
        <w:tc>
          <w:tcPr>
            <w:tcW w:w="4536" w:type="dxa"/>
            <w:shd w:val="clear" w:color="auto" w:fill="FFF2CC" w:themeFill="accent4" w:themeFillTint="33"/>
            <w:vAlign w:val="center"/>
          </w:tcPr>
          <w:p w14:paraId="7275D28D" w14:textId="63CC5ACB" w:rsidR="000607C3" w:rsidRPr="00284073" w:rsidRDefault="000607C3" w:rsidP="000607C3">
            <w:pPr>
              <w:jc w:val="center"/>
              <w:rPr>
                <w:rFonts w:cs="Arial"/>
                <w:sz w:val="20"/>
                <w:szCs w:val="20"/>
              </w:rPr>
            </w:pPr>
            <w:r w:rsidRPr="00883390">
              <w:rPr>
                <w:sz w:val="20"/>
                <w:szCs w:val="20"/>
              </w:rPr>
              <w:t>126 388 970,28 zł</w:t>
            </w:r>
          </w:p>
        </w:tc>
      </w:tr>
      <w:tr w:rsidR="000607C3" w:rsidRPr="00284073" w14:paraId="04CE51B9" w14:textId="77777777" w:rsidTr="00EF57A8">
        <w:trPr>
          <w:trHeight w:val="300"/>
          <w:jc w:val="center"/>
        </w:trPr>
        <w:tc>
          <w:tcPr>
            <w:tcW w:w="2689" w:type="dxa"/>
            <w:shd w:val="clear" w:color="auto" w:fill="auto"/>
            <w:noWrap/>
            <w:vAlign w:val="center"/>
          </w:tcPr>
          <w:p w14:paraId="10E39BB0" w14:textId="77777777" w:rsidR="000607C3" w:rsidRPr="00284073" w:rsidRDefault="000607C3" w:rsidP="000607C3">
            <w:pPr>
              <w:jc w:val="center"/>
              <w:rPr>
                <w:rFonts w:cs="Arial"/>
                <w:bCs/>
                <w:sz w:val="20"/>
                <w:szCs w:val="20"/>
              </w:rPr>
            </w:pPr>
            <w:r w:rsidRPr="00284073">
              <w:rPr>
                <w:rFonts w:cs="Arial"/>
                <w:bCs/>
                <w:sz w:val="20"/>
                <w:szCs w:val="20"/>
              </w:rPr>
              <w:t>Usługi</w:t>
            </w:r>
          </w:p>
        </w:tc>
        <w:tc>
          <w:tcPr>
            <w:tcW w:w="1842" w:type="dxa"/>
            <w:shd w:val="clear" w:color="auto" w:fill="auto"/>
            <w:noWrap/>
            <w:vAlign w:val="center"/>
          </w:tcPr>
          <w:p w14:paraId="06D87320" w14:textId="4A4535E4" w:rsidR="000607C3" w:rsidRPr="00284073" w:rsidRDefault="000607C3" w:rsidP="000607C3">
            <w:pPr>
              <w:jc w:val="center"/>
              <w:rPr>
                <w:rFonts w:cs="Arial"/>
                <w:sz w:val="20"/>
                <w:szCs w:val="20"/>
              </w:rPr>
            </w:pPr>
            <w:r w:rsidRPr="00883390">
              <w:rPr>
                <w:sz w:val="20"/>
                <w:szCs w:val="20"/>
              </w:rPr>
              <w:t>44</w:t>
            </w:r>
          </w:p>
        </w:tc>
        <w:tc>
          <w:tcPr>
            <w:tcW w:w="4536" w:type="dxa"/>
            <w:shd w:val="clear" w:color="auto" w:fill="auto"/>
            <w:vAlign w:val="center"/>
          </w:tcPr>
          <w:p w14:paraId="38C55157" w14:textId="69A39EC8" w:rsidR="000607C3" w:rsidRPr="00284073" w:rsidRDefault="000607C3" w:rsidP="000607C3">
            <w:pPr>
              <w:jc w:val="center"/>
              <w:rPr>
                <w:rFonts w:cs="Arial"/>
                <w:sz w:val="20"/>
                <w:szCs w:val="20"/>
              </w:rPr>
            </w:pPr>
            <w:r w:rsidRPr="00883390">
              <w:rPr>
                <w:sz w:val="20"/>
                <w:szCs w:val="20"/>
              </w:rPr>
              <w:t>915 271 227,44 zł</w:t>
            </w:r>
          </w:p>
        </w:tc>
      </w:tr>
    </w:tbl>
    <w:p w14:paraId="7A21D4E2" w14:textId="5A575E7B" w:rsidR="00193A47" w:rsidRDefault="00193A47" w:rsidP="00193A47">
      <w:pPr>
        <w:shd w:val="clear" w:color="auto" w:fill="FFFFFF"/>
      </w:pPr>
    </w:p>
    <w:p w14:paraId="64D07929" w14:textId="77777777" w:rsidR="00424C93" w:rsidRPr="00284073" w:rsidRDefault="00424C93" w:rsidP="00193A47">
      <w:pPr>
        <w:shd w:val="clear" w:color="auto" w:fill="FFFFFF"/>
      </w:pPr>
    </w:p>
    <w:p w14:paraId="7EF0E885" w14:textId="71FB7C4A" w:rsidR="00193A47" w:rsidRPr="00424C93" w:rsidRDefault="00193A47" w:rsidP="00193A47">
      <w:pPr>
        <w:shd w:val="clear" w:color="auto" w:fill="FFFFFF"/>
        <w:ind w:left="709"/>
        <w:rPr>
          <w:b/>
          <w:color w:val="0070C0"/>
        </w:rPr>
      </w:pPr>
      <w:r w:rsidRPr="00424C93">
        <w:rPr>
          <w:b/>
          <w:color w:val="0070C0"/>
        </w:rPr>
        <w:t>Określenie wymagań zw</w:t>
      </w:r>
      <w:r w:rsidR="00F936C1">
        <w:rPr>
          <w:b/>
          <w:color w:val="0070C0"/>
        </w:rPr>
        <w:t>iązanych</w:t>
      </w:r>
      <w:r w:rsidRPr="00424C93">
        <w:rPr>
          <w:b/>
          <w:color w:val="0070C0"/>
        </w:rPr>
        <w:t xml:space="preserve"> z realizacją zamówienia obejmujących aspekty zw</w:t>
      </w:r>
      <w:r w:rsidR="00F936C1">
        <w:rPr>
          <w:b/>
          <w:color w:val="0070C0"/>
        </w:rPr>
        <w:t>iązane</w:t>
      </w:r>
      <w:r w:rsidRPr="00424C93">
        <w:rPr>
          <w:b/>
          <w:color w:val="0070C0"/>
        </w:rPr>
        <w:t xml:space="preserve"> z innowacyjnością, o których mowa w art. 96 ust. 1 ustawy Pzp</w:t>
      </w:r>
    </w:p>
    <w:p w14:paraId="7B15316C" w14:textId="77777777" w:rsidR="00193A47" w:rsidRPr="00284073" w:rsidRDefault="00193A47" w:rsidP="00193A47">
      <w:pPr>
        <w:shd w:val="clear" w:color="auto" w:fill="FFFFFF"/>
      </w:pPr>
    </w:p>
    <w:p w14:paraId="7F4ABFFA" w14:textId="28CFA9CD" w:rsidR="00424C93" w:rsidRPr="00424C93" w:rsidRDefault="00424C93" w:rsidP="00424C93">
      <w:pPr>
        <w:pStyle w:val="Legenda"/>
      </w:pPr>
      <w:bookmarkStart w:id="142" w:name="_Toc141276549"/>
      <w:r w:rsidRPr="0040358A">
        <w:t xml:space="preserve">Tab. </w:t>
      </w:r>
      <w:r w:rsidR="00BE2079">
        <w:fldChar w:fldCharType="begin"/>
      </w:r>
      <w:r w:rsidR="00BE2079">
        <w:instrText xml:space="preserve"> SEQ Tab. \* ARABIC </w:instrText>
      </w:r>
      <w:r w:rsidR="00BE2079">
        <w:fldChar w:fldCharType="separate"/>
      </w:r>
      <w:r w:rsidR="00A43C68">
        <w:rPr>
          <w:noProof/>
        </w:rPr>
        <w:t>42</w:t>
      </w:r>
      <w:r w:rsidR="00BE2079">
        <w:rPr>
          <w:noProof/>
        </w:rPr>
        <w:fldChar w:fldCharType="end"/>
      </w:r>
      <w:r w:rsidRPr="0040358A">
        <w:t>. Innowacyjne zamówienia publiczne z zastosowaniem art. 96 ust. 1 ustawy Pzp</w:t>
      </w:r>
      <w:bookmarkEnd w:id="14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404"/>
      </w:tblGrid>
      <w:tr w:rsidR="0040358A" w:rsidRPr="00284073" w14:paraId="5F91B927" w14:textId="77777777" w:rsidTr="00EF57A8">
        <w:trPr>
          <w:trHeight w:val="300"/>
          <w:jc w:val="center"/>
        </w:trPr>
        <w:tc>
          <w:tcPr>
            <w:tcW w:w="6658" w:type="dxa"/>
            <w:shd w:val="clear" w:color="auto" w:fill="FFF2CC" w:themeFill="accent4" w:themeFillTint="33"/>
            <w:noWrap/>
            <w:vAlign w:val="center"/>
          </w:tcPr>
          <w:p w14:paraId="1E464BAF" w14:textId="77777777" w:rsidR="0040358A" w:rsidRPr="00284073" w:rsidRDefault="0040358A" w:rsidP="0040358A">
            <w:pPr>
              <w:rPr>
                <w:rFonts w:eastAsia="Calibri" w:cs="Arial"/>
                <w:sz w:val="20"/>
                <w:szCs w:val="20"/>
              </w:rPr>
            </w:pPr>
            <w:r w:rsidRPr="00284073">
              <w:rPr>
                <w:rFonts w:cs="Arial"/>
                <w:bCs/>
                <w:sz w:val="20"/>
                <w:szCs w:val="20"/>
              </w:rPr>
              <w:t xml:space="preserve">Liczba </w:t>
            </w:r>
            <w:r w:rsidRPr="00284073">
              <w:rPr>
                <w:rFonts w:cs="Arial"/>
                <w:sz w:val="20"/>
                <w:szCs w:val="20"/>
              </w:rPr>
              <w:t xml:space="preserve">zamówień </w:t>
            </w:r>
          </w:p>
        </w:tc>
        <w:tc>
          <w:tcPr>
            <w:tcW w:w="2404" w:type="dxa"/>
            <w:shd w:val="clear" w:color="auto" w:fill="FFF2CC" w:themeFill="accent4" w:themeFillTint="33"/>
            <w:noWrap/>
            <w:vAlign w:val="center"/>
          </w:tcPr>
          <w:p w14:paraId="09D23040" w14:textId="0E522D81" w:rsidR="0040358A" w:rsidRPr="00284073" w:rsidRDefault="0040358A" w:rsidP="0040358A">
            <w:pPr>
              <w:jc w:val="center"/>
              <w:rPr>
                <w:rFonts w:cs="Arial"/>
                <w:sz w:val="20"/>
                <w:szCs w:val="20"/>
              </w:rPr>
            </w:pPr>
            <w:r w:rsidRPr="00AE7818">
              <w:rPr>
                <w:rFonts w:cs="Arial"/>
                <w:sz w:val="20"/>
                <w:szCs w:val="20"/>
              </w:rPr>
              <w:t>91</w:t>
            </w:r>
          </w:p>
        </w:tc>
      </w:tr>
      <w:tr w:rsidR="0040358A" w:rsidRPr="00284073" w14:paraId="617CEBCC" w14:textId="77777777" w:rsidTr="00EF57A8">
        <w:trPr>
          <w:trHeight w:val="300"/>
          <w:jc w:val="center"/>
        </w:trPr>
        <w:tc>
          <w:tcPr>
            <w:tcW w:w="6658" w:type="dxa"/>
            <w:shd w:val="clear" w:color="auto" w:fill="auto"/>
            <w:noWrap/>
            <w:vAlign w:val="center"/>
            <w:hideMark/>
          </w:tcPr>
          <w:p w14:paraId="7478E5F5" w14:textId="77777777" w:rsidR="0040358A" w:rsidRPr="00284073" w:rsidRDefault="0040358A" w:rsidP="0040358A">
            <w:pPr>
              <w:rPr>
                <w:rFonts w:eastAsia="Calibri" w:cs="Arial"/>
                <w:sz w:val="20"/>
                <w:szCs w:val="20"/>
              </w:rPr>
            </w:pPr>
            <w:r w:rsidRPr="00284073">
              <w:rPr>
                <w:rFonts w:cs="Arial"/>
                <w:bCs/>
                <w:sz w:val="20"/>
                <w:szCs w:val="20"/>
              </w:rPr>
              <w:t xml:space="preserve">Wartość </w:t>
            </w:r>
            <w:r w:rsidRPr="00284073">
              <w:rPr>
                <w:rFonts w:cs="Arial"/>
                <w:sz w:val="20"/>
                <w:szCs w:val="20"/>
              </w:rPr>
              <w:t xml:space="preserve">zamówień </w:t>
            </w:r>
          </w:p>
        </w:tc>
        <w:tc>
          <w:tcPr>
            <w:tcW w:w="2404" w:type="dxa"/>
            <w:shd w:val="clear" w:color="auto" w:fill="auto"/>
            <w:noWrap/>
            <w:vAlign w:val="center"/>
            <w:hideMark/>
          </w:tcPr>
          <w:p w14:paraId="51E92A85" w14:textId="77777777" w:rsidR="0040358A" w:rsidRDefault="0040358A" w:rsidP="0040358A">
            <w:pPr>
              <w:jc w:val="center"/>
              <w:rPr>
                <w:rFonts w:cs="Arial"/>
                <w:sz w:val="20"/>
                <w:szCs w:val="20"/>
              </w:rPr>
            </w:pPr>
            <w:r w:rsidRPr="00AE7818">
              <w:rPr>
                <w:rFonts w:cs="Arial"/>
                <w:sz w:val="20"/>
                <w:szCs w:val="20"/>
              </w:rPr>
              <w:t>4 576 044 559,26 zł</w:t>
            </w:r>
          </w:p>
          <w:p w14:paraId="67F29CF9" w14:textId="791100DC" w:rsidR="0040358A" w:rsidRPr="00284073" w:rsidRDefault="0040358A" w:rsidP="0040358A">
            <w:pPr>
              <w:jc w:val="center"/>
              <w:rPr>
                <w:rFonts w:cs="Arial"/>
                <w:sz w:val="20"/>
                <w:szCs w:val="20"/>
              </w:rPr>
            </w:pPr>
            <w:r w:rsidRPr="00FD623C">
              <w:rPr>
                <w:rFonts w:cs="Arial"/>
                <w:sz w:val="20"/>
                <w:szCs w:val="20"/>
              </w:rPr>
              <w:t>(wartość bez VAT)</w:t>
            </w:r>
          </w:p>
        </w:tc>
      </w:tr>
    </w:tbl>
    <w:p w14:paraId="106EEE2B" w14:textId="77777777" w:rsidR="00193A47" w:rsidRPr="00284073" w:rsidRDefault="00193A47" w:rsidP="00193A4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59"/>
        <w:gridCol w:w="4961"/>
      </w:tblGrid>
      <w:tr w:rsidR="00193A47" w:rsidRPr="00284073" w14:paraId="699B2B83" w14:textId="77777777" w:rsidTr="00EF57A8">
        <w:trPr>
          <w:trHeight w:val="300"/>
          <w:tblHeader/>
          <w:jc w:val="center"/>
        </w:trPr>
        <w:tc>
          <w:tcPr>
            <w:tcW w:w="2547" w:type="dxa"/>
            <w:shd w:val="clear" w:color="auto" w:fill="FFE599" w:themeFill="accent4" w:themeFillTint="66"/>
            <w:noWrap/>
            <w:vAlign w:val="center"/>
          </w:tcPr>
          <w:p w14:paraId="0AB3A12B" w14:textId="77777777" w:rsidR="00193A47" w:rsidRPr="00284073" w:rsidRDefault="00193A47" w:rsidP="00EF57A8">
            <w:pPr>
              <w:jc w:val="center"/>
              <w:rPr>
                <w:rFonts w:cs="Arial"/>
                <w:b/>
                <w:sz w:val="20"/>
                <w:szCs w:val="20"/>
              </w:rPr>
            </w:pPr>
            <w:r w:rsidRPr="00284073">
              <w:rPr>
                <w:rFonts w:cs="Arial"/>
                <w:b/>
                <w:bCs/>
                <w:sz w:val="20"/>
                <w:szCs w:val="20"/>
              </w:rPr>
              <w:t>Rodzaj zamówienia</w:t>
            </w:r>
          </w:p>
        </w:tc>
        <w:tc>
          <w:tcPr>
            <w:tcW w:w="1559" w:type="dxa"/>
            <w:shd w:val="clear" w:color="auto" w:fill="FFE599" w:themeFill="accent4" w:themeFillTint="66"/>
            <w:vAlign w:val="center"/>
          </w:tcPr>
          <w:p w14:paraId="283AB548" w14:textId="77777777" w:rsidR="00193A47" w:rsidRPr="00284073" w:rsidRDefault="00193A47" w:rsidP="00EF57A8">
            <w:pPr>
              <w:jc w:val="center"/>
              <w:rPr>
                <w:rFonts w:cs="Arial"/>
                <w:b/>
                <w:sz w:val="20"/>
                <w:szCs w:val="20"/>
              </w:rPr>
            </w:pPr>
            <w:r w:rsidRPr="00284073">
              <w:rPr>
                <w:rFonts w:cs="Arial"/>
                <w:b/>
                <w:sz w:val="20"/>
                <w:szCs w:val="20"/>
              </w:rPr>
              <w:t>Liczba</w:t>
            </w:r>
          </w:p>
        </w:tc>
        <w:tc>
          <w:tcPr>
            <w:tcW w:w="4961" w:type="dxa"/>
            <w:shd w:val="clear" w:color="auto" w:fill="FFE599" w:themeFill="accent4" w:themeFillTint="66"/>
            <w:vAlign w:val="center"/>
          </w:tcPr>
          <w:p w14:paraId="6F4949A5" w14:textId="77777777" w:rsidR="00193A47" w:rsidRPr="00284073" w:rsidRDefault="00193A47" w:rsidP="00EF57A8">
            <w:pPr>
              <w:jc w:val="center"/>
              <w:rPr>
                <w:rFonts w:cs="Arial"/>
                <w:b/>
                <w:sz w:val="20"/>
                <w:szCs w:val="20"/>
              </w:rPr>
            </w:pPr>
            <w:r w:rsidRPr="00284073">
              <w:rPr>
                <w:rFonts w:cs="Arial"/>
                <w:b/>
                <w:sz w:val="20"/>
                <w:szCs w:val="20"/>
              </w:rPr>
              <w:t>Wartość (bez VAT)</w:t>
            </w:r>
          </w:p>
        </w:tc>
      </w:tr>
      <w:tr w:rsidR="0040358A" w:rsidRPr="00284073" w14:paraId="784AAFE4" w14:textId="77777777" w:rsidTr="00EF57A8">
        <w:trPr>
          <w:trHeight w:val="300"/>
          <w:jc w:val="center"/>
        </w:trPr>
        <w:tc>
          <w:tcPr>
            <w:tcW w:w="2547" w:type="dxa"/>
            <w:shd w:val="clear" w:color="auto" w:fill="auto"/>
            <w:noWrap/>
            <w:vAlign w:val="center"/>
          </w:tcPr>
          <w:p w14:paraId="00E12213" w14:textId="77777777" w:rsidR="0040358A" w:rsidRPr="00284073" w:rsidRDefault="0040358A" w:rsidP="0040358A">
            <w:pPr>
              <w:jc w:val="center"/>
              <w:rPr>
                <w:rFonts w:cs="Arial"/>
                <w:bCs/>
                <w:sz w:val="20"/>
                <w:szCs w:val="20"/>
              </w:rPr>
            </w:pPr>
            <w:r w:rsidRPr="00284073">
              <w:rPr>
                <w:rFonts w:cs="Arial"/>
                <w:bCs/>
                <w:sz w:val="20"/>
                <w:szCs w:val="20"/>
              </w:rPr>
              <w:t>Dostawy</w:t>
            </w:r>
          </w:p>
        </w:tc>
        <w:tc>
          <w:tcPr>
            <w:tcW w:w="1559" w:type="dxa"/>
            <w:shd w:val="clear" w:color="auto" w:fill="auto"/>
            <w:noWrap/>
            <w:vAlign w:val="center"/>
          </w:tcPr>
          <w:p w14:paraId="57E4F271" w14:textId="2FD2FFBE" w:rsidR="0040358A" w:rsidRPr="00284073" w:rsidRDefault="0040358A" w:rsidP="0040358A">
            <w:pPr>
              <w:jc w:val="center"/>
              <w:rPr>
                <w:rFonts w:cs="Arial"/>
                <w:sz w:val="20"/>
                <w:szCs w:val="20"/>
              </w:rPr>
            </w:pPr>
            <w:r w:rsidRPr="00394156">
              <w:rPr>
                <w:sz w:val="20"/>
                <w:szCs w:val="20"/>
              </w:rPr>
              <w:t>17</w:t>
            </w:r>
          </w:p>
        </w:tc>
        <w:tc>
          <w:tcPr>
            <w:tcW w:w="4961" w:type="dxa"/>
            <w:shd w:val="clear" w:color="auto" w:fill="auto"/>
            <w:vAlign w:val="center"/>
          </w:tcPr>
          <w:p w14:paraId="0535B418" w14:textId="2B2260CF" w:rsidR="0040358A" w:rsidRPr="00284073" w:rsidRDefault="0040358A" w:rsidP="0040358A">
            <w:pPr>
              <w:jc w:val="center"/>
              <w:rPr>
                <w:rFonts w:cs="Arial"/>
                <w:sz w:val="20"/>
                <w:szCs w:val="20"/>
              </w:rPr>
            </w:pPr>
            <w:r w:rsidRPr="00394156">
              <w:rPr>
                <w:sz w:val="20"/>
                <w:szCs w:val="20"/>
              </w:rPr>
              <w:t>230 842 142,43 zł</w:t>
            </w:r>
          </w:p>
        </w:tc>
      </w:tr>
      <w:tr w:rsidR="0040358A" w:rsidRPr="00284073" w14:paraId="737BBBD2" w14:textId="77777777" w:rsidTr="00EF57A8">
        <w:trPr>
          <w:trHeight w:val="300"/>
          <w:jc w:val="center"/>
        </w:trPr>
        <w:tc>
          <w:tcPr>
            <w:tcW w:w="2547" w:type="dxa"/>
            <w:shd w:val="clear" w:color="auto" w:fill="FFF2CC" w:themeFill="accent4" w:themeFillTint="33"/>
            <w:noWrap/>
            <w:vAlign w:val="center"/>
            <w:hideMark/>
          </w:tcPr>
          <w:p w14:paraId="644AC05A" w14:textId="77777777" w:rsidR="0040358A" w:rsidRPr="00284073" w:rsidRDefault="0040358A" w:rsidP="0040358A">
            <w:pPr>
              <w:jc w:val="center"/>
              <w:rPr>
                <w:rFonts w:cs="Arial"/>
                <w:bCs/>
                <w:sz w:val="20"/>
                <w:szCs w:val="20"/>
              </w:rPr>
            </w:pPr>
            <w:r w:rsidRPr="00284073">
              <w:rPr>
                <w:rFonts w:cs="Arial"/>
                <w:bCs/>
                <w:sz w:val="20"/>
                <w:szCs w:val="20"/>
              </w:rPr>
              <w:t>Roboty budowlane</w:t>
            </w:r>
          </w:p>
        </w:tc>
        <w:tc>
          <w:tcPr>
            <w:tcW w:w="1559" w:type="dxa"/>
            <w:shd w:val="clear" w:color="auto" w:fill="FFF2CC" w:themeFill="accent4" w:themeFillTint="33"/>
            <w:noWrap/>
            <w:vAlign w:val="center"/>
          </w:tcPr>
          <w:p w14:paraId="22C226B9" w14:textId="5A6EC5E4" w:rsidR="0040358A" w:rsidRPr="00284073" w:rsidRDefault="0040358A" w:rsidP="0040358A">
            <w:pPr>
              <w:jc w:val="center"/>
              <w:rPr>
                <w:rFonts w:cs="Arial"/>
                <w:sz w:val="20"/>
                <w:szCs w:val="20"/>
              </w:rPr>
            </w:pPr>
            <w:r w:rsidRPr="00394156">
              <w:rPr>
                <w:sz w:val="20"/>
                <w:szCs w:val="20"/>
              </w:rPr>
              <w:t>39</w:t>
            </w:r>
          </w:p>
        </w:tc>
        <w:tc>
          <w:tcPr>
            <w:tcW w:w="4961" w:type="dxa"/>
            <w:shd w:val="clear" w:color="auto" w:fill="FFF2CC" w:themeFill="accent4" w:themeFillTint="33"/>
            <w:vAlign w:val="center"/>
          </w:tcPr>
          <w:p w14:paraId="0D543B83" w14:textId="3CAC2B38" w:rsidR="0040358A" w:rsidRPr="00284073" w:rsidRDefault="0040358A" w:rsidP="0040358A">
            <w:pPr>
              <w:jc w:val="center"/>
              <w:rPr>
                <w:rFonts w:cs="Arial"/>
                <w:sz w:val="20"/>
                <w:szCs w:val="20"/>
              </w:rPr>
            </w:pPr>
            <w:r w:rsidRPr="00394156">
              <w:rPr>
                <w:sz w:val="20"/>
                <w:szCs w:val="20"/>
              </w:rPr>
              <w:t>3 372 213 727,17 zł</w:t>
            </w:r>
          </w:p>
        </w:tc>
      </w:tr>
      <w:tr w:rsidR="0040358A" w:rsidRPr="00284073" w14:paraId="7DC88CDB" w14:textId="77777777" w:rsidTr="00EF57A8">
        <w:trPr>
          <w:trHeight w:val="300"/>
          <w:jc w:val="center"/>
        </w:trPr>
        <w:tc>
          <w:tcPr>
            <w:tcW w:w="2547" w:type="dxa"/>
            <w:shd w:val="clear" w:color="auto" w:fill="auto"/>
            <w:noWrap/>
            <w:vAlign w:val="center"/>
          </w:tcPr>
          <w:p w14:paraId="6CE16012" w14:textId="77777777" w:rsidR="0040358A" w:rsidRPr="00284073" w:rsidRDefault="0040358A" w:rsidP="0040358A">
            <w:pPr>
              <w:jc w:val="center"/>
              <w:rPr>
                <w:rFonts w:cs="Arial"/>
                <w:bCs/>
                <w:sz w:val="20"/>
                <w:szCs w:val="20"/>
              </w:rPr>
            </w:pPr>
            <w:r w:rsidRPr="00284073">
              <w:rPr>
                <w:rFonts w:cs="Arial"/>
                <w:bCs/>
                <w:sz w:val="20"/>
                <w:szCs w:val="20"/>
              </w:rPr>
              <w:t>Usługi</w:t>
            </w:r>
          </w:p>
        </w:tc>
        <w:tc>
          <w:tcPr>
            <w:tcW w:w="1559" w:type="dxa"/>
            <w:shd w:val="clear" w:color="auto" w:fill="auto"/>
            <w:noWrap/>
            <w:vAlign w:val="center"/>
          </w:tcPr>
          <w:p w14:paraId="1D2F8B40" w14:textId="6D989DFC" w:rsidR="0040358A" w:rsidRPr="00284073" w:rsidRDefault="0040358A" w:rsidP="0040358A">
            <w:pPr>
              <w:jc w:val="center"/>
              <w:rPr>
                <w:rFonts w:cs="Arial"/>
                <w:sz w:val="20"/>
                <w:szCs w:val="20"/>
              </w:rPr>
            </w:pPr>
            <w:r w:rsidRPr="00394156">
              <w:rPr>
                <w:sz w:val="20"/>
                <w:szCs w:val="20"/>
              </w:rPr>
              <w:t>35</w:t>
            </w:r>
          </w:p>
        </w:tc>
        <w:tc>
          <w:tcPr>
            <w:tcW w:w="4961" w:type="dxa"/>
            <w:shd w:val="clear" w:color="auto" w:fill="auto"/>
            <w:vAlign w:val="center"/>
          </w:tcPr>
          <w:p w14:paraId="43FDE1B4" w14:textId="5EA811C2" w:rsidR="0040358A" w:rsidRPr="00284073" w:rsidRDefault="0040358A" w:rsidP="0040358A">
            <w:pPr>
              <w:jc w:val="center"/>
              <w:rPr>
                <w:rFonts w:cs="Arial"/>
                <w:sz w:val="20"/>
                <w:szCs w:val="20"/>
              </w:rPr>
            </w:pPr>
            <w:r w:rsidRPr="00394156">
              <w:rPr>
                <w:sz w:val="20"/>
                <w:szCs w:val="20"/>
              </w:rPr>
              <w:t>972 988 689,66 zł</w:t>
            </w:r>
          </w:p>
        </w:tc>
      </w:tr>
    </w:tbl>
    <w:p w14:paraId="11D09EEE" w14:textId="77777777" w:rsidR="00193A47" w:rsidRPr="00284073" w:rsidRDefault="00193A47" w:rsidP="00193A47">
      <w:pPr>
        <w:shd w:val="clear" w:color="auto" w:fill="FFFFFF"/>
      </w:pPr>
    </w:p>
    <w:p w14:paraId="49A155CB" w14:textId="5BDB30D6" w:rsidR="0040358A" w:rsidRPr="0040358A" w:rsidRDefault="0040358A" w:rsidP="0040358A">
      <w:pPr>
        <w:shd w:val="clear" w:color="auto" w:fill="FFFFFF"/>
      </w:pPr>
      <w:r w:rsidRPr="0040358A">
        <w:t>W przypadku rozwiązań innowacyjnych nastąpił nieznaczny spadek liczby zamówień, w których aspekty związane z innowacyjnością uwzględniono w ramach kryteriów oceny ofert (z 78 zamówień udzielonych w 2021 r. do 75</w:t>
      </w:r>
      <w:r w:rsidR="009A02C1">
        <w:t xml:space="preserve"> </w:t>
      </w:r>
      <w:r w:rsidRPr="0040358A">
        <w:t>zamówień udzielonych w roku 2022). Odnotowano jednak znaczny wzrost wartości innowacyjnych zamówień z takim aspektem. Różnica w wartości zamówień publicznych z uwzględnieniem aspektów innowacyjnych w kryteriach oceny ofert pomiędzy latami 2022 i 2021 wyniosła 1 103 007 825,46 zł</w:t>
      </w:r>
      <w:r w:rsidR="009A02C1">
        <w:t xml:space="preserve"> </w:t>
      </w:r>
      <w:r w:rsidRPr="0040358A">
        <w:t>(bez podatku od towarów i usług). W 2022 r. jednocześnie odnotowano znaczny wzrost liczby zamówień, gdzie odwołanie do aspektów związanych z innowacyjnością ustanowiono w ramach wymagań związanych z realizacją zamówienia (z 39 takich zamówień udzielonych w roku 2021, do 91 udzielonych w 2022 r.). O ponad 3 840 920 286,35 zł (bez podatku od towarów i usług) wzrosła również wartość takich zamówień.</w:t>
      </w:r>
    </w:p>
    <w:p w14:paraId="12AD9524" w14:textId="283F5474" w:rsidR="0026738D" w:rsidRDefault="0026738D" w:rsidP="00193A47">
      <w:pPr>
        <w:shd w:val="clear" w:color="auto" w:fill="FFFFFF"/>
        <w:rPr>
          <w:szCs w:val="22"/>
        </w:rPr>
      </w:pPr>
    </w:p>
    <w:p w14:paraId="7D55CC70" w14:textId="3B0C40B7" w:rsidR="00554106" w:rsidRPr="00135705" w:rsidRDefault="00D165F8" w:rsidP="000C4AC8">
      <w:pPr>
        <w:pStyle w:val="Legenda"/>
      </w:pPr>
      <w:bookmarkStart w:id="143" w:name="_Toc141276496"/>
      <w:r w:rsidRPr="0040358A">
        <w:t xml:space="preserve">Rys. </w:t>
      </w:r>
      <w:r w:rsidR="00BE2079">
        <w:fldChar w:fldCharType="begin"/>
      </w:r>
      <w:r w:rsidR="00BE2079">
        <w:instrText xml:space="preserve"> SEQ Rys. \* ARABIC </w:instrText>
      </w:r>
      <w:r w:rsidR="00BE2079">
        <w:fldChar w:fldCharType="separate"/>
      </w:r>
      <w:r w:rsidR="00A43C68">
        <w:rPr>
          <w:noProof/>
        </w:rPr>
        <w:t>18</w:t>
      </w:r>
      <w:r w:rsidR="00BE2079">
        <w:rPr>
          <w:noProof/>
        </w:rPr>
        <w:fldChar w:fldCharType="end"/>
      </w:r>
      <w:r w:rsidRPr="0040358A">
        <w:t xml:space="preserve">. Liczba zamówień, w których zastosowano odpowiednie aspekty </w:t>
      </w:r>
      <w:r w:rsidR="00135705" w:rsidRPr="0040358A">
        <w:t>innowacyjne</w:t>
      </w:r>
      <w:bookmarkEnd w:id="143"/>
    </w:p>
    <w:p w14:paraId="7CF3BE55" w14:textId="7F0FDCC9" w:rsidR="00554106" w:rsidRDefault="0040358A" w:rsidP="00193A47">
      <w:pPr>
        <w:shd w:val="clear" w:color="auto" w:fill="FFFFFF"/>
        <w:rPr>
          <w:szCs w:val="22"/>
        </w:rPr>
      </w:pPr>
      <w:r>
        <w:rPr>
          <w:noProof/>
        </w:rPr>
        <w:drawing>
          <wp:inline distT="0" distB="0" distL="0" distR="0" wp14:anchorId="1E960BD3" wp14:editId="7D505A6A">
            <wp:extent cx="5334000" cy="3272790"/>
            <wp:effectExtent l="0" t="0" r="0" b="3810"/>
            <wp:docPr id="1484585260" name="Wykres 1">
              <a:extLst xmlns:a="http://schemas.openxmlformats.org/drawingml/2006/main">
                <a:ext uri="{FF2B5EF4-FFF2-40B4-BE49-F238E27FC236}">
                  <a16:creationId xmlns:a16="http://schemas.microsoft.com/office/drawing/2014/main" id="{E86B2542-E1F9-20C0-07BC-3A8DDF3F35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E28F625" w14:textId="57DCCCF2" w:rsidR="00554106" w:rsidRDefault="00554106" w:rsidP="00193A47">
      <w:pPr>
        <w:shd w:val="clear" w:color="auto" w:fill="FFFFFF"/>
        <w:rPr>
          <w:szCs w:val="22"/>
        </w:rPr>
      </w:pPr>
    </w:p>
    <w:p w14:paraId="4CAF35A2" w14:textId="76CA2F6F" w:rsidR="008D1A9D" w:rsidRDefault="008D1A9D" w:rsidP="00193A47">
      <w:pPr>
        <w:shd w:val="clear" w:color="auto" w:fill="FFFFFF"/>
        <w:rPr>
          <w:szCs w:val="22"/>
        </w:rPr>
      </w:pPr>
    </w:p>
    <w:p w14:paraId="4B34FA3A" w14:textId="048716F7" w:rsidR="008D1A9D" w:rsidRPr="00257BDC" w:rsidRDefault="008D1A9D" w:rsidP="000C4AC8">
      <w:pPr>
        <w:pStyle w:val="Legenda"/>
      </w:pPr>
      <w:bookmarkStart w:id="144" w:name="_Toc141276497"/>
      <w:r w:rsidRPr="00433B2C">
        <w:t xml:space="preserve">Rys. </w:t>
      </w:r>
      <w:r w:rsidR="00BE2079">
        <w:fldChar w:fldCharType="begin"/>
      </w:r>
      <w:r w:rsidR="00BE2079">
        <w:instrText xml:space="preserve"> SEQ Rys. \* ARABIC </w:instrText>
      </w:r>
      <w:r w:rsidR="00BE2079">
        <w:fldChar w:fldCharType="separate"/>
      </w:r>
      <w:r w:rsidR="00A43C68">
        <w:rPr>
          <w:noProof/>
        </w:rPr>
        <w:t>19</w:t>
      </w:r>
      <w:r w:rsidR="00BE2079">
        <w:rPr>
          <w:noProof/>
        </w:rPr>
        <w:fldChar w:fldCharType="end"/>
      </w:r>
      <w:r w:rsidRPr="00433B2C">
        <w:t>. Wartość zamówień, w których zastosowano odpowiednie aspekty innowacyjne</w:t>
      </w:r>
      <w:bookmarkEnd w:id="144"/>
    </w:p>
    <w:p w14:paraId="458AB587" w14:textId="00382070" w:rsidR="008D1A9D" w:rsidRDefault="00433B2C" w:rsidP="00193A47">
      <w:pPr>
        <w:shd w:val="clear" w:color="auto" w:fill="FFFFFF"/>
        <w:rPr>
          <w:szCs w:val="22"/>
        </w:rPr>
      </w:pPr>
      <w:r>
        <w:rPr>
          <w:noProof/>
        </w:rPr>
        <w:drawing>
          <wp:inline distT="0" distB="0" distL="0" distR="0" wp14:anchorId="0441265C" wp14:editId="52693758">
            <wp:extent cx="5629275" cy="3590925"/>
            <wp:effectExtent l="0" t="0" r="9525" b="9525"/>
            <wp:docPr id="1754191890" name="Wykres 1">
              <a:extLst xmlns:a="http://schemas.openxmlformats.org/drawingml/2006/main">
                <a:ext uri="{FF2B5EF4-FFF2-40B4-BE49-F238E27FC236}">
                  <a16:creationId xmlns:a16="http://schemas.microsoft.com/office/drawing/2014/main" id="{98022507-C2E4-71B2-1FF6-3AB9DDAEF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AD4A979" w14:textId="77777777" w:rsidR="008D1A9D" w:rsidRDefault="008D1A9D" w:rsidP="00193A47">
      <w:pPr>
        <w:shd w:val="clear" w:color="auto" w:fill="FFFFFF"/>
        <w:rPr>
          <w:szCs w:val="22"/>
        </w:rPr>
      </w:pPr>
    </w:p>
    <w:p w14:paraId="3710D45B" w14:textId="77777777" w:rsidR="00193A47" w:rsidRDefault="00193A47" w:rsidP="00193A47">
      <w:pPr>
        <w:rPr>
          <w:rFonts w:cs="Arial"/>
        </w:rPr>
      </w:pPr>
    </w:p>
    <w:p w14:paraId="1BAF7091" w14:textId="52B23585" w:rsidR="00193A47" w:rsidRDefault="00193A47" w:rsidP="00193A47">
      <w:pPr>
        <w:shd w:val="clear" w:color="auto" w:fill="FFFFFF"/>
        <w:rPr>
          <w:i/>
        </w:rPr>
      </w:pPr>
      <w:r w:rsidRPr="00284073">
        <w:rPr>
          <w:i/>
        </w:rPr>
        <w:t xml:space="preserve">Dane dotyczące zamówień, w których odwołano się do odpowiednich instrumentów </w:t>
      </w:r>
      <w:r>
        <w:rPr>
          <w:i/>
        </w:rPr>
        <w:t>innowacyjnych</w:t>
      </w:r>
      <w:r w:rsidR="00684D35">
        <w:rPr>
          <w:i/>
        </w:rPr>
        <w:t>,</w:t>
      </w:r>
      <w:r w:rsidRPr="00284073">
        <w:rPr>
          <w:i/>
        </w:rPr>
        <w:t xml:space="preserve"> przedstawiono w </w:t>
      </w:r>
      <w:hyperlink w:anchor="Zał_7" w:history="1">
        <w:r w:rsidRPr="009E11AC">
          <w:rPr>
            <w:rStyle w:val="Hipercze"/>
            <w:i/>
          </w:rPr>
          <w:t xml:space="preserve">załączniku nr </w:t>
        </w:r>
        <w:r w:rsidR="009E11AC" w:rsidRPr="009E11AC">
          <w:rPr>
            <w:rStyle w:val="Hipercze"/>
            <w:i/>
          </w:rPr>
          <w:t>7</w:t>
        </w:r>
      </w:hyperlink>
      <w:r w:rsidRPr="00284073">
        <w:rPr>
          <w:i/>
        </w:rPr>
        <w:t xml:space="preserve"> do niniejszego Sprawozdania. </w:t>
      </w:r>
    </w:p>
    <w:p w14:paraId="347E256C" w14:textId="77777777" w:rsidR="00193A47" w:rsidRPr="00392FE9" w:rsidRDefault="00193A47" w:rsidP="00193A47">
      <w:pPr>
        <w:shd w:val="clear" w:color="auto" w:fill="FFFFFF"/>
      </w:pPr>
    </w:p>
    <w:p w14:paraId="48AFA9BD" w14:textId="77777777" w:rsidR="00AF18F1" w:rsidRPr="00850CFD" w:rsidRDefault="00AF18F1" w:rsidP="00850CFD">
      <w:pPr>
        <w:rPr>
          <w:rFonts w:cs="Arial"/>
          <w:color w:val="000000"/>
        </w:rPr>
      </w:pPr>
    </w:p>
    <w:p w14:paraId="02B6E812" w14:textId="62646A91" w:rsidR="00245B26" w:rsidRPr="00A526A9" w:rsidRDefault="008935C7" w:rsidP="00E16264">
      <w:pPr>
        <w:pStyle w:val="StylArial11ptWyjustowany"/>
        <w:numPr>
          <w:ilvl w:val="0"/>
          <w:numId w:val="6"/>
        </w:numPr>
        <w:shd w:val="clear" w:color="auto" w:fill="FFFFFF"/>
        <w:jc w:val="left"/>
        <w:rPr>
          <w:rFonts w:cs="Arial"/>
          <w:b/>
          <w:iCs/>
          <w:color w:val="0070C0"/>
          <w:szCs w:val="22"/>
        </w:rPr>
      </w:pPr>
      <w:r w:rsidRPr="00A526A9">
        <w:rPr>
          <w:rFonts w:cs="Arial"/>
          <w:b/>
          <w:iCs/>
          <w:color w:val="0070C0"/>
          <w:szCs w:val="22"/>
        </w:rPr>
        <w:t>Jednostki administracji rządowej</w:t>
      </w:r>
    </w:p>
    <w:p w14:paraId="41591624" w14:textId="77777777" w:rsidR="008935C7" w:rsidRPr="008935C7" w:rsidRDefault="008935C7" w:rsidP="008935C7">
      <w:pPr>
        <w:pStyle w:val="StylArial11ptWyjustowany"/>
        <w:shd w:val="clear" w:color="auto" w:fill="FFFFFF"/>
        <w:jc w:val="left"/>
        <w:rPr>
          <w:rFonts w:cs="Arial"/>
          <w:iCs/>
          <w:szCs w:val="22"/>
        </w:rPr>
      </w:pPr>
    </w:p>
    <w:p w14:paraId="2D3788A3" w14:textId="0341A699" w:rsidR="008935C7" w:rsidRPr="00F642A8" w:rsidRDefault="008935C7" w:rsidP="00E16264">
      <w:pPr>
        <w:pStyle w:val="StylArial11ptWyjustowany"/>
        <w:numPr>
          <w:ilvl w:val="1"/>
          <w:numId w:val="6"/>
        </w:numPr>
        <w:shd w:val="clear" w:color="auto" w:fill="FFFFFF"/>
        <w:jc w:val="left"/>
        <w:rPr>
          <w:rFonts w:cs="Arial"/>
          <w:b/>
          <w:iCs/>
          <w:color w:val="0070C0"/>
          <w:szCs w:val="22"/>
        </w:rPr>
      </w:pPr>
      <w:r w:rsidRPr="00F642A8">
        <w:rPr>
          <w:rFonts w:cs="Arial"/>
          <w:b/>
          <w:iCs/>
          <w:color w:val="0070C0"/>
          <w:szCs w:val="22"/>
        </w:rPr>
        <w:t>Realizacja przez jednostki administracji rządowej zaleceń Rady Ministrów w</w:t>
      </w:r>
      <w:r w:rsidR="009343A1" w:rsidRPr="00F642A8">
        <w:rPr>
          <w:rFonts w:cs="Arial"/>
          <w:b/>
          <w:iCs/>
          <w:color w:val="0070C0"/>
          <w:szCs w:val="22"/>
        </w:rPr>
        <w:t xml:space="preserve"> </w:t>
      </w:r>
      <w:r w:rsidRPr="00F642A8">
        <w:rPr>
          <w:rFonts w:cs="Arial"/>
          <w:b/>
          <w:iCs/>
          <w:color w:val="0070C0"/>
          <w:szCs w:val="22"/>
        </w:rPr>
        <w:t>sprawie uwzględniania aspektów społecznych w zamówieniach publicznych</w:t>
      </w:r>
    </w:p>
    <w:p w14:paraId="150615D4" w14:textId="6BE7FB0E" w:rsidR="008935C7" w:rsidRDefault="008935C7" w:rsidP="008935C7">
      <w:pPr>
        <w:pStyle w:val="StylArial11ptWyjustowany"/>
        <w:shd w:val="clear" w:color="auto" w:fill="FFFFFF"/>
        <w:jc w:val="left"/>
        <w:rPr>
          <w:rFonts w:cs="Arial"/>
          <w:iCs/>
          <w:szCs w:val="22"/>
        </w:rPr>
      </w:pPr>
    </w:p>
    <w:p w14:paraId="3958E66C" w14:textId="77777777" w:rsidR="00283D0B" w:rsidRPr="00283D0B" w:rsidRDefault="00283D0B" w:rsidP="00283D0B">
      <w:pPr>
        <w:shd w:val="clear" w:color="auto" w:fill="FFFFFF"/>
      </w:pPr>
      <w:r w:rsidRPr="00283D0B">
        <w:t>W świetle przyjętych przez Radę Ministrów w dniu 29 marca 2017 r. „Zaleceń w sprawie uwzględniania przez administrację rządową aspektów społecznych w zamówieniach publicznych”</w:t>
      </w:r>
      <w:r w:rsidRPr="00283D0B">
        <w:rPr>
          <w:vertAlign w:val="superscript"/>
        </w:rPr>
        <w:footnoteReference w:id="19"/>
      </w:r>
      <w:r w:rsidRPr="00283D0B">
        <w:t xml:space="preserve"> Prezes Urzędu zobowiązany jest do prowadzenia monitoringu stosowania przez jednostki administracji rządowej aspektów społecznych w postępowaniach o udzielenie zamówienia publicznego. Prowadzona przez Urząd analiza uwzględnia informacje przekazywane przez:</w:t>
      </w:r>
    </w:p>
    <w:p w14:paraId="228C931B" w14:textId="77777777" w:rsidR="00283D0B" w:rsidRPr="00283D0B" w:rsidRDefault="00283D0B" w:rsidP="005C7DF9">
      <w:pPr>
        <w:numPr>
          <w:ilvl w:val="0"/>
          <w:numId w:val="68"/>
        </w:numPr>
        <w:shd w:val="clear" w:color="auto" w:fill="FFFFFF"/>
      </w:pPr>
      <w:r w:rsidRPr="00283D0B">
        <w:t xml:space="preserve">ministerstwa, </w:t>
      </w:r>
    </w:p>
    <w:p w14:paraId="05F42C6F" w14:textId="77777777" w:rsidR="00283D0B" w:rsidRPr="00283D0B" w:rsidRDefault="00283D0B" w:rsidP="005C7DF9">
      <w:pPr>
        <w:numPr>
          <w:ilvl w:val="0"/>
          <w:numId w:val="68"/>
        </w:numPr>
        <w:shd w:val="clear" w:color="auto" w:fill="FFFFFF"/>
      </w:pPr>
      <w:r w:rsidRPr="00283D0B">
        <w:t xml:space="preserve">Kancelarię Prezesa Rady Ministrów, </w:t>
      </w:r>
    </w:p>
    <w:p w14:paraId="03594597" w14:textId="77777777" w:rsidR="00283D0B" w:rsidRPr="00283D0B" w:rsidRDefault="00283D0B" w:rsidP="005C7DF9">
      <w:pPr>
        <w:numPr>
          <w:ilvl w:val="0"/>
          <w:numId w:val="68"/>
        </w:numPr>
        <w:shd w:val="clear" w:color="auto" w:fill="FFFFFF"/>
      </w:pPr>
      <w:r w:rsidRPr="00283D0B">
        <w:t xml:space="preserve">organy oraz jednostki podległe lub nadzorowane przez ministrów, </w:t>
      </w:r>
    </w:p>
    <w:p w14:paraId="12CF6C3A" w14:textId="77777777" w:rsidR="00283D0B" w:rsidRPr="00283D0B" w:rsidRDefault="00283D0B" w:rsidP="005C7DF9">
      <w:pPr>
        <w:numPr>
          <w:ilvl w:val="0"/>
          <w:numId w:val="68"/>
        </w:numPr>
        <w:shd w:val="clear" w:color="auto" w:fill="FFFFFF"/>
      </w:pPr>
      <w:r w:rsidRPr="00283D0B">
        <w:t xml:space="preserve">jednostki podległe lub nadzorowane przez Prezesa Rady Ministrów, </w:t>
      </w:r>
    </w:p>
    <w:p w14:paraId="3A77B3A7" w14:textId="77777777" w:rsidR="00283D0B" w:rsidRPr="00283D0B" w:rsidRDefault="00283D0B" w:rsidP="005C7DF9">
      <w:pPr>
        <w:numPr>
          <w:ilvl w:val="0"/>
          <w:numId w:val="68"/>
        </w:numPr>
        <w:shd w:val="clear" w:color="auto" w:fill="FFFFFF"/>
      </w:pPr>
      <w:r w:rsidRPr="00283D0B">
        <w:t xml:space="preserve">urzędy wojewódzkie, </w:t>
      </w:r>
    </w:p>
    <w:p w14:paraId="1D33EB8E" w14:textId="77777777" w:rsidR="00283D0B" w:rsidRPr="00283D0B" w:rsidRDefault="00283D0B" w:rsidP="005C7DF9">
      <w:pPr>
        <w:numPr>
          <w:ilvl w:val="0"/>
          <w:numId w:val="68"/>
        </w:numPr>
        <w:shd w:val="clear" w:color="auto" w:fill="FFFFFF"/>
      </w:pPr>
      <w:r w:rsidRPr="00283D0B">
        <w:t xml:space="preserve">służby, straże i inspekcje zespolonej administracji rządowej, </w:t>
      </w:r>
    </w:p>
    <w:p w14:paraId="6BE070EA" w14:textId="77777777" w:rsidR="00283D0B" w:rsidRPr="00283D0B" w:rsidRDefault="00283D0B" w:rsidP="005C7DF9">
      <w:pPr>
        <w:numPr>
          <w:ilvl w:val="0"/>
          <w:numId w:val="68"/>
        </w:numPr>
        <w:shd w:val="clear" w:color="auto" w:fill="FFFFFF"/>
      </w:pPr>
      <w:r w:rsidRPr="00283D0B">
        <w:t xml:space="preserve">jednostki niezespolonej administracji rządowej oraz </w:t>
      </w:r>
    </w:p>
    <w:p w14:paraId="1C58A20B" w14:textId="77777777" w:rsidR="00283D0B" w:rsidRPr="00283D0B" w:rsidRDefault="00283D0B" w:rsidP="005C7DF9">
      <w:pPr>
        <w:numPr>
          <w:ilvl w:val="0"/>
          <w:numId w:val="68"/>
        </w:numPr>
        <w:shd w:val="clear" w:color="auto" w:fill="FFFFFF"/>
      </w:pPr>
      <w:r w:rsidRPr="00283D0B">
        <w:t xml:space="preserve">instytucje gospodarki budżetowej w administracji rządowej. </w:t>
      </w:r>
    </w:p>
    <w:p w14:paraId="0F4D3C2B" w14:textId="77777777" w:rsidR="00283D0B" w:rsidRPr="00283D0B" w:rsidRDefault="00283D0B" w:rsidP="00283D0B">
      <w:pPr>
        <w:shd w:val="clear" w:color="auto" w:fill="FFFFFF"/>
      </w:pPr>
    </w:p>
    <w:p w14:paraId="2109EBA1" w14:textId="77777777" w:rsidR="00283D0B" w:rsidRDefault="00283D0B" w:rsidP="00283D0B">
      <w:pPr>
        <w:shd w:val="clear" w:color="auto" w:fill="FFFFFF"/>
      </w:pPr>
      <w:r w:rsidRPr="00283D0B">
        <w:t xml:space="preserve">Sprawozdawczość w zakresie stosowania aspektów społecznych w prowadzonych postępowaniach przetargowych realizowana jest przez poszczególne jednostki administracji rządowej w ramach rocznego sprawozdania o udzielonych zamówieniach (w tabeli V i VI), o którym mowa w art. 82 ustawy Pzp. </w:t>
      </w:r>
    </w:p>
    <w:p w14:paraId="0AA5EBBC" w14:textId="3E16518E" w:rsidR="00836204" w:rsidRPr="00836204" w:rsidRDefault="00836204" w:rsidP="00836204">
      <w:pPr>
        <w:shd w:val="clear" w:color="auto" w:fill="FFFFFF"/>
      </w:pPr>
      <w:r w:rsidRPr="00836204">
        <w:t>8 grudnia 2022 r. Rada Ministrów przyjęła Zalecenia w sprawie uwzględniania przez administrację rządową aspektów społecznych w zamówieniach publicznych. Dokument ten nakłada na wszystkich kierowników jednostek administracji rządowej obowiązek uwzględniania aspektów społecznych, w tym w szczególności klauzul społecznych, w możliwie jak najszerszym zakresie oraz w jak największej liczbie postępowań o udzielenie zamówienia publicznego. Zalecenia odnoszą się do instrumentów o charakterze społecznym wskazanych w ustawie</w:t>
      </w:r>
      <w:r w:rsidR="00B82D08">
        <w:t xml:space="preserve"> Pzp.</w:t>
      </w:r>
    </w:p>
    <w:p w14:paraId="1A514332" w14:textId="77777777" w:rsidR="00836204" w:rsidRPr="00836204" w:rsidRDefault="00836204" w:rsidP="00836204">
      <w:pPr>
        <w:shd w:val="clear" w:color="auto" w:fill="FFFFFF"/>
      </w:pPr>
      <w:r w:rsidRPr="00836204">
        <w:t>Aktualizacja obowiązujących od 2017 r. Zaleceń Rady Ministrów podyktowana była potrzebą dostosowania ich treści do obecnego stanu prawnego w zakresie zamówień publicznych, a także koniecznością zapewnienia spójności z innymi dokumentami o charakterze strategicznym m.in. Polityką zakupową państwa, która określa planowane działania administracji rządowej w zakresie społecznych zamówień publicznych.</w:t>
      </w:r>
    </w:p>
    <w:p w14:paraId="585E80A1" w14:textId="77777777" w:rsidR="00836204" w:rsidRPr="00283D0B" w:rsidRDefault="00836204" w:rsidP="00283D0B">
      <w:pPr>
        <w:shd w:val="clear" w:color="auto" w:fill="FFFFFF"/>
      </w:pPr>
    </w:p>
    <w:p w14:paraId="0DD0F3D4" w14:textId="77777777" w:rsidR="006130A9" w:rsidRPr="00443DC3" w:rsidRDefault="006130A9" w:rsidP="00443DC3">
      <w:pPr>
        <w:shd w:val="clear" w:color="auto" w:fill="FFFFFF"/>
      </w:pPr>
    </w:p>
    <w:p w14:paraId="07513129" w14:textId="5F290CC5" w:rsidR="00443DC3" w:rsidRPr="00C06ED6" w:rsidRDefault="00443DC3" w:rsidP="00443DC3">
      <w:pPr>
        <w:shd w:val="clear" w:color="auto" w:fill="FFFFFF"/>
        <w:rPr>
          <w:b/>
          <w:bCs/>
          <w:color w:val="0070C0"/>
        </w:rPr>
      </w:pPr>
      <w:r w:rsidRPr="00C06ED6">
        <w:rPr>
          <w:b/>
          <w:bCs/>
          <w:color w:val="0070C0"/>
        </w:rPr>
        <w:t xml:space="preserve">Dane ogólne </w:t>
      </w:r>
    </w:p>
    <w:p w14:paraId="50D79A81" w14:textId="77777777" w:rsidR="00443DC3" w:rsidRPr="00443DC3" w:rsidRDefault="00443DC3" w:rsidP="00443DC3">
      <w:pPr>
        <w:shd w:val="clear" w:color="auto" w:fill="FFFFFF"/>
      </w:pPr>
    </w:p>
    <w:p w14:paraId="132EFA17" w14:textId="6668093C" w:rsidR="00A31B1F" w:rsidRPr="00A31B1F" w:rsidRDefault="00A31B1F" w:rsidP="00A31B1F">
      <w:pPr>
        <w:shd w:val="clear" w:color="auto" w:fill="FFFFFF"/>
        <w:rPr>
          <w:b/>
        </w:rPr>
      </w:pPr>
      <w:r w:rsidRPr="00A31B1F">
        <w:t>W 2022 r. 626 zamawiających stanowiących jednostki administracji rządowej udzieliło 6</w:t>
      </w:r>
      <w:r>
        <w:t> </w:t>
      </w:r>
      <w:r w:rsidRPr="00A31B1F">
        <w:t>765 zamówień publicznych uwzględniających aspekty społeczne o łącznej wartości 26 621 831 511,84 zł (bez podatku od towarów i usług). W porównaniu z rokiem 2021</w:t>
      </w:r>
      <w:r w:rsidR="009A02C1">
        <w:t xml:space="preserve"> </w:t>
      </w:r>
      <w:r w:rsidRPr="00A31B1F">
        <w:t xml:space="preserve">odnotowano znaczny wzrost zarówno liczby społecznych zamówień publicznych udzielonych przez jednostki administracji rządowej </w:t>
      </w:r>
      <w:r w:rsidR="00972A71" w:rsidRPr="00972A71">
        <w:t>–</w:t>
      </w:r>
      <w:r w:rsidRPr="00A31B1F">
        <w:t xml:space="preserve"> o 2</w:t>
      </w:r>
      <w:r>
        <w:t> </w:t>
      </w:r>
      <w:r w:rsidRPr="00A31B1F">
        <w:t>592 zamówienia, jak i wartości tych zamówień. W 2022 r. administracja rządowa udzieliła zamówień o wartości większej o ok. 18,7 mld zł (wartość bez podatku od towaru i usług) w porównaniu do roku 2021. O 65 podmiotów zwiększyła się również liczba zamawiających z administracji rządowej, którzy udzielili społecznych zamówień w 2022 r. Udział społecznych zamówień udzielonych przez jednostki administracji rządowej w ogólnej liczbie zamówień o charakterze społecznym stanowił 17,55%. Z kolei wartość społecznych zamówień udzielonych przez jednostki administracji rządowej stanowiła 26,2% wartości ogółu zamówień uwzględniających aspekty społeczne, które polscy zamawiający udzielili w 2022 r.</w:t>
      </w:r>
    </w:p>
    <w:p w14:paraId="78A7121C" w14:textId="77777777" w:rsidR="0026738D" w:rsidRPr="00443DC3" w:rsidRDefault="0026738D" w:rsidP="00443DC3">
      <w:pPr>
        <w:shd w:val="clear" w:color="auto" w:fill="FFFFFF"/>
      </w:pPr>
    </w:p>
    <w:p w14:paraId="09C77FE3" w14:textId="0732ADAD" w:rsidR="00315E2C" w:rsidRPr="00443DC3" w:rsidRDefault="00315E2C" w:rsidP="00EF57A8">
      <w:pPr>
        <w:pStyle w:val="Legenda"/>
      </w:pPr>
      <w:bookmarkStart w:id="145" w:name="_Toc141276550"/>
      <w:r w:rsidRPr="00A31B1F">
        <w:t xml:space="preserve">Tab. </w:t>
      </w:r>
      <w:r w:rsidR="00BE2079">
        <w:fldChar w:fldCharType="begin"/>
      </w:r>
      <w:r w:rsidR="00BE2079">
        <w:instrText xml:space="preserve"> SEQ Tab. \* ARABIC </w:instrText>
      </w:r>
      <w:r w:rsidR="00BE2079">
        <w:fldChar w:fldCharType="separate"/>
      </w:r>
      <w:r w:rsidR="00A43C68">
        <w:rPr>
          <w:noProof/>
        </w:rPr>
        <w:t>43</w:t>
      </w:r>
      <w:r w:rsidR="00BE2079">
        <w:rPr>
          <w:noProof/>
        </w:rPr>
        <w:fldChar w:fldCharType="end"/>
      </w:r>
      <w:r w:rsidRPr="00A31B1F">
        <w:t>. Społeczne zamówienia publiczne udzielane przez jednostki administracji rządowej w 202</w:t>
      </w:r>
      <w:r w:rsidR="00A31B1F" w:rsidRPr="00A31B1F">
        <w:t>2</w:t>
      </w:r>
      <w:r w:rsidRPr="00A31B1F">
        <w:t xml:space="preserve"> r.</w:t>
      </w:r>
      <w:r w:rsidR="00A17695">
        <w:t xml:space="preserve"> </w:t>
      </w:r>
      <w:r w:rsidRPr="00A31B1F">
        <w:t>– dane ogólne</w:t>
      </w:r>
      <w:bookmarkEnd w:id="14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443DC3" w:rsidRPr="00443DC3" w14:paraId="1617EC86" w14:textId="77777777" w:rsidTr="00EF57A8">
        <w:trPr>
          <w:trHeight w:val="300"/>
          <w:tblHeader/>
          <w:jc w:val="center"/>
        </w:trPr>
        <w:tc>
          <w:tcPr>
            <w:tcW w:w="9062" w:type="dxa"/>
            <w:gridSpan w:val="2"/>
            <w:shd w:val="clear" w:color="auto" w:fill="5B9BD5"/>
            <w:noWrap/>
            <w:vAlign w:val="center"/>
            <w:hideMark/>
          </w:tcPr>
          <w:p w14:paraId="66318DC0" w14:textId="77777777" w:rsidR="00443DC3" w:rsidRPr="00443DC3" w:rsidRDefault="00443DC3" w:rsidP="00443DC3">
            <w:pPr>
              <w:jc w:val="center"/>
              <w:rPr>
                <w:rFonts w:cs="Arial"/>
                <w:b/>
                <w:sz w:val="20"/>
                <w:szCs w:val="20"/>
              </w:rPr>
            </w:pPr>
            <w:r w:rsidRPr="00443DC3">
              <w:rPr>
                <w:rFonts w:cs="Arial"/>
                <w:b/>
                <w:sz w:val="20"/>
                <w:szCs w:val="20"/>
              </w:rPr>
              <w:t>DANE OGÓLNE</w:t>
            </w:r>
          </w:p>
        </w:tc>
      </w:tr>
      <w:tr w:rsidR="0020017E" w:rsidRPr="00443DC3" w14:paraId="6B9AC47C" w14:textId="77777777" w:rsidTr="00EF57A8">
        <w:trPr>
          <w:trHeight w:val="300"/>
          <w:jc w:val="center"/>
        </w:trPr>
        <w:tc>
          <w:tcPr>
            <w:tcW w:w="6799" w:type="dxa"/>
            <w:shd w:val="clear" w:color="auto" w:fill="auto"/>
            <w:noWrap/>
            <w:vAlign w:val="center"/>
          </w:tcPr>
          <w:p w14:paraId="2ED98821" w14:textId="269846D4" w:rsidR="0020017E" w:rsidRPr="00443DC3" w:rsidRDefault="0020017E" w:rsidP="0020017E">
            <w:pPr>
              <w:rPr>
                <w:rFonts w:cs="Arial"/>
                <w:bCs/>
                <w:sz w:val="20"/>
                <w:szCs w:val="20"/>
              </w:rPr>
            </w:pPr>
            <w:r w:rsidRPr="00FD623C">
              <w:rPr>
                <w:rFonts w:cs="Arial"/>
                <w:bCs/>
                <w:sz w:val="20"/>
                <w:szCs w:val="20"/>
              </w:rPr>
              <w:t xml:space="preserve">Liczba zamawiających, którzy udzielili zamówień publicznych uwzględniających aspekty społeczne </w:t>
            </w:r>
            <w:r>
              <w:rPr>
                <w:rFonts w:cs="Arial"/>
                <w:sz w:val="20"/>
                <w:szCs w:val="20"/>
              </w:rPr>
              <w:t xml:space="preserve">(na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tcPr>
          <w:p w14:paraId="6A481D59" w14:textId="4A7CFB70" w:rsidR="0020017E" w:rsidRPr="00443DC3" w:rsidRDefault="0020017E" w:rsidP="0020017E">
            <w:pPr>
              <w:jc w:val="center"/>
              <w:rPr>
                <w:rFonts w:cs="Arial"/>
                <w:sz w:val="20"/>
                <w:szCs w:val="20"/>
              </w:rPr>
            </w:pPr>
            <w:r>
              <w:rPr>
                <w:rFonts w:cs="Arial"/>
                <w:sz w:val="20"/>
                <w:szCs w:val="20"/>
              </w:rPr>
              <w:t>606</w:t>
            </w:r>
          </w:p>
        </w:tc>
      </w:tr>
      <w:tr w:rsidR="0020017E" w:rsidRPr="00443DC3" w14:paraId="722767F2" w14:textId="77777777" w:rsidTr="00EF57A8">
        <w:trPr>
          <w:trHeight w:val="300"/>
          <w:jc w:val="center"/>
        </w:trPr>
        <w:tc>
          <w:tcPr>
            <w:tcW w:w="6799" w:type="dxa"/>
            <w:shd w:val="clear" w:color="auto" w:fill="DEEAF6"/>
            <w:noWrap/>
            <w:vAlign w:val="center"/>
          </w:tcPr>
          <w:p w14:paraId="2B70AB21" w14:textId="0817B8A8" w:rsidR="0020017E" w:rsidRPr="00443DC3" w:rsidRDefault="0020017E" w:rsidP="0020017E">
            <w:pPr>
              <w:rPr>
                <w:rFonts w:cs="Arial"/>
                <w:bCs/>
                <w:sz w:val="20"/>
                <w:szCs w:val="20"/>
              </w:rPr>
            </w:pPr>
            <w:r w:rsidRPr="00FD623C">
              <w:rPr>
                <w:rFonts w:cs="Arial"/>
                <w:bCs/>
                <w:sz w:val="20"/>
                <w:szCs w:val="20"/>
              </w:rPr>
              <w:t xml:space="preserve">Liczba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DEEAF6"/>
            <w:noWrap/>
            <w:vAlign w:val="center"/>
          </w:tcPr>
          <w:p w14:paraId="1C61E1FD" w14:textId="5F3072EF" w:rsidR="0020017E" w:rsidRPr="00443DC3" w:rsidRDefault="0020017E" w:rsidP="0020017E">
            <w:pPr>
              <w:jc w:val="center"/>
              <w:rPr>
                <w:rFonts w:cs="Arial"/>
                <w:sz w:val="20"/>
                <w:szCs w:val="20"/>
                <w:highlight w:val="yellow"/>
              </w:rPr>
            </w:pPr>
            <w:r w:rsidRPr="007E18B6">
              <w:rPr>
                <w:rFonts w:cs="Arial"/>
                <w:sz w:val="20"/>
                <w:szCs w:val="20"/>
              </w:rPr>
              <w:t>6</w:t>
            </w:r>
            <w:r>
              <w:rPr>
                <w:rFonts w:cs="Arial"/>
                <w:sz w:val="20"/>
                <w:szCs w:val="20"/>
              </w:rPr>
              <w:t xml:space="preserve"> </w:t>
            </w:r>
            <w:r w:rsidRPr="007E18B6">
              <w:rPr>
                <w:rFonts w:cs="Arial"/>
                <w:sz w:val="20"/>
                <w:szCs w:val="20"/>
              </w:rPr>
              <w:t>63</w:t>
            </w:r>
            <w:r>
              <w:rPr>
                <w:rFonts w:cs="Arial"/>
                <w:sz w:val="20"/>
                <w:szCs w:val="20"/>
              </w:rPr>
              <w:t>9</w:t>
            </w:r>
          </w:p>
        </w:tc>
      </w:tr>
      <w:tr w:rsidR="0020017E" w:rsidRPr="00443DC3" w14:paraId="0BB47E13" w14:textId="77777777" w:rsidTr="00EF57A8">
        <w:trPr>
          <w:trHeight w:val="300"/>
          <w:jc w:val="center"/>
        </w:trPr>
        <w:tc>
          <w:tcPr>
            <w:tcW w:w="6799" w:type="dxa"/>
            <w:shd w:val="clear" w:color="auto" w:fill="auto"/>
            <w:noWrap/>
            <w:vAlign w:val="center"/>
            <w:hideMark/>
          </w:tcPr>
          <w:p w14:paraId="6CCBA23A" w14:textId="3AC879DA" w:rsidR="0020017E" w:rsidRPr="00443DC3" w:rsidRDefault="0020017E" w:rsidP="0020017E">
            <w:pPr>
              <w:rPr>
                <w:rFonts w:cs="Arial"/>
                <w:bCs/>
                <w:sz w:val="20"/>
                <w:szCs w:val="20"/>
              </w:rPr>
            </w:pPr>
            <w:r w:rsidRPr="00FD623C">
              <w:rPr>
                <w:rFonts w:cs="Arial"/>
                <w:bCs/>
                <w:sz w:val="20"/>
                <w:szCs w:val="20"/>
              </w:rPr>
              <w:t xml:space="preserve">Wartość </w:t>
            </w:r>
            <w:r w:rsidRPr="00FD623C">
              <w:rPr>
                <w:rFonts w:cs="Arial"/>
                <w:sz w:val="20"/>
                <w:szCs w:val="20"/>
              </w:rPr>
              <w:t>udzielonych zamówień publicznych uwzględniających aspekty społeczne</w:t>
            </w:r>
            <w:r>
              <w:rPr>
                <w:rFonts w:cs="Arial"/>
                <w:sz w:val="20"/>
                <w:szCs w:val="20"/>
              </w:rPr>
              <w:t xml:space="preserve"> (na podst. </w:t>
            </w:r>
            <w:r w:rsidRPr="00AA36B9">
              <w:rPr>
                <w:rFonts w:cs="Arial"/>
                <w:sz w:val="20"/>
                <w:szCs w:val="20"/>
              </w:rPr>
              <w:t>art. 94 ust.</w:t>
            </w:r>
            <w:r>
              <w:rPr>
                <w:rFonts w:cs="Arial"/>
                <w:sz w:val="20"/>
                <w:szCs w:val="20"/>
              </w:rPr>
              <w:t xml:space="preserve"> </w:t>
            </w:r>
            <w:r w:rsidRPr="00AA36B9">
              <w:rPr>
                <w:rFonts w:cs="Arial"/>
                <w:sz w:val="20"/>
                <w:szCs w:val="20"/>
              </w:rPr>
              <w:t>1</w:t>
            </w:r>
            <w:r>
              <w:rPr>
                <w:rFonts w:cs="Arial"/>
                <w:sz w:val="20"/>
                <w:szCs w:val="20"/>
              </w:rPr>
              <w:t xml:space="preserve">, art. </w:t>
            </w:r>
            <w:r w:rsidRPr="00555700">
              <w:rPr>
                <w:rFonts w:cs="Arial"/>
                <w:sz w:val="20"/>
                <w:szCs w:val="20"/>
              </w:rPr>
              <w:t>100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242 ust. 2</w:t>
            </w:r>
            <w:r>
              <w:rPr>
                <w:rFonts w:cs="Arial"/>
                <w:sz w:val="20"/>
                <w:szCs w:val="20"/>
              </w:rPr>
              <w:t xml:space="preserve">, </w:t>
            </w:r>
            <w:r w:rsidRPr="00555700">
              <w:rPr>
                <w:rFonts w:cs="Arial"/>
                <w:sz w:val="20"/>
                <w:szCs w:val="20"/>
              </w:rPr>
              <w:t>art. 95 ust.</w:t>
            </w:r>
            <w:r>
              <w:rPr>
                <w:rFonts w:cs="Arial"/>
                <w:sz w:val="20"/>
                <w:szCs w:val="20"/>
              </w:rPr>
              <w:t xml:space="preserve"> </w:t>
            </w:r>
            <w:r w:rsidRPr="00555700">
              <w:rPr>
                <w:rFonts w:cs="Arial"/>
                <w:sz w:val="20"/>
                <w:szCs w:val="20"/>
              </w:rPr>
              <w:t>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96 ust. 1</w:t>
            </w:r>
            <w:r>
              <w:rPr>
                <w:rFonts w:cs="Arial"/>
                <w:sz w:val="20"/>
                <w:szCs w:val="20"/>
              </w:rPr>
              <w:t xml:space="preserve">, </w:t>
            </w:r>
            <w:r w:rsidRPr="00555700">
              <w:rPr>
                <w:rFonts w:cs="Arial"/>
                <w:sz w:val="20"/>
                <w:szCs w:val="20"/>
              </w:rPr>
              <w:t>art.</w:t>
            </w:r>
            <w:r>
              <w:rPr>
                <w:rFonts w:cs="Arial"/>
                <w:sz w:val="20"/>
                <w:szCs w:val="20"/>
              </w:rPr>
              <w:t xml:space="preserve"> </w:t>
            </w:r>
            <w:r w:rsidRPr="00555700">
              <w:rPr>
                <w:rFonts w:cs="Arial"/>
                <w:sz w:val="20"/>
                <w:szCs w:val="20"/>
              </w:rPr>
              <w:t>104</w:t>
            </w:r>
            <w:r>
              <w:rPr>
                <w:rFonts w:cs="Arial"/>
                <w:sz w:val="20"/>
                <w:szCs w:val="20"/>
              </w:rPr>
              <w:t xml:space="preserve"> ustawy Pzp)</w:t>
            </w:r>
          </w:p>
        </w:tc>
        <w:tc>
          <w:tcPr>
            <w:tcW w:w="2263" w:type="dxa"/>
            <w:shd w:val="clear" w:color="auto" w:fill="auto"/>
            <w:noWrap/>
            <w:vAlign w:val="center"/>
            <w:hideMark/>
          </w:tcPr>
          <w:p w14:paraId="43E4B3B3" w14:textId="77777777" w:rsidR="0020017E" w:rsidRPr="007A13C9" w:rsidRDefault="0020017E" w:rsidP="0020017E">
            <w:pPr>
              <w:jc w:val="center"/>
              <w:rPr>
                <w:rFonts w:cs="Arial"/>
                <w:sz w:val="20"/>
                <w:szCs w:val="20"/>
              </w:rPr>
            </w:pPr>
            <w:r w:rsidRPr="007E18B6">
              <w:rPr>
                <w:rFonts w:cs="Arial"/>
                <w:sz w:val="20"/>
                <w:szCs w:val="20"/>
              </w:rPr>
              <w:t>2</w:t>
            </w:r>
            <w:r>
              <w:rPr>
                <w:rFonts w:cs="Arial"/>
                <w:sz w:val="20"/>
                <w:szCs w:val="20"/>
              </w:rPr>
              <w:t>6</w:t>
            </w:r>
            <w:r w:rsidRPr="007E18B6">
              <w:rPr>
                <w:rFonts w:cs="Arial"/>
                <w:sz w:val="20"/>
                <w:szCs w:val="20"/>
              </w:rPr>
              <w:t xml:space="preserve"> </w:t>
            </w:r>
            <w:r>
              <w:rPr>
                <w:rFonts w:cs="Arial"/>
                <w:sz w:val="20"/>
                <w:szCs w:val="20"/>
              </w:rPr>
              <w:t>553</w:t>
            </w:r>
            <w:r w:rsidRPr="007E18B6">
              <w:rPr>
                <w:rFonts w:cs="Arial"/>
                <w:sz w:val="20"/>
                <w:szCs w:val="20"/>
              </w:rPr>
              <w:t xml:space="preserve"> </w:t>
            </w:r>
            <w:r>
              <w:rPr>
                <w:rFonts w:cs="Arial"/>
                <w:sz w:val="20"/>
                <w:szCs w:val="20"/>
              </w:rPr>
              <w:t>805</w:t>
            </w:r>
            <w:r w:rsidRPr="007E18B6">
              <w:rPr>
                <w:rFonts w:cs="Arial"/>
                <w:sz w:val="20"/>
                <w:szCs w:val="20"/>
              </w:rPr>
              <w:t xml:space="preserve"> </w:t>
            </w:r>
            <w:r>
              <w:rPr>
                <w:rFonts w:cs="Arial"/>
                <w:sz w:val="20"/>
                <w:szCs w:val="20"/>
              </w:rPr>
              <w:t>033</w:t>
            </w:r>
            <w:r w:rsidRPr="007E18B6">
              <w:rPr>
                <w:rFonts w:cs="Arial"/>
                <w:sz w:val="20"/>
                <w:szCs w:val="20"/>
              </w:rPr>
              <w:t>,</w:t>
            </w:r>
            <w:r>
              <w:rPr>
                <w:rFonts w:cs="Arial"/>
                <w:sz w:val="20"/>
                <w:szCs w:val="20"/>
              </w:rPr>
              <w:t>03</w:t>
            </w:r>
            <w:r w:rsidRPr="007E18B6">
              <w:rPr>
                <w:rFonts w:cs="Arial"/>
                <w:sz w:val="20"/>
                <w:szCs w:val="20"/>
              </w:rPr>
              <w:t xml:space="preserve"> zł</w:t>
            </w:r>
          </w:p>
          <w:p w14:paraId="481FEC2E" w14:textId="37CEA1F6" w:rsidR="0020017E" w:rsidRPr="00443DC3" w:rsidRDefault="0020017E" w:rsidP="0020017E">
            <w:pPr>
              <w:jc w:val="center"/>
              <w:rPr>
                <w:rFonts w:cs="Arial"/>
                <w:sz w:val="20"/>
                <w:szCs w:val="20"/>
              </w:rPr>
            </w:pPr>
            <w:r w:rsidRPr="007A13C9">
              <w:rPr>
                <w:rFonts w:cs="Arial"/>
                <w:sz w:val="20"/>
                <w:szCs w:val="20"/>
              </w:rPr>
              <w:t>(wartość bez VAT)</w:t>
            </w:r>
          </w:p>
        </w:tc>
      </w:tr>
      <w:tr w:rsidR="0020017E" w:rsidRPr="00443DC3" w14:paraId="49AB81E2" w14:textId="77777777" w:rsidTr="00EF57A8">
        <w:trPr>
          <w:trHeight w:val="300"/>
          <w:jc w:val="center"/>
        </w:trPr>
        <w:tc>
          <w:tcPr>
            <w:tcW w:w="6799" w:type="dxa"/>
            <w:shd w:val="clear" w:color="auto" w:fill="DEEAF6"/>
            <w:noWrap/>
            <w:vAlign w:val="center"/>
          </w:tcPr>
          <w:p w14:paraId="26555ED1" w14:textId="2890A54B" w:rsidR="0020017E" w:rsidRPr="00443DC3" w:rsidRDefault="0020017E" w:rsidP="0020017E">
            <w:pPr>
              <w:rPr>
                <w:rFonts w:cs="Arial"/>
                <w:bCs/>
                <w:sz w:val="20"/>
                <w:szCs w:val="20"/>
              </w:rPr>
            </w:pPr>
            <w:r w:rsidRPr="00C14078">
              <w:rPr>
                <w:rFonts w:cs="Arial"/>
                <w:bCs/>
                <w:sz w:val="20"/>
                <w:szCs w:val="20"/>
              </w:rPr>
              <w:t xml:space="preserve">Liczba zamawiających, którzy udzielili zamówień zastrzeżonych </w:t>
            </w:r>
            <w:r w:rsidRPr="00C14078">
              <w:rPr>
                <w:rFonts w:eastAsia="Calibri" w:cs="Arial"/>
                <w:sz w:val="20"/>
                <w:szCs w:val="20"/>
              </w:rPr>
              <w:t xml:space="preserve">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noWrap/>
            <w:vAlign w:val="center"/>
          </w:tcPr>
          <w:p w14:paraId="34234F71" w14:textId="41E6F4CF" w:rsidR="0020017E" w:rsidRPr="00443DC3" w:rsidRDefault="0020017E" w:rsidP="0020017E">
            <w:pPr>
              <w:jc w:val="center"/>
              <w:rPr>
                <w:rFonts w:cs="Arial"/>
                <w:sz w:val="20"/>
                <w:szCs w:val="20"/>
                <w:highlight w:val="yellow"/>
              </w:rPr>
            </w:pPr>
            <w:r>
              <w:rPr>
                <w:rFonts w:cs="Arial"/>
                <w:sz w:val="20"/>
                <w:szCs w:val="20"/>
              </w:rPr>
              <w:t>55</w:t>
            </w:r>
          </w:p>
        </w:tc>
      </w:tr>
      <w:tr w:rsidR="0020017E" w:rsidRPr="00443DC3" w14:paraId="1415D747" w14:textId="77777777" w:rsidTr="00EF57A8">
        <w:trPr>
          <w:trHeight w:val="300"/>
          <w:jc w:val="center"/>
        </w:trPr>
        <w:tc>
          <w:tcPr>
            <w:tcW w:w="6799" w:type="dxa"/>
            <w:shd w:val="clear" w:color="auto" w:fill="auto"/>
            <w:noWrap/>
            <w:vAlign w:val="center"/>
          </w:tcPr>
          <w:p w14:paraId="53A2A127" w14:textId="41C2E683" w:rsidR="0020017E" w:rsidRPr="00443DC3" w:rsidRDefault="0020017E" w:rsidP="0020017E">
            <w:pPr>
              <w:rPr>
                <w:rFonts w:eastAsia="Calibri" w:cs="Arial"/>
                <w:sz w:val="20"/>
                <w:szCs w:val="20"/>
              </w:rPr>
            </w:pPr>
            <w:r w:rsidRPr="00FD623C">
              <w:rPr>
                <w:rFonts w:eastAsia="Calibri" w:cs="Arial"/>
                <w:sz w:val="20"/>
                <w:szCs w:val="20"/>
              </w:rPr>
              <w:t xml:space="preserve">Liczba 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auto"/>
            <w:noWrap/>
            <w:vAlign w:val="center"/>
          </w:tcPr>
          <w:p w14:paraId="210D3E25" w14:textId="4A91BCCB" w:rsidR="0020017E" w:rsidRPr="00443DC3" w:rsidRDefault="0020017E" w:rsidP="0020017E">
            <w:pPr>
              <w:jc w:val="center"/>
              <w:rPr>
                <w:rFonts w:cs="Arial"/>
                <w:sz w:val="20"/>
                <w:szCs w:val="20"/>
              </w:rPr>
            </w:pPr>
            <w:r>
              <w:rPr>
                <w:rFonts w:cs="Arial"/>
                <w:sz w:val="20"/>
                <w:szCs w:val="20"/>
              </w:rPr>
              <w:t>126</w:t>
            </w:r>
          </w:p>
        </w:tc>
      </w:tr>
      <w:tr w:rsidR="0020017E" w:rsidRPr="00443DC3" w14:paraId="362B6DDE" w14:textId="77777777" w:rsidTr="00EF57A8">
        <w:trPr>
          <w:trHeight w:val="300"/>
          <w:jc w:val="center"/>
        </w:trPr>
        <w:tc>
          <w:tcPr>
            <w:tcW w:w="6799" w:type="dxa"/>
            <w:shd w:val="clear" w:color="auto" w:fill="DEEAF6"/>
            <w:noWrap/>
            <w:vAlign w:val="center"/>
          </w:tcPr>
          <w:p w14:paraId="24F07D5C" w14:textId="69930086" w:rsidR="0020017E" w:rsidRPr="00443DC3" w:rsidRDefault="0020017E" w:rsidP="0020017E">
            <w:pPr>
              <w:rPr>
                <w:rFonts w:cs="Arial"/>
                <w:bCs/>
                <w:sz w:val="20"/>
                <w:szCs w:val="20"/>
              </w:rPr>
            </w:pPr>
            <w:r w:rsidRPr="00FD623C">
              <w:rPr>
                <w:rFonts w:cs="Arial"/>
                <w:bCs/>
                <w:sz w:val="20"/>
                <w:szCs w:val="20"/>
              </w:rPr>
              <w:t xml:space="preserve">Wartość </w:t>
            </w:r>
            <w:r w:rsidRPr="00FD623C">
              <w:rPr>
                <w:rFonts w:eastAsia="Calibri" w:cs="Arial"/>
                <w:sz w:val="20"/>
                <w:szCs w:val="20"/>
              </w:rPr>
              <w:t xml:space="preserve">zamówień zastrzeżonych na usługi zdrowotne, społeczne lub kulturalne, o których mowa w </w:t>
            </w:r>
            <w:r w:rsidRPr="008D358E">
              <w:rPr>
                <w:rFonts w:eastAsia="Calibri" w:cs="Arial"/>
                <w:sz w:val="20"/>
                <w:szCs w:val="20"/>
              </w:rPr>
              <w:t>art.</w:t>
            </w:r>
            <w:r>
              <w:rPr>
                <w:rFonts w:eastAsia="Calibri" w:cs="Arial"/>
                <w:sz w:val="20"/>
                <w:szCs w:val="20"/>
              </w:rPr>
              <w:t xml:space="preserve"> </w:t>
            </w:r>
            <w:r w:rsidRPr="008D358E">
              <w:rPr>
                <w:rFonts w:eastAsia="Calibri" w:cs="Arial"/>
                <w:sz w:val="20"/>
                <w:szCs w:val="20"/>
              </w:rPr>
              <w:t>361 ust. 1 lub art. 392</w:t>
            </w:r>
            <w:r>
              <w:rPr>
                <w:rFonts w:eastAsia="Calibri" w:cs="Arial"/>
                <w:sz w:val="20"/>
                <w:szCs w:val="20"/>
              </w:rPr>
              <w:t xml:space="preserve"> </w:t>
            </w:r>
            <w:r w:rsidRPr="008D358E">
              <w:rPr>
                <w:rFonts w:eastAsia="Calibri" w:cs="Arial"/>
                <w:sz w:val="20"/>
                <w:szCs w:val="20"/>
              </w:rPr>
              <w:t>ust. 3 ustawy</w:t>
            </w:r>
            <w:r>
              <w:rPr>
                <w:rFonts w:eastAsia="Calibri" w:cs="Arial"/>
                <w:sz w:val="20"/>
                <w:szCs w:val="20"/>
              </w:rPr>
              <w:t xml:space="preserve"> </w:t>
            </w:r>
            <w:r w:rsidRPr="00C14078">
              <w:rPr>
                <w:rFonts w:eastAsia="Calibri" w:cs="Arial"/>
                <w:sz w:val="20"/>
                <w:szCs w:val="20"/>
              </w:rPr>
              <w:t>Pzp</w:t>
            </w:r>
          </w:p>
        </w:tc>
        <w:tc>
          <w:tcPr>
            <w:tcW w:w="2263" w:type="dxa"/>
            <w:shd w:val="clear" w:color="auto" w:fill="DEEAF6"/>
            <w:noWrap/>
            <w:vAlign w:val="center"/>
          </w:tcPr>
          <w:p w14:paraId="50C77CD7" w14:textId="77777777" w:rsidR="0020017E" w:rsidRDefault="0020017E" w:rsidP="0020017E">
            <w:pPr>
              <w:jc w:val="center"/>
              <w:rPr>
                <w:rFonts w:cs="Arial"/>
                <w:sz w:val="20"/>
                <w:szCs w:val="20"/>
              </w:rPr>
            </w:pPr>
            <w:r w:rsidRPr="00E430AD">
              <w:rPr>
                <w:rFonts w:cs="Arial"/>
                <w:sz w:val="20"/>
                <w:szCs w:val="20"/>
              </w:rPr>
              <w:t>68 026 478,81 zł</w:t>
            </w:r>
          </w:p>
          <w:p w14:paraId="3905FF99" w14:textId="100D2FB5" w:rsidR="0020017E" w:rsidRPr="00443DC3" w:rsidRDefault="0020017E" w:rsidP="0020017E">
            <w:pPr>
              <w:jc w:val="center"/>
              <w:rPr>
                <w:rFonts w:cs="Arial"/>
                <w:sz w:val="20"/>
                <w:szCs w:val="20"/>
              </w:rPr>
            </w:pPr>
            <w:r w:rsidRPr="00FD623C">
              <w:rPr>
                <w:rFonts w:cs="Arial"/>
                <w:sz w:val="20"/>
                <w:szCs w:val="20"/>
              </w:rPr>
              <w:t>(wartość bez VAT)</w:t>
            </w:r>
          </w:p>
        </w:tc>
      </w:tr>
      <w:tr w:rsidR="0020017E" w:rsidRPr="00443DC3" w14:paraId="25FE57D8" w14:textId="77777777" w:rsidTr="00EF57A8">
        <w:trPr>
          <w:trHeight w:val="300"/>
          <w:jc w:val="center"/>
        </w:trPr>
        <w:tc>
          <w:tcPr>
            <w:tcW w:w="6799" w:type="dxa"/>
            <w:shd w:val="clear" w:color="auto" w:fill="auto"/>
            <w:noWrap/>
            <w:vAlign w:val="center"/>
          </w:tcPr>
          <w:p w14:paraId="3B22BCF5" w14:textId="44A0DBAD" w:rsidR="0020017E" w:rsidRPr="00443DC3" w:rsidRDefault="0020017E" w:rsidP="0020017E">
            <w:pPr>
              <w:jc w:val="center"/>
              <w:rPr>
                <w:rFonts w:eastAsia="Calibri" w:cs="Arial"/>
                <w:sz w:val="20"/>
                <w:szCs w:val="20"/>
              </w:rPr>
            </w:pPr>
            <w:r w:rsidRPr="00443DC3">
              <w:rPr>
                <w:rFonts w:cs="Arial"/>
                <w:b/>
                <w:bCs/>
                <w:sz w:val="20"/>
                <w:szCs w:val="20"/>
              </w:rPr>
              <w:t>ŁĄCZNIE</w:t>
            </w:r>
          </w:p>
        </w:tc>
        <w:tc>
          <w:tcPr>
            <w:tcW w:w="2263" w:type="dxa"/>
            <w:shd w:val="clear" w:color="auto" w:fill="auto"/>
            <w:noWrap/>
            <w:vAlign w:val="center"/>
          </w:tcPr>
          <w:p w14:paraId="2EE5190A" w14:textId="2123B61B" w:rsidR="0020017E" w:rsidRPr="00443DC3" w:rsidRDefault="0020017E" w:rsidP="0020017E">
            <w:pPr>
              <w:jc w:val="center"/>
              <w:rPr>
                <w:rFonts w:cs="Arial"/>
                <w:b/>
                <w:sz w:val="20"/>
                <w:szCs w:val="20"/>
              </w:rPr>
            </w:pPr>
          </w:p>
        </w:tc>
      </w:tr>
      <w:tr w:rsidR="0020017E" w:rsidRPr="00443DC3" w14:paraId="39D0736B"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15611D0D" w14:textId="77777777" w:rsidR="0020017E" w:rsidRPr="00443DC3" w:rsidRDefault="0020017E" w:rsidP="0020017E">
            <w:pPr>
              <w:rPr>
                <w:rFonts w:cs="Arial"/>
                <w:bCs/>
                <w:sz w:val="20"/>
                <w:szCs w:val="20"/>
              </w:rPr>
            </w:pPr>
            <w:r w:rsidRPr="00443DC3">
              <w:rPr>
                <w:rFonts w:cs="Arial"/>
                <w:bCs/>
                <w:sz w:val="20"/>
                <w:szCs w:val="20"/>
              </w:rPr>
              <w:t>Liczba zamawiających zobowiązanych do stosowania Zaleceń Rady Ministrów</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49A42947" w14:textId="4E7E1BED" w:rsidR="0020017E" w:rsidRPr="00443DC3" w:rsidRDefault="0020017E" w:rsidP="0020017E">
            <w:pPr>
              <w:jc w:val="center"/>
              <w:rPr>
                <w:rFonts w:cs="Arial"/>
                <w:sz w:val="20"/>
                <w:szCs w:val="20"/>
              </w:rPr>
            </w:pPr>
            <w:r>
              <w:rPr>
                <w:rFonts w:cs="Arial"/>
                <w:sz w:val="20"/>
                <w:szCs w:val="20"/>
              </w:rPr>
              <w:t xml:space="preserve">ok. </w:t>
            </w:r>
            <w:r w:rsidRPr="007C42A4">
              <w:rPr>
                <w:rFonts w:cs="Arial"/>
                <w:sz w:val="20"/>
                <w:szCs w:val="20"/>
              </w:rPr>
              <w:t>2 140</w:t>
            </w:r>
            <w:r w:rsidR="007C0B8D">
              <w:rPr>
                <w:rStyle w:val="Odwoanieprzypisudolnego"/>
                <w:rFonts w:cs="Arial"/>
                <w:sz w:val="20"/>
                <w:szCs w:val="20"/>
              </w:rPr>
              <w:footnoteReference w:id="20"/>
            </w:r>
          </w:p>
        </w:tc>
      </w:tr>
      <w:tr w:rsidR="0020017E" w:rsidRPr="00443DC3" w14:paraId="0A99E630"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8958F" w14:textId="77777777" w:rsidR="0020017E" w:rsidRPr="00443DC3" w:rsidRDefault="0020017E" w:rsidP="0020017E">
            <w:pPr>
              <w:rPr>
                <w:rFonts w:cs="Arial"/>
                <w:bCs/>
                <w:sz w:val="20"/>
                <w:szCs w:val="20"/>
              </w:rPr>
            </w:pPr>
            <w:r w:rsidRPr="00443DC3">
              <w:rPr>
                <w:rFonts w:cs="Arial"/>
                <w:bCs/>
                <w:sz w:val="20"/>
                <w:szCs w:val="20"/>
              </w:rPr>
              <w:t>Liczba zamawiających, którzy udzielili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E3F94" w14:textId="0C3D81B9" w:rsidR="0020017E" w:rsidRPr="00443DC3" w:rsidRDefault="0020017E" w:rsidP="0020017E">
            <w:pPr>
              <w:jc w:val="center"/>
              <w:rPr>
                <w:rFonts w:cs="Arial"/>
                <w:sz w:val="20"/>
                <w:szCs w:val="20"/>
              </w:rPr>
            </w:pPr>
            <w:r>
              <w:rPr>
                <w:rFonts w:cs="Arial"/>
                <w:sz w:val="20"/>
                <w:szCs w:val="20"/>
              </w:rPr>
              <w:t>626</w:t>
            </w:r>
          </w:p>
        </w:tc>
      </w:tr>
      <w:tr w:rsidR="0020017E" w:rsidRPr="00443DC3" w14:paraId="29A26CAA"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0759C" w14:textId="77777777" w:rsidR="0020017E" w:rsidRPr="00443DC3" w:rsidRDefault="0020017E" w:rsidP="0020017E">
            <w:pPr>
              <w:rPr>
                <w:rFonts w:cs="Arial"/>
                <w:bCs/>
                <w:sz w:val="20"/>
                <w:szCs w:val="20"/>
              </w:rPr>
            </w:pPr>
            <w:r w:rsidRPr="00443DC3">
              <w:rPr>
                <w:rFonts w:cs="Arial"/>
                <w:bCs/>
                <w:sz w:val="20"/>
                <w:szCs w:val="20"/>
              </w:rPr>
              <w:t xml:space="preserve">Odsetek zamawiających objętych Zaleceniami Rady Ministrów, którzy udzielili społecznych zamówień </w:t>
            </w:r>
            <w:r w:rsidRPr="00443DC3">
              <w:rPr>
                <w:rFonts w:eastAsia="Calibri" w:cs="Arial"/>
                <w:sz w:val="20"/>
                <w:szCs w:val="20"/>
              </w:rPr>
              <w:t>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CC805" w14:textId="3E5F797C" w:rsidR="0020017E" w:rsidRPr="00443DC3" w:rsidRDefault="0020017E" w:rsidP="0020017E">
            <w:pPr>
              <w:jc w:val="center"/>
              <w:rPr>
                <w:rFonts w:cs="Arial"/>
                <w:sz w:val="20"/>
                <w:szCs w:val="20"/>
              </w:rPr>
            </w:pPr>
            <w:r w:rsidRPr="00711559">
              <w:rPr>
                <w:rFonts w:cs="Arial"/>
                <w:sz w:val="20"/>
                <w:szCs w:val="20"/>
              </w:rPr>
              <w:t>29,</w:t>
            </w:r>
            <w:r>
              <w:rPr>
                <w:rFonts w:cs="Arial"/>
                <w:sz w:val="20"/>
                <w:szCs w:val="20"/>
              </w:rPr>
              <w:t>25</w:t>
            </w:r>
            <w:r w:rsidRPr="00711559">
              <w:rPr>
                <w:rFonts w:cs="Arial"/>
                <w:sz w:val="20"/>
                <w:szCs w:val="20"/>
              </w:rPr>
              <w:t>%</w:t>
            </w:r>
          </w:p>
        </w:tc>
      </w:tr>
      <w:tr w:rsidR="0020017E" w:rsidRPr="00443DC3" w14:paraId="3A7E0229"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72F918B" w14:textId="77777777" w:rsidR="0020017E" w:rsidRPr="00443DC3" w:rsidRDefault="0020017E" w:rsidP="0020017E">
            <w:pPr>
              <w:rPr>
                <w:rFonts w:cs="Arial"/>
                <w:bCs/>
                <w:sz w:val="20"/>
                <w:szCs w:val="20"/>
              </w:rPr>
            </w:pPr>
            <w:r w:rsidRPr="00443DC3">
              <w:rPr>
                <w:rFonts w:cs="Arial"/>
                <w:bCs/>
                <w:sz w:val="20"/>
                <w:szCs w:val="20"/>
              </w:rPr>
              <w:t>Liczba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56EF6EE4" w14:textId="5CB187B4" w:rsidR="0020017E" w:rsidRPr="00443DC3" w:rsidRDefault="0020017E" w:rsidP="0020017E">
            <w:pPr>
              <w:jc w:val="center"/>
              <w:rPr>
                <w:rFonts w:cs="Arial"/>
                <w:sz w:val="20"/>
                <w:szCs w:val="20"/>
              </w:rPr>
            </w:pPr>
            <w:r w:rsidRPr="00CF3C4B">
              <w:rPr>
                <w:rFonts w:cs="Arial"/>
                <w:sz w:val="20"/>
                <w:szCs w:val="20"/>
              </w:rPr>
              <w:t>6 76</w:t>
            </w:r>
            <w:r>
              <w:rPr>
                <w:rFonts w:cs="Arial"/>
                <w:sz w:val="20"/>
                <w:szCs w:val="20"/>
              </w:rPr>
              <w:t>5</w:t>
            </w:r>
          </w:p>
        </w:tc>
      </w:tr>
      <w:tr w:rsidR="0020017E" w:rsidRPr="00443DC3" w14:paraId="5ABCE234"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5B6DD" w14:textId="77777777" w:rsidR="0020017E" w:rsidRPr="00443DC3" w:rsidRDefault="0020017E" w:rsidP="0020017E">
            <w:pPr>
              <w:rPr>
                <w:rFonts w:cs="Arial"/>
                <w:bCs/>
                <w:sz w:val="20"/>
                <w:szCs w:val="20"/>
              </w:rPr>
            </w:pPr>
            <w:r w:rsidRPr="00443DC3">
              <w:rPr>
                <w:rFonts w:cs="Arial"/>
                <w:bCs/>
                <w:sz w:val="20"/>
                <w:szCs w:val="20"/>
              </w:rPr>
              <w:t>Wartość społecznych zamówień publicznych</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AAF8C" w14:textId="77777777" w:rsidR="0020017E" w:rsidRPr="00291BEE" w:rsidRDefault="0020017E" w:rsidP="0020017E">
            <w:pPr>
              <w:jc w:val="center"/>
              <w:rPr>
                <w:rFonts w:cs="Arial"/>
                <w:sz w:val="20"/>
                <w:szCs w:val="20"/>
              </w:rPr>
            </w:pPr>
            <w:r w:rsidRPr="00A4739C">
              <w:rPr>
                <w:rFonts w:cs="Arial"/>
                <w:sz w:val="20"/>
                <w:szCs w:val="20"/>
              </w:rPr>
              <w:t>2</w:t>
            </w:r>
            <w:r>
              <w:rPr>
                <w:rFonts w:cs="Arial"/>
                <w:sz w:val="20"/>
                <w:szCs w:val="20"/>
              </w:rPr>
              <w:t>6</w:t>
            </w:r>
            <w:r w:rsidRPr="00A4739C">
              <w:rPr>
                <w:rFonts w:cs="Arial"/>
                <w:sz w:val="20"/>
                <w:szCs w:val="20"/>
              </w:rPr>
              <w:t xml:space="preserve"> </w:t>
            </w:r>
            <w:r>
              <w:rPr>
                <w:rFonts w:cs="Arial"/>
                <w:sz w:val="20"/>
                <w:szCs w:val="20"/>
              </w:rPr>
              <w:t>621</w:t>
            </w:r>
            <w:r w:rsidRPr="00A4739C">
              <w:rPr>
                <w:rFonts w:cs="Arial"/>
                <w:sz w:val="20"/>
                <w:szCs w:val="20"/>
              </w:rPr>
              <w:t xml:space="preserve"> </w:t>
            </w:r>
            <w:r>
              <w:rPr>
                <w:rFonts w:cs="Arial"/>
                <w:sz w:val="20"/>
                <w:szCs w:val="20"/>
              </w:rPr>
              <w:t>831</w:t>
            </w:r>
            <w:r w:rsidRPr="00A4739C">
              <w:rPr>
                <w:rFonts w:cs="Arial"/>
                <w:sz w:val="20"/>
                <w:szCs w:val="20"/>
              </w:rPr>
              <w:t xml:space="preserve"> </w:t>
            </w:r>
            <w:r>
              <w:rPr>
                <w:rFonts w:cs="Arial"/>
                <w:sz w:val="20"/>
                <w:szCs w:val="20"/>
              </w:rPr>
              <w:t>511</w:t>
            </w:r>
            <w:r w:rsidRPr="00A4739C">
              <w:rPr>
                <w:rFonts w:cs="Arial"/>
                <w:sz w:val="20"/>
                <w:szCs w:val="20"/>
              </w:rPr>
              <w:t>,</w:t>
            </w:r>
            <w:r>
              <w:rPr>
                <w:rFonts w:cs="Arial"/>
                <w:sz w:val="20"/>
                <w:szCs w:val="20"/>
              </w:rPr>
              <w:t>84 zł</w:t>
            </w:r>
          </w:p>
          <w:p w14:paraId="4F390D37" w14:textId="301D8585" w:rsidR="0020017E" w:rsidRPr="00443DC3" w:rsidRDefault="0020017E" w:rsidP="0020017E">
            <w:pPr>
              <w:jc w:val="center"/>
              <w:rPr>
                <w:rFonts w:cs="Arial"/>
                <w:sz w:val="20"/>
                <w:szCs w:val="20"/>
              </w:rPr>
            </w:pPr>
            <w:r w:rsidRPr="00291BEE">
              <w:rPr>
                <w:rFonts w:cs="Arial"/>
                <w:sz w:val="20"/>
                <w:szCs w:val="20"/>
              </w:rPr>
              <w:t>(wartość bez VAT)</w:t>
            </w:r>
          </w:p>
        </w:tc>
      </w:tr>
      <w:tr w:rsidR="0020017E" w:rsidRPr="00443DC3" w14:paraId="11400EBF"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EBBF6" w14:textId="77777777" w:rsidR="0020017E" w:rsidRPr="00A31B1F" w:rsidRDefault="0020017E" w:rsidP="0020017E">
            <w:pPr>
              <w:rPr>
                <w:rFonts w:cs="Arial"/>
                <w:bCs/>
                <w:sz w:val="20"/>
                <w:szCs w:val="20"/>
              </w:rPr>
            </w:pPr>
            <w:r w:rsidRPr="00A31B1F">
              <w:rPr>
                <w:rFonts w:cs="Arial"/>
                <w:bCs/>
                <w:sz w:val="20"/>
                <w:szCs w:val="20"/>
              </w:rPr>
              <w:t xml:space="preserve">Udział społecznych zamówień publicznych </w:t>
            </w:r>
            <w:r w:rsidRPr="00A31B1F">
              <w:rPr>
                <w:rFonts w:cs="Arial"/>
                <w:sz w:val="20"/>
                <w:szCs w:val="20"/>
              </w:rPr>
              <w:t xml:space="preserve">udzielonych przez jednostki administracji rządowej </w:t>
            </w:r>
            <w:r w:rsidRPr="00A31B1F">
              <w:rPr>
                <w:rFonts w:cs="Arial"/>
                <w:bCs/>
                <w:sz w:val="20"/>
                <w:szCs w:val="20"/>
              </w:rPr>
              <w:t>w ogólnej liczbie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D8264" w14:textId="21829FC6" w:rsidR="0020017E" w:rsidRPr="00443DC3" w:rsidRDefault="0020017E" w:rsidP="0020017E">
            <w:pPr>
              <w:jc w:val="center"/>
              <w:rPr>
                <w:rFonts w:cs="Arial"/>
                <w:sz w:val="20"/>
                <w:szCs w:val="20"/>
              </w:rPr>
            </w:pPr>
            <w:r>
              <w:rPr>
                <w:rFonts w:cs="Arial"/>
                <w:sz w:val="20"/>
                <w:szCs w:val="20"/>
              </w:rPr>
              <w:t>17,55%</w:t>
            </w:r>
          </w:p>
        </w:tc>
      </w:tr>
      <w:tr w:rsidR="0020017E" w:rsidRPr="00443DC3" w14:paraId="51D63096" w14:textId="77777777" w:rsidTr="00EF57A8">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275C0" w14:textId="77777777" w:rsidR="0020017E" w:rsidRPr="00A31B1F" w:rsidRDefault="0020017E" w:rsidP="0020017E">
            <w:pPr>
              <w:rPr>
                <w:rFonts w:cs="Arial"/>
                <w:bCs/>
                <w:sz w:val="20"/>
                <w:szCs w:val="20"/>
              </w:rPr>
            </w:pPr>
            <w:r w:rsidRPr="00A31B1F">
              <w:rPr>
                <w:rFonts w:cs="Arial"/>
                <w:bCs/>
                <w:sz w:val="20"/>
                <w:szCs w:val="20"/>
              </w:rPr>
              <w:t xml:space="preserve">Udział społecznych zamówień publicznych </w:t>
            </w:r>
            <w:r w:rsidRPr="00A31B1F">
              <w:rPr>
                <w:rFonts w:cs="Arial"/>
                <w:sz w:val="20"/>
                <w:szCs w:val="20"/>
              </w:rPr>
              <w:t xml:space="preserve">udzielonych przez jednostki administracji rządowej </w:t>
            </w:r>
            <w:r w:rsidRPr="00A31B1F">
              <w:rPr>
                <w:rFonts w:cs="Arial"/>
                <w:bCs/>
                <w:sz w:val="20"/>
                <w:szCs w:val="20"/>
              </w:rPr>
              <w:t>w ogólnej wartości społecznych zamówień publicznych w danym roku</w:t>
            </w:r>
          </w:p>
        </w:tc>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C21B6" w14:textId="264A21E6" w:rsidR="0020017E" w:rsidRPr="00443DC3" w:rsidRDefault="0020017E" w:rsidP="0020017E">
            <w:pPr>
              <w:jc w:val="center"/>
              <w:rPr>
                <w:rFonts w:cs="Arial"/>
                <w:sz w:val="20"/>
                <w:szCs w:val="20"/>
              </w:rPr>
            </w:pPr>
            <w:r>
              <w:rPr>
                <w:rFonts w:cs="Arial"/>
                <w:sz w:val="20"/>
                <w:szCs w:val="20"/>
              </w:rPr>
              <w:t>26,2%</w:t>
            </w:r>
          </w:p>
        </w:tc>
      </w:tr>
    </w:tbl>
    <w:p w14:paraId="70044982" w14:textId="5BF70DB9" w:rsidR="00443DC3" w:rsidRDefault="00443DC3" w:rsidP="00443DC3">
      <w:pPr>
        <w:shd w:val="clear" w:color="auto" w:fill="FFFFFF"/>
      </w:pPr>
    </w:p>
    <w:p w14:paraId="2FD66AD8" w14:textId="4FCDA4E1" w:rsidR="003A1BC0" w:rsidRDefault="003A1BC0" w:rsidP="00443DC3">
      <w:pPr>
        <w:shd w:val="clear" w:color="auto" w:fill="FFFFFF"/>
      </w:pPr>
    </w:p>
    <w:p w14:paraId="7EEE96A8" w14:textId="198A11B1" w:rsidR="003A1BC0" w:rsidRPr="003A1BC0" w:rsidRDefault="003A1BC0" w:rsidP="003A1BC0">
      <w:pPr>
        <w:shd w:val="clear" w:color="auto" w:fill="FFFFFF"/>
      </w:pPr>
      <w:r w:rsidRPr="003A1BC0">
        <w:t>Instrumenty prospołeczne przewidziane ustawą Pzp w 2022 r. w większości przypadków stosowane były w zamówieniach na usługi. Dotyczyło to wymogu zatrudnienia na podstawie stosunku pracy z art. 95 ust. 1 ustawy Pzp oraz stosowania społecznych kryteriów oceny ofert (art. 242 ust. 2).</w:t>
      </w:r>
      <w:r w:rsidR="009A02C1">
        <w:t xml:space="preserve"> </w:t>
      </w:r>
      <w:r w:rsidRPr="003A1BC0">
        <w:t>W zamówieniach na roboty budowlane również najczęściej stosowano wymóg</w:t>
      </w:r>
      <w:r w:rsidR="009A02C1">
        <w:t xml:space="preserve"> </w:t>
      </w:r>
      <w:r w:rsidRPr="003A1BC0">
        <w:t>zatrudnienia na podstawie stosunku pracy, a także instrument dotyczący uwzględnienia w opisie przedmiotu zamówienia wymogów dotyczących dostępności i projektowania z przeznaczeniem dla wszystkich użytkowników (art. 100 ust. 1). Najrzadziej instrumenty prospołeczne wykorzystywano w zamówieniach na dostawy.</w:t>
      </w:r>
    </w:p>
    <w:p w14:paraId="1047C549" w14:textId="77777777" w:rsidR="003A1BC0" w:rsidRDefault="003A1BC0" w:rsidP="003A1BC0">
      <w:pPr>
        <w:shd w:val="clear" w:color="auto" w:fill="FFFFFF"/>
      </w:pPr>
    </w:p>
    <w:p w14:paraId="2216B4E7" w14:textId="524DDDEE" w:rsidR="003A1BC0" w:rsidRPr="003A1BC0" w:rsidRDefault="003A1BC0" w:rsidP="003A1BC0">
      <w:pPr>
        <w:shd w:val="clear" w:color="auto" w:fill="FFFFFF"/>
      </w:pPr>
      <w:r w:rsidRPr="003A1BC0">
        <w:t>Poniższe tabele prezentują zestawienie szczegółowych danych dotyczących zarówno ilości, jak i wartości zamówień, w których zastosowano poszczególne instrumenty. Zestawienia te zawierają również informacje na temat zastosowania poszczególnych aspektów społecznych przewidzianych w ustawie Pzp w zamówieniach publicznych udzielonych w 2022 r. Wskazują zarówno łączną liczbę i wartość takich zamówień, jak również ujęcie w podziale na rodzaj zamówienia.</w:t>
      </w:r>
    </w:p>
    <w:p w14:paraId="0068732D" w14:textId="77777777" w:rsidR="0026738D" w:rsidRPr="00443DC3" w:rsidRDefault="0026738D" w:rsidP="00443DC3">
      <w:pPr>
        <w:shd w:val="clear" w:color="auto" w:fill="FFFFFF"/>
      </w:pPr>
    </w:p>
    <w:p w14:paraId="5A072962" w14:textId="77777777" w:rsidR="00443DC3" w:rsidRPr="00C75018" w:rsidRDefault="00443DC3" w:rsidP="003A1BC0">
      <w:pPr>
        <w:ind w:left="709"/>
        <w:rPr>
          <w:b/>
          <w:color w:val="0070C0"/>
        </w:rPr>
      </w:pPr>
      <w:r w:rsidRPr="00C75018">
        <w:rPr>
          <w:b/>
          <w:color w:val="0070C0"/>
        </w:rPr>
        <w:t>Zamówienia udzielone jako zamówienie zastrzeżone, o którym mowa w art. 94 ust. 1 ustawy Pzp</w:t>
      </w:r>
    </w:p>
    <w:p w14:paraId="5FCB7495" w14:textId="77777777" w:rsidR="00443DC3" w:rsidRPr="00443DC3" w:rsidRDefault="00443DC3" w:rsidP="00443DC3">
      <w:pPr>
        <w:ind w:left="708"/>
      </w:pPr>
    </w:p>
    <w:p w14:paraId="1A778E91" w14:textId="57D7C002" w:rsidR="00C75018" w:rsidRPr="00443DC3" w:rsidRDefault="00C75018" w:rsidP="00C75018">
      <w:pPr>
        <w:pStyle w:val="Legenda"/>
      </w:pPr>
      <w:bookmarkStart w:id="146" w:name="_Toc141276551"/>
      <w:r w:rsidRPr="00886D63">
        <w:t xml:space="preserve">Tab. </w:t>
      </w:r>
      <w:r w:rsidR="00BE2079">
        <w:fldChar w:fldCharType="begin"/>
      </w:r>
      <w:r w:rsidR="00BE2079">
        <w:instrText xml:space="preserve"> SEQ Tab. \* ARABIC </w:instrText>
      </w:r>
      <w:r w:rsidR="00BE2079">
        <w:fldChar w:fldCharType="separate"/>
      </w:r>
      <w:r w:rsidR="00A43C68">
        <w:rPr>
          <w:noProof/>
        </w:rPr>
        <w:t>44</w:t>
      </w:r>
      <w:r w:rsidR="00BE2079">
        <w:rPr>
          <w:noProof/>
        </w:rPr>
        <w:fldChar w:fldCharType="end"/>
      </w:r>
      <w:r w:rsidRPr="00886D63">
        <w:t>. Zamówienia publiczne udzielane przez jednostki administracji rządowej z zastosowaniem art. 94 ust. 1 ustawy Pzp</w:t>
      </w:r>
      <w:bookmarkEnd w:id="14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886D63" w:rsidRPr="00443DC3" w14:paraId="6CFDEC35" w14:textId="77777777" w:rsidTr="00EF57A8">
        <w:trPr>
          <w:trHeight w:val="300"/>
          <w:jc w:val="center"/>
        </w:trPr>
        <w:tc>
          <w:tcPr>
            <w:tcW w:w="7083" w:type="dxa"/>
            <w:shd w:val="clear" w:color="auto" w:fill="DEEAF6"/>
            <w:noWrap/>
            <w:vAlign w:val="center"/>
          </w:tcPr>
          <w:p w14:paraId="2AF49BA2" w14:textId="77777777" w:rsidR="00886D63" w:rsidRPr="00443DC3" w:rsidRDefault="00886D63" w:rsidP="00886D63">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1979" w:type="dxa"/>
            <w:shd w:val="clear" w:color="auto" w:fill="DEEAF6"/>
            <w:noWrap/>
            <w:vAlign w:val="center"/>
          </w:tcPr>
          <w:p w14:paraId="05035C70" w14:textId="3FE94399" w:rsidR="00886D63" w:rsidRPr="00443DC3" w:rsidRDefault="00886D63" w:rsidP="00886D63">
            <w:pPr>
              <w:jc w:val="center"/>
              <w:rPr>
                <w:rFonts w:cs="Arial"/>
                <w:sz w:val="20"/>
                <w:szCs w:val="20"/>
              </w:rPr>
            </w:pPr>
            <w:r w:rsidRPr="00CD15EF">
              <w:rPr>
                <w:rFonts w:cs="Arial"/>
                <w:sz w:val="20"/>
                <w:szCs w:val="20"/>
              </w:rPr>
              <w:t>28</w:t>
            </w:r>
          </w:p>
        </w:tc>
      </w:tr>
      <w:tr w:rsidR="00886D63" w:rsidRPr="00443DC3" w14:paraId="34352CEA" w14:textId="77777777" w:rsidTr="00EF57A8">
        <w:trPr>
          <w:trHeight w:val="300"/>
          <w:jc w:val="center"/>
        </w:trPr>
        <w:tc>
          <w:tcPr>
            <w:tcW w:w="7083" w:type="dxa"/>
            <w:shd w:val="clear" w:color="auto" w:fill="auto"/>
            <w:noWrap/>
            <w:vAlign w:val="center"/>
            <w:hideMark/>
          </w:tcPr>
          <w:p w14:paraId="645B9DF2" w14:textId="77777777" w:rsidR="00886D63" w:rsidRPr="00443DC3" w:rsidRDefault="00886D63" w:rsidP="00886D63">
            <w:pPr>
              <w:rPr>
                <w:rFonts w:cs="Arial"/>
                <w:bCs/>
                <w:sz w:val="20"/>
                <w:szCs w:val="20"/>
              </w:rPr>
            </w:pPr>
            <w:r w:rsidRPr="00443DC3">
              <w:rPr>
                <w:rFonts w:cs="Arial"/>
                <w:bCs/>
                <w:sz w:val="20"/>
                <w:szCs w:val="20"/>
              </w:rPr>
              <w:t xml:space="preserve">Wartość </w:t>
            </w:r>
            <w:r w:rsidRPr="00443DC3">
              <w:rPr>
                <w:rFonts w:cs="Arial"/>
                <w:sz w:val="20"/>
                <w:szCs w:val="20"/>
              </w:rPr>
              <w:t xml:space="preserve">zamówień </w:t>
            </w:r>
          </w:p>
        </w:tc>
        <w:tc>
          <w:tcPr>
            <w:tcW w:w="1979" w:type="dxa"/>
            <w:shd w:val="clear" w:color="auto" w:fill="auto"/>
            <w:noWrap/>
            <w:vAlign w:val="center"/>
            <w:hideMark/>
          </w:tcPr>
          <w:p w14:paraId="27DC5167" w14:textId="77777777" w:rsidR="00886D63" w:rsidRDefault="00886D63" w:rsidP="00886D63">
            <w:pPr>
              <w:jc w:val="center"/>
              <w:rPr>
                <w:rFonts w:cs="Arial"/>
                <w:sz w:val="20"/>
                <w:szCs w:val="20"/>
              </w:rPr>
            </w:pPr>
            <w:r w:rsidRPr="00CD15EF">
              <w:rPr>
                <w:rFonts w:cs="Arial"/>
                <w:sz w:val="20"/>
                <w:szCs w:val="20"/>
              </w:rPr>
              <w:t>186 251 900,68 zł</w:t>
            </w:r>
          </w:p>
          <w:p w14:paraId="593A7F5E" w14:textId="4A2BA34D" w:rsidR="00886D63" w:rsidRPr="00443DC3" w:rsidRDefault="00886D63" w:rsidP="00886D63">
            <w:pPr>
              <w:jc w:val="center"/>
              <w:rPr>
                <w:rFonts w:cs="Arial"/>
                <w:sz w:val="20"/>
                <w:szCs w:val="20"/>
              </w:rPr>
            </w:pPr>
            <w:r w:rsidRPr="00FD623C">
              <w:rPr>
                <w:rFonts w:cs="Arial"/>
                <w:sz w:val="20"/>
                <w:szCs w:val="20"/>
              </w:rPr>
              <w:t>(wartość bez VAT)</w:t>
            </w:r>
          </w:p>
        </w:tc>
      </w:tr>
    </w:tbl>
    <w:p w14:paraId="7708D8D5"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701"/>
        <w:gridCol w:w="4677"/>
      </w:tblGrid>
      <w:tr w:rsidR="00443DC3" w:rsidRPr="00443DC3" w14:paraId="19E32CC0" w14:textId="77777777" w:rsidTr="00EF57A8">
        <w:trPr>
          <w:trHeight w:val="300"/>
          <w:tblHeader/>
          <w:jc w:val="center"/>
        </w:trPr>
        <w:tc>
          <w:tcPr>
            <w:tcW w:w="2689" w:type="dxa"/>
            <w:shd w:val="clear" w:color="auto" w:fill="5B9BD5"/>
            <w:noWrap/>
            <w:vAlign w:val="center"/>
          </w:tcPr>
          <w:p w14:paraId="29735CB1"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701" w:type="dxa"/>
            <w:shd w:val="clear" w:color="auto" w:fill="5B9BD5"/>
            <w:vAlign w:val="center"/>
          </w:tcPr>
          <w:p w14:paraId="49B7A8C6"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677" w:type="dxa"/>
            <w:shd w:val="clear" w:color="auto" w:fill="5B9BD5"/>
            <w:vAlign w:val="center"/>
          </w:tcPr>
          <w:p w14:paraId="25D28FCB"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102E85" w:rsidRPr="00443DC3" w14:paraId="0514EEDD" w14:textId="77777777" w:rsidTr="00EF57A8">
        <w:trPr>
          <w:trHeight w:val="300"/>
          <w:jc w:val="center"/>
        </w:trPr>
        <w:tc>
          <w:tcPr>
            <w:tcW w:w="2689" w:type="dxa"/>
            <w:shd w:val="clear" w:color="auto" w:fill="auto"/>
            <w:noWrap/>
            <w:vAlign w:val="center"/>
          </w:tcPr>
          <w:p w14:paraId="3B387899" w14:textId="77777777" w:rsidR="00102E85" w:rsidRPr="00443DC3" w:rsidRDefault="00102E85" w:rsidP="00102E85">
            <w:pPr>
              <w:jc w:val="center"/>
              <w:rPr>
                <w:rFonts w:cs="Arial"/>
                <w:bCs/>
                <w:sz w:val="20"/>
                <w:szCs w:val="20"/>
              </w:rPr>
            </w:pPr>
            <w:r w:rsidRPr="00443DC3">
              <w:rPr>
                <w:rFonts w:cs="Arial"/>
                <w:bCs/>
                <w:sz w:val="20"/>
                <w:szCs w:val="20"/>
              </w:rPr>
              <w:t>Dostawy</w:t>
            </w:r>
          </w:p>
        </w:tc>
        <w:tc>
          <w:tcPr>
            <w:tcW w:w="1701" w:type="dxa"/>
            <w:shd w:val="clear" w:color="auto" w:fill="auto"/>
            <w:noWrap/>
            <w:vAlign w:val="center"/>
          </w:tcPr>
          <w:p w14:paraId="00775DED" w14:textId="5D84C687" w:rsidR="00102E85" w:rsidRPr="00443DC3" w:rsidRDefault="00102E85" w:rsidP="00102E85">
            <w:pPr>
              <w:jc w:val="center"/>
              <w:rPr>
                <w:rFonts w:cs="Arial"/>
                <w:sz w:val="20"/>
                <w:szCs w:val="20"/>
              </w:rPr>
            </w:pPr>
            <w:r w:rsidRPr="00002820">
              <w:rPr>
                <w:sz w:val="20"/>
                <w:szCs w:val="20"/>
              </w:rPr>
              <w:t>6</w:t>
            </w:r>
          </w:p>
        </w:tc>
        <w:tc>
          <w:tcPr>
            <w:tcW w:w="4677" w:type="dxa"/>
            <w:vAlign w:val="center"/>
          </w:tcPr>
          <w:p w14:paraId="7E5B067D" w14:textId="0FB1C615" w:rsidR="00102E85" w:rsidRPr="00443DC3" w:rsidRDefault="00102E85" w:rsidP="00102E85">
            <w:pPr>
              <w:jc w:val="center"/>
              <w:rPr>
                <w:rFonts w:cs="Arial"/>
                <w:sz w:val="20"/>
                <w:szCs w:val="20"/>
              </w:rPr>
            </w:pPr>
            <w:r w:rsidRPr="00002820">
              <w:rPr>
                <w:sz w:val="20"/>
                <w:szCs w:val="20"/>
              </w:rPr>
              <w:t>20 221 924,26 zł</w:t>
            </w:r>
          </w:p>
        </w:tc>
      </w:tr>
      <w:tr w:rsidR="00102E85" w:rsidRPr="00443DC3" w14:paraId="39B4A622" w14:textId="77777777" w:rsidTr="00EF57A8">
        <w:trPr>
          <w:trHeight w:val="300"/>
          <w:jc w:val="center"/>
        </w:trPr>
        <w:tc>
          <w:tcPr>
            <w:tcW w:w="2689" w:type="dxa"/>
            <w:shd w:val="clear" w:color="auto" w:fill="DEEAF6"/>
            <w:noWrap/>
            <w:vAlign w:val="center"/>
            <w:hideMark/>
          </w:tcPr>
          <w:p w14:paraId="0F1C4045" w14:textId="77777777" w:rsidR="00102E85" w:rsidRPr="00443DC3" w:rsidRDefault="00102E85" w:rsidP="00102E85">
            <w:pPr>
              <w:jc w:val="center"/>
              <w:rPr>
                <w:rFonts w:cs="Arial"/>
                <w:bCs/>
                <w:sz w:val="20"/>
                <w:szCs w:val="20"/>
              </w:rPr>
            </w:pPr>
            <w:r w:rsidRPr="00443DC3">
              <w:rPr>
                <w:rFonts w:cs="Arial"/>
                <w:bCs/>
                <w:sz w:val="20"/>
                <w:szCs w:val="20"/>
              </w:rPr>
              <w:t>Roboty budowlane</w:t>
            </w:r>
          </w:p>
        </w:tc>
        <w:tc>
          <w:tcPr>
            <w:tcW w:w="1701" w:type="dxa"/>
            <w:shd w:val="clear" w:color="auto" w:fill="DEEAF6"/>
            <w:noWrap/>
            <w:vAlign w:val="center"/>
          </w:tcPr>
          <w:p w14:paraId="49DA6272" w14:textId="17BF51FB" w:rsidR="00102E85" w:rsidRPr="00443DC3" w:rsidRDefault="00102E85" w:rsidP="00102E85">
            <w:pPr>
              <w:jc w:val="center"/>
              <w:rPr>
                <w:rFonts w:cs="Arial"/>
                <w:sz w:val="20"/>
                <w:szCs w:val="20"/>
              </w:rPr>
            </w:pPr>
            <w:r w:rsidRPr="00002820">
              <w:rPr>
                <w:sz w:val="20"/>
                <w:szCs w:val="20"/>
              </w:rPr>
              <w:t>10</w:t>
            </w:r>
          </w:p>
        </w:tc>
        <w:tc>
          <w:tcPr>
            <w:tcW w:w="4677" w:type="dxa"/>
            <w:shd w:val="clear" w:color="auto" w:fill="DEEAF6"/>
            <w:vAlign w:val="center"/>
          </w:tcPr>
          <w:p w14:paraId="59FF7EE9" w14:textId="4905BA69" w:rsidR="00102E85" w:rsidRPr="00443DC3" w:rsidRDefault="00102E85" w:rsidP="00102E85">
            <w:pPr>
              <w:jc w:val="center"/>
              <w:rPr>
                <w:rFonts w:cs="Arial"/>
                <w:sz w:val="20"/>
                <w:szCs w:val="20"/>
              </w:rPr>
            </w:pPr>
            <w:r w:rsidRPr="00002820">
              <w:rPr>
                <w:sz w:val="20"/>
                <w:szCs w:val="20"/>
              </w:rPr>
              <w:t>152 462 915,33 zł</w:t>
            </w:r>
          </w:p>
        </w:tc>
      </w:tr>
      <w:tr w:rsidR="00102E85" w:rsidRPr="00443DC3" w14:paraId="1BC7B118" w14:textId="77777777" w:rsidTr="00EF57A8">
        <w:trPr>
          <w:trHeight w:val="300"/>
          <w:jc w:val="center"/>
        </w:trPr>
        <w:tc>
          <w:tcPr>
            <w:tcW w:w="2689" w:type="dxa"/>
            <w:shd w:val="clear" w:color="auto" w:fill="auto"/>
            <w:noWrap/>
            <w:vAlign w:val="center"/>
          </w:tcPr>
          <w:p w14:paraId="625638FF" w14:textId="77777777" w:rsidR="00102E85" w:rsidRPr="00443DC3" w:rsidRDefault="00102E85" w:rsidP="00102E85">
            <w:pPr>
              <w:jc w:val="center"/>
              <w:rPr>
                <w:rFonts w:cs="Arial"/>
                <w:bCs/>
                <w:sz w:val="20"/>
                <w:szCs w:val="20"/>
              </w:rPr>
            </w:pPr>
            <w:r w:rsidRPr="00443DC3">
              <w:rPr>
                <w:rFonts w:cs="Arial"/>
                <w:bCs/>
                <w:sz w:val="20"/>
                <w:szCs w:val="20"/>
              </w:rPr>
              <w:t>Usługi</w:t>
            </w:r>
          </w:p>
        </w:tc>
        <w:tc>
          <w:tcPr>
            <w:tcW w:w="1701" w:type="dxa"/>
            <w:shd w:val="clear" w:color="auto" w:fill="auto"/>
            <w:noWrap/>
            <w:vAlign w:val="center"/>
          </w:tcPr>
          <w:p w14:paraId="20D575E4" w14:textId="068F96BA" w:rsidR="00102E85" w:rsidRPr="00443DC3" w:rsidRDefault="00102E85" w:rsidP="00102E85">
            <w:pPr>
              <w:jc w:val="center"/>
              <w:rPr>
                <w:rFonts w:cs="Arial"/>
                <w:sz w:val="20"/>
                <w:szCs w:val="20"/>
              </w:rPr>
            </w:pPr>
            <w:r w:rsidRPr="00002820">
              <w:rPr>
                <w:sz w:val="20"/>
                <w:szCs w:val="20"/>
              </w:rPr>
              <w:t>12</w:t>
            </w:r>
          </w:p>
        </w:tc>
        <w:tc>
          <w:tcPr>
            <w:tcW w:w="4677" w:type="dxa"/>
            <w:vAlign w:val="center"/>
          </w:tcPr>
          <w:p w14:paraId="38186AD8" w14:textId="0F41603E" w:rsidR="00102E85" w:rsidRPr="00443DC3" w:rsidRDefault="00102E85" w:rsidP="00102E85">
            <w:pPr>
              <w:jc w:val="center"/>
              <w:rPr>
                <w:rFonts w:cs="Arial"/>
                <w:sz w:val="20"/>
                <w:szCs w:val="20"/>
              </w:rPr>
            </w:pPr>
            <w:r w:rsidRPr="00002820">
              <w:rPr>
                <w:sz w:val="20"/>
                <w:szCs w:val="20"/>
              </w:rPr>
              <w:t>13 567 061,09 zł</w:t>
            </w:r>
          </w:p>
        </w:tc>
      </w:tr>
    </w:tbl>
    <w:p w14:paraId="56E1AA47" w14:textId="78A685A0" w:rsidR="00443DC3" w:rsidRDefault="00443DC3" w:rsidP="00443DC3">
      <w:pPr>
        <w:shd w:val="clear" w:color="auto" w:fill="FFFFFF"/>
      </w:pPr>
    </w:p>
    <w:p w14:paraId="276139DF" w14:textId="77777777" w:rsidR="00796145" w:rsidRPr="00443DC3" w:rsidRDefault="00796145" w:rsidP="00443DC3">
      <w:pPr>
        <w:shd w:val="clear" w:color="auto" w:fill="FFFFFF"/>
      </w:pPr>
    </w:p>
    <w:p w14:paraId="2A4E475A" w14:textId="77777777" w:rsidR="00443DC3" w:rsidRPr="00796145" w:rsidRDefault="00443DC3" w:rsidP="00FD70DA">
      <w:pPr>
        <w:shd w:val="clear" w:color="auto" w:fill="FFFFFF"/>
        <w:ind w:left="709"/>
        <w:rPr>
          <w:b/>
          <w:color w:val="0070C0"/>
        </w:rPr>
      </w:pPr>
      <w:r w:rsidRPr="00796145">
        <w:rPr>
          <w:b/>
          <w:color w:val="0070C0"/>
        </w:rPr>
        <w:t>Określenie w opisie przedmiotu zamówienia wymagań w zakresie dostępności dla osób niepełnosprawnych oraz projektowania z przeznaczeniem dla wszystkich użytkowników, o których mowa w art. 100 ust. 1 ustawy Pzp</w:t>
      </w:r>
    </w:p>
    <w:p w14:paraId="18140E35" w14:textId="77777777" w:rsidR="00443DC3" w:rsidRPr="00443DC3" w:rsidRDefault="00443DC3" w:rsidP="00443DC3">
      <w:pPr>
        <w:shd w:val="clear" w:color="auto" w:fill="FFFFFF"/>
      </w:pPr>
    </w:p>
    <w:p w14:paraId="5EC9A4AA" w14:textId="5215ACFC" w:rsidR="00796145" w:rsidRPr="00443DC3" w:rsidRDefault="00796145" w:rsidP="00796145">
      <w:pPr>
        <w:pStyle w:val="Legenda"/>
      </w:pPr>
      <w:bookmarkStart w:id="147" w:name="_Toc141276552"/>
      <w:r w:rsidRPr="00FD70DA">
        <w:t xml:space="preserve">Tab. </w:t>
      </w:r>
      <w:r w:rsidR="00BE2079">
        <w:fldChar w:fldCharType="begin"/>
      </w:r>
      <w:r w:rsidR="00BE2079">
        <w:instrText xml:space="preserve"> SEQ Tab. \* ARABIC </w:instrText>
      </w:r>
      <w:r w:rsidR="00BE2079">
        <w:fldChar w:fldCharType="separate"/>
      </w:r>
      <w:r w:rsidR="00A43C68">
        <w:rPr>
          <w:noProof/>
        </w:rPr>
        <w:t>45</w:t>
      </w:r>
      <w:r w:rsidR="00BE2079">
        <w:rPr>
          <w:noProof/>
        </w:rPr>
        <w:fldChar w:fldCharType="end"/>
      </w:r>
      <w:r w:rsidRPr="00FD70DA">
        <w:t>. Zamówienia publiczne udzielane przez jednostki administracji rządowej z zastosowaniem art. 100 ust. 1 ustawy Pzp</w:t>
      </w:r>
      <w:bookmarkEnd w:id="14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gridCol w:w="2263"/>
      </w:tblGrid>
      <w:tr w:rsidR="00FD70DA" w:rsidRPr="00443DC3" w14:paraId="01C8C159" w14:textId="77777777" w:rsidTr="00EF57A8">
        <w:trPr>
          <w:trHeight w:val="300"/>
          <w:jc w:val="center"/>
        </w:trPr>
        <w:tc>
          <w:tcPr>
            <w:tcW w:w="6799" w:type="dxa"/>
            <w:shd w:val="clear" w:color="auto" w:fill="DEEAF6"/>
            <w:noWrap/>
            <w:vAlign w:val="center"/>
          </w:tcPr>
          <w:p w14:paraId="29A54EA7" w14:textId="77777777" w:rsidR="00FD70DA" w:rsidRPr="00443DC3" w:rsidRDefault="00FD70DA" w:rsidP="00FD70DA">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263" w:type="dxa"/>
            <w:shd w:val="clear" w:color="auto" w:fill="DEEAF6"/>
            <w:noWrap/>
            <w:vAlign w:val="center"/>
          </w:tcPr>
          <w:p w14:paraId="45C716F6" w14:textId="12D094A0" w:rsidR="00FD70DA" w:rsidRPr="00443DC3" w:rsidRDefault="00FD70DA" w:rsidP="00FD70DA">
            <w:pPr>
              <w:jc w:val="center"/>
              <w:rPr>
                <w:rFonts w:cs="Arial"/>
                <w:sz w:val="20"/>
                <w:szCs w:val="20"/>
              </w:rPr>
            </w:pPr>
            <w:r w:rsidRPr="00002820">
              <w:rPr>
                <w:rFonts w:cs="Arial"/>
                <w:sz w:val="20"/>
                <w:szCs w:val="20"/>
              </w:rPr>
              <w:t>580</w:t>
            </w:r>
          </w:p>
        </w:tc>
      </w:tr>
      <w:tr w:rsidR="00FD70DA" w:rsidRPr="00443DC3" w14:paraId="4473541E" w14:textId="77777777" w:rsidTr="00EF57A8">
        <w:trPr>
          <w:trHeight w:val="300"/>
          <w:jc w:val="center"/>
        </w:trPr>
        <w:tc>
          <w:tcPr>
            <w:tcW w:w="6799" w:type="dxa"/>
            <w:shd w:val="clear" w:color="auto" w:fill="auto"/>
            <w:noWrap/>
            <w:vAlign w:val="center"/>
            <w:hideMark/>
          </w:tcPr>
          <w:p w14:paraId="0DAE2EFA" w14:textId="77777777" w:rsidR="00FD70DA" w:rsidRPr="00443DC3" w:rsidRDefault="00FD70DA" w:rsidP="00FD70DA">
            <w:pPr>
              <w:rPr>
                <w:rFonts w:cs="Arial"/>
                <w:bCs/>
                <w:sz w:val="20"/>
                <w:szCs w:val="20"/>
              </w:rPr>
            </w:pPr>
            <w:r w:rsidRPr="00443DC3">
              <w:rPr>
                <w:rFonts w:cs="Arial"/>
                <w:bCs/>
                <w:sz w:val="20"/>
                <w:szCs w:val="20"/>
              </w:rPr>
              <w:t xml:space="preserve">Wartość </w:t>
            </w:r>
            <w:r w:rsidRPr="00443DC3">
              <w:rPr>
                <w:rFonts w:cs="Arial"/>
                <w:sz w:val="20"/>
                <w:szCs w:val="20"/>
              </w:rPr>
              <w:t xml:space="preserve">zamówień </w:t>
            </w:r>
          </w:p>
        </w:tc>
        <w:tc>
          <w:tcPr>
            <w:tcW w:w="2263" w:type="dxa"/>
            <w:shd w:val="clear" w:color="auto" w:fill="auto"/>
            <w:noWrap/>
            <w:vAlign w:val="center"/>
            <w:hideMark/>
          </w:tcPr>
          <w:p w14:paraId="76E6F7D4" w14:textId="77777777" w:rsidR="00FD70DA" w:rsidRDefault="00FD70DA" w:rsidP="00FD70DA">
            <w:pPr>
              <w:jc w:val="center"/>
              <w:rPr>
                <w:rFonts w:cs="Arial"/>
                <w:sz w:val="20"/>
                <w:szCs w:val="20"/>
              </w:rPr>
            </w:pPr>
            <w:r w:rsidRPr="00002820">
              <w:rPr>
                <w:rFonts w:cs="Arial"/>
                <w:sz w:val="20"/>
                <w:szCs w:val="20"/>
              </w:rPr>
              <w:t>7 833 709 350,03 zł</w:t>
            </w:r>
          </w:p>
          <w:p w14:paraId="19A4057D" w14:textId="15BE7B47" w:rsidR="00FD70DA" w:rsidRPr="00443DC3" w:rsidRDefault="00FD70DA" w:rsidP="00FD70DA">
            <w:pPr>
              <w:jc w:val="center"/>
              <w:rPr>
                <w:rFonts w:cs="Arial"/>
                <w:sz w:val="20"/>
                <w:szCs w:val="20"/>
              </w:rPr>
            </w:pPr>
            <w:r w:rsidRPr="00FD623C">
              <w:rPr>
                <w:rFonts w:cs="Arial"/>
                <w:sz w:val="20"/>
                <w:szCs w:val="20"/>
              </w:rPr>
              <w:t>(wartość bez VAT)</w:t>
            </w:r>
          </w:p>
        </w:tc>
      </w:tr>
    </w:tbl>
    <w:p w14:paraId="176ED639"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443DC3" w:rsidRPr="00443DC3" w14:paraId="4A1D5EF8" w14:textId="77777777" w:rsidTr="00EF57A8">
        <w:trPr>
          <w:trHeight w:val="300"/>
          <w:tblHeader/>
          <w:jc w:val="center"/>
        </w:trPr>
        <w:tc>
          <w:tcPr>
            <w:tcW w:w="3022" w:type="dxa"/>
            <w:shd w:val="clear" w:color="auto" w:fill="5B9BD5"/>
            <w:noWrap/>
            <w:vAlign w:val="center"/>
          </w:tcPr>
          <w:p w14:paraId="121CFB96"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084" w:type="dxa"/>
            <w:shd w:val="clear" w:color="auto" w:fill="5B9BD5"/>
            <w:vAlign w:val="center"/>
          </w:tcPr>
          <w:p w14:paraId="7CEC69C7"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961" w:type="dxa"/>
            <w:shd w:val="clear" w:color="auto" w:fill="5B9BD5"/>
            <w:vAlign w:val="center"/>
          </w:tcPr>
          <w:p w14:paraId="14A2F1A7"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FD70DA" w:rsidRPr="00443DC3" w14:paraId="14C6CE66" w14:textId="77777777" w:rsidTr="00EF57A8">
        <w:trPr>
          <w:trHeight w:val="300"/>
          <w:jc w:val="center"/>
        </w:trPr>
        <w:tc>
          <w:tcPr>
            <w:tcW w:w="3022" w:type="dxa"/>
            <w:shd w:val="clear" w:color="auto" w:fill="auto"/>
            <w:noWrap/>
            <w:vAlign w:val="center"/>
          </w:tcPr>
          <w:p w14:paraId="63D13EFC" w14:textId="77777777" w:rsidR="00FD70DA" w:rsidRPr="00443DC3" w:rsidRDefault="00FD70DA" w:rsidP="00FD70DA">
            <w:pPr>
              <w:jc w:val="center"/>
              <w:rPr>
                <w:rFonts w:cs="Arial"/>
                <w:bCs/>
                <w:sz w:val="20"/>
                <w:szCs w:val="20"/>
              </w:rPr>
            </w:pPr>
            <w:r w:rsidRPr="00443DC3">
              <w:rPr>
                <w:rFonts w:cs="Arial"/>
                <w:bCs/>
                <w:sz w:val="20"/>
                <w:szCs w:val="20"/>
              </w:rPr>
              <w:t>Dostawy</w:t>
            </w:r>
          </w:p>
        </w:tc>
        <w:tc>
          <w:tcPr>
            <w:tcW w:w="1084" w:type="dxa"/>
            <w:shd w:val="clear" w:color="auto" w:fill="auto"/>
            <w:noWrap/>
            <w:vAlign w:val="center"/>
          </w:tcPr>
          <w:p w14:paraId="6D6A4327" w14:textId="29FF7BA2" w:rsidR="00FD70DA" w:rsidRPr="00443DC3" w:rsidRDefault="00FD70DA" w:rsidP="00FD70DA">
            <w:pPr>
              <w:jc w:val="center"/>
              <w:rPr>
                <w:rFonts w:cs="Arial"/>
                <w:sz w:val="20"/>
                <w:szCs w:val="20"/>
              </w:rPr>
            </w:pPr>
            <w:r w:rsidRPr="00002820">
              <w:rPr>
                <w:sz w:val="20"/>
                <w:szCs w:val="20"/>
              </w:rPr>
              <w:t>65</w:t>
            </w:r>
          </w:p>
        </w:tc>
        <w:tc>
          <w:tcPr>
            <w:tcW w:w="4961" w:type="dxa"/>
            <w:vAlign w:val="center"/>
          </w:tcPr>
          <w:p w14:paraId="209F27CE" w14:textId="521EC0C5" w:rsidR="00FD70DA" w:rsidRPr="00443DC3" w:rsidRDefault="00FD70DA" w:rsidP="00FD70DA">
            <w:pPr>
              <w:jc w:val="center"/>
              <w:rPr>
                <w:rFonts w:cs="Arial"/>
                <w:sz w:val="20"/>
                <w:szCs w:val="20"/>
              </w:rPr>
            </w:pPr>
            <w:r w:rsidRPr="00002820">
              <w:rPr>
                <w:sz w:val="20"/>
                <w:szCs w:val="20"/>
              </w:rPr>
              <w:t>25 905 051,77 zł</w:t>
            </w:r>
          </w:p>
        </w:tc>
      </w:tr>
      <w:tr w:rsidR="00FD70DA" w:rsidRPr="00443DC3" w14:paraId="45FFDD24" w14:textId="77777777" w:rsidTr="00EF57A8">
        <w:trPr>
          <w:trHeight w:val="300"/>
          <w:jc w:val="center"/>
        </w:trPr>
        <w:tc>
          <w:tcPr>
            <w:tcW w:w="3022" w:type="dxa"/>
            <w:shd w:val="clear" w:color="auto" w:fill="DEEAF6"/>
            <w:noWrap/>
            <w:vAlign w:val="center"/>
            <w:hideMark/>
          </w:tcPr>
          <w:p w14:paraId="29E8DA40" w14:textId="77777777" w:rsidR="00FD70DA" w:rsidRPr="00443DC3" w:rsidRDefault="00FD70DA" w:rsidP="00FD70DA">
            <w:pPr>
              <w:jc w:val="center"/>
              <w:rPr>
                <w:rFonts w:cs="Arial"/>
                <w:bCs/>
                <w:sz w:val="20"/>
                <w:szCs w:val="20"/>
              </w:rPr>
            </w:pPr>
            <w:r w:rsidRPr="00443DC3">
              <w:rPr>
                <w:rFonts w:cs="Arial"/>
                <w:bCs/>
                <w:sz w:val="20"/>
                <w:szCs w:val="20"/>
              </w:rPr>
              <w:t>Roboty budowlane</w:t>
            </w:r>
          </w:p>
        </w:tc>
        <w:tc>
          <w:tcPr>
            <w:tcW w:w="1084" w:type="dxa"/>
            <w:shd w:val="clear" w:color="auto" w:fill="DEEAF6"/>
            <w:noWrap/>
            <w:vAlign w:val="center"/>
          </w:tcPr>
          <w:p w14:paraId="65098FC1" w14:textId="35623DB5" w:rsidR="00FD70DA" w:rsidRPr="00443DC3" w:rsidRDefault="00FD70DA" w:rsidP="00FD70DA">
            <w:pPr>
              <w:jc w:val="center"/>
              <w:rPr>
                <w:rFonts w:cs="Arial"/>
                <w:sz w:val="20"/>
                <w:szCs w:val="20"/>
              </w:rPr>
            </w:pPr>
            <w:r w:rsidRPr="00002820">
              <w:rPr>
                <w:sz w:val="20"/>
                <w:szCs w:val="20"/>
              </w:rPr>
              <w:t>239</w:t>
            </w:r>
          </w:p>
        </w:tc>
        <w:tc>
          <w:tcPr>
            <w:tcW w:w="4961" w:type="dxa"/>
            <w:shd w:val="clear" w:color="auto" w:fill="DEEAF6"/>
            <w:vAlign w:val="center"/>
          </w:tcPr>
          <w:p w14:paraId="3ADCDC65" w14:textId="5AC18A54" w:rsidR="00FD70DA" w:rsidRPr="00443DC3" w:rsidRDefault="00FD70DA" w:rsidP="00FD70DA">
            <w:pPr>
              <w:jc w:val="center"/>
              <w:rPr>
                <w:rFonts w:cs="Arial"/>
                <w:sz w:val="20"/>
                <w:szCs w:val="20"/>
              </w:rPr>
            </w:pPr>
            <w:r w:rsidRPr="00002820">
              <w:rPr>
                <w:sz w:val="20"/>
                <w:szCs w:val="20"/>
              </w:rPr>
              <w:t>5 320 987 705,49 zł</w:t>
            </w:r>
          </w:p>
        </w:tc>
      </w:tr>
      <w:tr w:rsidR="00FD70DA" w:rsidRPr="00443DC3" w14:paraId="624FFDA4" w14:textId="77777777" w:rsidTr="00EF57A8">
        <w:trPr>
          <w:trHeight w:val="300"/>
          <w:jc w:val="center"/>
        </w:trPr>
        <w:tc>
          <w:tcPr>
            <w:tcW w:w="3022" w:type="dxa"/>
            <w:shd w:val="clear" w:color="auto" w:fill="auto"/>
            <w:noWrap/>
            <w:vAlign w:val="center"/>
          </w:tcPr>
          <w:p w14:paraId="03D38EBD" w14:textId="77777777" w:rsidR="00FD70DA" w:rsidRPr="00443DC3" w:rsidRDefault="00FD70DA" w:rsidP="00FD70DA">
            <w:pPr>
              <w:jc w:val="center"/>
              <w:rPr>
                <w:rFonts w:cs="Arial"/>
                <w:bCs/>
                <w:sz w:val="20"/>
                <w:szCs w:val="20"/>
              </w:rPr>
            </w:pPr>
            <w:r w:rsidRPr="00443DC3">
              <w:rPr>
                <w:rFonts w:cs="Arial"/>
                <w:bCs/>
                <w:sz w:val="20"/>
                <w:szCs w:val="20"/>
              </w:rPr>
              <w:t>Usługi</w:t>
            </w:r>
          </w:p>
        </w:tc>
        <w:tc>
          <w:tcPr>
            <w:tcW w:w="1084" w:type="dxa"/>
            <w:shd w:val="clear" w:color="auto" w:fill="auto"/>
            <w:noWrap/>
            <w:vAlign w:val="center"/>
          </w:tcPr>
          <w:p w14:paraId="6617A846" w14:textId="53E98913" w:rsidR="00FD70DA" w:rsidRPr="00443DC3" w:rsidRDefault="00FD70DA" w:rsidP="00FD70DA">
            <w:pPr>
              <w:jc w:val="center"/>
              <w:rPr>
                <w:rFonts w:cs="Arial"/>
                <w:sz w:val="20"/>
                <w:szCs w:val="20"/>
              </w:rPr>
            </w:pPr>
            <w:r w:rsidRPr="00002820">
              <w:rPr>
                <w:sz w:val="20"/>
                <w:szCs w:val="20"/>
              </w:rPr>
              <w:t>276</w:t>
            </w:r>
          </w:p>
        </w:tc>
        <w:tc>
          <w:tcPr>
            <w:tcW w:w="4961" w:type="dxa"/>
            <w:vAlign w:val="center"/>
          </w:tcPr>
          <w:p w14:paraId="349F6770" w14:textId="4B231F28" w:rsidR="00FD70DA" w:rsidRPr="00443DC3" w:rsidRDefault="00FD70DA" w:rsidP="00FD70DA">
            <w:pPr>
              <w:jc w:val="center"/>
              <w:rPr>
                <w:rFonts w:cs="Arial"/>
                <w:sz w:val="20"/>
                <w:szCs w:val="20"/>
              </w:rPr>
            </w:pPr>
            <w:r w:rsidRPr="00002820">
              <w:rPr>
                <w:sz w:val="20"/>
                <w:szCs w:val="20"/>
              </w:rPr>
              <w:t>2 486 816 592,77 zł</w:t>
            </w:r>
          </w:p>
        </w:tc>
      </w:tr>
    </w:tbl>
    <w:p w14:paraId="31C26122" w14:textId="227B354E" w:rsidR="00443DC3" w:rsidRDefault="00443DC3" w:rsidP="00443DC3">
      <w:pPr>
        <w:shd w:val="clear" w:color="auto" w:fill="FFFFFF"/>
      </w:pPr>
    </w:p>
    <w:p w14:paraId="6BB8A45C" w14:textId="77777777" w:rsidR="006F1E17" w:rsidRPr="00443DC3" w:rsidRDefault="006F1E17" w:rsidP="00443DC3">
      <w:pPr>
        <w:shd w:val="clear" w:color="auto" w:fill="FFFFFF"/>
      </w:pPr>
    </w:p>
    <w:p w14:paraId="0915260E" w14:textId="77777777" w:rsidR="00443DC3" w:rsidRPr="006F1E17" w:rsidRDefault="00443DC3" w:rsidP="007828F0">
      <w:pPr>
        <w:shd w:val="clear" w:color="auto" w:fill="FFFFFF"/>
        <w:ind w:left="709"/>
        <w:rPr>
          <w:b/>
          <w:color w:val="0070C0"/>
        </w:rPr>
      </w:pPr>
      <w:r w:rsidRPr="006F1E17">
        <w:rPr>
          <w:b/>
          <w:color w:val="0070C0"/>
        </w:rPr>
        <w:t>Określenie aspektów społecznych w kryteriach oceny ofert, o których mowa w art. 242 ust. 2 ustawy Pzp</w:t>
      </w:r>
    </w:p>
    <w:p w14:paraId="0B618C41" w14:textId="77777777" w:rsidR="00443DC3" w:rsidRPr="00443DC3" w:rsidRDefault="00443DC3" w:rsidP="00443DC3">
      <w:pPr>
        <w:shd w:val="clear" w:color="auto" w:fill="FFFFFF"/>
      </w:pPr>
    </w:p>
    <w:p w14:paraId="121E15E5" w14:textId="4F59EEEC" w:rsidR="006F1E17" w:rsidRPr="00443DC3" w:rsidRDefault="006F1E17" w:rsidP="006F1E17">
      <w:pPr>
        <w:pStyle w:val="Legenda"/>
      </w:pPr>
      <w:bookmarkStart w:id="148" w:name="_Toc141276553"/>
      <w:r w:rsidRPr="007828F0">
        <w:t xml:space="preserve">Tab. </w:t>
      </w:r>
      <w:r w:rsidR="00BE2079">
        <w:fldChar w:fldCharType="begin"/>
      </w:r>
      <w:r w:rsidR="00BE2079">
        <w:instrText xml:space="preserve"> SEQ Tab. \* ARABIC </w:instrText>
      </w:r>
      <w:r w:rsidR="00BE2079">
        <w:fldChar w:fldCharType="separate"/>
      </w:r>
      <w:r w:rsidR="00A43C68">
        <w:rPr>
          <w:noProof/>
        </w:rPr>
        <w:t>46</w:t>
      </w:r>
      <w:r w:rsidR="00BE2079">
        <w:rPr>
          <w:noProof/>
        </w:rPr>
        <w:fldChar w:fldCharType="end"/>
      </w:r>
      <w:r w:rsidRPr="007828F0">
        <w:t>. Społeczne zamówienia publiczne udzielane przez jednostki administracji rządowej z zastosowaniem art. 242 ust. 2 ustawy Pzp</w:t>
      </w:r>
      <w:bookmarkEnd w:id="14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7828F0" w:rsidRPr="00443DC3" w14:paraId="5832BEC8" w14:textId="77777777" w:rsidTr="00EF57A8">
        <w:trPr>
          <w:trHeight w:val="300"/>
          <w:jc w:val="center"/>
        </w:trPr>
        <w:tc>
          <w:tcPr>
            <w:tcW w:w="6941" w:type="dxa"/>
            <w:shd w:val="clear" w:color="auto" w:fill="DEEAF6"/>
            <w:noWrap/>
            <w:vAlign w:val="center"/>
          </w:tcPr>
          <w:p w14:paraId="2F7A36D2" w14:textId="77777777" w:rsidR="007828F0" w:rsidRPr="00443DC3" w:rsidRDefault="007828F0" w:rsidP="007828F0">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121" w:type="dxa"/>
            <w:shd w:val="clear" w:color="auto" w:fill="DEEAF6"/>
            <w:noWrap/>
            <w:vAlign w:val="center"/>
          </w:tcPr>
          <w:p w14:paraId="7E95E9AE" w14:textId="28B08122" w:rsidR="007828F0" w:rsidRPr="00443DC3" w:rsidRDefault="007828F0" w:rsidP="007828F0">
            <w:pPr>
              <w:jc w:val="center"/>
              <w:rPr>
                <w:rFonts w:cs="Arial"/>
                <w:sz w:val="20"/>
                <w:szCs w:val="20"/>
              </w:rPr>
            </w:pPr>
            <w:r w:rsidRPr="00EE3A2E">
              <w:rPr>
                <w:rFonts w:cs="Arial"/>
                <w:sz w:val="20"/>
                <w:szCs w:val="20"/>
              </w:rPr>
              <w:t>467</w:t>
            </w:r>
          </w:p>
        </w:tc>
      </w:tr>
      <w:tr w:rsidR="007828F0" w:rsidRPr="00443DC3" w14:paraId="6F970599" w14:textId="77777777" w:rsidTr="00EF57A8">
        <w:trPr>
          <w:trHeight w:val="300"/>
          <w:jc w:val="center"/>
        </w:trPr>
        <w:tc>
          <w:tcPr>
            <w:tcW w:w="6941" w:type="dxa"/>
            <w:shd w:val="clear" w:color="auto" w:fill="auto"/>
            <w:noWrap/>
            <w:vAlign w:val="center"/>
            <w:hideMark/>
          </w:tcPr>
          <w:p w14:paraId="2DCDE130" w14:textId="77777777" w:rsidR="007828F0" w:rsidRPr="00443DC3" w:rsidRDefault="007828F0" w:rsidP="007828F0">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2121" w:type="dxa"/>
            <w:shd w:val="clear" w:color="auto" w:fill="auto"/>
            <w:noWrap/>
            <w:vAlign w:val="center"/>
            <w:hideMark/>
          </w:tcPr>
          <w:p w14:paraId="11A7132A" w14:textId="77777777" w:rsidR="007828F0" w:rsidRDefault="007828F0" w:rsidP="007828F0">
            <w:pPr>
              <w:jc w:val="center"/>
              <w:rPr>
                <w:rFonts w:cs="Arial"/>
                <w:sz w:val="20"/>
                <w:szCs w:val="20"/>
              </w:rPr>
            </w:pPr>
            <w:r w:rsidRPr="00EE3A2E">
              <w:rPr>
                <w:rFonts w:cs="Arial"/>
                <w:sz w:val="20"/>
                <w:szCs w:val="20"/>
              </w:rPr>
              <w:t>2 265 257 739,45 zł</w:t>
            </w:r>
          </w:p>
          <w:p w14:paraId="3EF246E8" w14:textId="5196F9E3" w:rsidR="007828F0" w:rsidRPr="00443DC3" w:rsidRDefault="007828F0" w:rsidP="007828F0">
            <w:pPr>
              <w:jc w:val="center"/>
              <w:rPr>
                <w:rFonts w:cs="Arial"/>
                <w:sz w:val="20"/>
                <w:szCs w:val="20"/>
              </w:rPr>
            </w:pPr>
            <w:r w:rsidRPr="00FD623C">
              <w:rPr>
                <w:rFonts w:cs="Arial"/>
                <w:sz w:val="20"/>
                <w:szCs w:val="20"/>
              </w:rPr>
              <w:t>(wartość bez VAT)</w:t>
            </w:r>
          </w:p>
        </w:tc>
      </w:tr>
    </w:tbl>
    <w:p w14:paraId="0FBEBE30"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443DC3" w14:paraId="1DB6850C" w14:textId="77777777" w:rsidTr="00EF57A8">
        <w:trPr>
          <w:trHeight w:val="300"/>
          <w:tblHeader/>
          <w:jc w:val="center"/>
        </w:trPr>
        <w:tc>
          <w:tcPr>
            <w:tcW w:w="3022" w:type="dxa"/>
            <w:shd w:val="clear" w:color="auto" w:fill="5B9BD5"/>
            <w:noWrap/>
            <w:vAlign w:val="center"/>
          </w:tcPr>
          <w:p w14:paraId="2392F7CE"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368" w:type="dxa"/>
            <w:shd w:val="clear" w:color="auto" w:fill="5B9BD5"/>
            <w:vAlign w:val="center"/>
          </w:tcPr>
          <w:p w14:paraId="58394E6F"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677" w:type="dxa"/>
            <w:shd w:val="clear" w:color="auto" w:fill="5B9BD5"/>
            <w:vAlign w:val="center"/>
          </w:tcPr>
          <w:p w14:paraId="2982E5CC"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7828F0" w:rsidRPr="00443DC3" w14:paraId="7909971D" w14:textId="77777777" w:rsidTr="00EF57A8">
        <w:trPr>
          <w:trHeight w:val="260"/>
          <w:jc w:val="center"/>
        </w:trPr>
        <w:tc>
          <w:tcPr>
            <w:tcW w:w="3022" w:type="dxa"/>
            <w:shd w:val="clear" w:color="auto" w:fill="auto"/>
            <w:noWrap/>
            <w:vAlign w:val="center"/>
          </w:tcPr>
          <w:p w14:paraId="7E1AF133" w14:textId="77777777" w:rsidR="007828F0" w:rsidRPr="00443DC3" w:rsidRDefault="007828F0" w:rsidP="007828F0">
            <w:pPr>
              <w:jc w:val="center"/>
              <w:rPr>
                <w:rFonts w:cs="Arial"/>
                <w:bCs/>
                <w:sz w:val="20"/>
                <w:szCs w:val="20"/>
              </w:rPr>
            </w:pPr>
            <w:r w:rsidRPr="00443DC3">
              <w:rPr>
                <w:rFonts w:cs="Arial"/>
                <w:bCs/>
                <w:sz w:val="20"/>
                <w:szCs w:val="20"/>
              </w:rPr>
              <w:t>Dostawy</w:t>
            </w:r>
          </w:p>
        </w:tc>
        <w:tc>
          <w:tcPr>
            <w:tcW w:w="1368" w:type="dxa"/>
            <w:shd w:val="clear" w:color="auto" w:fill="auto"/>
            <w:noWrap/>
            <w:vAlign w:val="center"/>
          </w:tcPr>
          <w:p w14:paraId="6AA43B8B" w14:textId="3E46389E" w:rsidR="007828F0" w:rsidRPr="00443DC3" w:rsidRDefault="007828F0" w:rsidP="007828F0">
            <w:pPr>
              <w:jc w:val="center"/>
              <w:rPr>
                <w:rFonts w:cs="Arial"/>
                <w:sz w:val="20"/>
                <w:szCs w:val="20"/>
              </w:rPr>
            </w:pPr>
            <w:r w:rsidRPr="00EE3A2E">
              <w:rPr>
                <w:sz w:val="20"/>
                <w:szCs w:val="20"/>
              </w:rPr>
              <w:t>44</w:t>
            </w:r>
          </w:p>
        </w:tc>
        <w:tc>
          <w:tcPr>
            <w:tcW w:w="4677" w:type="dxa"/>
            <w:vAlign w:val="center"/>
          </w:tcPr>
          <w:p w14:paraId="398D33D0" w14:textId="69F880A5" w:rsidR="007828F0" w:rsidRPr="00443DC3" w:rsidRDefault="007828F0" w:rsidP="007828F0">
            <w:pPr>
              <w:jc w:val="center"/>
              <w:rPr>
                <w:rFonts w:cs="Arial"/>
                <w:sz w:val="20"/>
                <w:szCs w:val="20"/>
              </w:rPr>
            </w:pPr>
            <w:r w:rsidRPr="00EE3A2E">
              <w:rPr>
                <w:sz w:val="20"/>
                <w:szCs w:val="20"/>
              </w:rPr>
              <w:t>94 486 711,76 zł</w:t>
            </w:r>
          </w:p>
        </w:tc>
      </w:tr>
      <w:tr w:rsidR="007828F0" w:rsidRPr="00443DC3" w14:paraId="531EF751" w14:textId="77777777" w:rsidTr="00EF57A8">
        <w:trPr>
          <w:trHeight w:val="300"/>
          <w:jc w:val="center"/>
        </w:trPr>
        <w:tc>
          <w:tcPr>
            <w:tcW w:w="3022" w:type="dxa"/>
            <w:shd w:val="clear" w:color="auto" w:fill="DEEAF6"/>
            <w:noWrap/>
            <w:vAlign w:val="center"/>
            <w:hideMark/>
          </w:tcPr>
          <w:p w14:paraId="7FF72A98" w14:textId="77777777" w:rsidR="007828F0" w:rsidRPr="00443DC3" w:rsidRDefault="007828F0" w:rsidP="007828F0">
            <w:pPr>
              <w:jc w:val="center"/>
              <w:rPr>
                <w:rFonts w:cs="Arial"/>
                <w:bCs/>
                <w:sz w:val="20"/>
                <w:szCs w:val="20"/>
              </w:rPr>
            </w:pPr>
            <w:r w:rsidRPr="00443DC3">
              <w:rPr>
                <w:rFonts w:cs="Arial"/>
                <w:bCs/>
                <w:sz w:val="20"/>
                <w:szCs w:val="20"/>
              </w:rPr>
              <w:t>Roboty budowlane</w:t>
            </w:r>
          </w:p>
        </w:tc>
        <w:tc>
          <w:tcPr>
            <w:tcW w:w="1368" w:type="dxa"/>
            <w:shd w:val="clear" w:color="auto" w:fill="DEEAF6"/>
            <w:noWrap/>
            <w:vAlign w:val="center"/>
          </w:tcPr>
          <w:p w14:paraId="4829FB2F" w14:textId="3B6CD5B6" w:rsidR="007828F0" w:rsidRPr="00443DC3" w:rsidRDefault="007828F0" w:rsidP="007828F0">
            <w:pPr>
              <w:jc w:val="center"/>
              <w:rPr>
                <w:rFonts w:cs="Arial"/>
                <w:sz w:val="20"/>
                <w:szCs w:val="20"/>
              </w:rPr>
            </w:pPr>
            <w:r w:rsidRPr="00EE3A2E">
              <w:rPr>
                <w:sz w:val="20"/>
                <w:szCs w:val="20"/>
              </w:rPr>
              <w:t>33</w:t>
            </w:r>
          </w:p>
        </w:tc>
        <w:tc>
          <w:tcPr>
            <w:tcW w:w="4677" w:type="dxa"/>
            <w:shd w:val="clear" w:color="auto" w:fill="DEEAF6"/>
            <w:vAlign w:val="center"/>
          </w:tcPr>
          <w:p w14:paraId="0D961E8E" w14:textId="57052BDA" w:rsidR="007828F0" w:rsidRPr="00443DC3" w:rsidRDefault="007828F0" w:rsidP="007828F0">
            <w:pPr>
              <w:jc w:val="center"/>
              <w:rPr>
                <w:rFonts w:cs="Arial"/>
                <w:sz w:val="20"/>
                <w:szCs w:val="20"/>
              </w:rPr>
            </w:pPr>
            <w:r w:rsidRPr="00EE3A2E">
              <w:rPr>
                <w:sz w:val="20"/>
                <w:szCs w:val="20"/>
              </w:rPr>
              <w:t>232 505 790,29 zł</w:t>
            </w:r>
          </w:p>
        </w:tc>
      </w:tr>
      <w:tr w:rsidR="007828F0" w:rsidRPr="00443DC3" w14:paraId="43B1595A" w14:textId="77777777" w:rsidTr="00EF57A8">
        <w:trPr>
          <w:trHeight w:val="300"/>
          <w:jc w:val="center"/>
        </w:trPr>
        <w:tc>
          <w:tcPr>
            <w:tcW w:w="3022" w:type="dxa"/>
            <w:shd w:val="clear" w:color="auto" w:fill="auto"/>
            <w:noWrap/>
            <w:vAlign w:val="center"/>
          </w:tcPr>
          <w:p w14:paraId="6602AE13" w14:textId="77777777" w:rsidR="007828F0" w:rsidRPr="00443DC3" w:rsidRDefault="007828F0" w:rsidP="007828F0">
            <w:pPr>
              <w:jc w:val="center"/>
              <w:rPr>
                <w:rFonts w:cs="Arial"/>
                <w:bCs/>
                <w:sz w:val="20"/>
                <w:szCs w:val="20"/>
              </w:rPr>
            </w:pPr>
            <w:r w:rsidRPr="00443DC3">
              <w:rPr>
                <w:rFonts w:cs="Arial"/>
                <w:bCs/>
                <w:sz w:val="20"/>
                <w:szCs w:val="20"/>
              </w:rPr>
              <w:t>Usługi</w:t>
            </w:r>
          </w:p>
        </w:tc>
        <w:tc>
          <w:tcPr>
            <w:tcW w:w="1368" w:type="dxa"/>
            <w:shd w:val="clear" w:color="auto" w:fill="auto"/>
            <w:noWrap/>
            <w:vAlign w:val="center"/>
          </w:tcPr>
          <w:p w14:paraId="0FDCEBF7" w14:textId="7653F13B" w:rsidR="007828F0" w:rsidRPr="00443DC3" w:rsidRDefault="007828F0" w:rsidP="007828F0">
            <w:pPr>
              <w:jc w:val="center"/>
              <w:rPr>
                <w:rFonts w:cs="Arial"/>
                <w:sz w:val="20"/>
                <w:szCs w:val="20"/>
              </w:rPr>
            </w:pPr>
            <w:r w:rsidRPr="00EE3A2E">
              <w:rPr>
                <w:sz w:val="20"/>
                <w:szCs w:val="20"/>
              </w:rPr>
              <w:t>390</w:t>
            </w:r>
          </w:p>
        </w:tc>
        <w:tc>
          <w:tcPr>
            <w:tcW w:w="4677" w:type="dxa"/>
            <w:vAlign w:val="center"/>
          </w:tcPr>
          <w:p w14:paraId="29552D23" w14:textId="5D892D58" w:rsidR="007828F0" w:rsidRPr="00443DC3" w:rsidRDefault="007828F0" w:rsidP="007828F0">
            <w:pPr>
              <w:jc w:val="center"/>
              <w:rPr>
                <w:rFonts w:cs="Arial"/>
                <w:sz w:val="20"/>
                <w:szCs w:val="20"/>
              </w:rPr>
            </w:pPr>
            <w:r w:rsidRPr="00EE3A2E">
              <w:rPr>
                <w:sz w:val="20"/>
                <w:szCs w:val="20"/>
              </w:rPr>
              <w:t>1 938 265 237,40 zł</w:t>
            </w:r>
          </w:p>
        </w:tc>
      </w:tr>
    </w:tbl>
    <w:p w14:paraId="05BDB009" w14:textId="2303A22A" w:rsidR="00443DC3" w:rsidRDefault="00443DC3" w:rsidP="00443DC3">
      <w:pPr>
        <w:shd w:val="clear" w:color="auto" w:fill="FFFFFF"/>
      </w:pPr>
    </w:p>
    <w:p w14:paraId="5D70F19C" w14:textId="77777777" w:rsidR="006F1E17" w:rsidRPr="00443DC3" w:rsidRDefault="006F1E17" w:rsidP="00443DC3">
      <w:pPr>
        <w:shd w:val="clear" w:color="auto" w:fill="FFFFFF"/>
      </w:pPr>
    </w:p>
    <w:p w14:paraId="5916F0AE" w14:textId="467B4683" w:rsidR="00443DC3" w:rsidRPr="006F1E17" w:rsidRDefault="00443DC3" w:rsidP="00BB38CE">
      <w:pPr>
        <w:shd w:val="clear" w:color="auto" w:fill="FFFFFF"/>
        <w:ind w:left="709"/>
        <w:rPr>
          <w:b/>
          <w:color w:val="0070C0"/>
        </w:rPr>
      </w:pPr>
      <w:r w:rsidRPr="006F1E17">
        <w:rPr>
          <w:b/>
          <w:color w:val="0070C0"/>
        </w:rPr>
        <w:t>Określenie wymagań zw</w:t>
      </w:r>
      <w:r w:rsidR="00F5387C">
        <w:rPr>
          <w:b/>
          <w:color w:val="0070C0"/>
        </w:rPr>
        <w:t>iązanych</w:t>
      </w:r>
      <w:r w:rsidRPr="006F1E17">
        <w:rPr>
          <w:b/>
          <w:color w:val="0070C0"/>
        </w:rPr>
        <w:t xml:space="preserve"> z realizacją zamówienia w zakresie zatrudnienia na podstawie stosunku pracy, o których mowa w art. 95 ust. 1 ustawy Pzp</w:t>
      </w:r>
    </w:p>
    <w:p w14:paraId="601C31E1" w14:textId="77777777" w:rsidR="00443DC3" w:rsidRPr="00443DC3" w:rsidRDefault="00443DC3" w:rsidP="00443DC3">
      <w:pPr>
        <w:shd w:val="clear" w:color="auto" w:fill="FFFFFF"/>
      </w:pPr>
    </w:p>
    <w:p w14:paraId="2A063F02" w14:textId="017C60C4" w:rsidR="006F1E17" w:rsidRPr="00443DC3" w:rsidRDefault="006F1E17" w:rsidP="006F1E17">
      <w:pPr>
        <w:pStyle w:val="Legenda"/>
      </w:pPr>
      <w:bookmarkStart w:id="149" w:name="_Toc141276554"/>
      <w:r w:rsidRPr="00BB38CE">
        <w:t xml:space="preserve">Tab. </w:t>
      </w:r>
      <w:r w:rsidR="00BE2079">
        <w:fldChar w:fldCharType="begin"/>
      </w:r>
      <w:r w:rsidR="00BE2079">
        <w:instrText xml:space="preserve"> SEQ Tab. \* ARABIC </w:instrText>
      </w:r>
      <w:r w:rsidR="00BE2079">
        <w:fldChar w:fldCharType="separate"/>
      </w:r>
      <w:r w:rsidR="00A43C68">
        <w:rPr>
          <w:noProof/>
        </w:rPr>
        <w:t>47</w:t>
      </w:r>
      <w:r w:rsidR="00BE2079">
        <w:rPr>
          <w:noProof/>
        </w:rPr>
        <w:fldChar w:fldCharType="end"/>
      </w:r>
      <w:r w:rsidRPr="00BB38CE">
        <w:t>. Zamówienia publiczne udzielane przez jednostki administracji rządowej z zastosowaniem art. 95 ust. 1 ustawy Pzp</w:t>
      </w:r>
      <w:bookmarkEnd w:id="14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BB38CE" w:rsidRPr="00443DC3" w14:paraId="79C221E4" w14:textId="77777777" w:rsidTr="00EF57A8">
        <w:trPr>
          <w:trHeight w:val="300"/>
          <w:jc w:val="center"/>
        </w:trPr>
        <w:tc>
          <w:tcPr>
            <w:tcW w:w="6941" w:type="dxa"/>
            <w:shd w:val="clear" w:color="auto" w:fill="DEEAF6"/>
            <w:noWrap/>
            <w:vAlign w:val="center"/>
          </w:tcPr>
          <w:p w14:paraId="3B83F2B0" w14:textId="77777777" w:rsidR="00BB38CE" w:rsidRPr="00443DC3" w:rsidRDefault="00BB38CE" w:rsidP="00BB38CE">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121" w:type="dxa"/>
            <w:shd w:val="clear" w:color="auto" w:fill="DEEAF6"/>
            <w:noWrap/>
            <w:vAlign w:val="center"/>
          </w:tcPr>
          <w:p w14:paraId="50020D39" w14:textId="425BCFE4" w:rsidR="00BB38CE" w:rsidRPr="00443DC3" w:rsidRDefault="00BB38CE" w:rsidP="00BB38CE">
            <w:pPr>
              <w:jc w:val="center"/>
              <w:rPr>
                <w:rFonts w:cs="Arial"/>
                <w:sz w:val="20"/>
                <w:szCs w:val="20"/>
              </w:rPr>
            </w:pPr>
            <w:r w:rsidRPr="00E9680A">
              <w:rPr>
                <w:rFonts w:cs="Arial"/>
                <w:sz w:val="20"/>
                <w:szCs w:val="20"/>
              </w:rPr>
              <w:t>6</w:t>
            </w:r>
            <w:r>
              <w:rPr>
                <w:rFonts w:cs="Arial"/>
                <w:sz w:val="20"/>
                <w:szCs w:val="20"/>
              </w:rPr>
              <w:t xml:space="preserve"> </w:t>
            </w:r>
            <w:r w:rsidRPr="00E9680A">
              <w:rPr>
                <w:rFonts w:cs="Arial"/>
                <w:sz w:val="20"/>
                <w:szCs w:val="20"/>
              </w:rPr>
              <w:t>1</w:t>
            </w:r>
            <w:r>
              <w:rPr>
                <w:rFonts w:cs="Arial"/>
                <w:sz w:val="20"/>
                <w:szCs w:val="20"/>
              </w:rPr>
              <w:t>31</w:t>
            </w:r>
          </w:p>
        </w:tc>
      </w:tr>
      <w:tr w:rsidR="00BB38CE" w:rsidRPr="00443DC3" w14:paraId="39A28D66" w14:textId="77777777" w:rsidTr="00EF57A8">
        <w:trPr>
          <w:trHeight w:val="300"/>
          <w:jc w:val="center"/>
        </w:trPr>
        <w:tc>
          <w:tcPr>
            <w:tcW w:w="6941" w:type="dxa"/>
            <w:shd w:val="clear" w:color="auto" w:fill="auto"/>
            <w:noWrap/>
            <w:vAlign w:val="center"/>
            <w:hideMark/>
          </w:tcPr>
          <w:p w14:paraId="279B0E08" w14:textId="77777777" w:rsidR="00BB38CE" w:rsidRPr="00443DC3" w:rsidRDefault="00BB38CE" w:rsidP="00BB38CE">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2121" w:type="dxa"/>
            <w:shd w:val="clear" w:color="auto" w:fill="auto"/>
            <w:noWrap/>
            <w:vAlign w:val="center"/>
            <w:hideMark/>
          </w:tcPr>
          <w:p w14:paraId="22689157" w14:textId="77777777" w:rsidR="00BB38CE" w:rsidRDefault="00BB38CE" w:rsidP="00BB38CE">
            <w:pPr>
              <w:jc w:val="center"/>
              <w:rPr>
                <w:rFonts w:cs="Arial"/>
                <w:sz w:val="20"/>
                <w:szCs w:val="20"/>
              </w:rPr>
            </w:pPr>
            <w:r w:rsidRPr="00E9680A">
              <w:rPr>
                <w:rFonts w:cs="Arial"/>
                <w:sz w:val="20"/>
                <w:szCs w:val="20"/>
              </w:rPr>
              <w:t xml:space="preserve">25 </w:t>
            </w:r>
            <w:r>
              <w:rPr>
                <w:rFonts w:cs="Arial"/>
                <w:sz w:val="20"/>
                <w:szCs w:val="20"/>
              </w:rPr>
              <w:t>838</w:t>
            </w:r>
            <w:r w:rsidRPr="00E9680A">
              <w:rPr>
                <w:rFonts w:cs="Arial"/>
                <w:sz w:val="20"/>
                <w:szCs w:val="20"/>
              </w:rPr>
              <w:t xml:space="preserve"> </w:t>
            </w:r>
            <w:r>
              <w:rPr>
                <w:rFonts w:cs="Arial"/>
                <w:sz w:val="20"/>
                <w:szCs w:val="20"/>
              </w:rPr>
              <w:t>311</w:t>
            </w:r>
            <w:r w:rsidRPr="00E9680A">
              <w:rPr>
                <w:rFonts w:cs="Arial"/>
                <w:sz w:val="20"/>
                <w:szCs w:val="20"/>
              </w:rPr>
              <w:t xml:space="preserve"> </w:t>
            </w:r>
            <w:r>
              <w:rPr>
                <w:rFonts w:cs="Arial"/>
                <w:sz w:val="20"/>
                <w:szCs w:val="20"/>
              </w:rPr>
              <w:t>342</w:t>
            </w:r>
            <w:r w:rsidRPr="00E9680A">
              <w:rPr>
                <w:rFonts w:cs="Arial"/>
                <w:sz w:val="20"/>
                <w:szCs w:val="20"/>
              </w:rPr>
              <w:t>,</w:t>
            </w:r>
            <w:r>
              <w:rPr>
                <w:rFonts w:cs="Arial"/>
                <w:sz w:val="20"/>
                <w:szCs w:val="20"/>
              </w:rPr>
              <w:t>73</w:t>
            </w:r>
            <w:r w:rsidRPr="00E9680A">
              <w:rPr>
                <w:rFonts w:cs="Arial"/>
                <w:sz w:val="20"/>
                <w:szCs w:val="20"/>
              </w:rPr>
              <w:t xml:space="preserve"> zł</w:t>
            </w:r>
          </w:p>
          <w:p w14:paraId="07BB5B19" w14:textId="209C861B" w:rsidR="00BB38CE" w:rsidRPr="00443DC3" w:rsidRDefault="00BB38CE" w:rsidP="00BB38CE">
            <w:pPr>
              <w:jc w:val="center"/>
              <w:rPr>
                <w:rFonts w:cs="Arial"/>
                <w:sz w:val="20"/>
                <w:szCs w:val="20"/>
              </w:rPr>
            </w:pPr>
            <w:r w:rsidRPr="00FD623C">
              <w:rPr>
                <w:rFonts w:cs="Arial"/>
                <w:sz w:val="20"/>
                <w:szCs w:val="20"/>
              </w:rPr>
              <w:t>(wartość bez VAT)</w:t>
            </w:r>
          </w:p>
        </w:tc>
      </w:tr>
    </w:tbl>
    <w:p w14:paraId="2C175F2F"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084"/>
        <w:gridCol w:w="4961"/>
      </w:tblGrid>
      <w:tr w:rsidR="00443DC3" w:rsidRPr="00443DC3" w14:paraId="3E13C2E5" w14:textId="77777777" w:rsidTr="00EF57A8">
        <w:trPr>
          <w:trHeight w:val="300"/>
          <w:tblHeader/>
          <w:jc w:val="center"/>
        </w:trPr>
        <w:tc>
          <w:tcPr>
            <w:tcW w:w="3022" w:type="dxa"/>
            <w:shd w:val="clear" w:color="auto" w:fill="5B9BD5"/>
            <w:noWrap/>
            <w:vAlign w:val="center"/>
          </w:tcPr>
          <w:p w14:paraId="17AB502A"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084" w:type="dxa"/>
            <w:shd w:val="clear" w:color="auto" w:fill="5B9BD5"/>
            <w:vAlign w:val="center"/>
          </w:tcPr>
          <w:p w14:paraId="222F16AE"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961" w:type="dxa"/>
            <w:shd w:val="clear" w:color="auto" w:fill="5B9BD5"/>
            <w:vAlign w:val="center"/>
          </w:tcPr>
          <w:p w14:paraId="0385C644"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BB38CE" w:rsidRPr="00443DC3" w14:paraId="2CA7C8FB" w14:textId="77777777" w:rsidTr="00EF57A8">
        <w:trPr>
          <w:trHeight w:val="313"/>
          <w:jc w:val="center"/>
        </w:trPr>
        <w:tc>
          <w:tcPr>
            <w:tcW w:w="3022" w:type="dxa"/>
            <w:shd w:val="clear" w:color="auto" w:fill="auto"/>
            <w:noWrap/>
            <w:vAlign w:val="center"/>
          </w:tcPr>
          <w:p w14:paraId="17289AC5" w14:textId="77777777" w:rsidR="00BB38CE" w:rsidRPr="00443DC3" w:rsidRDefault="00BB38CE" w:rsidP="00BB38CE">
            <w:pPr>
              <w:jc w:val="center"/>
              <w:rPr>
                <w:rFonts w:cs="Arial"/>
                <w:bCs/>
                <w:sz w:val="20"/>
                <w:szCs w:val="20"/>
              </w:rPr>
            </w:pPr>
            <w:r w:rsidRPr="00443DC3">
              <w:rPr>
                <w:rFonts w:cs="Arial"/>
                <w:bCs/>
                <w:sz w:val="20"/>
                <w:szCs w:val="20"/>
              </w:rPr>
              <w:t>Dostawy</w:t>
            </w:r>
          </w:p>
        </w:tc>
        <w:tc>
          <w:tcPr>
            <w:tcW w:w="1084" w:type="dxa"/>
            <w:shd w:val="clear" w:color="auto" w:fill="auto"/>
            <w:noWrap/>
            <w:vAlign w:val="center"/>
          </w:tcPr>
          <w:p w14:paraId="0BC6274D" w14:textId="2B4F417A" w:rsidR="00BB38CE" w:rsidRPr="00443DC3" w:rsidRDefault="00BB38CE" w:rsidP="00BB38CE">
            <w:pPr>
              <w:jc w:val="center"/>
              <w:rPr>
                <w:rFonts w:cs="Arial"/>
                <w:sz w:val="20"/>
                <w:szCs w:val="20"/>
              </w:rPr>
            </w:pPr>
            <w:r w:rsidRPr="00F03F23">
              <w:rPr>
                <w:sz w:val="20"/>
                <w:szCs w:val="20"/>
              </w:rPr>
              <w:t>75</w:t>
            </w:r>
          </w:p>
        </w:tc>
        <w:tc>
          <w:tcPr>
            <w:tcW w:w="4961" w:type="dxa"/>
            <w:vAlign w:val="center"/>
          </w:tcPr>
          <w:p w14:paraId="4BDE5D22" w14:textId="1546D4DB" w:rsidR="00BB38CE" w:rsidRPr="00443DC3" w:rsidRDefault="00BB38CE" w:rsidP="00BB38CE">
            <w:pPr>
              <w:jc w:val="center"/>
              <w:rPr>
                <w:rFonts w:cs="Arial"/>
                <w:sz w:val="20"/>
                <w:szCs w:val="20"/>
              </w:rPr>
            </w:pPr>
            <w:r w:rsidRPr="00F03F23">
              <w:rPr>
                <w:sz w:val="20"/>
                <w:szCs w:val="20"/>
              </w:rPr>
              <w:t>152 836 563,77 zł</w:t>
            </w:r>
          </w:p>
        </w:tc>
      </w:tr>
      <w:tr w:rsidR="00BB38CE" w:rsidRPr="00443DC3" w14:paraId="6BCFA498" w14:textId="77777777" w:rsidTr="00EF57A8">
        <w:trPr>
          <w:trHeight w:val="300"/>
          <w:jc w:val="center"/>
        </w:trPr>
        <w:tc>
          <w:tcPr>
            <w:tcW w:w="3022" w:type="dxa"/>
            <w:shd w:val="clear" w:color="auto" w:fill="DEEAF6"/>
            <w:noWrap/>
            <w:vAlign w:val="center"/>
            <w:hideMark/>
          </w:tcPr>
          <w:p w14:paraId="3BD600AD" w14:textId="77777777" w:rsidR="00BB38CE" w:rsidRPr="00443DC3" w:rsidRDefault="00BB38CE" w:rsidP="00BB38CE">
            <w:pPr>
              <w:jc w:val="center"/>
              <w:rPr>
                <w:rFonts w:cs="Arial"/>
                <w:bCs/>
                <w:sz w:val="20"/>
                <w:szCs w:val="20"/>
              </w:rPr>
            </w:pPr>
            <w:r w:rsidRPr="00443DC3">
              <w:rPr>
                <w:rFonts w:cs="Arial"/>
                <w:bCs/>
                <w:sz w:val="20"/>
                <w:szCs w:val="20"/>
              </w:rPr>
              <w:t>Roboty budowlane</w:t>
            </w:r>
          </w:p>
        </w:tc>
        <w:tc>
          <w:tcPr>
            <w:tcW w:w="1084" w:type="dxa"/>
            <w:shd w:val="clear" w:color="auto" w:fill="DEEAF6"/>
            <w:noWrap/>
            <w:vAlign w:val="center"/>
          </w:tcPr>
          <w:p w14:paraId="1BE4CF3B" w14:textId="6B38E49D" w:rsidR="00BB38CE" w:rsidRPr="00443DC3" w:rsidRDefault="00BB38CE" w:rsidP="00BB38CE">
            <w:pPr>
              <w:jc w:val="center"/>
              <w:rPr>
                <w:rFonts w:cs="Arial"/>
                <w:sz w:val="20"/>
                <w:szCs w:val="20"/>
              </w:rPr>
            </w:pPr>
            <w:r w:rsidRPr="00F03F23">
              <w:rPr>
                <w:sz w:val="20"/>
                <w:szCs w:val="20"/>
              </w:rPr>
              <w:t>2 328</w:t>
            </w:r>
          </w:p>
        </w:tc>
        <w:tc>
          <w:tcPr>
            <w:tcW w:w="4961" w:type="dxa"/>
            <w:shd w:val="clear" w:color="auto" w:fill="DEEAF6"/>
            <w:vAlign w:val="center"/>
          </w:tcPr>
          <w:p w14:paraId="33EED0DE" w14:textId="2F66E4B4" w:rsidR="00BB38CE" w:rsidRPr="00443DC3" w:rsidRDefault="00BB38CE" w:rsidP="00BB38CE">
            <w:pPr>
              <w:jc w:val="center"/>
              <w:rPr>
                <w:rFonts w:cs="Arial"/>
                <w:sz w:val="20"/>
                <w:szCs w:val="20"/>
              </w:rPr>
            </w:pPr>
            <w:r w:rsidRPr="00F03F23">
              <w:rPr>
                <w:sz w:val="20"/>
                <w:szCs w:val="20"/>
              </w:rPr>
              <w:t>15 612 550 109,22 zł</w:t>
            </w:r>
          </w:p>
        </w:tc>
      </w:tr>
      <w:tr w:rsidR="00BB38CE" w:rsidRPr="00443DC3" w14:paraId="6BD3D4D2" w14:textId="77777777" w:rsidTr="00EF57A8">
        <w:trPr>
          <w:trHeight w:val="300"/>
          <w:jc w:val="center"/>
        </w:trPr>
        <w:tc>
          <w:tcPr>
            <w:tcW w:w="3022" w:type="dxa"/>
            <w:shd w:val="clear" w:color="auto" w:fill="auto"/>
            <w:noWrap/>
            <w:vAlign w:val="center"/>
          </w:tcPr>
          <w:p w14:paraId="17EA5428" w14:textId="77777777" w:rsidR="00BB38CE" w:rsidRPr="00443DC3" w:rsidRDefault="00BB38CE" w:rsidP="00BB38CE">
            <w:pPr>
              <w:jc w:val="center"/>
              <w:rPr>
                <w:rFonts w:cs="Arial"/>
                <w:bCs/>
                <w:sz w:val="20"/>
                <w:szCs w:val="20"/>
              </w:rPr>
            </w:pPr>
            <w:r w:rsidRPr="00443DC3">
              <w:rPr>
                <w:rFonts w:cs="Arial"/>
                <w:bCs/>
                <w:sz w:val="20"/>
                <w:szCs w:val="20"/>
              </w:rPr>
              <w:t>Usługi</w:t>
            </w:r>
          </w:p>
        </w:tc>
        <w:tc>
          <w:tcPr>
            <w:tcW w:w="1084" w:type="dxa"/>
            <w:shd w:val="clear" w:color="auto" w:fill="auto"/>
            <w:noWrap/>
            <w:vAlign w:val="center"/>
          </w:tcPr>
          <w:p w14:paraId="13AB3C9B" w14:textId="2B4D077F" w:rsidR="00BB38CE" w:rsidRPr="00443DC3" w:rsidRDefault="00BB38CE" w:rsidP="00BB38CE">
            <w:pPr>
              <w:jc w:val="center"/>
              <w:rPr>
                <w:rFonts w:cs="Arial"/>
                <w:sz w:val="20"/>
                <w:szCs w:val="20"/>
              </w:rPr>
            </w:pPr>
            <w:r w:rsidRPr="00F03F23">
              <w:rPr>
                <w:sz w:val="20"/>
                <w:szCs w:val="20"/>
              </w:rPr>
              <w:t>3 72</w:t>
            </w:r>
            <w:r>
              <w:rPr>
                <w:sz w:val="20"/>
                <w:szCs w:val="20"/>
              </w:rPr>
              <w:t>8</w:t>
            </w:r>
          </w:p>
        </w:tc>
        <w:tc>
          <w:tcPr>
            <w:tcW w:w="4961" w:type="dxa"/>
            <w:vAlign w:val="center"/>
          </w:tcPr>
          <w:p w14:paraId="2B40B105" w14:textId="4760F99A" w:rsidR="00BB38CE" w:rsidRPr="00443DC3" w:rsidRDefault="00BB38CE" w:rsidP="00BB38CE">
            <w:pPr>
              <w:jc w:val="center"/>
              <w:rPr>
                <w:rFonts w:cs="Arial"/>
                <w:sz w:val="20"/>
                <w:szCs w:val="20"/>
              </w:rPr>
            </w:pPr>
            <w:r>
              <w:rPr>
                <w:rFonts w:cs="Arial"/>
                <w:sz w:val="20"/>
                <w:szCs w:val="20"/>
              </w:rPr>
              <w:t>10 072 924 669,74 zł</w:t>
            </w:r>
          </w:p>
        </w:tc>
      </w:tr>
    </w:tbl>
    <w:p w14:paraId="38986B7C" w14:textId="6C795DFB" w:rsidR="00443DC3" w:rsidRDefault="00443DC3" w:rsidP="00443DC3">
      <w:pPr>
        <w:shd w:val="clear" w:color="auto" w:fill="FFFFFF"/>
      </w:pPr>
    </w:p>
    <w:p w14:paraId="0717572E" w14:textId="77777777" w:rsidR="006F1E17" w:rsidRPr="00443DC3" w:rsidRDefault="006F1E17" w:rsidP="00443DC3">
      <w:pPr>
        <w:shd w:val="clear" w:color="auto" w:fill="FFFFFF"/>
      </w:pPr>
    </w:p>
    <w:p w14:paraId="4A603CCD" w14:textId="5BA3F2A2" w:rsidR="00443DC3" w:rsidRPr="006F1E17" w:rsidRDefault="00443DC3" w:rsidP="00522D56">
      <w:pPr>
        <w:shd w:val="clear" w:color="auto" w:fill="FFFFFF"/>
        <w:ind w:left="709"/>
        <w:rPr>
          <w:b/>
          <w:color w:val="0070C0"/>
        </w:rPr>
      </w:pPr>
      <w:r w:rsidRPr="006F1E17">
        <w:rPr>
          <w:b/>
          <w:color w:val="0070C0"/>
        </w:rPr>
        <w:t>Określenie wymagań zw</w:t>
      </w:r>
      <w:r w:rsidR="00F5387C">
        <w:rPr>
          <w:b/>
          <w:color w:val="0070C0"/>
        </w:rPr>
        <w:t>iązanych</w:t>
      </w:r>
      <w:r w:rsidRPr="006F1E17">
        <w:rPr>
          <w:b/>
          <w:color w:val="0070C0"/>
        </w:rPr>
        <w:t xml:space="preserve"> z realizacją zamówienia obejmujących aspekty społeczne związane z zatrudnieniem, o których mowa w art. 96 ust. 1 ustawy Pzp</w:t>
      </w:r>
    </w:p>
    <w:p w14:paraId="69096C9F" w14:textId="77777777" w:rsidR="00443DC3" w:rsidRPr="00443DC3" w:rsidRDefault="00443DC3" w:rsidP="00443DC3">
      <w:pPr>
        <w:shd w:val="clear" w:color="auto" w:fill="FFFFFF"/>
      </w:pPr>
    </w:p>
    <w:p w14:paraId="457B37FD" w14:textId="7BC75C42" w:rsidR="006F1E17" w:rsidRPr="00443DC3" w:rsidRDefault="006F1E17" w:rsidP="006F1E17">
      <w:pPr>
        <w:pStyle w:val="Legenda"/>
      </w:pPr>
      <w:bookmarkStart w:id="150" w:name="_Toc141276555"/>
      <w:r w:rsidRPr="00522D56">
        <w:t xml:space="preserve">Tab. </w:t>
      </w:r>
      <w:r w:rsidR="00BE2079">
        <w:fldChar w:fldCharType="begin"/>
      </w:r>
      <w:r w:rsidR="00BE2079">
        <w:instrText xml:space="preserve"> SEQ Tab. \* ARABIC </w:instrText>
      </w:r>
      <w:r w:rsidR="00BE2079">
        <w:fldChar w:fldCharType="separate"/>
      </w:r>
      <w:r w:rsidR="00A43C68">
        <w:rPr>
          <w:noProof/>
        </w:rPr>
        <w:t>48</w:t>
      </w:r>
      <w:r w:rsidR="00BE2079">
        <w:rPr>
          <w:noProof/>
        </w:rPr>
        <w:fldChar w:fldCharType="end"/>
      </w:r>
      <w:r w:rsidRPr="00522D56">
        <w:t>. Społeczne zamówienia publiczne udzielane przez jednostki administracji rządowej z zastosowaniem art. 96 ust. 1 ustawy Pzp</w:t>
      </w:r>
      <w:bookmarkEnd w:id="150"/>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6"/>
      </w:tblGrid>
      <w:tr w:rsidR="00522D56" w:rsidRPr="00443DC3" w14:paraId="09ED2D91" w14:textId="77777777" w:rsidTr="00EF57A8">
        <w:trPr>
          <w:trHeight w:val="300"/>
          <w:jc w:val="center"/>
        </w:trPr>
        <w:tc>
          <w:tcPr>
            <w:tcW w:w="6941" w:type="dxa"/>
            <w:shd w:val="clear" w:color="auto" w:fill="DEEAF6"/>
            <w:noWrap/>
            <w:vAlign w:val="center"/>
          </w:tcPr>
          <w:p w14:paraId="6D09AACD" w14:textId="77777777" w:rsidR="00522D56" w:rsidRPr="00443DC3" w:rsidRDefault="00522D56" w:rsidP="00522D56">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2126" w:type="dxa"/>
            <w:shd w:val="clear" w:color="auto" w:fill="DEEAF6"/>
            <w:noWrap/>
            <w:vAlign w:val="center"/>
          </w:tcPr>
          <w:p w14:paraId="26EA69E5" w14:textId="3CF14FC9" w:rsidR="00522D56" w:rsidRPr="00443DC3" w:rsidRDefault="00522D56" w:rsidP="00522D56">
            <w:pPr>
              <w:jc w:val="center"/>
              <w:rPr>
                <w:rFonts w:cs="Arial"/>
                <w:sz w:val="20"/>
                <w:szCs w:val="20"/>
              </w:rPr>
            </w:pPr>
            <w:r w:rsidRPr="00DC0C60">
              <w:rPr>
                <w:rFonts w:cs="Arial"/>
                <w:sz w:val="20"/>
                <w:szCs w:val="20"/>
              </w:rPr>
              <w:t>319</w:t>
            </w:r>
          </w:p>
        </w:tc>
      </w:tr>
      <w:tr w:rsidR="00522D56" w:rsidRPr="00443DC3" w14:paraId="1245BF5D" w14:textId="77777777" w:rsidTr="00EF57A8">
        <w:trPr>
          <w:trHeight w:val="300"/>
          <w:jc w:val="center"/>
        </w:trPr>
        <w:tc>
          <w:tcPr>
            <w:tcW w:w="6941" w:type="dxa"/>
            <w:shd w:val="clear" w:color="auto" w:fill="auto"/>
            <w:noWrap/>
            <w:vAlign w:val="center"/>
            <w:hideMark/>
          </w:tcPr>
          <w:p w14:paraId="6AF9D011" w14:textId="77777777" w:rsidR="00522D56" w:rsidRPr="00443DC3" w:rsidRDefault="00522D56" w:rsidP="00522D56">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2126" w:type="dxa"/>
            <w:shd w:val="clear" w:color="auto" w:fill="auto"/>
            <w:noWrap/>
            <w:vAlign w:val="center"/>
            <w:hideMark/>
          </w:tcPr>
          <w:p w14:paraId="396E597E" w14:textId="77777777" w:rsidR="00522D56" w:rsidRDefault="00522D56" w:rsidP="00522D56">
            <w:pPr>
              <w:jc w:val="center"/>
              <w:rPr>
                <w:rFonts w:cs="Arial"/>
                <w:sz w:val="20"/>
                <w:szCs w:val="20"/>
              </w:rPr>
            </w:pPr>
            <w:r w:rsidRPr="00DC0C60">
              <w:rPr>
                <w:rFonts w:cs="Arial"/>
                <w:sz w:val="20"/>
                <w:szCs w:val="20"/>
              </w:rPr>
              <w:t>570 436 635,62 zł</w:t>
            </w:r>
          </w:p>
          <w:p w14:paraId="57CDEE8F" w14:textId="596C14BB" w:rsidR="00522D56" w:rsidRPr="00443DC3" w:rsidRDefault="00522D56" w:rsidP="00522D56">
            <w:pPr>
              <w:jc w:val="center"/>
              <w:rPr>
                <w:rFonts w:cs="Arial"/>
                <w:sz w:val="20"/>
                <w:szCs w:val="20"/>
              </w:rPr>
            </w:pPr>
            <w:r w:rsidRPr="00FD623C">
              <w:rPr>
                <w:rFonts w:cs="Arial"/>
                <w:sz w:val="20"/>
                <w:szCs w:val="20"/>
              </w:rPr>
              <w:t>(wartość bez VAT)</w:t>
            </w:r>
          </w:p>
        </w:tc>
      </w:tr>
    </w:tbl>
    <w:p w14:paraId="18CB1D57"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443DC3" w14:paraId="38FC7E0C" w14:textId="77777777" w:rsidTr="00EF57A8">
        <w:trPr>
          <w:trHeight w:val="300"/>
          <w:tblHeader/>
          <w:jc w:val="center"/>
        </w:trPr>
        <w:tc>
          <w:tcPr>
            <w:tcW w:w="3022" w:type="dxa"/>
            <w:shd w:val="clear" w:color="auto" w:fill="5B9BD5"/>
            <w:noWrap/>
            <w:vAlign w:val="center"/>
          </w:tcPr>
          <w:p w14:paraId="4331622E" w14:textId="77777777" w:rsidR="00443DC3" w:rsidRPr="00443DC3" w:rsidRDefault="00443DC3" w:rsidP="00443DC3">
            <w:pPr>
              <w:jc w:val="center"/>
              <w:rPr>
                <w:rFonts w:cs="Arial"/>
                <w:sz w:val="20"/>
                <w:szCs w:val="20"/>
              </w:rPr>
            </w:pPr>
            <w:r w:rsidRPr="00443DC3">
              <w:rPr>
                <w:rFonts w:cs="Arial"/>
                <w:bCs/>
                <w:sz w:val="20"/>
                <w:szCs w:val="20"/>
              </w:rPr>
              <w:t>Rodzaj zamówienia</w:t>
            </w:r>
          </w:p>
        </w:tc>
        <w:tc>
          <w:tcPr>
            <w:tcW w:w="1368" w:type="dxa"/>
            <w:shd w:val="clear" w:color="auto" w:fill="5B9BD5"/>
            <w:vAlign w:val="center"/>
          </w:tcPr>
          <w:p w14:paraId="589054CD" w14:textId="77777777" w:rsidR="00443DC3" w:rsidRPr="00443DC3" w:rsidRDefault="00443DC3" w:rsidP="00443DC3">
            <w:pPr>
              <w:jc w:val="center"/>
              <w:rPr>
                <w:rFonts w:cs="Arial"/>
                <w:sz w:val="20"/>
                <w:szCs w:val="20"/>
              </w:rPr>
            </w:pPr>
            <w:r w:rsidRPr="00443DC3">
              <w:rPr>
                <w:rFonts w:cs="Arial"/>
                <w:sz w:val="20"/>
                <w:szCs w:val="20"/>
              </w:rPr>
              <w:t>Liczba</w:t>
            </w:r>
          </w:p>
        </w:tc>
        <w:tc>
          <w:tcPr>
            <w:tcW w:w="4677" w:type="dxa"/>
            <w:shd w:val="clear" w:color="auto" w:fill="5B9BD5"/>
            <w:vAlign w:val="center"/>
          </w:tcPr>
          <w:p w14:paraId="3412315D" w14:textId="77777777" w:rsidR="00443DC3" w:rsidRPr="00443DC3" w:rsidRDefault="00443DC3" w:rsidP="00443DC3">
            <w:pPr>
              <w:jc w:val="center"/>
              <w:rPr>
                <w:rFonts w:cs="Arial"/>
                <w:sz w:val="20"/>
                <w:szCs w:val="20"/>
              </w:rPr>
            </w:pPr>
            <w:r w:rsidRPr="00443DC3">
              <w:rPr>
                <w:rFonts w:cs="Arial"/>
                <w:b/>
                <w:sz w:val="20"/>
                <w:szCs w:val="20"/>
              </w:rPr>
              <w:t>Wartość (bez VAT)</w:t>
            </w:r>
          </w:p>
        </w:tc>
      </w:tr>
      <w:tr w:rsidR="00522D56" w:rsidRPr="00443DC3" w14:paraId="6D11B64A" w14:textId="77777777" w:rsidTr="00EF57A8">
        <w:trPr>
          <w:trHeight w:val="355"/>
          <w:jc w:val="center"/>
        </w:trPr>
        <w:tc>
          <w:tcPr>
            <w:tcW w:w="3022" w:type="dxa"/>
            <w:shd w:val="clear" w:color="auto" w:fill="auto"/>
            <w:noWrap/>
            <w:vAlign w:val="center"/>
          </w:tcPr>
          <w:p w14:paraId="497C7437" w14:textId="77777777" w:rsidR="00522D56" w:rsidRPr="00443DC3" w:rsidRDefault="00522D56" w:rsidP="00522D56">
            <w:pPr>
              <w:jc w:val="center"/>
              <w:rPr>
                <w:rFonts w:cs="Arial"/>
                <w:bCs/>
                <w:sz w:val="20"/>
                <w:szCs w:val="20"/>
              </w:rPr>
            </w:pPr>
            <w:r w:rsidRPr="00443DC3">
              <w:rPr>
                <w:rFonts w:cs="Arial"/>
                <w:bCs/>
                <w:sz w:val="20"/>
                <w:szCs w:val="20"/>
              </w:rPr>
              <w:t>Dostawy</w:t>
            </w:r>
          </w:p>
        </w:tc>
        <w:tc>
          <w:tcPr>
            <w:tcW w:w="1368" w:type="dxa"/>
            <w:shd w:val="clear" w:color="auto" w:fill="auto"/>
            <w:noWrap/>
            <w:vAlign w:val="center"/>
          </w:tcPr>
          <w:p w14:paraId="4683445C" w14:textId="18C1FCDB" w:rsidR="00522D56" w:rsidRPr="00443DC3" w:rsidRDefault="00522D56" w:rsidP="00522D56">
            <w:pPr>
              <w:jc w:val="center"/>
              <w:rPr>
                <w:rFonts w:cs="Arial"/>
                <w:sz w:val="20"/>
                <w:szCs w:val="20"/>
              </w:rPr>
            </w:pPr>
            <w:r w:rsidRPr="00DC0C60">
              <w:rPr>
                <w:sz w:val="20"/>
                <w:szCs w:val="20"/>
              </w:rPr>
              <w:t>44</w:t>
            </w:r>
          </w:p>
        </w:tc>
        <w:tc>
          <w:tcPr>
            <w:tcW w:w="4677" w:type="dxa"/>
            <w:vAlign w:val="center"/>
          </w:tcPr>
          <w:p w14:paraId="34E26A38" w14:textId="6B426ED0" w:rsidR="00522D56" w:rsidRPr="00443DC3" w:rsidRDefault="00522D56" w:rsidP="00522D56">
            <w:pPr>
              <w:jc w:val="center"/>
              <w:rPr>
                <w:rFonts w:cs="Arial"/>
                <w:sz w:val="20"/>
                <w:szCs w:val="20"/>
              </w:rPr>
            </w:pPr>
            <w:r w:rsidRPr="00DC0C60">
              <w:rPr>
                <w:sz w:val="20"/>
                <w:szCs w:val="20"/>
              </w:rPr>
              <w:t>187 136 004,60 zł</w:t>
            </w:r>
          </w:p>
        </w:tc>
      </w:tr>
      <w:tr w:rsidR="00522D56" w:rsidRPr="00443DC3" w14:paraId="4722E525" w14:textId="77777777" w:rsidTr="00EF57A8">
        <w:trPr>
          <w:trHeight w:val="300"/>
          <w:jc w:val="center"/>
        </w:trPr>
        <w:tc>
          <w:tcPr>
            <w:tcW w:w="3022" w:type="dxa"/>
            <w:shd w:val="clear" w:color="auto" w:fill="DEEAF6"/>
            <w:noWrap/>
            <w:vAlign w:val="center"/>
            <w:hideMark/>
          </w:tcPr>
          <w:p w14:paraId="5B8B2DD1" w14:textId="77777777" w:rsidR="00522D56" w:rsidRPr="00443DC3" w:rsidRDefault="00522D56" w:rsidP="00522D56">
            <w:pPr>
              <w:jc w:val="center"/>
              <w:rPr>
                <w:rFonts w:cs="Arial"/>
                <w:bCs/>
                <w:sz w:val="20"/>
                <w:szCs w:val="20"/>
              </w:rPr>
            </w:pPr>
            <w:r w:rsidRPr="00443DC3">
              <w:rPr>
                <w:rFonts w:cs="Arial"/>
                <w:bCs/>
                <w:sz w:val="20"/>
                <w:szCs w:val="20"/>
              </w:rPr>
              <w:t>Roboty budowlane</w:t>
            </w:r>
          </w:p>
        </w:tc>
        <w:tc>
          <w:tcPr>
            <w:tcW w:w="1368" w:type="dxa"/>
            <w:shd w:val="clear" w:color="auto" w:fill="DEEAF6"/>
            <w:noWrap/>
            <w:vAlign w:val="center"/>
          </w:tcPr>
          <w:p w14:paraId="05698B5D" w14:textId="5BF93954" w:rsidR="00522D56" w:rsidRPr="00443DC3" w:rsidRDefault="00522D56" w:rsidP="00522D56">
            <w:pPr>
              <w:jc w:val="center"/>
              <w:rPr>
                <w:rFonts w:cs="Arial"/>
                <w:sz w:val="20"/>
                <w:szCs w:val="20"/>
              </w:rPr>
            </w:pPr>
            <w:r w:rsidRPr="00DC0C60">
              <w:rPr>
                <w:sz w:val="20"/>
                <w:szCs w:val="20"/>
              </w:rPr>
              <w:t>30</w:t>
            </w:r>
          </w:p>
        </w:tc>
        <w:tc>
          <w:tcPr>
            <w:tcW w:w="4677" w:type="dxa"/>
            <w:shd w:val="clear" w:color="auto" w:fill="DEEAF6"/>
            <w:vAlign w:val="center"/>
          </w:tcPr>
          <w:p w14:paraId="3D14197F" w14:textId="7A52BC58" w:rsidR="00522D56" w:rsidRPr="00443DC3" w:rsidRDefault="00522D56" w:rsidP="00522D56">
            <w:pPr>
              <w:jc w:val="center"/>
              <w:rPr>
                <w:rFonts w:cs="Arial"/>
                <w:sz w:val="20"/>
                <w:szCs w:val="20"/>
              </w:rPr>
            </w:pPr>
            <w:r w:rsidRPr="00DC0C60">
              <w:rPr>
                <w:sz w:val="20"/>
                <w:szCs w:val="20"/>
              </w:rPr>
              <w:t>80 695 164,50 zł</w:t>
            </w:r>
          </w:p>
        </w:tc>
      </w:tr>
      <w:tr w:rsidR="00522D56" w:rsidRPr="00443DC3" w14:paraId="67F64CFA" w14:textId="77777777" w:rsidTr="00EF57A8">
        <w:trPr>
          <w:trHeight w:val="300"/>
          <w:jc w:val="center"/>
        </w:trPr>
        <w:tc>
          <w:tcPr>
            <w:tcW w:w="3022" w:type="dxa"/>
            <w:shd w:val="clear" w:color="auto" w:fill="auto"/>
            <w:noWrap/>
            <w:vAlign w:val="center"/>
          </w:tcPr>
          <w:p w14:paraId="20BD8546" w14:textId="77777777" w:rsidR="00522D56" w:rsidRPr="00443DC3" w:rsidRDefault="00522D56" w:rsidP="00522D56">
            <w:pPr>
              <w:jc w:val="center"/>
              <w:rPr>
                <w:rFonts w:cs="Arial"/>
                <w:bCs/>
                <w:sz w:val="20"/>
                <w:szCs w:val="20"/>
              </w:rPr>
            </w:pPr>
            <w:r w:rsidRPr="00443DC3">
              <w:rPr>
                <w:rFonts w:cs="Arial"/>
                <w:bCs/>
                <w:sz w:val="20"/>
                <w:szCs w:val="20"/>
              </w:rPr>
              <w:t>Usługi</w:t>
            </w:r>
          </w:p>
        </w:tc>
        <w:tc>
          <w:tcPr>
            <w:tcW w:w="1368" w:type="dxa"/>
            <w:shd w:val="clear" w:color="auto" w:fill="auto"/>
            <w:noWrap/>
            <w:vAlign w:val="center"/>
          </w:tcPr>
          <w:p w14:paraId="21AE9730" w14:textId="383F6644" w:rsidR="00522D56" w:rsidRPr="00443DC3" w:rsidRDefault="00522D56" w:rsidP="00522D56">
            <w:pPr>
              <w:jc w:val="center"/>
              <w:rPr>
                <w:rFonts w:cs="Arial"/>
                <w:sz w:val="20"/>
                <w:szCs w:val="20"/>
              </w:rPr>
            </w:pPr>
            <w:r w:rsidRPr="00DC0C60">
              <w:rPr>
                <w:sz w:val="20"/>
                <w:szCs w:val="20"/>
              </w:rPr>
              <w:t>245</w:t>
            </w:r>
          </w:p>
        </w:tc>
        <w:tc>
          <w:tcPr>
            <w:tcW w:w="4677" w:type="dxa"/>
            <w:vAlign w:val="center"/>
          </w:tcPr>
          <w:p w14:paraId="41EACE3A" w14:textId="7030FCBE" w:rsidR="00522D56" w:rsidRPr="00443DC3" w:rsidRDefault="00522D56" w:rsidP="00522D56">
            <w:pPr>
              <w:jc w:val="center"/>
              <w:rPr>
                <w:rFonts w:cs="Arial"/>
                <w:sz w:val="20"/>
                <w:szCs w:val="20"/>
              </w:rPr>
            </w:pPr>
            <w:r w:rsidRPr="00DC0C60">
              <w:rPr>
                <w:sz w:val="20"/>
                <w:szCs w:val="20"/>
              </w:rPr>
              <w:t>302 605 466,52 zł</w:t>
            </w:r>
          </w:p>
        </w:tc>
      </w:tr>
    </w:tbl>
    <w:p w14:paraId="6EF3FEB7" w14:textId="2956BAE3" w:rsidR="00443DC3" w:rsidRDefault="00443DC3" w:rsidP="00443DC3">
      <w:pPr>
        <w:shd w:val="clear" w:color="auto" w:fill="FFFFFF"/>
      </w:pPr>
    </w:p>
    <w:p w14:paraId="7F4C52DA" w14:textId="77777777" w:rsidR="006F1E17" w:rsidRPr="00443DC3" w:rsidRDefault="006F1E17" w:rsidP="00443DC3">
      <w:pPr>
        <w:shd w:val="clear" w:color="auto" w:fill="FFFFFF"/>
      </w:pPr>
    </w:p>
    <w:p w14:paraId="217FA1E7" w14:textId="77777777" w:rsidR="00443DC3" w:rsidRPr="006F1E17" w:rsidRDefault="00443DC3" w:rsidP="00522D56">
      <w:pPr>
        <w:shd w:val="clear" w:color="auto" w:fill="FFFFFF"/>
        <w:ind w:left="709"/>
        <w:rPr>
          <w:b/>
          <w:color w:val="0070C0"/>
        </w:rPr>
      </w:pPr>
      <w:r w:rsidRPr="006F1E17">
        <w:rPr>
          <w:b/>
          <w:color w:val="0070C0"/>
        </w:rPr>
        <w:t>Określenie etykiety związanej z aspektami społecznymi albo innego przedmiotowego środka dowodowego, o których mowa w art. 104 ustawy Pzp</w:t>
      </w:r>
    </w:p>
    <w:p w14:paraId="3872D24A" w14:textId="77777777" w:rsidR="00443DC3" w:rsidRPr="00443DC3" w:rsidRDefault="00443DC3" w:rsidP="00443DC3">
      <w:pPr>
        <w:shd w:val="clear" w:color="auto" w:fill="FFFFFF"/>
      </w:pPr>
    </w:p>
    <w:p w14:paraId="71E38D6C" w14:textId="799602C6" w:rsidR="006F1E17" w:rsidRPr="006F1E17" w:rsidRDefault="006F1E17" w:rsidP="006F1E17">
      <w:pPr>
        <w:pStyle w:val="Legenda"/>
      </w:pPr>
      <w:bookmarkStart w:id="151" w:name="_Toc141276556"/>
      <w:r w:rsidRPr="00522D56">
        <w:t xml:space="preserve">Tab. </w:t>
      </w:r>
      <w:r w:rsidR="00BE2079">
        <w:fldChar w:fldCharType="begin"/>
      </w:r>
      <w:r w:rsidR="00BE2079">
        <w:instrText xml:space="preserve"> SEQ Tab. \* ARABIC </w:instrText>
      </w:r>
      <w:r w:rsidR="00BE2079">
        <w:fldChar w:fldCharType="separate"/>
      </w:r>
      <w:r w:rsidR="00A43C68">
        <w:rPr>
          <w:noProof/>
        </w:rPr>
        <w:t>49</w:t>
      </w:r>
      <w:r w:rsidR="00BE2079">
        <w:rPr>
          <w:noProof/>
        </w:rPr>
        <w:fldChar w:fldCharType="end"/>
      </w:r>
      <w:r w:rsidRPr="00522D56">
        <w:t xml:space="preserve">. Społeczne zamówienia publiczne udzielane przez jednostki administracji rządowej z zastosowaniem </w:t>
      </w:r>
      <w:r w:rsidR="00FB45A6" w:rsidRPr="00522D56">
        <w:t xml:space="preserve">art. 104 </w:t>
      </w:r>
      <w:r w:rsidRPr="00522D56">
        <w:t>ustawy Pzp</w:t>
      </w:r>
      <w:bookmarkEnd w:id="15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522D56" w:rsidRPr="00443DC3" w14:paraId="36E53158" w14:textId="77777777" w:rsidTr="00EF57A8">
        <w:trPr>
          <w:trHeight w:val="300"/>
          <w:jc w:val="center"/>
        </w:trPr>
        <w:tc>
          <w:tcPr>
            <w:tcW w:w="7083" w:type="dxa"/>
            <w:shd w:val="clear" w:color="auto" w:fill="DEEAF6"/>
            <w:noWrap/>
            <w:vAlign w:val="center"/>
          </w:tcPr>
          <w:p w14:paraId="4701AD7D" w14:textId="77777777" w:rsidR="00522D56" w:rsidRPr="00443DC3" w:rsidRDefault="00522D56" w:rsidP="00522D56">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w:t>
            </w:r>
          </w:p>
        </w:tc>
        <w:tc>
          <w:tcPr>
            <w:tcW w:w="1979" w:type="dxa"/>
            <w:shd w:val="clear" w:color="auto" w:fill="DEEAF6"/>
            <w:noWrap/>
            <w:vAlign w:val="center"/>
          </w:tcPr>
          <w:p w14:paraId="2669761E" w14:textId="54E9815A" w:rsidR="00522D56" w:rsidRPr="00443DC3" w:rsidRDefault="00522D56" w:rsidP="00522D56">
            <w:pPr>
              <w:jc w:val="center"/>
              <w:rPr>
                <w:rFonts w:cs="Arial"/>
                <w:sz w:val="20"/>
                <w:szCs w:val="20"/>
              </w:rPr>
            </w:pPr>
            <w:r w:rsidRPr="002810EF">
              <w:rPr>
                <w:rFonts w:cs="Arial"/>
                <w:sz w:val="20"/>
                <w:szCs w:val="20"/>
              </w:rPr>
              <w:t>52</w:t>
            </w:r>
          </w:p>
        </w:tc>
      </w:tr>
      <w:tr w:rsidR="00522D56" w:rsidRPr="00443DC3" w14:paraId="3B5F776E" w14:textId="77777777" w:rsidTr="00EF57A8">
        <w:trPr>
          <w:trHeight w:val="300"/>
          <w:jc w:val="center"/>
        </w:trPr>
        <w:tc>
          <w:tcPr>
            <w:tcW w:w="7083" w:type="dxa"/>
            <w:shd w:val="clear" w:color="auto" w:fill="auto"/>
            <w:noWrap/>
            <w:vAlign w:val="center"/>
            <w:hideMark/>
          </w:tcPr>
          <w:p w14:paraId="11A2CBA6" w14:textId="77777777" w:rsidR="00522D56" w:rsidRPr="00443DC3" w:rsidRDefault="00522D56" w:rsidP="00522D56">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w:t>
            </w:r>
          </w:p>
        </w:tc>
        <w:tc>
          <w:tcPr>
            <w:tcW w:w="1979" w:type="dxa"/>
            <w:shd w:val="clear" w:color="auto" w:fill="auto"/>
            <w:noWrap/>
            <w:vAlign w:val="center"/>
            <w:hideMark/>
          </w:tcPr>
          <w:p w14:paraId="7C8AD420" w14:textId="77777777" w:rsidR="00522D56" w:rsidRDefault="00522D56" w:rsidP="00522D56">
            <w:pPr>
              <w:jc w:val="center"/>
              <w:rPr>
                <w:rFonts w:cs="Arial"/>
                <w:sz w:val="20"/>
                <w:szCs w:val="20"/>
              </w:rPr>
            </w:pPr>
            <w:r w:rsidRPr="002810EF">
              <w:rPr>
                <w:rFonts w:cs="Arial"/>
                <w:sz w:val="20"/>
                <w:szCs w:val="20"/>
              </w:rPr>
              <w:t>55 127 041,29 zł</w:t>
            </w:r>
          </w:p>
          <w:p w14:paraId="07BB66B2" w14:textId="74F8C603" w:rsidR="00522D56" w:rsidRPr="00443DC3" w:rsidRDefault="00522D56" w:rsidP="00522D56">
            <w:pPr>
              <w:jc w:val="center"/>
              <w:rPr>
                <w:rFonts w:cs="Arial"/>
                <w:sz w:val="20"/>
                <w:szCs w:val="20"/>
              </w:rPr>
            </w:pPr>
            <w:r w:rsidRPr="00FD623C">
              <w:rPr>
                <w:rFonts w:cs="Arial"/>
                <w:sz w:val="20"/>
                <w:szCs w:val="20"/>
              </w:rPr>
              <w:t>(wartość bez VAT)</w:t>
            </w:r>
          </w:p>
        </w:tc>
      </w:tr>
    </w:tbl>
    <w:p w14:paraId="58759CB6" w14:textId="77777777" w:rsidR="00443DC3" w:rsidRPr="00443DC3" w:rsidRDefault="00443DC3" w:rsidP="00443DC3">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443DC3" w:rsidRPr="00443DC3" w14:paraId="7B97C4BA" w14:textId="77777777" w:rsidTr="00EF57A8">
        <w:trPr>
          <w:trHeight w:val="300"/>
          <w:tblHeader/>
          <w:jc w:val="center"/>
        </w:trPr>
        <w:tc>
          <w:tcPr>
            <w:tcW w:w="3022" w:type="dxa"/>
            <w:shd w:val="clear" w:color="auto" w:fill="5B9BD5"/>
            <w:noWrap/>
            <w:vAlign w:val="center"/>
          </w:tcPr>
          <w:p w14:paraId="3309E595" w14:textId="77777777" w:rsidR="00443DC3" w:rsidRPr="00443DC3" w:rsidRDefault="00443DC3" w:rsidP="00443DC3">
            <w:pPr>
              <w:jc w:val="center"/>
              <w:rPr>
                <w:rFonts w:cs="Arial"/>
                <w:b/>
                <w:sz w:val="20"/>
                <w:szCs w:val="20"/>
              </w:rPr>
            </w:pPr>
            <w:r w:rsidRPr="00443DC3">
              <w:rPr>
                <w:rFonts w:cs="Arial"/>
                <w:b/>
                <w:bCs/>
                <w:sz w:val="20"/>
                <w:szCs w:val="20"/>
              </w:rPr>
              <w:t>Rodzaj zamówienia</w:t>
            </w:r>
          </w:p>
        </w:tc>
        <w:tc>
          <w:tcPr>
            <w:tcW w:w="1368" w:type="dxa"/>
            <w:shd w:val="clear" w:color="auto" w:fill="5B9BD5"/>
            <w:vAlign w:val="center"/>
          </w:tcPr>
          <w:p w14:paraId="1DB95B73" w14:textId="77777777" w:rsidR="00443DC3" w:rsidRPr="00443DC3" w:rsidRDefault="00443DC3" w:rsidP="00443DC3">
            <w:pPr>
              <w:jc w:val="center"/>
              <w:rPr>
                <w:rFonts w:cs="Arial"/>
                <w:b/>
                <w:sz w:val="20"/>
                <w:szCs w:val="20"/>
              </w:rPr>
            </w:pPr>
            <w:r w:rsidRPr="00443DC3">
              <w:rPr>
                <w:rFonts w:cs="Arial"/>
                <w:b/>
                <w:sz w:val="20"/>
                <w:szCs w:val="20"/>
              </w:rPr>
              <w:t>Liczba</w:t>
            </w:r>
          </w:p>
        </w:tc>
        <w:tc>
          <w:tcPr>
            <w:tcW w:w="4677" w:type="dxa"/>
            <w:shd w:val="clear" w:color="auto" w:fill="5B9BD5"/>
            <w:vAlign w:val="center"/>
          </w:tcPr>
          <w:p w14:paraId="6AF607D7" w14:textId="77777777" w:rsidR="00443DC3" w:rsidRPr="00443DC3" w:rsidRDefault="00443DC3" w:rsidP="00443DC3">
            <w:pPr>
              <w:jc w:val="center"/>
              <w:rPr>
                <w:rFonts w:cs="Arial"/>
                <w:b/>
                <w:sz w:val="20"/>
                <w:szCs w:val="20"/>
              </w:rPr>
            </w:pPr>
            <w:r w:rsidRPr="00443DC3">
              <w:rPr>
                <w:rFonts w:cs="Arial"/>
                <w:b/>
                <w:sz w:val="20"/>
                <w:szCs w:val="20"/>
              </w:rPr>
              <w:t>Wartość (bez VAT)</w:t>
            </w:r>
          </w:p>
        </w:tc>
      </w:tr>
      <w:tr w:rsidR="00522D56" w:rsidRPr="00443DC3" w14:paraId="02FE9181" w14:textId="77777777" w:rsidTr="00EF57A8">
        <w:trPr>
          <w:trHeight w:val="300"/>
          <w:jc w:val="center"/>
        </w:trPr>
        <w:tc>
          <w:tcPr>
            <w:tcW w:w="3022" w:type="dxa"/>
            <w:shd w:val="clear" w:color="auto" w:fill="auto"/>
            <w:noWrap/>
            <w:vAlign w:val="center"/>
          </w:tcPr>
          <w:p w14:paraId="08631D11" w14:textId="77777777" w:rsidR="00522D56" w:rsidRPr="00443DC3" w:rsidRDefault="00522D56" w:rsidP="00522D56">
            <w:pPr>
              <w:jc w:val="center"/>
              <w:rPr>
                <w:rFonts w:cs="Arial"/>
                <w:bCs/>
                <w:sz w:val="20"/>
                <w:szCs w:val="20"/>
              </w:rPr>
            </w:pPr>
            <w:r w:rsidRPr="00443DC3">
              <w:rPr>
                <w:rFonts w:cs="Arial"/>
                <w:bCs/>
                <w:sz w:val="20"/>
                <w:szCs w:val="20"/>
              </w:rPr>
              <w:t>Dostawy</w:t>
            </w:r>
          </w:p>
        </w:tc>
        <w:tc>
          <w:tcPr>
            <w:tcW w:w="1368" w:type="dxa"/>
            <w:shd w:val="clear" w:color="auto" w:fill="auto"/>
            <w:noWrap/>
            <w:vAlign w:val="center"/>
          </w:tcPr>
          <w:p w14:paraId="5D5ED4A3" w14:textId="3B975BFD" w:rsidR="00522D56" w:rsidRPr="00443DC3" w:rsidRDefault="00522D56" w:rsidP="00522D56">
            <w:pPr>
              <w:jc w:val="center"/>
              <w:rPr>
                <w:rFonts w:cs="Arial"/>
                <w:sz w:val="20"/>
                <w:szCs w:val="20"/>
              </w:rPr>
            </w:pPr>
            <w:r w:rsidRPr="002810EF">
              <w:rPr>
                <w:sz w:val="20"/>
                <w:szCs w:val="20"/>
              </w:rPr>
              <w:t>22</w:t>
            </w:r>
          </w:p>
        </w:tc>
        <w:tc>
          <w:tcPr>
            <w:tcW w:w="4677" w:type="dxa"/>
            <w:vAlign w:val="center"/>
          </w:tcPr>
          <w:p w14:paraId="1A106BA6" w14:textId="6F1F691F" w:rsidR="00522D56" w:rsidRPr="00443DC3" w:rsidRDefault="00522D56" w:rsidP="00522D56">
            <w:pPr>
              <w:jc w:val="center"/>
              <w:rPr>
                <w:rFonts w:cs="Arial"/>
                <w:sz w:val="20"/>
                <w:szCs w:val="20"/>
              </w:rPr>
            </w:pPr>
            <w:r w:rsidRPr="002810EF">
              <w:rPr>
                <w:sz w:val="20"/>
                <w:szCs w:val="20"/>
              </w:rPr>
              <w:t>11 642 137,81 zł</w:t>
            </w:r>
          </w:p>
        </w:tc>
      </w:tr>
      <w:tr w:rsidR="00522D56" w:rsidRPr="00443DC3" w14:paraId="1049E191" w14:textId="77777777" w:rsidTr="00EF57A8">
        <w:trPr>
          <w:trHeight w:val="300"/>
          <w:jc w:val="center"/>
        </w:trPr>
        <w:tc>
          <w:tcPr>
            <w:tcW w:w="3022" w:type="dxa"/>
            <w:shd w:val="clear" w:color="auto" w:fill="auto"/>
            <w:noWrap/>
            <w:vAlign w:val="center"/>
            <w:hideMark/>
          </w:tcPr>
          <w:p w14:paraId="7B20BF4D" w14:textId="77777777" w:rsidR="00522D56" w:rsidRPr="00443DC3" w:rsidRDefault="00522D56" w:rsidP="00522D56">
            <w:pPr>
              <w:jc w:val="center"/>
              <w:rPr>
                <w:rFonts w:cs="Arial"/>
                <w:bCs/>
                <w:sz w:val="20"/>
                <w:szCs w:val="20"/>
              </w:rPr>
            </w:pPr>
            <w:r w:rsidRPr="00443DC3">
              <w:rPr>
                <w:rFonts w:cs="Arial"/>
                <w:bCs/>
                <w:sz w:val="20"/>
                <w:szCs w:val="20"/>
              </w:rPr>
              <w:t>Roboty budowlane</w:t>
            </w:r>
          </w:p>
        </w:tc>
        <w:tc>
          <w:tcPr>
            <w:tcW w:w="1368" w:type="dxa"/>
            <w:shd w:val="clear" w:color="auto" w:fill="auto"/>
            <w:noWrap/>
            <w:vAlign w:val="center"/>
          </w:tcPr>
          <w:p w14:paraId="3257EB15" w14:textId="56032B40" w:rsidR="00522D56" w:rsidRPr="00443DC3" w:rsidRDefault="00522D56" w:rsidP="00522D56">
            <w:pPr>
              <w:jc w:val="center"/>
              <w:rPr>
                <w:rFonts w:cs="Arial"/>
                <w:sz w:val="20"/>
                <w:szCs w:val="20"/>
              </w:rPr>
            </w:pPr>
            <w:r w:rsidRPr="002810EF">
              <w:rPr>
                <w:sz w:val="20"/>
                <w:szCs w:val="20"/>
              </w:rPr>
              <w:t>7</w:t>
            </w:r>
          </w:p>
        </w:tc>
        <w:tc>
          <w:tcPr>
            <w:tcW w:w="4677" w:type="dxa"/>
            <w:vAlign w:val="center"/>
          </w:tcPr>
          <w:p w14:paraId="71E243A4" w14:textId="3C3EA842" w:rsidR="00522D56" w:rsidRPr="00443DC3" w:rsidRDefault="00522D56" w:rsidP="00522D56">
            <w:pPr>
              <w:jc w:val="center"/>
              <w:rPr>
                <w:rFonts w:cs="Arial"/>
                <w:sz w:val="20"/>
                <w:szCs w:val="20"/>
              </w:rPr>
            </w:pPr>
            <w:r w:rsidRPr="002810EF">
              <w:rPr>
                <w:sz w:val="20"/>
                <w:szCs w:val="20"/>
              </w:rPr>
              <w:t>21 416 879,05 zł</w:t>
            </w:r>
          </w:p>
        </w:tc>
      </w:tr>
      <w:tr w:rsidR="00522D56" w:rsidRPr="00443DC3" w14:paraId="77E1B955" w14:textId="77777777" w:rsidTr="00EF57A8">
        <w:trPr>
          <w:trHeight w:val="300"/>
          <w:jc w:val="center"/>
        </w:trPr>
        <w:tc>
          <w:tcPr>
            <w:tcW w:w="3022" w:type="dxa"/>
            <w:shd w:val="clear" w:color="auto" w:fill="auto"/>
            <w:noWrap/>
            <w:vAlign w:val="center"/>
          </w:tcPr>
          <w:p w14:paraId="7D5F3C3B" w14:textId="77777777" w:rsidR="00522D56" w:rsidRPr="00443DC3" w:rsidRDefault="00522D56" w:rsidP="00522D56">
            <w:pPr>
              <w:jc w:val="center"/>
              <w:rPr>
                <w:rFonts w:cs="Arial"/>
                <w:bCs/>
                <w:sz w:val="20"/>
                <w:szCs w:val="20"/>
              </w:rPr>
            </w:pPr>
            <w:r w:rsidRPr="00443DC3">
              <w:rPr>
                <w:rFonts w:cs="Arial"/>
                <w:bCs/>
                <w:sz w:val="20"/>
                <w:szCs w:val="20"/>
              </w:rPr>
              <w:t>Usługi</w:t>
            </w:r>
          </w:p>
        </w:tc>
        <w:tc>
          <w:tcPr>
            <w:tcW w:w="1368" w:type="dxa"/>
            <w:shd w:val="clear" w:color="auto" w:fill="auto"/>
            <w:noWrap/>
            <w:vAlign w:val="center"/>
          </w:tcPr>
          <w:p w14:paraId="4996AB5A" w14:textId="3AF00680" w:rsidR="00522D56" w:rsidRPr="00443DC3" w:rsidRDefault="00522D56" w:rsidP="00522D56">
            <w:pPr>
              <w:jc w:val="center"/>
              <w:rPr>
                <w:rFonts w:cs="Arial"/>
                <w:sz w:val="20"/>
                <w:szCs w:val="20"/>
              </w:rPr>
            </w:pPr>
            <w:r w:rsidRPr="002810EF">
              <w:rPr>
                <w:sz w:val="20"/>
                <w:szCs w:val="20"/>
              </w:rPr>
              <w:t>23</w:t>
            </w:r>
          </w:p>
        </w:tc>
        <w:tc>
          <w:tcPr>
            <w:tcW w:w="4677" w:type="dxa"/>
            <w:vAlign w:val="center"/>
          </w:tcPr>
          <w:p w14:paraId="343888B8" w14:textId="2D6A86C9" w:rsidR="00522D56" w:rsidRPr="00443DC3" w:rsidRDefault="00522D56" w:rsidP="00522D56">
            <w:pPr>
              <w:jc w:val="center"/>
              <w:rPr>
                <w:rFonts w:cs="Arial"/>
                <w:sz w:val="20"/>
                <w:szCs w:val="20"/>
              </w:rPr>
            </w:pPr>
            <w:r w:rsidRPr="002810EF">
              <w:rPr>
                <w:sz w:val="20"/>
                <w:szCs w:val="20"/>
              </w:rPr>
              <w:t>22 068 024,43 zł</w:t>
            </w:r>
          </w:p>
        </w:tc>
      </w:tr>
    </w:tbl>
    <w:p w14:paraId="298FDE74" w14:textId="272F0479" w:rsidR="00443DC3" w:rsidRDefault="00443DC3" w:rsidP="00443DC3">
      <w:pPr>
        <w:shd w:val="clear" w:color="auto" w:fill="FFFFFF"/>
      </w:pPr>
    </w:p>
    <w:p w14:paraId="51CB5D37" w14:textId="77777777" w:rsidR="00005AAC" w:rsidRPr="00443DC3" w:rsidRDefault="00005AAC" w:rsidP="00443DC3">
      <w:pPr>
        <w:shd w:val="clear" w:color="auto" w:fill="FFFFFF"/>
      </w:pPr>
    </w:p>
    <w:p w14:paraId="0F55C343" w14:textId="77777777" w:rsidR="00443DC3" w:rsidRPr="00005AAC" w:rsidRDefault="00443DC3" w:rsidP="00C02005">
      <w:pPr>
        <w:shd w:val="clear" w:color="auto" w:fill="FFFFFF"/>
        <w:ind w:left="709"/>
        <w:rPr>
          <w:b/>
          <w:color w:val="0070C0"/>
        </w:rPr>
      </w:pPr>
      <w:r w:rsidRPr="00005AAC">
        <w:rPr>
          <w:b/>
          <w:color w:val="0070C0"/>
        </w:rPr>
        <w:t>Zamówienie udzielone jako zamówienie zastrzeżone na usługi zdrowotne, społeczne oraz kulturalne, o którym mowa w art. 361 ust. 1 lub art. 392 ust. 3 ustawy Pzp</w:t>
      </w:r>
    </w:p>
    <w:p w14:paraId="6830A0E0" w14:textId="77777777" w:rsidR="00443DC3" w:rsidRPr="00443DC3" w:rsidRDefault="00443DC3" w:rsidP="00443DC3">
      <w:pPr>
        <w:shd w:val="clear" w:color="auto" w:fill="FFFFFF"/>
      </w:pPr>
    </w:p>
    <w:p w14:paraId="3874D610" w14:textId="1B75FEAB" w:rsidR="00005AAC" w:rsidRPr="00443DC3" w:rsidRDefault="00005AAC" w:rsidP="00005AAC">
      <w:pPr>
        <w:pStyle w:val="Legenda"/>
      </w:pPr>
      <w:bookmarkStart w:id="152" w:name="_Toc141276557"/>
      <w:r w:rsidRPr="00C02005">
        <w:t xml:space="preserve">Tab. </w:t>
      </w:r>
      <w:r w:rsidR="00BE2079">
        <w:fldChar w:fldCharType="begin"/>
      </w:r>
      <w:r w:rsidR="00BE2079">
        <w:instrText xml:space="preserve"> SEQ Tab. \* ARABIC </w:instrText>
      </w:r>
      <w:r w:rsidR="00BE2079">
        <w:fldChar w:fldCharType="separate"/>
      </w:r>
      <w:r w:rsidR="00A43C68">
        <w:rPr>
          <w:noProof/>
        </w:rPr>
        <w:t>50</w:t>
      </w:r>
      <w:r w:rsidR="00BE2079">
        <w:rPr>
          <w:noProof/>
        </w:rPr>
        <w:fldChar w:fldCharType="end"/>
      </w:r>
      <w:r w:rsidRPr="00C02005">
        <w:t>. Zamówienia publiczne udzielane przez jednostki administracji rządowej z zastosowaniem art. 361 ust. 1 lub art. 392 ust. 3 ustawy Pzp</w:t>
      </w:r>
      <w:bookmarkEnd w:id="152"/>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C02005" w:rsidRPr="00443DC3" w14:paraId="01A556D0" w14:textId="77777777" w:rsidTr="00EF57A8">
        <w:trPr>
          <w:trHeight w:val="300"/>
          <w:jc w:val="center"/>
        </w:trPr>
        <w:tc>
          <w:tcPr>
            <w:tcW w:w="7225" w:type="dxa"/>
            <w:tcBorders>
              <w:bottom w:val="single" w:sz="4" w:space="0" w:color="auto"/>
            </w:tcBorders>
            <w:shd w:val="clear" w:color="auto" w:fill="DEEAF6"/>
            <w:noWrap/>
            <w:vAlign w:val="center"/>
          </w:tcPr>
          <w:p w14:paraId="790F4A5D" w14:textId="77777777" w:rsidR="00C02005" w:rsidRPr="00443DC3" w:rsidRDefault="00C02005" w:rsidP="00C02005">
            <w:pPr>
              <w:rPr>
                <w:rFonts w:eastAsia="Calibri" w:cs="Arial"/>
                <w:sz w:val="20"/>
                <w:szCs w:val="20"/>
              </w:rPr>
            </w:pPr>
            <w:r w:rsidRPr="00443DC3">
              <w:rPr>
                <w:rFonts w:cs="Arial"/>
                <w:bCs/>
                <w:sz w:val="20"/>
                <w:szCs w:val="20"/>
              </w:rPr>
              <w:t xml:space="preserve">Liczba </w:t>
            </w:r>
            <w:r w:rsidRPr="00443DC3">
              <w:rPr>
                <w:rFonts w:cs="Arial"/>
                <w:sz w:val="20"/>
                <w:szCs w:val="20"/>
              </w:rPr>
              <w:t xml:space="preserve">zamówień udzielonych </w:t>
            </w:r>
            <w:r w:rsidRPr="00443DC3">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DEEAF6"/>
            <w:noWrap/>
            <w:vAlign w:val="center"/>
          </w:tcPr>
          <w:p w14:paraId="5AA4DC54" w14:textId="0EC426FA" w:rsidR="00C02005" w:rsidRPr="00443DC3" w:rsidRDefault="00C02005" w:rsidP="00C02005">
            <w:pPr>
              <w:jc w:val="center"/>
              <w:rPr>
                <w:rFonts w:cs="Arial"/>
                <w:sz w:val="20"/>
                <w:szCs w:val="20"/>
              </w:rPr>
            </w:pPr>
            <w:r>
              <w:rPr>
                <w:rFonts w:cs="Arial"/>
                <w:sz w:val="20"/>
                <w:szCs w:val="20"/>
              </w:rPr>
              <w:t>126</w:t>
            </w:r>
          </w:p>
        </w:tc>
      </w:tr>
      <w:tr w:rsidR="00C02005" w:rsidRPr="00443DC3" w14:paraId="7D80FDD5" w14:textId="77777777" w:rsidTr="00EF57A8">
        <w:trPr>
          <w:trHeight w:val="300"/>
          <w:jc w:val="center"/>
        </w:trPr>
        <w:tc>
          <w:tcPr>
            <w:tcW w:w="7225" w:type="dxa"/>
            <w:shd w:val="clear" w:color="auto" w:fill="DEEAF6"/>
            <w:noWrap/>
            <w:vAlign w:val="center"/>
          </w:tcPr>
          <w:p w14:paraId="3F002A4D" w14:textId="77777777" w:rsidR="00C02005" w:rsidRPr="00443DC3" w:rsidRDefault="00C02005" w:rsidP="00C02005">
            <w:pPr>
              <w:rPr>
                <w:rFonts w:eastAsia="Calibri" w:cs="Arial"/>
                <w:sz w:val="20"/>
                <w:szCs w:val="20"/>
              </w:rPr>
            </w:pPr>
            <w:r w:rsidRPr="00443DC3">
              <w:rPr>
                <w:rFonts w:cs="Arial"/>
                <w:bCs/>
                <w:sz w:val="20"/>
                <w:szCs w:val="20"/>
              </w:rPr>
              <w:t xml:space="preserve">Liczba zamawiających, którzy udzielili zamówień zastrzeżonych </w:t>
            </w:r>
            <w:r w:rsidRPr="00443DC3">
              <w:rPr>
                <w:rFonts w:eastAsia="Calibri" w:cs="Arial"/>
                <w:sz w:val="20"/>
                <w:szCs w:val="20"/>
              </w:rPr>
              <w:t>na usługi zdrowotne, społeczne lub kulturalne, o których mowa w art. 361 ust. 1 lub art. 392 ust. 3 ustawy Pzp</w:t>
            </w:r>
          </w:p>
        </w:tc>
        <w:tc>
          <w:tcPr>
            <w:tcW w:w="1837" w:type="dxa"/>
            <w:shd w:val="clear" w:color="auto" w:fill="DEEAF6"/>
            <w:noWrap/>
            <w:vAlign w:val="center"/>
          </w:tcPr>
          <w:p w14:paraId="0463A36B" w14:textId="03EDFB7D" w:rsidR="00C02005" w:rsidRPr="00443DC3" w:rsidRDefault="00C02005" w:rsidP="00C02005">
            <w:pPr>
              <w:jc w:val="center"/>
              <w:rPr>
                <w:rFonts w:cs="Arial"/>
                <w:sz w:val="20"/>
                <w:szCs w:val="20"/>
              </w:rPr>
            </w:pPr>
            <w:r>
              <w:rPr>
                <w:rFonts w:cs="Arial"/>
                <w:sz w:val="20"/>
                <w:szCs w:val="20"/>
              </w:rPr>
              <w:t>55</w:t>
            </w:r>
          </w:p>
        </w:tc>
      </w:tr>
      <w:tr w:rsidR="00C02005" w:rsidRPr="00443DC3" w14:paraId="64A664CC" w14:textId="77777777" w:rsidTr="00EF57A8">
        <w:trPr>
          <w:trHeight w:val="300"/>
          <w:jc w:val="center"/>
        </w:trPr>
        <w:tc>
          <w:tcPr>
            <w:tcW w:w="7225" w:type="dxa"/>
            <w:tcBorders>
              <w:bottom w:val="single" w:sz="4" w:space="0" w:color="auto"/>
            </w:tcBorders>
            <w:shd w:val="clear" w:color="auto" w:fill="auto"/>
            <w:noWrap/>
            <w:vAlign w:val="center"/>
            <w:hideMark/>
          </w:tcPr>
          <w:p w14:paraId="5896DCE6" w14:textId="77777777" w:rsidR="00C02005" w:rsidRPr="00443DC3" w:rsidRDefault="00C02005" w:rsidP="00C02005">
            <w:pPr>
              <w:rPr>
                <w:rFonts w:eastAsia="Calibri" w:cs="Arial"/>
                <w:sz w:val="20"/>
                <w:szCs w:val="20"/>
              </w:rPr>
            </w:pPr>
            <w:r w:rsidRPr="00443DC3">
              <w:rPr>
                <w:rFonts w:cs="Arial"/>
                <w:bCs/>
                <w:sz w:val="20"/>
                <w:szCs w:val="20"/>
              </w:rPr>
              <w:t xml:space="preserve">Wartość </w:t>
            </w:r>
            <w:r w:rsidRPr="00443DC3">
              <w:rPr>
                <w:rFonts w:cs="Arial"/>
                <w:sz w:val="20"/>
                <w:szCs w:val="20"/>
              </w:rPr>
              <w:t xml:space="preserve">zamówień udzielonych </w:t>
            </w:r>
            <w:r w:rsidRPr="00443DC3">
              <w:rPr>
                <w:rFonts w:eastAsia="Calibri" w:cs="Arial"/>
                <w:sz w:val="20"/>
                <w:szCs w:val="20"/>
              </w:rPr>
              <w:t>jako zamówienie zastrzeżone na usługi zdrowotne, społeczne lub kulturalne, o których mowa w art. 361 ust. 1 lub art. 392 ust. 3 ustawy Pzp</w:t>
            </w:r>
          </w:p>
        </w:tc>
        <w:tc>
          <w:tcPr>
            <w:tcW w:w="1837" w:type="dxa"/>
            <w:tcBorders>
              <w:bottom w:val="single" w:sz="4" w:space="0" w:color="auto"/>
            </w:tcBorders>
            <w:shd w:val="clear" w:color="auto" w:fill="auto"/>
            <w:noWrap/>
            <w:vAlign w:val="center"/>
            <w:hideMark/>
          </w:tcPr>
          <w:p w14:paraId="791C237E" w14:textId="77777777" w:rsidR="00C02005" w:rsidRDefault="00C02005" w:rsidP="00C02005">
            <w:pPr>
              <w:jc w:val="center"/>
              <w:rPr>
                <w:rFonts w:cs="Arial"/>
                <w:sz w:val="20"/>
                <w:szCs w:val="20"/>
              </w:rPr>
            </w:pPr>
            <w:r w:rsidRPr="00E430AD">
              <w:rPr>
                <w:rFonts w:cs="Arial"/>
                <w:sz w:val="20"/>
                <w:szCs w:val="20"/>
              </w:rPr>
              <w:t>68 026 478,81 zł</w:t>
            </w:r>
          </w:p>
          <w:p w14:paraId="13EC2078" w14:textId="478A9F32" w:rsidR="00C02005" w:rsidRPr="00443DC3" w:rsidRDefault="00C02005" w:rsidP="00C02005">
            <w:pPr>
              <w:jc w:val="center"/>
              <w:rPr>
                <w:rFonts w:cs="Arial"/>
                <w:sz w:val="20"/>
                <w:szCs w:val="20"/>
              </w:rPr>
            </w:pPr>
            <w:r w:rsidRPr="00FD623C">
              <w:rPr>
                <w:rFonts w:cs="Arial"/>
                <w:sz w:val="20"/>
                <w:szCs w:val="20"/>
              </w:rPr>
              <w:t>(wartość bez VAT)</w:t>
            </w:r>
          </w:p>
        </w:tc>
      </w:tr>
    </w:tbl>
    <w:p w14:paraId="5E75D1B4" w14:textId="77777777" w:rsidR="00443DC3" w:rsidRPr="00443DC3" w:rsidRDefault="00443DC3" w:rsidP="00443DC3">
      <w:pPr>
        <w:shd w:val="clear" w:color="auto" w:fill="FFFFFF"/>
      </w:pPr>
    </w:p>
    <w:p w14:paraId="68FAE04C" w14:textId="77777777" w:rsidR="00443DC3" w:rsidRPr="00443DC3" w:rsidRDefault="00443DC3" w:rsidP="00443DC3">
      <w:pPr>
        <w:shd w:val="clear" w:color="auto" w:fill="FFFFFF"/>
        <w:rPr>
          <w:i/>
        </w:rPr>
      </w:pPr>
    </w:p>
    <w:p w14:paraId="7B7BB1C0" w14:textId="7DADD2E1" w:rsidR="00443DC3" w:rsidRPr="00C06ED6" w:rsidRDefault="00443DC3" w:rsidP="00443DC3">
      <w:pPr>
        <w:rPr>
          <w:b/>
          <w:bCs/>
          <w:color w:val="0070C0"/>
        </w:rPr>
      </w:pPr>
      <w:r w:rsidRPr="00C06ED6">
        <w:rPr>
          <w:b/>
          <w:bCs/>
          <w:color w:val="0070C0"/>
        </w:rPr>
        <w:t>Instrumenty prawne o charakterze społecznym najczęściej stosowane w zamówieniach publicznych udzielonych w 202</w:t>
      </w:r>
      <w:r w:rsidR="000F21F8">
        <w:rPr>
          <w:b/>
          <w:bCs/>
          <w:color w:val="0070C0"/>
        </w:rPr>
        <w:t>2</w:t>
      </w:r>
      <w:r w:rsidRPr="00C06ED6">
        <w:rPr>
          <w:b/>
          <w:bCs/>
          <w:color w:val="0070C0"/>
        </w:rPr>
        <w:t xml:space="preserve"> r. przez jednostki administracji rządowej </w:t>
      </w:r>
    </w:p>
    <w:p w14:paraId="535F1367" w14:textId="77777777" w:rsidR="00443DC3" w:rsidRPr="00443DC3" w:rsidRDefault="00443DC3" w:rsidP="00443DC3"/>
    <w:p w14:paraId="57859858" w14:textId="77777777" w:rsidR="00876CDE" w:rsidRPr="00876CDE" w:rsidRDefault="00876CDE" w:rsidP="00876CDE">
      <w:r w:rsidRPr="00876CDE">
        <w:t xml:space="preserve">Zamawiający sektora rządowego zastosowali wymóg zatrudnienia przy realizacji zamówienia na podstawie stosunku pracy w przeważającej większości społecznych zamówień publicznych udzielonych przez nich w 2022 roku. Ten aspekt przełożył się również na największą wartość społecznych zamówień publicznych. W tym zakresie zarówno w odniesieniu do liczby zamówień, jak i wartości nastąpił znaczny wzrost w porównaniu do roku 2021 – stosownie o 2299 zamówień i o 18,4 mld zł (bez podatku od towarów i usług). Drugim najczęściej stosowanym instrumentem było odwołanie się w opisie przedmiotu zamówienia do kwestii dostępności dla osób z niepełnosprawnościami i projektowania dla wszystkich użytkowników (art. 100 ustawy Pzp). W przypadku tego instrumentu również odnotowano znaczny wzrost zarówno pod względem liczby (o 330 zamówień), jak i wartości zamówień (o ponad 7 mld zł). Popularność tych instrumentów społecznych oraz częstotliwość ich zastosowania w udzielonych zamówieniach wynika przede wszystkim z ich obligatoryjnego charakteru. </w:t>
      </w:r>
    </w:p>
    <w:p w14:paraId="3B325C68" w14:textId="77777777" w:rsidR="00876CDE" w:rsidRPr="00876CDE" w:rsidRDefault="00876CDE" w:rsidP="00876CDE"/>
    <w:p w14:paraId="160FE5F7" w14:textId="121751F1" w:rsidR="00876CDE" w:rsidRPr="00876CDE" w:rsidRDefault="00876CDE" w:rsidP="00876CDE">
      <w:r w:rsidRPr="00876CDE">
        <w:t xml:space="preserve">Na trzecim miejscu, pod względem liczby i wartości zamówień znalazły się społeczne kryteria oceny ofert (na podstawie art. 242 ust. 2 ustawy Pzp). Również w przypadku tego aspektu społecznego odnotowano wzrost liczby i wartości zamówień, w których go uwzględniono w porównaniu do 2021 roku. Popularność tego rozwiązania może częściowo wynikać z nałożonych na zamawiających zobowiązań do stosowania innych niż cena kryteriów oceny ofert (art. 246 ust. 2 ustawy Pzp). Biorąc pod uwagę liczbę zastosowań oraz wartość udzielonych </w:t>
      </w:r>
      <w:r w:rsidR="00117AED" w:rsidRPr="00876CDE">
        <w:t>zamówie</w:t>
      </w:r>
      <w:r w:rsidR="00117AED">
        <w:t>ń</w:t>
      </w:r>
      <w:r w:rsidR="00117AED" w:rsidRPr="00876CDE">
        <w:t xml:space="preserve"> </w:t>
      </w:r>
      <w:r w:rsidRPr="00876CDE">
        <w:t xml:space="preserve">publicznych, na czwartym miejscu sklasyfikowano określenie wymagań związanych z realizacją zamówienia obejmujących aspekty społeczne związane z zatrudnieniem (art. 96 ust. 1). W porównaniu do roku 2021 w zakresie stosowania tego instrumentu odnotowano wzrost liczby zamówień </w:t>
      </w:r>
      <w:r w:rsidR="00117AED" w:rsidRPr="00117AED">
        <w:t>–</w:t>
      </w:r>
      <w:r w:rsidRPr="00876CDE">
        <w:t xml:space="preserve"> o 41 przypadki, ale jednocześnie spadła wartość tego rodzaju zamówień </w:t>
      </w:r>
      <w:r w:rsidR="00117AED" w:rsidRPr="00117AED">
        <w:t>–</w:t>
      </w:r>
      <w:r w:rsidRPr="00876CDE">
        <w:t xml:space="preserve"> o ponad 90 mln zł. </w:t>
      </w:r>
    </w:p>
    <w:p w14:paraId="7AF5E295" w14:textId="77777777" w:rsidR="00876CDE" w:rsidRPr="00876CDE" w:rsidRDefault="00876CDE" w:rsidP="00876CDE"/>
    <w:p w14:paraId="460274A0" w14:textId="3AF6818F" w:rsidR="00876CDE" w:rsidRPr="00876CDE" w:rsidRDefault="00876CDE" w:rsidP="00876CDE">
      <w:r w:rsidRPr="00876CDE">
        <w:t xml:space="preserve">Zastosowanie pozostałych aspektów społecznych dotyczyło jedynie niewielkiej liczby zamówień publicznych. Najrzadziej stosowaną klauzulą społeczną pozostało uprawnienie zamawiających do ograniczenia możliwości ubiegania się o zamówienie do określonej grupy podmiotów na podstawie art. 94 ust. 1 ustawy Pzp. Jednostki administracji rządowej udzieliły w 2022 r. jedynie 28 tego rodzaju zamówień. Choć w porównaniu do roku 2021 odnotowano nieznaczny wzrost liczby zamówień zastrzeżonych </w:t>
      </w:r>
      <w:r w:rsidR="00117AED" w:rsidRPr="00117AED">
        <w:t>–</w:t>
      </w:r>
      <w:r w:rsidRPr="00876CDE">
        <w:t xml:space="preserve"> o 1 zamówienie, to w odniesieniu do wartości zamówień zastrzeżonych wzrost ten jest znaczący </w:t>
      </w:r>
      <w:r w:rsidR="00117AED" w:rsidRPr="00117AED">
        <w:t>–</w:t>
      </w:r>
      <w:r w:rsidRPr="00876CDE">
        <w:t xml:space="preserve"> o 148 mln zł (bez podatku od towarów i usług). Wzrost liczby zamówień udzielonych w 2022 roku odnotowano także w przypadku zastosowania dodatkowego reżimu zamówień zastrzeżonych na podstawie art. 361 ust. 1 ustawy Pzp – o 56 przypadków w porównaniu do roku 2021. Przełożyło się to również na wzrost wartości zamówień uwzględniających ten aspekt społeczny o 22,4 mln zł.</w:t>
      </w:r>
      <w:r w:rsidR="009A02C1">
        <w:t xml:space="preserve"> </w:t>
      </w:r>
      <w:r w:rsidRPr="00876CDE">
        <w:t>W 2022 roku wzrost liczby i wartości zamówień nastąpił również w zakresie stosowania instrumentu dotyczącego określenia etykiety związanej z aspektami społecznymi, zgodnie z art. 104 ustawy Pzp – o 6 zamówień oraz blisko 26,4 mln zł (bez podatku od towarów i usług) w porównaniu do 2021 roku.</w:t>
      </w:r>
      <w:r w:rsidR="009A02C1">
        <w:t xml:space="preserve"> </w:t>
      </w:r>
    </w:p>
    <w:p w14:paraId="7DD94850" w14:textId="77777777" w:rsidR="0026738D" w:rsidRPr="00443DC3" w:rsidRDefault="0026738D" w:rsidP="00443DC3"/>
    <w:p w14:paraId="3D9725D2" w14:textId="58B160C0" w:rsidR="008935C7" w:rsidRPr="006C3413" w:rsidRDefault="006C3413" w:rsidP="000C4AC8">
      <w:pPr>
        <w:pStyle w:val="Legenda"/>
      </w:pPr>
      <w:bookmarkStart w:id="153" w:name="_Toc141276498"/>
      <w:r w:rsidRPr="000A32F4">
        <w:t xml:space="preserve">Rys. </w:t>
      </w:r>
      <w:r w:rsidR="00BE2079">
        <w:fldChar w:fldCharType="begin"/>
      </w:r>
      <w:r w:rsidR="00BE2079">
        <w:instrText xml:space="preserve"> SEQ Rys. \* ARABIC </w:instrText>
      </w:r>
      <w:r w:rsidR="00BE2079">
        <w:fldChar w:fldCharType="separate"/>
      </w:r>
      <w:r w:rsidR="00A43C68">
        <w:rPr>
          <w:noProof/>
        </w:rPr>
        <w:t>20</w:t>
      </w:r>
      <w:r w:rsidR="00BE2079">
        <w:rPr>
          <w:noProof/>
        </w:rPr>
        <w:fldChar w:fldCharType="end"/>
      </w:r>
      <w:r w:rsidRPr="000A32F4">
        <w:t>. Liczba zamówień udzielonych przez jednostki administracji rządowej, w których zastosowano odpowiednie</w:t>
      </w:r>
      <w:r w:rsidRPr="00DA1EE9">
        <w:t xml:space="preserve"> aspekty </w:t>
      </w:r>
      <w:r>
        <w:t>społeczne</w:t>
      </w:r>
      <w:bookmarkEnd w:id="153"/>
    </w:p>
    <w:p w14:paraId="4876A1D6" w14:textId="0D50BAF2" w:rsidR="00E8448D" w:rsidRDefault="000A32F4" w:rsidP="008935C7">
      <w:pPr>
        <w:pStyle w:val="StylArial11ptWyjustowany"/>
        <w:shd w:val="clear" w:color="auto" w:fill="FFFFFF"/>
        <w:jc w:val="left"/>
        <w:rPr>
          <w:rFonts w:cs="Arial"/>
          <w:iCs/>
          <w:szCs w:val="22"/>
        </w:rPr>
      </w:pPr>
      <w:r w:rsidRPr="00035B66">
        <w:rPr>
          <w:rFonts w:cs="Arial"/>
          <w:noProof/>
          <w:color w:val="FF0000"/>
        </w:rPr>
        <w:drawing>
          <wp:inline distT="0" distB="0" distL="0" distR="0" wp14:anchorId="6D209A8C" wp14:editId="7A4BDFE7">
            <wp:extent cx="5095875" cy="6362700"/>
            <wp:effectExtent l="0" t="0" r="9525" b="0"/>
            <wp:docPr id="16" name="Wykres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8D70A92" w14:textId="115451BE" w:rsidR="00E8448D" w:rsidRDefault="00E8448D" w:rsidP="008935C7">
      <w:pPr>
        <w:pStyle w:val="StylArial11ptWyjustowany"/>
        <w:shd w:val="clear" w:color="auto" w:fill="FFFFFF"/>
        <w:jc w:val="left"/>
        <w:rPr>
          <w:rFonts w:cs="Arial"/>
          <w:iCs/>
          <w:szCs w:val="22"/>
        </w:rPr>
      </w:pPr>
    </w:p>
    <w:p w14:paraId="6AD0A556" w14:textId="49611369" w:rsidR="00E8448D" w:rsidRDefault="00E8448D" w:rsidP="008935C7">
      <w:pPr>
        <w:pStyle w:val="StylArial11ptWyjustowany"/>
        <w:shd w:val="clear" w:color="auto" w:fill="FFFFFF"/>
        <w:jc w:val="left"/>
        <w:rPr>
          <w:rFonts w:cs="Arial"/>
          <w:iCs/>
          <w:szCs w:val="22"/>
        </w:rPr>
      </w:pPr>
    </w:p>
    <w:p w14:paraId="2C327F88" w14:textId="3C0A8909" w:rsidR="007D78E8" w:rsidRPr="007D78E8" w:rsidRDefault="007D78E8" w:rsidP="00D009FB">
      <w:pPr>
        <w:pStyle w:val="Legenda"/>
      </w:pPr>
      <w:bookmarkStart w:id="154" w:name="_Toc141276499"/>
      <w:r w:rsidRPr="00466B4B">
        <w:t xml:space="preserve">Rys. </w:t>
      </w:r>
      <w:r w:rsidR="00BE2079">
        <w:fldChar w:fldCharType="begin"/>
      </w:r>
      <w:r w:rsidR="00BE2079">
        <w:instrText xml:space="preserve"> SEQ Rys. \* ARABIC </w:instrText>
      </w:r>
      <w:r w:rsidR="00BE2079">
        <w:fldChar w:fldCharType="separate"/>
      </w:r>
      <w:r w:rsidR="00A43C68">
        <w:rPr>
          <w:noProof/>
        </w:rPr>
        <w:t>21</w:t>
      </w:r>
      <w:r w:rsidR="00BE2079">
        <w:rPr>
          <w:noProof/>
        </w:rPr>
        <w:fldChar w:fldCharType="end"/>
      </w:r>
      <w:r w:rsidRPr="00466B4B">
        <w:t xml:space="preserve">. </w:t>
      </w:r>
      <w:r w:rsidR="0051678A">
        <w:t>Wartość</w:t>
      </w:r>
      <w:r w:rsidRPr="00466B4B">
        <w:t xml:space="preserve"> zamówień udzielonych przez jednostki administracji rządowej, w których zastosowano odpowiednie</w:t>
      </w:r>
      <w:r w:rsidRPr="00DA1EE9">
        <w:t xml:space="preserve"> aspekty </w:t>
      </w:r>
      <w:r>
        <w:t>społeczne</w:t>
      </w:r>
      <w:bookmarkEnd w:id="154"/>
    </w:p>
    <w:p w14:paraId="125E139C" w14:textId="4CD56256" w:rsidR="00E8448D" w:rsidRDefault="00466B4B" w:rsidP="008935C7">
      <w:pPr>
        <w:pStyle w:val="StylArial11ptWyjustowany"/>
        <w:shd w:val="clear" w:color="auto" w:fill="FFFFFF"/>
        <w:jc w:val="left"/>
        <w:rPr>
          <w:rFonts w:cs="Arial"/>
          <w:iCs/>
          <w:szCs w:val="22"/>
        </w:rPr>
      </w:pPr>
      <w:r w:rsidRPr="008265F9">
        <w:rPr>
          <w:rFonts w:cs="Arial"/>
          <w:noProof/>
          <w:color w:val="FF0000"/>
        </w:rPr>
        <w:drawing>
          <wp:inline distT="0" distB="0" distL="0" distR="0" wp14:anchorId="312A5A9B" wp14:editId="4EDF4179">
            <wp:extent cx="5532120" cy="6568440"/>
            <wp:effectExtent l="0" t="0" r="11430" b="3810"/>
            <wp:docPr id="17" name="Wykres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867E44E" w14:textId="3708A079" w:rsidR="00F65AD9" w:rsidRDefault="00F65AD9" w:rsidP="008935C7">
      <w:pPr>
        <w:pStyle w:val="StylArial11ptWyjustowany"/>
        <w:shd w:val="clear" w:color="auto" w:fill="FFFFFF"/>
        <w:jc w:val="left"/>
        <w:rPr>
          <w:rFonts w:cs="Arial"/>
          <w:iCs/>
          <w:szCs w:val="22"/>
        </w:rPr>
      </w:pPr>
    </w:p>
    <w:p w14:paraId="37DBF775" w14:textId="77777777" w:rsidR="00E8448D" w:rsidRDefault="00E8448D" w:rsidP="008935C7">
      <w:pPr>
        <w:pStyle w:val="StylArial11ptWyjustowany"/>
        <w:shd w:val="clear" w:color="auto" w:fill="FFFFFF"/>
        <w:jc w:val="left"/>
        <w:rPr>
          <w:rFonts w:cs="Arial"/>
          <w:iCs/>
          <w:szCs w:val="22"/>
        </w:rPr>
      </w:pPr>
    </w:p>
    <w:p w14:paraId="3FB1EC67" w14:textId="31AC4A4F" w:rsidR="008935C7" w:rsidRPr="00EA4A33" w:rsidRDefault="008935C7" w:rsidP="008935C7">
      <w:pPr>
        <w:shd w:val="clear" w:color="auto" w:fill="FFFFFF"/>
        <w:rPr>
          <w:rFonts w:cs="Arial"/>
          <w:i/>
          <w:szCs w:val="22"/>
        </w:rPr>
      </w:pPr>
      <w:r w:rsidRPr="00735936">
        <w:rPr>
          <w:rFonts w:cs="Arial"/>
          <w:i/>
          <w:szCs w:val="22"/>
        </w:rPr>
        <w:t>Dane dotyczące zamówień udzielonych przez jednostki administracji rządowej, w których zastosowano odpowiednie instrumenty prospołeczne</w:t>
      </w:r>
      <w:r w:rsidR="0015786F">
        <w:rPr>
          <w:rFonts w:cs="Arial"/>
          <w:i/>
          <w:szCs w:val="22"/>
        </w:rPr>
        <w:t>,</w:t>
      </w:r>
      <w:r w:rsidRPr="00735936">
        <w:rPr>
          <w:rFonts w:cs="Arial"/>
          <w:i/>
          <w:szCs w:val="22"/>
        </w:rPr>
        <w:t xml:space="preserve"> przedstawiono w </w:t>
      </w:r>
      <w:hyperlink w:anchor="Zał_8" w:history="1">
        <w:r w:rsidRPr="00735936">
          <w:rPr>
            <w:rStyle w:val="Hipercze"/>
            <w:rFonts w:cs="Arial"/>
            <w:i/>
            <w:szCs w:val="22"/>
          </w:rPr>
          <w:t xml:space="preserve">załączniku nr </w:t>
        </w:r>
        <w:r w:rsidR="00735936" w:rsidRPr="00735936">
          <w:rPr>
            <w:rStyle w:val="Hipercze"/>
            <w:rFonts w:cs="Arial"/>
            <w:i/>
            <w:szCs w:val="22"/>
          </w:rPr>
          <w:t>8</w:t>
        </w:r>
      </w:hyperlink>
      <w:r w:rsidRPr="00735936">
        <w:rPr>
          <w:rFonts w:cs="Arial"/>
          <w:i/>
          <w:szCs w:val="22"/>
        </w:rPr>
        <w:t xml:space="preserve"> do niniejszego Sprawozdania.</w:t>
      </w:r>
      <w:r w:rsidRPr="00EA4A33">
        <w:rPr>
          <w:rFonts w:cs="Arial"/>
          <w:i/>
          <w:szCs w:val="22"/>
        </w:rPr>
        <w:t xml:space="preserve"> </w:t>
      </w:r>
    </w:p>
    <w:p w14:paraId="7EBB18F8" w14:textId="0AC103F8" w:rsidR="000B44F1" w:rsidRDefault="000B44F1" w:rsidP="008935C7">
      <w:pPr>
        <w:pStyle w:val="StylArial11ptWyjustowany"/>
        <w:shd w:val="clear" w:color="auto" w:fill="FFFFFF"/>
        <w:jc w:val="left"/>
        <w:rPr>
          <w:rFonts w:cs="Arial"/>
          <w:iCs/>
          <w:szCs w:val="22"/>
        </w:rPr>
      </w:pPr>
    </w:p>
    <w:p w14:paraId="29C2055B" w14:textId="77777777" w:rsidR="00321F52" w:rsidRPr="008935C7" w:rsidRDefault="00321F52" w:rsidP="008935C7">
      <w:pPr>
        <w:pStyle w:val="StylArial11ptWyjustowany"/>
        <w:shd w:val="clear" w:color="auto" w:fill="FFFFFF"/>
        <w:jc w:val="left"/>
        <w:rPr>
          <w:rFonts w:cs="Arial"/>
          <w:iCs/>
          <w:szCs w:val="22"/>
        </w:rPr>
      </w:pPr>
    </w:p>
    <w:p w14:paraId="060BA082" w14:textId="3C0D5A5C" w:rsidR="008935C7" w:rsidRDefault="008935C7" w:rsidP="00E16264">
      <w:pPr>
        <w:pStyle w:val="StylArial11ptWyjustowany"/>
        <w:numPr>
          <w:ilvl w:val="1"/>
          <w:numId w:val="6"/>
        </w:numPr>
        <w:shd w:val="clear" w:color="auto" w:fill="FFFFFF"/>
        <w:jc w:val="left"/>
        <w:rPr>
          <w:rFonts w:cs="Arial"/>
          <w:b/>
          <w:iCs/>
          <w:color w:val="0070C0"/>
          <w:szCs w:val="22"/>
        </w:rPr>
      </w:pPr>
      <w:r w:rsidRPr="008935C7">
        <w:rPr>
          <w:rFonts w:cs="Arial"/>
          <w:b/>
          <w:iCs/>
          <w:color w:val="0070C0"/>
          <w:szCs w:val="22"/>
        </w:rPr>
        <w:t>Zielone zamówienia publiczne</w:t>
      </w:r>
      <w:r>
        <w:rPr>
          <w:rFonts w:cs="Arial"/>
          <w:b/>
          <w:iCs/>
          <w:color w:val="0070C0"/>
          <w:szCs w:val="22"/>
        </w:rPr>
        <w:t xml:space="preserve"> udzielane przez </w:t>
      </w:r>
      <w:r w:rsidRPr="008935C7">
        <w:rPr>
          <w:rFonts w:cs="Arial"/>
          <w:b/>
          <w:iCs/>
          <w:color w:val="0070C0"/>
          <w:szCs w:val="22"/>
        </w:rPr>
        <w:t>jednostki administracji rządowej</w:t>
      </w:r>
    </w:p>
    <w:p w14:paraId="393C1AB5" w14:textId="77777777" w:rsidR="000B44F1" w:rsidRPr="00A232C4" w:rsidRDefault="000B44F1" w:rsidP="0001573A">
      <w:pPr>
        <w:shd w:val="clear" w:color="auto" w:fill="FFFFFF"/>
      </w:pPr>
    </w:p>
    <w:p w14:paraId="42311972" w14:textId="36C8361E" w:rsidR="001612F1" w:rsidRPr="001612F1" w:rsidRDefault="001612F1" w:rsidP="001612F1">
      <w:pPr>
        <w:shd w:val="clear" w:color="auto" w:fill="FFFFFF"/>
        <w:rPr>
          <w:b/>
        </w:rPr>
      </w:pPr>
      <w:r w:rsidRPr="001612F1">
        <w:t>W 2022 r. 122 zamawiających stanowiących jednostki administracji rządowej udzieliło 703 zamówień publicznych uwzględniających aspekty środowiskowe o łącznej wartości 5 213 918 500,24 zł (bez podatku od towarów i usług). W porównaniu z rokiem 2021, odnotowano zarówno wzrost liczby zielonych zamówień (o 242 zamówienia), jak i wzrost ich wartości (o 4 567 589 531,07 zł). O 12 podmiotów zmniejszyła się natomiast liczba zamawiających z administracji rządowej, którzy udzielili zielonych zamówień w 2022 r. Udział zielonych zamówień udzielonych przez jednostki administracji rządowej w ogólnej liczbie zamówień o charakterze środowiskowym stanowił 21,16%. Z kolei wartość zielonych zamówień udzielonych przez jednostki administracji rządowej stanowiła 30,36% wartości ogółu zamówień uwzględniających aspekty środowiskowe, które polscy zamawiający udzielili w 2022 r.</w:t>
      </w:r>
    </w:p>
    <w:p w14:paraId="18162F13" w14:textId="77777777" w:rsidR="0026738D" w:rsidRPr="0001573A" w:rsidRDefault="0026738D" w:rsidP="0001573A">
      <w:pPr>
        <w:shd w:val="clear" w:color="auto" w:fill="FFFFFF"/>
      </w:pPr>
    </w:p>
    <w:p w14:paraId="2C15DBBC" w14:textId="6714DF05" w:rsidR="000B44F1" w:rsidRPr="00A232C4" w:rsidRDefault="000B44F1" w:rsidP="000B44F1">
      <w:pPr>
        <w:pStyle w:val="Legenda"/>
      </w:pPr>
      <w:bookmarkStart w:id="155" w:name="_Toc141276558"/>
      <w:r w:rsidRPr="001612F1">
        <w:t xml:space="preserve">Tab. </w:t>
      </w:r>
      <w:r w:rsidR="00BE2079">
        <w:fldChar w:fldCharType="begin"/>
      </w:r>
      <w:r w:rsidR="00BE2079">
        <w:instrText xml:space="preserve"> SEQ Tab. \* ARABIC </w:instrText>
      </w:r>
      <w:r w:rsidR="00BE2079">
        <w:fldChar w:fldCharType="separate"/>
      </w:r>
      <w:r w:rsidR="00A43C68">
        <w:rPr>
          <w:noProof/>
        </w:rPr>
        <w:t>51</w:t>
      </w:r>
      <w:r w:rsidR="00BE2079">
        <w:rPr>
          <w:noProof/>
        </w:rPr>
        <w:fldChar w:fldCharType="end"/>
      </w:r>
      <w:r w:rsidRPr="001612F1">
        <w:t xml:space="preserve">. </w:t>
      </w:r>
      <w:r w:rsidR="0001573A" w:rsidRPr="001612F1">
        <w:t>Zielone</w:t>
      </w:r>
      <w:r w:rsidRPr="001612F1">
        <w:t xml:space="preserve"> zamówienia publiczne udzielane przez jednostki administracji rządowej w 202</w:t>
      </w:r>
      <w:r w:rsidR="001612F1">
        <w:t>2</w:t>
      </w:r>
      <w:r w:rsidRPr="001612F1">
        <w:t xml:space="preserve"> r.</w:t>
      </w:r>
      <w:r w:rsidR="00117AED">
        <w:t xml:space="preserve"> </w:t>
      </w:r>
      <w:r w:rsidRPr="001612F1">
        <w:t>– dane ogólne</w:t>
      </w:r>
      <w:bookmarkEnd w:id="15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1612F1" w:rsidRPr="00FD623C" w14:paraId="5F6C607C" w14:textId="77777777" w:rsidTr="00D50E39">
        <w:trPr>
          <w:trHeight w:val="300"/>
          <w:tblHeader/>
          <w:jc w:val="center"/>
        </w:trPr>
        <w:tc>
          <w:tcPr>
            <w:tcW w:w="9062" w:type="dxa"/>
            <w:gridSpan w:val="2"/>
            <w:shd w:val="clear" w:color="auto" w:fill="C5E0B3" w:themeFill="accent6" w:themeFillTint="66"/>
            <w:noWrap/>
            <w:vAlign w:val="center"/>
            <w:hideMark/>
          </w:tcPr>
          <w:p w14:paraId="3571879D" w14:textId="77777777" w:rsidR="001612F1" w:rsidRPr="00FD623C" w:rsidRDefault="001612F1" w:rsidP="00D50E39">
            <w:pPr>
              <w:jc w:val="center"/>
              <w:rPr>
                <w:rFonts w:cs="Arial"/>
                <w:b/>
                <w:sz w:val="20"/>
                <w:szCs w:val="20"/>
              </w:rPr>
            </w:pPr>
            <w:r w:rsidRPr="00FD623C">
              <w:rPr>
                <w:rFonts w:cs="Arial"/>
                <w:b/>
                <w:sz w:val="20"/>
                <w:szCs w:val="20"/>
              </w:rPr>
              <w:t>DANE OGÓLNE</w:t>
            </w:r>
          </w:p>
        </w:tc>
      </w:tr>
      <w:tr w:rsidR="001612F1" w:rsidRPr="00FD623C" w14:paraId="5BE2B827" w14:textId="77777777" w:rsidTr="00D50E39">
        <w:trPr>
          <w:trHeight w:val="300"/>
          <w:jc w:val="center"/>
        </w:trPr>
        <w:tc>
          <w:tcPr>
            <w:tcW w:w="6941" w:type="dxa"/>
            <w:shd w:val="clear" w:color="auto" w:fill="auto"/>
            <w:noWrap/>
            <w:vAlign w:val="center"/>
            <w:hideMark/>
          </w:tcPr>
          <w:p w14:paraId="5BBE55B4" w14:textId="77777777" w:rsidR="001612F1" w:rsidRPr="00FD623C" w:rsidRDefault="001612F1" w:rsidP="00D50E39">
            <w:pPr>
              <w:rPr>
                <w:rFonts w:cs="Arial"/>
                <w:bCs/>
                <w:sz w:val="20"/>
                <w:szCs w:val="20"/>
              </w:rPr>
            </w:pPr>
            <w:r w:rsidRPr="00FD623C">
              <w:rPr>
                <w:rFonts w:cs="Arial"/>
                <w:bCs/>
                <w:sz w:val="20"/>
                <w:szCs w:val="20"/>
              </w:rPr>
              <w:t>Liczba zamawiających, którzy udzielili zamówień publicznych</w:t>
            </w:r>
            <w:r>
              <w:rPr>
                <w:rFonts w:cs="Arial"/>
                <w:bCs/>
                <w:sz w:val="20"/>
                <w:szCs w:val="20"/>
              </w:rPr>
              <w:t xml:space="preserve"> </w:t>
            </w:r>
            <w:r w:rsidRPr="00FD623C">
              <w:rPr>
                <w:rFonts w:cs="Arial"/>
                <w:bCs/>
                <w:sz w:val="20"/>
                <w:szCs w:val="20"/>
              </w:rPr>
              <w:t>o charakterze środowiskowym</w:t>
            </w:r>
            <w:r>
              <w:rPr>
                <w:rFonts w:cs="Arial"/>
                <w:bCs/>
                <w:sz w:val="20"/>
                <w:szCs w:val="20"/>
              </w:rPr>
              <w:t xml:space="preserve"> </w:t>
            </w:r>
          </w:p>
        </w:tc>
        <w:tc>
          <w:tcPr>
            <w:tcW w:w="2121" w:type="dxa"/>
            <w:shd w:val="clear" w:color="auto" w:fill="auto"/>
            <w:noWrap/>
            <w:vAlign w:val="center"/>
          </w:tcPr>
          <w:p w14:paraId="2FEAC05F" w14:textId="77777777" w:rsidR="001612F1" w:rsidRPr="003C1894" w:rsidRDefault="001612F1" w:rsidP="00D50E39">
            <w:pPr>
              <w:jc w:val="center"/>
              <w:rPr>
                <w:rFonts w:cs="Arial"/>
                <w:sz w:val="20"/>
                <w:szCs w:val="20"/>
              </w:rPr>
            </w:pPr>
            <w:r>
              <w:rPr>
                <w:rFonts w:cs="Arial"/>
                <w:sz w:val="20"/>
                <w:szCs w:val="20"/>
              </w:rPr>
              <w:t>122</w:t>
            </w:r>
          </w:p>
        </w:tc>
      </w:tr>
      <w:tr w:rsidR="001612F1" w:rsidRPr="00FD623C" w14:paraId="0C1D79A6" w14:textId="77777777" w:rsidTr="00D50E39">
        <w:trPr>
          <w:trHeight w:val="300"/>
          <w:jc w:val="center"/>
        </w:trPr>
        <w:tc>
          <w:tcPr>
            <w:tcW w:w="6941" w:type="dxa"/>
            <w:shd w:val="clear" w:color="auto" w:fill="E2EFD9" w:themeFill="accent6" w:themeFillTint="33"/>
            <w:noWrap/>
            <w:vAlign w:val="center"/>
          </w:tcPr>
          <w:p w14:paraId="23BFA07D" w14:textId="77777777" w:rsidR="001612F1" w:rsidRPr="00FD623C" w:rsidRDefault="001612F1" w:rsidP="00D50E39">
            <w:pPr>
              <w:rPr>
                <w:rFonts w:cs="Arial"/>
                <w:bCs/>
                <w:sz w:val="20"/>
                <w:szCs w:val="20"/>
              </w:rPr>
            </w:pPr>
            <w:r w:rsidRPr="00FD623C">
              <w:rPr>
                <w:rFonts w:cs="Arial"/>
                <w:bCs/>
                <w:sz w:val="20"/>
                <w:szCs w:val="20"/>
              </w:rPr>
              <w:t xml:space="preserve">Liczba </w:t>
            </w:r>
            <w:r w:rsidRPr="00FD623C">
              <w:rPr>
                <w:rFonts w:cs="Arial"/>
                <w:sz w:val="20"/>
                <w:szCs w:val="20"/>
              </w:rPr>
              <w:t>udzielonych zamówień uwzględniających aspekty środowiskowe</w:t>
            </w:r>
          </w:p>
        </w:tc>
        <w:tc>
          <w:tcPr>
            <w:tcW w:w="2121" w:type="dxa"/>
            <w:shd w:val="clear" w:color="auto" w:fill="E2EFD9" w:themeFill="accent6" w:themeFillTint="33"/>
            <w:noWrap/>
            <w:vAlign w:val="center"/>
          </w:tcPr>
          <w:p w14:paraId="097C999B" w14:textId="77777777" w:rsidR="001612F1" w:rsidRPr="00FD623C" w:rsidRDefault="001612F1" w:rsidP="00D50E39">
            <w:pPr>
              <w:jc w:val="center"/>
              <w:rPr>
                <w:rFonts w:cs="Arial"/>
                <w:sz w:val="20"/>
                <w:szCs w:val="20"/>
              </w:rPr>
            </w:pPr>
            <w:r>
              <w:rPr>
                <w:rFonts w:cs="Arial"/>
                <w:sz w:val="20"/>
                <w:szCs w:val="20"/>
              </w:rPr>
              <w:t>703</w:t>
            </w:r>
          </w:p>
        </w:tc>
      </w:tr>
      <w:tr w:rsidR="001612F1" w:rsidRPr="00FD623C" w14:paraId="510450C7" w14:textId="77777777" w:rsidTr="00D50E39">
        <w:trPr>
          <w:trHeight w:val="300"/>
          <w:jc w:val="center"/>
        </w:trPr>
        <w:tc>
          <w:tcPr>
            <w:tcW w:w="6941" w:type="dxa"/>
            <w:shd w:val="clear" w:color="auto" w:fill="auto"/>
            <w:noWrap/>
            <w:vAlign w:val="center"/>
            <w:hideMark/>
          </w:tcPr>
          <w:p w14:paraId="61D07A78" w14:textId="77777777" w:rsidR="001612F1" w:rsidRPr="00FD623C" w:rsidRDefault="001612F1" w:rsidP="00D50E39">
            <w:pPr>
              <w:rPr>
                <w:rFonts w:cs="Arial"/>
                <w:bCs/>
                <w:sz w:val="20"/>
                <w:szCs w:val="20"/>
              </w:rPr>
            </w:pPr>
            <w:r w:rsidRPr="00FD623C">
              <w:rPr>
                <w:rFonts w:cs="Arial"/>
                <w:bCs/>
                <w:sz w:val="20"/>
                <w:szCs w:val="20"/>
              </w:rPr>
              <w:t xml:space="preserve">Wartość </w:t>
            </w:r>
            <w:r w:rsidRPr="00FD623C">
              <w:rPr>
                <w:rFonts w:cs="Arial"/>
                <w:sz w:val="20"/>
                <w:szCs w:val="20"/>
              </w:rPr>
              <w:t>udzielonych zamówień uwzględniających aspekty środowiskowe</w:t>
            </w:r>
          </w:p>
        </w:tc>
        <w:tc>
          <w:tcPr>
            <w:tcW w:w="2121" w:type="dxa"/>
            <w:shd w:val="clear" w:color="auto" w:fill="auto"/>
            <w:noWrap/>
            <w:vAlign w:val="center"/>
            <w:hideMark/>
          </w:tcPr>
          <w:p w14:paraId="15F72B08" w14:textId="77777777" w:rsidR="001612F1" w:rsidRDefault="001612F1" w:rsidP="00D50E39">
            <w:pPr>
              <w:jc w:val="center"/>
              <w:rPr>
                <w:rFonts w:cs="Arial"/>
                <w:sz w:val="20"/>
                <w:szCs w:val="20"/>
              </w:rPr>
            </w:pPr>
            <w:r w:rsidRPr="00BF466E">
              <w:rPr>
                <w:rFonts w:cs="Arial"/>
                <w:sz w:val="20"/>
                <w:szCs w:val="20"/>
              </w:rPr>
              <w:t>5 213 918 500,24 zł</w:t>
            </w:r>
          </w:p>
          <w:p w14:paraId="463A98CA" w14:textId="77777777" w:rsidR="001612F1" w:rsidRPr="00FD623C" w:rsidRDefault="001612F1" w:rsidP="00D50E39">
            <w:pPr>
              <w:jc w:val="center"/>
              <w:rPr>
                <w:rFonts w:cs="Arial"/>
                <w:sz w:val="20"/>
                <w:szCs w:val="20"/>
              </w:rPr>
            </w:pPr>
            <w:r w:rsidRPr="00FD623C">
              <w:rPr>
                <w:rFonts w:cs="Arial"/>
                <w:sz w:val="20"/>
                <w:szCs w:val="20"/>
              </w:rPr>
              <w:t>(wartość bez VAT)</w:t>
            </w:r>
          </w:p>
        </w:tc>
      </w:tr>
    </w:tbl>
    <w:p w14:paraId="5B6EF505" w14:textId="6480ABEA" w:rsidR="0001573A" w:rsidRDefault="0001573A" w:rsidP="000B44F1">
      <w:pPr>
        <w:shd w:val="clear" w:color="auto" w:fill="FFFFFF"/>
      </w:pPr>
    </w:p>
    <w:p w14:paraId="375012D7" w14:textId="77777777" w:rsidR="003D264B" w:rsidRPr="00A232C4" w:rsidRDefault="003D264B" w:rsidP="000B44F1">
      <w:pPr>
        <w:shd w:val="clear" w:color="auto" w:fill="FFFFFF"/>
      </w:pPr>
    </w:p>
    <w:p w14:paraId="62723B03" w14:textId="6B762EB0" w:rsidR="003D264B" w:rsidRPr="003D264B" w:rsidRDefault="003D264B" w:rsidP="003D264B">
      <w:pPr>
        <w:shd w:val="clear" w:color="auto" w:fill="FFFFFF"/>
      </w:pPr>
      <w:r w:rsidRPr="003D264B">
        <w:t>Instrumenty prośrodowiskowe w zamówieniach udzielonych przez jednostki administracji rządowej najczęściej stosowano w zamówieniach na dostawy, a</w:t>
      </w:r>
      <w:r w:rsidR="009B03B0">
        <w:t xml:space="preserve">nalogicznie jak rok wcześniej. </w:t>
      </w:r>
      <w:r w:rsidRPr="003D264B">
        <w:t xml:space="preserve">W tego rodzaju zamówieniach w największej liczbie przypadków </w:t>
      </w:r>
      <w:r w:rsidRPr="003D264B">
        <w:rPr>
          <w:bCs/>
        </w:rPr>
        <w:t xml:space="preserve">określano w opisie przedmiotu zamówienia wymagania środowiskowe oraz stosowano kryteria oceny ofert odnoszące się </w:t>
      </w:r>
      <w:r w:rsidR="00117AED">
        <w:rPr>
          <w:bCs/>
        </w:rPr>
        <w:t xml:space="preserve">do </w:t>
      </w:r>
      <w:r w:rsidRPr="003D264B">
        <w:rPr>
          <w:bCs/>
        </w:rPr>
        <w:t>aspektów środowiskowych, w tym efektywności energetycznej przedmiotu zamówienia. Na drugim miejscu pod względem liczby zielonych zamówień znalazły się zamówienia na usługi. Tu z kolei najczęściej określano wymagania związane z realizacją zamówienia obejmujące aspekty środowiskowe oraz uwzględniano w kryteriach oceny ofert aspekty środowiskowe. W przypadku robót budowlanych najczęściej stosowanym instrumentem było określenie w opisie przedmiotu zamówienia wymagań środowiskowych.</w:t>
      </w:r>
      <w:r w:rsidRPr="003D264B">
        <w:rPr>
          <w:b/>
        </w:rPr>
        <w:t xml:space="preserve"> </w:t>
      </w:r>
    </w:p>
    <w:p w14:paraId="534ECE96" w14:textId="77777777" w:rsidR="003D264B" w:rsidRPr="003D264B" w:rsidRDefault="003D264B" w:rsidP="003D264B">
      <w:pPr>
        <w:shd w:val="clear" w:color="auto" w:fill="FFFFFF"/>
        <w:rPr>
          <w:b/>
        </w:rPr>
      </w:pPr>
    </w:p>
    <w:p w14:paraId="11582AEF" w14:textId="1906D574" w:rsidR="003D264B" w:rsidRPr="003D264B" w:rsidRDefault="003D264B" w:rsidP="003D264B">
      <w:pPr>
        <w:shd w:val="clear" w:color="auto" w:fill="FFFFFF"/>
      </w:pPr>
      <w:r w:rsidRPr="003D264B">
        <w:t>Poniższe tabele prezentują zestawienie szczegółowych danych dotyczących zarówno liczby</w:t>
      </w:r>
      <w:r w:rsidR="00447DF9">
        <w:t xml:space="preserve">, </w:t>
      </w:r>
      <w:r w:rsidRPr="003D264B">
        <w:t>jak i wartości zamówień, w których zastosowano poszczególne instrumenty, dodatkowo w podziale na rodzaj zamówienia.</w:t>
      </w:r>
    </w:p>
    <w:p w14:paraId="1AFD2E86" w14:textId="77777777" w:rsidR="0026738D" w:rsidRPr="00A232C4" w:rsidRDefault="0026738D" w:rsidP="0001573A">
      <w:pPr>
        <w:shd w:val="clear" w:color="auto" w:fill="FFFFFF"/>
      </w:pPr>
    </w:p>
    <w:p w14:paraId="2069057D" w14:textId="77777777" w:rsidR="000B44F1" w:rsidRPr="0001573A" w:rsidRDefault="000B44F1" w:rsidP="000B44F1">
      <w:pPr>
        <w:shd w:val="clear" w:color="auto" w:fill="FFFFFF"/>
        <w:ind w:left="709"/>
        <w:rPr>
          <w:b/>
          <w:color w:val="0070C0"/>
        </w:rPr>
      </w:pPr>
      <w:r w:rsidRPr="0001573A">
        <w:rPr>
          <w:b/>
          <w:color w:val="0070C0"/>
        </w:rPr>
        <w:t>Określenie w opisie przedmiotu zamówienia wymagań środowiskowych zgodnie z art. 101 ustawy Pzp</w:t>
      </w:r>
    </w:p>
    <w:p w14:paraId="78045310" w14:textId="77777777" w:rsidR="000B44F1" w:rsidRPr="00A232C4" w:rsidRDefault="000B44F1" w:rsidP="000B44F1">
      <w:pPr>
        <w:shd w:val="clear" w:color="auto" w:fill="FFFFFF"/>
      </w:pPr>
    </w:p>
    <w:p w14:paraId="668CE12A" w14:textId="730D31D9" w:rsidR="0001573A" w:rsidRPr="00A232C4" w:rsidRDefault="0001573A" w:rsidP="0001573A">
      <w:pPr>
        <w:pStyle w:val="Legenda"/>
      </w:pPr>
      <w:bookmarkStart w:id="156" w:name="_Toc141276559"/>
      <w:r w:rsidRPr="003D264B">
        <w:t xml:space="preserve">Tab. </w:t>
      </w:r>
      <w:r w:rsidR="00BE2079">
        <w:fldChar w:fldCharType="begin"/>
      </w:r>
      <w:r w:rsidR="00BE2079">
        <w:instrText xml:space="preserve"> SEQ Tab. \* ARABIC </w:instrText>
      </w:r>
      <w:r w:rsidR="00BE2079">
        <w:fldChar w:fldCharType="separate"/>
      </w:r>
      <w:r w:rsidR="00A43C68">
        <w:rPr>
          <w:noProof/>
        </w:rPr>
        <w:t>52</w:t>
      </w:r>
      <w:r w:rsidR="00BE2079">
        <w:rPr>
          <w:noProof/>
        </w:rPr>
        <w:fldChar w:fldCharType="end"/>
      </w:r>
      <w:r w:rsidRPr="003D264B">
        <w:t xml:space="preserve">. </w:t>
      </w:r>
      <w:r w:rsidR="008B59B0" w:rsidRPr="003D264B">
        <w:t xml:space="preserve">Zielone </w:t>
      </w:r>
      <w:r w:rsidRPr="003D264B">
        <w:t xml:space="preserve">zamówienia publiczne udzielane przez jednostki administracji rządowej </w:t>
      </w:r>
      <w:r w:rsidR="008B59B0" w:rsidRPr="003D264B">
        <w:t>z zastosowaniem art. 101 ustawy Pzp</w:t>
      </w:r>
      <w:bookmarkEnd w:id="15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3D264B" w:rsidRPr="00FD623C" w14:paraId="30AAF620" w14:textId="77777777" w:rsidTr="00D50E39">
        <w:trPr>
          <w:trHeight w:val="300"/>
          <w:jc w:val="center"/>
        </w:trPr>
        <w:tc>
          <w:tcPr>
            <w:tcW w:w="7083" w:type="dxa"/>
            <w:shd w:val="clear" w:color="auto" w:fill="E2EFD9" w:themeFill="accent6" w:themeFillTint="33"/>
            <w:noWrap/>
            <w:vAlign w:val="center"/>
          </w:tcPr>
          <w:p w14:paraId="1BDE7AD2" w14:textId="77777777" w:rsidR="003D264B" w:rsidRPr="00FD623C" w:rsidRDefault="003D264B"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E2EFD9" w:themeFill="accent6" w:themeFillTint="33"/>
            <w:noWrap/>
            <w:vAlign w:val="center"/>
          </w:tcPr>
          <w:p w14:paraId="411A7FF0" w14:textId="77777777" w:rsidR="003D264B" w:rsidRPr="00FD623C" w:rsidRDefault="003D264B" w:rsidP="00D50E39">
            <w:pPr>
              <w:jc w:val="center"/>
              <w:rPr>
                <w:rFonts w:cs="Arial"/>
                <w:sz w:val="20"/>
                <w:szCs w:val="20"/>
              </w:rPr>
            </w:pPr>
            <w:r>
              <w:rPr>
                <w:rFonts w:cs="Arial"/>
                <w:sz w:val="20"/>
                <w:szCs w:val="20"/>
              </w:rPr>
              <w:t>400</w:t>
            </w:r>
          </w:p>
        </w:tc>
      </w:tr>
      <w:tr w:rsidR="003D264B" w:rsidRPr="00FD623C" w14:paraId="0A0BE7C0" w14:textId="77777777" w:rsidTr="00D50E39">
        <w:trPr>
          <w:trHeight w:val="300"/>
          <w:jc w:val="center"/>
        </w:trPr>
        <w:tc>
          <w:tcPr>
            <w:tcW w:w="7083" w:type="dxa"/>
            <w:shd w:val="clear" w:color="auto" w:fill="auto"/>
            <w:noWrap/>
            <w:vAlign w:val="center"/>
            <w:hideMark/>
          </w:tcPr>
          <w:p w14:paraId="29B0FE98" w14:textId="77777777" w:rsidR="003D264B" w:rsidRPr="00FD623C" w:rsidRDefault="003D264B"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shd w:val="clear" w:color="auto" w:fill="auto"/>
            <w:noWrap/>
            <w:vAlign w:val="center"/>
            <w:hideMark/>
          </w:tcPr>
          <w:p w14:paraId="0623E650" w14:textId="77777777" w:rsidR="003D264B" w:rsidRDefault="003D264B" w:rsidP="00D50E39">
            <w:pPr>
              <w:jc w:val="center"/>
              <w:rPr>
                <w:rFonts w:cs="Arial"/>
                <w:sz w:val="20"/>
                <w:szCs w:val="20"/>
              </w:rPr>
            </w:pPr>
            <w:r w:rsidRPr="00642D97">
              <w:rPr>
                <w:rFonts w:cs="Arial"/>
                <w:sz w:val="20"/>
                <w:szCs w:val="20"/>
              </w:rPr>
              <w:t>4 577 349 452,60 zł</w:t>
            </w:r>
          </w:p>
          <w:p w14:paraId="2A473D6A" w14:textId="77777777" w:rsidR="003D264B" w:rsidRPr="00FD623C" w:rsidRDefault="003D264B" w:rsidP="00D50E39">
            <w:pPr>
              <w:jc w:val="center"/>
              <w:rPr>
                <w:rFonts w:cs="Arial"/>
                <w:sz w:val="20"/>
                <w:szCs w:val="20"/>
              </w:rPr>
            </w:pPr>
            <w:r w:rsidRPr="00FD623C">
              <w:rPr>
                <w:rFonts w:cs="Arial"/>
                <w:sz w:val="20"/>
                <w:szCs w:val="20"/>
              </w:rPr>
              <w:t>(wartość bez VAT)</w:t>
            </w:r>
          </w:p>
        </w:tc>
      </w:tr>
    </w:tbl>
    <w:p w14:paraId="740D2224"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843"/>
        <w:gridCol w:w="4677"/>
      </w:tblGrid>
      <w:tr w:rsidR="000B44F1" w:rsidRPr="00A232C4" w14:paraId="58C640D6" w14:textId="77777777" w:rsidTr="00EF57A8">
        <w:trPr>
          <w:trHeight w:val="300"/>
          <w:tblHeader/>
          <w:jc w:val="center"/>
        </w:trPr>
        <w:tc>
          <w:tcPr>
            <w:tcW w:w="2547" w:type="dxa"/>
            <w:shd w:val="clear" w:color="auto" w:fill="C5E0B3" w:themeFill="accent6" w:themeFillTint="66"/>
            <w:noWrap/>
            <w:vAlign w:val="center"/>
          </w:tcPr>
          <w:p w14:paraId="36E3A4FB"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843" w:type="dxa"/>
            <w:shd w:val="clear" w:color="auto" w:fill="C5E0B3" w:themeFill="accent6" w:themeFillTint="66"/>
            <w:vAlign w:val="center"/>
          </w:tcPr>
          <w:p w14:paraId="563D0C38"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677" w:type="dxa"/>
            <w:shd w:val="clear" w:color="auto" w:fill="C5E0B3" w:themeFill="accent6" w:themeFillTint="66"/>
            <w:vAlign w:val="center"/>
          </w:tcPr>
          <w:p w14:paraId="7F0AB4C7"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1A1828" w:rsidRPr="00A232C4" w14:paraId="67744E94" w14:textId="77777777" w:rsidTr="00EF57A8">
        <w:trPr>
          <w:trHeight w:val="300"/>
          <w:jc w:val="center"/>
        </w:trPr>
        <w:tc>
          <w:tcPr>
            <w:tcW w:w="2547" w:type="dxa"/>
            <w:shd w:val="clear" w:color="auto" w:fill="auto"/>
            <w:noWrap/>
            <w:vAlign w:val="center"/>
          </w:tcPr>
          <w:p w14:paraId="48B22609" w14:textId="77777777" w:rsidR="001A1828" w:rsidRPr="00A232C4" w:rsidRDefault="001A1828" w:rsidP="001A1828">
            <w:pPr>
              <w:jc w:val="center"/>
              <w:rPr>
                <w:rFonts w:cs="Arial"/>
                <w:bCs/>
                <w:sz w:val="20"/>
                <w:szCs w:val="20"/>
              </w:rPr>
            </w:pPr>
            <w:r w:rsidRPr="00A232C4">
              <w:rPr>
                <w:rFonts w:cs="Arial"/>
                <w:bCs/>
                <w:sz w:val="20"/>
                <w:szCs w:val="20"/>
              </w:rPr>
              <w:t>Dostawy</w:t>
            </w:r>
          </w:p>
        </w:tc>
        <w:tc>
          <w:tcPr>
            <w:tcW w:w="1843" w:type="dxa"/>
            <w:shd w:val="clear" w:color="auto" w:fill="auto"/>
            <w:noWrap/>
            <w:vAlign w:val="center"/>
          </w:tcPr>
          <w:p w14:paraId="756A0E5E" w14:textId="6FF8189D" w:rsidR="001A1828" w:rsidRPr="00A232C4" w:rsidRDefault="001A1828" w:rsidP="001A1828">
            <w:pPr>
              <w:jc w:val="center"/>
              <w:rPr>
                <w:rFonts w:cs="Arial"/>
                <w:sz w:val="20"/>
                <w:szCs w:val="20"/>
              </w:rPr>
            </w:pPr>
            <w:r w:rsidRPr="00AA18DC">
              <w:rPr>
                <w:sz w:val="20"/>
                <w:szCs w:val="20"/>
              </w:rPr>
              <w:t>299</w:t>
            </w:r>
          </w:p>
        </w:tc>
        <w:tc>
          <w:tcPr>
            <w:tcW w:w="4677" w:type="dxa"/>
            <w:vAlign w:val="center"/>
          </w:tcPr>
          <w:p w14:paraId="00B629F5" w14:textId="5F40F4F9" w:rsidR="001A1828" w:rsidRPr="00A232C4" w:rsidRDefault="001A1828" w:rsidP="001A1828">
            <w:pPr>
              <w:jc w:val="center"/>
              <w:rPr>
                <w:rFonts w:cs="Arial"/>
                <w:sz w:val="20"/>
                <w:szCs w:val="20"/>
              </w:rPr>
            </w:pPr>
            <w:r w:rsidRPr="00AA18DC">
              <w:rPr>
                <w:sz w:val="20"/>
                <w:szCs w:val="20"/>
              </w:rPr>
              <w:t>432 440 380,71 zł</w:t>
            </w:r>
          </w:p>
        </w:tc>
      </w:tr>
      <w:tr w:rsidR="001A1828" w:rsidRPr="00A232C4" w14:paraId="2FB49FC7" w14:textId="77777777" w:rsidTr="00EF57A8">
        <w:trPr>
          <w:trHeight w:val="300"/>
          <w:jc w:val="center"/>
        </w:trPr>
        <w:tc>
          <w:tcPr>
            <w:tcW w:w="2547" w:type="dxa"/>
            <w:shd w:val="clear" w:color="auto" w:fill="E2EFD9" w:themeFill="accent6" w:themeFillTint="33"/>
            <w:noWrap/>
            <w:vAlign w:val="center"/>
            <w:hideMark/>
          </w:tcPr>
          <w:p w14:paraId="73F774E8" w14:textId="77777777" w:rsidR="001A1828" w:rsidRPr="00A232C4" w:rsidRDefault="001A1828" w:rsidP="001A1828">
            <w:pPr>
              <w:jc w:val="center"/>
              <w:rPr>
                <w:rFonts w:cs="Arial"/>
                <w:bCs/>
                <w:sz w:val="20"/>
                <w:szCs w:val="20"/>
              </w:rPr>
            </w:pPr>
            <w:r w:rsidRPr="00A232C4">
              <w:rPr>
                <w:rFonts w:cs="Arial"/>
                <w:bCs/>
                <w:sz w:val="20"/>
                <w:szCs w:val="20"/>
              </w:rPr>
              <w:t>Roboty budowlane</w:t>
            </w:r>
          </w:p>
        </w:tc>
        <w:tc>
          <w:tcPr>
            <w:tcW w:w="1843" w:type="dxa"/>
            <w:shd w:val="clear" w:color="auto" w:fill="E2EFD9" w:themeFill="accent6" w:themeFillTint="33"/>
            <w:noWrap/>
            <w:vAlign w:val="center"/>
          </w:tcPr>
          <w:p w14:paraId="774CD839" w14:textId="38D0A9DC" w:rsidR="001A1828" w:rsidRPr="00A232C4" w:rsidRDefault="001A1828" w:rsidP="001A1828">
            <w:pPr>
              <w:jc w:val="center"/>
              <w:rPr>
                <w:rFonts w:cs="Arial"/>
                <w:sz w:val="20"/>
                <w:szCs w:val="20"/>
              </w:rPr>
            </w:pPr>
            <w:r w:rsidRPr="00AA18DC">
              <w:rPr>
                <w:sz w:val="20"/>
                <w:szCs w:val="20"/>
              </w:rPr>
              <w:t>61</w:t>
            </w:r>
          </w:p>
        </w:tc>
        <w:tc>
          <w:tcPr>
            <w:tcW w:w="4677" w:type="dxa"/>
            <w:shd w:val="clear" w:color="auto" w:fill="E2EFD9" w:themeFill="accent6" w:themeFillTint="33"/>
            <w:vAlign w:val="center"/>
          </w:tcPr>
          <w:p w14:paraId="5A0FEAEE" w14:textId="06521552" w:rsidR="001A1828" w:rsidRPr="00A232C4" w:rsidRDefault="001A1828" w:rsidP="001A1828">
            <w:pPr>
              <w:jc w:val="center"/>
              <w:rPr>
                <w:rFonts w:cs="Arial"/>
                <w:sz w:val="20"/>
                <w:szCs w:val="20"/>
              </w:rPr>
            </w:pPr>
            <w:r w:rsidRPr="00AA18DC">
              <w:rPr>
                <w:sz w:val="20"/>
                <w:szCs w:val="20"/>
              </w:rPr>
              <w:t>3 388 535 776,47 zł</w:t>
            </w:r>
          </w:p>
        </w:tc>
      </w:tr>
      <w:tr w:rsidR="001A1828" w:rsidRPr="00A232C4" w14:paraId="2A7CF805" w14:textId="77777777" w:rsidTr="00EF57A8">
        <w:trPr>
          <w:trHeight w:val="300"/>
          <w:jc w:val="center"/>
        </w:trPr>
        <w:tc>
          <w:tcPr>
            <w:tcW w:w="2547" w:type="dxa"/>
            <w:shd w:val="clear" w:color="auto" w:fill="auto"/>
            <w:noWrap/>
            <w:vAlign w:val="center"/>
          </w:tcPr>
          <w:p w14:paraId="3F625DAD" w14:textId="77777777" w:rsidR="001A1828" w:rsidRPr="00A232C4" w:rsidRDefault="001A1828" w:rsidP="001A1828">
            <w:pPr>
              <w:jc w:val="center"/>
              <w:rPr>
                <w:rFonts w:cs="Arial"/>
                <w:bCs/>
                <w:sz w:val="20"/>
                <w:szCs w:val="20"/>
              </w:rPr>
            </w:pPr>
            <w:r w:rsidRPr="00A232C4">
              <w:rPr>
                <w:rFonts w:cs="Arial"/>
                <w:bCs/>
                <w:sz w:val="20"/>
                <w:szCs w:val="20"/>
              </w:rPr>
              <w:t>Usługi</w:t>
            </w:r>
          </w:p>
        </w:tc>
        <w:tc>
          <w:tcPr>
            <w:tcW w:w="1843" w:type="dxa"/>
            <w:shd w:val="clear" w:color="auto" w:fill="auto"/>
            <w:noWrap/>
            <w:vAlign w:val="center"/>
          </w:tcPr>
          <w:p w14:paraId="3BB07B28" w14:textId="6181A155" w:rsidR="001A1828" w:rsidRPr="00A232C4" w:rsidRDefault="001A1828" w:rsidP="001A1828">
            <w:pPr>
              <w:jc w:val="center"/>
              <w:rPr>
                <w:rFonts w:cs="Arial"/>
                <w:sz w:val="20"/>
                <w:szCs w:val="20"/>
              </w:rPr>
            </w:pPr>
            <w:r w:rsidRPr="00AA18DC">
              <w:rPr>
                <w:sz w:val="20"/>
                <w:szCs w:val="20"/>
              </w:rPr>
              <w:t>40</w:t>
            </w:r>
          </w:p>
        </w:tc>
        <w:tc>
          <w:tcPr>
            <w:tcW w:w="4677" w:type="dxa"/>
            <w:vAlign w:val="center"/>
          </w:tcPr>
          <w:p w14:paraId="7C71880B" w14:textId="2580FBCC" w:rsidR="001A1828" w:rsidRPr="00A232C4" w:rsidRDefault="001A1828" w:rsidP="001A1828">
            <w:pPr>
              <w:jc w:val="center"/>
              <w:rPr>
                <w:rFonts w:cs="Arial"/>
                <w:sz w:val="20"/>
                <w:szCs w:val="20"/>
              </w:rPr>
            </w:pPr>
            <w:r w:rsidRPr="00AA18DC">
              <w:rPr>
                <w:sz w:val="20"/>
                <w:szCs w:val="20"/>
              </w:rPr>
              <w:t>756 373 295,42 zł</w:t>
            </w:r>
          </w:p>
        </w:tc>
      </w:tr>
    </w:tbl>
    <w:p w14:paraId="1743B28F" w14:textId="56753034" w:rsidR="000B44F1" w:rsidRDefault="000B44F1" w:rsidP="000B44F1">
      <w:pPr>
        <w:shd w:val="clear" w:color="auto" w:fill="FFFFFF"/>
      </w:pPr>
    </w:p>
    <w:p w14:paraId="68C71135" w14:textId="77777777" w:rsidR="00A71A6A" w:rsidRPr="00A232C4" w:rsidRDefault="00A71A6A" w:rsidP="000B44F1">
      <w:pPr>
        <w:shd w:val="clear" w:color="auto" w:fill="FFFFFF"/>
      </w:pPr>
    </w:p>
    <w:p w14:paraId="1B25CA27" w14:textId="77777777" w:rsidR="000B44F1" w:rsidRPr="00A71A6A" w:rsidRDefault="000B44F1" w:rsidP="000B44F1">
      <w:pPr>
        <w:shd w:val="clear" w:color="auto" w:fill="FFFFFF"/>
        <w:ind w:left="709"/>
        <w:rPr>
          <w:b/>
          <w:color w:val="0070C0"/>
        </w:rPr>
      </w:pPr>
      <w:r w:rsidRPr="00A71A6A">
        <w:rPr>
          <w:b/>
          <w:color w:val="0070C0"/>
        </w:rPr>
        <w:t>Określenie wymogu spełniania wymagań odpowiednich systemów lub norm zarządzania środowiskowego zgodnie z art. 116 ust. 1 ustawy Pzp</w:t>
      </w:r>
    </w:p>
    <w:p w14:paraId="13C90879" w14:textId="77777777" w:rsidR="000B44F1" w:rsidRPr="00A232C4" w:rsidRDefault="000B44F1" w:rsidP="000B44F1">
      <w:pPr>
        <w:shd w:val="clear" w:color="auto" w:fill="FFFFFF"/>
      </w:pPr>
    </w:p>
    <w:p w14:paraId="56F1E954" w14:textId="0C0E5493" w:rsidR="00A71A6A" w:rsidRPr="00A232C4" w:rsidRDefault="00A71A6A" w:rsidP="00A71A6A">
      <w:pPr>
        <w:pStyle w:val="Legenda"/>
      </w:pPr>
      <w:bookmarkStart w:id="157" w:name="_Toc141276560"/>
      <w:r w:rsidRPr="001A1828">
        <w:t xml:space="preserve">Tab. </w:t>
      </w:r>
      <w:r w:rsidR="00BE2079">
        <w:fldChar w:fldCharType="begin"/>
      </w:r>
      <w:r w:rsidR="00BE2079">
        <w:instrText xml:space="preserve"> SEQ Tab. \* ARABIC </w:instrText>
      </w:r>
      <w:r w:rsidR="00BE2079">
        <w:fldChar w:fldCharType="separate"/>
      </w:r>
      <w:r w:rsidR="00A43C68">
        <w:rPr>
          <w:noProof/>
        </w:rPr>
        <w:t>53</w:t>
      </w:r>
      <w:r w:rsidR="00BE2079">
        <w:rPr>
          <w:noProof/>
        </w:rPr>
        <w:fldChar w:fldCharType="end"/>
      </w:r>
      <w:r w:rsidRPr="001A1828">
        <w:t>. Zielone zamówienia publiczne udzielane przez jednostki administracji rządowej z zastosowaniem art. 116 ust. 1 ustawy Pzp</w:t>
      </w:r>
      <w:bookmarkEnd w:id="157"/>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3"/>
        <w:gridCol w:w="1979"/>
      </w:tblGrid>
      <w:tr w:rsidR="001A1828" w:rsidRPr="00FD623C" w14:paraId="4DE6FD16" w14:textId="77777777" w:rsidTr="00D50E39">
        <w:trPr>
          <w:trHeight w:val="300"/>
          <w:jc w:val="center"/>
        </w:trPr>
        <w:tc>
          <w:tcPr>
            <w:tcW w:w="7083" w:type="dxa"/>
            <w:shd w:val="clear" w:color="auto" w:fill="E2EFD9" w:themeFill="accent6" w:themeFillTint="33"/>
            <w:noWrap/>
            <w:vAlign w:val="center"/>
          </w:tcPr>
          <w:p w14:paraId="15326323" w14:textId="77777777" w:rsidR="001A1828" w:rsidRPr="00FD623C" w:rsidRDefault="001A1828"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979" w:type="dxa"/>
            <w:shd w:val="clear" w:color="auto" w:fill="E2EFD9" w:themeFill="accent6" w:themeFillTint="33"/>
            <w:noWrap/>
            <w:vAlign w:val="center"/>
          </w:tcPr>
          <w:p w14:paraId="4911E0B9" w14:textId="77777777" w:rsidR="001A1828" w:rsidRPr="00FD623C" w:rsidRDefault="001A1828" w:rsidP="00D50E39">
            <w:pPr>
              <w:jc w:val="center"/>
              <w:rPr>
                <w:rFonts w:cs="Arial"/>
                <w:sz w:val="20"/>
                <w:szCs w:val="20"/>
              </w:rPr>
            </w:pPr>
            <w:r w:rsidRPr="00647B40">
              <w:rPr>
                <w:rFonts w:cs="Arial"/>
                <w:sz w:val="20"/>
                <w:szCs w:val="20"/>
              </w:rPr>
              <w:t>2</w:t>
            </w:r>
            <w:r>
              <w:rPr>
                <w:rFonts w:cs="Arial"/>
                <w:sz w:val="20"/>
                <w:szCs w:val="20"/>
              </w:rPr>
              <w:t>3</w:t>
            </w:r>
          </w:p>
        </w:tc>
      </w:tr>
      <w:tr w:rsidR="001A1828" w:rsidRPr="00FD623C" w14:paraId="255B4AF1" w14:textId="77777777" w:rsidTr="00D50E39">
        <w:trPr>
          <w:trHeight w:val="300"/>
          <w:jc w:val="center"/>
        </w:trPr>
        <w:tc>
          <w:tcPr>
            <w:tcW w:w="7083" w:type="dxa"/>
            <w:shd w:val="clear" w:color="auto" w:fill="auto"/>
            <w:noWrap/>
            <w:vAlign w:val="center"/>
            <w:hideMark/>
          </w:tcPr>
          <w:p w14:paraId="318813B4" w14:textId="77777777" w:rsidR="001A1828" w:rsidRPr="00FD623C" w:rsidRDefault="001A1828"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1979" w:type="dxa"/>
            <w:shd w:val="clear" w:color="auto" w:fill="auto"/>
            <w:noWrap/>
            <w:vAlign w:val="center"/>
            <w:hideMark/>
          </w:tcPr>
          <w:p w14:paraId="4C68AAA5" w14:textId="77777777" w:rsidR="001A1828" w:rsidRDefault="001A1828" w:rsidP="00D50E39">
            <w:pPr>
              <w:jc w:val="center"/>
              <w:rPr>
                <w:rFonts w:cs="Arial"/>
                <w:sz w:val="20"/>
                <w:szCs w:val="20"/>
              </w:rPr>
            </w:pPr>
            <w:r w:rsidRPr="00E74951">
              <w:rPr>
                <w:rFonts w:cs="Arial"/>
                <w:sz w:val="20"/>
                <w:szCs w:val="20"/>
              </w:rPr>
              <w:t>16 000 151,66 zł</w:t>
            </w:r>
          </w:p>
          <w:p w14:paraId="66675601" w14:textId="77777777" w:rsidR="001A1828" w:rsidRPr="00FD623C" w:rsidRDefault="001A1828" w:rsidP="00D50E39">
            <w:pPr>
              <w:jc w:val="center"/>
              <w:rPr>
                <w:rFonts w:cs="Arial"/>
                <w:sz w:val="20"/>
                <w:szCs w:val="20"/>
              </w:rPr>
            </w:pPr>
            <w:r w:rsidRPr="00FD623C">
              <w:rPr>
                <w:rFonts w:cs="Arial"/>
                <w:sz w:val="20"/>
                <w:szCs w:val="20"/>
              </w:rPr>
              <w:t>(wartość bez VAT)</w:t>
            </w:r>
          </w:p>
        </w:tc>
      </w:tr>
    </w:tbl>
    <w:p w14:paraId="0957CE41"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4536"/>
      </w:tblGrid>
      <w:tr w:rsidR="000B44F1" w:rsidRPr="00A232C4" w14:paraId="51C8ECFC" w14:textId="77777777" w:rsidTr="00EF57A8">
        <w:trPr>
          <w:trHeight w:val="300"/>
          <w:tblHeader/>
          <w:jc w:val="center"/>
        </w:trPr>
        <w:tc>
          <w:tcPr>
            <w:tcW w:w="2122" w:type="dxa"/>
            <w:shd w:val="clear" w:color="auto" w:fill="C5E0B3" w:themeFill="accent6" w:themeFillTint="66"/>
            <w:noWrap/>
            <w:vAlign w:val="center"/>
          </w:tcPr>
          <w:p w14:paraId="08905B06" w14:textId="77777777" w:rsidR="000B44F1" w:rsidRPr="00A232C4" w:rsidRDefault="000B44F1" w:rsidP="00EF57A8">
            <w:pPr>
              <w:jc w:val="center"/>
              <w:rPr>
                <w:rFonts w:cs="Arial"/>
                <w:b/>
                <w:sz w:val="20"/>
                <w:szCs w:val="20"/>
              </w:rPr>
            </w:pPr>
            <w:r w:rsidRPr="00A232C4">
              <w:rPr>
                <w:rFonts w:cs="Arial"/>
                <w:b/>
                <w:bCs/>
                <w:sz w:val="20"/>
                <w:szCs w:val="20"/>
              </w:rPr>
              <w:br w:type="page"/>
              <w:t>Rodzaj zamówienia</w:t>
            </w:r>
          </w:p>
        </w:tc>
        <w:tc>
          <w:tcPr>
            <w:tcW w:w="2409" w:type="dxa"/>
            <w:shd w:val="clear" w:color="auto" w:fill="C5E0B3" w:themeFill="accent6" w:themeFillTint="66"/>
            <w:vAlign w:val="center"/>
          </w:tcPr>
          <w:p w14:paraId="2500ACA1"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536" w:type="dxa"/>
            <w:shd w:val="clear" w:color="auto" w:fill="C5E0B3" w:themeFill="accent6" w:themeFillTint="66"/>
            <w:vAlign w:val="center"/>
          </w:tcPr>
          <w:p w14:paraId="25EB5FDA"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1A1828" w:rsidRPr="00A232C4" w14:paraId="4C7FC8D6" w14:textId="77777777" w:rsidTr="00EF57A8">
        <w:trPr>
          <w:trHeight w:val="300"/>
          <w:jc w:val="center"/>
        </w:trPr>
        <w:tc>
          <w:tcPr>
            <w:tcW w:w="2122" w:type="dxa"/>
            <w:shd w:val="clear" w:color="auto" w:fill="auto"/>
            <w:noWrap/>
            <w:vAlign w:val="center"/>
          </w:tcPr>
          <w:p w14:paraId="243861A1" w14:textId="77777777" w:rsidR="001A1828" w:rsidRPr="00A232C4" w:rsidRDefault="001A1828" w:rsidP="001A1828">
            <w:pPr>
              <w:jc w:val="center"/>
              <w:rPr>
                <w:rFonts w:cs="Arial"/>
                <w:bCs/>
                <w:sz w:val="20"/>
                <w:szCs w:val="20"/>
              </w:rPr>
            </w:pPr>
            <w:r w:rsidRPr="00A232C4">
              <w:rPr>
                <w:rFonts w:cs="Arial"/>
                <w:bCs/>
                <w:sz w:val="20"/>
                <w:szCs w:val="20"/>
              </w:rPr>
              <w:t>Dostawy</w:t>
            </w:r>
          </w:p>
        </w:tc>
        <w:tc>
          <w:tcPr>
            <w:tcW w:w="2409" w:type="dxa"/>
            <w:shd w:val="clear" w:color="auto" w:fill="auto"/>
            <w:noWrap/>
            <w:vAlign w:val="center"/>
          </w:tcPr>
          <w:p w14:paraId="22062E6A" w14:textId="6EC42E26" w:rsidR="001A1828" w:rsidRPr="00A232C4" w:rsidRDefault="001A1828" w:rsidP="001A1828">
            <w:pPr>
              <w:jc w:val="center"/>
              <w:rPr>
                <w:rFonts w:cs="Arial"/>
                <w:sz w:val="20"/>
                <w:szCs w:val="20"/>
              </w:rPr>
            </w:pPr>
            <w:r w:rsidRPr="00AA18DC">
              <w:rPr>
                <w:sz w:val="20"/>
                <w:szCs w:val="20"/>
              </w:rPr>
              <w:t>18</w:t>
            </w:r>
          </w:p>
        </w:tc>
        <w:tc>
          <w:tcPr>
            <w:tcW w:w="4536" w:type="dxa"/>
            <w:vAlign w:val="center"/>
          </w:tcPr>
          <w:p w14:paraId="622F5293" w14:textId="5481A63B" w:rsidR="001A1828" w:rsidRPr="00A232C4" w:rsidRDefault="001A1828" w:rsidP="001A1828">
            <w:pPr>
              <w:jc w:val="center"/>
              <w:rPr>
                <w:rFonts w:cs="Arial"/>
                <w:sz w:val="20"/>
                <w:szCs w:val="20"/>
              </w:rPr>
            </w:pPr>
            <w:r w:rsidRPr="00AA18DC">
              <w:rPr>
                <w:sz w:val="20"/>
                <w:szCs w:val="20"/>
              </w:rPr>
              <w:t>7 721 178,34 zł</w:t>
            </w:r>
          </w:p>
        </w:tc>
      </w:tr>
      <w:tr w:rsidR="001A1828" w:rsidRPr="00A232C4" w14:paraId="03615D13" w14:textId="77777777" w:rsidTr="00EF57A8">
        <w:trPr>
          <w:trHeight w:val="300"/>
          <w:jc w:val="center"/>
        </w:trPr>
        <w:tc>
          <w:tcPr>
            <w:tcW w:w="2122" w:type="dxa"/>
            <w:shd w:val="clear" w:color="auto" w:fill="E2EFD9" w:themeFill="accent6" w:themeFillTint="33"/>
            <w:noWrap/>
            <w:vAlign w:val="center"/>
            <w:hideMark/>
          </w:tcPr>
          <w:p w14:paraId="5D48A81C" w14:textId="77777777" w:rsidR="001A1828" w:rsidRPr="00A232C4" w:rsidRDefault="001A1828" w:rsidP="001A1828">
            <w:pPr>
              <w:jc w:val="center"/>
              <w:rPr>
                <w:rFonts w:cs="Arial"/>
                <w:bCs/>
                <w:sz w:val="20"/>
                <w:szCs w:val="20"/>
              </w:rPr>
            </w:pPr>
            <w:r w:rsidRPr="00A232C4">
              <w:rPr>
                <w:rFonts w:cs="Arial"/>
                <w:bCs/>
                <w:sz w:val="20"/>
                <w:szCs w:val="20"/>
              </w:rPr>
              <w:t>Roboty budowlane</w:t>
            </w:r>
          </w:p>
        </w:tc>
        <w:tc>
          <w:tcPr>
            <w:tcW w:w="2409" w:type="dxa"/>
            <w:shd w:val="clear" w:color="auto" w:fill="E2EFD9" w:themeFill="accent6" w:themeFillTint="33"/>
            <w:noWrap/>
            <w:vAlign w:val="center"/>
          </w:tcPr>
          <w:p w14:paraId="4766295E" w14:textId="1974C59E" w:rsidR="001A1828" w:rsidRPr="00A232C4" w:rsidRDefault="001A1828" w:rsidP="001A1828">
            <w:pPr>
              <w:jc w:val="center"/>
              <w:rPr>
                <w:rFonts w:cs="Arial"/>
                <w:sz w:val="20"/>
                <w:szCs w:val="20"/>
              </w:rPr>
            </w:pPr>
            <w:r w:rsidRPr="00AA18DC">
              <w:rPr>
                <w:sz w:val="20"/>
                <w:szCs w:val="20"/>
              </w:rPr>
              <w:t>1</w:t>
            </w:r>
          </w:p>
        </w:tc>
        <w:tc>
          <w:tcPr>
            <w:tcW w:w="4536" w:type="dxa"/>
            <w:shd w:val="clear" w:color="auto" w:fill="E2EFD9" w:themeFill="accent6" w:themeFillTint="33"/>
            <w:vAlign w:val="center"/>
          </w:tcPr>
          <w:p w14:paraId="354DC3E8" w14:textId="0AF8ADB9" w:rsidR="001A1828" w:rsidRPr="00A232C4" w:rsidRDefault="001A1828" w:rsidP="001A1828">
            <w:pPr>
              <w:jc w:val="center"/>
              <w:rPr>
                <w:rFonts w:cs="Arial"/>
                <w:sz w:val="20"/>
                <w:szCs w:val="20"/>
              </w:rPr>
            </w:pPr>
            <w:r w:rsidRPr="00AA18DC">
              <w:rPr>
                <w:sz w:val="20"/>
                <w:szCs w:val="20"/>
              </w:rPr>
              <w:t>4 054 124,00 zł</w:t>
            </w:r>
          </w:p>
        </w:tc>
      </w:tr>
      <w:tr w:rsidR="001A1828" w:rsidRPr="00A232C4" w14:paraId="64B6588F" w14:textId="77777777" w:rsidTr="00EF57A8">
        <w:trPr>
          <w:trHeight w:val="300"/>
          <w:jc w:val="center"/>
        </w:trPr>
        <w:tc>
          <w:tcPr>
            <w:tcW w:w="2122" w:type="dxa"/>
            <w:shd w:val="clear" w:color="auto" w:fill="auto"/>
            <w:noWrap/>
            <w:vAlign w:val="center"/>
          </w:tcPr>
          <w:p w14:paraId="493C4172" w14:textId="77777777" w:rsidR="001A1828" w:rsidRPr="00A232C4" w:rsidRDefault="001A1828" w:rsidP="001A1828">
            <w:pPr>
              <w:jc w:val="center"/>
              <w:rPr>
                <w:rFonts w:cs="Arial"/>
                <w:bCs/>
                <w:sz w:val="20"/>
                <w:szCs w:val="20"/>
              </w:rPr>
            </w:pPr>
            <w:r w:rsidRPr="00A232C4">
              <w:rPr>
                <w:rFonts w:cs="Arial"/>
                <w:bCs/>
                <w:sz w:val="20"/>
                <w:szCs w:val="20"/>
              </w:rPr>
              <w:t>Usługi</w:t>
            </w:r>
          </w:p>
        </w:tc>
        <w:tc>
          <w:tcPr>
            <w:tcW w:w="2409" w:type="dxa"/>
            <w:shd w:val="clear" w:color="auto" w:fill="auto"/>
            <w:noWrap/>
            <w:vAlign w:val="center"/>
          </w:tcPr>
          <w:p w14:paraId="27A79E50" w14:textId="412798A0" w:rsidR="001A1828" w:rsidRPr="00A232C4" w:rsidRDefault="001A1828" w:rsidP="001A1828">
            <w:pPr>
              <w:jc w:val="center"/>
              <w:rPr>
                <w:rFonts w:cs="Arial"/>
                <w:sz w:val="20"/>
                <w:szCs w:val="20"/>
              </w:rPr>
            </w:pPr>
            <w:r w:rsidRPr="00AA18DC">
              <w:rPr>
                <w:sz w:val="20"/>
                <w:szCs w:val="20"/>
              </w:rPr>
              <w:t>4</w:t>
            </w:r>
          </w:p>
        </w:tc>
        <w:tc>
          <w:tcPr>
            <w:tcW w:w="4536" w:type="dxa"/>
            <w:vAlign w:val="center"/>
          </w:tcPr>
          <w:p w14:paraId="64712C1E" w14:textId="3A162129" w:rsidR="001A1828" w:rsidRPr="00A232C4" w:rsidRDefault="001A1828" w:rsidP="001A1828">
            <w:pPr>
              <w:jc w:val="center"/>
              <w:rPr>
                <w:rFonts w:cs="Arial"/>
                <w:sz w:val="20"/>
                <w:szCs w:val="20"/>
              </w:rPr>
            </w:pPr>
            <w:r w:rsidRPr="00AA18DC">
              <w:rPr>
                <w:sz w:val="20"/>
                <w:szCs w:val="20"/>
              </w:rPr>
              <w:t>4 224 849,32 zł</w:t>
            </w:r>
          </w:p>
        </w:tc>
      </w:tr>
    </w:tbl>
    <w:p w14:paraId="427041BD" w14:textId="49832304" w:rsidR="000B44F1" w:rsidRDefault="000B44F1" w:rsidP="000B44F1">
      <w:pPr>
        <w:shd w:val="clear" w:color="auto" w:fill="FFFFFF"/>
      </w:pPr>
    </w:p>
    <w:p w14:paraId="46E31E14" w14:textId="77777777" w:rsidR="00A71A6A" w:rsidRPr="00A232C4" w:rsidRDefault="00A71A6A" w:rsidP="000B44F1">
      <w:pPr>
        <w:shd w:val="clear" w:color="auto" w:fill="FFFFFF"/>
      </w:pPr>
    </w:p>
    <w:p w14:paraId="6796B6B1" w14:textId="77777777" w:rsidR="000B44F1" w:rsidRPr="00A71A6A" w:rsidRDefault="000B44F1" w:rsidP="000B44F1">
      <w:pPr>
        <w:shd w:val="clear" w:color="auto" w:fill="FFFFFF"/>
        <w:ind w:left="709"/>
        <w:rPr>
          <w:b/>
          <w:color w:val="0070C0"/>
        </w:rPr>
      </w:pPr>
      <w:r w:rsidRPr="00A71A6A">
        <w:rPr>
          <w:b/>
          <w:color w:val="0070C0"/>
        </w:rPr>
        <w:t>Określenie w kryteriach oceny ofert aspektów środowiskowych, w tym efektywności energetycznej przedmiotu zamówienia, o których mowa w art. 242 ust. 2 ustawy Pzp</w:t>
      </w:r>
    </w:p>
    <w:p w14:paraId="1BEB85A3" w14:textId="77777777" w:rsidR="000B44F1" w:rsidRPr="00A232C4" w:rsidRDefault="000B44F1" w:rsidP="000B44F1">
      <w:pPr>
        <w:shd w:val="clear" w:color="auto" w:fill="FFFFFF"/>
      </w:pPr>
    </w:p>
    <w:p w14:paraId="2DAA2A49" w14:textId="338436AD" w:rsidR="00A71A6A" w:rsidRPr="00A232C4" w:rsidRDefault="00A71A6A" w:rsidP="00A71A6A">
      <w:pPr>
        <w:pStyle w:val="Legenda"/>
      </w:pPr>
      <w:bookmarkStart w:id="158" w:name="_Toc141276561"/>
      <w:r w:rsidRPr="007B35F2">
        <w:t xml:space="preserve">Tab. </w:t>
      </w:r>
      <w:r w:rsidR="00BE2079">
        <w:fldChar w:fldCharType="begin"/>
      </w:r>
      <w:r w:rsidR="00BE2079">
        <w:instrText xml:space="preserve"> SEQ Tab. \* ARABIC </w:instrText>
      </w:r>
      <w:r w:rsidR="00BE2079">
        <w:fldChar w:fldCharType="separate"/>
      </w:r>
      <w:r w:rsidR="00A43C68">
        <w:rPr>
          <w:noProof/>
        </w:rPr>
        <w:t>54</w:t>
      </w:r>
      <w:r w:rsidR="00BE2079">
        <w:rPr>
          <w:noProof/>
        </w:rPr>
        <w:fldChar w:fldCharType="end"/>
      </w:r>
      <w:r w:rsidRPr="007B35F2">
        <w:t>. Zielone zamówienia publiczne udzielane przez jednostki administracji rządowej z zastosowaniem art. 242 ust. 2 ustawy Pzp</w:t>
      </w:r>
      <w:bookmarkEnd w:id="15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7B35F2" w:rsidRPr="00FD623C" w14:paraId="1F09BCD6" w14:textId="77777777" w:rsidTr="00D50E39">
        <w:trPr>
          <w:trHeight w:val="300"/>
          <w:jc w:val="center"/>
        </w:trPr>
        <w:tc>
          <w:tcPr>
            <w:tcW w:w="6941" w:type="dxa"/>
            <w:shd w:val="clear" w:color="auto" w:fill="E2EFD9" w:themeFill="accent6" w:themeFillTint="33"/>
            <w:noWrap/>
            <w:vAlign w:val="center"/>
          </w:tcPr>
          <w:p w14:paraId="6080E4E9" w14:textId="77777777" w:rsidR="007B35F2" w:rsidRPr="00FD623C" w:rsidRDefault="007B35F2"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E2EFD9" w:themeFill="accent6" w:themeFillTint="33"/>
            <w:noWrap/>
            <w:vAlign w:val="center"/>
          </w:tcPr>
          <w:p w14:paraId="4BDAAC1D" w14:textId="77777777" w:rsidR="007B35F2" w:rsidRPr="00FD623C" w:rsidRDefault="007B35F2" w:rsidP="00D50E39">
            <w:pPr>
              <w:jc w:val="center"/>
              <w:rPr>
                <w:rFonts w:cs="Arial"/>
                <w:sz w:val="20"/>
                <w:szCs w:val="20"/>
              </w:rPr>
            </w:pPr>
            <w:r w:rsidRPr="00E97384">
              <w:rPr>
                <w:rFonts w:cs="Arial"/>
                <w:sz w:val="20"/>
                <w:szCs w:val="20"/>
              </w:rPr>
              <w:t>265</w:t>
            </w:r>
          </w:p>
        </w:tc>
      </w:tr>
      <w:tr w:rsidR="007B35F2" w:rsidRPr="00FD623C" w14:paraId="57A6A95D" w14:textId="77777777" w:rsidTr="00D50E39">
        <w:trPr>
          <w:trHeight w:val="300"/>
          <w:jc w:val="center"/>
        </w:trPr>
        <w:tc>
          <w:tcPr>
            <w:tcW w:w="6941" w:type="dxa"/>
            <w:shd w:val="clear" w:color="auto" w:fill="auto"/>
            <w:noWrap/>
            <w:vAlign w:val="center"/>
            <w:hideMark/>
          </w:tcPr>
          <w:p w14:paraId="539E3196" w14:textId="77777777" w:rsidR="007B35F2" w:rsidRPr="00FD623C" w:rsidRDefault="007B35F2"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76E12B25" w14:textId="77777777" w:rsidR="007B35F2" w:rsidRDefault="007B35F2" w:rsidP="00D50E39">
            <w:pPr>
              <w:jc w:val="center"/>
              <w:rPr>
                <w:rFonts w:cs="Arial"/>
                <w:sz w:val="20"/>
                <w:szCs w:val="20"/>
              </w:rPr>
            </w:pPr>
            <w:r w:rsidRPr="00E97384">
              <w:rPr>
                <w:rFonts w:cs="Arial"/>
                <w:sz w:val="20"/>
                <w:szCs w:val="20"/>
              </w:rPr>
              <w:t>722 564 359,33 zł</w:t>
            </w:r>
          </w:p>
          <w:p w14:paraId="37411A9C" w14:textId="77777777" w:rsidR="007B35F2" w:rsidRPr="00FD623C" w:rsidRDefault="007B35F2" w:rsidP="00D50E39">
            <w:pPr>
              <w:jc w:val="center"/>
              <w:rPr>
                <w:rFonts w:cs="Arial"/>
                <w:sz w:val="20"/>
                <w:szCs w:val="20"/>
              </w:rPr>
            </w:pPr>
            <w:r w:rsidRPr="00FD623C">
              <w:rPr>
                <w:rFonts w:cs="Arial"/>
                <w:sz w:val="20"/>
                <w:szCs w:val="20"/>
              </w:rPr>
              <w:t>(wartość bez VAT)</w:t>
            </w:r>
          </w:p>
        </w:tc>
      </w:tr>
    </w:tbl>
    <w:p w14:paraId="2596C248"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0B44F1" w:rsidRPr="00A232C4" w14:paraId="6EEE3883" w14:textId="77777777" w:rsidTr="00EF57A8">
        <w:trPr>
          <w:trHeight w:val="300"/>
          <w:tblHeader/>
          <w:jc w:val="center"/>
        </w:trPr>
        <w:tc>
          <w:tcPr>
            <w:tcW w:w="3022" w:type="dxa"/>
            <w:shd w:val="clear" w:color="auto" w:fill="C5E0B3" w:themeFill="accent6" w:themeFillTint="66"/>
            <w:noWrap/>
            <w:vAlign w:val="center"/>
          </w:tcPr>
          <w:p w14:paraId="23A80BDD"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226" w:type="dxa"/>
            <w:shd w:val="clear" w:color="auto" w:fill="C5E0B3" w:themeFill="accent6" w:themeFillTint="66"/>
            <w:vAlign w:val="center"/>
          </w:tcPr>
          <w:p w14:paraId="00DBF09C"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819" w:type="dxa"/>
            <w:shd w:val="clear" w:color="auto" w:fill="C5E0B3" w:themeFill="accent6" w:themeFillTint="66"/>
            <w:vAlign w:val="center"/>
          </w:tcPr>
          <w:p w14:paraId="10AA438D"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7B35F2" w:rsidRPr="00A232C4" w14:paraId="695692E4" w14:textId="77777777" w:rsidTr="00EF57A8">
        <w:trPr>
          <w:trHeight w:val="300"/>
          <w:jc w:val="center"/>
        </w:trPr>
        <w:tc>
          <w:tcPr>
            <w:tcW w:w="3022" w:type="dxa"/>
            <w:shd w:val="clear" w:color="auto" w:fill="auto"/>
            <w:noWrap/>
            <w:vAlign w:val="center"/>
          </w:tcPr>
          <w:p w14:paraId="43FAD916" w14:textId="77777777" w:rsidR="007B35F2" w:rsidRPr="00A232C4" w:rsidRDefault="007B35F2" w:rsidP="007B35F2">
            <w:pPr>
              <w:jc w:val="center"/>
              <w:rPr>
                <w:rFonts w:cs="Arial"/>
                <w:bCs/>
                <w:sz w:val="20"/>
                <w:szCs w:val="20"/>
              </w:rPr>
            </w:pPr>
            <w:r w:rsidRPr="00A232C4">
              <w:rPr>
                <w:rFonts w:cs="Arial"/>
                <w:bCs/>
                <w:sz w:val="20"/>
                <w:szCs w:val="20"/>
              </w:rPr>
              <w:t>Dostawy</w:t>
            </w:r>
          </w:p>
        </w:tc>
        <w:tc>
          <w:tcPr>
            <w:tcW w:w="1226" w:type="dxa"/>
            <w:shd w:val="clear" w:color="auto" w:fill="auto"/>
            <w:noWrap/>
            <w:vAlign w:val="center"/>
          </w:tcPr>
          <w:p w14:paraId="0966FAFC" w14:textId="2D3A5613" w:rsidR="007B35F2" w:rsidRPr="00A232C4" w:rsidRDefault="007B35F2" w:rsidP="007B35F2">
            <w:pPr>
              <w:jc w:val="center"/>
              <w:rPr>
                <w:rFonts w:cs="Arial"/>
                <w:sz w:val="20"/>
                <w:szCs w:val="20"/>
              </w:rPr>
            </w:pPr>
            <w:r w:rsidRPr="007C38C5">
              <w:rPr>
                <w:sz w:val="20"/>
                <w:szCs w:val="20"/>
              </w:rPr>
              <w:t>147</w:t>
            </w:r>
          </w:p>
        </w:tc>
        <w:tc>
          <w:tcPr>
            <w:tcW w:w="4819" w:type="dxa"/>
            <w:vAlign w:val="center"/>
          </w:tcPr>
          <w:p w14:paraId="4EB74ECB" w14:textId="7F97DD18" w:rsidR="007B35F2" w:rsidRPr="00A232C4" w:rsidRDefault="007B35F2" w:rsidP="007B35F2">
            <w:pPr>
              <w:jc w:val="center"/>
              <w:rPr>
                <w:rFonts w:cs="Arial"/>
                <w:sz w:val="20"/>
                <w:szCs w:val="20"/>
              </w:rPr>
            </w:pPr>
            <w:r w:rsidRPr="007C38C5">
              <w:rPr>
                <w:sz w:val="20"/>
                <w:szCs w:val="20"/>
              </w:rPr>
              <w:t>325 408 779,11 zł</w:t>
            </w:r>
          </w:p>
        </w:tc>
      </w:tr>
      <w:tr w:rsidR="007B35F2" w:rsidRPr="00A232C4" w14:paraId="4581175B" w14:textId="77777777" w:rsidTr="00EF57A8">
        <w:trPr>
          <w:trHeight w:val="300"/>
          <w:jc w:val="center"/>
        </w:trPr>
        <w:tc>
          <w:tcPr>
            <w:tcW w:w="3022" w:type="dxa"/>
            <w:shd w:val="clear" w:color="auto" w:fill="E2EFD9" w:themeFill="accent6" w:themeFillTint="33"/>
            <w:noWrap/>
            <w:vAlign w:val="center"/>
            <w:hideMark/>
          </w:tcPr>
          <w:p w14:paraId="394E2A2B" w14:textId="77777777" w:rsidR="007B35F2" w:rsidRPr="00A232C4" w:rsidRDefault="007B35F2" w:rsidP="007B35F2">
            <w:pPr>
              <w:jc w:val="center"/>
              <w:rPr>
                <w:rFonts w:cs="Arial"/>
                <w:bCs/>
                <w:sz w:val="20"/>
                <w:szCs w:val="20"/>
              </w:rPr>
            </w:pPr>
            <w:r w:rsidRPr="00A232C4">
              <w:rPr>
                <w:rFonts w:cs="Arial"/>
                <w:bCs/>
                <w:sz w:val="20"/>
                <w:szCs w:val="20"/>
              </w:rPr>
              <w:t>Roboty budowlane</w:t>
            </w:r>
          </w:p>
        </w:tc>
        <w:tc>
          <w:tcPr>
            <w:tcW w:w="1226" w:type="dxa"/>
            <w:shd w:val="clear" w:color="auto" w:fill="E2EFD9" w:themeFill="accent6" w:themeFillTint="33"/>
            <w:noWrap/>
            <w:vAlign w:val="center"/>
          </w:tcPr>
          <w:p w14:paraId="06B47856" w14:textId="13A90974" w:rsidR="007B35F2" w:rsidRPr="00A232C4" w:rsidRDefault="007B35F2" w:rsidP="007B35F2">
            <w:pPr>
              <w:jc w:val="center"/>
              <w:rPr>
                <w:rFonts w:cs="Arial"/>
                <w:sz w:val="20"/>
                <w:szCs w:val="20"/>
              </w:rPr>
            </w:pPr>
            <w:r w:rsidRPr="007C38C5">
              <w:rPr>
                <w:sz w:val="20"/>
                <w:szCs w:val="20"/>
              </w:rPr>
              <w:t>1</w:t>
            </w:r>
          </w:p>
        </w:tc>
        <w:tc>
          <w:tcPr>
            <w:tcW w:w="4819" w:type="dxa"/>
            <w:shd w:val="clear" w:color="auto" w:fill="E2EFD9" w:themeFill="accent6" w:themeFillTint="33"/>
            <w:vAlign w:val="center"/>
          </w:tcPr>
          <w:p w14:paraId="54791E02" w14:textId="5FE34F56" w:rsidR="007B35F2" w:rsidRPr="00A232C4" w:rsidRDefault="007B35F2" w:rsidP="007B35F2">
            <w:pPr>
              <w:jc w:val="center"/>
              <w:rPr>
                <w:rFonts w:cs="Arial"/>
                <w:sz w:val="20"/>
                <w:szCs w:val="20"/>
              </w:rPr>
            </w:pPr>
            <w:r w:rsidRPr="007C38C5">
              <w:rPr>
                <w:sz w:val="20"/>
                <w:szCs w:val="20"/>
              </w:rPr>
              <w:t>29 991 720,76 zł</w:t>
            </w:r>
          </w:p>
        </w:tc>
      </w:tr>
      <w:tr w:rsidR="007B35F2" w:rsidRPr="00A232C4" w14:paraId="77D70D36" w14:textId="77777777" w:rsidTr="00EF57A8">
        <w:trPr>
          <w:trHeight w:val="300"/>
          <w:jc w:val="center"/>
        </w:trPr>
        <w:tc>
          <w:tcPr>
            <w:tcW w:w="3022" w:type="dxa"/>
            <w:shd w:val="clear" w:color="auto" w:fill="auto"/>
            <w:noWrap/>
            <w:vAlign w:val="center"/>
          </w:tcPr>
          <w:p w14:paraId="0469D5BB" w14:textId="77777777" w:rsidR="007B35F2" w:rsidRPr="00A232C4" w:rsidRDefault="007B35F2" w:rsidP="007B35F2">
            <w:pPr>
              <w:jc w:val="center"/>
              <w:rPr>
                <w:rFonts w:cs="Arial"/>
                <w:bCs/>
                <w:sz w:val="20"/>
                <w:szCs w:val="20"/>
              </w:rPr>
            </w:pPr>
            <w:r w:rsidRPr="00A232C4">
              <w:rPr>
                <w:rFonts w:cs="Arial"/>
                <w:bCs/>
                <w:sz w:val="20"/>
                <w:szCs w:val="20"/>
              </w:rPr>
              <w:t>Usługi</w:t>
            </w:r>
          </w:p>
        </w:tc>
        <w:tc>
          <w:tcPr>
            <w:tcW w:w="1226" w:type="dxa"/>
            <w:shd w:val="clear" w:color="auto" w:fill="auto"/>
            <w:noWrap/>
            <w:vAlign w:val="center"/>
          </w:tcPr>
          <w:p w14:paraId="6B3907FA" w14:textId="5199E36C" w:rsidR="007B35F2" w:rsidRPr="00A232C4" w:rsidRDefault="007B35F2" w:rsidP="007B35F2">
            <w:pPr>
              <w:jc w:val="center"/>
              <w:rPr>
                <w:rFonts w:cs="Arial"/>
                <w:sz w:val="20"/>
                <w:szCs w:val="20"/>
              </w:rPr>
            </w:pPr>
            <w:r w:rsidRPr="007C38C5">
              <w:rPr>
                <w:sz w:val="20"/>
                <w:szCs w:val="20"/>
              </w:rPr>
              <w:t>117</w:t>
            </w:r>
          </w:p>
        </w:tc>
        <w:tc>
          <w:tcPr>
            <w:tcW w:w="4819" w:type="dxa"/>
            <w:vAlign w:val="center"/>
          </w:tcPr>
          <w:p w14:paraId="05F3DFA2" w14:textId="4E033A18" w:rsidR="007B35F2" w:rsidRPr="00A232C4" w:rsidRDefault="007B35F2" w:rsidP="007B35F2">
            <w:pPr>
              <w:jc w:val="center"/>
              <w:rPr>
                <w:rFonts w:cs="Arial"/>
                <w:sz w:val="20"/>
                <w:szCs w:val="20"/>
              </w:rPr>
            </w:pPr>
            <w:r w:rsidRPr="007C38C5">
              <w:rPr>
                <w:sz w:val="20"/>
                <w:szCs w:val="20"/>
              </w:rPr>
              <w:t>367 163 859,46 zł</w:t>
            </w:r>
          </w:p>
        </w:tc>
      </w:tr>
    </w:tbl>
    <w:p w14:paraId="1022B5C6" w14:textId="512E8021" w:rsidR="000B44F1" w:rsidRDefault="000B44F1" w:rsidP="000B44F1">
      <w:pPr>
        <w:shd w:val="clear" w:color="auto" w:fill="FFFFFF"/>
      </w:pPr>
    </w:p>
    <w:p w14:paraId="7FF6575D" w14:textId="77777777" w:rsidR="00F40A29" w:rsidRPr="00A232C4" w:rsidRDefault="00F40A29" w:rsidP="000B44F1">
      <w:pPr>
        <w:shd w:val="clear" w:color="auto" w:fill="FFFFFF"/>
      </w:pPr>
    </w:p>
    <w:p w14:paraId="1EA428CD" w14:textId="77777777" w:rsidR="000B44F1" w:rsidRPr="00F40A29" w:rsidRDefault="000B44F1" w:rsidP="000B44F1">
      <w:pPr>
        <w:shd w:val="clear" w:color="auto" w:fill="FFFFFF"/>
        <w:ind w:left="709"/>
        <w:rPr>
          <w:b/>
          <w:color w:val="0070C0"/>
        </w:rPr>
      </w:pPr>
      <w:r w:rsidRPr="00F40A29">
        <w:rPr>
          <w:b/>
          <w:color w:val="0070C0"/>
        </w:rPr>
        <w:t>Zastosowanie kryterium kosztu z wykorzystaniem rachunku kosztów cyklu życia, o którym mowa w art. 245 ust. 1 ustawy Pzp</w:t>
      </w:r>
    </w:p>
    <w:p w14:paraId="1ABDF8F9" w14:textId="77777777" w:rsidR="000B44F1" w:rsidRPr="00A232C4" w:rsidRDefault="000B44F1" w:rsidP="000B44F1">
      <w:pPr>
        <w:shd w:val="clear" w:color="auto" w:fill="FFFFFF"/>
      </w:pPr>
    </w:p>
    <w:p w14:paraId="16032246" w14:textId="6CCFF693" w:rsidR="00F40A29" w:rsidRPr="00A232C4" w:rsidRDefault="00F40A29" w:rsidP="00F40A29">
      <w:pPr>
        <w:pStyle w:val="Legenda"/>
      </w:pPr>
      <w:bookmarkStart w:id="159" w:name="_Toc141276562"/>
      <w:r w:rsidRPr="00422D16">
        <w:t xml:space="preserve">Tab. </w:t>
      </w:r>
      <w:r w:rsidR="00BE2079">
        <w:fldChar w:fldCharType="begin"/>
      </w:r>
      <w:r w:rsidR="00BE2079">
        <w:instrText xml:space="preserve"> SEQ Tab. \* ARABIC </w:instrText>
      </w:r>
      <w:r w:rsidR="00BE2079">
        <w:fldChar w:fldCharType="separate"/>
      </w:r>
      <w:r w:rsidR="00A43C68">
        <w:rPr>
          <w:noProof/>
        </w:rPr>
        <w:t>55</w:t>
      </w:r>
      <w:r w:rsidR="00BE2079">
        <w:rPr>
          <w:noProof/>
        </w:rPr>
        <w:fldChar w:fldCharType="end"/>
      </w:r>
      <w:r w:rsidRPr="00422D16">
        <w:t>. Zielone zamówienia publiczne udzielane przez jednostki administracji rządowej z zastosowaniem art. 245 ust. 1 ustawy Pzp</w:t>
      </w:r>
      <w:bookmarkEnd w:id="159"/>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422D16" w:rsidRPr="00FD623C" w14:paraId="774562BD" w14:textId="77777777" w:rsidTr="00D50E39">
        <w:trPr>
          <w:trHeight w:val="300"/>
          <w:jc w:val="center"/>
        </w:trPr>
        <w:tc>
          <w:tcPr>
            <w:tcW w:w="6941" w:type="dxa"/>
            <w:shd w:val="clear" w:color="auto" w:fill="E2EFD9" w:themeFill="accent6" w:themeFillTint="33"/>
            <w:noWrap/>
            <w:vAlign w:val="center"/>
          </w:tcPr>
          <w:p w14:paraId="13840F49" w14:textId="77777777" w:rsidR="00422D16" w:rsidRPr="00FD623C" w:rsidRDefault="00422D16"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E2EFD9" w:themeFill="accent6" w:themeFillTint="33"/>
            <w:noWrap/>
            <w:vAlign w:val="center"/>
          </w:tcPr>
          <w:p w14:paraId="4C4B13DA" w14:textId="77777777" w:rsidR="00422D16" w:rsidRPr="00FD623C" w:rsidRDefault="00422D16" w:rsidP="00D50E39">
            <w:pPr>
              <w:jc w:val="center"/>
              <w:rPr>
                <w:rFonts w:cs="Arial"/>
                <w:sz w:val="20"/>
                <w:szCs w:val="20"/>
              </w:rPr>
            </w:pPr>
            <w:r>
              <w:rPr>
                <w:rFonts w:cs="Arial"/>
                <w:sz w:val="20"/>
                <w:szCs w:val="20"/>
              </w:rPr>
              <w:t>7</w:t>
            </w:r>
          </w:p>
        </w:tc>
      </w:tr>
      <w:tr w:rsidR="00422D16" w:rsidRPr="00FD623C" w14:paraId="72BDA312" w14:textId="77777777" w:rsidTr="00D50E39">
        <w:trPr>
          <w:trHeight w:val="300"/>
          <w:jc w:val="center"/>
        </w:trPr>
        <w:tc>
          <w:tcPr>
            <w:tcW w:w="6941" w:type="dxa"/>
            <w:shd w:val="clear" w:color="auto" w:fill="auto"/>
            <w:noWrap/>
            <w:vAlign w:val="center"/>
            <w:hideMark/>
          </w:tcPr>
          <w:p w14:paraId="3BE9F6FA" w14:textId="77777777" w:rsidR="00422D16" w:rsidRPr="00FD623C" w:rsidRDefault="00422D16"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19B4BAA7" w14:textId="77777777" w:rsidR="00422D16" w:rsidRDefault="00422D16" w:rsidP="00D50E39">
            <w:pPr>
              <w:jc w:val="center"/>
              <w:rPr>
                <w:rFonts w:cs="Arial"/>
                <w:sz w:val="20"/>
                <w:szCs w:val="20"/>
              </w:rPr>
            </w:pPr>
            <w:r w:rsidRPr="00AB2B8F">
              <w:rPr>
                <w:rFonts w:cs="Arial"/>
                <w:sz w:val="20"/>
                <w:szCs w:val="20"/>
              </w:rPr>
              <w:t>8 994 183,30 zł</w:t>
            </w:r>
          </w:p>
          <w:p w14:paraId="45694660" w14:textId="77777777" w:rsidR="00422D16" w:rsidRPr="00FD623C" w:rsidRDefault="00422D16" w:rsidP="00D50E39">
            <w:pPr>
              <w:jc w:val="center"/>
              <w:rPr>
                <w:rFonts w:cs="Arial"/>
                <w:sz w:val="20"/>
                <w:szCs w:val="20"/>
              </w:rPr>
            </w:pPr>
            <w:r w:rsidRPr="00FD623C">
              <w:rPr>
                <w:rFonts w:cs="Arial"/>
                <w:sz w:val="20"/>
                <w:szCs w:val="20"/>
              </w:rPr>
              <w:t>(wartość bez VAT)</w:t>
            </w:r>
          </w:p>
        </w:tc>
      </w:tr>
    </w:tbl>
    <w:p w14:paraId="74EE3E2E"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0B44F1" w:rsidRPr="00A232C4" w14:paraId="225DC393" w14:textId="77777777" w:rsidTr="00EF57A8">
        <w:trPr>
          <w:trHeight w:val="300"/>
          <w:tblHeader/>
          <w:jc w:val="center"/>
        </w:trPr>
        <w:tc>
          <w:tcPr>
            <w:tcW w:w="3022" w:type="dxa"/>
            <w:shd w:val="clear" w:color="auto" w:fill="C5E0B3" w:themeFill="accent6" w:themeFillTint="66"/>
            <w:noWrap/>
            <w:vAlign w:val="center"/>
          </w:tcPr>
          <w:p w14:paraId="72D44DEA"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368" w:type="dxa"/>
            <w:shd w:val="clear" w:color="auto" w:fill="C5E0B3" w:themeFill="accent6" w:themeFillTint="66"/>
            <w:vAlign w:val="center"/>
          </w:tcPr>
          <w:p w14:paraId="55BDF6BA"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677" w:type="dxa"/>
            <w:shd w:val="clear" w:color="auto" w:fill="C5E0B3" w:themeFill="accent6" w:themeFillTint="66"/>
            <w:vAlign w:val="center"/>
          </w:tcPr>
          <w:p w14:paraId="73AF2CFC"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422D16" w:rsidRPr="00A232C4" w14:paraId="17A7B9AE" w14:textId="77777777" w:rsidTr="00EF57A8">
        <w:trPr>
          <w:trHeight w:val="300"/>
          <w:jc w:val="center"/>
        </w:trPr>
        <w:tc>
          <w:tcPr>
            <w:tcW w:w="3022" w:type="dxa"/>
            <w:shd w:val="clear" w:color="auto" w:fill="auto"/>
            <w:noWrap/>
            <w:vAlign w:val="center"/>
          </w:tcPr>
          <w:p w14:paraId="022493FB" w14:textId="77777777" w:rsidR="00422D16" w:rsidRPr="00A232C4" w:rsidRDefault="00422D16" w:rsidP="00422D16">
            <w:pPr>
              <w:jc w:val="center"/>
              <w:rPr>
                <w:rFonts w:cs="Arial"/>
                <w:bCs/>
                <w:sz w:val="20"/>
                <w:szCs w:val="20"/>
              </w:rPr>
            </w:pPr>
            <w:r w:rsidRPr="00A232C4">
              <w:rPr>
                <w:rFonts w:cs="Arial"/>
                <w:bCs/>
                <w:sz w:val="20"/>
                <w:szCs w:val="20"/>
              </w:rPr>
              <w:t>Dostawy</w:t>
            </w:r>
          </w:p>
        </w:tc>
        <w:tc>
          <w:tcPr>
            <w:tcW w:w="1368" w:type="dxa"/>
            <w:shd w:val="clear" w:color="auto" w:fill="auto"/>
            <w:noWrap/>
            <w:vAlign w:val="center"/>
          </w:tcPr>
          <w:p w14:paraId="504DB2CA" w14:textId="7693D0B6" w:rsidR="00422D16" w:rsidRPr="00A232C4" w:rsidRDefault="00422D16" w:rsidP="00422D16">
            <w:pPr>
              <w:jc w:val="center"/>
              <w:rPr>
                <w:rFonts w:cs="Arial"/>
                <w:sz w:val="20"/>
                <w:szCs w:val="20"/>
              </w:rPr>
            </w:pPr>
            <w:r w:rsidRPr="007C38C5">
              <w:rPr>
                <w:sz w:val="20"/>
                <w:szCs w:val="20"/>
              </w:rPr>
              <w:t>5</w:t>
            </w:r>
          </w:p>
        </w:tc>
        <w:tc>
          <w:tcPr>
            <w:tcW w:w="4677" w:type="dxa"/>
            <w:vAlign w:val="center"/>
          </w:tcPr>
          <w:p w14:paraId="4FD0C879" w14:textId="59C34751" w:rsidR="00422D16" w:rsidRPr="00A232C4" w:rsidRDefault="00422D16" w:rsidP="00422D16">
            <w:pPr>
              <w:jc w:val="center"/>
              <w:rPr>
                <w:rFonts w:cs="Arial"/>
                <w:sz w:val="20"/>
                <w:szCs w:val="20"/>
              </w:rPr>
            </w:pPr>
            <w:r w:rsidRPr="007C38C5">
              <w:rPr>
                <w:sz w:val="20"/>
                <w:szCs w:val="20"/>
              </w:rPr>
              <w:t>8 255 020,87 zł</w:t>
            </w:r>
          </w:p>
        </w:tc>
      </w:tr>
      <w:tr w:rsidR="00422D16" w:rsidRPr="00A232C4" w14:paraId="720DC3FD" w14:textId="77777777" w:rsidTr="00EF57A8">
        <w:trPr>
          <w:trHeight w:val="300"/>
          <w:jc w:val="center"/>
        </w:trPr>
        <w:tc>
          <w:tcPr>
            <w:tcW w:w="3022" w:type="dxa"/>
            <w:shd w:val="clear" w:color="auto" w:fill="E2EFD9" w:themeFill="accent6" w:themeFillTint="33"/>
            <w:noWrap/>
            <w:vAlign w:val="center"/>
            <w:hideMark/>
          </w:tcPr>
          <w:p w14:paraId="188AF505" w14:textId="77777777" w:rsidR="00422D16" w:rsidRPr="00A232C4" w:rsidRDefault="00422D16" w:rsidP="00422D16">
            <w:pPr>
              <w:jc w:val="center"/>
              <w:rPr>
                <w:rFonts w:cs="Arial"/>
                <w:bCs/>
                <w:sz w:val="20"/>
                <w:szCs w:val="20"/>
              </w:rPr>
            </w:pPr>
            <w:r w:rsidRPr="00A232C4">
              <w:rPr>
                <w:rFonts w:cs="Arial"/>
                <w:bCs/>
                <w:sz w:val="20"/>
                <w:szCs w:val="20"/>
              </w:rPr>
              <w:t>Roboty budowlane</w:t>
            </w:r>
          </w:p>
        </w:tc>
        <w:tc>
          <w:tcPr>
            <w:tcW w:w="1368" w:type="dxa"/>
            <w:shd w:val="clear" w:color="auto" w:fill="E2EFD9" w:themeFill="accent6" w:themeFillTint="33"/>
            <w:noWrap/>
            <w:vAlign w:val="center"/>
          </w:tcPr>
          <w:p w14:paraId="25E68C1F" w14:textId="4898FD50" w:rsidR="00422D16" w:rsidRPr="00A232C4" w:rsidRDefault="00422D16" w:rsidP="00422D16">
            <w:pPr>
              <w:jc w:val="center"/>
              <w:rPr>
                <w:rFonts w:cs="Arial"/>
                <w:sz w:val="20"/>
                <w:szCs w:val="20"/>
              </w:rPr>
            </w:pPr>
            <w:r w:rsidRPr="007C38C5">
              <w:rPr>
                <w:rFonts w:cs="Arial"/>
                <w:sz w:val="20"/>
                <w:szCs w:val="20"/>
              </w:rPr>
              <w:t>0</w:t>
            </w:r>
          </w:p>
        </w:tc>
        <w:tc>
          <w:tcPr>
            <w:tcW w:w="4677" w:type="dxa"/>
            <w:shd w:val="clear" w:color="auto" w:fill="E2EFD9" w:themeFill="accent6" w:themeFillTint="33"/>
            <w:vAlign w:val="center"/>
          </w:tcPr>
          <w:p w14:paraId="189A49CC" w14:textId="59ACE968" w:rsidR="00422D16" w:rsidRPr="00A232C4" w:rsidRDefault="00422D16" w:rsidP="00422D16">
            <w:pPr>
              <w:jc w:val="center"/>
              <w:rPr>
                <w:rFonts w:cs="Arial"/>
                <w:sz w:val="20"/>
                <w:szCs w:val="20"/>
              </w:rPr>
            </w:pPr>
            <w:r w:rsidRPr="007C38C5">
              <w:rPr>
                <w:rFonts w:cs="Arial"/>
                <w:sz w:val="20"/>
                <w:szCs w:val="20"/>
              </w:rPr>
              <w:t>0,00 zł</w:t>
            </w:r>
          </w:p>
        </w:tc>
      </w:tr>
      <w:tr w:rsidR="00422D16" w:rsidRPr="00A232C4" w14:paraId="0D1BD879" w14:textId="77777777" w:rsidTr="00EF57A8">
        <w:trPr>
          <w:trHeight w:val="300"/>
          <w:jc w:val="center"/>
        </w:trPr>
        <w:tc>
          <w:tcPr>
            <w:tcW w:w="3022" w:type="dxa"/>
            <w:shd w:val="clear" w:color="auto" w:fill="auto"/>
            <w:noWrap/>
            <w:vAlign w:val="center"/>
          </w:tcPr>
          <w:p w14:paraId="1524B98C" w14:textId="77777777" w:rsidR="00422D16" w:rsidRPr="00A232C4" w:rsidRDefault="00422D16" w:rsidP="00422D16">
            <w:pPr>
              <w:jc w:val="center"/>
              <w:rPr>
                <w:rFonts w:cs="Arial"/>
                <w:bCs/>
                <w:sz w:val="20"/>
                <w:szCs w:val="20"/>
              </w:rPr>
            </w:pPr>
            <w:r w:rsidRPr="00A232C4">
              <w:rPr>
                <w:rFonts w:cs="Arial"/>
                <w:bCs/>
                <w:sz w:val="20"/>
                <w:szCs w:val="20"/>
              </w:rPr>
              <w:t>Usługi</w:t>
            </w:r>
          </w:p>
        </w:tc>
        <w:tc>
          <w:tcPr>
            <w:tcW w:w="1368" w:type="dxa"/>
            <w:shd w:val="clear" w:color="auto" w:fill="auto"/>
            <w:noWrap/>
            <w:vAlign w:val="center"/>
          </w:tcPr>
          <w:p w14:paraId="3CEEF46B" w14:textId="16CEB183" w:rsidR="00422D16" w:rsidRPr="00A232C4" w:rsidRDefault="00422D16" w:rsidP="00422D16">
            <w:pPr>
              <w:jc w:val="center"/>
              <w:rPr>
                <w:rFonts w:cs="Arial"/>
                <w:sz w:val="20"/>
                <w:szCs w:val="20"/>
              </w:rPr>
            </w:pPr>
            <w:r w:rsidRPr="007C38C5">
              <w:rPr>
                <w:sz w:val="20"/>
                <w:szCs w:val="20"/>
              </w:rPr>
              <w:t>2</w:t>
            </w:r>
          </w:p>
        </w:tc>
        <w:tc>
          <w:tcPr>
            <w:tcW w:w="4677" w:type="dxa"/>
            <w:vAlign w:val="center"/>
          </w:tcPr>
          <w:p w14:paraId="36238E6E" w14:textId="530BD037" w:rsidR="00422D16" w:rsidRPr="00A232C4" w:rsidRDefault="00422D16" w:rsidP="00422D16">
            <w:pPr>
              <w:jc w:val="center"/>
              <w:rPr>
                <w:rFonts w:cs="Arial"/>
                <w:sz w:val="20"/>
                <w:szCs w:val="20"/>
              </w:rPr>
            </w:pPr>
            <w:r w:rsidRPr="007C38C5">
              <w:rPr>
                <w:sz w:val="20"/>
                <w:szCs w:val="20"/>
              </w:rPr>
              <w:t>739 162,43 zł</w:t>
            </w:r>
          </w:p>
        </w:tc>
      </w:tr>
    </w:tbl>
    <w:p w14:paraId="004C4A84" w14:textId="6A2755CE" w:rsidR="000B44F1" w:rsidRDefault="000B44F1" w:rsidP="000B44F1">
      <w:pPr>
        <w:shd w:val="clear" w:color="auto" w:fill="FFFFFF"/>
      </w:pPr>
    </w:p>
    <w:p w14:paraId="0213B0FB" w14:textId="77777777" w:rsidR="006B4B42" w:rsidRPr="00A232C4" w:rsidRDefault="006B4B42" w:rsidP="000B44F1">
      <w:pPr>
        <w:shd w:val="clear" w:color="auto" w:fill="FFFFFF"/>
      </w:pPr>
    </w:p>
    <w:p w14:paraId="09D3520B" w14:textId="30E7D059" w:rsidR="000B44F1" w:rsidRPr="006B4B42" w:rsidRDefault="000B44F1" w:rsidP="000B44F1">
      <w:pPr>
        <w:shd w:val="clear" w:color="auto" w:fill="FFFFFF"/>
        <w:ind w:left="709"/>
        <w:rPr>
          <w:b/>
          <w:color w:val="0070C0"/>
        </w:rPr>
      </w:pPr>
      <w:r w:rsidRPr="006B4B42">
        <w:rPr>
          <w:b/>
          <w:color w:val="0070C0"/>
        </w:rPr>
        <w:t>Określenie wymagań zw</w:t>
      </w:r>
      <w:r w:rsidR="00AA4131">
        <w:rPr>
          <w:b/>
          <w:color w:val="0070C0"/>
        </w:rPr>
        <w:t>iązanych</w:t>
      </w:r>
      <w:r w:rsidRPr="006B4B42">
        <w:rPr>
          <w:b/>
          <w:color w:val="0070C0"/>
        </w:rPr>
        <w:t xml:space="preserve"> z realizacją zamówienia obejmujących aspekty środowiskowe, o których mowa w art. 96 ust. 1 ustawy Pzp</w:t>
      </w:r>
    </w:p>
    <w:p w14:paraId="0AFF2A4C" w14:textId="77777777" w:rsidR="000B44F1" w:rsidRPr="00A232C4" w:rsidRDefault="000B44F1" w:rsidP="000B44F1">
      <w:pPr>
        <w:shd w:val="clear" w:color="auto" w:fill="FFFFFF"/>
      </w:pPr>
    </w:p>
    <w:p w14:paraId="518C5DEB" w14:textId="74C1FDAE" w:rsidR="006B4B42" w:rsidRPr="00A232C4" w:rsidRDefault="006B4B42" w:rsidP="006B4B42">
      <w:pPr>
        <w:pStyle w:val="Legenda"/>
      </w:pPr>
      <w:bookmarkStart w:id="160" w:name="_Toc141276563"/>
      <w:r w:rsidRPr="00563E12">
        <w:t xml:space="preserve">Tab. </w:t>
      </w:r>
      <w:r w:rsidR="00BE2079">
        <w:fldChar w:fldCharType="begin"/>
      </w:r>
      <w:r w:rsidR="00BE2079">
        <w:instrText xml:space="preserve"> SEQ Tab. \* ARABIC </w:instrText>
      </w:r>
      <w:r w:rsidR="00BE2079">
        <w:fldChar w:fldCharType="separate"/>
      </w:r>
      <w:r w:rsidR="00A43C68">
        <w:rPr>
          <w:noProof/>
        </w:rPr>
        <w:t>56</w:t>
      </w:r>
      <w:r w:rsidR="00BE2079">
        <w:rPr>
          <w:noProof/>
        </w:rPr>
        <w:fldChar w:fldCharType="end"/>
      </w:r>
      <w:r w:rsidRPr="00563E12">
        <w:t>. Zielone zamówienia publiczne udzielane przez jednostki administracji rządowej z zastosowaniem art. 96 ust. 1 ustawy Pzp</w:t>
      </w:r>
      <w:bookmarkEnd w:id="160"/>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563E12" w:rsidRPr="00FD623C" w14:paraId="642093B2" w14:textId="77777777" w:rsidTr="00D50E39">
        <w:trPr>
          <w:trHeight w:val="300"/>
          <w:jc w:val="center"/>
        </w:trPr>
        <w:tc>
          <w:tcPr>
            <w:tcW w:w="6941" w:type="dxa"/>
            <w:shd w:val="clear" w:color="auto" w:fill="E2EFD9" w:themeFill="accent6" w:themeFillTint="33"/>
            <w:noWrap/>
            <w:vAlign w:val="center"/>
          </w:tcPr>
          <w:p w14:paraId="6F622E65" w14:textId="77777777" w:rsidR="00563E12" w:rsidRPr="00FD623C" w:rsidRDefault="00563E12"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E2EFD9" w:themeFill="accent6" w:themeFillTint="33"/>
            <w:noWrap/>
            <w:vAlign w:val="center"/>
          </w:tcPr>
          <w:p w14:paraId="249ADD17" w14:textId="77777777" w:rsidR="00563E12" w:rsidRPr="00FD623C" w:rsidRDefault="00563E12" w:rsidP="00D50E39">
            <w:pPr>
              <w:jc w:val="center"/>
              <w:rPr>
                <w:rFonts w:cs="Arial"/>
                <w:sz w:val="20"/>
                <w:szCs w:val="20"/>
              </w:rPr>
            </w:pPr>
            <w:r w:rsidRPr="00E81506">
              <w:rPr>
                <w:rFonts w:cs="Arial"/>
                <w:sz w:val="20"/>
                <w:szCs w:val="20"/>
              </w:rPr>
              <w:t>196</w:t>
            </w:r>
          </w:p>
        </w:tc>
      </w:tr>
      <w:tr w:rsidR="00563E12" w:rsidRPr="00FD623C" w14:paraId="65A46723" w14:textId="77777777" w:rsidTr="00D50E39">
        <w:trPr>
          <w:trHeight w:val="300"/>
          <w:jc w:val="center"/>
        </w:trPr>
        <w:tc>
          <w:tcPr>
            <w:tcW w:w="6941" w:type="dxa"/>
            <w:shd w:val="clear" w:color="auto" w:fill="auto"/>
            <w:noWrap/>
            <w:vAlign w:val="center"/>
            <w:hideMark/>
          </w:tcPr>
          <w:p w14:paraId="50CEF36C" w14:textId="77777777" w:rsidR="00563E12" w:rsidRPr="00FD623C" w:rsidRDefault="00563E12"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2E5D5552" w14:textId="77777777" w:rsidR="00563E12" w:rsidRDefault="00563E12" w:rsidP="00D50E39">
            <w:pPr>
              <w:jc w:val="center"/>
              <w:rPr>
                <w:rFonts w:cs="Arial"/>
                <w:sz w:val="20"/>
                <w:szCs w:val="20"/>
              </w:rPr>
            </w:pPr>
            <w:r w:rsidRPr="00E81506">
              <w:rPr>
                <w:rFonts w:cs="Arial"/>
                <w:sz w:val="20"/>
                <w:szCs w:val="20"/>
              </w:rPr>
              <w:t>3 365 719 935,49 zł</w:t>
            </w:r>
          </w:p>
          <w:p w14:paraId="4D9EF185" w14:textId="77777777" w:rsidR="00563E12" w:rsidRPr="00FD623C" w:rsidRDefault="00563E12" w:rsidP="00D50E39">
            <w:pPr>
              <w:jc w:val="center"/>
              <w:rPr>
                <w:rFonts w:cs="Arial"/>
                <w:sz w:val="20"/>
                <w:szCs w:val="20"/>
              </w:rPr>
            </w:pPr>
            <w:r w:rsidRPr="00FD623C">
              <w:rPr>
                <w:rFonts w:cs="Arial"/>
                <w:sz w:val="20"/>
                <w:szCs w:val="20"/>
              </w:rPr>
              <w:t>(wartość bez VAT)</w:t>
            </w:r>
          </w:p>
        </w:tc>
      </w:tr>
    </w:tbl>
    <w:p w14:paraId="47EF42A7"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226"/>
        <w:gridCol w:w="4819"/>
      </w:tblGrid>
      <w:tr w:rsidR="000B44F1" w:rsidRPr="00A232C4" w14:paraId="4C741FAE" w14:textId="77777777" w:rsidTr="00EF57A8">
        <w:trPr>
          <w:trHeight w:val="300"/>
          <w:tblHeader/>
          <w:jc w:val="center"/>
        </w:trPr>
        <w:tc>
          <w:tcPr>
            <w:tcW w:w="3022" w:type="dxa"/>
            <w:shd w:val="clear" w:color="auto" w:fill="C5E0B3" w:themeFill="accent6" w:themeFillTint="66"/>
            <w:noWrap/>
            <w:vAlign w:val="center"/>
          </w:tcPr>
          <w:p w14:paraId="40DCDA48"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226" w:type="dxa"/>
            <w:shd w:val="clear" w:color="auto" w:fill="C5E0B3" w:themeFill="accent6" w:themeFillTint="66"/>
            <w:vAlign w:val="center"/>
          </w:tcPr>
          <w:p w14:paraId="73AEDF49"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819" w:type="dxa"/>
            <w:shd w:val="clear" w:color="auto" w:fill="C5E0B3" w:themeFill="accent6" w:themeFillTint="66"/>
            <w:vAlign w:val="center"/>
          </w:tcPr>
          <w:p w14:paraId="16B8D946"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563E12" w:rsidRPr="00A232C4" w14:paraId="128EE00B" w14:textId="77777777" w:rsidTr="00EF57A8">
        <w:trPr>
          <w:trHeight w:val="300"/>
          <w:jc w:val="center"/>
        </w:trPr>
        <w:tc>
          <w:tcPr>
            <w:tcW w:w="3022" w:type="dxa"/>
            <w:shd w:val="clear" w:color="auto" w:fill="auto"/>
            <w:noWrap/>
            <w:vAlign w:val="center"/>
          </w:tcPr>
          <w:p w14:paraId="1DF03A78" w14:textId="77777777" w:rsidR="00563E12" w:rsidRPr="00A232C4" w:rsidRDefault="00563E12" w:rsidP="00563E12">
            <w:pPr>
              <w:jc w:val="center"/>
              <w:rPr>
                <w:rFonts w:cs="Arial"/>
                <w:bCs/>
                <w:sz w:val="20"/>
                <w:szCs w:val="20"/>
              </w:rPr>
            </w:pPr>
            <w:r w:rsidRPr="00A232C4">
              <w:rPr>
                <w:rFonts w:cs="Arial"/>
                <w:bCs/>
                <w:sz w:val="20"/>
                <w:szCs w:val="20"/>
              </w:rPr>
              <w:t>Dostawy</w:t>
            </w:r>
          </w:p>
        </w:tc>
        <w:tc>
          <w:tcPr>
            <w:tcW w:w="1226" w:type="dxa"/>
            <w:shd w:val="clear" w:color="auto" w:fill="auto"/>
            <w:noWrap/>
            <w:vAlign w:val="center"/>
          </w:tcPr>
          <w:p w14:paraId="23FFC26C" w14:textId="57E0B03E" w:rsidR="00563E12" w:rsidRPr="00A232C4" w:rsidRDefault="00563E12" w:rsidP="00563E12">
            <w:pPr>
              <w:jc w:val="center"/>
              <w:rPr>
                <w:rFonts w:cs="Arial"/>
                <w:sz w:val="20"/>
                <w:szCs w:val="20"/>
              </w:rPr>
            </w:pPr>
            <w:r w:rsidRPr="009C7967">
              <w:rPr>
                <w:sz w:val="20"/>
                <w:szCs w:val="20"/>
              </w:rPr>
              <w:t>64</w:t>
            </w:r>
          </w:p>
        </w:tc>
        <w:tc>
          <w:tcPr>
            <w:tcW w:w="4819" w:type="dxa"/>
            <w:shd w:val="clear" w:color="auto" w:fill="auto"/>
            <w:vAlign w:val="center"/>
          </w:tcPr>
          <w:p w14:paraId="25D25EE3" w14:textId="6BAD12E8" w:rsidR="00563E12" w:rsidRPr="00A232C4" w:rsidRDefault="00563E12" w:rsidP="00563E12">
            <w:pPr>
              <w:jc w:val="center"/>
              <w:rPr>
                <w:rFonts w:cs="Arial"/>
                <w:sz w:val="20"/>
                <w:szCs w:val="20"/>
              </w:rPr>
            </w:pPr>
            <w:r w:rsidRPr="009C7967">
              <w:rPr>
                <w:sz w:val="20"/>
                <w:szCs w:val="20"/>
              </w:rPr>
              <w:t>80 374 678,96 zł</w:t>
            </w:r>
          </w:p>
        </w:tc>
      </w:tr>
      <w:tr w:rsidR="00563E12" w:rsidRPr="00A232C4" w14:paraId="4A7B05C9" w14:textId="77777777" w:rsidTr="00EF57A8">
        <w:trPr>
          <w:trHeight w:val="300"/>
          <w:jc w:val="center"/>
        </w:trPr>
        <w:tc>
          <w:tcPr>
            <w:tcW w:w="3022" w:type="dxa"/>
            <w:shd w:val="clear" w:color="auto" w:fill="E2EFD9" w:themeFill="accent6" w:themeFillTint="33"/>
            <w:noWrap/>
            <w:vAlign w:val="center"/>
            <w:hideMark/>
          </w:tcPr>
          <w:p w14:paraId="0E35B49B" w14:textId="77777777" w:rsidR="00563E12" w:rsidRPr="00A232C4" w:rsidRDefault="00563E12" w:rsidP="00563E12">
            <w:pPr>
              <w:jc w:val="center"/>
              <w:rPr>
                <w:rFonts w:cs="Arial"/>
                <w:bCs/>
                <w:sz w:val="20"/>
                <w:szCs w:val="20"/>
              </w:rPr>
            </w:pPr>
            <w:r w:rsidRPr="00A232C4">
              <w:rPr>
                <w:rFonts w:cs="Arial"/>
                <w:bCs/>
                <w:sz w:val="20"/>
                <w:szCs w:val="20"/>
              </w:rPr>
              <w:t>Roboty budowlane</w:t>
            </w:r>
          </w:p>
        </w:tc>
        <w:tc>
          <w:tcPr>
            <w:tcW w:w="1226" w:type="dxa"/>
            <w:shd w:val="clear" w:color="auto" w:fill="E2EFD9" w:themeFill="accent6" w:themeFillTint="33"/>
            <w:noWrap/>
            <w:vAlign w:val="center"/>
          </w:tcPr>
          <w:p w14:paraId="3D5E5109" w14:textId="4CEAB467" w:rsidR="00563E12" w:rsidRPr="00A232C4" w:rsidRDefault="00563E12" w:rsidP="00563E12">
            <w:pPr>
              <w:jc w:val="center"/>
              <w:rPr>
                <w:rFonts w:cs="Arial"/>
                <w:sz w:val="20"/>
                <w:szCs w:val="20"/>
              </w:rPr>
            </w:pPr>
            <w:r w:rsidRPr="009C7967">
              <w:rPr>
                <w:sz w:val="20"/>
                <w:szCs w:val="20"/>
              </w:rPr>
              <w:t>13</w:t>
            </w:r>
          </w:p>
        </w:tc>
        <w:tc>
          <w:tcPr>
            <w:tcW w:w="4819" w:type="dxa"/>
            <w:shd w:val="clear" w:color="auto" w:fill="E2EFD9" w:themeFill="accent6" w:themeFillTint="33"/>
            <w:vAlign w:val="center"/>
          </w:tcPr>
          <w:p w14:paraId="66579EFC" w14:textId="207256BA" w:rsidR="00563E12" w:rsidRPr="00A232C4" w:rsidRDefault="00563E12" w:rsidP="00563E12">
            <w:pPr>
              <w:jc w:val="center"/>
              <w:rPr>
                <w:rFonts w:cs="Arial"/>
                <w:sz w:val="20"/>
                <w:szCs w:val="20"/>
              </w:rPr>
            </w:pPr>
            <w:r w:rsidRPr="009C7967">
              <w:rPr>
                <w:sz w:val="20"/>
                <w:szCs w:val="20"/>
              </w:rPr>
              <w:t>3 145 485 977,25 zł</w:t>
            </w:r>
          </w:p>
        </w:tc>
      </w:tr>
      <w:tr w:rsidR="00563E12" w:rsidRPr="00A232C4" w14:paraId="271CB334" w14:textId="77777777" w:rsidTr="00EF57A8">
        <w:trPr>
          <w:trHeight w:val="300"/>
          <w:jc w:val="center"/>
        </w:trPr>
        <w:tc>
          <w:tcPr>
            <w:tcW w:w="3022" w:type="dxa"/>
            <w:shd w:val="clear" w:color="auto" w:fill="auto"/>
            <w:noWrap/>
            <w:vAlign w:val="center"/>
          </w:tcPr>
          <w:p w14:paraId="6C99BA7F" w14:textId="77777777" w:rsidR="00563E12" w:rsidRPr="00A232C4" w:rsidRDefault="00563E12" w:rsidP="00563E12">
            <w:pPr>
              <w:jc w:val="center"/>
              <w:rPr>
                <w:rFonts w:cs="Arial"/>
                <w:bCs/>
                <w:sz w:val="20"/>
                <w:szCs w:val="20"/>
              </w:rPr>
            </w:pPr>
            <w:r w:rsidRPr="00A232C4">
              <w:rPr>
                <w:rFonts w:cs="Arial"/>
                <w:bCs/>
                <w:sz w:val="20"/>
                <w:szCs w:val="20"/>
              </w:rPr>
              <w:t>Usługi</w:t>
            </w:r>
          </w:p>
        </w:tc>
        <w:tc>
          <w:tcPr>
            <w:tcW w:w="1226" w:type="dxa"/>
            <w:shd w:val="clear" w:color="auto" w:fill="auto"/>
            <w:noWrap/>
            <w:vAlign w:val="center"/>
          </w:tcPr>
          <w:p w14:paraId="6094891B" w14:textId="0C8B2368" w:rsidR="00563E12" w:rsidRPr="00A232C4" w:rsidRDefault="00563E12" w:rsidP="00563E12">
            <w:pPr>
              <w:jc w:val="center"/>
              <w:rPr>
                <w:rFonts w:cs="Arial"/>
                <w:sz w:val="20"/>
                <w:szCs w:val="20"/>
              </w:rPr>
            </w:pPr>
            <w:r w:rsidRPr="009C7967">
              <w:rPr>
                <w:sz w:val="20"/>
                <w:szCs w:val="20"/>
              </w:rPr>
              <w:t>119</w:t>
            </w:r>
          </w:p>
        </w:tc>
        <w:tc>
          <w:tcPr>
            <w:tcW w:w="4819" w:type="dxa"/>
            <w:shd w:val="clear" w:color="auto" w:fill="auto"/>
            <w:vAlign w:val="center"/>
          </w:tcPr>
          <w:p w14:paraId="3D5CAB19" w14:textId="54462CCC" w:rsidR="00563E12" w:rsidRPr="00A232C4" w:rsidRDefault="00563E12" w:rsidP="00563E12">
            <w:pPr>
              <w:jc w:val="center"/>
              <w:rPr>
                <w:rFonts w:cs="Arial"/>
                <w:sz w:val="20"/>
                <w:szCs w:val="20"/>
              </w:rPr>
            </w:pPr>
            <w:r w:rsidRPr="009C7967">
              <w:rPr>
                <w:sz w:val="20"/>
                <w:szCs w:val="20"/>
              </w:rPr>
              <w:t>139 859 279,28 zł</w:t>
            </w:r>
          </w:p>
        </w:tc>
      </w:tr>
    </w:tbl>
    <w:p w14:paraId="1313928F" w14:textId="6079AE55" w:rsidR="000B44F1" w:rsidRDefault="000B44F1" w:rsidP="000B44F1">
      <w:pPr>
        <w:shd w:val="clear" w:color="auto" w:fill="FFFFFF"/>
      </w:pPr>
    </w:p>
    <w:p w14:paraId="3721D5B6" w14:textId="77777777" w:rsidR="004C546A" w:rsidRPr="00A232C4" w:rsidRDefault="004C546A" w:rsidP="000B44F1">
      <w:pPr>
        <w:shd w:val="clear" w:color="auto" w:fill="FFFFFF"/>
      </w:pPr>
    </w:p>
    <w:p w14:paraId="70EA220E" w14:textId="30713BB6" w:rsidR="000B44F1" w:rsidRPr="004C546A" w:rsidRDefault="000B44F1" w:rsidP="000B44F1">
      <w:pPr>
        <w:shd w:val="clear" w:color="auto" w:fill="FFFFFF"/>
        <w:ind w:left="709"/>
        <w:rPr>
          <w:b/>
          <w:color w:val="0070C0"/>
        </w:rPr>
      </w:pPr>
      <w:r w:rsidRPr="004C546A">
        <w:rPr>
          <w:b/>
          <w:color w:val="0070C0"/>
        </w:rPr>
        <w:t>Określenie etykiety związanej z aspektami środowiskowym</w:t>
      </w:r>
      <w:r w:rsidR="00886BD6">
        <w:rPr>
          <w:b/>
          <w:color w:val="0070C0"/>
        </w:rPr>
        <w:t>i</w:t>
      </w:r>
      <w:r w:rsidRPr="004C546A">
        <w:rPr>
          <w:b/>
          <w:color w:val="0070C0"/>
        </w:rPr>
        <w:t xml:space="preserve"> albo innego przedmiotowego środka dowodowego, o których mowa w art. 104 ustawy Pzp</w:t>
      </w:r>
    </w:p>
    <w:p w14:paraId="6129766F" w14:textId="77777777" w:rsidR="000B44F1" w:rsidRPr="00A232C4" w:rsidRDefault="000B44F1" w:rsidP="000B44F1">
      <w:pPr>
        <w:shd w:val="clear" w:color="auto" w:fill="FFFFFF"/>
      </w:pPr>
    </w:p>
    <w:p w14:paraId="329BBDEB" w14:textId="35E012AE" w:rsidR="004C546A" w:rsidRPr="004C546A" w:rsidRDefault="004C546A" w:rsidP="004C546A">
      <w:pPr>
        <w:pStyle w:val="Legenda"/>
      </w:pPr>
      <w:bookmarkStart w:id="161" w:name="_Toc141276564"/>
      <w:r w:rsidRPr="002326D3">
        <w:t xml:space="preserve">Tab. </w:t>
      </w:r>
      <w:r w:rsidR="00BE2079">
        <w:fldChar w:fldCharType="begin"/>
      </w:r>
      <w:r w:rsidR="00BE2079">
        <w:instrText xml:space="preserve"> SEQ Tab. \* ARABIC </w:instrText>
      </w:r>
      <w:r w:rsidR="00BE2079">
        <w:fldChar w:fldCharType="separate"/>
      </w:r>
      <w:r w:rsidR="00A43C68">
        <w:rPr>
          <w:noProof/>
        </w:rPr>
        <w:t>57</w:t>
      </w:r>
      <w:r w:rsidR="00BE2079">
        <w:rPr>
          <w:noProof/>
        </w:rPr>
        <w:fldChar w:fldCharType="end"/>
      </w:r>
      <w:r w:rsidRPr="002326D3">
        <w:t>. Zielone zamówienia publiczne udzielane przez jednostki administracji rządowej z art. 104 ustawy Pzp</w:t>
      </w:r>
      <w:bookmarkEnd w:id="161"/>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2326D3" w:rsidRPr="00FD623C" w14:paraId="6453E8F6" w14:textId="77777777" w:rsidTr="00D50E39">
        <w:trPr>
          <w:trHeight w:val="300"/>
          <w:jc w:val="center"/>
        </w:trPr>
        <w:tc>
          <w:tcPr>
            <w:tcW w:w="6941" w:type="dxa"/>
            <w:shd w:val="clear" w:color="auto" w:fill="E2EFD9" w:themeFill="accent6" w:themeFillTint="33"/>
            <w:noWrap/>
            <w:vAlign w:val="center"/>
          </w:tcPr>
          <w:p w14:paraId="2CB5C54F" w14:textId="77777777" w:rsidR="002326D3" w:rsidRPr="00FD623C" w:rsidRDefault="002326D3"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121" w:type="dxa"/>
            <w:shd w:val="clear" w:color="auto" w:fill="E2EFD9" w:themeFill="accent6" w:themeFillTint="33"/>
            <w:noWrap/>
            <w:vAlign w:val="center"/>
          </w:tcPr>
          <w:p w14:paraId="545F3A7E" w14:textId="77777777" w:rsidR="002326D3" w:rsidRPr="00FD623C" w:rsidRDefault="002326D3" w:rsidP="00D50E39">
            <w:pPr>
              <w:jc w:val="center"/>
              <w:rPr>
                <w:rFonts w:cs="Arial"/>
                <w:sz w:val="20"/>
                <w:szCs w:val="20"/>
              </w:rPr>
            </w:pPr>
            <w:r w:rsidRPr="00D12582">
              <w:rPr>
                <w:rFonts w:cs="Arial"/>
                <w:sz w:val="20"/>
                <w:szCs w:val="20"/>
              </w:rPr>
              <w:t>77</w:t>
            </w:r>
          </w:p>
        </w:tc>
      </w:tr>
      <w:tr w:rsidR="002326D3" w:rsidRPr="00FD623C" w14:paraId="6DEC7F8F" w14:textId="77777777" w:rsidTr="00D50E39">
        <w:trPr>
          <w:trHeight w:val="300"/>
          <w:jc w:val="center"/>
        </w:trPr>
        <w:tc>
          <w:tcPr>
            <w:tcW w:w="6941" w:type="dxa"/>
            <w:shd w:val="clear" w:color="auto" w:fill="auto"/>
            <w:noWrap/>
            <w:vAlign w:val="center"/>
            <w:hideMark/>
          </w:tcPr>
          <w:p w14:paraId="021D0282" w14:textId="77777777" w:rsidR="002326D3" w:rsidRPr="00FD623C" w:rsidRDefault="002326D3"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121" w:type="dxa"/>
            <w:shd w:val="clear" w:color="auto" w:fill="auto"/>
            <w:noWrap/>
            <w:vAlign w:val="center"/>
            <w:hideMark/>
          </w:tcPr>
          <w:p w14:paraId="2DF5E03D" w14:textId="77777777" w:rsidR="002326D3" w:rsidRDefault="002326D3" w:rsidP="00D50E39">
            <w:pPr>
              <w:jc w:val="center"/>
              <w:rPr>
                <w:rFonts w:cs="Arial"/>
                <w:sz w:val="20"/>
                <w:szCs w:val="20"/>
              </w:rPr>
            </w:pPr>
            <w:r w:rsidRPr="00D12582">
              <w:rPr>
                <w:rFonts w:cs="Arial"/>
                <w:sz w:val="20"/>
                <w:szCs w:val="20"/>
              </w:rPr>
              <w:t>42 653 321,25 zł</w:t>
            </w:r>
          </w:p>
          <w:p w14:paraId="4CA841AE" w14:textId="77777777" w:rsidR="002326D3" w:rsidRPr="00FD623C" w:rsidRDefault="002326D3" w:rsidP="00D50E39">
            <w:pPr>
              <w:jc w:val="center"/>
              <w:rPr>
                <w:rFonts w:cs="Arial"/>
                <w:sz w:val="20"/>
                <w:szCs w:val="20"/>
              </w:rPr>
            </w:pPr>
            <w:r w:rsidRPr="00FD623C">
              <w:rPr>
                <w:rFonts w:cs="Arial"/>
                <w:sz w:val="20"/>
                <w:szCs w:val="20"/>
              </w:rPr>
              <w:t>(wartość bez VAT)</w:t>
            </w:r>
          </w:p>
        </w:tc>
      </w:tr>
    </w:tbl>
    <w:p w14:paraId="1BEA0194" w14:textId="77777777" w:rsidR="000B44F1" w:rsidRPr="00A232C4" w:rsidRDefault="000B44F1" w:rsidP="000B44F1">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2"/>
        <w:gridCol w:w="1368"/>
        <w:gridCol w:w="4677"/>
      </w:tblGrid>
      <w:tr w:rsidR="000B44F1" w:rsidRPr="00A232C4" w14:paraId="52388449" w14:textId="77777777" w:rsidTr="00EF57A8">
        <w:trPr>
          <w:trHeight w:val="300"/>
          <w:tblHeader/>
          <w:jc w:val="center"/>
        </w:trPr>
        <w:tc>
          <w:tcPr>
            <w:tcW w:w="3022" w:type="dxa"/>
            <w:shd w:val="clear" w:color="auto" w:fill="C5E0B3" w:themeFill="accent6" w:themeFillTint="66"/>
            <w:noWrap/>
            <w:vAlign w:val="center"/>
          </w:tcPr>
          <w:p w14:paraId="7B4B38EB" w14:textId="77777777" w:rsidR="000B44F1" w:rsidRPr="00A232C4" w:rsidRDefault="000B44F1" w:rsidP="00EF57A8">
            <w:pPr>
              <w:jc w:val="center"/>
              <w:rPr>
                <w:rFonts w:cs="Arial"/>
                <w:b/>
                <w:sz w:val="20"/>
                <w:szCs w:val="20"/>
              </w:rPr>
            </w:pPr>
            <w:r w:rsidRPr="00A232C4">
              <w:rPr>
                <w:rFonts w:cs="Arial"/>
                <w:b/>
                <w:bCs/>
                <w:sz w:val="20"/>
                <w:szCs w:val="20"/>
              </w:rPr>
              <w:t>Rodzaj zamówienia</w:t>
            </w:r>
          </w:p>
        </w:tc>
        <w:tc>
          <w:tcPr>
            <w:tcW w:w="1368" w:type="dxa"/>
            <w:shd w:val="clear" w:color="auto" w:fill="C5E0B3" w:themeFill="accent6" w:themeFillTint="66"/>
            <w:vAlign w:val="center"/>
          </w:tcPr>
          <w:p w14:paraId="0FD38B61" w14:textId="77777777" w:rsidR="000B44F1" w:rsidRPr="00A232C4" w:rsidRDefault="000B44F1" w:rsidP="00EF57A8">
            <w:pPr>
              <w:jc w:val="center"/>
              <w:rPr>
                <w:rFonts w:cs="Arial"/>
                <w:b/>
                <w:sz w:val="20"/>
                <w:szCs w:val="20"/>
              </w:rPr>
            </w:pPr>
            <w:r w:rsidRPr="00A232C4">
              <w:rPr>
                <w:rFonts w:cs="Arial"/>
                <w:b/>
                <w:sz w:val="20"/>
                <w:szCs w:val="20"/>
              </w:rPr>
              <w:t>Liczba</w:t>
            </w:r>
          </w:p>
        </w:tc>
        <w:tc>
          <w:tcPr>
            <w:tcW w:w="4677" w:type="dxa"/>
            <w:shd w:val="clear" w:color="auto" w:fill="C5E0B3" w:themeFill="accent6" w:themeFillTint="66"/>
            <w:vAlign w:val="center"/>
          </w:tcPr>
          <w:p w14:paraId="4196D364" w14:textId="77777777" w:rsidR="000B44F1" w:rsidRPr="00A232C4" w:rsidRDefault="000B44F1" w:rsidP="00EF57A8">
            <w:pPr>
              <w:jc w:val="center"/>
              <w:rPr>
                <w:rFonts w:cs="Arial"/>
                <w:b/>
                <w:sz w:val="20"/>
                <w:szCs w:val="20"/>
              </w:rPr>
            </w:pPr>
            <w:r w:rsidRPr="00A232C4">
              <w:rPr>
                <w:rFonts w:cs="Arial"/>
                <w:b/>
                <w:sz w:val="20"/>
                <w:szCs w:val="20"/>
              </w:rPr>
              <w:t>Wartość (bez VAT)</w:t>
            </w:r>
          </w:p>
        </w:tc>
      </w:tr>
      <w:tr w:rsidR="002326D3" w:rsidRPr="00A232C4" w14:paraId="335EB7DC" w14:textId="77777777" w:rsidTr="00EF57A8">
        <w:trPr>
          <w:trHeight w:val="300"/>
          <w:jc w:val="center"/>
        </w:trPr>
        <w:tc>
          <w:tcPr>
            <w:tcW w:w="3022" w:type="dxa"/>
            <w:shd w:val="clear" w:color="auto" w:fill="auto"/>
            <w:noWrap/>
            <w:vAlign w:val="center"/>
          </w:tcPr>
          <w:p w14:paraId="5D37C001" w14:textId="77777777" w:rsidR="002326D3" w:rsidRPr="00A232C4" w:rsidRDefault="002326D3" w:rsidP="002326D3">
            <w:pPr>
              <w:jc w:val="center"/>
              <w:rPr>
                <w:rFonts w:cs="Arial"/>
                <w:bCs/>
                <w:sz w:val="20"/>
                <w:szCs w:val="20"/>
              </w:rPr>
            </w:pPr>
            <w:r w:rsidRPr="00A232C4">
              <w:rPr>
                <w:rFonts w:cs="Arial"/>
                <w:bCs/>
                <w:sz w:val="20"/>
                <w:szCs w:val="20"/>
              </w:rPr>
              <w:t>Dostawy</w:t>
            </w:r>
          </w:p>
        </w:tc>
        <w:tc>
          <w:tcPr>
            <w:tcW w:w="1368" w:type="dxa"/>
            <w:shd w:val="clear" w:color="auto" w:fill="auto"/>
            <w:noWrap/>
            <w:vAlign w:val="center"/>
          </w:tcPr>
          <w:p w14:paraId="3ECDDE40" w14:textId="492B1307" w:rsidR="002326D3" w:rsidRPr="00A232C4" w:rsidRDefault="002326D3" w:rsidP="002326D3">
            <w:pPr>
              <w:jc w:val="center"/>
              <w:rPr>
                <w:rFonts w:cs="Arial"/>
                <w:sz w:val="20"/>
                <w:szCs w:val="20"/>
              </w:rPr>
            </w:pPr>
            <w:r w:rsidRPr="00D12582">
              <w:rPr>
                <w:sz w:val="20"/>
                <w:szCs w:val="20"/>
              </w:rPr>
              <w:t>60</w:t>
            </w:r>
          </w:p>
        </w:tc>
        <w:tc>
          <w:tcPr>
            <w:tcW w:w="4677" w:type="dxa"/>
            <w:vAlign w:val="center"/>
          </w:tcPr>
          <w:p w14:paraId="7AD408B3" w14:textId="6BA67FF6" w:rsidR="002326D3" w:rsidRPr="00A232C4" w:rsidRDefault="002326D3" w:rsidP="002326D3">
            <w:pPr>
              <w:jc w:val="center"/>
              <w:rPr>
                <w:rFonts w:cs="Arial"/>
                <w:sz w:val="20"/>
                <w:szCs w:val="20"/>
              </w:rPr>
            </w:pPr>
            <w:r w:rsidRPr="00D12582">
              <w:rPr>
                <w:sz w:val="20"/>
                <w:szCs w:val="20"/>
              </w:rPr>
              <w:t>36 043 541,89 zł</w:t>
            </w:r>
          </w:p>
        </w:tc>
      </w:tr>
      <w:tr w:rsidR="002326D3" w:rsidRPr="00A232C4" w14:paraId="1732ABAB" w14:textId="77777777" w:rsidTr="00EF57A8">
        <w:trPr>
          <w:trHeight w:val="300"/>
          <w:jc w:val="center"/>
        </w:trPr>
        <w:tc>
          <w:tcPr>
            <w:tcW w:w="3022" w:type="dxa"/>
            <w:shd w:val="clear" w:color="auto" w:fill="E2EFD9" w:themeFill="accent6" w:themeFillTint="33"/>
            <w:noWrap/>
            <w:vAlign w:val="center"/>
            <w:hideMark/>
          </w:tcPr>
          <w:p w14:paraId="53C03E13" w14:textId="77777777" w:rsidR="002326D3" w:rsidRPr="00A232C4" w:rsidRDefault="002326D3" w:rsidP="002326D3">
            <w:pPr>
              <w:jc w:val="center"/>
              <w:rPr>
                <w:rFonts w:cs="Arial"/>
                <w:bCs/>
                <w:sz w:val="20"/>
                <w:szCs w:val="20"/>
              </w:rPr>
            </w:pPr>
            <w:r w:rsidRPr="00A232C4">
              <w:rPr>
                <w:rFonts w:cs="Arial"/>
                <w:bCs/>
                <w:sz w:val="20"/>
                <w:szCs w:val="20"/>
              </w:rPr>
              <w:t>Roboty budowlane</w:t>
            </w:r>
          </w:p>
        </w:tc>
        <w:tc>
          <w:tcPr>
            <w:tcW w:w="1368" w:type="dxa"/>
            <w:shd w:val="clear" w:color="auto" w:fill="E2EFD9" w:themeFill="accent6" w:themeFillTint="33"/>
            <w:noWrap/>
            <w:vAlign w:val="center"/>
          </w:tcPr>
          <w:p w14:paraId="111A3FDD" w14:textId="13E705AC" w:rsidR="002326D3" w:rsidRPr="00A232C4" w:rsidRDefault="002326D3" w:rsidP="002326D3">
            <w:pPr>
              <w:jc w:val="center"/>
              <w:rPr>
                <w:rFonts w:cs="Arial"/>
                <w:sz w:val="20"/>
                <w:szCs w:val="20"/>
              </w:rPr>
            </w:pPr>
            <w:r w:rsidRPr="00D12582">
              <w:rPr>
                <w:sz w:val="20"/>
                <w:szCs w:val="20"/>
              </w:rPr>
              <w:t>2</w:t>
            </w:r>
          </w:p>
        </w:tc>
        <w:tc>
          <w:tcPr>
            <w:tcW w:w="4677" w:type="dxa"/>
            <w:shd w:val="clear" w:color="auto" w:fill="E2EFD9" w:themeFill="accent6" w:themeFillTint="33"/>
            <w:vAlign w:val="center"/>
          </w:tcPr>
          <w:p w14:paraId="3710B669" w14:textId="1760DA9D" w:rsidR="002326D3" w:rsidRPr="00A232C4" w:rsidRDefault="002326D3" w:rsidP="002326D3">
            <w:pPr>
              <w:jc w:val="center"/>
              <w:rPr>
                <w:rFonts w:cs="Arial"/>
                <w:sz w:val="20"/>
                <w:szCs w:val="20"/>
              </w:rPr>
            </w:pPr>
            <w:r w:rsidRPr="00D12582">
              <w:rPr>
                <w:sz w:val="20"/>
                <w:szCs w:val="20"/>
              </w:rPr>
              <w:t>1 534 915,80 zł</w:t>
            </w:r>
          </w:p>
        </w:tc>
      </w:tr>
      <w:tr w:rsidR="002326D3" w:rsidRPr="00A232C4" w14:paraId="34E6417A" w14:textId="77777777" w:rsidTr="00EF57A8">
        <w:trPr>
          <w:trHeight w:val="300"/>
          <w:jc w:val="center"/>
        </w:trPr>
        <w:tc>
          <w:tcPr>
            <w:tcW w:w="3022" w:type="dxa"/>
            <w:shd w:val="clear" w:color="auto" w:fill="auto"/>
            <w:noWrap/>
            <w:vAlign w:val="center"/>
          </w:tcPr>
          <w:p w14:paraId="0DF08A94" w14:textId="77777777" w:rsidR="002326D3" w:rsidRPr="00A232C4" w:rsidRDefault="002326D3" w:rsidP="002326D3">
            <w:pPr>
              <w:jc w:val="center"/>
              <w:rPr>
                <w:rFonts w:cs="Arial"/>
                <w:bCs/>
                <w:sz w:val="20"/>
                <w:szCs w:val="20"/>
              </w:rPr>
            </w:pPr>
            <w:r w:rsidRPr="00A232C4">
              <w:rPr>
                <w:rFonts w:cs="Arial"/>
                <w:bCs/>
                <w:sz w:val="20"/>
                <w:szCs w:val="20"/>
              </w:rPr>
              <w:t>Usługi</w:t>
            </w:r>
          </w:p>
        </w:tc>
        <w:tc>
          <w:tcPr>
            <w:tcW w:w="1368" w:type="dxa"/>
            <w:shd w:val="clear" w:color="auto" w:fill="auto"/>
            <w:noWrap/>
            <w:vAlign w:val="center"/>
          </w:tcPr>
          <w:p w14:paraId="6000FFDE" w14:textId="5986B366" w:rsidR="002326D3" w:rsidRPr="00A232C4" w:rsidRDefault="002326D3" w:rsidP="002326D3">
            <w:pPr>
              <w:jc w:val="center"/>
              <w:rPr>
                <w:rFonts w:cs="Arial"/>
                <w:sz w:val="20"/>
                <w:szCs w:val="20"/>
              </w:rPr>
            </w:pPr>
            <w:r w:rsidRPr="00D12582">
              <w:rPr>
                <w:sz w:val="20"/>
                <w:szCs w:val="20"/>
              </w:rPr>
              <w:t>15</w:t>
            </w:r>
          </w:p>
        </w:tc>
        <w:tc>
          <w:tcPr>
            <w:tcW w:w="4677" w:type="dxa"/>
            <w:vAlign w:val="center"/>
          </w:tcPr>
          <w:p w14:paraId="2164D904" w14:textId="6DD56B69" w:rsidR="002326D3" w:rsidRPr="00A232C4" w:rsidRDefault="002326D3" w:rsidP="002326D3">
            <w:pPr>
              <w:jc w:val="center"/>
              <w:rPr>
                <w:rFonts w:cs="Arial"/>
                <w:sz w:val="20"/>
                <w:szCs w:val="20"/>
              </w:rPr>
            </w:pPr>
            <w:r w:rsidRPr="00D12582">
              <w:rPr>
                <w:sz w:val="20"/>
                <w:szCs w:val="20"/>
              </w:rPr>
              <w:t>5 074 863,56 zł</w:t>
            </w:r>
          </w:p>
        </w:tc>
      </w:tr>
    </w:tbl>
    <w:p w14:paraId="006AA2B1" w14:textId="77777777" w:rsidR="000B44F1" w:rsidRPr="00A232C4" w:rsidRDefault="000B44F1" w:rsidP="000B44F1">
      <w:pPr>
        <w:shd w:val="clear" w:color="auto" w:fill="FFFFFF"/>
      </w:pPr>
    </w:p>
    <w:p w14:paraId="7AD23DC3" w14:textId="77777777" w:rsidR="00D221E5" w:rsidRPr="00D221E5" w:rsidRDefault="00D221E5" w:rsidP="00D221E5">
      <w:pPr>
        <w:shd w:val="clear" w:color="auto" w:fill="FFFFFF"/>
      </w:pPr>
      <w:r w:rsidRPr="00D221E5">
        <w:t>W zielonych zamówieniach udzielonych przez jednostki administracji rządowej w 2022 r., najczęściej dokonano określenia w opisie przedmiotu zamówienia wymagań środowiskowych zgodnie z art. 101 ustawy Pzp. Pod względem wartości, zamówienia publiczne z określeniem wymagań środowiskowych w ramach OPZ również zajęły pierwsze miejsce. W porównaniu z rokiem 2021, o 148 wzrosła liczba zamówień z takim aspektem środowiskowym, przy jednoczesnym wzroście ich wartości o 4 308 755 858,33 zł (bez podatku od towarów i usług).</w:t>
      </w:r>
    </w:p>
    <w:p w14:paraId="6E9858AC" w14:textId="77777777" w:rsidR="00D221E5" w:rsidRPr="00D221E5" w:rsidRDefault="00D221E5" w:rsidP="00D221E5">
      <w:pPr>
        <w:shd w:val="clear" w:color="auto" w:fill="FFFFFF"/>
      </w:pPr>
    </w:p>
    <w:p w14:paraId="658EC1FB" w14:textId="11797ED3" w:rsidR="00D221E5" w:rsidRPr="00D221E5" w:rsidRDefault="00D221E5" w:rsidP="00D221E5">
      <w:pPr>
        <w:shd w:val="clear" w:color="auto" w:fill="FFFFFF"/>
        <w:rPr>
          <w:bCs/>
        </w:rPr>
      </w:pPr>
      <w:r w:rsidRPr="00D221E5">
        <w:t>Drugim, najbardziej popularnym rozwiązaniem prawnym o charakterze środowiskowym wśród zamawiających</w:t>
      </w:r>
      <w:r w:rsidRPr="00D221E5">
        <w:rPr>
          <w:b/>
        </w:rPr>
        <w:t xml:space="preserve"> </w:t>
      </w:r>
      <w:r w:rsidRPr="00D221E5">
        <w:rPr>
          <w:bCs/>
        </w:rPr>
        <w:t>reprezentujących jednostki administracji rządowej</w:t>
      </w:r>
      <w:r w:rsidRPr="00D221E5">
        <w:rPr>
          <w:b/>
        </w:rPr>
        <w:t xml:space="preserve"> </w:t>
      </w:r>
      <w:r w:rsidRPr="00D221E5">
        <w:t>było zastosowanie środowiskowych kryteriów oceny ofert, w tym odwołanie do efektywności energetycznej przedmiotu zamówienia (zgodnie z art. 242 ust. 2 ustawy Pzp). Zamówienia publiczne z tym aspektem środowiskowym zajęło z kolei trzecie miejsce pod względem wartości. Porównując z rokiem 2021, o 110 wzrosła liczba zamówień z zastosowaniem</w:t>
      </w:r>
      <w:r w:rsidR="009A02C1">
        <w:t xml:space="preserve"> </w:t>
      </w:r>
      <w:r w:rsidRPr="00D221E5">
        <w:t>środowiskowych kryteriów oceny ofert przy jednoczesnym wzroście wartości o 488 670 999,13 zł (bez podatku od towarów i usług).</w:t>
      </w:r>
    </w:p>
    <w:p w14:paraId="30B4B1FF" w14:textId="77777777" w:rsidR="00D221E5" w:rsidRPr="00D221E5" w:rsidRDefault="00D221E5" w:rsidP="00D221E5">
      <w:pPr>
        <w:shd w:val="clear" w:color="auto" w:fill="FFFFFF"/>
      </w:pPr>
    </w:p>
    <w:p w14:paraId="1F1D4820" w14:textId="77777777" w:rsidR="00D221E5" w:rsidRPr="00D221E5" w:rsidRDefault="00D221E5" w:rsidP="00D221E5">
      <w:pPr>
        <w:shd w:val="clear" w:color="auto" w:fill="FFFFFF"/>
      </w:pPr>
      <w:r w:rsidRPr="00D221E5">
        <w:rPr>
          <w:bCs/>
        </w:rPr>
        <w:t>Określenie środowiskowych wymagań związanych z realizacją zamówienia stanowiło trzeci najczęściej stosowany instrument środowiskowy wśród jednostek administracji rządowej. P</w:t>
      </w:r>
      <w:r w:rsidRPr="00D221E5">
        <w:t>od względem wartości zamówienia publiczne z zastosowaniem tego aspektu środowiskowego zajęły drugie miejsce. W porównaniu z rokiem 2021, o 56 zwiększyła się liczba zamówień z takim aspektem środowiskowym, podczas gdy ich wartość wzrosła aż o 4 308 755 858,33 zł (bez podatku od towarów i usług).</w:t>
      </w:r>
    </w:p>
    <w:p w14:paraId="4164A7DA" w14:textId="77777777" w:rsidR="00D221E5" w:rsidRPr="00D221E5" w:rsidRDefault="00D221E5" w:rsidP="00D221E5">
      <w:pPr>
        <w:shd w:val="clear" w:color="auto" w:fill="FFFFFF"/>
      </w:pPr>
    </w:p>
    <w:p w14:paraId="4D8820D3" w14:textId="01B4D6AB" w:rsidR="00D221E5" w:rsidRPr="00D221E5" w:rsidRDefault="00D221E5" w:rsidP="00D221E5">
      <w:pPr>
        <w:shd w:val="clear" w:color="auto" w:fill="FFFFFF"/>
      </w:pPr>
      <w:r w:rsidRPr="00D221E5">
        <w:t xml:space="preserve">Czwarte miejsce pod względem liczby i wartości zielonych zamówień zajęły zamówienia, w których określono </w:t>
      </w:r>
      <w:r w:rsidRPr="00D221E5">
        <w:rPr>
          <w:bCs/>
        </w:rPr>
        <w:t xml:space="preserve">etykietę związaną z aspektami środowiskowymi albo inny przedmiotowy środek dowodowy </w:t>
      </w:r>
      <w:r w:rsidR="00117AED">
        <w:rPr>
          <w:bCs/>
        </w:rPr>
        <w:t xml:space="preserve">zgodnie </w:t>
      </w:r>
      <w:r w:rsidRPr="00D221E5">
        <w:rPr>
          <w:bCs/>
        </w:rPr>
        <w:t>z art. 104 ustawy Pzp.</w:t>
      </w:r>
      <w:r w:rsidRPr="00D221E5">
        <w:rPr>
          <w:b/>
        </w:rPr>
        <w:t xml:space="preserve"> </w:t>
      </w:r>
      <w:r w:rsidRPr="00D221E5">
        <w:t>W porównaniu z rokiem poprzedzającym, zmniejszeniu o 17 uległa liczba zamówień z zastosowaniem takiego aspektu. Z kolei wartość zamówień zmalała aż o 102 030 354,67 zł (bez podatku od towarów i usług).</w:t>
      </w:r>
      <w:r w:rsidR="009A02C1">
        <w:t xml:space="preserve"> </w:t>
      </w:r>
    </w:p>
    <w:p w14:paraId="6767D167" w14:textId="77777777" w:rsidR="008E5EDE" w:rsidRDefault="008E5EDE" w:rsidP="00D221E5">
      <w:pPr>
        <w:shd w:val="clear" w:color="auto" w:fill="FFFFFF"/>
      </w:pPr>
    </w:p>
    <w:p w14:paraId="7A601531" w14:textId="77E94CE5" w:rsidR="00D221E5" w:rsidRPr="00D221E5" w:rsidRDefault="00D221E5" w:rsidP="00D221E5">
      <w:pPr>
        <w:shd w:val="clear" w:color="auto" w:fill="FFFFFF"/>
      </w:pPr>
      <w:r w:rsidRPr="00D221E5">
        <w:t>Postępowania o udzielenie zamówienia publicznego, w ramach których zamawiający stanowiący jednostki administracji rządowej odwołali się do wymagań odpowiednich systemów lub norm zarządzania środowiskowego w ramach warunków udziału w postępowaniu zajęły piąte miejsce pod względem liczby zastosowań i wartości zamówień publicznych. W porównaniu z rokiem 2021, liczba zamówień z takim aspektem środowiskowym pozostała niezmienna, natomiast wartość takich zamówień uległa spadkowi o</w:t>
      </w:r>
      <w:r w:rsidR="009A02C1">
        <w:t xml:space="preserve"> </w:t>
      </w:r>
      <w:r w:rsidRPr="00D221E5">
        <w:t>25 544 892,45 zł (bez podatku od towarów i usług).</w:t>
      </w:r>
    </w:p>
    <w:p w14:paraId="5319F123" w14:textId="77777777" w:rsidR="00D221E5" w:rsidRPr="00D221E5" w:rsidRDefault="00D221E5" w:rsidP="00D221E5">
      <w:pPr>
        <w:shd w:val="clear" w:color="auto" w:fill="FFFFFF"/>
      </w:pPr>
    </w:p>
    <w:p w14:paraId="25449AC4" w14:textId="77777777" w:rsidR="00D221E5" w:rsidRPr="00D221E5" w:rsidRDefault="00D221E5" w:rsidP="00D221E5">
      <w:pPr>
        <w:shd w:val="clear" w:color="auto" w:fill="FFFFFF"/>
      </w:pPr>
      <w:r w:rsidRPr="00D221E5">
        <w:t>Najrzadziej stosowanym aspektem środowiskowym wśród jednostek administracji rządowej, podobnie jak w przypadku ogółu zamawiających, było kryterium kosztu, które pozwala na wykorzystanie rachunku kosztów cyklu życia. Jedynie w 7 przypadkach zastosowano takie kryterium oceny ofert. Przełożyło się to również na najmniejszą wartość zamówień z określonym aspektem środowiskowym. Porównując z rokiem 2021, o 3 zwiększyła się liczba zamówień z zastosowaniem takiego instrumentu, przy jednoczesnym wzroście ich wartości o 8 230 898,05 zł (bez podatku od towarów i usług).</w:t>
      </w:r>
    </w:p>
    <w:p w14:paraId="15F00AB7" w14:textId="77777777" w:rsidR="000B44F1" w:rsidRPr="0026738D" w:rsidRDefault="000B44F1" w:rsidP="000B44F1">
      <w:pPr>
        <w:shd w:val="clear" w:color="auto" w:fill="FFFFFF"/>
      </w:pPr>
    </w:p>
    <w:p w14:paraId="471408E8" w14:textId="49CF2953" w:rsidR="00DA1EE9" w:rsidRPr="00135705" w:rsidRDefault="00DA1EE9" w:rsidP="00AE6CD3">
      <w:pPr>
        <w:pStyle w:val="Legenda"/>
      </w:pPr>
      <w:bookmarkStart w:id="162" w:name="_Toc141276500"/>
      <w:r w:rsidRPr="00B9095E">
        <w:t xml:space="preserve">Rys. </w:t>
      </w:r>
      <w:r w:rsidR="00BE2079">
        <w:fldChar w:fldCharType="begin"/>
      </w:r>
      <w:r w:rsidR="00BE2079">
        <w:instrText xml:space="preserve"> SEQ Rys. \* ARABIC </w:instrText>
      </w:r>
      <w:r w:rsidR="00BE2079">
        <w:fldChar w:fldCharType="separate"/>
      </w:r>
      <w:r w:rsidR="00A43C68">
        <w:rPr>
          <w:noProof/>
        </w:rPr>
        <w:t>22</w:t>
      </w:r>
      <w:r w:rsidR="00BE2079">
        <w:rPr>
          <w:noProof/>
        </w:rPr>
        <w:fldChar w:fldCharType="end"/>
      </w:r>
      <w:r w:rsidRPr="00B9095E">
        <w:t>. Liczba zamówień udzielonych przez jednostki administracji rządowej, w których zastosowano odpowiednie</w:t>
      </w:r>
      <w:r w:rsidRPr="00DA1EE9">
        <w:t xml:space="preserve"> aspekty środowiskowe</w:t>
      </w:r>
      <w:bookmarkEnd w:id="162"/>
    </w:p>
    <w:p w14:paraId="64EC7CD4" w14:textId="422E35C9" w:rsidR="00DA1EE9" w:rsidRPr="00035B66" w:rsidRDefault="00B9095E" w:rsidP="000B44F1">
      <w:r w:rsidRPr="00035B66">
        <w:rPr>
          <w:noProof/>
        </w:rPr>
        <w:drawing>
          <wp:inline distT="0" distB="0" distL="0" distR="0" wp14:anchorId="01D23E0F" wp14:editId="33D0B4DF">
            <wp:extent cx="5759450" cy="6449093"/>
            <wp:effectExtent l="0" t="0" r="12700" b="8890"/>
            <wp:docPr id="1948044004" name="Wykres 1">
              <a:extLst xmlns:a="http://schemas.openxmlformats.org/drawingml/2006/main">
                <a:ext uri="{FF2B5EF4-FFF2-40B4-BE49-F238E27FC236}">
                  <a16:creationId xmlns:a16="http://schemas.microsoft.com/office/drawing/2014/main" id="{8ED6B14A-6D56-7D47-5D8F-54CB42E81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F90ECBF" w14:textId="029EEB35" w:rsidR="00DA1EE9" w:rsidRPr="00035B66" w:rsidRDefault="00DA1EE9" w:rsidP="000B44F1"/>
    <w:p w14:paraId="25B200CF" w14:textId="2DC12A38" w:rsidR="000B2FBA" w:rsidRPr="0059773D" w:rsidRDefault="000B2FBA" w:rsidP="000B44F1"/>
    <w:p w14:paraId="7D0ED8BD" w14:textId="2A694588" w:rsidR="000B2FBA" w:rsidRPr="00135705" w:rsidRDefault="000B2FBA" w:rsidP="00AE6CD3">
      <w:pPr>
        <w:pStyle w:val="Legenda"/>
      </w:pPr>
      <w:bookmarkStart w:id="163" w:name="_Toc141276501"/>
      <w:r w:rsidRPr="00A35FF1">
        <w:t xml:space="preserve">Rys. </w:t>
      </w:r>
      <w:r w:rsidR="00BE2079">
        <w:fldChar w:fldCharType="begin"/>
      </w:r>
      <w:r w:rsidR="00BE2079">
        <w:instrText xml:space="preserve"> SEQ Rys. \* ARABIC </w:instrText>
      </w:r>
      <w:r w:rsidR="00BE2079">
        <w:fldChar w:fldCharType="separate"/>
      </w:r>
      <w:r w:rsidR="00A43C68">
        <w:rPr>
          <w:noProof/>
        </w:rPr>
        <w:t>23</w:t>
      </w:r>
      <w:r w:rsidR="00BE2079">
        <w:rPr>
          <w:noProof/>
        </w:rPr>
        <w:fldChar w:fldCharType="end"/>
      </w:r>
      <w:r w:rsidRPr="00A35FF1">
        <w:t>. Wartość zamówień udzielonych przez jednostki administracji rządowej, w których zastosowano</w:t>
      </w:r>
      <w:r w:rsidRPr="00DA1EE9">
        <w:t xml:space="preserve"> odpowiednie aspekty środowiskowe</w:t>
      </w:r>
      <w:bookmarkEnd w:id="163"/>
    </w:p>
    <w:p w14:paraId="667D8008" w14:textId="234E76B3" w:rsidR="000B2FBA" w:rsidRPr="0059773D" w:rsidRDefault="00A35FF1" w:rsidP="000B44F1">
      <w:r w:rsidRPr="0059773D">
        <w:rPr>
          <w:noProof/>
        </w:rPr>
        <w:drawing>
          <wp:inline distT="0" distB="0" distL="0" distR="0" wp14:anchorId="142C749E" wp14:editId="02D3ED52">
            <wp:extent cx="5759450" cy="6180873"/>
            <wp:effectExtent l="0" t="0" r="12700" b="10795"/>
            <wp:docPr id="1101458401" name="Wykres 1">
              <a:extLst xmlns:a="http://schemas.openxmlformats.org/drawingml/2006/main">
                <a:ext uri="{FF2B5EF4-FFF2-40B4-BE49-F238E27FC236}">
                  <a16:creationId xmlns:a16="http://schemas.microsoft.com/office/drawing/2014/main" id="{3B02E915-8543-1342-004E-51AF7F0CA5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EF479B3" w14:textId="58D84312" w:rsidR="00781AE3" w:rsidRPr="0059773D" w:rsidRDefault="00781AE3" w:rsidP="000B44F1"/>
    <w:p w14:paraId="75544F9D" w14:textId="77777777" w:rsidR="000B44F1" w:rsidRPr="00D734C0" w:rsidRDefault="000B44F1" w:rsidP="000B44F1">
      <w:pPr>
        <w:shd w:val="clear" w:color="auto" w:fill="FFFFFF"/>
      </w:pPr>
    </w:p>
    <w:p w14:paraId="3E7F2C14" w14:textId="4AD856FA" w:rsidR="000B44F1" w:rsidRPr="00284073" w:rsidRDefault="000B44F1" w:rsidP="000B44F1">
      <w:pPr>
        <w:shd w:val="clear" w:color="auto" w:fill="FFFFFF"/>
        <w:rPr>
          <w:i/>
        </w:rPr>
      </w:pPr>
      <w:r w:rsidRPr="00284073">
        <w:rPr>
          <w:i/>
        </w:rPr>
        <w:t>Dane dotyczące zamówień</w:t>
      </w:r>
      <w:r>
        <w:rPr>
          <w:i/>
        </w:rPr>
        <w:t xml:space="preserve"> udzielonych przez jednostki administracji rządowej</w:t>
      </w:r>
      <w:r w:rsidRPr="00284073">
        <w:rPr>
          <w:i/>
        </w:rPr>
        <w:t>, w których odwołano się do odpowiednich instrumentów środowiskowych</w:t>
      </w:r>
      <w:r w:rsidR="00AA4131">
        <w:rPr>
          <w:i/>
        </w:rPr>
        <w:t>,</w:t>
      </w:r>
      <w:r w:rsidRPr="00284073">
        <w:rPr>
          <w:i/>
        </w:rPr>
        <w:t xml:space="preserve"> przedstawiono w </w:t>
      </w:r>
      <w:hyperlink w:anchor="Zał_9" w:history="1">
        <w:r w:rsidRPr="00735A32">
          <w:rPr>
            <w:rStyle w:val="Hipercze"/>
            <w:i/>
          </w:rPr>
          <w:t>załączniku nr</w:t>
        </w:r>
        <w:r w:rsidR="009343A1">
          <w:rPr>
            <w:rStyle w:val="Hipercze"/>
            <w:i/>
          </w:rPr>
          <w:t xml:space="preserve"> </w:t>
        </w:r>
        <w:r w:rsidR="00735A32" w:rsidRPr="00735A32">
          <w:rPr>
            <w:rStyle w:val="Hipercze"/>
            <w:i/>
          </w:rPr>
          <w:t>9</w:t>
        </w:r>
      </w:hyperlink>
      <w:r w:rsidRPr="00284073">
        <w:rPr>
          <w:i/>
        </w:rPr>
        <w:t xml:space="preserve"> do niniejszego Sprawozdania. </w:t>
      </w:r>
    </w:p>
    <w:p w14:paraId="53232A5D" w14:textId="7E1D379A" w:rsidR="008935C7" w:rsidRDefault="008935C7" w:rsidP="008935C7">
      <w:pPr>
        <w:pStyle w:val="StylArial11ptWyjustowany"/>
        <w:shd w:val="clear" w:color="auto" w:fill="FFFFFF"/>
        <w:jc w:val="left"/>
        <w:rPr>
          <w:rFonts w:cs="Arial"/>
          <w:iCs/>
          <w:szCs w:val="22"/>
        </w:rPr>
      </w:pPr>
    </w:p>
    <w:p w14:paraId="41EB0D33" w14:textId="77777777" w:rsidR="008935C7" w:rsidRPr="008935C7" w:rsidRDefault="008935C7" w:rsidP="008935C7">
      <w:pPr>
        <w:pStyle w:val="StylArial11ptWyjustowany"/>
        <w:shd w:val="clear" w:color="auto" w:fill="FFFFFF"/>
        <w:jc w:val="left"/>
        <w:rPr>
          <w:rFonts w:cs="Arial"/>
          <w:iCs/>
          <w:szCs w:val="22"/>
        </w:rPr>
      </w:pPr>
    </w:p>
    <w:p w14:paraId="766246A8" w14:textId="087802B8" w:rsidR="008935C7" w:rsidRDefault="008935C7" w:rsidP="00E16264">
      <w:pPr>
        <w:pStyle w:val="Akapitzlist"/>
        <w:numPr>
          <w:ilvl w:val="1"/>
          <w:numId w:val="6"/>
        </w:numPr>
        <w:rPr>
          <w:rFonts w:cs="Arial"/>
          <w:b/>
          <w:iCs/>
          <w:color w:val="0070C0"/>
          <w:sz w:val="22"/>
          <w:szCs w:val="22"/>
          <w:lang w:val="pl-PL" w:eastAsia="pl-PL"/>
        </w:rPr>
      </w:pPr>
      <w:r w:rsidRPr="008935C7">
        <w:rPr>
          <w:rFonts w:cs="Arial"/>
          <w:b/>
          <w:iCs/>
          <w:color w:val="0070C0"/>
          <w:sz w:val="22"/>
          <w:szCs w:val="22"/>
          <w:lang w:val="pl-PL" w:eastAsia="pl-PL"/>
        </w:rPr>
        <w:t>Innowacyjne zamówienia publiczne</w:t>
      </w:r>
      <w:r>
        <w:rPr>
          <w:rFonts w:cs="Arial"/>
          <w:b/>
          <w:iCs/>
          <w:color w:val="0070C0"/>
          <w:sz w:val="22"/>
          <w:szCs w:val="22"/>
          <w:lang w:val="pl-PL" w:eastAsia="pl-PL"/>
        </w:rPr>
        <w:t xml:space="preserve"> </w:t>
      </w:r>
      <w:r w:rsidRPr="008935C7">
        <w:rPr>
          <w:rFonts w:cs="Arial"/>
          <w:b/>
          <w:iCs/>
          <w:color w:val="0070C0"/>
          <w:sz w:val="22"/>
          <w:szCs w:val="22"/>
          <w:lang w:val="pl-PL" w:eastAsia="pl-PL"/>
        </w:rPr>
        <w:t>udzielane przez jednostki administracji rządowej</w:t>
      </w:r>
    </w:p>
    <w:p w14:paraId="71DBA010" w14:textId="77777777" w:rsidR="008935C7" w:rsidRPr="008935C7" w:rsidRDefault="008935C7" w:rsidP="00214C6F">
      <w:pPr>
        <w:rPr>
          <w:rFonts w:cs="Arial"/>
          <w:iCs/>
          <w:szCs w:val="22"/>
        </w:rPr>
      </w:pPr>
    </w:p>
    <w:p w14:paraId="4A984D01" w14:textId="6C0CE280" w:rsidR="00952FCC" w:rsidRPr="00952FCC" w:rsidRDefault="00952FCC" w:rsidP="00952FCC">
      <w:pPr>
        <w:shd w:val="clear" w:color="auto" w:fill="FFFFFF"/>
      </w:pPr>
      <w:r w:rsidRPr="00952FCC">
        <w:t>W 2022 r. 8 zamawiających stanowiących jednostki administracji rządowej udzieliło 12 zamówień publicznych uwzględniających aspekty innowacyjne o łącznej wartości 3 417 044 261,64 zł (bez podatku od towarów i usług). W porównaniu z rokiem 2021, oznacza to spadek liczby zamówień innowacyjnych o 4 zamówienia, przy jednoczesnym znacznym wzroście wartości zamówień o takim charakterze. Różnica w wartości wyniosła 3 383 876 756,02 zł</w:t>
      </w:r>
      <w:r w:rsidR="009A02C1">
        <w:t xml:space="preserve"> </w:t>
      </w:r>
      <w:r w:rsidRPr="00952FCC">
        <w:t>(bez podatku od towarów i usług).</w:t>
      </w:r>
      <w:r w:rsidR="009A02C1">
        <w:t xml:space="preserve"> </w:t>
      </w:r>
      <w:r w:rsidRPr="00952FCC">
        <w:t>O 2 podmioty wzrosła</w:t>
      </w:r>
      <w:r w:rsidR="009A02C1">
        <w:t xml:space="preserve"> </w:t>
      </w:r>
      <w:r w:rsidRPr="00952FCC">
        <w:t>natomiast liczba zamawiających z administracji rządowej, którzy udzielili w 2022 r. zamówień z zastosowaniem aspektów innowacyjnych.</w:t>
      </w:r>
    </w:p>
    <w:p w14:paraId="4FCEF0CF" w14:textId="50B1BEE3" w:rsidR="00952FCC" w:rsidRPr="00952FCC" w:rsidRDefault="00952FCC" w:rsidP="00952FCC">
      <w:pPr>
        <w:shd w:val="clear" w:color="auto" w:fill="FFFFFF"/>
        <w:rPr>
          <w:b/>
        </w:rPr>
      </w:pPr>
      <w:r w:rsidRPr="00952FCC">
        <w:t>Udział innowacyjnych zamówień udzielonych przez jednostki administracji rządowej w ogólnej liczbie zamówień o charak</w:t>
      </w:r>
      <w:r w:rsidR="00681793">
        <w:t>terze innowacyjnym stanowił 7,5</w:t>
      </w:r>
      <w:r w:rsidRPr="00952FCC">
        <w:t>%. Z kolei wartość zamówień udzielonych przez jednostki administracji rządowej, w których uwzględniono aspekty innowacyjne stanowiła 69,56% wartości ogółu zamówień uwzględniających aspekty innowacyjne udzielonych przez polskich zamawiających.</w:t>
      </w:r>
    </w:p>
    <w:p w14:paraId="429868A0" w14:textId="77777777" w:rsidR="0026738D" w:rsidRPr="00214C6F" w:rsidRDefault="0026738D" w:rsidP="00214C6F">
      <w:pPr>
        <w:shd w:val="clear" w:color="auto" w:fill="FFFFFF"/>
      </w:pPr>
    </w:p>
    <w:p w14:paraId="1296C3A2" w14:textId="6394ACB3" w:rsidR="00214C6F" w:rsidRPr="00A232C4" w:rsidRDefault="00214C6F" w:rsidP="00214C6F">
      <w:pPr>
        <w:pStyle w:val="Legenda"/>
      </w:pPr>
      <w:bookmarkStart w:id="164" w:name="_Toc141276565"/>
      <w:r w:rsidRPr="00086E16">
        <w:t xml:space="preserve">Tab. </w:t>
      </w:r>
      <w:r w:rsidR="00BE2079">
        <w:fldChar w:fldCharType="begin"/>
      </w:r>
      <w:r w:rsidR="00BE2079">
        <w:instrText xml:space="preserve"> SEQ Tab. \* ARABIC </w:instrText>
      </w:r>
      <w:r w:rsidR="00BE2079">
        <w:fldChar w:fldCharType="separate"/>
      </w:r>
      <w:r w:rsidR="00A43C68">
        <w:rPr>
          <w:noProof/>
        </w:rPr>
        <w:t>58</w:t>
      </w:r>
      <w:r w:rsidR="00BE2079">
        <w:rPr>
          <w:noProof/>
        </w:rPr>
        <w:fldChar w:fldCharType="end"/>
      </w:r>
      <w:r w:rsidRPr="00086E16">
        <w:t>. Innowacyjne zamówienia publiczne udzielane przez jednostki administracji rządowej w 202</w:t>
      </w:r>
      <w:r w:rsidR="0026360A">
        <w:t>2</w:t>
      </w:r>
      <w:r w:rsidRPr="00086E16">
        <w:t xml:space="preserve"> r.</w:t>
      </w:r>
      <w:r w:rsidR="00B70DD5">
        <w:t xml:space="preserve"> </w:t>
      </w:r>
      <w:r w:rsidRPr="00086E16">
        <w:t>– dane ogólne</w:t>
      </w:r>
      <w:bookmarkEnd w:id="16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1"/>
        <w:gridCol w:w="2121"/>
      </w:tblGrid>
      <w:tr w:rsidR="00086E16" w:rsidRPr="00FD623C" w14:paraId="6B7DAA3C" w14:textId="77777777" w:rsidTr="00D50E39">
        <w:trPr>
          <w:trHeight w:val="300"/>
          <w:tblHeader/>
          <w:jc w:val="center"/>
        </w:trPr>
        <w:tc>
          <w:tcPr>
            <w:tcW w:w="9062" w:type="dxa"/>
            <w:gridSpan w:val="2"/>
            <w:shd w:val="clear" w:color="auto" w:fill="FFE599" w:themeFill="accent4" w:themeFillTint="66"/>
            <w:noWrap/>
            <w:vAlign w:val="center"/>
            <w:hideMark/>
          </w:tcPr>
          <w:p w14:paraId="1A59361D" w14:textId="77777777" w:rsidR="00086E16" w:rsidRPr="00FD623C" w:rsidRDefault="00086E16" w:rsidP="00D50E39">
            <w:pPr>
              <w:jc w:val="center"/>
              <w:rPr>
                <w:rFonts w:cs="Arial"/>
                <w:b/>
                <w:sz w:val="20"/>
                <w:szCs w:val="20"/>
              </w:rPr>
            </w:pPr>
            <w:r w:rsidRPr="00FD623C">
              <w:rPr>
                <w:rFonts w:cs="Arial"/>
                <w:b/>
                <w:sz w:val="20"/>
                <w:szCs w:val="20"/>
              </w:rPr>
              <w:t>DANE OGÓLNE</w:t>
            </w:r>
          </w:p>
        </w:tc>
      </w:tr>
      <w:tr w:rsidR="00086E16" w:rsidRPr="00FD623C" w14:paraId="6AD4B623" w14:textId="77777777" w:rsidTr="00D50E39">
        <w:trPr>
          <w:trHeight w:val="300"/>
          <w:jc w:val="center"/>
        </w:trPr>
        <w:tc>
          <w:tcPr>
            <w:tcW w:w="6941" w:type="dxa"/>
            <w:shd w:val="clear" w:color="auto" w:fill="auto"/>
            <w:noWrap/>
            <w:vAlign w:val="center"/>
            <w:hideMark/>
          </w:tcPr>
          <w:p w14:paraId="4EF8A660" w14:textId="77777777" w:rsidR="00086E16" w:rsidRPr="00FD623C" w:rsidRDefault="00086E16" w:rsidP="00D50E39">
            <w:pPr>
              <w:rPr>
                <w:rFonts w:cs="Arial"/>
                <w:bCs/>
                <w:sz w:val="20"/>
                <w:szCs w:val="20"/>
              </w:rPr>
            </w:pPr>
            <w:r w:rsidRPr="00FD623C">
              <w:rPr>
                <w:rFonts w:cs="Arial"/>
                <w:bCs/>
                <w:sz w:val="20"/>
                <w:szCs w:val="20"/>
              </w:rPr>
              <w:t>Liczba zamawiających, którzy udzielili zamówień publicznych</w:t>
            </w:r>
            <w:r>
              <w:rPr>
                <w:rFonts w:cs="Arial"/>
                <w:bCs/>
                <w:sz w:val="20"/>
                <w:szCs w:val="20"/>
              </w:rPr>
              <w:t xml:space="preserve"> </w:t>
            </w:r>
            <w:r w:rsidRPr="00FD623C">
              <w:rPr>
                <w:rFonts w:cs="Arial"/>
                <w:bCs/>
                <w:sz w:val="20"/>
                <w:szCs w:val="20"/>
              </w:rPr>
              <w:t xml:space="preserve">o charakterze </w:t>
            </w:r>
            <w:r>
              <w:rPr>
                <w:rFonts w:cs="Arial"/>
                <w:bCs/>
                <w:sz w:val="20"/>
                <w:szCs w:val="20"/>
              </w:rPr>
              <w:t xml:space="preserve">innowacyjnym </w:t>
            </w:r>
          </w:p>
        </w:tc>
        <w:tc>
          <w:tcPr>
            <w:tcW w:w="2121" w:type="dxa"/>
            <w:shd w:val="clear" w:color="auto" w:fill="auto"/>
            <w:noWrap/>
            <w:vAlign w:val="center"/>
          </w:tcPr>
          <w:p w14:paraId="34137DFA" w14:textId="77777777" w:rsidR="00086E16" w:rsidRPr="003C1894" w:rsidRDefault="00086E16" w:rsidP="00D50E39">
            <w:pPr>
              <w:jc w:val="center"/>
              <w:rPr>
                <w:rFonts w:cs="Arial"/>
                <w:sz w:val="20"/>
                <w:szCs w:val="20"/>
              </w:rPr>
            </w:pPr>
            <w:r>
              <w:rPr>
                <w:rFonts w:cs="Arial"/>
                <w:sz w:val="20"/>
                <w:szCs w:val="20"/>
              </w:rPr>
              <w:t>8</w:t>
            </w:r>
          </w:p>
        </w:tc>
      </w:tr>
      <w:tr w:rsidR="00086E16" w:rsidRPr="00FD623C" w14:paraId="74AC0A50" w14:textId="77777777" w:rsidTr="00D50E39">
        <w:trPr>
          <w:trHeight w:val="300"/>
          <w:jc w:val="center"/>
        </w:trPr>
        <w:tc>
          <w:tcPr>
            <w:tcW w:w="6941" w:type="dxa"/>
            <w:shd w:val="clear" w:color="auto" w:fill="FFF2CC" w:themeFill="accent4" w:themeFillTint="33"/>
            <w:noWrap/>
            <w:vAlign w:val="center"/>
          </w:tcPr>
          <w:p w14:paraId="7D5C4024" w14:textId="77777777" w:rsidR="00086E16" w:rsidRPr="00FD623C" w:rsidRDefault="00086E16" w:rsidP="00D50E39">
            <w:pPr>
              <w:rPr>
                <w:rFonts w:cs="Arial"/>
                <w:bCs/>
                <w:sz w:val="20"/>
                <w:szCs w:val="20"/>
              </w:rPr>
            </w:pPr>
            <w:r w:rsidRPr="00FD623C">
              <w:rPr>
                <w:rFonts w:cs="Arial"/>
                <w:bCs/>
                <w:sz w:val="20"/>
                <w:szCs w:val="20"/>
              </w:rPr>
              <w:t xml:space="preserve">Liczba </w:t>
            </w:r>
            <w:r w:rsidRPr="00FD623C">
              <w:rPr>
                <w:rFonts w:cs="Arial"/>
                <w:sz w:val="20"/>
                <w:szCs w:val="20"/>
              </w:rPr>
              <w:t xml:space="preserve">udzielonych zamówień uwzględniających aspekty </w:t>
            </w:r>
            <w:r>
              <w:rPr>
                <w:rFonts w:cs="Arial"/>
                <w:bCs/>
                <w:sz w:val="20"/>
                <w:szCs w:val="20"/>
              </w:rPr>
              <w:t>innowacyjne</w:t>
            </w:r>
          </w:p>
        </w:tc>
        <w:tc>
          <w:tcPr>
            <w:tcW w:w="2121" w:type="dxa"/>
            <w:shd w:val="clear" w:color="auto" w:fill="FFF2CC" w:themeFill="accent4" w:themeFillTint="33"/>
            <w:noWrap/>
            <w:vAlign w:val="center"/>
          </w:tcPr>
          <w:p w14:paraId="5715A6C7" w14:textId="77777777" w:rsidR="00086E16" w:rsidRPr="00FD623C" w:rsidRDefault="00086E16" w:rsidP="00D50E39">
            <w:pPr>
              <w:jc w:val="center"/>
              <w:rPr>
                <w:rFonts w:cs="Arial"/>
                <w:sz w:val="20"/>
                <w:szCs w:val="20"/>
              </w:rPr>
            </w:pPr>
            <w:r w:rsidRPr="008540ED">
              <w:rPr>
                <w:rFonts w:cs="Arial"/>
                <w:sz w:val="20"/>
                <w:szCs w:val="20"/>
              </w:rPr>
              <w:t>12</w:t>
            </w:r>
          </w:p>
        </w:tc>
      </w:tr>
      <w:tr w:rsidR="00086E16" w:rsidRPr="00FD623C" w14:paraId="0BE1BDF2" w14:textId="77777777" w:rsidTr="00D50E39">
        <w:trPr>
          <w:trHeight w:val="300"/>
          <w:jc w:val="center"/>
        </w:trPr>
        <w:tc>
          <w:tcPr>
            <w:tcW w:w="6941" w:type="dxa"/>
            <w:shd w:val="clear" w:color="auto" w:fill="auto"/>
            <w:noWrap/>
            <w:vAlign w:val="center"/>
            <w:hideMark/>
          </w:tcPr>
          <w:p w14:paraId="0714A018" w14:textId="77777777" w:rsidR="00086E16" w:rsidRPr="00FD623C" w:rsidRDefault="00086E16" w:rsidP="00D50E39">
            <w:pPr>
              <w:rPr>
                <w:rFonts w:cs="Arial"/>
                <w:bCs/>
                <w:sz w:val="20"/>
                <w:szCs w:val="20"/>
              </w:rPr>
            </w:pPr>
            <w:r w:rsidRPr="00FD623C">
              <w:rPr>
                <w:rFonts w:cs="Arial"/>
                <w:bCs/>
                <w:sz w:val="20"/>
                <w:szCs w:val="20"/>
              </w:rPr>
              <w:t xml:space="preserve">Wartość </w:t>
            </w:r>
            <w:r w:rsidRPr="00FD623C">
              <w:rPr>
                <w:rFonts w:cs="Arial"/>
                <w:sz w:val="20"/>
                <w:szCs w:val="20"/>
              </w:rPr>
              <w:t xml:space="preserve">udzielonych zamówień uwzględniających aspekty </w:t>
            </w:r>
            <w:r>
              <w:rPr>
                <w:rFonts w:cs="Arial"/>
                <w:bCs/>
                <w:sz w:val="20"/>
                <w:szCs w:val="20"/>
              </w:rPr>
              <w:t>innowacyjne</w:t>
            </w:r>
          </w:p>
        </w:tc>
        <w:tc>
          <w:tcPr>
            <w:tcW w:w="2121" w:type="dxa"/>
            <w:shd w:val="clear" w:color="auto" w:fill="auto"/>
            <w:noWrap/>
            <w:vAlign w:val="center"/>
            <w:hideMark/>
          </w:tcPr>
          <w:p w14:paraId="3D4E641A" w14:textId="77777777" w:rsidR="00086E16" w:rsidRDefault="00086E16" w:rsidP="00D50E39">
            <w:pPr>
              <w:jc w:val="center"/>
              <w:rPr>
                <w:rFonts w:cs="Arial"/>
                <w:sz w:val="20"/>
                <w:szCs w:val="20"/>
              </w:rPr>
            </w:pPr>
            <w:r w:rsidRPr="008540ED">
              <w:rPr>
                <w:rFonts w:cs="Arial"/>
                <w:sz w:val="20"/>
                <w:szCs w:val="20"/>
              </w:rPr>
              <w:t>3 417 044 261,64 zł</w:t>
            </w:r>
          </w:p>
          <w:p w14:paraId="036319CF" w14:textId="77777777" w:rsidR="00086E16" w:rsidRPr="00FD623C" w:rsidRDefault="00086E16" w:rsidP="00D50E39">
            <w:pPr>
              <w:jc w:val="center"/>
              <w:rPr>
                <w:rFonts w:cs="Arial"/>
                <w:sz w:val="20"/>
                <w:szCs w:val="20"/>
              </w:rPr>
            </w:pPr>
            <w:r w:rsidRPr="00FD623C">
              <w:rPr>
                <w:rFonts w:cs="Arial"/>
                <w:sz w:val="20"/>
                <w:szCs w:val="20"/>
              </w:rPr>
              <w:t>(wartość bez VAT)</w:t>
            </w:r>
          </w:p>
        </w:tc>
      </w:tr>
    </w:tbl>
    <w:p w14:paraId="533BEA98" w14:textId="1CA8AF50" w:rsidR="00882F37" w:rsidRDefault="00882F37" w:rsidP="00882F37">
      <w:pPr>
        <w:shd w:val="clear" w:color="auto" w:fill="FFFFFF"/>
      </w:pPr>
    </w:p>
    <w:p w14:paraId="0E5A61D0" w14:textId="77777777" w:rsidR="00AA0EEF" w:rsidRPr="00A232C4" w:rsidRDefault="00AA0EEF" w:rsidP="00882F37">
      <w:pPr>
        <w:shd w:val="clear" w:color="auto" w:fill="FFFFFF"/>
      </w:pPr>
    </w:p>
    <w:p w14:paraId="59EE06BC" w14:textId="3A0FD9B3" w:rsidR="0026360A" w:rsidRPr="0026360A" w:rsidRDefault="0026360A" w:rsidP="0026360A">
      <w:pPr>
        <w:shd w:val="clear" w:color="auto" w:fill="FFFFFF"/>
      </w:pPr>
      <w:r w:rsidRPr="0026360A">
        <w:t xml:space="preserve">Instrumenty innowacyjne w największej liczbie przypadków stosowano w zamówieniach na dostawy. W tego rodzaju zamówieniach najczęściej określano wymagania związane z realizacją zamówienia </w:t>
      </w:r>
      <w:r w:rsidRPr="0026360A">
        <w:rPr>
          <w:bCs/>
        </w:rPr>
        <w:t xml:space="preserve">odnoszące się </w:t>
      </w:r>
      <w:r w:rsidR="004C7AFA">
        <w:rPr>
          <w:bCs/>
        </w:rPr>
        <w:t xml:space="preserve">do </w:t>
      </w:r>
      <w:r w:rsidRPr="0026360A">
        <w:rPr>
          <w:bCs/>
        </w:rPr>
        <w:t>aspektów innowacyjnych.</w:t>
      </w:r>
    </w:p>
    <w:p w14:paraId="1B852D9F" w14:textId="77777777" w:rsidR="0026360A" w:rsidRPr="0026360A" w:rsidRDefault="0026360A" w:rsidP="0026360A">
      <w:pPr>
        <w:shd w:val="clear" w:color="auto" w:fill="FFFFFF"/>
      </w:pPr>
    </w:p>
    <w:p w14:paraId="5F33DFA3" w14:textId="5EECE0EE" w:rsidR="0026360A" w:rsidRPr="0026360A" w:rsidRDefault="0026360A" w:rsidP="0026360A">
      <w:pPr>
        <w:shd w:val="clear" w:color="auto" w:fill="FFFFFF"/>
      </w:pPr>
      <w:r w:rsidRPr="0026360A">
        <w:t>Poniższe tabele prezentują zestawienie szczegółowych danych dotyczących zarówno liczby</w:t>
      </w:r>
      <w:r w:rsidR="00447DF9">
        <w:t xml:space="preserve">, </w:t>
      </w:r>
      <w:r w:rsidRPr="0026360A">
        <w:t>jak i wartości zamówień, w których zastosowano poszczególne instrumenty, dodatkowo w podziale na rodzaj zamówienia.</w:t>
      </w:r>
    </w:p>
    <w:p w14:paraId="53ACB78B" w14:textId="77777777" w:rsidR="0026738D" w:rsidRPr="00A232C4" w:rsidRDefault="0026738D" w:rsidP="00882F37">
      <w:pPr>
        <w:shd w:val="clear" w:color="auto" w:fill="FFFFFF"/>
      </w:pPr>
    </w:p>
    <w:p w14:paraId="25B588DD" w14:textId="77777777" w:rsidR="00882F37" w:rsidRPr="00214C6F" w:rsidRDefault="00882F37" w:rsidP="00882F37">
      <w:pPr>
        <w:shd w:val="clear" w:color="auto" w:fill="FFFFFF"/>
        <w:ind w:left="709"/>
        <w:rPr>
          <w:b/>
          <w:color w:val="0070C0"/>
        </w:rPr>
      </w:pPr>
      <w:r w:rsidRPr="00214C6F">
        <w:rPr>
          <w:b/>
          <w:color w:val="0070C0"/>
        </w:rPr>
        <w:t>Określenie w kryteriach oceny ofert aspektów innowacyjnych, o których mowa w art. 242 ust. 2 ustawy Pzp</w:t>
      </w:r>
    </w:p>
    <w:p w14:paraId="405053C3" w14:textId="77777777" w:rsidR="00882F37" w:rsidRPr="00A232C4" w:rsidRDefault="00882F37" w:rsidP="00882F37">
      <w:pPr>
        <w:shd w:val="clear" w:color="auto" w:fill="FFFFFF"/>
      </w:pPr>
    </w:p>
    <w:p w14:paraId="30AA4122" w14:textId="024BE96A" w:rsidR="00803EFE" w:rsidRPr="00A232C4" w:rsidRDefault="007C5537" w:rsidP="007C5537">
      <w:pPr>
        <w:pStyle w:val="Legenda"/>
      </w:pPr>
      <w:bookmarkStart w:id="165" w:name="_Toc141276566"/>
      <w:r w:rsidRPr="00A71457">
        <w:t xml:space="preserve">Tab. </w:t>
      </w:r>
      <w:r w:rsidR="00BE2079">
        <w:fldChar w:fldCharType="begin"/>
      </w:r>
      <w:r w:rsidR="00BE2079">
        <w:instrText xml:space="preserve"> SEQ Tab. \* ARABIC </w:instrText>
      </w:r>
      <w:r w:rsidR="00BE2079">
        <w:fldChar w:fldCharType="separate"/>
      </w:r>
      <w:r w:rsidR="00A43C68">
        <w:rPr>
          <w:noProof/>
        </w:rPr>
        <w:t>59</w:t>
      </w:r>
      <w:r w:rsidR="00BE2079">
        <w:rPr>
          <w:noProof/>
        </w:rPr>
        <w:fldChar w:fldCharType="end"/>
      </w:r>
      <w:r w:rsidRPr="00A71457">
        <w:t>. Innowacyjne zamówienia publiczne udzielane przez jednostki administracji rządowej z zastosowaniem art. 242 ust. 2 ustawy Pzp</w:t>
      </w:r>
      <w:bookmarkEnd w:id="165"/>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5"/>
        <w:gridCol w:w="1837"/>
      </w:tblGrid>
      <w:tr w:rsidR="00A71457" w:rsidRPr="00FD623C" w14:paraId="1F7D5948" w14:textId="77777777" w:rsidTr="00D50E39">
        <w:trPr>
          <w:trHeight w:val="300"/>
          <w:jc w:val="center"/>
        </w:trPr>
        <w:tc>
          <w:tcPr>
            <w:tcW w:w="7225" w:type="dxa"/>
            <w:shd w:val="clear" w:color="auto" w:fill="FFF2CC" w:themeFill="accent4" w:themeFillTint="33"/>
            <w:noWrap/>
            <w:vAlign w:val="center"/>
          </w:tcPr>
          <w:p w14:paraId="0C8D917A" w14:textId="77777777" w:rsidR="00A71457" w:rsidRPr="00FD623C" w:rsidRDefault="00A71457"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1837" w:type="dxa"/>
            <w:shd w:val="clear" w:color="auto" w:fill="FFF2CC" w:themeFill="accent4" w:themeFillTint="33"/>
            <w:noWrap/>
            <w:vAlign w:val="center"/>
          </w:tcPr>
          <w:p w14:paraId="2E12BA2F" w14:textId="77777777" w:rsidR="00A71457" w:rsidRPr="00FD623C" w:rsidRDefault="00A71457" w:rsidP="00D50E39">
            <w:pPr>
              <w:jc w:val="center"/>
              <w:rPr>
                <w:rFonts w:cs="Arial"/>
                <w:sz w:val="20"/>
                <w:szCs w:val="20"/>
              </w:rPr>
            </w:pPr>
            <w:r w:rsidRPr="00C2551D">
              <w:rPr>
                <w:rFonts w:cs="Arial"/>
                <w:sz w:val="20"/>
                <w:szCs w:val="20"/>
              </w:rPr>
              <w:t>5</w:t>
            </w:r>
          </w:p>
        </w:tc>
      </w:tr>
      <w:tr w:rsidR="00A71457" w:rsidRPr="00FD623C" w14:paraId="555DCF4C" w14:textId="77777777" w:rsidTr="00D50E39">
        <w:trPr>
          <w:trHeight w:val="300"/>
          <w:jc w:val="center"/>
        </w:trPr>
        <w:tc>
          <w:tcPr>
            <w:tcW w:w="7225" w:type="dxa"/>
            <w:shd w:val="clear" w:color="auto" w:fill="auto"/>
            <w:noWrap/>
            <w:vAlign w:val="center"/>
            <w:hideMark/>
          </w:tcPr>
          <w:p w14:paraId="26D6E3D4" w14:textId="77777777" w:rsidR="00A71457" w:rsidRPr="00FD623C" w:rsidRDefault="00A71457"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1837" w:type="dxa"/>
            <w:shd w:val="clear" w:color="auto" w:fill="auto"/>
            <w:noWrap/>
            <w:vAlign w:val="center"/>
            <w:hideMark/>
          </w:tcPr>
          <w:p w14:paraId="1CEF14D8" w14:textId="77777777" w:rsidR="00A71457" w:rsidRDefault="00A71457" w:rsidP="00D50E39">
            <w:pPr>
              <w:jc w:val="center"/>
              <w:rPr>
                <w:rFonts w:cs="Arial"/>
                <w:sz w:val="20"/>
                <w:szCs w:val="20"/>
              </w:rPr>
            </w:pPr>
            <w:r w:rsidRPr="00C2551D">
              <w:rPr>
                <w:rFonts w:cs="Arial"/>
                <w:sz w:val="20"/>
                <w:szCs w:val="20"/>
              </w:rPr>
              <w:t>52 668 531,48 zł</w:t>
            </w:r>
          </w:p>
          <w:p w14:paraId="1AFF75FB" w14:textId="77777777" w:rsidR="00A71457" w:rsidRPr="00FD623C" w:rsidRDefault="00A71457" w:rsidP="00D50E39">
            <w:pPr>
              <w:jc w:val="center"/>
              <w:rPr>
                <w:rFonts w:cs="Arial"/>
                <w:sz w:val="20"/>
                <w:szCs w:val="20"/>
              </w:rPr>
            </w:pPr>
            <w:r w:rsidRPr="00FD623C">
              <w:rPr>
                <w:rFonts w:cs="Arial"/>
                <w:sz w:val="20"/>
                <w:szCs w:val="20"/>
              </w:rPr>
              <w:t>(wartość bez VAT)</w:t>
            </w:r>
          </w:p>
        </w:tc>
      </w:tr>
    </w:tbl>
    <w:p w14:paraId="5A2C9422" w14:textId="77777777" w:rsidR="00882F37" w:rsidRPr="00A232C4" w:rsidRDefault="00882F37" w:rsidP="00882F3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536"/>
      </w:tblGrid>
      <w:tr w:rsidR="00882F37" w:rsidRPr="00A232C4" w14:paraId="073474E2" w14:textId="77777777" w:rsidTr="00EF57A8">
        <w:trPr>
          <w:trHeight w:val="300"/>
          <w:tblHeader/>
          <w:jc w:val="center"/>
        </w:trPr>
        <w:tc>
          <w:tcPr>
            <w:tcW w:w="2689" w:type="dxa"/>
            <w:shd w:val="clear" w:color="auto" w:fill="FFE599" w:themeFill="accent4" w:themeFillTint="66"/>
            <w:noWrap/>
            <w:vAlign w:val="center"/>
          </w:tcPr>
          <w:p w14:paraId="7B3BBD01" w14:textId="77777777" w:rsidR="00882F37" w:rsidRPr="00A232C4" w:rsidRDefault="00882F37" w:rsidP="00EF57A8">
            <w:pPr>
              <w:jc w:val="center"/>
              <w:rPr>
                <w:rFonts w:cs="Arial"/>
                <w:b/>
                <w:sz w:val="20"/>
                <w:szCs w:val="20"/>
              </w:rPr>
            </w:pPr>
            <w:r w:rsidRPr="00A232C4">
              <w:rPr>
                <w:rFonts w:cs="Arial"/>
                <w:b/>
                <w:bCs/>
                <w:sz w:val="20"/>
                <w:szCs w:val="20"/>
              </w:rPr>
              <w:t>Rodzaj zamówienia</w:t>
            </w:r>
          </w:p>
        </w:tc>
        <w:tc>
          <w:tcPr>
            <w:tcW w:w="1842" w:type="dxa"/>
            <w:shd w:val="clear" w:color="auto" w:fill="FFE599" w:themeFill="accent4" w:themeFillTint="66"/>
            <w:vAlign w:val="center"/>
          </w:tcPr>
          <w:p w14:paraId="3DCEDBB4" w14:textId="77777777" w:rsidR="00882F37" w:rsidRPr="00A232C4" w:rsidRDefault="00882F37" w:rsidP="00EF57A8">
            <w:pPr>
              <w:jc w:val="center"/>
              <w:rPr>
                <w:rFonts w:cs="Arial"/>
                <w:b/>
                <w:sz w:val="20"/>
                <w:szCs w:val="20"/>
              </w:rPr>
            </w:pPr>
            <w:r w:rsidRPr="00A232C4">
              <w:rPr>
                <w:rFonts w:cs="Arial"/>
                <w:b/>
                <w:sz w:val="20"/>
                <w:szCs w:val="20"/>
              </w:rPr>
              <w:t>Liczba</w:t>
            </w:r>
          </w:p>
        </w:tc>
        <w:tc>
          <w:tcPr>
            <w:tcW w:w="4536" w:type="dxa"/>
            <w:shd w:val="clear" w:color="auto" w:fill="FFE599" w:themeFill="accent4" w:themeFillTint="66"/>
            <w:vAlign w:val="center"/>
          </w:tcPr>
          <w:p w14:paraId="43CF6A79" w14:textId="77777777" w:rsidR="00882F37" w:rsidRPr="00A232C4" w:rsidRDefault="00882F37" w:rsidP="00EF57A8">
            <w:pPr>
              <w:jc w:val="center"/>
              <w:rPr>
                <w:rFonts w:cs="Arial"/>
                <w:b/>
                <w:sz w:val="20"/>
                <w:szCs w:val="20"/>
              </w:rPr>
            </w:pPr>
            <w:r w:rsidRPr="00A232C4">
              <w:rPr>
                <w:rFonts w:cs="Arial"/>
                <w:b/>
                <w:sz w:val="20"/>
                <w:szCs w:val="20"/>
              </w:rPr>
              <w:t>Wartość (bez VAT)</w:t>
            </w:r>
          </w:p>
        </w:tc>
      </w:tr>
      <w:tr w:rsidR="00E76739" w:rsidRPr="00A232C4" w14:paraId="4B881056" w14:textId="77777777" w:rsidTr="00D50E39">
        <w:trPr>
          <w:trHeight w:val="300"/>
          <w:jc w:val="center"/>
        </w:trPr>
        <w:tc>
          <w:tcPr>
            <w:tcW w:w="2689" w:type="dxa"/>
            <w:shd w:val="clear" w:color="auto" w:fill="auto"/>
            <w:noWrap/>
            <w:vAlign w:val="center"/>
          </w:tcPr>
          <w:p w14:paraId="0274BC2D" w14:textId="77777777" w:rsidR="00E76739" w:rsidRPr="00BA656B" w:rsidRDefault="00E76739" w:rsidP="00E76739">
            <w:pPr>
              <w:jc w:val="center"/>
              <w:rPr>
                <w:rFonts w:cs="Arial"/>
                <w:bCs/>
                <w:sz w:val="20"/>
                <w:szCs w:val="20"/>
              </w:rPr>
            </w:pPr>
            <w:r w:rsidRPr="00BA656B">
              <w:rPr>
                <w:rFonts w:cs="Arial"/>
                <w:bCs/>
                <w:sz w:val="20"/>
                <w:szCs w:val="20"/>
              </w:rPr>
              <w:t>Dostawy</w:t>
            </w:r>
          </w:p>
        </w:tc>
        <w:tc>
          <w:tcPr>
            <w:tcW w:w="1842" w:type="dxa"/>
            <w:shd w:val="clear" w:color="auto" w:fill="auto"/>
            <w:noWrap/>
            <w:vAlign w:val="center"/>
          </w:tcPr>
          <w:p w14:paraId="5363B50E" w14:textId="44E7350D" w:rsidR="00E76739" w:rsidRPr="00BA656B" w:rsidRDefault="00E76739" w:rsidP="00E76739">
            <w:pPr>
              <w:jc w:val="center"/>
              <w:rPr>
                <w:rFonts w:cs="Arial"/>
                <w:sz w:val="20"/>
                <w:szCs w:val="20"/>
              </w:rPr>
            </w:pPr>
            <w:r w:rsidRPr="00AA493C">
              <w:rPr>
                <w:sz w:val="20"/>
                <w:szCs w:val="20"/>
              </w:rPr>
              <w:t>3</w:t>
            </w:r>
          </w:p>
        </w:tc>
        <w:tc>
          <w:tcPr>
            <w:tcW w:w="4536" w:type="dxa"/>
            <w:shd w:val="clear" w:color="auto" w:fill="auto"/>
            <w:vAlign w:val="center"/>
          </w:tcPr>
          <w:p w14:paraId="3325C875" w14:textId="759FBF92" w:rsidR="00E76739" w:rsidRPr="00BA656B" w:rsidRDefault="00E76739" w:rsidP="00E76739">
            <w:pPr>
              <w:jc w:val="center"/>
              <w:rPr>
                <w:rFonts w:cs="Arial"/>
                <w:sz w:val="20"/>
                <w:szCs w:val="20"/>
              </w:rPr>
            </w:pPr>
            <w:r w:rsidRPr="00AA493C">
              <w:rPr>
                <w:sz w:val="20"/>
                <w:szCs w:val="20"/>
              </w:rPr>
              <w:t>51 797 560,98 zł</w:t>
            </w:r>
          </w:p>
        </w:tc>
      </w:tr>
      <w:tr w:rsidR="00E76739" w:rsidRPr="00A232C4" w14:paraId="4FD17610" w14:textId="77777777" w:rsidTr="00EF57A8">
        <w:trPr>
          <w:trHeight w:val="300"/>
          <w:jc w:val="center"/>
        </w:trPr>
        <w:tc>
          <w:tcPr>
            <w:tcW w:w="2689" w:type="dxa"/>
            <w:shd w:val="clear" w:color="auto" w:fill="FFF2CC" w:themeFill="accent4" w:themeFillTint="33"/>
            <w:noWrap/>
            <w:vAlign w:val="center"/>
            <w:hideMark/>
          </w:tcPr>
          <w:p w14:paraId="3DE7994C" w14:textId="77777777" w:rsidR="00E76739" w:rsidRPr="00BA656B" w:rsidRDefault="00E76739" w:rsidP="00E76739">
            <w:pPr>
              <w:jc w:val="center"/>
              <w:rPr>
                <w:rFonts w:cs="Arial"/>
                <w:bCs/>
                <w:sz w:val="20"/>
                <w:szCs w:val="20"/>
              </w:rPr>
            </w:pPr>
            <w:r w:rsidRPr="00BA656B">
              <w:rPr>
                <w:rFonts w:cs="Arial"/>
                <w:bCs/>
                <w:sz w:val="20"/>
                <w:szCs w:val="20"/>
              </w:rPr>
              <w:t>Roboty budowlane</w:t>
            </w:r>
          </w:p>
        </w:tc>
        <w:tc>
          <w:tcPr>
            <w:tcW w:w="1842" w:type="dxa"/>
            <w:shd w:val="clear" w:color="auto" w:fill="FFF2CC" w:themeFill="accent4" w:themeFillTint="33"/>
            <w:noWrap/>
            <w:vAlign w:val="center"/>
          </w:tcPr>
          <w:p w14:paraId="78F0BB38" w14:textId="6FF3CC21" w:rsidR="00E76739" w:rsidRPr="00BA656B" w:rsidRDefault="00E76739" w:rsidP="00E76739">
            <w:pPr>
              <w:jc w:val="center"/>
              <w:rPr>
                <w:rFonts w:cs="Arial"/>
                <w:sz w:val="20"/>
                <w:szCs w:val="20"/>
              </w:rPr>
            </w:pPr>
            <w:r w:rsidRPr="00AA493C">
              <w:rPr>
                <w:sz w:val="20"/>
                <w:szCs w:val="20"/>
              </w:rPr>
              <w:t>0</w:t>
            </w:r>
          </w:p>
        </w:tc>
        <w:tc>
          <w:tcPr>
            <w:tcW w:w="4536" w:type="dxa"/>
            <w:shd w:val="clear" w:color="auto" w:fill="FFF2CC" w:themeFill="accent4" w:themeFillTint="33"/>
            <w:vAlign w:val="center"/>
          </w:tcPr>
          <w:p w14:paraId="464B3F8A" w14:textId="31027157" w:rsidR="00E76739" w:rsidRPr="00BA656B" w:rsidRDefault="00E76739" w:rsidP="00E76739">
            <w:pPr>
              <w:jc w:val="center"/>
              <w:rPr>
                <w:rFonts w:cs="Arial"/>
                <w:sz w:val="20"/>
                <w:szCs w:val="20"/>
              </w:rPr>
            </w:pPr>
            <w:r w:rsidRPr="00AA493C">
              <w:rPr>
                <w:sz w:val="20"/>
                <w:szCs w:val="20"/>
              </w:rPr>
              <w:t>0,00 zł</w:t>
            </w:r>
          </w:p>
        </w:tc>
      </w:tr>
      <w:tr w:rsidR="00E76739" w:rsidRPr="00A232C4" w14:paraId="14F35599" w14:textId="77777777" w:rsidTr="00D50E39">
        <w:trPr>
          <w:trHeight w:val="300"/>
          <w:jc w:val="center"/>
        </w:trPr>
        <w:tc>
          <w:tcPr>
            <w:tcW w:w="2689" w:type="dxa"/>
            <w:shd w:val="clear" w:color="auto" w:fill="auto"/>
            <w:noWrap/>
            <w:vAlign w:val="center"/>
          </w:tcPr>
          <w:p w14:paraId="31AB10FD" w14:textId="77777777" w:rsidR="00E76739" w:rsidRPr="00BA656B" w:rsidRDefault="00E76739" w:rsidP="00E76739">
            <w:pPr>
              <w:jc w:val="center"/>
              <w:rPr>
                <w:rFonts w:cs="Arial"/>
                <w:bCs/>
                <w:sz w:val="20"/>
                <w:szCs w:val="20"/>
              </w:rPr>
            </w:pPr>
            <w:r w:rsidRPr="00BA656B">
              <w:rPr>
                <w:rFonts w:cs="Arial"/>
                <w:bCs/>
                <w:sz w:val="20"/>
                <w:szCs w:val="20"/>
              </w:rPr>
              <w:t>Usługi</w:t>
            </w:r>
          </w:p>
        </w:tc>
        <w:tc>
          <w:tcPr>
            <w:tcW w:w="1842" w:type="dxa"/>
            <w:shd w:val="clear" w:color="auto" w:fill="auto"/>
            <w:noWrap/>
            <w:vAlign w:val="center"/>
          </w:tcPr>
          <w:p w14:paraId="0AB79733" w14:textId="62F6926E" w:rsidR="00E76739" w:rsidRPr="00BA656B" w:rsidRDefault="00E76739" w:rsidP="00E76739">
            <w:pPr>
              <w:jc w:val="center"/>
              <w:rPr>
                <w:rFonts w:cs="Arial"/>
                <w:sz w:val="20"/>
                <w:szCs w:val="20"/>
              </w:rPr>
            </w:pPr>
            <w:r w:rsidRPr="00AA493C">
              <w:rPr>
                <w:sz w:val="20"/>
                <w:szCs w:val="20"/>
              </w:rPr>
              <w:t>2</w:t>
            </w:r>
          </w:p>
        </w:tc>
        <w:tc>
          <w:tcPr>
            <w:tcW w:w="4536" w:type="dxa"/>
            <w:shd w:val="clear" w:color="auto" w:fill="auto"/>
            <w:vAlign w:val="center"/>
          </w:tcPr>
          <w:p w14:paraId="40303879" w14:textId="7B86451F" w:rsidR="00E76739" w:rsidRPr="00BA656B" w:rsidRDefault="00E76739" w:rsidP="00E76739">
            <w:pPr>
              <w:jc w:val="center"/>
              <w:rPr>
                <w:rFonts w:cs="Arial"/>
                <w:sz w:val="20"/>
                <w:szCs w:val="20"/>
              </w:rPr>
            </w:pPr>
            <w:r w:rsidRPr="00AA493C">
              <w:rPr>
                <w:sz w:val="20"/>
                <w:szCs w:val="20"/>
              </w:rPr>
              <w:t>870 970,50 zł</w:t>
            </w:r>
          </w:p>
        </w:tc>
      </w:tr>
    </w:tbl>
    <w:p w14:paraId="562787AD" w14:textId="5FBF4AF1" w:rsidR="00882F37" w:rsidRDefault="00882F37" w:rsidP="00882F37">
      <w:pPr>
        <w:shd w:val="clear" w:color="auto" w:fill="FFFFFF"/>
      </w:pPr>
    </w:p>
    <w:p w14:paraId="48AADE09" w14:textId="77777777" w:rsidR="002906A2" w:rsidRPr="00A232C4" w:rsidRDefault="002906A2" w:rsidP="00882F37">
      <w:pPr>
        <w:shd w:val="clear" w:color="auto" w:fill="FFFFFF"/>
      </w:pPr>
    </w:p>
    <w:p w14:paraId="458CE16C" w14:textId="5F573A8E" w:rsidR="00882F37" w:rsidRPr="002906A2" w:rsidRDefault="00882F37" w:rsidP="00882F37">
      <w:pPr>
        <w:shd w:val="clear" w:color="auto" w:fill="FFFFFF"/>
        <w:ind w:left="709"/>
        <w:rPr>
          <w:b/>
          <w:color w:val="0070C0"/>
        </w:rPr>
      </w:pPr>
      <w:r w:rsidRPr="002906A2">
        <w:rPr>
          <w:b/>
          <w:color w:val="0070C0"/>
        </w:rPr>
        <w:t>Określenie wymagań zw</w:t>
      </w:r>
      <w:r w:rsidR="00AA4131">
        <w:rPr>
          <w:b/>
          <w:color w:val="0070C0"/>
        </w:rPr>
        <w:t>iązanych</w:t>
      </w:r>
      <w:r w:rsidRPr="002906A2">
        <w:rPr>
          <w:b/>
          <w:color w:val="0070C0"/>
        </w:rPr>
        <w:t xml:space="preserve"> z realizacją zamówienia obejmujących aspekty zw</w:t>
      </w:r>
      <w:r w:rsidR="00AA4131">
        <w:rPr>
          <w:b/>
          <w:color w:val="0070C0"/>
        </w:rPr>
        <w:t>iązane</w:t>
      </w:r>
      <w:r w:rsidRPr="002906A2">
        <w:rPr>
          <w:b/>
          <w:color w:val="0070C0"/>
        </w:rPr>
        <w:t xml:space="preserve"> z innowacyjnością, o których mowa w art. 96 ust. 1 ustawy Pzp</w:t>
      </w:r>
    </w:p>
    <w:p w14:paraId="48B0C373" w14:textId="77777777" w:rsidR="00882F37" w:rsidRPr="00A232C4" w:rsidRDefault="00882F37" w:rsidP="00882F37">
      <w:pPr>
        <w:shd w:val="clear" w:color="auto" w:fill="FFFFFF"/>
      </w:pPr>
    </w:p>
    <w:p w14:paraId="3FE83E64" w14:textId="3B8D5327" w:rsidR="00F526D6" w:rsidRPr="00F526D6" w:rsidRDefault="00F526D6" w:rsidP="00F526D6">
      <w:pPr>
        <w:pStyle w:val="Legenda"/>
      </w:pPr>
      <w:bookmarkStart w:id="166" w:name="_Toc141276567"/>
      <w:r w:rsidRPr="007922BA">
        <w:t xml:space="preserve">Tab. </w:t>
      </w:r>
      <w:r w:rsidR="00BE2079">
        <w:fldChar w:fldCharType="begin"/>
      </w:r>
      <w:r w:rsidR="00BE2079">
        <w:instrText xml:space="preserve"> SEQ Tab. \* ARABIC </w:instrText>
      </w:r>
      <w:r w:rsidR="00BE2079">
        <w:fldChar w:fldCharType="separate"/>
      </w:r>
      <w:r w:rsidR="00A43C68">
        <w:rPr>
          <w:noProof/>
        </w:rPr>
        <w:t>60</w:t>
      </w:r>
      <w:r w:rsidR="00BE2079">
        <w:rPr>
          <w:noProof/>
        </w:rPr>
        <w:fldChar w:fldCharType="end"/>
      </w:r>
      <w:r w:rsidRPr="007922BA">
        <w:t>. Innowacyjne zamówienia publiczne udzielane przez jednostki administracji rządowej z zastosowaniem art. 96 ust. 1 ustawy Pzp</w:t>
      </w:r>
      <w:bookmarkEnd w:id="166"/>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404"/>
      </w:tblGrid>
      <w:tr w:rsidR="007922BA" w:rsidRPr="00FD623C" w14:paraId="477ECDEA" w14:textId="77777777" w:rsidTr="00D50E39">
        <w:trPr>
          <w:trHeight w:val="300"/>
          <w:jc w:val="center"/>
        </w:trPr>
        <w:tc>
          <w:tcPr>
            <w:tcW w:w="6658" w:type="dxa"/>
            <w:shd w:val="clear" w:color="auto" w:fill="FFF2CC" w:themeFill="accent4" w:themeFillTint="33"/>
            <w:noWrap/>
            <w:vAlign w:val="center"/>
          </w:tcPr>
          <w:p w14:paraId="78641E5D" w14:textId="77777777" w:rsidR="007922BA" w:rsidRPr="00FD623C" w:rsidRDefault="007922BA" w:rsidP="00D50E39">
            <w:pPr>
              <w:rPr>
                <w:rFonts w:eastAsia="Calibri" w:cs="Arial"/>
                <w:sz w:val="20"/>
                <w:szCs w:val="20"/>
              </w:rPr>
            </w:pPr>
            <w:r w:rsidRPr="00FD623C">
              <w:rPr>
                <w:rFonts w:cs="Arial"/>
                <w:bCs/>
                <w:sz w:val="20"/>
                <w:szCs w:val="20"/>
              </w:rPr>
              <w:t xml:space="preserve">Liczba </w:t>
            </w:r>
            <w:r w:rsidRPr="00FD623C">
              <w:rPr>
                <w:rFonts w:cs="Arial"/>
                <w:sz w:val="20"/>
                <w:szCs w:val="20"/>
              </w:rPr>
              <w:t xml:space="preserve">zamówień </w:t>
            </w:r>
          </w:p>
        </w:tc>
        <w:tc>
          <w:tcPr>
            <w:tcW w:w="2404" w:type="dxa"/>
            <w:shd w:val="clear" w:color="auto" w:fill="FFF2CC" w:themeFill="accent4" w:themeFillTint="33"/>
            <w:noWrap/>
            <w:vAlign w:val="center"/>
          </w:tcPr>
          <w:p w14:paraId="33EDDE88" w14:textId="77777777" w:rsidR="007922BA" w:rsidRPr="00FD623C" w:rsidRDefault="007922BA" w:rsidP="00D50E39">
            <w:pPr>
              <w:jc w:val="center"/>
              <w:rPr>
                <w:rFonts w:cs="Arial"/>
                <w:sz w:val="20"/>
                <w:szCs w:val="20"/>
              </w:rPr>
            </w:pPr>
            <w:r>
              <w:rPr>
                <w:rFonts w:cs="Arial"/>
                <w:sz w:val="20"/>
                <w:szCs w:val="20"/>
              </w:rPr>
              <w:t>8</w:t>
            </w:r>
          </w:p>
        </w:tc>
      </w:tr>
      <w:tr w:rsidR="007922BA" w:rsidRPr="00FD623C" w14:paraId="0CD17EEF" w14:textId="77777777" w:rsidTr="00D50E39">
        <w:trPr>
          <w:trHeight w:val="300"/>
          <w:jc w:val="center"/>
        </w:trPr>
        <w:tc>
          <w:tcPr>
            <w:tcW w:w="6658" w:type="dxa"/>
            <w:shd w:val="clear" w:color="auto" w:fill="auto"/>
            <w:noWrap/>
            <w:vAlign w:val="center"/>
            <w:hideMark/>
          </w:tcPr>
          <w:p w14:paraId="66AE60EC" w14:textId="77777777" w:rsidR="007922BA" w:rsidRPr="00FD623C" w:rsidRDefault="007922BA" w:rsidP="00D50E39">
            <w:pPr>
              <w:rPr>
                <w:rFonts w:eastAsia="Calibri" w:cs="Arial"/>
                <w:sz w:val="20"/>
                <w:szCs w:val="20"/>
              </w:rPr>
            </w:pPr>
            <w:r w:rsidRPr="00FD623C">
              <w:rPr>
                <w:rFonts w:cs="Arial"/>
                <w:bCs/>
                <w:sz w:val="20"/>
                <w:szCs w:val="20"/>
              </w:rPr>
              <w:t xml:space="preserve">Wartość </w:t>
            </w:r>
            <w:r w:rsidRPr="00FD623C">
              <w:rPr>
                <w:rFonts w:cs="Arial"/>
                <w:sz w:val="20"/>
                <w:szCs w:val="20"/>
              </w:rPr>
              <w:t xml:space="preserve">zamówień </w:t>
            </w:r>
          </w:p>
        </w:tc>
        <w:tc>
          <w:tcPr>
            <w:tcW w:w="2404" w:type="dxa"/>
            <w:shd w:val="clear" w:color="auto" w:fill="auto"/>
            <w:noWrap/>
            <w:vAlign w:val="center"/>
            <w:hideMark/>
          </w:tcPr>
          <w:p w14:paraId="4AC9328C" w14:textId="77777777" w:rsidR="007922BA" w:rsidRDefault="007922BA" w:rsidP="00D50E39">
            <w:pPr>
              <w:jc w:val="center"/>
              <w:rPr>
                <w:rFonts w:cs="Arial"/>
                <w:sz w:val="20"/>
                <w:szCs w:val="20"/>
              </w:rPr>
            </w:pPr>
            <w:r w:rsidRPr="00A96D58">
              <w:rPr>
                <w:rFonts w:cs="Arial"/>
                <w:sz w:val="20"/>
                <w:szCs w:val="20"/>
              </w:rPr>
              <w:t>3 415 709 063,50 zł</w:t>
            </w:r>
          </w:p>
          <w:p w14:paraId="23A50585" w14:textId="77777777" w:rsidR="007922BA" w:rsidRPr="00FD623C" w:rsidRDefault="007922BA" w:rsidP="00D50E39">
            <w:pPr>
              <w:jc w:val="center"/>
              <w:rPr>
                <w:rFonts w:cs="Arial"/>
                <w:sz w:val="20"/>
                <w:szCs w:val="20"/>
              </w:rPr>
            </w:pPr>
            <w:r w:rsidRPr="00FD623C">
              <w:rPr>
                <w:rFonts w:cs="Arial"/>
                <w:sz w:val="20"/>
                <w:szCs w:val="20"/>
              </w:rPr>
              <w:t>(wartość bez VAT)</w:t>
            </w:r>
          </w:p>
        </w:tc>
      </w:tr>
    </w:tbl>
    <w:p w14:paraId="4F74A238" w14:textId="77777777" w:rsidR="00882F37" w:rsidRPr="00A232C4" w:rsidRDefault="00882F37" w:rsidP="00882F37">
      <w:pPr>
        <w:shd w:val="clear" w:color="auto" w:fill="FFFFFF"/>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59"/>
        <w:gridCol w:w="4961"/>
      </w:tblGrid>
      <w:tr w:rsidR="00882F37" w:rsidRPr="00A232C4" w14:paraId="6F8B9386" w14:textId="77777777" w:rsidTr="00EF57A8">
        <w:trPr>
          <w:trHeight w:val="300"/>
          <w:tblHeader/>
          <w:jc w:val="center"/>
        </w:trPr>
        <w:tc>
          <w:tcPr>
            <w:tcW w:w="2547" w:type="dxa"/>
            <w:shd w:val="clear" w:color="auto" w:fill="FFE599" w:themeFill="accent4" w:themeFillTint="66"/>
            <w:noWrap/>
            <w:vAlign w:val="center"/>
          </w:tcPr>
          <w:p w14:paraId="48802692" w14:textId="77777777" w:rsidR="00882F37" w:rsidRPr="00A232C4" w:rsidRDefault="00882F37" w:rsidP="00EF57A8">
            <w:pPr>
              <w:jc w:val="center"/>
              <w:rPr>
                <w:rFonts w:cs="Arial"/>
                <w:b/>
                <w:sz w:val="20"/>
                <w:szCs w:val="20"/>
              </w:rPr>
            </w:pPr>
            <w:r w:rsidRPr="00A232C4">
              <w:rPr>
                <w:rFonts w:cs="Arial"/>
                <w:b/>
                <w:bCs/>
                <w:sz w:val="20"/>
                <w:szCs w:val="20"/>
              </w:rPr>
              <w:t>Rodzaj zamówienia</w:t>
            </w:r>
          </w:p>
        </w:tc>
        <w:tc>
          <w:tcPr>
            <w:tcW w:w="1559" w:type="dxa"/>
            <w:shd w:val="clear" w:color="auto" w:fill="FFE599" w:themeFill="accent4" w:themeFillTint="66"/>
            <w:vAlign w:val="center"/>
          </w:tcPr>
          <w:p w14:paraId="77547BEA" w14:textId="77777777" w:rsidR="00882F37" w:rsidRPr="00A232C4" w:rsidRDefault="00882F37" w:rsidP="00EF57A8">
            <w:pPr>
              <w:jc w:val="center"/>
              <w:rPr>
                <w:rFonts w:cs="Arial"/>
                <w:b/>
                <w:sz w:val="20"/>
                <w:szCs w:val="20"/>
              </w:rPr>
            </w:pPr>
            <w:r w:rsidRPr="00A232C4">
              <w:rPr>
                <w:rFonts w:cs="Arial"/>
                <w:b/>
                <w:sz w:val="20"/>
                <w:szCs w:val="20"/>
              </w:rPr>
              <w:t>Liczba</w:t>
            </w:r>
          </w:p>
        </w:tc>
        <w:tc>
          <w:tcPr>
            <w:tcW w:w="4961" w:type="dxa"/>
            <w:shd w:val="clear" w:color="auto" w:fill="FFE599" w:themeFill="accent4" w:themeFillTint="66"/>
            <w:vAlign w:val="center"/>
          </w:tcPr>
          <w:p w14:paraId="7F22A7C8" w14:textId="77777777" w:rsidR="00882F37" w:rsidRPr="00A232C4" w:rsidRDefault="00882F37" w:rsidP="00EF57A8">
            <w:pPr>
              <w:jc w:val="center"/>
              <w:rPr>
                <w:rFonts w:cs="Arial"/>
                <w:b/>
                <w:sz w:val="20"/>
                <w:szCs w:val="20"/>
              </w:rPr>
            </w:pPr>
            <w:r w:rsidRPr="00A232C4">
              <w:rPr>
                <w:rFonts w:cs="Arial"/>
                <w:b/>
                <w:sz w:val="20"/>
                <w:szCs w:val="20"/>
              </w:rPr>
              <w:t>Wartość (bez VAT)</w:t>
            </w:r>
          </w:p>
        </w:tc>
      </w:tr>
      <w:tr w:rsidR="007922BA" w:rsidRPr="00A232C4" w14:paraId="365DECF6" w14:textId="77777777" w:rsidTr="00EF57A8">
        <w:trPr>
          <w:trHeight w:val="300"/>
          <w:jc w:val="center"/>
        </w:trPr>
        <w:tc>
          <w:tcPr>
            <w:tcW w:w="2547" w:type="dxa"/>
            <w:shd w:val="clear" w:color="auto" w:fill="auto"/>
            <w:noWrap/>
            <w:vAlign w:val="center"/>
          </w:tcPr>
          <w:p w14:paraId="58A75CDC" w14:textId="77777777" w:rsidR="007922BA" w:rsidRPr="00A232C4" w:rsidRDefault="007922BA" w:rsidP="007922BA">
            <w:pPr>
              <w:jc w:val="center"/>
              <w:rPr>
                <w:rFonts w:cs="Arial"/>
                <w:bCs/>
                <w:sz w:val="20"/>
                <w:szCs w:val="20"/>
              </w:rPr>
            </w:pPr>
            <w:r w:rsidRPr="00A232C4">
              <w:rPr>
                <w:rFonts w:cs="Arial"/>
                <w:bCs/>
                <w:sz w:val="20"/>
                <w:szCs w:val="20"/>
              </w:rPr>
              <w:t>Dostawy</w:t>
            </w:r>
          </w:p>
        </w:tc>
        <w:tc>
          <w:tcPr>
            <w:tcW w:w="1559" w:type="dxa"/>
            <w:shd w:val="clear" w:color="auto" w:fill="auto"/>
            <w:noWrap/>
            <w:vAlign w:val="center"/>
          </w:tcPr>
          <w:p w14:paraId="27A25464" w14:textId="67EC9AA3" w:rsidR="007922BA" w:rsidRPr="00A232C4" w:rsidRDefault="007922BA" w:rsidP="007922BA">
            <w:pPr>
              <w:jc w:val="center"/>
              <w:rPr>
                <w:rFonts w:cs="Arial"/>
                <w:sz w:val="20"/>
                <w:szCs w:val="20"/>
              </w:rPr>
            </w:pPr>
            <w:r w:rsidRPr="00A96D58">
              <w:rPr>
                <w:sz w:val="20"/>
                <w:szCs w:val="20"/>
              </w:rPr>
              <w:t>4</w:t>
            </w:r>
          </w:p>
        </w:tc>
        <w:tc>
          <w:tcPr>
            <w:tcW w:w="4961" w:type="dxa"/>
            <w:shd w:val="clear" w:color="auto" w:fill="auto"/>
            <w:vAlign w:val="center"/>
          </w:tcPr>
          <w:p w14:paraId="198C4C75" w14:textId="2EF92479" w:rsidR="007922BA" w:rsidRPr="00A232C4" w:rsidRDefault="007922BA" w:rsidP="007922BA">
            <w:pPr>
              <w:jc w:val="center"/>
              <w:rPr>
                <w:rFonts w:cs="Arial"/>
                <w:sz w:val="20"/>
                <w:szCs w:val="20"/>
              </w:rPr>
            </w:pPr>
            <w:r w:rsidRPr="00A96D58">
              <w:rPr>
                <w:sz w:val="20"/>
                <w:szCs w:val="20"/>
              </w:rPr>
              <w:t>57 518 621,96 zł</w:t>
            </w:r>
          </w:p>
        </w:tc>
      </w:tr>
      <w:tr w:rsidR="007922BA" w:rsidRPr="00A232C4" w14:paraId="09A32EF0" w14:textId="77777777" w:rsidTr="00EF57A8">
        <w:trPr>
          <w:trHeight w:val="300"/>
          <w:jc w:val="center"/>
        </w:trPr>
        <w:tc>
          <w:tcPr>
            <w:tcW w:w="2547" w:type="dxa"/>
            <w:shd w:val="clear" w:color="auto" w:fill="FFF2CC" w:themeFill="accent4" w:themeFillTint="33"/>
            <w:noWrap/>
            <w:vAlign w:val="center"/>
            <w:hideMark/>
          </w:tcPr>
          <w:p w14:paraId="4C5865A5" w14:textId="77777777" w:rsidR="007922BA" w:rsidRPr="00A232C4" w:rsidRDefault="007922BA" w:rsidP="007922BA">
            <w:pPr>
              <w:jc w:val="center"/>
              <w:rPr>
                <w:rFonts w:cs="Arial"/>
                <w:bCs/>
                <w:sz w:val="20"/>
                <w:szCs w:val="20"/>
              </w:rPr>
            </w:pPr>
            <w:r w:rsidRPr="00A232C4">
              <w:rPr>
                <w:rFonts w:cs="Arial"/>
                <w:bCs/>
                <w:sz w:val="20"/>
                <w:szCs w:val="20"/>
              </w:rPr>
              <w:t>Roboty budowlane</w:t>
            </w:r>
          </w:p>
        </w:tc>
        <w:tc>
          <w:tcPr>
            <w:tcW w:w="1559" w:type="dxa"/>
            <w:shd w:val="clear" w:color="auto" w:fill="FFF2CC" w:themeFill="accent4" w:themeFillTint="33"/>
            <w:noWrap/>
            <w:vAlign w:val="center"/>
          </w:tcPr>
          <w:p w14:paraId="76404155" w14:textId="37FD4387" w:rsidR="007922BA" w:rsidRPr="00A232C4" w:rsidRDefault="007922BA" w:rsidP="007922BA">
            <w:pPr>
              <w:jc w:val="center"/>
              <w:rPr>
                <w:rFonts w:cs="Arial"/>
                <w:sz w:val="20"/>
                <w:szCs w:val="20"/>
              </w:rPr>
            </w:pPr>
            <w:r w:rsidRPr="00A96D58">
              <w:rPr>
                <w:sz w:val="20"/>
                <w:szCs w:val="20"/>
              </w:rPr>
              <w:t>4</w:t>
            </w:r>
          </w:p>
        </w:tc>
        <w:tc>
          <w:tcPr>
            <w:tcW w:w="4961" w:type="dxa"/>
            <w:shd w:val="clear" w:color="auto" w:fill="FFF2CC" w:themeFill="accent4" w:themeFillTint="33"/>
            <w:vAlign w:val="center"/>
          </w:tcPr>
          <w:p w14:paraId="1A174448" w14:textId="4D61846D" w:rsidR="007922BA" w:rsidRPr="00A232C4" w:rsidRDefault="007922BA" w:rsidP="007922BA">
            <w:pPr>
              <w:jc w:val="center"/>
              <w:rPr>
                <w:rFonts w:cs="Arial"/>
                <w:sz w:val="20"/>
                <w:szCs w:val="20"/>
              </w:rPr>
            </w:pPr>
            <w:r w:rsidRPr="00A96D58">
              <w:rPr>
                <w:sz w:val="20"/>
                <w:szCs w:val="20"/>
              </w:rPr>
              <w:t>3 358 190 441,54 zł</w:t>
            </w:r>
          </w:p>
        </w:tc>
      </w:tr>
      <w:tr w:rsidR="007922BA" w:rsidRPr="00A232C4" w14:paraId="6E29B8AB" w14:textId="77777777" w:rsidTr="00EF57A8">
        <w:trPr>
          <w:trHeight w:val="300"/>
          <w:jc w:val="center"/>
        </w:trPr>
        <w:tc>
          <w:tcPr>
            <w:tcW w:w="2547" w:type="dxa"/>
            <w:shd w:val="clear" w:color="auto" w:fill="auto"/>
            <w:noWrap/>
            <w:vAlign w:val="center"/>
          </w:tcPr>
          <w:p w14:paraId="544C6A2E" w14:textId="77777777" w:rsidR="007922BA" w:rsidRPr="00A232C4" w:rsidRDefault="007922BA" w:rsidP="007922BA">
            <w:pPr>
              <w:jc w:val="center"/>
              <w:rPr>
                <w:rFonts w:cs="Arial"/>
                <w:bCs/>
                <w:sz w:val="20"/>
                <w:szCs w:val="20"/>
              </w:rPr>
            </w:pPr>
            <w:r w:rsidRPr="00A232C4">
              <w:rPr>
                <w:rFonts w:cs="Arial"/>
                <w:bCs/>
                <w:sz w:val="20"/>
                <w:szCs w:val="20"/>
              </w:rPr>
              <w:t>Usługi</w:t>
            </w:r>
          </w:p>
        </w:tc>
        <w:tc>
          <w:tcPr>
            <w:tcW w:w="1559" w:type="dxa"/>
            <w:shd w:val="clear" w:color="auto" w:fill="auto"/>
            <w:noWrap/>
            <w:vAlign w:val="center"/>
          </w:tcPr>
          <w:p w14:paraId="12923B02" w14:textId="07FAF73D" w:rsidR="007922BA" w:rsidRPr="00A232C4" w:rsidRDefault="007922BA" w:rsidP="007922BA">
            <w:pPr>
              <w:jc w:val="center"/>
              <w:rPr>
                <w:rFonts w:cs="Arial"/>
                <w:sz w:val="20"/>
                <w:szCs w:val="20"/>
              </w:rPr>
            </w:pPr>
            <w:r>
              <w:rPr>
                <w:rFonts w:cs="Arial"/>
                <w:sz w:val="20"/>
                <w:szCs w:val="20"/>
              </w:rPr>
              <w:t>0</w:t>
            </w:r>
          </w:p>
        </w:tc>
        <w:tc>
          <w:tcPr>
            <w:tcW w:w="4961" w:type="dxa"/>
            <w:shd w:val="clear" w:color="auto" w:fill="auto"/>
            <w:vAlign w:val="center"/>
          </w:tcPr>
          <w:p w14:paraId="0EEE7C78" w14:textId="070EB5C0" w:rsidR="007922BA" w:rsidRPr="00A232C4" w:rsidRDefault="007922BA" w:rsidP="007922BA">
            <w:pPr>
              <w:jc w:val="center"/>
              <w:rPr>
                <w:rFonts w:cs="Arial"/>
                <w:sz w:val="20"/>
                <w:szCs w:val="20"/>
              </w:rPr>
            </w:pPr>
            <w:r w:rsidRPr="00AA493C">
              <w:rPr>
                <w:sz w:val="20"/>
                <w:szCs w:val="20"/>
              </w:rPr>
              <w:t>0,00 zł</w:t>
            </w:r>
          </w:p>
        </w:tc>
      </w:tr>
    </w:tbl>
    <w:p w14:paraId="519E7759" w14:textId="77777777" w:rsidR="00882F37" w:rsidRDefault="00882F37" w:rsidP="00882F37">
      <w:pPr>
        <w:shd w:val="clear" w:color="auto" w:fill="FFFFFF"/>
      </w:pPr>
    </w:p>
    <w:p w14:paraId="089D077D" w14:textId="77777777" w:rsidR="00060E64" w:rsidRPr="00060E64" w:rsidRDefault="00060E64" w:rsidP="00060E64">
      <w:pPr>
        <w:shd w:val="clear" w:color="auto" w:fill="FFFFFF"/>
      </w:pPr>
      <w:r w:rsidRPr="00060E64">
        <w:t>Zamawiający należący do jednostek administracji rządowej stosowali aspekty innowacyjne niezwykle rzadko. Najwięcej przypadków dotyczyło określenia wymagań związanych z realizacją zamówienia obejmujących aspekty innowacyjne. To również przełożyło się na największą w</w:t>
      </w:r>
      <w:r w:rsidRPr="00060E64">
        <w:rPr>
          <w:bCs/>
        </w:rPr>
        <w:t xml:space="preserve">artość </w:t>
      </w:r>
      <w:r w:rsidRPr="00060E64">
        <w:t xml:space="preserve">zamówień uwzględniających aspekty </w:t>
      </w:r>
      <w:r w:rsidRPr="00060E64">
        <w:rPr>
          <w:bCs/>
        </w:rPr>
        <w:t xml:space="preserve">innowacyjne. W porównaniu z rokiem 2021, liczba zamówień z zastosowaniem tego aspektu nie uległa zmianie. Ich wartość wzrosła natomiast aż o 3 385 074 728,27 zł </w:t>
      </w:r>
      <w:r w:rsidRPr="00060E64">
        <w:t xml:space="preserve">(bez podatku od towarów i usług). </w:t>
      </w:r>
    </w:p>
    <w:p w14:paraId="0B34F1CC" w14:textId="77777777" w:rsidR="00060E64" w:rsidRPr="00060E64" w:rsidRDefault="00060E64" w:rsidP="00060E64">
      <w:pPr>
        <w:shd w:val="clear" w:color="auto" w:fill="FFFFFF"/>
      </w:pPr>
    </w:p>
    <w:p w14:paraId="092CD91C" w14:textId="77777777" w:rsidR="00060E64" w:rsidRPr="00060E64" w:rsidRDefault="00060E64" w:rsidP="00060E64">
      <w:pPr>
        <w:shd w:val="clear" w:color="auto" w:fill="FFFFFF"/>
        <w:rPr>
          <w:b/>
        </w:rPr>
      </w:pPr>
      <w:r w:rsidRPr="00060E64">
        <w:t xml:space="preserve">Porównując dane za dwa ostatnie lata, liczba zamówień </w:t>
      </w:r>
      <w:r w:rsidRPr="00060E64">
        <w:rPr>
          <w:bCs/>
        </w:rPr>
        <w:t>z zastosowaniem aspektów innowacyjnych w ramach kryteriów oceny ofert spadła w 2022 r. o 1 zamówienie, przy jednoczesnym wzroście ich wartości o 50 135 361,09 zł (bez podatku od towarów i usług).</w:t>
      </w:r>
    </w:p>
    <w:p w14:paraId="7E5C2E5D" w14:textId="25FBAF0D" w:rsidR="00882F37" w:rsidRPr="00521D7D" w:rsidRDefault="00882F37" w:rsidP="00882F37">
      <w:pPr>
        <w:shd w:val="clear" w:color="auto" w:fill="FFFFFF"/>
      </w:pPr>
    </w:p>
    <w:p w14:paraId="437753F3" w14:textId="40E21321" w:rsidR="00521D7D" w:rsidRPr="00521D7D" w:rsidRDefault="00521D7D" w:rsidP="00AE6CD3">
      <w:pPr>
        <w:pStyle w:val="Legenda"/>
      </w:pPr>
      <w:bookmarkStart w:id="167" w:name="_Toc141276502"/>
      <w:r w:rsidRPr="003B221B">
        <w:t xml:space="preserve">Rys. </w:t>
      </w:r>
      <w:r w:rsidR="00BE2079">
        <w:fldChar w:fldCharType="begin"/>
      </w:r>
      <w:r w:rsidR="00BE2079">
        <w:instrText xml:space="preserve"> SEQ Rys. \* ARABIC </w:instrText>
      </w:r>
      <w:r w:rsidR="00BE2079">
        <w:fldChar w:fldCharType="separate"/>
      </w:r>
      <w:r w:rsidR="00A43C68">
        <w:rPr>
          <w:noProof/>
        </w:rPr>
        <w:t>24</w:t>
      </w:r>
      <w:r w:rsidR="00BE2079">
        <w:rPr>
          <w:noProof/>
        </w:rPr>
        <w:fldChar w:fldCharType="end"/>
      </w:r>
      <w:r w:rsidRPr="003B221B">
        <w:t>. Liczba zamówień udzielonych przez jednostki administracji rządowej, w których zastosowano odpowiednie</w:t>
      </w:r>
      <w:r w:rsidRPr="00DA1EE9">
        <w:t xml:space="preserve"> aspekty </w:t>
      </w:r>
      <w:r>
        <w:t>innowacyjne</w:t>
      </w:r>
      <w:bookmarkEnd w:id="167"/>
    </w:p>
    <w:p w14:paraId="20600572" w14:textId="22014069" w:rsidR="00521D7D" w:rsidRPr="00521D7D" w:rsidRDefault="003B221B" w:rsidP="00882F37">
      <w:pPr>
        <w:shd w:val="clear" w:color="auto" w:fill="FFFFFF"/>
      </w:pPr>
      <w:r>
        <w:rPr>
          <w:noProof/>
        </w:rPr>
        <w:drawing>
          <wp:inline distT="0" distB="0" distL="0" distR="0" wp14:anchorId="2510AF06" wp14:editId="0C173979">
            <wp:extent cx="5543550" cy="3238500"/>
            <wp:effectExtent l="0" t="0" r="0" b="0"/>
            <wp:docPr id="1887778653" name="Wykres 1">
              <a:extLst xmlns:a="http://schemas.openxmlformats.org/drawingml/2006/main">
                <a:ext uri="{FF2B5EF4-FFF2-40B4-BE49-F238E27FC236}">
                  <a16:creationId xmlns:a16="http://schemas.microsoft.com/office/drawing/2014/main" id="{9599171D-E727-D6C5-5D67-A48302041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AD1B131" w14:textId="32EB7231" w:rsidR="00521D7D" w:rsidRPr="00521D7D" w:rsidRDefault="00521D7D" w:rsidP="00882F37">
      <w:pPr>
        <w:shd w:val="clear" w:color="auto" w:fill="FFFFFF"/>
      </w:pPr>
    </w:p>
    <w:p w14:paraId="0D88A2D6" w14:textId="4205D7A3" w:rsidR="00521D7D" w:rsidRDefault="00521D7D" w:rsidP="00882F37">
      <w:pPr>
        <w:shd w:val="clear" w:color="auto" w:fill="FFFFFF"/>
      </w:pPr>
    </w:p>
    <w:p w14:paraId="752E5936" w14:textId="78FCA1CB" w:rsidR="00BA291C" w:rsidRDefault="00BA291C" w:rsidP="00AE6CD3">
      <w:pPr>
        <w:pStyle w:val="Legenda"/>
      </w:pPr>
      <w:bookmarkStart w:id="168" w:name="_Toc141276503"/>
      <w:r w:rsidRPr="003B221B">
        <w:t xml:space="preserve">Rys. </w:t>
      </w:r>
      <w:r w:rsidR="00BE2079">
        <w:fldChar w:fldCharType="begin"/>
      </w:r>
      <w:r w:rsidR="00BE2079">
        <w:instrText xml:space="preserve"> SEQ Rys. \* ARABIC </w:instrText>
      </w:r>
      <w:r w:rsidR="00BE2079">
        <w:fldChar w:fldCharType="separate"/>
      </w:r>
      <w:r w:rsidR="00A43C68">
        <w:rPr>
          <w:noProof/>
        </w:rPr>
        <w:t>25</w:t>
      </w:r>
      <w:r w:rsidR="00BE2079">
        <w:rPr>
          <w:noProof/>
        </w:rPr>
        <w:fldChar w:fldCharType="end"/>
      </w:r>
      <w:r w:rsidRPr="003B221B">
        <w:t>. Wartość zamówień udzielonych przez jednostki administracji rządowej, w których zastosowano</w:t>
      </w:r>
      <w:r w:rsidRPr="00DA1EE9">
        <w:t xml:space="preserve"> odpowiednie aspekty </w:t>
      </w:r>
      <w:r>
        <w:t>innowacyjne</w:t>
      </w:r>
      <w:bookmarkEnd w:id="168"/>
    </w:p>
    <w:p w14:paraId="5E239091" w14:textId="0ADAF1B0" w:rsidR="00BA291C" w:rsidRDefault="003B221B" w:rsidP="00882F37">
      <w:pPr>
        <w:shd w:val="clear" w:color="auto" w:fill="FFFFFF"/>
      </w:pPr>
      <w:r>
        <w:rPr>
          <w:noProof/>
        </w:rPr>
        <w:drawing>
          <wp:inline distT="0" distB="0" distL="0" distR="0" wp14:anchorId="0C76A117" wp14:editId="3E0EB304">
            <wp:extent cx="5591175" cy="3305175"/>
            <wp:effectExtent l="0" t="0" r="9525" b="9525"/>
            <wp:docPr id="1097741344" name="Wykres 1">
              <a:extLst xmlns:a="http://schemas.openxmlformats.org/drawingml/2006/main">
                <a:ext uri="{FF2B5EF4-FFF2-40B4-BE49-F238E27FC236}">
                  <a16:creationId xmlns:a16="http://schemas.microsoft.com/office/drawing/2014/main" id="{154DD932-53E6-4C23-7BC8-9D8E422A80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F948762" w14:textId="77777777" w:rsidR="00BA291C" w:rsidRPr="00521D7D" w:rsidRDefault="00BA291C" w:rsidP="00882F37">
      <w:pPr>
        <w:shd w:val="clear" w:color="auto" w:fill="FFFFFF"/>
      </w:pPr>
    </w:p>
    <w:p w14:paraId="6E092DB0" w14:textId="77777777" w:rsidR="00521D7D" w:rsidRPr="00521D7D" w:rsidRDefault="00521D7D" w:rsidP="00882F37">
      <w:pPr>
        <w:shd w:val="clear" w:color="auto" w:fill="FFFFFF"/>
      </w:pPr>
    </w:p>
    <w:p w14:paraId="316BA012" w14:textId="4197E6CD" w:rsidR="00882F37" w:rsidRDefault="00882F37" w:rsidP="00882F37">
      <w:pPr>
        <w:shd w:val="clear" w:color="auto" w:fill="FFFFFF"/>
        <w:rPr>
          <w:i/>
        </w:rPr>
      </w:pPr>
      <w:r w:rsidRPr="00284073">
        <w:rPr>
          <w:i/>
        </w:rPr>
        <w:t>Dane dotyczące zamówień</w:t>
      </w:r>
      <w:r>
        <w:rPr>
          <w:i/>
        </w:rPr>
        <w:t xml:space="preserve"> udzielonych przez jednostki administracji rządowej</w:t>
      </w:r>
      <w:r w:rsidRPr="00284073">
        <w:rPr>
          <w:i/>
        </w:rPr>
        <w:t xml:space="preserve">, w których odwołano się do odpowiednich instrumentów </w:t>
      </w:r>
      <w:r>
        <w:rPr>
          <w:i/>
        </w:rPr>
        <w:t>innowacyjnych</w:t>
      </w:r>
      <w:r w:rsidR="00FC0E7D">
        <w:rPr>
          <w:i/>
        </w:rPr>
        <w:t>,</w:t>
      </w:r>
      <w:r w:rsidRPr="00284073">
        <w:rPr>
          <w:i/>
        </w:rPr>
        <w:t xml:space="preserve"> przedstawiono w </w:t>
      </w:r>
      <w:hyperlink w:anchor="Zał_10" w:history="1">
        <w:r w:rsidRPr="00227EE5">
          <w:rPr>
            <w:rStyle w:val="Hipercze"/>
            <w:i/>
          </w:rPr>
          <w:t>załączniku nr</w:t>
        </w:r>
        <w:r w:rsidR="009343A1">
          <w:rPr>
            <w:rStyle w:val="Hipercze"/>
            <w:i/>
          </w:rPr>
          <w:t xml:space="preserve"> </w:t>
        </w:r>
        <w:r w:rsidR="00227EE5" w:rsidRPr="00227EE5">
          <w:rPr>
            <w:rStyle w:val="Hipercze"/>
            <w:i/>
          </w:rPr>
          <w:t>10</w:t>
        </w:r>
      </w:hyperlink>
      <w:r w:rsidRPr="00284073">
        <w:rPr>
          <w:i/>
        </w:rPr>
        <w:t xml:space="preserve"> do niniejszego Sprawozdania. </w:t>
      </w:r>
    </w:p>
    <w:p w14:paraId="08E896CD" w14:textId="77777777" w:rsidR="00882F37" w:rsidRPr="00A232C4" w:rsidRDefault="00882F37" w:rsidP="00882F37">
      <w:pPr>
        <w:shd w:val="clear" w:color="auto" w:fill="FFFFFF"/>
      </w:pPr>
    </w:p>
    <w:p w14:paraId="76D11F64" w14:textId="77777777" w:rsidR="00185E21" w:rsidRPr="00EA4A33" w:rsidRDefault="00185E21" w:rsidP="00EA4A33">
      <w:pPr>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46D902AF" w14:textId="77777777" w:rsidTr="008C3B34">
        <w:trPr>
          <w:cantSplit/>
        </w:trPr>
        <w:tc>
          <w:tcPr>
            <w:tcW w:w="236" w:type="dxa"/>
            <w:shd w:val="clear" w:color="auto" w:fill="95B3D7"/>
          </w:tcPr>
          <w:p w14:paraId="4FAE2AC6" w14:textId="77777777" w:rsidR="005F3C4D" w:rsidRDefault="005F3C4D" w:rsidP="00F058DB"/>
        </w:tc>
        <w:tc>
          <w:tcPr>
            <w:tcW w:w="8960" w:type="dxa"/>
          </w:tcPr>
          <w:p w14:paraId="67ABDA0D" w14:textId="77777777" w:rsidR="005F3C4D" w:rsidRPr="003128A2" w:rsidRDefault="00967BD0" w:rsidP="00F058DB">
            <w:pPr>
              <w:pStyle w:val="Nagwek2"/>
              <w:shd w:val="clear" w:color="auto" w:fill="FFFFFF"/>
              <w:spacing w:after="120"/>
              <w:rPr>
                <w:noProof/>
                <w:color w:val="0070C0"/>
                <w:sz w:val="28"/>
              </w:rPr>
            </w:pPr>
            <w:bookmarkStart w:id="169" w:name="_Toc64451867"/>
            <w:bookmarkStart w:id="170" w:name="_Toc141276446"/>
            <w:r w:rsidRPr="003128A2">
              <w:rPr>
                <w:noProof/>
                <w:color w:val="0070C0"/>
                <w:sz w:val="28"/>
              </w:rPr>
              <w:t>II.3.</w:t>
            </w:r>
            <w:r w:rsidR="00750B05" w:rsidRPr="003128A2">
              <w:rPr>
                <w:noProof/>
                <w:color w:val="0070C0"/>
                <w:sz w:val="28"/>
              </w:rPr>
              <w:t xml:space="preserve"> </w:t>
            </w:r>
            <w:r w:rsidR="00D17C92" w:rsidRPr="003128A2">
              <w:rPr>
                <w:noProof/>
                <w:color w:val="0070C0"/>
                <w:sz w:val="28"/>
              </w:rPr>
              <w:t>Inne dane dotyczące rynku zamówień publicznych</w:t>
            </w:r>
            <w:bookmarkEnd w:id="169"/>
            <w:bookmarkEnd w:id="170"/>
          </w:p>
        </w:tc>
      </w:tr>
    </w:tbl>
    <w:p w14:paraId="0E48C4E0" w14:textId="77777777" w:rsidR="005F3C4D" w:rsidRDefault="005F3C4D" w:rsidP="007D4DE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E63700" w:rsidRPr="001E7D51" w14:paraId="4C76578E" w14:textId="77777777" w:rsidTr="00132888">
        <w:trPr>
          <w:cantSplit/>
        </w:trPr>
        <w:tc>
          <w:tcPr>
            <w:tcW w:w="236" w:type="dxa"/>
            <w:shd w:val="clear" w:color="auto" w:fill="B8CCE4"/>
          </w:tcPr>
          <w:p w14:paraId="18B57BED" w14:textId="77777777" w:rsidR="00E63700" w:rsidRPr="001E7D51" w:rsidRDefault="00E63700" w:rsidP="007D4DEB">
            <w:pPr>
              <w:rPr>
                <w:sz w:val="24"/>
              </w:rPr>
            </w:pPr>
          </w:p>
        </w:tc>
        <w:tc>
          <w:tcPr>
            <w:tcW w:w="8676" w:type="dxa"/>
          </w:tcPr>
          <w:p w14:paraId="055FEF92" w14:textId="77777777" w:rsidR="00E63700" w:rsidRPr="002B29FD" w:rsidRDefault="00967BD0" w:rsidP="00F058DB">
            <w:pPr>
              <w:pStyle w:val="Nagwek3"/>
              <w:shd w:val="clear" w:color="auto" w:fill="FFFFFF"/>
              <w:spacing w:after="120"/>
              <w:ind w:left="0"/>
              <w:rPr>
                <w:color w:val="0070C0"/>
                <w:sz w:val="24"/>
                <w:szCs w:val="24"/>
              </w:rPr>
            </w:pPr>
            <w:bookmarkStart w:id="171" w:name="_Toc64451868"/>
            <w:bookmarkStart w:id="172" w:name="_Toc141276447"/>
            <w:r w:rsidRPr="002B29FD">
              <w:rPr>
                <w:color w:val="0070C0"/>
                <w:sz w:val="24"/>
                <w:szCs w:val="24"/>
              </w:rPr>
              <w:t>II.3.1.</w:t>
            </w:r>
            <w:r w:rsidR="00750B05" w:rsidRPr="002B29FD">
              <w:rPr>
                <w:color w:val="0070C0"/>
                <w:sz w:val="24"/>
                <w:szCs w:val="24"/>
              </w:rPr>
              <w:t xml:space="preserve"> </w:t>
            </w:r>
            <w:r w:rsidR="00132888" w:rsidRPr="002B29FD">
              <w:rPr>
                <w:color w:val="0070C0"/>
                <w:sz w:val="24"/>
                <w:szCs w:val="24"/>
              </w:rPr>
              <w:t>Ogłoszenia o zamiarze zawarcia umowy</w:t>
            </w:r>
            <w:bookmarkEnd w:id="171"/>
            <w:bookmarkEnd w:id="172"/>
          </w:p>
        </w:tc>
      </w:tr>
    </w:tbl>
    <w:p w14:paraId="49313E6D" w14:textId="0134BAE9" w:rsidR="00A05542" w:rsidRDefault="00A05542" w:rsidP="007D4DEB">
      <w:pPr>
        <w:shd w:val="clear" w:color="auto" w:fill="FFFFFF"/>
        <w:rPr>
          <w:rFonts w:cs="Arial"/>
          <w:szCs w:val="22"/>
        </w:rPr>
      </w:pPr>
    </w:p>
    <w:p w14:paraId="0FAC81DE" w14:textId="60982D03" w:rsidR="002B29FD" w:rsidRDefault="002B29FD" w:rsidP="005C19D3">
      <w:pPr>
        <w:shd w:val="clear" w:color="auto" w:fill="FFFFFF"/>
      </w:pPr>
      <w:r>
        <w:t>O</w:t>
      </w:r>
      <w:r w:rsidRPr="002B29FD">
        <w:t>głoszenia o zamiarze zawarcia umowy (</w:t>
      </w:r>
      <w:r w:rsidR="003914E6">
        <w:t xml:space="preserve">w </w:t>
      </w:r>
      <w:r w:rsidRPr="002B29FD">
        <w:t>dyrektyw</w:t>
      </w:r>
      <w:r w:rsidR="00071975">
        <w:t>ach UE</w:t>
      </w:r>
      <w:r w:rsidRPr="002B29FD">
        <w:t xml:space="preserve">: o dobrowolnej przejrzystości </w:t>
      </w:r>
      <w:r w:rsidRPr="00AF1E61">
        <w:rPr>
          <w:i/>
        </w:rPr>
        <w:t>ex ante</w:t>
      </w:r>
      <w:r w:rsidRPr="002B29FD">
        <w:t>)</w:t>
      </w:r>
      <w:r>
        <w:t xml:space="preserve"> dotyczą </w:t>
      </w:r>
      <w:r w:rsidRPr="002B29FD">
        <w:t>zamówień udzielanych w trybach negocjacji bez ogłoszeni</w:t>
      </w:r>
      <w:r w:rsidR="00ED68D7">
        <w:t xml:space="preserve">a oraz zamówienia z wolnej ręki i </w:t>
      </w:r>
      <w:r w:rsidR="00563447">
        <w:t xml:space="preserve">generalnie </w:t>
      </w:r>
      <w:r w:rsidR="00ED68D7">
        <w:t>mają charakter fakultatywny.</w:t>
      </w:r>
    </w:p>
    <w:p w14:paraId="0CC07121" w14:textId="77777777" w:rsidR="00563447" w:rsidRDefault="00563447" w:rsidP="005C19D3">
      <w:pPr>
        <w:shd w:val="clear" w:color="auto" w:fill="FFFFFF"/>
      </w:pPr>
    </w:p>
    <w:p w14:paraId="262F5DBA" w14:textId="757E639D" w:rsidR="00ED68D7" w:rsidRDefault="00ED68D7" w:rsidP="005C19D3">
      <w:pPr>
        <w:shd w:val="clear" w:color="auto" w:fill="FFFFFF"/>
      </w:pPr>
      <w:r>
        <w:t>W</w:t>
      </w:r>
      <w:r w:rsidRPr="00ED68D7">
        <w:t xml:space="preserve"> przypadku negocjacji bez ogłoszenia</w:t>
      </w:r>
      <w:r>
        <w:t xml:space="preserve"> – z</w:t>
      </w:r>
      <w:r w:rsidRPr="00ED68D7">
        <w:t>godnie z art. 208 ust. 2 i art. 302 ustawy Pzp</w:t>
      </w:r>
      <w:r>
        <w:t xml:space="preserve"> oraz </w:t>
      </w:r>
      <w:r w:rsidRPr="00ED68D7">
        <w:t>w przypadku zamówienia z wolnej ręki</w:t>
      </w:r>
      <w:r>
        <w:t xml:space="preserve"> – zgodnie z </w:t>
      </w:r>
      <w:r w:rsidRPr="00ED68D7">
        <w:t>art. 213 ust. 2 i art. 306 ustawy Pzp</w:t>
      </w:r>
      <w:r>
        <w:t xml:space="preserve">, </w:t>
      </w:r>
      <w:r w:rsidRPr="00ED68D7">
        <w:t>zamawiający, po wszczęciu postępowania, w zależności od wartości zamówienia, może przekazać do publikacji w Dzienniku Urzędowym UE albo może zamieścić w BZP ogłoszenie o zamiarze zawarcia umowy</w:t>
      </w:r>
      <w:r w:rsidR="00563447">
        <w:t>.</w:t>
      </w:r>
    </w:p>
    <w:p w14:paraId="591A349E" w14:textId="4ABDEC99" w:rsidR="00ED68D7" w:rsidRDefault="00ED68D7" w:rsidP="005C19D3">
      <w:pPr>
        <w:shd w:val="clear" w:color="auto" w:fill="FFFFFF"/>
      </w:pPr>
    </w:p>
    <w:p w14:paraId="732A9327" w14:textId="02F2618A" w:rsidR="00563447" w:rsidRPr="00563447" w:rsidRDefault="00563447" w:rsidP="005C19D3">
      <w:pPr>
        <w:shd w:val="clear" w:color="auto" w:fill="FFFFFF"/>
      </w:pPr>
      <w:r>
        <w:t xml:space="preserve">Jedynie w przypadku zamówień </w:t>
      </w:r>
      <w:r w:rsidRPr="004E37D3">
        <w:rPr>
          <w:i/>
        </w:rPr>
        <w:t>in house</w:t>
      </w:r>
      <w:r w:rsidRPr="00563447">
        <w:t>,</w:t>
      </w:r>
      <w:r>
        <w:rPr>
          <w:i/>
        </w:rPr>
        <w:t xml:space="preserve"> </w:t>
      </w:r>
      <w:r w:rsidRPr="00563447">
        <w:t>zgodnie z art. 216 ust. 1 ustawy Pzp, przed udzieleniem zamówienia w trybie zamówienia z wolnej ręki na podstawie art. 214 ust. 1 pkt 11–14 ustawy Pzp</w:t>
      </w:r>
      <w:r>
        <w:t xml:space="preserve">, </w:t>
      </w:r>
      <w:r w:rsidRPr="00563447">
        <w:t>zamawiający</w:t>
      </w:r>
      <w:r>
        <w:t xml:space="preserve"> </w:t>
      </w:r>
      <w:r w:rsidRPr="00563447">
        <w:t>zamieszcza w BZP ogłoszenie o zamiarze zawarcia umowy</w:t>
      </w:r>
      <w:r>
        <w:t>.</w:t>
      </w:r>
    </w:p>
    <w:p w14:paraId="449355B6" w14:textId="77777777" w:rsidR="00563447" w:rsidRDefault="00563447" w:rsidP="005C19D3">
      <w:pPr>
        <w:shd w:val="clear" w:color="auto" w:fill="FFFFFF"/>
      </w:pPr>
    </w:p>
    <w:p w14:paraId="0C437DF1" w14:textId="61BD9B54" w:rsidR="005C19D3" w:rsidRDefault="005C19D3" w:rsidP="005C19D3">
      <w:pPr>
        <w:shd w:val="clear" w:color="auto" w:fill="FFFFFF"/>
      </w:pPr>
      <w:r>
        <w:t>W 202</w:t>
      </w:r>
      <w:r w:rsidR="00AF1E61">
        <w:t>2</w:t>
      </w:r>
      <w:r>
        <w:t xml:space="preserve"> r. w obydwu publikatorach zamieszczono łącznie </w:t>
      </w:r>
      <w:r w:rsidR="00AF1E61">
        <w:t>6</w:t>
      </w:r>
      <w:r w:rsidR="00424EE4">
        <w:t> </w:t>
      </w:r>
      <w:r w:rsidR="00AF1E61">
        <w:t>139</w:t>
      </w:r>
      <w:r>
        <w:t xml:space="preserve"> </w:t>
      </w:r>
      <w:r w:rsidR="00473A4A">
        <w:t xml:space="preserve">(w 2021 r. </w:t>
      </w:r>
      <w:r w:rsidR="00CB4478">
        <w:t>–</w:t>
      </w:r>
      <w:r w:rsidR="00473A4A">
        <w:t xml:space="preserve"> </w:t>
      </w:r>
      <w:r w:rsidR="00CB4478">
        <w:t xml:space="preserve">5 084) </w:t>
      </w:r>
      <w:r>
        <w:t>ogłosze</w:t>
      </w:r>
      <w:r w:rsidR="00AF1E61">
        <w:t>ń</w:t>
      </w:r>
      <w:r>
        <w:t xml:space="preserve"> o zamiarze zawarcia umowy (</w:t>
      </w:r>
      <w:r w:rsidR="00C137C0">
        <w:t xml:space="preserve">o </w:t>
      </w:r>
      <w:r>
        <w:t xml:space="preserve">dobrowolnej przejrzystości </w:t>
      </w:r>
      <w:r w:rsidRPr="00832305">
        <w:rPr>
          <w:i/>
        </w:rPr>
        <w:t>ex ante</w:t>
      </w:r>
      <w:r>
        <w:t xml:space="preserve">). </w:t>
      </w:r>
    </w:p>
    <w:p w14:paraId="4A5901E9" w14:textId="77777777" w:rsidR="00AF1E61" w:rsidRDefault="00AF1E61" w:rsidP="005C19D3">
      <w:pPr>
        <w:shd w:val="clear" w:color="auto" w:fill="FFFFFF"/>
      </w:pPr>
    </w:p>
    <w:p w14:paraId="2D3B97F4" w14:textId="30FF06BA" w:rsidR="005B32DB" w:rsidRDefault="005B32DB" w:rsidP="00AE6CD3">
      <w:pPr>
        <w:pStyle w:val="Legenda"/>
      </w:pPr>
      <w:bookmarkStart w:id="173" w:name="_Toc99523549"/>
      <w:bookmarkStart w:id="174" w:name="_Toc99523682"/>
      <w:bookmarkStart w:id="175" w:name="_Toc99523750"/>
      <w:bookmarkStart w:id="176" w:name="_Toc99524198"/>
      <w:bookmarkStart w:id="177" w:name="_Toc141276504"/>
      <w:r w:rsidRPr="00AF1E61">
        <w:t xml:space="preserve">Rys. </w:t>
      </w:r>
      <w:r w:rsidR="00BE2079">
        <w:fldChar w:fldCharType="begin"/>
      </w:r>
      <w:r w:rsidR="00BE2079">
        <w:instrText xml:space="preserve"> SEQ Rys. \* ARABIC </w:instrText>
      </w:r>
      <w:r w:rsidR="00BE2079">
        <w:fldChar w:fldCharType="separate"/>
      </w:r>
      <w:r w:rsidR="00A43C68">
        <w:rPr>
          <w:noProof/>
        </w:rPr>
        <w:t>26</w:t>
      </w:r>
      <w:r w:rsidR="00BE2079">
        <w:rPr>
          <w:noProof/>
        </w:rPr>
        <w:fldChar w:fldCharType="end"/>
      </w:r>
      <w:r w:rsidRPr="00AF1E61">
        <w:t>. Liczba ogłoszeń o zamiarze zawarcia umowy</w:t>
      </w:r>
      <w:bookmarkEnd w:id="173"/>
      <w:bookmarkEnd w:id="174"/>
      <w:bookmarkEnd w:id="175"/>
      <w:bookmarkEnd w:id="176"/>
      <w:bookmarkEnd w:id="177"/>
    </w:p>
    <w:p w14:paraId="6B97C63A" w14:textId="6D179E94" w:rsidR="00CA1083" w:rsidRDefault="00AF1E61" w:rsidP="00F058DB">
      <w:pPr>
        <w:shd w:val="clear" w:color="auto" w:fill="FFFFFF"/>
      </w:pPr>
      <w:r>
        <w:rPr>
          <w:noProof/>
        </w:rPr>
        <w:drawing>
          <wp:inline distT="0" distB="0" distL="0" distR="0" wp14:anchorId="3E2B8954" wp14:editId="6545F5FD">
            <wp:extent cx="4572000" cy="2743200"/>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115B59F" w14:textId="5B986A26" w:rsidR="00D20775" w:rsidRDefault="00D20775" w:rsidP="00F058DB">
      <w:pPr>
        <w:shd w:val="clear" w:color="auto" w:fill="FFFFFF"/>
      </w:pPr>
    </w:p>
    <w:p w14:paraId="1FFB4EE3" w14:textId="77777777" w:rsidR="00A671AD" w:rsidRDefault="00A671AD" w:rsidP="00F058D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E63700" w:rsidRPr="001E7D51" w14:paraId="521CFDAB" w14:textId="77777777" w:rsidTr="00710B82">
        <w:trPr>
          <w:cantSplit/>
        </w:trPr>
        <w:tc>
          <w:tcPr>
            <w:tcW w:w="236" w:type="dxa"/>
            <w:shd w:val="clear" w:color="auto" w:fill="B8CCE4"/>
          </w:tcPr>
          <w:p w14:paraId="1F720B81" w14:textId="77777777" w:rsidR="00E63700" w:rsidRPr="001E7D51" w:rsidRDefault="00E63700" w:rsidP="00F058DB">
            <w:pPr>
              <w:rPr>
                <w:sz w:val="24"/>
              </w:rPr>
            </w:pPr>
          </w:p>
        </w:tc>
        <w:tc>
          <w:tcPr>
            <w:tcW w:w="8676" w:type="dxa"/>
          </w:tcPr>
          <w:p w14:paraId="75301EDD" w14:textId="77777777" w:rsidR="00E63700" w:rsidRPr="00D15ABD" w:rsidRDefault="00D33AF2" w:rsidP="00F058DB">
            <w:pPr>
              <w:pStyle w:val="Nagwek3"/>
              <w:shd w:val="clear" w:color="auto" w:fill="FFFFFF"/>
              <w:spacing w:after="120"/>
              <w:ind w:left="0"/>
              <w:rPr>
                <w:color w:val="0070C0"/>
                <w:sz w:val="24"/>
                <w:szCs w:val="24"/>
              </w:rPr>
            </w:pPr>
            <w:bookmarkStart w:id="178" w:name="_Toc64451869"/>
            <w:bookmarkStart w:id="179" w:name="_Toc141276448"/>
            <w:r w:rsidRPr="00D15ABD">
              <w:rPr>
                <w:color w:val="0070C0"/>
                <w:sz w:val="24"/>
                <w:szCs w:val="24"/>
              </w:rPr>
              <w:t>II.3.2.</w:t>
            </w:r>
            <w:r w:rsidR="00750B05" w:rsidRPr="00D15ABD">
              <w:rPr>
                <w:color w:val="0070C0"/>
                <w:sz w:val="24"/>
                <w:szCs w:val="24"/>
              </w:rPr>
              <w:t xml:space="preserve"> </w:t>
            </w:r>
            <w:r w:rsidR="00710B82" w:rsidRPr="00D15ABD">
              <w:rPr>
                <w:color w:val="0070C0"/>
                <w:sz w:val="24"/>
                <w:szCs w:val="24"/>
              </w:rPr>
              <w:t>Postępowania, w których przewidziano zaliczkowanie</w:t>
            </w:r>
            <w:bookmarkEnd w:id="178"/>
            <w:bookmarkEnd w:id="179"/>
          </w:p>
        </w:tc>
      </w:tr>
    </w:tbl>
    <w:p w14:paraId="74DEBA65" w14:textId="3E019ADA" w:rsidR="00732C9A" w:rsidRDefault="00732C9A" w:rsidP="00F058DB">
      <w:pPr>
        <w:shd w:val="clear" w:color="auto" w:fill="FFFFFF"/>
        <w:rPr>
          <w:rFonts w:cs="Arial"/>
          <w:szCs w:val="22"/>
        </w:rPr>
      </w:pPr>
    </w:p>
    <w:p w14:paraId="39AF63D7" w14:textId="3FD6E91E" w:rsidR="006920F8" w:rsidRDefault="006920F8" w:rsidP="006920F8">
      <w:pPr>
        <w:rPr>
          <w:szCs w:val="22"/>
        </w:rPr>
      </w:pPr>
      <w:r>
        <w:rPr>
          <w:szCs w:val="22"/>
        </w:rPr>
        <w:t xml:space="preserve">W 2022 r. w </w:t>
      </w:r>
      <w:r w:rsidRPr="00B34190">
        <w:rPr>
          <w:szCs w:val="22"/>
        </w:rPr>
        <w:t>BZP</w:t>
      </w:r>
      <w:r w:rsidRPr="00B34190">
        <w:rPr>
          <w:rStyle w:val="Odwoanieprzypisudolnego"/>
          <w:szCs w:val="22"/>
        </w:rPr>
        <w:footnoteReference w:id="21"/>
      </w:r>
      <w:r w:rsidRPr="00B34190">
        <w:rPr>
          <w:szCs w:val="22"/>
        </w:rPr>
        <w:t xml:space="preserve"> zamawiający poinformowali o</w:t>
      </w:r>
      <w:r>
        <w:rPr>
          <w:szCs w:val="22"/>
        </w:rPr>
        <w:t xml:space="preserve"> </w:t>
      </w:r>
      <w:r w:rsidRPr="00B34190">
        <w:rPr>
          <w:szCs w:val="22"/>
        </w:rPr>
        <w:t xml:space="preserve">planowanym udzieleniu zaliczki na poczet wykonania zamówienia w </w:t>
      </w:r>
      <w:r>
        <w:rPr>
          <w:szCs w:val="22"/>
        </w:rPr>
        <w:t>3</w:t>
      </w:r>
      <w:r w:rsidR="004A7319">
        <w:rPr>
          <w:szCs w:val="22"/>
        </w:rPr>
        <w:t> </w:t>
      </w:r>
      <w:r>
        <w:rPr>
          <w:szCs w:val="22"/>
        </w:rPr>
        <w:t xml:space="preserve">872 </w:t>
      </w:r>
      <w:r w:rsidRPr="00B34190">
        <w:rPr>
          <w:szCs w:val="22"/>
        </w:rPr>
        <w:t xml:space="preserve">postępowaniach, co stanowiło </w:t>
      </w:r>
      <w:r>
        <w:rPr>
          <w:szCs w:val="22"/>
        </w:rPr>
        <w:t>2</w:t>
      </w:r>
      <w:r w:rsidRPr="00B34190">
        <w:rPr>
          <w:szCs w:val="22"/>
        </w:rPr>
        <w:t>,8</w:t>
      </w:r>
      <w:r>
        <w:rPr>
          <w:szCs w:val="22"/>
        </w:rPr>
        <w:t>4</w:t>
      </w:r>
      <w:r w:rsidRPr="00B34190">
        <w:rPr>
          <w:szCs w:val="22"/>
        </w:rPr>
        <w:t>% ogółu ogłoszonych postępowań. W 202</w:t>
      </w:r>
      <w:r>
        <w:rPr>
          <w:szCs w:val="22"/>
        </w:rPr>
        <w:t>1</w:t>
      </w:r>
      <w:r w:rsidRPr="00B34190">
        <w:rPr>
          <w:szCs w:val="22"/>
        </w:rPr>
        <w:t xml:space="preserve"> r. opublikowano </w:t>
      </w:r>
      <w:r>
        <w:rPr>
          <w:szCs w:val="22"/>
        </w:rPr>
        <w:t>966</w:t>
      </w:r>
      <w:r w:rsidRPr="00B34190">
        <w:rPr>
          <w:szCs w:val="22"/>
        </w:rPr>
        <w:t xml:space="preserve"> (0,</w:t>
      </w:r>
      <w:r>
        <w:rPr>
          <w:szCs w:val="22"/>
        </w:rPr>
        <w:t>89</w:t>
      </w:r>
      <w:r w:rsidRPr="00B34190">
        <w:rPr>
          <w:szCs w:val="22"/>
        </w:rPr>
        <w:t>%) taki</w:t>
      </w:r>
      <w:r>
        <w:rPr>
          <w:szCs w:val="22"/>
        </w:rPr>
        <w:t>ch</w:t>
      </w:r>
      <w:r w:rsidRPr="00B34190">
        <w:rPr>
          <w:szCs w:val="22"/>
        </w:rPr>
        <w:t xml:space="preserve"> ogłosze</w:t>
      </w:r>
      <w:r>
        <w:rPr>
          <w:szCs w:val="22"/>
        </w:rPr>
        <w:t>ń</w:t>
      </w:r>
      <w:r w:rsidRPr="00B34190">
        <w:rPr>
          <w:szCs w:val="22"/>
        </w:rPr>
        <w:t>.</w:t>
      </w:r>
    </w:p>
    <w:p w14:paraId="102E66DB" w14:textId="77777777" w:rsidR="00F75786" w:rsidRDefault="00F75786" w:rsidP="006920F8">
      <w:pPr>
        <w:rPr>
          <w:szCs w:val="22"/>
        </w:rPr>
      </w:pPr>
    </w:p>
    <w:p w14:paraId="70C81B2A" w14:textId="05BDFC9F" w:rsidR="00C76F50" w:rsidRPr="00B34190" w:rsidRDefault="00C76F50" w:rsidP="006920F8">
      <w:pPr>
        <w:rPr>
          <w:szCs w:val="22"/>
        </w:rPr>
      </w:pPr>
      <w:r w:rsidRPr="00C76F50">
        <w:rPr>
          <w:szCs w:val="22"/>
        </w:rPr>
        <w:t>Najwięcej postępowań w 202</w:t>
      </w:r>
      <w:r w:rsidR="00D15ABD">
        <w:rPr>
          <w:szCs w:val="22"/>
        </w:rPr>
        <w:t>2</w:t>
      </w:r>
      <w:r w:rsidRPr="00C76F50">
        <w:rPr>
          <w:szCs w:val="22"/>
        </w:rPr>
        <w:t xml:space="preserve"> r. o wartości poniżej progów unijnych, w których przewidziano udzielanie zaliczek – </w:t>
      </w:r>
      <w:r w:rsidR="00D15ABD" w:rsidRPr="00D15ABD">
        <w:rPr>
          <w:szCs w:val="22"/>
        </w:rPr>
        <w:t>3</w:t>
      </w:r>
      <w:r w:rsidR="009343A1">
        <w:rPr>
          <w:szCs w:val="22"/>
        </w:rPr>
        <w:t xml:space="preserve"> </w:t>
      </w:r>
      <w:r w:rsidR="00D15ABD" w:rsidRPr="00D15ABD">
        <w:rPr>
          <w:szCs w:val="22"/>
        </w:rPr>
        <w:t>466</w:t>
      </w:r>
      <w:r w:rsidRPr="00C76F50">
        <w:rPr>
          <w:szCs w:val="22"/>
        </w:rPr>
        <w:t xml:space="preserve">, tj. </w:t>
      </w:r>
      <w:r w:rsidR="00D15ABD">
        <w:rPr>
          <w:szCs w:val="22"/>
        </w:rPr>
        <w:t>7</w:t>
      </w:r>
      <w:r w:rsidRPr="00C76F50">
        <w:rPr>
          <w:szCs w:val="22"/>
        </w:rPr>
        <w:t>,</w:t>
      </w:r>
      <w:r w:rsidR="00D15ABD">
        <w:rPr>
          <w:szCs w:val="22"/>
        </w:rPr>
        <w:t>00</w:t>
      </w:r>
      <w:r w:rsidRPr="00C76F50">
        <w:rPr>
          <w:szCs w:val="22"/>
        </w:rPr>
        <w:t>% ogółu ogłoszeń na ten rodzaj zamówienia, dotyczyło zamówień na roboty budowlane. W przypadku dostaw możliwość zaliczkowania wskazano w 2</w:t>
      </w:r>
      <w:r w:rsidR="0009533F">
        <w:rPr>
          <w:szCs w:val="22"/>
        </w:rPr>
        <w:t>2</w:t>
      </w:r>
      <w:r w:rsidRPr="00C76F50">
        <w:rPr>
          <w:szCs w:val="22"/>
        </w:rPr>
        <w:t>1 postępowaniach (0,</w:t>
      </w:r>
      <w:r w:rsidR="0009533F">
        <w:rPr>
          <w:szCs w:val="22"/>
        </w:rPr>
        <w:t>4</w:t>
      </w:r>
      <w:r w:rsidRPr="00C76F50">
        <w:rPr>
          <w:szCs w:val="22"/>
        </w:rPr>
        <w:t>6%), a w przypadku usług – w 1</w:t>
      </w:r>
      <w:r w:rsidR="005E4F7E">
        <w:rPr>
          <w:szCs w:val="22"/>
        </w:rPr>
        <w:t>8</w:t>
      </w:r>
      <w:r w:rsidRPr="00C76F50">
        <w:rPr>
          <w:szCs w:val="22"/>
        </w:rPr>
        <w:t>5 zamówieniach (0,4</w:t>
      </w:r>
      <w:r w:rsidR="005E4F7E">
        <w:rPr>
          <w:szCs w:val="22"/>
        </w:rPr>
        <w:t>7</w:t>
      </w:r>
      <w:r w:rsidRPr="00C76F50">
        <w:rPr>
          <w:szCs w:val="22"/>
        </w:rPr>
        <w:t>%).</w:t>
      </w:r>
    </w:p>
    <w:p w14:paraId="728DEDE3" w14:textId="77777777" w:rsidR="00FE4A58" w:rsidRDefault="00FE4A58" w:rsidP="00F058DB">
      <w:pPr>
        <w:shd w:val="clear" w:color="auto" w:fill="FFFFFF"/>
        <w:rPr>
          <w:rFonts w:cs="Arial"/>
          <w:szCs w:val="22"/>
        </w:rPr>
      </w:pPr>
    </w:p>
    <w:p w14:paraId="258AF2EF" w14:textId="77777777" w:rsidR="00D20775" w:rsidRDefault="00D20775" w:rsidP="00F058D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E63700" w:rsidRPr="001E7D51" w14:paraId="64620AE1" w14:textId="77777777" w:rsidTr="00D33AF2">
        <w:trPr>
          <w:cantSplit/>
        </w:trPr>
        <w:tc>
          <w:tcPr>
            <w:tcW w:w="236" w:type="dxa"/>
            <w:shd w:val="clear" w:color="auto" w:fill="B8CCE4"/>
          </w:tcPr>
          <w:p w14:paraId="1FA1BDAA" w14:textId="77777777" w:rsidR="00E63700" w:rsidRPr="001E7D51" w:rsidRDefault="00E63700" w:rsidP="00F058DB">
            <w:pPr>
              <w:rPr>
                <w:sz w:val="24"/>
              </w:rPr>
            </w:pPr>
          </w:p>
        </w:tc>
        <w:tc>
          <w:tcPr>
            <w:tcW w:w="8676" w:type="dxa"/>
          </w:tcPr>
          <w:p w14:paraId="1AF5D7BC" w14:textId="69D23EBC" w:rsidR="00E63700" w:rsidRPr="00E13FB8" w:rsidRDefault="00D33AF2" w:rsidP="00F058DB">
            <w:pPr>
              <w:pStyle w:val="Nagwek3"/>
              <w:shd w:val="clear" w:color="auto" w:fill="FFFFFF"/>
              <w:spacing w:after="120"/>
              <w:ind w:left="666" w:hanging="666"/>
              <w:rPr>
                <w:color w:val="0070C0"/>
                <w:sz w:val="24"/>
                <w:szCs w:val="24"/>
              </w:rPr>
            </w:pPr>
            <w:bookmarkStart w:id="180" w:name="_Toc64451870"/>
            <w:bookmarkStart w:id="181" w:name="_Toc141276449"/>
            <w:r w:rsidRPr="00E13FB8">
              <w:rPr>
                <w:color w:val="0070C0"/>
                <w:sz w:val="24"/>
                <w:szCs w:val="24"/>
              </w:rPr>
              <w:t>II.3.3.</w:t>
            </w:r>
            <w:r w:rsidR="00750B05" w:rsidRPr="00E13FB8">
              <w:rPr>
                <w:color w:val="0070C0"/>
                <w:sz w:val="24"/>
                <w:szCs w:val="24"/>
              </w:rPr>
              <w:t xml:space="preserve"> </w:t>
            </w:r>
            <w:r w:rsidR="00FE4A58" w:rsidRPr="00E13FB8">
              <w:rPr>
                <w:color w:val="0070C0"/>
                <w:sz w:val="24"/>
                <w:szCs w:val="24"/>
              </w:rPr>
              <w:t>Postępowania, w których zamawiający zastrzegł,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bookmarkEnd w:id="180"/>
            <w:bookmarkEnd w:id="181"/>
          </w:p>
        </w:tc>
      </w:tr>
    </w:tbl>
    <w:p w14:paraId="46B0B732" w14:textId="4C5B40D9" w:rsidR="00A54C53" w:rsidRDefault="00A54C53" w:rsidP="00F058DB">
      <w:pPr>
        <w:shd w:val="clear" w:color="auto" w:fill="FFFFFF"/>
        <w:rPr>
          <w:rFonts w:cs="Arial"/>
          <w:szCs w:val="22"/>
        </w:rPr>
      </w:pPr>
    </w:p>
    <w:p w14:paraId="1809A85E" w14:textId="2FB01203" w:rsidR="007B6296" w:rsidRPr="009C62A0" w:rsidRDefault="004F7E6F" w:rsidP="007B6296">
      <w:pPr>
        <w:rPr>
          <w:szCs w:val="22"/>
        </w:rPr>
      </w:pPr>
      <w:r>
        <w:rPr>
          <w:szCs w:val="22"/>
        </w:rPr>
        <w:t>Prze</w:t>
      </w:r>
      <w:r w:rsidR="006B7849">
        <w:rPr>
          <w:szCs w:val="22"/>
        </w:rPr>
        <w:t xml:space="preserve">pisy ustawy Pzp przewidują możliwość </w:t>
      </w:r>
      <w:r w:rsidR="006B7849" w:rsidRPr="009C62A0">
        <w:rPr>
          <w:szCs w:val="22"/>
        </w:rPr>
        <w:t>zastrzeżeni</w:t>
      </w:r>
      <w:r w:rsidR="006B7849">
        <w:rPr>
          <w:szCs w:val="22"/>
        </w:rPr>
        <w:t>a</w:t>
      </w:r>
      <w:r w:rsidR="006B7849" w:rsidRPr="009C62A0">
        <w:rPr>
          <w:szCs w:val="22"/>
        </w:rPr>
        <w:t xml:space="preserve"> w ogłoszeniu o zamówieniu uprawnieni</w:t>
      </w:r>
      <w:r w:rsidR="006B7849">
        <w:rPr>
          <w:szCs w:val="22"/>
        </w:rPr>
        <w:t>a</w:t>
      </w:r>
      <w:r w:rsidR="006B7849" w:rsidRPr="009C62A0">
        <w:rPr>
          <w:szCs w:val="22"/>
        </w:rPr>
        <w:t xml:space="preserve"> do złożenia oferty wyłącznie zakładom pracy chronionej, spółdzielniom socjalnym oraz innym wykonawcom, których głównym celem lub głównym celem działalności ich wyodrębnionych organizacyjnie jednostek, które będą realizowały zamówienie, jest społeczna i zawodowa integracja osób społecznie marginalizowanych</w:t>
      </w:r>
      <w:r w:rsidR="006B7849">
        <w:rPr>
          <w:szCs w:val="22"/>
        </w:rPr>
        <w:t>. Celem te</w:t>
      </w:r>
      <w:r w:rsidR="00667955">
        <w:rPr>
          <w:szCs w:val="22"/>
        </w:rPr>
        <w:t>j regulacji jest</w:t>
      </w:r>
      <w:r w:rsidR="009A02C1">
        <w:rPr>
          <w:szCs w:val="22"/>
        </w:rPr>
        <w:t xml:space="preserve"> </w:t>
      </w:r>
      <w:r w:rsidR="007B6296" w:rsidRPr="009C62A0">
        <w:rPr>
          <w:szCs w:val="22"/>
        </w:rPr>
        <w:t>aktywizacj</w:t>
      </w:r>
      <w:r w:rsidR="00667955">
        <w:rPr>
          <w:szCs w:val="22"/>
        </w:rPr>
        <w:t>a</w:t>
      </w:r>
      <w:r w:rsidR="007B6296" w:rsidRPr="009C62A0">
        <w:rPr>
          <w:szCs w:val="22"/>
        </w:rPr>
        <w:t xml:space="preserve"> osób defaworyzowanych</w:t>
      </w:r>
      <w:r w:rsidR="00667955">
        <w:rPr>
          <w:szCs w:val="22"/>
        </w:rPr>
        <w:t>.</w:t>
      </w:r>
    </w:p>
    <w:p w14:paraId="458CE1F5" w14:textId="77777777" w:rsidR="007B6296" w:rsidRPr="009C62A0" w:rsidRDefault="007B6296" w:rsidP="007B6296">
      <w:pPr>
        <w:rPr>
          <w:szCs w:val="22"/>
        </w:rPr>
      </w:pPr>
    </w:p>
    <w:p w14:paraId="48C55C9B" w14:textId="5C81375B" w:rsidR="007B6296" w:rsidRPr="009C62A0" w:rsidRDefault="007B6296" w:rsidP="007B6296">
      <w:pPr>
        <w:rPr>
          <w:szCs w:val="22"/>
        </w:rPr>
      </w:pPr>
      <w:r w:rsidRPr="009C62A0">
        <w:rPr>
          <w:szCs w:val="22"/>
        </w:rPr>
        <w:t>W 202</w:t>
      </w:r>
      <w:r>
        <w:rPr>
          <w:szCs w:val="22"/>
        </w:rPr>
        <w:t>2</w:t>
      </w:r>
      <w:r w:rsidRPr="009C62A0">
        <w:rPr>
          <w:szCs w:val="22"/>
        </w:rPr>
        <w:t xml:space="preserve"> r. </w:t>
      </w:r>
      <w:r w:rsidR="009E0CD2">
        <w:rPr>
          <w:szCs w:val="22"/>
        </w:rPr>
        <w:t xml:space="preserve">wskazane </w:t>
      </w:r>
      <w:r w:rsidRPr="009C62A0">
        <w:rPr>
          <w:szCs w:val="22"/>
        </w:rPr>
        <w:t>zastrzeżenie</w:t>
      </w:r>
      <w:r w:rsidR="009A02C1">
        <w:rPr>
          <w:szCs w:val="22"/>
        </w:rPr>
        <w:t xml:space="preserve"> </w:t>
      </w:r>
      <w:r w:rsidRPr="009C62A0">
        <w:rPr>
          <w:szCs w:val="22"/>
        </w:rPr>
        <w:t xml:space="preserve">zamawiający </w:t>
      </w:r>
      <w:r w:rsidR="009E0CD2">
        <w:rPr>
          <w:szCs w:val="22"/>
        </w:rPr>
        <w:t>wykorzystali</w:t>
      </w:r>
      <w:r w:rsidR="009A02C1">
        <w:rPr>
          <w:szCs w:val="22"/>
        </w:rPr>
        <w:t xml:space="preserve"> </w:t>
      </w:r>
      <w:r w:rsidRPr="009C62A0">
        <w:rPr>
          <w:szCs w:val="22"/>
        </w:rPr>
        <w:t xml:space="preserve">w </w:t>
      </w:r>
      <w:r>
        <w:rPr>
          <w:szCs w:val="22"/>
        </w:rPr>
        <w:t>334</w:t>
      </w:r>
      <w:r w:rsidRPr="009C62A0">
        <w:rPr>
          <w:szCs w:val="22"/>
        </w:rPr>
        <w:t xml:space="preserve"> ogłoszeniach o zamówieniu opublikowanych w BZP</w:t>
      </w:r>
      <w:r w:rsidRPr="009C62A0">
        <w:rPr>
          <w:rStyle w:val="Odwoanieprzypisudolnego"/>
          <w:szCs w:val="22"/>
        </w:rPr>
        <w:footnoteReference w:id="22"/>
      </w:r>
      <w:r w:rsidRPr="009C62A0">
        <w:rPr>
          <w:szCs w:val="22"/>
        </w:rPr>
        <w:t xml:space="preserve">, co stanowiło 0,24% ogólnej liczby </w:t>
      </w:r>
      <w:r w:rsidR="00CF185D">
        <w:rPr>
          <w:szCs w:val="22"/>
        </w:rPr>
        <w:t xml:space="preserve">tych </w:t>
      </w:r>
      <w:r w:rsidRPr="009C62A0">
        <w:rPr>
          <w:szCs w:val="22"/>
        </w:rPr>
        <w:t>ogłoszeń. W 202</w:t>
      </w:r>
      <w:r>
        <w:rPr>
          <w:szCs w:val="22"/>
        </w:rPr>
        <w:t>1</w:t>
      </w:r>
      <w:r w:rsidRPr="009C62A0">
        <w:rPr>
          <w:szCs w:val="22"/>
        </w:rPr>
        <w:t xml:space="preserve"> r. </w:t>
      </w:r>
      <w:r w:rsidR="003908D2">
        <w:rPr>
          <w:szCs w:val="22"/>
        </w:rPr>
        <w:t>było ich</w:t>
      </w:r>
      <w:r w:rsidR="009A02C1">
        <w:rPr>
          <w:szCs w:val="22"/>
        </w:rPr>
        <w:t xml:space="preserve"> </w:t>
      </w:r>
      <w:r w:rsidRPr="009C62A0">
        <w:rPr>
          <w:szCs w:val="22"/>
        </w:rPr>
        <w:t>265 (</w:t>
      </w:r>
      <w:r>
        <w:rPr>
          <w:szCs w:val="22"/>
        </w:rPr>
        <w:t xml:space="preserve">także </w:t>
      </w:r>
      <w:r w:rsidRPr="009C62A0">
        <w:rPr>
          <w:szCs w:val="22"/>
        </w:rPr>
        <w:t>0,</w:t>
      </w:r>
      <w:r>
        <w:rPr>
          <w:szCs w:val="22"/>
        </w:rPr>
        <w:t>24</w:t>
      </w:r>
      <w:r w:rsidRPr="009C62A0">
        <w:rPr>
          <w:szCs w:val="22"/>
        </w:rPr>
        <w:t>%).</w:t>
      </w:r>
    </w:p>
    <w:p w14:paraId="567E6FAA" w14:textId="77777777" w:rsidR="007B6296" w:rsidRPr="009C62A0" w:rsidRDefault="007B6296" w:rsidP="007B6296">
      <w:pPr>
        <w:rPr>
          <w:szCs w:val="22"/>
        </w:rPr>
      </w:pPr>
    </w:p>
    <w:p w14:paraId="4B8E9FEE" w14:textId="0BFC62D4" w:rsidR="007B6296" w:rsidRDefault="007B6296" w:rsidP="007B6296">
      <w:pPr>
        <w:rPr>
          <w:szCs w:val="22"/>
        </w:rPr>
      </w:pPr>
      <w:r w:rsidRPr="009C62A0">
        <w:rPr>
          <w:szCs w:val="22"/>
        </w:rPr>
        <w:t xml:space="preserve">Najczęściej zastrzeżenie, że o udzielenie zamówienia mogą ubiegać się wyłącznie zakłady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dotyczyło zamówień na usługi – </w:t>
      </w:r>
      <w:r>
        <w:rPr>
          <w:szCs w:val="22"/>
        </w:rPr>
        <w:t>273</w:t>
      </w:r>
      <w:r w:rsidRPr="009C62A0">
        <w:rPr>
          <w:szCs w:val="22"/>
        </w:rPr>
        <w:t xml:space="preserve"> ogłosze</w:t>
      </w:r>
      <w:r>
        <w:rPr>
          <w:szCs w:val="22"/>
        </w:rPr>
        <w:t>nia</w:t>
      </w:r>
      <w:r w:rsidRPr="009C62A0">
        <w:rPr>
          <w:szCs w:val="22"/>
        </w:rPr>
        <w:t xml:space="preserve"> (0,</w:t>
      </w:r>
      <w:r>
        <w:rPr>
          <w:szCs w:val="22"/>
        </w:rPr>
        <w:t>70</w:t>
      </w:r>
      <w:r w:rsidRPr="009C62A0">
        <w:rPr>
          <w:szCs w:val="22"/>
        </w:rPr>
        <w:t xml:space="preserve">% ogłoszeń dotyczących zamówień na usługi), a następnie zamówień na roboty budowlane – </w:t>
      </w:r>
      <w:r>
        <w:rPr>
          <w:szCs w:val="22"/>
        </w:rPr>
        <w:t>38</w:t>
      </w:r>
      <w:r w:rsidRPr="009C62A0">
        <w:rPr>
          <w:szCs w:val="22"/>
        </w:rPr>
        <w:t xml:space="preserve"> ogłosz</w:t>
      </w:r>
      <w:r>
        <w:rPr>
          <w:szCs w:val="22"/>
        </w:rPr>
        <w:t>eń (0,</w:t>
      </w:r>
      <w:r w:rsidRPr="009C62A0">
        <w:rPr>
          <w:szCs w:val="22"/>
        </w:rPr>
        <w:t>0</w:t>
      </w:r>
      <w:r>
        <w:rPr>
          <w:szCs w:val="22"/>
        </w:rPr>
        <w:t>8</w:t>
      </w:r>
      <w:r w:rsidRPr="009C62A0">
        <w:rPr>
          <w:szCs w:val="22"/>
        </w:rPr>
        <w:t>%). W przypadku dos</w:t>
      </w:r>
      <w:r>
        <w:rPr>
          <w:szCs w:val="22"/>
        </w:rPr>
        <w:t>taw zastrzeżenie to wskazano w 2</w:t>
      </w:r>
      <w:r w:rsidRPr="009C62A0">
        <w:rPr>
          <w:szCs w:val="22"/>
        </w:rPr>
        <w:t>3 ogłoszeniach (0,0</w:t>
      </w:r>
      <w:r>
        <w:rPr>
          <w:szCs w:val="22"/>
        </w:rPr>
        <w:t>5</w:t>
      </w:r>
      <w:r w:rsidRPr="009C62A0">
        <w:rPr>
          <w:szCs w:val="22"/>
        </w:rPr>
        <w:t>%).</w:t>
      </w:r>
    </w:p>
    <w:p w14:paraId="083142B3" w14:textId="77777777" w:rsidR="008066C6" w:rsidRDefault="008066C6">
      <w:pPr>
        <w:jc w:val="left"/>
        <w:rPr>
          <w:rFonts w:cs="Arial"/>
          <w:szCs w:val="22"/>
        </w:rPr>
      </w:pPr>
    </w:p>
    <w:p w14:paraId="2224D215" w14:textId="77777777" w:rsidR="00E55515" w:rsidRDefault="00E55515">
      <w:pPr>
        <w:jc w:val="left"/>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1E7D51" w14:paraId="6D7611B7" w14:textId="77777777" w:rsidTr="0079132F">
        <w:trPr>
          <w:cantSplit/>
        </w:trPr>
        <w:tc>
          <w:tcPr>
            <w:tcW w:w="236" w:type="dxa"/>
            <w:shd w:val="clear" w:color="auto" w:fill="B8CCE4"/>
          </w:tcPr>
          <w:p w14:paraId="7587141D" w14:textId="77777777" w:rsidR="00E63700" w:rsidRPr="001E7D51" w:rsidRDefault="00E63700" w:rsidP="00F058DB">
            <w:pPr>
              <w:rPr>
                <w:sz w:val="24"/>
              </w:rPr>
            </w:pPr>
          </w:p>
        </w:tc>
        <w:tc>
          <w:tcPr>
            <w:tcW w:w="8676" w:type="dxa"/>
          </w:tcPr>
          <w:p w14:paraId="5A1B897B" w14:textId="77777777" w:rsidR="00E63700" w:rsidRPr="00900E72" w:rsidRDefault="00A62728" w:rsidP="00F058DB">
            <w:pPr>
              <w:pStyle w:val="Nagwek3"/>
              <w:shd w:val="clear" w:color="auto" w:fill="FFFFFF"/>
              <w:spacing w:after="120"/>
              <w:ind w:left="666" w:hanging="666"/>
              <w:rPr>
                <w:color w:val="0070C0"/>
                <w:sz w:val="24"/>
                <w:szCs w:val="24"/>
              </w:rPr>
            </w:pPr>
            <w:bookmarkStart w:id="182" w:name="_Toc64451871"/>
            <w:bookmarkStart w:id="183" w:name="_Toc141276450"/>
            <w:r w:rsidRPr="00900E72">
              <w:rPr>
                <w:color w:val="0070C0"/>
                <w:sz w:val="24"/>
                <w:szCs w:val="24"/>
              </w:rPr>
              <w:t>II.3.</w:t>
            </w:r>
            <w:r w:rsidR="000A7F21" w:rsidRPr="00900E72">
              <w:rPr>
                <w:color w:val="0070C0"/>
                <w:sz w:val="24"/>
                <w:szCs w:val="24"/>
              </w:rPr>
              <w:t>4</w:t>
            </w:r>
            <w:r w:rsidRPr="00900E72">
              <w:rPr>
                <w:color w:val="0070C0"/>
                <w:sz w:val="24"/>
                <w:szCs w:val="24"/>
              </w:rPr>
              <w:t>.</w:t>
            </w:r>
            <w:r w:rsidR="00750B05" w:rsidRPr="00900E72">
              <w:rPr>
                <w:color w:val="0070C0"/>
                <w:sz w:val="24"/>
                <w:szCs w:val="24"/>
              </w:rPr>
              <w:t xml:space="preserve"> </w:t>
            </w:r>
            <w:r w:rsidR="00B5251C" w:rsidRPr="00900E72">
              <w:rPr>
                <w:color w:val="0070C0"/>
                <w:sz w:val="24"/>
                <w:szCs w:val="24"/>
              </w:rPr>
              <w:t>Z</w:t>
            </w:r>
            <w:r w:rsidRPr="00900E72">
              <w:rPr>
                <w:color w:val="0070C0"/>
                <w:sz w:val="24"/>
                <w:szCs w:val="24"/>
              </w:rPr>
              <w:t>miany postanowień zawartej umowy w stosunku do treści oferty</w:t>
            </w:r>
            <w:bookmarkEnd w:id="182"/>
            <w:bookmarkEnd w:id="183"/>
          </w:p>
        </w:tc>
      </w:tr>
    </w:tbl>
    <w:p w14:paraId="197AA94E" w14:textId="24D01C27" w:rsidR="00A05542" w:rsidRDefault="00A05542" w:rsidP="007D4DEB">
      <w:pPr>
        <w:shd w:val="clear" w:color="auto" w:fill="FFFFFF"/>
        <w:rPr>
          <w:rFonts w:cs="Arial"/>
          <w:szCs w:val="22"/>
        </w:rPr>
      </w:pPr>
    </w:p>
    <w:p w14:paraId="36B37EEE" w14:textId="2A2EF8C5" w:rsidR="00BB7780" w:rsidRPr="00900E72" w:rsidRDefault="00BB7780" w:rsidP="00E16264">
      <w:pPr>
        <w:pStyle w:val="StylArial11ptWyjustowany"/>
        <w:numPr>
          <w:ilvl w:val="0"/>
          <w:numId w:val="13"/>
        </w:numPr>
        <w:shd w:val="clear" w:color="auto" w:fill="FFFFFF"/>
        <w:jc w:val="left"/>
        <w:rPr>
          <w:rFonts w:cs="Arial"/>
          <w:b/>
          <w:iCs/>
          <w:color w:val="0070C0"/>
          <w:szCs w:val="22"/>
        </w:rPr>
      </w:pPr>
      <w:r w:rsidRPr="00900E72">
        <w:rPr>
          <w:rFonts w:cs="Arial"/>
          <w:b/>
          <w:iCs/>
          <w:color w:val="0070C0"/>
          <w:szCs w:val="22"/>
        </w:rPr>
        <w:t>Postępowania, w których przewidziano zmiany postanowień zawartej umowy w</w:t>
      </w:r>
      <w:r w:rsidR="009343A1">
        <w:rPr>
          <w:rFonts w:cs="Arial"/>
          <w:b/>
          <w:iCs/>
          <w:color w:val="0070C0"/>
          <w:szCs w:val="22"/>
        </w:rPr>
        <w:t xml:space="preserve"> </w:t>
      </w:r>
      <w:r w:rsidRPr="00900E72">
        <w:rPr>
          <w:rFonts w:cs="Arial"/>
          <w:b/>
          <w:iCs/>
          <w:color w:val="0070C0"/>
          <w:szCs w:val="22"/>
        </w:rPr>
        <w:t>stosunku do treści oferty</w:t>
      </w:r>
    </w:p>
    <w:p w14:paraId="1F193D7D" w14:textId="77777777" w:rsidR="00BB7780" w:rsidRPr="0075069E" w:rsidRDefault="00BB7780" w:rsidP="00BB7780">
      <w:pPr>
        <w:rPr>
          <w:szCs w:val="22"/>
        </w:rPr>
      </w:pPr>
    </w:p>
    <w:p w14:paraId="2BE88B9F" w14:textId="426A1B72" w:rsidR="00A019F0" w:rsidRPr="0075069E" w:rsidRDefault="00A019F0" w:rsidP="00A019F0">
      <w:pPr>
        <w:rPr>
          <w:szCs w:val="22"/>
        </w:rPr>
      </w:pPr>
      <w:r>
        <w:rPr>
          <w:szCs w:val="22"/>
        </w:rPr>
        <w:t>W</w:t>
      </w:r>
      <w:r w:rsidRPr="0075069E">
        <w:rPr>
          <w:szCs w:val="22"/>
        </w:rPr>
        <w:t xml:space="preserve"> BZP</w:t>
      </w:r>
      <w:r w:rsidRPr="0075069E">
        <w:rPr>
          <w:rStyle w:val="Odwoanieprzypisudolnego"/>
          <w:szCs w:val="22"/>
        </w:rPr>
        <w:footnoteReference w:id="23"/>
      </w:r>
      <w:r w:rsidRPr="0075069E">
        <w:rPr>
          <w:szCs w:val="22"/>
        </w:rPr>
        <w:t>,</w:t>
      </w:r>
      <w:r>
        <w:rPr>
          <w:szCs w:val="22"/>
        </w:rPr>
        <w:t xml:space="preserve"> w 2022 r. opublikowano </w:t>
      </w:r>
      <w:r w:rsidR="003C1EFB" w:rsidRPr="003C1EFB">
        <w:rPr>
          <w:szCs w:val="22"/>
        </w:rPr>
        <w:t>126</w:t>
      </w:r>
      <w:r w:rsidR="00C32DF1">
        <w:rPr>
          <w:szCs w:val="22"/>
        </w:rPr>
        <w:t> </w:t>
      </w:r>
      <w:r w:rsidR="003C1EFB" w:rsidRPr="003C1EFB">
        <w:rPr>
          <w:szCs w:val="22"/>
        </w:rPr>
        <w:t>753</w:t>
      </w:r>
      <w:r w:rsidR="00C32DF1">
        <w:rPr>
          <w:szCs w:val="22"/>
        </w:rPr>
        <w:t xml:space="preserve"> </w:t>
      </w:r>
      <w:r w:rsidR="003C1EFB">
        <w:rPr>
          <w:szCs w:val="22"/>
        </w:rPr>
        <w:t>ogłoszenia</w:t>
      </w:r>
      <w:r w:rsidRPr="0075069E">
        <w:rPr>
          <w:szCs w:val="22"/>
        </w:rPr>
        <w:t xml:space="preserve"> o zamówieniu</w:t>
      </w:r>
      <w:r>
        <w:rPr>
          <w:szCs w:val="22"/>
        </w:rPr>
        <w:t xml:space="preserve">, w których </w:t>
      </w:r>
      <w:r w:rsidRPr="00A019F0">
        <w:rPr>
          <w:szCs w:val="22"/>
        </w:rPr>
        <w:t>zamawiający przewidzieli możliwość dokonania zmiany umowy</w:t>
      </w:r>
      <w:r>
        <w:rPr>
          <w:szCs w:val="22"/>
        </w:rPr>
        <w:t xml:space="preserve">. Stanowiło to </w:t>
      </w:r>
      <w:r w:rsidR="003C1EFB">
        <w:rPr>
          <w:szCs w:val="22"/>
        </w:rPr>
        <w:t>prawie</w:t>
      </w:r>
      <w:r w:rsidRPr="0075069E">
        <w:rPr>
          <w:szCs w:val="22"/>
        </w:rPr>
        <w:t xml:space="preserve"> 9</w:t>
      </w:r>
      <w:r w:rsidR="003C1EFB">
        <w:rPr>
          <w:szCs w:val="22"/>
        </w:rPr>
        <w:t>3</w:t>
      </w:r>
      <w:r w:rsidRPr="0075069E">
        <w:rPr>
          <w:szCs w:val="22"/>
        </w:rPr>
        <w:t>% ogółu ogłoszeń</w:t>
      </w:r>
      <w:r w:rsidR="009151AA">
        <w:rPr>
          <w:szCs w:val="22"/>
        </w:rPr>
        <w:t xml:space="preserve"> o zamówieniu</w:t>
      </w:r>
      <w:r>
        <w:rPr>
          <w:szCs w:val="22"/>
        </w:rPr>
        <w:t xml:space="preserve">. </w:t>
      </w:r>
      <w:r w:rsidRPr="0075069E">
        <w:rPr>
          <w:szCs w:val="22"/>
        </w:rPr>
        <w:t>W 202</w:t>
      </w:r>
      <w:r>
        <w:rPr>
          <w:szCs w:val="22"/>
        </w:rPr>
        <w:t>1</w:t>
      </w:r>
      <w:r w:rsidRPr="0075069E">
        <w:rPr>
          <w:szCs w:val="22"/>
        </w:rPr>
        <w:t xml:space="preserve"> r. możliwość zmian postanowień zawartej umowy wskazano w </w:t>
      </w:r>
      <w:r w:rsidRPr="00A019F0">
        <w:rPr>
          <w:szCs w:val="22"/>
        </w:rPr>
        <w:t>99</w:t>
      </w:r>
      <w:r w:rsidR="00C32DF1">
        <w:rPr>
          <w:szCs w:val="22"/>
        </w:rPr>
        <w:t> </w:t>
      </w:r>
      <w:r w:rsidRPr="00A019F0">
        <w:rPr>
          <w:szCs w:val="22"/>
        </w:rPr>
        <w:t>208</w:t>
      </w:r>
      <w:r w:rsidR="00C32DF1">
        <w:rPr>
          <w:szCs w:val="22"/>
        </w:rPr>
        <w:t xml:space="preserve"> </w:t>
      </w:r>
      <w:r w:rsidRPr="0075069E">
        <w:rPr>
          <w:szCs w:val="22"/>
        </w:rPr>
        <w:t>przypadkach (</w:t>
      </w:r>
      <w:r w:rsidR="003F3123">
        <w:rPr>
          <w:szCs w:val="22"/>
        </w:rPr>
        <w:t>91</w:t>
      </w:r>
      <w:r w:rsidRPr="0075069E">
        <w:rPr>
          <w:szCs w:val="22"/>
        </w:rPr>
        <w:t>%</w:t>
      </w:r>
      <w:r w:rsidR="003F3123">
        <w:rPr>
          <w:szCs w:val="22"/>
        </w:rPr>
        <w:t xml:space="preserve"> ogłoszeń o zamówieniu</w:t>
      </w:r>
      <w:r w:rsidRPr="0075069E">
        <w:rPr>
          <w:szCs w:val="22"/>
        </w:rPr>
        <w:t>).</w:t>
      </w:r>
    </w:p>
    <w:p w14:paraId="51DE7BAC" w14:textId="77777777" w:rsidR="00A019F0" w:rsidRDefault="00A019F0" w:rsidP="00A019F0">
      <w:pPr>
        <w:rPr>
          <w:szCs w:val="22"/>
        </w:rPr>
      </w:pPr>
    </w:p>
    <w:p w14:paraId="59A84403" w14:textId="0804104F" w:rsidR="00A019F0" w:rsidRPr="0075069E" w:rsidRDefault="00A019F0" w:rsidP="00A019F0">
      <w:pPr>
        <w:rPr>
          <w:szCs w:val="22"/>
        </w:rPr>
      </w:pPr>
      <w:r w:rsidRPr="0075069E">
        <w:rPr>
          <w:szCs w:val="22"/>
        </w:rPr>
        <w:t xml:space="preserve">Najwięcej tego rodzaju ogłoszeń dotyczyło postępowań na roboty budowlane – </w:t>
      </w:r>
      <w:r w:rsidR="003C1EFB" w:rsidRPr="003C1EFB">
        <w:rPr>
          <w:szCs w:val="22"/>
        </w:rPr>
        <w:t>48</w:t>
      </w:r>
      <w:r w:rsidR="00C32DF1">
        <w:rPr>
          <w:szCs w:val="22"/>
        </w:rPr>
        <w:t> </w:t>
      </w:r>
      <w:r w:rsidR="003C1EFB" w:rsidRPr="003C1EFB">
        <w:rPr>
          <w:szCs w:val="22"/>
        </w:rPr>
        <w:t>366</w:t>
      </w:r>
      <w:r w:rsidR="00C32DF1">
        <w:rPr>
          <w:szCs w:val="22"/>
        </w:rPr>
        <w:t xml:space="preserve"> </w:t>
      </w:r>
      <w:r w:rsidRPr="0075069E">
        <w:rPr>
          <w:szCs w:val="22"/>
        </w:rPr>
        <w:t>ogłoszeń (9</w:t>
      </w:r>
      <w:r w:rsidR="003C1EFB">
        <w:rPr>
          <w:szCs w:val="22"/>
        </w:rPr>
        <w:t>8</w:t>
      </w:r>
      <w:r w:rsidRPr="0075069E">
        <w:rPr>
          <w:szCs w:val="22"/>
        </w:rPr>
        <w:t xml:space="preserve">% ogółu ogłoszeń na roboty budowlane). W przypadku dostaw było to w </w:t>
      </w:r>
      <w:r w:rsidR="003C1EFB" w:rsidRPr="003C1EFB">
        <w:rPr>
          <w:szCs w:val="22"/>
        </w:rPr>
        <w:t>42</w:t>
      </w:r>
      <w:r w:rsidR="00C32DF1">
        <w:rPr>
          <w:szCs w:val="22"/>
        </w:rPr>
        <w:t> </w:t>
      </w:r>
      <w:r w:rsidR="003C1EFB" w:rsidRPr="003C1EFB">
        <w:rPr>
          <w:szCs w:val="22"/>
        </w:rPr>
        <w:t>439</w:t>
      </w:r>
      <w:r w:rsidR="00C32DF1">
        <w:rPr>
          <w:szCs w:val="22"/>
        </w:rPr>
        <w:t xml:space="preserve"> </w:t>
      </w:r>
      <w:r w:rsidRPr="0075069E">
        <w:rPr>
          <w:szCs w:val="22"/>
        </w:rPr>
        <w:t>ogłoszeniach (8</w:t>
      </w:r>
      <w:r w:rsidR="003C1EFB">
        <w:rPr>
          <w:szCs w:val="22"/>
        </w:rPr>
        <w:t>9</w:t>
      </w:r>
      <w:r w:rsidRPr="0075069E">
        <w:rPr>
          <w:szCs w:val="22"/>
        </w:rPr>
        <w:t xml:space="preserve">%), a w zamówieniach na usługi – w </w:t>
      </w:r>
      <w:r w:rsidR="003C1EFB" w:rsidRPr="003C1EFB">
        <w:rPr>
          <w:szCs w:val="22"/>
        </w:rPr>
        <w:t>35</w:t>
      </w:r>
      <w:r w:rsidR="00C32DF1">
        <w:rPr>
          <w:szCs w:val="22"/>
        </w:rPr>
        <w:t> </w:t>
      </w:r>
      <w:r w:rsidR="003C1EFB" w:rsidRPr="003C1EFB">
        <w:rPr>
          <w:szCs w:val="22"/>
        </w:rPr>
        <w:t>948</w:t>
      </w:r>
      <w:r w:rsidR="00C32DF1">
        <w:rPr>
          <w:szCs w:val="22"/>
        </w:rPr>
        <w:t xml:space="preserve"> </w:t>
      </w:r>
      <w:r w:rsidRPr="0075069E">
        <w:rPr>
          <w:szCs w:val="22"/>
        </w:rPr>
        <w:t>ogłoszeniach (9</w:t>
      </w:r>
      <w:r w:rsidR="003C1EFB">
        <w:rPr>
          <w:szCs w:val="22"/>
        </w:rPr>
        <w:t>2</w:t>
      </w:r>
      <w:r w:rsidRPr="0075069E">
        <w:rPr>
          <w:szCs w:val="22"/>
        </w:rPr>
        <w:t>%).</w:t>
      </w:r>
    </w:p>
    <w:p w14:paraId="5935446E" w14:textId="6FE37B11" w:rsidR="00BB7780" w:rsidRDefault="00BB7780" w:rsidP="00BB7780">
      <w:pPr>
        <w:rPr>
          <w:szCs w:val="22"/>
        </w:rPr>
      </w:pPr>
    </w:p>
    <w:p w14:paraId="3290C01C" w14:textId="0C9E2501" w:rsidR="00C34E59" w:rsidRDefault="00C34E59" w:rsidP="00DA3E0B">
      <w:pPr>
        <w:pStyle w:val="Legenda"/>
      </w:pPr>
      <w:bookmarkStart w:id="184" w:name="_Toc141276505"/>
      <w:r w:rsidRPr="00AF1E61">
        <w:t xml:space="preserve">Rys. </w:t>
      </w:r>
      <w:r w:rsidR="00BE2079">
        <w:fldChar w:fldCharType="begin"/>
      </w:r>
      <w:r w:rsidR="00BE2079">
        <w:instrText xml:space="preserve"> </w:instrText>
      </w:r>
      <w:r w:rsidR="00BE2079">
        <w:instrText xml:space="preserve">SEQ Rys. \* ARABIC </w:instrText>
      </w:r>
      <w:r w:rsidR="00BE2079">
        <w:fldChar w:fldCharType="separate"/>
      </w:r>
      <w:r w:rsidR="00A43C68">
        <w:rPr>
          <w:noProof/>
        </w:rPr>
        <w:t>27</w:t>
      </w:r>
      <w:r w:rsidR="00BE2079">
        <w:rPr>
          <w:noProof/>
        </w:rPr>
        <w:fldChar w:fldCharType="end"/>
      </w:r>
      <w:r>
        <w:t xml:space="preserve">. Odsetek postępowań, w których </w:t>
      </w:r>
      <w:r w:rsidRPr="00C34E59">
        <w:t>przewidziano zmiany postanowień zawartej umowy w stosunku do treści oferty</w:t>
      </w:r>
      <w:bookmarkEnd w:id="184"/>
    </w:p>
    <w:p w14:paraId="04F54114" w14:textId="324A73D1" w:rsidR="00C34E59" w:rsidRDefault="0051586F" w:rsidP="00BB7780">
      <w:pPr>
        <w:rPr>
          <w:szCs w:val="22"/>
        </w:rPr>
      </w:pPr>
      <w:r>
        <w:rPr>
          <w:noProof/>
        </w:rPr>
        <w:drawing>
          <wp:inline distT="0" distB="0" distL="0" distR="0" wp14:anchorId="6D49D5C4" wp14:editId="74ECE3DC">
            <wp:extent cx="4572000" cy="274320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71A1024" w14:textId="77777777" w:rsidR="00C34E59" w:rsidRPr="0075069E" w:rsidRDefault="00C34E59" w:rsidP="00BB7780">
      <w:pPr>
        <w:rPr>
          <w:szCs w:val="22"/>
        </w:rPr>
      </w:pPr>
    </w:p>
    <w:p w14:paraId="6B8F1676" w14:textId="77777777" w:rsidR="00BB7780" w:rsidRPr="0075069E" w:rsidRDefault="00BB7780" w:rsidP="00BB7780">
      <w:pPr>
        <w:rPr>
          <w:szCs w:val="22"/>
        </w:rPr>
      </w:pPr>
    </w:p>
    <w:p w14:paraId="6B5D9949" w14:textId="77777777" w:rsidR="00BB7780" w:rsidRPr="0075069E" w:rsidRDefault="00BB7780" w:rsidP="00E16264">
      <w:pPr>
        <w:pStyle w:val="StylArial11ptWyjustowany"/>
        <w:numPr>
          <w:ilvl w:val="0"/>
          <w:numId w:val="13"/>
        </w:numPr>
        <w:shd w:val="clear" w:color="auto" w:fill="FFFFFF"/>
        <w:jc w:val="left"/>
        <w:rPr>
          <w:rFonts w:cs="Arial"/>
          <w:b/>
          <w:iCs/>
          <w:color w:val="0070C0"/>
          <w:szCs w:val="22"/>
        </w:rPr>
      </w:pPr>
      <w:r w:rsidRPr="0075069E">
        <w:rPr>
          <w:rFonts w:cs="Arial"/>
          <w:b/>
          <w:iCs/>
          <w:color w:val="0070C0"/>
          <w:szCs w:val="22"/>
        </w:rPr>
        <w:t>Ogłoszenia o zmianie umowy</w:t>
      </w:r>
    </w:p>
    <w:p w14:paraId="00CE7F6F" w14:textId="24B328BE" w:rsidR="00BB7780" w:rsidRDefault="00BB7780" w:rsidP="00BB7780">
      <w:pPr>
        <w:rPr>
          <w:szCs w:val="22"/>
        </w:rPr>
      </w:pPr>
    </w:p>
    <w:p w14:paraId="25899EB2" w14:textId="6C699A4C" w:rsidR="00D32073" w:rsidRDefault="00D32073" w:rsidP="004A4269">
      <w:pPr>
        <w:rPr>
          <w:szCs w:val="22"/>
        </w:rPr>
      </w:pPr>
      <w:r>
        <w:rPr>
          <w:szCs w:val="22"/>
        </w:rPr>
        <w:t xml:space="preserve">W 2022 r. </w:t>
      </w:r>
      <w:r w:rsidR="001670EA" w:rsidRPr="001670EA">
        <w:rPr>
          <w:szCs w:val="22"/>
        </w:rPr>
        <w:t xml:space="preserve">opublikowano łącznie (w BZP i Dz. Urz. UE) </w:t>
      </w:r>
      <w:r w:rsidR="00724F85">
        <w:rPr>
          <w:szCs w:val="22"/>
        </w:rPr>
        <w:t>20</w:t>
      </w:r>
      <w:r w:rsidR="00A25F2C">
        <w:rPr>
          <w:szCs w:val="22"/>
        </w:rPr>
        <w:t> </w:t>
      </w:r>
      <w:r w:rsidR="00724F85" w:rsidRPr="00724F85">
        <w:rPr>
          <w:szCs w:val="22"/>
        </w:rPr>
        <w:t>916</w:t>
      </w:r>
      <w:r w:rsidR="00A25F2C">
        <w:rPr>
          <w:szCs w:val="22"/>
        </w:rPr>
        <w:t xml:space="preserve"> </w:t>
      </w:r>
      <w:r w:rsidR="001670EA" w:rsidRPr="001670EA">
        <w:rPr>
          <w:szCs w:val="22"/>
        </w:rPr>
        <w:t>ogłoszeń o zmianie umowy, w 202</w:t>
      </w:r>
      <w:r w:rsidR="008D093A">
        <w:rPr>
          <w:szCs w:val="22"/>
        </w:rPr>
        <w:t>1</w:t>
      </w:r>
      <w:r w:rsidR="001670EA" w:rsidRPr="001670EA">
        <w:rPr>
          <w:szCs w:val="22"/>
        </w:rPr>
        <w:t xml:space="preserve"> r. – </w:t>
      </w:r>
      <w:r w:rsidR="00724F85">
        <w:rPr>
          <w:szCs w:val="22"/>
        </w:rPr>
        <w:t>8</w:t>
      </w:r>
      <w:r w:rsidR="00A25F2C">
        <w:rPr>
          <w:szCs w:val="22"/>
        </w:rPr>
        <w:t> </w:t>
      </w:r>
      <w:r w:rsidR="008D093A" w:rsidRPr="001670EA">
        <w:rPr>
          <w:szCs w:val="22"/>
        </w:rPr>
        <w:t>613</w:t>
      </w:r>
      <w:r w:rsidR="001670EA" w:rsidRPr="001670EA">
        <w:rPr>
          <w:szCs w:val="22"/>
        </w:rPr>
        <w:t>.</w:t>
      </w:r>
    </w:p>
    <w:p w14:paraId="66D7563D" w14:textId="1B23B0FA" w:rsidR="00EF77F6" w:rsidRDefault="004A4269" w:rsidP="004A4269">
      <w:pPr>
        <w:rPr>
          <w:szCs w:val="22"/>
        </w:rPr>
      </w:pPr>
      <w:r w:rsidRPr="0075069E">
        <w:rPr>
          <w:szCs w:val="22"/>
        </w:rPr>
        <w:t>Najczęściej ogłoszenia o zmianie umowy dotyczyły postępowań na</w:t>
      </w:r>
      <w:r w:rsidR="00EF77F6">
        <w:rPr>
          <w:szCs w:val="22"/>
        </w:rPr>
        <w:t xml:space="preserve"> usługi – 41% (</w:t>
      </w:r>
      <w:r w:rsidR="00EF77F6" w:rsidRPr="00EF77F6">
        <w:rPr>
          <w:szCs w:val="22"/>
        </w:rPr>
        <w:t>8</w:t>
      </w:r>
      <w:r w:rsidR="00A25F2C">
        <w:rPr>
          <w:szCs w:val="22"/>
        </w:rPr>
        <w:t> </w:t>
      </w:r>
      <w:r w:rsidR="00EF77F6" w:rsidRPr="00EF77F6">
        <w:rPr>
          <w:szCs w:val="22"/>
        </w:rPr>
        <w:t>651</w:t>
      </w:r>
      <w:r w:rsidR="00EF77F6">
        <w:rPr>
          <w:szCs w:val="22"/>
        </w:rPr>
        <w:t xml:space="preserve">), </w:t>
      </w:r>
      <w:r w:rsidR="00EF77F6" w:rsidRPr="00EF77F6">
        <w:rPr>
          <w:szCs w:val="22"/>
        </w:rPr>
        <w:t>następnie na</w:t>
      </w:r>
      <w:r w:rsidR="00EF77F6">
        <w:rPr>
          <w:szCs w:val="22"/>
        </w:rPr>
        <w:t xml:space="preserve"> </w:t>
      </w:r>
      <w:r w:rsidR="00EF77F6" w:rsidRPr="0075069E">
        <w:rPr>
          <w:szCs w:val="22"/>
        </w:rPr>
        <w:t>roboty budowlane</w:t>
      </w:r>
      <w:r w:rsidR="00EF77F6">
        <w:rPr>
          <w:szCs w:val="22"/>
        </w:rPr>
        <w:t xml:space="preserve"> – 32% (</w:t>
      </w:r>
      <w:r w:rsidR="00EF77F6" w:rsidRPr="00EF77F6">
        <w:rPr>
          <w:szCs w:val="22"/>
        </w:rPr>
        <w:t>6</w:t>
      </w:r>
      <w:r w:rsidR="00A25F2C">
        <w:rPr>
          <w:szCs w:val="22"/>
        </w:rPr>
        <w:t> </w:t>
      </w:r>
      <w:r w:rsidR="00EF77F6" w:rsidRPr="00EF77F6">
        <w:rPr>
          <w:szCs w:val="22"/>
        </w:rPr>
        <w:t>683</w:t>
      </w:r>
      <w:r w:rsidR="00EF77F6">
        <w:rPr>
          <w:szCs w:val="22"/>
        </w:rPr>
        <w:t xml:space="preserve">), </w:t>
      </w:r>
      <w:r w:rsidR="00EF77F6" w:rsidRPr="0075069E">
        <w:rPr>
          <w:szCs w:val="22"/>
        </w:rPr>
        <w:t>a</w:t>
      </w:r>
      <w:r w:rsidR="00EF77F6">
        <w:rPr>
          <w:szCs w:val="22"/>
        </w:rPr>
        <w:t xml:space="preserve"> </w:t>
      </w:r>
      <w:r w:rsidR="00EF77F6" w:rsidRPr="0075069E">
        <w:rPr>
          <w:szCs w:val="22"/>
        </w:rPr>
        <w:t>w</w:t>
      </w:r>
      <w:r w:rsidR="00EF77F6">
        <w:rPr>
          <w:szCs w:val="22"/>
        </w:rPr>
        <w:t xml:space="preserve"> </w:t>
      </w:r>
      <w:r w:rsidR="00EF77F6" w:rsidRPr="0075069E">
        <w:rPr>
          <w:szCs w:val="22"/>
        </w:rPr>
        <w:t xml:space="preserve">przypadku dostaw ogłoszeń takich </w:t>
      </w:r>
      <w:r w:rsidR="00EF77F6">
        <w:rPr>
          <w:szCs w:val="22"/>
        </w:rPr>
        <w:t>było 27% (</w:t>
      </w:r>
      <w:r w:rsidR="00EF77F6" w:rsidRPr="00EF77F6">
        <w:rPr>
          <w:szCs w:val="22"/>
        </w:rPr>
        <w:t>5</w:t>
      </w:r>
      <w:r w:rsidR="00A25F2C">
        <w:rPr>
          <w:szCs w:val="22"/>
        </w:rPr>
        <w:t> </w:t>
      </w:r>
      <w:r w:rsidR="00EF77F6" w:rsidRPr="00EF77F6">
        <w:rPr>
          <w:szCs w:val="22"/>
        </w:rPr>
        <w:t>582</w:t>
      </w:r>
      <w:r w:rsidR="00EF77F6">
        <w:rPr>
          <w:szCs w:val="22"/>
        </w:rPr>
        <w:t xml:space="preserve">). </w:t>
      </w:r>
    </w:p>
    <w:p w14:paraId="739E01FB" w14:textId="77777777" w:rsidR="00E55515" w:rsidRDefault="00E55515" w:rsidP="007D4DEB">
      <w:pPr>
        <w:shd w:val="clear" w:color="auto" w:fill="FFFFFF"/>
        <w:rPr>
          <w:rFonts w:cs="Arial"/>
          <w:szCs w:val="22"/>
        </w:rPr>
      </w:pPr>
    </w:p>
    <w:p w14:paraId="479491F8" w14:textId="01970F59" w:rsidR="0079132F" w:rsidRDefault="0079132F">
      <w:pPr>
        <w:jc w:val="left"/>
        <w:rPr>
          <w:rFonts w:eastAsia="Calibri"/>
          <w:szCs w:val="22"/>
          <w:lang w:eastAsia="en-US"/>
        </w:rPr>
      </w:pPr>
    </w:p>
    <w:tbl>
      <w:tblPr>
        <w:tblW w:w="8912" w:type="dxa"/>
        <w:tblInd w:w="374" w:type="dxa"/>
        <w:tblLayout w:type="fixed"/>
        <w:tblLook w:val="04A0" w:firstRow="1" w:lastRow="0" w:firstColumn="1" w:lastColumn="0" w:noHBand="0" w:noVBand="1"/>
      </w:tblPr>
      <w:tblGrid>
        <w:gridCol w:w="236"/>
        <w:gridCol w:w="8676"/>
      </w:tblGrid>
      <w:tr w:rsidR="00E63700" w:rsidRPr="001E7D51" w14:paraId="593E544D" w14:textId="77777777" w:rsidTr="0079132F">
        <w:trPr>
          <w:cantSplit/>
        </w:trPr>
        <w:tc>
          <w:tcPr>
            <w:tcW w:w="236" w:type="dxa"/>
            <w:shd w:val="clear" w:color="auto" w:fill="B8CCE4"/>
          </w:tcPr>
          <w:p w14:paraId="29B0A2B3" w14:textId="77777777" w:rsidR="00E63700" w:rsidRPr="001E7D51" w:rsidRDefault="00E63700" w:rsidP="00F058DB">
            <w:pPr>
              <w:rPr>
                <w:sz w:val="24"/>
              </w:rPr>
            </w:pPr>
          </w:p>
        </w:tc>
        <w:tc>
          <w:tcPr>
            <w:tcW w:w="8676" w:type="dxa"/>
          </w:tcPr>
          <w:p w14:paraId="785E6B11" w14:textId="154E4620" w:rsidR="00E63700" w:rsidRPr="002F7601" w:rsidRDefault="00A62728" w:rsidP="00F058DB">
            <w:pPr>
              <w:pStyle w:val="Nagwek3"/>
              <w:shd w:val="clear" w:color="auto" w:fill="FFFFFF"/>
              <w:spacing w:after="120"/>
              <w:ind w:left="666" w:hanging="666"/>
              <w:rPr>
                <w:color w:val="0070C0"/>
                <w:sz w:val="24"/>
                <w:szCs w:val="24"/>
              </w:rPr>
            </w:pPr>
            <w:bookmarkStart w:id="185" w:name="_Toc64451872"/>
            <w:bookmarkStart w:id="186" w:name="_Toc141276451"/>
            <w:r w:rsidRPr="002F7601">
              <w:rPr>
                <w:color w:val="0070C0"/>
                <w:sz w:val="24"/>
                <w:szCs w:val="24"/>
              </w:rPr>
              <w:t>II.3.</w:t>
            </w:r>
            <w:r w:rsidR="00C2424E" w:rsidRPr="002F7601">
              <w:rPr>
                <w:color w:val="0070C0"/>
                <w:sz w:val="24"/>
                <w:szCs w:val="24"/>
              </w:rPr>
              <w:t>5</w:t>
            </w:r>
            <w:r w:rsidRPr="002F7601">
              <w:rPr>
                <w:color w:val="0070C0"/>
                <w:sz w:val="24"/>
                <w:szCs w:val="24"/>
              </w:rPr>
              <w:t>.</w:t>
            </w:r>
            <w:r w:rsidR="00750B05" w:rsidRPr="002F7601">
              <w:rPr>
                <w:color w:val="0070C0"/>
                <w:sz w:val="24"/>
                <w:szCs w:val="24"/>
              </w:rPr>
              <w:t xml:space="preserve"> </w:t>
            </w:r>
            <w:r w:rsidR="00E55515" w:rsidRPr="002F7601">
              <w:rPr>
                <w:color w:val="0070C0"/>
                <w:sz w:val="24"/>
                <w:szCs w:val="24"/>
              </w:rPr>
              <w:t>Postępowania, w których przed wszczęciem postępowania o</w:t>
            </w:r>
            <w:r w:rsidR="009343A1">
              <w:rPr>
                <w:color w:val="0070C0"/>
                <w:sz w:val="24"/>
                <w:szCs w:val="24"/>
              </w:rPr>
              <w:t xml:space="preserve"> </w:t>
            </w:r>
            <w:r w:rsidR="00E55515" w:rsidRPr="002F7601">
              <w:rPr>
                <w:color w:val="0070C0"/>
                <w:sz w:val="24"/>
                <w:szCs w:val="24"/>
              </w:rPr>
              <w:t>udzielenie zamówienia przeprowadzono wstępne konsultacje rynkowe</w:t>
            </w:r>
            <w:bookmarkEnd w:id="185"/>
            <w:bookmarkEnd w:id="186"/>
          </w:p>
        </w:tc>
      </w:tr>
    </w:tbl>
    <w:p w14:paraId="4734E1D1" w14:textId="29BBE2D3" w:rsidR="00E63700" w:rsidRDefault="00E63700" w:rsidP="007D4DEB">
      <w:pPr>
        <w:rPr>
          <w:rFonts w:eastAsia="Calibri"/>
          <w:szCs w:val="22"/>
          <w:lang w:eastAsia="en-US"/>
        </w:rPr>
      </w:pPr>
    </w:p>
    <w:p w14:paraId="6448C107" w14:textId="4B03869A" w:rsidR="002F7601" w:rsidRPr="0075069E" w:rsidRDefault="002F7601" w:rsidP="002F7601">
      <w:pPr>
        <w:rPr>
          <w:szCs w:val="22"/>
        </w:rPr>
      </w:pPr>
      <w:r w:rsidRPr="0075069E">
        <w:rPr>
          <w:szCs w:val="22"/>
        </w:rPr>
        <w:t>W 202</w:t>
      </w:r>
      <w:r w:rsidR="0096059F">
        <w:rPr>
          <w:szCs w:val="22"/>
        </w:rPr>
        <w:t>2</w:t>
      </w:r>
      <w:r w:rsidRPr="0075069E">
        <w:rPr>
          <w:szCs w:val="22"/>
        </w:rPr>
        <w:t xml:space="preserve"> r. zamawiający poinformowali o zastosowaniu wstępnych konsultacji rynkowych w </w:t>
      </w:r>
      <w:r w:rsidR="0096059F" w:rsidRPr="0096059F">
        <w:rPr>
          <w:szCs w:val="22"/>
        </w:rPr>
        <w:t>924</w:t>
      </w:r>
      <w:r w:rsidR="0096059F">
        <w:rPr>
          <w:szCs w:val="22"/>
        </w:rPr>
        <w:t xml:space="preserve"> </w:t>
      </w:r>
      <w:r w:rsidRPr="0075069E">
        <w:rPr>
          <w:szCs w:val="22"/>
        </w:rPr>
        <w:t>ogłoszeniach o zamówieniu opublikowanych w BZP</w:t>
      </w:r>
      <w:r w:rsidRPr="0075069E">
        <w:rPr>
          <w:rStyle w:val="Odwoanieprzypisudolnego"/>
          <w:szCs w:val="22"/>
        </w:rPr>
        <w:footnoteReference w:id="24"/>
      </w:r>
      <w:r w:rsidRPr="0075069E">
        <w:rPr>
          <w:szCs w:val="22"/>
        </w:rPr>
        <w:t>, co stanowiło 0,</w:t>
      </w:r>
      <w:r w:rsidR="0096059F">
        <w:rPr>
          <w:szCs w:val="22"/>
        </w:rPr>
        <w:t>68</w:t>
      </w:r>
      <w:r w:rsidRPr="0075069E">
        <w:rPr>
          <w:szCs w:val="22"/>
        </w:rPr>
        <w:t>% ogółu ogłoszeń</w:t>
      </w:r>
      <w:r w:rsidR="0096059F">
        <w:rPr>
          <w:szCs w:val="22"/>
        </w:rPr>
        <w:t xml:space="preserve"> o zamówieniu</w:t>
      </w:r>
      <w:r w:rsidRPr="0075069E">
        <w:rPr>
          <w:szCs w:val="22"/>
        </w:rPr>
        <w:t>. W</w:t>
      </w:r>
      <w:r w:rsidR="009343A1">
        <w:rPr>
          <w:szCs w:val="22"/>
        </w:rPr>
        <w:t xml:space="preserve"> </w:t>
      </w:r>
      <w:r w:rsidRPr="0075069E">
        <w:rPr>
          <w:szCs w:val="22"/>
        </w:rPr>
        <w:t>202</w:t>
      </w:r>
      <w:r w:rsidR="00050BEE">
        <w:rPr>
          <w:szCs w:val="22"/>
        </w:rPr>
        <w:t>1</w:t>
      </w:r>
      <w:r w:rsidRPr="0075069E">
        <w:rPr>
          <w:szCs w:val="22"/>
        </w:rPr>
        <w:t xml:space="preserve"> r. odnotowano </w:t>
      </w:r>
      <w:r w:rsidR="00050BEE" w:rsidRPr="0075069E">
        <w:rPr>
          <w:szCs w:val="22"/>
        </w:rPr>
        <w:t xml:space="preserve">818 </w:t>
      </w:r>
      <w:r w:rsidR="00050BEE">
        <w:rPr>
          <w:szCs w:val="22"/>
        </w:rPr>
        <w:t>takich postępowań (0,7</w:t>
      </w:r>
      <w:r w:rsidRPr="0075069E">
        <w:rPr>
          <w:szCs w:val="22"/>
        </w:rPr>
        <w:t>5%).</w:t>
      </w:r>
    </w:p>
    <w:p w14:paraId="56220DDF" w14:textId="77777777" w:rsidR="002F7601" w:rsidRPr="0075069E" w:rsidRDefault="002F7601" w:rsidP="002F7601">
      <w:pPr>
        <w:rPr>
          <w:szCs w:val="22"/>
        </w:rPr>
      </w:pPr>
    </w:p>
    <w:p w14:paraId="737B062A" w14:textId="1224DE3B" w:rsidR="002F7601" w:rsidRDefault="002F7601" w:rsidP="002F7601">
      <w:pPr>
        <w:rPr>
          <w:szCs w:val="22"/>
        </w:rPr>
      </w:pPr>
      <w:r w:rsidRPr="0075069E">
        <w:rPr>
          <w:szCs w:val="22"/>
        </w:rPr>
        <w:t xml:space="preserve">Najczęściej </w:t>
      </w:r>
      <w:r>
        <w:rPr>
          <w:szCs w:val="22"/>
        </w:rPr>
        <w:t>wstępne konsultacje rynkowe</w:t>
      </w:r>
      <w:r w:rsidRPr="0075069E">
        <w:rPr>
          <w:szCs w:val="22"/>
        </w:rPr>
        <w:t xml:space="preserve"> poprzedzał</w:t>
      </w:r>
      <w:r>
        <w:rPr>
          <w:szCs w:val="22"/>
        </w:rPr>
        <w:t>y</w:t>
      </w:r>
      <w:r w:rsidRPr="0075069E">
        <w:rPr>
          <w:szCs w:val="22"/>
        </w:rPr>
        <w:t xml:space="preserve"> dostawy – </w:t>
      </w:r>
      <w:r w:rsidR="009D6128" w:rsidRPr="009D6128">
        <w:rPr>
          <w:szCs w:val="22"/>
        </w:rPr>
        <w:t>481</w:t>
      </w:r>
      <w:r w:rsidR="009D6128">
        <w:rPr>
          <w:szCs w:val="22"/>
        </w:rPr>
        <w:t xml:space="preserve"> </w:t>
      </w:r>
      <w:r w:rsidRPr="0075069E">
        <w:rPr>
          <w:szCs w:val="22"/>
        </w:rPr>
        <w:t>ogłoszeń (1,</w:t>
      </w:r>
      <w:r w:rsidR="009D6128">
        <w:rPr>
          <w:szCs w:val="22"/>
        </w:rPr>
        <w:t>00</w:t>
      </w:r>
      <w:r w:rsidRPr="0075069E">
        <w:rPr>
          <w:szCs w:val="22"/>
        </w:rPr>
        <w:t xml:space="preserve">% ogłoszeń o zamówieniu na dostawy). Stosowano </w:t>
      </w:r>
      <w:r>
        <w:rPr>
          <w:szCs w:val="22"/>
        </w:rPr>
        <w:t>je</w:t>
      </w:r>
      <w:r w:rsidRPr="0075069E">
        <w:rPr>
          <w:szCs w:val="22"/>
        </w:rPr>
        <w:t xml:space="preserve"> również w przypadku zamówień na usługi – w </w:t>
      </w:r>
      <w:r w:rsidR="009D6128" w:rsidRPr="009D6128">
        <w:rPr>
          <w:szCs w:val="22"/>
        </w:rPr>
        <w:t>302</w:t>
      </w:r>
      <w:r w:rsidR="009D6128">
        <w:rPr>
          <w:szCs w:val="22"/>
        </w:rPr>
        <w:t xml:space="preserve"> </w:t>
      </w:r>
      <w:r w:rsidRPr="0075069E">
        <w:rPr>
          <w:szCs w:val="22"/>
        </w:rPr>
        <w:t>postępowaniach (0,</w:t>
      </w:r>
      <w:r w:rsidR="009D6128">
        <w:rPr>
          <w:szCs w:val="22"/>
        </w:rPr>
        <w:t>77</w:t>
      </w:r>
      <w:r w:rsidRPr="0075069E">
        <w:rPr>
          <w:szCs w:val="22"/>
        </w:rPr>
        <w:t xml:space="preserve">%) oraz na roboty budowlane – w </w:t>
      </w:r>
      <w:r w:rsidR="009D6128" w:rsidRPr="009D6128">
        <w:rPr>
          <w:szCs w:val="22"/>
        </w:rPr>
        <w:t>141</w:t>
      </w:r>
      <w:r w:rsidR="009D6128">
        <w:rPr>
          <w:szCs w:val="22"/>
        </w:rPr>
        <w:t xml:space="preserve"> postępowaniach (0,28</w:t>
      </w:r>
      <w:r w:rsidRPr="0075069E">
        <w:rPr>
          <w:szCs w:val="22"/>
        </w:rPr>
        <w:t>%).</w:t>
      </w:r>
    </w:p>
    <w:p w14:paraId="4934BEDC" w14:textId="19828F49" w:rsidR="0026738D" w:rsidRDefault="0026738D" w:rsidP="00B93A01">
      <w:pPr>
        <w:rPr>
          <w:rFonts w:cs="Arial"/>
          <w:szCs w:val="22"/>
        </w:rPr>
      </w:pPr>
    </w:p>
    <w:p w14:paraId="02660370" w14:textId="7DF007CE" w:rsidR="003A036F" w:rsidRDefault="003A036F" w:rsidP="00DA3E0B">
      <w:pPr>
        <w:pStyle w:val="Legenda"/>
      </w:pPr>
      <w:bookmarkStart w:id="187" w:name="_Toc141276506"/>
      <w:r w:rsidRPr="00AF1E61">
        <w:t xml:space="preserve">Rys. </w:t>
      </w:r>
      <w:r w:rsidR="00BE2079">
        <w:fldChar w:fldCharType="begin"/>
      </w:r>
      <w:r w:rsidR="00BE2079">
        <w:instrText xml:space="preserve"> SEQ Rys. \* ARABIC </w:instrText>
      </w:r>
      <w:r w:rsidR="00BE2079">
        <w:fldChar w:fldCharType="separate"/>
      </w:r>
      <w:r w:rsidR="00A43C68">
        <w:rPr>
          <w:noProof/>
        </w:rPr>
        <w:t>28</w:t>
      </w:r>
      <w:r w:rsidR="00BE2079">
        <w:rPr>
          <w:noProof/>
        </w:rPr>
        <w:fldChar w:fldCharType="end"/>
      </w:r>
      <w:r>
        <w:t xml:space="preserve">. Odsetek postępowań, w których </w:t>
      </w:r>
      <w:r w:rsidRPr="003A036F">
        <w:t>przed wszczęciem postępowania o udzielenie zamówienia przeprowadzono wstępne konsultacje rynkowe</w:t>
      </w:r>
      <w:bookmarkEnd w:id="187"/>
    </w:p>
    <w:p w14:paraId="5B41B718" w14:textId="7EBAF1F0" w:rsidR="00907264" w:rsidRDefault="00A92D33" w:rsidP="00B93A01">
      <w:pPr>
        <w:rPr>
          <w:rFonts w:cs="Arial"/>
          <w:szCs w:val="22"/>
        </w:rPr>
      </w:pPr>
      <w:r>
        <w:rPr>
          <w:noProof/>
        </w:rPr>
        <w:drawing>
          <wp:inline distT="0" distB="0" distL="0" distR="0" wp14:anchorId="64E08A9B" wp14:editId="4750680E">
            <wp:extent cx="4572000" cy="2743200"/>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A3B1A56" w14:textId="77777777" w:rsidR="00907264" w:rsidRDefault="00907264" w:rsidP="00B93A01">
      <w:pPr>
        <w:rPr>
          <w:rFonts w:cs="Arial"/>
          <w:szCs w:val="22"/>
        </w:rPr>
      </w:pPr>
    </w:p>
    <w:p w14:paraId="771947C4" w14:textId="77777777" w:rsidR="0026738D" w:rsidRDefault="0026738D" w:rsidP="00B93A01">
      <w:pPr>
        <w:rPr>
          <w:rFonts w:cs="Arial"/>
          <w:szCs w:val="22"/>
        </w:rPr>
      </w:pPr>
    </w:p>
    <w:tbl>
      <w:tblPr>
        <w:tblW w:w="9480" w:type="dxa"/>
        <w:tblInd w:w="-194" w:type="dxa"/>
        <w:tblLayout w:type="fixed"/>
        <w:tblLook w:val="04A0" w:firstRow="1" w:lastRow="0" w:firstColumn="1" w:lastColumn="0" w:noHBand="0" w:noVBand="1"/>
      </w:tblPr>
      <w:tblGrid>
        <w:gridCol w:w="302"/>
        <w:gridCol w:w="9178"/>
      </w:tblGrid>
      <w:tr w:rsidR="00145A53" w:rsidRPr="008C3B34" w14:paraId="17C903BA" w14:textId="77777777" w:rsidTr="0079132F">
        <w:trPr>
          <w:cantSplit/>
        </w:trPr>
        <w:tc>
          <w:tcPr>
            <w:tcW w:w="302" w:type="dxa"/>
            <w:shd w:val="clear" w:color="auto" w:fill="365F91"/>
          </w:tcPr>
          <w:p w14:paraId="5A16F7D4" w14:textId="77777777" w:rsidR="00145A53" w:rsidRPr="008C3B34" w:rsidRDefault="00145A53" w:rsidP="007D4DEB">
            <w:pPr>
              <w:pStyle w:val="Nagwek1"/>
              <w:spacing w:after="120"/>
              <w:rPr>
                <w:sz w:val="32"/>
                <w:szCs w:val="32"/>
              </w:rPr>
            </w:pPr>
          </w:p>
        </w:tc>
        <w:tc>
          <w:tcPr>
            <w:tcW w:w="9178" w:type="dxa"/>
          </w:tcPr>
          <w:p w14:paraId="3E2E7847" w14:textId="77777777" w:rsidR="00145A53" w:rsidRPr="003128A2" w:rsidRDefault="00145A53" w:rsidP="00F058DB">
            <w:pPr>
              <w:pStyle w:val="Nagwek1"/>
              <w:spacing w:after="120"/>
              <w:ind w:left="414" w:hanging="414"/>
              <w:rPr>
                <w:noProof/>
                <w:color w:val="0070C0"/>
                <w:sz w:val="32"/>
                <w:szCs w:val="32"/>
              </w:rPr>
            </w:pPr>
            <w:bookmarkStart w:id="188" w:name="_Toc64451874"/>
            <w:bookmarkStart w:id="189" w:name="_Ref99030846"/>
            <w:bookmarkStart w:id="190" w:name="_Ref99030949"/>
            <w:bookmarkStart w:id="191" w:name="_Toc141276452"/>
            <w:r w:rsidRPr="003128A2">
              <w:rPr>
                <w:noProof/>
                <w:color w:val="0070C0"/>
                <w:sz w:val="32"/>
                <w:szCs w:val="32"/>
              </w:rPr>
              <w:t>III.</w:t>
            </w:r>
            <w:r w:rsidR="00750B05" w:rsidRPr="003128A2">
              <w:rPr>
                <w:noProof/>
                <w:color w:val="0070C0"/>
                <w:sz w:val="32"/>
                <w:szCs w:val="32"/>
              </w:rPr>
              <w:t xml:space="preserve"> </w:t>
            </w:r>
            <w:r w:rsidRPr="003128A2">
              <w:rPr>
                <w:noProof/>
                <w:color w:val="0070C0"/>
                <w:sz w:val="32"/>
                <w:szCs w:val="32"/>
              </w:rPr>
              <w:t>INSTYTUCJONALNE ASPEKTY FUNKCJONOWANIA SYSTEMU ZAMÓWIEŃ PUBLICZNYCH W POLSCE</w:t>
            </w:r>
            <w:bookmarkEnd w:id="188"/>
            <w:bookmarkEnd w:id="189"/>
            <w:bookmarkEnd w:id="190"/>
            <w:bookmarkEnd w:id="191"/>
          </w:p>
        </w:tc>
      </w:tr>
    </w:tbl>
    <w:p w14:paraId="15A0B86F" w14:textId="77777777" w:rsidR="005F3C4D" w:rsidRDefault="005F3C4D" w:rsidP="007D4DEB">
      <w:pPr>
        <w:shd w:val="clear" w:color="auto" w:fill="FFFFFF"/>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84A14C3" w14:textId="77777777" w:rsidTr="008C3B34">
        <w:trPr>
          <w:cantSplit/>
        </w:trPr>
        <w:tc>
          <w:tcPr>
            <w:tcW w:w="236" w:type="dxa"/>
            <w:shd w:val="clear" w:color="auto" w:fill="95B3D7"/>
          </w:tcPr>
          <w:p w14:paraId="51D04733" w14:textId="77777777" w:rsidR="005F3C4D" w:rsidRDefault="005F3C4D" w:rsidP="007D4DEB"/>
        </w:tc>
        <w:tc>
          <w:tcPr>
            <w:tcW w:w="8960" w:type="dxa"/>
          </w:tcPr>
          <w:p w14:paraId="3E48574E" w14:textId="77777777" w:rsidR="005F3C4D" w:rsidRPr="008A0413" w:rsidRDefault="00FF7427" w:rsidP="00F058DB">
            <w:pPr>
              <w:pStyle w:val="Nagwek2"/>
              <w:shd w:val="clear" w:color="auto" w:fill="FFFFFF"/>
              <w:spacing w:after="120"/>
              <w:rPr>
                <w:noProof/>
                <w:color w:val="0070C0"/>
                <w:sz w:val="28"/>
              </w:rPr>
            </w:pPr>
            <w:bookmarkStart w:id="192" w:name="_Toc64451875"/>
            <w:bookmarkStart w:id="193" w:name="_Toc141276453"/>
            <w:r w:rsidRPr="008A0413">
              <w:rPr>
                <w:noProof/>
                <w:color w:val="0070C0"/>
                <w:sz w:val="28"/>
              </w:rPr>
              <w:t>III.1.</w:t>
            </w:r>
            <w:r w:rsidR="00750B05" w:rsidRPr="008A0413">
              <w:rPr>
                <w:noProof/>
                <w:color w:val="0070C0"/>
                <w:sz w:val="28"/>
              </w:rPr>
              <w:t xml:space="preserve"> </w:t>
            </w:r>
            <w:r w:rsidR="00013AD7" w:rsidRPr="008A0413">
              <w:rPr>
                <w:noProof/>
                <w:color w:val="0070C0"/>
                <w:sz w:val="28"/>
              </w:rPr>
              <w:t>Kompetencje Prezesa Urzędu Zamówień Publicznych</w:t>
            </w:r>
            <w:bookmarkEnd w:id="192"/>
            <w:bookmarkEnd w:id="193"/>
          </w:p>
        </w:tc>
      </w:tr>
    </w:tbl>
    <w:p w14:paraId="150FF3AF" w14:textId="64D8546D" w:rsidR="00192EC7" w:rsidRDefault="00192EC7" w:rsidP="00F058DB">
      <w:pPr>
        <w:rPr>
          <w:rFonts w:cs="Arial"/>
        </w:rPr>
      </w:pPr>
      <w:bookmarkStart w:id="194" w:name="_Toc223154364"/>
      <w:bookmarkEnd w:id="194"/>
    </w:p>
    <w:p w14:paraId="06E93F3B" w14:textId="77777777" w:rsidR="006D026E" w:rsidRDefault="006D026E" w:rsidP="006D026E">
      <w:r>
        <w:t xml:space="preserve">Prezes UZP, zgodnie z art. 466 ust. 1 ustawy Pzp, jest centralnym organem administracji rządowej właściwym w sprawach zamówień publicznych, a także, na podstawie art. 52 ust. 1 ustawy o umowie koncesji na roboty budowlane lub usługi – organem właściwym w sprawach umowy koncesji. </w:t>
      </w:r>
    </w:p>
    <w:p w14:paraId="3D2B769A" w14:textId="7AA815CE" w:rsidR="006D026E" w:rsidRDefault="006D026E" w:rsidP="006D026E">
      <w:pPr>
        <w:rPr>
          <w:color w:val="1F497D"/>
        </w:rPr>
      </w:pPr>
      <w:r>
        <w:t xml:space="preserve">Kompetencje Prezesa UZP zostały określone przede wszystkim w art. 469 ustawy Pzp. Odnoszą się one w szczególności do monitorowania systemu zamówień publicznych i analiz w tym zakresie, kontroli postępowań o udzielenie zamówienia publicznego, zapewnienia funkcjonowania systemu środków ochrony prawnej i narzędzi informatycznych </w:t>
      </w:r>
      <w:r w:rsidR="00751299">
        <w:t>wykorzystywanych</w:t>
      </w:r>
      <w:r w:rsidR="009A02C1">
        <w:t xml:space="preserve"> </w:t>
      </w:r>
      <w:r>
        <w:t xml:space="preserve">w obszarze zamówień publicznych, a także działań </w:t>
      </w:r>
      <w:r w:rsidR="00C40E8A">
        <w:t xml:space="preserve">związanych z </w:t>
      </w:r>
      <w:r>
        <w:t>upowszechniani</w:t>
      </w:r>
      <w:r w:rsidR="00C40E8A">
        <w:t>em</w:t>
      </w:r>
      <w:r>
        <w:t xml:space="preserve"> wiedzy z zakresu zamówień publicznych. Prezes UZP dąży do zapewnienia jednolitego stosowania przepisów o zamówieniach, wydaje opinie, przygotowuje i upowszechnia przykładowe wzory umów w sprawach zamówień publicznych, regulaminów oraz innych dokumentów stosowanych przy udzielaniu zamówień.</w:t>
      </w:r>
      <w:r w:rsidRPr="00857D5A">
        <w:rPr>
          <w:rFonts w:cs="Arial"/>
        </w:rPr>
        <w:t xml:space="preserve"> </w:t>
      </w:r>
      <w:r w:rsidRPr="0036372A">
        <w:rPr>
          <w:rFonts w:cs="Arial"/>
        </w:rPr>
        <w:t xml:space="preserve">Do jego zadań należy także </w:t>
      </w:r>
      <w:r w:rsidRPr="0036372A">
        <w:rPr>
          <w:rFonts w:cs="Arial"/>
          <w:lang w:val="x-none"/>
        </w:rPr>
        <w:t xml:space="preserve">podejmowanie rozstrzygnięć w indywidualnych sprawach przewidzianych ustawą </w:t>
      </w:r>
      <w:r>
        <w:rPr>
          <w:rFonts w:cs="Arial"/>
        </w:rPr>
        <w:t>Pzp</w:t>
      </w:r>
      <w:r w:rsidRPr="0036372A">
        <w:rPr>
          <w:rFonts w:cs="Arial"/>
        </w:rPr>
        <w:t>.</w:t>
      </w:r>
    </w:p>
    <w:p w14:paraId="20044B5B" w14:textId="328800F8" w:rsidR="00546038" w:rsidRDefault="00546038" w:rsidP="007D4DEB"/>
    <w:p w14:paraId="2699E8D0" w14:textId="77777777" w:rsidR="00135C73" w:rsidRPr="00FB47C4" w:rsidRDefault="00135C73" w:rsidP="007D4DEB"/>
    <w:tbl>
      <w:tblPr>
        <w:tblW w:w="0" w:type="auto"/>
        <w:tblInd w:w="374" w:type="dxa"/>
        <w:tblLayout w:type="fixed"/>
        <w:tblLook w:val="04A0" w:firstRow="1" w:lastRow="0" w:firstColumn="1" w:lastColumn="0" w:noHBand="0" w:noVBand="1"/>
      </w:tblPr>
      <w:tblGrid>
        <w:gridCol w:w="236"/>
        <w:gridCol w:w="8676"/>
      </w:tblGrid>
      <w:tr w:rsidR="00E63700" w:rsidRPr="001E7D51" w14:paraId="4358D6EA" w14:textId="77777777" w:rsidTr="00FF7427">
        <w:trPr>
          <w:cantSplit/>
        </w:trPr>
        <w:tc>
          <w:tcPr>
            <w:tcW w:w="236" w:type="dxa"/>
            <w:shd w:val="clear" w:color="auto" w:fill="B8CCE4"/>
          </w:tcPr>
          <w:p w14:paraId="5FCBA02C" w14:textId="77777777" w:rsidR="00E63700" w:rsidRPr="001E7D51" w:rsidRDefault="00E63700" w:rsidP="007D4DEB">
            <w:pPr>
              <w:rPr>
                <w:sz w:val="24"/>
              </w:rPr>
            </w:pPr>
          </w:p>
        </w:tc>
        <w:tc>
          <w:tcPr>
            <w:tcW w:w="8676" w:type="dxa"/>
          </w:tcPr>
          <w:p w14:paraId="21CCA814" w14:textId="77777777" w:rsidR="00E63700" w:rsidRPr="006D580E" w:rsidRDefault="00FF7427" w:rsidP="00F058DB">
            <w:pPr>
              <w:pStyle w:val="Nagwek3"/>
              <w:shd w:val="clear" w:color="auto" w:fill="FFFFFF"/>
              <w:spacing w:after="120"/>
              <w:ind w:left="0"/>
              <w:rPr>
                <w:color w:val="0070C0"/>
                <w:sz w:val="24"/>
                <w:szCs w:val="24"/>
              </w:rPr>
            </w:pPr>
            <w:bookmarkStart w:id="195" w:name="_Toc64451876"/>
            <w:bookmarkStart w:id="196" w:name="_Toc141276454"/>
            <w:r w:rsidRPr="006D580E">
              <w:rPr>
                <w:color w:val="0070C0"/>
                <w:sz w:val="24"/>
                <w:szCs w:val="24"/>
              </w:rPr>
              <w:t>III.1.1.</w:t>
            </w:r>
            <w:r w:rsidR="00750B05" w:rsidRPr="006D580E">
              <w:rPr>
                <w:color w:val="0070C0"/>
                <w:sz w:val="24"/>
                <w:szCs w:val="24"/>
              </w:rPr>
              <w:t xml:space="preserve"> </w:t>
            </w:r>
            <w:r w:rsidRPr="006D580E">
              <w:rPr>
                <w:color w:val="0070C0"/>
                <w:sz w:val="24"/>
                <w:szCs w:val="24"/>
              </w:rPr>
              <w:t>Decyzje administracyjne</w:t>
            </w:r>
            <w:bookmarkEnd w:id="195"/>
            <w:bookmarkEnd w:id="196"/>
          </w:p>
        </w:tc>
      </w:tr>
    </w:tbl>
    <w:p w14:paraId="346D86AA" w14:textId="525C28D4" w:rsidR="00192EC7" w:rsidRDefault="00192EC7" w:rsidP="007D4DEB">
      <w:pPr>
        <w:rPr>
          <w:rFonts w:cs="Arial"/>
        </w:rPr>
      </w:pPr>
    </w:p>
    <w:p w14:paraId="363B5A9A" w14:textId="5BFDEE34" w:rsidR="008A0413" w:rsidRPr="00A9161D" w:rsidRDefault="00A9161D" w:rsidP="00E16264">
      <w:pPr>
        <w:pStyle w:val="StylArial11ptWyjustowany"/>
        <w:numPr>
          <w:ilvl w:val="0"/>
          <w:numId w:val="23"/>
        </w:numPr>
        <w:shd w:val="clear" w:color="auto" w:fill="FFFFFF"/>
        <w:jc w:val="left"/>
        <w:rPr>
          <w:rFonts w:cs="Arial"/>
          <w:b/>
          <w:iCs/>
          <w:color w:val="0070C0"/>
          <w:szCs w:val="22"/>
        </w:rPr>
      </w:pPr>
      <w:r>
        <w:rPr>
          <w:rFonts w:cs="Arial"/>
          <w:b/>
          <w:iCs/>
          <w:color w:val="0070C0"/>
          <w:szCs w:val="22"/>
        </w:rPr>
        <w:t>P</w:t>
      </w:r>
      <w:r w:rsidRPr="00A9161D">
        <w:rPr>
          <w:rFonts w:cs="Arial"/>
          <w:b/>
          <w:iCs/>
          <w:color w:val="0070C0"/>
          <w:szCs w:val="22"/>
        </w:rPr>
        <w:t>ostępowa</w:t>
      </w:r>
      <w:r>
        <w:rPr>
          <w:rFonts w:cs="Arial"/>
          <w:b/>
          <w:iCs/>
          <w:color w:val="0070C0"/>
          <w:szCs w:val="22"/>
        </w:rPr>
        <w:t>nia</w:t>
      </w:r>
      <w:r w:rsidRPr="00A9161D">
        <w:rPr>
          <w:rFonts w:cs="Arial"/>
          <w:b/>
          <w:iCs/>
          <w:color w:val="0070C0"/>
          <w:szCs w:val="22"/>
        </w:rPr>
        <w:t xml:space="preserve"> w sprawie nałożenia kary pieniężnej z tytułu naruszenia przepisów ustawy Pzp</w:t>
      </w:r>
    </w:p>
    <w:p w14:paraId="66E7436D" w14:textId="713385AD" w:rsidR="00810575" w:rsidRDefault="00810575" w:rsidP="00810575">
      <w:pPr>
        <w:rPr>
          <w:rFonts w:cs="Arial"/>
        </w:rPr>
      </w:pPr>
    </w:p>
    <w:p w14:paraId="052C909B" w14:textId="6D64323C" w:rsidR="00902A74" w:rsidRPr="00902A74" w:rsidRDefault="00902A74" w:rsidP="00902A74">
      <w:pPr>
        <w:rPr>
          <w:rFonts w:cs="Arial"/>
        </w:rPr>
      </w:pPr>
      <w:r w:rsidRPr="00902A74">
        <w:rPr>
          <w:rFonts w:cs="Arial"/>
        </w:rPr>
        <w:t>W 2022 r. w związku z realizacją kompetencji, o której mowa w art. 621 ust. 1 ustawy Pzp, Prezes UZP prowadził 5 postępowań w sprawie nałożenia kary pieniężnej z tytułu naruszenia przepisów ustawy Pzp, z czego n</w:t>
      </w:r>
      <w:r w:rsidR="006D580E">
        <w:rPr>
          <w:rFonts w:cs="Arial"/>
        </w:rPr>
        <w:t>a dzień 31 grudnia 2022 r</w:t>
      </w:r>
      <w:r>
        <w:rPr>
          <w:rFonts w:cs="Arial"/>
        </w:rPr>
        <w:t xml:space="preserve">. </w:t>
      </w:r>
      <w:r w:rsidRPr="00902A74">
        <w:rPr>
          <w:rFonts w:cs="Arial"/>
        </w:rPr>
        <w:t>2 postępowania zostały zakończone decyzją pierwszoinstancyjną.</w:t>
      </w:r>
    </w:p>
    <w:p w14:paraId="0C0BA727" w14:textId="77777777" w:rsidR="00902A74" w:rsidRDefault="00902A74" w:rsidP="00902A74">
      <w:pPr>
        <w:rPr>
          <w:rFonts w:cs="Arial"/>
        </w:rPr>
      </w:pPr>
    </w:p>
    <w:p w14:paraId="19B44368" w14:textId="1234BB8C" w:rsidR="00902A74" w:rsidRPr="00902A74" w:rsidRDefault="00902A74" w:rsidP="00902A74">
      <w:pPr>
        <w:rPr>
          <w:rFonts w:cs="Arial"/>
        </w:rPr>
      </w:pPr>
      <w:r w:rsidRPr="00902A74">
        <w:rPr>
          <w:rFonts w:cs="Arial"/>
        </w:rPr>
        <w:t xml:space="preserve">Postępowania, w których wydane zostały ww. decyzje nakładające kary pieniężne, dotyczyły udzielenia zamówienia z naruszeniem przepisów ustawy Pzp określających przesłanki stosowania trybu udzielenia zamówienia z wolnej ręki. </w:t>
      </w:r>
    </w:p>
    <w:p w14:paraId="60BAD517" w14:textId="77777777" w:rsidR="006D580E" w:rsidRDefault="006D580E" w:rsidP="00902A74">
      <w:pPr>
        <w:rPr>
          <w:rFonts w:cs="Arial"/>
        </w:rPr>
      </w:pPr>
    </w:p>
    <w:p w14:paraId="338AAFFE" w14:textId="37E82AB3" w:rsidR="00902A74" w:rsidRPr="00902A74" w:rsidRDefault="00902A74" w:rsidP="00902A74">
      <w:pPr>
        <w:rPr>
          <w:rFonts w:cs="Arial"/>
        </w:rPr>
      </w:pPr>
      <w:r w:rsidRPr="00902A74">
        <w:rPr>
          <w:rFonts w:cs="Arial"/>
        </w:rPr>
        <w:t>W prowadzonych postępowaniach Prezes UZP nałożył kary pieniężne w wysokości:</w:t>
      </w:r>
    </w:p>
    <w:p w14:paraId="6A8E7A7D" w14:textId="01AE1CE1" w:rsidR="00902A74" w:rsidRPr="006D580E" w:rsidRDefault="00902A74" w:rsidP="00E16264">
      <w:pPr>
        <w:pStyle w:val="Akapitzlist"/>
        <w:numPr>
          <w:ilvl w:val="0"/>
          <w:numId w:val="24"/>
        </w:numPr>
        <w:rPr>
          <w:rFonts w:cs="Arial"/>
          <w:sz w:val="22"/>
          <w:szCs w:val="22"/>
        </w:rPr>
      </w:pPr>
      <w:r w:rsidRPr="006D580E">
        <w:rPr>
          <w:rFonts w:cs="Arial"/>
          <w:sz w:val="22"/>
          <w:szCs w:val="22"/>
        </w:rPr>
        <w:t>3 000 zł – w 1 sprawie</w:t>
      </w:r>
    </w:p>
    <w:p w14:paraId="76FDF7BB" w14:textId="20E8D700" w:rsidR="00902A74" w:rsidRPr="006D580E" w:rsidRDefault="00902A74" w:rsidP="00E16264">
      <w:pPr>
        <w:pStyle w:val="Akapitzlist"/>
        <w:numPr>
          <w:ilvl w:val="0"/>
          <w:numId w:val="24"/>
        </w:numPr>
        <w:rPr>
          <w:rFonts w:cs="Arial"/>
          <w:sz w:val="22"/>
          <w:szCs w:val="22"/>
        </w:rPr>
      </w:pPr>
      <w:r w:rsidRPr="006D580E">
        <w:rPr>
          <w:rFonts w:cs="Arial"/>
          <w:sz w:val="22"/>
          <w:szCs w:val="22"/>
        </w:rPr>
        <w:t>30 000 zł – w 1 sprawie.</w:t>
      </w:r>
    </w:p>
    <w:p w14:paraId="29F7B4CB" w14:textId="77777777" w:rsidR="006D580E" w:rsidRDefault="006D580E" w:rsidP="00902A74">
      <w:pPr>
        <w:rPr>
          <w:rFonts w:cs="Arial"/>
        </w:rPr>
      </w:pPr>
    </w:p>
    <w:p w14:paraId="442C5E38" w14:textId="06EA41E4" w:rsidR="00902A74" w:rsidRPr="00902A74" w:rsidRDefault="00902A74" w:rsidP="00902A74">
      <w:pPr>
        <w:rPr>
          <w:rFonts w:cs="Arial"/>
        </w:rPr>
      </w:pPr>
      <w:r w:rsidRPr="00902A74">
        <w:rPr>
          <w:rFonts w:cs="Arial"/>
        </w:rPr>
        <w:t>W związku z postępowaniami o nałożenie kary pieniężnej Prezes UZP w 2022 r. prowadził 3 postępowania sądowoadministracyjne przed Wojewódzkim Sądem Administracyjnym w Warszawie w przedmiocie skarg na decyzje nakładające kary pieniężne, z cz</w:t>
      </w:r>
      <w:r w:rsidR="006D580E">
        <w:rPr>
          <w:rFonts w:cs="Arial"/>
        </w:rPr>
        <w:t xml:space="preserve">ego na dzień 31 grudnia 2022 r. </w:t>
      </w:r>
      <w:r w:rsidRPr="00902A74">
        <w:rPr>
          <w:rFonts w:cs="Arial"/>
        </w:rPr>
        <w:t>w 3 sprawach zapadły wyroki oddalające skargi stron postępowań.</w:t>
      </w:r>
    </w:p>
    <w:p w14:paraId="4CEF28AD" w14:textId="77777777" w:rsidR="006D580E" w:rsidRDefault="006D580E" w:rsidP="00902A74">
      <w:pPr>
        <w:rPr>
          <w:rFonts w:cs="Arial"/>
        </w:rPr>
      </w:pPr>
    </w:p>
    <w:p w14:paraId="75276C32" w14:textId="63EE6D97" w:rsidR="00902A74" w:rsidRPr="00902A74" w:rsidRDefault="00902A74" w:rsidP="00902A74">
      <w:pPr>
        <w:rPr>
          <w:rFonts w:cs="Arial"/>
        </w:rPr>
      </w:pPr>
      <w:r w:rsidRPr="00902A74">
        <w:rPr>
          <w:rFonts w:cs="Arial"/>
        </w:rPr>
        <w:t xml:space="preserve">Ponadto, w związku z postępowaniami o nałożenie kary pieniężnej Prezes UZP w 2022 r. prowadził 9 postępowań sądowoadministracyjnych przed Naczelnym Sądem Administracyjnym, z czego na dzień 31 grudnia 2022 r.: </w:t>
      </w:r>
    </w:p>
    <w:p w14:paraId="28382B27" w14:textId="07E73F05" w:rsidR="00902A74" w:rsidRPr="006D580E" w:rsidRDefault="00902A74" w:rsidP="00E16264">
      <w:pPr>
        <w:pStyle w:val="Akapitzlist"/>
        <w:numPr>
          <w:ilvl w:val="0"/>
          <w:numId w:val="25"/>
        </w:numPr>
        <w:rPr>
          <w:rFonts w:cs="Arial"/>
          <w:sz w:val="22"/>
          <w:szCs w:val="22"/>
        </w:rPr>
      </w:pPr>
      <w:r w:rsidRPr="006D580E">
        <w:rPr>
          <w:rFonts w:cs="Arial"/>
          <w:sz w:val="22"/>
          <w:szCs w:val="22"/>
        </w:rPr>
        <w:t>1 sprawa została zakończona oddaleniem skargi kasacyjnej wniesionej przez stronę postępowania;</w:t>
      </w:r>
    </w:p>
    <w:p w14:paraId="0DDC4E17" w14:textId="15848EA3" w:rsidR="00902A74" w:rsidRPr="006D580E" w:rsidRDefault="00902A74" w:rsidP="00E16264">
      <w:pPr>
        <w:pStyle w:val="Akapitzlist"/>
        <w:numPr>
          <w:ilvl w:val="0"/>
          <w:numId w:val="25"/>
        </w:numPr>
        <w:rPr>
          <w:rFonts w:cs="Arial"/>
          <w:sz w:val="22"/>
          <w:szCs w:val="22"/>
        </w:rPr>
      </w:pPr>
      <w:r w:rsidRPr="006D580E">
        <w:rPr>
          <w:rFonts w:cs="Arial"/>
          <w:sz w:val="22"/>
          <w:szCs w:val="22"/>
        </w:rPr>
        <w:t xml:space="preserve">2 pozostające w toku sprawy zostały wszczęte wskutek skarg kasacyjnych Prezesa UZP; </w:t>
      </w:r>
    </w:p>
    <w:p w14:paraId="609C2506" w14:textId="2D89FEC5" w:rsidR="00902A74" w:rsidRPr="006D580E" w:rsidRDefault="00902A74" w:rsidP="00E16264">
      <w:pPr>
        <w:pStyle w:val="Akapitzlist"/>
        <w:numPr>
          <w:ilvl w:val="0"/>
          <w:numId w:val="25"/>
        </w:numPr>
        <w:rPr>
          <w:rFonts w:cs="Arial"/>
          <w:sz w:val="22"/>
          <w:szCs w:val="22"/>
        </w:rPr>
      </w:pPr>
      <w:r w:rsidRPr="006D580E">
        <w:rPr>
          <w:rFonts w:cs="Arial"/>
          <w:sz w:val="22"/>
          <w:szCs w:val="22"/>
        </w:rPr>
        <w:t>6 pozostających w toku spraw zostało wszczętych wskutek skarg kasacyjnych stron postępowań.</w:t>
      </w:r>
    </w:p>
    <w:p w14:paraId="48583B1F" w14:textId="77777777" w:rsidR="00A9161D" w:rsidRDefault="00A9161D" w:rsidP="00810575">
      <w:pPr>
        <w:rPr>
          <w:rFonts w:cs="Arial"/>
        </w:rPr>
      </w:pPr>
    </w:p>
    <w:p w14:paraId="2892B0DC" w14:textId="77777777" w:rsidR="00861D14" w:rsidRPr="00810575" w:rsidRDefault="00861D14" w:rsidP="00810575">
      <w:pPr>
        <w:rPr>
          <w:rFonts w:cs="Arial"/>
        </w:rPr>
      </w:pPr>
    </w:p>
    <w:p w14:paraId="51129C9D" w14:textId="77777777" w:rsidR="00810575" w:rsidRPr="00A9161D" w:rsidRDefault="00810575" w:rsidP="00E16264">
      <w:pPr>
        <w:pStyle w:val="StylArial11ptWyjustowany"/>
        <w:numPr>
          <w:ilvl w:val="0"/>
          <w:numId w:val="23"/>
        </w:numPr>
        <w:shd w:val="clear" w:color="auto" w:fill="FFFFFF"/>
        <w:jc w:val="left"/>
        <w:rPr>
          <w:rFonts w:cs="Arial"/>
          <w:b/>
          <w:iCs/>
          <w:color w:val="0070C0"/>
          <w:szCs w:val="22"/>
        </w:rPr>
      </w:pPr>
      <w:r w:rsidRPr="00A9161D">
        <w:rPr>
          <w:rFonts w:cs="Arial"/>
          <w:b/>
          <w:iCs/>
          <w:color w:val="0070C0"/>
          <w:szCs w:val="22"/>
        </w:rPr>
        <w:t>Decyzje dotyczące wpisu na listę organizacji uprawnionych do wnoszenia środków ochrony prawnej</w:t>
      </w:r>
    </w:p>
    <w:p w14:paraId="520F2214" w14:textId="32F2BC98" w:rsidR="00810575" w:rsidRDefault="00810575" w:rsidP="00810575">
      <w:pPr>
        <w:rPr>
          <w:rFonts w:cs="Arial"/>
        </w:rPr>
      </w:pPr>
    </w:p>
    <w:p w14:paraId="04F9D1E3" w14:textId="77777777" w:rsidR="001D7BB2" w:rsidRPr="001D7BB2" w:rsidRDefault="001D7BB2" w:rsidP="001D7BB2">
      <w:pPr>
        <w:rPr>
          <w:rFonts w:cs="Arial"/>
        </w:rPr>
      </w:pPr>
      <w:r w:rsidRPr="001D7BB2">
        <w:rPr>
          <w:rFonts w:cs="Arial"/>
        </w:rPr>
        <w:t xml:space="preserve">W związku z realizacją kompetencji, o której mowa w art. 470 ust. 2 w związku z art. 459 pkt 15 ustawy Pzp, w 2022 r. Prezes UZP wydał 2 decyzje o wpisie na listę organizacji uprawnionych do wnoszenia środków ochrony prawnej. </w:t>
      </w:r>
    </w:p>
    <w:p w14:paraId="2539E69E" w14:textId="2E80DD59" w:rsidR="001D7BB2" w:rsidRDefault="001D7BB2" w:rsidP="001D7BB2">
      <w:pPr>
        <w:rPr>
          <w:rFonts w:cs="Arial"/>
        </w:rPr>
      </w:pPr>
      <w:r w:rsidRPr="001D7BB2">
        <w:rPr>
          <w:rFonts w:cs="Arial"/>
        </w:rPr>
        <w:t>Nie były wydawane decyzje dotyczące odmowy wpisu lub skreślenia z ww. listy.</w:t>
      </w:r>
    </w:p>
    <w:p w14:paraId="0181F7E3" w14:textId="77432EF5" w:rsidR="00FB5FA5" w:rsidRDefault="00E1728F" w:rsidP="001D7BB2">
      <w:pPr>
        <w:rPr>
          <w:rFonts w:cs="Arial"/>
        </w:rPr>
      </w:pPr>
      <w:r>
        <w:rPr>
          <w:rFonts w:cs="Arial"/>
        </w:rPr>
        <w:t xml:space="preserve">Na koniec 2022 r. na liście organizacji uprawnionych do wnoszenia środków ochrony prawnej </w:t>
      </w:r>
      <w:r w:rsidR="00A5413D">
        <w:rPr>
          <w:rFonts w:cs="Arial"/>
        </w:rPr>
        <w:t xml:space="preserve">znajdowały się </w:t>
      </w:r>
      <w:r>
        <w:rPr>
          <w:rFonts w:cs="Arial"/>
        </w:rPr>
        <w:t xml:space="preserve">152 </w:t>
      </w:r>
      <w:r w:rsidR="00A5413D">
        <w:rPr>
          <w:rFonts w:cs="Arial"/>
        </w:rPr>
        <w:t>podmioty.</w:t>
      </w:r>
    </w:p>
    <w:p w14:paraId="7041CADD" w14:textId="77777777" w:rsidR="00986A85" w:rsidRDefault="00986A85" w:rsidP="001D7BB2">
      <w:pPr>
        <w:rPr>
          <w:rFonts w:cs="Arial"/>
        </w:rPr>
      </w:pPr>
    </w:p>
    <w:p w14:paraId="68D3EF3D" w14:textId="486D8F81" w:rsidR="00192EC7" w:rsidRPr="00FB47C4" w:rsidRDefault="00192EC7" w:rsidP="007D4DEB"/>
    <w:tbl>
      <w:tblPr>
        <w:tblW w:w="0" w:type="auto"/>
        <w:tblInd w:w="374" w:type="dxa"/>
        <w:tblLayout w:type="fixed"/>
        <w:tblLook w:val="04A0" w:firstRow="1" w:lastRow="0" w:firstColumn="1" w:lastColumn="0" w:noHBand="0" w:noVBand="1"/>
      </w:tblPr>
      <w:tblGrid>
        <w:gridCol w:w="236"/>
        <w:gridCol w:w="8676"/>
      </w:tblGrid>
      <w:tr w:rsidR="00E63700" w:rsidRPr="001E7D51" w14:paraId="58A309E9" w14:textId="77777777" w:rsidTr="00083C15">
        <w:trPr>
          <w:cantSplit/>
        </w:trPr>
        <w:tc>
          <w:tcPr>
            <w:tcW w:w="236" w:type="dxa"/>
            <w:shd w:val="clear" w:color="auto" w:fill="B8CCE4"/>
          </w:tcPr>
          <w:p w14:paraId="258DDBF1" w14:textId="77777777" w:rsidR="00E63700" w:rsidRPr="001E7D51" w:rsidRDefault="00E63700" w:rsidP="00F058DB">
            <w:pPr>
              <w:rPr>
                <w:sz w:val="24"/>
              </w:rPr>
            </w:pPr>
          </w:p>
        </w:tc>
        <w:tc>
          <w:tcPr>
            <w:tcW w:w="8676" w:type="dxa"/>
          </w:tcPr>
          <w:p w14:paraId="4E3B6BCA" w14:textId="08B5C0ED" w:rsidR="00E63700" w:rsidRPr="00843614" w:rsidRDefault="00083C15" w:rsidP="00F058DB">
            <w:pPr>
              <w:pStyle w:val="Nagwek3"/>
              <w:shd w:val="clear" w:color="auto" w:fill="FFFFFF"/>
              <w:spacing w:after="120"/>
              <w:ind w:left="709" w:hanging="709"/>
              <w:rPr>
                <w:color w:val="0070C0"/>
                <w:sz w:val="24"/>
                <w:szCs w:val="24"/>
              </w:rPr>
            </w:pPr>
            <w:bookmarkStart w:id="197" w:name="_Toc64451877"/>
            <w:bookmarkStart w:id="198" w:name="_Toc141276455"/>
            <w:r w:rsidRPr="00843614">
              <w:rPr>
                <w:color w:val="0070C0"/>
                <w:sz w:val="24"/>
                <w:szCs w:val="24"/>
              </w:rPr>
              <w:t>III.1.2.</w:t>
            </w:r>
            <w:r w:rsidR="00750B05" w:rsidRPr="00843614">
              <w:rPr>
                <w:color w:val="0070C0"/>
                <w:sz w:val="24"/>
                <w:szCs w:val="24"/>
              </w:rPr>
              <w:t xml:space="preserve"> </w:t>
            </w:r>
            <w:r w:rsidR="001302D8" w:rsidRPr="00843614">
              <w:rPr>
                <w:color w:val="0070C0"/>
                <w:sz w:val="24"/>
                <w:szCs w:val="24"/>
              </w:rPr>
              <w:t>Wystąpienia Prezesa UZP do sądu</w:t>
            </w:r>
            <w:bookmarkEnd w:id="197"/>
            <w:bookmarkEnd w:id="198"/>
          </w:p>
        </w:tc>
      </w:tr>
    </w:tbl>
    <w:p w14:paraId="46C87EC3" w14:textId="14B3EB6A" w:rsidR="001302D8" w:rsidRDefault="001302D8" w:rsidP="007D4DEB">
      <w:pPr>
        <w:shd w:val="clear" w:color="auto" w:fill="FFFFFF"/>
      </w:pPr>
    </w:p>
    <w:p w14:paraId="7A06DC5E" w14:textId="48F7514E" w:rsidR="00BA5F9E" w:rsidRPr="00417149" w:rsidRDefault="00AA6F79" w:rsidP="00E16264">
      <w:pPr>
        <w:pStyle w:val="StylArial11ptWyjustowany"/>
        <w:numPr>
          <w:ilvl w:val="0"/>
          <w:numId w:val="26"/>
        </w:numPr>
        <w:shd w:val="clear" w:color="auto" w:fill="FFFFFF"/>
        <w:jc w:val="left"/>
        <w:rPr>
          <w:rFonts w:cs="Arial"/>
          <w:b/>
          <w:iCs/>
          <w:color w:val="0070C0"/>
          <w:szCs w:val="22"/>
        </w:rPr>
      </w:pPr>
      <w:r w:rsidRPr="00AA6F79">
        <w:rPr>
          <w:rFonts w:cs="Arial"/>
          <w:b/>
          <w:iCs/>
          <w:color w:val="0070C0"/>
          <w:szCs w:val="22"/>
        </w:rPr>
        <w:t>Powództwa o unieważnienie umowy w sprawie udzielenia zamówienia publicznego</w:t>
      </w:r>
    </w:p>
    <w:p w14:paraId="03EBE905" w14:textId="687254E9" w:rsidR="001302D8" w:rsidRDefault="001302D8" w:rsidP="00E14089">
      <w:pPr>
        <w:shd w:val="clear" w:color="auto" w:fill="FFFFFF"/>
      </w:pPr>
    </w:p>
    <w:p w14:paraId="11738C54" w14:textId="77777777" w:rsidR="00AA6F79" w:rsidRPr="005134C3" w:rsidRDefault="00AA6F79" w:rsidP="00AA6F79">
      <w:pPr>
        <w:shd w:val="clear" w:color="auto" w:fill="FFFFFF"/>
      </w:pPr>
      <w:r w:rsidRPr="005134C3">
        <w:t>Prezes UZP nie wytaczał w 2022 r. powództw o unieważnienie umowy w sprawie udzielenia zamówienia publicznego.</w:t>
      </w:r>
    </w:p>
    <w:p w14:paraId="18DB37FA" w14:textId="77777777" w:rsidR="00AA6F79" w:rsidRPr="005134C3" w:rsidRDefault="00AA6F79" w:rsidP="00AA6F79">
      <w:pPr>
        <w:shd w:val="clear" w:color="auto" w:fill="FFFFFF"/>
      </w:pPr>
    </w:p>
    <w:p w14:paraId="2CFF33E9" w14:textId="749DDD8B" w:rsidR="00AA6F79" w:rsidRPr="005134C3" w:rsidRDefault="00AA6F79" w:rsidP="00AA6F79">
      <w:pPr>
        <w:shd w:val="clear" w:color="auto" w:fill="FFFFFF"/>
      </w:pPr>
      <w:r w:rsidRPr="005134C3">
        <w:t xml:space="preserve">W 2022 r. pozostawały w toku </w:t>
      </w:r>
      <w:r w:rsidRPr="005134C3">
        <w:rPr>
          <w:bCs/>
        </w:rPr>
        <w:t xml:space="preserve">2 </w:t>
      </w:r>
      <w:r w:rsidRPr="005134C3">
        <w:t>sprawy sądowe w p</w:t>
      </w:r>
      <w:r>
        <w:t xml:space="preserve">rzedmiocie unieważnienia umów w </w:t>
      </w:r>
      <w:r w:rsidRPr="005134C3">
        <w:t>sprawie zamówienia publicznego, w których pozwy zostały wniesione w latach wcześniejszych, tj. w sprawach dotyczących:</w:t>
      </w:r>
    </w:p>
    <w:p w14:paraId="55772D10" w14:textId="33B6BA66" w:rsidR="00AA6F79" w:rsidRPr="005134C3" w:rsidRDefault="00AA6F79" w:rsidP="00E16264">
      <w:pPr>
        <w:numPr>
          <w:ilvl w:val="0"/>
          <w:numId w:val="27"/>
        </w:numPr>
        <w:shd w:val="clear" w:color="auto" w:fill="FFFFFF"/>
      </w:pPr>
      <w:r w:rsidRPr="005134C3">
        <w:t>udzielenia dwóch zamówień na dostawy wraz z mont</w:t>
      </w:r>
      <w:r>
        <w:t xml:space="preserve">ażem wyposażenia podstawowego w </w:t>
      </w:r>
      <w:r w:rsidRPr="005134C3">
        <w:t>budynku uczelni wyższej w sytuacji opisania przedmiotu zamówienia w sposób naruszający uczciwą konkurencję;</w:t>
      </w:r>
    </w:p>
    <w:p w14:paraId="58089A39" w14:textId="77777777" w:rsidR="00AA6F79" w:rsidRPr="005134C3" w:rsidRDefault="00AA6F79" w:rsidP="00E16264">
      <w:pPr>
        <w:numPr>
          <w:ilvl w:val="0"/>
          <w:numId w:val="27"/>
        </w:numPr>
        <w:shd w:val="clear" w:color="auto" w:fill="FFFFFF"/>
      </w:pPr>
      <w:r w:rsidRPr="005134C3">
        <w:t>udzielenia trzech zamówień na dostawy defibrylatorów przenośnych, w sytuacji opisania przedmiotu zamówienia w sposób naruszający uczciwą konkurencję.</w:t>
      </w:r>
    </w:p>
    <w:p w14:paraId="5D116D9F" w14:textId="77777777" w:rsidR="00AA6F79" w:rsidRPr="005134C3" w:rsidRDefault="00AA6F79" w:rsidP="00AA6F79">
      <w:pPr>
        <w:shd w:val="clear" w:color="auto" w:fill="FFFFFF"/>
      </w:pPr>
    </w:p>
    <w:p w14:paraId="00A762B4" w14:textId="77777777" w:rsidR="00AA6F79" w:rsidRPr="005134C3" w:rsidRDefault="00AA6F79" w:rsidP="00AA6F79">
      <w:pPr>
        <w:shd w:val="clear" w:color="auto" w:fill="FFFFFF"/>
      </w:pPr>
      <w:r w:rsidRPr="005134C3">
        <w:t xml:space="preserve">Wskazane wyżej postępowania w 2022 r. nie zostały zakończone. </w:t>
      </w:r>
    </w:p>
    <w:p w14:paraId="3082431F" w14:textId="77777777" w:rsidR="00AA6F79" w:rsidRPr="005134C3" w:rsidRDefault="00AA6F79" w:rsidP="00AA6F79">
      <w:pPr>
        <w:shd w:val="clear" w:color="auto" w:fill="FFFFFF"/>
      </w:pPr>
    </w:p>
    <w:p w14:paraId="1055CACA" w14:textId="45E3C7BF" w:rsidR="00AA6F79" w:rsidRPr="005134C3" w:rsidRDefault="00AA6F79" w:rsidP="00AA6F79">
      <w:pPr>
        <w:shd w:val="clear" w:color="auto" w:fill="FFFFFF"/>
      </w:pPr>
      <w:r w:rsidRPr="005134C3">
        <w:t xml:space="preserve">W roku 2022 zakończyło się postępowanie </w:t>
      </w:r>
      <w:r>
        <w:t xml:space="preserve">w sprawie ze skargi pozwanego o </w:t>
      </w:r>
      <w:r w:rsidRPr="005134C3">
        <w:t>wznowienie postępowania w sprawie dotyczącej prawomocnego wyroku unieważniającego umowę w sprawie zamówienia publicznego. Powództwo, w wyniku którego wydano ww. prawomocny wyrok, było wytoczone przez Prezesa UZP. Sąd Okręgowy w Radomiu odrzucił ww. skargę o wznowienie postępowania (postanowienie z dnia 18.03.2022 r. sygn. akt I C 111/21).</w:t>
      </w:r>
    </w:p>
    <w:p w14:paraId="46517426" w14:textId="77777777" w:rsidR="00AA6F79" w:rsidRPr="005134C3" w:rsidRDefault="00AA6F79" w:rsidP="00AA6F79">
      <w:pPr>
        <w:shd w:val="clear" w:color="auto" w:fill="FFFFFF"/>
      </w:pPr>
    </w:p>
    <w:p w14:paraId="3DE19FF2" w14:textId="77777777" w:rsidR="00AA6F79" w:rsidRDefault="00AA6F79" w:rsidP="00AA6F79">
      <w:pPr>
        <w:shd w:val="clear" w:color="auto" w:fill="FFFFFF"/>
      </w:pPr>
      <w:r w:rsidRPr="005134C3">
        <w:t xml:space="preserve">Prawomocnie zakończyło się również postępowanie w sprawie unieważnienia umowy dzierżawy nieruchomości w związku z naruszeniem prawa poprzez zlecenie wykonania robót budowlanych wykonawcy wybranemu z pominięciem obowiązku stosowania procedur udzielania zamówień publicznych, określonych w ustawie Pzp. Sąd Okręgowy w Szczecinie wyrokiem z dnia 12 maja 2021 r. (sygn. akt I C 17/21) uwzględnił powództwo i unieważnił umowę, a Sąd Apelacyjny w Szczecinie, wyrokiem z dnia 17 lutego 2022 r. (sygn. akt I ACa 535/21, I Acz 215/21) oddalił apelację wniesioną przez pozwanego. </w:t>
      </w:r>
    </w:p>
    <w:p w14:paraId="05304B69" w14:textId="28C9C0AE" w:rsidR="001302D8" w:rsidRDefault="001302D8" w:rsidP="00E14089">
      <w:pPr>
        <w:shd w:val="clear" w:color="auto" w:fill="FFFFFF"/>
      </w:pPr>
    </w:p>
    <w:p w14:paraId="5EF19C44" w14:textId="77777777" w:rsidR="001302D8" w:rsidRPr="00E14089" w:rsidRDefault="001302D8" w:rsidP="00E14089">
      <w:pPr>
        <w:shd w:val="clear" w:color="auto" w:fill="FFFFFF"/>
      </w:pPr>
    </w:p>
    <w:p w14:paraId="183A9471" w14:textId="6112221A" w:rsidR="00E14089" w:rsidRPr="00417149" w:rsidRDefault="00E14089" w:rsidP="00E16264">
      <w:pPr>
        <w:pStyle w:val="StylArial11ptWyjustowany"/>
        <w:numPr>
          <w:ilvl w:val="0"/>
          <w:numId w:val="26"/>
        </w:numPr>
        <w:shd w:val="clear" w:color="auto" w:fill="FFFFFF"/>
        <w:jc w:val="left"/>
        <w:rPr>
          <w:rFonts w:cs="Arial"/>
          <w:b/>
          <w:iCs/>
          <w:color w:val="0070C0"/>
          <w:szCs w:val="22"/>
        </w:rPr>
      </w:pPr>
      <w:r w:rsidRPr="00417149">
        <w:rPr>
          <w:rFonts w:cs="Arial"/>
          <w:b/>
          <w:iCs/>
          <w:color w:val="0070C0"/>
          <w:szCs w:val="22"/>
        </w:rPr>
        <w:t>Skargi na orzeczenia KIO</w:t>
      </w:r>
      <w:r w:rsidR="006B0828">
        <w:rPr>
          <w:rFonts w:cs="Arial"/>
          <w:b/>
          <w:iCs/>
          <w:color w:val="0070C0"/>
          <w:szCs w:val="22"/>
        </w:rPr>
        <w:t>, p</w:t>
      </w:r>
      <w:r w:rsidR="006B0828" w:rsidRPr="006B0828">
        <w:rPr>
          <w:rFonts w:cs="Arial"/>
          <w:b/>
          <w:iCs/>
          <w:color w:val="0070C0"/>
          <w:szCs w:val="22"/>
        </w:rPr>
        <w:t>rzystąpienia do postępowania skargowego</w:t>
      </w:r>
    </w:p>
    <w:p w14:paraId="1A5D7D4F" w14:textId="77777777" w:rsidR="00E14089" w:rsidRPr="00E14089" w:rsidRDefault="00E14089" w:rsidP="00E14089">
      <w:pPr>
        <w:shd w:val="clear" w:color="auto" w:fill="FFFFFF"/>
        <w:rPr>
          <w:i/>
        </w:rPr>
      </w:pPr>
    </w:p>
    <w:p w14:paraId="072EFD3A" w14:textId="77777777" w:rsidR="006B0828" w:rsidRDefault="006B0828" w:rsidP="006B0828">
      <w:pPr>
        <w:shd w:val="clear" w:color="auto" w:fill="FFFFFF"/>
      </w:pPr>
      <w:r>
        <w:t xml:space="preserve">W 2022 r. Prezes Urzędu nie wnosił skarg na orzeczenia Krajowej Izby Odwoławczej ani na postanowienia Prezesa Krajowej Izby Odwoławczej o zwrocie odwołania, jak również nie przystępował do postępowań skargowych. </w:t>
      </w:r>
    </w:p>
    <w:p w14:paraId="6A87A442" w14:textId="77777777" w:rsidR="006B0828" w:rsidRDefault="006B0828" w:rsidP="006B0828">
      <w:pPr>
        <w:shd w:val="clear" w:color="auto" w:fill="FFFFFF"/>
      </w:pPr>
    </w:p>
    <w:p w14:paraId="133276A2" w14:textId="35251446" w:rsidR="00E14089" w:rsidRDefault="006B0828" w:rsidP="006B0828">
      <w:pPr>
        <w:shd w:val="clear" w:color="auto" w:fill="FFFFFF"/>
      </w:pPr>
      <w:r>
        <w:t>W 2022 r. Prezes UZP wniósł skargę kasacyjną do Sądu Najwyższego od postanowienia Sądu Okręgowego w Warszawie – Sądu Zamówień Publicznych z dnia 11 kwietnia 2022 r. (sygn. akt: XXIII Zs 148/21). W zaskarżonym postanowieniu Sąd – mimo uwzględnienia skargi wykonawcy na postanowienie Krajowej Izby Odwoławczej o odrzuceniu odwołania – nie rozstrzygnął odwołania merytorycznie poprzestając na uchyleniu zaskarżonego orzeczenia. Skarga kasacyjna Prezesa UZP dotyczyła wykładni przepisów art. 579 ust. 1 w zw. z art. 588 ust. 2 zd. 3 ustawy Pzp i zagadnienia prawnego dotyczącego orzekania przez Sąd w postępowaniu skargowym, w przypadku uznania, że odwołanie nie powinno było zostać przez Izbę odrzucone. Przedmiotowa skarga kasacyjna nie została rozpoznana w 2022 r.</w:t>
      </w:r>
    </w:p>
    <w:p w14:paraId="14454D34" w14:textId="77777777" w:rsidR="00BC75A2" w:rsidRDefault="00BC75A2" w:rsidP="007D4DEB">
      <w:pPr>
        <w:shd w:val="clear" w:color="auto" w:fill="FFFFFF"/>
      </w:pPr>
    </w:p>
    <w:p w14:paraId="15754D9B" w14:textId="77777777" w:rsidR="00197BEE" w:rsidRDefault="00197BEE" w:rsidP="007D4DE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E63700" w:rsidRPr="001E7D51" w14:paraId="5E1E9EA3" w14:textId="77777777" w:rsidTr="001D210C">
        <w:trPr>
          <w:cantSplit/>
        </w:trPr>
        <w:tc>
          <w:tcPr>
            <w:tcW w:w="236" w:type="dxa"/>
            <w:shd w:val="clear" w:color="auto" w:fill="B8CCE4"/>
          </w:tcPr>
          <w:p w14:paraId="502EFC10" w14:textId="77777777" w:rsidR="00E63700" w:rsidRPr="001E7D51" w:rsidRDefault="00E63700" w:rsidP="00F058DB">
            <w:pPr>
              <w:rPr>
                <w:sz w:val="24"/>
              </w:rPr>
            </w:pPr>
          </w:p>
        </w:tc>
        <w:tc>
          <w:tcPr>
            <w:tcW w:w="8676" w:type="dxa"/>
          </w:tcPr>
          <w:p w14:paraId="3588D9F7" w14:textId="79323566" w:rsidR="00E63700" w:rsidRPr="00033CC3" w:rsidRDefault="001D210C" w:rsidP="00BC75A2">
            <w:pPr>
              <w:pStyle w:val="Nagwek3"/>
              <w:shd w:val="clear" w:color="auto" w:fill="FFFFFF"/>
              <w:spacing w:after="120"/>
              <w:ind w:left="698" w:hanging="698"/>
              <w:rPr>
                <w:color w:val="0070C0"/>
                <w:sz w:val="24"/>
                <w:szCs w:val="24"/>
              </w:rPr>
            </w:pPr>
            <w:bookmarkStart w:id="199" w:name="_Toc64451878"/>
            <w:bookmarkStart w:id="200" w:name="_Toc141276456"/>
            <w:r w:rsidRPr="00033CC3">
              <w:rPr>
                <w:color w:val="0070C0"/>
                <w:sz w:val="24"/>
                <w:szCs w:val="24"/>
              </w:rPr>
              <w:t>III.1.</w:t>
            </w:r>
            <w:r w:rsidR="00574D21" w:rsidRPr="00033CC3">
              <w:rPr>
                <w:color w:val="0070C0"/>
                <w:sz w:val="24"/>
                <w:szCs w:val="24"/>
              </w:rPr>
              <w:t>3</w:t>
            </w:r>
            <w:r w:rsidRPr="00033CC3">
              <w:rPr>
                <w:color w:val="0070C0"/>
                <w:sz w:val="24"/>
                <w:szCs w:val="24"/>
              </w:rPr>
              <w:t>.</w:t>
            </w:r>
            <w:r w:rsidR="00750B05" w:rsidRPr="00033CC3">
              <w:rPr>
                <w:color w:val="0070C0"/>
                <w:sz w:val="24"/>
                <w:szCs w:val="24"/>
              </w:rPr>
              <w:t xml:space="preserve"> </w:t>
            </w:r>
            <w:r w:rsidR="00BC75A2" w:rsidRPr="00033CC3">
              <w:rPr>
                <w:color w:val="0070C0"/>
                <w:sz w:val="24"/>
                <w:szCs w:val="24"/>
              </w:rPr>
              <w:t>Realizacja zadania dążenia do zapewnienia jednolitego stosowania przepisów o zamówieniach</w:t>
            </w:r>
            <w:bookmarkEnd w:id="199"/>
            <w:bookmarkEnd w:id="200"/>
          </w:p>
        </w:tc>
      </w:tr>
    </w:tbl>
    <w:p w14:paraId="527D8C1B" w14:textId="3574C6AB" w:rsidR="00195A12" w:rsidRDefault="00195A12" w:rsidP="007D4DEB">
      <w:pPr>
        <w:shd w:val="clear" w:color="auto" w:fill="FFFFFF"/>
      </w:pPr>
    </w:p>
    <w:p w14:paraId="4D7B5007" w14:textId="1A15E6B6" w:rsidR="00CF401D" w:rsidRDefault="00033CC3" w:rsidP="00CF401D">
      <w:pPr>
        <w:shd w:val="clear" w:color="auto" w:fill="FFFFFF"/>
      </w:pPr>
      <w:r w:rsidRPr="00033CC3">
        <w:t>Na podstawie art. 469 pkt 6 ustawy Pzp Prezes Urzędu podejmuje działania służące zapewnieniu jednolitego stosowania przepisów o zamówieniach, przy uwzględnieniu orzecznictwa sądów oraz trybunałów, w szczególności upowszechnia orzeczenia Krajowej Izby Odwoławczej, sądów powszechnych, Sądu Najwyższego, Trybunału Sprawiedliwości Unii Europejskiej oraz Trybunału Konstytucyjnego. Realizacji zadania dążenia do zapewnienia jednolitego stosowania przepisów o zamówieniach służy upowszechnianie wiedzy z zakresu zamówień publicznych, w szczególności w postaci udostępnianych publikacji i informacji na stronie internetowej UZP z zakresu interpretacji przepisów ustawy Pzp oraz dobrych praktyk w obszarze zamówień publicznych. Ponadto zgodnie z art. 471 ust. 1 ustawy Pzp Prezes Urzędu, dążąc do zapewnienia jednolitego stosowania przepisów ustawy Pzp wydaje z urzędu lub na wniosek opinie, w których przedstawia interpretacje przepisów dotyczących zamówień publicznych budzących poważne wątpliwości lub wywołujących rozbieżności w orzecznictwie.</w:t>
      </w:r>
    </w:p>
    <w:p w14:paraId="65DDABD8" w14:textId="77777777" w:rsidR="00033CC3" w:rsidRPr="00CF401D" w:rsidRDefault="00033CC3" w:rsidP="00CF401D">
      <w:pPr>
        <w:shd w:val="clear" w:color="auto" w:fill="FFFFFF"/>
      </w:pPr>
    </w:p>
    <w:p w14:paraId="0EB9EAEC" w14:textId="74023CD9" w:rsidR="00CF401D" w:rsidRPr="00CF401D" w:rsidRDefault="00CF401D" w:rsidP="00E16264">
      <w:pPr>
        <w:pStyle w:val="StylArial11ptWyjustowany"/>
        <w:numPr>
          <w:ilvl w:val="0"/>
          <w:numId w:val="8"/>
        </w:numPr>
        <w:shd w:val="clear" w:color="auto" w:fill="FFFFFF"/>
        <w:jc w:val="left"/>
        <w:rPr>
          <w:rFonts w:cs="Arial"/>
          <w:b/>
          <w:iCs/>
          <w:color w:val="0070C0"/>
          <w:szCs w:val="22"/>
        </w:rPr>
      </w:pPr>
      <w:r w:rsidRPr="00CF401D">
        <w:rPr>
          <w:rFonts w:cs="Arial"/>
          <w:b/>
          <w:iCs/>
          <w:color w:val="0070C0"/>
          <w:szCs w:val="22"/>
        </w:rPr>
        <w:t>Wydawanie opinii</w:t>
      </w:r>
    </w:p>
    <w:p w14:paraId="0D761310" w14:textId="77777777" w:rsidR="00CF401D" w:rsidRPr="00CF401D" w:rsidRDefault="00CF401D" w:rsidP="00CF401D">
      <w:pPr>
        <w:shd w:val="clear" w:color="auto" w:fill="FFFFFF"/>
      </w:pPr>
    </w:p>
    <w:p w14:paraId="2F672B40" w14:textId="657A6B4B" w:rsidR="00CF401D" w:rsidRDefault="00033CC3" w:rsidP="00CF401D">
      <w:pPr>
        <w:shd w:val="clear" w:color="auto" w:fill="FFFFFF"/>
        <w:rPr>
          <w:bCs/>
        </w:rPr>
      </w:pPr>
      <w:r w:rsidRPr="00033CC3">
        <w:rPr>
          <w:bCs/>
        </w:rPr>
        <w:t>W 2022 r. do Urzędu Zamówień Publicznych wpłynęło listownie lub w postaci elektronicznej łącznie 939 zapytań dotyczących interpretacji przepisów ustawy Pzp i przepisów wykonawczych do ustawy Pzp, co oznacza spadek o około 12% w stosunku do 2021 r. W 2022 r. zostało wydanych 869 interpretacji (w tym dotyczących spraw, które wpłynęły w 2021 r.).</w:t>
      </w:r>
    </w:p>
    <w:p w14:paraId="76E46791" w14:textId="1C56006A" w:rsidR="00CF401D" w:rsidRDefault="00CF401D" w:rsidP="00CF401D">
      <w:pPr>
        <w:shd w:val="clear" w:color="auto" w:fill="FFFFFF"/>
        <w:rPr>
          <w:bCs/>
        </w:rPr>
      </w:pPr>
    </w:p>
    <w:p w14:paraId="2A5A97A2" w14:textId="77777777" w:rsidR="000C78EB" w:rsidRPr="00CF401D" w:rsidRDefault="000C78EB" w:rsidP="00CF401D">
      <w:pPr>
        <w:shd w:val="clear" w:color="auto" w:fill="FFFFFF"/>
        <w:rPr>
          <w:bCs/>
        </w:rPr>
      </w:pPr>
    </w:p>
    <w:p w14:paraId="23F3090C" w14:textId="4084E04C" w:rsidR="00CF401D" w:rsidRPr="00CF401D" w:rsidRDefault="00CF401D" w:rsidP="00E16264">
      <w:pPr>
        <w:pStyle w:val="StylArial11ptWyjustowany"/>
        <w:numPr>
          <w:ilvl w:val="0"/>
          <w:numId w:val="8"/>
        </w:numPr>
        <w:shd w:val="clear" w:color="auto" w:fill="FFFFFF"/>
        <w:jc w:val="left"/>
        <w:rPr>
          <w:rFonts w:cs="Arial"/>
          <w:b/>
          <w:iCs/>
          <w:color w:val="0070C0"/>
          <w:szCs w:val="22"/>
        </w:rPr>
      </w:pPr>
      <w:r>
        <w:rPr>
          <w:rFonts w:cs="Arial"/>
          <w:b/>
          <w:iCs/>
          <w:color w:val="0070C0"/>
          <w:szCs w:val="22"/>
        </w:rPr>
        <w:t>Inne działania</w:t>
      </w:r>
    </w:p>
    <w:p w14:paraId="3DAEE02F" w14:textId="77777777" w:rsidR="00CF401D" w:rsidRPr="00CF401D" w:rsidRDefault="00CF401D" w:rsidP="00CF401D">
      <w:pPr>
        <w:shd w:val="clear" w:color="auto" w:fill="FFFFFF"/>
      </w:pPr>
    </w:p>
    <w:p w14:paraId="2A7DBD90" w14:textId="2D5DAA9E" w:rsidR="000C78EB" w:rsidRDefault="000C78EB" w:rsidP="000C78EB">
      <w:pPr>
        <w:shd w:val="clear" w:color="auto" w:fill="FFFFFF"/>
      </w:pPr>
      <w:r w:rsidRPr="000C78EB">
        <w:t xml:space="preserve">W 2022 r. na stronie internetowej UZP publikowane były, w formie Komunikatów Urzędu </w:t>
      </w:r>
      <w:r>
        <w:t>Zamówień Publicznych stanowiska dotyczące zagadnień budzących szczególne zainteresowanie interesariuszy rynku zamówień publicznych.</w:t>
      </w:r>
    </w:p>
    <w:p w14:paraId="34DE12BB" w14:textId="77777777" w:rsidR="000C78EB" w:rsidRDefault="000C78EB" w:rsidP="000C78EB">
      <w:pPr>
        <w:shd w:val="clear" w:color="auto" w:fill="FFFFFF"/>
      </w:pPr>
    </w:p>
    <w:p w14:paraId="46816C78" w14:textId="74B20ED1" w:rsidR="000C78EB" w:rsidRDefault="000C78EB" w:rsidP="000C78EB">
      <w:pPr>
        <w:shd w:val="clear" w:color="auto" w:fill="FFFFFF"/>
      </w:pPr>
      <w:r>
        <w:t>Przede wszystkim wskazać należy na komunikaty związane z konfliktem zbrojnym w Ukrainie. Na stronie internetowej wydzielono odrębny sektor zatytułowany „Wojna w</w:t>
      </w:r>
      <w:r w:rsidR="009343A1">
        <w:t xml:space="preserve"> </w:t>
      </w:r>
      <w:r>
        <w:t xml:space="preserve">Ukrainie”, w którym publikowano opinie i stanowiska interpretujące krajowe i unijne rozwiązania legislacyjne (tzw. przepisy sankcyjne) oddziałujące na rynek zamówień publicznych. Ponadto na stronie www zostały zamieszczone pytania i odpowiedzi dotyczące przepisów sankcyjnych. </w:t>
      </w:r>
    </w:p>
    <w:p w14:paraId="6E2B1DF1" w14:textId="77777777" w:rsidR="000C78EB" w:rsidRDefault="000C78EB" w:rsidP="000C78EB">
      <w:pPr>
        <w:shd w:val="clear" w:color="auto" w:fill="FFFFFF"/>
      </w:pPr>
      <w:r>
        <w:t>Komunikaty dotyczyły m.in.:</w:t>
      </w:r>
    </w:p>
    <w:p w14:paraId="0728AB67" w14:textId="48CF993C" w:rsidR="000C78EB" w:rsidRPr="000C78EB" w:rsidRDefault="000C78EB" w:rsidP="00E16264">
      <w:pPr>
        <w:pStyle w:val="Akapitzlist"/>
        <w:numPr>
          <w:ilvl w:val="0"/>
          <w:numId w:val="28"/>
        </w:numPr>
        <w:shd w:val="clear" w:color="auto" w:fill="FFFFFF"/>
        <w:rPr>
          <w:sz w:val="22"/>
          <w:szCs w:val="22"/>
        </w:rPr>
      </w:pPr>
      <w:r w:rsidRPr="000C78EB">
        <w:rPr>
          <w:sz w:val="22"/>
          <w:szCs w:val="22"/>
        </w:rPr>
        <w:t>nowych podstaw wykluczenia z postępowania lub konkursu oraz kary pieniężnej jako sankcji w celu przeciwdziałania wspieraniu agresji Federacji Rosyjskiej na Ukrainę;</w:t>
      </w:r>
    </w:p>
    <w:p w14:paraId="3E4443D8" w14:textId="3DDE2FE9" w:rsidR="000C78EB" w:rsidRPr="000C78EB" w:rsidRDefault="000C78EB" w:rsidP="00E16264">
      <w:pPr>
        <w:pStyle w:val="Akapitzlist"/>
        <w:numPr>
          <w:ilvl w:val="0"/>
          <w:numId w:val="28"/>
        </w:numPr>
        <w:shd w:val="clear" w:color="auto" w:fill="FFFFFF"/>
        <w:rPr>
          <w:sz w:val="22"/>
          <w:szCs w:val="22"/>
        </w:rPr>
      </w:pPr>
      <w:r w:rsidRPr="000C78EB">
        <w:rPr>
          <w:sz w:val="22"/>
          <w:szCs w:val="22"/>
        </w:rPr>
        <w:t>ogólnounijnego zakazu udziału rosyjskich wykonawców w zamówieniach publicznych i koncesjach.</w:t>
      </w:r>
    </w:p>
    <w:p w14:paraId="5BEB7C80" w14:textId="77777777" w:rsidR="000C78EB" w:rsidRDefault="000C78EB" w:rsidP="000C78EB">
      <w:pPr>
        <w:shd w:val="clear" w:color="auto" w:fill="FFFFFF"/>
      </w:pPr>
    </w:p>
    <w:p w14:paraId="74141BD4" w14:textId="77777777" w:rsidR="000C78EB" w:rsidRDefault="000C78EB" w:rsidP="000C78EB">
      <w:pPr>
        <w:shd w:val="clear" w:color="auto" w:fill="FFFFFF"/>
      </w:pPr>
      <w:r>
        <w:t>Ponadto, na stronie internetowej opublikowano obszerne opinie prawne dotyczące stosowania ustawy Pzp, dotyczące:</w:t>
      </w:r>
    </w:p>
    <w:p w14:paraId="427C9258" w14:textId="1E9FF7FB" w:rsidR="000C78EB" w:rsidRPr="006113A8" w:rsidRDefault="000C78EB" w:rsidP="00E16264">
      <w:pPr>
        <w:numPr>
          <w:ilvl w:val="0"/>
          <w:numId w:val="31"/>
        </w:numPr>
        <w:rPr>
          <w:rFonts w:cs="Arial"/>
          <w:szCs w:val="22"/>
        </w:rPr>
      </w:pPr>
      <w:r w:rsidRPr="006113A8">
        <w:rPr>
          <w:rFonts w:cs="Arial"/>
          <w:szCs w:val="22"/>
        </w:rPr>
        <w:t>ustalania wartości zamówienia na roboty budowlane i związane z nimi zamówienia na usługi projektowania oraz nadzoru inwestorskiego;</w:t>
      </w:r>
    </w:p>
    <w:p w14:paraId="40071D66" w14:textId="59C04379" w:rsidR="000C78EB" w:rsidRPr="006113A8" w:rsidRDefault="000C78EB" w:rsidP="00E16264">
      <w:pPr>
        <w:numPr>
          <w:ilvl w:val="0"/>
          <w:numId w:val="31"/>
        </w:numPr>
        <w:rPr>
          <w:rFonts w:cs="Arial"/>
          <w:szCs w:val="22"/>
        </w:rPr>
      </w:pPr>
      <w:r w:rsidRPr="006113A8">
        <w:rPr>
          <w:rFonts w:cs="Arial"/>
          <w:szCs w:val="22"/>
        </w:rPr>
        <w:t>zmiany umowy na sprzedaż energii elektrycznej w związku z wejściem w życie ustawy z dnia 27 października 2022 r. o środkach nadzwyczajnych mających na celu ograniczenie wysokości cen energii elektrycznej oraz wsparciu niektórych odbiorców w 2023 roku (Dz. U. poz. 2243</w:t>
      </w:r>
      <w:r w:rsidR="0075673D">
        <w:rPr>
          <w:rFonts w:cs="Arial"/>
          <w:szCs w:val="22"/>
        </w:rPr>
        <w:t xml:space="preserve"> i </w:t>
      </w:r>
      <w:r w:rsidR="0035305F">
        <w:rPr>
          <w:rFonts w:cs="Arial"/>
          <w:szCs w:val="22"/>
        </w:rPr>
        <w:t>2687 oraz z 2023 r. poz.</w:t>
      </w:r>
      <w:r w:rsidR="009B3A91">
        <w:rPr>
          <w:rFonts w:cs="Arial"/>
          <w:szCs w:val="22"/>
        </w:rPr>
        <w:t xml:space="preserve"> </w:t>
      </w:r>
      <w:r w:rsidR="0035305F">
        <w:rPr>
          <w:rFonts w:cs="Arial"/>
          <w:szCs w:val="22"/>
        </w:rPr>
        <w:t>295 i 1113</w:t>
      </w:r>
      <w:r w:rsidRPr="006113A8">
        <w:rPr>
          <w:rFonts w:cs="Arial"/>
          <w:szCs w:val="22"/>
        </w:rPr>
        <w:t>);</w:t>
      </w:r>
    </w:p>
    <w:p w14:paraId="6BFFAD51" w14:textId="6EB14EBA" w:rsidR="000C78EB" w:rsidRPr="006113A8" w:rsidRDefault="000C78EB" w:rsidP="00E16264">
      <w:pPr>
        <w:numPr>
          <w:ilvl w:val="0"/>
          <w:numId w:val="31"/>
        </w:numPr>
        <w:rPr>
          <w:rFonts w:cs="Arial"/>
          <w:szCs w:val="22"/>
        </w:rPr>
      </w:pPr>
      <w:r w:rsidRPr="006113A8">
        <w:rPr>
          <w:rFonts w:cs="Arial"/>
          <w:szCs w:val="22"/>
        </w:rPr>
        <w:t>gwarancji wadialnej w kontekście terminu związania ofertą;</w:t>
      </w:r>
    </w:p>
    <w:p w14:paraId="4AA8DF68" w14:textId="09641A90" w:rsidR="000C78EB" w:rsidRPr="006113A8" w:rsidRDefault="000C78EB" w:rsidP="00E16264">
      <w:pPr>
        <w:numPr>
          <w:ilvl w:val="0"/>
          <w:numId w:val="31"/>
        </w:numPr>
        <w:rPr>
          <w:rFonts w:cs="Arial"/>
          <w:szCs w:val="22"/>
        </w:rPr>
      </w:pPr>
      <w:r w:rsidRPr="006113A8">
        <w:rPr>
          <w:rFonts w:cs="Arial"/>
          <w:szCs w:val="22"/>
        </w:rPr>
        <w:t>dopuszczalności zmiany umowy w sprawie zamówienia publicznego na podstawie art. 455 ust. 1 pkt 1 i 4 oraz art. 455 ust. 2 ustawy Pzp.</w:t>
      </w:r>
    </w:p>
    <w:p w14:paraId="4EBDDC42" w14:textId="354A6952" w:rsidR="00197BEE" w:rsidRDefault="00197BEE" w:rsidP="007D4DEB">
      <w:pPr>
        <w:shd w:val="clear" w:color="auto" w:fill="FFFFFF"/>
      </w:pPr>
    </w:p>
    <w:p w14:paraId="02B749AE" w14:textId="77777777" w:rsidR="009F58C1" w:rsidRDefault="009F58C1" w:rsidP="007D4DE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6D3215" w:rsidRPr="001E7D51" w14:paraId="40776355" w14:textId="77777777" w:rsidTr="005F6C2D">
        <w:trPr>
          <w:cantSplit/>
        </w:trPr>
        <w:tc>
          <w:tcPr>
            <w:tcW w:w="236" w:type="dxa"/>
            <w:shd w:val="clear" w:color="auto" w:fill="B8CCE4"/>
          </w:tcPr>
          <w:p w14:paraId="64B7AAF0" w14:textId="77777777" w:rsidR="006D3215" w:rsidRPr="008447F5" w:rsidRDefault="006D3215" w:rsidP="00F058DB">
            <w:pPr>
              <w:rPr>
                <w:sz w:val="24"/>
              </w:rPr>
            </w:pPr>
          </w:p>
        </w:tc>
        <w:tc>
          <w:tcPr>
            <w:tcW w:w="8676" w:type="dxa"/>
          </w:tcPr>
          <w:p w14:paraId="7525A6A8" w14:textId="4E068F0E" w:rsidR="006D3215" w:rsidRPr="006113A8" w:rsidRDefault="006D3215" w:rsidP="009E7222">
            <w:pPr>
              <w:pStyle w:val="Nagwek3"/>
              <w:shd w:val="clear" w:color="auto" w:fill="FFFFFF"/>
              <w:spacing w:after="120"/>
              <w:ind w:left="737" w:hanging="737"/>
              <w:rPr>
                <w:color w:val="0070C0"/>
                <w:sz w:val="24"/>
                <w:szCs w:val="24"/>
              </w:rPr>
            </w:pPr>
            <w:bookmarkStart w:id="201" w:name="_Toc64451880"/>
            <w:bookmarkStart w:id="202" w:name="_Toc141276457"/>
            <w:r w:rsidRPr="006113A8">
              <w:rPr>
                <w:color w:val="0070C0"/>
                <w:sz w:val="24"/>
                <w:szCs w:val="24"/>
              </w:rPr>
              <w:t>III.1.</w:t>
            </w:r>
            <w:r w:rsidR="000A501A" w:rsidRPr="006113A8">
              <w:rPr>
                <w:color w:val="0070C0"/>
                <w:sz w:val="24"/>
                <w:szCs w:val="24"/>
              </w:rPr>
              <w:t>4</w:t>
            </w:r>
            <w:r w:rsidRPr="006113A8">
              <w:rPr>
                <w:color w:val="0070C0"/>
                <w:sz w:val="24"/>
                <w:szCs w:val="24"/>
              </w:rPr>
              <w:t>.</w:t>
            </w:r>
            <w:r w:rsidR="00750B05" w:rsidRPr="006113A8">
              <w:rPr>
                <w:color w:val="0070C0"/>
                <w:sz w:val="24"/>
                <w:szCs w:val="24"/>
              </w:rPr>
              <w:t xml:space="preserve"> </w:t>
            </w:r>
            <w:r w:rsidRPr="006113A8">
              <w:rPr>
                <w:color w:val="0070C0"/>
                <w:sz w:val="24"/>
                <w:szCs w:val="24"/>
              </w:rPr>
              <w:t>Realizacja zadania przygotowywania i upowszechniania przykładowych wzorów umów w sprawach zamówień publicznych, regulaminów oraz innych dokumentów stosowanych przy udzielaniu zamówień</w:t>
            </w:r>
            <w:bookmarkEnd w:id="201"/>
            <w:bookmarkEnd w:id="202"/>
          </w:p>
        </w:tc>
      </w:tr>
    </w:tbl>
    <w:p w14:paraId="36049F51" w14:textId="6A60A5E3" w:rsidR="00195A12" w:rsidRDefault="00195A12" w:rsidP="007D4DEB">
      <w:pPr>
        <w:shd w:val="clear" w:color="auto" w:fill="FFFFFF"/>
      </w:pPr>
    </w:p>
    <w:p w14:paraId="1C0AACE5" w14:textId="77777777" w:rsidR="006113A8" w:rsidRPr="006113A8" w:rsidRDefault="006113A8" w:rsidP="006113A8">
      <w:pPr>
        <w:rPr>
          <w:rFonts w:cs="Arial"/>
          <w:szCs w:val="22"/>
        </w:rPr>
      </w:pPr>
      <w:r w:rsidRPr="006113A8">
        <w:rPr>
          <w:rFonts w:cs="Arial"/>
          <w:szCs w:val="22"/>
        </w:rPr>
        <w:t>Zgodnie z treścią art. 469 pkt 7 ustawy Pzp, Prezes UZP przygotowuje i upowszechnia przykładowe wzory umów w sprawach zamówień publicznych, regulaminów oraz innych dokumentów stosowanych przy udzielaniu zamówień.</w:t>
      </w:r>
    </w:p>
    <w:p w14:paraId="60978AC8" w14:textId="77777777" w:rsidR="006113A8" w:rsidRPr="006113A8" w:rsidRDefault="006113A8" w:rsidP="006113A8">
      <w:pPr>
        <w:rPr>
          <w:rFonts w:cs="Arial"/>
          <w:szCs w:val="22"/>
        </w:rPr>
      </w:pPr>
    </w:p>
    <w:p w14:paraId="30B40056" w14:textId="77777777" w:rsidR="006113A8" w:rsidRPr="006113A8" w:rsidRDefault="006113A8" w:rsidP="006113A8">
      <w:pPr>
        <w:rPr>
          <w:rFonts w:cs="Arial"/>
          <w:szCs w:val="22"/>
        </w:rPr>
      </w:pPr>
      <w:r w:rsidRPr="006113A8">
        <w:rPr>
          <w:rFonts w:cs="Arial"/>
          <w:szCs w:val="22"/>
        </w:rPr>
        <w:t>W roku 2022 realizowany był Plan sposobu wykonania zadań Prezesa Urzędu Zamówień Publicznych na rok 2022, który wg stanu na dzień 31.12.2022 r. został zrealizowany w całości, mianowicie:</w:t>
      </w:r>
    </w:p>
    <w:p w14:paraId="047DA961" w14:textId="77777777" w:rsidR="006113A8" w:rsidRPr="006113A8" w:rsidRDefault="006113A8" w:rsidP="00E16264">
      <w:pPr>
        <w:numPr>
          <w:ilvl w:val="0"/>
          <w:numId w:val="32"/>
        </w:numPr>
        <w:rPr>
          <w:rFonts w:cs="Arial"/>
          <w:szCs w:val="22"/>
          <w:lang w:val="x-none"/>
        </w:rPr>
      </w:pPr>
      <w:r w:rsidRPr="006113A8">
        <w:rPr>
          <w:rFonts w:cs="Arial"/>
          <w:szCs w:val="22"/>
        </w:rPr>
        <w:t>opublikowano rekomendacje Prezesa UZP dotyczące konkursu w branży architektonicznej;</w:t>
      </w:r>
    </w:p>
    <w:p w14:paraId="63D7A250" w14:textId="5D40D3A7" w:rsidR="006113A8" w:rsidRPr="006113A8" w:rsidRDefault="006113A8" w:rsidP="00E16264">
      <w:pPr>
        <w:numPr>
          <w:ilvl w:val="0"/>
          <w:numId w:val="32"/>
        </w:numPr>
        <w:rPr>
          <w:rFonts w:cs="Arial"/>
          <w:szCs w:val="22"/>
          <w:lang w:val="x-none"/>
        </w:rPr>
      </w:pPr>
      <w:r w:rsidRPr="006113A8">
        <w:rPr>
          <w:rFonts w:cs="Arial"/>
          <w:szCs w:val="22"/>
        </w:rPr>
        <w:t xml:space="preserve">opublikowano rekomendacje Prezesa UZP w zakresie udzielania zamówień publicznych na urządzenia drukujące i wielofunkcyjne urządzenia mobilne oraz systemów digital </w:t>
      </w:r>
      <w:r w:rsidR="00FD3974">
        <w:rPr>
          <w:rFonts w:cs="Arial"/>
          <w:szCs w:val="22"/>
        </w:rPr>
        <w:t>signage</w:t>
      </w:r>
      <w:r w:rsidRPr="006113A8">
        <w:rPr>
          <w:rFonts w:cs="Arial"/>
          <w:szCs w:val="22"/>
        </w:rPr>
        <w:t>;</w:t>
      </w:r>
    </w:p>
    <w:p w14:paraId="627ABA1E" w14:textId="72066973" w:rsidR="006113A8" w:rsidRPr="003454F6" w:rsidRDefault="006113A8" w:rsidP="003454F6">
      <w:pPr>
        <w:numPr>
          <w:ilvl w:val="0"/>
          <w:numId w:val="32"/>
        </w:numPr>
        <w:rPr>
          <w:rFonts w:cs="Arial"/>
          <w:szCs w:val="22"/>
        </w:rPr>
      </w:pPr>
      <w:r w:rsidRPr="006113A8">
        <w:rPr>
          <w:rFonts w:cs="Arial"/>
          <w:szCs w:val="22"/>
        </w:rPr>
        <w:t>przygotowano wzór oświadczenia, o którym mowa w art. 125 ust. 1 ustawy Pzp, składane w postępowaniach o wartości mniejszej niż progi unijne, uwzględniające o</w:t>
      </w:r>
      <w:r w:rsidRPr="006113A8">
        <w:rPr>
          <w:rFonts w:cs="Arial"/>
          <w:szCs w:val="22"/>
          <w:lang w:val="x-none"/>
        </w:rPr>
        <w:t xml:space="preserve">świadczenie o niepodleganiu wykluczenia z postępowania na podstawie art. 7 ust. 1 ustawy </w:t>
      </w:r>
      <w:r w:rsidR="003454F6" w:rsidRPr="003454F6">
        <w:rPr>
          <w:rFonts w:cs="Arial"/>
          <w:szCs w:val="22"/>
        </w:rPr>
        <w:t>z dnia 13 kwietnia 2022</w:t>
      </w:r>
      <w:r w:rsidR="003454F6">
        <w:rPr>
          <w:rFonts w:cs="Arial"/>
          <w:szCs w:val="22"/>
        </w:rPr>
        <w:t xml:space="preserve"> r. </w:t>
      </w:r>
      <w:r w:rsidRPr="003454F6">
        <w:rPr>
          <w:rFonts w:cs="Arial"/>
          <w:i/>
          <w:iCs/>
          <w:szCs w:val="22"/>
          <w:lang w:val="x-none"/>
        </w:rPr>
        <w:t>o szczególnych rozwiązaniach w zakresie przeciwdziałania wspieraniu agresji na Ukrainę oraz służących ochronie bezpieczeństwa narodowego</w:t>
      </w:r>
      <w:r w:rsidRPr="003454F6">
        <w:rPr>
          <w:rFonts w:cs="Arial"/>
          <w:szCs w:val="22"/>
          <w:lang w:val="x-none"/>
        </w:rPr>
        <w:t xml:space="preserve"> (Dz. U. </w:t>
      </w:r>
      <w:r w:rsidR="00491490">
        <w:rPr>
          <w:rFonts w:cs="Arial"/>
          <w:szCs w:val="22"/>
        </w:rPr>
        <w:t xml:space="preserve">z 2023 r. </w:t>
      </w:r>
      <w:r w:rsidRPr="003454F6">
        <w:rPr>
          <w:rFonts w:cs="Arial"/>
          <w:szCs w:val="22"/>
          <w:lang w:val="x-none"/>
        </w:rPr>
        <w:t xml:space="preserve">poz. </w:t>
      </w:r>
      <w:r w:rsidR="004A4173">
        <w:rPr>
          <w:rFonts w:cs="Arial"/>
          <w:szCs w:val="22"/>
        </w:rPr>
        <w:t>129 i 185</w:t>
      </w:r>
      <w:r w:rsidRPr="003454F6">
        <w:rPr>
          <w:rFonts w:cs="Arial"/>
          <w:szCs w:val="22"/>
          <w:lang w:val="x-none"/>
        </w:rPr>
        <w:t>)</w:t>
      </w:r>
      <w:r w:rsidR="00810DEC">
        <w:rPr>
          <w:rFonts w:cs="Arial"/>
          <w:szCs w:val="22"/>
          <w:lang w:val="x-none"/>
        </w:rPr>
        <w:t>;</w:t>
      </w:r>
    </w:p>
    <w:p w14:paraId="1942EFAF" w14:textId="77777777" w:rsidR="006113A8" w:rsidRPr="006113A8" w:rsidRDefault="006113A8" w:rsidP="00E16264">
      <w:pPr>
        <w:numPr>
          <w:ilvl w:val="0"/>
          <w:numId w:val="32"/>
        </w:numPr>
        <w:rPr>
          <w:rFonts w:cs="Arial"/>
          <w:szCs w:val="22"/>
          <w:lang w:val="x-none"/>
        </w:rPr>
      </w:pPr>
      <w:r w:rsidRPr="006113A8">
        <w:rPr>
          <w:rFonts w:cs="Arial"/>
          <w:szCs w:val="22"/>
        </w:rPr>
        <w:t>przygotowano wzór wniosku do Krajowej Izby Odwoławczej o uchylenie zakazu zawarcia umowy, o którym mowa w art. 578 ustawy Pzp;</w:t>
      </w:r>
    </w:p>
    <w:p w14:paraId="37F1DDCC" w14:textId="77777777" w:rsidR="006113A8" w:rsidRPr="006113A8" w:rsidRDefault="006113A8" w:rsidP="00E16264">
      <w:pPr>
        <w:numPr>
          <w:ilvl w:val="0"/>
          <w:numId w:val="32"/>
        </w:numPr>
        <w:rPr>
          <w:rFonts w:cs="Arial"/>
          <w:szCs w:val="22"/>
          <w:lang w:val="x-none"/>
        </w:rPr>
      </w:pPr>
      <w:r w:rsidRPr="006113A8">
        <w:rPr>
          <w:rFonts w:cs="Arial"/>
          <w:szCs w:val="22"/>
        </w:rPr>
        <w:t>przygotowano wzór skargi na orzeczenie Krajowej Izby Odwoławczej i wzór odpowiedzi na skargę.</w:t>
      </w:r>
    </w:p>
    <w:p w14:paraId="54D6B10D" w14:textId="77777777" w:rsidR="006113A8" w:rsidRPr="006113A8" w:rsidRDefault="006113A8" w:rsidP="006113A8">
      <w:pPr>
        <w:rPr>
          <w:rFonts w:cs="Arial"/>
          <w:szCs w:val="22"/>
        </w:rPr>
      </w:pPr>
    </w:p>
    <w:p w14:paraId="4B5326AC" w14:textId="3696C828" w:rsidR="006113A8" w:rsidRPr="006113A8" w:rsidRDefault="006113A8" w:rsidP="006113A8">
      <w:pPr>
        <w:rPr>
          <w:rFonts w:cs="Arial"/>
          <w:szCs w:val="22"/>
        </w:rPr>
      </w:pPr>
      <w:r w:rsidRPr="006113A8">
        <w:rPr>
          <w:rFonts w:cs="Arial"/>
          <w:szCs w:val="22"/>
        </w:rPr>
        <w:t xml:space="preserve">Ponadto, przygotowany został wzór oświadczenia, o którym mowa w art. 125 ust. 1 ustawy Pzp dla postępowań o wartości równej lub przekraczającej progi unijne, uwzględniający tzw. regulacje sankcyjne (oświadczenie o niepodleganiu wykluczenia z postępowania na podstawie art. 5k rozporządzenia 833/2014 w brzmieniu nadanym rozporządzeniem </w:t>
      </w:r>
      <w:r w:rsidR="00B52BF9">
        <w:rPr>
          <w:rFonts w:cs="Arial"/>
          <w:szCs w:val="22"/>
        </w:rPr>
        <w:t>2022</w:t>
      </w:r>
      <w:r w:rsidR="00862F8C">
        <w:rPr>
          <w:rFonts w:cs="Arial"/>
          <w:szCs w:val="22"/>
        </w:rPr>
        <w:t>/576</w:t>
      </w:r>
      <w:r w:rsidR="00B52BF9">
        <w:rPr>
          <w:rFonts w:cs="Arial"/>
          <w:szCs w:val="22"/>
        </w:rPr>
        <w:t xml:space="preserve"> </w:t>
      </w:r>
      <w:r w:rsidRPr="006113A8">
        <w:rPr>
          <w:rFonts w:cs="Arial"/>
          <w:szCs w:val="22"/>
        </w:rPr>
        <w:t xml:space="preserve">oraz oświadczenie o niepodleganiu wykluczenia z postępowania na podstawie art. 7 ust. 1 ustawy </w:t>
      </w:r>
      <w:r w:rsidRPr="006113A8">
        <w:rPr>
          <w:rFonts w:cs="Arial"/>
          <w:i/>
          <w:iCs/>
          <w:szCs w:val="22"/>
        </w:rPr>
        <w:t>o szczególnych rozwiązaniach w zakresie przeciwdziałania wspieraniu agresji na Ukrainę oraz służących ochronie bezpieczeństwa narodowego</w:t>
      </w:r>
      <w:r w:rsidRPr="006113A8">
        <w:rPr>
          <w:rFonts w:cs="Arial"/>
          <w:szCs w:val="22"/>
        </w:rPr>
        <w:t>.</w:t>
      </w:r>
    </w:p>
    <w:p w14:paraId="4FFF845A" w14:textId="77777777" w:rsidR="006113A8" w:rsidRPr="006113A8" w:rsidRDefault="006113A8" w:rsidP="006113A8">
      <w:pPr>
        <w:rPr>
          <w:rFonts w:cs="Arial"/>
          <w:szCs w:val="22"/>
        </w:rPr>
      </w:pPr>
    </w:p>
    <w:p w14:paraId="188551CE" w14:textId="1479D83B" w:rsidR="006113A8" w:rsidRPr="006113A8" w:rsidRDefault="006113A8" w:rsidP="006113A8">
      <w:pPr>
        <w:rPr>
          <w:rFonts w:cs="Arial"/>
          <w:szCs w:val="22"/>
        </w:rPr>
      </w:pPr>
      <w:r w:rsidRPr="006113A8">
        <w:rPr>
          <w:rFonts w:cs="Arial"/>
          <w:szCs w:val="22"/>
        </w:rPr>
        <w:t>W 2022 r. prowadzone były intensywne prace w grupach roboczych, składających się z</w:t>
      </w:r>
      <w:r w:rsidR="009343A1">
        <w:rPr>
          <w:rFonts w:cs="Arial"/>
          <w:szCs w:val="22"/>
        </w:rPr>
        <w:t xml:space="preserve"> </w:t>
      </w:r>
      <w:r w:rsidRPr="006113A8">
        <w:rPr>
          <w:rFonts w:cs="Arial"/>
          <w:szCs w:val="22"/>
        </w:rPr>
        <w:t xml:space="preserve">przedstawicieli organizacji branżowych z różnych obszarów gospodarki i przedstawicieli Urzędu Zamówień Publicznych. Celem prac było przygotowanie dokumentów branżowych, które stanowiłyby realną pomoc dla zamawiających w ich praktyce udzielania zamówień publicznych. </w:t>
      </w:r>
    </w:p>
    <w:p w14:paraId="4DA00EE5" w14:textId="1A9CC33F" w:rsidR="006113A8" w:rsidRPr="006113A8" w:rsidRDefault="006113A8" w:rsidP="006113A8">
      <w:pPr>
        <w:rPr>
          <w:rFonts w:cs="Arial"/>
          <w:szCs w:val="22"/>
        </w:rPr>
      </w:pPr>
      <w:r w:rsidRPr="006113A8">
        <w:rPr>
          <w:rFonts w:cs="Arial"/>
          <w:szCs w:val="22"/>
        </w:rPr>
        <w:t>We wszystkich grupach przyjęto taką samą metodykę pracy: w odpowiedzi na ogłoszenie i</w:t>
      </w:r>
      <w:r w:rsidR="009343A1">
        <w:rPr>
          <w:rFonts w:cs="Arial"/>
          <w:szCs w:val="22"/>
        </w:rPr>
        <w:t xml:space="preserve"> </w:t>
      </w:r>
      <w:r w:rsidRPr="006113A8">
        <w:rPr>
          <w:rFonts w:cs="Arial"/>
          <w:szCs w:val="22"/>
        </w:rPr>
        <w:t xml:space="preserve">zaproszenia imienne na stronie internetowej UZP mogły zgłaszać się organizacje branżowe, zarówno od strony zamawiających, jak i wykonawców oraz inne właściwe podmioty, zainteresowane udziałem w pracach nad dokumentami branżowymi. Następnie podmioty zainteresowane zgłaszały swoich przedstawicieli do grup roboczych. Kolejnym etapem były prace merytoryczne w ramach grup roboczych. Prace rozpoczynały się od zdiagnozowania problemów branżowych i obszarów, w których stworzenie jednolitych praktyk i dokumentów było uzasadnione i możliwe. Następnie grupy robocze tworzyły projekt dokumentu, który był na bieżąco dyskutowany podczas regularnych spotkań. Projekt dokumentu wypracowanego przez grupę poddawany był szerokim konsultacjom społecznym z uczestnikami rynku zamówień publicznych, poprzez jego udostępnienie na stronie internetowej UZP i wyznaczenie terminu do zgłaszania uwag do przedłożonego dokumentu. Zgłoszone uwagi były omawiane w ramach grupy roboczej. Gotowy dokument publikowany był na stronie internetowej UZP. </w:t>
      </w:r>
    </w:p>
    <w:p w14:paraId="106856D6" w14:textId="77777777" w:rsidR="006113A8" w:rsidRPr="006113A8" w:rsidRDefault="006113A8" w:rsidP="006113A8">
      <w:pPr>
        <w:rPr>
          <w:rFonts w:cs="Arial"/>
          <w:szCs w:val="22"/>
        </w:rPr>
      </w:pPr>
    </w:p>
    <w:p w14:paraId="0DD81BF3" w14:textId="77777777" w:rsidR="006113A8" w:rsidRPr="006113A8" w:rsidRDefault="006113A8" w:rsidP="006113A8">
      <w:pPr>
        <w:rPr>
          <w:rFonts w:cs="Arial"/>
          <w:szCs w:val="22"/>
        </w:rPr>
      </w:pPr>
      <w:r w:rsidRPr="006113A8">
        <w:rPr>
          <w:rFonts w:cs="Arial"/>
          <w:szCs w:val="22"/>
        </w:rPr>
        <w:t>W 2022 r. pracowały wskazane niżej grupy, które kontynuowały prace rozpoczęte w roku poprzednim:</w:t>
      </w:r>
    </w:p>
    <w:p w14:paraId="36B4E257" w14:textId="35CFE48B" w:rsidR="006113A8" w:rsidRPr="006113A8" w:rsidRDefault="006113A8" w:rsidP="00E16264">
      <w:pPr>
        <w:numPr>
          <w:ilvl w:val="0"/>
          <w:numId w:val="29"/>
        </w:numPr>
        <w:rPr>
          <w:rFonts w:cs="Arial"/>
          <w:szCs w:val="22"/>
          <w:lang w:val="x-none"/>
        </w:rPr>
      </w:pPr>
      <w:r w:rsidRPr="006113A8">
        <w:rPr>
          <w:rFonts w:cs="Arial"/>
          <w:szCs w:val="22"/>
        </w:rPr>
        <w:t xml:space="preserve">grupa przygotowująca </w:t>
      </w:r>
      <w:bookmarkStart w:id="203" w:name="_Hlk130228010"/>
      <w:r w:rsidRPr="006113A8">
        <w:rPr>
          <w:rFonts w:cs="Arial"/>
          <w:szCs w:val="22"/>
        </w:rPr>
        <w:t>Rekomendacje Prezesa Urzędu Zamówień Publicznych na udzielanie zamówień publicznych w zakresie urządzeń drukujących i wielofunkcyjnych, urządzeń mobilnych oraz systemów digital sig</w:t>
      </w:r>
      <w:r w:rsidR="00B52BF9">
        <w:rPr>
          <w:rFonts w:cs="Arial"/>
          <w:szCs w:val="22"/>
        </w:rPr>
        <w:t>n</w:t>
      </w:r>
      <w:r w:rsidRPr="006113A8">
        <w:rPr>
          <w:rFonts w:cs="Arial"/>
          <w:szCs w:val="22"/>
        </w:rPr>
        <w:t>age</w:t>
      </w:r>
      <w:bookmarkEnd w:id="203"/>
      <w:r w:rsidRPr="006113A8">
        <w:rPr>
          <w:rFonts w:cs="Arial"/>
          <w:szCs w:val="22"/>
        </w:rPr>
        <w:t>;</w:t>
      </w:r>
    </w:p>
    <w:p w14:paraId="545BEBC3" w14:textId="77777777" w:rsidR="006113A8" w:rsidRPr="006113A8" w:rsidRDefault="006113A8" w:rsidP="00E16264">
      <w:pPr>
        <w:numPr>
          <w:ilvl w:val="0"/>
          <w:numId w:val="29"/>
        </w:numPr>
        <w:rPr>
          <w:rFonts w:cs="Arial"/>
          <w:szCs w:val="22"/>
          <w:lang w:val="x-none"/>
        </w:rPr>
      </w:pPr>
      <w:r w:rsidRPr="006113A8">
        <w:rPr>
          <w:rFonts w:cs="Arial"/>
          <w:szCs w:val="22"/>
          <w:lang w:val="x-none"/>
        </w:rPr>
        <w:t>grupa przygotowująca kolejny tom rekomendacji Prezesa UZP na systemy informatyczne</w:t>
      </w:r>
      <w:r w:rsidRPr="006113A8">
        <w:rPr>
          <w:rFonts w:cs="Arial"/>
          <w:szCs w:val="22"/>
        </w:rPr>
        <w:t>, która pracowała nad przygotowaniem klauzul do umów w sprawie zamówienia publicznego z obszaru IT;</w:t>
      </w:r>
    </w:p>
    <w:p w14:paraId="65706E9B" w14:textId="77777777" w:rsidR="006113A8" w:rsidRPr="006113A8" w:rsidRDefault="006113A8" w:rsidP="00E16264">
      <w:pPr>
        <w:numPr>
          <w:ilvl w:val="0"/>
          <w:numId w:val="29"/>
        </w:numPr>
        <w:rPr>
          <w:rFonts w:cs="Arial"/>
          <w:szCs w:val="22"/>
          <w:lang w:val="x-none"/>
        </w:rPr>
      </w:pPr>
      <w:bookmarkStart w:id="204" w:name="_Hlk130291208"/>
      <w:r w:rsidRPr="006113A8">
        <w:rPr>
          <w:rFonts w:cs="Arial"/>
          <w:szCs w:val="22"/>
          <w:lang w:val="x-none"/>
        </w:rPr>
        <w:t>grupa przygotowująca materiał dotyczący postępowania o udzielenie zamówienia publicznego na dostawę lub dzierżawę wyrobów medycznyc</w:t>
      </w:r>
      <w:r w:rsidRPr="006113A8">
        <w:rPr>
          <w:rFonts w:cs="Arial"/>
          <w:szCs w:val="22"/>
        </w:rPr>
        <w:t>h.</w:t>
      </w:r>
    </w:p>
    <w:bookmarkEnd w:id="204"/>
    <w:p w14:paraId="25501730" w14:textId="77777777" w:rsidR="006113A8" w:rsidRPr="006113A8" w:rsidRDefault="006113A8" w:rsidP="006113A8">
      <w:pPr>
        <w:rPr>
          <w:rFonts w:cs="Arial"/>
          <w:szCs w:val="22"/>
        </w:rPr>
      </w:pPr>
    </w:p>
    <w:p w14:paraId="0C964EFA" w14:textId="77777777" w:rsidR="006113A8" w:rsidRPr="006113A8" w:rsidRDefault="006113A8" w:rsidP="006113A8">
      <w:pPr>
        <w:rPr>
          <w:rFonts w:cs="Arial"/>
          <w:szCs w:val="22"/>
        </w:rPr>
      </w:pPr>
      <w:r w:rsidRPr="006113A8">
        <w:rPr>
          <w:rFonts w:cs="Arial"/>
          <w:szCs w:val="22"/>
        </w:rPr>
        <w:t>W roku 2022 powołane zostały kolejne grupy robocze, których celem było wypracowanie dokumentów przydatnych w praktyce udzielania zamówień, w związku ze zdiagnozowanymi istotnymi zagadnieniami, a także zgłaszanymi postulatami interesariuszy rynku zamówień publicznych, mianowicie:</w:t>
      </w:r>
    </w:p>
    <w:p w14:paraId="7BDBA19F" w14:textId="12C59F65" w:rsidR="006113A8" w:rsidRPr="006113A8" w:rsidRDefault="006113A8" w:rsidP="00E16264">
      <w:pPr>
        <w:numPr>
          <w:ilvl w:val="0"/>
          <w:numId w:val="29"/>
        </w:numPr>
        <w:rPr>
          <w:rFonts w:cs="Arial"/>
          <w:szCs w:val="22"/>
          <w:lang w:val="x-none"/>
        </w:rPr>
      </w:pPr>
      <w:r w:rsidRPr="006113A8">
        <w:rPr>
          <w:rFonts w:cs="Arial"/>
          <w:szCs w:val="22"/>
          <w:lang w:val="x-none"/>
        </w:rPr>
        <w:t xml:space="preserve">grupa robocza z obszaru budownictwa, </w:t>
      </w:r>
      <w:r w:rsidRPr="006113A8">
        <w:rPr>
          <w:rFonts w:cs="Arial"/>
          <w:szCs w:val="22"/>
        </w:rPr>
        <w:t xml:space="preserve">pracująca nad przykładowymi klauzulami waloryzacyjnymi z tej branży. W skład grupy, </w:t>
      </w:r>
      <w:r w:rsidRPr="006113A8">
        <w:rPr>
          <w:rFonts w:cs="Arial"/>
          <w:szCs w:val="22"/>
          <w:lang w:val="x-none"/>
        </w:rPr>
        <w:t>obok przedstawicieli Urzędu Zamówień Publicznych i Prokuratorii Generalnej Rzeczypospolitej Polskiej znaleźli się reprezentanci branżowych zrzeszeń sektora budownictwa, a także zamawiający, zarówno szczebla rządowego, jak i samorządowego. W wyniku prac tej grupy powstały przykładowe klauzule waloryzacyjne w sektorze budownictwa, bazujące na różnych mechanizmach i uwzględniające różną specyfikę i zakres prowadzonych prac budowlanych. Nadmienić warto, że prace nad tym dokumentem wsparł Główny Urząd Statystyczny,</w:t>
      </w:r>
      <w:r w:rsidR="009343A1">
        <w:rPr>
          <w:rFonts w:cs="Arial"/>
          <w:szCs w:val="22"/>
          <w:lang w:val="x-none"/>
        </w:rPr>
        <w:t xml:space="preserve"> </w:t>
      </w:r>
      <w:r w:rsidRPr="006113A8">
        <w:rPr>
          <w:rFonts w:cs="Arial"/>
          <w:szCs w:val="22"/>
          <w:lang w:val="x-none"/>
        </w:rPr>
        <w:t>który podjął się opracowania, we współpracy z grupą roboczą, kalkulatorów waloryzacyjnych do przygotowanych klauzul, umożliwiających automatyczne wyliczenie wynagrodzenia po dokonanej waloryzacji</w:t>
      </w:r>
    </w:p>
    <w:p w14:paraId="33D44414" w14:textId="77777777" w:rsidR="006113A8" w:rsidRPr="006113A8" w:rsidRDefault="006113A8" w:rsidP="00E16264">
      <w:pPr>
        <w:numPr>
          <w:ilvl w:val="0"/>
          <w:numId w:val="29"/>
        </w:numPr>
        <w:rPr>
          <w:rFonts w:cs="Arial"/>
          <w:szCs w:val="22"/>
          <w:lang w:val="x-none"/>
        </w:rPr>
      </w:pPr>
      <w:r w:rsidRPr="006113A8">
        <w:rPr>
          <w:rFonts w:cs="Arial"/>
          <w:szCs w:val="22"/>
        </w:rPr>
        <w:t xml:space="preserve">grupa robocza z obszaru budownictwa, pracująca nad dokumentem zawierającym przykładowe klauzule przeglądowe w umowach o roboty budowlane. W skład grupy, obok </w:t>
      </w:r>
      <w:r w:rsidRPr="006113A8">
        <w:rPr>
          <w:rFonts w:cs="Arial"/>
          <w:szCs w:val="22"/>
          <w:lang w:val="x-none"/>
        </w:rPr>
        <w:t>przedstawicieli Urzędu Zamówień Publicznych brali udział reprezentanci branżowych zrzeszeń sektora budownictwa, przedstawiciele zamawiających szczebla rządowego, a także przedstawiciele samorządów.</w:t>
      </w:r>
      <w:r w:rsidRPr="006113A8">
        <w:rPr>
          <w:rFonts w:cs="Arial"/>
          <w:szCs w:val="22"/>
        </w:rPr>
        <w:t xml:space="preserve"> </w:t>
      </w:r>
      <w:r w:rsidRPr="006113A8">
        <w:rPr>
          <w:rFonts w:cs="Arial"/>
          <w:szCs w:val="22"/>
          <w:lang w:val="x-none"/>
        </w:rPr>
        <w:t>Punktem wyjścia do prac było opracowanie Urzędu Zamówień Publicznych „Klauzule przeglądowe. Wzorce i dobre praktyki” opublikowane w 2020 r. Z uwagi na dynamicznie zmieniającą się rzeczywistość zamówieniową, członkowie grupy roboczej uznali, że należy dokonać przeglądu wcześniej sformułowanych wzorców i dobrych praktyk pod kątem ich adekwatności do obecnych realiów.</w:t>
      </w:r>
      <w:r w:rsidRPr="006113A8">
        <w:rPr>
          <w:rFonts w:cs="Arial"/>
          <w:szCs w:val="22"/>
        </w:rPr>
        <w:t xml:space="preserve"> W ramach prac grupy </w:t>
      </w:r>
      <w:r w:rsidRPr="006113A8">
        <w:rPr>
          <w:rFonts w:cs="Arial"/>
          <w:szCs w:val="22"/>
          <w:lang w:val="x-none"/>
        </w:rPr>
        <w:t xml:space="preserve">uaktualniono i dostosowano do aktualnych </w:t>
      </w:r>
      <w:r w:rsidRPr="006113A8">
        <w:rPr>
          <w:rFonts w:cs="Arial"/>
          <w:szCs w:val="22"/>
        </w:rPr>
        <w:t>warunków</w:t>
      </w:r>
      <w:r w:rsidRPr="006113A8">
        <w:rPr>
          <w:rFonts w:cs="Arial"/>
          <w:szCs w:val="22"/>
          <w:lang w:val="x-none"/>
        </w:rPr>
        <w:t xml:space="preserve"> rynkowych dokument zawierający przykładowe klauzule przeglądowe w umowach o roboty budowlane. </w:t>
      </w:r>
    </w:p>
    <w:p w14:paraId="71447BB8" w14:textId="77777777" w:rsidR="006113A8" w:rsidRPr="006113A8" w:rsidRDefault="006113A8" w:rsidP="006113A8">
      <w:pPr>
        <w:rPr>
          <w:rFonts w:cs="Arial"/>
          <w:szCs w:val="22"/>
        </w:rPr>
      </w:pPr>
    </w:p>
    <w:p w14:paraId="6B4B347B" w14:textId="77777777" w:rsidR="006113A8" w:rsidRPr="006113A8" w:rsidRDefault="006113A8" w:rsidP="006113A8">
      <w:pPr>
        <w:rPr>
          <w:rFonts w:cs="Arial"/>
          <w:szCs w:val="22"/>
        </w:rPr>
      </w:pPr>
      <w:r w:rsidRPr="006113A8">
        <w:rPr>
          <w:rFonts w:cs="Arial"/>
          <w:szCs w:val="22"/>
        </w:rPr>
        <w:t>Ponadto, powołana została grupa robocza, której celem było przygotowanie dokumentu przydatnego w praktyce udzielania zamówień publicznych przez uczelnie wyższe, w zakresie szacowania wartości zamówień na zakup odczynników do badań, uwzględniającego specyfikę pracy środowiska i specyfikę czynności naukowo-badawczych oraz rozwojowych. W skład tej grupy, obok przedstawicieli Urzędu Zamówień Publicznych, weszli przedstawiciele publicznych uczelni wyższych w Polsce, które zgłosiły chęć udziału w tym projekcie.</w:t>
      </w:r>
    </w:p>
    <w:p w14:paraId="3F294F97" w14:textId="77777777" w:rsidR="006113A8" w:rsidRPr="006113A8" w:rsidRDefault="006113A8" w:rsidP="006113A8">
      <w:pPr>
        <w:rPr>
          <w:rFonts w:cs="Arial"/>
          <w:szCs w:val="22"/>
          <w:lang w:val="x-none"/>
        </w:rPr>
      </w:pPr>
    </w:p>
    <w:p w14:paraId="2EDF25E7" w14:textId="77777777" w:rsidR="006113A8" w:rsidRPr="006113A8" w:rsidRDefault="006113A8" w:rsidP="006113A8">
      <w:pPr>
        <w:rPr>
          <w:rFonts w:cs="Arial"/>
          <w:szCs w:val="22"/>
        </w:rPr>
      </w:pPr>
      <w:r w:rsidRPr="006113A8">
        <w:rPr>
          <w:rFonts w:cs="Arial"/>
          <w:szCs w:val="22"/>
        </w:rPr>
        <w:t>W wyniku prac grup roboczych, w 2022 r. przygotowane zostały następujące dokumenty:</w:t>
      </w:r>
    </w:p>
    <w:p w14:paraId="41BDE4C9" w14:textId="77777777" w:rsidR="006113A8" w:rsidRPr="006113A8" w:rsidRDefault="006113A8" w:rsidP="00E16264">
      <w:pPr>
        <w:numPr>
          <w:ilvl w:val="0"/>
          <w:numId w:val="30"/>
        </w:numPr>
        <w:rPr>
          <w:rFonts w:cs="Arial"/>
          <w:szCs w:val="22"/>
          <w:lang w:val="x-none"/>
        </w:rPr>
      </w:pPr>
      <w:r w:rsidRPr="006113A8">
        <w:rPr>
          <w:rFonts w:cs="Arial"/>
          <w:szCs w:val="22"/>
        </w:rPr>
        <w:t>opracowanie dotyczące grup odczynników do badań na potrzeby szacowania wartości zamówienia</w:t>
      </w:r>
      <w:bookmarkStart w:id="205" w:name="_Hlk130228024"/>
      <w:r w:rsidRPr="006113A8">
        <w:rPr>
          <w:rFonts w:cs="Arial"/>
          <w:szCs w:val="22"/>
        </w:rPr>
        <w:t xml:space="preserve"> pt.: </w:t>
      </w:r>
      <w:r w:rsidRPr="006113A8">
        <w:rPr>
          <w:rFonts w:cs="Arial"/>
          <w:i/>
          <w:iCs/>
          <w:szCs w:val="22"/>
        </w:rPr>
        <w:t>„Grupy odczynników na potrzeby szacowania wartości zamówienia”</w:t>
      </w:r>
      <w:r w:rsidRPr="006113A8">
        <w:rPr>
          <w:rFonts w:cs="Arial"/>
          <w:szCs w:val="22"/>
        </w:rPr>
        <w:t xml:space="preserve">; </w:t>
      </w:r>
      <w:bookmarkEnd w:id="205"/>
    </w:p>
    <w:p w14:paraId="2CFED301" w14:textId="51C6C7E3" w:rsidR="006113A8" w:rsidRPr="006113A8" w:rsidRDefault="006113A8" w:rsidP="00E16264">
      <w:pPr>
        <w:numPr>
          <w:ilvl w:val="0"/>
          <w:numId w:val="30"/>
        </w:numPr>
        <w:rPr>
          <w:rFonts w:cs="Arial"/>
          <w:szCs w:val="22"/>
          <w:lang w:val="x-none"/>
        </w:rPr>
      </w:pPr>
      <w:r w:rsidRPr="006113A8">
        <w:rPr>
          <w:rFonts w:cs="Arial"/>
          <w:szCs w:val="22"/>
        </w:rPr>
        <w:t xml:space="preserve">Rekomendacje Prezesa Urzędu Zamówień Publicznych </w:t>
      </w:r>
      <w:r w:rsidR="00366858">
        <w:rPr>
          <w:rFonts w:cs="Arial"/>
          <w:szCs w:val="22"/>
        </w:rPr>
        <w:t>–</w:t>
      </w:r>
      <w:r w:rsidRPr="006113A8">
        <w:rPr>
          <w:rFonts w:cs="Arial"/>
          <w:szCs w:val="22"/>
        </w:rPr>
        <w:t xml:space="preserve"> </w:t>
      </w:r>
      <w:r w:rsidR="006F1BB9">
        <w:rPr>
          <w:rFonts w:cs="Arial"/>
          <w:szCs w:val="22"/>
        </w:rPr>
        <w:t>„</w:t>
      </w:r>
      <w:r w:rsidRPr="006113A8">
        <w:rPr>
          <w:rFonts w:cs="Arial"/>
          <w:i/>
          <w:iCs/>
          <w:szCs w:val="22"/>
        </w:rPr>
        <w:t>Udzielanie zamówień publicznych w zakresie urządzeń drukujących i wielofunkcyjnych, urządzeń mobilnych oraz systemów digital sig</w:t>
      </w:r>
      <w:r w:rsidR="006962CA">
        <w:rPr>
          <w:rFonts w:cs="Arial"/>
          <w:i/>
          <w:iCs/>
          <w:szCs w:val="22"/>
        </w:rPr>
        <w:t>n</w:t>
      </w:r>
      <w:r w:rsidRPr="006113A8">
        <w:rPr>
          <w:rFonts w:cs="Arial"/>
          <w:i/>
          <w:iCs/>
          <w:szCs w:val="22"/>
        </w:rPr>
        <w:t>age</w:t>
      </w:r>
      <w:r w:rsidR="006F1BB9">
        <w:rPr>
          <w:rFonts w:cs="Arial"/>
          <w:i/>
          <w:iCs/>
          <w:szCs w:val="22"/>
        </w:rPr>
        <w:t>”</w:t>
      </w:r>
      <w:r w:rsidRPr="006113A8">
        <w:rPr>
          <w:rFonts w:cs="Arial"/>
          <w:i/>
          <w:iCs/>
          <w:szCs w:val="22"/>
        </w:rPr>
        <w:t>;</w:t>
      </w:r>
    </w:p>
    <w:p w14:paraId="46F19AFD" w14:textId="77777777" w:rsidR="006113A8" w:rsidRPr="006113A8" w:rsidRDefault="006113A8" w:rsidP="00E16264">
      <w:pPr>
        <w:numPr>
          <w:ilvl w:val="0"/>
          <w:numId w:val="30"/>
        </w:numPr>
        <w:rPr>
          <w:rFonts w:cs="Arial"/>
          <w:szCs w:val="22"/>
          <w:lang w:val="x-none"/>
        </w:rPr>
      </w:pPr>
      <w:r w:rsidRPr="006113A8">
        <w:rPr>
          <w:rFonts w:cs="Arial"/>
          <w:szCs w:val="22"/>
        </w:rPr>
        <w:t xml:space="preserve">opracowanie dotyczące przykładowych klauzul przeglądowych w umowach o roboty budowlane: </w:t>
      </w:r>
      <w:r w:rsidRPr="006113A8">
        <w:rPr>
          <w:rFonts w:cs="Arial"/>
          <w:i/>
          <w:iCs/>
          <w:szCs w:val="22"/>
        </w:rPr>
        <w:t>„Przykładowe klauzule przeglądowe w umowach o roboty budowlane czyli klauzule dotyczące zmiany umowy w sprawie zamówienia publicznego na podstawie art. 455 ust. 1 pkt 1 ustawy Pzp”</w:t>
      </w:r>
      <w:r w:rsidRPr="006113A8">
        <w:rPr>
          <w:rFonts w:cs="Arial"/>
          <w:szCs w:val="22"/>
        </w:rPr>
        <w:t>;</w:t>
      </w:r>
    </w:p>
    <w:p w14:paraId="3DD3BCA5" w14:textId="1799E50D" w:rsidR="006113A8" w:rsidRPr="006113A8" w:rsidRDefault="006113A8" w:rsidP="00E16264">
      <w:pPr>
        <w:numPr>
          <w:ilvl w:val="0"/>
          <w:numId w:val="30"/>
        </w:numPr>
        <w:rPr>
          <w:rFonts w:cs="Arial"/>
          <w:szCs w:val="22"/>
          <w:lang w:val="x-none"/>
        </w:rPr>
      </w:pPr>
      <w:r w:rsidRPr="006113A8">
        <w:rPr>
          <w:rFonts w:cs="Arial"/>
          <w:szCs w:val="22"/>
        </w:rPr>
        <w:t xml:space="preserve">opracowanie dotyczące klauzul waloryzacyjnych w sektorze budownictwa, mające na celu zaprezentowanie różnych mechanizmów waloryzacji, w celu ułatwienia konstruowania klauzul waloryzacyjnych w projektowanych umowach w sprawie zamówienia publicznego pt.: </w:t>
      </w:r>
      <w:r w:rsidRPr="006113A8">
        <w:rPr>
          <w:rFonts w:cs="Arial"/>
          <w:i/>
          <w:iCs/>
          <w:szCs w:val="22"/>
        </w:rPr>
        <w:t>„Przykładowe klauzule waloryzacyjne dla sektora budownictwa”</w:t>
      </w:r>
      <w:r w:rsidRPr="006113A8">
        <w:rPr>
          <w:rFonts w:cs="Arial"/>
          <w:szCs w:val="22"/>
        </w:rPr>
        <w:t>.</w:t>
      </w:r>
    </w:p>
    <w:p w14:paraId="66E7AB78" w14:textId="77777777" w:rsidR="006236E1" w:rsidRPr="007E3C92" w:rsidRDefault="006236E1" w:rsidP="007D4DEB">
      <w:pPr>
        <w:pStyle w:val="Akapitzlist"/>
        <w:ind w:left="0"/>
        <w:rPr>
          <w:rFonts w:cs="Arial"/>
          <w:sz w:val="22"/>
          <w:szCs w:val="22"/>
          <w:lang w:val="pl-PL"/>
        </w:rPr>
      </w:pPr>
    </w:p>
    <w:p w14:paraId="4B2F55C2" w14:textId="77777777" w:rsidR="00985E40" w:rsidRPr="00624657" w:rsidRDefault="00985E40" w:rsidP="00F058DB">
      <w:pPr>
        <w:pStyle w:val="Bezodstpw"/>
        <w:jc w:val="both"/>
        <w:rPr>
          <w:rFonts w:ascii="Arial" w:hAnsi="Arial" w:cs="Arial"/>
        </w:rPr>
      </w:pPr>
    </w:p>
    <w:tbl>
      <w:tblPr>
        <w:tblW w:w="0" w:type="auto"/>
        <w:tblInd w:w="374" w:type="dxa"/>
        <w:tblLayout w:type="fixed"/>
        <w:tblLook w:val="04A0" w:firstRow="1" w:lastRow="0" w:firstColumn="1" w:lastColumn="0" w:noHBand="0" w:noVBand="1"/>
      </w:tblPr>
      <w:tblGrid>
        <w:gridCol w:w="236"/>
        <w:gridCol w:w="8676"/>
      </w:tblGrid>
      <w:tr w:rsidR="00E63700" w:rsidRPr="001E7D51" w14:paraId="62300C40" w14:textId="77777777" w:rsidTr="007D3720">
        <w:trPr>
          <w:cantSplit/>
        </w:trPr>
        <w:tc>
          <w:tcPr>
            <w:tcW w:w="236" w:type="dxa"/>
            <w:shd w:val="clear" w:color="auto" w:fill="B8CCE4"/>
          </w:tcPr>
          <w:p w14:paraId="71F9D9E7" w14:textId="77777777" w:rsidR="00E63700" w:rsidRPr="001E7D51" w:rsidRDefault="00E63700" w:rsidP="007D4DEB">
            <w:pPr>
              <w:rPr>
                <w:sz w:val="24"/>
              </w:rPr>
            </w:pPr>
          </w:p>
        </w:tc>
        <w:tc>
          <w:tcPr>
            <w:tcW w:w="8676" w:type="dxa"/>
          </w:tcPr>
          <w:p w14:paraId="19295860" w14:textId="35665510" w:rsidR="00E63700" w:rsidRPr="00103D8D" w:rsidRDefault="007D3720" w:rsidP="006236E1">
            <w:pPr>
              <w:pStyle w:val="Nagwek3"/>
              <w:shd w:val="clear" w:color="auto" w:fill="FFFFFF"/>
              <w:spacing w:after="120"/>
              <w:ind w:left="0"/>
              <w:rPr>
                <w:color w:val="0070C0"/>
                <w:sz w:val="24"/>
                <w:szCs w:val="24"/>
              </w:rPr>
            </w:pPr>
            <w:bookmarkStart w:id="206" w:name="_Toc64451881"/>
            <w:bookmarkStart w:id="207" w:name="_Toc141276458"/>
            <w:r w:rsidRPr="00103D8D">
              <w:rPr>
                <w:color w:val="0070C0"/>
                <w:sz w:val="24"/>
                <w:szCs w:val="24"/>
              </w:rPr>
              <w:t>III.1.</w:t>
            </w:r>
            <w:r w:rsidR="006236E1" w:rsidRPr="00103D8D">
              <w:rPr>
                <w:color w:val="0070C0"/>
                <w:sz w:val="24"/>
                <w:szCs w:val="24"/>
              </w:rPr>
              <w:t>5</w:t>
            </w:r>
            <w:r w:rsidR="00DE00CE" w:rsidRPr="00103D8D">
              <w:rPr>
                <w:color w:val="0070C0"/>
                <w:sz w:val="24"/>
                <w:szCs w:val="24"/>
              </w:rPr>
              <w:t>.</w:t>
            </w:r>
            <w:r w:rsidR="00750B05" w:rsidRPr="00103D8D">
              <w:rPr>
                <w:color w:val="0070C0"/>
                <w:sz w:val="24"/>
                <w:szCs w:val="24"/>
              </w:rPr>
              <w:t xml:space="preserve"> </w:t>
            </w:r>
            <w:r w:rsidR="00DE00CE" w:rsidRPr="00103D8D">
              <w:rPr>
                <w:color w:val="0070C0"/>
                <w:sz w:val="24"/>
                <w:szCs w:val="24"/>
              </w:rPr>
              <w:t xml:space="preserve">Kontrola udzielania </w:t>
            </w:r>
            <w:r w:rsidRPr="00103D8D">
              <w:rPr>
                <w:color w:val="0070C0"/>
                <w:sz w:val="24"/>
                <w:szCs w:val="24"/>
              </w:rPr>
              <w:t>zamówień</w:t>
            </w:r>
            <w:r w:rsidR="00DE00CE" w:rsidRPr="00103D8D">
              <w:rPr>
                <w:color w:val="0070C0"/>
                <w:sz w:val="24"/>
                <w:szCs w:val="24"/>
              </w:rPr>
              <w:t xml:space="preserve"> publicznych</w:t>
            </w:r>
            <w:bookmarkEnd w:id="206"/>
            <w:bookmarkEnd w:id="207"/>
          </w:p>
        </w:tc>
      </w:tr>
    </w:tbl>
    <w:p w14:paraId="6852E7FC" w14:textId="550236E8" w:rsidR="00E63700" w:rsidRDefault="00E63700" w:rsidP="007D4DEB">
      <w:pPr>
        <w:shd w:val="clear" w:color="auto" w:fill="FFFFFF"/>
      </w:pPr>
    </w:p>
    <w:p w14:paraId="5D13D9F4" w14:textId="77777777" w:rsidR="000042C0" w:rsidRPr="000042C0" w:rsidRDefault="000042C0" w:rsidP="000042C0">
      <w:pPr>
        <w:shd w:val="clear" w:color="auto" w:fill="FFFFFF"/>
      </w:pPr>
      <w:r w:rsidRPr="000042C0">
        <w:t xml:space="preserve">W 2022 r. Prezes Urzędu zakończył łącznie 345 kontroli zamówień publicznych, w tym: </w:t>
      </w:r>
    </w:p>
    <w:p w14:paraId="5D9D3BE2" w14:textId="77777777" w:rsidR="000042C0" w:rsidRPr="000042C0" w:rsidRDefault="000042C0" w:rsidP="006C4C38">
      <w:pPr>
        <w:numPr>
          <w:ilvl w:val="0"/>
          <w:numId w:val="59"/>
        </w:numPr>
        <w:shd w:val="clear" w:color="auto" w:fill="FFFFFF"/>
      </w:pPr>
      <w:r w:rsidRPr="000042C0">
        <w:t>192 kontrole doraźne,</w:t>
      </w:r>
    </w:p>
    <w:p w14:paraId="740F298F" w14:textId="47FC0C17" w:rsidR="000042C0" w:rsidRPr="000042C0" w:rsidRDefault="000042C0" w:rsidP="006C4C38">
      <w:pPr>
        <w:numPr>
          <w:ilvl w:val="0"/>
          <w:numId w:val="59"/>
        </w:numPr>
        <w:shd w:val="clear" w:color="auto" w:fill="FFFFFF"/>
      </w:pPr>
      <w:r w:rsidRPr="000042C0">
        <w:t>153 obligatoryjne kontrole uprzednie</w:t>
      </w:r>
      <w:r w:rsidR="00140169">
        <w:t>.</w:t>
      </w:r>
    </w:p>
    <w:p w14:paraId="5AC68341" w14:textId="7E26B55E" w:rsidR="002705DC" w:rsidRDefault="002705DC" w:rsidP="007D4DEB">
      <w:pPr>
        <w:shd w:val="clear" w:color="auto" w:fill="FFFFFF"/>
      </w:pPr>
    </w:p>
    <w:p w14:paraId="2E08E032" w14:textId="77777777" w:rsidR="00AB2318" w:rsidRDefault="00AB2318" w:rsidP="007D4DEB">
      <w:pPr>
        <w:shd w:val="clear" w:color="auto" w:fill="FFFFFF"/>
      </w:pPr>
    </w:p>
    <w:p w14:paraId="3CF09905" w14:textId="77777777" w:rsidR="00CB1AE2" w:rsidRPr="00CB1AE2" w:rsidRDefault="00CB1AE2" w:rsidP="00E16264">
      <w:pPr>
        <w:pStyle w:val="StylArial11ptWyjustowany"/>
        <w:numPr>
          <w:ilvl w:val="0"/>
          <w:numId w:val="5"/>
        </w:numPr>
        <w:shd w:val="clear" w:color="auto" w:fill="FFFFFF"/>
        <w:jc w:val="left"/>
        <w:rPr>
          <w:rFonts w:cs="Arial"/>
          <w:b/>
          <w:iCs/>
          <w:color w:val="0070C0"/>
          <w:szCs w:val="22"/>
        </w:rPr>
      </w:pPr>
      <w:r w:rsidRPr="00CB1AE2">
        <w:rPr>
          <w:rFonts w:cs="Arial"/>
          <w:b/>
          <w:iCs/>
          <w:color w:val="0070C0"/>
          <w:szCs w:val="22"/>
        </w:rPr>
        <w:t>Kontrola doraźna</w:t>
      </w:r>
    </w:p>
    <w:p w14:paraId="752B32D9" w14:textId="77777777" w:rsidR="00CB1AE2" w:rsidRPr="00CB1AE2" w:rsidRDefault="00CB1AE2" w:rsidP="00CB1AE2">
      <w:pPr>
        <w:shd w:val="clear" w:color="auto" w:fill="FFFFFF"/>
      </w:pPr>
    </w:p>
    <w:p w14:paraId="24A54648" w14:textId="047FAF8E" w:rsidR="00591D17" w:rsidRPr="00BC4CD3" w:rsidRDefault="00591D17" w:rsidP="00591D17">
      <w:pPr>
        <w:shd w:val="clear" w:color="auto" w:fill="FFFFFF"/>
      </w:pPr>
      <w:r w:rsidRPr="00BC4CD3">
        <w:t>W 2022 r.</w:t>
      </w:r>
      <w:r w:rsidR="005D65DC">
        <w:t xml:space="preserve"> </w:t>
      </w:r>
      <w:r w:rsidR="005D65DC" w:rsidRPr="005D65DC">
        <w:t>zakończone zostały</w:t>
      </w:r>
      <w:r w:rsidRPr="00BC4CD3">
        <w:t xml:space="preserve"> 192 kontrole doraźne. Wszystkie kontrole doraźne zostały wszczęte na wniosek głównie wykonawców, jak również: instytucji zaangażowanych we wdrażanie programów unijnych, organów ścigania, radnych, związków pracodawców oraz innych podmiotów.</w:t>
      </w:r>
    </w:p>
    <w:p w14:paraId="19E90AC8" w14:textId="77777777" w:rsidR="00BC4CD3" w:rsidRPr="00BC4CD3" w:rsidRDefault="00BC4CD3" w:rsidP="00BC4CD3">
      <w:pPr>
        <w:shd w:val="clear" w:color="auto" w:fill="FFFFFF"/>
      </w:pPr>
    </w:p>
    <w:p w14:paraId="1C4F62BD" w14:textId="77777777" w:rsidR="00BC4CD3" w:rsidRPr="00BC4CD3" w:rsidRDefault="00BC4CD3" w:rsidP="00BC4CD3">
      <w:pPr>
        <w:shd w:val="clear" w:color="auto" w:fill="FFFFFF"/>
      </w:pPr>
      <w:r w:rsidRPr="00BC4CD3">
        <w:t>Postępowania o udzielenie zamówienia publicznego, które zostały poddane kontroli doraźnej były przeprowadzone przede wszystkim przez jednostki sektora finansów publicznych oraz podmioty prawa publicznego.</w:t>
      </w:r>
    </w:p>
    <w:p w14:paraId="2C8BBC76" w14:textId="77777777" w:rsidR="00BC4CD3" w:rsidRPr="00BC4CD3" w:rsidRDefault="00BC4CD3" w:rsidP="00BC4CD3">
      <w:pPr>
        <w:shd w:val="clear" w:color="auto" w:fill="FFFFFF"/>
      </w:pPr>
    </w:p>
    <w:p w14:paraId="07C9BF81" w14:textId="77777777" w:rsidR="00BC4CD3" w:rsidRPr="00BC4CD3" w:rsidRDefault="00BC4CD3" w:rsidP="00BC4CD3">
      <w:pPr>
        <w:shd w:val="clear" w:color="auto" w:fill="FFFFFF"/>
      </w:pPr>
      <w:r w:rsidRPr="00BC4CD3">
        <w:t xml:space="preserve">40 zamówień objętych kontrolą doraźną było współfinansowanych ze środków UE. </w:t>
      </w:r>
    </w:p>
    <w:p w14:paraId="61C47A06" w14:textId="77777777" w:rsidR="00BC4CD3" w:rsidRPr="00BC4CD3" w:rsidRDefault="00BC4CD3" w:rsidP="00BC4CD3">
      <w:pPr>
        <w:shd w:val="clear" w:color="auto" w:fill="FFFFFF"/>
      </w:pPr>
    </w:p>
    <w:p w14:paraId="498A20EE" w14:textId="1E75EE2B" w:rsidR="00BC4CD3" w:rsidRPr="00BC4CD3" w:rsidRDefault="00BC4CD3" w:rsidP="00BC4CD3">
      <w:pPr>
        <w:shd w:val="clear" w:color="auto" w:fill="FFFFFF"/>
      </w:pPr>
      <w:r w:rsidRPr="00BC4CD3">
        <w:t xml:space="preserve">O wynikach kontroli doraźnych zamówień współfinansowanych ze środków UE informowane były instytucje, na wniosek których wszczęto kontrolę, przy czym zawsze informowana była także właściwa instytucja zarządzająca i instytucja pośrednicząca, a w przypadku regionalnych programów operacyjnych </w:t>
      </w:r>
      <w:r w:rsidR="00140169" w:rsidRPr="00140169">
        <w:t>–</w:t>
      </w:r>
      <w:r w:rsidRPr="00BC4CD3">
        <w:t xml:space="preserve"> właściwa instytucja zarządzająca.</w:t>
      </w:r>
    </w:p>
    <w:p w14:paraId="531E21C0" w14:textId="77777777" w:rsidR="00BC4CD3" w:rsidRPr="00BC4CD3" w:rsidRDefault="00BC4CD3" w:rsidP="00BC4CD3">
      <w:pPr>
        <w:shd w:val="clear" w:color="auto" w:fill="FFFFFF"/>
      </w:pPr>
    </w:p>
    <w:p w14:paraId="4601B40B" w14:textId="77777777" w:rsidR="00BC4CD3" w:rsidRPr="00BC4CD3" w:rsidRDefault="00BC4CD3" w:rsidP="00BC4CD3">
      <w:pPr>
        <w:shd w:val="clear" w:color="auto" w:fill="FFFFFF"/>
      </w:pPr>
      <w:bookmarkStart w:id="208" w:name="_Hlk98404064"/>
      <w:r w:rsidRPr="00BC4CD3">
        <w:t xml:space="preserve">W 4 kontrolach doraźnych nie stwierdzono żadnych naruszeń ustawy – Prawo zamówień publicznych. W 152 sprawach, po przeprowadzeniu postępowania wyjaśniającego, stanowiącego wstępny etap kontroli doraźnej, nie stwierdzono podstaw do dalszego prowadzenia kontroli z uwagi na brak uzasadnionego przypuszczenia, iż doszło do naruszenia przepisów ustawy Pzp, które mogło mieć wpływ na wynik postępowania. Pozostałych 36 kontroli wykazało naruszenia mające lub mogące mieć wpływ na wynik postępowania. </w:t>
      </w:r>
      <w:bookmarkEnd w:id="208"/>
      <w:r w:rsidRPr="00BC4CD3">
        <w:t>Naruszenia te dotyczyły m.in. przepisów:</w:t>
      </w:r>
    </w:p>
    <w:p w14:paraId="4A64D60C" w14:textId="65F5AC15" w:rsidR="00BC4CD3" w:rsidRPr="00BC4CD3" w:rsidRDefault="00BC4CD3" w:rsidP="006C4C38">
      <w:pPr>
        <w:numPr>
          <w:ilvl w:val="0"/>
          <w:numId w:val="60"/>
        </w:numPr>
        <w:shd w:val="clear" w:color="auto" w:fill="FFFFFF"/>
        <w:rPr>
          <w:bCs/>
        </w:rPr>
      </w:pPr>
      <w:r w:rsidRPr="00BC4CD3">
        <w:rPr>
          <w:bCs/>
        </w:rPr>
        <w:t xml:space="preserve">art. 29 ust. 1 i 2 oraz art. 30 ust. 1 ustawy Pzp, poprzez zaniechanie łącznego szacowania wartości 7 zadań z zakresu utwardzania masą asfaltobetonową nawierzchni ulic na terenie miejscowości gminnych, a w rezultacie dopuszczenie się przez zamawiającego niedozwolonego podziału zamówienia w celu uniknięcia stosowania przepisów ustawy Pzp, co doprowadziło do zaniechania przygotowania i przeprowadzenia postępowania w sposób zapewniający zachowanie zasady przejrzystości, a także zasady legalizmu, która wyklucza udzielenie zamówienia publicznego wykonawcy, który nie został wybrany zgodnie z przepisami ustawy </w:t>
      </w:r>
      <w:r w:rsidR="00140169" w:rsidRPr="00140169">
        <w:rPr>
          <w:bCs/>
        </w:rPr>
        <w:t>–</w:t>
      </w:r>
      <w:r w:rsidR="00140169">
        <w:rPr>
          <w:bCs/>
        </w:rPr>
        <w:t xml:space="preserve"> </w:t>
      </w:r>
      <w:r w:rsidRPr="00BC4CD3">
        <w:rPr>
          <w:bCs/>
        </w:rPr>
        <w:t>Prawo zamówień publicznych,</w:t>
      </w:r>
    </w:p>
    <w:p w14:paraId="19747236" w14:textId="77777777" w:rsidR="00BC4CD3" w:rsidRPr="00BC4CD3" w:rsidRDefault="00BC4CD3" w:rsidP="006C4C38">
      <w:pPr>
        <w:numPr>
          <w:ilvl w:val="0"/>
          <w:numId w:val="60"/>
        </w:numPr>
        <w:shd w:val="clear" w:color="auto" w:fill="FFFFFF"/>
        <w:rPr>
          <w:bCs/>
        </w:rPr>
      </w:pPr>
      <w:r w:rsidRPr="00BC4CD3">
        <w:rPr>
          <w:bCs/>
        </w:rPr>
        <w:t>art. 226 ust. 1 pkt 2 lit. c ustawy Pzp, poprzez zaniechanie odrzucenia oferty wykonawcy, który nie złożył w przewidzianym terminie przedmiotowego środka dowodowego potwierdzającego, że zaoferowany przez niego asortyment spełnia minimalne wymagania (parametry techniczne) stawiane przez zamawiającego, co doprowadziło do naruszenia zasady równego traktowania wykonawców,</w:t>
      </w:r>
    </w:p>
    <w:p w14:paraId="234E5204" w14:textId="6E933A0D" w:rsidR="00BC4CD3" w:rsidRPr="00BC4CD3" w:rsidRDefault="00BC4CD3" w:rsidP="006C4C38">
      <w:pPr>
        <w:numPr>
          <w:ilvl w:val="0"/>
          <w:numId w:val="60"/>
        </w:numPr>
        <w:shd w:val="clear" w:color="auto" w:fill="FFFFFF"/>
        <w:rPr>
          <w:bCs/>
        </w:rPr>
      </w:pPr>
      <w:r w:rsidRPr="00BC4CD3">
        <w:t>art. 16 ust. 1 w zw. z art. 99 ust. 4</w:t>
      </w:r>
      <w:r w:rsidR="009343A1">
        <w:t xml:space="preserve"> </w:t>
      </w:r>
      <w:r w:rsidRPr="00BC4CD3">
        <w:t xml:space="preserve">i 5 ustawy Pzp, poprzez opisanie przedmiotu zamówienia przy użyciu nazwy systemu charakteryzującego wyłącznie wózki widłowe jednej marki, podczas gdy możliwe było opisanie przedmiotu zamówienia w inny sposób oraz art. 99 ust. 6 ustawy Pzp poprzez wprowadzenie do specyfikacji warunków zamówienia pozornej równoważności </w:t>
      </w:r>
      <w:r w:rsidR="00140169" w:rsidRPr="00140169">
        <w:t>–</w:t>
      </w:r>
      <w:r w:rsidRPr="00BC4CD3">
        <w:t xml:space="preserve"> bez opisania kryteriów tej równoważności, co doprowadziło do ograniczenia konkurencji w postępowaniu o udzielenie zamówienia publicznego,</w:t>
      </w:r>
    </w:p>
    <w:p w14:paraId="0EAD3979" w14:textId="77777777" w:rsidR="00BC4CD3" w:rsidRPr="00BC4CD3" w:rsidRDefault="00BC4CD3" w:rsidP="006C4C38">
      <w:pPr>
        <w:numPr>
          <w:ilvl w:val="0"/>
          <w:numId w:val="60"/>
        </w:numPr>
        <w:shd w:val="clear" w:color="auto" w:fill="FFFFFF"/>
        <w:rPr>
          <w:b/>
          <w:bCs/>
        </w:rPr>
      </w:pPr>
      <w:r w:rsidRPr="00BC4CD3">
        <w:t>art. 454 ust. 1 ustawy Pzp poprzez dokonanie zmiany umowy w sprawie zamówienia publicznego w drodze aneksu, która to zmiana stanowiła istotną zmianę umowy w rozumieniu art. 454 ust. 2 ustawy Pzp, co jednocześnie nie znajdowało oparcia w przepisach w art. 455 ust. 1 pkt 3 ustawy Pzp, w konsekwencji prowadząc do naruszenia art. 17 ust. 2 ustawy Pzp poprzez zaniechanie udzielenia zamówienia publicznego w zakresie obejmującym usługi i roboty budowlane, określone w aneksie, w wyniku przeprowadzenia nowego postępowania o udzielenie zamówienia publicznego, wykonawcy wybranemu zgodnie z przepisami ustawy Pzp,</w:t>
      </w:r>
    </w:p>
    <w:p w14:paraId="4CE1A7CE" w14:textId="77777777" w:rsidR="00D5573C" w:rsidRPr="00BC4CD3" w:rsidRDefault="00D5573C" w:rsidP="00D5573C">
      <w:pPr>
        <w:numPr>
          <w:ilvl w:val="0"/>
          <w:numId w:val="60"/>
        </w:numPr>
        <w:shd w:val="clear" w:color="auto" w:fill="FFFFFF"/>
        <w:rPr>
          <w:bCs/>
        </w:rPr>
      </w:pPr>
      <w:r w:rsidRPr="00BC4CD3">
        <w:rPr>
          <w:bCs/>
        </w:rPr>
        <w:t xml:space="preserve">art. 433 pkt 4 w zw. z art. 99 ust. 1 ustawy Pzp poprzez zawarcie w projektowanych postanowieniach umowy w sprawie zamówienia </w:t>
      </w:r>
      <w:r>
        <w:rPr>
          <w:bCs/>
        </w:rPr>
        <w:t xml:space="preserve">publicznego </w:t>
      </w:r>
      <w:r w:rsidRPr="00BC4CD3">
        <w:rPr>
          <w:bCs/>
        </w:rPr>
        <w:t>zapisów przewidujących możliwość ograniczenia zakresu zamówienia przez zamawiającego bez wskazania minimalnej wartości lub wielkości świadczenia stron,</w:t>
      </w:r>
    </w:p>
    <w:p w14:paraId="7C07F355" w14:textId="466CE231" w:rsidR="00BC4CD3" w:rsidRPr="00BC4CD3" w:rsidRDefault="00BC4CD3" w:rsidP="006C4C38">
      <w:pPr>
        <w:numPr>
          <w:ilvl w:val="0"/>
          <w:numId w:val="60"/>
        </w:numPr>
        <w:shd w:val="clear" w:color="auto" w:fill="FFFFFF"/>
      </w:pPr>
      <w:r w:rsidRPr="00BC4CD3">
        <w:rPr>
          <w:lang w:bidi="pl-PL"/>
        </w:rPr>
        <w:t xml:space="preserve">art. 16 pkt 1 i 2 w związku z art. 239 oraz </w:t>
      </w:r>
      <w:r w:rsidR="00FB02B4">
        <w:rPr>
          <w:lang w:bidi="pl-PL"/>
        </w:rPr>
        <w:t xml:space="preserve">art. </w:t>
      </w:r>
      <w:r w:rsidRPr="00BC4CD3">
        <w:rPr>
          <w:lang w:bidi="pl-PL"/>
        </w:rPr>
        <w:t xml:space="preserve">240 ustawy Pzp poprzez prowadzenie postępowania o udzielenie zamówienia publicznego w sposób nieprzejrzysty oraz niezapewniający zachowania zasady równego traktowania wykonawców, z powodu </w:t>
      </w:r>
      <w:r w:rsidRPr="00BC4CD3">
        <w:t xml:space="preserve">określenia wewnętrznie sprzecznych postanowień treści SWZ dotyczących sposobu ustalania punktacji ofert w ramach kryterium „ilość środków transportu”, oraz w konsekwencji </w:t>
      </w:r>
      <w:r w:rsidRPr="00BC4CD3">
        <w:rPr>
          <w:lang w:bidi="pl-PL"/>
        </w:rPr>
        <w:t xml:space="preserve">art. 255 pkt 6 Pzp poprzez zaniechanie unieważnienia </w:t>
      </w:r>
      <w:r w:rsidRPr="00BC4CD3">
        <w:t>postępowania obarczonego niemożliwą do usunięcia wadą, uniemożliwiającą zawarcie niepodlegającej unieważnieniu umowy w sprawie zamó</w:t>
      </w:r>
      <w:r w:rsidR="00455DB7">
        <w:t>wienia publicznego,</w:t>
      </w:r>
    </w:p>
    <w:p w14:paraId="580F0BB9" w14:textId="77777777" w:rsidR="00BC4CD3" w:rsidRPr="00BC4CD3" w:rsidRDefault="00BC4CD3" w:rsidP="006C4C38">
      <w:pPr>
        <w:numPr>
          <w:ilvl w:val="0"/>
          <w:numId w:val="60"/>
        </w:numPr>
        <w:shd w:val="clear" w:color="auto" w:fill="FFFFFF"/>
      </w:pPr>
      <w:r w:rsidRPr="00BC4CD3">
        <w:t>art. 107 ust. 2 ustawy Pzp poprzez niezgodne z dyspozycją tego przepisu uzupełnienie przedmiotowych środków dowodowych,</w:t>
      </w:r>
    </w:p>
    <w:p w14:paraId="54419E2F" w14:textId="1F54C131" w:rsidR="00BC4CD3" w:rsidRPr="00BC4CD3" w:rsidRDefault="00BC4CD3" w:rsidP="006C4C38">
      <w:pPr>
        <w:numPr>
          <w:ilvl w:val="0"/>
          <w:numId w:val="60"/>
        </w:numPr>
        <w:shd w:val="clear" w:color="auto" w:fill="FFFFFF"/>
      </w:pPr>
      <w:r w:rsidRPr="00BC4CD3">
        <w:t>art. 223 ust. 2 pkt 3 ustawy Pzp poprzez niezgodne z dyspozycją tego przepisu poprawienie omyłek w treści oferty wykonawcy, która powinna zostać odrzucona przez zamawiającego na podstawie art. 226 ust. 1 pkt 5</w:t>
      </w:r>
      <w:r w:rsidR="007C4D92">
        <w:t xml:space="preserve"> </w:t>
      </w:r>
      <w:r w:rsidRPr="00BC4CD3">
        <w:t>ustawy Pzp jako niezgodna z treścią warunków zamówienia,</w:t>
      </w:r>
    </w:p>
    <w:p w14:paraId="745E5314" w14:textId="2180E674" w:rsidR="00BC4CD3" w:rsidRPr="00BC4CD3" w:rsidRDefault="00BC4CD3" w:rsidP="006C4C38">
      <w:pPr>
        <w:numPr>
          <w:ilvl w:val="0"/>
          <w:numId w:val="60"/>
        </w:numPr>
        <w:shd w:val="clear" w:color="auto" w:fill="FFFFFF"/>
      </w:pPr>
      <w:r w:rsidRPr="00BC4CD3">
        <w:t xml:space="preserve">art. 128 ust. 1 ustawy Pzp, poprzez zaniechanie wezwania wykonawcy do uzupełnienia dokumentu potwierdzającego, że wykonawca ten jest ubezpieczony od odpowiedzialności cywilnej w zakresie prowadzonej działalności związanej z przedmiotem zamówienia na sumę gwarancyjną określoną przez zamawiającego, a w konsekwencji art. 226 ust. 1 pkt 2 lit b ustawy Pzp, poprzez zaniechanie odrzucenia oferty wykonawcy, który nie spełniał ww. warunku udziału w postępowaniu, </w:t>
      </w:r>
    </w:p>
    <w:p w14:paraId="61A61695" w14:textId="77777777" w:rsidR="00BC4CD3" w:rsidRPr="00BC4CD3" w:rsidRDefault="00BC4CD3" w:rsidP="006C4C38">
      <w:pPr>
        <w:numPr>
          <w:ilvl w:val="0"/>
          <w:numId w:val="60"/>
        </w:numPr>
        <w:shd w:val="clear" w:color="auto" w:fill="FFFFFF"/>
      </w:pPr>
      <w:r w:rsidRPr="00BC4CD3">
        <w:t>art. 16 ust. 1 w zw. z art. 240 ust. 2 w zw. z art. 242 ust 2 ustawy Pzp z uwagi na określenie w dokumentach zamówienia kryterium oceny ofert o nazwie „rodzaj materiałów eksploatacyjnych” o wadze 60%, które faworyzuje materiały konkretnego pochodzenia poprzez przyznawanie wyłącznie punktów za materiały „oryginalne” przy jednoczesnym zaniechaniu przyznawania punktów za materiały równoważne, co faktycznie pozbawiło wykonawców oferujących materiały inne niż pochodzące od określonych producentów możliwości konkurowania o udzielenie zamówienia,</w:t>
      </w:r>
    </w:p>
    <w:p w14:paraId="76587CAE" w14:textId="20505FFD" w:rsidR="00D5573C" w:rsidRPr="00BC4CD3" w:rsidRDefault="00D5573C" w:rsidP="00D5573C">
      <w:pPr>
        <w:numPr>
          <w:ilvl w:val="0"/>
          <w:numId w:val="60"/>
        </w:numPr>
        <w:shd w:val="clear" w:color="auto" w:fill="FFFFFF"/>
      </w:pPr>
      <w:r w:rsidRPr="00BC4CD3">
        <w:t xml:space="preserve">naruszenie art. 226 ust. 1 pkt 7 oraz art. 17 ust. 2 ustawy Pzp, polegające na zaniechaniu odrzucenia oferty wykonawcy, która została złożona w warunkach czynu nieuczciwej konkurencji w rozumieniu </w:t>
      </w:r>
      <w:r w:rsidRPr="00BC4CD3">
        <w:rPr>
          <w:bCs/>
        </w:rPr>
        <w:t xml:space="preserve">art. 15 ust. 4 pkt 1 </w:t>
      </w:r>
      <w:r w:rsidRPr="00BC4CD3">
        <w:t xml:space="preserve">ustawy z dnia 16 kwietnia 1993 r. o zwalczaniu nieuczciwej konkurencji (Dz. U. </w:t>
      </w:r>
      <w:r w:rsidR="00F82181">
        <w:t xml:space="preserve">z </w:t>
      </w:r>
      <w:r w:rsidRPr="00BC4CD3">
        <w:t>202</w:t>
      </w:r>
      <w:r w:rsidR="00C0035D">
        <w:t>2</w:t>
      </w:r>
      <w:r w:rsidRPr="00BC4CD3">
        <w:t xml:space="preserve"> </w:t>
      </w:r>
      <w:r w:rsidR="00F82181">
        <w:t xml:space="preserve">r. </w:t>
      </w:r>
      <w:r w:rsidRPr="00BC4CD3">
        <w:t>poz. 1</w:t>
      </w:r>
      <w:r w:rsidR="00561B41">
        <w:t>233</w:t>
      </w:r>
      <w:r w:rsidRPr="00BC4CD3">
        <w:t xml:space="preserve">), polegającego na </w:t>
      </w:r>
      <w:r w:rsidRPr="00BC4CD3">
        <w:rPr>
          <w:bCs/>
        </w:rPr>
        <w:t>zaoferowaniu bonów towarowych za cenę niższą niż ich wartość nominalna,</w:t>
      </w:r>
      <w:r w:rsidRPr="00BC4CD3">
        <w:t xml:space="preserve"> a w konsekwencji udzieleniu zamówienia wykonawcy wybranemu niezgodnie z przepisami ustawy Pzp,</w:t>
      </w:r>
    </w:p>
    <w:p w14:paraId="5659CF18" w14:textId="4C55E388" w:rsidR="00D5573C" w:rsidRPr="00BC4CD3" w:rsidRDefault="00D5573C" w:rsidP="00D5573C">
      <w:pPr>
        <w:numPr>
          <w:ilvl w:val="0"/>
          <w:numId w:val="60"/>
        </w:numPr>
        <w:shd w:val="clear" w:color="auto" w:fill="FFFFFF"/>
        <w:rPr>
          <w:bCs/>
        </w:rPr>
      </w:pPr>
      <w:r w:rsidRPr="00BC4CD3">
        <w:rPr>
          <w:bCs/>
        </w:rPr>
        <w:t>naruszenie przez zamawiającego przepisu art. 276 ust. 1 w zw</w:t>
      </w:r>
      <w:r>
        <w:rPr>
          <w:bCs/>
        </w:rPr>
        <w:t>.</w:t>
      </w:r>
      <w:r w:rsidRPr="00BC4CD3">
        <w:rPr>
          <w:bCs/>
        </w:rPr>
        <w:t xml:space="preserve"> z art. 16 </w:t>
      </w:r>
      <w:r w:rsidRPr="00BC4CD3">
        <w:rPr>
          <w:bCs/>
        </w:rPr>
        <w:br/>
        <w:t>pkt 1 i 2 oraz art. 17 ust. 2 ustawy Pzp poprzez zaniechanie zamieszczenia obowiązkowego ogłoszenia o zamówieniu w Biuletynie Zamówień Publicznych,</w:t>
      </w:r>
    </w:p>
    <w:p w14:paraId="4E6AB96A" w14:textId="67521240" w:rsidR="00D5573C" w:rsidRPr="00BC4CD3" w:rsidRDefault="00D5573C" w:rsidP="00D5573C">
      <w:pPr>
        <w:numPr>
          <w:ilvl w:val="0"/>
          <w:numId w:val="60"/>
        </w:numPr>
        <w:shd w:val="clear" w:color="auto" w:fill="FFFFFF"/>
        <w:rPr>
          <w:bCs/>
        </w:rPr>
      </w:pPr>
      <w:r w:rsidRPr="00BC4CD3">
        <w:rPr>
          <w:bCs/>
        </w:rPr>
        <w:t>art. 286 ust. 9 w zw</w:t>
      </w:r>
      <w:r>
        <w:rPr>
          <w:bCs/>
        </w:rPr>
        <w:t>.</w:t>
      </w:r>
      <w:r w:rsidRPr="00BC4CD3">
        <w:rPr>
          <w:bCs/>
        </w:rPr>
        <w:t xml:space="preserve"> z art. 16 pkt 1 i 2 ustawy Pzp poprzez zaniechanie zamieszczenia ogłoszenia o zmianie ogłoszenia w Biuletynie Zamówień Publicznych w związku ze zmianą treści </w:t>
      </w:r>
      <w:r>
        <w:rPr>
          <w:bCs/>
        </w:rPr>
        <w:t>s</w:t>
      </w:r>
      <w:r w:rsidRPr="00BC4CD3">
        <w:rPr>
          <w:bCs/>
        </w:rPr>
        <w:t xml:space="preserve">pecyfikacji </w:t>
      </w:r>
      <w:r>
        <w:rPr>
          <w:bCs/>
        </w:rPr>
        <w:t>w</w:t>
      </w:r>
      <w:r w:rsidRPr="00BC4CD3">
        <w:rPr>
          <w:bCs/>
        </w:rPr>
        <w:t xml:space="preserve">arunków </w:t>
      </w:r>
      <w:r>
        <w:rPr>
          <w:bCs/>
        </w:rPr>
        <w:t>z</w:t>
      </w:r>
      <w:r w:rsidRPr="00BC4CD3">
        <w:rPr>
          <w:bCs/>
        </w:rPr>
        <w:t>amówienia, co skutkowało naruszeniem zasad uczciwej konkurencji, równego traktowania wykonawców i przejrzystości postępowania.</w:t>
      </w:r>
    </w:p>
    <w:p w14:paraId="6F57EE59" w14:textId="16050547" w:rsidR="00D5573C" w:rsidRPr="00BC4CD3" w:rsidRDefault="00D5573C" w:rsidP="00D5573C">
      <w:pPr>
        <w:numPr>
          <w:ilvl w:val="0"/>
          <w:numId w:val="60"/>
        </w:numPr>
        <w:shd w:val="clear" w:color="auto" w:fill="FFFFFF"/>
        <w:rPr>
          <w:bCs/>
        </w:rPr>
      </w:pPr>
      <w:r w:rsidRPr="00BC4CD3">
        <w:rPr>
          <w:bCs/>
        </w:rPr>
        <w:t>art. 305 pkt 1 w zw</w:t>
      </w:r>
      <w:r>
        <w:rPr>
          <w:bCs/>
        </w:rPr>
        <w:t>.</w:t>
      </w:r>
      <w:r w:rsidRPr="00BC4CD3">
        <w:rPr>
          <w:bCs/>
        </w:rPr>
        <w:t xml:space="preserve"> z art. 214 ust. 1 pkt 1 lit. a w zw</w:t>
      </w:r>
      <w:r>
        <w:rPr>
          <w:bCs/>
        </w:rPr>
        <w:t>.</w:t>
      </w:r>
      <w:r w:rsidRPr="00BC4CD3">
        <w:rPr>
          <w:bCs/>
        </w:rPr>
        <w:t xml:space="preserve"> z art. 16 ustawy Pzp, poprzez zastosowanie trybu zamówienia z wolnej ręki bez zaistnienia ustawowych przesłanek, czym Zamawiający naruszył zasady uczciwej konkurencji i równego traktowania wykonawców,</w:t>
      </w:r>
    </w:p>
    <w:p w14:paraId="1B5FBA2E" w14:textId="77777777" w:rsidR="00D5573C" w:rsidRPr="00BC4CD3" w:rsidRDefault="00D5573C" w:rsidP="00D5573C">
      <w:pPr>
        <w:numPr>
          <w:ilvl w:val="0"/>
          <w:numId w:val="60"/>
        </w:numPr>
        <w:shd w:val="clear" w:color="auto" w:fill="FFFFFF"/>
        <w:rPr>
          <w:bCs/>
        </w:rPr>
      </w:pPr>
      <w:r w:rsidRPr="00BC4CD3">
        <w:rPr>
          <w:bCs/>
        </w:rPr>
        <w:t>art. 309 ust. 1 ustawy Pzp poprzez zaniechanie zamieszczenia w Biuletynie Zamówień Publicznych ogłoszenia o wyniku postępowania zawierającego informację o ud</w:t>
      </w:r>
      <w:r>
        <w:rPr>
          <w:bCs/>
        </w:rPr>
        <w:t>zieleniu zamówienia publicznego,</w:t>
      </w:r>
    </w:p>
    <w:p w14:paraId="42763547" w14:textId="11DCA919" w:rsidR="00D5573C" w:rsidRPr="00BC4CD3" w:rsidRDefault="00D5573C" w:rsidP="00D5573C">
      <w:pPr>
        <w:numPr>
          <w:ilvl w:val="0"/>
          <w:numId w:val="60"/>
        </w:numPr>
        <w:shd w:val="clear" w:color="auto" w:fill="FFFFFF"/>
      </w:pPr>
      <w:r w:rsidRPr="00BC4CD3">
        <w:rPr>
          <w:lang w:bidi="pl-PL"/>
        </w:rPr>
        <w:t>art. 343 ust. 3 pkt 2 w zw</w:t>
      </w:r>
      <w:r>
        <w:rPr>
          <w:lang w:bidi="pl-PL"/>
        </w:rPr>
        <w:t>.</w:t>
      </w:r>
      <w:r w:rsidRPr="00BC4CD3">
        <w:rPr>
          <w:lang w:bidi="pl-PL"/>
        </w:rPr>
        <w:t xml:space="preserve"> z art. 16 pkt 1 ustawy Pzp poprzez zaniechanie odrzucenia wniosku o dopuszczenie do udziału w konkursie złożonego przez uczestnika konkursu, który nie wykazał spełnienia wymagania zamawiającego wskazanego w treści ogłoszenia o konkursie oraz w treści regulaminu konkursu, co skutkowało naruszeniem zasad równego traktowania wy</w:t>
      </w:r>
      <w:r>
        <w:rPr>
          <w:lang w:bidi="pl-PL"/>
        </w:rPr>
        <w:t>konawców i uczciwej konkurencji,</w:t>
      </w:r>
    </w:p>
    <w:p w14:paraId="4BE6B1F8" w14:textId="0A85F1A0" w:rsidR="00D5573C" w:rsidRPr="00BC4CD3" w:rsidRDefault="00D5573C" w:rsidP="00D5573C">
      <w:pPr>
        <w:numPr>
          <w:ilvl w:val="0"/>
          <w:numId w:val="60"/>
        </w:numPr>
        <w:shd w:val="clear" w:color="auto" w:fill="FFFFFF"/>
        <w:rPr>
          <w:bCs/>
        </w:rPr>
      </w:pPr>
      <w:r w:rsidRPr="00BC4CD3">
        <w:rPr>
          <w:bCs/>
        </w:rPr>
        <w:t>art. 67 ust. 1 pkt 12 w zw. z art. 67 ust. 1 pkt 15 i art. 7 ust. 1 ustawy Pzp</w:t>
      </w:r>
      <w:r>
        <w:rPr>
          <w:bCs/>
        </w:rPr>
        <w:t xml:space="preserve"> </w:t>
      </w:r>
      <w:r w:rsidRPr="00BC4CD3">
        <w:rPr>
          <w:bCs/>
        </w:rPr>
        <w:t>2004 poprzez bezpodstawne udzielenie w trybie zamówienia z wolnej ręki w ramach instytucji tzw. in-house spółce kontrolowanej wyłącznie przez gminę X- zamówienia publicznego przejętego od innej gminy Y w dro</w:t>
      </w:r>
      <w:r>
        <w:rPr>
          <w:bCs/>
        </w:rPr>
        <w:t>dze porozumienia międzygminnego,</w:t>
      </w:r>
    </w:p>
    <w:p w14:paraId="6C465461" w14:textId="77777777" w:rsidR="00D5573C" w:rsidRPr="00BC4CD3" w:rsidRDefault="00D5573C" w:rsidP="00D5573C">
      <w:pPr>
        <w:numPr>
          <w:ilvl w:val="0"/>
          <w:numId w:val="60"/>
        </w:numPr>
        <w:shd w:val="clear" w:color="auto" w:fill="FFFFFF"/>
      </w:pPr>
      <w:r w:rsidRPr="00BC4CD3">
        <w:t>art. 7 ust. 3 ustawy Pzp</w:t>
      </w:r>
      <w:r>
        <w:t xml:space="preserve"> </w:t>
      </w:r>
      <w:r w:rsidRPr="00BC4CD3">
        <w:t xml:space="preserve">2004 poprzez udzielenie zamówienia publicznego wykonawcy, który nie został wybrany na zasadach określonych w ustawie </w:t>
      </w:r>
      <w:r w:rsidRPr="0049573D">
        <w:t>–</w:t>
      </w:r>
      <w:r>
        <w:t xml:space="preserve"> </w:t>
      </w:r>
      <w:r w:rsidRPr="00BC4CD3">
        <w:t>Prawo zamówień publicznych, w jednym z trybów określonych w art. 10 ustawy Pzp</w:t>
      </w:r>
      <w:r>
        <w:t xml:space="preserve"> </w:t>
      </w:r>
      <w:r w:rsidRPr="00BC4CD3">
        <w:t>2004, przez spółdzielnię socjalną, mającą status zamawiającego w rozumieniu art. 3 ust. 1 pkt 3 ustawy Pzp</w:t>
      </w:r>
      <w:r>
        <w:t xml:space="preserve"> 2004,</w:t>
      </w:r>
    </w:p>
    <w:p w14:paraId="611FEC8C" w14:textId="25CB7F58" w:rsidR="00D5573C" w:rsidRPr="00BC4CD3" w:rsidRDefault="00D5573C" w:rsidP="00D5573C">
      <w:pPr>
        <w:numPr>
          <w:ilvl w:val="0"/>
          <w:numId w:val="60"/>
        </w:numPr>
        <w:shd w:val="clear" w:color="auto" w:fill="FFFFFF"/>
        <w:rPr>
          <w:bCs/>
        </w:rPr>
      </w:pPr>
      <w:r w:rsidRPr="00BC4CD3">
        <w:rPr>
          <w:bCs/>
        </w:rPr>
        <w:t>art. 89 ust. 1 pkt 6 ustaw</w:t>
      </w:r>
      <w:r>
        <w:rPr>
          <w:bCs/>
        </w:rPr>
        <w:t>y</w:t>
      </w:r>
      <w:r w:rsidRPr="00BC4CD3">
        <w:rPr>
          <w:bCs/>
        </w:rPr>
        <w:t xml:space="preserve"> Pzp</w:t>
      </w:r>
      <w:r>
        <w:rPr>
          <w:bCs/>
        </w:rPr>
        <w:t xml:space="preserve"> </w:t>
      </w:r>
      <w:r w:rsidRPr="00BC4CD3">
        <w:rPr>
          <w:bCs/>
        </w:rPr>
        <w:t>2004 poprzez zaniechanie odrzucenia oferty wspólnie ubiegających się o udzielenie zamówienia wykonawców pomimo zaistnienia błędu w obliczeniu ceny,</w:t>
      </w:r>
    </w:p>
    <w:p w14:paraId="20C29280" w14:textId="77777777" w:rsidR="00D5573C" w:rsidRPr="00BC4CD3" w:rsidRDefault="00D5573C" w:rsidP="00D5573C">
      <w:pPr>
        <w:numPr>
          <w:ilvl w:val="0"/>
          <w:numId w:val="60"/>
        </w:numPr>
        <w:shd w:val="clear" w:color="auto" w:fill="FFFFFF"/>
        <w:rPr>
          <w:bCs/>
        </w:rPr>
      </w:pPr>
      <w:r w:rsidRPr="00BC4CD3">
        <w:rPr>
          <w:bCs/>
        </w:rPr>
        <w:t>art. 5c ust. 1 ustawy Pzp</w:t>
      </w:r>
      <w:r>
        <w:rPr>
          <w:bCs/>
        </w:rPr>
        <w:t xml:space="preserve"> </w:t>
      </w:r>
      <w:r w:rsidRPr="00BC4CD3">
        <w:rPr>
          <w:bCs/>
        </w:rPr>
        <w:t>2004 poprzez niestosowanie do udzielenia zamówienia przepisów dotyczących tego rodzaju zamówienia, który odpowiada jego głównemu przedmiotowi, a w konsekwencji: naruszenie art. 40 ust. 3 ustawy Pzp</w:t>
      </w:r>
      <w:r>
        <w:rPr>
          <w:bCs/>
        </w:rPr>
        <w:t xml:space="preserve"> </w:t>
      </w:r>
      <w:r w:rsidRPr="00BC4CD3">
        <w:rPr>
          <w:bCs/>
        </w:rPr>
        <w:t>2004 poprzez zaniechanie przekazania ogłoszenia o zamówieniu Urzędowi Publikacji Unii Europejskiej, art. 43 ust. 2 ustawy Pzp</w:t>
      </w:r>
      <w:r>
        <w:rPr>
          <w:bCs/>
        </w:rPr>
        <w:t xml:space="preserve"> </w:t>
      </w:r>
      <w:r w:rsidRPr="00BC4CD3">
        <w:rPr>
          <w:bCs/>
        </w:rPr>
        <w:t>2004 poprzez ustalenie terminu składania ofert krótszego aniżeli 35 dni, art. 94 ust. 1 pkt 1 ustawy Pzp</w:t>
      </w:r>
      <w:r>
        <w:rPr>
          <w:bCs/>
        </w:rPr>
        <w:t xml:space="preserve"> </w:t>
      </w:r>
      <w:r w:rsidRPr="00BC4CD3">
        <w:rPr>
          <w:bCs/>
        </w:rPr>
        <w:t>2004 poprzez zawarcie umowy w sprawie zamówienia publicznego przed upływem 15-dniowego terminu od dnia przesłania zawiadomienia o wyborze najkorzystniejszej oferty, art. 95 ust. 2 ustawy Pzp</w:t>
      </w:r>
      <w:r>
        <w:rPr>
          <w:bCs/>
        </w:rPr>
        <w:t xml:space="preserve"> </w:t>
      </w:r>
      <w:r w:rsidRPr="00BC4CD3">
        <w:rPr>
          <w:bCs/>
        </w:rPr>
        <w:t>2004 poprzez zaniechanie przekazania ogłoszenia o udzieleniu zamówienia Urzędowi Publikacji Unii Europejskiej,</w:t>
      </w:r>
    </w:p>
    <w:p w14:paraId="637AF198" w14:textId="77777777" w:rsidR="00D5573C" w:rsidRPr="00BC4CD3" w:rsidRDefault="00D5573C" w:rsidP="00D5573C">
      <w:pPr>
        <w:numPr>
          <w:ilvl w:val="0"/>
          <w:numId w:val="60"/>
        </w:numPr>
        <w:shd w:val="clear" w:color="auto" w:fill="FFFFFF"/>
        <w:rPr>
          <w:bCs/>
        </w:rPr>
      </w:pPr>
      <w:r w:rsidRPr="00BC4CD3">
        <w:rPr>
          <w:bCs/>
        </w:rPr>
        <w:t>art. 32 ust. 4 ustawy Pzp</w:t>
      </w:r>
      <w:r>
        <w:rPr>
          <w:bCs/>
        </w:rPr>
        <w:t xml:space="preserve"> </w:t>
      </w:r>
      <w:r w:rsidRPr="00BC4CD3">
        <w:rPr>
          <w:bCs/>
        </w:rPr>
        <w:t>2004 poprzez zaniechanie u</w:t>
      </w:r>
      <w:r>
        <w:rPr>
          <w:bCs/>
        </w:rPr>
        <w:t>stalenia wartości zamówienia z </w:t>
      </w:r>
      <w:r w:rsidRPr="00BC4CD3">
        <w:rPr>
          <w:bCs/>
        </w:rPr>
        <w:t>uwzględnieniem łącznej wartości poszczególnych części zamówienia przy udzielaniu zamówienia w częściach, z których każda stanowiła p</w:t>
      </w:r>
      <w:r>
        <w:rPr>
          <w:bCs/>
        </w:rPr>
        <w:t>rzedmiot odrębnego postępowania,</w:t>
      </w:r>
    </w:p>
    <w:p w14:paraId="7E933DCA" w14:textId="611C1896" w:rsidR="00D5573C" w:rsidRPr="00BC4CD3" w:rsidRDefault="00D5573C" w:rsidP="00D5573C">
      <w:pPr>
        <w:numPr>
          <w:ilvl w:val="0"/>
          <w:numId w:val="60"/>
        </w:numPr>
        <w:shd w:val="clear" w:color="auto" w:fill="FFFFFF"/>
      </w:pPr>
      <w:r w:rsidRPr="00BC4CD3">
        <w:t>art. 22 ust. 2 pkt 2 i ust. 2a w zw</w:t>
      </w:r>
      <w:r>
        <w:t>.</w:t>
      </w:r>
      <w:r w:rsidRPr="00BC4CD3">
        <w:t xml:space="preserve"> z art. 7 ust. 1 ustawy Pzp</w:t>
      </w:r>
      <w:r>
        <w:t xml:space="preserve"> </w:t>
      </w:r>
      <w:r w:rsidRPr="00BC4CD3">
        <w:t>2004 poprzez zastrzeżenie w ogłoszeniu o zamówieniu, że o udzielenie zamówienia mogą ubiegać się wyłącznie wykonawcy zatrudniający osoby należące do grupy określonej w art. 22 ust. 2 pkt 2 ustawy Pzp</w:t>
      </w:r>
      <w:r>
        <w:t xml:space="preserve"> </w:t>
      </w:r>
      <w:r w:rsidRPr="00BC4CD3">
        <w:t>2004 w wysokości 100%, co stanowiło na gruncie kontrolowanego zamówienia warunek ograniczający konkurencję i niezg</w:t>
      </w:r>
      <w:r>
        <w:t>odny z zasadą proporcjonalności,</w:t>
      </w:r>
    </w:p>
    <w:p w14:paraId="71B66BF6" w14:textId="3598FB52" w:rsidR="00D5573C" w:rsidRPr="00BC4CD3" w:rsidRDefault="00D5573C" w:rsidP="00D5573C">
      <w:pPr>
        <w:numPr>
          <w:ilvl w:val="0"/>
          <w:numId w:val="60"/>
        </w:numPr>
        <w:shd w:val="clear" w:color="auto" w:fill="FFFFFF"/>
      </w:pPr>
      <w:r w:rsidRPr="00BC4CD3">
        <w:t>art. 67 ust. 1 pkt 3 ustawy Pzp</w:t>
      </w:r>
      <w:r>
        <w:t xml:space="preserve"> </w:t>
      </w:r>
      <w:r w:rsidRPr="00BC4CD3">
        <w:t>2004 w zw</w:t>
      </w:r>
      <w:r>
        <w:t>.</w:t>
      </w:r>
      <w:r w:rsidRPr="00BC4CD3">
        <w:t xml:space="preserve"> z art. 7 ust. 1 oraz art. 10 ustawy Pzp</w:t>
      </w:r>
      <w:r>
        <w:t xml:space="preserve"> </w:t>
      </w:r>
      <w:r w:rsidRPr="00BC4CD3">
        <w:t>2004 poprzez zastosowanie trybu zamówienia z wolnej ręki bez zaistnienia ustawowych przesłanek, czym zamawiający naruszył zasady uczciwej konkurencji i równego traktowania wykonawców oraz zasa</w:t>
      </w:r>
      <w:r>
        <w:t>dę prymatu trybów przetargowych,</w:t>
      </w:r>
    </w:p>
    <w:p w14:paraId="7E58A6B0" w14:textId="77777777" w:rsidR="00D5573C" w:rsidRPr="00BC4CD3" w:rsidRDefault="00D5573C" w:rsidP="00D5573C">
      <w:pPr>
        <w:numPr>
          <w:ilvl w:val="0"/>
          <w:numId w:val="60"/>
        </w:numPr>
        <w:shd w:val="clear" w:color="auto" w:fill="FFFFFF"/>
        <w:rPr>
          <w:bCs/>
        </w:rPr>
      </w:pPr>
      <w:r w:rsidRPr="00BC4CD3">
        <w:rPr>
          <w:bCs/>
        </w:rPr>
        <w:t>art. 90 ust. 3 w związku z art. 89 ust. 1 pkt 4 oraz art. 90 ust. 2 ustawy Pzp</w:t>
      </w:r>
      <w:r>
        <w:rPr>
          <w:bCs/>
        </w:rPr>
        <w:t xml:space="preserve"> </w:t>
      </w:r>
      <w:r w:rsidRPr="00BC4CD3">
        <w:rPr>
          <w:bCs/>
        </w:rPr>
        <w:t>2004 poprzez zaniechanie odrzucenia oferty wykonawcy, podczas gdy oferta tego wykonawcy zawierała rażąco niską cenę w stosunku do przedmiotu zamówienia,</w:t>
      </w:r>
    </w:p>
    <w:p w14:paraId="29FFA48D" w14:textId="36734BCB" w:rsidR="00D5573C" w:rsidRPr="00BC4CD3" w:rsidRDefault="00D5573C" w:rsidP="00D5573C">
      <w:pPr>
        <w:numPr>
          <w:ilvl w:val="0"/>
          <w:numId w:val="60"/>
        </w:numPr>
        <w:shd w:val="clear" w:color="auto" w:fill="FFFFFF"/>
        <w:rPr>
          <w:bCs/>
        </w:rPr>
      </w:pPr>
      <w:r w:rsidRPr="00BC4CD3">
        <w:rPr>
          <w:bCs/>
        </w:rPr>
        <w:t>art. 89 ust. 1 pkt 2 oraz pkt 6 ustawy Pzp</w:t>
      </w:r>
      <w:r>
        <w:rPr>
          <w:bCs/>
        </w:rPr>
        <w:t xml:space="preserve"> </w:t>
      </w:r>
      <w:r w:rsidRPr="00BC4CD3">
        <w:rPr>
          <w:bCs/>
        </w:rPr>
        <w:t xml:space="preserve">2004 </w:t>
      </w:r>
      <w:bookmarkStart w:id="209" w:name="_Hlk89264834"/>
      <w:r w:rsidRPr="00BC4CD3">
        <w:rPr>
          <w:bCs/>
        </w:rPr>
        <w:t>poprzez zaniechanie odrzucenia oferty wykonawcy, podczas gdy jej treść nie odpowiadała treści specyfikacji istotnych warunków zamówienia oraz zawierała błąd w obliczeniu ceny</w:t>
      </w:r>
      <w:bookmarkEnd w:id="209"/>
      <w:r w:rsidRPr="00BC4CD3">
        <w:rPr>
          <w:bCs/>
        </w:rPr>
        <w:t>,</w:t>
      </w:r>
    </w:p>
    <w:p w14:paraId="4F587D61" w14:textId="4ACDAF45" w:rsidR="00D5573C" w:rsidRPr="00BC4CD3" w:rsidRDefault="00D5573C" w:rsidP="00D5573C">
      <w:pPr>
        <w:numPr>
          <w:ilvl w:val="0"/>
          <w:numId w:val="60"/>
        </w:numPr>
        <w:shd w:val="clear" w:color="auto" w:fill="FFFFFF"/>
        <w:rPr>
          <w:bCs/>
        </w:rPr>
      </w:pPr>
      <w:r w:rsidRPr="00BC4CD3">
        <w:rPr>
          <w:bCs/>
        </w:rPr>
        <w:t>art. 5b pkt 2 w zw</w:t>
      </w:r>
      <w:r>
        <w:rPr>
          <w:bCs/>
        </w:rPr>
        <w:t>.</w:t>
      </w:r>
      <w:r w:rsidRPr="00BC4CD3">
        <w:rPr>
          <w:bCs/>
        </w:rPr>
        <w:t xml:space="preserve"> z art. 32 ust. 2 ustawy Pzp</w:t>
      </w:r>
      <w:r>
        <w:rPr>
          <w:bCs/>
        </w:rPr>
        <w:t xml:space="preserve"> </w:t>
      </w:r>
      <w:r w:rsidRPr="00BC4CD3">
        <w:rPr>
          <w:bCs/>
        </w:rPr>
        <w:t>2004 poprzez podział zamówienia na odrębne zamówienia w celu uniknięcia łącznego szacowania ich wartości i niestosowania przepisów ustawy Pzp</w:t>
      </w:r>
      <w:r>
        <w:rPr>
          <w:bCs/>
        </w:rPr>
        <w:t xml:space="preserve"> </w:t>
      </w:r>
      <w:r w:rsidRPr="00BC4CD3">
        <w:rPr>
          <w:bCs/>
        </w:rPr>
        <w:t>2004 do ich udzielenia, a w konsekwencji – naruszenie art. 7 ust. 1 i 3 ustawy Pzp</w:t>
      </w:r>
      <w:r>
        <w:rPr>
          <w:bCs/>
        </w:rPr>
        <w:t xml:space="preserve"> </w:t>
      </w:r>
      <w:r w:rsidRPr="00BC4CD3">
        <w:rPr>
          <w:bCs/>
        </w:rPr>
        <w:t xml:space="preserve">2004 poprzez zaniechanie przygotowania i przeprowadzenia postępowania w sposób zapewniający zachowanie zasady przejrzystości, a także zasady legalizmu, która wyklucza udzielenie zamówienia publicznego wykonawcy, który nie został wybrany zgodnie z przepisami ustawy </w:t>
      </w:r>
      <w:r w:rsidRPr="00C37010">
        <w:rPr>
          <w:bCs/>
        </w:rPr>
        <w:t>–</w:t>
      </w:r>
      <w:r>
        <w:rPr>
          <w:bCs/>
        </w:rPr>
        <w:t xml:space="preserve"> </w:t>
      </w:r>
      <w:r w:rsidRPr="00BC4CD3">
        <w:rPr>
          <w:bCs/>
        </w:rPr>
        <w:t>Prawo zamówień publicznych.</w:t>
      </w:r>
    </w:p>
    <w:p w14:paraId="035AC49D" w14:textId="77777777" w:rsidR="00BC4CD3" w:rsidRPr="00BC4CD3" w:rsidRDefault="00BC4CD3" w:rsidP="00BC4CD3">
      <w:pPr>
        <w:shd w:val="clear" w:color="auto" w:fill="FFFFFF"/>
      </w:pPr>
    </w:p>
    <w:p w14:paraId="4C356525" w14:textId="77777777" w:rsidR="00BC4CD3" w:rsidRPr="00BC4CD3" w:rsidRDefault="00BC4CD3" w:rsidP="00BC4CD3">
      <w:pPr>
        <w:shd w:val="clear" w:color="auto" w:fill="FFFFFF"/>
      </w:pPr>
      <w:r w:rsidRPr="00BC4CD3">
        <w:t>Zamawiający w 2022 r. zgłosili zastrzeżenia od wyniku 26 kontroli doraźnych. Prezes Urzędu Zamówień Publicznych w 1 przypadku w całości uwzględnił zastrzeżenia od wyniku kontroli doraźnej. W pozostałych przypadkach Prezes Urzędu Zamówień Publicznych nie uwzględnił zgłoszonych zastrzeżeń i przekazał je do rozpatrzenia przez Krajową Izbę Odwoławczą. Krajowa Izba Odwoławcza w całości uwzględniła 3 zastrzeżenia od wyniku kontroli, 1 – uwzględniła w części i nie uwzględniła 21 zastrzeżeń, podtrzymując tym samym stanowisko Prezesa Urzędu Zamówień Publicznych.</w:t>
      </w:r>
    </w:p>
    <w:p w14:paraId="0E515979" w14:textId="0A44FAAC" w:rsidR="00CB1AE2" w:rsidRDefault="00CB1AE2" w:rsidP="007D4DEB">
      <w:pPr>
        <w:shd w:val="clear" w:color="auto" w:fill="FFFFFF"/>
      </w:pPr>
    </w:p>
    <w:p w14:paraId="5F995AEB" w14:textId="77777777" w:rsidR="00860D06" w:rsidRDefault="00860D06" w:rsidP="00860D06">
      <w:pPr>
        <w:shd w:val="clear" w:color="auto" w:fill="FFFFFF"/>
      </w:pPr>
    </w:p>
    <w:p w14:paraId="1941CBAE" w14:textId="2517F6C0" w:rsidR="00860D06" w:rsidRPr="004F5A21" w:rsidRDefault="00860D06" w:rsidP="00E16264">
      <w:pPr>
        <w:pStyle w:val="StylArial11ptWyjustowany"/>
        <w:numPr>
          <w:ilvl w:val="0"/>
          <w:numId w:val="5"/>
        </w:numPr>
        <w:shd w:val="clear" w:color="auto" w:fill="FFFFFF"/>
        <w:jc w:val="left"/>
        <w:rPr>
          <w:rFonts w:cs="Arial"/>
          <w:b/>
          <w:iCs/>
          <w:color w:val="0070C0"/>
          <w:szCs w:val="22"/>
        </w:rPr>
      </w:pPr>
      <w:r w:rsidRPr="004F5A21">
        <w:rPr>
          <w:rFonts w:cs="Arial"/>
          <w:b/>
          <w:iCs/>
          <w:color w:val="0070C0"/>
          <w:szCs w:val="22"/>
        </w:rPr>
        <w:t>Kontrola uprzednia obligatoryjna</w:t>
      </w:r>
    </w:p>
    <w:p w14:paraId="1E4268E7" w14:textId="04D064CF" w:rsidR="00860D06" w:rsidRPr="004F5A21" w:rsidRDefault="00860D06" w:rsidP="00860D06">
      <w:pPr>
        <w:shd w:val="clear" w:color="auto" w:fill="FFFFFF"/>
      </w:pPr>
    </w:p>
    <w:p w14:paraId="004EA8B1" w14:textId="77777777" w:rsidR="00614DF8" w:rsidRPr="00614DF8" w:rsidRDefault="00614DF8" w:rsidP="00614DF8">
      <w:pPr>
        <w:rPr>
          <w:rFonts w:cs="Arial"/>
        </w:rPr>
      </w:pPr>
      <w:r w:rsidRPr="00614DF8">
        <w:rPr>
          <w:rFonts w:cs="Arial"/>
        </w:rPr>
        <w:t xml:space="preserve">W 2022 r. Prezes Urzędu przeprowadził 153 obligatoryjne kontrole uprzednie (przed zawarciem umowy z wykonawcą) zamówień współfinansowanych ze środków UE o wartościach przekraczających wyrażoną w złotych równowartość kwoty 10 mln euro dla dostaw i usług oraz 20 mln euro dla robót budowlanych. </w:t>
      </w:r>
    </w:p>
    <w:p w14:paraId="64AA4DFD" w14:textId="77777777" w:rsidR="00614DF8" w:rsidRPr="00614DF8" w:rsidRDefault="00614DF8" w:rsidP="00614DF8">
      <w:pPr>
        <w:rPr>
          <w:rFonts w:cs="Arial"/>
        </w:rPr>
      </w:pPr>
    </w:p>
    <w:p w14:paraId="747ECBE2" w14:textId="77777777" w:rsidR="00614DF8" w:rsidRPr="00614DF8" w:rsidRDefault="00614DF8" w:rsidP="00614DF8">
      <w:pPr>
        <w:rPr>
          <w:rFonts w:cs="Arial"/>
        </w:rPr>
      </w:pPr>
      <w:r w:rsidRPr="00614DF8">
        <w:rPr>
          <w:rFonts w:cs="Arial"/>
        </w:rPr>
        <w:t xml:space="preserve">Przeprowadzone kontrole uprzednie dotyczyły usług – 36 kontroli, dostaw – 22 kontroli oraz robót budowlanych – 95 kontroli. </w:t>
      </w:r>
    </w:p>
    <w:p w14:paraId="3F6097AF" w14:textId="77777777" w:rsidR="00614DF8" w:rsidRPr="00614DF8" w:rsidRDefault="00614DF8" w:rsidP="00614DF8">
      <w:pPr>
        <w:rPr>
          <w:rFonts w:cs="Arial"/>
        </w:rPr>
      </w:pPr>
    </w:p>
    <w:p w14:paraId="77A7F4B4" w14:textId="77777777" w:rsidR="00614DF8" w:rsidRPr="00614DF8" w:rsidRDefault="00614DF8" w:rsidP="00614DF8">
      <w:pPr>
        <w:rPr>
          <w:rFonts w:cs="Arial"/>
        </w:rPr>
      </w:pPr>
      <w:r w:rsidRPr="00614DF8">
        <w:rPr>
          <w:rFonts w:cs="Arial"/>
        </w:rPr>
        <w:t xml:space="preserve">Zamówienia objęte kontrolą uprzednią były współfinansowane w ramach: </w:t>
      </w:r>
    </w:p>
    <w:p w14:paraId="01639F52" w14:textId="77777777" w:rsidR="00614DF8" w:rsidRPr="00614DF8" w:rsidRDefault="00614DF8" w:rsidP="006C4C38">
      <w:pPr>
        <w:numPr>
          <w:ilvl w:val="0"/>
          <w:numId w:val="61"/>
        </w:numPr>
        <w:rPr>
          <w:rFonts w:cs="Arial"/>
          <w:lang w:bidi="pl-PL"/>
        </w:rPr>
      </w:pPr>
      <w:r w:rsidRPr="00614DF8">
        <w:rPr>
          <w:rFonts w:cs="Arial"/>
          <w:lang w:bidi="pl-PL"/>
        </w:rPr>
        <w:t xml:space="preserve">Programu Operacyjnego Infrastruktura i Środowisko – 36 postępowań, </w:t>
      </w:r>
    </w:p>
    <w:p w14:paraId="65E3BF10" w14:textId="77777777" w:rsidR="00614DF8" w:rsidRPr="00614DF8" w:rsidRDefault="00614DF8" w:rsidP="006C4C38">
      <w:pPr>
        <w:numPr>
          <w:ilvl w:val="0"/>
          <w:numId w:val="61"/>
        </w:numPr>
        <w:rPr>
          <w:rFonts w:cs="Arial"/>
          <w:lang w:bidi="pl-PL"/>
        </w:rPr>
      </w:pPr>
      <w:r w:rsidRPr="00614DF8">
        <w:rPr>
          <w:rFonts w:cs="Arial"/>
          <w:lang w:bidi="pl-PL"/>
        </w:rPr>
        <w:t xml:space="preserve">Regionalnych Programów Operacyjnych – 22 postępowania, </w:t>
      </w:r>
    </w:p>
    <w:p w14:paraId="6D25C471" w14:textId="77777777" w:rsidR="00614DF8" w:rsidRPr="00614DF8" w:rsidRDefault="00614DF8" w:rsidP="006C4C38">
      <w:pPr>
        <w:numPr>
          <w:ilvl w:val="0"/>
          <w:numId w:val="61"/>
        </w:numPr>
        <w:rPr>
          <w:rFonts w:cs="Arial"/>
          <w:lang w:bidi="pl-PL"/>
        </w:rPr>
      </w:pPr>
      <w:r w:rsidRPr="00614DF8">
        <w:rPr>
          <w:rFonts w:cs="Arial"/>
          <w:lang w:bidi="pl-PL"/>
        </w:rPr>
        <w:t>Programu Operacyjnego Inteligentny Rozwój – 18 postępowań,</w:t>
      </w:r>
    </w:p>
    <w:p w14:paraId="5CEE237A" w14:textId="77777777" w:rsidR="00614DF8" w:rsidRPr="00614DF8" w:rsidRDefault="00614DF8" w:rsidP="006C4C38">
      <w:pPr>
        <w:numPr>
          <w:ilvl w:val="0"/>
          <w:numId w:val="61"/>
        </w:numPr>
        <w:rPr>
          <w:rFonts w:cs="Arial"/>
          <w:lang w:bidi="pl-PL"/>
        </w:rPr>
      </w:pPr>
      <w:r w:rsidRPr="00614DF8">
        <w:rPr>
          <w:rFonts w:cs="Arial"/>
          <w:lang w:bidi="pl-PL"/>
        </w:rPr>
        <w:t xml:space="preserve">Programu Operacyjnego Polska Wschodnia – 10 postępowań, </w:t>
      </w:r>
    </w:p>
    <w:p w14:paraId="36D3E60C" w14:textId="77777777" w:rsidR="00614DF8" w:rsidRPr="00614DF8" w:rsidRDefault="00614DF8" w:rsidP="006C4C38">
      <w:pPr>
        <w:numPr>
          <w:ilvl w:val="0"/>
          <w:numId w:val="61"/>
        </w:numPr>
        <w:rPr>
          <w:rFonts w:cs="Arial"/>
          <w:lang w:bidi="pl-PL"/>
        </w:rPr>
      </w:pPr>
      <w:r w:rsidRPr="00614DF8">
        <w:rPr>
          <w:rFonts w:cs="Arial"/>
          <w:lang w:bidi="pl-PL"/>
        </w:rPr>
        <w:t xml:space="preserve">Programu Operacyjnego Polska Cyfrowa – 8 postępowań, </w:t>
      </w:r>
    </w:p>
    <w:p w14:paraId="7A2D3552" w14:textId="77777777" w:rsidR="00614DF8" w:rsidRPr="00614DF8" w:rsidRDefault="00614DF8" w:rsidP="006C4C38">
      <w:pPr>
        <w:numPr>
          <w:ilvl w:val="0"/>
          <w:numId w:val="61"/>
        </w:numPr>
        <w:rPr>
          <w:rFonts w:cs="Arial"/>
          <w:lang w:bidi="pl-PL"/>
        </w:rPr>
      </w:pPr>
      <w:r w:rsidRPr="00614DF8">
        <w:rPr>
          <w:rFonts w:cs="Arial"/>
          <w:lang w:bidi="pl-PL"/>
        </w:rPr>
        <w:t>Instrumentu CEF „Łącząc Europę” – 4 postępowania,</w:t>
      </w:r>
    </w:p>
    <w:p w14:paraId="33637843" w14:textId="77777777" w:rsidR="00614DF8" w:rsidRPr="00614DF8" w:rsidRDefault="00614DF8" w:rsidP="006C4C38">
      <w:pPr>
        <w:numPr>
          <w:ilvl w:val="0"/>
          <w:numId w:val="61"/>
        </w:numPr>
        <w:rPr>
          <w:rFonts w:cs="Arial"/>
          <w:lang w:bidi="pl-PL"/>
        </w:rPr>
      </w:pPr>
      <w:r w:rsidRPr="00614DF8">
        <w:rPr>
          <w:rFonts w:cs="Arial"/>
          <w:lang w:bidi="pl-PL"/>
        </w:rPr>
        <w:t xml:space="preserve">Programu Rozwoju Obszarów Wiejskich – 3 postępowania, </w:t>
      </w:r>
    </w:p>
    <w:p w14:paraId="0A09645B" w14:textId="77777777" w:rsidR="00614DF8" w:rsidRPr="00614DF8" w:rsidRDefault="00614DF8" w:rsidP="006C4C38">
      <w:pPr>
        <w:numPr>
          <w:ilvl w:val="0"/>
          <w:numId w:val="61"/>
        </w:numPr>
        <w:rPr>
          <w:rFonts w:cs="Arial"/>
          <w:lang w:bidi="pl-PL"/>
        </w:rPr>
      </w:pPr>
      <w:r w:rsidRPr="00614DF8">
        <w:rPr>
          <w:rFonts w:cs="Arial"/>
          <w:lang w:bidi="pl-PL"/>
        </w:rPr>
        <w:t>Programu Operacyjnego Wiedza i Rozwój – 2 postępowania,</w:t>
      </w:r>
    </w:p>
    <w:p w14:paraId="255BAB83" w14:textId="77777777" w:rsidR="00614DF8" w:rsidRPr="00614DF8" w:rsidRDefault="00614DF8" w:rsidP="006C4C38">
      <w:pPr>
        <w:numPr>
          <w:ilvl w:val="0"/>
          <w:numId w:val="61"/>
        </w:numPr>
        <w:rPr>
          <w:rFonts w:cs="Arial"/>
          <w:lang w:bidi="pl-PL"/>
        </w:rPr>
      </w:pPr>
      <w:r w:rsidRPr="00614DF8">
        <w:rPr>
          <w:rFonts w:cs="Arial"/>
          <w:lang w:bidi="pl-PL"/>
        </w:rPr>
        <w:t>Programu Operacyjnego Pomoc Techniczna – 2 postępowania,</w:t>
      </w:r>
    </w:p>
    <w:p w14:paraId="48CF79C3" w14:textId="77777777" w:rsidR="00614DF8" w:rsidRPr="00614DF8" w:rsidRDefault="00614DF8" w:rsidP="006C4C38">
      <w:pPr>
        <w:numPr>
          <w:ilvl w:val="0"/>
          <w:numId w:val="61"/>
        </w:numPr>
        <w:rPr>
          <w:rFonts w:cs="Arial"/>
          <w:lang w:bidi="pl-PL"/>
        </w:rPr>
      </w:pPr>
      <w:r w:rsidRPr="00614DF8">
        <w:rPr>
          <w:rFonts w:cs="Arial"/>
          <w:lang w:bidi="pl-PL"/>
        </w:rPr>
        <w:t xml:space="preserve">Programu Operacyjnego Pomoc Żywnościowa – 1 postępowanie, </w:t>
      </w:r>
    </w:p>
    <w:p w14:paraId="5A7EF804" w14:textId="47CD7EE0" w:rsidR="00614DF8" w:rsidRPr="00614DF8" w:rsidRDefault="00614DF8" w:rsidP="006C4C38">
      <w:pPr>
        <w:numPr>
          <w:ilvl w:val="0"/>
          <w:numId w:val="61"/>
        </w:numPr>
        <w:rPr>
          <w:rFonts w:cs="Arial"/>
          <w:lang w:bidi="pl-PL"/>
        </w:rPr>
      </w:pPr>
      <w:r w:rsidRPr="00614DF8">
        <w:rPr>
          <w:rFonts w:cs="Arial"/>
          <w:lang w:bidi="pl-PL"/>
        </w:rPr>
        <w:t>Progra</w:t>
      </w:r>
      <w:r>
        <w:rPr>
          <w:rFonts w:cs="Arial"/>
          <w:lang w:bidi="pl-PL"/>
        </w:rPr>
        <w:t>mu Team Europe – 1 postępowanie,</w:t>
      </w:r>
      <w:r w:rsidRPr="00614DF8">
        <w:rPr>
          <w:rFonts w:cs="Arial"/>
          <w:lang w:bidi="pl-PL"/>
        </w:rPr>
        <w:t xml:space="preserve"> </w:t>
      </w:r>
    </w:p>
    <w:p w14:paraId="53FDAAE9" w14:textId="77777777" w:rsidR="00614DF8" w:rsidRPr="00614DF8" w:rsidRDefault="00614DF8" w:rsidP="006C4C38">
      <w:pPr>
        <w:numPr>
          <w:ilvl w:val="0"/>
          <w:numId w:val="61"/>
        </w:numPr>
        <w:rPr>
          <w:rFonts w:cs="Arial"/>
          <w:lang w:bidi="pl-PL"/>
        </w:rPr>
      </w:pPr>
      <w:r w:rsidRPr="00614DF8">
        <w:rPr>
          <w:rFonts w:cs="Arial"/>
          <w:lang w:bidi="pl-PL"/>
        </w:rPr>
        <w:t xml:space="preserve">kilku lub kilkunastu programów operacyjnych – 4 postępowania, </w:t>
      </w:r>
    </w:p>
    <w:p w14:paraId="45929758" w14:textId="291B055A" w:rsidR="00614DF8" w:rsidRPr="00614DF8" w:rsidRDefault="00614DF8" w:rsidP="006C4C38">
      <w:pPr>
        <w:numPr>
          <w:ilvl w:val="0"/>
          <w:numId w:val="61"/>
        </w:numPr>
        <w:rPr>
          <w:rFonts w:cs="Arial"/>
          <w:lang w:bidi="pl-PL"/>
        </w:rPr>
      </w:pPr>
      <w:r w:rsidRPr="00614DF8">
        <w:rPr>
          <w:rFonts w:cs="Arial"/>
          <w:lang w:bidi="pl-PL"/>
        </w:rPr>
        <w:t>zamówienia przewidziane do dofinansowania – 42 postępowania.</w:t>
      </w:r>
      <w:r w:rsidR="009343A1">
        <w:rPr>
          <w:rFonts w:cs="Arial"/>
          <w:lang w:bidi="pl-PL"/>
        </w:rPr>
        <w:t xml:space="preserve"> </w:t>
      </w:r>
    </w:p>
    <w:p w14:paraId="23C4D79F" w14:textId="77777777" w:rsidR="00614DF8" w:rsidRPr="00614DF8" w:rsidRDefault="00614DF8" w:rsidP="00614DF8">
      <w:pPr>
        <w:rPr>
          <w:rFonts w:cs="Arial"/>
        </w:rPr>
      </w:pPr>
    </w:p>
    <w:p w14:paraId="5190C1A2" w14:textId="77777777" w:rsidR="00614DF8" w:rsidRPr="00614DF8" w:rsidRDefault="00614DF8" w:rsidP="00614DF8">
      <w:pPr>
        <w:rPr>
          <w:rFonts w:cs="Arial"/>
        </w:rPr>
      </w:pPr>
      <w:r w:rsidRPr="00614DF8">
        <w:rPr>
          <w:rFonts w:cs="Arial"/>
        </w:rPr>
        <w:t>W 74 kontrolach uprzednich obligatoryjnych nie stwierdzono żadnych naruszeń ustawy – Prawo zamówień publicznych, w tym w 3 kontrolach po ostatecznym rozpatrzeniu zastrzeżeń przez Prezesa UZP zgłoszonych od wyniku kontroli lub rozpatrzeniu zastrzeżeń przez Krajową Izbę Odwoławczą.</w:t>
      </w:r>
    </w:p>
    <w:p w14:paraId="4460C382" w14:textId="77777777" w:rsidR="00AB2318" w:rsidRDefault="00AB2318" w:rsidP="00256207">
      <w:pPr>
        <w:rPr>
          <w:rFonts w:cs="Arial"/>
        </w:rPr>
      </w:pPr>
    </w:p>
    <w:p w14:paraId="131DE3A9" w14:textId="72BDEC6C" w:rsidR="00DA4A31" w:rsidRDefault="00DA4A31" w:rsidP="00C55B28">
      <w:pPr>
        <w:pStyle w:val="Legenda"/>
      </w:pPr>
      <w:bookmarkStart w:id="210" w:name="_Toc141276507"/>
      <w:r w:rsidRPr="00134806">
        <w:t xml:space="preserve">Rys. </w:t>
      </w:r>
      <w:r w:rsidR="00BE2079">
        <w:fldChar w:fldCharType="begin"/>
      </w:r>
      <w:r w:rsidR="00BE2079">
        <w:instrText xml:space="preserve"> SEQ Rys. \* ARABIC </w:instrText>
      </w:r>
      <w:r w:rsidR="00BE2079">
        <w:fldChar w:fldCharType="separate"/>
      </w:r>
      <w:r w:rsidR="00A43C68">
        <w:rPr>
          <w:noProof/>
        </w:rPr>
        <w:t>29</w:t>
      </w:r>
      <w:r w:rsidR="00BE2079">
        <w:rPr>
          <w:noProof/>
        </w:rPr>
        <w:fldChar w:fldCharType="end"/>
      </w:r>
      <w:r w:rsidRPr="00134806">
        <w:t>. Odsetek kontroli uprzednich obligatoryjnych, w których nie stwierdzono naruszeń przepisów ustawy</w:t>
      </w:r>
      <w:bookmarkEnd w:id="210"/>
      <w:r w:rsidRPr="00386D60">
        <w:t xml:space="preserve"> </w:t>
      </w:r>
    </w:p>
    <w:p w14:paraId="003CB40F" w14:textId="317501D9" w:rsidR="004F5A21" w:rsidRDefault="00134806" w:rsidP="00256207">
      <w:pPr>
        <w:rPr>
          <w:rFonts w:cs="Arial"/>
        </w:rPr>
      </w:pPr>
      <w:r>
        <w:rPr>
          <w:noProof/>
        </w:rPr>
        <w:drawing>
          <wp:inline distT="0" distB="0" distL="0" distR="0" wp14:anchorId="70D4A3FE" wp14:editId="6F660D35">
            <wp:extent cx="5759450" cy="376174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49498D5" w14:textId="6AF5A5F6" w:rsidR="004F5A21" w:rsidRDefault="004F5A21" w:rsidP="00256207">
      <w:pPr>
        <w:rPr>
          <w:rFonts w:cs="Arial"/>
        </w:rPr>
      </w:pPr>
    </w:p>
    <w:p w14:paraId="6CECB1CB" w14:textId="77777777" w:rsidR="000A41DC" w:rsidRPr="004F5A21" w:rsidRDefault="000A41DC" w:rsidP="00256207">
      <w:pPr>
        <w:rPr>
          <w:rFonts w:cs="Arial"/>
        </w:rPr>
      </w:pPr>
    </w:p>
    <w:p w14:paraId="55B9EEFB" w14:textId="77777777" w:rsidR="009A1813" w:rsidRPr="000A41DC" w:rsidRDefault="009A1813" w:rsidP="009A1813">
      <w:pPr>
        <w:rPr>
          <w:rFonts w:cs="Arial"/>
        </w:rPr>
      </w:pPr>
      <w:r w:rsidRPr="000A41DC">
        <w:rPr>
          <w:rFonts w:cs="Arial"/>
        </w:rPr>
        <w:t>W pozostałych kontrolach uprzednich stwierdzone zostały naruszenia, które dotyczyły m.in. następujących przepisów ustawy Pzp:</w:t>
      </w:r>
    </w:p>
    <w:p w14:paraId="5911E9F3" w14:textId="77777777" w:rsidR="009A1813" w:rsidRPr="000A41DC" w:rsidRDefault="009A1813" w:rsidP="009A1813">
      <w:pPr>
        <w:numPr>
          <w:ilvl w:val="0"/>
          <w:numId w:val="62"/>
        </w:numPr>
        <w:rPr>
          <w:rFonts w:cs="Arial"/>
          <w:bCs/>
        </w:rPr>
      </w:pPr>
      <w:r w:rsidRPr="000A41DC">
        <w:rPr>
          <w:rFonts w:cs="Arial"/>
          <w:bCs/>
        </w:rPr>
        <w:t>art. 214 ust. 1 pkt 1 lit. b oraz pkt 5 ustawy Pzp poprzez niezgodne z ustawą zastosowanie trybu zamówienia z wolnej ręki;</w:t>
      </w:r>
    </w:p>
    <w:p w14:paraId="1F48F628" w14:textId="689DCF60" w:rsidR="009A1813" w:rsidRPr="000A41DC" w:rsidRDefault="009A1813" w:rsidP="009A1813">
      <w:pPr>
        <w:numPr>
          <w:ilvl w:val="0"/>
          <w:numId w:val="62"/>
        </w:numPr>
        <w:rPr>
          <w:rFonts w:cs="Arial"/>
          <w:bCs/>
        </w:rPr>
      </w:pPr>
      <w:r w:rsidRPr="000A41DC">
        <w:rPr>
          <w:rFonts w:cs="Arial"/>
          <w:bCs/>
        </w:rPr>
        <w:t>art. 209 ust. 1 pkt 4 ustawy Pzp w zw</w:t>
      </w:r>
      <w:r>
        <w:rPr>
          <w:rFonts w:cs="Arial"/>
          <w:bCs/>
        </w:rPr>
        <w:t>.</w:t>
      </w:r>
      <w:r w:rsidRPr="000A41DC">
        <w:rPr>
          <w:rFonts w:cs="Arial"/>
          <w:bCs/>
        </w:rPr>
        <w:t xml:space="preserve"> z art. 16 oraz art. 129 ust. 2 ustawy Pzp, poprzez brak wykazania spełnienia przesłanek do zastosowania trybu negocjacji bez ogłoszenia do przeprowadzenia postępowania o udzielenie zamówienia publicznego;</w:t>
      </w:r>
    </w:p>
    <w:p w14:paraId="4D181F11" w14:textId="77777777" w:rsidR="009A1813" w:rsidRPr="000A41DC" w:rsidRDefault="009A1813" w:rsidP="009A1813">
      <w:pPr>
        <w:numPr>
          <w:ilvl w:val="0"/>
          <w:numId w:val="62"/>
        </w:numPr>
        <w:rPr>
          <w:rFonts w:cs="Arial"/>
          <w:bCs/>
        </w:rPr>
      </w:pPr>
      <w:r w:rsidRPr="000A41DC">
        <w:rPr>
          <w:rFonts w:cs="Arial"/>
          <w:bCs/>
        </w:rPr>
        <w:t>art. 226 ust. 1 pkt 2 lit. b poprzez zaniechanie odrzucenia oferty wykonawcy z powodu niewykazania przez wykonawcę spełniania warunków udziału w postępowaniu w zakresie posiadania ubezpieczenia od odpowiedzialności cywilnej w zakresie prowadzonej działalności związanej z przedmiotem zamówienia na dzień składania ofert;</w:t>
      </w:r>
    </w:p>
    <w:p w14:paraId="316CB468" w14:textId="77777777" w:rsidR="009A1813" w:rsidRPr="000A41DC" w:rsidRDefault="009A1813" w:rsidP="009A1813">
      <w:pPr>
        <w:numPr>
          <w:ilvl w:val="0"/>
          <w:numId w:val="62"/>
        </w:numPr>
        <w:rPr>
          <w:rFonts w:cs="Arial"/>
          <w:bCs/>
        </w:rPr>
      </w:pPr>
      <w:r w:rsidRPr="000A41DC">
        <w:rPr>
          <w:rFonts w:cs="Arial"/>
          <w:bCs/>
        </w:rPr>
        <w:t>naruszenie art. 222 ust. 6 ustawy Pzp, poprzez unieważnienie postępowania o udzielenie zamówienia publicznego, we wszystkich częściach zamówienia, bez zaistnienia przesłanek uprawniających zamawiającego do dokonania powyższej czynności;</w:t>
      </w:r>
    </w:p>
    <w:p w14:paraId="3251BC78" w14:textId="18013ED7" w:rsidR="009A1813" w:rsidRPr="000A41DC" w:rsidRDefault="009A1813" w:rsidP="009A1813">
      <w:pPr>
        <w:numPr>
          <w:ilvl w:val="0"/>
          <w:numId w:val="62"/>
        </w:numPr>
        <w:rPr>
          <w:rFonts w:cs="Arial"/>
          <w:bCs/>
        </w:rPr>
      </w:pPr>
      <w:r w:rsidRPr="000A41DC">
        <w:rPr>
          <w:rFonts w:cs="Arial"/>
          <w:bCs/>
        </w:rPr>
        <w:t xml:space="preserve">naruszenie art. 124 ust. 1 ustawy Pzp w zw. z § 5 ust. 1 rozporządzenia Ministra Rozwoju, Pracy i Technologii z dnia </w:t>
      </w:r>
      <w:r>
        <w:rPr>
          <w:rFonts w:cs="Arial"/>
          <w:bCs/>
        </w:rPr>
        <w:t>23</w:t>
      </w:r>
      <w:r w:rsidRPr="000A41DC">
        <w:rPr>
          <w:rFonts w:cs="Arial"/>
          <w:bCs/>
        </w:rPr>
        <w:t xml:space="preserve"> grudnia 2020 r. w sprawie podmiotowych środków dowodowych oraz innych dokumentów lub oświadczeń, jakich może żądać zamawiający od wykonawcy</w:t>
      </w:r>
      <w:r>
        <w:rPr>
          <w:rFonts w:cs="Arial"/>
          <w:bCs/>
        </w:rPr>
        <w:t xml:space="preserve"> (Dz. U. poz. 2415)</w:t>
      </w:r>
      <w:r w:rsidRPr="000A41DC">
        <w:rPr>
          <w:rFonts w:cs="Arial"/>
          <w:bCs/>
        </w:rPr>
        <w:t>, poprzez brak żądania w stosunku do podmiotów udostępniających zasoby na potwierdzenie spełnienia warunków udziału w postępowaniu lub kryteriów selekcji przedstawienia dokumentu określonego w § 2 ust. 1 pkt 6 rozporządzenia, tj. odpisu lub informacji z Krajowego Rejestru Sądowego lub z Centralnej Ewidencji i Informacji o Działalności Gospodarczej, w zakresie art. 109 ust. 1 pkt 4 ustawy Pzp;</w:t>
      </w:r>
    </w:p>
    <w:p w14:paraId="04B81466" w14:textId="29D62CD5" w:rsidR="009A1813" w:rsidRPr="000A41DC" w:rsidRDefault="009A1813" w:rsidP="009A1813">
      <w:pPr>
        <w:numPr>
          <w:ilvl w:val="0"/>
          <w:numId w:val="62"/>
        </w:numPr>
        <w:rPr>
          <w:rFonts w:cs="Arial"/>
          <w:bCs/>
        </w:rPr>
      </w:pPr>
      <w:r w:rsidRPr="000A41DC">
        <w:rPr>
          <w:rFonts w:cs="Arial"/>
          <w:bCs/>
        </w:rPr>
        <w:t xml:space="preserve">art. 124 pkt 1 w zw. z art. 108 ust. 2 ustawy Pzp, poprzez zaniechanie żądania podmiotowego środka dowodowego (dokumentu, o którym mowa w § 2 ust. 1 pkt 3 </w:t>
      </w:r>
      <w:r>
        <w:rPr>
          <w:rFonts w:cs="Arial"/>
          <w:bCs/>
        </w:rPr>
        <w:t>r</w:t>
      </w:r>
      <w:r w:rsidRPr="000A41DC">
        <w:rPr>
          <w:rFonts w:cs="Arial"/>
          <w:bCs/>
        </w:rPr>
        <w:t>ozporządzenia Ministra Rozwoju</w:t>
      </w:r>
      <w:r>
        <w:rPr>
          <w:rFonts w:cs="Arial"/>
          <w:bCs/>
        </w:rPr>
        <w:t>, Pracy i Technologii</w:t>
      </w:r>
      <w:r w:rsidRPr="000A41DC">
        <w:rPr>
          <w:rFonts w:cs="Arial"/>
          <w:bCs/>
        </w:rPr>
        <w:t xml:space="preserve"> w sprawie podmiotowych środków dowodowych oraz innych dokumentów lub oświadczeń, jakich może żądać zamawiający od wykonawcy na potwierdzenie braku podstaw wykluczenia od wykonawców, których oferty zostały najwyżej ocenione w poszczególnych częściach;</w:t>
      </w:r>
    </w:p>
    <w:p w14:paraId="24F34780" w14:textId="77777777" w:rsidR="009A1813" w:rsidRPr="000A41DC" w:rsidRDefault="009A1813" w:rsidP="009A1813">
      <w:pPr>
        <w:numPr>
          <w:ilvl w:val="0"/>
          <w:numId w:val="62"/>
        </w:numPr>
        <w:rPr>
          <w:rFonts w:cs="Arial"/>
          <w:bCs/>
        </w:rPr>
      </w:pPr>
      <w:r w:rsidRPr="000A41DC">
        <w:rPr>
          <w:rFonts w:cs="Arial"/>
          <w:bCs/>
        </w:rPr>
        <w:t>art. 90 ust. 2 ustawy Pzp, poprzez zaniechanie przedłużenia terminu składania ofert po dokonaniu istotnej zmiany ogłoszenia o zamówieniu;</w:t>
      </w:r>
    </w:p>
    <w:p w14:paraId="240AC70E" w14:textId="77777777" w:rsidR="009A1813" w:rsidRPr="000A41DC" w:rsidRDefault="009A1813" w:rsidP="009A1813">
      <w:pPr>
        <w:numPr>
          <w:ilvl w:val="0"/>
          <w:numId w:val="62"/>
        </w:numPr>
        <w:rPr>
          <w:rFonts w:cs="Arial"/>
          <w:bCs/>
        </w:rPr>
      </w:pPr>
      <w:r w:rsidRPr="000A41DC">
        <w:rPr>
          <w:rFonts w:cs="Arial"/>
          <w:bCs/>
        </w:rPr>
        <w:t>art. 220 ust. 3 ustawy Pzp, poprzez wezwanie wykonawców do przedłużenia terminu związania</w:t>
      </w:r>
      <w:r>
        <w:rPr>
          <w:rFonts w:cs="Arial"/>
          <w:bCs/>
        </w:rPr>
        <w:t xml:space="preserve"> </w:t>
      </w:r>
      <w:r w:rsidRPr="000A41DC">
        <w:rPr>
          <w:rFonts w:cs="Arial"/>
          <w:bCs/>
        </w:rPr>
        <w:t>ofertą po wyborze oferty najkorzystniejszej;</w:t>
      </w:r>
    </w:p>
    <w:p w14:paraId="4C83177C" w14:textId="77777777" w:rsidR="009A1813" w:rsidRPr="000A41DC" w:rsidRDefault="009A1813" w:rsidP="009A1813">
      <w:pPr>
        <w:numPr>
          <w:ilvl w:val="0"/>
          <w:numId w:val="62"/>
        </w:numPr>
        <w:rPr>
          <w:rFonts w:cs="Arial"/>
          <w:bCs/>
        </w:rPr>
      </w:pPr>
      <w:r w:rsidRPr="000A41DC">
        <w:rPr>
          <w:rFonts w:cs="Arial"/>
          <w:bCs/>
        </w:rPr>
        <w:t>art. 128 ust. 1 ustawy Pzp, poprzez zaniechanie wezwania wykonawcy konsorcjum firm na podstawie art. 128 ust. 1 ustawy Pzp do uzupełnienia jednolitego dokumentu jednego z podmiotów konsorcjum o brakujące informacje;</w:t>
      </w:r>
    </w:p>
    <w:p w14:paraId="5C28E11D" w14:textId="77777777" w:rsidR="009A1813" w:rsidRPr="000A41DC" w:rsidRDefault="009A1813" w:rsidP="009A1813">
      <w:pPr>
        <w:numPr>
          <w:ilvl w:val="0"/>
          <w:numId w:val="62"/>
        </w:numPr>
        <w:rPr>
          <w:rFonts w:cs="Arial"/>
          <w:bCs/>
        </w:rPr>
      </w:pPr>
      <w:r w:rsidRPr="000A41DC">
        <w:rPr>
          <w:rFonts w:cs="Arial"/>
          <w:bCs/>
        </w:rPr>
        <w:t xml:space="preserve">art. 128 ust. 6 ustawy Pzp oraz § 5 ust. 1 rozporządzenia </w:t>
      </w:r>
      <w:r>
        <w:rPr>
          <w:rFonts w:cs="Arial"/>
          <w:bCs/>
        </w:rPr>
        <w:t xml:space="preserve">Ministra Rozwoju, Pracy i Technologii </w:t>
      </w:r>
      <w:r w:rsidRPr="000A41DC">
        <w:rPr>
          <w:rFonts w:cs="Arial"/>
          <w:bCs/>
        </w:rPr>
        <w:t>w sprawie podmiotowych środków dowodowych</w:t>
      </w:r>
      <w:r w:rsidRPr="00033923">
        <w:rPr>
          <w:rFonts w:cs="Arial"/>
          <w:bCs/>
        </w:rPr>
        <w:t xml:space="preserve"> oraz innych dokumentów lub oświadczeń, jakich może żądać zamawiający od wykonawcy</w:t>
      </w:r>
      <w:r w:rsidRPr="000A41DC">
        <w:rPr>
          <w:rFonts w:cs="Arial"/>
          <w:bCs/>
        </w:rPr>
        <w:t xml:space="preserve">, poprzez żądanie oświadczenia </w:t>
      </w:r>
      <w:r>
        <w:rPr>
          <w:rFonts w:cs="Arial"/>
          <w:bCs/>
        </w:rPr>
        <w:t>s</w:t>
      </w:r>
      <w:r w:rsidRPr="000A41DC">
        <w:rPr>
          <w:rFonts w:cs="Arial"/>
          <w:bCs/>
        </w:rPr>
        <w:t>poza katalogu podmiotowych środków dowodowych;</w:t>
      </w:r>
    </w:p>
    <w:p w14:paraId="2750F30C" w14:textId="58A1D3E2" w:rsidR="009A1813" w:rsidRPr="000A41DC" w:rsidRDefault="009A1813" w:rsidP="009A1813">
      <w:pPr>
        <w:numPr>
          <w:ilvl w:val="0"/>
          <w:numId w:val="62"/>
        </w:numPr>
        <w:rPr>
          <w:rFonts w:cs="Arial"/>
          <w:bCs/>
        </w:rPr>
      </w:pPr>
      <w:r w:rsidRPr="000A41DC">
        <w:rPr>
          <w:rFonts w:cs="Arial"/>
          <w:bCs/>
        </w:rPr>
        <w:t>art. 134 ust. 1 pkt 9 w zw</w:t>
      </w:r>
      <w:r>
        <w:rPr>
          <w:rFonts w:cs="Arial"/>
          <w:bCs/>
        </w:rPr>
        <w:t>.</w:t>
      </w:r>
      <w:r w:rsidRPr="000A41DC">
        <w:rPr>
          <w:rFonts w:cs="Arial"/>
          <w:bCs/>
        </w:rPr>
        <w:t xml:space="preserve"> z art. 119 ustawy Pzp, poprzez zaniechanie żądania w SWZ podmiotowych środków dowodowych, o których mowa w § 2 ust. 1 pkt 6 i 7 rozporządzenia w</w:t>
      </w:r>
      <w:r>
        <w:rPr>
          <w:rFonts w:cs="Arial"/>
          <w:bCs/>
        </w:rPr>
        <w:t xml:space="preserve"> </w:t>
      </w:r>
      <w:r w:rsidRPr="000A41DC">
        <w:rPr>
          <w:rFonts w:cs="Arial"/>
          <w:bCs/>
        </w:rPr>
        <w:t>stosunku do podmiotów trzecich na zasobach których będzie polegał wykonawca;</w:t>
      </w:r>
    </w:p>
    <w:p w14:paraId="6788E135" w14:textId="77777777" w:rsidR="009A1813" w:rsidRPr="000A41DC" w:rsidRDefault="009A1813" w:rsidP="009A1813">
      <w:pPr>
        <w:numPr>
          <w:ilvl w:val="0"/>
          <w:numId w:val="62"/>
        </w:numPr>
        <w:rPr>
          <w:rFonts w:cs="Arial"/>
          <w:bCs/>
        </w:rPr>
      </w:pPr>
      <w:r w:rsidRPr="000A41DC">
        <w:rPr>
          <w:rFonts w:cs="Arial"/>
          <w:bCs/>
        </w:rPr>
        <w:t>art. 56 ust. 4 ustawy Pzp w zw. z art. 56 ust. 2 ustawy Pzp, poprzez zaniechanie złożenia przez inne osoby wykonujące czynności związane z przeprowadzeniem postępowania, oświadczenia, o istnieniu lub braku istnienia okoliczności, o których mowa w art. 56 ust. 2 ustawy Pzp;</w:t>
      </w:r>
    </w:p>
    <w:p w14:paraId="0934A3E5" w14:textId="77777777" w:rsidR="009A1813" w:rsidRPr="000A41DC" w:rsidRDefault="009A1813" w:rsidP="009A1813">
      <w:pPr>
        <w:numPr>
          <w:ilvl w:val="0"/>
          <w:numId w:val="62"/>
        </w:numPr>
        <w:rPr>
          <w:rFonts w:cs="Arial"/>
          <w:bCs/>
        </w:rPr>
      </w:pPr>
      <w:r w:rsidRPr="000A41DC">
        <w:rPr>
          <w:rFonts w:cs="Arial"/>
          <w:bCs/>
        </w:rPr>
        <w:t xml:space="preserve">naruszenie przez zamawiającego art. 126 ust. 1 ustawy Pzp poprzez wyznaczenie wykonawcy terminu krótszego niż 10 dni na złożenie aktualnych na dzień złożenia podmiotowych środków dowodowych; </w:t>
      </w:r>
    </w:p>
    <w:p w14:paraId="43804269" w14:textId="05D7D18C" w:rsidR="009A1813" w:rsidRPr="000A41DC" w:rsidRDefault="009A1813" w:rsidP="009A1813">
      <w:pPr>
        <w:numPr>
          <w:ilvl w:val="0"/>
          <w:numId w:val="62"/>
        </w:numPr>
        <w:rPr>
          <w:rFonts w:cs="Arial"/>
          <w:bCs/>
        </w:rPr>
      </w:pPr>
      <w:r w:rsidRPr="000A41DC">
        <w:rPr>
          <w:rFonts w:cs="Arial"/>
          <w:bCs/>
        </w:rPr>
        <w:t>art. 18 ust. 1 i 3 ustawy Pzp w zw. z art. 11 ust. 2 ustawy z dnia 16 kwietnia 1993 r. o zwalczaniu nieuczciwej konkurencji, poprzez zaniechanie odtajnienia wyjaśnień wykonawcy złożonych w zakresie rażąco niskiej ceny oferty;</w:t>
      </w:r>
    </w:p>
    <w:p w14:paraId="2A809528" w14:textId="77777777" w:rsidR="009A1813" w:rsidRPr="000A41DC" w:rsidRDefault="009A1813" w:rsidP="009A1813">
      <w:pPr>
        <w:numPr>
          <w:ilvl w:val="0"/>
          <w:numId w:val="62"/>
        </w:numPr>
        <w:rPr>
          <w:rFonts w:cs="Arial"/>
          <w:bCs/>
        </w:rPr>
      </w:pPr>
      <w:r w:rsidRPr="000A41DC">
        <w:rPr>
          <w:rFonts w:cs="Arial"/>
          <w:bCs/>
        </w:rPr>
        <w:t>art. 134 ust. 1 pkt 7 ustawy Pzp, poprzez niewskazanie w dokumentacji postępowania przesłanki wykluczenia zawartej w art. 108 ust. 2 ustawy Pzp;</w:t>
      </w:r>
    </w:p>
    <w:p w14:paraId="21E6DF4C" w14:textId="7431F7E7" w:rsidR="009A1813" w:rsidRPr="000A41DC" w:rsidRDefault="009A1813" w:rsidP="009A1813">
      <w:pPr>
        <w:numPr>
          <w:ilvl w:val="0"/>
          <w:numId w:val="62"/>
        </w:numPr>
        <w:rPr>
          <w:rFonts w:cs="Arial"/>
          <w:bCs/>
        </w:rPr>
      </w:pPr>
      <w:r w:rsidRPr="000A41DC">
        <w:rPr>
          <w:rFonts w:cs="Arial"/>
          <w:bCs/>
        </w:rPr>
        <w:t>art. 124 pkt 1 ustawy Pzp w zw. z § 2 ust. 1 pkt 7 lit. i rozporządzenia Ministra Rozwoju, Pracy i Technologii w sprawie podmiotowych środków dowodowych oraz innych dokumentów lub oświadczeń, jakich może żądać zamawiający od wykonawcy, poprzez zaniechanie żądania w SWZ podmiotowego środka dowodowego w postaci oświadczenia wykonawcy o aktualności informacji zawartych w oświadczeniu, o którym mowa w art. 125 ust. 1 ustawy Pzp (</w:t>
      </w:r>
      <w:r w:rsidRPr="005F6FA7">
        <w:rPr>
          <w:rFonts w:cs="Arial"/>
          <w:bCs/>
        </w:rPr>
        <w:t>Jednolity Europejski Dokument Zamówienia</w:t>
      </w:r>
      <w:r>
        <w:rPr>
          <w:rFonts w:cs="Arial"/>
          <w:bCs/>
        </w:rPr>
        <w:t>, „</w:t>
      </w:r>
      <w:r w:rsidRPr="000A41DC">
        <w:rPr>
          <w:rFonts w:cs="Arial"/>
          <w:bCs/>
        </w:rPr>
        <w:t>JEDZ</w:t>
      </w:r>
      <w:r>
        <w:rPr>
          <w:rFonts w:cs="Arial"/>
          <w:bCs/>
        </w:rPr>
        <w:t>”</w:t>
      </w:r>
      <w:r w:rsidRPr="000A41DC">
        <w:rPr>
          <w:rFonts w:cs="Arial"/>
          <w:bCs/>
        </w:rPr>
        <w:t>), w zakresie podstaw wykluczenia z postępowania wskazanych przez zamawiającego, o których mowa w art. 109 ust. 1 pkt 5</w:t>
      </w:r>
      <w:r w:rsidRPr="000C7F61">
        <w:rPr>
          <w:rFonts w:cs="Arial"/>
          <w:bCs/>
          <w:lang w:bidi="pl-PL"/>
        </w:rPr>
        <w:t>–</w:t>
      </w:r>
      <w:r w:rsidRPr="000A41DC">
        <w:rPr>
          <w:rFonts w:cs="Arial"/>
          <w:bCs/>
        </w:rPr>
        <w:t>10 ustawy Pzp.</w:t>
      </w:r>
    </w:p>
    <w:p w14:paraId="31113031" w14:textId="77777777" w:rsidR="009A1813" w:rsidRPr="000A41DC" w:rsidRDefault="009A1813" w:rsidP="009A1813">
      <w:pPr>
        <w:numPr>
          <w:ilvl w:val="0"/>
          <w:numId w:val="62"/>
        </w:numPr>
        <w:rPr>
          <w:rFonts w:cs="Arial"/>
          <w:bCs/>
        </w:rPr>
      </w:pPr>
      <w:r w:rsidRPr="000A41DC">
        <w:rPr>
          <w:rFonts w:cs="Arial"/>
          <w:bCs/>
        </w:rPr>
        <w:t>art. 252 ust. 2 ustawy Pzp poprzez wezwanie wykonawcy, którego oferta została uznana za najkorzystniejszą do przedłużenia okresu ważności wadium albo do wniesienia nowego wadium na przedłużony okres związania ofertą, pomimo iż termin związania ofertą upłynął i zgodnie z ww. przepisem zamawiający uprawniony był jedynie do wezwania wykonawcy do wyrażenia pisemnej zgody na wybór jego oferty;</w:t>
      </w:r>
    </w:p>
    <w:p w14:paraId="7B728982" w14:textId="77777777" w:rsidR="009A1813" w:rsidRPr="000A41DC" w:rsidRDefault="009A1813" w:rsidP="009A1813">
      <w:pPr>
        <w:numPr>
          <w:ilvl w:val="0"/>
          <w:numId w:val="62"/>
        </w:numPr>
        <w:rPr>
          <w:rFonts w:cs="Arial"/>
          <w:bCs/>
        </w:rPr>
      </w:pPr>
      <w:r w:rsidRPr="000A41DC">
        <w:rPr>
          <w:rFonts w:cs="Arial"/>
          <w:bCs/>
        </w:rPr>
        <w:t xml:space="preserve">art. 98 ust. 1 pkt 1 ustawy Pzp, poprzez zwrot wadium wykonawcy w terminie przekraczającym 7 dni od dnia upływu terminu związania ofertą; </w:t>
      </w:r>
    </w:p>
    <w:p w14:paraId="74124BE4" w14:textId="77777777" w:rsidR="009A1813" w:rsidRPr="000A41DC" w:rsidRDefault="009A1813" w:rsidP="009A1813">
      <w:pPr>
        <w:numPr>
          <w:ilvl w:val="0"/>
          <w:numId w:val="62"/>
        </w:numPr>
        <w:rPr>
          <w:rFonts w:cs="Arial"/>
          <w:bCs/>
        </w:rPr>
      </w:pPr>
      <w:r w:rsidRPr="000A41DC">
        <w:rPr>
          <w:rFonts w:cs="Arial"/>
          <w:bCs/>
        </w:rPr>
        <w:t>art. 93 ust. 1 ustawy Pzp, poprzez zaniechanie wskazania w ogłoszeniu o zamówieniu maksymalnej liczby części, jaka może być udzielona jednemu wykonawcy;</w:t>
      </w:r>
    </w:p>
    <w:p w14:paraId="7CF659D8" w14:textId="2FC55541" w:rsidR="009A1813" w:rsidRPr="000A41DC" w:rsidRDefault="009A1813" w:rsidP="009A1813">
      <w:pPr>
        <w:numPr>
          <w:ilvl w:val="0"/>
          <w:numId w:val="62"/>
        </w:numPr>
        <w:rPr>
          <w:rFonts w:cs="Arial"/>
          <w:bCs/>
        </w:rPr>
      </w:pPr>
      <w:r w:rsidRPr="000A41DC">
        <w:rPr>
          <w:rFonts w:cs="Arial"/>
          <w:bCs/>
        </w:rPr>
        <w:t xml:space="preserve">naruszenie art. 90 ust. 1 ustawy Pzp, przez zamieszczenie w treści ogłoszenia o zamówieniu zapisów od początku niezgodnych z treścią </w:t>
      </w:r>
      <w:r w:rsidR="00F54C4D">
        <w:rPr>
          <w:rFonts w:cs="Arial"/>
          <w:bCs/>
        </w:rPr>
        <w:t>s</w:t>
      </w:r>
      <w:r w:rsidRPr="000A41DC">
        <w:rPr>
          <w:rFonts w:cs="Arial"/>
          <w:bCs/>
        </w:rPr>
        <w:t xml:space="preserve">pecyfikacji </w:t>
      </w:r>
      <w:r w:rsidR="00F54C4D">
        <w:rPr>
          <w:rFonts w:cs="Arial"/>
          <w:bCs/>
        </w:rPr>
        <w:t>w</w:t>
      </w:r>
      <w:r w:rsidRPr="000A41DC">
        <w:rPr>
          <w:rFonts w:cs="Arial"/>
          <w:bCs/>
        </w:rPr>
        <w:t xml:space="preserve">arunków </w:t>
      </w:r>
      <w:r w:rsidR="00F54C4D">
        <w:rPr>
          <w:rFonts w:cs="Arial"/>
          <w:bCs/>
        </w:rPr>
        <w:t>z</w:t>
      </w:r>
      <w:r w:rsidRPr="000A41DC">
        <w:rPr>
          <w:rFonts w:cs="Arial"/>
          <w:bCs/>
        </w:rPr>
        <w:t>amówienia, bez następczego ich sprostowania lub zmiany w zakresie dotyczącym wagi poszczególnych kryteriów oceny ofert;</w:t>
      </w:r>
    </w:p>
    <w:p w14:paraId="11E1A297" w14:textId="77777777" w:rsidR="009A1813" w:rsidRPr="000A41DC" w:rsidRDefault="009A1813" w:rsidP="009A1813">
      <w:pPr>
        <w:numPr>
          <w:ilvl w:val="0"/>
          <w:numId w:val="62"/>
        </w:numPr>
        <w:rPr>
          <w:rFonts w:cs="Arial"/>
          <w:bCs/>
        </w:rPr>
      </w:pPr>
      <w:r w:rsidRPr="000A41DC">
        <w:rPr>
          <w:rFonts w:cs="Arial"/>
          <w:bCs/>
        </w:rPr>
        <w:t xml:space="preserve">art. 88 ust. 1 ustawy Pzp, poprzez zamieszczenie ogłoszenia na stronie prowadzonego postępowania, które nastąpiło po 15 dniach od publikacji ogłoszenia o zamówieniu w Dzienniku Urzędowym UE; </w:t>
      </w:r>
    </w:p>
    <w:p w14:paraId="18273CB8" w14:textId="77777777" w:rsidR="009A1813" w:rsidRPr="000A41DC" w:rsidRDefault="009A1813" w:rsidP="009A1813">
      <w:pPr>
        <w:numPr>
          <w:ilvl w:val="0"/>
          <w:numId w:val="62"/>
        </w:numPr>
        <w:rPr>
          <w:rFonts w:cs="Arial"/>
          <w:bCs/>
        </w:rPr>
      </w:pPr>
      <w:r w:rsidRPr="000A41DC">
        <w:rPr>
          <w:rFonts w:cs="Arial"/>
          <w:bCs/>
        </w:rPr>
        <w:t>art. 81 ust. 1 ustawy Pzp, poprzez przekazanie Prezesowi Urzędu Zamówień Publicznych informacji o złożonych w postępowaniu ofertach po upływie terminu 7 dni od dnia otwarcia ofert;</w:t>
      </w:r>
    </w:p>
    <w:p w14:paraId="34512BB9" w14:textId="77777777" w:rsidR="009A1813" w:rsidRPr="000A41DC" w:rsidRDefault="009A1813" w:rsidP="009A1813">
      <w:pPr>
        <w:numPr>
          <w:ilvl w:val="0"/>
          <w:numId w:val="62"/>
        </w:numPr>
        <w:rPr>
          <w:rFonts w:cs="Arial"/>
          <w:bCs/>
        </w:rPr>
      </w:pPr>
      <w:r w:rsidRPr="000A41DC">
        <w:rPr>
          <w:rFonts w:cs="Arial"/>
          <w:bCs/>
        </w:rPr>
        <w:t>art. 91 ust. 2 ustawy Pzp poprzez zaniechanie wskazania w dokumentach zamówienia powodów niedokonania podziału zamówienia na części;</w:t>
      </w:r>
    </w:p>
    <w:p w14:paraId="2907199F" w14:textId="312BE071" w:rsidR="009A1813" w:rsidRPr="000A41DC" w:rsidRDefault="009A1813" w:rsidP="009A1813">
      <w:pPr>
        <w:numPr>
          <w:ilvl w:val="0"/>
          <w:numId w:val="62"/>
        </w:numPr>
        <w:rPr>
          <w:rFonts w:cs="Arial"/>
          <w:bCs/>
        </w:rPr>
      </w:pPr>
      <w:r w:rsidRPr="000A41DC">
        <w:rPr>
          <w:rFonts w:cs="Arial"/>
          <w:bCs/>
        </w:rPr>
        <w:t>§ 4 ust. 2 rozporządzenia Ministra Rozwoju</w:t>
      </w:r>
      <w:r>
        <w:rPr>
          <w:rFonts w:cs="Arial"/>
          <w:bCs/>
        </w:rPr>
        <w:t>, Pracy i Technologii</w:t>
      </w:r>
      <w:r w:rsidRPr="000A41DC">
        <w:rPr>
          <w:rFonts w:cs="Arial"/>
          <w:bCs/>
        </w:rPr>
        <w:t xml:space="preserve"> w sprawie podmiotowych środków dowodowych oraz innych dokumentów lub oświadczeń, jakich może żądać zamawiający od wykonawcy w zw. z art. 124 pkt 1 ustawy Pzp , poprzez żądanie aby informacja z odpowiedniego rejestru zawierającego informacje o beneficjentach rzeczywistych wykonawcy albo, w przypadku braku takiego rejestru, inny równoważny dokument wydany przez właściwy organ sądowy lub administracyjny kraju, w którym wykonawca ma siedzibę lub miejsce zamieszkania, określający jego beneficjentów rzeczywistych, w stosunku do wykonawców mających siedzibę lub miejsce zamieszkania poza granicami Rzeczypospolitej Polskiej, został wystawiony nie wcześniej niż 6 miesięcy przed jego złożeniem;</w:t>
      </w:r>
    </w:p>
    <w:p w14:paraId="106EB232" w14:textId="77777777" w:rsidR="009A1813" w:rsidRPr="000A41DC" w:rsidRDefault="009A1813" w:rsidP="009A1813">
      <w:pPr>
        <w:numPr>
          <w:ilvl w:val="0"/>
          <w:numId w:val="62"/>
        </w:numPr>
        <w:rPr>
          <w:rFonts w:cs="Arial"/>
          <w:bCs/>
        </w:rPr>
      </w:pPr>
      <w:r w:rsidRPr="000A41DC">
        <w:rPr>
          <w:rFonts w:cs="Arial"/>
          <w:bCs/>
        </w:rPr>
        <w:t>art. 220 ust. 2 ustawy Pzp, poprzez określenie w SWZ terminu związania ofertą na 90 dni, tj. bez wskazania konkretnej daty;</w:t>
      </w:r>
    </w:p>
    <w:p w14:paraId="01B6DBF2" w14:textId="77777777" w:rsidR="009A1813" w:rsidRPr="000A41DC" w:rsidRDefault="009A1813" w:rsidP="009A1813">
      <w:pPr>
        <w:numPr>
          <w:ilvl w:val="0"/>
          <w:numId w:val="62"/>
        </w:numPr>
        <w:rPr>
          <w:rFonts w:cs="Arial"/>
          <w:bCs/>
        </w:rPr>
      </w:pPr>
      <w:r w:rsidRPr="000A41DC">
        <w:rPr>
          <w:rFonts w:cs="Arial"/>
          <w:bCs/>
        </w:rPr>
        <w:t>art. 253 ust. 1 pkt 2 ustawy Pzp, poprzez brak wskazania uzasadnienia faktycznego odrzucenia ofert.</w:t>
      </w:r>
    </w:p>
    <w:p w14:paraId="1D339CB2" w14:textId="4037F72E" w:rsidR="00256207" w:rsidRDefault="00256207" w:rsidP="00256207">
      <w:pPr>
        <w:rPr>
          <w:rFonts w:cs="Arial"/>
        </w:rPr>
      </w:pPr>
    </w:p>
    <w:p w14:paraId="2D773634" w14:textId="77777777" w:rsidR="000A41DC" w:rsidRPr="000A41DC" w:rsidRDefault="000A41DC" w:rsidP="000A41DC">
      <w:pPr>
        <w:rPr>
          <w:rFonts w:cs="Arial"/>
        </w:rPr>
      </w:pPr>
      <w:r w:rsidRPr="000A41DC">
        <w:rPr>
          <w:rFonts w:cs="Arial"/>
        </w:rPr>
        <w:t xml:space="preserve">W 2022 r. zamawiający zgłosili zastrzeżenia od wyniku 10 przeprowadzonych obligatoryjnych kontroli uprzednich. Prezes Urzędu w całości uwzględnił zastrzeżenia w odniesieniu do 2 kontroli. W 8 kontrolach zastrzeżenia nie zostały uwzględnione i przekazano je do zaopiniowania przez KIO, która w 1 przypadku uwzględniła zastrzeżenia w całości, w 2 kontrolach częściowo uwzględniła zastrzeżenia, a w 5 przypadkach nie uwzględniła zastrzeżeń, podzielając tym samym stanowisko Prezesa Urzędu. </w:t>
      </w:r>
    </w:p>
    <w:p w14:paraId="3E126E29" w14:textId="77777777" w:rsidR="000A41DC" w:rsidRPr="004F5A21" w:rsidRDefault="000A41DC" w:rsidP="00256207">
      <w:pPr>
        <w:rPr>
          <w:rFonts w:cs="Arial"/>
        </w:rPr>
      </w:pPr>
    </w:p>
    <w:p w14:paraId="1729A292" w14:textId="0C1ACE8F" w:rsidR="00860D06" w:rsidRDefault="00860D06" w:rsidP="00860D06">
      <w:pPr>
        <w:shd w:val="clear" w:color="auto" w:fill="FFFFFF"/>
      </w:pPr>
    </w:p>
    <w:p w14:paraId="135141D9" w14:textId="4F09B2BC" w:rsidR="00860D06" w:rsidRPr="00860D06" w:rsidRDefault="00860D06" w:rsidP="00E16264">
      <w:pPr>
        <w:pStyle w:val="StylArial11ptWyjustowany"/>
        <w:numPr>
          <w:ilvl w:val="0"/>
          <w:numId w:val="5"/>
        </w:numPr>
        <w:shd w:val="clear" w:color="auto" w:fill="FFFFFF"/>
        <w:jc w:val="left"/>
        <w:rPr>
          <w:rFonts w:cs="Arial"/>
          <w:b/>
          <w:iCs/>
          <w:color w:val="0070C0"/>
          <w:szCs w:val="22"/>
        </w:rPr>
      </w:pPr>
      <w:r w:rsidRPr="00860D06">
        <w:rPr>
          <w:rFonts w:cs="Arial"/>
          <w:b/>
          <w:iCs/>
          <w:color w:val="0070C0"/>
          <w:szCs w:val="22"/>
        </w:rPr>
        <w:t>Wnioski o kontrol</w:t>
      </w:r>
      <w:r w:rsidR="00FF0868">
        <w:rPr>
          <w:rFonts w:cs="Arial"/>
          <w:b/>
          <w:iCs/>
          <w:color w:val="0070C0"/>
          <w:szCs w:val="22"/>
        </w:rPr>
        <w:t>ę</w:t>
      </w:r>
    </w:p>
    <w:p w14:paraId="2631B9B9" w14:textId="77777777" w:rsidR="00860D06" w:rsidRDefault="00860D06" w:rsidP="007D4DEB">
      <w:pPr>
        <w:shd w:val="clear" w:color="auto" w:fill="FFFFFF"/>
      </w:pPr>
    </w:p>
    <w:p w14:paraId="46A7F4AA" w14:textId="23405EF1" w:rsidR="00FF0868" w:rsidRPr="00FF0868" w:rsidRDefault="00FF0868" w:rsidP="00FF0868">
      <w:pPr>
        <w:shd w:val="clear" w:color="auto" w:fill="FFFFFF"/>
      </w:pPr>
      <w:r w:rsidRPr="00FF0868">
        <w:t xml:space="preserve">W 2022 r. do Prezesa Urzędu wpłynęło 408 wniosków o kontrolę. Wnioski te kierowali do Prezesa Urzędu przede wszystkim wykonawcy oraz instytucje zaangażowane we wdrażanie funduszy unijnych w Polsce, ale także m.in. organy ścigania oraz podmioty nieuczestniczące w danych postępowaniach o udzielenie zamówień, w tym osoby prywatne, radni, sygnaliści, organizacje zrzeszające przedstawicieli określonych zawodów. </w:t>
      </w:r>
    </w:p>
    <w:p w14:paraId="3461EE4F" w14:textId="77777777" w:rsidR="00FF0868" w:rsidRPr="00FF0868" w:rsidRDefault="00FF0868" w:rsidP="00FF0868">
      <w:pPr>
        <w:shd w:val="clear" w:color="auto" w:fill="FFFFFF"/>
      </w:pPr>
    </w:p>
    <w:p w14:paraId="2C000A4B" w14:textId="77777777" w:rsidR="00FF0868" w:rsidRPr="00FF0868" w:rsidRDefault="00FF0868" w:rsidP="00FF0868">
      <w:pPr>
        <w:shd w:val="clear" w:color="auto" w:fill="FFFFFF"/>
      </w:pPr>
      <w:r w:rsidRPr="00FF0868">
        <w:t>W 2022 r. Prezes Urzędu rozpatrzył 432 wnioski o kontrolę.</w:t>
      </w:r>
    </w:p>
    <w:p w14:paraId="6F334FB2" w14:textId="77777777" w:rsidR="00FF0868" w:rsidRDefault="00FF0868" w:rsidP="00FF0868">
      <w:pPr>
        <w:shd w:val="clear" w:color="auto" w:fill="FFFFFF"/>
      </w:pPr>
    </w:p>
    <w:p w14:paraId="18979E90" w14:textId="1A70A9EB" w:rsidR="00FF0868" w:rsidRPr="00FF0868" w:rsidRDefault="00FF0868" w:rsidP="00FF0868">
      <w:pPr>
        <w:shd w:val="clear" w:color="auto" w:fill="FFFFFF"/>
      </w:pPr>
      <w:r w:rsidRPr="00FF0868">
        <w:t>W wyniku rozpatrzenia wniosków o kontrolę Prezes Urzędu:</w:t>
      </w:r>
    </w:p>
    <w:p w14:paraId="0BAAC073" w14:textId="65852429" w:rsidR="00FF0868" w:rsidRPr="00FF0868" w:rsidRDefault="00FF0868" w:rsidP="006C4C38">
      <w:pPr>
        <w:numPr>
          <w:ilvl w:val="0"/>
          <w:numId w:val="63"/>
        </w:numPr>
        <w:shd w:val="clear" w:color="auto" w:fill="FFFFFF"/>
      </w:pPr>
      <w:r w:rsidRPr="00FF0868">
        <w:t>w 192 sprawach przeprowadził wstępną kontrolę, w tym w 40 sprawach wszczęto dalszą kontrolę doraźną w związku z uzasadnionym przypuszczeniem, że doszło do naruszenia przepisów ustawy, które m</w:t>
      </w:r>
      <w:r w:rsidR="00A85927">
        <w:t>o</w:t>
      </w:r>
      <w:r w:rsidRPr="00FF0868">
        <w:t>gło mieć lub miało wpływ na wynik postępowania lub konkursu albo zawarto lub zmieniono umowę lub umowę ramową z naruszeniem przepisów ustawy</w:t>
      </w:r>
      <w:r w:rsidR="00A85927">
        <w:t xml:space="preserve"> Pzp</w:t>
      </w:r>
      <w:r w:rsidRPr="00FF0868">
        <w:t>, natomiast w 152 sprawach kontrole zostały zakończone informacją o braku podstaw do dalszego prowadzenia kontroli,</w:t>
      </w:r>
    </w:p>
    <w:p w14:paraId="30A5AFDB" w14:textId="77777777" w:rsidR="00FF0868" w:rsidRPr="00FF0868" w:rsidRDefault="00FF0868" w:rsidP="006C4C38">
      <w:pPr>
        <w:numPr>
          <w:ilvl w:val="0"/>
          <w:numId w:val="63"/>
        </w:numPr>
        <w:shd w:val="clear" w:color="auto" w:fill="FFFFFF"/>
      </w:pPr>
      <w:r w:rsidRPr="00FF0868">
        <w:t>w 222 sprawach odmówił wszczęcia kontroli podając szczegółowe uzasadnienie faktyczne i prawne odnoszące się do zarzutów wnioskodawców,</w:t>
      </w:r>
    </w:p>
    <w:p w14:paraId="5F582140" w14:textId="77777777" w:rsidR="00FF0868" w:rsidRPr="00FF0868" w:rsidRDefault="00FF0868" w:rsidP="006C4C38">
      <w:pPr>
        <w:numPr>
          <w:ilvl w:val="0"/>
          <w:numId w:val="63"/>
        </w:numPr>
        <w:shd w:val="clear" w:color="auto" w:fill="FFFFFF"/>
      </w:pPr>
      <w:r w:rsidRPr="00FF0868">
        <w:t>zakończył 18 spraw, które nie podlegały merytorycznemu rozpatrzeniu.</w:t>
      </w:r>
    </w:p>
    <w:p w14:paraId="2A728DF3" w14:textId="413C01B9" w:rsidR="00860D06" w:rsidRDefault="00860D06" w:rsidP="00860D06">
      <w:pPr>
        <w:shd w:val="clear" w:color="auto" w:fill="FFFFFF"/>
      </w:pPr>
    </w:p>
    <w:p w14:paraId="361AF704" w14:textId="77777777" w:rsidR="00185348" w:rsidRPr="00860D06" w:rsidRDefault="00185348" w:rsidP="00860D06">
      <w:pPr>
        <w:shd w:val="clear" w:color="auto" w:fill="FFFFFF"/>
      </w:pPr>
    </w:p>
    <w:p w14:paraId="07BC70FB" w14:textId="77777777" w:rsidR="00860D06" w:rsidRPr="00185348" w:rsidRDefault="00860D06" w:rsidP="00E16264">
      <w:pPr>
        <w:pStyle w:val="StylArial11ptWyjustowany"/>
        <w:numPr>
          <w:ilvl w:val="0"/>
          <w:numId w:val="5"/>
        </w:numPr>
        <w:shd w:val="clear" w:color="auto" w:fill="FFFFFF"/>
        <w:jc w:val="left"/>
        <w:rPr>
          <w:rFonts w:cs="Arial"/>
          <w:b/>
          <w:iCs/>
          <w:color w:val="0070C0"/>
          <w:szCs w:val="22"/>
        </w:rPr>
      </w:pPr>
      <w:r w:rsidRPr="00185348">
        <w:rPr>
          <w:rFonts w:cs="Arial"/>
          <w:b/>
          <w:iCs/>
          <w:color w:val="0070C0"/>
          <w:szCs w:val="22"/>
        </w:rPr>
        <w:t>Zawiadomienia rzeczników dyscypliny finansów publicznych i wyniki tych zawiadomień</w:t>
      </w:r>
    </w:p>
    <w:p w14:paraId="63470E85" w14:textId="77777777" w:rsidR="00860D06" w:rsidRPr="00860D06" w:rsidRDefault="00860D06" w:rsidP="00860D06">
      <w:pPr>
        <w:shd w:val="clear" w:color="auto" w:fill="FFFFFF"/>
      </w:pPr>
    </w:p>
    <w:p w14:paraId="3B955A33" w14:textId="67C714D9" w:rsidR="00B85548" w:rsidRPr="00695942" w:rsidRDefault="00B85548" w:rsidP="00B85548">
      <w:r w:rsidRPr="00695942">
        <w:t xml:space="preserve">W przypadku wykrycia w trakcie realizacji czynności kontrolnych nieprawidłowości stanowiących naruszenie ustawy </w:t>
      </w:r>
      <w:r>
        <w:t xml:space="preserve">z dnia </w:t>
      </w:r>
      <w:r w:rsidRPr="00A85927">
        <w:t>17 grudnia 2004 r.</w:t>
      </w:r>
      <w:r>
        <w:t xml:space="preserve"> </w:t>
      </w:r>
      <w:r w:rsidRPr="00695942">
        <w:t>o odpowiedzialności za naruszenie dyscypliny finansów publicznych</w:t>
      </w:r>
      <w:r>
        <w:t xml:space="preserve"> (Dz. U. z 2021 r. poz. 289</w:t>
      </w:r>
      <w:r w:rsidR="00453BA6">
        <w:t xml:space="preserve"> oraz z 2023 r. poz.</w:t>
      </w:r>
      <w:r w:rsidR="0099137B">
        <w:t xml:space="preserve"> 1030</w:t>
      </w:r>
      <w:r>
        <w:t xml:space="preserve">) </w:t>
      </w:r>
      <w:r w:rsidRPr="00695942">
        <w:t>Prezes Urzędu zawiadamiał o stwierdzonym naruszeniu właściwego rzecznika dyscypliny finansów publicznych. Zawiadomienia do rzecznika dyscypliny finansów publicznych skierowano w odniesieniu do 28 spraw objętych w 2022 r. kontrolą doraźną i kontrolą uprzednią.</w:t>
      </w:r>
    </w:p>
    <w:p w14:paraId="6BB21D2F" w14:textId="77777777" w:rsidR="00B85548" w:rsidRPr="00695942" w:rsidRDefault="00B85548" w:rsidP="00B85548">
      <w:pPr>
        <w:shd w:val="clear" w:color="auto" w:fill="FFFFFF"/>
      </w:pPr>
    </w:p>
    <w:p w14:paraId="2B1678EE" w14:textId="77777777" w:rsidR="00B85548" w:rsidRPr="00695942" w:rsidRDefault="00B85548" w:rsidP="00B85548">
      <w:pPr>
        <w:shd w:val="clear" w:color="auto" w:fill="FFFFFF"/>
      </w:pPr>
      <w:r w:rsidRPr="00695942">
        <w:t>Zawiadamiano rzecznika o stwierdzeniu naruszeń dyscypliny finansów publicznych polegających na:</w:t>
      </w:r>
    </w:p>
    <w:p w14:paraId="182A08D2" w14:textId="77777777" w:rsidR="00B85548" w:rsidRPr="00695942" w:rsidRDefault="00B85548" w:rsidP="00B85548">
      <w:pPr>
        <w:numPr>
          <w:ilvl w:val="0"/>
          <w:numId w:val="64"/>
        </w:numPr>
        <w:shd w:val="clear" w:color="auto" w:fill="FFFFFF"/>
      </w:pPr>
      <w:r w:rsidRPr="00695942">
        <w:t xml:space="preserve">zaniechaniu odrzucenia oferty lub wniosku o dopuszczenie do udziału w konkursie (10 zawiadomień), </w:t>
      </w:r>
    </w:p>
    <w:p w14:paraId="1FA12946" w14:textId="77777777" w:rsidR="00B85548" w:rsidRPr="00695942" w:rsidRDefault="00B85548" w:rsidP="00B85548">
      <w:pPr>
        <w:numPr>
          <w:ilvl w:val="0"/>
          <w:numId w:val="64"/>
        </w:numPr>
        <w:shd w:val="clear" w:color="auto" w:fill="FFFFFF"/>
      </w:pPr>
      <w:r w:rsidRPr="00695942">
        <w:t xml:space="preserve">opisaniu przedmiotu zamówienia z naruszeniem zasad uczciwej konkurencji (5 zawiadomień), </w:t>
      </w:r>
    </w:p>
    <w:p w14:paraId="04B912C3" w14:textId="77777777" w:rsidR="00B85548" w:rsidRPr="00695942" w:rsidRDefault="00B85548" w:rsidP="00B85548">
      <w:pPr>
        <w:numPr>
          <w:ilvl w:val="0"/>
          <w:numId w:val="64"/>
        </w:numPr>
        <w:shd w:val="clear" w:color="auto" w:fill="FFFFFF"/>
      </w:pPr>
      <w:r w:rsidRPr="00695942">
        <w:t>nieuprawnionym unieważnieniu postępowania o udzielenie zamówienia publicznego (5 zawiadomień),</w:t>
      </w:r>
    </w:p>
    <w:p w14:paraId="4B117C62" w14:textId="77777777" w:rsidR="00B85548" w:rsidRPr="00695942" w:rsidRDefault="00B85548" w:rsidP="00B85548">
      <w:pPr>
        <w:numPr>
          <w:ilvl w:val="0"/>
          <w:numId w:val="64"/>
        </w:numPr>
        <w:shd w:val="clear" w:color="auto" w:fill="FFFFFF"/>
      </w:pPr>
      <w:r w:rsidRPr="00695942">
        <w:t xml:space="preserve">niezasadnym stosowaniu trybu zamówienia z wolnej ręki (3 zawiadomienia), </w:t>
      </w:r>
    </w:p>
    <w:p w14:paraId="78DDA89E" w14:textId="77777777" w:rsidR="00B85548" w:rsidRPr="00695942" w:rsidRDefault="00B85548" w:rsidP="00B85548">
      <w:pPr>
        <w:numPr>
          <w:ilvl w:val="0"/>
          <w:numId w:val="64"/>
        </w:numPr>
        <w:shd w:val="clear" w:color="auto" w:fill="FFFFFF"/>
      </w:pPr>
      <w:r w:rsidRPr="00695942">
        <w:t xml:space="preserve">błędnym szacowaniu wartości zamówienia polegającego na podziale zamówienia lub zaniżeniu jego wartości w celu ominięcia stosowania ustawy Pzp do jego udzielenia (2 zawiadomienia), </w:t>
      </w:r>
    </w:p>
    <w:p w14:paraId="6A9AC09D" w14:textId="77777777" w:rsidR="00B85548" w:rsidRPr="00695942" w:rsidRDefault="00B85548" w:rsidP="00B85548">
      <w:pPr>
        <w:numPr>
          <w:ilvl w:val="0"/>
          <w:numId w:val="64"/>
        </w:numPr>
        <w:shd w:val="clear" w:color="auto" w:fill="FFFFFF"/>
      </w:pPr>
      <w:r w:rsidRPr="00695942">
        <w:t>nieprzekazaniu ogłoszenia o zamówieniu publicznym lub jego zmiany do publikacji do właściwego publikatora – Biuletynu Zamówień Publicznych (2 zawiadomienia),</w:t>
      </w:r>
    </w:p>
    <w:p w14:paraId="4DDC33C1" w14:textId="77777777" w:rsidR="00B85548" w:rsidRPr="00695942" w:rsidRDefault="00B85548" w:rsidP="00B85548">
      <w:pPr>
        <w:numPr>
          <w:ilvl w:val="0"/>
          <w:numId w:val="64"/>
        </w:numPr>
        <w:shd w:val="clear" w:color="auto" w:fill="FFFFFF"/>
      </w:pPr>
      <w:r w:rsidRPr="00695942">
        <w:t xml:space="preserve">ograniczeniu konkurencji poprzez </w:t>
      </w:r>
      <w:r w:rsidRPr="00695942">
        <w:rPr>
          <w:bCs/>
          <w:iCs/>
        </w:rPr>
        <w:t>zastrzeżenie w ogłoszeniu o zamówieniu, że o udzielenie zamówienia mogą ubiegać się wyłącznie wykonawcy zatrudniający osoby należące do grupy określonej w art. 22 ust. 2 pkt 2 ustawy Pzp</w:t>
      </w:r>
      <w:r>
        <w:rPr>
          <w:bCs/>
          <w:iCs/>
        </w:rPr>
        <w:t xml:space="preserve"> </w:t>
      </w:r>
      <w:r w:rsidRPr="00695942">
        <w:rPr>
          <w:bCs/>
          <w:iCs/>
        </w:rPr>
        <w:t>2004 w wysokości 100%</w:t>
      </w:r>
      <w:r w:rsidRPr="00695942">
        <w:rPr>
          <w:bCs/>
        </w:rPr>
        <w:t xml:space="preserve"> </w:t>
      </w:r>
      <w:r w:rsidRPr="00695942">
        <w:t xml:space="preserve">(1 zawiadomienie). </w:t>
      </w:r>
    </w:p>
    <w:p w14:paraId="63693EA1" w14:textId="77777777" w:rsidR="00695942" w:rsidRPr="00695942" w:rsidRDefault="00695942" w:rsidP="00695942">
      <w:pPr>
        <w:shd w:val="clear" w:color="auto" w:fill="FFFFFF"/>
      </w:pPr>
    </w:p>
    <w:p w14:paraId="5794A125" w14:textId="6CA84F3C" w:rsidR="00695942" w:rsidRPr="00695942" w:rsidRDefault="00695942" w:rsidP="00695942">
      <w:pPr>
        <w:shd w:val="clear" w:color="auto" w:fill="FFFFFF"/>
      </w:pPr>
      <w:r w:rsidRPr="00695942">
        <w:t xml:space="preserve">W wyniku rozpatrzenia 13 zawiadomień rzecznik poinformował Prezesa Urzędu o skierowaniu wniosku o ukaranie osoby obwinionej do komisji orzekającej z powodu nieuprawnionego unieważnienia postępowania (5 kontroli), zaniechania odrzucenia oferty (3 kontrole), niezasadnego stosowania trybu zamówienia z wolnej ręki (1 kontrola), opisania przedmiotu zamówienia z naruszeniem zasad uczciwej konkurencji (1 kontrola), podziale zamówienia lub zaniżeniu jego wartości w celu ominięcia stosowania ustawy Pzp (1 kontrola), nieprzekazaniu ogłoszenia o zamówieniu publicznym (1 kontrola) oraz ograniczeniu konkurencji poprzez </w:t>
      </w:r>
      <w:r w:rsidRPr="00695942">
        <w:rPr>
          <w:bCs/>
          <w:iCs/>
        </w:rPr>
        <w:t>zastrzeżenie w ogłoszeniu o zamówieniu, że o udzielenie zamówienia mogą ubiegać się wyłącznie wykonawcy zatrudniający osoby należące do grupy określonej w art. 22 ust. 2 pkt 2 ustawy Pzp</w:t>
      </w:r>
      <w:r w:rsidR="000C5EEA">
        <w:rPr>
          <w:bCs/>
          <w:iCs/>
        </w:rPr>
        <w:t xml:space="preserve"> </w:t>
      </w:r>
      <w:r w:rsidRPr="00695942">
        <w:rPr>
          <w:bCs/>
          <w:iCs/>
        </w:rPr>
        <w:t>2004 w wysokości 100%</w:t>
      </w:r>
      <w:r w:rsidRPr="00695942">
        <w:rPr>
          <w:bCs/>
        </w:rPr>
        <w:t xml:space="preserve"> </w:t>
      </w:r>
      <w:r w:rsidRPr="00695942">
        <w:t>(1 kontrola).</w:t>
      </w:r>
    </w:p>
    <w:p w14:paraId="7BF6EF8A" w14:textId="77777777" w:rsidR="00695942" w:rsidRPr="00695942" w:rsidRDefault="00695942" w:rsidP="00695942">
      <w:pPr>
        <w:shd w:val="clear" w:color="auto" w:fill="FFFFFF"/>
      </w:pPr>
    </w:p>
    <w:p w14:paraId="4B507EF0" w14:textId="016EB281" w:rsidR="00695942" w:rsidRPr="00695942" w:rsidRDefault="00695942" w:rsidP="00695942">
      <w:pPr>
        <w:shd w:val="clear" w:color="auto" w:fill="FFFFFF"/>
        <w:rPr>
          <w:i/>
        </w:rPr>
      </w:pPr>
      <w:r w:rsidRPr="00695942">
        <w:t xml:space="preserve">W 2 sprawach rzecznicy dyscypliny finansów publicznych odmówili wszczęcia postępowania wyjaśniającego lub umorzyli wszczęte postępowanie. W 1 przypadku rzecznik odmówił wszczęcia postępowania wyjaśniającego ze względu na przedawnienie karalności czynu. W </w:t>
      </w:r>
      <w:r w:rsidR="005173AE">
        <w:t>2</w:t>
      </w:r>
      <w:r w:rsidRPr="00695942">
        <w:t xml:space="preserve"> przypadku rzecznik uzasadnił wydane przez siebie postanowienie o umorzeniu postępowania wyjaśniającego brakiem znamion naruszenia dyscypliny finansów publicznych. </w:t>
      </w:r>
    </w:p>
    <w:p w14:paraId="6A229620" w14:textId="77777777" w:rsidR="00695942" w:rsidRPr="00695942" w:rsidRDefault="00695942" w:rsidP="00695942">
      <w:pPr>
        <w:shd w:val="clear" w:color="auto" w:fill="FFFFFF"/>
      </w:pPr>
      <w:r w:rsidRPr="00695942">
        <w:t>W zakresie 13 pozostałych zawiadomień rzecznicy nie poinformowali jeszcze Prezesa Urzędu o sposobie załatwienia sprawy.</w:t>
      </w:r>
    </w:p>
    <w:p w14:paraId="147F36BB" w14:textId="77777777" w:rsidR="000E402B" w:rsidRDefault="000E402B" w:rsidP="007D4DEB">
      <w:pPr>
        <w:shd w:val="clear" w:color="auto" w:fill="FFFFFF"/>
      </w:pPr>
    </w:p>
    <w:p w14:paraId="522652FA" w14:textId="234A26F3" w:rsidR="000E402B" w:rsidRDefault="000E402B" w:rsidP="007D4DEB">
      <w:pPr>
        <w:shd w:val="clear" w:color="auto" w:fill="FFFFFF"/>
      </w:pPr>
    </w:p>
    <w:tbl>
      <w:tblPr>
        <w:tblW w:w="0" w:type="auto"/>
        <w:tblInd w:w="374" w:type="dxa"/>
        <w:tblLayout w:type="fixed"/>
        <w:tblLook w:val="04A0" w:firstRow="1" w:lastRow="0" w:firstColumn="1" w:lastColumn="0" w:noHBand="0" w:noVBand="1"/>
      </w:tblPr>
      <w:tblGrid>
        <w:gridCol w:w="236"/>
        <w:gridCol w:w="8676"/>
      </w:tblGrid>
      <w:tr w:rsidR="000E402B" w:rsidRPr="00C62741" w14:paraId="013AEA10" w14:textId="77777777" w:rsidTr="00FF35EB">
        <w:trPr>
          <w:cantSplit/>
        </w:trPr>
        <w:tc>
          <w:tcPr>
            <w:tcW w:w="236" w:type="dxa"/>
            <w:shd w:val="clear" w:color="auto" w:fill="B8CCE4"/>
          </w:tcPr>
          <w:p w14:paraId="16E516A3" w14:textId="77777777" w:rsidR="000E402B" w:rsidRPr="000B73A3" w:rsidRDefault="000E402B" w:rsidP="00FF35EB">
            <w:pPr>
              <w:rPr>
                <w:rFonts w:cs="Arial"/>
                <w:szCs w:val="22"/>
              </w:rPr>
            </w:pPr>
          </w:p>
        </w:tc>
        <w:tc>
          <w:tcPr>
            <w:tcW w:w="8676" w:type="dxa"/>
          </w:tcPr>
          <w:p w14:paraId="6DA22A3A" w14:textId="5AF75015" w:rsidR="000E402B" w:rsidRPr="0063451D" w:rsidRDefault="000E402B" w:rsidP="000E402B">
            <w:pPr>
              <w:pStyle w:val="Nagwek3"/>
              <w:shd w:val="clear" w:color="auto" w:fill="FFFFFF"/>
              <w:spacing w:after="120"/>
              <w:ind w:left="709" w:hanging="709"/>
              <w:rPr>
                <w:rFonts w:cs="Arial"/>
                <w:color w:val="0070C0"/>
                <w:sz w:val="24"/>
                <w:szCs w:val="24"/>
              </w:rPr>
            </w:pPr>
            <w:bookmarkStart w:id="211" w:name="_Toc64451883"/>
            <w:bookmarkStart w:id="212" w:name="_Toc141276459"/>
            <w:r w:rsidRPr="0063451D">
              <w:rPr>
                <w:rFonts w:cs="Arial"/>
                <w:color w:val="0070C0"/>
                <w:sz w:val="24"/>
                <w:szCs w:val="24"/>
              </w:rPr>
              <w:t>III.1.6. Działania związane z informatyzacją systemu zamówień publicznych</w:t>
            </w:r>
            <w:bookmarkEnd w:id="211"/>
            <w:bookmarkEnd w:id="212"/>
          </w:p>
        </w:tc>
      </w:tr>
    </w:tbl>
    <w:p w14:paraId="4C320602" w14:textId="77777777" w:rsidR="000E402B" w:rsidRDefault="000E402B" w:rsidP="000E402B">
      <w:pPr>
        <w:shd w:val="clear" w:color="auto" w:fill="FFFFFF"/>
        <w:rPr>
          <w:rFonts w:cs="Arial"/>
          <w:szCs w:val="22"/>
        </w:rPr>
      </w:pPr>
    </w:p>
    <w:p w14:paraId="5CFC5601" w14:textId="77777777" w:rsidR="00EC0FE2" w:rsidRPr="00420458" w:rsidRDefault="00EC0FE2" w:rsidP="00E16264">
      <w:pPr>
        <w:pStyle w:val="StylArial11ptWyjustowany"/>
        <w:numPr>
          <w:ilvl w:val="0"/>
          <w:numId w:val="7"/>
        </w:numPr>
        <w:shd w:val="clear" w:color="auto" w:fill="FFFFFF"/>
        <w:jc w:val="left"/>
        <w:rPr>
          <w:rFonts w:cs="Arial"/>
          <w:b/>
          <w:iCs/>
          <w:color w:val="0070C0"/>
          <w:szCs w:val="22"/>
        </w:rPr>
      </w:pPr>
      <w:r w:rsidRPr="00420458">
        <w:rPr>
          <w:rFonts w:cs="Arial"/>
          <w:b/>
          <w:iCs/>
          <w:color w:val="0070C0"/>
          <w:szCs w:val="22"/>
        </w:rPr>
        <w:t>Platforma e-Zamówienia</w:t>
      </w:r>
    </w:p>
    <w:p w14:paraId="478666AC" w14:textId="79D8ABC6" w:rsidR="000E402B" w:rsidRDefault="000E402B" w:rsidP="000E402B">
      <w:pPr>
        <w:shd w:val="clear" w:color="auto" w:fill="FFFFFF"/>
        <w:rPr>
          <w:rFonts w:cs="Arial"/>
          <w:bCs/>
          <w:szCs w:val="22"/>
        </w:rPr>
      </w:pPr>
    </w:p>
    <w:p w14:paraId="0610022C" w14:textId="77777777" w:rsidR="00EC0FE2" w:rsidRPr="00EC0FE2" w:rsidRDefault="00EC0FE2" w:rsidP="00EC0FE2">
      <w:pPr>
        <w:shd w:val="clear" w:color="auto" w:fill="FFFFFF"/>
        <w:rPr>
          <w:rFonts w:cs="Arial"/>
          <w:bCs/>
          <w:szCs w:val="22"/>
        </w:rPr>
      </w:pPr>
      <w:r w:rsidRPr="00EC0FE2">
        <w:rPr>
          <w:rFonts w:cs="Arial"/>
          <w:bCs/>
          <w:szCs w:val="22"/>
        </w:rPr>
        <w:t xml:space="preserve">W 2022 r. kontynuowano realizację umowy z dnia 31 marca 2020 r. na zaprojektowanie, budowę, wdrożenie Platformy e-Zamówienia wraz z usługą nadzoru autorskiego nad eksploatacją Platformy e-Zamówienia w okresie stabilizacji oraz usługę utrzymania przez okres 12 miesięcy. </w:t>
      </w:r>
    </w:p>
    <w:p w14:paraId="2F3010C7" w14:textId="77777777" w:rsidR="00EC0FE2" w:rsidRPr="00EC0FE2" w:rsidRDefault="00EC0FE2" w:rsidP="00EC0FE2">
      <w:pPr>
        <w:shd w:val="clear" w:color="auto" w:fill="FFFFFF"/>
        <w:rPr>
          <w:rFonts w:cs="Arial"/>
          <w:bCs/>
          <w:szCs w:val="22"/>
        </w:rPr>
      </w:pPr>
    </w:p>
    <w:p w14:paraId="62005E02" w14:textId="36A2E986" w:rsidR="00EC0FE2" w:rsidRPr="00EC0FE2" w:rsidRDefault="00EC0FE2" w:rsidP="00EC0FE2">
      <w:pPr>
        <w:shd w:val="clear" w:color="auto" w:fill="FFFFFF"/>
        <w:rPr>
          <w:rFonts w:cs="Arial"/>
          <w:bCs/>
          <w:szCs w:val="22"/>
        </w:rPr>
      </w:pPr>
      <w:r w:rsidRPr="00EC0FE2">
        <w:rPr>
          <w:rFonts w:cs="Arial"/>
          <w:bCs/>
          <w:szCs w:val="22"/>
        </w:rPr>
        <w:t xml:space="preserve">Głównym celem zaimplementowanych na Platformie e-Zamówienia funkcjonalności jest ułatwienie i skrócenie przebiegu czynności podejmowanych w ramach postępowania o udzielenie zamówienia publicznego przeprowadzanego zgodnie z ustawą </w:t>
      </w:r>
      <w:r w:rsidR="00D12BCA" w:rsidRPr="00EC0FE2">
        <w:rPr>
          <w:rFonts w:cs="Arial"/>
          <w:bCs/>
          <w:szCs w:val="22"/>
        </w:rPr>
        <w:t>P</w:t>
      </w:r>
      <w:r w:rsidR="00D12BCA">
        <w:rPr>
          <w:rFonts w:cs="Arial"/>
          <w:bCs/>
          <w:szCs w:val="22"/>
        </w:rPr>
        <w:t>zp</w:t>
      </w:r>
      <w:r w:rsidRPr="00EC0FE2">
        <w:rPr>
          <w:rFonts w:cs="Arial"/>
          <w:bCs/>
          <w:szCs w:val="22"/>
        </w:rPr>
        <w:t>, co stanowi korzyść, zarówno dla wykonawców, jak i zamawiających.</w:t>
      </w:r>
    </w:p>
    <w:p w14:paraId="43236A03" w14:textId="77777777" w:rsidR="00EC0FE2" w:rsidRPr="00EC0FE2" w:rsidRDefault="00EC0FE2" w:rsidP="00EC0FE2">
      <w:pPr>
        <w:shd w:val="clear" w:color="auto" w:fill="FFFFFF"/>
        <w:rPr>
          <w:rFonts w:cs="Arial"/>
          <w:bCs/>
          <w:szCs w:val="22"/>
        </w:rPr>
      </w:pPr>
    </w:p>
    <w:p w14:paraId="40A6D586" w14:textId="77777777" w:rsidR="00EC0FE2" w:rsidRPr="00EC0FE2" w:rsidRDefault="00EC0FE2" w:rsidP="00EC0FE2">
      <w:pPr>
        <w:shd w:val="clear" w:color="auto" w:fill="FFFFFF"/>
        <w:rPr>
          <w:rFonts w:cs="Arial"/>
          <w:bCs/>
          <w:szCs w:val="22"/>
        </w:rPr>
      </w:pPr>
      <w:r w:rsidRPr="00EC0FE2">
        <w:rPr>
          <w:rFonts w:cs="Arial"/>
          <w:bCs/>
          <w:szCs w:val="22"/>
        </w:rPr>
        <w:t xml:space="preserve">Dodatkowo Platforma e-Zamówienia przyczynia się do zwiększenia dostępu do informacji dla wykonawców o prowadzonych postępowaniach krajowych i unijnych oraz dostarcza narzędzi analitycznych i raportowych wszystkim interesariuszom niebiorącym bezpośrednio udziału w procesie udzielania zamówień publicznych. </w:t>
      </w:r>
    </w:p>
    <w:p w14:paraId="5B5A46C0" w14:textId="77777777" w:rsidR="00EC0FE2" w:rsidRPr="00EC0FE2" w:rsidRDefault="00EC0FE2" w:rsidP="00EC0FE2">
      <w:pPr>
        <w:shd w:val="clear" w:color="auto" w:fill="FFFFFF"/>
        <w:rPr>
          <w:rFonts w:cs="Arial"/>
          <w:bCs/>
          <w:szCs w:val="22"/>
        </w:rPr>
      </w:pPr>
    </w:p>
    <w:p w14:paraId="3159221F" w14:textId="77777777" w:rsidR="00EC0FE2" w:rsidRPr="00EC0FE2" w:rsidRDefault="00EC0FE2" w:rsidP="00EC0FE2">
      <w:pPr>
        <w:shd w:val="clear" w:color="auto" w:fill="FFFFFF"/>
        <w:rPr>
          <w:rFonts w:cs="Arial"/>
          <w:bCs/>
          <w:szCs w:val="22"/>
        </w:rPr>
      </w:pPr>
      <w:r w:rsidRPr="00EC0FE2">
        <w:rPr>
          <w:rFonts w:cs="Arial"/>
          <w:bCs/>
          <w:szCs w:val="22"/>
        </w:rPr>
        <w:t>W kwietniu 2022 r. wszystkim zamawiającym zostały udostępnione usługi komunikacji elektronicznej i wymiany informacji przez interesariuszy postępowań prowadzonych na Platformie e-Zamówienia we wszystkich etapach postępowania o udzielenie zamówienia publicznego (MOW: Moduł Ofert/Wniosków/Prac konkursowych). Moduł ten odpowiedzialny jest za kompleksową obsługę ofert, wniosków oraz prac konkursowych. Umożliwia zamawiającemu przygotowanie dedykowanego konkretnemu postępowaniu formularza ofertowego/wniosku/pracy konkursowej oraz JEDZ, a wykonawcy prawidłowe uzupełnienie tych formularzy. Wspiera również wykonawców w aspektach technicznych przygotowania pliku oferty/wniosku/pracy konkursowej (scalenie, zaszyfrowanie) i jego złożenia poprzez Platformę e-Zamówienia; generuje potwierdzenia przyjęcia/odbioru/wycofania dokumentu, tzw. Elektroniczne Potwierdzenie Przyjęcia (EPP), Elektroniczne Potwierdzenie Otrzymania (EPO) i Elektroniczne Potwierdzenie Wycofania (EPW). Moduł zapewnia bezpieczne przechowanie ofert/wniosków/prac konkursowych do terminu otwarcia oraz umożliwia ich otwarcie (odszyfrowanie), generuje także informację z otwarcia ofert w oparciu o ustrukturyzowane dane z formularza ofertowego. Dzięki zastosowaniu narzędzi kryptograficznych uniemożliwia zapoznanie się ze złożonymi ofertami/wnioskami/pracami konkursowymi przed upływem terminu ich otwarcia.</w:t>
      </w:r>
    </w:p>
    <w:p w14:paraId="437EC818" w14:textId="77777777" w:rsidR="00EC0FE2" w:rsidRPr="00EC0FE2" w:rsidRDefault="00EC0FE2" w:rsidP="00EC0FE2">
      <w:pPr>
        <w:shd w:val="clear" w:color="auto" w:fill="FFFFFF"/>
        <w:rPr>
          <w:rFonts w:cs="Arial"/>
          <w:bCs/>
          <w:szCs w:val="22"/>
        </w:rPr>
      </w:pPr>
    </w:p>
    <w:p w14:paraId="71CF0979" w14:textId="77777777" w:rsidR="00EC0FE2" w:rsidRPr="00EC0FE2" w:rsidRDefault="00EC0FE2" w:rsidP="00EC0FE2">
      <w:pPr>
        <w:shd w:val="clear" w:color="auto" w:fill="FFFFFF"/>
        <w:rPr>
          <w:rFonts w:cs="Arial"/>
          <w:bCs/>
          <w:szCs w:val="22"/>
        </w:rPr>
      </w:pPr>
      <w:r w:rsidRPr="00EC0FE2">
        <w:rPr>
          <w:rFonts w:cs="Arial"/>
          <w:bCs/>
          <w:szCs w:val="22"/>
        </w:rPr>
        <w:t>Na Platformie e-Zamówienia wprowadzono również usługę subskrypcji ogłoszeń zamieszczonych w BZP oraz usługę subskrypcji na zdarzenia w postępowaniu. Usługi te są skierowane przede wszystkim do przedsiębiorców zainteresowanych otrzymywaniem informacji o wszczętych postępowaniach, w których mogą wziąć udział.</w:t>
      </w:r>
    </w:p>
    <w:p w14:paraId="2EAB4F1C" w14:textId="77777777" w:rsidR="00EC0FE2" w:rsidRPr="00EC0FE2" w:rsidRDefault="00EC0FE2" w:rsidP="00EC0FE2">
      <w:pPr>
        <w:shd w:val="clear" w:color="auto" w:fill="FFFFFF"/>
        <w:rPr>
          <w:rFonts w:cs="Arial"/>
          <w:bCs/>
          <w:szCs w:val="22"/>
        </w:rPr>
      </w:pPr>
    </w:p>
    <w:p w14:paraId="7D06AB3A" w14:textId="77777777" w:rsidR="00EC0FE2" w:rsidRPr="00EC0FE2" w:rsidRDefault="00EC0FE2" w:rsidP="00EC0FE2">
      <w:pPr>
        <w:shd w:val="clear" w:color="auto" w:fill="FFFFFF"/>
        <w:rPr>
          <w:rFonts w:cs="Arial"/>
          <w:bCs/>
          <w:szCs w:val="22"/>
        </w:rPr>
      </w:pPr>
      <w:r w:rsidRPr="00EC0FE2">
        <w:rPr>
          <w:rFonts w:cs="Arial"/>
          <w:bCs/>
          <w:szCs w:val="22"/>
        </w:rPr>
        <w:t>Ponadto w wyniku realizacji budowy Platformy e-Zamówienia udostępniono Moduł Monitorowania i Analiz (MMiA), który pozwala, zarówno na bieżące śledzenie informacji o postępowaniach, jak i na dokonywanie analiz rynku zamówień publicznych. Dzięki zaawansowanym narzędziom klasy Business Intelligence (BI) moduł ten zapewnia dostęp do informacji na temat poszczególnych postępowań, przegląd aktywności konkretnych uczestników rynku zamówień publicznych w ujęciu jednostkowym lub zagregowanych wg wybranych kryteriów.</w:t>
      </w:r>
    </w:p>
    <w:p w14:paraId="03E3C9E8" w14:textId="77777777" w:rsidR="00EC0FE2" w:rsidRPr="00EC0FE2" w:rsidRDefault="00EC0FE2" w:rsidP="00EC0FE2">
      <w:pPr>
        <w:shd w:val="clear" w:color="auto" w:fill="FFFFFF"/>
        <w:rPr>
          <w:rFonts w:cs="Arial"/>
          <w:bCs/>
          <w:szCs w:val="22"/>
        </w:rPr>
      </w:pPr>
    </w:p>
    <w:p w14:paraId="54C58A3E" w14:textId="77777777" w:rsidR="00EC0FE2" w:rsidRPr="00EC0FE2" w:rsidRDefault="00EC0FE2" w:rsidP="00EC0FE2">
      <w:pPr>
        <w:shd w:val="clear" w:color="auto" w:fill="FFFFFF"/>
        <w:rPr>
          <w:rFonts w:cs="Arial"/>
          <w:bCs/>
          <w:szCs w:val="22"/>
        </w:rPr>
      </w:pPr>
      <w:r w:rsidRPr="00EC0FE2">
        <w:rPr>
          <w:rFonts w:cs="Arial"/>
          <w:bCs/>
          <w:szCs w:val="22"/>
        </w:rPr>
        <w:t>W ramach tego modułu Platforma e-Zamówienia udostępnia m.in.:</w:t>
      </w:r>
    </w:p>
    <w:p w14:paraId="395558DF" w14:textId="77777777" w:rsidR="00EC0FE2" w:rsidRPr="00EC0FE2" w:rsidRDefault="00EC0FE2" w:rsidP="00E16264">
      <w:pPr>
        <w:numPr>
          <w:ilvl w:val="0"/>
          <w:numId w:val="49"/>
        </w:numPr>
        <w:shd w:val="clear" w:color="auto" w:fill="FFFFFF"/>
        <w:rPr>
          <w:rFonts w:cs="Arial"/>
          <w:bCs/>
          <w:szCs w:val="22"/>
        </w:rPr>
      </w:pPr>
      <w:r w:rsidRPr="00EC0FE2">
        <w:rPr>
          <w:rFonts w:cs="Arial"/>
          <w:bCs/>
          <w:szCs w:val="22"/>
        </w:rPr>
        <w:t>Raport z ogłoszeń opublikowanych w BZP i Dz. Urz. UE;</w:t>
      </w:r>
    </w:p>
    <w:p w14:paraId="1A3F2F84" w14:textId="77777777" w:rsidR="00EC0FE2" w:rsidRPr="00EC0FE2" w:rsidRDefault="00EC0FE2" w:rsidP="00E16264">
      <w:pPr>
        <w:numPr>
          <w:ilvl w:val="0"/>
          <w:numId w:val="49"/>
        </w:numPr>
        <w:shd w:val="clear" w:color="auto" w:fill="FFFFFF"/>
        <w:rPr>
          <w:rFonts w:cs="Arial"/>
          <w:bCs/>
          <w:szCs w:val="22"/>
        </w:rPr>
      </w:pPr>
      <w:r w:rsidRPr="00EC0FE2">
        <w:rPr>
          <w:rFonts w:cs="Arial"/>
          <w:bCs/>
          <w:szCs w:val="22"/>
        </w:rPr>
        <w:t>Raport zamówień zrównoważonych oraz innowacyjnych z ogłoszeń opublikowanych w BZP i Dz. Urz. UE;</w:t>
      </w:r>
    </w:p>
    <w:p w14:paraId="050E9FE4" w14:textId="77777777" w:rsidR="00EC0FE2" w:rsidRPr="00EC0FE2" w:rsidRDefault="00EC0FE2" w:rsidP="00E16264">
      <w:pPr>
        <w:numPr>
          <w:ilvl w:val="0"/>
          <w:numId w:val="49"/>
        </w:numPr>
        <w:shd w:val="clear" w:color="auto" w:fill="FFFFFF"/>
        <w:rPr>
          <w:rFonts w:cs="Arial"/>
          <w:bCs/>
          <w:szCs w:val="22"/>
        </w:rPr>
      </w:pPr>
      <w:r w:rsidRPr="00EC0FE2">
        <w:rPr>
          <w:rFonts w:cs="Arial"/>
          <w:bCs/>
          <w:szCs w:val="22"/>
        </w:rPr>
        <w:t>Raport ze zdarzeń w postępowaniu dostępny dla użytkownika Zamawiającego posiadającego odpowiednie uprawnienia;</w:t>
      </w:r>
    </w:p>
    <w:p w14:paraId="1D18A581" w14:textId="77777777" w:rsidR="00EC0FE2" w:rsidRPr="00EC0FE2" w:rsidRDefault="00EC0FE2" w:rsidP="00E16264">
      <w:pPr>
        <w:numPr>
          <w:ilvl w:val="0"/>
          <w:numId w:val="49"/>
        </w:numPr>
        <w:shd w:val="clear" w:color="auto" w:fill="FFFFFF"/>
        <w:rPr>
          <w:rFonts w:cs="Arial"/>
          <w:bCs/>
          <w:szCs w:val="22"/>
        </w:rPr>
      </w:pPr>
      <w:r w:rsidRPr="00EC0FE2">
        <w:rPr>
          <w:rFonts w:cs="Arial"/>
          <w:bCs/>
          <w:szCs w:val="22"/>
        </w:rPr>
        <w:t>Raport danych ogólnych o funkcjonowaniu rynku zamówień publicznych w Polsce.</w:t>
      </w:r>
    </w:p>
    <w:p w14:paraId="5591F7C4" w14:textId="496A2FAE" w:rsidR="00EC0FE2" w:rsidRPr="00EC0FE2" w:rsidRDefault="00EC0FE2" w:rsidP="00EC0FE2">
      <w:pPr>
        <w:shd w:val="clear" w:color="auto" w:fill="FFFFFF"/>
        <w:rPr>
          <w:rFonts w:cs="Arial"/>
          <w:bCs/>
          <w:szCs w:val="22"/>
        </w:rPr>
      </w:pPr>
      <w:r w:rsidRPr="00EC0FE2">
        <w:rPr>
          <w:rFonts w:cs="Arial"/>
          <w:bCs/>
          <w:szCs w:val="22"/>
        </w:rPr>
        <w:t>Moduł umożliwia przeglądanie danych bezpośrednio zgromadzonych na Platformie e-Zamówienia.</w:t>
      </w:r>
    </w:p>
    <w:p w14:paraId="5BDAF2FE" w14:textId="77777777" w:rsidR="00EC0FE2" w:rsidRPr="00EC0FE2" w:rsidRDefault="00EC0FE2" w:rsidP="00EC0FE2">
      <w:pPr>
        <w:shd w:val="clear" w:color="auto" w:fill="FFFFFF"/>
        <w:rPr>
          <w:rFonts w:cs="Arial"/>
          <w:bCs/>
          <w:szCs w:val="22"/>
        </w:rPr>
      </w:pPr>
    </w:p>
    <w:p w14:paraId="79A8DD7A" w14:textId="609BD80B" w:rsidR="00EC0FE2" w:rsidRPr="00EC0FE2" w:rsidRDefault="00EC0FE2" w:rsidP="00EC0FE2">
      <w:pPr>
        <w:shd w:val="clear" w:color="auto" w:fill="FFFFFF"/>
        <w:rPr>
          <w:rFonts w:cs="Arial"/>
          <w:bCs/>
          <w:szCs w:val="22"/>
        </w:rPr>
      </w:pPr>
      <w:r w:rsidRPr="00EC0FE2">
        <w:rPr>
          <w:rFonts w:cs="Arial"/>
          <w:bCs/>
          <w:szCs w:val="22"/>
        </w:rPr>
        <w:t>Platforma e-Zamówienia udostępnia również usługę eSender,</w:t>
      </w:r>
      <w:r w:rsidRPr="00EC0FE2">
        <w:rPr>
          <w:rFonts w:cs="Arial"/>
          <w:b/>
          <w:bCs/>
          <w:szCs w:val="22"/>
        </w:rPr>
        <w:t xml:space="preserve"> </w:t>
      </w:r>
      <w:r w:rsidRPr="00EC0FE2">
        <w:rPr>
          <w:rFonts w:cs="Arial"/>
          <w:bCs/>
          <w:szCs w:val="22"/>
        </w:rPr>
        <w:t xml:space="preserve">umożliwiającą przekazywanie do publikacji w TED ogłoszeń unijnych z poziomu </w:t>
      </w:r>
      <w:r w:rsidR="00F550B4">
        <w:rPr>
          <w:rFonts w:cs="Arial"/>
          <w:bCs/>
          <w:szCs w:val="22"/>
        </w:rPr>
        <w:t>P</w:t>
      </w:r>
      <w:r w:rsidRPr="00EC0FE2">
        <w:rPr>
          <w:rFonts w:cs="Arial"/>
          <w:bCs/>
          <w:szCs w:val="22"/>
        </w:rPr>
        <w:t xml:space="preserve">latformy e-Zamówienia przygotowanych zgodnie z zaimplementowanymi wzorami ogłoszeń unijnych oraz pobieranie potwierdzeń publikacji ogłoszenia w Dzienniku Urzędowym UE. </w:t>
      </w:r>
    </w:p>
    <w:p w14:paraId="5E457E0A" w14:textId="77777777" w:rsidR="00EC0FE2" w:rsidRPr="00EC0FE2" w:rsidRDefault="00EC0FE2" w:rsidP="00EC0FE2">
      <w:pPr>
        <w:shd w:val="clear" w:color="auto" w:fill="FFFFFF"/>
        <w:rPr>
          <w:rFonts w:cs="Arial"/>
          <w:bCs/>
          <w:szCs w:val="22"/>
        </w:rPr>
      </w:pPr>
    </w:p>
    <w:p w14:paraId="2B01350E" w14:textId="77777777" w:rsidR="00EC0FE2" w:rsidRPr="00EC0FE2" w:rsidRDefault="00EC0FE2" w:rsidP="00EC0FE2">
      <w:pPr>
        <w:shd w:val="clear" w:color="auto" w:fill="FFFFFF"/>
        <w:rPr>
          <w:rFonts w:cs="Arial"/>
          <w:bCs/>
          <w:szCs w:val="22"/>
        </w:rPr>
      </w:pPr>
      <w:r w:rsidRPr="00EC0FE2">
        <w:rPr>
          <w:rFonts w:cs="Arial"/>
          <w:bCs/>
          <w:szCs w:val="22"/>
        </w:rPr>
        <w:t>Dodatkowo Platforma e-Zamówienia udostępnia API do: integracji z portalami zewnętrznymi; odczytu ogłoszeń i statystyk dot. ogłoszeń z BZP (API BZP WebService); uwierzytelnienia użytkowników z wykorzystaniem modułu MT Platformy e-Zamówienia (API MT); przekazywania ogłoszeń do publikacji w BZP (API MO); przekazywania planu postępowań do publikacji w BZP (API PP); przekazywania i korekta rocznego sprawozdania (API MMIA); generowania unikalnego identyfikatora postępowania OCID (API CRD); przekazania informacji o zdarzeniu dot. postępowania do umieszczenia w repozytorium danych zgodnych z OCDS (API CRD).</w:t>
      </w:r>
    </w:p>
    <w:p w14:paraId="685D1162" w14:textId="77777777" w:rsidR="00EC0FE2" w:rsidRPr="00EC0FE2" w:rsidRDefault="00EC0FE2" w:rsidP="00EC0FE2">
      <w:pPr>
        <w:shd w:val="clear" w:color="auto" w:fill="FFFFFF"/>
        <w:rPr>
          <w:rFonts w:cs="Arial"/>
          <w:bCs/>
          <w:szCs w:val="22"/>
        </w:rPr>
      </w:pPr>
    </w:p>
    <w:p w14:paraId="5570B863" w14:textId="2BFBCC49" w:rsidR="00EC0FE2" w:rsidRPr="00EC0FE2" w:rsidRDefault="00EC0FE2" w:rsidP="00EC0FE2">
      <w:pPr>
        <w:shd w:val="clear" w:color="auto" w:fill="FFFFFF"/>
        <w:rPr>
          <w:rFonts w:cs="Arial"/>
          <w:bCs/>
          <w:szCs w:val="22"/>
        </w:rPr>
      </w:pPr>
      <w:r w:rsidRPr="00EC0FE2">
        <w:rPr>
          <w:rFonts w:cs="Arial"/>
          <w:bCs/>
          <w:szCs w:val="22"/>
        </w:rPr>
        <w:t>28 października 2022 r. dokonano o</w:t>
      </w:r>
      <w:r w:rsidR="00F550B4">
        <w:rPr>
          <w:rFonts w:cs="Arial"/>
          <w:bCs/>
          <w:szCs w:val="22"/>
        </w:rPr>
        <w:t>d</w:t>
      </w:r>
      <w:r w:rsidRPr="00EC0FE2">
        <w:rPr>
          <w:rFonts w:cs="Arial"/>
          <w:bCs/>
          <w:szCs w:val="22"/>
        </w:rPr>
        <w:t>bioru końcowego Platformy e-Zamówienia i tym samym rozpoczął się okres utrzymania. Platforma e-Zamówienia powstawała w ramach projektu „e-Zamówienia – elektroniczne zamówienia publiczne” realizowanego w zakresie Programu Operacyjnego Polska Cyfrowa na lata 2014</w:t>
      </w:r>
      <w:r w:rsidR="00447DF9" w:rsidRPr="00447DF9">
        <w:rPr>
          <w:rFonts w:cs="Arial"/>
          <w:bCs/>
          <w:szCs w:val="22"/>
        </w:rPr>
        <w:t>–</w:t>
      </w:r>
      <w:r w:rsidRPr="00EC0FE2">
        <w:rPr>
          <w:rFonts w:cs="Arial"/>
          <w:bCs/>
          <w:szCs w:val="22"/>
        </w:rPr>
        <w:t>2020, Oś priorytetowa nr 2 „E-administracja i otwarty rząd”, Działanie nr 2.1 „Wysoka dostępność i jakość e-usług publicznych”.</w:t>
      </w:r>
    </w:p>
    <w:p w14:paraId="0842CF1B" w14:textId="43223A0F" w:rsidR="00EC0FE2" w:rsidRDefault="00EC0FE2" w:rsidP="000E402B">
      <w:pPr>
        <w:shd w:val="clear" w:color="auto" w:fill="FFFFFF"/>
        <w:rPr>
          <w:rFonts w:cs="Arial"/>
          <w:bCs/>
          <w:szCs w:val="22"/>
        </w:rPr>
      </w:pPr>
    </w:p>
    <w:p w14:paraId="131A1A82" w14:textId="6B77A485" w:rsidR="005C2187" w:rsidRDefault="005C2187" w:rsidP="000E402B">
      <w:pPr>
        <w:shd w:val="clear" w:color="auto" w:fill="FFFFFF"/>
        <w:rPr>
          <w:rFonts w:cs="Arial"/>
          <w:bCs/>
          <w:szCs w:val="22"/>
        </w:rPr>
      </w:pPr>
    </w:p>
    <w:p w14:paraId="6AB9B6B3" w14:textId="77777777" w:rsidR="005C2187" w:rsidRPr="00420458" w:rsidRDefault="005C2187" w:rsidP="00E16264">
      <w:pPr>
        <w:pStyle w:val="StylArial11ptWyjustowany"/>
        <w:numPr>
          <w:ilvl w:val="0"/>
          <w:numId w:val="7"/>
        </w:numPr>
        <w:shd w:val="clear" w:color="auto" w:fill="FFFFFF"/>
        <w:jc w:val="left"/>
        <w:rPr>
          <w:rFonts w:cs="Arial"/>
          <w:b/>
          <w:iCs/>
          <w:color w:val="0070C0"/>
          <w:szCs w:val="22"/>
        </w:rPr>
      </w:pPr>
      <w:r w:rsidRPr="00420458">
        <w:rPr>
          <w:rFonts w:cs="Arial"/>
          <w:b/>
          <w:iCs/>
          <w:color w:val="0070C0"/>
          <w:szCs w:val="22"/>
        </w:rPr>
        <w:t>miniPortal</w:t>
      </w:r>
    </w:p>
    <w:p w14:paraId="67EF8477" w14:textId="71A2D953" w:rsidR="005C2187" w:rsidRDefault="005C2187" w:rsidP="000E402B">
      <w:pPr>
        <w:shd w:val="clear" w:color="auto" w:fill="FFFFFF"/>
        <w:rPr>
          <w:rFonts w:cs="Arial"/>
          <w:bCs/>
          <w:szCs w:val="22"/>
        </w:rPr>
      </w:pPr>
    </w:p>
    <w:p w14:paraId="74E5B54A" w14:textId="31C6A9D7" w:rsidR="00E73C87" w:rsidRPr="00E73C87" w:rsidRDefault="00E73C87" w:rsidP="00E73C87">
      <w:pPr>
        <w:shd w:val="clear" w:color="auto" w:fill="FFFFFF"/>
        <w:rPr>
          <w:rFonts w:cs="Arial"/>
          <w:bCs/>
          <w:szCs w:val="22"/>
        </w:rPr>
      </w:pPr>
      <w:r w:rsidRPr="00E73C87">
        <w:rPr>
          <w:rFonts w:cs="Arial"/>
          <w:bCs/>
          <w:szCs w:val="22"/>
        </w:rPr>
        <w:t xml:space="preserve">2022 rok był ostatnim rokiem, kiedy Zamawiający mieli możliwość prowadzenia postępowań we wszystkich trybach na miniPortalu, bezpłatnym narzędziu do elektronicznej komunikacji pomiędzy zamawiającymi a wykonawcami. </w:t>
      </w:r>
      <w:r w:rsidR="0066080E">
        <w:rPr>
          <w:rFonts w:cs="Arial"/>
          <w:bCs/>
          <w:szCs w:val="22"/>
        </w:rPr>
        <w:t>M</w:t>
      </w:r>
      <w:r w:rsidRPr="00E73C87">
        <w:rPr>
          <w:rFonts w:cs="Arial"/>
          <w:bCs/>
          <w:szCs w:val="22"/>
        </w:rPr>
        <w:t>iniPortal umożliwiał prowadzenie zamówień publicznych z wykorzystaniem narzędzi elektronicznych i publicznych usług funkcjonujących w państwowych zasobach, tj. BZP i usług e-PUAP. Po publikacji odpowiedniego ogłoszenia wszczynającego postępowanie w Biuletynie Zamówień Publicznych lub Dzienniku Urzędowym Unii Europejskiej Zamawiający mogli zarejestrować na miniPortalu postępowanie, w którym Wykonawcy szyfrowali oferty, a Zamawiający po upłynięciu terminu na ich otwarcie mogli je deszyfrować.</w:t>
      </w:r>
    </w:p>
    <w:p w14:paraId="2B68DA1C" w14:textId="77777777" w:rsidR="00E73C87" w:rsidRPr="00E73C87" w:rsidRDefault="00E73C87" w:rsidP="00E73C87">
      <w:pPr>
        <w:shd w:val="clear" w:color="auto" w:fill="FFFFFF"/>
        <w:rPr>
          <w:rFonts w:cs="Arial"/>
          <w:bCs/>
          <w:szCs w:val="22"/>
        </w:rPr>
      </w:pPr>
    </w:p>
    <w:p w14:paraId="70843252" w14:textId="474EA77D" w:rsidR="00E73C87" w:rsidRPr="00E73C87" w:rsidRDefault="00E73C87" w:rsidP="00E73C87">
      <w:pPr>
        <w:shd w:val="clear" w:color="auto" w:fill="FFFFFF"/>
        <w:rPr>
          <w:rFonts w:cs="Arial"/>
          <w:bCs/>
          <w:szCs w:val="22"/>
        </w:rPr>
      </w:pPr>
      <w:r w:rsidRPr="00E73C87">
        <w:rPr>
          <w:rFonts w:cs="Arial"/>
          <w:bCs/>
          <w:szCs w:val="22"/>
        </w:rPr>
        <w:t>Za pośrednictwem miniPortalu w 20</w:t>
      </w:r>
      <w:r w:rsidR="005B50CD">
        <w:rPr>
          <w:rFonts w:cs="Arial"/>
          <w:bCs/>
          <w:szCs w:val="22"/>
        </w:rPr>
        <w:t>22 r. opublikowanych zostało 58 </w:t>
      </w:r>
      <w:r w:rsidRPr="00E73C87">
        <w:rPr>
          <w:rFonts w:cs="Arial"/>
          <w:bCs/>
          <w:szCs w:val="22"/>
        </w:rPr>
        <w:t xml:space="preserve">006 postępowań. </w:t>
      </w:r>
    </w:p>
    <w:p w14:paraId="0F783F5D" w14:textId="5C6552C4" w:rsidR="005C2187" w:rsidRDefault="005C2187" w:rsidP="000E402B">
      <w:pPr>
        <w:shd w:val="clear" w:color="auto" w:fill="FFFFFF"/>
        <w:rPr>
          <w:rFonts w:cs="Arial"/>
          <w:bCs/>
          <w:szCs w:val="22"/>
        </w:rPr>
      </w:pPr>
    </w:p>
    <w:p w14:paraId="753BB946" w14:textId="21767934" w:rsidR="00E73C87" w:rsidRDefault="00E73C87" w:rsidP="00E73C87">
      <w:pPr>
        <w:pStyle w:val="Legenda"/>
      </w:pPr>
      <w:bookmarkStart w:id="213" w:name="_Toc99523987"/>
      <w:bookmarkStart w:id="214" w:name="_Toc99524030"/>
      <w:bookmarkStart w:id="215" w:name="_Toc141276568"/>
      <w:r w:rsidRPr="005D2D20">
        <w:t xml:space="preserve">Tab. </w:t>
      </w:r>
      <w:r w:rsidR="00BE2079">
        <w:fldChar w:fldCharType="begin"/>
      </w:r>
      <w:r w:rsidR="00BE2079">
        <w:instrText xml:space="preserve"> SEQ Tab. \* ARABIC </w:instrText>
      </w:r>
      <w:r w:rsidR="00BE2079">
        <w:fldChar w:fldCharType="separate"/>
      </w:r>
      <w:r w:rsidR="00A43C68">
        <w:rPr>
          <w:noProof/>
        </w:rPr>
        <w:t>61</w:t>
      </w:r>
      <w:r w:rsidR="00BE2079">
        <w:rPr>
          <w:noProof/>
        </w:rPr>
        <w:fldChar w:fldCharType="end"/>
      </w:r>
      <w:r w:rsidRPr="005D2D20">
        <w:t xml:space="preserve">. Liczba opublikowanych postępowań na miniPortalu w </w:t>
      </w:r>
      <w:r w:rsidR="00753D56">
        <w:t xml:space="preserve">rozbiciu na miesiące </w:t>
      </w:r>
      <w:r w:rsidRPr="005D2D20">
        <w:t>danego roku</w:t>
      </w:r>
      <w:bookmarkEnd w:id="213"/>
      <w:bookmarkEnd w:id="214"/>
      <w:bookmarkEnd w:id="215"/>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3"/>
        <w:gridCol w:w="1311"/>
        <w:gridCol w:w="1311"/>
        <w:gridCol w:w="1311"/>
        <w:gridCol w:w="1312"/>
        <w:gridCol w:w="1312"/>
      </w:tblGrid>
      <w:tr w:rsidR="00E73C87" w:rsidRPr="00535EFB" w14:paraId="37D79F79" w14:textId="162E74A7" w:rsidTr="007B18EC">
        <w:trPr>
          <w:tblHeader/>
        </w:trPr>
        <w:tc>
          <w:tcPr>
            <w:tcW w:w="1423" w:type="dxa"/>
            <w:tcBorders>
              <w:right w:val="single" w:sz="4" w:space="0" w:color="FFFFFF" w:themeColor="background1"/>
            </w:tcBorders>
            <w:shd w:val="clear" w:color="auto" w:fill="002060"/>
            <w:vAlign w:val="center"/>
          </w:tcPr>
          <w:p w14:paraId="0F3F981C" w14:textId="77777777" w:rsidR="00E73C87" w:rsidRPr="00535EFB" w:rsidRDefault="00E73C87" w:rsidP="007B18EC">
            <w:pPr>
              <w:spacing w:before="60" w:after="60"/>
              <w:jc w:val="center"/>
              <w:rPr>
                <w:b/>
                <w:sz w:val="18"/>
                <w:szCs w:val="18"/>
              </w:rPr>
            </w:pPr>
            <w:r w:rsidRPr="00535EFB">
              <w:rPr>
                <w:b/>
                <w:sz w:val="18"/>
                <w:szCs w:val="18"/>
              </w:rPr>
              <w:t>Miesiąc</w:t>
            </w:r>
          </w:p>
        </w:tc>
        <w:tc>
          <w:tcPr>
            <w:tcW w:w="1311" w:type="dxa"/>
            <w:tcBorders>
              <w:left w:val="single" w:sz="4" w:space="0" w:color="FFFFFF" w:themeColor="background1"/>
            </w:tcBorders>
            <w:shd w:val="clear" w:color="auto" w:fill="002060"/>
            <w:vAlign w:val="center"/>
          </w:tcPr>
          <w:p w14:paraId="15BB3062" w14:textId="77777777" w:rsidR="00E73C87" w:rsidRPr="00535EFB" w:rsidRDefault="00E73C87" w:rsidP="007B18EC">
            <w:pPr>
              <w:spacing w:before="60" w:after="60"/>
              <w:jc w:val="center"/>
              <w:rPr>
                <w:b/>
                <w:sz w:val="18"/>
                <w:szCs w:val="18"/>
              </w:rPr>
            </w:pPr>
            <w:r w:rsidRPr="00535EFB">
              <w:rPr>
                <w:b/>
                <w:sz w:val="18"/>
                <w:szCs w:val="18"/>
              </w:rPr>
              <w:t>2018</w:t>
            </w:r>
          </w:p>
        </w:tc>
        <w:tc>
          <w:tcPr>
            <w:tcW w:w="1311" w:type="dxa"/>
            <w:tcBorders>
              <w:left w:val="single" w:sz="4" w:space="0" w:color="FFFFFF" w:themeColor="background1"/>
            </w:tcBorders>
            <w:shd w:val="clear" w:color="auto" w:fill="002060"/>
            <w:vAlign w:val="center"/>
          </w:tcPr>
          <w:p w14:paraId="493BDAA5" w14:textId="77777777" w:rsidR="00E73C87" w:rsidRPr="00535EFB" w:rsidRDefault="00E73C87" w:rsidP="007B18EC">
            <w:pPr>
              <w:spacing w:before="60" w:after="60"/>
              <w:jc w:val="center"/>
              <w:rPr>
                <w:b/>
                <w:sz w:val="18"/>
                <w:szCs w:val="18"/>
              </w:rPr>
            </w:pPr>
            <w:r w:rsidRPr="00535EFB">
              <w:rPr>
                <w:b/>
                <w:sz w:val="18"/>
                <w:szCs w:val="18"/>
              </w:rPr>
              <w:t>2019</w:t>
            </w:r>
          </w:p>
        </w:tc>
        <w:tc>
          <w:tcPr>
            <w:tcW w:w="1311" w:type="dxa"/>
            <w:tcBorders>
              <w:left w:val="single" w:sz="4" w:space="0" w:color="FFFFFF" w:themeColor="background1"/>
            </w:tcBorders>
            <w:shd w:val="clear" w:color="auto" w:fill="002060"/>
          </w:tcPr>
          <w:p w14:paraId="183FCAE1" w14:textId="77777777" w:rsidR="00E73C87" w:rsidRPr="00535EFB" w:rsidRDefault="00E73C87" w:rsidP="007B18EC">
            <w:pPr>
              <w:spacing w:before="60" w:after="60"/>
              <w:jc w:val="center"/>
              <w:rPr>
                <w:b/>
                <w:sz w:val="18"/>
                <w:szCs w:val="18"/>
              </w:rPr>
            </w:pPr>
            <w:r w:rsidRPr="00535EFB">
              <w:rPr>
                <w:b/>
                <w:sz w:val="18"/>
                <w:szCs w:val="18"/>
              </w:rPr>
              <w:t>2020</w:t>
            </w:r>
          </w:p>
        </w:tc>
        <w:tc>
          <w:tcPr>
            <w:tcW w:w="1312" w:type="dxa"/>
            <w:tcBorders>
              <w:left w:val="single" w:sz="4" w:space="0" w:color="FFFFFF" w:themeColor="background1"/>
            </w:tcBorders>
            <w:shd w:val="clear" w:color="auto" w:fill="002060"/>
          </w:tcPr>
          <w:p w14:paraId="6256D288" w14:textId="77777777" w:rsidR="00E73C87" w:rsidRPr="00535EFB" w:rsidRDefault="00E73C87" w:rsidP="007B18EC">
            <w:pPr>
              <w:spacing w:before="60" w:after="60"/>
              <w:jc w:val="center"/>
              <w:rPr>
                <w:b/>
                <w:sz w:val="18"/>
                <w:szCs w:val="18"/>
              </w:rPr>
            </w:pPr>
            <w:r w:rsidRPr="00535EFB">
              <w:rPr>
                <w:b/>
                <w:sz w:val="18"/>
                <w:szCs w:val="18"/>
              </w:rPr>
              <w:t>2021</w:t>
            </w:r>
          </w:p>
        </w:tc>
        <w:tc>
          <w:tcPr>
            <w:tcW w:w="1312" w:type="dxa"/>
            <w:tcBorders>
              <w:left w:val="single" w:sz="4" w:space="0" w:color="FFFFFF" w:themeColor="background1"/>
            </w:tcBorders>
            <w:shd w:val="clear" w:color="auto" w:fill="002060"/>
          </w:tcPr>
          <w:p w14:paraId="0F3DE245" w14:textId="74D2686A" w:rsidR="00E73C87" w:rsidRPr="00535EFB" w:rsidRDefault="00E73C87" w:rsidP="007B18EC">
            <w:pPr>
              <w:spacing w:before="60" w:after="60"/>
              <w:jc w:val="center"/>
              <w:rPr>
                <w:b/>
                <w:sz w:val="18"/>
                <w:szCs w:val="18"/>
              </w:rPr>
            </w:pPr>
            <w:r>
              <w:rPr>
                <w:b/>
                <w:sz w:val="18"/>
                <w:szCs w:val="18"/>
              </w:rPr>
              <w:t>2022</w:t>
            </w:r>
          </w:p>
        </w:tc>
      </w:tr>
      <w:tr w:rsidR="00E73C87" w:rsidRPr="00535EFB" w14:paraId="703BF175" w14:textId="541E1C00" w:rsidTr="00E73C87">
        <w:tc>
          <w:tcPr>
            <w:tcW w:w="1423" w:type="dxa"/>
            <w:tcBorders>
              <w:right w:val="single" w:sz="4" w:space="0" w:color="FFFFFF" w:themeColor="background1"/>
            </w:tcBorders>
            <w:vAlign w:val="center"/>
          </w:tcPr>
          <w:p w14:paraId="660DA64B" w14:textId="77777777" w:rsidR="00E73C87" w:rsidRPr="00535EFB" w:rsidRDefault="00E73C87" w:rsidP="00E73C87">
            <w:pPr>
              <w:spacing w:before="60" w:after="60"/>
              <w:jc w:val="center"/>
              <w:rPr>
                <w:rFonts w:cs="Arial"/>
                <w:sz w:val="18"/>
                <w:szCs w:val="18"/>
              </w:rPr>
            </w:pPr>
            <w:r w:rsidRPr="00535EFB">
              <w:rPr>
                <w:rFonts w:cs="Arial"/>
                <w:sz w:val="18"/>
                <w:szCs w:val="18"/>
              </w:rPr>
              <w:t>styczeń</w:t>
            </w:r>
          </w:p>
        </w:tc>
        <w:tc>
          <w:tcPr>
            <w:tcW w:w="1311" w:type="dxa"/>
            <w:tcBorders>
              <w:left w:val="single" w:sz="4" w:space="0" w:color="FFFFFF" w:themeColor="background1"/>
            </w:tcBorders>
            <w:vAlign w:val="center"/>
          </w:tcPr>
          <w:p w14:paraId="34B17412"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vAlign w:val="center"/>
          </w:tcPr>
          <w:p w14:paraId="16BEB4CD" w14:textId="77777777" w:rsidR="00E73C87" w:rsidRPr="00535EFB" w:rsidRDefault="00E73C87" w:rsidP="00E73C87">
            <w:pPr>
              <w:spacing w:before="60" w:after="60"/>
              <w:jc w:val="right"/>
              <w:rPr>
                <w:rFonts w:cs="Arial"/>
                <w:sz w:val="18"/>
                <w:szCs w:val="18"/>
              </w:rPr>
            </w:pPr>
            <w:r w:rsidRPr="00535EFB">
              <w:rPr>
                <w:rFonts w:cs="Arial"/>
                <w:iCs/>
                <w:sz w:val="18"/>
                <w:szCs w:val="18"/>
              </w:rPr>
              <w:t>869</w:t>
            </w:r>
          </w:p>
        </w:tc>
        <w:tc>
          <w:tcPr>
            <w:tcW w:w="1311" w:type="dxa"/>
            <w:tcBorders>
              <w:left w:val="single" w:sz="4" w:space="0" w:color="FFFFFF" w:themeColor="background1"/>
            </w:tcBorders>
            <w:vAlign w:val="center"/>
          </w:tcPr>
          <w:p w14:paraId="2D2AE348" w14:textId="77777777" w:rsidR="00E73C87" w:rsidRPr="00535EFB" w:rsidRDefault="00E73C87" w:rsidP="00E73C87">
            <w:pPr>
              <w:spacing w:before="60" w:after="60"/>
              <w:jc w:val="right"/>
              <w:rPr>
                <w:rFonts w:cs="Arial"/>
                <w:sz w:val="18"/>
                <w:szCs w:val="18"/>
              </w:rPr>
            </w:pPr>
            <w:r w:rsidRPr="00535EFB">
              <w:rPr>
                <w:rFonts w:cs="Arial"/>
                <w:iCs/>
                <w:sz w:val="18"/>
                <w:szCs w:val="18"/>
              </w:rPr>
              <w:t>720</w:t>
            </w:r>
          </w:p>
        </w:tc>
        <w:tc>
          <w:tcPr>
            <w:tcW w:w="1312" w:type="dxa"/>
            <w:tcBorders>
              <w:left w:val="single" w:sz="4" w:space="0" w:color="FFFFFF" w:themeColor="background1"/>
            </w:tcBorders>
            <w:vAlign w:val="center"/>
          </w:tcPr>
          <w:p w14:paraId="615E0D95" w14:textId="77777777" w:rsidR="00E73C87" w:rsidRPr="00535EFB" w:rsidRDefault="00E73C87" w:rsidP="00E73C87">
            <w:pPr>
              <w:spacing w:before="60" w:after="60"/>
              <w:jc w:val="right"/>
              <w:rPr>
                <w:rFonts w:cs="Arial"/>
                <w:sz w:val="18"/>
                <w:szCs w:val="18"/>
              </w:rPr>
            </w:pPr>
            <w:r w:rsidRPr="00535EFB">
              <w:rPr>
                <w:rFonts w:cs="Arial"/>
                <w:iCs/>
                <w:sz w:val="18"/>
                <w:szCs w:val="18"/>
              </w:rPr>
              <w:t>561</w:t>
            </w:r>
          </w:p>
        </w:tc>
        <w:tc>
          <w:tcPr>
            <w:tcW w:w="1312" w:type="dxa"/>
            <w:tcBorders>
              <w:left w:val="single" w:sz="4" w:space="0" w:color="FFFFFF" w:themeColor="background1"/>
            </w:tcBorders>
            <w:vAlign w:val="center"/>
          </w:tcPr>
          <w:p w14:paraId="222508EA" w14:textId="561D647F" w:rsidR="00E73C87" w:rsidRPr="00E73C87" w:rsidRDefault="00E73C87" w:rsidP="00E73C87">
            <w:pPr>
              <w:spacing w:before="60" w:after="60"/>
              <w:jc w:val="right"/>
              <w:rPr>
                <w:rFonts w:cs="Arial"/>
                <w:iCs/>
                <w:sz w:val="18"/>
                <w:szCs w:val="18"/>
              </w:rPr>
            </w:pPr>
            <w:r w:rsidRPr="00E73C87">
              <w:rPr>
                <w:sz w:val="18"/>
                <w:szCs w:val="18"/>
              </w:rPr>
              <w:t>3</w:t>
            </w:r>
            <w:r>
              <w:rPr>
                <w:sz w:val="18"/>
                <w:szCs w:val="18"/>
              </w:rPr>
              <w:t xml:space="preserve"> </w:t>
            </w:r>
            <w:r w:rsidRPr="00E73C87">
              <w:rPr>
                <w:sz w:val="18"/>
                <w:szCs w:val="18"/>
              </w:rPr>
              <w:t>177</w:t>
            </w:r>
          </w:p>
        </w:tc>
      </w:tr>
      <w:tr w:rsidR="00E73C87" w:rsidRPr="00535EFB" w14:paraId="48C8DAD3" w14:textId="01D3B57B" w:rsidTr="00E73C87">
        <w:tc>
          <w:tcPr>
            <w:tcW w:w="1423" w:type="dxa"/>
            <w:tcBorders>
              <w:right w:val="single" w:sz="4" w:space="0" w:color="FFFFFF" w:themeColor="background1"/>
            </w:tcBorders>
            <w:shd w:val="clear" w:color="auto" w:fill="00B0F0"/>
            <w:vAlign w:val="center"/>
          </w:tcPr>
          <w:p w14:paraId="46AAF7A9" w14:textId="77777777" w:rsidR="00E73C87" w:rsidRPr="00535EFB" w:rsidRDefault="00E73C87" w:rsidP="00E73C87">
            <w:pPr>
              <w:spacing w:before="60" w:after="60"/>
              <w:jc w:val="center"/>
              <w:rPr>
                <w:rFonts w:cs="Arial"/>
                <w:sz w:val="18"/>
                <w:szCs w:val="18"/>
              </w:rPr>
            </w:pPr>
            <w:r w:rsidRPr="00535EFB">
              <w:rPr>
                <w:rFonts w:cs="Arial"/>
                <w:sz w:val="18"/>
                <w:szCs w:val="18"/>
              </w:rPr>
              <w:t>luty</w:t>
            </w:r>
          </w:p>
        </w:tc>
        <w:tc>
          <w:tcPr>
            <w:tcW w:w="1311" w:type="dxa"/>
            <w:tcBorders>
              <w:left w:val="single" w:sz="4" w:space="0" w:color="FFFFFF" w:themeColor="background1"/>
            </w:tcBorders>
            <w:shd w:val="clear" w:color="auto" w:fill="00B0F0"/>
            <w:vAlign w:val="center"/>
          </w:tcPr>
          <w:p w14:paraId="27EBE670"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shd w:val="clear" w:color="auto" w:fill="00B0F0"/>
            <w:vAlign w:val="center"/>
          </w:tcPr>
          <w:p w14:paraId="1FF41A93" w14:textId="77777777" w:rsidR="00E73C87" w:rsidRPr="00535EFB" w:rsidRDefault="00E73C87" w:rsidP="00E73C87">
            <w:pPr>
              <w:spacing w:before="60" w:after="60"/>
              <w:jc w:val="right"/>
              <w:rPr>
                <w:rFonts w:cs="Arial"/>
                <w:sz w:val="18"/>
                <w:szCs w:val="18"/>
              </w:rPr>
            </w:pPr>
            <w:r w:rsidRPr="00535EFB">
              <w:rPr>
                <w:rFonts w:cs="Arial"/>
                <w:iCs/>
                <w:sz w:val="18"/>
                <w:szCs w:val="18"/>
              </w:rPr>
              <w:t>830</w:t>
            </w:r>
          </w:p>
        </w:tc>
        <w:tc>
          <w:tcPr>
            <w:tcW w:w="1311" w:type="dxa"/>
            <w:tcBorders>
              <w:left w:val="single" w:sz="4" w:space="0" w:color="FFFFFF" w:themeColor="background1"/>
            </w:tcBorders>
            <w:shd w:val="clear" w:color="auto" w:fill="00B0F0"/>
            <w:vAlign w:val="center"/>
          </w:tcPr>
          <w:p w14:paraId="72AC429B" w14:textId="77777777" w:rsidR="00E73C87" w:rsidRPr="00535EFB" w:rsidRDefault="00E73C87" w:rsidP="00E73C87">
            <w:pPr>
              <w:spacing w:before="60" w:after="60"/>
              <w:jc w:val="right"/>
              <w:rPr>
                <w:rFonts w:cs="Arial"/>
                <w:sz w:val="18"/>
                <w:szCs w:val="18"/>
              </w:rPr>
            </w:pPr>
            <w:r w:rsidRPr="00535EFB">
              <w:rPr>
                <w:rFonts w:cs="Arial"/>
                <w:iCs/>
                <w:sz w:val="18"/>
                <w:szCs w:val="18"/>
              </w:rPr>
              <w:t>741</w:t>
            </w:r>
          </w:p>
        </w:tc>
        <w:tc>
          <w:tcPr>
            <w:tcW w:w="1312" w:type="dxa"/>
            <w:tcBorders>
              <w:left w:val="single" w:sz="4" w:space="0" w:color="FFFFFF" w:themeColor="background1"/>
            </w:tcBorders>
            <w:shd w:val="clear" w:color="auto" w:fill="00B0F0"/>
            <w:vAlign w:val="center"/>
          </w:tcPr>
          <w:p w14:paraId="55841FE8" w14:textId="77777777" w:rsidR="00E73C87" w:rsidRPr="00535EFB" w:rsidRDefault="00E73C87" w:rsidP="00E73C87">
            <w:pPr>
              <w:spacing w:before="60" w:after="60"/>
              <w:jc w:val="right"/>
              <w:rPr>
                <w:rFonts w:cs="Arial"/>
                <w:sz w:val="18"/>
                <w:szCs w:val="18"/>
              </w:rPr>
            </w:pPr>
            <w:r w:rsidRPr="00535EFB">
              <w:rPr>
                <w:rFonts w:cs="Arial"/>
                <w:iCs/>
                <w:sz w:val="18"/>
                <w:szCs w:val="18"/>
              </w:rPr>
              <w:t>1 987</w:t>
            </w:r>
          </w:p>
        </w:tc>
        <w:tc>
          <w:tcPr>
            <w:tcW w:w="1312" w:type="dxa"/>
            <w:tcBorders>
              <w:left w:val="single" w:sz="4" w:space="0" w:color="FFFFFF" w:themeColor="background1"/>
            </w:tcBorders>
            <w:shd w:val="clear" w:color="auto" w:fill="00B0F0"/>
            <w:vAlign w:val="center"/>
          </w:tcPr>
          <w:p w14:paraId="31E5D333" w14:textId="40A54EC7"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137</w:t>
            </w:r>
          </w:p>
        </w:tc>
      </w:tr>
      <w:tr w:rsidR="00E73C87" w:rsidRPr="00535EFB" w14:paraId="44A6274C" w14:textId="58E4291D" w:rsidTr="00E73C87">
        <w:tc>
          <w:tcPr>
            <w:tcW w:w="1423" w:type="dxa"/>
            <w:tcBorders>
              <w:right w:val="single" w:sz="4" w:space="0" w:color="FFFFFF" w:themeColor="background1"/>
            </w:tcBorders>
            <w:vAlign w:val="center"/>
          </w:tcPr>
          <w:p w14:paraId="5C7FBECC" w14:textId="77777777" w:rsidR="00E73C87" w:rsidRPr="00535EFB" w:rsidRDefault="00E73C87" w:rsidP="00E73C87">
            <w:pPr>
              <w:spacing w:before="60" w:after="60"/>
              <w:jc w:val="center"/>
              <w:rPr>
                <w:rFonts w:cs="Arial"/>
                <w:sz w:val="18"/>
                <w:szCs w:val="18"/>
              </w:rPr>
            </w:pPr>
            <w:r w:rsidRPr="00535EFB">
              <w:rPr>
                <w:rFonts w:cs="Arial"/>
                <w:sz w:val="18"/>
                <w:szCs w:val="18"/>
              </w:rPr>
              <w:t>marzec</w:t>
            </w:r>
          </w:p>
        </w:tc>
        <w:tc>
          <w:tcPr>
            <w:tcW w:w="1311" w:type="dxa"/>
            <w:tcBorders>
              <w:left w:val="single" w:sz="4" w:space="0" w:color="FFFFFF" w:themeColor="background1"/>
            </w:tcBorders>
            <w:vAlign w:val="center"/>
          </w:tcPr>
          <w:p w14:paraId="2BC77266"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vAlign w:val="center"/>
          </w:tcPr>
          <w:p w14:paraId="1D7C882D" w14:textId="77777777" w:rsidR="00E73C87" w:rsidRPr="00535EFB" w:rsidRDefault="00E73C87" w:rsidP="00E73C87">
            <w:pPr>
              <w:spacing w:before="60" w:after="60"/>
              <w:jc w:val="right"/>
              <w:rPr>
                <w:rFonts w:cs="Arial"/>
                <w:sz w:val="18"/>
                <w:szCs w:val="18"/>
              </w:rPr>
            </w:pPr>
            <w:r w:rsidRPr="00535EFB">
              <w:rPr>
                <w:rFonts w:cs="Arial"/>
                <w:iCs/>
                <w:sz w:val="18"/>
                <w:szCs w:val="18"/>
              </w:rPr>
              <w:t>1 121</w:t>
            </w:r>
          </w:p>
        </w:tc>
        <w:tc>
          <w:tcPr>
            <w:tcW w:w="1311" w:type="dxa"/>
            <w:tcBorders>
              <w:left w:val="single" w:sz="4" w:space="0" w:color="FFFFFF" w:themeColor="background1"/>
            </w:tcBorders>
            <w:vAlign w:val="center"/>
          </w:tcPr>
          <w:p w14:paraId="4D80E703" w14:textId="77777777" w:rsidR="00E73C87" w:rsidRPr="00535EFB" w:rsidRDefault="00E73C87" w:rsidP="00E73C87">
            <w:pPr>
              <w:spacing w:before="60" w:after="60"/>
              <w:jc w:val="right"/>
              <w:rPr>
                <w:rFonts w:cs="Arial"/>
                <w:sz w:val="18"/>
                <w:szCs w:val="18"/>
              </w:rPr>
            </w:pPr>
            <w:r w:rsidRPr="00535EFB">
              <w:rPr>
                <w:rFonts w:cs="Arial"/>
                <w:iCs/>
                <w:sz w:val="18"/>
                <w:szCs w:val="18"/>
              </w:rPr>
              <w:t>1 051</w:t>
            </w:r>
          </w:p>
        </w:tc>
        <w:tc>
          <w:tcPr>
            <w:tcW w:w="1312" w:type="dxa"/>
            <w:tcBorders>
              <w:left w:val="single" w:sz="4" w:space="0" w:color="FFFFFF" w:themeColor="background1"/>
            </w:tcBorders>
            <w:vAlign w:val="center"/>
          </w:tcPr>
          <w:p w14:paraId="652B2E90" w14:textId="77777777" w:rsidR="00E73C87" w:rsidRPr="00535EFB" w:rsidRDefault="00E73C87" w:rsidP="00E73C87">
            <w:pPr>
              <w:spacing w:before="60" w:after="60"/>
              <w:jc w:val="right"/>
              <w:rPr>
                <w:rFonts w:cs="Arial"/>
                <w:sz w:val="18"/>
                <w:szCs w:val="18"/>
              </w:rPr>
            </w:pPr>
            <w:r w:rsidRPr="00535EFB">
              <w:rPr>
                <w:rFonts w:cs="Arial"/>
                <w:iCs/>
                <w:sz w:val="18"/>
                <w:szCs w:val="18"/>
              </w:rPr>
              <w:t>3 618</w:t>
            </w:r>
          </w:p>
        </w:tc>
        <w:tc>
          <w:tcPr>
            <w:tcW w:w="1312" w:type="dxa"/>
            <w:tcBorders>
              <w:left w:val="single" w:sz="4" w:space="0" w:color="FFFFFF" w:themeColor="background1"/>
            </w:tcBorders>
            <w:vAlign w:val="center"/>
          </w:tcPr>
          <w:p w14:paraId="440A295B" w14:textId="20CBFEB0" w:rsidR="00E73C87" w:rsidRPr="00E73C87" w:rsidRDefault="00E73C87" w:rsidP="00E73C87">
            <w:pPr>
              <w:spacing w:before="60" w:after="60"/>
              <w:jc w:val="right"/>
              <w:rPr>
                <w:rFonts w:cs="Arial"/>
                <w:iCs/>
                <w:sz w:val="18"/>
                <w:szCs w:val="18"/>
              </w:rPr>
            </w:pPr>
            <w:r w:rsidRPr="00E73C87">
              <w:rPr>
                <w:sz w:val="18"/>
                <w:szCs w:val="18"/>
              </w:rPr>
              <w:t>5</w:t>
            </w:r>
            <w:r>
              <w:rPr>
                <w:sz w:val="18"/>
                <w:szCs w:val="18"/>
              </w:rPr>
              <w:t xml:space="preserve"> </w:t>
            </w:r>
            <w:r w:rsidRPr="00E73C87">
              <w:rPr>
                <w:sz w:val="18"/>
                <w:szCs w:val="18"/>
              </w:rPr>
              <w:t>614</w:t>
            </w:r>
          </w:p>
        </w:tc>
      </w:tr>
      <w:tr w:rsidR="00E73C87" w:rsidRPr="00535EFB" w14:paraId="6B16C68A" w14:textId="54E17082" w:rsidTr="00E73C87">
        <w:tc>
          <w:tcPr>
            <w:tcW w:w="1423" w:type="dxa"/>
            <w:tcBorders>
              <w:right w:val="single" w:sz="4" w:space="0" w:color="FFFFFF" w:themeColor="background1"/>
            </w:tcBorders>
            <w:shd w:val="clear" w:color="auto" w:fill="00B0F0"/>
            <w:vAlign w:val="center"/>
          </w:tcPr>
          <w:p w14:paraId="353E7869" w14:textId="77777777" w:rsidR="00E73C87" w:rsidRPr="00535EFB" w:rsidRDefault="00E73C87" w:rsidP="00E73C87">
            <w:pPr>
              <w:spacing w:before="60" w:after="60"/>
              <w:jc w:val="center"/>
              <w:rPr>
                <w:rFonts w:cs="Arial"/>
                <w:sz w:val="18"/>
                <w:szCs w:val="18"/>
              </w:rPr>
            </w:pPr>
            <w:r w:rsidRPr="00535EFB">
              <w:rPr>
                <w:rFonts w:cs="Arial"/>
                <w:sz w:val="18"/>
                <w:szCs w:val="18"/>
              </w:rPr>
              <w:t>kwiecień</w:t>
            </w:r>
          </w:p>
        </w:tc>
        <w:tc>
          <w:tcPr>
            <w:tcW w:w="1311" w:type="dxa"/>
            <w:tcBorders>
              <w:left w:val="single" w:sz="4" w:space="0" w:color="FFFFFF" w:themeColor="background1"/>
            </w:tcBorders>
            <w:shd w:val="clear" w:color="auto" w:fill="00B0F0"/>
            <w:vAlign w:val="center"/>
          </w:tcPr>
          <w:p w14:paraId="389E19E7"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shd w:val="clear" w:color="auto" w:fill="00B0F0"/>
            <w:vAlign w:val="center"/>
          </w:tcPr>
          <w:p w14:paraId="245490E1" w14:textId="77777777" w:rsidR="00E73C87" w:rsidRPr="00535EFB" w:rsidRDefault="00E73C87" w:rsidP="00E73C87">
            <w:pPr>
              <w:spacing w:before="60" w:after="60"/>
              <w:jc w:val="right"/>
              <w:rPr>
                <w:rFonts w:cs="Arial"/>
                <w:sz w:val="18"/>
                <w:szCs w:val="18"/>
              </w:rPr>
            </w:pPr>
            <w:r w:rsidRPr="00535EFB">
              <w:rPr>
                <w:rFonts w:cs="Arial"/>
                <w:iCs/>
                <w:sz w:val="18"/>
                <w:szCs w:val="18"/>
              </w:rPr>
              <w:t>1 126</w:t>
            </w:r>
          </w:p>
        </w:tc>
        <w:tc>
          <w:tcPr>
            <w:tcW w:w="1311" w:type="dxa"/>
            <w:tcBorders>
              <w:left w:val="single" w:sz="4" w:space="0" w:color="FFFFFF" w:themeColor="background1"/>
            </w:tcBorders>
            <w:shd w:val="clear" w:color="auto" w:fill="00B0F0"/>
            <w:vAlign w:val="center"/>
          </w:tcPr>
          <w:p w14:paraId="5B46D909" w14:textId="77777777" w:rsidR="00E73C87" w:rsidRPr="00535EFB" w:rsidRDefault="00E73C87" w:rsidP="00E73C87">
            <w:pPr>
              <w:spacing w:before="60" w:after="60"/>
              <w:jc w:val="right"/>
              <w:rPr>
                <w:rFonts w:cs="Arial"/>
                <w:sz w:val="18"/>
                <w:szCs w:val="18"/>
              </w:rPr>
            </w:pPr>
            <w:r w:rsidRPr="00535EFB">
              <w:rPr>
                <w:rFonts w:cs="Arial"/>
                <w:iCs/>
                <w:sz w:val="18"/>
                <w:szCs w:val="18"/>
              </w:rPr>
              <w:t>1 332</w:t>
            </w:r>
          </w:p>
        </w:tc>
        <w:tc>
          <w:tcPr>
            <w:tcW w:w="1312" w:type="dxa"/>
            <w:tcBorders>
              <w:left w:val="single" w:sz="4" w:space="0" w:color="FFFFFF" w:themeColor="background1"/>
            </w:tcBorders>
            <w:shd w:val="clear" w:color="auto" w:fill="00B0F0"/>
            <w:vAlign w:val="center"/>
          </w:tcPr>
          <w:p w14:paraId="48010B2E" w14:textId="77777777" w:rsidR="00E73C87" w:rsidRPr="00535EFB" w:rsidRDefault="00E73C87" w:rsidP="00E73C87">
            <w:pPr>
              <w:spacing w:before="60" w:after="60"/>
              <w:jc w:val="right"/>
              <w:rPr>
                <w:rFonts w:cs="Arial"/>
                <w:sz w:val="18"/>
                <w:szCs w:val="18"/>
              </w:rPr>
            </w:pPr>
            <w:r w:rsidRPr="00535EFB">
              <w:rPr>
                <w:rFonts w:cs="Arial"/>
                <w:iCs/>
                <w:sz w:val="18"/>
                <w:szCs w:val="18"/>
              </w:rPr>
              <w:t>4 008</w:t>
            </w:r>
          </w:p>
        </w:tc>
        <w:tc>
          <w:tcPr>
            <w:tcW w:w="1312" w:type="dxa"/>
            <w:tcBorders>
              <w:left w:val="single" w:sz="4" w:space="0" w:color="FFFFFF" w:themeColor="background1"/>
            </w:tcBorders>
            <w:shd w:val="clear" w:color="auto" w:fill="00B0F0"/>
            <w:vAlign w:val="center"/>
          </w:tcPr>
          <w:p w14:paraId="67A60D02" w14:textId="4CF669F9"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836</w:t>
            </w:r>
          </w:p>
        </w:tc>
      </w:tr>
      <w:tr w:rsidR="00E73C87" w:rsidRPr="00535EFB" w14:paraId="304ADC4A" w14:textId="684DE123" w:rsidTr="00E73C87">
        <w:tc>
          <w:tcPr>
            <w:tcW w:w="1423" w:type="dxa"/>
            <w:tcBorders>
              <w:right w:val="single" w:sz="4" w:space="0" w:color="FFFFFF" w:themeColor="background1"/>
            </w:tcBorders>
            <w:vAlign w:val="center"/>
          </w:tcPr>
          <w:p w14:paraId="63CB8C60" w14:textId="77777777" w:rsidR="00E73C87" w:rsidRPr="00535EFB" w:rsidRDefault="00E73C87" w:rsidP="00E73C87">
            <w:pPr>
              <w:spacing w:before="60" w:after="60"/>
              <w:jc w:val="center"/>
              <w:rPr>
                <w:rFonts w:cs="Arial"/>
                <w:sz w:val="18"/>
                <w:szCs w:val="18"/>
              </w:rPr>
            </w:pPr>
            <w:r w:rsidRPr="00535EFB">
              <w:rPr>
                <w:rFonts w:cs="Arial"/>
                <w:sz w:val="18"/>
                <w:szCs w:val="18"/>
              </w:rPr>
              <w:t>maj</w:t>
            </w:r>
          </w:p>
        </w:tc>
        <w:tc>
          <w:tcPr>
            <w:tcW w:w="1311" w:type="dxa"/>
            <w:tcBorders>
              <w:left w:val="single" w:sz="4" w:space="0" w:color="FFFFFF" w:themeColor="background1"/>
            </w:tcBorders>
            <w:vAlign w:val="center"/>
          </w:tcPr>
          <w:p w14:paraId="12D51C9D"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vAlign w:val="center"/>
          </w:tcPr>
          <w:p w14:paraId="14B76F6E" w14:textId="77777777" w:rsidR="00E73C87" w:rsidRPr="00535EFB" w:rsidRDefault="00E73C87" w:rsidP="00E73C87">
            <w:pPr>
              <w:spacing w:before="60" w:after="60"/>
              <w:jc w:val="right"/>
              <w:rPr>
                <w:rFonts w:cs="Arial"/>
                <w:sz w:val="18"/>
                <w:szCs w:val="18"/>
              </w:rPr>
            </w:pPr>
            <w:r w:rsidRPr="00535EFB">
              <w:rPr>
                <w:rFonts w:cs="Arial"/>
                <w:iCs/>
                <w:sz w:val="18"/>
                <w:szCs w:val="18"/>
              </w:rPr>
              <w:t>978</w:t>
            </w:r>
          </w:p>
        </w:tc>
        <w:tc>
          <w:tcPr>
            <w:tcW w:w="1311" w:type="dxa"/>
            <w:tcBorders>
              <w:left w:val="single" w:sz="4" w:space="0" w:color="FFFFFF" w:themeColor="background1"/>
            </w:tcBorders>
            <w:vAlign w:val="center"/>
          </w:tcPr>
          <w:p w14:paraId="5C3A91DF" w14:textId="77777777" w:rsidR="00E73C87" w:rsidRPr="00535EFB" w:rsidRDefault="00E73C87" w:rsidP="00E73C87">
            <w:pPr>
              <w:spacing w:before="60" w:after="60"/>
              <w:jc w:val="right"/>
              <w:rPr>
                <w:rFonts w:cs="Arial"/>
                <w:sz w:val="18"/>
                <w:szCs w:val="18"/>
              </w:rPr>
            </w:pPr>
            <w:r w:rsidRPr="00535EFB">
              <w:rPr>
                <w:rFonts w:cs="Arial"/>
                <w:iCs/>
                <w:sz w:val="18"/>
                <w:szCs w:val="18"/>
              </w:rPr>
              <w:t>1 296</w:t>
            </w:r>
          </w:p>
        </w:tc>
        <w:tc>
          <w:tcPr>
            <w:tcW w:w="1312" w:type="dxa"/>
            <w:tcBorders>
              <w:left w:val="single" w:sz="4" w:space="0" w:color="FFFFFF" w:themeColor="background1"/>
            </w:tcBorders>
            <w:vAlign w:val="center"/>
          </w:tcPr>
          <w:p w14:paraId="4DFAF9B8" w14:textId="77777777" w:rsidR="00E73C87" w:rsidRPr="00535EFB" w:rsidRDefault="00E73C87" w:rsidP="00E73C87">
            <w:pPr>
              <w:spacing w:before="60" w:after="60"/>
              <w:jc w:val="right"/>
              <w:rPr>
                <w:rFonts w:cs="Arial"/>
                <w:sz w:val="18"/>
                <w:szCs w:val="18"/>
              </w:rPr>
            </w:pPr>
            <w:r w:rsidRPr="00535EFB">
              <w:rPr>
                <w:rFonts w:cs="Arial"/>
                <w:iCs/>
                <w:sz w:val="18"/>
                <w:szCs w:val="18"/>
              </w:rPr>
              <w:t>4 815</w:t>
            </w:r>
          </w:p>
        </w:tc>
        <w:tc>
          <w:tcPr>
            <w:tcW w:w="1312" w:type="dxa"/>
            <w:tcBorders>
              <w:left w:val="single" w:sz="4" w:space="0" w:color="FFFFFF" w:themeColor="background1"/>
            </w:tcBorders>
            <w:vAlign w:val="center"/>
          </w:tcPr>
          <w:p w14:paraId="0EC2ECA3" w14:textId="244C4C9A"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957</w:t>
            </w:r>
          </w:p>
        </w:tc>
      </w:tr>
      <w:tr w:rsidR="00E73C87" w:rsidRPr="00535EFB" w14:paraId="50963737" w14:textId="66FCD26C" w:rsidTr="00E73C87">
        <w:tc>
          <w:tcPr>
            <w:tcW w:w="1423" w:type="dxa"/>
            <w:tcBorders>
              <w:right w:val="single" w:sz="4" w:space="0" w:color="FFFFFF" w:themeColor="background1"/>
            </w:tcBorders>
            <w:shd w:val="clear" w:color="auto" w:fill="00B0F0"/>
            <w:vAlign w:val="center"/>
          </w:tcPr>
          <w:p w14:paraId="42F1D18F" w14:textId="77777777" w:rsidR="00E73C87" w:rsidRPr="00535EFB" w:rsidRDefault="00E73C87" w:rsidP="00E73C87">
            <w:pPr>
              <w:spacing w:before="60" w:after="60"/>
              <w:jc w:val="center"/>
              <w:rPr>
                <w:rFonts w:cs="Arial"/>
                <w:sz w:val="18"/>
                <w:szCs w:val="18"/>
              </w:rPr>
            </w:pPr>
            <w:r w:rsidRPr="00535EFB">
              <w:rPr>
                <w:rFonts w:cs="Arial"/>
                <w:sz w:val="18"/>
                <w:szCs w:val="18"/>
              </w:rPr>
              <w:t>czerwiec</w:t>
            </w:r>
          </w:p>
        </w:tc>
        <w:tc>
          <w:tcPr>
            <w:tcW w:w="1311" w:type="dxa"/>
            <w:tcBorders>
              <w:left w:val="single" w:sz="4" w:space="0" w:color="FFFFFF" w:themeColor="background1"/>
            </w:tcBorders>
            <w:shd w:val="clear" w:color="auto" w:fill="00B0F0"/>
            <w:vAlign w:val="center"/>
          </w:tcPr>
          <w:p w14:paraId="52012A26"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shd w:val="clear" w:color="auto" w:fill="00B0F0"/>
            <w:vAlign w:val="center"/>
          </w:tcPr>
          <w:p w14:paraId="11BACD6C" w14:textId="77777777" w:rsidR="00E73C87" w:rsidRPr="00535EFB" w:rsidRDefault="00E73C87" w:rsidP="00E73C87">
            <w:pPr>
              <w:spacing w:before="60" w:after="60"/>
              <w:jc w:val="right"/>
              <w:rPr>
                <w:rFonts w:cs="Arial"/>
                <w:sz w:val="18"/>
                <w:szCs w:val="18"/>
              </w:rPr>
            </w:pPr>
            <w:r w:rsidRPr="00535EFB">
              <w:rPr>
                <w:rFonts w:cs="Arial"/>
                <w:iCs/>
                <w:sz w:val="18"/>
                <w:szCs w:val="18"/>
              </w:rPr>
              <w:t>1 051</w:t>
            </w:r>
          </w:p>
        </w:tc>
        <w:tc>
          <w:tcPr>
            <w:tcW w:w="1311" w:type="dxa"/>
            <w:tcBorders>
              <w:left w:val="single" w:sz="4" w:space="0" w:color="FFFFFF" w:themeColor="background1"/>
            </w:tcBorders>
            <w:shd w:val="clear" w:color="auto" w:fill="00B0F0"/>
            <w:vAlign w:val="center"/>
          </w:tcPr>
          <w:p w14:paraId="46676500" w14:textId="77777777" w:rsidR="00E73C87" w:rsidRPr="00535EFB" w:rsidRDefault="00E73C87" w:rsidP="00E73C87">
            <w:pPr>
              <w:spacing w:before="60" w:after="60"/>
              <w:jc w:val="right"/>
              <w:rPr>
                <w:rFonts w:cs="Arial"/>
                <w:sz w:val="18"/>
                <w:szCs w:val="18"/>
              </w:rPr>
            </w:pPr>
            <w:r w:rsidRPr="00535EFB">
              <w:rPr>
                <w:rFonts w:cs="Arial"/>
                <w:iCs/>
                <w:sz w:val="18"/>
                <w:szCs w:val="18"/>
              </w:rPr>
              <w:t>1 296</w:t>
            </w:r>
          </w:p>
        </w:tc>
        <w:tc>
          <w:tcPr>
            <w:tcW w:w="1312" w:type="dxa"/>
            <w:tcBorders>
              <w:left w:val="single" w:sz="4" w:space="0" w:color="FFFFFF" w:themeColor="background1"/>
            </w:tcBorders>
            <w:shd w:val="clear" w:color="auto" w:fill="00B0F0"/>
            <w:vAlign w:val="center"/>
          </w:tcPr>
          <w:p w14:paraId="079A96C2" w14:textId="77777777" w:rsidR="00E73C87" w:rsidRPr="00535EFB" w:rsidRDefault="00E73C87" w:rsidP="00E73C87">
            <w:pPr>
              <w:spacing w:before="60" w:after="60"/>
              <w:jc w:val="right"/>
              <w:rPr>
                <w:rFonts w:cs="Arial"/>
                <w:sz w:val="18"/>
                <w:szCs w:val="18"/>
              </w:rPr>
            </w:pPr>
            <w:r w:rsidRPr="00535EFB">
              <w:rPr>
                <w:rFonts w:cs="Arial"/>
                <w:iCs/>
                <w:sz w:val="18"/>
                <w:szCs w:val="18"/>
              </w:rPr>
              <w:t>5 367</w:t>
            </w:r>
          </w:p>
        </w:tc>
        <w:tc>
          <w:tcPr>
            <w:tcW w:w="1312" w:type="dxa"/>
            <w:tcBorders>
              <w:left w:val="single" w:sz="4" w:space="0" w:color="FFFFFF" w:themeColor="background1"/>
            </w:tcBorders>
            <w:shd w:val="clear" w:color="auto" w:fill="00B0F0"/>
            <w:vAlign w:val="center"/>
          </w:tcPr>
          <w:p w14:paraId="0C2175B2" w14:textId="1E236CF0" w:rsidR="00E73C87" w:rsidRPr="00E73C87" w:rsidRDefault="00E73C87" w:rsidP="00E73C87">
            <w:pPr>
              <w:spacing w:before="60" w:after="60"/>
              <w:jc w:val="right"/>
              <w:rPr>
                <w:rFonts w:cs="Arial"/>
                <w:iCs/>
                <w:sz w:val="18"/>
                <w:szCs w:val="18"/>
              </w:rPr>
            </w:pPr>
            <w:r w:rsidRPr="00E73C87">
              <w:rPr>
                <w:sz w:val="18"/>
                <w:szCs w:val="18"/>
              </w:rPr>
              <w:t>5</w:t>
            </w:r>
            <w:r>
              <w:rPr>
                <w:sz w:val="18"/>
                <w:szCs w:val="18"/>
              </w:rPr>
              <w:t xml:space="preserve"> </w:t>
            </w:r>
            <w:r w:rsidRPr="00E73C87">
              <w:rPr>
                <w:sz w:val="18"/>
                <w:szCs w:val="18"/>
              </w:rPr>
              <w:t>382</w:t>
            </w:r>
          </w:p>
        </w:tc>
      </w:tr>
      <w:tr w:rsidR="00E73C87" w:rsidRPr="00535EFB" w14:paraId="23B250D1" w14:textId="7AACD5D3" w:rsidTr="00E73C87">
        <w:tc>
          <w:tcPr>
            <w:tcW w:w="1423" w:type="dxa"/>
            <w:tcBorders>
              <w:right w:val="single" w:sz="4" w:space="0" w:color="FFFFFF" w:themeColor="background1"/>
            </w:tcBorders>
            <w:vAlign w:val="center"/>
          </w:tcPr>
          <w:p w14:paraId="2DD10F4D" w14:textId="77777777" w:rsidR="00E73C87" w:rsidRPr="00535EFB" w:rsidRDefault="00E73C87" w:rsidP="00E73C87">
            <w:pPr>
              <w:spacing w:before="60" w:after="60"/>
              <w:jc w:val="center"/>
              <w:rPr>
                <w:rFonts w:cs="Arial"/>
                <w:sz w:val="18"/>
                <w:szCs w:val="18"/>
              </w:rPr>
            </w:pPr>
            <w:r w:rsidRPr="00535EFB">
              <w:rPr>
                <w:rFonts w:cs="Arial"/>
                <w:sz w:val="18"/>
                <w:szCs w:val="18"/>
              </w:rPr>
              <w:t>lipiec</w:t>
            </w:r>
          </w:p>
        </w:tc>
        <w:tc>
          <w:tcPr>
            <w:tcW w:w="1311" w:type="dxa"/>
            <w:tcBorders>
              <w:left w:val="single" w:sz="4" w:space="0" w:color="FFFFFF" w:themeColor="background1"/>
            </w:tcBorders>
            <w:vAlign w:val="center"/>
          </w:tcPr>
          <w:p w14:paraId="4844BA0A"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vAlign w:val="center"/>
          </w:tcPr>
          <w:p w14:paraId="0FA1ECE6" w14:textId="77777777" w:rsidR="00E73C87" w:rsidRPr="00535EFB" w:rsidRDefault="00E73C87" w:rsidP="00E73C87">
            <w:pPr>
              <w:spacing w:before="60" w:after="60"/>
              <w:jc w:val="right"/>
              <w:rPr>
                <w:rFonts w:cs="Arial"/>
                <w:sz w:val="18"/>
                <w:szCs w:val="18"/>
              </w:rPr>
            </w:pPr>
            <w:r w:rsidRPr="00535EFB">
              <w:rPr>
                <w:rFonts w:cs="Arial"/>
                <w:iCs/>
                <w:sz w:val="18"/>
                <w:szCs w:val="18"/>
              </w:rPr>
              <w:t>1 192</w:t>
            </w:r>
          </w:p>
        </w:tc>
        <w:tc>
          <w:tcPr>
            <w:tcW w:w="1311" w:type="dxa"/>
            <w:tcBorders>
              <w:left w:val="single" w:sz="4" w:space="0" w:color="FFFFFF" w:themeColor="background1"/>
            </w:tcBorders>
            <w:vAlign w:val="center"/>
          </w:tcPr>
          <w:p w14:paraId="5209F02C" w14:textId="77777777" w:rsidR="00E73C87" w:rsidRPr="00535EFB" w:rsidRDefault="00E73C87" w:rsidP="00E73C87">
            <w:pPr>
              <w:spacing w:before="60" w:after="60"/>
              <w:jc w:val="right"/>
              <w:rPr>
                <w:rFonts w:cs="Arial"/>
                <w:sz w:val="18"/>
                <w:szCs w:val="18"/>
              </w:rPr>
            </w:pPr>
            <w:r w:rsidRPr="00535EFB">
              <w:rPr>
                <w:rFonts w:cs="Arial"/>
                <w:iCs/>
                <w:sz w:val="18"/>
                <w:szCs w:val="18"/>
              </w:rPr>
              <w:t>1 370</w:t>
            </w:r>
          </w:p>
        </w:tc>
        <w:tc>
          <w:tcPr>
            <w:tcW w:w="1312" w:type="dxa"/>
            <w:tcBorders>
              <w:left w:val="single" w:sz="4" w:space="0" w:color="FFFFFF" w:themeColor="background1"/>
            </w:tcBorders>
            <w:vAlign w:val="center"/>
          </w:tcPr>
          <w:p w14:paraId="624F9FCC" w14:textId="77777777" w:rsidR="00E73C87" w:rsidRPr="00535EFB" w:rsidRDefault="00E73C87" w:rsidP="00E73C87">
            <w:pPr>
              <w:spacing w:before="60" w:after="60"/>
              <w:jc w:val="right"/>
              <w:rPr>
                <w:rFonts w:cs="Arial"/>
                <w:sz w:val="18"/>
                <w:szCs w:val="18"/>
              </w:rPr>
            </w:pPr>
            <w:r w:rsidRPr="00535EFB">
              <w:rPr>
                <w:rFonts w:cs="Arial"/>
                <w:iCs/>
                <w:sz w:val="18"/>
                <w:szCs w:val="18"/>
              </w:rPr>
              <w:t>5 747</w:t>
            </w:r>
          </w:p>
        </w:tc>
        <w:tc>
          <w:tcPr>
            <w:tcW w:w="1312" w:type="dxa"/>
            <w:tcBorders>
              <w:left w:val="single" w:sz="4" w:space="0" w:color="FFFFFF" w:themeColor="background1"/>
            </w:tcBorders>
            <w:vAlign w:val="center"/>
          </w:tcPr>
          <w:p w14:paraId="5393E747" w14:textId="5017077B" w:rsidR="00E73C87" w:rsidRPr="00E73C87" w:rsidRDefault="00E73C87" w:rsidP="00E73C87">
            <w:pPr>
              <w:spacing w:before="60" w:after="60"/>
              <w:jc w:val="right"/>
              <w:rPr>
                <w:rFonts w:cs="Arial"/>
                <w:iCs/>
                <w:sz w:val="18"/>
                <w:szCs w:val="18"/>
              </w:rPr>
            </w:pPr>
            <w:r w:rsidRPr="00E73C87">
              <w:rPr>
                <w:sz w:val="18"/>
                <w:szCs w:val="18"/>
              </w:rPr>
              <w:t>5</w:t>
            </w:r>
            <w:r>
              <w:rPr>
                <w:sz w:val="18"/>
                <w:szCs w:val="18"/>
              </w:rPr>
              <w:t xml:space="preserve"> </w:t>
            </w:r>
            <w:r w:rsidRPr="00E73C87">
              <w:rPr>
                <w:sz w:val="18"/>
                <w:szCs w:val="18"/>
              </w:rPr>
              <w:t>285</w:t>
            </w:r>
          </w:p>
        </w:tc>
      </w:tr>
      <w:tr w:rsidR="00E73C87" w:rsidRPr="00535EFB" w14:paraId="474153CA" w14:textId="6C1C70B9" w:rsidTr="00E73C87">
        <w:tc>
          <w:tcPr>
            <w:tcW w:w="1423" w:type="dxa"/>
            <w:tcBorders>
              <w:right w:val="single" w:sz="4" w:space="0" w:color="FFFFFF" w:themeColor="background1"/>
            </w:tcBorders>
            <w:shd w:val="clear" w:color="auto" w:fill="00B0F0"/>
            <w:vAlign w:val="center"/>
          </w:tcPr>
          <w:p w14:paraId="0AD3377F" w14:textId="77777777" w:rsidR="00E73C87" w:rsidRPr="00535EFB" w:rsidRDefault="00E73C87" w:rsidP="00E73C87">
            <w:pPr>
              <w:spacing w:before="60" w:after="60"/>
              <w:jc w:val="center"/>
              <w:rPr>
                <w:rFonts w:cs="Arial"/>
                <w:sz w:val="18"/>
                <w:szCs w:val="18"/>
              </w:rPr>
            </w:pPr>
            <w:r w:rsidRPr="00535EFB">
              <w:rPr>
                <w:rFonts w:cs="Arial"/>
                <w:sz w:val="18"/>
                <w:szCs w:val="18"/>
              </w:rPr>
              <w:t>sierpień</w:t>
            </w:r>
          </w:p>
        </w:tc>
        <w:tc>
          <w:tcPr>
            <w:tcW w:w="1311" w:type="dxa"/>
            <w:tcBorders>
              <w:left w:val="single" w:sz="4" w:space="0" w:color="FFFFFF" w:themeColor="background1"/>
            </w:tcBorders>
            <w:shd w:val="clear" w:color="auto" w:fill="00B0F0"/>
            <w:vAlign w:val="center"/>
          </w:tcPr>
          <w:p w14:paraId="6404C73F"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shd w:val="clear" w:color="auto" w:fill="00B0F0"/>
            <w:vAlign w:val="center"/>
          </w:tcPr>
          <w:p w14:paraId="265C9A00" w14:textId="77777777" w:rsidR="00E73C87" w:rsidRPr="00535EFB" w:rsidRDefault="00E73C87" w:rsidP="00E73C87">
            <w:pPr>
              <w:spacing w:before="60" w:after="60"/>
              <w:jc w:val="right"/>
              <w:rPr>
                <w:rFonts w:cs="Arial"/>
                <w:sz w:val="18"/>
                <w:szCs w:val="18"/>
              </w:rPr>
            </w:pPr>
            <w:r w:rsidRPr="00535EFB">
              <w:rPr>
                <w:rFonts w:cs="Arial"/>
                <w:iCs/>
                <w:sz w:val="18"/>
                <w:szCs w:val="18"/>
              </w:rPr>
              <w:t>931</w:t>
            </w:r>
          </w:p>
        </w:tc>
        <w:tc>
          <w:tcPr>
            <w:tcW w:w="1311" w:type="dxa"/>
            <w:tcBorders>
              <w:left w:val="single" w:sz="4" w:space="0" w:color="FFFFFF" w:themeColor="background1"/>
            </w:tcBorders>
            <w:shd w:val="clear" w:color="auto" w:fill="00B0F0"/>
            <w:vAlign w:val="center"/>
          </w:tcPr>
          <w:p w14:paraId="498CAADF" w14:textId="77777777" w:rsidR="00E73C87" w:rsidRPr="00535EFB" w:rsidRDefault="00E73C87" w:rsidP="00E73C87">
            <w:pPr>
              <w:spacing w:before="60" w:after="60"/>
              <w:jc w:val="right"/>
              <w:rPr>
                <w:rFonts w:cs="Arial"/>
                <w:sz w:val="18"/>
                <w:szCs w:val="18"/>
              </w:rPr>
            </w:pPr>
            <w:r w:rsidRPr="00535EFB">
              <w:rPr>
                <w:rFonts w:cs="Arial"/>
                <w:iCs/>
                <w:sz w:val="18"/>
                <w:szCs w:val="18"/>
              </w:rPr>
              <w:t>1 118</w:t>
            </w:r>
          </w:p>
        </w:tc>
        <w:tc>
          <w:tcPr>
            <w:tcW w:w="1312" w:type="dxa"/>
            <w:tcBorders>
              <w:left w:val="single" w:sz="4" w:space="0" w:color="FFFFFF" w:themeColor="background1"/>
            </w:tcBorders>
            <w:shd w:val="clear" w:color="auto" w:fill="00B0F0"/>
            <w:vAlign w:val="center"/>
          </w:tcPr>
          <w:p w14:paraId="348401AF" w14:textId="77777777" w:rsidR="00E73C87" w:rsidRPr="00535EFB" w:rsidRDefault="00E73C87" w:rsidP="00E73C87">
            <w:pPr>
              <w:spacing w:before="60" w:after="60"/>
              <w:jc w:val="right"/>
              <w:rPr>
                <w:rFonts w:cs="Arial"/>
                <w:sz w:val="18"/>
                <w:szCs w:val="18"/>
              </w:rPr>
            </w:pPr>
            <w:r w:rsidRPr="00535EFB">
              <w:rPr>
                <w:rFonts w:cs="Arial"/>
                <w:iCs/>
                <w:sz w:val="18"/>
                <w:szCs w:val="18"/>
              </w:rPr>
              <w:t>5 018</w:t>
            </w:r>
          </w:p>
        </w:tc>
        <w:tc>
          <w:tcPr>
            <w:tcW w:w="1312" w:type="dxa"/>
            <w:tcBorders>
              <w:left w:val="single" w:sz="4" w:space="0" w:color="FFFFFF" w:themeColor="background1"/>
            </w:tcBorders>
            <w:shd w:val="clear" w:color="auto" w:fill="00B0F0"/>
            <w:vAlign w:val="center"/>
          </w:tcPr>
          <w:p w14:paraId="1A1D528F" w14:textId="1E86E0CA"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891</w:t>
            </w:r>
          </w:p>
        </w:tc>
      </w:tr>
      <w:tr w:rsidR="00E73C87" w:rsidRPr="00535EFB" w14:paraId="5F353B86" w14:textId="71F4FA68" w:rsidTr="00E73C87">
        <w:tc>
          <w:tcPr>
            <w:tcW w:w="1423" w:type="dxa"/>
            <w:tcBorders>
              <w:right w:val="single" w:sz="4" w:space="0" w:color="FFFFFF" w:themeColor="background1"/>
            </w:tcBorders>
            <w:vAlign w:val="center"/>
          </w:tcPr>
          <w:p w14:paraId="30385595" w14:textId="77777777" w:rsidR="00E73C87" w:rsidRPr="00535EFB" w:rsidRDefault="00E73C87" w:rsidP="00E73C87">
            <w:pPr>
              <w:spacing w:before="60" w:after="60"/>
              <w:jc w:val="center"/>
              <w:rPr>
                <w:rFonts w:cs="Arial"/>
                <w:sz w:val="18"/>
                <w:szCs w:val="18"/>
              </w:rPr>
            </w:pPr>
            <w:r w:rsidRPr="00535EFB">
              <w:rPr>
                <w:rFonts w:cs="Arial"/>
                <w:sz w:val="18"/>
                <w:szCs w:val="18"/>
              </w:rPr>
              <w:t>wrzesień</w:t>
            </w:r>
          </w:p>
        </w:tc>
        <w:tc>
          <w:tcPr>
            <w:tcW w:w="1311" w:type="dxa"/>
            <w:tcBorders>
              <w:left w:val="single" w:sz="4" w:space="0" w:color="FFFFFF" w:themeColor="background1"/>
            </w:tcBorders>
            <w:vAlign w:val="center"/>
          </w:tcPr>
          <w:p w14:paraId="7C380FDD" w14:textId="77777777" w:rsidR="00E73C87" w:rsidRPr="00535EFB" w:rsidRDefault="00E73C87" w:rsidP="00E73C87">
            <w:pPr>
              <w:spacing w:before="60" w:after="60"/>
              <w:jc w:val="right"/>
              <w:rPr>
                <w:rFonts w:cs="Arial"/>
                <w:sz w:val="18"/>
                <w:szCs w:val="18"/>
              </w:rPr>
            </w:pPr>
            <w:r>
              <w:rPr>
                <w:rFonts w:cs="Arial"/>
                <w:iCs/>
                <w:sz w:val="18"/>
                <w:szCs w:val="18"/>
              </w:rPr>
              <w:t>-</w:t>
            </w:r>
          </w:p>
        </w:tc>
        <w:tc>
          <w:tcPr>
            <w:tcW w:w="1311" w:type="dxa"/>
            <w:tcBorders>
              <w:left w:val="single" w:sz="4" w:space="0" w:color="FFFFFF" w:themeColor="background1"/>
            </w:tcBorders>
            <w:vAlign w:val="center"/>
          </w:tcPr>
          <w:p w14:paraId="0DC59038" w14:textId="77777777" w:rsidR="00E73C87" w:rsidRPr="00535EFB" w:rsidRDefault="00E73C87" w:rsidP="00E73C87">
            <w:pPr>
              <w:spacing w:before="60" w:after="60"/>
              <w:jc w:val="right"/>
              <w:rPr>
                <w:rFonts w:cs="Arial"/>
                <w:sz w:val="18"/>
                <w:szCs w:val="18"/>
              </w:rPr>
            </w:pPr>
            <w:r w:rsidRPr="00535EFB">
              <w:rPr>
                <w:rFonts w:cs="Arial"/>
                <w:iCs/>
                <w:sz w:val="18"/>
                <w:szCs w:val="18"/>
              </w:rPr>
              <w:t>1 096</w:t>
            </w:r>
          </w:p>
        </w:tc>
        <w:tc>
          <w:tcPr>
            <w:tcW w:w="1311" w:type="dxa"/>
            <w:tcBorders>
              <w:left w:val="single" w:sz="4" w:space="0" w:color="FFFFFF" w:themeColor="background1"/>
            </w:tcBorders>
            <w:vAlign w:val="center"/>
          </w:tcPr>
          <w:p w14:paraId="6F3A5C6E" w14:textId="77777777" w:rsidR="00E73C87" w:rsidRPr="00535EFB" w:rsidRDefault="00E73C87" w:rsidP="00E73C87">
            <w:pPr>
              <w:spacing w:before="60" w:after="60"/>
              <w:jc w:val="right"/>
              <w:rPr>
                <w:rFonts w:cs="Arial"/>
                <w:sz w:val="18"/>
                <w:szCs w:val="18"/>
              </w:rPr>
            </w:pPr>
            <w:r w:rsidRPr="00535EFB">
              <w:rPr>
                <w:rFonts w:cs="Arial"/>
                <w:iCs/>
                <w:sz w:val="18"/>
                <w:szCs w:val="18"/>
              </w:rPr>
              <w:t>1 316</w:t>
            </w:r>
          </w:p>
        </w:tc>
        <w:tc>
          <w:tcPr>
            <w:tcW w:w="1312" w:type="dxa"/>
            <w:tcBorders>
              <w:left w:val="single" w:sz="4" w:space="0" w:color="FFFFFF" w:themeColor="background1"/>
            </w:tcBorders>
            <w:vAlign w:val="center"/>
          </w:tcPr>
          <w:p w14:paraId="2CF8C89F" w14:textId="77777777" w:rsidR="00E73C87" w:rsidRPr="00535EFB" w:rsidRDefault="00E73C87" w:rsidP="00E73C87">
            <w:pPr>
              <w:spacing w:before="60" w:after="60"/>
              <w:jc w:val="right"/>
              <w:rPr>
                <w:rFonts w:cs="Arial"/>
                <w:sz w:val="18"/>
                <w:szCs w:val="18"/>
              </w:rPr>
            </w:pPr>
            <w:r w:rsidRPr="00535EFB">
              <w:rPr>
                <w:rFonts w:cs="Arial"/>
                <w:iCs/>
                <w:sz w:val="18"/>
                <w:szCs w:val="18"/>
              </w:rPr>
              <w:t>5 219</w:t>
            </w:r>
          </w:p>
        </w:tc>
        <w:tc>
          <w:tcPr>
            <w:tcW w:w="1312" w:type="dxa"/>
            <w:tcBorders>
              <w:left w:val="single" w:sz="4" w:space="0" w:color="FFFFFF" w:themeColor="background1"/>
            </w:tcBorders>
            <w:vAlign w:val="center"/>
          </w:tcPr>
          <w:p w14:paraId="5E376C67" w14:textId="2B45811C"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643</w:t>
            </w:r>
          </w:p>
        </w:tc>
      </w:tr>
      <w:tr w:rsidR="00E73C87" w:rsidRPr="00535EFB" w14:paraId="2E624E89" w14:textId="0F4698BE" w:rsidTr="00E73C87">
        <w:tc>
          <w:tcPr>
            <w:tcW w:w="1423" w:type="dxa"/>
            <w:tcBorders>
              <w:right w:val="single" w:sz="4" w:space="0" w:color="FFFFFF" w:themeColor="background1"/>
            </w:tcBorders>
            <w:shd w:val="clear" w:color="auto" w:fill="00B0F0"/>
            <w:vAlign w:val="center"/>
          </w:tcPr>
          <w:p w14:paraId="183973A0" w14:textId="77777777" w:rsidR="00E73C87" w:rsidRPr="00535EFB" w:rsidRDefault="00E73C87" w:rsidP="00E73C87">
            <w:pPr>
              <w:spacing w:before="60" w:after="60"/>
              <w:jc w:val="center"/>
              <w:rPr>
                <w:rFonts w:cs="Arial"/>
                <w:sz w:val="18"/>
                <w:szCs w:val="18"/>
              </w:rPr>
            </w:pPr>
            <w:r w:rsidRPr="00535EFB">
              <w:rPr>
                <w:rFonts w:cs="Arial"/>
                <w:sz w:val="18"/>
                <w:szCs w:val="18"/>
              </w:rPr>
              <w:t>październik</w:t>
            </w:r>
          </w:p>
        </w:tc>
        <w:tc>
          <w:tcPr>
            <w:tcW w:w="1311" w:type="dxa"/>
            <w:tcBorders>
              <w:left w:val="single" w:sz="4" w:space="0" w:color="FFFFFF" w:themeColor="background1"/>
            </w:tcBorders>
            <w:shd w:val="clear" w:color="auto" w:fill="00B0F0"/>
            <w:vAlign w:val="center"/>
          </w:tcPr>
          <w:p w14:paraId="6F1582D6" w14:textId="77777777" w:rsidR="00E73C87" w:rsidRPr="00535EFB" w:rsidRDefault="00E73C87" w:rsidP="00E73C87">
            <w:pPr>
              <w:spacing w:before="60" w:after="60"/>
              <w:jc w:val="right"/>
              <w:rPr>
                <w:rFonts w:cs="Arial"/>
                <w:sz w:val="18"/>
                <w:szCs w:val="18"/>
              </w:rPr>
            </w:pPr>
            <w:r w:rsidRPr="00535EFB">
              <w:rPr>
                <w:rFonts w:cs="Arial"/>
                <w:iCs/>
                <w:sz w:val="18"/>
                <w:szCs w:val="18"/>
              </w:rPr>
              <w:t>423</w:t>
            </w:r>
          </w:p>
        </w:tc>
        <w:tc>
          <w:tcPr>
            <w:tcW w:w="1311" w:type="dxa"/>
            <w:tcBorders>
              <w:left w:val="single" w:sz="4" w:space="0" w:color="FFFFFF" w:themeColor="background1"/>
            </w:tcBorders>
            <w:shd w:val="clear" w:color="auto" w:fill="00B0F0"/>
            <w:vAlign w:val="center"/>
          </w:tcPr>
          <w:p w14:paraId="2749310C" w14:textId="77777777" w:rsidR="00E73C87" w:rsidRPr="00535EFB" w:rsidRDefault="00E73C87" w:rsidP="00E73C87">
            <w:pPr>
              <w:spacing w:before="60" w:after="60"/>
              <w:jc w:val="right"/>
              <w:rPr>
                <w:rFonts w:cs="Arial"/>
                <w:sz w:val="18"/>
                <w:szCs w:val="18"/>
              </w:rPr>
            </w:pPr>
            <w:r w:rsidRPr="00535EFB">
              <w:rPr>
                <w:rFonts w:cs="Arial"/>
                <w:iCs/>
                <w:sz w:val="18"/>
                <w:szCs w:val="18"/>
              </w:rPr>
              <w:t>1 494</w:t>
            </w:r>
          </w:p>
        </w:tc>
        <w:tc>
          <w:tcPr>
            <w:tcW w:w="1311" w:type="dxa"/>
            <w:tcBorders>
              <w:left w:val="single" w:sz="4" w:space="0" w:color="FFFFFF" w:themeColor="background1"/>
            </w:tcBorders>
            <w:shd w:val="clear" w:color="auto" w:fill="00B0F0"/>
            <w:vAlign w:val="center"/>
          </w:tcPr>
          <w:p w14:paraId="3DEB6304" w14:textId="77777777" w:rsidR="00E73C87" w:rsidRPr="00535EFB" w:rsidRDefault="00E73C87" w:rsidP="00E73C87">
            <w:pPr>
              <w:spacing w:before="60" w:after="60"/>
              <w:jc w:val="right"/>
              <w:rPr>
                <w:rFonts w:cs="Arial"/>
                <w:sz w:val="18"/>
                <w:szCs w:val="18"/>
              </w:rPr>
            </w:pPr>
            <w:r w:rsidRPr="00535EFB">
              <w:rPr>
                <w:rFonts w:cs="Arial"/>
                <w:iCs/>
                <w:sz w:val="18"/>
                <w:szCs w:val="18"/>
              </w:rPr>
              <w:t>1 722</w:t>
            </w:r>
          </w:p>
        </w:tc>
        <w:tc>
          <w:tcPr>
            <w:tcW w:w="1312" w:type="dxa"/>
            <w:tcBorders>
              <w:left w:val="single" w:sz="4" w:space="0" w:color="FFFFFF" w:themeColor="background1"/>
            </w:tcBorders>
            <w:shd w:val="clear" w:color="auto" w:fill="00B0F0"/>
            <w:vAlign w:val="center"/>
          </w:tcPr>
          <w:p w14:paraId="0A425923" w14:textId="77777777" w:rsidR="00E73C87" w:rsidRPr="00535EFB" w:rsidRDefault="00E73C87" w:rsidP="00E73C87">
            <w:pPr>
              <w:spacing w:before="60" w:after="60"/>
              <w:jc w:val="right"/>
              <w:rPr>
                <w:rFonts w:cs="Arial"/>
                <w:sz w:val="18"/>
                <w:szCs w:val="18"/>
              </w:rPr>
            </w:pPr>
            <w:r w:rsidRPr="00535EFB">
              <w:rPr>
                <w:rFonts w:cs="Arial"/>
                <w:iCs/>
                <w:sz w:val="18"/>
                <w:szCs w:val="18"/>
              </w:rPr>
              <w:t>5 759</w:t>
            </w:r>
          </w:p>
        </w:tc>
        <w:tc>
          <w:tcPr>
            <w:tcW w:w="1312" w:type="dxa"/>
            <w:tcBorders>
              <w:left w:val="single" w:sz="4" w:space="0" w:color="FFFFFF" w:themeColor="background1"/>
            </w:tcBorders>
            <w:shd w:val="clear" w:color="auto" w:fill="00B0F0"/>
            <w:vAlign w:val="center"/>
          </w:tcPr>
          <w:p w14:paraId="225E6507" w14:textId="2476D169" w:rsidR="00E73C87" w:rsidRPr="00E73C87" w:rsidRDefault="00E73C87" w:rsidP="00E73C87">
            <w:pPr>
              <w:spacing w:before="60" w:after="60"/>
              <w:jc w:val="right"/>
              <w:rPr>
                <w:rFonts w:cs="Arial"/>
                <w:iCs/>
                <w:sz w:val="18"/>
                <w:szCs w:val="18"/>
              </w:rPr>
            </w:pPr>
            <w:r w:rsidRPr="00E73C87">
              <w:rPr>
                <w:sz w:val="18"/>
                <w:szCs w:val="18"/>
              </w:rPr>
              <w:t>4</w:t>
            </w:r>
            <w:r>
              <w:rPr>
                <w:sz w:val="18"/>
                <w:szCs w:val="18"/>
              </w:rPr>
              <w:t xml:space="preserve"> </w:t>
            </w:r>
            <w:r w:rsidRPr="00E73C87">
              <w:rPr>
                <w:sz w:val="18"/>
                <w:szCs w:val="18"/>
              </w:rPr>
              <w:t>600</w:t>
            </w:r>
          </w:p>
        </w:tc>
      </w:tr>
      <w:tr w:rsidR="00E73C87" w:rsidRPr="00535EFB" w14:paraId="33AA5B2B" w14:textId="1A567345" w:rsidTr="00E73C87">
        <w:tc>
          <w:tcPr>
            <w:tcW w:w="1423" w:type="dxa"/>
            <w:tcBorders>
              <w:right w:val="single" w:sz="4" w:space="0" w:color="FFFFFF" w:themeColor="background1"/>
            </w:tcBorders>
            <w:vAlign w:val="center"/>
          </w:tcPr>
          <w:p w14:paraId="0C6BA7CD" w14:textId="77777777" w:rsidR="00E73C87" w:rsidRPr="00535EFB" w:rsidRDefault="00E73C87" w:rsidP="00E73C87">
            <w:pPr>
              <w:spacing w:before="60" w:after="60"/>
              <w:jc w:val="center"/>
              <w:rPr>
                <w:rFonts w:cs="Arial"/>
                <w:sz w:val="18"/>
                <w:szCs w:val="18"/>
              </w:rPr>
            </w:pPr>
            <w:r w:rsidRPr="00535EFB">
              <w:rPr>
                <w:rFonts w:cs="Arial"/>
                <w:sz w:val="18"/>
                <w:szCs w:val="18"/>
              </w:rPr>
              <w:t>listopad</w:t>
            </w:r>
          </w:p>
        </w:tc>
        <w:tc>
          <w:tcPr>
            <w:tcW w:w="1311" w:type="dxa"/>
            <w:tcBorders>
              <w:left w:val="single" w:sz="4" w:space="0" w:color="FFFFFF" w:themeColor="background1"/>
            </w:tcBorders>
            <w:vAlign w:val="center"/>
          </w:tcPr>
          <w:p w14:paraId="191128A2" w14:textId="77777777" w:rsidR="00E73C87" w:rsidRPr="00535EFB" w:rsidRDefault="00E73C87" w:rsidP="00E73C87">
            <w:pPr>
              <w:spacing w:before="60" w:after="60"/>
              <w:jc w:val="right"/>
              <w:rPr>
                <w:rFonts w:cs="Arial"/>
                <w:sz w:val="18"/>
                <w:szCs w:val="18"/>
              </w:rPr>
            </w:pPr>
            <w:r w:rsidRPr="00535EFB">
              <w:rPr>
                <w:rFonts w:cs="Arial"/>
                <w:iCs/>
                <w:sz w:val="18"/>
                <w:szCs w:val="18"/>
              </w:rPr>
              <w:t>640</w:t>
            </w:r>
          </w:p>
        </w:tc>
        <w:tc>
          <w:tcPr>
            <w:tcW w:w="1311" w:type="dxa"/>
            <w:tcBorders>
              <w:left w:val="single" w:sz="4" w:space="0" w:color="FFFFFF" w:themeColor="background1"/>
            </w:tcBorders>
            <w:vAlign w:val="center"/>
          </w:tcPr>
          <w:p w14:paraId="42509B6E" w14:textId="77777777" w:rsidR="00E73C87" w:rsidRPr="00535EFB" w:rsidRDefault="00E73C87" w:rsidP="00E73C87">
            <w:pPr>
              <w:spacing w:before="60" w:after="60"/>
              <w:jc w:val="right"/>
              <w:rPr>
                <w:rFonts w:cs="Arial"/>
                <w:sz w:val="18"/>
                <w:szCs w:val="18"/>
              </w:rPr>
            </w:pPr>
            <w:r w:rsidRPr="00535EFB">
              <w:rPr>
                <w:rFonts w:cs="Arial"/>
                <w:iCs/>
                <w:sz w:val="18"/>
                <w:szCs w:val="18"/>
              </w:rPr>
              <w:t>926</w:t>
            </w:r>
          </w:p>
        </w:tc>
        <w:tc>
          <w:tcPr>
            <w:tcW w:w="1311" w:type="dxa"/>
            <w:tcBorders>
              <w:left w:val="single" w:sz="4" w:space="0" w:color="FFFFFF" w:themeColor="background1"/>
            </w:tcBorders>
            <w:vAlign w:val="center"/>
          </w:tcPr>
          <w:p w14:paraId="296796DD" w14:textId="77777777" w:rsidR="00E73C87" w:rsidRPr="00535EFB" w:rsidRDefault="00E73C87" w:rsidP="00E73C87">
            <w:pPr>
              <w:spacing w:before="60" w:after="60"/>
              <w:jc w:val="right"/>
              <w:rPr>
                <w:rFonts w:cs="Arial"/>
                <w:sz w:val="18"/>
                <w:szCs w:val="18"/>
              </w:rPr>
            </w:pPr>
            <w:r w:rsidRPr="00535EFB">
              <w:rPr>
                <w:rFonts w:cs="Arial"/>
                <w:iCs/>
                <w:sz w:val="18"/>
                <w:szCs w:val="18"/>
              </w:rPr>
              <w:t>1 452</w:t>
            </w:r>
          </w:p>
        </w:tc>
        <w:tc>
          <w:tcPr>
            <w:tcW w:w="1312" w:type="dxa"/>
            <w:tcBorders>
              <w:left w:val="single" w:sz="4" w:space="0" w:color="FFFFFF" w:themeColor="background1"/>
            </w:tcBorders>
            <w:vAlign w:val="center"/>
          </w:tcPr>
          <w:p w14:paraId="06137634" w14:textId="77777777" w:rsidR="00E73C87" w:rsidRPr="00535EFB" w:rsidRDefault="00E73C87" w:rsidP="00E73C87">
            <w:pPr>
              <w:spacing w:before="60" w:after="60"/>
              <w:jc w:val="right"/>
              <w:rPr>
                <w:rFonts w:cs="Arial"/>
                <w:sz w:val="18"/>
                <w:szCs w:val="18"/>
              </w:rPr>
            </w:pPr>
            <w:r w:rsidRPr="00535EFB">
              <w:rPr>
                <w:rFonts w:cs="Arial"/>
                <w:iCs/>
                <w:sz w:val="18"/>
                <w:szCs w:val="18"/>
              </w:rPr>
              <w:t>6 077</w:t>
            </w:r>
          </w:p>
        </w:tc>
        <w:tc>
          <w:tcPr>
            <w:tcW w:w="1312" w:type="dxa"/>
            <w:tcBorders>
              <w:left w:val="single" w:sz="4" w:space="0" w:color="FFFFFF" w:themeColor="background1"/>
            </w:tcBorders>
            <w:vAlign w:val="center"/>
          </w:tcPr>
          <w:p w14:paraId="0190DA9D" w14:textId="7D4C727F" w:rsidR="00E73C87" w:rsidRPr="00E73C87" w:rsidRDefault="00E73C87" w:rsidP="00E73C87">
            <w:pPr>
              <w:spacing w:before="60" w:after="60"/>
              <w:jc w:val="right"/>
              <w:rPr>
                <w:rFonts w:cs="Arial"/>
                <w:iCs/>
                <w:sz w:val="18"/>
                <w:szCs w:val="18"/>
              </w:rPr>
            </w:pPr>
            <w:r w:rsidRPr="00E73C87">
              <w:rPr>
                <w:sz w:val="18"/>
                <w:szCs w:val="18"/>
              </w:rPr>
              <w:t>5</w:t>
            </w:r>
            <w:r>
              <w:rPr>
                <w:sz w:val="18"/>
                <w:szCs w:val="18"/>
              </w:rPr>
              <w:t xml:space="preserve"> </w:t>
            </w:r>
            <w:r w:rsidRPr="00E73C87">
              <w:rPr>
                <w:sz w:val="18"/>
                <w:szCs w:val="18"/>
              </w:rPr>
              <w:t>148</w:t>
            </w:r>
          </w:p>
        </w:tc>
      </w:tr>
      <w:tr w:rsidR="00E73C87" w:rsidRPr="00535EFB" w14:paraId="560C6B1A" w14:textId="2D1F6385" w:rsidTr="00E73C87">
        <w:tc>
          <w:tcPr>
            <w:tcW w:w="1423" w:type="dxa"/>
            <w:tcBorders>
              <w:right w:val="single" w:sz="4" w:space="0" w:color="FFFFFF" w:themeColor="background1"/>
            </w:tcBorders>
            <w:shd w:val="clear" w:color="auto" w:fill="00B0F0"/>
            <w:vAlign w:val="center"/>
          </w:tcPr>
          <w:p w14:paraId="297855E4" w14:textId="77777777" w:rsidR="00E73C87" w:rsidRPr="00535EFB" w:rsidRDefault="00E73C87" w:rsidP="00E73C87">
            <w:pPr>
              <w:spacing w:before="60" w:after="60"/>
              <w:jc w:val="center"/>
              <w:rPr>
                <w:rFonts w:cs="Arial"/>
                <w:sz w:val="18"/>
                <w:szCs w:val="18"/>
              </w:rPr>
            </w:pPr>
            <w:r w:rsidRPr="00535EFB">
              <w:rPr>
                <w:rFonts w:cs="Arial"/>
                <w:sz w:val="18"/>
                <w:szCs w:val="18"/>
              </w:rPr>
              <w:t>grudzień</w:t>
            </w:r>
          </w:p>
        </w:tc>
        <w:tc>
          <w:tcPr>
            <w:tcW w:w="1311" w:type="dxa"/>
            <w:tcBorders>
              <w:left w:val="single" w:sz="4" w:space="0" w:color="FFFFFF" w:themeColor="background1"/>
            </w:tcBorders>
            <w:shd w:val="clear" w:color="auto" w:fill="00B0F0"/>
            <w:vAlign w:val="center"/>
          </w:tcPr>
          <w:p w14:paraId="0883DA6E" w14:textId="77777777" w:rsidR="00E73C87" w:rsidRPr="00535EFB" w:rsidRDefault="00E73C87" w:rsidP="00E73C87">
            <w:pPr>
              <w:spacing w:before="60" w:after="60"/>
              <w:jc w:val="right"/>
              <w:rPr>
                <w:rFonts w:cs="Arial"/>
                <w:sz w:val="18"/>
                <w:szCs w:val="18"/>
              </w:rPr>
            </w:pPr>
            <w:r w:rsidRPr="00535EFB">
              <w:rPr>
                <w:rFonts w:cs="Arial"/>
                <w:iCs/>
                <w:sz w:val="18"/>
                <w:szCs w:val="18"/>
              </w:rPr>
              <w:t>752</w:t>
            </w:r>
          </w:p>
        </w:tc>
        <w:tc>
          <w:tcPr>
            <w:tcW w:w="1311" w:type="dxa"/>
            <w:tcBorders>
              <w:left w:val="single" w:sz="4" w:space="0" w:color="FFFFFF" w:themeColor="background1"/>
            </w:tcBorders>
            <w:shd w:val="clear" w:color="auto" w:fill="00B0F0"/>
            <w:vAlign w:val="center"/>
          </w:tcPr>
          <w:p w14:paraId="455F7631" w14:textId="77777777" w:rsidR="00E73C87" w:rsidRPr="00535EFB" w:rsidRDefault="00E73C87" w:rsidP="00E73C87">
            <w:pPr>
              <w:spacing w:before="60" w:after="60"/>
              <w:jc w:val="right"/>
              <w:rPr>
                <w:rFonts w:cs="Arial"/>
                <w:sz w:val="18"/>
                <w:szCs w:val="18"/>
              </w:rPr>
            </w:pPr>
            <w:r w:rsidRPr="00535EFB">
              <w:rPr>
                <w:rFonts w:cs="Arial"/>
                <w:iCs/>
                <w:sz w:val="18"/>
                <w:szCs w:val="18"/>
              </w:rPr>
              <w:t>924</w:t>
            </w:r>
          </w:p>
        </w:tc>
        <w:tc>
          <w:tcPr>
            <w:tcW w:w="1311" w:type="dxa"/>
            <w:tcBorders>
              <w:left w:val="single" w:sz="4" w:space="0" w:color="FFFFFF" w:themeColor="background1"/>
            </w:tcBorders>
            <w:shd w:val="clear" w:color="auto" w:fill="00B0F0"/>
            <w:vAlign w:val="center"/>
          </w:tcPr>
          <w:p w14:paraId="7A461388" w14:textId="77777777" w:rsidR="00E73C87" w:rsidRPr="00535EFB" w:rsidRDefault="00E73C87" w:rsidP="00E73C87">
            <w:pPr>
              <w:spacing w:before="60" w:after="60"/>
              <w:jc w:val="right"/>
              <w:rPr>
                <w:rFonts w:cs="Arial"/>
                <w:sz w:val="18"/>
                <w:szCs w:val="18"/>
              </w:rPr>
            </w:pPr>
            <w:r w:rsidRPr="00535EFB">
              <w:rPr>
                <w:rFonts w:cs="Arial"/>
                <w:iCs/>
                <w:sz w:val="18"/>
                <w:szCs w:val="18"/>
              </w:rPr>
              <w:t>2 543</w:t>
            </w:r>
          </w:p>
        </w:tc>
        <w:tc>
          <w:tcPr>
            <w:tcW w:w="1312" w:type="dxa"/>
            <w:tcBorders>
              <w:left w:val="single" w:sz="4" w:space="0" w:color="FFFFFF" w:themeColor="background1"/>
            </w:tcBorders>
            <w:shd w:val="clear" w:color="auto" w:fill="00B0F0"/>
            <w:vAlign w:val="center"/>
          </w:tcPr>
          <w:p w14:paraId="6D685186" w14:textId="77777777" w:rsidR="00E73C87" w:rsidRPr="00535EFB" w:rsidRDefault="00E73C87" w:rsidP="00E73C87">
            <w:pPr>
              <w:spacing w:before="60" w:after="60"/>
              <w:jc w:val="right"/>
              <w:rPr>
                <w:rFonts w:cs="Arial"/>
                <w:sz w:val="18"/>
                <w:szCs w:val="18"/>
              </w:rPr>
            </w:pPr>
            <w:r w:rsidRPr="00535EFB">
              <w:rPr>
                <w:rFonts w:cs="Arial"/>
                <w:iCs/>
                <w:sz w:val="18"/>
                <w:szCs w:val="18"/>
              </w:rPr>
              <w:t>6 161</w:t>
            </w:r>
          </w:p>
        </w:tc>
        <w:tc>
          <w:tcPr>
            <w:tcW w:w="1312" w:type="dxa"/>
            <w:tcBorders>
              <w:left w:val="single" w:sz="4" w:space="0" w:color="FFFFFF" w:themeColor="background1"/>
            </w:tcBorders>
            <w:shd w:val="clear" w:color="auto" w:fill="00B0F0"/>
            <w:vAlign w:val="center"/>
          </w:tcPr>
          <w:p w14:paraId="2839BEC9" w14:textId="78D16BAB" w:rsidR="00E73C87" w:rsidRPr="00E73C87" w:rsidRDefault="00E73C87" w:rsidP="00E73C87">
            <w:pPr>
              <w:spacing w:before="60" w:after="60"/>
              <w:jc w:val="right"/>
              <w:rPr>
                <w:rFonts w:cs="Arial"/>
                <w:iCs/>
                <w:sz w:val="18"/>
                <w:szCs w:val="18"/>
              </w:rPr>
            </w:pPr>
            <w:r w:rsidRPr="00E73C87">
              <w:rPr>
                <w:sz w:val="18"/>
                <w:szCs w:val="18"/>
              </w:rPr>
              <w:t>5</w:t>
            </w:r>
            <w:r>
              <w:rPr>
                <w:sz w:val="18"/>
                <w:szCs w:val="18"/>
              </w:rPr>
              <w:t xml:space="preserve"> </w:t>
            </w:r>
            <w:r w:rsidRPr="00E73C87">
              <w:rPr>
                <w:sz w:val="18"/>
                <w:szCs w:val="18"/>
              </w:rPr>
              <w:t>336</w:t>
            </w:r>
          </w:p>
        </w:tc>
      </w:tr>
      <w:tr w:rsidR="00E73C87" w:rsidRPr="00535EFB" w14:paraId="5D08B507" w14:textId="4A58DF5A" w:rsidTr="00E73C87">
        <w:tc>
          <w:tcPr>
            <w:tcW w:w="1423" w:type="dxa"/>
            <w:tcBorders>
              <w:right w:val="single" w:sz="4" w:space="0" w:color="FFFFFF" w:themeColor="background1"/>
            </w:tcBorders>
            <w:vAlign w:val="center"/>
          </w:tcPr>
          <w:p w14:paraId="3575B42A" w14:textId="77777777" w:rsidR="00E73C87" w:rsidRPr="00535EFB" w:rsidRDefault="00E73C87" w:rsidP="00E73C87">
            <w:pPr>
              <w:spacing w:before="60" w:after="60"/>
              <w:jc w:val="center"/>
              <w:rPr>
                <w:rFonts w:cs="Arial"/>
                <w:b/>
                <w:sz w:val="18"/>
                <w:szCs w:val="18"/>
              </w:rPr>
            </w:pPr>
            <w:r w:rsidRPr="00535EFB">
              <w:rPr>
                <w:rFonts w:cs="Arial"/>
                <w:b/>
                <w:sz w:val="18"/>
                <w:szCs w:val="18"/>
              </w:rPr>
              <w:t>Łącznie</w:t>
            </w:r>
          </w:p>
        </w:tc>
        <w:tc>
          <w:tcPr>
            <w:tcW w:w="1311" w:type="dxa"/>
            <w:tcBorders>
              <w:left w:val="single" w:sz="4" w:space="0" w:color="FFFFFF" w:themeColor="background1"/>
            </w:tcBorders>
            <w:vAlign w:val="center"/>
          </w:tcPr>
          <w:p w14:paraId="7F8D826D" w14:textId="77777777" w:rsidR="00E73C87" w:rsidRPr="00535EFB" w:rsidRDefault="00E73C87" w:rsidP="00E73C87">
            <w:pPr>
              <w:spacing w:before="60" w:after="60"/>
              <w:jc w:val="right"/>
              <w:rPr>
                <w:rFonts w:cs="Arial"/>
                <w:b/>
                <w:sz w:val="18"/>
                <w:szCs w:val="18"/>
              </w:rPr>
            </w:pPr>
            <w:r w:rsidRPr="00535EFB">
              <w:rPr>
                <w:b/>
                <w:sz w:val="18"/>
                <w:szCs w:val="18"/>
              </w:rPr>
              <w:t>1 815</w:t>
            </w:r>
          </w:p>
        </w:tc>
        <w:tc>
          <w:tcPr>
            <w:tcW w:w="1311" w:type="dxa"/>
            <w:tcBorders>
              <w:left w:val="single" w:sz="4" w:space="0" w:color="FFFFFF" w:themeColor="background1"/>
            </w:tcBorders>
            <w:vAlign w:val="center"/>
          </w:tcPr>
          <w:p w14:paraId="72D18143" w14:textId="77777777" w:rsidR="00E73C87" w:rsidRPr="00535EFB" w:rsidRDefault="00E73C87" w:rsidP="00E73C87">
            <w:pPr>
              <w:spacing w:before="60" w:after="60"/>
              <w:jc w:val="right"/>
              <w:rPr>
                <w:rFonts w:cs="Arial"/>
                <w:b/>
                <w:sz w:val="18"/>
                <w:szCs w:val="18"/>
              </w:rPr>
            </w:pPr>
            <w:r w:rsidRPr="00535EFB">
              <w:rPr>
                <w:b/>
                <w:sz w:val="18"/>
                <w:szCs w:val="18"/>
              </w:rPr>
              <w:t>12 538</w:t>
            </w:r>
          </w:p>
        </w:tc>
        <w:tc>
          <w:tcPr>
            <w:tcW w:w="1311" w:type="dxa"/>
            <w:tcBorders>
              <w:left w:val="single" w:sz="4" w:space="0" w:color="FFFFFF" w:themeColor="background1"/>
            </w:tcBorders>
            <w:vAlign w:val="center"/>
          </w:tcPr>
          <w:p w14:paraId="6A58D64E" w14:textId="77777777" w:rsidR="00E73C87" w:rsidRPr="00535EFB" w:rsidRDefault="00E73C87" w:rsidP="00E73C87">
            <w:pPr>
              <w:spacing w:before="60" w:after="60"/>
              <w:jc w:val="right"/>
              <w:rPr>
                <w:rFonts w:cs="Arial"/>
                <w:b/>
                <w:sz w:val="18"/>
                <w:szCs w:val="18"/>
              </w:rPr>
            </w:pPr>
            <w:r w:rsidRPr="00535EFB">
              <w:rPr>
                <w:b/>
                <w:sz w:val="18"/>
                <w:szCs w:val="18"/>
              </w:rPr>
              <w:t>15 957</w:t>
            </w:r>
          </w:p>
        </w:tc>
        <w:tc>
          <w:tcPr>
            <w:tcW w:w="1312" w:type="dxa"/>
            <w:tcBorders>
              <w:left w:val="single" w:sz="4" w:space="0" w:color="FFFFFF" w:themeColor="background1"/>
            </w:tcBorders>
            <w:vAlign w:val="center"/>
          </w:tcPr>
          <w:p w14:paraId="6D226EFC" w14:textId="77777777" w:rsidR="00E73C87" w:rsidRPr="00535EFB" w:rsidRDefault="00E73C87" w:rsidP="00E73C87">
            <w:pPr>
              <w:spacing w:before="60" w:after="60"/>
              <w:jc w:val="right"/>
              <w:rPr>
                <w:rFonts w:cs="Arial"/>
                <w:b/>
                <w:sz w:val="18"/>
                <w:szCs w:val="18"/>
              </w:rPr>
            </w:pPr>
            <w:r w:rsidRPr="00535EFB">
              <w:rPr>
                <w:b/>
                <w:sz w:val="18"/>
                <w:szCs w:val="18"/>
              </w:rPr>
              <w:t>54 337</w:t>
            </w:r>
          </w:p>
        </w:tc>
        <w:tc>
          <w:tcPr>
            <w:tcW w:w="1312" w:type="dxa"/>
            <w:tcBorders>
              <w:left w:val="single" w:sz="4" w:space="0" w:color="FFFFFF" w:themeColor="background1"/>
            </w:tcBorders>
            <w:vAlign w:val="center"/>
          </w:tcPr>
          <w:p w14:paraId="4E7D55FA" w14:textId="151C70F1" w:rsidR="00E73C87" w:rsidRPr="00E73C87" w:rsidRDefault="00E73C87" w:rsidP="00E73C87">
            <w:pPr>
              <w:spacing w:before="60" w:after="60"/>
              <w:jc w:val="right"/>
              <w:rPr>
                <w:b/>
                <w:sz w:val="18"/>
                <w:szCs w:val="18"/>
              </w:rPr>
            </w:pPr>
            <w:r w:rsidRPr="00E73C87">
              <w:rPr>
                <w:b/>
                <w:sz w:val="18"/>
                <w:szCs w:val="18"/>
              </w:rPr>
              <w:t>58 006</w:t>
            </w:r>
          </w:p>
        </w:tc>
      </w:tr>
    </w:tbl>
    <w:p w14:paraId="36251387" w14:textId="476AF237" w:rsidR="00E73C87" w:rsidRDefault="00E73C87" w:rsidP="000E402B">
      <w:pPr>
        <w:shd w:val="clear" w:color="auto" w:fill="FFFFFF"/>
        <w:rPr>
          <w:rFonts w:cs="Arial"/>
          <w:bCs/>
          <w:szCs w:val="22"/>
        </w:rPr>
      </w:pPr>
    </w:p>
    <w:p w14:paraId="6CDB0F74" w14:textId="2AECCF6D" w:rsidR="00E73C87" w:rsidRDefault="00E73C87" w:rsidP="000E402B">
      <w:pPr>
        <w:shd w:val="clear" w:color="auto" w:fill="FFFFFF"/>
        <w:rPr>
          <w:rFonts w:cs="Arial"/>
          <w:bCs/>
          <w:szCs w:val="22"/>
        </w:rPr>
      </w:pPr>
    </w:p>
    <w:p w14:paraId="095B2DDA" w14:textId="77777777" w:rsidR="00252110" w:rsidRPr="00E35864" w:rsidRDefault="00252110" w:rsidP="00E16264">
      <w:pPr>
        <w:pStyle w:val="StylArial11ptWyjustowany"/>
        <w:numPr>
          <w:ilvl w:val="0"/>
          <w:numId w:val="7"/>
        </w:numPr>
        <w:shd w:val="clear" w:color="auto" w:fill="FFFFFF"/>
        <w:jc w:val="left"/>
        <w:rPr>
          <w:rFonts w:cs="Arial"/>
          <w:b/>
          <w:iCs/>
          <w:color w:val="0070C0"/>
          <w:szCs w:val="22"/>
        </w:rPr>
      </w:pPr>
      <w:r w:rsidRPr="00E35864">
        <w:rPr>
          <w:rFonts w:cs="Arial"/>
          <w:b/>
          <w:iCs/>
          <w:color w:val="0070C0"/>
          <w:szCs w:val="22"/>
        </w:rPr>
        <w:t>Narzędzia elektroniczne udostępniane przez Urząd Zamówień Publicznych</w:t>
      </w:r>
    </w:p>
    <w:p w14:paraId="59DE4CDB" w14:textId="130F5F84" w:rsidR="00E73C87" w:rsidRDefault="00E73C87" w:rsidP="000E402B">
      <w:pPr>
        <w:shd w:val="clear" w:color="auto" w:fill="FFFFFF"/>
        <w:rPr>
          <w:rFonts w:cs="Arial"/>
          <w:bCs/>
          <w:szCs w:val="22"/>
        </w:rPr>
      </w:pPr>
    </w:p>
    <w:p w14:paraId="5634CE6B" w14:textId="4C3161F8" w:rsidR="00252110" w:rsidRPr="00252110" w:rsidRDefault="00252110" w:rsidP="00252110">
      <w:pPr>
        <w:shd w:val="clear" w:color="auto" w:fill="FFFFFF"/>
        <w:rPr>
          <w:rFonts w:cs="Arial"/>
          <w:bCs/>
          <w:szCs w:val="22"/>
        </w:rPr>
      </w:pPr>
      <w:r w:rsidRPr="00252110">
        <w:rPr>
          <w:rFonts w:cs="Arial"/>
          <w:bCs/>
          <w:szCs w:val="22"/>
        </w:rPr>
        <w:t xml:space="preserve">Ustawa </w:t>
      </w:r>
      <w:r w:rsidR="00F550B4" w:rsidRPr="00F550B4">
        <w:rPr>
          <w:rFonts w:cs="Arial"/>
          <w:bCs/>
          <w:szCs w:val="22"/>
        </w:rPr>
        <w:t>–</w:t>
      </w:r>
      <w:r w:rsidR="00F550B4">
        <w:rPr>
          <w:rFonts w:cs="Arial"/>
          <w:bCs/>
          <w:szCs w:val="22"/>
        </w:rPr>
        <w:t xml:space="preserve"> </w:t>
      </w:r>
      <w:r w:rsidRPr="00252110">
        <w:rPr>
          <w:rFonts w:cs="Arial"/>
          <w:bCs/>
          <w:szCs w:val="22"/>
        </w:rPr>
        <w:t xml:space="preserve">Prawo zamówień publicznych umożliwia wykorzystanie środków elektronicznych do prowadzenia postępowań o </w:t>
      </w:r>
      <w:r w:rsidR="00F550B4">
        <w:rPr>
          <w:rFonts w:cs="Arial"/>
          <w:bCs/>
          <w:szCs w:val="22"/>
        </w:rPr>
        <w:t xml:space="preserve">udzielenie </w:t>
      </w:r>
      <w:r w:rsidRPr="00252110">
        <w:rPr>
          <w:rFonts w:cs="Arial"/>
          <w:bCs/>
          <w:szCs w:val="22"/>
        </w:rPr>
        <w:t>zamówie</w:t>
      </w:r>
      <w:r w:rsidR="00683237">
        <w:rPr>
          <w:rFonts w:cs="Arial"/>
          <w:bCs/>
          <w:szCs w:val="22"/>
        </w:rPr>
        <w:t>ń</w:t>
      </w:r>
      <w:r w:rsidRPr="00252110">
        <w:rPr>
          <w:rFonts w:cs="Arial"/>
          <w:bCs/>
          <w:szCs w:val="22"/>
        </w:rPr>
        <w:t xml:space="preserve">. Do usprawnienia i przyspieszenia procedury zamówieniowej przyczyniają się nieodpłatne narzędzia informatyczne udostępnione i utrzymywane przez Urząd Zamówień Publicznych. </w:t>
      </w:r>
    </w:p>
    <w:p w14:paraId="0A1DB898" w14:textId="00C31C36" w:rsidR="000E402B" w:rsidRDefault="000E402B" w:rsidP="000E402B">
      <w:pPr>
        <w:shd w:val="clear" w:color="auto" w:fill="FFFFFF"/>
        <w:rPr>
          <w:rFonts w:cs="Arial"/>
          <w:bCs/>
          <w:szCs w:val="22"/>
        </w:rPr>
      </w:pPr>
    </w:p>
    <w:p w14:paraId="465A4F14" w14:textId="6FB32A59" w:rsidR="00252110" w:rsidRPr="00252110" w:rsidRDefault="00252110" w:rsidP="00E16264">
      <w:pPr>
        <w:pStyle w:val="StylArial11ptWyjustowany"/>
        <w:numPr>
          <w:ilvl w:val="1"/>
          <w:numId w:val="7"/>
        </w:numPr>
        <w:shd w:val="clear" w:color="auto" w:fill="FFFFFF"/>
        <w:jc w:val="left"/>
        <w:rPr>
          <w:rFonts w:cs="Arial"/>
          <w:b/>
          <w:iCs/>
          <w:color w:val="0070C0"/>
          <w:szCs w:val="22"/>
        </w:rPr>
      </w:pPr>
      <w:r w:rsidRPr="00252110">
        <w:rPr>
          <w:rFonts w:cs="Arial"/>
          <w:b/>
          <w:iCs/>
          <w:color w:val="0070C0"/>
          <w:szCs w:val="22"/>
        </w:rPr>
        <w:t>Portal centralny (</w:t>
      </w:r>
      <w:hyperlink r:id="rId46" w:history="1">
        <w:r w:rsidRPr="00252110">
          <w:rPr>
            <w:rStyle w:val="Hipercze"/>
            <w:rFonts w:cs="Arial"/>
            <w:b/>
            <w:iCs/>
            <w:color w:val="0070C0"/>
            <w:szCs w:val="22"/>
          </w:rPr>
          <w:t>https://www.gov.pl/web/uzp/</w:t>
        </w:r>
      </w:hyperlink>
      <w:r w:rsidRPr="00252110">
        <w:rPr>
          <w:rFonts w:cs="Arial"/>
          <w:b/>
          <w:iCs/>
          <w:color w:val="0070C0"/>
          <w:szCs w:val="22"/>
        </w:rPr>
        <w:t>)</w:t>
      </w:r>
    </w:p>
    <w:p w14:paraId="581DE75B" w14:textId="5AA0744E" w:rsidR="00252110" w:rsidRDefault="00252110" w:rsidP="000E402B">
      <w:pPr>
        <w:shd w:val="clear" w:color="auto" w:fill="FFFFFF"/>
        <w:rPr>
          <w:rFonts w:cs="Arial"/>
          <w:bCs/>
          <w:szCs w:val="22"/>
        </w:rPr>
      </w:pPr>
    </w:p>
    <w:p w14:paraId="7D440076" w14:textId="77777777" w:rsidR="00252110" w:rsidRPr="00252110" w:rsidRDefault="00252110" w:rsidP="00252110">
      <w:pPr>
        <w:shd w:val="clear" w:color="auto" w:fill="FFFFFF"/>
        <w:rPr>
          <w:rFonts w:cs="Arial"/>
          <w:bCs/>
          <w:szCs w:val="22"/>
        </w:rPr>
      </w:pPr>
      <w:r w:rsidRPr="00252110">
        <w:rPr>
          <w:rFonts w:cs="Arial"/>
          <w:bCs/>
          <w:szCs w:val="22"/>
        </w:rPr>
        <w:t xml:space="preserve">Serwis informacyjny, gdzie zamieszczono m.in. informacje związane z prowadzeniem postępowań o zamówienie publiczne: </w:t>
      </w:r>
    </w:p>
    <w:p w14:paraId="34D29957" w14:textId="77777777" w:rsidR="00252110" w:rsidRPr="00252110" w:rsidRDefault="00252110" w:rsidP="00E16264">
      <w:pPr>
        <w:numPr>
          <w:ilvl w:val="0"/>
          <w:numId w:val="50"/>
        </w:numPr>
        <w:shd w:val="clear" w:color="auto" w:fill="FFFFFF"/>
        <w:rPr>
          <w:rFonts w:cs="Arial"/>
          <w:bCs/>
          <w:szCs w:val="22"/>
        </w:rPr>
      </w:pPr>
      <w:r w:rsidRPr="00252110">
        <w:rPr>
          <w:rFonts w:cs="Arial"/>
          <w:bCs/>
          <w:szCs w:val="22"/>
        </w:rPr>
        <w:t xml:space="preserve">merytoryczne </w:t>
      </w:r>
      <w:bookmarkStart w:id="216" w:name="_Hlk135302690"/>
      <w:r w:rsidRPr="00252110">
        <w:rPr>
          <w:rFonts w:cs="Arial"/>
          <w:bCs/>
          <w:szCs w:val="22"/>
        </w:rPr>
        <w:t>–</w:t>
      </w:r>
      <w:bookmarkEnd w:id="216"/>
      <w:r w:rsidRPr="00252110">
        <w:rPr>
          <w:rFonts w:cs="Arial"/>
          <w:bCs/>
          <w:szCs w:val="22"/>
        </w:rPr>
        <w:t xml:space="preserve"> akty wykonawcze, opinie prawne, wytyczne, rekomendacje, dobre praktyki, informacje z prowadzonych przez Prezesa Urzędu kontroli, sprawozdania o funkcjonowaniu systemu zamówień publicznych itp.,</w:t>
      </w:r>
    </w:p>
    <w:p w14:paraId="0E517CCB" w14:textId="77777777" w:rsidR="00252110" w:rsidRPr="00252110" w:rsidRDefault="00252110" w:rsidP="00E16264">
      <w:pPr>
        <w:numPr>
          <w:ilvl w:val="0"/>
          <w:numId w:val="50"/>
        </w:numPr>
        <w:shd w:val="clear" w:color="auto" w:fill="FFFFFF"/>
        <w:rPr>
          <w:rFonts w:cs="Arial"/>
          <w:bCs/>
          <w:szCs w:val="22"/>
        </w:rPr>
      </w:pPr>
      <w:r w:rsidRPr="00252110">
        <w:rPr>
          <w:rFonts w:cs="Arial"/>
          <w:bCs/>
          <w:szCs w:val="22"/>
        </w:rPr>
        <w:t>dotyczące współpracy międzynarodowej (w tym w ramach UE),</w:t>
      </w:r>
    </w:p>
    <w:p w14:paraId="672D3795" w14:textId="77777777" w:rsidR="00252110" w:rsidRPr="00252110" w:rsidRDefault="00252110" w:rsidP="00E16264">
      <w:pPr>
        <w:numPr>
          <w:ilvl w:val="0"/>
          <w:numId w:val="50"/>
        </w:numPr>
        <w:shd w:val="clear" w:color="auto" w:fill="FFFFFF"/>
        <w:rPr>
          <w:rFonts w:cs="Arial"/>
          <w:bCs/>
          <w:szCs w:val="22"/>
        </w:rPr>
      </w:pPr>
      <w:r w:rsidRPr="00252110">
        <w:rPr>
          <w:rFonts w:cs="Arial"/>
          <w:bCs/>
          <w:szCs w:val="22"/>
        </w:rPr>
        <w:t xml:space="preserve">o konferencjach, seminariach, materiałach edukacyjnych i publikacjach, </w:t>
      </w:r>
    </w:p>
    <w:p w14:paraId="4CBA460A" w14:textId="77777777" w:rsidR="00252110" w:rsidRPr="00252110" w:rsidRDefault="00252110" w:rsidP="00E16264">
      <w:pPr>
        <w:numPr>
          <w:ilvl w:val="0"/>
          <w:numId w:val="50"/>
        </w:numPr>
        <w:shd w:val="clear" w:color="auto" w:fill="FFFFFF"/>
        <w:rPr>
          <w:rFonts w:cs="Arial"/>
          <w:bCs/>
          <w:szCs w:val="22"/>
        </w:rPr>
      </w:pPr>
      <w:r w:rsidRPr="00252110">
        <w:rPr>
          <w:rFonts w:cs="Arial"/>
          <w:bCs/>
          <w:szCs w:val="22"/>
        </w:rPr>
        <w:t>o działaniu Krajowej Izby Odwoławczej (w tym wyszukiwarki orzeczeń KIO, wokandy),</w:t>
      </w:r>
    </w:p>
    <w:p w14:paraId="211DD197" w14:textId="77777777" w:rsidR="00252110" w:rsidRPr="00252110" w:rsidRDefault="00252110" w:rsidP="00252110">
      <w:pPr>
        <w:shd w:val="clear" w:color="auto" w:fill="FFFFFF"/>
        <w:rPr>
          <w:rFonts w:cs="Arial"/>
          <w:bCs/>
          <w:szCs w:val="22"/>
        </w:rPr>
      </w:pPr>
    </w:p>
    <w:p w14:paraId="0FFE4D2C" w14:textId="77777777" w:rsidR="00252110" w:rsidRPr="00252110" w:rsidRDefault="00252110" w:rsidP="00252110">
      <w:pPr>
        <w:shd w:val="clear" w:color="auto" w:fill="FFFFFF"/>
        <w:rPr>
          <w:rFonts w:cs="Arial"/>
          <w:bCs/>
          <w:szCs w:val="22"/>
        </w:rPr>
      </w:pPr>
      <w:r w:rsidRPr="00252110">
        <w:rPr>
          <w:rFonts w:cs="Arial"/>
          <w:bCs/>
          <w:szCs w:val="22"/>
        </w:rPr>
        <w:t xml:space="preserve">oraz udostępniono narzędzia elektroniczne wykorzystywane w procesie udzielania zamówień publicznych: </w:t>
      </w:r>
    </w:p>
    <w:p w14:paraId="29E3571E" w14:textId="63688B70" w:rsidR="00252110" w:rsidRPr="00252110" w:rsidRDefault="00252110" w:rsidP="00E16264">
      <w:pPr>
        <w:numPr>
          <w:ilvl w:val="0"/>
          <w:numId w:val="51"/>
        </w:numPr>
        <w:shd w:val="clear" w:color="auto" w:fill="FFFFFF"/>
        <w:rPr>
          <w:rFonts w:cs="Arial"/>
          <w:bCs/>
          <w:szCs w:val="22"/>
        </w:rPr>
      </w:pPr>
      <w:r w:rsidRPr="00252110">
        <w:rPr>
          <w:rFonts w:cs="Arial"/>
          <w:bCs/>
          <w:szCs w:val="22"/>
        </w:rPr>
        <w:t xml:space="preserve">Platformę e-Zamówienia, udostępniającą Biuletyn Zamówień Publicznych, w którym zamawiający publikują ogłoszenia wymagane ustawą Pzp oraz Plany Postępowań z wyszukiwarką ogłoszeń krajowych i unijnych, Moduł składania i otwarcia ofert/wniosków/prac konkursowych </w:t>
      </w:r>
      <w:r w:rsidR="00614D95" w:rsidRPr="00614D95">
        <w:rPr>
          <w:rFonts w:cs="Arial"/>
          <w:bCs/>
          <w:szCs w:val="22"/>
        </w:rPr>
        <w:t>–</w:t>
      </w:r>
      <w:r w:rsidRPr="00252110">
        <w:rPr>
          <w:rFonts w:cs="Arial"/>
          <w:bCs/>
          <w:szCs w:val="22"/>
        </w:rPr>
        <w:t xml:space="preserve"> umożliwiający m.in. komunikację elektroniczną pomiędzy stronami prowadzonego postępowania o zamówienie publiczne lub konkursu, w tym składanie ofert/wniosków/prac konkursowych, wyszukiwarkę postępowań prowadzonych na Platformie e-Zamówienia, przesyłanie </w:t>
      </w:r>
      <w:r w:rsidR="00614D95">
        <w:rPr>
          <w:rFonts w:cs="Arial"/>
          <w:bCs/>
          <w:szCs w:val="22"/>
        </w:rPr>
        <w:t>r</w:t>
      </w:r>
      <w:r w:rsidRPr="00252110">
        <w:rPr>
          <w:rFonts w:cs="Arial"/>
          <w:bCs/>
          <w:szCs w:val="22"/>
        </w:rPr>
        <w:t xml:space="preserve">ocznych sprawozdań </w:t>
      </w:r>
      <w:r w:rsidR="00614D95">
        <w:rPr>
          <w:rFonts w:cs="Arial"/>
          <w:bCs/>
          <w:szCs w:val="22"/>
        </w:rPr>
        <w:t>o</w:t>
      </w:r>
      <w:r w:rsidRPr="00252110">
        <w:rPr>
          <w:rFonts w:cs="Arial"/>
          <w:bCs/>
          <w:szCs w:val="22"/>
        </w:rPr>
        <w:t xml:space="preserve"> udzielonych zamówie</w:t>
      </w:r>
      <w:r w:rsidR="00614D95">
        <w:rPr>
          <w:rFonts w:cs="Arial"/>
          <w:bCs/>
          <w:szCs w:val="22"/>
        </w:rPr>
        <w:t>niach</w:t>
      </w:r>
      <w:r w:rsidRPr="00252110">
        <w:rPr>
          <w:rFonts w:cs="Arial"/>
          <w:bCs/>
          <w:szCs w:val="22"/>
        </w:rPr>
        <w:t xml:space="preserve"> do Prezesa UZP, przesyłanie Informacji do Prezesa UZP o złożonych wnioskach i ofertach, eSender Platformy e-Zamówienia, Moduł Monitorowania i Analiz wykorzystujący narzędzia BI (Business Intel</w:t>
      </w:r>
      <w:r w:rsidR="00614D95">
        <w:rPr>
          <w:rFonts w:cs="Arial"/>
          <w:bCs/>
          <w:szCs w:val="22"/>
        </w:rPr>
        <w:t>l</w:t>
      </w:r>
      <w:r w:rsidRPr="00252110">
        <w:rPr>
          <w:rFonts w:cs="Arial"/>
          <w:bCs/>
          <w:szCs w:val="22"/>
        </w:rPr>
        <w:t>igence),</w:t>
      </w:r>
    </w:p>
    <w:p w14:paraId="1191F457" w14:textId="77777777" w:rsidR="00252110" w:rsidRPr="00252110" w:rsidRDefault="00252110" w:rsidP="00E16264">
      <w:pPr>
        <w:numPr>
          <w:ilvl w:val="0"/>
          <w:numId w:val="51"/>
        </w:numPr>
        <w:shd w:val="clear" w:color="auto" w:fill="FFFFFF"/>
        <w:rPr>
          <w:rFonts w:cs="Arial"/>
          <w:bCs/>
          <w:szCs w:val="22"/>
        </w:rPr>
      </w:pPr>
      <w:r w:rsidRPr="00252110">
        <w:rPr>
          <w:rFonts w:cs="Arial"/>
          <w:bCs/>
          <w:szCs w:val="22"/>
        </w:rPr>
        <w:t>miniPortal umożliwiający komunikację elektroniczną pomiędzy stronami prowadzonego postępowania o zamówienie publiczne, w tym składanie ofert,</w:t>
      </w:r>
    </w:p>
    <w:p w14:paraId="27576A4D" w14:textId="77777777" w:rsidR="00252110" w:rsidRPr="00252110" w:rsidRDefault="00252110" w:rsidP="00E16264">
      <w:pPr>
        <w:numPr>
          <w:ilvl w:val="0"/>
          <w:numId w:val="51"/>
        </w:numPr>
        <w:shd w:val="clear" w:color="auto" w:fill="FFFFFF"/>
        <w:rPr>
          <w:rFonts w:cs="Arial"/>
          <w:bCs/>
          <w:szCs w:val="22"/>
        </w:rPr>
      </w:pPr>
      <w:r w:rsidRPr="00252110">
        <w:rPr>
          <w:rFonts w:cs="Arial"/>
          <w:bCs/>
          <w:szCs w:val="22"/>
        </w:rPr>
        <w:t>Elektroniczną Skrzynkę Podawczą UZP i KIO udostępnianą za pośrednictwem platformy ePuap, przez którą można składać m.in. odwołania w postępowaniu o zamówienie publiczne,</w:t>
      </w:r>
    </w:p>
    <w:p w14:paraId="5F95C464" w14:textId="77777777" w:rsidR="00252110" w:rsidRPr="00252110" w:rsidRDefault="00252110" w:rsidP="00E16264">
      <w:pPr>
        <w:numPr>
          <w:ilvl w:val="0"/>
          <w:numId w:val="51"/>
        </w:numPr>
        <w:shd w:val="clear" w:color="auto" w:fill="FFFFFF"/>
        <w:rPr>
          <w:rFonts w:cs="Arial"/>
          <w:bCs/>
          <w:szCs w:val="22"/>
        </w:rPr>
      </w:pPr>
      <w:r w:rsidRPr="00252110">
        <w:rPr>
          <w:rFonts w:cs="Arial"/>
          <w:bCs/>
          <w:szCs w:val="22"/>
        </w:rPr>
        <w:t xml:space="preserve">Platformę aukcji elektronicznych, </w:t>
      </w:r>
    </w:p>
    <w:p w14:paraId="0F9C27EB" w14:textId="2823AE3B" w:rsidR="00252110" w:rsidRPr="00252110" w:rsidRDefault="00252110" w:rsidP="00E16264">
      <w:pPr>
        <w:numPr>
          <w:ilvl w:val="0"/>
          <w:numId w:val="51"/>
        </w:numPr>
        <w:shd w:val="clear" w:color="auto" w:fill="FFFFFF"/>
        <w:rPr>
          <w:rFonts w:cs="Arial"/>
          <w:bCs/>
          <w:szCs w:val="22"/>
        </w:rPr>
      </w:pPr>
      <w:r w:rsidRPr="00252110">
        <w:rPr>
          <w:rFonts w:cs="Arial"/>
          <w:bCs/>
          <w:szCs w:val="22"/>
        </w:rPr>
        <w:t>JEDZ – narzędzie elektroniczne wspierające zamawiających i wykonawców w stosowaniu standardowego formularza JEDZ.</w:t>
      </w:r>
    </w:p>
    <w:p w14:paraId="589AC195" w14:textId="77777777" w:rsidR="00252110" w:rsidRDefault="00252110" w:rsidP="000E402B">
      <w:pPr>
        <w:shd w:val="clear" w:color="auto" w:fill="FFFFFF"/>
        <w:rPr>
          <w:rFonts w:cs="Arial"/>
          <w:bCs/>
          <w:szCs w:val="22"/>
        </w:rPr>
      </w:pPr>
    </w:p>
    <w:p w14:paraId="01ED7525" w14:textId="26A6EB6A" w:rsidR="00252110" w:rsidRDefault="00252110" w:rsidP="000E402B">
      <w:pPr>
        <w:shd w:val="clear" w:color="auto" w:fill="FFFFFF"/>
        <w:rPr>
          <w:rFonts w:cs="Arial"/>
          <w:bCs/>
          <w:szCs w:val="22"/>
        </w:rPr>
      </w:pPr>
    </w:p>
    <w:p w14:paraId="2A7F3170" w14:textId="3A44CF86" w:rsidR="00260F56" w:rsidRPr="00252110" w:rsidRDefault="00260F56" w:rsidP="00E16264">
      <w:pPr>
        <w:pStyle w:val="StylArial11ptWyjustowany"/>
        <w:numPr>
          <w:ilvl w:val="1"/>
          <w:numId w:val="7"/>
        </w:numPr>
        <w:shd w:val="clear" w:color="auto" w:fill="FFFFFF"/>
        <w:jc w:val="left"/>
        <w:rPr>
          <w:rFonts w:cs="Arial"/>
          <w:b/>
          <w:iCs/>
          <w:color w:val="0070C0"/>
          <w:szCs w:val="22"/>
        </w:rPr>
      </w:pPr>
      <w:r w:rsidRPr="00260F56">
        <w:rPr>
          <w:rFonts w:cs="Arial"/>
          <w:b/>
          <w:bCs/>
          <w:iCs/>
          <w:color w:val="0070C0"/>
          <w:szCs w:val="22"/>
        </w:rPr>
        <w:t>Platforma aukcji</w:t>
      </w:r>
    </w:p>
    <w:p w14:paraId="6CA1FECC" w14:textId="1DB8C848" w:rsidR="00260F56" w:rsidRDefault="00260F56" w:rsidP="000E402B">
      <w:pPr>
        <w:shd w:val="clear" w:color="auto" w:fill="FFFFFF"/>
        <w:rPr>
          <w:rFonts w:cs="Arial"/>
          <w:bCs/>
          <w:szCs w:val="22"/>
        </w:rPr>
      </w:pPr>
    </w:p>
    <w:p w14:paraId="18F3FC07" w14:textId="476C81E8" w:rsidR="00260F56" w:rsidRPr="00260F56" w:rsidRDefault="00260F56" w:rsidP="00260F56">
      <w:pPr>
        <w:shd w:val="clear" w:color="auto" w:fill="FFFFFF"/>
        <w:rPr>
          <w:rFonts w:cs="Arial"/>
          <w:bCs/>
          <w:szCs w:val="22"/>
        </w:rPr>
      </w:pPr>
      <w:r w:rsidRPr="00260F56">
        <w:rPr>
          <w:rFonts w:cs="Arial"/>
          <w:bCs/>
          <w:szCs w:val="22"/>
        </w:rPr>
        <w:t xml:space="preserve">Urząd Zamówień Publicznych bezpłatnie udostępnia zamawiającym system informatyczny służący do prowadzenia aukcji. System dostępny jest w trybie bezpośredniego połączenia ze stroną internetową pod </w:t>
      </w:r>
      <w:hyperlink r:id="rId47" w:history="1">
        <w:r w:rsidRPr="00260F56">
          <w:rPr>
            <w:rStyle w:val="Hipercze"/>
            <w:rFonts w:cs="Arial"/>
            <w:bCs/>
            <w:szCs w:val="22"/>
          </w:rPr>
          <w:t>https://aukcje.uzp.gov.pl/index.php</w:t>
        </w:r>
      </w:hyperlink>
      <w:r w:rsidRPr="00260F56">
        <w:rPr>
          <w:rFonts w:cs="Arial"/>
          <w:bCs/>
          <w:szCs w:val="22"/>
        </w:rPr>
        <w:t xml:space="preserve"> </w:t>
      </w:r>
    </w:p>
    <w:p w14:paraId="6318669E" w14:textId="77777777" w:rsidR="00260F56" w:rsidRPr="00260F56" w:rsidRDefault="00260F56" w:rsidP="00260F56">
      <w:pPr>
        <w:shd w:val="clear" w:color="auto" w:fill="FFFFFF"/>
        <w:rPr>
          <w:rFonts w:cs="Arial"/>
          <w:bCs/>
          <w:szCs w:val="22"/>
        </w:rPr>
      </w:pPr>
    </w:p>
    <w:p w14:paraId="3A259F94" w14:textId="5D9EE76A" w:rsidR="00260F56" w:rsidRPr="00260F56" w:rsidRDefault="00260F56" w:rsidP="00260F56">
      <w:pPr>
        <w:shd w:val="clear" w:color="auto" w:fill="FFFFFF"/>
        <w:rPr>
          <w:rFonts w:cs="Arial"/>
          <w:bCs/>
          <w:szCs w:val="22"/>
        </w:rPr>
      </w:pPr>
      <w:r w:rsidRPr="00260F56">
        <w:rPr>
          <w:rFonts w:cs="Arial"/>
          <w:bCs/>
          <w:szCs w:val="22"/>
        </w:rPr>
        <w:t>W 2022 r. na udostępnianej przez UZP Platformie aukcji elektronicznych przeprowadzono 110 aukcji, zorganizowanych przez 10 zamawiających (w 2021 r. – 111 aukcji). Suma oszczędności stosunku ofert wstępnych do ofert złożonych we wszystkich aukcjach to 91</w:t>
      </w:r>
      <w:r w:rsidR="005B50CD">
        <w:rPr>
          <w:rFonts w:cs="Arial"/>
          <w:bCs/>
          <w:szCs w:val="22"/>
        </w:rPr>
        <w:t> </w:t>
      </w:r>
      <w:r w:rsidRPr="00260F56">
        <w:rPr>
          <w:rFonts w:cs="Arial"/>
          <w:bCs/>
          <w:szCs w:val="22"/>
        </w:rPr>
        <w:t>126</w:t>
      </w:r>
      <w:r w:rsidR="005B50CD">
        <w:rPr>
          <w:rFonts w:cs="Arial"/>
          <w:bCs/>
          <w:szCs w:val="22"/>
        </w:rPr>
        <w:t> </w:t>
      </w:r>
      <w:r w:rsidRPr="00260F56">
        <w:rPr>
          <w:rFonts w:cs="Arial"/>
          <w:bCs/>
          <w:szCs w:val="22"/>
        </w:rPr>
        <w:t>749,14.</w:t>
      </w:r>
    </w:p>
    <w:p w14:paraId="54E8227C" w14:textId="687FCEF4" w:rsidR="00260F56" w:rsidRDefault="00260F56" w:rsidP="000E402B">
      <w:pPr>
        <w:shd w:val="clear" w:color="auto" w:fill="FFFFFF"/>
        <w:rPr>
          <w:rFonts w:cs="Arial"/>
          <w:bCs/>
          <w:szCs w:val="22"/>
        </w:rPr>
      </w:pPr>
    </w:p>
    <w:p w14:paraId="0A3353AA" w14:textId="6E1D5F3F" w:rsidR="00260F56" w:rsidRDefault="00260F56" w:rsidP="000E402B">
      <w:pPr>
        <w:shd w:val="clear" w:color="auto" w:fill="FFFFFF"/>
        <w:rPr>
          <w:rFonts w:cs="Arial"/>
          <w:bCs/>
          <w:szCs w:val="22"/>
        </w:rPr>
      </w:pPr>
    </w:p>
    <w:p w14:paraId="747A93EF" w14:textId="54D5DE9F" w:rsidR="00260F56" w:rsidRPr="00252110" w:rsidRDefault="00260F56" w:rsidP="00E16264">
      <w:pPr>
        <w:pStyle w:val="StylArial11ptWyjustowany"/>
        <w:numPr>
          <w:ilvl w:val="1"/>
          <w:numId w:val="7"/>
        </w:numPr>
        <w:shd w:val="clear" w:color="auto" w:fill="FFFFFF"/>
        <w:jc w:val="left"/>
        <w:rPr>
          <w:rFonts w:cs="Arial"/>
          <w:b/>
          <w:iCs/>
          <w:color w:val="0070C0"/>
          <w:szCs w:val="22"/>
        </w:rPr>
      </w:pPr>
      <w:r w:rsidRPr="00260F56">
        <w:rPr>
          <w:rFonts w:cs="Arial"/>
          <w:b/>
          <w:bCs/>
          <w:iCs/>
          <w:color w:val="0070C0"/>
          <w:szCs w:val="22"/>
        </w:rPr>
        <w:t>Kody CPV</w:t>
      </w:r>
    </w:p>
    <w:p w14:paraId="77DBE074" w14:textId="0FC760A6" w:rsidR="00260F56" w:rsidRDefault="00260F56" w:rsidP="000E402B">
      <w:pPr>
        <w:shd w:val="clear" w:color="auto" w:fill="FFFFFF"/>
        <w:rPr>
          <w:rFonts w:cs="Arial"/>
          <w:bCs/>
          <w:szCs w:val="22"/>
        </w:rPr>
      </w:pPr>
    </w:p>
    <w:p w14:paraId="66962882" w14:textId="77777777" w:rsidR="00260F56" w:rsidRPr="00260F56" w:rsidRDefault="00260F56" w:rsidP="00260F56">
      <w:pPr>
        <w:shd w:val="clear" w:color="auto" w:fill="FFFFFF"/>
        <w:rPr>
          <w:rFonts w:cs="Arial"/>
          <w:bCs/>
          <w:szCs w:val="22"/>
        </w:rPr>
      </w:pPr>
      <w:r w:rsidRPr="00260F56">
        <w:rPr>
          <w:rFonts w:cs="Arial"/>
          <w:bCs/>
          <w:szCs w:val="22"/>
        </w:rPr>
        <w:t>Urząd Zamówień Publicznych udostępnia również wyszukiwarkę kodów CPV i CPC, która ułatwia wyszukanie niezbędnych informacji i pozwala na szybsze kwalifikowanie nabywanych przez zamawiających dostaw, usług oraz robót budowlanych. Wspólny Słownik Zamówień stanowi jednolity system klasyfikacji udzielanych zamówień publicznych, którego celem jest standaryzacja terminologii wykorzystywanej przy dokonywaniu opisu przedmiotu zamówienia przez instytucje zamawiające. Obowiązek posługiwania się słownikiem w procesie opisu przedmiotu zamówienia publicznego wynika bezpośrednio z brzmienia art. 99 ust. 3 ustawy Pzp.</w:t>
      </w:r>
    </w:p>
    <w:p w14:paraId="6ED3859C" w14:textId="060CB67C" w:rsidR="00260F56" w:rsidRDefault="00260F56" w:rsidP="000E402B">
      <w:pPr>
        <w:shd w:val="clear" w:color="auto" w:fill="FFFFFF"/>
        <w:rPr>
          <w:rFonts w:cs="Arial"/>
          <w:bCs/>
          <w:szCs w:val="22"/>
        </w:rPr>
      </w:pPr>
    </w:p>
    <w:p w14:paraId="30C15F55" w14:textId="057300C5" w:rsidR="00260F56" w:rsidRDefault="00260F56" w:rsidP="000E402B">
      <w:pPr>
        <w:shd w:val="clear" w:color="auto" w:fill="FFFFFF"/>
        <w:rPr>
          <w:rFonts w:cs="Arial"/>
          <w:bCs/>
          <w:szCs w:val="22"/>
        </w:rPr>
      </w:pPr>
    </w:p>
    <w:p w14:paraId="6F105D01" w14:textId="3933C8F3" w:rsidR="00260F56" w:rsidRPr="00252110" w:rsidRDefault="00260F56" w:rsidP="00E16264">
      <w:pPr>
        <w:pStyle w:val="StylArial11ptWyjustowany"/>
        <w:numPr>
          <w:ilvl w:val="1"/>
          <w:numId w:val="7"/>
        </w:numPr>
        <w:shd w:val="clear" w:color="auto" w:fill="FFFFFF"/>
        <w:jc w:val="left"/>
        <w:rPr>
          <w:rFonts w:cs="Arial"/>
          <w:b/>
          <w:iCs/>
          <w:color w:val="0070C0"/>
          <w:szCs w:val="22"/>
        </w:rPr>
      </w:pPr>
      <w:r>
        <w:rPr>
          <w:rFonts w:cs="Arial"/>
          <w:b/>
          <w:bCs/>
          <w:iCs/>
          <w:color w:val="0070C0"/>
          <w:szCs w:val="22"/>
        </w:rPr>
        <w:t>JEDZ</w:t>
      </w:r>
    </w:p>
    <w:p w14:paraId="27F14495" w14:textId="12B0E141" w:rsidR="00260F56" w:rsidRDefault="00260F56" w:rsidP="000E402B">
      <w:pPr>
        <w:shd w:val="clear" w:color="auto" w:fill="FFFFFF"/>
        <w:rPr>
          <w:rFonts w:cs="Arial"/>
          <w:bCs/>
          <w:szCs w:val="22"/>
        </w:rPr>
      </w:pPr>
    </w:p>
    <w:p w14:paraId="3B1E331C" w14:textId="77777777" w:rsidR="00396CC2" w:rsidRPr="00396CC2" w:rsidRDefault="00396CC2" w:rsidP="00396CC2">
      <w:pPr>
        <w:shd w:val="clear" w:color="auto" w:fill="FFFFFF"/>
        <w:rPr>
          <w:rFonts w:cs="Arial"/>
          <w:bCs/>
          <w:szCs w:val="22"/>
        </w:rPr>
      </w:pPr>
      <w:r w:rsidRPr="00396CC2">
        <w:rPr>
          <w:rFonts w:cs="Arial"/>
          <w:bCs/>
          <w:szCs w:val="22"/>
        </w:rPr>
        <w:t xml:space="preserve">Urząd Zamówień Publicznych udostępnia za pośrednictwem swojej strony internetowej nieodpłatne narzędzie wspierające zamawiających i wykonawców w stosowaniu standardowego formularza JEDZ w wersji elektronicznej. Narzędzie zbudowane jest z komponentów oferowanych przez Komisję Europejską i tym samym posiada podobne funkcjonalności. Zamawiający i wykonawcy mogą, utworzyć nowy formularz JEDZ, ponownie wykorzystać formularz wygenerowany w udostępnianym narzędziu lub serwisie Komisji Europejskiej oraz przeglądać elektroniczną wersję JEDZ przekazaną wraz z ofertą albo wnioskiem. Formularz JEDZ w formie elektronicznej udostępniony jest również na Platformie e-Zamówienia. </w:t>
      </w:r>
    </w:p>
    <w:p w14:paraId="26BE3F53" w14:textId="6B901C48" w:rsidR="00260F56" w:rsidRDefault="00260F56" w:rsidP="000E402B">
      <w:pPr>
        <w:shd w:val="clear" w:color="auto" w:fill="FFFFFF"/>
        <w:rPr>
          <w:rFonts w:cs="Arial"/>
          <w:bCs/>
          <w:szCs w:val="22"/>
        </w:rPr>
      </w:pPr>
    </w:p>
    <w:p w14:paraId="44BC7D9F" w14:textId="77777777" w:rsidR="00290435" w:rsidRDefault="00290435" w:rsidP="00F058DB">
      <w:pPr>
        <w:shd w:val="clear" w:color="auto" w:fill="FFFFFF"/>
        <w:rPr>
          <w:rFonts w:cs="Arial"/>
        </w:rPr>
      </w:pPr>
    </w:p>
    <w:tbl>
      <w:tblPr>
        <w:tblW w:w="0" w:type="auto"/>
        <w:tblInd w:w="374" w:type="dxa"/>
        <w:tblLayout w:type="fixed"/>
        <w:tblLook w:val="04A0" w:firstRow="1" w:lastRow="0" w:firstColumn="1" w:lastColumn="0" w:noHBand="0" w:noVBand="1"/>
      </w:tblPr>
      <w:tblGrid>
        <w:gridCol w:w="236"/>
        <w:gridCol w:w="8676"/>
      </w:tblGrid>
      <w:tr w:rsidR="00E92E16" w:rsidRPr="001F5CEA" w14:paraId="2707722A" w14:textId="77777777" w:rsidTr="00670464">
        <w:trPr>
          <w:cantSplit/>
        </w:trPr>
        <w:tc>
          <w:tcPr>
            <w:tcW w:w="236" w:type="dxa"/>
            <w:shd w:val="clear" w:color="auto" w:fill="B8CCE4"/>
          </w:tcPr>
          <w:p w14:paraId="0E2C139B" w14:textId="77777777" w:rsidR="00E92E16" w:rsidRPr="001E7D51" w:rsidRDefault="00E92E16" w:rsidP="00F058DB">
            <w:pPr>
              <w:rPr>
                <w:sz w:val="24"/>
              </w:rPr>
            </w:pPr>
          </w:p>
        </w:tc>
        <w:tc>
          <w:tcPr>
            <w:tcW w:w="8676" w:type="dxa"/>
          </w:tcPr>
          <w:p w14:paraId="4BF8E8CA" w14:textId="01918BE0" w:rsidR="00E92E16" w:rsidRPr="00E93A02" w:rsidRDefault="00E92E16" w:rsidP="00E81434">
            <w:pPr>
              <w:pStyle w:val="Nagwek3"/>
              <w:shd w:val="clear" w:color="auto" w:fill="FFFFFF"/>
              <w:spacing w:after="120"/>
              <w:ind w:left="0"/>
              <w:rPr>
                <w:color w:val="0070C0"/>
                <w:sz w:val="24"/>
                <w:szCs w:val="24"/>
              </w:rPr>
            </w:pPr>
            <w:bookmarkStart w:id="217" w:name="_Toc16598643"/>
            <w:bookmarkStart w:id="218" w:name="_Toc64451882"/>
            <w:bookmarkStart w:id="219" w:name="_Toc141276460"/>
            <w:r w:rsidRPr="00E93A02">
              <w:rPr>
                <w:color w:val="0070C0"/>
                <w:sz w:val="24"/>
                <w:szCs w:val="24"/>
              </w:rPr>
              <w:t>III.1.</w:t>
            </w:r>
            <w:r w:rsidR="00E81434" w:rsidRPr="00E93A02">
              <w:rPr>
                <w:color w:val="0070C0"/>
                <w:sz w:val="24"/>
                <w:szCs w:val="24"/>
              </w:rPr>
              <w:t>7</w:t>
            </w:r>
            <w:r w:rsidRPr="00E93A02">
              <w:rPr>
                <w:color w:val="0070C0"/>
                <w:sz w:val="24"/>
                <w:szCs w:val="24"/>
              </w:rPr>
              <w:t>. Wydawanie Biuletynu Zamówień Publicznych</w:t>
            </w:r>
            <w:bookmarkEnd w:id="217"/>
            <w:bookmarkEnd w:id="218"/>
            <w:bookmarkEnd w:id="219"/>
          </w:p>
        </w:tc>
      </w:tr>
    </w:tbl>
    <w:p w14:paraId="63B3747F" w14:textId="77777777" w:rsidR="00E92E16" w:rsidRDefault="00E92E16" w:rsidP="007D4DEB">
      <w:pPr>
        <w:shd w:val="clear" w:color="auto" w:fill="FFFFFF"/>
      </w:pPr>
    </w:p>
    <w:p w14:paraId="028D618E" w14:textId="5AA75BC7" w:rsidR="00F14B59" w:rsidRPr="00F14B59" w:rsidRDefault="00F14B59" w:rsidP="00F14B59">
      <w:pPr>
        <w:shd w:val="clear" w:color="auto" w:fill="FFFFFF"/>
        <w:rPr>
          <w:rFonts w:cs="Arial"/>
          <w:szCs w:val="22"/>
        </w:rPr>
      </w:pPr>
      <w:r w:rsidRPr="00F14B59">
        <w:rPr>
          <w:rFonts w:cs="Arial"/>
          <w:szCs w:val="22"/>
        </w:rPr>
        <w:t xml:space="preserve">Biuletyn Zamówień Publicznych jest to elektroniczny system umożliwiający zamawiającym zamieszczanie w BZP ogłoszeń m.in. o zamówieniu, o wyniku postępowania, konkursie, koncesji dotyczących postępowań o wartości z przedziału </w:t>
      </w:r>
      <w:r w:rsidR="00F81951">
        <w:rPr>
          <w:rFonts w:cs="Arial"/>
          <w:szCs w:val="22"/>
        </w:rPr>
        <w:t>1</w:t>
      </w:r>
      <w:r w:rsidRPr="00F14B59">
        <w:rPr>
          <w:rFonts w:cs="Arial"/>
          <w:szCs w:val="22"/>
        </w:rPr>
        <w:t xml:space="preserve">30 000 </w:t>
      </w:r>
      <w:r w:rsidR="00F81951">
        <w:rPr>
          <w:rFonts w:cs="Arial"/>
          <w:szCs w:val="22"/>
        </w:rPr>
        <w:t>zł</w:t>
      </w:r>
      <w:r w:rsidRPr="00F14B59">
        <w:rPr>
          <w:rFonts w:cs="Arial"/>
          <w:szCs w:val="22"/>
        </w:rPr>
        <w:t xml:space="preserve"> do progów </w:t>
      </w:r>
      <w:r w:rsidR="0020060E">
        <w:rPr>
          <w:rFonts w:cs="Arial"/>
          <w:szCs w:val="22"/>
        </w:rPr>
        <w:t>unijnych</w:t>
      </w:r>
      <w:r w:rsidRPr="00F14B59">
        <w:rPr>
          <w:rFonts w:cs="Arial"/>
          <w:szCs w:val="22"/>
        </w:rPr>
        <w:t xml:space="preserve">. </w:t>
      </w:r>
    </w:p>
    <w:p w14:paraId="04E43B83" w14:textId="77777777" w:rsidR="00F14B59" w:rsidRPr="00F14B59" w:rsidRDefault="00F14B59" w:rsidP="00F14B59">
      <w:pPr>
        <w:shd w:val="clear" w:color="auto" w:fill="FFFFFF"/>
        <w:rPr>
          <w:rFonts w:cs="Arial"/>
          <w:szCs w:val="22"/>
        </w:rPr>
      </w:pPr>
      <w:r w:rsidRPr="00F14B59">
        <w:rPr>
          <w:rFonts w:cs="Arial"/>
          <w:szCs w:val="22"/>
        </w:rPr>
        <w:t xml:space="preserve">Baza danych elektronicznego systemu Biuletynu Zamówień Publicznych zawiera kilkaset tysięcy ogłoszeń. </w:t>
      </w:r>
    </w:p>
    <w:p w14:paraId="42CBC98A" w14:textId="77777777" w:rsidR="00F14B59" w:rsidRPr="00F14B59" w:rsidRDefault="00F14B59" w:rsidP="00F14B59">
      <w:pPr>
        <w:shd w:val="clear" w:color="auto" w:fill="FFFFFF"/>
        <w:rPr>
          <w:rFonts w:cs="Arial"/>
          <w:szCs w:val="22"/>
        </w:rPr>
      </w:pPr>
    </w:p>
    <w:p w14:paraId="1EFF7F67" w14:textId="131E2AEC" w:rsidR="00F14B59" w:rsidRPr="00F14B59" w:rsidRDefault="00F14B59" w:rsidP="00F14B59">
      <w:pPr>
        <w:shd w:val="clear" w:color="auto" w:fill="FFFFFF"/>
        <w:rPr>
          <w:rFonts w:cs="Arial"/>
          <w:szCs w:val="22"/>
        </w:rPr>
      </w:pPr>
      <w:r w:rsidRPr="00F14B59">
        <w:rPr>
          <w:rFonts w:cs="Arial"/>
          <w:szCs w:val="22"/>
        </w:rPr>
        <w:t xml:space="preserve">Urząd Zamówień Publicznych umożliwia zamawiającym publikowanie w Biuletynie Zamówień Publicznych ogłoszeń na dwóch rodzajach formularzy adekwatnych do stanu prawnego, w oparciu o który prowadzone jest postępowanie o udzielenie zamówienia publicznego. Biuletyn Zamówień Publicznych podzielony został na BZP przed 1 stycznia 2021 roku i na BZP dostępny na Platformie e-Zamówienia po 1 stycznia 2021 roku. </w:t>
      </w:r>
    </w:p>
    <w:p w14:paraId="4AC75986" w14:textId="77777777" w:rsidR="00F14B59" w:rsidRPr="00F14B59" w:rsidRDefault="00F14B59" w:rsidP="00F14B59">
      <w:pPr>
        <w:shd w:val="clear" w:color="auto" w:fill="FFFFFF"/>
        <w:rPr>
          <w:rFonts w:cs="Arial"/>
          <w:szCs w:val="22"/>
        </w:rPr>
      </w:pPr>
    </w:p>
    <w:p w14:paraId="5CC251FA" w14:textId="25A0E518" w:rsidR="00F14B59" w:rsidRPr="00F14B59" w:rsidRDefault="00F14B59" w:rsidP="00F14B59">
      <w:pPr>
        <w:shd w:val="clear" w:color="auto" w:fill="FFFFFF"/>
        <w:rPr>
          <w:rFonts w:cs="Arial"/>
          <w:szCs w:val="22"/>
        </w:rPr>
      </w:pPr>
      <w:r w:rsidRPr="00F14B59">
        <w:rPr>
          <w:rFonts w:cs="Arial"/>
          <w:szCs w:val="22"/>
        </w:rPr>
        <w:t xml:space="preserve">W BZP przed 1 stycznia 2021 r. zamawiający ma możliwość zamieszczenia ogłoszeń na formularzach stanowiących załączniki do rozporządzenia Ministra Rozwoju z dnia 26 lipca 2016 r. w sprawie wzorów ogłoszeń zamieszczanych w Biuletynie Zamówień Publicznych (Dz. U. poz. 1127), rozporządzenia Ministra Rozwoju z dnia 16 grudnia 2019 r. zmieniającego rozporządzenie w sprawie wzorów ogłoszeń zamieszczanych w Biuletynie Zamówień Publicznych (Dz. U. poz. 2469) oraz ogłoszeń dotyczących koncesji stanowiących załączniki do rozporządzenia Ministra Rozwoju i Finansów z dnia 28 kwietnia 2017 r. w sprawie wzorów ogłoszeń zamieszczanych w Biuletynie Zamówień Publicznych, dotyczących zawierania umów koncesji (Dz. U. poz. 1017). </w:t>
      </w:r>
    </w:p>
    <w:p w14:paraId="25CFDE08" w14:textId="77777777" w:rsidR="00F14B59" w:rsidRPr="00F14B59" w:rsidRDefault="00F14B59" w:rsidP="00F14B59">
      <w:pPr>
        <w:shd w:val="clear" w:color="auto" w:fill="FFFFFF"/>
        <w:rPr>
          <w:rFonts w:cs="Arial"/>
          <w:szCs w:val="22"/>
        </w:rPr>
      </w:pPr>
    </w:p>
    <w:p w14:paraId="32859633" w14:textId="2F8EA227" w:rsidR="00F14B59" w:rsidRPr="00F14B59" w:rsidRDefault="00F14B59" w:rsidP="00F14B59">
      <w:pPr>
        <w:shd w:val="clear" w:color="auto" w:fill="FFFFFF"/>
        <w:rPr>
          <w:rFonts w:cs="Arial"/>
          <w:szCs w:val="22"/>
        </w:rPr>
      </w:pPr>
      <w:r w:rsidRPr="00F14B59">
        <w:rPr>
          <w:rFonts w:cs="Arial"/>
          <w:szCs w:val="22"/>
        </w:rPr>
        <w:t>W BZP po 1 stycznia 2021 roku zamawiający ma możliwość zamieszczania ogłoszeń</w:t>
      </w:r>
      <w:r w:rsidR="009343A1">
        <w:rPr>
          <w:rFonts w:cs="Arial"/>
          <w:szCs w:val="22"/>
        </w:rPr>
        <w:t xml:space="preserve"> </w:t>
      </w:r>
      <w:r w:rsidRPr="00F14B59">
        <w:rPr>
          <w:rFonts w:cs="Arial"/>
          <w:szCs w:val="22"/>
        </w:rPr>
        <w:t xml:space="preserve">na podstawie zakresu informacji zawartych w ogłoszeniach zamieszczanych w BZP na podstawie </w:t>
      </w:r>
      <w:r w:rsidR="006427E3">
        <w:rPr>
          <w:rFonts w:cs="Arial"/>
          <w:szCs w:val="22"/>
        </w:rPr>
        <w:t>r</w:t>
      </w:r>
      <w:r w:rsidRPr="00F14B59">
        <w:rPr>
          <w:rFonts w:cs="Arial"/>
          <w:szCs w:val="22"/>
        </w:rPr>
        <w:t>ozporządzenia Ministra Rozwoju, Pracy i Technologii z dnia 23 grudnia 2020 r</w:t>
      </w:r>
      <w:r w:rsidR="006427E3">
        <w:rPr>
          <w:rFonts w:cs="Arial"/>
          <w:szCs w:val="22"/>
        </w:rPr>
        <w:t>.</w:t>
      </w:r>
      <w:r w:rsidRPr="00F14B59">
        <w:rPr>
          <w:rFonts w:cs="Arial"/>
          <w:szCs w:val="22"/>
        </w:rPr>
        <w:t xml:space="preserve"> w sprawie ogłoszeń zamieszczanych w Biuletynie Zamówień Publicznych (Dz. U</w:t>
      </w:r>
      <w:r w:rsidR="006427E3">
        <w:rPr>
          <w:rFonts w:cs="Arial"/>
          <w:szCs w:val="22"/>
        </w:rPr>
        <w:t>.</w:t>
      </w:r>
      <w:r w:rsidRPr="00F14B59">
        <w:rPr>
          <w:rFonts w:cs="Arial"/>
          <w:szCs w:val="22"/>
        </w:rPr>
        <w:t xml:space="preserve"> poz. 2439). </w:t>
      </w:r>
    </w:p>
    <w:p w14:paraId="49DFEC55" w14:textId="77777777" w:rsidR="00F14B59" w:rsidRPr="00F14B59" w:rsidRDefault="00F14B59" w:rsidP="00F14B59">
      <w:pPr>
        <w:shd w:val="clear" w:color="auto" w:fill="FFFFFF"/>
        <w:rPr>
          <w:rFonts w:cs="Arial"/>
          <w:szCs w:val="22"/>
        </w:rPr>
      </w:pPr>
    </w:p>
    <w:p w14:paraId="2E7A4F7F" w14:textId="1D53C8CA" w:rsidR="00F14B59" w:rsidRPr="00F14B59" w:rsidRDefault="00F14B59" w:rsidP="00F14B59">
      <w:pPr>
        <w:shd w:val="clear" w:color="auto" w:fill="FFFFFF"/>
        <w:rPr>
          <w:rFonts w:cs="Arial"/>
          <w:szCs w:val="22"/>
        </w:rPr>
      </w:pPr>
      <w:r w:rsidRPr="00F14B59">
        <w:rPr>
          <w:rFonts w:cs="Arial"/>
          <w:szCs w:val="22"/>
        </w:rPr>
        <w:t>Zamawiający samodzielnie zamieszczają ogłoszenia w Biuletynie Zamówień Publicznych</w:t>
      </w:r>
      <w:r w:rsidR="009343A1">
        <w:rPr>
          <w:rFonts w:cs="Arial"/>
          <w:szCs w:val="22"/>
        </w:rPr>
        <w:t xml:space="preserve"> </w:t>
      </w:r>
      <w:r w:rsidRPr="00F14B59">
        <w:rPr>
          <w:rFonts w:cs="Arial"/>
          <w:szCs w:val="22"/>
        </w:rPr>
        <w:t>udostępnionym na portalu internetowym Urzędu Zamówień Publicznych i na Platformie e-Zamówienia. Zamieszczenie ogłoszenia jest bezpłatne i możliwe wyłącznie w formie elektronicznej.</w:t>
      </w:r>
    </w:p>
    <w:p w14:paraId="125AB619" w14:textId="2946EE4D" w:rsidR="005813C9" w:rsidRDefault="005813C9" w:rsidP="009927E5">
      <w:pPr>
        <w:shd w:val="clear" w:color="auto" w:fill="FFFFFF"/>
        <w:rPr>
          <w:rFonts w:cs="Arial"/>
          <w:szCs w:val="22"/>
        </w:rPr>
      </w:pPr>
    </w:p>
    <w:p w14:paraId="145B7EED" w14:textId="758FC70E" w:rsidR="00E901E5" w:rsidRPr="00E901E5" w:rsidRDefault="00E901E5" w:rsidP="00E901E5">
      <w:pPr>
        <w:shd w:val="clear" w:color="auto" w:fill="FFFFFF"/>
        <w:rPr>
          <w:rFonts w:cs="Arial"/>
          <w:szCs w:val="22"/>
        </w:rPr>
      </w:pPr>
      <w:r w:rsidRPr="00E901E5">
        <w:rPr>
          <w:rFonts w:cs="Arial"/>
          <w:bCs/>
          <w:iCs/>
          <w:szCs w:val="22"/>
        </w:rPr>
        <w:t>W 2022 r. w Biuletynie Zamówień Publicznych przed 1 stycznia 2021 roku zamieszczono 4</w:t>
      </w:r>
      <w:r w:rsidR="00974D5D">
        <w:rPr>
          <w:rFonts w:cs="Arial"/>
          <w:bCs/>
          <w:iCs/>
          <w:szCs w:val="22"/>
        </w:rPr>
        <w:t> </w:t>
      </w:r>
      <w:r w:rsidRPr="00E901E5">
        <w:rPr>
          <w:rFonts w:cs="Arial"/>
          <w:bCs/>
          <w:iCs/>
          <w:szCs w:val="22"/>
        </w:rPr>
        <w:t>270 ogłoszeń, w tym</w:t>
      </w:r>
      <w:r w:rsidRPr="00E901E5">
        <w:rPr>
          <w:rFonts w:cs="Arial"/>
          <w:szCs w:val="22"/>
        </w:rPr>
        <w:t>:</w:t>
      </w:r>
    </w:p>
    <w:p w14:paraId="30FCBBED" w14:textId="3D12A36A"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zamówieniu – 0,</w:t>
      </w:r>
    </w:p>
    <w:p w14:paraId="3706734A" w14:textId="6B4A6BF6"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zamówieniu w dziedzinach obronności i bezpieczeństwa/na podwykonawstwo –</w:t>
      </w:r>
      <w:r>
        <w:rPr>
          <w:rFonts w:cs="Arial"/>
          <w:sz w:val="22"/>
          <w:szCs w:val="22"/>
          <w:lang w:val="pl-PL"/>
        </w:rPr>
        <w:t xml:space="preserve"> </w:t>
      </w:r>
      <w:r w:rsidRPr="00E901E5">
        <w:rPr>
          <w:rFonts w:cs="Arial"/>
          <w:sz w:val="22"/>
          <w:szCs w:val="22"/>
        </w:rPr>
        <w:t>0,</w:t>
      </w:r>
    </w:p>
    <w:p w14:paraId="0D81A691" w14:textId="3EAE939A"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zamiarze zawarcia umowy – 22,</w:t>
      </w:r>
    </w:p>
    <w:p w14:paraId="41DFC37F" w14:textId="5FEC1608"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udzieleniu zamówienia – 2</w:t>
      </w:r>
      <w:r w:rsidR="00D01E92">
        <w:rPr>
          <w:rFonts w:cs="Arial"/>
          <w:sz w:val="22"/>
          <w:szCs w:val="22"/>
          <w:lang w:val="pl-PL"/>
        </w:rPr>
        <w:t xml:space="preserve"> </w:t>
      </w:r>
      <w:r w:rsidRPr="00E901E5">
        <w:rPr>
          <w:rFonts w:cs="Arial"/>
          <w:sz w:val="22"/>
          <w:szCs w:val="22"/>
        </w:rPr>
        <w:t>377,</w:t>
      </w:r>
    </w:p>
    <w:p w14:paraId="405BA92B" w14:textId="382FFAEB"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konkursie – 0,</w:t>
      </w:r>
    </w:p>
    <w:p w14:paraId="17759BC8" w14:textId="2F8095FB"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w:t>
      </w:r>
      <w:r w:rsidR="000B093F">
        <w:rPr>
          <w:rFonts w:cs="Arial"/>
          <w:sz w:val="22"/>
          <w:szCs w:val="22"/>
        </w:rPr>
        <w:t>łoszeń o wynikach konkursu – 5,</w:t>
      </w:r>
    </w:p>
    <w:p w14:paraId="15E6143C" w14:textId="0FFE1452"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zmianie ogłoszenia – 281,</w:t>
      </w:r>
    </w:p>
    <w:p w14:paraId="36A30DB3" w14:textId="7F160AAB"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zmianie umowy – 1</w:t>
      </w:r>
      <w:r w:rsidR="00D01E92">
        <w:rPr>
          <w:rFonts w:cs="Arial"/>
          <w:sz w:val="22"/>
          <w:szCs w:val="22"/>
          <w:lang w:val="pl-PL"/>
        </w:rPr>
        <w:t xml:space="preserve"> </w:t>
      </w:r>
      <w:r w:rsidRPr="00E901E5">
        <w:rPr>
          <w:rFonts w:cs="Arial"/>
          <w:sz w:val="22"/>
          <w:szCs w:val="22"/>
        </w:rPr>
        <w:t>585,</w:t>
      </w:r>
    </w:p>
    <w:p w14:paraId="285165F1" w14:textId="046C6FC2"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koncesji – 0,</w:t>
      </w:r>
    </w:p>
    <w:p w14:paraId="55C0A731" w14:textId="0411218F"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wstępnych ogłoszeń informacyjnych – 0,</w:t>
      </w:r>
    </w:p>
    <w:p w14:paraId="5ADAD811" w14:textId="7D3ECD02"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zmianie ogłoszenia (koncesje) – 0,</w:t>
      </w:r>
    </w:p>
    <w:p w14:paraId="189FF924" w14:textId="44CD6AF3" w:rsidR="00E901E5" w:rsidRPr="00E901E5" w:rsidRDefault="00E901E5" w:rsidP="00E16264">
      <w:pPr>
        <w:pStyle w:val="Akapitzlist"/>
        <w:numPr>
          <w:ilvl w:val="0"/>
          <w:numId w:val="52"/>
        </w:numPr>
        <w:shd w:val="clear" w:color="auto" w:fill="FFFFFF"/>
        <w:rPr>
          <w:rFonts w:cs="Arial"/>
          <w:sz w:val="22"/>
          <w:szCs w:val="22"/>
        </w:rPr>
      </w:pPr>
      <w:bookmarkStart w:id="220" w:name="_Hlk98750367"/>
      <w:r w:rsidRPr="00E901E5">
        <w:rPr>
          <w:rFonts w:cs="Arial"/>
          <w:sz w:val="22"/>
          <w:szCs w:val="22"/>
        </w:rPr>
        <w:t xml:space="preserve">ogłoszeń o zamiarze zawarcia umowy koncesji </w:t>
      </w:r>
      <w:bookmarkEnd w:id="220"/>
      <w:r w:rsidR="000B093F">
        <w:rPr>
          <w:rFonts w:cs="Arial"/>
          <w:sz w:val="22"/>
          <w:szCs w:val="22"/>
        </w:rPr>
        <w:t>– 0,</w:t>
      </w:r>
    </w:p>
    <w:p w14:paraId="4C25A24F" w14:textId="6628FB7D"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zawarciu umowy koncesji – 0,</w:t>
      </w:r>
    </w:p>
    <w:p w14:paraId="5AD08E6F" w14:textId="4BDD98A1" w:rsidR="00E901E5" w:rsidRPr="00E901E5" w:rsidRDefault="00E901E5" w:rsidP="00E16264">
      <w:pPr>
        <w:pStyle w:val="Akapitzlist"/>
        <w:numPr>
          <w:ilvl w:val="0"/>
          <w:numId w:val="52"/>
        </w:numPr>
        <w:shd w:val="clear" w:color="auto" w:fill="FFFFFF"/>
        <w:rPr>
          <w:rFonts w:cs="Arial"/>
          <w:sz w:val="22"/>
          <w:szCs w:val="22"/>
        </w:rPr>
      </w:pPr>
      <w:r w:rsidRPr="00E901E5">
        <w:rPr>
          <w:rFonts w:cs="Arial"/>
          <w:sz w:val="22"/>
          <w:szCs w:val="22"/>
        </w:rPr>
        <w:t>ogłoszeń o zmianie umowy koncesji – 0</w:t>
      </w:r>
      <w:r>
        <w:rPr>
          <w:rFonts w:cs="Arial"/>
          <w:sz w:val="22"/>
          <w:szCs w:val="22"/>
          <w:lang w:val="pl-PL"/>
        </w:rPr>
        <w:t>.</w:t>
      </w:r>
    </w:p>
    <w:p w14:paraId="2130CC8D" w14:textId="0F352452" w:rsidR="00F14B59" w:rsidRDefault="00F14B59" w:rsidP="009927E5">
      <w:pPr>
        <w:shd w:val="clear" w:color="auto" w:fill="FFFFFF"/>
        <w:rPr>
          <w:rFonts w:cs="Arial"/>
          <w:szCs w:val="22"/>
        </w:rPr>
      </w:pPr>
    </w:p>
    <w:p w14:paraId="2B5C57DF" w14:textId="37C23C55" w:rsidR="00E901E5" w:rsidRPr="00D01E92" w:rsidRDefault="00E901E5" w:rsidP="00E901E5">
      <w:pPr>
        <w:shd w:val="clear" w:color="auto" w:fill="FFFFFF"/>
        <w:rPr>
          <w:rFonts w:cs="Arial"/>
          <w:bCs/>
          <w:iCs/>
          <w:szCs w:val="22"/>
        </w:rPr>
      </w:pPr>
      <w:r w:rsidRPr="00D01E92">
        <w:rPr>
          <w:rFonts w:cs="Arial"/>
          <w:bCs/>
          <w:iCs/>
          <w:szCs w:val="22"/>
        </w:rPr>
        <w:t>W 2022 r. w Biuletynie Zamówień Publicznych po 1 stycznia 2021 roku, na Platformi</w:t>
      </w:r>
      <w:r w:rsidR="007A0E1D">
        <w:rPr>
          <w:rFonts w:cs="Arial"/>
          <w:bCs/>
          <w:iCs/>
          <w:szCs w:val="22"/>
        </w:rPr>
        <w:t>e e-Zamówienia zamieszczono 470 </w:t>
      </w:r>
      <w:r w:rsidRPr="00D01E92">
        <w:rPr>
          <w:rFonts w:cs="Arial"/>
          <w:bCs/>
          <w:iCs/>
          <w:szCs w:val="22"/>
        </w:rPr>
        <w:t>461 ogłoszeń, w tym:</w:t>
      </w:r>
    </w:p>
    <w:p w14:paraId="7714FF4A" w14:textId="1CCE7B3E"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zamówieniu – 152 731,</w:t>
      </w:r>
    </w:p>
    <w:p w14:paraId="7B92BD9A" w14:textId="0C4F2C49"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zamiarze zawarcia umowy – 4 717,</w:t>
      </w:r>
    </w:p>
    <w:p w14:paraId="4780C9BC" w14:textId="65283C40"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wyniku postępowania – 141 142,</w:t>
      </w:r>
    </w:p>
    <w:p w14:paraId="32C816D3" w14:textId="2C398905"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konkursie – 55,</w:t>
      </w:r>
    </w:p>
    <w:p w14:paraId="41207B36" w14:textId="780CE7C9"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w:t>
      </w:r>
      <w:r w:rsidR="000B093F">
        <w:rPr>
          <w:rFonts w:cs="Arial"/>
          <w:sz w:val="22"/>
          <w:szCs w:val="22"/>
        </w:rPr>
        <w:t>oszeń o wynikach konkursu – 44,</w:t>
      </w:r>
    </w:p>
    <w:p w14:paraId="1623A94D" w14:textId="22E18166"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zmianie ogłoszenia – 59 642,</w:t>
      </w:r>
    </w:p>
    <w:p w14:paraId="7122AAEA" w14:textId="1204CD37"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zmianie umowy – 10</w:t>
      </w:r>
      <w:r w:rsidR="009343A1">
        <w:rPr>
          <w:rFonts w:cs="Arial"/>
          <w:sz w:val="22"/>
          <w:szCs w:val="22"/>
        </w:rPr>
        <w:t xml:space="preserve"> </w:t>
      </w:r>
      <w:r w:rsidRPr="00D01E92">
        <w:rPr>
          <w:rFonts w:cs="Arial"/>
          <w:sz w:val="22"/>
          <w:szCs w:val="22"/>
        </w:rPr>
        <w:t>452,</w:t>
      </w:r>
    </w:p>
    <w:p w14:paraId="5A03B8D6" w14:textId="298ABEBD"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wykonaniu umowy – 101</w:t>
      </w:r>
      <w:r w:rsidR="000B093F">
        <w:rPr>
          <w:rFonts w:cs="Arial"/>
          <w:sz w:val="22"/>
          <w:szCs w:val="22"/>
        </w:rPr>
        <w:t> </w:t>
      </w:r>
      <w:r w:rsidRPr="00D01E92">
        <w:rPr>
          <w:rFonts w:cs="Arial"/>
          <w:sz w:val="22"/>
          <w:szCs w:val="22"/>
        </w:rPr>
        <w:t>535</w:t>
      </w:r>
      <w:r w:rsidR="000B093F">
        <w:rPr>
          <w:rFonts w:cs="Arial"/>
          <w:sz w:val="22"/>
          <w:szCs w:val="22"/>
          <w:lang w:val="pl-PL"/>
        </w:rPr>
        <w:t>,</w:t>
      </w:r>
    </w:p>
    <w:p w14:paraId="5BD6BDE3" w14:textId="3843C017"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spełnianiu okoliczności, o których mowa w art. 214 ust.1 pkt 11</w:t>
      </w:r>
      <w:r w:rsidR="006427E3" w:rsidRPr="006427E3">
        <w:rPr>
          <w:rFonts w:cs="Arial"/>
          <w:sz w:val="22"/>
          <w:szCs w:val="22"/>
          <w:lang w:val="pl-PL"/>
        </w:rPr>
        <w:t>–</w:t>
      </w:r>
      <w:r w:rsidRPr="00D01E92">
        <w:rPr>
          <w:rFonts w:cs="Arial"/>
          <w:sz w:val="22"/>
          <w:szCs w:val="22"/>
        </w:rPr>
        <w:t xml:space="preserve">14 ustawy </w:t>
      </w:r>
      <w:r w:rsidR="000B093F">
        <w:rPr>
          <w:rFonts w:cs="Arial"/>
          <w:sz w:val="22"/>
          <w:szCs w:val="22"/>
        </w:rPr>
        <w:t>–</w:t>
      </w:r>
      <w:r w:rsidRPr="00D01E92">
        <w:rPr>
          <w:rFonts w:cs="Arial"/>
          <w:sz w:val="22"/>
          <w:szCs w:val="22"/>
        </w:rPr>
        <w:t xml:space="preserve"> 113</w:t>
      </w:r>
      <w:r w:rsidR="000B093F">
        <w:rPr>
          <w:rFonts w:cs="Arial"/>
          <w:sz w:val="22"/>
          <w:szCs w:val="22"/>
          <w:lang w:val="pl-PL"/>
        </w:rPr>
        <w:t>,</w:t>
      </w:r>
    </w:p>
    <w:p w14:paraId="583F86A1" w14:textId="7FAEBCD6"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 xml:space="preserve">ogłoszeń o koncesji </w:t>
      </w:r>
      <w:bookmarkStart w:id="221" w:name="_Hlk135304542"/>
      <w:r w:rsidRPr="00D01E92">
        <w:rPr>
          <w:rFonts w:cs="Arial"/>
          <w:sz w:val="22"/>
          <w:szCs w:val="22"/>
        </w:rPr>
        <w:t>–</w:t>
      </w:r>
      <w:bookmarkEnd w:id="221"/>
      <w:r w:rsidR="00D31484">
        <w:rPr>
          <w:rFonts w:cs="Arial"/>
          <w:sz w:val="22"/>
          <w:szCs w:val="22"/>
        </w:rPr>
        <w:t xml:space="preserve"> 13</w:t>
      </w:r>
      <w:r w:rsidRPr="00D01E92">
        <w:rPr>
          <w:rFonts w:cs="Arial"/>
          <w:sz w:val="22"/>
          <w:szCs w:val="22"/>
        </w:rPr>
        <w:t>,</w:t>
      </w:r>
    </w:p>
    <w:p w14:paraId="181CAE2D" w14:textId="46EC7220"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zmianie ogłoszenia (koncesje) – 8,</w:t>
      </w:r>
    </w:p>
    <w:p w14:paraId="1F52A61A" w14:textId="5CC0FACE"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 xml:space="preserve">ogłoszeń o zamiarze zawarcia umowy koncesji </w:t>
      </w:r>
      <w:bookmarkStart w:id="222" w:name="_Hlk135306064"/>
      <w:r w:rsidRPr="00D01E92">
        <w:rPr>
          <w:rFonts w:cs="Arial"/>
          <w:sz w:val="22"/>
          <w:szCs w:val="22"/>
        </w:rPr>
        <w:t>–</w:t>
      </w:r>
      <w:bookmarkEnd w:id="222"/>
      <w:r w:rsidRPr="00D01E92">
        <w:rPr>
          <w:rFonts w:cs="Arial"/>
          <w:sz w:val="22"/>
          <w:szCs w:val="22"/>
        </w:rPr>
        <w:t xml:space="preserve"> 0, </w:t>
      </w:r>
    </w:p>
    <w:p w14:paraId="40BAFE4D" w14:textId="4DB32F60"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zawarciu umowy koncesji – 8,</w:t>
      </w:r>
    </w:p>
    <w:p w14:paraId="60BA950E" w14:textId="0BA43331"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o zmianie umowy koncesji – 1</w:t>
      </w:r>
      <w:r w:rsidR="00D01E92">
        <w:rPr>
          <w:rFonts w:cs="Arial"/>
          <w:sz w:val="22"/>
          <w:szCs w:val="22"/>
          <w:lang w:val="pl-PL"/>
        </w:rPr>
        <w:t>,</w:t>
      </w:r>
    </w:p>
    <w:p w14:paraId="70F5260E" w14:textId="467263AF"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ogłoszeń dotyczących zamówienia, dla którego nie ma obowiązku stosowania ustawy Pzp – 17</w:t>
      </w:r>
      <w:r w:rsidR="009343A1">
        <w:rPr>
          <w:rFonts w:cs="Arial"/>
          <w:sz w:val="22"/>
          <w:szCs w:val="22"/>
        </w:rPr>
        <w:t xml:space="preserve"> </w:t>
      </w:r>
      <w:r w:rsidRPr="00D01E92">
        <w:rPr>
          <w:rFonts w:cs="Arial"/>
          <w:sz w:val="22"/>
          <w:szCs w:val="22"/>
        </w:rPr>
        <w:t>252</w:t>
      </w:r>
      <w:r w:rsidR="00D01E92">
        <w:rPr>
          <w:rFonts w:cs="Arial"/>
          <w:sz w:val="22"/>
          <w:szCs w:val="22"/>
          <w:lang w:val="pl-PL"/>
        </w:rPr>
        <w:t>,</w:t>
      </w:r>
    </w:p>
    <w:p w14:paraId="07C1DD7A" w14:textId="63E7E31C" w:rsidR="00E901E5" w:rsidRPr="00D01E92" w:rsidRDefault="00E901E5" w:rsidP="00E16264">
      <w:pPr>
        <w:pStyle w:val="Akapitzlist"/>
        <w:numPr>
          <w:ilvl w:val="0"/>
          <w:numId w:val="53"/>
        </w:numPr>
        <w:shd w:val="clear" w:color="auto" w:fill="FFFFFF"/>
        <w:rPr>
          <w:rFonts w:cs="Arial"/>
          <w:sz w:val="22"/>
          <w:szCs w:val="22"/>
        </w:rPr>
      </w:pPr>
      <w:r w:rsidRPr="00D01E92">
        <w:rPr>
          <w:rFonts w:cs="Arial"/>
          <w:sz w:val="22"/>
          <w:szCs w:val="22"/>
        </w:rPr>
        <w:t>planów postępowań – 11</w:t>
      </w:r>
      <w:r w:rsidR="009343A1">
        <w:rPr>
          <w:rFonts w:cs="Arial"/>
          <w:sz w:val="22"/>
          <w:szCs w:val="22"/>
        </w:rPr>
        <w:t xml:space="preserve"> </w:t>
      </w:r>
      <w:r w:rsidRPr="00D01E92">
        <w:rPr>
          <w:rFonts w:cs="Arial"/>
          <w:sz w:val="22"/>
          <w:szCs w:val="22"/>
        </w:rPr>
        <w:t>746</w:t>
      </w:r>
      <w:r w:rsidR="00D01E92">
        <w:rPr>
          <w:rFonts w:cs="Arial"/>
          <w:sz w:val="22"/>
          <w:szCs w:val="22"/>
          <w:lang w:val="pl-PL"/>
        </w:rPr>
        <w:t>.</w:t>
      </w:r>
    </w:p>
    <w:p w14:paraId="04BF0A60" w14:textId="2FFDBB46" w:rsidR="00E901E5" w:rsidRDefault="00E901E5" w:rsidP="009927E5">
      <w:pPr>
        <w:shd w:val="clear" w:color="auto" w:fill="FFFFFF"/>
        <w:rPr>
          <w:rFonts w:cs="Arial"/>
          <w:szCs w:val="22"/>
        </w:rPr>
      </w:pPr>
    </w:p>
    <w:p w14:paraId="53AABC93" w14:textId="74209420" w:rsidR="00056676" w:rsidRPr="00056676" w:rsidRDefault="00056676" w:rsidP="00056676">
      <w:pPr>
        <w:shd w:val="clear" w:color="auto" w:fill="FFFFFF"/>
        <w:rPr>
          <w:rFonts w:cs="Arial"/>
          <w:bCs/>
          <w:iCs/>
          <w:szCs w:val="22"/>
        </w:rPr>
      </w:pPr>
      <w:r w:rsidRPr="00056676">
        <w:rPr>
          <w:rFonts w:cs="Arial"/>
          <w:bCs/>
          <w:iCs/>
          <w:szCs w:val="22"/>
        </w:rPr>
        <w:t>Dla porównania poniżej zamieszczono zestawienie liczby ogłoszeń publiko</w:t>
      </w:r>
      <w:r>
        <w:rPr>
          <w:rFonts w:cs="Arial"/>
          <w:bCs/>
          <w:iCs/>
          <w:szCs w:val="22"/>
        </w:rPr>
        <w:t>wanych w BZP w latach 201</w:t>
      </w:r>
      <w:r w:rsidR="00D474A6">
        <w:rPr>
          <w:rFonts w:cs="Arial"/>
          <w:bCs/>
          <w:iCs/>
          <w:szCs w:val="22"/>
        </w:rPr>
        <w:t>8</w:t>
      </w:r>
      <w:r>
        <w:rPr>
          <w:rFonts w:cs="Arial"/>
          <w:bCs/>
          <w:iCs/>
          <w:szCs w:val="22"/>
        </w:rPr>
        <w:t>–2021.</w:t>
      </w:r>
    </w:p>
    <w:p w14:paraId="7762052A" w14:textId="77777777" w:rsidR="00AB2318" w:rsidRDefault="00AB2318" w:rsidP="009927E5">
      <w:pPr>
        <w:shd w:val="clear" w:color="auto" w:fill="FFFFFF"/>
        <w:rPr>
          <w:rFonts w:cs="Arial"/>
          <w:szCs w:val="22"/>
        </w:rPr>
      </w:pPr>
    </w:p>
    <w:p w14:paraId="246E72EC" w14:textId="2E140CF4" w:rsidR="00854F8C" w:rsidRDefault="00854F8C" w:rsidP="00854F8C">
      <w:pPr>
        <w:pStyle w:val="Legenda"/>
      </w:pPr>
      <w:bookmarkStart w:id="223" w:name="_Toc99523990"/>
      <w:bookmarkStart w:id="224" w:name="_Toc99524033"/>
      <w:bookmarkStart w:id="225" w:name="_Toc141276569"/>
      <w:r w:rsidRPr="00D379BF">
        <w:t xml:space="preserve">Tab. </w:t>
      </w:r>
      <w:r w:rsidR="00BE2079">
        <w:fldChar w:fldCharType="begin"/>
      </w:r>
      <w:r w:rsidR="00BE2079">
        <w:instrText xml:space="preserve"> SEQ Tab. \* ARABIC </w:instrText>
      </w:r>
      <w:r w:rsidR="00BE2079">
        <w:fldChar w:fldCharType="separate"/>
      </w:r>
      <w:r w:rsidR="00A43C68">
        <w:rPr>
          <w:noProof/>
        </w:rPr>
        <w:t>62</w:t>
      </w:r>
      <w:r w:rsidR="00BE2079">
        <w:rPr>
          <w:noProof/>
        </w:rPr>
        <w:fldChar w:fldCharType="end"/>
      </w:r>
      <w:r w:rsidRPr="00D379BF">
        <w:t>. Liczba ogłoszeń publikowanych w BZP w latach 201</w:t>
      </w:r>
      <w:r w:rsidR="00D474A6" w:rsidRPr="00D379BF">
        <w:t>8</w:t>
      </w:r>
      <w:r w:rsidRPr="00D379BF">
        <w:t>-202</w:t>
      </w:r>
      <w:r w:rsidR="00056676" w:rsidRPr="00D379BF">
        <w:t>1</w:t>
      </w:r>
      <w:r w:rsidRPr="00D379BF">
        <w:t xml:space="preserve"> według rodzaju ogłoszenia</w:t>
      </w:r>
      <w:bookmarkEnd w:id="223"/>
      <w:bookmarkEnd w:id="224"/>
      <w:bookmarkEnd w:id="225"/>
    </w:p>
    <w:tbl>
      <w:tblPr>
        <w:tblStyle w:val="Tabela-Siatka"/>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4"/>
        <w:gridCol w:w="993"/>
        <w:gridCol w:w="992"/>
        <w:gridCol w:w="992"/>
        <w:gridCol w:w="1134"/>
        <w:gridCol w:w="992"/>
      </w:tblGrid>
      <w:tr w:rsidR="00EB30D9" w:rsidRPr="00854F8C" w14:paraId="76F3D0CD" w14:textId="24183C8D" w:rsidTr="00DC1A25">
        <w:trPr>
          <w:tblHeader/>
        </w:trPr>
        <w:tc>
          <w:tcPr>
            <w:tcW w:w="3974" w:type="dxa"/>
            <w:tcBorders>
              <w:right w:val="single" w:sz="4" w:space="0" w:color="FFFFFF" w:themeColor="background1"/>
            </w:tcBorders>
            <w:shd w:val="clear" w:color="auto" w:fill="002060"/>
            <w:vAlign w:val="center"/>
          </w:tcPr>
          <w:p w14:paraId="0E4FBF2B" w14:textId="285C1DB4" w:rsidR="00EB30D9" w:rsidRPr="00854F8C" w:rsidRDefault="00EB30D9" w:rsidP="00EB30D9">
            <w:pPr>
              <w:spacing w:before="60" w:after="60"/>
              <w:jc w:val="center"/>
              <w:rPr>
                <w:rFonts w:cs="Arial"/>
                <w:b/>
                <w:sz w:val="18"/>
                <w:szCs w:val="18"/>
              </w:rPr>
            </w:pPr>
            <w:r w:rsidRPr="00854F8C">
              <w:rPr>
                <w:rFonts w:cs="Arial"/>
                <w:b/>
                <w:sz w:val="18"/>
                <w:szCs w:val="18"/>
              </w:rPr>
              <w:t>Rodzaj ogłoszenia</w:t>
            </w:r>
          </w:p>
        </w:tc>
        <w:tc>
          <w:tcPr>
            <w:tcW w:w="993" w:type="dxa"/>
            <w:tcBorders>
              <w:left w:val="single" w:sz="4" w:space="0" w:color="FFFFFF" w:themeColor="background1"/>
            </w:tcBorders>
            <w:shd w:val="clear" w:color="auto" w:fill="002060"/>
            <w:vAlign w:val="center"/>
          </w:tcPr>
          <w:p w14:paraId="67483710" w14:textId="660499EB" w:rsidR="00EB30D9" w:rsidRPr="00854F8C" w:rsidRDefault="00EB30D9" w:rsidP="00EB30D9">
            <w:pPr>
              <w:spacing w:before="60" w:after="60"/>
              <w:jc w:val="center"/>
              <w:rPr>
                <w:rFonts w:cs="Arial"/>
                <w:b/>
                <w:sz w:val="18"/>
                <w:szCs w:val="18"/>
              </w:rPr>
            </w:pPr>
            <w:r w:rsidRPr="00854F8C">
              <w:rPr>
                <w:rFonts w:cs="Arial"/>
                <w:b/>
                <w:sz w:val="18"/>
                <w:szCs w:val="18"/>
              </w:rPr>
              <w:t>2018</w:t>
            </w:r>
          </w:p>
        </w:tc>
        <w:tc>
          <w:tcPr>
            <w:tcW w:w="992" w:type="dxa"/>
            <w:tcBorders>
              <w:left w:val="single" w:sz="4" w:space="0" w:color="FFFFFF" w:themeColor="background1"/>
            </w:tcBorders>
            <w:shd w:val="clear" w:color="auto" w:fill="002060"/>
            <w:vAlign w:val="center"/>
          </w:tcPr>
          <w:p w14:paraId="58754A7F" w14:textId="4B390079" w:rsidR="00EB30D9" w:rsidRPr="00854F8C" w:rsidRDefault="00EB30D9" w:rsidP="00EB30D9">
            <w:pPr>
              <w:spacing w:before="60" w:after="60"/>
              <w:jc w:val="center"/>
              <w:rPr>
                <w:rFonts w:cs="Arial"/>
                <w:b/>
                <w:sz w:val="18"/>
                <w:szCs w:val="18"/>
              </w:rPr>
            </w:pPr>
            <w:r w:rsidRPr="00854F8C">
              <w:rPr>
                <w:rFonts w:cs="Arial"/>
                <w:b/>
                <w:sz w:val="18"/>
                <w:szCs w:val="18"/>
              </w:rPr>
              <w:t>2019</w:t>
            </w:r>
          </w:p>
        </w:tc>
        <w:tc>
          <w:tcPr>
            <w:tcW w:w="992" w:type="dxa"/>
            <w:tcBorders>
              <w:left w:val="single" w:sz="4" w:space="0" w:color="FFFFFF" w:themeColor="background1"/>
            </w:tcBorders>
            <w:shd w:val="clear" w:color="auto" w:fill="002060"/>
            <w:vAlign w:val="center"/>
          </w:tcPr>
          <w:p w14:paraId="26B7DF07" w14:textId="075A06AB" w:rsidR="00EB30D9" w:rsidRPr="00854F8C" w:rsidRDefault="00EB30D9" w:rsidP="00EB30D9">
            <w:pPr>
              <w:spacing w:before="60" w:after="60"/>
              <w:jc w:val="center"/>
              <w:rPr>
                <w:rFonts w:cs="Arial"/>
                <w:b/>
                <w:sz w:val="18"/>
                <w:szCs w:val="18"/>
              </w:rPr>
            </w:pPr>
            <w:r w:rsidRPr="00854F8C">
              <w:rPr>
                <w:rFonts w:cs="Arial"/>
                <w:b/>
                <w:sz w:val="18"/>
                <w:szCs w:val="18"/>
              </w:rPr>
              <w:t>2020</w:t>
            </w:r>
          </w:p>
        </w:tc>
        <w:tc>
          <w:tcPr>
            <w:tcW w:w="1134" w:type="dxa"/>
            <w:tcBorders>
              <w:left w:val="single" w:sz="4" w:space="0" w:color="FFFFFF" w:themeColor="background1"/>
            </w:tcBorders>
            <w:shd w:val="clear" w:color="auto" w:fill="002060"/>
            <w:vAlign w:val="center"/>
          </w:tcPr>
          <w:p w14:paraId="0076659C" w14:textId="77777777" w:rsidR="00EB30D9" w:rsidRDefault="00EB30D9" w:rsidP="00966AD1">
            <w:pPr>
              <w:spacing w:before="60"/>
              <w:jc w:val="center"/>
              <w:rPr>
                <w:rFonts w:cs="Arial"/>
                <w:b/>
                <w:sz w:val="18"/>
                <w:szCs w:val="18"/>
              </w:rPr>
            </w:pPr>
            <w:r>
              <w:rPr>
                <w:rFonts w:cs="Arial"/>
                <w:b/>
                <w:sz w:val="18"/>
                <w:szCs w:val="18"/>
              </w:rPr>
              <w:t>2021</w:t>
            </w:r>
          </w:p>
          <w:p w14:paraId="688C5176" w14:textId="00ECB51B" w:rsidR="00EB30D9" w:rsidRPr="00966AD1" w:rsidRDefault="00EB30D9" w:rsidP="00966AD1">
            <w:pPr>
              <w:spacing w:after="60"/>
              <w:jc w:val="center"/>
              <w:rPr>
                <w:rFonts w:cs="Arial"/>
                <w:b/>
                <w:sz w:val="16"/>
                <w:szCs w:val="16"/>
              </w:rPr>
            </w:pPr>
            <w:r w:rsidRPr="00966AD1">
              <w:rPr>
                <w:rFonts w:cs="Arial"/>
                <w:b/>
                <w:sz w:val="16"/>
                <w:szCs w:val="16"/>
              </w:rPr>
              <w:t xml:space="preserve">BZP przed </w:t>
            </w:r>
            <w:r w:rsidR="00966AD1">
              <w:rPr>
                <w:rFonts w:cs="Arial"/>
                <w:b/>
                <w:sz w:val="16"/>
                <w:szCs w:val="16"/>
              </w:rPr>
              <w:t>0</w:t>
            </w:r>
            <w:r w:rsidRPr="00966AD1">
              <w:rPr>
                <w:rFonts w:cs="Arial"/>
                <w:b/>
                <w:sz w:val="16"/>
                <w:szCs w:val="16"/>
              </w:rPr>
              <w:t>1.01.21 r.</w:t>
            </w:r>
          </w:p>
        </w:tc>
        <w:tc>
          <w:tcPr>
            <w:tcW w:w="992" w:type="dxa"/>
            <w:tcBorders>
              <w:left w:val="single" w:sz="4" w:space="0" w:color="FFFFFF" w:themeColor="background1"/>
            </w:tcBorders>
            <w:shd w:val="clear" w:color="auto" w:fill="002060"/>
            <w:vAlign w:val="center"/>
          </w:tcPr>
          <w:p w14:paraId="70BEA37A" w14:textId="77777777" w:rsidR="00EB30D9" w:rsidRDefault="00EB30D9" w:rsidP="00966AD1">
            <w:pPr>
              <w:spacing w:before="60"/>
              <w:jc w:val="center"/>
              <w:rPr>
                <w:rFonts w:cs="Arial"/>
                <w:b/>
                <w:sz w:val="18"/>
                <w:szCs w:val="18"/>
              </w:rPr>
            </w:pPr>
            <w:r>
              <w:rPr>
                <w:rFonts w:cs="Arial"/>
                <w:b/>
                <w:sz w:val="18"/>
                <w:szCs w:val="18"/>
              </w:rPr>
              <w:t>2021</w:t>
            </w:r>
          </w:p>
          <w:p w14:paraId="50D7C437" w14:textId="13EC7C65" w:rsidR="00EB30D9" w:rsidRPr="00966AD1" w:rsidRDefault="00EB30D9" w:rsidP="00966AD1">
            <w:pPr>
              <w:spacing w:after="60"/>
              <w:jc w:val="center"/>
              <w:rPr>
                <w:rFonts w:cs="Arial"/>
                <w:b/>
                <w:sz w:val="16"/>
                <w:szCs w:val="16"/>
              </w:rPr>
            </w:pPr>
            <w:r w:rsidRPr="00966AD1">
              <w:rPr>
                <w:rFonts w:cs="Arial"/>
                <w:b/>
                <w:sz w:val="16"/>
                <w:szCs w:val="16"/>
              </w:rPr>
              <w:t xml:space="preserve">BZP po </w:t>
            </w:r>
            <w:r w:rsidR="00966AD1">
              <w:rPr>
                <w:rFonts w:cs="Arial"/>
                <w:b/>
                <w:sz w:val="16"/>
                <w:szCs w:val="16"/>
              </w:rPr>
              <w:t>0</w:t>
            </w:r>
            <w:r w:rsidRPr="00966AD1">
              <w:rPr>
                <w:rFonts w:cs="Arial"/>
                <w:b/>
                <w:sz w:val="16"/>
                <w:szCs w:val="16"/>
              </w:rPr>
              <w:t>1.01.21 r.</w:t>
            </w:r>
          </w:p>
        </w:tc>
      </w:tr>
      <w:tr w:rsidR="00EB30D9" w:rsidRPr="00854F8C" w14:paraId="684AEB53" w14:textId="008F52E8" w:rsidTr="00DC1A25">
        <w:tc>
          <w:tcPr>
            <w:tcW w:w="3974" w:type="dxa"/>
            <w:tcBorders>
              <w:right w:val="single" w:sz="4" w:space="0" w:color="FFFFFF" w:themeColor="background1"/>
            </w:tcBorders>
            <w:vAlign w:val="center"/>
          </w:tcPr>
          <w:p w14:paraId="029E50B2" w14:textId="4BA48D33" w:rsidR="00EB30D9" w:rsidRPr="00854F8C" w:rsidRDefault="00EB30D9" w:rsidP="000B645B">
            <w:pPr>
              <w:spacing w:before="60" w:after="60"/>
              <w:jc w:val="left"/>
              <w:rPr>
                <w:rFonts w:cs="Arial"/>
                <w:sz w:val="18"/>
                <w:szCs w:val="18"/>
              </w:rPr>
            </w:pPr>
            <w:r w:rsidRPr="00854F8C">
              <w:rPr>
                <w:rFonts w:cs="Arial"/>
                <w:sz w:val="18"/>
                <w:szCs w:val="18"/>
              </w:rPr>
              <w:t>Ogłoszenie o zamówieniu</w:t>
            </w:r>
          </w:p>
        </w:tc>
        <w:tc>
          <w:tcPr>
            <w:tcW w:w="993" w:type="dxa"/>
            <w:tcBorders>
              <w:left w:val="single" w:sz="4" w:space="0" w:color="FFFFFF" w:themeColor="background1"/>
            </w:tcBorders>
            <w:vAlign w:val="center"/>
          </w:tcPr>
          <w:p w14:paraId="714A57BF" w14:textId="68F0B529" w:rsidR="00EB30D9" w:rsidRPr="00854F8C" w:rsidRDefault="00EB30D9" w:rsidP="000B645B">
            <w:pPr>
              <w:spacing w:before="60" w:after="60"/>
              <w:jc w:val="right"/>
              <w:rPr>
                <w:rFonts w:cs="Arial"/>
                <w:sz w:val="18"/>
                <w:szCs w:val="18"/>
              </w:rPr>
            </w:pPr>
            <w:r w:rsidRPr="00854F8C">
              <w:rPr>
                <w:rFonts w:cs="Arial"/>
                <w:sz w:val="18"/>
                <w:szCs w:val="18"/>
              </w:rPr>
              <w:t>130 434</w:t>
            </w:r>
          </w:p>
        </w:tc>
        <w:tc>
          <w:tcPr>
            <w:tcW w:w="992" w:type="dxa"/>
            <w:tcBorders>
              <w:left w:val="single" w:sz="4" w:space="0" w:color="FFFFFF" w:themeColor="background1"/>
            </w:tcBorders>
            <w:vAlign w:val="center"/>
          </w:tcPr>
          <w:p w14:paraId="4C153F75" w14:textId="6A1306C2" w:rsidR="00EB30D9" w:rsidRPr="00854F8C" w:rsidRDefault="00EB30D9" w:rsidP="000B645B">
            <w:pPr>
              <w:spacing w:before="60" w:after="60"/>
              <w:jc w:val="right"/>
              <w:rPr>
                <w:rFonts w:cs="Arial"/>
                <w:sz w:val="18"/>
                <w:szCs w:val="18"/>
              </w:rPr>
            </w:pPr>
            <w:r w:rsidRPr="00854F8C">
              <w:rPr>
                <w:rFonts w:cs="Arial"/>
                <w:sz w:val="18"/>
                <w:szCs w:val="18"/>
              </w:rPr>
              <w:t>117 379</w:t>
            </w:r>
          </w:p>
        </w:tc>
        <w:tc>
          <w:tcPr>
            <w:tcW w:w="992" w:type="dxa"/>
            <w:tcBorders>
              <w:left w:val="single" w:sz="4" w:space="0" w:color="FFFFFF" w:themeColor="background1"/>
            </w:tcBorders>
            <w:vAlign w:val="center"/>
          </w:tcPr>
          <w:p w14:paraId="66305C1E" w14:textId="6A771B4E" w:rsidR="00EB30D9" w:rsidRPr="00854F8C" w:rsidRDefault="00EB30D9" w:rsidP="000B645B">
            <w:pPr>
              <w:spacing w:before="60" w:after="60"/>
              <w:jc w:val="right"/>
              <w:rPr>
                <w:rFonts w:cs="Arial"/>
                <w:sz w:val="18"/>
                <w:szCs w:val="18"/>
              </w:rPr>
            </w:pPr>
            <w:r w:rsidRPr="00854F8C">
              <w:rPr>
                <w:rFonts w:cs="Arial"/>
                <w:sz w:val="18"/>
                <w:szCs w:val="18"/>
              </w:rPr>
              <w:t>113 206</w:t>
            </w:r>
          </w:p>
        </w:tc>
        <w:tc>
          <w:tcPr>
            <w:tcW w:w="1134" w:type="dxa"/>
            <w:tcBorders>
              <w:left w:val="single" w:sz="4" w:space="0" w:color="FFFFFF" w:themeColor="background1"/>
            </w:tcBorders>
            <w:vAlign w:val="center"/>
          </w:tcPr>
          <w:p w14:paraId="1DFA094D" w14:textId="5DFB894D" w:rsidR="00EB30D9" w:rsidRPr="00854F8C" w:rsidRDefault="00981A33" w:rsidP="001B10FA">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vAlign w:val="center"/>
          </w:tcPr>
          <w:p w14:paraId="156C2CB4" w14:textId="4C46C28B" w:rsidR="00EB30D9" w:rsidRPr="00854F8C" w:rsidRDefault="00145F2F" w:rsidP="001B10FA">
            <w:pPr>
              <w:spacing w:before="60" w:after="60"/>
              <w:jc w:val="right"/>
              <w:rPr>
                <w:rFonts w:cs="Arial"/>
                <w:sz w:val="18"/>
                <w:szCs w:val="18"/>
              </w:rPr>
            </w:pPr>
            <w:r>
              <w:rPr>
                <w:rFonts w:cs="Arial"/>
                <w:sz w:val="18"/>
                <w:szCs w:val="18"/>
              </w:rPr>
              <w:t>150 568</w:t>
            </w:r>
          </w:p>
        </w:tc>
      </w:tr>
      <w:tr w:rsidR="00EB30D9" w:rsidRPr="00854F8C" w14:paraId="07EF1DFE" w14:textId="71FBC57D" w:rsidTr="00DC1A25">
        <w:tc>
          <w:tcPr>
            <w:tcW w:w="3974" w:type="dxa"/>
            <w:tcBorders>
              <w:right w:val="single" w:sz="4" w:space="0" w:color="FFFFFF" w:themeColor="background1"/>
            </w:tcBorders>
            <w:shd w:val="clear" w:color="auto" w:fill="00B0F0"/>
            <w:vAlign w:val="center"/>
          </w:tcPr>
          <w:p w14:paraId="1D32B5BB" w14:textId="789564BC" w:rsidR="00EB30D9" w:rsidRPr="00854F8C" w:rsidRDefault="00EB30D9" w:rsidP="000B645B">
            <w:pPr>
              <w:spacing w:before="60" w:after="60"/>
              <w:jc w:val="left"/>
              <w:rPr>
                <w:rFonts w:cs="Arial"/>
                <w:sz w:val="18"/>
                <w:szCs w:val="18"/>
              </w:rPr>
            </w:pPr>
            <w:r w:rsidRPr="00854F8C">
              <w:rPr>
                <w:rFonts w:cs="Arial"/>
                <w:sz w:val="18"/>
                <w:szCs w:val="18"/>
              </w:rPr>
              <w:t>Ogłoszenie o zamówieniu w dziedzinach obronności i bezpieczeństwa/na podwykonawstwo</w:t>
            </w:r>
          </w:p>
        </w:tc>
        <w:tc>
          <w:tcPr>
            <w:tcW w:w="993" w:type="dxa"/>
            <w:tcBorders>
              <w:left w:val="single" w:sz="4" w:space="0" w:color="FFFFFF" w:themeColor="background1"/>
            </w:tcBorders>
            <w:shd w:val="clear" w:color="auto" w:fill="00B0F0"/>
            <w:vAlign w:val="center"/>
          </w:tcPr>
          <w:p w14:paraId="6FA313B7" w14:textId="6FBCB3CF" w:rsidR="00EB30D9" w:rsidRPr="00854F8C" w:rsidRDefault="00EB30D9" w:rsidP="000B645B">
            <w:pPr>
              <w:spacing w:before="60" w:after="60"/>
              <w:jc w:val="right"/>
              <w:rPr>
                <w:rFonts w:cs="Arial"/>
                <w:sz w:val="18"/>
                <w:szCs w:val="18"/>
              </w:rPr>
            </w:pPr>
            <w:r w:rsidRPr="00854F8C">
              <w:rPr>
                <w:rFonts w:cs="Arial"/>
                <w:sz w:val="18"/>
                <w:szCs w:val="18"/>
              </w:rPr>
              <w:t>73</w:t>
            </w:r>
          </w:p>
        </w:tc>
        <w:tc>
          <w:tcPr>
            <w:tcW w:w="992" w:type="dxa"/>
            <w:tcBorders>
              <w:left w:val="single" w:sz="4" w:space="0" w:color="FFFFFF" w:themeColor="background1"/>
            </w:tcBorders>
            <w:shd w:val="clear" w:color="auto" w:fill="00B0F0"/>
            <w:vAlign w:val="center"/>
          </w:tcPr>
          <w:p w14:paraId="5E383B08" w14:textId="74A108DA" w:rsidR="00EB30D9" w:rsidRPr="00854F8C" w:rsidRDefault="00EB30D9" w:rsidP="000B645B">
            <w:pPr>
              <w:spacing w:before="60" w:after="60"/>
              <w:jc w:val="right"/>
              <w:rPr>
                <w:rFonts w:cs="Arial"/>
                <w:sz w:val="18"/>
                <w:szCs w:val="18"/>
              </w:rPr>
            </w:pPr>
            <w:r w:rsidRPr="00854F8C">
              <w:rPr>
                <w:rFonts w:cs="Arial"/>
                <w:sz w:val="18"/>
                <w:szCs w:val="18"/>
              </w:rPr>
              <w:t>107</w:t>
            </w:r>
          </w:p>
        </w:tc>
        <w:tc>
          <w:tcPr>
            <w:tcW w:w="992" w:type="dxa"/>
            <w:tcBorders>
              <w:left w:val="single" w:sz="4" w:space="0" w:color="FFFFFF" w:themeColor="background1"/>
            </w:tcBorders>
            <w:shd w:val="clear" w:color="auto" w:fill="00B0F0"/>
            <w:vAlign w:val="center"/>
          </w:tcPr>
          <w:p w14:paraId="2E3D7CF2" w14:textId="47F1CB36" w:rsidR="00EB30D9" w:rsidRPr="00854F8C" w:rsidRDefault="00EB30D9" w:rsidP="000B645B">
            <w:pPr>
              <w:spacing w:before="60" w:after="60"/>
              <w:jc w:val="right"/>
              <w:rPr>
                <w:rFonts w:cs="Arial"/>
                <w:sz w:val="18"/>
                <w:szCs w:val="18"/>
              </w:rPr>
            </w:pPr>
            <w:r w:rsidRPr="00854F8C">
              <w:rPr>
                <w:rFonts w:cs="Arial"/>
                <w:sz w:val="18"/>
                <w:szCs w:val="18"/>
              </w:rPr>
              <w:t>123</w:t>
            </w:r>
          </w:p>
        </w:tc>
        <w:tc>
          <w:tcPr>
            <w:tcW w:w="1134" w:type="dxa"/>
            <w:tcBorders>
              <w:left w:val="single" w:sz="4" w:space="0" w:color="FFFFFF" w:themeColor="background1"/>
            </w:tcBorders>
            <w:shd w:val="clear" w:color="auto" w:fill="00B0F0"/>
            <w:vAlign w:val="center"/>
          </w:tcPr>
          <w:p w14:paraId="69B3109D" w14:textId="35BD9940" w:rsidR="00EB30D9" w:rsidRPr="00854F8C" w:rsidRDefault="00EB30D9" w:rsidP="001B10FA">
            <w:pPr>
              <w:spacing w:before="60" w:after="60"/>
              <w:jc w:val="right"/>
              <w:rPr>
                <w:rFonts w:cs="Arial"/>
                <w:sz w:val="18"/>
                <w:szCs w:val="18"/>
              </w:rPr>
            </w:pPr>
            <w:r>
              <w:rPr>
                <w:rFonts w:cs="Arial"/>
                <w:sz w:val="18"/>
                <w:szCs w:val="18"/>
              </w:rPr>
              <w:t>4</w:t>
            </w:r>
          </w:p>
        </w:tc>
        <w:tc>
          <w:tcPr>
            <w:tcW w:w="992" w:type="dxa"/>
            <w:tcBorders>
              <w:left w:val="single" w:sz="4" w:space="0" w:color="FFFFFF" w:themeColor="background1"/>
            </w:tcBorders>
            <w:shd w:val="clear" w:color="auto" w:fill="00B0F0"/>
            <w:vAlign w:val="center"/>
          </w:tcPr>
          <w:p w14:paraId="62D4386B" w14:textId="51A21959" w:rsidR="00EB30D9" w:rsidRPr="00854F8C" w:rsidRDefault="00145F2F" w:rsidP="001B10FA">
            <w:pPr>
              <w:spacing w:before="60" w:after="60"/>
              <w:jc w:val="right"/>
              <w:rPr>
                <w:rFonts w:cs="Arial"/>
                <w:sz w:val="18"/>
                <w:szCs w:val="18"/>
              </w:rPr>
            </w:pPr>
            <w:r>
              <w:rPr>
                <w:rFonts w:cs="Arial"/>
                <w:sz w:val="18"/>
                <w:szCs w:val="18"/>
              </w:rPr>
              <w:t>0</w:t>
            </w:r>
          </w:p>
        </w:tc>
      </w:tr>
      <w:tr w:rsidR="00EB30D9" w:rsidRPr="00854F8C" w14:paraId="33EC7DE3" w14:textId="0285479A" w:rsidTr="00DC1A25">
        <w:tc>
          <w:tcPr>
            <w:tcW w:w="3974" w:type="dxa"/>
            <w:tcBorders>
              <w:right w:val="single" w:sz="4" w:space="0" w:color="FFFFFF" w:themeColor="background1"/>
            </w:tcBorders>
            <w:vAlign w:val="center"/>
          </w:tcPr>
          <w:p w14:paraId="7B5E5716" w14:textId="0DC91721" w:rsidR="00EB30D9" w:rsidRPr="00854F8C" w:rsidRDefault="00EB30D9" w:rsidP="000B645B">
            <w:pPr>
              <w:spacing w:before="60" w:after="60"/>
              <w:jc w:val="left"/>
              <w:rPr>
                <w:rFonts w:cs="Arial"/>
                <w:sz w:val="18"/>
                <w:szCs w:val="18"/>
              </w:rPr>
            </w:pPr>
            <w:r w:rsidRPr="00854F8C">
              <w:rPr>
                <w:rFonts w:cs="Arial"/>
                <w:sz w:val="18"/>
                <w:szCs w:val="18"/>
              </w:rPr>
              <w:t>Ogłoszenie o zamiarze zawarcia umowy</w:t>
            </w:r>
          </w:p>
        </w:tc>
        <w:tc>
          <w:tcPr>
            <w:tcW w:w="993" w:type="dxa"/>
            <w:tcBorders>
              <w:left w:val="single" w:sz="4" w:space="0" w:color="FFFFFF" w:themeColor="background1"/>
            </w:tcBorders>
            <w:vAlign w:val="center"/>
          </w:tcPr>
          <w:p w14:paraId="46BDA489" w14:textId="27ADBB4C" w:rsidR="00EB30D9" w:rsidRPr="00854F8C" w:rsidRDefault="00EB30D9" w:rsidP="000B645B">
            <w:pPr>
              <w:spacing w:before="60" w:after="60"/>
              <w:jc w:val="right"/>
              <w:rPr>
                <w:rFonts w:cs="Arial"/>
                <w:sz w:val="18"/>
                <w:szCs w:val="18"/>
              </w:rPr>
            </w:pPr>
            <w:r w:rsidRPr="00854F8C">
              <w:rPr>
                <w:rFonts w:cs="Arial"/>
                <w:sz w:val="18"/>
                <w:szCs w:val="18"/>
              </w:rPr>
              <w:t>3 975</w:t>
            </w:r>
          </w:p>
        </w:tc>
        <w:tc>
          <w:tcPr>
            <w:tcW w:w="992" w:type="dxa"/>
            <w:tcBorders>
              <w:left w:val="single" w:sz="4" w:space="0" w:color="FFFFFF" w:themeColor="background1"/>
            </w:tcBorders>
            <w:vAlign w:val="center"/>
          </w:tcPr>
          <w:p w14:paraId="745DF767" w14:textId="12881A28" w:rsidR="00EB30D9" w:rsidRPr="00854F8C" w:rsidRDefault="00EB30D9" w:rsidP="000B645B">
            <w:pPr>
              <w:spacing w:before="60" w:after="60"/>
              <w:jc w:val="right"/>
              <w:rPr>
                <w:rFonts w:cs="Arial"/>
                <w:sz w:val="18"/>
                <w:szCs w:val="18"/>
              </w:rPr>
            </w:pPr>
            <w:r w:rsidRPr="00854F8C">
              <w:rPr>
                <w:rFonts w:cs="Arial"/>
                <w:sz w:val="18"/>
                <w:szCs w:val="18"/>
              </w:rPr>
              <w:t>3 742</w:t>
            </w:r>
          </w:p>
        </w:tc>
        <w:tc>
          <w:tcPr>
            <w:tcW w:w="992" w:type="dxa"/>
            <w:tcBorders>
              <w:left w:val="single" w:sz="4" w:space="0" w:color="FFFFFF" w:themeColor="background1"/>
            </w:tcBorders>
            <w:vAlign w:val="center"/>
          </w:tcPr>
          <w:p w14:paraId="53E9303D" w14:textId="020F0BFE" w:rsidR="00EB30D9" w:rsidRPr="00854F8C" w:rsidRDefault="00EB30D9" w:rsidP="000B645B">
            <w:pPr>
              <w:spacing w:before="60" w:after="60"/>
              <w:jc w:val="right"/>
              <w:rPr>
                <w:rFonts w:cs="Arial"/>
                <w:sz w:val="18"/>
                <w:szCs w:val="18"/>
              </w:rPr>
            </w:pPr>
            <w:r w:rsidRPr="00854F8C">
              <w:rPr>
                <w:rFonts w:cs="Arial"/>
                <w:sz w:val="18"/>
                <w:szCs w:val="18"/>
              </w:rPr>
              <w:t>3 575</w:t>
            </w:r>
          </w:p>
        </w:tc>
        <w:tc>
          <w:tcPr>
            <w:tcW w:w="1134" w:type="dxa"/>
            <w:tcBorders>
              <w:left w:val="single" w:sz="4" w:space="0" w:color="FFFFFF" w:themeColor="background1"/>
            </w:tcBorders>
            <w:vAlign w:val="center"/>
          </w:tcPr>
          <w:p w14:paraId="009675D3" w14:textId="09AD1A76" w:rsidR="00EB30D9" w:rsidRPr="00854F8C" w:rsidRDefault="00EB30D9" w:rsidP="001B10FA">
            <w:pPr>
              <w:spacing w:before="60" w:after="60"/>
              <w:jc w:val="right"/>
              <w:rPr>
                <w:rFonts w:cs="Arial"/>
                <w:sz w:val="18"/>
                <w:szCs w:val="18"/>
              </w:rPr>
            </w:pPr>
            <w:r>
              <w:rPr>
                <w:rFonts w:cs="Arial"/>
                <w:sz w:val="18"/>
                <w:szCs w:val="18"/>
              </w:rPr>
              <w:t>160</w:t>
            </w:r>
          </w:p>
        </w:tc>
        <w:tc>
          <w:tcPr>
            <w:tcW w:w="992" w:type="dxa"/>
            <w:tcBorders>
              <w:left w:val="single" w:sz="4" w:space="0" w:color="FFFFFF" w:themeColor="background1"/>
            </w:tcBorders>
            <w:vAlign w:val="center"/>
          </w:tcPr>
          <w:p w14:paraId="4E18938B" w14:textId="36AA2F56" w:rsidR="00EB30D9" w:rsidRPr="00854F8C" w:rsidRDefault="00145F2F" w:rsidP="001B10FA">
            <w:pPr>
              <w:spacing w:before="60" w:after="60"/>
              <w:jc w:val="right"/>
              <w:rPr>
                <w:rFonts w:cs="Arial"/>
                <w:sz w:val="18"/>
                <w:szCs w:val="18"/>
              </w:rPr>
            </w:pPr>
            <w:r>
              <w:rPr>
                <w:rFonts w:cs="Arial"/>
                <w:sz w:val="18"/>
                <w:szCs w:val="18"/>
              </w:rPr>
              <w:t>3 908</w:t>
            </w:r>
          </w:p>
        </w:tc>
      </w:tr>
      <w:tr w:rsidR="00EB30D9" w:rsidRPr="00854F8C" w14:paraId="6A7BC6DC" w14:textId="1FE128F9" w:rsidTr="00DC1A25">
        <w:tc>
          <w:tcPr>
            <w:tcW w:w="3974" w:type="dxa"/>
            <w:tcBorders>
              <w:right w:val="single" w:sz="4" w:space="0" w:color="FFFFFF" w:themeColor="background1"/>
            </w:tcBorders>
            <w:shd w:val="clear" w:color="auto" w:fill="00B0F0"/>
            <w:vAlign w:val="center"/>
          </w:tcPr>
          <w:p w14:paraId="12A62C42" w14:textId="7688FAD8" w:rsidR="00EB30D9" w:rsidRPr="00854F8C" w:rsidRDefault="00EB30D9" w:rsidP="000B645B">
            <w:pPr>
              <w:spacing w:before="60" w:after="60"/>
              <w:jc w:val="left"/>
              <w:rPr>
                <w:rFonts w:cs="Arial"/>
                <w:sz w:val="18"/>
                <w:szCs w:val="18"/>
              </w:rPr>
            </w:pPr>
            <w:r w:rsidRPr="00854F8C">
              <w:rPr>
                <w:rFonts w:cs="Arial"/>
                <w:sz w:val="18"/>
                <w:szCs w:val="18"/>
              </w:rPr>
              <w:t>Ogłoszenie o udzieleniu zamówienia</w:t>
            </w:r>
          </w:p>
        </w:tc>
        <w:tc>
          <w:tcPr>
            <w:tcW w:w="993" w:type="dxa"/>
            <w:tcBorders>
              <w:left w:val="single" w:sz="4" w:space="0" w:color="FFFFFF" w:themeColor="background1"/>
            </w:tcBorders>
            <w:shd w:val="clear" w:color="auto" w:fill="00B0F0"/>
            <w:vAlign w:val="center"/>
          </w:tcPr>
          <w:p w14:paraId="74EDCC95" w14:textId="45B01CB9" w:rsidR="00EB30D9" w:rsidRPr="00854F8C" w:rsidRDefault="00EB30D9" w:rsidP="000B645B">
            <w:pPr>
              <w:spacing w:before="60" w:after="60"/>
              <w:jc w:val="right"/>
              <w:rPr>
                <w:rFonts w:cs="Arial"/>
                <w:sz w:val="18"/>
                <w:szCs w:val="18"/>
              </w:rPr>
            </w:pPr>
            <w:r w:rsidRPr="00854F8C">
              <w:rPr>
                <w:rFonts w:cs="Arial"/>
                <w:sz w:val="18"/>
                <w:szCs w:val="18"/>
              </w:rPr>
              <w:t>123 721</w:t>
            </w:r>
          </w:p>
        </w:tc>
        <w:tc>
          <w:tcPr>
            <w:tcW w:w="992" w:type="dxa"/>
            <w:tcBorders>
              <w:left w:val="single" w:sz="4" w:space="0" w:color="FFFFFF" w:themeColor="background1"/>
            </w:tcBorders>
            <w:shd w:val="clear" w:color="auto" w:fill="00B0F0"/>
            <w:vAlign w:val="center"/>
          </w:tcPr>
          <w:p w14:paraId="61CE76EC" w14:textId="74916DB4" w:rsidR="00EB30D9" w:rsidRPr="00854F8C" w:rsidRDefault="00EB30D9" w:rsidP="000B645B">
            <w:pPr>
              <w:spacing w:before="60" w:after="60"/>
              <w:jc w:val="right"/>
              <w:rPr>
                <w:rFonts w:cs="Arial"/>
                <w:sz w:val="18"/>
                <w:szCs w:val="18"/>
              </w:rPr>
            </w:pPr>
            <w:r w:rsidRPr="00854F8C">
              <w:rPr>
                <w:rFonts w:cs="Arial"/>
                <w:sz w:val="18"/>
                <w:szCs w:val="18"/>
              </w:rPr>
              <w:t>116 190</w:t>
            </w:r>
          </w:p>
        </w:tc>
        <w:tc>
          <w:tcPr>
            <w:tcW w:w="992" w:type="dxa"/>
            <w:tcBorders>
              <w:left w:val="single" w:sz="4" w:space="0" w:color="FFFFFF" w:themeColor="background1"/>
            </w:tcBorders>
            <w:shd w:val="clear" w:color="auto" w:fill="00B0F0"/>
            <w:vAlign w:val="center"/>
          </w:tcPr>
          <w:p w14:paraId="48B5333F" w14:textId="708FB30C" w:rsidR="00EB30D9" w:rsidRPr="00854F8C" w:rsidRDefault="00EB30D9" w:rsidP="000B645B">
            <w:pPr>
              <w:spacing w:before="60" w:after="60"/>
              <w:jc w:val="right"/>
              <w:rPr>
                <w:rFonts w:cs="Arial"/>
                <w:sz w:val="18"/>
                <w:szCs w:val="18"/>
              </w:rPr>
            </w:pPr>
            <w:r w:rsidRPr="00854F8C">
              <w:rPr>
                <w:rFonts w:cs="Arial"/>
                <w:sz w:val="18"/>
                <w:szCs w:val="18"/>
              </w:rPr>
              <w:t>107 495</w:t>
            </w:r>
          </w:p>
        </w:tc>
        <w:tc>
          <w:tcPr>
            <w:tcW w:w="1134" w:type="dxa"/>
            <w:tcBorders>
              <w:left w:val="single" w:sz="4" w:space="0" w:color="FFFFFF" w:themeColor="background1"/>
            </w:tcBorders>
            <w:shd w:val="clear" w:color="auto" w:fill="00B0F0"/>
            <w:vAlign w:val="center"/>
          </w:tcPr>
          <w:p w14:paraId="6230FDCD" w14:textId="4E21D936" w:rsidR="00EB30D9" w:rsidRPr="00854F8C" w:rsidRDefault="00EB30D9" w:rsidP="001B10FA">
            <w:pPr>
              <w:spacing w:before="60" w:after="60"/>
              <w:jc w:val="right"/>
              <w:rPr>
                <w:rFonts w:cs="Arial"/>
                <w:sz w:val="18"/>
                <w:szCs w:val="18"/>
              </w:rPr>
            </w:pPr>
            <w:r>
              <w:rPr>
                <w:rFonts w:cs="Arial"/>
                <w:sz w:val="18"/>
                <w:szCs w:val="18"/>
              </w:rPr>
              <w:t>32 567</w:t>
            </w:r>
          </w:p>
        </w:tc>
        <w:tc>
          <w:tcPr>
            <w:tcW w:w="992" w:type="dxa"/>
            <w:tcBorders>
              <w:left w:val="single" w:sz="4" w:space="0" w:color="FFFFFF" w:themeColor="background1"/>
            </w:tcBorders>
            <w:shd w:val="clear" w:color="auto" w:fill="00B0F0"/>
            <w:vAlign w:val="center"/>
          </w:tcPr>
          <w:p w14:paraId="1BED8B09" w14:textId="751BE224" w:rsidR="00EB30D9" w:rsidRPr="00854F8C" w:rsidRDefault="00145F2F" w:rsidP="001B10FA">
            <w:pPr>
              <w:spacing w:before="60" w:after="60"/>
              <w:jc w:val="right"/>
              <w:rPr>
                <w:rFonts w:cs="Arial"/>
                <w:sz w:val="18"/>
                <w:szCs w:val="18"/>
              </w:rPr>
            </w:pPr>
            <w:r>
              <w:rPr>
                <w:rFonts w:cs="Arial"/>
                <w:sz w:val="18"/>
                <w:szCs w:val="18"/>
              </w:rPr>
              <w:t>97 988</w:t>
            </w:r>
          </w:p>
        </w:tc>
      </w:tr>
      <w:tr w:rsidR="00EB30D9" w:rsidRPr="00854F8C" w14:paraId="24EA993A" w14:textId="02FBA30D" w:rsidTr="00DC1A25">
        <w:tc>
          <w:tcPr>
            <w:tcW w:w="3974" w:type="dxa"/>
            <w:tcBorders>
              <w:right w:val="single" w:sz="4" w:space="0" w:color="FFFFFF" w:themeColor="background1"/>
            </w:tcBorders>
            <w:vAlign w:val="center"/>
          </w:tcPr>
          <w:p w14:paraId="2988D0FF" w14:textId="000C279C" w:rsidR="00EB30D9" w:rsidRPr="00854F8C" w:rsidRDefault="00EB30D9" w:rsidP="000B645B">
            <w:pPr>
              <w:spacing w:before="60" w:after="60"/>
              <w:jc w:val="left"/>
              <w:rPr>
                <w:rFonts w:cs="Arial"/>
                <w:sz w:val="18"/>
                <w:szCs w:val="18"/>
              </w:rPr>
            </w:pPr>
            <w:r w:rsidRPr="00854F8C">
              <w:rPr>
                <w:rFonts w:cs="Arial"/>
                <w:sz w:val="18"/>
                <w:szCs w:val="18"/>
              </w:rPr>
              <w:t>Ogłoszenie o konkursie</w:t>
            </w:r>
          </w:p>
        </w:tc>
        <w:tc>
          <w:tcPr>
            <w:tcW w:w="993" w:type="dxa"/>
            <w:tcBorders>
              <w:left w:val="single" w:sz="4" w:space="0" w:color="FFFFFF" w:themeColor="background1"/>
            </w:tcBorders>
            <w:vAlign w:val="center"/>
          </w:tcPr>
          <w:p w14:paraId="5C8636D5" w14:textId="54328567" w:rsidR="00EB30D9" w:rsidRPr="00854F8C" w:rsidRDefault="00EB30D9" w:rsidP="000B645B">
            <w:pPr>
              <w:spacing w:before="60" w:after="60"/>
              <w:jc w:val="right"/>
              <w:rPr>
                <w:rFonts w:cs="Arial"/>
                <w:sz w:val="18"/>
                <w:szCs w:val="18"/>
              </w:rPr>
            </w:pPr>
            <w:r w:rsidRPr="00854F8C">
              <w:rPr>
                <w:rFonts w:cs="Arial"/>
                <w:sz w:val="18"/>
                <w:szCs w:val="18"/>
              </w:rPr>
              <w:t>81</w:t>
            </w:r>
          </w:p>
        </w:tc>
        <w:tc>
          <w:tcPr>
            <w:tcW w:w="992" w:type="dxa"/>
            <w:tcBorders>
              <w:left w:val="single" w:sz="4" w:space="0" w:color="FFFFFF" w:themeColor="background1"/>
            </w:tcBorders>
            <w:vAlign w:val="center"/>
          </w:tcPr>
          <w:p w14:paraId="23F2610C" w14:textId="76712205" w:rsidR="00EB30D9" w:rsidRPr="00854F8C" w:rsidRDefault="00EB30D9" w:rsidP="000B645B">
            <w:pPr>
              <w:spacing w:before="60" w:after="60"/>
              <w:jc w:val="right"/>
              <w:rPr>
                <w:rFonts w:cs="Arial"/>
                <w:sz w:val="18"/>
                <w:szCs w:val="18"/>
              </w:rPr>
            </w:pPr>
            <w:r w:rsidRPr="00854F8C">
              <w:rPr>
                <w:rFonts w:cs="Arial"/>
                <w:sz w:val="18"/>
                <w:szCs w:val="18"/>
              </w:rPr>
              <w:t>57</w:t>
            </w:r>
          </w:p>
        </w:tc>
        <w:tc>
          <w:tcPr>
            <w:tcW w:w="992" w:type="dxa"/>
            <w:tcBorders>
              <w:left w:val="single" w:sz="4" w:space="0" w:color="FFFFFF" w:themeColor="background1"/>
            </w:tcBorders>
            <w:vAlign w:val="center"/>
          </w:tcPr>
          <w:p w14:paraId="2481DC3B" w14:textId="23FF0CEE" w:rsidR="00EB30D9" w:rsidRPr="00854F8C" w:rsidRDefault="00EB30D9" w:rsidP="000B645B">
            <w:pPr>
              <w:spacing w:before="60" w:after="60"/>
              <w:jc w:val="right"/>
              <w:rPr>
                <w:rFonts w:cs="Arial"/>
                <w:sz w:val="18"/>
                <w:szCs w:val="18"/>
              </w:rPr>
            </w:pPr>
            <w:r w:rsidRPr="00854F8C">
              <w:rPr>
                <w:rFonts w:cs="Arial"/>
                <w:sz w:val="18"/>
                <w:szCs w:val="18"/>
              </w:rPr>
              <w:t>44</w:t>
            </w:r>
          </w:p>
        </w:tc>
        <w:tc>
          <w:tcPr>
            <w:tcW w:w="1134" w:type="dxa"/>
            <w:tcBorders>
              <w:left w:val="single" w:sz="4" w:space="0" w:color="FFFFFF" w:themeColor="background1"/>
            </w:tcBorders>
            <w:vAlign w:val="center"/>
          </w:tcPr>
          <w:p w14:paraId="78EB016B" w14:textId="0F6AF9ED" w:rsidR="00EB30D9" w:rsidRPr="00854F8C" w:rsidRDefault="00981A33" w:rsidP="001B10FA">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vAlign w:val="center"/>
          </w:tcPr>
          <w:p w14:paraId="0AAAE7D7" w14:textId="5035797D" w:rsidR="00EB30D9" w:rsidRPr="00854F8C" w:rsidRDefault="00145F2F" w:rsidP="001B10FA">
            <w:pPr>
              <w:spacing w:before="60" w:after="60"/>
              <w:jc w:val="right"/>
              <w:rPr>
                <w:rFonts w:cs="Arial"/>
                <w:sz w:val="18"/>
                <w:szCs w:val="18"/>
              </w:rPr>
            </w:pPr>
            <w:r>
              <w:rPr>
                <w:rFonts w:cs="Arial"/>
                <w:sz w:val="18"/>
                <w:szCs w:val="18"/>
              </w:rPr>
              <w:t>42</w:t>
            </w:r>
          </w:p>
        </w:tc>
      </w:tr>
      <w:tr w:rsidR="00EB30D9" w:rsidRPr="00854F8C" w14:paraId="4A0F8F86" w14:textId="598CECD6" w:rsidTr="00DC1A25">
        <w:tc>
          <w:tcPr>
            <w:tcW w:w="3974" w:type="dxa"/>
            <w:tcBorders>
              <w:right w:val="single" w:sz="4" w:space="0" w:color="FFFFFF" w:themeColor="background1"/>
            </w:tcBorders>
            <w:shd w:val="clear" w:color="auto" w:fill="00B0F0"/>
            <w:vAlign w:val="center"/>
          </w:tcPr>
          <w:p w14:paraId="57051F16" w14:textId="6D5837F4" w:rsidR="00EB30D9" w:rsidRPr="00854F8C" w:rsidRDefault="00EB30D9" w:rsidP="000B645B">
            <w:pPr>
              <w:spacing w:before="60" w:after="60"/>
              <w:jc w:val="left"/>
              <w:rPr>
                <w:rFonts w:cs="Arial"/>
                <w:sz w:val="18"/>
                <w:szCs w:val="18"/>
              </w:rPr>
            </w:pPr>
            <w:r w:rsidRPr="00854F8C">
              <w:rPr>
                <w:rFonts w:cs="Arial"/>
                <w:sz w:val="18"/>
                <w:szCs w:val="18"/>
              </w:rPr>
              <w:t>Ogłoszenie o wynikach konkursu</w:t>
            </w:r>
          </w:p>
        </w:tc>
        <w:tc>
          <w:tcPr>
            <w:tcW w:w="993" w:type="dxa"/>
            <w:tcBorders>
              <w:left w:val="single" w:sz="4" w:space="0" w:color="FFFFFF" w:themeColor="background1"/>
            </w:tcBorders>
            <w:shd w:val="clear" w:color="auto" w:fill="00B0F0"/>
            <w:vAlign w:val="center"/>
          </w:tcPr>
          <w:p w14:paraId="103A1305" w14:textId="31349251" w:rsidR="00EB30D9" w:rsidRPr="00854F8C" w:rsidRDefault="00EB30D9" w:rsidP="000B645B">
            <w:pPr>
              <w:spacing w:before="60" w:after="60"/>
              <w:jc w:val="right"/>
              <w:rPr>
                <w:rFonts w:cs="Arial"/>
                <w:sz w:val="18"/>
                <w:szCs w:val="18"/>
              </w:rPr>
            </w:pPr>
            <w:r w:rsidRPr="00854F8C">
              <w:rPr>
                <w:rFonts w:cs="Arial"/>
                <w:sz w:val="18"/>
                <w:szCs w:val="18"/>
              </w:rPr>
              <w:t>87</w:t>
            </w:r>
          </w:p>
        </w:tc>
        <w:tc>
          <w:tcPr>
            <w:tcW w:w="992" w:type="dxa"/>
            <w:tcBorders>
              <w:left w:val="single" w:sz="4" w:space="0" w:color="FFFFFF" w:themeColor="background1"/>
            </w:tcBorders>
            <w:shd w:val="clear" w:color="auto" w:fill="00B0F0"/>
            <w:vAlign w:val="center"/>
          </w:tcPr>
          <w:p w14:paraId="1EF87113" w14:textId="6D330C61" w:rsidR="00EB30D9" w:rsidRPr="00854F8C" w:rsidRDefault="00EB30D9" w:rsidP="000B645B">
            <w:pPr>
              <w:spacing w:before="60" w:after="60"/>
              <w:jc w:val="right"/>
              <w:rPr>
                <w:rFonts w:cs="Arial"/>
                <w:sz w:val="18"/>
                <w:szCs w:val="18"/>
              </w:rPr>
            </w:pPr>
            <w:r w:rsidRPr="00854F8C">
              <w:rPr>
                <w:rFonts w:cs="Arial"/>
                <w:sz w:val="18"/>
                <w:szCs w:val="18"/>
              </w:rPr>
              <w:t>55</w:t>
            </w:r>
          </w:p>
        </w:tc>
        <w:tc>
          <w:tcPr>
            <w:tcW w:w="992" w:type="dxa"/>
            <w:tcBorders>
              <w:left w:val="single" w:sz="4" w:space="0" w:color="FFFFFF" w:themeColor="background1"/>
            </w:tcBorders>
            <w:shd w:val="clear" w:color="auto" w:fill="00B0F0"/>
            <w:vAlign w:val="center"/>
          </w:tcPr>
          <w:p w14:paraId="3C16999A" w14:textId="2FAC7B55" w:rsidR="00EB30D9" w:rsidRPr="00854F8C" w:rsidRDefault="00EB30D9" w:rsidP="000B645B">
            <w:pPr>
              <w:spacing w:before="60" w:after="60"/>
              <w:jc w:val="right"/>
              <w:rPr>
                <w:rFonts w:cs="Arial"/>
                <w:sz w:val="18"/>
                <w:szCs w:val="18"/>
              </w:rPr>
            </w:pPr>
            <w:r w:rsidRPr="00854F8C">
              <w:rPr>
                <w:rFonts w:cs="Arial"/>
                <w:sz w:val="18"/>
                <w:szCs w:val="18"/>
              </w:rPr>
              <w:t>64</w:t>
            </w:r>
          </w:p>
        </w:tc>
        <w:tc>
          <w:tcPr>
            <w:tcW w:w="1134" w:type="dxa"/>
            <w:tcBorders>
              <w:left w:val="single" w:sz="4" w:space="0" w:color="FFFFFF" w:themeColor="background1"/>
            </w:tcBorders>
            <w:shd w:val="clear" w:color="auto" w:fill="00B0F0"/>
            <w:vAlign w:val="center"/>
          </w:tcPr>
          <w:p w14:paraId="722A448B" w14:textId="1EA0C45E" w:rsidR="00EB30D9" w:rsidRPr="00854F8C" w:rsidRDefault="00EB30D9" w:rsidP="001B10FA">
            <w:pPr>
              <w:spacing w:before="60" w:after="60"/>
              <w:jc w:val="right"/>
              <w:rPr>
                <w:rFonts w:cs="Arial"/>
                <w:sz w:val="18"/>
                <w:szCs w:val="18"/>
              </w:rPr>
            </w:pPr>
            <w:r>
              <w:rPr>
                <w:rFonts w:cs="Arial"/>
                <w:sz w:val="18"/>
                <w:szCs w:val="18"/>
              </w:rPr>
              <w:t>15</w:t>
            </w:r>
          </w:p>
        </w:tc>
        <w:tc>
          <w:tcPr>
            <w:tcW w:w="992" w:type="dxa"/>
            <w:tcBorders>
              <w:left w:val="single" w:sz="4" w:space="0" w:color="FFFFFF" w:themeColor="background1"/>
            </w:tcBorders>
            <w:shd w:val="clear" w:color="auto" w:fill="00B0F0"/>
            <w:vAlign w:val="center"/>
          </w:tcPr>
          <w:p w14:paraId="0E66B463" w14:textId="63239238" w:rsidR="00EB30D9" w:rsidRPr="00854F8C" w:rsidRDefault="00145F2F" w:rsidP="001B10FA">
            <w:pPr>
              <w:spacing w:before="60" w:after="60"/>
              <w:jc w:val="right"/>
              <w:rPr>
                <w:rFonts w:cs="Arial"/>
                <w:sz w:val="18"/>
                <w:szCs w:val="18"/>
              </w:rPr>
            </w:pPr>
            <w:r>
              <w:rPr>
                <w:rFonts w:cs="Arial"/>
                <w:sz w:val="18"/>
                <w:szCs w:val="18"/>
              </w:rPr>
              <w:t>16</w:t>
            </w:r>
          </w:p>
        </w:tc>
      </w:tr>
      <w:tr w:rsidR="00EB30D9" w:rsidRPr="00854F8C" w14:paraId="5BCEB821" w14:textId="1522FEAD" w:rsidTr="00DC1A25">
        <w:tc>
          <w:tcPr>
            <w:tcW w:w="3974" w:type="dxa"/>
            <w:tcBorders>
              <w:right w:val="single" w:sz="4" w:space="0" w:color="FFFFFF" w:themeColor="background1"/>
            </w:tcBorders>
            <w:vAlign w:val="center"/>
          </w:tcPr>
          <w:p w14:paraId="5201D4B5" w14:textId="6C6772E4" w:rsidR="00EB30D9" w:rsidRPr="00854F8C" w:rsidRDefault="00EB30D9" w:rsidP="000B645B">
            <w:pPr>
              <w:spacing w:before="60" w:after="60"/>
              <w:jc w:val="left"/>
              <w:rPr>
                <w:rFonts w:cs="Arial"/>
                <w:sz w:val="18"/>
                <w:szCs w:val="18"/>
              </w:rPr>
            </w:pPr>
            <w:r w:rsidRPr="00854F8C">
              <w:rPr>
                <w:rFonts w:cs="Arial"/>
                <w:sz w:val="18"/>
                <w:szCs w:val="18"/>
              </w:rPr>
              <w:t>Ogłoszenie o zmianie ogłoszenia</w:t>
            </w:r>
          </w:p>
        </w:tc>
        <w:tc>
          <w:tcPr>
            <w:tcW w:w="993" w:type="dxa"/>
            <w:tcBorders>
              <w:left w:val="single" w:sz="4" w:space="0" w:color="FFFFFF" w:themeColor="background1"/>
            </w:tcBorders>
            <w:vAlign w:val="center"/>
          </w:tcPr>
          <w:p w14:paraId="4F0013FF" w14:textId="5153501B" w:rsidR="00EB30D9" w:rsidRPr="00854F8C" w:rsidRDefault="00EB30D9" w:rsidP="000B645B">
            <w:pPr>
              <w:spacing w:before="60" w:after="60"/>
              <w:jc w:val="right"/>
              <w:rPr>
                <w:rFonts w:cs="Arial"/>
                <w:sz w:val="18"/>
                <w:szCs w:val="18"/>
              </w:rPr>
            </w:pPr>
            <w:r w:rsidRPr="00854F8C">
              <w:rPr>
                <w:rFonts w:cs="Arial"/>
                <w:sz w:val="18"/>
                <w:szCs w:val="18"/>
              </w:rPr>
              <w:t>45 098</w:t>
            </w:r>
          </w:p>
        </w:tc>
        <w:tc>
          <w:tcPr>
            <w:tcW w:w="992" w:type="dxa"/>
            <w:tcBorders>
              <w:left w:val="single" w:sz="4" w:space="0" w:color="FFFFFF" w:themeColor="background1"/>
            </w:tcBorders>
            <w:vAlign w:val="center"/>
          </w:tcPr>
          <w:p w14:paraId="510BF886" w14:textId="0EF9C0F6" w:rsidR="00EB30D9" w:rsidRPr="00854F8C" w:rsidRDefault="00EB30D9" w:rsidP="000B645B">
            <w:pPr>
              <w:spacing w:before="60" w:after="60"/>
              <w:jc w:val="right"/>
              <w:rPr>
                <w:rFonts w:cs="Arial"/>
                <w:sz w:val="18"/>
                <w:szCs w:val="18"/>
              </w:rPr>
            </w:pPr>
            <w:r w:rsidRPr="00854F8C">
              <w:rPr>
                <w:rFonts w:cs="Arial"/>
                <w:sz w:val="18"/>
                <w:szCs w:val="18"/>
              </w:rPr>
              <w:t>43 881</w:t>
            </w:r>
          </w:p>
        </w:tc>
        <w:tc>
          <w:tcPr>
            <w:tcW w:w="992" w:type="dxa"/>
            <w:tcBorders>
              <w:left w:val="single" w:sz="4" w:space="0" w:color="FFFFFF" w:themeColor="background1"/>
            </w:tcBorders>
            <w:vAlign w:val="center"/>
          </w:tcPr>
          <w:p w14:paraId="534A132E" w14:textId="45F7036D" w:rsidR="00EB30D9" w:rsidRPr="00854F8C" w:rsidRDefault="00EB30D9" w:rsidP="000B645B">
            <w:pPr>
              <w:spacing w:before="60" w:after="60"/>
              <w:jc w:val="right"/>
              <w:rPr>
                <w:rFonts w:cs="Arial"/>
                <w:sz w:val="18"/>
                <w:szCs w:val="18"/>
              </w:rPr>
            </w:pPr>
            <w:r w:rsidRPr="00854F8C">
              <w:rPr>
                <w:rFonts w:cs="Arial"/>
                <w:sz w:val="18"/>
                <w:szCs w:val="18"/>
              </w:rPr>
              <w:t>46 359</w:t>
            </w:r>
          </w:p>
        </w:tc>
        <w:tc>
          <w:tcPr>
            <w:tcW w:w="1134" w:type="dxa"/>
            <w:tcBorders>
              <w:left w:val="single" w:sz="4" w:space="0" w:color="FFFFFF" w:themeColor="background1"/>
            </w:tcBorders>
            <w:vAlign w:val="center"/>
          </w:tcPr>
          <w:p w14:paraId="0F9AA95C" w14:textId="226AD015" w:rsidR="00EB30D9" w:rsidRPr="00854F8C" w:rsidRDefault="00EB30D9" w:rsidP="001B10FA">
            <w:pPr>
              <w:spacing w:before="60" w:after="60"/>
              <w:jc w:val="right"/>
              <w:rPr>
                <w:rFonts w:cs="Arial"/>
                <w:sz w:val="18"/>
                <w:szCs w:val="18"/>
              </w:rPr>
            </w:pPr>
            <w:r>
              <w:rPr>
                <w:rFonts w:cs="Arial"/>
                <w:sz w:val="18"/>
                <w:szCs w:val="18"/>
              </w:rPr>
              <w:t>7 021</w:t>
            </w:r>
          </w:p>
        </w:tc>
        <w:tc>
          <w:tcPr>
            <w:tcW w:w="992" w:type="dxa"/>
            <w:tcBorders>
              <w:left w:val="single" w:sz="4" w:space="0" w:color="FFFFFF" w:themeColor="background1"/>
            </w:tcBorders>
            <w:vAlign w:val="center"/>
          </w:tcPr>
          <w:p w14:paraId="7A90FBF9" w14:textId="540428D7" w:rsidR="00EB30D9" w:rsidRPr="00854F8C" w:rsidRDefault="00145F2F" w:rsidP="001B10FA">
            <w:pPr>
              <w:spacing w:before="60" w:after="60"/>
              <w:jc w:val="right"/>
              <w:rPr>
                <w:rFonts w:cs="Arial"/>
                <w:sz w:val="18"/>
                <w:szCs w:val="18"/>
              </w:rPr>
            </w:pPr>
            <w:r>
              <w:rPr>
                <w:rFonts w:cs="Arial"/>
                <w:sz w:val="18"/>
                <w:szCs w:val="18"/>
              </w:rPr>
              <w:t>42 407</w:t>
            </w:r>
          </w:p>
        </w:tc>
      </w:tr>
      <w:tr w:rsidR="00EB30D9" w:rsidRPr="00854F8C" w14:paraId="23DEE953" w14:textId="271F8A73" w:rsidTr="00DC1A25">
        <w:tc>
          <w:tcPr>
            <w:tcW w:w="3974" w:type="dxa"/>
            <w:tcBorders>
              <w:right w:val="single" w:sz="4" w:space="0" w:color="FFFFFF" w:themeColor="background1"/>
            </w:tcBorders>
            <w:shd w:val="clear" w:color="auto" w:fill="00B0F0"/>
            <w:vAlign w:val="center"/>
          </w:tcPr>
          <w:p w14:paraId="247AC3D3" w14:textId="57AF87FE" w:rsidR="00EB30D9" w:rsidRPr="00854F8C" w:rsidRDefault="00EB30D9" w:rsidP="000B645B">
            <w:pPr>
              <w:spacing w:before="60" w:after="60"/>
              <w:jc w:val="left"/>
              <w:rPr>
                <w:rFonts w:cs="Arial"/>
                <w:sz w:val="18"/>
                <w:szCs w:val="18"/>
              </w:rPr>
            </w:pPr>
            <w:r w:rsidRPr="00854F8C">
              <w:rPr>
                <w:rFonts w:cs="Arial"/>
                <w:sz w:val="18"/>
                <w:szCs w:val="18"/>
              </w:rPr>
              <w:t>Ogłoszenie o zmianie umowy</w:t>
            </w:r>
          </w:p>
        </w:tc>
        <w:tc>
          <w:tcPr>
            <w:tcW w:w="993" w:type="dxa"/>
            <w:tcBorders>
              <w:left w:val="single" w:sz="4" w:space="0" w:color="FFFFFF" w:themeColor="background1"/>
            </w:tcBorders>
            <w:shd w:val="clear" w:color="auto" w:fill="00B0F0"/>
            <w:vAlign w:val="center"/>
          </w:tcPr>
          <w:p w14:paraId="53B151A4" w14:textId="201CF62A" w:rsidR="00EB30D9" w:rsidRPr="00854F8C" w:rsidRDefault="00EB30D9" w:rsidP="000B645B">
            <w:pPr>
              <w:spacing w:before="60" w:after="60"/>
              <w:jc w:val="right"/>
              <w:rPr>
                <w:rFonts w:cs="Arial"/>
                <w:sz w:val="18"/>
                <w:szCs w:val="18"/>
              </w:rPr>
            </w:pPr>
            <w:r w:rsidRPr="00854F8C">
              <w:rPr>
                <w:rFonts w:cs="Arial"/>
                <w:sz w:val="18"/>
                <w:szCs w:val="18"/>
              </w:rPr>
              <w:t>4 045</w:t>
            </w:r>
          </w:p>
        </w:tc>
        <w:tc>
          <w:tcPr>
            <w:tcW w:w="992" w:type="dxa"/>
            <w:tcBorders>
              <w:left w:val="single" w:sz="4" w:space="0" w:color="FFFFFF" w:themeColor="background1"/>
            </w:tcBorders>
            <w:shd w:val="clear" w:color="auto" w:fill="00B0F0"/>
            <w:vAlign w:val="center"/>
          </w:tcPr>
          <w:p w14:paraId="5495D552" w14:textId="6D38F37C" w:rsidR="00EB30D9" w:rsidRPr="00854F8C" w:rsidRDefault="00EB30D9" w:rsidP="000B645B">
            <w:pPr>
              <w:spacing w:before="60" w:after="60"/>
              <w:jc w:val="right"/>
              <w:rPr>
                <w:rFonts w:cs="Arial"/>
                <w:sz w:val="18"/>
                <w:szCs w:val="18"/>
              </w:rPr>
            </w:pPr>
            <w:r w:rsidRPr="00854F8C">
              <w:rPr>
                <w:rFonts w:cs="Arial"/>
                <w:sz w:val="18"/>
                <w:szCs w:val="18"/>
              </w:rPr>
              <w:t>3 620</w:t>
            </w:r>
          </w:p>
        </w:tc>
        <w:tc>
          <w:tcPr>
            <w:tcW w:w="992" w:type="dxa"/>
            <w:tcBorders>
              <w:left w:val="single" w:sz="4" w:space="0" w:color="FFFFFF" w:themeColor="background1"/>
            </w:tcBorders>
            <w:shd w:val="clear" w:color="auto" w:fill="00B0F0"/>
            <w:vAlign w:val="center"/>
          </w:tcPr>
          <w:p w14:paraId="13259557" w14:textId="538F2036" w:rsidR="00EB30D9" w:rsidRPr="00854F8C" w:rsidRDefault="00EB30D9" w:rsidP="000B645B">
            <w:pPr>
              <w:spacing w:before="60" w:after="60"/>
              <w:jc w:val="right"/>
              <w:rPr>
                <w:rFonts w:cs="Arial"/>
                <w:sz w:val="18"/>
                <w:szCs w:val="18"/>
              </w:rPr>
            </w:pPr>
            <w:r w:rsidRPr="00854F8C">
              <w:rPr>
                <w:rFonts w:cs="Arial"/>
                <w:sz w:val="18"/>
                <w:szCs w:val="18"/>
              </w:rPr>
              <w:t>5 262</w:t>
            </w:r>
          </w:p>
        </w:tc>
        <w:tc>
          <w:tcPr>
            <w:tcW w:w="1134" w:type="dxa"/>
            <w:tcBorders>
              <w:left w:val="single" w:sz="4" w:space="0" w:color="FFFFFF" w:themeColor="background1"/>
            </w:tcBorders>
            <w:shd w:val="clear" w:color="auto" w:fill="00B0F0"/>
            <w:vAlign w:val="center"/>
          </w:tcPr>
          <w:p w14:paraId="6B02085A" w14:textId="34D56220" w:rsidR="00EB30D9" w:rsidRPr="00854F8C" w:rsidRDefault="00EB30D9" w:rsidP="001B10FA">
            <w:pPr>
              <w:spacing w:before="60" w:after="60"/>
              <w:jc w:val="right"/>
              <w:rPr>
                <w:rFonts w:cs="Arial"/>
                <w:sz w:val="18"/>
                <w:szCs w:val="18"/>
              </w:rPr>
            </w:pPr>
            <w:r>
              <w:rPr>
                <w:rFonts w:cs="Arial"/>
                <w:sz w:val="18"/>
                <w:szCs w:val="18"/>
              </w:rPr>
              <w:t>3 737</w:t>
            </w:r>
          </w:p>
        </w:tc>
        <w:tc>
          <w:tcPr>
            <w:tcW w:w="992" w:type="dxa"/>
            <w:tcBorders>
              <w:left w:val="single" w:sz="4" w:space="0" w:color="FFFFFF" w:themeColor="background1"/>
            </w:tcBorders>
            <w:shd w:val="clear" w:color="auto" w:fill="00B0F0"/>
            <w:vAlign w:val="center"/>
          </w:tcPr>
          <w:p w14:paraId="000F3586" w14:textId="4C8E0DBF" w:rsidR="00EB30D9" w:rsidRPr="00854F8C" w:rsidRDefault="00145F2F" w:rsidP="001B10FA">
            <w:pPr>
              <w:spacing w:before="60" w:after="60"/>
              <w:jc w:val="right"/>
              <w:rPr>
                <w:rFonts w:cs="Arial"/>
                <w:sz w:val="18"/>
                <w:szCs w:val="18"/>
              </w:rPr>
            </w:pPr>
            <w:r>
              <w:rPr>
                <w:rFonts w:cs="Arial"/>
                <w:sz w:val="18"/>
                <w:szCs w:val="18"/>
              </w:rPr>
              <w:t>2 630</w:t>
            </w:r>
          </w:p>
        </w:tc>
      </w:tr>
      <w:tr w:rsidR="00EB30D9" w:rsidRPr="00854F8C" w14:paraId="7C195F76" w14:textId="6284FDB1" w:rsidTr="00DC1A25">
        <w:tc>
          <w:tcPr>
            <w:tcW w:w="3974" w:type="dxa"/>
            <w:tcBorders>
              <w:right w:val="single" w:sz="4" w:space="0" w:color="FFFFFF" w:themeColor="background1"/>
            </w:tcBorders>
            <w:vAlign w:val="center"/>
          </w:tcPr>
          <w:p w14:paraId="39A9C9E7" w14:textId="0400FC29" w:rsidR="00EB30D9" w:rsidRPr="00854F8C" w:rsidRDefault="00EB30D9" w:rsidP="000B645B">
            <w:pPr>
              <w:spacing w:before="60" w:after="60"/>
              <w:jc w:val="left"/>
              <w:rPr>
                <w:rFonts w:cs="Arial"/>
                <w:sz w:val="18"/>
                <w:szCs w:val="18"/>
              </w:rPr>
            </w:pPr>
            <w:r w:rsidRPr="00854F8C">
              <w:rPr>
                <w:rFonts w:cs="Arial"/>
                <w:sz w:val="18"/>
                <w:szCs w:val="18"/>
              </w:rPr>
              <w:t>Ogłoszenie o zmianie umowy koncesji</w:t>
            </w:r>
          </w:p>
        </w:tc>
        <w:tc>
          <w:tcPr>
            <w:tcW w:w="993" w:type="dxa"/>
            <w:tcBorders>
              <w:left w:val="single" w:sz="4" w:space="0" w:color="FFFFFF" w:themeColor="background1"/>
            </w:tcBorders>
            <w:vAlign w:val="center"/>
          </w:tcPr>
          <w:p w14:paraId="1D0DF86D" w14:textId="0284DA3E" w:rsidR="00EB30D9" w:rsidRPr="00854F8C" w:rsidRDefault="00981A33" w:rsidP="000B645B">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vAlign w:val="center"/>
          </w:tcPr>
          <w:p w14:paraId="3C004231" w14:textId="1884BA79" w:rsidR="00EB30D9" w:rsidRPr="00854F8C" w:rsidRDefault="00981A33" w:rsidP="000B645B">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vAlign w:val="center"/>
          </w:tcPr>
          <w:p w14:paraId="70F82E69" w14:textId="204ED6DF" w:rsidR="00EB30D9" w:rsidRPr="00854F8C" w:rsidRDefault="00981A33" w:rsidP="000B645B">
            <w:pPr>
              <w:spacing w:before="60" w:after="60"/>
              <w:jc w:val="right"/>
              <w:rPr>
                <w:rFonts w:cs="Arial"/>
                <w:sz w:val="18"/>
                <w:szCs w:val="18"/>
              </w:rPr>
            </w:pPr>
            <w:r>
              <w:rPr>
                <w:rFonts w:cs="Arial"/>
                <w:sz w:val="18"/>
                <w:szCs w:val="18"/>
              </w:rPr>
              <w:t>0</w:t>
            </w:r>
          </w:p>
        </w:tc>
        <w:tc>
          <w:tcPr>
            <w:tcW w:w="1134" w:type="dxa"/>
            <w:tcBorders>
              <w:left w:val="single" w:sz="4" w:space="0" w:color="FFFFFF" w:themeColor="background1"/>
            </w:tcBorders>
            <w:vAlign w:val="center"/>
          </w:tcPr>
          <w:p w14:paraId="59F6B3EE" w14:textId="0642A5F0" w:rsidR="00EB30D9" w:rsidRPr="00854F8C" w:rsidRDefault="00981A33" w:rsidP="001B10FA">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vAlign w:val="center"/>
          </w:tcPr>
          <w:p w14:paraId="230548FE" w14:textId="25380A8F" w:rsidR="00EB30D9" w:rsidRPr="00854F8C" w:rsidRDefault="00981A33" w:rsidP="001B10FA">
            <w:pPr>
              <w:spacing w:before="60" w:after="60"/>
              <w:jc w:val="right"/>
              <w:rPr>
                <w:rFonts w:cs="Arial"/>
                <w:sz w:val="18"/>
                <w:szCs w:val="18"/>
              </w:rPr>
            </w:pPr>
            <w:r>
              <w:rPr>
                <w:rFonts w:cs="Arial"/>
                <w:sz w:val="18"/>
                <w:szCs w:val="18"/>
              </w:rPr>
              <w:t>0</w:t>
            </w:r>
          </w:p>
        </w:tc>
      </w:tr>
      <w:tr w:rsidR="00EB30D9" w:rsidRPr="00854F8C" w14:paraId="755AC67D" w14:textId="1CCE09A6" w:rsidTr="00DC1A25">
        <w:tc>
          <w:tcPr>
            <w:tcW w:w="3974" w:type="dxa"/>
            <w:tcBorders>
              <w:right w:val="single" w:sz="4" w:space="0" w:color="FFFFFF" w:themeColor="background1"/>
            </w:tcBorders>
            <w:shd w:val="clear" w:color="auto" w:fill="00B0F0"/>
            <w:vAlign w:val="center"/>
          </w:tcPr>
          <w:p w14:paraId="747032AB" w14:textId="34D65F0D" w:rsidR="00EB30D9" w:rsidRPr="00854F8C" w:rsidRDefault="00EB30D9" w:rsidP="000B645B">
            <w:pPr>
              <w:spacing w:before="60" w:after="60"/>
              <w:jc w:val="left"/>
              <w:rPr>
                <w:rFonts w:cs="Arial"/>
                <w:sz w:val="18"/>
                <w:szCs w:val="18"/>
              </w:rPr>
            </w:pPr>
            <w:r w:rsidRPr="00854F8C">
              <w:rPr>
                <w:rFonts w:cs="Arial"/>
                <w:sz w:val="18"/>
                <w:szCs w:val="18"/>
              </w:rPr>
              <w:t>Ogłoszenie o koncesji</w:t>
            </w:r>
          </w:p>
        </w:tc>
        <w:tc>
          <w:tcPr>
            <w:tcW w:w="993" w:type="dxa"/>
            <w:tcBorders>
              <w:left w:val="single" w:sz="4" w:space="0" w:color="FFFFFF" w:themeColor="background1"/>
            </w:tcBorders>
            <w:shd w:val="clear" w:color="auto" w:fill="00B0F0"/>
            <w:vAlign w:val="center"/>
          </w:tcPr>
          <w:p w14:paraId="3E875614" w14:textId="50FD9F77" w:rsidR="00EB30D9" w:rsidRPr="00854F8C" w:rsidRDefault="00EB30D9" w:rsidP="000B645B">
            <w:pPr>
              <w:spacing w:before="60" w:after="60"/>
              <w:jc w:val="right"/>
              <w:rPr>
                <w:rFonts w:cs="Arial"/>
                <w:sz w:val="18"/>
                <w:szCs w:val="18"/>
              </w:rPr>
            </w:pPr>
            <w:r w:rsidRPr="00854F8C">
              <w:rPr>
                <w:rFonts w:cs="Arial"/>
                <w:sz w:val="18"/>
                <w:szCs w:val="18"/>
              </w:rPr>
              <w:t>10</w:t>
            </w:r>
          </w:p>
        </w:tc>
        <w:tc>
          <w:tcPr>
            <w:tcW w:w="992" w:type="dxa"/>
            <w:tcBorders>
              <w:left w:val="single" w:sz="4" w:space="0" w:color="FFFFFF" w:themeColor="background1"/>
            </w:tcBorders>
            <w:shd w:val="clear" w:color="auto" w:fill="00B0F0"/>
            <w:vAlign w:val="center"/>
          </w:tcPr>
          <w:p w14:paraId="68FE1155" w14:textId="4CDE2CB7" w:rsidR="00EB30D9" w:rsidRPr="00854F8C" w:rsidRDefault="00EB30D9" w:rsidP="000B645B">
            <w:pPr>
              <w:spacing w:before="60" w:after="60"/>
              <w:jc w:val="right"/>
              <w:rPr>
                <w:rFonts w:cs="Arial"/>
                <w:sz w:val="18"/>
                <w:szCs w:val="18"/>
              </w:rPr>
            </w:pPr>
            <w:r w:rsidRPr="00854F8C">
              <w:rPr>
                <w:rFonts w:cs="Arial"/>
                <w:sz w:val="18"/>
                <w:szCs w:val="18"/>
              </w:rPr>
              <w:t>6</w:t>
            </w:r>
          </w:p>
        </w:tc>
        <w:tc>
          <w:tcPr>
            <w:tcW w:w="992" w:type="dxa"/>
            <w:tcBorders>
              <w:left w:val="single" w:sz="4" w:space="0" w:color="FFFFFF" w:themeColor="background1"/>
            </w:tcBorders>
            <w:shd w:val="clear" w:color="auto" w:fill="00B0F0"/>
            <w:vAlign w:val="center"/>
          </w:tcPr>
          <w:p w14:paraId="75EBE270" w14:textId="7C10E1CB" w:rsidR="00EB30D9" w:rsidRPr="00854F8C" w:rsidRDefault="00EB30D9" w:rsidP="000B645B">
            <w:pPr>
              <w:spacing w:before="60" w:after="60"/>
              <w:jc w:val="right"/>
              <w:rPr>
                <w:rFonts w:cs="Arial"/>
                <w:sz w:val="18"/>
                <w:szCs w:val="18"/>
              </w:rPr>
            </w:pPr>
            <w:r w:rsidRPr="00854F8C">
              <w:rPr>
                <w:rFonts w:cs="Arial"/>
                <w:sz w:val="18"/>
                <w:szCs w:val="18"/>
              </w:rPr>
              <w:t>13</w:t>
            </w:r>
          </w:p>
        </w:tc>
        <w:tc>
          <w:tcPr>
            <w:tcW w:w="1134" w:type="dxa"/>
            <w:tcBorders>
              <w:left w:val="single" w:sz="4" w:space="0" w:color="FFFFFF" w:themeColor="background1"/>
            </w:tcBorders>
            <w:shd w:val="clear" w:color="auto" w:fill="00B0F0"/>
            <w:vAlign w:val="center"/>
          </w:tcPr>
          <w:p w14:paraId="039F5E53" w14:textId="684E098B" w:rsidR="00EB30D9" w:rsidRPr="00854F8C" w:rsidRDefault="00981A33" w:rsidP="001B10FA">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shd w:val="clear" w:color="auto" w:fill="00B0F0"/>
            <w:vAlign w:val="center"/>
          </w:tcPr>
          <w:p w14:paraId="2754E2D3" w14:textId="52BE8464" w:rsidR="00EB30D9" w:rsidRPr="00854F8C" w:rsidRDefault="00145F2F" w:rsidP="001B10FA">
            <w:pPr>
              <w:spacing w:before="60" w:after="60"/>
              <w:jc w:val="right"/>
              <w:rPr>
                <w:rFonts w:cs="Arial"/>
                <w:sz w:val="18"/>
                <w:szCs w:val="18"/>
              </w:rPr>
            </w:pPr>
            <w:r>
              <w:rPr>
                <w:rFonts w:cs="Arial"/>
                <w:sz w:val="18"/>
                <w:szCs w:val="18"/>
              </w:rPr>
              <w:t>8</w:t>
            </w:r>
          </w:p>
        </w:tc>
      </w:tr>
      <w:tr w:rsidR="00EB30D9" w:rsidRPr="00854F8C" w14:paraId="596BAD36" w14:textId="7E8E70FF" w:rsidTr="00DC1A25">
        <w:tc>
          <w:tcPr>
            <w:tcW w:w="3974" w:type="dxa"/>
            <w:tcBorders>
              <w:right w:val="single" w:sz="4" w:space="0" w:color="FFFFFF" w:themeColor="background1"/>
            </w:tcBorders>
            <w:vAlign w:val="center"/>
          </w:tcPr>
          <w:p w14:paraId="367DA784" w14:textId="1F094B5E" w:rsidR="00EB30D9" w:rsidRPr="00854F8C" w:rsidRDefault="00EB30D9" w:rsidP="000B645B">
            <w:pPr>
              <w:spacing w:before="60" w:after="60"/>
              <w:jc w:val="left"/>
              <w:rPr>
                <w:rFonts w:cs="Arial"/>
                <w:sz w:val="18"/>
                <w:szCs w:val="18"/>
              </w:rPr>
            </w:pPr>
            <w:r w:rsidRPr="00854F8C">
              <w:rPr>
                <w:rFonts w:cs="Arial"/>
                <w:sz w:val="18"/>
                <w:szCs w:val="18"/>
              </w:rPr>
              <w:t>Ogłoszenie o zmianie ogłoszenia (koncesje)</w:t>
            </w:r>
          </w:p>
        </w:tc>
        <w:tc>
          <w:tcPr>
            <w:tcW w:w="993" w:type="dxa"/>
            <w:tcBorders>
              <w:left w:val="single" w:sz="4" w:space="0" w:color="FFFFFF" w:themeColor="background1"/>
            </w:tcBorders>
            <w:vAlign w:val="center"/>
          </w:tcPr>
          <w:p w14:paraId="7229ED13" w14:textId="2CDB8806" w:rsidR="00EB30D9" w:rsidRPr="00854F8C" w:rsidRDefault="00EB30D9" w:rsidP="000B645B">
            <w:pPr>
              <w:spacing w:before="60" w:after="60"/>
              <w:jc w:val="right"/>
              <w:rPr>
                <w:rFonts w:cs="Arial"/>
                <w:sz w:val="18"/>
                <w:szCs w:val="18"/>
              </w:rPr>
            </w:pPr>
            <w:r w:rsidRPr="00854F8C">
              <w:rPr>
                <w:rFonts w:cs="Arial"/>
                <w:sz w:val="18"/>
                <w:szCs w:val="18"/>
              </w:rPr>
              <w:t>6</w:t>
            </w:r>
          </w:p>
        </w:tc>
        <w:tc>
          <w:tcPr>
            <w:tcW w:w="992" w:type="dxa"/>
            <w:tcBorders>
              <w:left w:val="single" w:sz="4" w:space="0" w:color="FFFFFF" w:themeColor="background1"/>
            </w:tcBorders>
            <w:vAlign w:val="center"/>
          </w:tcPr>
          <w:p w14:paraId="4D78D7E1" w14:textId="02664E3D" w:rsidR="00EB30D9" w:rsidRPr="00854F8C" w:rsidRDefault="00EB30D9" w:rsidP="000B645B">
            <w:pPr>
              <w:spacing w:before="60" w:after="60"/>
              <w:jc w:val="right"/>
              <w:rPr>
                <w:rFonts w:cs="Arial"/>
                <w:sz w:val="18"/>
                <w:szCs w:val="18"/>
              </w:rPr>
            </w:pPr>
            <w:r w:rsidRPr="00854F8C">
              <w:rPr>
                <w:rFonts w:cs="Arial"/>
                <w:sz w:val="18"/>
                <w:szCs w:val="18"/>
              </w:rPr>
              <w:t>4</w:t>
            </w:r>
          </w:p>
        </w:tc>
        <w:tc>
          <w:tcPr>
            <w:tcW w:w="992" w:type="dxa"/>
            <w:tcBorders>
              <w:left w:val="single" w:sz="4" w:space="0" w:color="FFFFFF" w:themeColor="background1"/>
            </w:tcBorders>
            <w:vAlign w:val="center"/>
          </w:tcPr>
          <w:p w14:paraId="2FFEB4D2" w14:textId="2BB7F2B2" w:rsidR="00EB30D9" w:rsidRPr="00854F8C" w:rsidRDefault="00EB30D9" w:rsidP="000B645B">
            <w:pPr>
              <w:spacing w:before="60" w:after="60"/>
              <w:jc w:val="right"/>
              <w:rPr>
                <w:rFonts w:cs="Arial"/>
                <w:sz w:val="18"/>
                <w:szCs w:val="18"/>
              </w:rPr>
            </w:pPr>
            <w:r w:rsidRPr="00854F8C">
              <w:rPr>
                <w:rFonts w:cs="Arial"/>
                <w:sz w:val="18"/>
                <w:szCs w:val="18"/>
              </w:rPr>
              <w:t>8</w:t>
            </w:r>
          </w:p>
        </w:tc>
        <w:tc>
          <w:tcPr>
            <w:tcW w:w="1134" w:type="dxa"/>
            <w:tcBorders>
              <w:left w:val="single" w:sz="4" w:space="0" w:color="FFFFFF" w:themeColor="background1"/>
            </w:tcBorders>
            <w:vAlign w:val="center"/>
          </w:tcPr>
          <w:p w14:paraId="53A8B882" w14:textId="3A6BCC90" w:rsidR="00EB30D9" w:rsidRPr="00854F8C" w:rsidRDefault="00145F2F" w:rsidP="001B10FA">
            <w:pPr>
              <w:spacing w:before="60" w:after="60"/>
              <w:jc w:val="right"/>
              <w:rPr>
                <w:rFonts w:cs="Arial"/>
                <w:sz w:val="18"/>
                <w:szCs w:val="18"/>
              </w:rPr>
            </w:pPr>
            <w:r>
              <w:rPr>
                <w:rFonts w:cs="Arial"/>
                <w:sz w:val="18"/>
                <w:szCs w:val="18"/>
              </w:rPr>
              <w:t>2</w:t>
            </w:r>
          </w:p>
        </w:tc>
        <w:tc>
          <w:tcPr>
            <w:tcW w:w="992" w:type="dxa"/>
            <w:tcBorders>
              <w:left w:val="single" w:sz="4" w:space="0" w:color="FFFFFF" w:themeColor="background1"/>
            </w:tcBorders>
            <w:vAlign w:val="center"/>
          </w:tcPr>
          <w:p w14:paraId="3991D741" w14:textId="71E9DC4C" w:rsidR="00EB30D9" w:rsidRPr="00854F8C" w:rsidRDefault="00145F2F" w:rsidP="001B10FA">
            <w:pPr>
              <w:spacing w:before="60" w:after="60"/>
              <w:jc w:val="right"/>
              <w:rPr>
                <w:rFonts w:cs="Arial"/>
                <w:sz w:val="18"/>
                <w:szCs w:val="18"/>
              </w:rPr>
            </w:pPr>
            <w:r>
              <w:rPr>
                <w:rFonts w:cs="Arial"/>
                <w:sz w:val="18"/>
                <w:szCs w:val="18"/>
              </w:rPr>
              <w:t>2</w:t>
            </w:r>
          </w:p>
        </w:tc>
      </w:tr>
      <w:tr w:rsidR="00EB30D9" w:rsidRPr="00854F8C" w14:paraId="1FD24F17" w14:textId="2AFBB2C1" w:rsidTr="00DC1A25">
        <w:tc>
          <w:tcPr>
            <w:tcW w:w="3974" w:type="dxa"/>
            <w:tcBorders>
              <w:right w:val="single" w:sz="4" w:space="0" w:color="FFFFFF" w:themeColor="background1"/>
            </w:tcBorders>
            <w:shd w:val="clear" w:color="auto" w:fill="00B0F0"/>
            <w:vAlign w:val="center"/>
          </w:tcPr>
          <w:p w14:paraId="12E0D10E" w14:textId="429D203A" w:rsidR="00EB30D9" w:rsidRPr="00854F8C" w:rsidRDefault="00EB30D9" w:rsidP="000B645B">
            <w:pPr>
              <w:spacing w:before="60" w:after="60"/>
              <w:jc w:val="left"/>
              <w:rPr>
                <w:rFonts w:cs="Arial"/>
                <w:sz w:val="18"/>
                <w:szCs w:val="18"/>
              </w:rPr>
            </w:pPr>
            <w:r w:rsidRPr="00854F8C">
              <w:rPr>
                <w:rFonts w:cs="Arial"/>
                <w:sz w:val="18"/>
                <w:szCs w:val="18"/>
              </w:rPr>
              <w:t>Ogłoszenie o zamiarze zawarcia umowy (koncesje)</w:t>
            </w:r>
          </w:p>
        </w:tc>
        <w:tc>
          <w:tcPr>
            <w:tcW w:w="993" w:type="dxa"/>
            <w:tcBorders>
              <w:left w:val="single" w:sz="4" w:space="0" w:color="FFFFFF" w:themeColor="background1"/>
            </w:tcBorders>
            <w:shd w:val="clear" w:color="auto" w:fill="00B0F0"/>
            <w:vAlign w:val="center"/>
          </w:tcPr>
          <w:p w14:paraId="5C4B4A1D" w14:textId="053AA9CE" w:rsidR="00EB30D9" w:rsidRPr="00854F8C" w:rsidRDefault="00981A33" w:rsidP="000B645B">
            <w:pPr>
              <w:spacing w:before="60" w:after="60"/>
              <w:jc w:val="right"/>
              <w:rPr>
                <w:rFonts w:cs="Arial"/>
                <w:sz w:val="18"/>
                <w:szCs w:val="18"/>
              </w:rPr>
            </w:pPr>
            <w:r>
              <w:rPr>
                <w:rFonts w:cs="Arial"/>
                <w:sz w:val="18"/>
                <w:szCs w:val="18"/>
              </w:rPr>
              <w:t>0</w:t>
            </w:r>
          </w:p>
        </w:tc>
        <w:tc>
          <w:tcPr>
            <w:tcW w:w="992" w:type="dxa"/>
            <w:tcBorders>
              <w:left w:val="single" w:sz="4" w:space="0" w:color="FFFFFF" w:themeColor="background1"/>
            </w:tcBorders>
            <w:shd w:val="clear" w:color="auto" w:fill="00B0F0"/>
            <w:vAlign w:val="center"/>
          </w:tcPr>
          <w:p w14:paraId="4F6729BA" w14:textId="29D420E6" w:rsidR="00EB30D9" w:rsidRPr="00854F8C" w:rsidRDefault="00EB30D9" w:rsidP="000B645B">
            <w:pPr>
              <w:spacing w:before="60" w:after="60"/>
              <w:jc w:val="right"/>
              <w:rPr>
                <w:rFonts w:cs="Arial"/>
                <w:sz w:val="18"/>
                <w:szCs w:val="18"/>
              </w:rPr>
            </w:pPr>
            <w:r w:rsidRPr="00854F8C">
              <w:rPr>
                <w:rFonts w:cs="Arial"/>
                <w:sz w:val="18"/>
                <w:szCs w:val="18"/>
              </w:rPr>
              <w:t>1</w:t>
            </w:r>
          </w:p>
        </w:tc>
        <w:tc>
          <w:tcPr>
            <w:tcW w:w="992" w:type="dxa"/>
            <w:tcBorders>
              <w:left w:val="single" w:sz="4" w:space="0" w:color="FFFFFF" w:themeColor="background1"/>
            </w:tcBorders>
            <w:shd w:val="clear" w:color="auto" w:fill="00B0F0"/>
            <w:vAlign w:val="center"/>
          </w:tcPr>
          <w:p w14:paraId="43B8B3B0" w14:textId="042C4569" w:rsidR="00EB30D9" w:rsidRPr="00854F8C" w:rsidRDefault="00EB30D9" w:rsidP="000B645B">
            <w:pPr>
              <w:spacing w:before="60" w:after="60"/>
              <w:jc w:val="right"/>
              <w:rPr>
                <w:rFonts w:cs="Arial"/>
                <w:sz w:val="18"/>
                <w:szCs w:val="18"/>
              </w:rPr>
            </w:pPr>
            <w:r w:rsidRPr="00854F8C">
              <w:rPr>
                <w:rFonts w:cs="Arial"/>
                <w:sz w:val="18"/>
                <w:szCs w:val="18"/>
              </w:rPr>
              <w:t>4</w:t>
            </w:r>
          </w:p>
        </w:tc>
        <w:tc>
          <w:tcPr>
            <w:tcW w:w="1134" w:type="dxa"/>
            <w:tcBorders>
              <w:left w:val="single" w:sz="4" w:space="0" w:color="FFFFFF" w:themeColor="background1"/>
            </w:tcBorders>
            <w:shd w:val="clear" w:color="auto" w:fill="00B0F0"/>
            <w:vAlign w:val="center"/>
          </w:tcPr>
          <w:p w14:paraId="4CC7B3CD" w14:textId="549373D2" w:rsidR="00EB30D9" w:rsidRPr="00854F8C" w:rsidRDefault="00145F2F" w:rsidP="001B10FA">
            <w:pPr>
              <w:spacing w:before="60" w:after="60"/>
              <w:jc w:val="right"/>
              <w:rPr>
                <w:rFonts w:cs="Arial"/>
                <w:sz w:val="18"/>
                <w:szCs w:val="18"/>
              </w:rPr>
            </w:pPr>
            <w:r>
              <w:rPr>
                <w:rFonts w:cs="Arial"/>
                <w:sz w:val="18"/>
                <w:szCs w:val="18"/>
              </w:rPr>
              <w:t>5</w:t>
            </w:r>
          </w:p>
        </w:tc>
        <w:tc>
          <w:tcPr>
            <w:tcW w:w="992" w:type="dxa"/>
            <w:tcBorders>
              <w:left w:val="single" w:sz="4" w:space="0" w:color="FFFFFF" w:themeColor="background1"/>
            </w:tcBorders>
            <w:shd w:val="clear" w:color="auto" w:fill="00B0F0"/>
            <w:vAlign w:val="center"/>
          </w:tcPr>
          <w:p w14:paraId="15055D4C" w14:textId="3F313177" w:rsidR="00EB30D9" w:rsidRPr="00854F8C" w:rsidRDefault="00981A33" w:rsidP="001B10FA">
            <w:pPr>
              <w:spacing w:before="60" w:after="60"/>
              <w:jc w:val="right"/>
              <w:rPr>
                <w:rFonts w:cs="Arial"/>
                <w:sz w:val="18"/>
                <w:szCs w:val="18"/>
              </w:rPr>
            </w:pPr>
            <w:r>
              <w:rPr>
                <w:rFonts w:cs="Arial"/>
                <w:sz w:val="18"/>
                <w:szCs w:val="18"/>
              </w:rPr>
              <w:t>0</w:t>
            </w:r>
          </w:p>
        </w:tc>
      </w:tr>
      <w:tr w:rsidR="00EB30D9" w:rsidRPr="00854F8C" w14:paraId="2BDB692F" w14:textId="09D8F585" w:rsidTr="00DC1A25">
        <w:tc>
          <w:tcPr>
            <w:tcW w:w="3974" w:type="dxa"/>
            <w:tcBorders>
              <w:right w:val="single" w:sz="4" w:space="0" w:color="FFFFFF" w:themeColor="background1"/>
            </w:tcBorders>
            <w:vAlign w:val="center"/>
          </w:tcPr>
          <w:p w14:paraId="6230EB43" w14:textId="337B9703" w:rsidR="00EB30D9" w:rsidRPr="00854F8C" w:rsidRDefault="00EB30D9" w:rsidP="000B645B">
            <w:pPr>
              <w:spacing w:before="60" w:after="60"/>
              <w:jc w:val="left"/>
              <w:rPr>
                <w:rFonts w:cs="Arial"/>
                <w:sz w:val="18"/>
                <w:szCs w:val="18"/>
              </w:rPr>
            </w:pPr>
            <w:r w:rsidRPr="00854F8C">
              <w:rPr>
                <w:rFonts w:cs="Arial"/>
                <w:sz w:val="18"/>
                <w:szCs w:val="18"/>
              </w:rPr>
              <w:t>Ogłoszenie o zawarciu umowy koncesji</w:t>
            </w:r>
          </w:p>
        </w:tc>
        <w:tc>
          <w:tcPr>
            <w:tcW w:w="993" w:type="dxa"/>
            <w:tcBorders>
              <w:left w:val="single" w:sz="4" w:space="0" w:color="FFFFFF" w:themeColor="background1"/>
            </w:tcBorders>
            <w:vAlign w:val="center"/>
          </w:tcPr>
          <w:p w14:paraId="65D8CE37" w14:textId="3D5D98F9" w:rsidR="00EB30D9" w:rsidRPr="00854F8C" w:rsidRDefault="00EB30D9" w:rsidP="000B645B">
            <w:pPr>
              <w:spacing w:before="60" w:after="60"/>
              <w:jc w:val="right"/>
              <w:rPr>
                <w:rFonts w:cs="Arial"/>
                <w:sz w:val="18"/>
                <w:szCs w:val="18"/>
              </w:rPr>
            </w:pPr>
            <w:r w:rsidRPr="00854F8C">
              <w:rPr>
                <w:rFonts w:cs="Arial"/>
                <w:sz w:val="18"/>
                <w:szCs w:val="18"/>
              </w:rPr>
              <w:t>9</w:t>
            </w:r>
          </w:p>
        </w:tc>
        <w:tc>
          <w:tcPr>
            <w:tcW w:w="992" w:type="dxa"/>
            <w:tcBorders>
              <w:left w:val="single" w:sz="4" w:space="0" w:color="FFFFFF" w:themeColor="background1"/>
            </w:tcBorders>
            <w:vAlign w:val="center"/>
          </w:tcPr>
          <w:p w14:paraId="496BF1A4" w14:textId="49FEEDE0" w:rsidR="00EB30D9" w:rsidRPr="00854F8C" w:rsidRDefault="00EB30D9" w:rsidP="000B645B">
            <w:pPr>
              <w:spacing w:before="60" w:after="60"/>
              <w:jc w:val="right"/>
              <w:rPr>
                <w:rFonts w:cs="Arial"/>
                <w:sz w:val="18"/>
                <w:szCs w:val="18"/>
              </w:rPr>
            </w:pPr>
            <w:r w:rsidRPr="00854F8C">
              <w:rPr>
                <w:rFonts w:cs="Arial"/>
                <w:sz w:val="18"/>
                <w:szCs w:val="18"/>
              </w:rPr>
              <w:t>3</w:t>
            </w:r>
          </w:p>
        </w:tc>
        <w:tc>
          <w:tcPr>
            <w:tcW w:w="992" w:type="dxa"/>
            <w:tcBorders>
              <w:left w:val="single" w:sz="4" w:space="0" w:color="FFFFFF" w:themeColor="background1"/>
            </w:tcBorders>
            <w:vAlign w:val="center"/>
          </w:tcPr>
          <w:p w14:paraId="4D21FC5D" w14:textId="1F9D2ECE" w:rsidR="00EB30D9" w:rsidRPr="00854F8C" w:rsidRDefault="00EB30D9" w:rsidP="000B645B">
            <w:pPr>
              <w:spacing w:before="60" w:after="60"/>
              <w:jc w:val="right"/>
              <w:rPr>
                <w:rFonts w:cs="Arial"/>
                <w:sz w:val="18"/>
                <w:szCs w:val="18"/>
              </w:rPr>
            </w:pPr>
            <w:r w:rsidRPr="00854F8C">
              <w:rPr>
                <w:rFonts w:cs="Arial"/>
                <w:sz w:val="18"/>
                <w:szCs w:val="18"/>
              </w:rPr>
              <w:t>10</w:t>
            </w:r>
          </w:p>
        </w:tc>
        <w:tc>
          <w:tcPr>
            <w:tcW w:w="1134" w:type="dxa"/>
            <w:tcBorders>
              <w:left w:val="single" w:sz="4" w:space="0" w:color="FFFFFF" w:themeColor="background1"/>
            </w:tcBorders>
            <w:vAlign w:val="center"/>
          </w:tcPr>
          <w:p w14:paraId="35D64BE2" w14:textId="37CF3261" w:rsidR="00EB30D9" w:rsidRPr="00854F8C" w:rsidRDefault="00145F2F" w:rsidP="001B10FA">
            <w:pPr>
              <w:spacing w:before="60" w:after="60"/>
              <w:jc w:val="right"/>
              <w:rPr>
                <w:rFonts w:cs="Arial"/>
                <w:sz w:val="18"/>
                <w:szCs w:val="18"/>
              </w:rPr>
            </w:pPr>
            <w:r>
              <w:rPr>
                <w:rFonts w:cs="Arial"/>
                <w:sz w:val="18"/>
                <w:szCs w:val="18"/>
              </w:rPr>
              <w:t>4</w:t>
            </w:r>
          </w:p>
        </w:tc>
        <w:tc>
          <w:tcPr>
            <w:tcW w:w="992" w:type="dxa"/>
            <w:tcBorders>
              <w:left w:val="single" w:sz="4" w:space="0" w:color="FFFFFF" w:themeColor="background1"/>
            </w:tcBorders>
            <w:vAlign w:val="center"/>
          </w:tcPr>
          <w:p w14:paraId="634F98AD" w14:textId="4E02ED77" w:rsidR="00EB30D9" w:rsidRPr="00854F8C" w:rsidRDefault="00145F2F" w:rsidP="001B10FA">
            <w:pPr>
              <w:spacing w:before="60" w:after="60"/>
              <w:jc w:val="right"/>
              <w:rPr>
                <w:rFonts w:cs="Arial"/>
                <w:sz w:val="18"/>
                <w:szCs w:val="18"/>
              </w:rPr>
            </w:pPr>
            <w:r>
              <w:rPr>
                <w:rFonts w:cs="Arial"/>
                <w:sz w:val="18"/>
                <w:szCs w:val="18"/>
              </w:rPr>
              <w:t>0</w:t>
            </w:r>
          </w:p>
        </w:tc>
      </w:tr>
      <w:tr w:rsidR="00EB30D9" w:rsidRPr="00854F8C" w14:paraId="4495E9C6" w14:textId="7FA108E0" w:rsidTr="00DC1A25">
        <w:tc>
          <w:tcPr>
            <w:tcW w:w="3974" w:type="dxa"/>
            <w:tcBorders>
              <w:right w:val="single" w:sz="4" w:space="0" w:color="FFFFFF" w:themeColor="background1"/>
            </w:tcBorders>
            <w:shd w:val="clear" w:color="auto" w:fill="00B0F0"/>
            <w:vAlign w:val="center"/>
          </w:tcPr>
          <w:p w14:paraId="1E184A38" w14:textId="425412E7" w:rsidR="00EB30D9" w:rsidRPr="00854F8C" w:rsidRDefault="00EB30D9" w:rsidP="000B645B">
            <w:pPr>
              <w:spacing w:before="60" w:after="60"/>
              <w:jc w:val="center"/>
              <w:rPr>
                <w:rFonts w:cs="Arial"/>
                <w:b/>
                <w:sz w:val="18"/>
                <w:szCs w:val="18"/>
              </w:rPr>
            </w:pPr>
            <w:r w:rsidRPr="00854F8C">
              <w:rPr>
                <w:rFonts w:cs="Arial"/>
                <w:b/>
                <w:sz w:val="18"/>
                <w:szCs w:val="18"/>
              </w:rPr>
              <w:t>Razem</w:t>
            </w:r>
          </w:p>
        </w:tc>
        <w:tc>
          <w:tcPr>
            <w:tcW w:w="993" w:type="dxa"/>
            <w:tcBorders>
              <w:left w:val="single" w:sz="4" w:space="0" w:color="FFFFFF" w:themeColor="background1"/>
            </w:tcBorders>
            <w:shd w:val="clear" w:color="auto" w:fill="00B0F0"/>
            <w:vAlign w:val="center"/>
          </w:tcPr>
          <w:p w14:paraId="58F0DF17" w14:textId="4AC25183" w:rsidR="00EB30D9" w:rsidRPr="00854F8C" w:rsidRDefault="00EB30D9" w:rsidP="000B645B">
            <w:pPr>
              <w:spacing w:before="60" w:after="60"/>
              <w:jc w:val="right"/>
              <w:rPr>
                <w:rFonts w:cs="Arial"/>
                <w:b/>
                <w:sz w:val="18"/>
                <w:szCs w:val="18"/>
              </w:rPr>
            </w:pPr>
            <w:r w:rsidRPr="00854F8C">
              <w:rPr>
                <w:rFonts w:cs="Arial"/>
                <w:b/>
                <w:sz w:val="18"/>
                <w:szCs w:val="18"/>
              </w:rPr>
              <w:t>307 539</w:t>
            </w:r>
          </w:p>
        </w:tc>
        <w:tc>
          <w:tcPr>
            <w:tcW w:w="992" w:type="dxa"/>
            <w:tcBorders>
              <w:left w:val="single" w:sz="4" w:space="0" w:color="FFFFFF" w:themeColor="background1"/>
            </w:tcBorders>
            <w:shd w:val="clear" w:color="auto" w:fill="00B0F0"/>
            <w:vAlign w:val="center"/>
          </w:tcPr>
          <w:p w14:paraId="2BAB52DE" w14:textId="53F87E72" w:rsidR="00EB30D9" w:rsidRPr="00854F8C" w:rsidRDefault="00EB30D9" w:rsidP="000B645B">
            <w:pPr>
              <w:spacing w:before="60" w:after="60"/>
              <w:jc w:val="right"/>
              <w:rPr>
                <w:rFonts w:cs="Arial"/>
                <w:b/>
                <w:sz w:val="18"/>
                <w:szCs w:val="18"/>
              </w:rPr>
            </w:pPr>
            <w:r w:rsidRPr="00854F8C">
              <w:rPr>
                <w:rFonts w:cs="Arial"/>
                <w:b/>
                <w:sz w:val="18"/>
                <w:szCs w:val="18"/>
              </w:rPr>
              <w:t>285 045</w:t>
            </w:r>
          </w:p>
        </w:tc>
        <w:tc>
          <w:tcPr>
            <w:tcW w:w="992" w:type="dxa"/>
            <w:tcBorders>
              <w:left w:val="single" w:sz="4" w:space="0" w:color="FFFFFF" w:themeColor="background1"/>
            </w:tcBorders>
            <w:shd w:val="clear" w:color="auto" w:fill="00B0F0"/>
            <w:vAlign w:val="center"/>
          </w:tcPr>
          <w:p w14:paraId="6696DC7F" w14:textId="220ECA31" w:rsidR="00EB30D9" w:rsidRPr="00854F8C" w:rsidRDefault="00EB30D9" w:rsidP="000B645B">
            <w:pPr>
              <w:spacing w:before="60" w:after="60"/>
              <w:jc w:val="right"/>
              <w:rPr>
                <w:rFonts w:cs="Arial"/>
                <w:b/>
                <w:sz w:val="18"/>
                <w:szCs w:val="18"/>
              </w:rPr>
            </w:pPr>
            <w:r w:rsidRPr="00854F8C">
              <w:rPr>
                <w:rFonts w:cs="Arial"/>
                <w:b/>
                <w:sz w:val="18"/>
                <w:szCs w:val="18"/>
              </w:rPr>
              <w:t>276 163</w:t>
            </w:r>
          </w:p>
        </w:tc>
        <w:tc>
          <w:tcPr>
            <w:tcW w:w="1134" w:type="dxa"/>
            <w:tcBorders>
              <w:left w:val="single" w:sz="4" w:space="0" w:color="FFFFFF" w:themeColor="background1"/>
            </w:tcBorders>
            <w:shd w:val="clear" w:color="auto" w:fill="00B0F0"/>
            <w:vAlign w:val="center"/>
          </w:tcPr>
          <w:p w14:paraId="588BFD63" w14:textId="43ED4085" w:rsidR="00EB30D9" w:rsidRPr="00854F8C" w:rsidRDefault="00145F2F" w:rsidP="001B10FA">
            <w:pPr>
              <w:spacing w:before="60" w:after="60"/>
              <w:jc w:val="right"/>
              <w:rPr>
                <w:rFonts w:cs="Arial"/>
                <w:b/>
                <w:sz w:val="18"/>
                <w:szCs w:val="18"/>
              </w:rPr>
            </w:pPr>
            <w:r>
              <w:rPr>
                <w:rFonts w:cs="Arial"/>
                <w:b/>
                <w:sz w:val="18"/>
                <w:szCs w:val="18"/>
              </w:rPr>
              <w:t>43 515</w:t>
            </w:r>
          </w:p>
        </w:tc>
        <w:tc>
          <w:tcPr>
            <w:tcW w:w="992" w:type="dxa"/>
            <w:tcBorders>
              <w:left w:val="single" w:sz="4" w:space="0" w:color="FFFFFF" w:themeColor="background1"/>
            </w:tcBorders>
            <w:shd w:val="clear" w:color="auto" w:fill="00B0F0"/>
            <w:vAlign w:val="center"/>
          </w:tcPr>
          <w:p w14:paraId="5FDE6605" w14:textId="4288E9C2" w:rsidR="00EB30D9" w:rsidRPr="00854F8C" w:rsidRDefault="00145F2F" w:rsidP="001B10FA">
            <w:pPr>
              <w:spacing w:before="60" w:after="60"/>
              <w:jc w:val="right"/>
              <w:rPr>
                <w:rFonts w:cs="Arial"/>
                <w:b/>
                <w:sz w:val="18"/>
                <w:szCs w:val="18"/>
              </w:rPr>
            </w:pPr>
            <w:r>
              <w:rPr>
                <w:rFonts w:cs="Arial"/>
                <w:b/>
                <w:sz w:val="18"/>
                <w:szCs w:val="18"/>
              </w:rPr>
              <w:t>297 569</w:t>
            </w:r>
          </w:p>
        </w:tc>
      </w:tr>
    </w:tbl>
    <w:p w14:paraId="26765D6C" w14:textId="6418766A" w:rsidR="00BA236C" w:rsidRDefault="00BA236C" w:rsidP="009927E5">
      <w:pPr>
        <w:shd w:val="clear" w:color="auto" w:fill="FFFFFF"/>
        <w:rPr>
          <w:rFonts w:cs="Arial"/>
          <w:szCs w:val="22"/>
        </w:rPr>
      </w:pPr>
    </w:p>
    <w:p w14:paraId="6B9FAEC0" w14:textId="77777777" w:rsidR="00355EC8" w:rsidRPr="00FA6A75" w:rsidRDefault="00355EC8" w:rsidP="00FA6A75">
      <w:pPr>
        <w:shd w:val="clear" w:color="auto" w:fill="FFFFFF"/>
        <w:rPr>
          <w:szCs w:val="22"/>
        </w:rPr>
      </w:pPr>
    </w:p>
    <w:tbl>
      <w:tblPr>
        <w:tblW w:w="0" w:type="auto"/>
        <w:tblInd w:w="374" w:type="dxa"/>
        <w:tblLayout w:type="fixed"/>
        <w:tblLook w:val="04A0" w:firstRow="1" w:lastRow="0" w:firstColumn="1" w:lastColumn="0" w:noHBand="0" w:noVBand="1"/>
      </w:tblPr>
      <w:tblGrid>
        <w:gridCol w:w="236"/>
        <w:gridCol w:w="8676"/>
      </w:tblGrid>
      <w:tr w:rsidR="0056166F" w:rsidRPr="001E7D51" w14:paraId="3A9E11F7" w14:textId="77777777" w:rsidTr="00B00010">
        <w:trPr>
          <w:cantSplit/>
        </w:trPr>
        <w:tc>
          <w:tcPr>
            <w:tcW w:w="236" w:type="dxa"/>
            <w:shd w:val="clear" w:color="auto" w:fill="B8CCE4"/>
          </w:tcPr>
          <w:p w14:paraId="67FFDEBA" w14:textId="77777777" w:rsidR="0056166F" w:rsidRPr="001E7D51" w:rsidRDefault="0056166F" w:rsidP="00F058DB">
            <w:pPr>
              <w:rPr>
                <w:sz w:val="24"/>
              </w:rPr>
            </w:pPr>
          </w:p>
        </w:tc>
        <w:tc>
          <w:tcPr>
            <w:tcW w:w="8676" w:type="dxa"/>
          </w:tcPr>
          <w:p w14:paraId="5E1083D3" w14:textId="29DFE7DE" w:rsidR="0056166F" w:rsidRPr="000F4C20" w:rsidRDefault="0056166F" w:rsidP="009E7222">
            <w:pPr>
              <w:pStyle w:val="Nagwek3"/>
              <w:shd w:val="clear" w:color="auto" w:fill="FFFFFF"/>
              <w:spacing w:after="120"/>
              <w:ind w:left="737" w:hanging="737"/>
              <w:rPr>
                <w:color w:val="0070C0"/>
                <w:sz w:val="24"/>
                <w:szCs w:val="24"/>
              </w:rPr>
            </w:pPr>
            <w:bookmarkStart w:id="226" w:name="_Toc64451884"/>
            <w:bookmarkStart w:id="227" w:name="_Toc141276461"/>
            <w:r w:rsidRPr="000F4C20">
              <w:rPr>
                <w:color w:val="0070C0"/>
                <w:sz w:val="24"/>
                <w:szCs w:val="24"/>
              </w:rPr>
              <w:t>III.1.</w:t>
            </w:r>
            <w:r w:rsidR="00BF64AC" w:rsidRPr="000F4C20">
              <w:rPr>
                <w:color w:val="0070C0"/>
                <w:sz w:val="24"/>
                <w:szCs w:val="24"/>
              </w:rPr>
              <w:t>8</w:t>
            </w:r>
            <w:r w:rsidRPr="000F4C20">
              <w:rPr>
                <w:color w:val="0070C0"/>
                <w:sz w:val="24"/>
                <w:szCs w:val="24"/>
              </w:rPr>
              <w:t>.</w:t>
            </w:r>
            <w:r w:rsidR="00750B05" w:rsidRPr="000F4C20">
              <w:rPr>
                <w:color w:val="0070C0"/>
                <w:sz w:val="24"/>
                <w:szCs w:val="24"/>
              </w:rPr>
              <w:t xml:space="preserve"> </w:t>
            </w:r>
            <w:r w:rsidR="002B7EBF" w:rsidRPr="000F4C20">
              <w:rPr>
                <w:color w:val="0070C0"/>
                <w:sz w:val="24"/>
                <w:szCs w:val="24"/>
              </w:rPr>
              <w:t>Działalność edukacyjno</w:t>
            </w:r>
            <w:r w:rsidR="00BC1C04" w:rsidRPr="000F4C20">
              <w:rPr>
                <w:color w:val="0070C0"/>
                <w:sz w:val="24"/>
                <w:szCs w:val="24"/>
              </w:rPr>
              <w:t>-</w:t>
            </w:r>
            <w:r w:rsidR="002B7EBF" w:rsidRPr="000F4C20">
              <w:rPr>
                <w:color w:val="0070C0"/>
                <w:sz w:val="24"/>
                <w:szCs w:val="24"/>
              </w:rPr>
              <w:t>informacyjna realizowana</w:t>
            </w:r>
            <w:r w:rsidRPr="000F4C20">
              <w:rPr>
                <w:color w:val="0070C0"/>
                <w:sz w:val="24"/>
                <w:szCs w:val="24"/>
              </w:rPr>
              <w:t xml:space="preserve"> przez Urząd</w:t>
            </w:r>
            <w:r w:rsidR="00BC1C04" w:rsidRPr="000F4C20">
              <w:rPr>
                <w:color w:val="0070C0"/>
                <w:sz w:val="24"/>
                <w:szCs w:val="24"/>
              </w:rPr>
              <w:t>,</w:t>
            </w:r>
            <w:r w:rsidR="002B7EBF" w:rsidRPr="000F4C20">
              <w:rPr>
                <w:color w:val="0070C0"/>
                <w:sz w:val="24"/>
                <w:szCs w:val="24"/>
              </w:rPr>
              <w:t xml:space="preserve"> wspieraj</w:t>
            </w:r>
            <w:r w:rsidR="008B2037" w:rsidRPr="000F4C20">
              <w:rPr>
                <w:color w:val="0070C0"/>
                <w:sz w:val="24"/>
                <w:szCs w:val="24"/>
              </w:rPr>
              <w:t>ąca uczestników systemu zamówień</w:t>
            </w:r>
            <w:r w:rsidR="002B7EBF" w:rsidRPr="000F4C20">
              <w:rPr>
                <w:color w:val="0070C0"/>
                <w:sz w:val="24"/>
                <w:szCs w:val="24"/>
              </w:rPr>
              <w:t xml:space="preserve"> publicznych</w:t>
            </w:r>
            <w:bookmarkEnd w:id="226"/>
            <w:bookmarkEnd w:id="227"/>
          </w:p>
        </w:tc>
      </w:tr>
    </w:tbl>
    <w:p w14:paraId="5D24022D" w14:textId="6E0FBAAF" w:rsidR="002E76CD" w:rsidRDefault="002E76CD" w:rsidP="004645C5">
      <w:pPr>
        <w:shd w:val="clear" w:color="auto" w:fill="FFFFFF"/>
        <w:rPr>
          <w:rFonts w:cs="Arial"/>
          <w:szCs w:val="22"/>
        </w:rPr>
      </w:pPr>
    </w:p>
    <w:p w14:paraId="49D19A19" w14:textId="47804E91" w:rsidR="00141D41" w:rsidRPr="00141D41" w:rsidRDefault="00141D41" w:rsidP="00141D41">
      <w:pPr>
        <w:shd w:val="clear" w:color="auto" w:fill="FFFFFF"/>
        <w:rPr>
          <w:rFonts w:cs="Arial"/>
          <w:szCs w:val="22"/>
        </w:rPr>
      </w:pPr>
      <w:r w:rsidRPr="00141D41">
        <w:rPr>
          <w:rFonts w:cs="Arial"/>
          <w:szCs w:val="22"/>
        </w:rPr>
        <w:t>Stałą aktywnością Urzędu Zamówień Publicznych w 2022 roku, podobnie jak w latach ubiegłych, było wsparcie uczestników systemu zamówień publicznych w poszerzaniu wiedzy w zakresie przepisów Pzp i ich prawidłowego oraz maksymalnie efektywnego stosowania w</w:t>
      </w:r>
      <w:r w:rsidR="009343A1">
        <w:rPr>
          <w:rFonts w:cs="Arial"/>
          <w:szCs w:val="22"/>
        </w:rPr>
        <w:t xml:space="preserve"> </w:t>
      </w:r>
      <w:r w:rsidRPr="00141D41">
        <w:rPr>
          <w:rFonts w:cs="Arial"/>
          <w:szCs w:val="22"/>
        </w:rPr>
        <w:t>praktyce postępowań o udzielenie zamówień. Jednocześnie te intensywne działania stanowiły integralną część realizowanej przez Urząd polityki podnoszenia poziomu profesjonalizmu kadr zamówień publicznych. Gruntowną wiedzę w zakresie regulacji i procedur Prawa zamówień publicznych oraz interpretacje w kwestiach budzących wątpliwości otrzymało w trakcie licznych wydarzeń edukacyjnych organizowanych przez Urząd Zamówień Publicznych bądź z jego udziałem w 2022 roku łącznie ok. 4</w:t>
      </w:r>
      <w:r w:rsidR="009343A1">
        <w:rPr>
          <w:rFonts w:cs="Arial"/>
          <w:szCs w:val="22"/>
        </w:rPr>
        <w:t xml:space="preserve"> </w:t>
      </w:r>
      <w:r w:rsidRPr="00141D41">
        <w:rPr>
          <w:rFonts w:cs="Arial"/>
          <w:szCs w:val="22"/>
        </w:rPr>
        <w:t xml:space="preserve">040 osób. </w:t>
      </w:r>
    </w:p>
    <w:p w14:paraId="1CBD3F47" w14:textId="4F298F61" w:rsidR="00B979B4" w:rsidRDefault="00B979B4" w:rsidP="004645C5">
      <w:pPr>
        <w:shd w:val="clear" w:color="auto" w:fill="FFFFFF"/>
        <w:rPr>
          <w:rFonts w:cs="Arial"/>
          <w:szCs w:val="22"/>
        </w:rPr>
      </w:pPr>
    </w:p>
    <w:p w14:paraId="2A977203" w14:textId="2AC1B2B0" w:rsidR="00E1650A" w:rsidRPr="00E1650A" w:rsidRDefault="00BA4D67" w:rsidP="00E16264">
      <w:pPr>
        <w:pStyle w:val="StylArial11ptWyjustowany"/>
        <w:numPr>
          <w:ilvl w:val="0"/>
          <w:numId w:val="12"/>
        </w:numPr>
        <w:shd w:val="clear" w:color="auto" w:fill="FFFFFF"/>
        <w:jc w:val="left"/>
        <w:rPr>
          <w:rFonts w:cs="Arial"/>
          <w:b/>
          <w:iCs/>
          <w:color w:val="0070C0"/>
          <w:szCs w:val="22"/>
        </w:rPr>
      </w:pPr>
      <w:r w:rsidRPr="00BA4D67">
        <w:rPr>
          <w:rFonts w:cs="Arial"/>
          <w:b/>
          <w:iCs/>
          <w:color w:val="0070C0"/>
          <w:szCs w:val="22"/>
        </w:rPr>
        <w:t>Działania edukacyjne w ramach projektu „Profesjonalizacja kadr w</w:t>
      </w:r>
      <w:r w:rsidR="009343A1">
        <w:rPr>
          <w:rFonts w:cs="Arial"/>
          <w:b/>
          <w:iCs/>
          <w:color w:val="0070C0"/>
          <w:szCs w:val="22"/>
        </w:rPr>
        <w:t xml:space="preserve"> </w:t>
      </w:r>
      <w:r w:rsidRPr="00BA4D67">
        <w:rPr>
          <w:rFonts w:cs="Arial"/>
          <w:b/>
          <w:iCs/>
          <w:color w:val="0070C0"/>
          <w:szCs w:val="22"/>
        </w:rPr>
        <w:t>zamówieniach publicznych” zrealizowane w 2022 r.</w:t>
      </w:r>
    </w:p>
    <w:p w14:paraId="269FEA2D" w14:textId="0B992C16" w:rsidR="00E1650A" w:rsidRDefault="00E1650A" w:rsidP="004645C5">
      <w:pPr>
        <w:shd w:val="clear" w:color="auto" w:fill="FFFFFF"/>
        <w:rPr>
          <w:rFonts w:cs="Arial"/>
          <w:szCs w:val="22"/>
        </w:rPr>
      </w:pPr>
    </w:p>
    <w:p w14:paraId="4031F4D7" w14:textId="6E944BEF" w:rsidR="00BA4D67" w:rsidRPr="00BA4D67" w:rsidRDefault="00BA4D67" w:rsidP="00BA4D67">
      <w:pPr>
        <w:shd w:val="clear" w:color="auto" w:fill="FFFFFF"/>
        <w:rPr>
          <w:rFonts w:cs="Arial"/>
          <w:szCs w:val="22"/>
        </w:rPr>
      </w:pPr>
      <w:r w:rsidRPr="00BA4D67">
        <w:rPr>
          <w:rFonts w:cs="Arial"/>
          <w:szCs w:val="22"/>
        </w:rPr>
        <w:t>W 2022 roku Urząd Zamówień Publicznych kontynuował</w:t>
      </w:r>
      <w:r w:rsidR="009343A1">
        <w:rPr>
          <w:rFonts w:cs="Arial"/>
          <w:szCs w:val="22"/>
        </w:rPr>
        <w:t xml:space="preserve"> </w:t>
      </w:r>
      <w:r w:rsidRPr="00BA4D67">
        <w:rPr>
          <w:rFonts w:cs="Arial"/>
          <w:szCs w:val="22"/>
        </w:rPr>
        <w:t xml:space="preserve">działania edukacyjne w ramach projektu </w:t>
      </w:r>
      <w:r w:rsidRPr="00BA4D67">
        <w:rPr>
          <w:rFonts w:cs="Arial"/>
          <w:iCs/>
          <w:szCs w:val="22"/>
        </w:rPr>
        <w:t>„Profesjonalizacja kadr w zamówieniach publicznych”</w:t>
      </w:r>
      <w:r w:rsidRPr="00BA4D67">
        <w:rPr>
          <w:rFonts w:cs="Arial"/>
          <w:szCs w:val="22"/>
        </w:rPr>
        <w:t xml:space="preserve"> realizowanym w Programie Operacyjnym Wiedza Edukacja Rozwój</w:t>
      </w:r>
      <w:r w:rsidR="00F52DBB">
        <w:rPr>
          <w:rFonts w:cs="Arial"/>
          <w:szCs w:val="22"/>
        </w:rPr>
        <w:t xml:space="preserve"> 2014</w:t>
      </w:r>
      <w:r w:rsidR="00447DF9" w:rsidRPr="00447DF9">
        <w:rPr>
          <w:rFonts w:cs="Arial"/>
          <w:szCs w:val="22"/>
        </w:rPr>
        <w:t>–</w:t>
      </w:r>
      <w:r w:rsidR="00F52DBB">
        <w:rPr>
          <w:rFonts w:cs="Arial"/>
          <w:szCs w:val="22"/>
        </w:rPr>
        <w:t>2020</w:t>
      </w:r>
      <w:r w:rsidRPr="00BA4D67">
        <w:rPr>
          <w:rFonts w:cs="Arial"/>
          <w:szCs w:val="22"/>
        </w:rPr>
        <w:t>, O</w:t>
      </w:r>
      <w:r w:rsidRPr="00BA4D67">
        <w:rPr>
          <w:rFonts w:cs="Arial"/>
          <w:iCs/>
          <w:szCs w:val="22"/>
        </w:rPr>
        <w:t>ś priorytetowa</w:t>
      </w:r>
      <w:r w:rsidR="009343A1">
        <w:rPr>
          <w:rFonts w:cs="Arial"/>
          <w:iCs/>
          <w:szCs w:val="22"/>
        </w:rPr>
        <w:t xml:space="preserve"> </w:t>
      </w:r>
      <w:r w:rsidRPr="00BA4D67">
        <w:rPr>
          <w:rFonts w:cs="Arial"/>
          <w:iCs/>
          <w:szCs w:val="22"/>
        </w:rPr>
        <w:t xml:space="preserve">II: Efektywne polityki publiczne dla rynku pracy, gospodarki i edukacji, Działanie 2.18: Wysokiej jakości usługi administracyjne”. </w:t>
      </w:r>
      <w:r w:rsidRPr="00BA4D67">
        <w:rPr>
          <w:rFonts w:cs="Arial"/>
          <w:szCs w:val="22"/>
        </w:rPr>
        <w:t>Odbyły się szkolenia, seminaria i</w:t>
      </w:r>
      <w:r w:rsidR="009343A1">
        <w:rPr>
          <w:rFonts w:cs="Arial"/>
          <w:szCs w:val="22"/>
        </w:rPr>
        <w:t xml:space="preserve"> </w:t>
      </w:r>
      <w:r w:rsidRPr="00BA4D67">
        <w:rPr>
          <w:rFonts w:cs="Arial"/>
          <w:szCs w:val="22"/>
        </w:rPr>
        <w:t>konferencje w formule online, zapewniającej łatwy i</w:t>
      </w:r>
      <w:r w:rsidR="009343A1">
        <w:rPr>
          <w:rFonts w:cs="Arial"/>
          <w:szCs w:val="22"/>
        </w:rPr>
        <w:t xml:space="preserve"> </w:t>
      </w:r>
      <w:r w:rsidRPr="00BA4D67">
        <w:rPr>
          <w:rFonts w:cs="Arial"/>
          <w:szCs w:val="22"/>
        </w:rPr>
        <w:t xml:space="preserve">bezkosztowy dostęp niezależnie od lokalizacji fizycznej. Podstawowym celem tych przedsięwzięć edukacyjnych było przekazanie przez ekspertów Urzędu i ekspertów zewnętrznych wiedzy na temat procesu przygotowania i udzielenia zamówienia publicznego w oparciu o regulacje Pzp, wyjaśnienie przez nich wątpliwości interpretacyjnych i udzielenie odpowiedzi na stawiane przez uczestników pytania. </w:t>
      </w:r>
    </w:p>
    <w:p w14:paraId="797CFF3B" w14:textId="12F3491E" w:rsidR="00AB2318" w:rsidRDefault="00AB2318" w:rsidP="004645C5">
      <w:pPr>
        <w:shd w:val="clear" w:color="auto" w:fill="FFFFFF"/>
        <w:rPr>
          <w:rFonts w:cs="Arial"/>
          <w:szCs w:val="22"/>
        </w:rPr>
      </w:pPr>
    </w:p>
    <w:p w14:paraId="1A48BD25" w14:textId="77777777" w:rsidR="00B979B4" w:rsidRDefault="00B979B4" w:rsidP="004645C5">
      <w:pPr>
        <w:shd w:val="clear" w:color="auto" w:fill="FFFFFF"/>
        <w:rPr>
          <w:rFonts w:cs="Arial"/>
          <w:szCs w:val="22"/>
        </w:rPr>
      </w:pPr>
    </w:p>
    <w:p w14:paraId="774B1B53" w14:textId="5CCF3A4D" w:rsidR="00E1650A" w:rsidRPr="009610EB" w:rsidRDefault="00BA4D67" w:rsidP="00BA4D67">
      <w:pPr>
        <w:pStyle w:val="StylArial11ptWyjustowany"/>
        <w:numPr>
          <w:ilvl w:val="1"/>
          <w:numId w:val="4"/>
        </w:numPr>
        <w:shd w:val="clear" w:color="auto" w:fill="FFFFFF"/>
        <w:jc w:val="left"/>
        <w:rPr>
          <w:rFonts w:cs="Arial"/>
          <w:b/>
          <w:iCs/>
          <w:color w:val="0070C0"/>
          <w:szCs w:val="22"/>
        </w:rPr>
      </w:pPr>
      <w:r w:rsidRPr="00BA4D67">
        <w:rPr>
          <w:rFonts w:cs="Arial"/>
          <w:b/>
          <w:iCs/>
          <w:color w:val="0070C0"/>
          <w:szCs w:val="22"/>
        </w:rPr>
        <w:t>Szkolenia</w:t>
      </w:r>
    </w:p>
    <w:p w14:paraId="66C76554" w14:textId="5DDCF47A" w:rsidR="00E1650A" w:rsidRDefault="00E1650A" w:rsidP="004645C5">
      <w:pPr>
        <w:shd w:val="clear" w:color="auto" w:fill="FFFFFF"/>
        <w:rPr>
          <w:rFonts w:cs="Arial"/>
          <w:szCs w:val="22"/>
        </w:rPr>
      </w:pPr>
    </w:p>
    <w:p w14:paraId="2B060247" w14:textId="6BCBAEF9" w:rsidR="00BA4D67" w:rsidRPr="00BA4D67" w:rsidRDefault="00BA4D67" w:rsidP="00BA4D67">
      <w:pPr>
        <w:shd w:val="clear" w:color="auto" w:fill="FFFFFF"/>
        <w:rPr>
          <w:rFonts w:cs="Arial"/>
          <w:szCs w:val="22"/>
        </w:rPr>
      </w:pPr>
      <w:r w:rsidRPr="00BA4D67">
        <w:rPr>
          <w:rFonts w:cs="Arial"/>
          <w:szCs w:val="22"/>
        </w:rPr>
        <w:t>W 2022 r. w ramach projektu „Profesjonalizacja kadr w zamówieniach publicznych” zrealizowano 13 dwudniowych szkoleń w trybie online pt. „Proces przygotowania i</w:t>
      </w:r>
      <w:r w:rsidR="009343A1">
        <w:rPr>
          <w:rFonts w:cs="Arial"/>
          <w:szCs w:val="22"/>
        </w:rPr>
        <w:t xml:space="preserve"> </w:t>
      </w:r>
      <w:r w:rsidRPr="00BA4D67">
        <w:rPr>
          <w:rFonts w:cs="Arial"/>
          <w:szCs w:val="22"/>
        </w:rPr>
        <w:t>przeprowadzenia postępowania o zamówienie publiczne według regulacji Pzp” w</w:t>
      </w:r>
      <w:r w:rsidR="009343A1">
        <w:rPr>
          <w:rFonts w:cs="Arial"/>
          <w:szCs w:val="22"/>
        </w:rPr>
        <w:t xml:space="preserve"> </w:t>
      </w:r>
      <w:r w:rsidRPr="00BA4D67">
        <w:rPr>
          <w:rFonts w:cs="Arial"/>
          <w:szCs w:val="22"/>
        </w:rPr>
        <w:t xml:space="preserve">następujących terminach: </w:t>
      </w:r>
    </w:p>
    <w:p w14:paraId="209223EE" w14:textId="4253D9A5"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10</w:t>
      </w:r>
      <w:r w:rsidR="00F52DBB" w:rsidRPr="00F52DBB">
        <w:rPr>
          <w:rFonts w:cs="Arial"/>
          <w:sz w:val="22"/>
          <w:szCs w:val="22"/>
          <w:lang w:val="pl-PL"/>
        </w:rPr>
        <w:t>–</w:t>
      </w:r>
      <w:r w:rsidRPr="00BA4D67">
        <w:rPr>
          <w:rFonts w:cs="Arial"/>
          <w:sz w:val="22"/>
          <w:szCs w:val="22"/>
        </w:rPr>
        <w:t xml:space="preserve">11.03.2022 </w:t>
      </w:r>
    </w:p>
    <w:p w14:paraId="2179158A" w14:textId="1D07BD6B"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15</w:t>
      </w:r>
      <w:r w:rsidR="00F52DBB" w:rsidRPr="00F52DBB">
        <w:rPr>
          <w:rFonts w:cs="Arial"/>
          <w:sz w:val="22"/>
          <w:szCs w:val="22"/>
          <w:lang w:val="pl-PL"/>
        </w:rPr>
        <w:t>–</w:t>
      </w:r>
      <w:r w:rsidRPr="00BA4D67">
        <w:rPr>
          <w:rFonts w:cs="Arial"/>
          <w:sz w:val="22"/>
          <w:szCs w:val="22"/>
        </w:rPr>
        <w:t xml:space="preserve">16.03.2022 </w:t>
      </w:r>
    </w:p>
    <w:p w14:paraId="3D3C0BD3" w14:textId="495D917F"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6</w:t>
      </w:r>
      <w:r w:rsidR="00F52DBB" w:rsidRPr="00F52DBB">
        <w:rPr>
          <w:rFonts w:cs="Arial"/>
          <w:sz w:val="22"/>
          <w:szCs w:val="22"/>
          <w:lang w:val="pl-PL"/>
        </w:rPr>
        <w:t>–</w:t>
      </w:r>
      <w:r w:rsidRPr="00BA4D67">
        <w:rPr>
          <w:rFonts w:cs="Arial"/>
          <w:sz w:val="22"/>
          <w:szCs w:val="22"/>
        </w:rPr>
        <w:t>7.04.2022</w:t>
      </w:r>
    </w:p>
    <w:p w14:paraId="439E7C70" w14:textId="623E9A4C"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27</w:t>
      </w:r>
      <w:r w:rsidR="00F52DBB" w:rsidRPr="00F52DBB">
        <w:rPr>
          <w:rFonts w:cs="Arial"/>
          <w:sz w:val="22"/>
          <w:szCs w:val="22"/>
          <w:lang w:val="pl-PL"/>
        </w:rPr>
        <w:t>–</w:t>
      </w:r>
      <w:r w:rsidRPr="00BA4D67">
        <w:rPr>
          <w:rFonts w:cs="Arial"/>
          <w:sz w:val="22"/>
          <w:szCs w:val="22"/>
        </w:rPr>
        <w:t>28.04.2022</w:t>
      </w:r>
    </w:p>
    <w:p w14:paraId="3218A5E9" w14:textId="7F3940B5"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11</w:t>
      </w:r>
      <w:r w:rsidR="004B2FF4" w:rsidRPr="004B2FF4">
        <w:rPr>
          <w:rFonts w:cs="Arial"/>
          <w:sz w:val="22"/>
          <w:szCs w:val="22"/>
          <w:lang w:val="pl-PL"/>
        </w:rPr>
        <w:t>–</w:t>
      </w:r>
      <w:r w:rsidRPr="00BA4D67">
        <w:rPr>
          <w:rFonts w:cs="Arial"/>
          <w:sz w:val="22"/>
          <w:szCs w:val="22"/>
        </w:rPr>
        <w:t>12.05.2022</w:t>
      </w:r>
    </w:p>
    <w:p w14:paraId="76A1B196" w14:textId="5F4CDD26"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26</w:t>
      </w:r>
      <w:r w:rsidR="004B2FF4" w:rsidRPr="004B2FF4">
        <w:rPr>
          <w:rFonts w:cs="Arial"/>
          <w:sz w:val="22"/>
          <w:szCs w:val="22"/>
          <w:lang w:val="pl-PL"/>
        </w:rPr>
        <w:t>–</w:t>
      </w:r>
      <w:r w:rsidRPr="00BA4D67">
        <w:rPr>
          <w:rFonts w:cs="Arial"/>
          <w:sz w:val="22"/>
          <w:szCs w:val="22"/>
        </w:rPr>
        <w:t>27.05.2022</w:t>
      </w:r>
    </w:p>
    <w:p w14:paraId="3426AE72" w14:textId="16B5F97F"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9</w:t>
      </w:r>
      <w:r w:rsidR="004B2FF4" w:rsidRPr="004B2FF4">
        <w:rPr>
          <w:rFonts w:cs="Arial"/>
          <w:sz w:val="22"/>
          <w:szCs w:val="22"/>
          <w:lang w:val="pl-PL"/>
        </w:rPr>
        <w:t>–</w:t>
      </w:r>
      <w:r w:rsidRPr="00BA4D67">
        <w:rPr>
          <w:rFonts w:cs="Arial"/>
          <w:sz w:val="22"/>
          <w:szCs w:val="22"/>
        </w:rPr>
        <w:t>10.06.2022</w:t>
      </w:r>
    </w:p>
    <w:p w14:paraId="4AFF1511" w14:textId="34D73776"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22</w:t>
      </w:r>
      <w:r w:rsidR="004B2FF4" w:rsidRPr="004B2FF4">
        <w:rPr>
          <w:rFonts w:cs="Arial"/>
          <w:sz w:val="22"/>
          <w:szCs w:val="22"/>
          <w:lang w:val="pl-PL"/>
        </w:rPr>
        <w:t>–</w:t>
      </w:r>
      <w:r w:rsidRPr="00BA4D67">
        <w:rPr>
          <w:rFonts w:cs="Arial"/>
          <w:sz w:val="22"/>
          <w:szCs w:val="22"/>
        </w:rPr>
        <w:t>23.06.2022</w:t>
      </w:r>
    </w:p>
    <w:p w14:paraId="36D81C38" w14:textId="04E0C165"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8</w:t>
      </w:r>
      <w:r w:rsidR="004B2FF4" w:rsidRPr="004B2FF4">
        <w:rPr>
          <w:rFonts w:cs="Arial"/>
          <w:sz w:val="22"/>
          <w:szCs w:val="22"/>
          <w:lang w:val="pl-PL"/>
        </w:rPr>
        <w:t>–</w:t>
      </w:r>
      <w:r w:rsidRPr="00BA4D67">
        <w:rPr>
          <w:rFonts w:cs="Arial"/>
          <w:sz w:val="22"/>
          <w:szCs w:val="22"/>
        </w:rPr>
        <w:t xml:space="preserve">9.09.2022 </w:t>
      </w:r>
    </w:p>
    <w:p w14:paraId="1BBF7187" w14:textId="17EB57E0"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22</w:t>
      </w:r>
      <w:r w:rsidR="004B2FF4" w:rsidRPr="004B2FF4">
        <w:rPr>
          <w:rFonts w:cs="Arial"/>
          <w:sz w:val="22"/>
          <w:szCs w:val="22"/>
          <w:lang w:val="pl-PL"/>
        </w:rPr>
        <w:t>–</w:t>
      </w:r>
      <w:r w:rsidRPr="00BA4D67">
        <w:rPr>
          <w:rFonts w:cs="Arial"/>
          <w:sz w:val="22"/>
          <w:szCs w:val="22"/>
        </w:rPr>
        <w:t xml:space="preserve">23.09.2022 </w:t>
      </w:r>
    </w:p>
    <w:p w14:paraId="1A731213" w14:textId="1BFEC3EA"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5</w:t>
      </w:r>
      <w:r w:rsidR="004B2FF4" w:rsidRPr="004B2FF4">
        <w:rPr>
          <w:rFonts w:cs="Arial"/>
          <w:sz w:val="22"/>
          <w:szCs w:val="22"/>
          <w:lang w:val="pl-PL"/>
        </w:rPr>
        <w:t>–</w:t>
      </w:r>
      <w:r w:rsidRPr="00BA4D67">
        <w:rPr>
          <w:rFonts w:cs="Arial"/>
          <w:sz w:val="22"/>
          <w:szCs w:val="22"/>
        </w:rPr>
        <w:t xml:space="preserve">6.10.2022 </w:t>
      </w:r>
    </w:p>
    <w:p w14:paraId="4B892810" w14:textId="3A50698B"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26</w:t>
      </w:r>
      <w:r w:rsidR="004B2FF4" w:rsidRPr="004B2FF4">
        <w:rPr>
          <w:rFonts w:cs="Arial"/>
          <w:sz w:val="22"/>
          <w:szCs w:val="22"/>
          <w:lang w:val="pl-PL"/>
        </w:rPr>
        <w:t>–</w:t>
      </w:r>
      <w:r w:rsidRPr="00BA4D67">
        <w:rPr>
          <w:rFonts w:cs="Arial"/>
          <w:sz w:val="22"/>
          <w:szCs w:val="22"/>
        </w:rPr>
        <w:t xml:space="preserve">27.10.2022 </w:t>
      </w:r>
    </w:p>
    <w:p w14:paraId="67D2BA63" w14:textId="1E00ADF6" w:rsidR="00BA4D67" w:rsidRPr="00BA4D67" w:rsidRDefault="00BA4D67" w:rsidP="00E16264">
      <w:pPr>
        <w:pStyle w:val="Akapitzlist"/>
        <w:numPr>
          <w:ilvl w:val="0"/>
          <w:numId w:val="46"/>
        </w:numPr>
        <w:shd w:val="clear" w:color="auto" w:fill="FFFFFF"/>
        <w:rPr>
          <w:rFonts w:cs="Arial"/>
          <w:sz w:val="22"/>
          <w:szCs w:val="22"/>
        </w:rPr>
      </w:pPr>
      <w:r w:rsidRPr="00BA4D67">
        <w:rPr>
          <w:rFonts w:cs="Arial"/>
          <w:sz w:val="22"/>
          <w:szCs w:val="22"/>
        </w:rPr>
        <w:t>16</w:t>
      </w:r>
      <w:r w:rsidR="004B2FF4" w:rsidRPr="004B2FF4">
        <w:rPr>
          <w:rFonts w:cs="Arial"/>
          <w:sz w:val="22"/>
          <w:szCs w:val="22"/>
          <w:lang w:val="pl-PL"/>
        </w:rPr>
        <w:t>–</w:t>
      </w:r>
      <w:r w:rsidRPr="00BA4D67">
        <w:rPr>
          <w:rFonts w:cs="Arial"/>
          <w:sz w:val="22"/>
          <w:szCs w:val="22"/>
        </w:rPr>
        <w:t xml:space="preserve">17.11.2022 </w:t>
      </w:r>
    </w:p>
    <w:p w14:paraId="1A455A3C" w14:textId="77777777" w:rsidR="00BA4D67" w:rsidRPr="00BA4D67" w:rsidRDefault="00BA4D67" w:rsidP="00BA4D67">
      <w:pPr>
        <w:shd w:val="clear" w:color="auto" w:fill="FFFFFF"/>
        <w:rPr>
          <w:rFonts w:cs="Arial"/>
          <w:szCs w:val="22"/>
        </w:rPr>
      </w:pPr>
    </w:p>
    <w:p w14:paraId="71A36358" w14:textId="2F34D5E8" w:rsidR="00BA4D67" w:rsidRPr="00BA4D67" w:rsidRDefault="00BA4D67" w:rsidP="00BA4D67">
      <w:pPr>
        <w:shd w:val="clear" w:color="auto" w:fill="FFFFFF"/>
        <w:rPr>
          <w:rFonts w:cs="Arial"/>
          <w:szCs w:val="22"/>
        </w:rPr>
      </w:pPr>
      <w:r w:rsidRPr="00BA4D67">
        <w:rPr>
          <w:rFonts w:cs="Arial"/>
          <w:szCs w:val="22"/>
        </w:rPr>
        <w:t>Program szkoleń obejmował takie zagadnien</w:t>
      </w:r>
      <w:r w:rsidR="00A5297F">
        <w:rPr>
          <w:rFonts w:cs="Arial"/>
          <w:szCs w:val="22"/>
        </w:rPr>
        <w:t xml:space="preserve">ia, jak: procedura udzielenia zamówienia o wartości </w:t>
      </w:r>
      <w:r w:rsidRPr="00BA4D67">
        <w:rPr>
          <w:rFonts w:cs="Arial"/>
          <w:szCs w:val="22"/>
        </w:rPr>
        <w:t xml:space="preserve">poniżej </w:t>
      </w:r>
      <w:r w:rsidR="00A5297F">
        <w:rPr>
          <w:rFonts w:cs="Arial"/>
          <w:szCs w:val="22"/>
        </w:rPr>
        <w:t xml:space="preserve">progów unijnych </w:t>
      </w:r>
      <w:r w:rsidRPr="00BA4D67">
        <w:rPr>
          <w:rFonts w:cs="Arial"/>
          <w:szCs w:val="22"/>
        </w:rPr>
        <w:t>i</w:t>
      </w:r>
      <w:r w:rsidR="009343A1">
        <w:rPr>
          <w:rFonts w:cs="Arial"/>
          <w:szCs w:val="22"/>
        </w:rPr>
        <w:t xml:space="preserve"> </w:t>
      </w:r>
      <w:r w:rsidR="00FB217C" w:rsidRPr="00FB217C">
        <w:rPr>
          <w:rFonts w:cs="Arial"/>
          <w:szCs w:val="22"/>
        </w:rPr>
        <w:t>o wartości równej lub przekraczającej progi unijne</w:t>
      </w:r>
      <w:r w:rsidRPr="00BA4D67">
        <w:rPr>
          <w:rFonts w:cs="Arial"/>
          <w:szCs w:val="22"/>
        </w:rPr>
        <w:t xml:space="preserve"> z uwzględnieniem przepisów przyjaznych MŚP, wybór oferty najkorzystniejszej, kryteria oceny ofert, negocjacje w procesie udzielania zamówień publicznych, elektronizacja zamówień publicznych, innowacyjność zamówień publicznych oraz Dostępność Plus przy udzielaniu zamówień. </w:t>
      </w:r>
    </w:p>
    <w:p w14:paraId="242725F9" w14:textId="7BFE7883" w:rsidR="00BA4D67" w:rsidRPr="00BA4D67" w:rsidRDefault="00BA4D67" w:rsidP="00BA4D67">
      <w:pPr>
        <w:shd w:val="clear" w:color="auto" w:fill="FFFFFF"/>
        <w:rPr>
          <w:rFonts w:cs="Arial"/>
          <w:szCs w:val="22"/>
        </w:rPr>
      </w:pPr>
      <w:r w:rsidRPr="00BA4D67">
        <w:rPr>
          <w:rFonts w:cs="Arial"/>
          <w:iCs/>
          <w:szCs w:val="22"/>
        </w:rPr>
        <w:t>W szkoleniach wzięli udział beneficjenci projektów realizowanych w</w:t>
      </w:r>
      <w:r w:rsidR="009343A1">
        <w:rPr>
          <w:rFonts w:cs="Arial"/>
          <w:iCs/>
          <w:szCs w:val="22"/>
        </w:rPr>
        <w:t xml:space="preserve"> </w:t>
      </w:r>
      <w:r w:rsidRPr="00BA4D67">
        <w:rPr>
          <w:rFonts w:cs="Arial"/>
          <w:iCs/>
          <w:szCs w:val="22"/>
        </w:rPr>
        <w:t>ramach osi priorytetowej II, tj. przedstawiciele administracji rządowej, samorządowej i</w:t>
      </w:r>
      <w:r w:rsidR="009343A1">
        <w:rPr>
          <w:rFonts w:cs="Arial"/>
          <w:iCs/>
          <w:szCs w:val="22"/>
        </w:rPr>
        <w:t xml:space="preserve"> </w:t>
      </w:r>
      <w:r w:rsidRPr="00BA4D67">
        <w:rPr>
          <w:rFonts w:cs="Arial"/>
          <w:iCs/>
          <w:szCs w:val="22"/>
        </w:rPr>
        <w:t xml:space="preserve">jednostek podległych oraz przedstawiciele instytucji kontrolujących udzielanie zamówień. </w:t>
      </w:r>
    </w:p>
    <w:p w14:paraId="75F9CFB0" w14:textId="77777777" w:rsidR="00BA4D67" w:rsidRDefault="00BA4D67" w:rsidP="00BA4D67">
      <w:pPr>
        <w:shd w:val="clear" w:color="auto" w:fill="FFFFFF"/>
        <w:rPr>
          <w:rFonts w:cs="Arial"/>
          <w:iCs/>
          <w:szCs w:val="22"/>
        </w:rPr>
      </w:pPr>
    </w:p>
    <w:p w14:paraId="0CE896CE" w14:textId="12D44F7B" w:rsidR="00BA4D67" w:rsidRPr="00BA4D67" w:rsidRDefault="00BA4D67" w:rsidP="00BA4D67">
      <w:pPr>
        <w:shd w:val="clear" w:color="auto" w:fill="FFFFFF"/>
        <w:rPr>
          <w:rFonts w:cs="Arial"/>
          <w:iCs/>
          <w:szCs w:val="22"/>
        </w:rPr>
      </w:pPr>
      <w:r w:rsidRPr="00BA4D67">
        <w:rPr>
          <w:rFonts w:cs="Arial"/>
          <w:iCs/>
          <w:szCs w:val="22"/>
        </w:rPr>
        <w:t xml:space="preserve">Podczas ww. szkoleń swoje kompetencje podniosło 377 osób. </w:t>
      </w:r>
    </w:p>
    <w:p w14:paraId="59B85D30" w14:textId="4D499579" w:rsidR="00B95E2D" w:rsidRDefault="00B95E2D" w:rsidP="004645C5">
      <w:pPr>
        <w:shd w:val="clear" w:color="auto" w:fill="FFFFFF"/>
        <w:rPr>
          <w:rFonts w:cs="Arial"/>
          <w:szCs w:val="22"/>
        </w:rPr>
      </w:pPr>
    </w:p>
    <w:p w14:paraId="7A0A866C" w14:textId="2307F506" w:rsidR="00DC4149" w:rsidRDefault="00DC4149" w:rsidP="004645C5">
      <w:pPr>
        <w:shd w:val="clear" w:color="auto" w:fill="FFFFFF"/>
        <w:rPr>
          <w:rFonts w:cs="Arial"/>
          <w:szCs w:val="22"/>
        </w:rPr>
      </w:pPr>
    </w:p>
    <w:p w14:paraId="034FB7A8" w14:textId="6D8E6FF8" w:rsidR="00DC4149" w:rsidRPr="003F2969" w:rsidRDefault="00BA4D67" w:rsidP="00BA4D67">
      <w:pPr>
        <w:pStyle w:val="StylArial11ptWyjustowany"/>
        <w:numPr>
          <w:ilvl w:val="1"/>
          <w:numId w:val="4"/>
        </w:numPr>
        <w:shd w:val="clear" w:color="auto" w:fill="FFFFFF"/>
        <w:jc w:val="left"/>
        <w:rPr>
          <w:rFonts w:cs="Arial"/>
          <w:b/>
          <w:iCs/>
          <w:color w:val="0070C0"/>
          <w:szCs w:val="22"/>
        </w:rPr>
      </w:pPr>
      <w:r w:rsidRPr="00BA4D67">
        <w:rPr>
          <w:rFonts w:cs="Arial"/>
          <w:b/>
          <w:iCs/>
          <w:color w:val="0070C0"/>
          <w:szCs w:val="22"/>
        </w:rPr>
        <w:t>Konferencje</w:t>
      </w:r>
    </w:p>
    <w:p w14:paraId="000DC042" w14:textId="0C6A65D9" w:rsidR="00FA5F3C" w:rsidRDefault="00FA5F3C" w:rsidP="004645C5">
      <w:pPr>
        <w:shd w:val="clear" w:color="auto" w:fill="FFFFFF"/>
        <w:rPr>
          <w:rFonts w:cs="Arial"/>
          <w:szCs w:val="22"/>
        </w:rPr>
      </w:pPr>
    </w:p>
    <w:p w14:paraId="7F3AB0A5" w14:textId="0E69FCD8" w:rsidR="00BA4D67" w:rsidRPr="00BA4D67" w:rsidRDefault="00BA4D67" w:rsidP="00BA4D67">
      <w:pPr>
        <w:shd w:val="clear" w:color="auto" w:fill="FFFFFF"/>
        <w:rPr>
          <w:rFonts w:cs="Arial"/>
          <w:szCs w:val="22"/>
        </w:rPr>
      </w:pPr>
      <w:r w:rsidRPr="00BA4D67">
        <w:rPr>
          <w:rFonts w:cs="Arial"/>
          <w:szCs w:val="22"/>
        </w:rPr>
        <w:t>W ramach projektu „Profesjonalizacja kadr w zamówieniach publicznych” zorganizowano również w</w:t>
      </w:r>
      <w:r w:rsidR="009343A1">
        <w:rPr>
          <w:rFonts w:cs="Arial"/>
          <w:szCs w:val="22"/>
        </w:rPr>
        <w:t xml:space="preserve"> </w:t>
      </w:r>
      <w:r w:rsidRPr="00BA4D67">
        <w:rPr>
          <w:rFonts w:cs="Arial"/>
          <w:szCs w:val="22"/>
        </w:rPr>
        <w:t xml:space="preserve">2022 roku dwie konferencje, w których uczestniczyło łącznie 298 beneficjentów projektu. </w:t>
      </w:r>
    </w:p>
    <w:p w14:paraId="448F5685" w14:textId="77777777" w:rsidR="00BA4D67" w:rsidRDefault="00BA4D67" w:rsidP="00BA4D67">
      <w:pPr>
        <w:shd w:val="clear" w:color="auto" w:fill="FFFFFF"/>
        <w:rPr>
          <w:rFonts w:cs="Arial"/>
          <w:szCs w:val="22"/>
        </w:rPr>
      </w:pPr>
    </w:p>
    <w:p w14:paraId="0997A07B" w14:textId="4280361A" w:rsidR="00BA4D67" w:rsidRPr="00BA4D67" w:rsidRDefault="00BA4D67" w:rsidP="00BA4D67">
      <w:pPr>
        <w:shd w:val="clear" w:color="auto" w:fill="FFFFFF"/>
        <w:rPr>
          <w:rFonts w:cs="Arial"/>
          <w:szCs w:val="22"/>
        </w:rPr>
      </w:pPr>
      <w:r w:rsidRPr="00BA4D67">
        <w:rPr>
          <w:rFonts w:cs="Arial"/>
          <w:szCs w:val="22"/>
        </w:rPr>
        <w:t xml:space="preserve">20 maja 2022 r. odbyła się konferencja pt. </w:t>
      </w:r>
      <w:r w:rsidRPr="00BA4D67">
        <w:rPr>
          <w:rFonts w:cs="Arial"/>
          <w:b/>
          <w:bCs/>
          <w:szCs w:val="22"/>
        </w:rPr>
        <w:t>„Innowacyjne zamówienia publiczne”.</w:t>
      </w:r>
      <w:r w:rsidRPr="00BA4D67">
        <w:rPr>
          <w:rFonts w:cs="Arial"/>
          <w:szCs w:val="22"/>
        </w:rPr>
        <w:t xml:space="preserve"> Przedsięwzięcie to pozwoliło uczestnikom zdobyć wiedzę w obszarze zagadnień merytorycznych oraz poszerzyć horyzonty w postrzeganiu zamówień publicznych nie tylko jako narzędzia do zaspokajania zdefiniowanych potrzeb zamawiającego, ale również </w:t>
      </w:r>
      <w:r w:rsidR="004B2FF4" w:rsidRPr="004B2FF4">
        <w:rPr>
          <w:rFonts w:cs="Arial"/>
          <w:szCs w:val="22"/>
        </w:rPr>
        <w:t>–</w:t>
      </w:r>
      <w:r w:rsidRPr="00BA4D67">
        <w:rPr>
          <w:rFonts w:cs="Arial"/>
          <w:szCs w:val="22"/>
        </w:rPr>
        <w:t xml:space="preserve"> co ważne w kontekście strategicznych celów polityki państwa </w:t>
      </w:r>
      <w:r w:rsidR="004B2FF4" w:rsidRPr="004B2FF4">
        <w:rPr>
          <w:rFonts w:cs="Arial"/>
          <w:szCs w:val="22"/>
        </w:rPr>
        <w:t>–</w:t>
      </w:r>
      <w:r w:rsidR="009343A1">
        <w:rPr>
          <w:rFonts w:cs="Arial"/>
          <w:szCs w:val="22"/>
        </w:rPr>
        <w:t xml:space="preserve"> </w:t>
      </w:r>
      <w:r w:rsidRPr="00BA4D67">
        <w:rPr>
          <w:rFonts w:cs="Arial"/>
          <w:szCs w:val="22"/>
        </w:rPr>
        <w:t>jako instrumentu do budowania bardziej innowacyjnej gospodarki. Prawo zamówień publicznych daje szereg nowych rozwiązań w tym obszarze, konsekwentnie wspierając zamówienia innowacyjne i stwarzając możliwości skutecznego stosowania w praktyce nowego podejścia do zakupów.</w:t>
      </w:r>
    </w:p>
    <w:p w14:paraId="18F44FF3" w14:textId="5A642A0F" w:rsidR="00BA4D67" w:rsidRPr="00BA4D67" w:rsidRDefault="008E233B" w:rsidP="00BA4D67">
      <w:pPr>
        <w:shd w:val="clear" w:color="auto" w:fill="FFFFFF"/>
        <w:rPr>
          <w:rFonts w:cs="Arial"/>
          <w:szCs w:val="22"/>
        </w:rPr>
      </w:pPr>
      <w:r>
        <w:rPr>
          <w:rFonts w:cs="Arial"/>
          <w:szCs w:val="22"/>
        </w:rPr>
        <w:t>W</w:t>
      </w:r>
      <w:r w:rsidR="009343A1">
        <w:rPr>
          <w:rFonts w:cs="Arial"/>
          <w:szCs w:val="22"/>
        </w:rPr>
        <w:t xml:space="preserve"> </w:t>
      </w:r>
      <w:r w:rsidR="00BA4D67" w:rsidRPr="00BA4D67">
        <w:rPr>
          <w:rFonts w:cs="Arial"/>
          <w:szCs w:val="22"/>
        </w:rPr>
        <w:t>wystąpieniu otwierającym podkreśl</w:t>
      </w:r>
      <w:r>
        <w:rPr>
          <w:rFonts w:cs="Arial"/>
          <w:szCs w:val="22"/>
        </w:rPr>
        <w:t>ono</w:t>
      </w:r>
      <w:r w:rsidR="00BA4D67" w:rsidRPr="00BA4D67">
        <w:rPr>
          <w:rFonts w:cs="Arial"/>
          <w:szCs w:val="22"/>
        </w:rPr>
        <w:t xml:space="preserve"> wagę zagadnień,</w:t>
      </w:r>
      <w:r w:rsidR="009343A1">
        <w:rPr>
          <w:rFonts w:cs="Arial"/>
          <w:szCs w:val="22"/>
        </w:rPr>
        <w:t xml:space="preserve"> </w:t>
      </w:r>
      <w:r w:rsidR="00BA4D67" w:rsidRPr="00BA4D67">
        <w:rPr>
          <w:rFonts w:cs="Arial"/>
          <w:szCs w:val="22"/>
        </w:rPr>
        <w:t>stanowiących przedmiot konferencji</w:t>
      </w:r>
      <w:r w:rsidR="00430975">
        <w:rPr>
          <w:rFonts w:cs="Arial"/>
          <w:szCs w:val="22"/>
        </w:rPr>
        <w:t xml:space="preserve"> oraz</w:t>
      </w:r>
      <w:r w:rsidR="009A02C1">
        <w:rPr>
          <w:rFonts w:cs="Arial"/>
          <w:szCs w:val="22"/>
        </w:rPr>
        <w:t xml:space="preserve"> </w:t>
      </w:r>
      <w:r w:rsidR="00BA4D67" w:rsidRPr="00BA4D67">
        <w:rPr>
          <w:rFonts w:cs="Arial"/>
          <w:szCs w:val="22"/>
        </w:rPr>
        <w:t>znaczenie innowacyjności w zamówieniach publicznych</w:t>
      </w:r>
      <w:r w:rsidR="00430975">
        <w:rPr>
          <w:rFonts w:cs="Arial"/>
          <w:szCs w:val="22"/>
        </w:rPr>
        <w:t>.</w:t>
      </w:r>
      <w:r w:rsidR="00F52DBB">
        <w:rPr>
          <w:rFonts w:cs="Arial"/>
          <w:szCs w:val="22"/>
        </w:rPr>
        <w:t xml:space="preserve"> </w:t>
      </w:r>
      <w:r w:rsidR="00DE5406">
        <w:rPr>
          <w:rFonts w:cs="Arial"/>
          <w:szCs w:val="22"/>
        </w:rPr>
        <w:t>W</w:t>
      </w:r>
      <w:r w:rsidR="00BA4D67" w:rsidRPr="00BA4D67">
        <w:rPr>
          <w:rFonts w:cs="Arial"/>
          <w:szCs w:val="22"/>
        </w:rPr>
        <w:t>skaz</w:t>
      </w:r>
      <w:r w:rsidR="00DE5406">
        <w:rPr>
          <w:rFonts w:cs="Arial"/>
          <w:szCs w:val="22"/>
        </w:rPr>
        <w:t>ano</w:t>
      </w:r>
      <w:r w:rsidR="00BA4D67" w:rsidRPr="00BA4D67">
        <w:rPr>
          <w:rFonts w:cs="Arial"/>
          <w:szCs w:val="22"/>
        </w:rPr>
        <w:t xml:space="preserve"> także na strategię, jaką przyjął Urząd Zamówień Publicznych, promując i wykorzystując w swojej praktyce innowacyjne zamówienia publiczne oraz zamówienia na innowacje.</w:t>
      </w:r>
    </w:p>
    <w:p w14:paraId="2EA7DFF3" w14:textId="69D01CF2" w:rsidR="00BA4D67" w:rsidRPr="00BA4D67" w:rsidRDefault="00821BB1" w:rsidP="00BA4D67">
      <w:pPr>
        <w:shd w:val="clear" w:color="auto" w:fill="FFFFFF"/>
        <w:rPr>
          <w:rFonts w:cs="Arial"/>
          <w:szCs w:val="22"/>
        </w:rPr>
      </w:pPr>
      <w:r>
        <w:rPr>
          <w:rFonts w:cs="Arial"/>
          <w:szCs w:val="22"/>
        </w:rPr>
        <w:t xml:space="preserve">Wśród omawianych </w:t>
      </w:r>
      <w:r w:rsidR="0092703D">
        <w:rPr>
          <w:rFonts w:cs="Arial"/>
          <w:szCs w:val="22"/>
        </w:rPr>
        <w:t>tematów</w:t>
      </w:r>
      <w:r>
        <w:rPr>
          <w:rFonts w:cs="Arial"/>
          <w:szCs w:val="22"/>
        </w:rPr>
        <w:t xml:space="preserve"> znalazły się: </w:t>
      </w:r>
      <w:r w:rsidR="00AF5B6D">
        <w:rPr>
          <w:rFonts w:cs="Arial"/>
          <w:szCs w:val="22"/>
        </w:rPr>
        <w:t xml:space="preserve">1) </w:t>
      </w:r>
      <w:r w:rsidR="00BA4D67" w:rsidRPr="00BA4D67">
        <w:rPr>
          <w:rFonts w:cs="Arial"/>
          <w:szCs w:val="22"/>
        </w:rPr>
        <w:t xml:space="preserve">wiodące zagadnienia w obszarze innowacyjności, </w:t>
      </w:r>
      <w:r w:rsidR="0092703D">
        <w:rPr>
          <w:rFonts w:cs="Arial"/>
          <w:szCs w:val="22"/>
        </w:rPr>
        <w:t>dotyczące</w:t>
      </w:r>
      <w:r w:rsidR="00BA4D67" w:rsidRPr="00BA4D67">
        <w:rPr>
          <w:rFonts w:cs="Arial"/>
          <w:szCs w:val="22"/>
        </w:rPr>
        <w:t xml:space="preserve"> zróżnicowane</w:t>
      </w:r>
      <w:r w:rsidR="0092703D">
        <w:rPr>
          <w:rFonts w:cs="Arial"/>
          <w:szCs w:val="22"/>
        </w:rPr>
        <w:t>go</w:t>
      </w:r>
      <w:r w:rsidR="00BA4D67" w:rsidRPr="00BA4D67">
        <w:rPr>
          <w:rFonts w:cs="Arial"/>
          <w:szCs w:val="22"/>
        </w:rPr>
        <w:t xml:space="preserve"> rozumieni</w:t>
      </w:r>
      <w:r w:rsidR="0092703D">
        <w:rPr>
          <w:rFonts w:cs="Arial"/>
          <w:szCs w:val="22"/>
        </w:rPr>
        <w:t>a</w:t>
      </w:r>
      <w:r w:rsidR="00BA4D67" w:rsidRPr="00BA4D67">
        <w:rPr>
          <w:rFonts w:cs="Arial"/>
          <w:szCs w:val="22"/>
        </w:rPr>
        <w:t xml:space="preserve"> tego</w:t>
      </w:r>
      <w:r w:rsidR="009343A1">
        <w:rPr>
          <w:rFonts w:cs="Arial"/>
          <w:szCs w:val="22"/>
        </w:rPr>
        <w:t xml:space="preserve"> </w:t>
      </w:r>
      <w:r w:rsidR="00BA4D67" w:rsidRPr="00BA4D67">
        <w:rPr>
          <w:rFonts w:cs="Arial"/>
          <w:szCs w:val="22"/>
        </w:rPr>
        <w:t>pojęcia w zamówieniach publicznych</w:t>
      </w:r>
      <w:r w:rsidR="0092703D">
        <w:rPr>
          <w:rFonts w:cs="Arial"/>
          <w:szCs w:val="22"/>
        </w:rPr>
        <w:t>,</w:t>
      </w:r>
      <w:r w:rsidR="009A02C1">
        <w:rPr>
          <w:rFonts w:cs="Arial"/>
          <w:szCs w:val="22"/>
        </w:rPr>
        <w:t xml:space="preserve"> </w:t>
      </w:r>
      <w:r w:rsidR="00AF5B6D">
        <w:rPr>
          <w:rFonts w:cs="Arial"/>
          <w:szCs w:val="22"/>
        </w:rPr>
        <w:t xml:space="preserve">2) </w:t>
      </w:r>
      <w:r w:rsidR="00BA4D67" w:rsidRPr="00BA4D67">
        <w:rPr>
          <w:rFonts w:cs="Arial"/>
          <w:szCs w:val="22"/>
        </w:rPr>
        <w:t>definicj</w:t>
      </w:r>
      <w:r w:rsidR="00AF5B6D">
        <w:rPr>
          <w:rFonts w:cs="Arial"/>
          <w:szCs w:val="22"/>
        </w:rPr>
        <w:t>a</w:t>
      </w:r>
      <w:r w:rsidR="00BA4D67" w:rsidRPr="00BA4D67">
        <w:rPr>
          <w:rFonts w:cs="Arial"/>
          <w:szCs w:val="22"/>
        </w:rPr>
        <w:t xml:space="preserve"> innowacyjności, </w:t>
      </w:r>
      <w:r w:rsidR="00B77865">
        <w:rPr>
          <w:rFonts w:cs="Arial"/>
          <w:szCs w:val="22"/>
        </w:rPr>
        <w:t xml:space="preserve">3) </w:t>
      </w:r>
      <w:r w:rsidR="00BA4D67" w:rsidRPr="00BA4D67">
        <w:rPr>
          <w:rFonts w:cs="Arial"/>
          <w:szCs w:val="22"/>
        </w:rPr>
        <w:t>zamówie</w:t>
      </w:r>
      <w:r w:rsidR="00B77865">
        <w:rPr>
          <w:rFonts w:cs="Arial"/>
          <w:szCs w:val="22"/>
        </w:rPr>
        <w:t>nia</w:t>
      </w:r>
      <w:r w:rsidR="00BA4D67" w:rsidRPr="00BA4D67">
        <w:rPr>
          <w:rFonts w:cs="Arial"/>
          <w:szCs w:val="22"/>
        </w:rPr>
        <w:t xml:space="preserve"> przedkomercyjn</w:t>
      </w:r>
      <w:r w:rsidR="00B77865">
        <w:rPr>
          <w:rFonts w:cs="Arial"/>
          <w:szCs w:val="22"/>
        </w:rPr>
        <w:t xml:space="preserve">e, 4) </w:t>
      </w:r>
      <w:r w:rsidR="00BA4D67" w:rsidRPr="00BA4D67">
        <w:rPr>
          <w:rFonts w:cs="Arial"/>
          <w:szCs w:val="22"/>
        </w:rPr>
        <w:t>podstawowe kwestie związane z wdrażaniem lub udoskonalaniem produktu, usługi lub procesu</w:t>
      </w:r>
      <w:r w:rsidR="00B77865">
        <w:rPr>
          <w:rFonts w:cs="Arial"/>
          <w:szCs w:val="22"/>
        </w:rPr>
        <w:t>, 5)</w:t>
      </w:r>
      <w:r w:rsidR="009A02C1">
        <w:rPr>
          <w:rFonts w:cs="Arial"/>
          <w:szCs w:val="22"/>
        </w:rPr>
        <w:t xml:space="preserve"> </w:t>
      </w:r>
      <w:r w:rsidR="00BA4D67" w:rsidRPr="00BA4D67">
        <w:rPr>
          <w:rFonts w:cs="Arial"/>
          <w:szCs w:val="22"/>
        </w:rPr>
        <w:t>wykorzystani</w:t>
      </w:r>
      <w:r w:rsidR="00E236F8">
        <w:rPr>
          <w:rFonts w:cs="Arial"/>
          <w:szCs w:val="22"/>
        </w:rPr>
        <w:t>e</w:t>
      </w:r>
      <w:r w:rsidR="00BA4D67" w:rsidRPr="00BA4D67">
        <w:rPr>
          <w:rFonts w:cs="Arial"/>
          <w:szCs w:val="22"/>
        </w:rPr>
        <w:t xml:space="preserve"> innowacji na etapie przygotowania postępowania o zamówienie publiczne</w:t>
      </w:r>
      <w:r w:rsidR="00E236F8">
        <w:rPr>
          <w:rFonts w:cs="Arial"/>
          <w:szCs w:val="22"/>
        </w:rPr>
        <w:t xml:space="preserve">, w tym </w:t>
      </w:r>
      <w:r w:rsidR="00BA4D67" w:rsidRPr="00BA4D67">
        <w:rPr>
          <w:rFonts w:cs="Arial"/>
          <w:szCs w:val="22"/>
        </w:rPr>
        <w:t>instrumenty w ustawie Pzp sprzyjające innowacjom</w:t>
      </w:r>
      <w:r w:rsidR="00B13F8C">
        <w:rPr>
          <w:rFonts w:cs="Arial"/>
          <w:szCs w:val="22"/>
        </w:rPr>
        <w:t xml:space="preserve">, 6) </w:t>
      </w:r>
      <w:r w:rsidR="00BA4D67" w:rsidRPr="00BA4D67">
        <w:rPr>
          <w:rFonts w:cs="Arial"/>
          <w:szCs w:val="22"/>
        </w:rPr>
        <w:t>wyłączenia</w:t>
      </w:r>
      <w:r w:rsidR="009343A1">
        <w:rPr>
          <w:rFonts w:cs="Arial"/>
          <w:szCs w:val="22"/>
        </w:rPr>
        <w:t xml:space="preserve"> </w:t>
      </w:r>
      <w:r w:rsidR="00BA4D67" w:rsidRPr="00BA4D67">
        <w:rPr>
          <w:rFonts w:cs="Arial"/>
          <w:szCs w:val="22"/>
        </w:rPr>
        <w:t>stosowania ustawy w przypadku zamówień na usługi badawcze lub rozwojowe</w:t>
      </w:r>
      <w:r w:rsidR="00B13F8C">
        <w:rPr>
          <w:rFonts w:cs="Arial"/>
          <w:szCs w:val="22"/>
        </w:rPr>
        <w:t>, 7)</w:t>
      </w:r>
      <w:r w:rsidR="009A02C1">
        <w:rPr>
          <w:rFonts w:cs="Arial"/>
          <w:szCs w:val="22"/>
        </w:rPr>
        <w:t xml:space="preserve"> </w:t>
      </w:r>
      <w:r w:rsidR="00BA4D67" w:rsidRPr="00BA4D67">
        <w:rPr>
          <w:rFonts w:cs="Arial"/>
          <w:szCs w:val="22"/>
        </w:rPr>
        <w:t>przesłanki stosowania i procedur</w:t>
      </w:r>
      <w:r w:rsidR="004D3917">
        <w:rPr>
          <w:rFonts w:cs="Arial"/>
          <w:szCs w:val="22"/>
        </w:rPr>
        <w:t>a</w:t>
      </w:r>
      <w:r w:rsidR="00BA4D67" w:rsidRPr="00BA4D67">
        <w:rPr>
          <w:rFonts w:cs="Arial"/>
          <w:szCs w:val="22"/>
        </w:rPr>
        <w:t xml:space="preserve"> trybów udzielania zamówień publicznych sprzyjającym innowacjom</w:t>
      </w:r>
      <w:r w:rsidR="009343A1">
        <w:rPr>
          <w:rFonts w:cs="Arial"/>
          <w:szCs w:val="22"/>
        </w:rPr>
        <w:t xml:space="preserve"> </w:t>
      </w:r>
      <w:r w:rsidR="00BA4D67" w:rsidRPr="00BA4D67">
        <w:rPr>
          <w:rFonts w:cs="Arial"/>
          <w:szCs w:val="22"/>
        </w:rPr>
        <w:t xml:space="preserve">przewidzianych w ustawie </w:t>
      </w:r>
      <w:r w:rsidR="004B2FF4" w:rsidRPr="004B2FF4">
        <w:rPr>
          <w:rFonts w:cs="Arial"/>
          <w:szCs w:val="22"/>
        </w:rPr>
        <w:t>–</w:t>
      </w:r>
      <w:r w:rsidR="004B2FF4">
        <w:rPr>
          <w:rFonts w:cs="Arial"/>
          <w:szCs w:val="22"/>
        </w:rPr>
        <w:t xml:space="preserve"> </w:t>
      </w:r>
      <w:r w:rsidR="00BA4D67" w:rsidRPr="00BA4D67">
        <w:rPr>
          <w:rFonts w:cs="Arial"/>
          <w:szCs w:val="22"/>
        </w:rPr>
        <w:t>Prawo zamówień publicznych</w:t>
      </w:r>
      <w:r w:rsidR="004D3917">
        <w:rPr>
          <w:rFonts w:cs="Arial"/>
          <w:szCs w:val="22"/>
        </w:rPr>
        <w:t>, 8)</w:t>
      </w:r>
      <w:r w:rsidR="009A02C1">
        <w:rPr>
          <w:rFonts w:cs="Arial"/>
          <w:szCs w:val="22"/>
        </w:rPr>
        <w:t xml:space="preserve"> </w:t>
      </w:r>
      <w:r w:rsidR="00BA4D67" w:rsidRPr="00BA4D67">
        <w:rPr>
          <w:rFonts w:cs="Arial"/>
          <w:szCs w:val="22"/>
        </w:rPr>
        <w:t>aspekty, na które należy zwrócić uwagę, przygotowując procedurę udzielenia zamówienia i dokonując wyboru trybu</w:t>
      </w:r>
      <w:r w:rsidR="00767FD1">
        <w:rPr>
          <w:rFonts w:cs="Arial"/>
          <w:szCs w:val="22"/>
        </w:rPr>
        <w:t xml:space="preserve">, 9) </w:t>
      </w:r>
      <w:r w:rsidR="00BA4D67" w:rsidRPr="00BA4D67">
        <w:rPr>
          <w:rFonts w:cs="Arial"/>
          <w:szCs w:val="22"/>
        </w:rPr>
        <w:t>działalnoś</w:t>
      </w:r>
      <w:r w:rsidR="00E94C28">
        <w:rPr>
          <w:rFonts w:cs="Arial"/>
          <w:szCs w:val="22"/>
        </w:rPr>
        <w:t>ć</w:t>
      </w:r>
      <w:r w:rsidR="00BA4D67" w:rsidRPr="00BA4D67">
        <w:rPr>
          <w:rFonts w:cs="Arial"/>
          <w:szCs w:val="22"/>
        </w:rPr>
        <w:t xml:space="preserve"> GovTech zmierzając</w:t>
      </w:r>
      <w:r w:rsidR="00E94C28">
        <w:rPr>
          <w:rFonts w:cs="Arial"/>
          <w:szCs w:val="22"/>
        </w:rPr>
        <w:t>a</w:t>
      </w:r>
      <w:r w:rsidR="00BA4D67" w:rsidRPr="00BA4D67">
        <w:rPr>
          <w:rFonts w:cs="Arial"/>
          <w:szCs w:val="22"/>
        </w:rPr>
        <w:t xml:space="preserve"> do</w:t>
      </w:r>
      <w:r w:rsidR="009343A1">
        <w:rPr>
          <w:rFonts w:cs="Arial"/>
          <w:szCs w:val="22"/>
        </w:rPr>
        <w:t xml:space="preserve"> </w:t>
      </w:r>
      <w:r w:rsidR="00BA4D67" w:rsidRPr="00BA4D67">
        <w:rPr>
          <w:rFonts w:cs="Arial"/>
          <w:szCs w:val="22"/>
        </w:rPr>
        <w:t xml:space="preserve">wsparcia sektora publicznego w pozyskiwaniu rozwiązań cyfrowych. </w:t>
      </w:r>
    </w:p>
    <w:p w14:paraId="240785F7" w14:textId="77777777" w:rsidR="00BA4D67" w:rsidRDefault="00BA4D67" w:rsidP="00BA4D67">
      <w:pPr>
        <w:shd w:val="clear" w:color="auto" w:fill="FFFFFF"/>
        <w:rPr>
          <w:rFonts w:cs="Arial"/>
          <w:szCs w:val="22"/>
        </w:rPr>
      </w:pPr>
    </w:p>
    <w:p w14:paraId="16F23AE0" w14:textId="40A97824" w:rsidR="00BA4D67" w:rsidRPr="00BA4D67" w:rsidRDefault="00BA4D67" w:rsidP="00BA4D67">
      <w:pPr>
        <w:shd w:val="clear" w:color="auto" w:fill="FFFFFF"/>
        <w:rPr>
          <w:rFonts w:cs="Arial"/>
          <w:szCs w:val="22"/>
        </w:rPr>
      </w:pPr>
      <w:r w:rsidRPr="00BA4D67">
        <w:rPr>
          <w:rFonts w:cs="Arial"/>
          <w:szCs w:val="22"/>
        </w:rPr>
        <w:t xml:space="preserve">25 listopada 2022 r. odbyła się konferencja pt. </w:t>
      </w:r>
      <w:r w:rsidRPr="00BA4D67">
        <w:rPr>
          <w:rFonts w:cs="Arial"/>
          <w:b/>
          <w:bCs/>
          <w:szCs w:val="22"/>
        </w:rPr>
        <w:t>„Konflikt Interesów w zamówieniach publicznych. Przeciwdziałanie zjawiskom korupcyjnym”.</w:t>
      </w:r>
      <w:r w:rsidRPr="00BA4D67">
        <w:rPr>
          <w:rFonts w:cs="Arial"/>
          <w:szCs w:val="22"/>
        </w:rPr>
        <w:t xml:space="preserve"> Była ona okazją do wymiany wiedzy i doświadczeń w zakresie transparentnego prowadzenia procesu udzielania zamówienia oraz wykorzystywania skutecznych narzędzi przeciwdziałania zjawiskom korupcyjnym.</w:t>
      </w:r>
      <w:r w:rsidR="0099717F">
        <w:rPr>
          <w:rFonts w:cs="Arial"/>
          <w:szCs w:val="22"/>
        </w:rPr>
        <w:t xml:space="preserve"> </w:t>
      </w:r>
      <w:r w:rsidR="008D2724">
        <w:rPr>
          <w:rFonts w:cs="Arial"/>
          <w:szCs w:val="22"/>
        </w:rPr>
        <w:t xml:space="preserve">Konferencja koncentrowała się na zagadnieniach związanych z </w:t>
      </w:r>
      <w:r w:rsidRPr="00BA4D67">
        <w:rPr>
          <w:rFonts w:cs="Arial"/>
          <w:szCs w:val="22"/>
        </w:rPr>
        <w:t>bezstronności</w:t>
      </w:r>
      <w:r w:rsidR="008D2724">
        <w:rPr>
          <w:rFonts w:cs="Arial"/>
          <w:szCs w:val="22"/>
        </w:rPr>
        <w:t>ą</w:t>
      </w:r>
      <w:r w:rsidRPr="00BA4D67">
        <w:rPr>
          <w:rFonts w:cs="Arial"/>
          <w:szCs w:val="22"/>
        </w:rPr>
        <w:t xml:space="preserve"> i konflikt</w:t>
      </w:r>
      <w:r w:rsidR="00DA44A9">
        <w:rPr>
          <w:rFonts w:cs="Arial"/>
          <w:szCs w:val="22"/>
        </w:rPr>
        <w:t>em</w:t>
      </w:r>
      <w:r w:rsidRPr="00BA4D67">
        <w:rPr>
          <w:rFonts w:cs="Arial"/>
          <w:szCs w:val="22"/>
        </w:rPr>
        <w:t xml:space="preserve"> interesów na etapie przygotowania postępowania, </w:t>
      </w:r>
      <w:r w:rsidR="00DA44A9">
        <w:rPr>
          <w:rFonts w:cs="Arial"/>
          <w:szCs w:val="22"/>
        </w:rPr>
        <w:t xml:space="preserve">tj. </w:t>
      </w:r>
      <w:r w:rsidRPr="00BA4D67">
        <w:rPr>
          <w:rFonts w:cs="Arial"/>
          <w:szCs w:val="22"/>
        </w:rPr>
        <w:t>szacowania wartości zamówienia, opisywania przedmiotu zamówienia i</w:t>
      </w:r>
      <w:r w:rsidR="009343A1">
        <w:rPr>
          <w:rFonts w:cs="Arial"/>
          <w:szCs w:val="22"/>
        </w:rPr>
        <w:t xml:space="preserve"> </w:t>
      </w:r>
      <w:r w:rsidRPr="00BA4D67">
        <w:rPr>
          <w:rFonts w:cs="Arial"/>
          <w:szCs w:val="22"/>
        </w:rPr>
        <w:t>sporządzania dokumentacji zamówienia</w:t>
      </w:r>
      <w:r w:rsidR="00DA44A9">
        <w:rPr>
          <w:rFonts w:cs="Arial"/>
          <w:szCs w:val="22"/>
        </w:rPr>
        <w:t xml:space="preserve"> oraz </w:t>
      </w:r>
      <w:r w:rsidRPr="00BA4D67">
        <w:rPr>
          <w:rFonts w:cs="Arial"/>
          <w:szCs w:val="22"/>
        </w:rPr>
        <w:t>udział</w:t>
      </w:r>
      <w:r w:rsidR="00F83D9D">
        <w:rPr>
          <w:rFonts w:cs="Arial"/>
          <w:szCs w:val="22"/>
        </w:rPr>
        <w:t>em</w:t>
      </w:r>
      <w:r w:rsidRPr="00BA4D67">
        <w:rPr>
          <w:rFonts w:cs="Arial"/>
          <w:szCs w:val="22"/>
        </w:rPr>
        <w:t xml:space="preserve"> strony społecznej jako czynnika zwiększającego przejrzystość postępowań o zamówienia publiczne</w:t>
      </w:r>
      <w:r w:rsidR="00F83D9D">
        <w:rPr>
          <w:rFonts w:cs="Arial"/>
          <w:szCs w:val="22"/>
        </w:rPr>
        <w:t>.</w:t>
      </w:r>
      <w:r w:rsidRPr="00BA4D67">
        <w:rPr>
          <w:rFonts w:cs="Arial"/>
          <w:szCs w:val="22"/>
        </w:rPr>
        <w:t xml:space="preserve"> </w:t>
      </w:r>
    </w:p>
    <w:p w14:paraId="65C962FD" w14:textId="131CB402" w:rsidR="00BA4D67" w:rsidRPr="00BA4D67" w:rsidRDefault="00CA3666" w:rsidP="00BA4D67">
      <w:pPr>
        <w:shd w:val="clear" w:color="auto" w:fill="FFFFFF"/>
        <w:rPr>
          <w:rFonts w:cs="Arial"/>
          <w:szCs w:val="22"/>
        </w:rPr>
      </w:pPr>
      <w:r>
        <w:rPr>
          <w:rFonts w:cs="Arial"/>
          <w:szCs w:val="22"/>
        </w:rPr>
        <w:t xml:space="preserve">Wskazano też </w:t>
      </w:r>
      <w:r w:rsidR="00BA4D67" w:rsidRPr="00BA4D67">
        <w:rPr>
          <w:rFonts w:cs="Arial"/>
          <w:szCs w:val="22"/>
        </w:rPr>
        <w:t>istotne i</w:t>
      </w:r>
      <w:r w:rsidR="009343A1">
        <w:rPr>
          <w:rFonts w:cs="Arial"/>
          <w:szCs w:val="22"/>
        </w:rPr>
        <w:t xml:space="preserve"> </w:t>
      </w:r>
      <w:r w:rsidR="00BA4D67" w:rsidRPr="00BA4D67">
        <w:rPr>
          <w:rFonts w:cs="Arial"/>
          <w:szCs w:val="22"/>
        </w:rPr>
        <w:t xml:space="preserve">praktyczne informacje dotyczące zmów przetargowych i elementy wskazujące na ryzyko wystąpienia antykonkurencyjnego porozumienia w postępowaniu (red flags) </w:t>
      </w:r>
      <w:r w:rsidR="0030294A">
        <w:rPr>
          <w:rFonts w:cs="Arial"/>
          <w:szCs w:val="22"/>
        </w:rPr>
        <w:t>w</w:t>
      </w:r>
      <w:r w:rsidR="00BA4D67" w:rsidRPr="00BA4D67">
        <w:rPr>
          <w:rFonts w:cs="Arial"/>
          <w:szCs w:val="22"/>
        </w:rPr>
        <w:t xml:space="preserve">raz </w:t>
      </w:r>
      <w:r w:rsidR="0030294A">
        <w:rPr>
          <w:rFonts w:cs="Arial"/>
          <w:szCs w:val="22"/>
        </w:rPr>
        <w:t xml:space="preserve">z </w:t>
      </w:r>
      <w:r w:rsidR="00BA4D67" w:rsidRPr="00BA4D67">
        <w:rPr>
          <w:rFonts w:cs="Arial"/>
          <w:szCs w:val="22"/>
        </w:rPr>
        <w:t>działania</w:t>
      </w:r>
      <w:r w:rsidR="0030294A">
        <w:rPr>
          <w:rFonts w:cs="Arial"/>
          <w:szCs w:val="22"/>
        </w:rPr>
        <w:t>mi</w:t>
      </w:r>
      <w:r w:rsidR="00BA4D67" w:rsidRPr="00BA4D67">
        <w:rPr>
          <w:rFonts w:cs="Arial"/>
          <w:szCs w:val="22"/>
        </w:rPr>
        <w:t>, jakie powinien podjąć zamawiający</w:t>
      </w:r>
      <w:r w:rsidR="00CD3E0B">
        <w:rPr>
          <w:rFonts w:cs="Arial"/>
          <w:szCs w:val="22"/>
        </w:rPr>
        <w:t xml:space="preserve">. </w:t>
      </w:r>
      <w:r w:rsidR="0036263D">
        <w:rPr>
          <w:rFonts w:cs="Arial"/>
          <w:szCs w:val="22"/>
        </w:rPr>
        <w:t>Zwrócon</w:t>
      </w:r>
      <w:r w:rsidR="00D570FA">
        <w:rPr>
          <w:rFonts w:cs="Arial"/>
          <w:szCs w:val="22"/>
        </w:rPr>
        <w:t xml:space="preserve">o również uwagę na </w:t>
      </w:r>
      <w:r w:rsidR="00BA4D67" w:rsidRPr="00BA4D67">
        <w:rPr>
          <w:rFonts w:cs="Arial"/>
          <w:szCs w:val="22"/>
        </w:rPr>
        <w:t>zalecenia dotyczące organizacji zamówień, pozwalające na zapewnienie konkurencyjności i minimalizację ryzyka zmowy przetargowej.</w:t>
      </w:r>
    </w:p>
    <w:p w14:paraId="3D3DB253" w14:textId="530C7E21" w:rsidR="00BA4D67" w:rsidRPr="00BA4D67" w:rsidRDefault="00AB49F1" w:rsidP="00BA4D67">
      <w:pPr>
        <w:shd w:val="clear" w:color="auto" w:fill="FFFFFF"/>
        <w:rPr>
          <w:rFonts w:cs="Arial"/>
          <w:szCs w:val="22"/>
        </w:rPr>
      </w:pPr>
      <w:r>
        <w:rPr>
          <w:rFonts w:cs="Arial"/>
          <w:szCs w:val="22"/>
        </w:rPr>
        <w:t xml:space="preserve">Zaprezentowana została też </w:t>
      </w:r>
      <w:r w:rsidR="00BA4D67" w:rsidRPr="00BA4D67">
        <w:rPr>
          <w:rFonts w:cs="Arial"/>
          <w:szCs w:val="22"/>
        </w:rPr>
        <w:t>aktywnoś</w:t>
      </w:r>
      <w:r w:rsidR="00517AB0">
        <w:rPr>
          <w:rFonts w:cs="Arial"/>
          <w:szCs w:val="22"/>
        </w:rPr>
        <w:t>ć</w:t>
      </w:r>
      <w:r w:rsidR="00BA4D67" w:rsidRPr="00BA4D67">
        <w:rPr>
          <w:rFonts w:cs="Arial"/>
          <w:szCs w:val="22"/>
        </w:rPr>
        <w:t xml:space="preserve"> Centralnego Biura Antykorupcyjnego związan</w:t>
      </w:r>
      <w:r w:rsidR="00517AB0">
        <w:rPr>
          <w:rFonts w:cs="Arial"/>
          <w:szCs w:val="22"/>
        </w:rPr>
        <w:t>a</w:t>
      </w:r>
      <w:r w:rsidR="00BA4D67" w:rsidRPr="00BA4D67">
        <w:rPr>
          <w:rFonts w:cs="Arial"/>
          <w:szCs w:val="22"/>
        </w:rPr>
        <w:t xml:space="preserve"> z wykrywaniem nieprawidłowości oraz zapobieganiem zachowaniom korupcyjnym.</w:t>
      </w:r>
      <w:r w:rsidR="009A02C1">
        <w:rPr>
          <w:rFonts w:cs="Arial"/>
          <w:szCs w:val="22"/>
        </w:rPr>
        <w:t xml:space="preserve"> </w:t>
      </w:r>
      <w:r w:rsidR="00427F94">
        <w:rPr>
          <w:rFonts w:cs="Arial"/>
          <w:szCs w:val="22"/>
        </w:rPr>
        <w:t xml:space="preserve">Ekspert z </w:t>
      </w:r>
      <w:r w:rsidR="002D0266">
        <w:rPr>
          <w:rFonts w:cs="Arial"/>
          <w:szCs w:val="22"/>
        </w:rPr>
        <w:t>U</w:t>
      </w:r>
      <w:r w:rsidR="00427F94">
        <w:rPr>
          <w:rFonts w:cs="Arial"/>
          <w:szCs w:val="22"/>
        </w:rPr>
        <w:t>rzędu Zamówień</w:t>
      </w:r>
      <w:r w:rsidR="002D0266">
        <w:rPr>
          <w:rFonts w:cs="Arial"/>
          <w:szCs w:val="22"/>
        </w:rPr>
        <w:t xml:space="preserve"> Publicznych </w:t>
      </w:r>
      <w:r w:rsidR="00783E54">
        <w:rPr>
          <w:rFonts w:cs="Arial"/>
          <w:szCs w:val="22"/>
        </w:rPr>
        <w:t>omówił</w:t>
      </w:r>
      <w:r w:rsidR="009A02C1">
        <w:rPr>
          <w:rFonts w:cs="Arial"/>
          <w:szCs w:val="22"/>
        </w:rPr>
        <w:t xml:space="preserve"> </w:t>
      </w:r>
      <w:r w:rsidR="00783E54">
        <w:rPr>
          <w:rFonts w:cs="Arial"/>
          <w:szCs w:val="22"/>
        </w:rPr>
        <w:t>kwestie</w:t>
      </w:r>
      <w:r w:rsidR="00BA4D67" w:rsidRPr="00BA4D67">
        <w:rPr>
          <w:rFonts w:cs="Arial"/>
          <w:szCs w:val="22"/>
        </w:rPr>
        <w:t xml:space="preserve"> </w:t>
      </w:r>
      <w:r w:rsidR="005C012C">
        <w:rPr>
          <w:rFonts w:cs="Arial"/>
          <w:szCs w:val="22"/>
        </w:rPr>
        <w:t>w</w:t>
      </w:r>
      <w:r w:rsidR="00BA4D67" w:rsidRPr="00BA4D67">
        <w:rPr>
          <w:rFonts w:cs="Arial"/>
          <w:szCs w:val="22"/>
        </w:rPr>
        <w:t>yłączeni</w:t>
      </w:r>
      <w:r w:rsidR="005C012C">
        <w:rPr>
          <w:rFonts w:cs="Arial"/>
          <w:szCs w:val="22"/>
        </w:rPr>
        <w:t>a</w:t>
      </w:r>
      <w:r w:rsidR="00BA4D67" w:rsidRPr="00BA4D67">
        <w:rPr>
          <w:rFonts w:cs="Arial"/>
          <w:szCs w:val="22"/>
        </w:rPr>
        <w:t xml:space="preserve"> osób wykonujących czynności w</w:t>
      </w:r>
      <w:r w:rsidR="009343A1">
        <w:rPr>
          <w:rFonts w:cs="Arial"/>
          <w:szCs w:val="22"/>
        </w:rPr>
        <w:t xml:space="preserve"> </w:t>
      </w:r>
      <w:r w:rsidR="00BA4D67" w:rsidRPr="00BA4D67">
        <w:rPr>
          <w:rFonts w:cs="Arial"/>
          <w:szCs w:val="22"/>
        </w:rPr>
        <w:t>postępowaniu</w:t>
      </w:r>
      <w:r w:rsidR="005C012C">
        <w:rPr>
          <w:rFonts w:cs="Arial"/>
          <w:szCs w:val="22"/>
        </w:rPr>
        <w:t xml:space="preserve"> i wskazał p</w:t>
      </w:r>
      <w:r w:rsidR="00BA4D67" w:rsidRPr="00BA4D67">
        <w:rPr>
          <w:rFonts w:cs="Arial"/>
          <w:szCs w:val="22"/>
        </w:rPr>
        <w:t>rzykłady naruszeń ustawy Pzp</w:t>
      </w:r>
      <w:r w:rsidR="005C012C">
        <w:rPr>
          <w:rFonts w:cs="Arial"/>
          <w:szCs w:val="22"/>
        </w:rPr>
        <w:t xml:space="preserve"> w tym zakr</w:t>
      </w:r>
      <w:r w:rsidR="00863488">
        <w:rPr>
          <w:rFonts w:cs="Arial"/>
          <w:szCs w:val="22"/>
        </w:rPr>
        <w:t>e</w:t>
      </w:r>
      <w:r w:rsidR="005C012C">
        <w:rPr>
          <w:rFonts w:cs="Arial"/>
          <w:szCs w:val="22"/>
        </w:rPr>
        <w:t>sie</w:t>
      </w:r>
      <w:r w:rsidR="00BA4D67" w:rsidRPr="00BA4D67">
        <w:rPr>
          <w:rFonts w:cs="Arial"/>
          <w:szCs w:val="22"/>
        </w:rPr>
        <w:t xml:space="preserve">. </w:t>
      </w:r>
    </w:p>
    <w:p w14:paraId="02EEFEC9" w14:textId="51089155" w:rsidR="00BA4D67" w:rsidRPr="00BA4D67" w:rsidRDefault="00BA4D67" w:rsidP="00BA4D67">
      <w:pPr>
        <w:shd w:val="clear" w:color="auto" w:fill="FFFFFF"/>
        <w:rPr>
          <w:rFonts w:cs="Arial"/>
          <w:szCs w:val="22"/>
        </w:rPr>
      </w:pPr>
      <w:r w:rsidRPr="00BA4D67">
        <w:rPr>
          <w:rFonts w:cs="Arial"/>
          <w:szCs w:val="22"/>
        </w:rPr>
        <w:t>Prelekcje wygłoszone podczas konferencji zostały udostępnione w serwisie internetowym UZP (</w:t>
      </w:r>
      <w:hyperlink r:id="rId48" w:history="1">
        <w:r w:rsidR="008F162C" w:rsidRPr="00535DBB">
          <w:rPr>
            <w:rStyle w:val="Hipercze"/>
            <w:rFonts w:cs="Arial"/>
            <w:szCs w:val="22"/>
          </w:rPr>
          <w:t>https://www.gov.pl/web/uzp/konflikt-interesow-w-zamowieniach-publicznych-przeciwdzialanie-zjawiskom-korupcyjnym---konferencja-uzp</w:t>
        </w:r>
      </w:hyperlink>
      <w:r w:rsidRPr="00BA4D67">
        <w:rPr>
          <w:rFonts w:cs="Arial"/>
          <w:szCs w:val="22"/>
        </w:rPr>
        <w:t>).</w:t>
      </w:r>
      <w:r w:rsidR="008F162C">
        <w:rPr>
          <w:rFonts w:cs="Arial"/>
          <w:szCs w:val="22"/>
        </w:rPr>
        <w:t xml:space="preserve"> </w:t>
      </w:r>
    </w:p>
    <w:p w14:paraId="68D1E6E8" w14:textId="57945182" w:rsidR="00BA4D67" w:rsidRDefault="00BA4D67" w:rsidP="004645C5">
      <w:pPr>
        <w:shd w:val="clear" w:color="auto" w:fill="FFFFFF"/>
        <w:rPr>
          <w:rFonts w:cs="Arial"/>
          <w:szCs w:val="22"/>
        </w:rPr>
      </w:pPr>
    </w:p>
    <w:p w14:paraId="06040C9D" w14:textId="084A90BA" w:rsidR="003F2969" w:rsidRDefault="003F2969" w:rsidP="004645C5">
      <w:pPr>
        <w:shd w:val="clear" w:color="auto" w:fill="FFFFFF"/>
        <w:rPr>
          <w:rFonts w:cs="Arial"/>
          <w:szCs w:val="22"/>
        </w:rPr>
      </w:pPr>
    </w:p>
    <w:p w14:paraId="2F9EE6CB" w14:textId="32975AFA" w:rsidR="003F2969" w:rsidRPr="00C50C1D" w:rsidRDefault="00B4332F" w:rsidP="00B4332F">
      <w:pPr>
        <w:pStyle w:val="StylArial11ptWyjustowany"/>
        <w:numPr>
          <w:ilvl w:val="1"/>
          <w:numId w:val="4"/>
        </w:numPr>
        <w:shd w:val="clear" w:color="auto" w:fill="FFFFFF"/>
        <w:jc w:val="left"/>
        <w:rPr>
          <w:rFonts w:cs="Arial"/>
          <w:b/>
          <w:iCs/>
          <w:color w:val="0070C0"/>
          <w:szCs w:val="22"/>
        </w:rPr>
      </w:pPr>
      <w:r w:rsidRPr="00B4332F">
        <w:rPr>
          <w:rFonts w:cs="Arial"/>
          <w:b/>
          <w:iCs/>
          <w:color w:val="0070C0"/>
          <w:szCs w:val="22"/>
        </w:rPr>
        <w:t>Seminarium</w:t>
      </w:r>
    </w:p>
    <w:p w14:paraId="7FA33EFA" w14:textId="06906EE4" w:rsidR="00FA5F3C" w:rsidRDefault="00FA5F3C" w:rsidP="004645C5">
      <w:pPr>
        <w:shd w:val="clear" w:color="auto" w:fill="FFFFFF"/>
        <w:rPr>
          <w:rFonts w:cs="Arial"/>
          <w:szCs w:val="22"/>
        </w:rPr>
      </w:pPr>
    </w:p>
    <w:p w14:paraId="58576C1D" w14:textId="28CF6132" w:rsidR="00B4332F" w:rsidRPr="00B4332F" w:rsidRDefault="00B4332F" w:rsidP="00B4332F">
      <w:pPr>
        <w:shd w:val="clear" w:color="auto" w:fill="FFFFFF"/>
        <w:rPr>
          <w:rFonts w:cs="Arial"/>
          <w:szCs w:val="22"/>
        </w:rPr>
      </w:pPr>
      <w:r w:rsidRPr="00B4332F">
        <w:rPr>
          <w:rFonts w:cs="Arial"/>
          <w:szCs w:val="22"/>
        </w:rPr>
        <w:t>Z myślą o wsparciu instytucji kontrolujących proces udzielania zamówień publicznych Urząd Zamówień Publicznych zorganizował 30 września 2022 r. seminarium pt. „</w:t>
      </w:r>
      <w:r w:rsidRPr="00B4332F">
        <w:rPr>
          <w:rFonts w:cs="Arial"/>
          <w:b/>
          <w:bCs/>
          <w:szCs w:val="22"/>
        </w:rPr>
        <w:t>Zakres kontroli zamówień publicznych</w:t>
      </w:r>
      <w:r w:rsidRPr="00B4332F">
        <w:rPr>
          <w:rFonts w:cs="Arial"/>
          <w:szCs w:val="22"/>
        </w:rPr>
        <w:t xml:space="preserve">”. W spotkaniu uczestniczyło 86 przedstawicieli instytucji kontrolujących zamówienia publiczne, a częściowo również pracowników jednostek administracji rządowej i samorządowej. </w:t>
      </w:r>
    </w:p>
    <w:p w14:paraId="2CCB0C62" w14:textId="732A232F" w:rsidR="00B4332F" w:rsidRPr="00B4332F" w:rsidRDefault="00B4332F" w:rsidP="00B4332F">
      <w:pPr>
        <w:shd w:val="clear" w:color="auto" w:fill="FFFFFF"/>
        <w:rPr>
          <w:rFonts w:cs="Arial"/>
          <w:szCs w:val="22"/>
        </w:rPr>
      </w:pPr>
      <w:r w:rsidRPr="00B4332F">
        <w:rPr>
          <w:rFonts w:cs="Arial"/>
          <w:szCs w:val="22"/>
        </w:rPr>
        <w:t xml:space="preserve">Prelekcje wygłoszone podczas spotkania </w:t>
      </w:r>
      <w:r w:rsidR="00AF5DFF">
        <w:rPr>
          <w:rFonts w:cs="Arial"/>
          <w:szCs w:val="22"/>
        </w:rPr>
        <w:t>dotyczyły: s</w:t>
      </w:r>
      <w:r w:rsidRPr="00B4332F">
        <w:rPr>
          <w:rFonts w:cs="Arial"/>
          <w:szCs w:val="22"/>
        </w:rPr>
        <w:t>tandaryzacj</w:t>
      </w:r>
      <w:r w:rsidR="00AF5DFF">
        <w:rPr>
          <w:rFonts w:cs="Arial"/>
          <w:szCs w:val="22"/>
        </w:rPr>
        <w:t>i</w:t>
      </w:r>
      <w:r w:rsidRPr="00B4332F">
        <w:rPr>
          <w:rFonts w:cs="Arial"/>
          <w:szCs w:val="22"/>
        </w:rPr>
        <w:t xml:space="preserve"> kontroli w obszarze zamówień publicznych</w:t>
      </w:r>
      <w:r w:rsidR="00AF5DFF">
        <w:rPr>
          <w:rFonts w:cs="Arial"/>
          <w:szCs w:val="22"/>
        </w:rPr>
        <w:t xml:space="preserve">, </w:t>
      </w:r>
      <w:r w:rsidR="00F64D5A">
        <w:rPr>
          <w:rFonts w:cs="Arial"/>
          <w:szCs w:val="22"/>
        </w:rPr>
        <w:t>o</w:t>
      </w:r>
      <w:r w:rsidRPr="00B4332F">
        <w:rPr>
          <w:rFonts w:cs="Arial"/>
          <w:szCs w:val="22"/>
        </w:rPr>
        <w:t>pini</w:t>
      </w:r>
      <w:r w:rsidR="00F64D5A">
        <w:rPr>
          <w:rFonts w:cs="Arial"/>
          <w:szCs w:val="22"/>
        </w:rPr>
        <w:t>i</w:t>
      </w:r>
      <w:r w:rsidRPr="00B4332F">
        <w:rPr>
          <w:rFonts w:cs="Arial"/>
          <w:szCs w:val="22"/>
        </w:rPr>
        <w:t xml:space="preserve"> dotycząc</w:t>
      </w:r>
      <w:r w:rsidR="00F64D5A">
        <w:rPr>
          <w:rFonts w:cs="Arial"/>
          <w:szCs w:val="22"/>
        </w:rPr>
        <w:t>ych</w:t>
      </w:r>
      <w:r w:rsidRPr="00B4332F">
        <w:rPr>
          <w:rFonts w:cs="Arial"/>
          <w:szCs w:val="22"/>
        </w:rPr>
        <w:t xml:space="preserve"> regulacji prawa zamówień publicznych istotn</w:t>
      </w:r>
      <w:r w:rsidR="00F64D5A">
        <w:rPr>
          <w:rFonts w:cs="Arial"/>
          <w:szCs w:val="22"/>
        </w:rPr>
        <w:t>ych</w:t>
      </w:r>
      <w:r w:rsidRPr="00B4332F">
        <w:rPr>
          <w:rFonts w:cs="Arial"/>
          <w:szCs w:val="22"/>
        </w:rPr>
        <w:t xml:space="preserve"> dla procesu kontroli</w:t>
      </w:r>
      <w:r w:rsidR="00AC4E1E">
        <w:rPr>
          <w:rFonts w:cs="Arial"/>
          <w:szCs w:val="22"/>
        </w:rPr>
        <w:t>, roli</w:t>
      </w:r>
      <w:r w:rsidR="008166DB">
        <w:rPr>
          <w:rFonts w:cs="Arial"/>
          <w:szCs w:val="22"/>
        </w:rPr>
        <w:t xml:space="preserve"> </w:t>
      </w:r>
      <w:r w:rsidRPr="00B4332F">
        <w:rPr>
          <w:rFonts w:cs="Arial"/>
          <w:szCs w:val="22"/>
        </w:rPr>
        <w:t>Centrum Unijnych Projektów Transportowych w kontroli zamówień publicznych</w:t>
      </w:r>
      <w:r w:rsidR="00117D7B">
        <w:rPr>
          <w:rFonts w:cs="Arial"/>
          <w:szCs w:val="22"/>
        </w:rPr>
        <w:t>, ze wskazaniem</w:t>
      </w:r>
      <w:r w:rsidRPr="00B4332F">
        <w:rPr>
          <w:rFonts w:cs="Arial"/>
          <w:szCs w:val="22"/>
        </w:rPr>
        <w:t xml:space="preserve"> przykład</w:t>
      </w:r>
      <w:r w:rsidR="00117D7B">
        <w:rPr>
          <w:rFonts w:cs="Arial"/>
          <w:szCs w:val="22"/>
        </w:rPr>
        <w:t>ów</w:t>
      </w:r>
      <w:r w:rsidRPr="00B4332F">
        <w:rPr>
          <w:rFonts w:cs="Arial"/>
          <w:szCs w:val="22"/>
        </w:rPr>
        <w:t xml:space="preserve"> nieprawidłowości i zastosowanych korekt finansowych</w:t>
      </w:r>
      <w:r w:rsidR="00117D7B">
        <w:rPr>
          <w:rFonts w:cs="Arial"/>
          <w:szCs w:val="22"/>
        </w:rPr>
        <w:t xml:space="preserve">, a także </w:t>
      </w:r>
      <w:r w:rsidRPr="00B4332F">
        <w:rPr>
          <w:rFonts w:cs="Arial"/>
          <w:szCs w:val="22"/>
        </w:rPr>
        <w:t>obligatoryjnych i fakultatywnych przesłanek wykluczenia</w:t>
      </w:r>
      <w:r w:rsidR="00377314">
        <w:rPr>
          <w:rFonts w:cs="Arial"/>
          <w:szCs w:val="22"/>
        </w:rPr>
        <w:t xml:space="preserve"> z postępowania o zamówienie publiczne</w:t>
      </w:r>
      <w:r w:rsidRPr="00B4332F">
        <w:rPr>
          <w:rFonts w:cs="Arial"/>
          <w:szCs w:val="22"/>
        </w:rPr>
        <w:t xml:space="preserve">, ze szczególnym odwołaniem się do treści art. 108 ust. 2 ustawy </w:t>
      </w:r>
      <w:r w:rsidR="00863488" w:rsidRPr="00863488">
        <w:rPr>
          <w:rFonts w:cs="Arial"/>
          <w:szCs w:val="22"/>
        </w:rPr>
        <w:t>–</w:t>
      </w:r>
      <w:r w:rsidRPr="00B4332F">
        <w:rPr>
          <w:rFonts w:cs="Arial"/>
          <w:szCs w:val="22"/>
        </w:rPr>
        <w:t>Prawo zamówień publicznych</w:t>
      </w:r>
      <w:r w:rsidR="009343A1">
        <w:rPr>
          <w:rFonts w:cs="Arial"/>
          <w:szCs w:val="22"/>
        </w:rPr>
        <w:t xml:space="preserve"> </w:t>
      </w:r>
      <w:r w:rsidR="00331A31">
        <w:rPr>
          <w:rFonts w:cs="Arial"/>
          <w:szCs w:val="22"/>
        </w:rPr>
        <w:t xml:space="preserve">oraz </w:t>
      </w:r>
      <w:r w:rsidRPr="00B4332F">
        <w:rPr>
          <w:rFonts w:cs="Arial"/>
          <w:szCs w:val="22"/>
        </w:rPr>
        <w:t>przykładów nieprawidłowości w badaniu przez zamawiających ofert</w:t>
      </w:r>
      <w:r w:rsidR="00C13F6B">
        <w:rPr>
          <w:rFonts w:cs="Arial"/>
          <w:szCs w:val="22"/>
        </w:rPr>
        <w:t>, w szczególności</w:t>
      </w:r>
      <w:r w:rsidR="009A02C1">
        <w:rPr>
          <w:rFonts w:cs="Arial"/>
          <w:szCs w:val="22"/>
        </w:rPr>
        <w:t xml:space="preserve"> </w:t>
      </w:r>
      <w:r w:rsidRPr="00B4332F">
        <w:rPr>
          <w:rFonts w:cs="Arial"/>
          <w:szCs w:val="22"/>
        </w:rPr>
        <w:t>skutk</w:t>
      </w:r>
      <w:r w:rsidR="00C13F6B">
        <w:rPr>
          <w:rFonts w:cs="Arial"/>
          <w:szCs w:val="22"/>
        </w:rPr>
        <w:t>ów</w:t>
      </w:r>
      <w:r w:rsidRPr="00B4332F">
        <w:rPr>
          <w:rFonts w:cs="Arial"/>
          <w:szCs w:val="22"/>
        </w:rPr>
        <w:t xml:space="preserve"> naruszenia</w:t>
      </w:r>
      <w:r w:rsidR="009A02C1">
        <w:rPr>
          <w:rFonts w:cs="Arial"/>
          <w:szCs w:val="22"/>
        </w:rPr>
        <w:t xml:space="preserve"> </w:t>
      </w:r>
      <w:r w:rsidRPr="00B4332F">
        <w:rPr>
          <w:rFonts w:cs="Arial"/>
          <w:szCs w:val="22"/>
        </w:rPr>
        <w:t xml:space="preserve">art. 226 ust. 1 pkt 2 lit. b </w:t>
      </w:r>
      <w:r w:rsidR="00863488" w:rsidRPr="00863488">
        <w:rPr>
          <w:rFonts w:cs="Arial"/>
          <w:szCs w:val="22"/>
        </w:rPr>
        <w:t>–</w:t>
      </w:r>
      <w:r w:rsidRPr="00B4332F">
        <w:rPr>
          <w:rFonts w:cs="Arial"/>
          <w:szCs w:val="22"/>
        </w:rPr>
        <w:t xml:space="preserve"> c ustawy </w:t>
      </w:r>
      <w:r w:rsidR="00863488" w:rsidRPr="00863488">
        <w:rPr>
          <w:rFonts w:cs="Arial"/>
          <w:szCs w:val="22"/>
        </w:rPr>
        <w:t>–</w:t>
      </w:r>
      <w:r w:rsidR="00863488">
        <w:rPr>
          <w:rFonts w:cs="Arial"/>
          <w:szCs w:val="22"/>
        </w:rPr>
        <w:t xml:space="preserve"> </w:t>
      </w:r>
      <w:r w:rsidRPr="00B4332F">
        <w:rPr>
          <w:rFonts w:cs="Arial"/>
          <w:szCs w:val="22"/>
        </w:rPr>
        <w:t>Prawo zamówień publicznych</w:t>
      </w:r>
      <w:r w:rsidR="00C36705">
        <w:rPr>
          <w:rFonts w:cs="Arial"/>
          <w:szCs w:val="22"/>
        </w:rPr>
        <w:t>.</w:t>
      </w:r>
      <w:r w:rsidRPr="00B4332F">
        <w:rPr>
          <w:rFonts w:cs="Arial"/>
          <w:szCs w:val="22"/>
        </w:rPr>
        <w:t xml:space="preserve"> </w:t>
      </w:r>
    </w:p>
    <w:p w14:paraId="04A6D748" w14:textId="562B22E9" w:rsidR="00B4332F" w:rsidRPr="00B4332F" w:rsidRDefault="00B4332F" w:rsidP="00B4332F">
      <w:pPr>
        <w:shd w:val="clear" w:color="auto" w:fill="FFFFFF"/>
        <w:rPr>
          <w:rFonts w:cs="Arial"/>
          <w:szCs w:val="22"/>
        </w:rPr>
      </w:pPr>
      <w:r w:rsidRPr="00B4332F">
        <w:rPr>
          <w:rFonts w:cs="Arial"/>
          <w:szCs w:val="22"/>
        </w:rPr>
        <w:t>Spotkanie nie tylko umożliwiło poszerzenie wiedzy w obszarze zamówień publicznych, ale również było miejscem</w:t>
      </w:r>
      <w:r w:rsidR="009343A1">
        <w:rPr>
          <w:rFonts w:cs="Arial"/>
          <w:szCs w:val="22"/>
        </w:rPr>
        <w:t xml:space="preserve"> </w:t>
      </w:r>
      <w:r w:rsidRPr="00B4332F">
        <w:rPr>
          <w:rFonts w:cs="Arial"/>
          <w:szCs w:val="22"/>
        </w:rPr>
        <w:t>dyskusji oraz wymiany poglądów i doświadczeń. Stanowiło też cenną pomoc dla przedstawicieli zamawiających i instytucji kontroli w dążeniu do zapewnienia poprawności i efektywności udzielania zamówień publicznych.</w:t>
      </w:r>
    </w:p>
    <w:p w14:paraId="0F9DAA2B" w14:textId="50BC3BC7" w:rsidR="00B4332F" w:rsidRPr="00B4332F" w:rsidRDefault="00B4332F" w:rsidP="00B4332F">
      <w:pPr>
        <w:shd w:val="clear" w:color="auto" w:fill="FFFFFF"/>
        <w:rPr>
          <w:rFonts w:cs="Arial"/>
          <w:szCs w:val="22"/>
        </w:rPr>
      </w:pPr>
      <w:r w:rsidRPr="00B4332F">
        <w:rPr>
          <w:rFonts w:cs="Arial"/>
          <w:szCs w:val="22"/>
        </w:rPr>
        <w:t>Prezentacje wygłoszone podczas seminarium zostały udostępnione w serwisie internetowym Urzędu (</w:t>
      </w:r>
      <w:hyperlink r:id="rId49" w:history="1">
        <w:r w:rsidRPr="00535DBB">
          <w:rPr>
            <w:rStyle w:val="Hipercze"/>
            <w:rFonts w:cs="Arial"/>
            <w:szCs w:val="22"/>
          </w:rPr>
          <w:t>https://www.gov.pl/web/uzp/zakres-kontroli-zamowien-publicznych</w:t>
        </w:r>
      </w:hyperlink>
      <w:r>
        <w:rPr>
          <w:rFonts w:cs="Arial"/>
          <w:szCs w:val="22"/>
        </w:rPr>
        <w:t xml:space="preserve">). </w:t>
      </w:r>
    </w:p>
    <w:p w14:paraId="6DFAE529" w14:textId="5561CE26" w:rsidR="00FA5F3C" w:rsidRDefault="00FA5F3C" w:rsidP="004645C5">
      <w:pPr>
        <w:shd w:val="clear" w:color="auto" w:fill="FFFFFF"/>
        <w:rPr>
          <w:rFonts w:cs="Arial"/>
          <w:szCs w:val="22"/>
        </w:rPr>
      </w:pPr>
    </w:p>
    <w:p w14:paraId="242E720E" w14:textId="01DB51A3" w:rsidR="00C50C1D" w:rsidRDefault="00C50C1D" w:rsidP="004645C5">
      <w:pPr>
        <w:shd w:val="clear" w:color="auto" w:fill="FFFFFF"/>
        <w:rPr>
          <w:rFonts w:cs="Arial"/>
          <w:szCs w:val="22"/>
        </w:rPr>
      </w:pPr>
    </w:p>
    <w:p w14:paraId="55D79C9A" w14:textId="3BB38CA4" w:rsidR="00C50C1D" w:rsidRPr="009C06DD" w:rsidRDefault="00373E39" w:rsidP="00A119AB">
      <w:pPr>
        <w:pStyle w:val="StylArial11ptWyjustowany"/>
        <w:numPr>
          <w:ilvl w:val="1"/>
          <w:numId w:val="4"/>
        </w:numPr>
        <w:shd w:val="clear" w:color="auto" w:fill="FFFFFF"/>
        <w:jc w:val="left"/>
        <w:rPr>
          <w:rFonts w:cs="Arial"/>
          <w:b/>
          <w:iCs/>
          <w:color w:val="0070C0"/>
          <w:szCs w:val="22"/>
        </w:rPr>
      </w:pPr>
      <w:r w:rsidRPr="00373E39">
        <w:rPr>
          <w:rFonts w:cs="Arial"/>
          <w:b/>
          <w:iCs/>
          <w:color w:val="0070C0"/>
          <w:szCs w:val="22"/>
        </w:rPr>
        <w:t>Publikacje</w:t>
      </w:r>
    </w:p>
    <w:p w14:paraId="3668D9A6" w14:textId="22AB5C11" w:rsidR="00C50C1D" w:rsidRDefault="00C50C1D" w:rsidP="004645C5">
      <w:pPr>
        <w:shd w:val="clear" w:color="auto" w:fill="FFFFFF"/>
        <w:rPr>
          <w:rFonts w:cs="Arial"/>
          <w:szCs w:val="22"/>
        </w:rPr>
      </w:pPr>
    </w:p>
    <w:p w14:paraId="41D877F0" w14:textId="77777777" w:rsidR="00373E39" w:rsidRPr="00373E39" w:rsidRDefault="00373E39" w:rsidP="00373E39">
      <w:pPr>
        <w:shd w:val="clear" w:color="auto" w:fill="FFFFFF"/>
        <w:rPr>
          <w:rFonts w:cs="Arial"/>
          <w:szCs w:val="22"/>
        </w:rPr>
      </w:pPr>
      <w:r w:rsidRPr="00373E39">
        <w:rPr>
          <w:rFonts w:cs="Arial"/>
          <w:szCs w:val="22"/>
        </w:rPr>
        <w:t>W ramach projektu „Profesjonalizacja kadr w zamówieniach publicznych” w 2022 r. przygotowane zostały następujące publikacje:</w:t>
      </w:r>
    </w:p>
    <w:p w14:paraId="287E1CE3" w14:textId="531D455B" w:rsidR="00373E39" w:rsidRPr="00373E39" w:rsidRDefault="00373E39" w:rsidP="00E16264">
      <w:pPr>
        <w:numPr>
          <w:ilvl w:val="0"/>
          <w:numId w:val="47"/>
        </w:numPr>
        <w:shd w:val="clear" w:color="auto" w:fill="FFFFFF"/>
        <w:rPr>
          <w:rFonts w:cs="Arial"/>
          <w:szCs w:val="22"/>
        </w:rPr>
      </w:pPr>
      <w:r w:rsidRPr="00373E39">
        <w:rPr>
          <w:rFonts w:cs="Arial"/>
          <w:szCs w:val="22"/>
        </w:rPr>
        <w:t xml:space="preserve">publikacja dotycząca aktów wykonawczych do ustawy </w:t>
      </w:r>
      <w:r w:rsidR="0023288B" w:rsidRPr="0023288B">
        <w:rPr>
          <w:rFonts w:cs="Arial"/>
          <w:szCs w:val="22"/>
        </w:rPr>
        <w:t>–</w:t>
      </w:r>
      <w:r w:rsidR="0023288B">
        <w:rPr>
          <w:rFonts w:cs="Arial"/>
          <w:szCs w:val="22"/>
        </w:rPr>
        <w:t xml:space="preserve"> </w:t>
      </w:r>
      <w:r w:rsidRPr="00373E39">
        <w:rPr>
          <w:rFonts w:cs="Arial"/>
          <w:szCs w:val="22"/>
        </w:rPr>
        <w:t>Prawo zamówień publicznych, część II</w:t>
      </w:r>
      <w:r w:rsidR="009343A1">
        <w:rPr>
          <w:rFonts w:cs="Arial"/>
          <w:szCs w:val="22"/>
        </w:rPr>
        <w:t xml:space="preserve"> </w:t>
      </w:r>
    </w:p>
    <w:p w14:paraId="0926FD1F" w14:textId="77777777" w:rsidR="00373E39" w:rsidRPr="00373E39" w:rsidRDefault="00373E39" w:rsidP="00E16264">
      <w:pPr>
        <w:numPr>
          <w:ilvl w:val="0"/>
          <w:numId w:val="47"/>
        </w:numPr>
        <w:shd w:val="clear" w:color="auto" w:fill="FFFFFF"/>
        <w:rPr>
          <w:rFonts w:cs="Arial"/>
          <w:szCs w:val="22"/>
        </w:rPr>
      </w:pPr>
      <w:r w:rsidRPr="00373E39">
        <w:rPr>
          <w:rFonts w:cs="Arial"/>
          <w:szCs w:val="22"/>
        </w:rPr>
        <w:t xml:space="preserve">BIM – innowacyjne podejście do zamówień publicznych w sektorze budowlanym (publikacja elektroniczna) </w:t>
      </w:r>
    </w:p>
    <w:p w14:paraId="37C93AC5" w14:textId="57907428" w:rsidR="00373E39" w:rsidRPr="00373E39" w:rsidRDefault="00373E39" w:rsidP="00E16264">
      <w:pPr>
        <w:numPr>
          <w:ilvl w:val="0"/>
          <w:numId w:val="47"/>
        </w:numPr>
        <w:shd w:val="clear" w:color="auto" w:fill="FFFFFF"/>
        <w:rPr>
          <w:rFonts w:cs="Arial"/>
          <w:szCs w:val="22"/>
        </w:rPr>
      </w:pPr>
      <w:r w:rsidRPr="00373E39">
        <w:rPr>
          <w:rFonts w:cs="Arial"/>
          <w:szCs w:val="22"/>
        </w:rPr>
        <w:t xml:space="preserve">Zamówienia publiczne a umowy koncesji na roboty budowlane lub usługi </w:t>
      </w:r>
      <w:r w:rsidR="0023288B" w:rsidRPr="0023288B">
        <w:rPr>
          <w:rFonts w:cs="Arial"/>
          <w:szCs w:val="22"/>
        </w:rPr>
        <w:t>–</w:t>
      </w:r>
      <w:r w:rsidRPr="00373E39">
        <w:rPr>
          <w:rFonts w:cs="Arial"/>
          <w:szCs w:val="22"/>
        </w:rPr>
        <w:t xml:space="preserve"> postępowanie o zawarcie umowy koncesji, orzecznictwo i dobre praktyki (publikacja elektroniczna)</w:t>
      </w:r>
    </w:p>
    <w:p w14:paraId="22F7B339" w14:textId="55216525" w:rsidR="00C50C1D" w:rsidRDefault="00C50C1D" w:rsidP="004645C5">
      <w:pPr>
        <w:shd w:val="clear" w:color="auto" w:fill="FFFFFF"/>
        <w:rPr>
          <w:rFonts w:cs="Arial"/>
          <w:szCs w:val="22"/>
        </w:rPr>
      </w:pPr>
    </w:p>
    <w:p w14:paraId="7D320CFC" w14:textId="2FE94348" w:rsidR="00C84EBC" w:rsidRDefault="00C84EBC" w:rsidP="004645C5">
      <w:pPr>
        <w:shd w:val="clear" w:color="auto" w:fill="FFFFFF"/>
        <w:rPr>
          <w:rFonts w:cs="Arial"/>
          <w:szCs w:val="22"/>
        </w:rPr>
      </w:pPr>
    </w:p>
    <w:p w14:paraId="3096560D" w14:textId="1FB4A7CE" w:rsidR="00803937" w:rsidRPr="00803937" w:rsidRDefault="00373E39" w:rsidP="00A119AB">
      <w:pPr>
        <w:pStyle w:val="StylArial11ptWyjustowany"/>
        <w:numPr>
          <w:ilvl w:val="1"/>
          <w:numId w:val="4"/>
        </w:numPr>
        <w:shd w:val="clear" w:color="auto" w:fill="FFFFFF"/>
        <w:jc w:val="left"/>
        <w:rPr>
          <w:rFonts w:cs="Arial"/>
          <w:b/>
          <w:iCs/>
          <w:color w:val="0070C0"/>
          <w:szCs w:val="22"/>
        </w:rPr>
      </w:pPr>
      <w:r w:rsidRPr="00373E39">
        <w:rPr>
          <w:rFonts w:cs="Arial"/>
          <w:b/>
          <w:iCs/>
          <w:color w:val="0070C0"/>
          <w:szCs w:val="22"/>
        </w:rPr>
        <w:t>Materiały edukacyjne do repozytorium wiedzy</w:t>
      </w:r>
    </w:p>
    <w:p w14:paraId="126FFE0E" w14:textId="2EB07FE6" w:rsidR="00803937" w:rsidRDefault="00803937" w:rsidP="00803937">
      <w:pPr>
        <w:shd w:val="clear" w:color="auto" w:fill="FFFFFF"/>
        <w:rPr>
          <w:rFonts w:cs="Arial"/>
          <w:szCs w:val="22"/>
        </w:rPr>
      </w:pPr>
    </w:p>
    <w:p w14:paraId="55E377D6" w14:textId="1E8A6D64" w:rsidR="00373E39" w:rsidRPr="00373E39" w:rsidRDefault="00373E39" w:rsidP="00373E39">
      <w:pPr>
        <w:shd w:val="clear" w:color="auto" w:fill="FFFFFF"/>
        <w:rPr>
          <w:rFonts w:cs="Arial"/>
          <w:szCs w:val="22"/>
        </w:rPr>
      </w:pPr>
      <w:r w:rsidRPr="00373E39">
        <w:rPr>
          <w:rFonts w:cs="Arial"/>
          <w:szCs w:val="22"/>
        </w:rPr>
        <w:t>W repozytorium wiedzy opublikowano następujące materiały przygotowane w ramach ww.</w:t>
      </w:r>
      <w:r w:rsidR="009343A1">
        <w:rPr>
          <w:rFonts w:cs="Arial"/>
          <w:szCs w:val="22"/>
        </w:rPr>
        <w:t xml:space="preserve"> </w:t>
      </w:r>
      <w:r w:rsidRPr="00373E39">
        <w:rPr>
          <w:rFonts w:cs="Arial"/>
          <w:szCs w:val="22"/>
        </w:rPr>
        <w:t xml:space="preserve">projektu: </w:t>
      </w:r>
    </w:p>
    <w:p w14:paraId="127926E2" w14:textId="5483F63D" w:rsidR="00373E39" w:rsidRPr="00373E39" w:rsidRDefault="00373E39" w:rsidP="00E16264">
      <w:pPr>
        <w:numPr>
          <w:ilvl w:val="0"/>
          <w:numId w:val="48"/>
        </w:numPr>
        <w:shd w:val="clear" w:color="auto" w:fill="FFFFFF"/>
        <w:rPr>
          <w:rFonts w:cs="Arial"/>
          <w:szCs w:val="22"/>
        </w:rPr>
      </w:pPr>
      <w:r w:rsidRPr="00373E39">
        <w:rPr>
          <w:rFonts w:cs="Arial"/>
          <w:szCs w:val="22"/>
        </w:rPr>
        <w:t xml:space="preserve">Wstępne </w:t>
      </w:r>
      <w:r w:rsidR="00A80290">
        <w:rPr>
          <w:rFonts w:cs="Arial"/>
          <w:szCs w:val="22"/>
        </w:rPr>
        <w:t>konsultacje rynkowe – regulamin.</w:t>
      </w:r>
    </w:p>
    <w:p w14:paraId="4CD57348" w14:textId="36A5B9CC" w:rsidR="00373E39" w:rsidRPr="00373E39" w:rsidRDefault="00373E39" w:rsidP="00E16264">
      <w:pPr>
        <w:numPr>
          <w:ilvl w:val="0"/>
          <w:numId w:val="48"/>
        </w:numPr>
        <w:shd w:val="clear" w:color="auto" w:fill="FFFFFF"/>
        <w:rPr>
          <w:rFonts w:cs="Arial"/>
          <w:szCs w:val="22"/>
        </w:rPr>
      </w:pPr>
      <w:r w:rsidRPr="00373E39">
        <w:rPr>
          <w:rFonts w:cs="Arial"/>
          <w:szCs w:val="22"/>
        </w:rPr>
        <w:t>Ogłoszenie o ws</w:t>
      </w:r>
      <w:r w:rsidR="00A80290">
        <w:rPr>
          <w:rFonts w:cs="Arial"/>
          <w:szCs w:val="22"/>
        </w:rPr>
        <w:t>tępnych konsultacjach rynkowych.</w:t>
      </w:r>
    </w:p>
    <w:p w14:paraId="33B4806D" w14:textId="204A13BD" w:rsidR="00373E39" w:rsidRPr="00373E39" w:rsidRDefault="00373E39" w:rsidP="00E16264">
      <w:pPr>
        <w:numPr>
          <w:ilvl w:val="0"/>
          <w:numId w:val="48"/>
        </w:numPr>
        <w:shd w:val="clear" w:color="auto" w:fill="FFFFFF"/>
        <w:rPr>
          <w:rFonts w:cs="Arial"/>
          <w:szCs w:val="22"/>
        </w:rPr>
      </w:pPr>
      <w:r w:rsidRPr="00373E39">
        <w:rPr>
          <w:rFonts w:cs="Arial"/>
          <w:szCs w:val="22"/>
        </w:rPr>
        <w:t>Zgłoszenie do udziału we ws</w:t>
      </w:r>
      <w:r w:rsidR="00A80290">
        <w:rPr>
          <w:rFonts w:cs="Arial"/>
          <w:szCs w:val="22"/>
        </w:rPr>
        <w:t>tępnych konsultacjach rynkowych.</w:t>
      </w:r>
    </w:p>
    <w:p w14:paraId="2EAFA553" w14:textId="1FC5101A" w:rsidR="00373E39" w:rsidRPr="00373E39" w:rsidRDefault="00373E39" w:rsidP="00E16264">
      <w:pPr>
        <w:numPr>
          <w:ilvl w:val="0"/>
          <w:numId w:val="48"/>
        </w:numPr>
        <w:shd w:val="clear" w:color="auto" w:fill="FFFFFF"/>
        <w:rPr>
          <w:rFonts w:cs="Arial"/>
          <w:szCs w:val="22"/>
        </w:rPr>
      </w:pPr>
      <w:r w:rsidRPr="00373E39">
        <w:rPr>
          <w:rFonts w:cs="Arial"/>
          <w:szCs w:val="22"/>
        </w:rPr>
        <w:t>Środki ochrony prawnej w nowej ust</w:t>
      </w:r>
      <w:r w:rsidR="00A80290">
        <w:rPr>
          <w:rFonts w:cs="Arial"/>
          <w:szCs w:val="22"/>
        </w:rPr>
        <w:t>awie Prawo zamówień publicznych.</w:t>
      </w:r>
    </w:p>
    <w:p w14:paraId="23661ED2" w14:textId="4E6B90E5" w:rsidR="00373E39" w:rsidRPr="00373E39" w:rsidRDefault="00373E39" w:rsidP="00E16264">
      <w:pPr>
        <w:numPr>
          <w:ilvl w:val="0"/>
          <w:numId w:val="48"/>
        </w:numPr>
        <w:shd w:val="clear" w:color="auto" w:fill="FFFFFF"/>
        <w:rPr>
          <w:rFonts w:cs="Arial"/>
          <w:szCs w:val="22"/>
        </w:rPr>
      </w:pPr>
      <w:r w:rsidRPr="00373E39">
        <w:rPr>
          <w:rFonts w:cs="Arial"/>
          <w:szCs w:val="22"/>
        </w:rPr>
        <w:t>Regulacje prawne nt. zasad sporządzania rocznego sprawozdania o udzielonych zamówieniach</w:t>
      </w:r>
      <w:r w:rsidR="00A80290">
        <w:rPr>
          <w:rFonts w:cs="Arial"/>
          <w:szCs w:val="22"/>
        </w:rPr>
        <w:t>.</w:t>
      </w:r>
    </w:p>
    <w:p w14:paraId="1FB92493" w14:textId="5CB3391B" w:rsidR="00373E39" w:rsidRPr="00373E39" w:rsidRDefault="00373E39" w:rsidP="00E16264">
      <w:pPr>
        <w:numPr>
          <w:ilvl w:val="0"/>
          <w:numId w:val="48"/>
        </w:numPr>
        <w:shd w:val="clear" w:color="auto" w:fill="FFFFFF"/>
        <w:rPr>
          <w:rFonts w:cs="Arial"/>
          <w:szCs w:val="22"/>
        </w:rPr>
      </w:pPr>
      <w:r w:rsidRPr="00373E39">
        <w:rPr>
          <w:rFonts w:cs="Arial"/>
          <w:szCs w:val="22"/>
        </w:rPr>
        <w:t>Mediacja i koncyliacja – nowe instrumenty prawne regulujące polubowne rozwiązywanie sporów z udziałem zamawiających</w:t>
      </w:r>
      <w:r w:rsidR="00A80290">
        <w:rPr>
          <w:rFonts w:cs="Arial"/>
          <w:szCs w:val="22"/>
        </w:rPr>
        <w:t>.</w:t>
      </w:r>
    </w:p>
    <w:p w14:paraId="1CBCDD6B" w14:textId="0663FD97" w:rsidR="00373E39" w:rsidRPr="00373E39" w:rsidRDefault="00373E39" w:rsidP="00E16264">
      <w:pPr>
        <w:numPr>
          <w:ilvl w:val="0"/>
          <w:numId w:val="48"/>
        </w:numPr>
        <w:shd w:val="clear" w:color="auto" w:fill="FFFFFF"/>
        <w:rPr>
          <w:rFonts w:cs="Arial"/>
          <w:szCs w:val="22"/>
        </w:rPr>
      </w:pPr>
      <w:r w:rsidRPr="00373E39">
        <w:rPr>
          <w:rFonts w:cs="Arial"/>
          <w:szCs w:val="22"/>
        </w:rPr>
        <w:t>Usługa organizacji konferencji online – przykładowe zapisy dokumentacji postępowania o udzielenie zamówienia publicznego dotyczące opisu przedmiotu zamówienia i pozacenowych kryteriów oceny ofert</w:t>
      </w:r>
      <w:r w:rsidR="00A80290">
        <w:rPr>
          <w:rFonts w:cs="Arial"/>
          <w:szCs w:val="22"/>
        </w:rPr>
        <w:t>.</w:t>
      </w:r>
    </w:p>
    <w:p w14:paraId="14870653" w14:textId="2D40B4AB" w:rsidR="00373E39" w:rsidRPr="00373E39" w:rsidRDefault="00373E39" w:rsidP="00E16264">
      <w:pPr>
        <w:numPr>
          <w:ilvl w:val="0"/>
          <w:numId w:val="48"/>
        </w:numPr>
        <w:shd w:val="clear" w:color="auto" w:fill="FFFFFF"/>
        <w:rPr>
          <w:rFonts w:cs="Arial"/>
          <w:szCs w:val="22"/>
        </w:rPr>
      </w:pPr>
      <w:r w:rsidRPr="00373E39">
        <w:rPr>
          <w:rFonts w:cs="Arial"/>
          <w:szCs w:val="22"/>
        </w:rPr>
        <w:t>Usługa wykonania i dostawy materiałów promocyjnych – przykładowe zapisy dokumentacji postępowania o udzielenie zamówienia publicznego dotyczące opisu przedmiotu zamówienia i pozacenowych kryteriów oceny ofert</w:t>
      </w:r>
      <w:r w:rsidR="00A80290">
        <w:rPr>
          <w:rFonts w:cs="Arial"/>
          <w:szCs w:val="22"/>
        </w:rPr>
        <w:t>.</w:t>
      </w:r>
    </w:p>
    <w:p w14:paraId="1B0A5753" w14:textId="1ED0DC04" w:rsidR="00373E39" w:rsidRPr="00373E39" w:rsidRDefault="00373E39" w:rsidP="00E16264">
      <w:pPr>
        <w:numPr>
          <w:ilvl w:val="0"/>
          <w:numId w:val="48"/>
        </w:numPr>
        <w:shd w:val="clear" w:color="auto" w:fill="FFFFFF"/>
        <w:rPr>
          <w:rFonts w:cs="Arial"/>
          <w:szCs w:val="22"/>
        </w:rPr>
      </w:pPr>
      <w:r w:rsidRPr="00373E39">
        <w:rPr>
          <w:rFonts w:cs="Arial"/>
          <w:szCs w:val="22"/>
        </w:rPr>
        <w:t>Świadczenie usług poligraficznych – przykładowe zapisy dokumentacji postępowania o udzielenie</w:t>
      </w:r>
      <w:r w:rsidR="009343A1">
        <w:rPr>
          <w:rFonts w:cs="Arial"/>
          <w:szCs w:val="22"/>
        </w:rPr>
        <w:t xml:space="preserve"> </w:t>
      </w:r>
      <w:r w:rsidRPr="00373E39">
        <w:rPr>
          <w:rFonts w:cs="Arial"/>
          <w:szCs w:val="22"/>
        </w:rPr>
        <w:t>zamówienia publicznego dotyczące opisu przedmiotu zamówienia i pozacenowych kryteriów oceny ofert</w:t>
      </w:r>
      <w:r w:rsidR="00A80290">
        <w:rPr>
          <w:rFonts w:cs="Arial"/>
          <w:szCs w:val="22"/>
        </w:rPr>
        <w:t>.</w:t>
      </w:r>
    </w:p>
    <w:p w14:paraId="76C4D554" w14:textId="63C34290" w:rsidR="00373E39" w:rsidRPr="00373E39" w:rsidRDefault="00373E39" w:rsidP="00E16264">
      <w:pPr>
        <w:numPr>
          <w:ilvl w:val="0"/>
          <w:numId w:val="48"/>
        </w:numPr>
        <w:shd w:val="clear" w:color="auto" w:fill="FFFFFF"/>
        <w:rPr>
          <w:rFonts w:cs="Arial"/>
          <w:szCs w:val="22"/>
        </w:rPr>
      </w:pPr>
      <w:r w:rsidRPr="00373E39">
        <w:rPr>
          <w:rFonts w:cs="Arial"/>
          <w:szCs w:val="22"/>
        </w:rPr>
        <w:t>Zlecenie usług kurierskich – przykładowe zapisy dokumentacji postępowania o udzielenie zamówienia publicznego dotyczące opisu przedmiotu zamówienia, pozacenowych kryteriów oceny ofert oraz niektórych projektowanych postanowień umowy w sprawie zamówienia publicznego, które zostaną wprowadzone do treści tej umowy</w:t>
      </w:r>
      <w:r w:rsidR="00A80290">
        <w:rPr>
          <w:rFonts w:cs="Arial"/>
          <w:szCs w:val="22"/>
        </w:rPr>
        <w:t>.</w:t>
      </w:r>
    </w:p>
    <w:p w14:paraId="7838F0F9" w14:textId="05501A34" w:rsidR="00373E39" w:rsidRPr="00373E39" w:rsidRDefault="00373E39" w:rsidP="00E16264">
      <w:pPr>
        <w:numPr>
          <w:ilvl w:val="0"/>
          <w:numId w:val="48"/>
        </w:numPr>
        <w:shd w:val="clear" w:color="auto" w:fill="FFFFFF"/>
        <w:rPr>
          <w:rFonts w:cs="Arial"/>
          <w:szCs w:val="22"/>
        </w:rPr>
      </w:pPr>
      <w:r w:rsidRPr="00373E39">
        <w:rPr>
          <w:rFonts w:cs="Arial"/>
          <w:szCs w:val="22"/>
        </w:rPr>
        <w:t>Sporządzania i przekazywania dokumentów elektronicznych w postępowaniu prowadzonym przy użyciu środków komunikacji elektronicznej, ze szczególnym uwzględnieniem regulacji § 6 i 7 rozporządzenia wydanego na podstawie art. 70 ustawy z dnia 11 września 2019 r. – Prawo zamówień publicznych</w:t>
      </w:r>
      <w:r w:rsidR="00A80290">
        <w:rPr>
          <w:rFonts w:cs="Arial"/>
          <w:szCs w:val="22"/>
        </w:rPr>
        <w:t>.</w:t>
      </w:r>
    </w:p>
    <w:p w14:paraId="3B816B3B" w14:textId="6179DF1D" w:rsidR="00373E39" w:rsidRPr="00373E39" w:rsidRDefault="00373E39" w:rsidP="00E16264">
      <w:pPr>
        <w:numPr>
          <w:ilvl w:val="0"/>
          <w:numId w:val="48"/>
        </w:numPr>
        <w:shd w:val="clear" w:color="auto" w:fill="FFFFFF"/>
        <w:rPr>
          <w:rFonts w:cs="Arial"/>
          <w:szCs w:val="22"/>
        </w:rPr>
      </w:pPr>
      <w:r w:rsidRPr="00373E39">
        <w:rPr>
          <w:rFonts w:cs="Arial"/>
          <w:szCs w:val="22"/>
        </w:rPr>
        <w:t>Materi</w:t>
      </w:r>
      <w:r w:rsidR="00A2256E">
        <w:rPr>
          <w:rFonts w:cs="Arial"/>
          <w:szCs w:val="22"/>
        </w:rPr>
        <w:t>ał dotyczący skargi w postę</w:t>
      </w:r>
      <w:r w:rsidRPr="00373E39">
        <w:rPr>
          <w:rFonts w:cs="Arial"/>
          <w:szCs w:val="22"/>
        </w:rPr>
        <w:t>powaniu o zamówienie publiczne</w:t>
      </w:r>
      <w:r w:rsidR="00A80290">
        <w:rPr>
          <w:rFonts w:cs="Arial"/>
          <w:szCs w:val="22"/>
        </w:rPr>
        <w:t>.</w:t>
      </w:r>
    </w:p>
    <w:p w14:paraId="6EFB8A20" w14:textId="065EC6B6" w:rsidR="00373E39" w:rsidRPr="00373E39" w:rsidRDefault="00373E39" w:rsidP="00E16264">
      <w:pPr>
        <w:numPr>
          <w:ilvl w:val="0"/>
          <w:numId w:val="48"/>
        </w:numPr>
        <w:shd w:val="clear" w:color="auto" w:fill="FFFFFF"/>
        <w:rPr>
          <w:rFonts w:cs="Arial"/>
          <w:szCs w:val="22"/>
        </w:rPr>
      </w:pPr>
      <w:r w:rsidRPr="00373E39">
        <w:rPr>
          <w:rFonts w:cs="Arial"/>
          <w:szCs w:val="22"/>
        </w:rPr>
        <w:t>Materiał dotycz</w:t>
      </w:r>
      <w:r w:rsidR="00A2256E">
        <w:rPr>
          <w:rFonts w:cs="Arial"/>
          <w:szCs w:val="22"/>
        </w:rPr>
        <w:t>ący odpowiedzi na skargę w postę</w:t>
      </w:r>
      <w:r w:rsidRPr="00373E39">
        <w:rPr>
          <w:rFonts w:cs="Arial"/>
          <w:szCs w:val="22"/>
        </w:rPr>
        <w:t>powaniu o zamówienie publiczne</w:t>
      </w:r>
      <w:r w:rsidR="00A80290">
        <w:rPr>
          <w:rFonts w:cs="Arial"/>
          <w:szCs w:val="22"/>
        </w:rPr>
        <w:t>.</w:t>
      </w:r>
    </w:p>
    <w:p w14:paraId="42EEE9B5" w14:textId="066FEBF0" w:rsidR="00373E39" w:rsidRPr="00373E39" w:rsidRDefault="00373E39" w:rsidP="00E16264">
      <w:pPr>
        <w:numPr>
          <w:ilvl w:val="0"/>
          <w:numId w:val="48"/>
        </w:numPr>
        <w:shd w:val="clear" w:color="auto" w:fill="FFFFFF"/>
        <w:rPr>
          <w:rFonts w:cs="Arial"/>
          <w:szCs w:val="22"/>
        </w:rPr>
      </w:pPr>
      <w:r w:rsidRPr="00373E39">
        <w:rPr>
          <w:rFonts w:cs="Arial"/>
          <w:szCs w:val="22"/>
        </w:rPr>
        <w:t>Materiał dotyczący pełnomocnictwa procesowego w postępowaniu skargowym</w:t>
      </w:r>
      <w:r w:rsidR="00A80290">
        <w:rPr>
          <w:rFonts w:cs="Arial"/>
          <w:szCs w:val="22"/>
        </w:rPr>
        <w:t>.</w:t>
      </w:r>
    </w:p>
    <w:p w14:paraId="628896CC" w14:textId="77777777" w:rsidR="00373E39" w:rsidRPr="00373E39" w:rsidRDefault="00373E39" w:rsidP="00E16264">
      <w:pPr>
        <w:numPr>
          <w:ilvl w:val="0"/>
          <w:numId w:val="48"/>
        </w:numPr>
        <w:shd w:val="clear" w:color="auto" w:fill="FFFFFF"/>
        <w:rPr>
          <w:rFonts w:cs="Arial"/>
          <w:szCs w:val="22"/>
        </w:rPr>
      </w:pPr>
      <w:r w:rsidRPr="00373E39">
        <w:rPr>
          <w:rFonts w:cs="Arial"/>
          <w:szCs w:val="22"/>
        </w:rPr>
        <w:t>Materiał dotyczący wniosku dowodowego w postępowaniu skargowym.</w:t>
      </w:r>
    </w:p>
    <w:p w14:paraId="4C8C8C7E" w14:textId="77777777" w:rsidR="00803937" w:rsidRPr="00803937" w:rsidRDefault="00803937" w:rsidP="00803937">
      <w:pPr>
        <w:shd w:val="clear" w:color="auto" w:fill="FFFFFF"/>
        <w:rPr>
          <w:rFonts w:cs="Arial"/>
          <w:szCs w:val="22"/>
        </w:rPr>
      </w:pPr>
    </w:p>
    <w:p w14:paraId="504D4057" w14:textId="0436918A" w:rsidR="009E38CC" w:rsidRDefault="009E38CC" w:rsidP="004645C5">
      <w:pPr>
        <w:shd w:val="clear" w:color="auto" w:fill="FFFFFF"/>
        <w:rPr>
          <w:rFonts w:cs="Arial"/>
          <w:szCs w:val="22"/>
        </w:rPr>
      </w:pPr>
    </w:p>
    <w:p w14:paraId="445E1F48" w14:textId="2C8A66D5" w:rsidR="002848D7" w:rsidRPr="00E1650A" w:rsidRDefault="002848D7" w:rsidP="002848D7">
      <w:pPr>
        <w:pStyle w:val="StylArial11ptWyjustowany"/>
        <w:numPr>
          <w:ilvl w:val="0"/>
          <w:numId w:val="12"/>
        </w:numPr>
        <w:shd w:val="clear" w:color="auto" w:fill="FFFFFF"/>
        <w:jc w:val="left"/>
        <w:rPr>
          <w:rFonts w:cs="Arial"/>
          <w:b/>
          <w:iCs/>
          <w:color w:val="0070C0"/>
          <w:szCs w:val="22"/>
        </w:rPr>
      </w:pPr>
      <w:r w:rsidRPr="002848D7">
        <w:rPr>
          <w:rFonts w:cs="Arial"/>
          <w:b/>
          <w:iCs/>
          <w:color w:val="0070C0"/>
          <w:szCs w:val="22"/>
        </w:rPr>
        <w:t>Działania Urzędu w ramach Polityki zakupowej państwa</w:t>
      </w:r>
    </w:p>
    <w:p w14:paraId="3C7A12BB" w14:textId="0651EF08" w:rsidR="002848D7" w:rsidRDefault="002848D7" w:rsidP="004645C5">
      <w:pPr>
        <w:shd w:val="clear" w:color="auto" w:fill="FFFFFF"/>
        <w:rPr>
          <w:rFonts w:cs="Arial"/>
          <w:szCs w:val="22"/>
        </w:rPr>
      </w:pPr>
    </w:p>
    <w:p w14:paraId="25434223" w14:textId="6B57AE46" w:rsidR="002848D7" w:rsidRPr="002848D7" w:rsidRDefault="002848D7" w:rsidP="002848D7">
      <w:pPr>
        <w:shd w:val="clear" w:color="auto" w:fill="FFFFFF"/>
        <w:rPr>
          <w:rFonts w:cs="Arial"/>
          <w:szCs w:val="22"/>
        </w:rPr>
      </w:pPr>
      <w:r w:rsidRPr="002848D7">
        <w:rPr>
          <w:rFonts w:cs="Arial"/>
          <w:szCs w:val="22"/>
        </w:rPr>
        <w:t xml:space="preserve">Polityka zakupowa państwa przyjęta uchwałą </w:t>
      </w:r>
      <w:r w:rsidR="006C19FC">
        <w:rPr>
          <w:rFonts w:cs="Arial"/>
          <w:szCs w:val="22"/>
        </w:rPr>
        <w:t xml:space="preserve">nr 6 </w:t>
      </w:r>
      <w:r w:rsidRPr="002848D7">
        <w:rPr>
          <w:rFonts w:cs="Arial"/>
          <w:szCs w:val="22"/>
        </w:rPr>
        <w:t xml:space="preserve">Rady Ministrów z dnia 11 stycznia 2022 r. </w:t>
      </w:r>
      <w:r w:rsidR="0098060C">
        <w:rPr>
          <w:rFonts w:cs="Arial"/>
          <w:szCs w:val="22"/>
        </w:rPr>
        <w:t xml:space="preserve">w sprawie przyjęcia Polityki zakupowej państwa </w:t>
      </w:r>
      <w:r w:rsidRPr="002848D7">
        <w:rPr>
          <w:rFonts w:cs="Arial"/>
          <w:szCs w:val="22"/>
        </w:rPr>
        <w:t>(</w:t>
      </w:r>
      <w:r w:rsidR="0098060C">
        <w:rPr>
          <w:rFonts w:cs="Arial"/>
          <w:szCs w:val="22"/>
        </w:rPr>
        <w:t>M.P.</w:t>
      </w:r>
      <w:r w:rsidR="008906CC">
        <w:rPr>
          <w:rFonts w:cs="Arial"/>
          <w:szCs w:val="22"/>
        </w:rPr>
        <w:t xml:space="preserve"> </w:t>
      </w:r>
      <w:r w:rsidRPr="002848D7">
        <w:rPr>
          <w:rFonts w:cs="Arial"/>
          <w:szCs w:val="22"/>
        </w:rPr>
        <w:t>poz. 125)</w:t>
      </w:r>
      <w:r>
        <w:rPr>
          <w:rFonts w:cs="Arial"/>
          <w:szCs w:val="22"/>
        </w:rPr>
        <w:t xml:space="preserve"> </w:t>
      </w:r>
      <w:r w:rsidRPr="002848D7">
        <w:rPr>
          <w:rFonts w:cs="Arial"/>
          <w:szCs w:val="22"/>
        </w:rPr>
        <w:t xml:space="preserve">stanowi dokument o strategicznym znaczeniu dla systemu zamówień publicznych. </w:t>
      </w:r>
    </w:p>
    <w:p w14:paraId="204D0BAA" w14:textId="77777777" w:rsidR="002848D7" w:rsidRPr="002848D7" w:rsidRDefault="002848D7" w:rsidP="002848D7">
      <w:pPr>
        <w:shd w:val="clear" w:color="auto" w:fill="FFFFFF"/>
        <w:rPr>
          <w:rFonts w:cs="Arial"/>
          <w:szCs w:val="22"/>
        </w:rPr>
      </w:pPr>
      <w:r w:rsidRPr="002848D7">
        <w:rPr>
          <w:rFonts w:cs="Arial"/>
          <w:szCs w:val="22"/>
        </w:rPr>
        <w:t>Określa priorytetowe działania państwa w obszarze zamówień publicznych wskazując trzy priorytety: 1) Profesjonalizacja, 2) Rozwój potencjału MŚP, 3) Zrównoważone i innowacyjne zamówienia publiczne oraz cele do zrealizowania oraz zamierzenia zaplanowane na lata 2022–2025.</w:t>
      </w:r>
    </w:p>
    <w:p w14:paraId="46C52F28" w14:textId="29E52F5A" w:rsidR="002848D7" w:rsidRPr="002848D7" w:rsidRDefault="002848D7" w:rsidP="002848D7">
      <w:pPr>
        <w:shd w:val="clear" w:color="auto" w:fill="FFFFFF"/>
        <w:rPr>
          <w:rFonts w:cs="Arial"/>
          <w:szCs w:val="22"/>
        </w:rPr>
      </w:pPr>
      <w:r w:rsidRPr="002848D7">
        <w:rPr>
          <w:rFonts w:cs="Arial"/>
          <w:szCs w:val="22"/>
        </w:rPr>
        <w:t>W ww. dokumencie przewidziano zaangażowanie m.in. Prezesa Urzędu Zamówień Publicznych, przypisując mu, jako organowi administracji rządowej właściwemu w sprawach zamówień publicznych, rolę skoncentrowaną na aktywności</w:t>
      </w:r>
      <w:r>
        <w:rPr>
          <w:rFonts w:cs="Arial"/>
          <w:szCs w:val="22"/>
        </w:rPr>
        <w:t xml:space="preserve"> </w:t>
      </w:r>
      <w:r w:rsidRPr="002848D7">
        <w:rPr>
          <w:rFonts w:cs="Arial"/>
          <w:szCs w:val="22"/>
        </w:rPr>
        <w:t>edukacyjno-szkoleniowej. W 2022 r. uwzględniając założenia przyjęte w Polityce zakupowej państwa, w tym w szczególności w priorytecie obejmującym profesjonalizację kadr</w:t>
      </w:r>
      <w:r w:rsidR="00353C16">
        <w:rPr>
          <w:rFonts w:cs="Arial"/>
          <w:szCs w:val="22"/>
        </w:rPr>
        <w:t>,</w:t>
      </w:r>
      <w:r w:rsidRPr="002848D7">
        <w:rPr>
          <w:rFonts w:cs="Arial"/>
          <w:szCs w:val="22"/>
        </w:rPr>
        <w:t xml:space="preserve"> w Urzędzie Zamówień publicznych podjęto działania zmierzające do poprawy umiejętności i kompetencji zawodowych, wiedzy i doświadczenia osób uczestniczących w zadaniach związanych z procesem przygotowania, udzielania, realizacji oraz kontroli zamówień publicznych. W tym czasie opracowano następujące materiały: </w:t>
      </w:r>
    </w:p>
    <w:p w14:paraId="15AEE66E" w14:textId="491E55B8" w:rsidR="002848D7" w:rsidRPr="002848D7" w:rsidRDefault="00A80290" w:rsidP="002848D7">
      <w:pPr>
        <w:numPr>
          <w:ilvl w:val="0"/>
          <w:numId w:val="79"/>
        </w:numPr>
        <w:shd w:val="clear" w:color="auto" w:fill="FFFFFF"/>
        <w:rPr>
          <w:rFonts w:cs="Arial"/>
          <w:szCs w:val="22"/>
        </w:rPr>
      </w:pPr>
      <w:r>
        <w:rPr>
          <w:rFonts w:cs="Arial"/>
          <w:szCs w:val="22"/>
        </w:rPr>
        <w:t>T</w:t>
      </w:r>
      <w:r w:rsidR="002848D7" w:rsidRPr="002848D7">
        <w:rPr>
          <w:rFonts w:cs="Arial"/>
          <w:szCs w:val="22"/>
        </w:rPr>
        <w:t>rzy przewodniki na temat zamówień publicznych w innych państwach członkowskich UE - poświęcone najważniejszym zasadom udzielania zamówień publicznych w wybranych państwach członkowskich Unii Europejskiej. Przewodniki zawierają kluczowe informacje, które mogą być pomocne w procesie ubiegania się o zamówienia. Dedykowane są przedsiębiorcom, którzy mają już doświadczenie w tym zakresie, jak również planującym rozpocząć działalność na innych rynkach zamówień publicznych. Przygotowane zostały przewodniki dotyczące procedur udzielania zamówień publicznych w Republice Federalnej Niemiec, Republice Czeskiej i Republice Słowacji. Za wyborem tych państw przemawiały przede wszystkim bliskie sąsiedztwo z Polską. W przypadku Niemiec dodatkowo należy zwrócić uwagę, że niemiecki rynek zamówień publicznych postrzegany jest przez polskich przedsiębiorców jako zamknięty, a niemieckie procedury udzielania zamówień jako skomplikowane. Przewodnik ma na celu przybliżenie polskim wykonawcom niemieckich przepisów w dziedzinie zamówień i zwiększen</w:t>
      </w:r>
      <w:r w:rsidR="00F73F01">
        <w:rPr>
          <w:rFonts w:cs="Arial"/>
          <w:szCs w:val="22"/>
        </w:rPr>
        <w:t>ie zainteresowania tym rynkiem.</w:t>
      </w:r>
    </w:p>
    <w:p w14:paraId="71CAB5B7" w14:textId="053E3AE9" w:rsidR="002848D7" w:rsidRPr="002848D7" w:rsidRDefault="00A80290" w:rsidP="002848D7">
      <w:pPr>
        <w:numPr>
          <w:ilvl w:val="0"/>
          <w:numId w:val="79"/>
        </w:numPr>
        <w:shd w:val="clear" w:color="auto" w:fill="FFFFFF"/>
        <w:rPr>
          <w:rFonts w:cs="Arial"/>
          <w:szCs w:val="22"/>
        </w:rPr>
      </w:pPr>
      <w:r>
        <w:rPr>
          <w:rFonts w:cs="Arial"/>
          <w:szCs w:val="22"/>
        </w:rPr>
        <w:t>P</w:t>
      </w:r>
      <w:r w:rsidR="002848D7" w:rsidRPr="002848D7">
        <w:rPr>
          <w:rFonts w:cs="Arial"/>
          <w:szCs w:val="22"/>
        </w:rPr>
        <w:t>akiety rekomendacji oraz dobrych praktyk, w zakresie zamówień zrównoważonych (społecznych i zielonych), mający na celu upowszechnienie uwzględniania przez zamawiających kwestii społecznych i środowiskowych</w:t>
      </w:r>
      <w:r w:rsidR="00F73F01">
        <w:rPr>
          <w:rFonts w:cs="Arial"/>
          <w:szCs w:val="22"/>
        </w:rPr>
        <w:t xml:space="preserve"> w ramach kryteriów oceny ofert.</w:t>
      </w:r>
    </w:p>
    <w:p w14:paraId="08AA30AF" w14:textId="7585F873" w:rsidR="002848D7" w:rsidRPr="002848D7" w:rsidRDefault="00A80290" w:rsidP="002848D7">
      <w:pPr>
        <w:numPr>
          <w:ilvl w:val="0"/>
          <w:numId w:val="79"/>
        </w:numPr>
        <w:shd w:val="clear" w:color="auto" w:fill="FFFFFF"/>
        <w:rPr>
          <w:rFonts w:cs="Arial"/>
          <w:szCs w:val="22"/>
        </w:rPr>
      </w:pPr>
      <w:r>
        <w:rPr>
          <w:rFonts w:cs="Arial"/>
          <w:szCs w:val="22"/>
        </w:rPr>
        <w:t>T</w:t>
      </w:r>
      <w:r w:rsidR="002848D7" w:rsidRPr="002848D7">
        <w:rPr>
          <w:rFonts w:cs="Arial"/>
          <w:szCs w:val="22"/>
        </w:rPr>
        <w:t>łumaczenie tekstu polityki zakupowej państwa na język angielski ułatwiający promowanie tego dokumentu</w:t>
      </w:r>
      <w:r w:rsidR="00F73F01">
        <w:rPr>
          <w:rFonts w:cs="Arial"/>
          <w:szCs w:val="22"/>
        </w:rPr>
        <w:t xml:space="preserve"> w kontaktach międzynarodowych.</w:t>
      </w:r>
    </w:p>
    <w:p w14:paraId="041A5F27" w14:textId="6B5E33C7" w:rsidR="002848D7" w:rsidRPr="002848D7" w:rsidRDefault="00F73F01" w:rsidP="002848D7">
      <w:pPr>
        <w:numPr>
          <w:ilvl w:val="0"/>
          <w:numId w:val="79"/>
        </w:numPr>
        <w:shd w:val="clear" w:color="auto" w:fill="FFFFFF"/>
        <w:rPr>
          <w:rFonts w:cs="Arial"/>
          <w:szCs w:val="22"/>
        </w:rPr>
      </w:pPr>
      <w:r>
        <w:rPr>
          <w:rFonts w:cs="Arial"/>
          <w:szCs w:val="22"/>
        </w:rPr>
        <w:t>P</w:t>
      </w:r>
      <w:r w:rsidR="002848D7" w:rsidRPr="002848D7">
        <w:rPr>
          <w:rFonts w:cs="Arial"/>
          <w:szCs w:val="22"/>
        </w:rPr>
        <w:t>rzykładowe zapisy Wymagań Informacyjnych Zamawiającego (EIR) pojawiających się w dotychczas opublikowanych postępowaniach o udzielenie zamówienia na roboty budowlane. EIR to podstawowy dokument definiujący cele zastosowania BIM, zakres i sposób zarządzania informacją o projekcie, której wymaga zamawiający od wszystkich uczestników projektu (zamawiający, projektant, wykonawca, zarządzający obiektem).</w:t>
      </w:r>
      <w:r w:rsidR="002848D7">
        <w:rPr>
          <w:rFonts w:cs="Arial"/>
          <w:szCs w:val="22"/>
        </w:rPr>
        <w:t xml:space="preserve"> </w:t>
      </w:r>
      <w:r w:rsidR="002848D7" w:rsidRPr="002848D7">
        <w:rPr>
          <w:rFonts w:cs="Arial"/>
          <w:szCs w:val="22"/>
        </w:rPr>
        <w:t>Opracowanie propaguje wykorzystanie nowoczesnych form modelowania danych i zarządzania nimi (BIM - ang. Building Information Modeling)</w:t>
      </w:r>
      <w:r>
        <w:rPr>
          <w:rFonts w:cs="Arial"/>
          <w:szCs w:val="22"/>
        </w:rPr>
        <w:t>.</w:t>
      </w:r>
    </w:p>
    <w:p w14:paraId="02C109C7" w14:textId="12A22266" w:rsidR="002848D7" w:rsidRPr="002848D7" w:rsidRDefault="00F73F01" w:rsidP="002848D7">
      <w:pPr>
        <w:numPr>
          <w:ilvl w:val="0"/>
          <w:numId w:val="79"/>
        </w:numPr>
        <w:shd w:val="clear" w:color="auto" w:fill="FFFFFF"/>
        <w:rPr>
          <w:rFonts w:cs="Arial"/>
          <w:szCs w:val="22"/>
        </w:rPr>
      </w:pPr>
      <w:r>
        <w:rPr>
          <w:rFonts w:cs="Arial"/>
          <w:szCs w:val="22"/>
        </w:rPr>
        <w:t>D</w:t>
      </w:r>
      <w:r w:rsidR="002848D7" w:rsidRPr="002848D7">
        <w:rPr>
          <w:rFonts w:cs="Arial"/>
          <w:szCs w:val="22"/>
        </w:rPr>
        <w:t>wa materiały dla kontrolerów realizujących zadania związane z kontrolą zamówień publicznych: materiał wspierający kontrolerów w prowadzeniu czynności kontrolnych związanych z obszarem zmiany umów o zamówienie, materiał wspierający kontrolerów w prowadzeniu czynności weryfikujących z zakresu szacowania wartości zamówienia.</w:t>
      </w:r>
    </w:p>
    <w:p w14:paraId="104BAC33" w14:textId="69D04ABE" w:rsidR="002848D7" w:rsidRDefault="002848D7" w:rsidP="004645C5">
      <w:pPr>
        <w:shd w:val="clear" w:color="auto" w:fill="FFFFFF"/>
        <w:rPr>
          <w:rFonts w:cs="Arial"/>
          <w:szCs w:val="22"/>
        </w:rPr>
      </w:pPr>
    </w:p>
    <w:p w14:paraId="2085B271" w14:textId="77777777" w:rsidR="002848D7" w:rsidRDefault="002848D7" w:rsidP="004645C5">
      <w:pPr>
        <w:shd w:val="clear" w:color="auto" w:fill="FFFFFF"/>
        <w:rPr>
          <w:rFonts w:cs="Arial"/>
          <w:szCs w:val="22"/>
        </w:rPr>
      </w:pPr>
    </w:p>
    <w:p w14:paraId="3505B1C0" w14:textId="3A9D2F61" w:rsidR="00127202" w:rsidRPr="00E1650A" w:rsidRDefault="004D036E" w:rsidP="00E16264">
      <w:pPr>
        <w:pStyle w:val="StylArial11ptWyjustowany"/>
        <w:numPr>
          <w:ilvl w:val="0"/>
          <w:numId w:val="12"/>
        </w:numPr>
        <w:shd w:val="clear" w:color="auto" w:fill="FFFFFF"/>
        <w:jc w:val="left"/>
        <w:rPr>
          <w:rFonts w:cs="Arial"/>
          <w:b/>
          <w:iCs/>
          <w:color w:val="0070C0"/>
          <w:szCs w:val="22"/>
        </w:rPr>
      </w:pPr>
      <w:r w:rsidRPr="004D036E">
        <w:rPr>
          <w:rFonts w:cs="Arial"/>
          <w:b/>
          <w:iCs/>
          <w:color w:val="0070C0"/>
          <w:szCs w:val="22"/>
        </w:rPr>
        <w:t>Pozostałe konferencje UZP</w:t>
      </w:r>
    </w:p>
    <w:p w14:paraId="6FFE4F9F" w14:textId="65D418DD" w:rsidR="00127202" w:rsidRDefault="00127202" w:rsidP="004645C5">
      <w:pPr>
        <w:shd w:val="clear" w:color="auto" w:fill="FFFFFF"/>
        <w:rPr>
          <w:rFonts w:cs="Arial"/>
          <w:szCs w:val="22"/>
        </w:rPr>
      </w:pPr>
    </w:p>
    <w:p w14:paraId="3B0F4669" w14:textId="5E34F90D" w:rsidR="004D036E" w:rsidRPr="004D036E" w:rsidRDefault="004D036E" w:rsidP="004D036E">
      <w:pPr>
        <w:shd w:val="clear" w:color="auto" w:fill="FFFFFF"/>
        <w:rPr>
          <w:rFonts w:cs="Arial"/>
          <w:szCs w:val="22"/>
        </w:rPr>
      </w:pPr>
      <w:r w:rsidRPr="004D036E">
        <w:rPr>
          <w:rFonts w:cs="Arial"/>
          <w:szCs w:val="22"/>
        </w:rPr>
        <w:t>XIII Konferencja naukowa z</w:t>
      </w:r>
      <w:r w:rsidR="009343A1">
        <w:rPr>
          <w:rFonts w:cs="Arial"/>
          <w:szCs w:val="22"/>
        </w:rPr>
        <w:t xml:space="preserve"> </w:t>
      </w:r>
      <w:r w:rsidRPr="004D036E">
        <w:rPr>
          <w:rFonts w:cs="Arial"/>
          <w:szCs w:val="22"/>
        </w:rPr>
        <w:t xml:space="preserve">zakresu zamówień publicznych pt. </w:t>
      </w:r>
      <w:r w:rsidRPr="004D036E">
        <w:rPr>
          <w:rFonts w:cs="Arial"/>
          <w:b/>
          <w:bCs/>
          <w:szCs w:val="22"/>
        </w:rPr>
        <w:t>„Zamówienia publiczne</w:t>
      </w:r>
      <w:r w:rsidR="009343A1">
        <w:rPr>
          <w:rFonts w:cs="Arial"/>
          <w:b/>
          <w:bCs/>
          <w:szCs w:val="22"/>
        </w:rPr>
        <w:t xml:space="preserve"> </w:t>
      </w:r>
      <w:r w:rsidR="0023288B" w:rsidRPr="0023288B">
        <w:rPr>
          <w:rFonts w:cs="Arial"/>
          <w:b/>
          <w:bCs/>
          <w:szCs w:val="22"/>
        </w:rPr>
        <w:t>–</w:t>
      </w:r>
      <w:r w:rsidR="009343A1">
        <w:rPr>
          <w:rFonts w:cs="Arial"/>
          <w:b/>
          <w:bCs/>
          <w:szCs w:val="22"/>
        </w:rPr>
        <w:t xml:space="preserve"> </w:t>
      </w:r>
      <w:r w:rsidRPr="004D036E">
        <w:rPr>
          <w:rFonts w:cs="Arial"/>
          <w:b/>
          <w:bCs/>
          <w:szCs w:val="22"/>
        </w:rPr>
        <w:t>rola, wyzwania, perspektywy. 15</w:t>
      </w:r>
      <w:r w:rsidR="009343A1">
        <w:rPr>
          <w:rFonts w:cs="Arial"/>
          <w:b/>
          <w:bCs/>
          <w:szCs w:val="22"/>
        </w:rPr>
        <w:t xml:space="preserve"> </w:t>
      </w:r>
      <w:r w:rsidRPr="004D036E">
        <w:rPr>
          <w:rFonts w:cs="Arial"/>
          <w:b/>
          <w:bCs/>
          <w:szCs w:val="22"/>
        </w:rPr>
        <w:t>lat KIO w systemie zamówień publicznych”</w:t>
      </w:r>
      <w:r w:rsidRPr="004D036E">
        <w:rPr>
          <w:rFonts w:cs="Arial"/>
          <w:szCs w:val="22"/>
        </w:rPr>
        <w:t xml:space="preserve"> odbyła się 27</w:t>
      </w:r>
      <w:r w:rsidR="009343A1">
        <w:rPr>
          <w:rFonts w:cs="Arial"/>
          <w:szCs w:val="22"/>
        </w:rPr>
        <w:t xml:space="preserve"> </w:t>
      </w:r>
      <w:r w:rsidRPr="004D036E">
        <w:rPr>
          <w:rFonts w:cs="Arial"/>
          <w:szCs w:val="22"/>
        </w:rPr>
        <w:t>września 2022</w:t>
      </w:r>
      <w:r w:rsidR="009343A1">
        <w:rPr>
          <w:rFonts w:cs="Arial"/>
          <w:szCs w:val="22"/>
        </w:rPr>
        <w:t xml:space="preserve"> </w:t>
      </w:r>
      <w:r w:rsidRPr="004D036E">
        <w:rPr>
          <w:rFonts w:cs="Arial"/>
          <w:szCs w:val="22"/>
        </w:rPr>
        <w:t>r. w</w:t>
      </w:r>
      <w:r w:rsidR="009343A1">
        <w:rPr>
          <w:rFonts w:cs="Arial"/>
          <w:szCs w:val="22"/>
        </w:rPr>
        <w:t xml:space="preserve"> </w:t>
      </w:r>
      <w:r w:rsidRPr="004D036E">
        <w:rPr>
          <w:rFonts w:cs="Arial"/>
          <w:szCs w:val="22"/>
        </w:rPr>
        <w:t xml:space="preserve">Poznaniu. Została zorganizowana przez Urząd Zamówień Publicznych oraz Wydział Prawa i Administracji Uniwersytetu im. Adama Mickiewicza w Poznaniu w formie hybrydowej, zatem uczestnicy mieli możliwość bezpośredniego udziału poprzez obecność w auli Collegium Iuridicum Novum UAM, jak i obserwowania obrad dzięki transmisji na YouTube. </w:t>
      </w:r>
    </w:p>
    <w:p w14:paraId="540D0EB3" w14:textId="77777777" w:rsidR="004D036E" w:rsidRPr="004D036E" w:rsidRDefault="004D036E" w:rsidP="004D036E">
      <w:pPr>
        <w:shd w:val="clear" w:color="auto" w:fill="FFFFFF"/>
        <w:rPr>
          <w:rFonts w:cs="Arial"/>
          <w:szCs w:val="22"/>
        </w:rPr>
      </w:pPr>
      <w:r w:rsidRPr="004D036E">
        <w:rPr>
          <w:rFonts w:cs="Arial"/>
          <w:szCs w:val="22"/>
        </w:rPr>
        <w:t>Po raz pierwszy konferencja naukowa organizowana przez UZP przyjęła formę paneli dyskusyjnych poświęconych konkretnym zagadnieniom. W pierwszym z czterech paneli uczestnicy dyskutowali na temat znaczenia zamówień publicznych dla realizacji strategicznych celów rozwoju kraju. Drugi panel poświęcony został wyzwaniom krótko- i długoterminowym rynku zamówień publicznych. Z uwagi na to, że jednym z założeń wydarzenia było uczczenie XV-lecia funkcjonowania Krajowej Izby Odwoławczej, w kolejnym panelu dyskutowano na temat wpływu KIO na kształtowanie systemu zamówień publicznych. Ostatnim zagadnieniem, jakie poruszone zostało w trakcie obrad, była kontrola udzielania zamówień i jej znaczenie dla całego systemu zamówień publicznych.</w:t>
      </w:r>
    </w:p>
    <w:p w14:paraId="13F9B9BA" w14:textId="77777777" w:rsidR="004D036E" w:rsidRPr="004D036E" w:rsidRDefault="004D036E" w:rsidP="004D036E">
      <w:pPr>
        <w:shd w:val="clear" w:color="auto" w:fill="FFFFFF"/>
        <w:rPr>
          <w:rFonts w:cs="Arial"/>
          <w:szCs w:val="22"/>
        </w:rPr>
      </w:pPr>
      <w:r w:rsidRPr="004D036E">
        <w:rPr>
          <w:rFonts w:cs="Arial"/>
          <w:szCs w:val="22"/>
        </w:rPr>
        <w:t>Dodatkową atrakcją była projekcja krótkiego filmu, w trakcie którego przedstawiciele świata nauki z wielu krajów omówili najważniejsze wyzwania, z jakimi mierzą się dla zapewnienia sprawnego funkcjonowania rynku zamówień publicznych.</w:t>
      </w:r>
    </w:p>
    <w:p w14:paraId="6E56E018" w14:textId="77777777" w:rsidR="004D036E" w:rsidRPr="004D036E" w:rsidRDefault="004D036E" w:rsidP="004D036E">
      <w:pPr>
        <w:shd w:val="clear" w:color="auto" w:fill="FFFFFF"/>
        <w:rPr>
          <w:rFonts w:cs="Arial"/>
          <w:szCs w:val="22"/>
        </w:rPr>
      </w:pPr>
      <w:r w:rsidRPr="004D036E">
        <w:rPr>
          <w:rFonts w:cs="Arial"/>
          <w:szCs w:val="22"/>
        </w:rPr>
        <w:t>Konferencja była niezwykle interesującym i owocnym spotkaniem wybitnych przedstawicieli świata nauki oraz wysokiej klasy ekspertów w dziedzinie zamówień publicznych. Stanowiła ważny element w dyskusji nad rolą, aktualnymi wyzwaniami oraz perspektywami zamówień publicznych w kontekście ich efektywnego wykorzystania jako jednego z kluczowych instrumentów dla osiągania strategicznych celów rozwoju kraju, w tym inteligentnego, trwałego wzrostu gospodarczego. Wnioski wypływające z tej debaty z pewnością mogą stanowić cenne informacje dla dalszych analiz i wskazywania kierunków rozwoju systemu zamówień publicznych oraz optymalnego wykorzystania jego potencjału.</w:t>
      </w:r>
    </w:p>
    <w:p w14:paraId="15DFFC85" w14:textId="094C5AC3" w:rsidR="004D036E" w:rsidRPr="004D036E" w:rsidRDefault="004D036E" w:rsidP="004D036E">
      <w:pPr>
        <w:shd w:val="clear" w:color="auto" w:fill="FFFFFF"/>
        <w:rPr>
          <w:rFonts w:cs="Arial"/>
          <w:szCs w:val="22"/>
        </w:rPr>
      </w:pPr>
      <w:r w:rsidRPr="004D036E">
        <w:rPr>
          <w:rFonts w:cs="Arial"/>
          <w:szCs w:val="22"/>
        </w:rPr>
        <w:t>XIII Konferencja naukowa była również okazją do nagrodzenia</w:t>
      </w:r>
      <w:r w:rsidR="009343A1">
        <w:rPr>
          <w:rFonts w:cs="Arial"/>
          <w:szCs w:val="22"/>
        </w:rPr>
        <w:t xml:space="preserve"> </w:t>
      </w:r>
      <w:r w:rsidRPr="004D036E">
        <w:rPr>
          <w:rFonts w:cs="Arial"/>
          <w:szCs w:val="22"/>
        </w:rPr>
        <w:t xml:space="preserve">laureatów </w:t>
      </w:r>
      <w:r w:rsidRPr="004D036E">
        <w:rPr>
          <w:rFonts w:cs="Arial"/>
          <w:b/>
          <w:bCs/>
          <w:szCs w:val="22"/>
        </w:rPr>
        <w:t>Konkursu na najlepszą pracę magisterską z zakresu zamówień publicznych</w:t>
      </w:r>
      <w:r w:rsidRPr="004D036E">
        <w:rPr>
          <w:rFonts w:cs="Arial"/>
          <w:szCs w:val="22"/>
        </w:rPr>
        <w:t>. Ta inicjatywa realizowana wspólnie już po raz trzeci przez Urząd Zamówień Publicznych i Wydział Prawa i</w:t>
      </w:r>
      <w:r w:rsidR="009343A1">
        <w:rPr>
          <w:rFonts w:cs="Arial"/>
          <w:szCs w:val="22"/>
        </w:rPr>
        <w:t xml:space="preserve"> </w:t>
      </w:r>
      <w:r w:rsidRPr="004D036E">
        <w:rPr>
          <w:rFonts w:cs="Arial"/>
          <w:szCs w:val="22"/>
        </w:rPr>
        <w:t>Administracji Uniwersytetu Jagiellońskiego przynosi efekty w postaci podnoszenia poziomu wiedzy w zakresie zamówień publicznych, motywuje do podejmowania tego tematu w ramach prac naukowych, co z kolei skutkuje poszerzaniem kręgu profesjonalistów w obszarze zamówień. Na konkurs zgłoszono 22 prace magisterskie. Za najlepszą Kapituła konkursu uznała pracę pt.</w:t>
      </w:r>
      <w:r w:rsidR="009343A1">
        <w:rPr>
          <w:rFonts w:cs="Arial"/>
          <w:szCs w:val="22"/>
        </w:rPr>
        <w:t xml:space="preserve"> </w:t>
      </w:r>
      <w:r w:rsidRPr="004D036E">
        <w:rPr>
          <w:rFonts w:cs="Arial"/>
          <w:i/>
          <w:iCs/>
          <w:szCs w:val="22"/>
        </w:rPr>
        <w:t>Wsparcie mikro, małych i średnich przedsiębiorców w prawie zamówień publicznych</w:t>
      </w:r>
      <w:r w:rsidR="0023288B">
        <w:rPr>
          <w:rFonts w:cs="Arial"/>
          <w:i/>
          <w:iCs/>
          <w:szCs w:val="22"/>
        </w:rPr>
        <w:t>.</w:t>
      </w:r>
    </w:p>
    <w:p w14:paraId="4CE74146" w14:textId="3B14CFD9" w:rsidR="004D036E" w:rsidRPr="004D036E" w:rsidRDefault="004D036E" w:rsidP="004D036E">
      <w:pPr>
        <w:shd w:val="clear" w:color="auto" w:fill="FFFFFF"/>
        <w:rPr>
          <w:rFonts w:cs="Arial"/>
          <w:szCs w:val="22"/>
        </w:rPr>
      </w:pPr>
      <w:r w:rsidRPr="004D036E">
        <w:rPr>
          <w:rFonts w:cs="Arial"/>
          <w:szCs w:val="22"/>
        </w:rPr>
        <w:t>Duże zainteresowanie udziałem w konkursie świadczy o wysokiej motywacji</w:t>
      </w:r>
      <w:r w:rsidR="009343A1">
        <w:rPr>
          <w:rFonts w:cs="Arial"/>
          <w:szCs w:val="22"/>
        </w:rPr>
        <w:t xml:space="preserve"> </w:t>
      </w:r>
      <w:r w:rsidRPr="004D036E">
        <w:rPr>
          <w:rFonts w:cs="Arial"/>
          <w:szCs w:val="22"/>
        </w:rPr>
        <w:t xml:space="preserve">do pogłębiania wiedzy w tym zakresie, skutkującej konsekwentnym poszerzaniem kręgu profesjonalistów w dziedzinie zamówień publicznych. Systematycznie prowadzony przez uczelnie wyższe proces edukacji oraz wysiłek podejmowany przez Urząd Zamówień Publicznych i inne podmioty współpracujące będą przynosić znakomite efekty, budując potencjał intelektualny i profesjonalne kadry w obszarze zamówień. </w:t>
      </w:r>
    </w:p>
    <w:p w14:paraId="79049CBA" w14:textId="77777777" w:rsidR="004D036E" w:rsidRDefault="004D036E" w:rsidP="004D036E">
      <w:pPr>
        <w:shd w:val="clear" w:color="auto" w:fill="FFFFFF"/>
        <w:rPr>
          <w:rFonts w:cs="Arial"/>
          <w:szCs w:val="22"/>
        </w:rPr>
      </w:pPr>
    </w:p>
    <w:p w14:paraId="5EBFF4CB" w14:textId="1BFC1EA6" w:rsidR="004D036E" w:rsidRPr="004D036E" w:rsidRDefault="004D036E" w:rsidP="004D036E">
      <w:pPr>
        <w:shd w:val="clear" w:color="auto" w:fill="FFFFFF"/>
        <w:rPr>
          <w:rFonts w:cs="Arial"/>
          <w:szCs w:val="22"/>
        </w:rPr>
      </w:pPr>
      <w:r w:rsidRPr="004D036E">
        <w:rPr>
          <w:rFonts w:cs="Arial"/>
          <w:szCs w:val="22"/>
        </w:rPr>
        <w:t>30 czerwca 2022 r. odbyła się 3. edycja konferencji "</w:t>
      </w:r>
      <w:r w:rsidRPr="004D036E">
        <w:rPr>
          <w:rFonts w:cs="Arial"/>
          <w:b/>
          <w:bCs/>
          <w:szCs w:val="22"/>
        </w:rPr>
        <w:t xml:space="preserve">Platforma e-Zamówienia </w:t>
      </w:r>
      <w:r w:rsidR="0023288B" w:rsidRPr="0023288B">
        <w:rPr>
          <w:rFonts w:cs="Arial"/>
          <w:b/>
          <w:bCs/>
          <w:szCs w:val="22"/>
        </w:rPr>
        <w:t>–</w:t>
      </w:r>
      <w:r w:rsidRPr="004D036E">
        <w:rPr>
          <w:rFonts w:cs="Arial"/>
          <w:b/>
          <w:bCs/>
          <w:szCs w:val="22"/>
        </w:rPr>
        <w:t xml:space="preserve"> nowe funkcjonalności".</w:t>
      </w:r>
      <w:r w:rsidRPr="004D036E">
        <w:rPr>
          <w:rFonts w:cs="Arial"/>
          <w:szCs w:val="22"/>
        </w:rPr>
        <w:t xml:space="preserve"> Pracownicy UZP zaprezentowali najważniejsze informacje dotyczące modułów Platformy e-Zamówienia, w szczególności Modułu ofert i wniosków, usługi eSendera umożliwiającej przekazywanie do publikacji w TED ogłoszeń unijnych z poziomu Platformy e</w:t>
      </w:r>
      <w:r w:rsidRPr="004D036E">
        <w:rPr>
          <w:rFonts w:cs="Arial"/>
          <w:szCs w:val="22"/>
        </w:rPr>
        <w:noBreakHyphen/>
        <w:t>Z</w:t>
      </w:r>
      <w:r w:rsidR="00B26612">
        <w:rPr>
          <w:rFonts w:cs="Arial"/>
          <w:szCs w:val="22"/>
        </w:rPr>
        <w:t>a</w:t>
      </w:r>
      <w:r w:rsidRPr="004D036E">
        <w:rPr>
          <w:rFonts w:cs="Arial"/>
          <w:szCs w:val="22"/>
        </w:rPr>
        <w:t>mówienia, formularzy ogłoszeń unijnych oraz interaktywnego formularza JEDZ, a także Modułu Monitorowania i Analiz z</w:t>
      </w:r>
      <w:r w:rsidR="009343A1">
        <w:rPr>
          <w:rFonts w:cs="Arial"/>
          <w:szCs w:val="22"/>
        </w:rPr>
        <w:t xml:space="preserve"> </w:t>
      </w:r>
      <w:r w:rsidRPr="004D036E">
        <w:rPr>
          <w:rFonts w:cs="Arial"/>
          <w:szCs w:val="22"/>
        </w:rPr>
        <w:t>raportami dotyczącymi zamówień publicznych. W ramach spotkania odbyły się również dwie sesje odpowiedzi na pytania, które uczestnicy formułowali w trakcie wydarzenia.</w:t>
      </w:r>
    </w:p>
    <w:p w14:paraId="051EEBD6" w14:textId="77777777" w:rsidR="004D036E" w:rsidRPr="004D036E" w:rsidRDefault="004D036E" w:rsidP="004D036E">
      <w:pPr>
        <w:shd w:val="clear" w:color="auto" w:fill="FFFFFF"/>
        <w:rPr>
          <w:rFonts w:cs="Arial"/>
          <w:szCs w:val="22"/>
        </w:rPr>
      </w:pPr>
    </w:p>
    <w:p w14:paraId="0E4A2D4A" w14:textId="7AC5A61B" w:rsidR="004D036E" w:rsidRPr="004D036E" w:rsidRDefault="004D036E" w:rsidP="004D036E">
      <w:pPr>
        <w:shd w:val="clear" w:color="auto" w:fill="FFFFFF"/>
        <w:rPr>
          <w:rFonts w:cs="Arial"/>
          <w:szCs w:val="22"/>
        </w:rPr>
      </w:pPr>
      <w:r w:rsidRPr="004D036E">
        <w:rPr>
          <w:rFonts w:cs="Arial"/>
          <w:szCs w:val="22"/>
        </w:rPr>
        <w:t xml:space="preserve">20 października 2022 r. odbyła się konferencja z panelem szkoleniowym </w:t>
      </w:r>
      <w:r w:rsidRPr="004D036E">
        <w:rPr>
          <w:rFonts w:cs="Arial"/>
          <w:b/>
          <w:bCs/>
          <w:szCs w:val="22"/>
        </w:rPr>
        <w:t xml:space="preserve">dotycząca Platformy e-Zamówienia. </w:t>
      </w:r>
      <w:r w:rsidRPr="004D036E">
        <w:rPr>
          <w:rFonts w:cs="Arial"/>
          <w:szCs w:val="22"/>
        </w:rPr>
        <w:t>Podczas wydarzenia zostało zaprezentowane działanie Platformy, w</w:t>
      </w:r>
      <w:r w:rsidR="009343A1">
        <w:rPr>
          <w:rFonts w:cs="Arial"/>
          <w:szCs w:val="22"/>
        </w:rPr>
        <w:t xml:space="preserve"> </w:t>
      </w:r>
      <w:r w:rsidRPr="004D036E">
        <w:rPr>
          <w:rFonts w:cs="Arial"/>
          <w:szCs w:val="22"/>
        </w:rPr>
        <w:t>szczególności zastosowanie formularza ofertowego w</w:t>
      </w:r>
      <w:r w:rsidR="009343A1">
        <w:rPr>
          <w:rFonts w:cs="Arial"/>
          <w:szCs w:val="22"/>
        </w:rPr>
        <w:t xml:space="preserve"> </w:t>
      </w:r>
      <w:r w:rsidRPr="004D036E">
        <w:rPr>
          <w:rFonts w:cs="Arial"/>
          <w:szCs w:val="22"/>
        </w:rPr>
        <w:t>postępowaniach prowadzonych na Platformie, re-użycie danych w zakresie prowadzenia postępowania na Platformie e</w:t>
      </w:r>
      <w:r w:rsidRPr="004D036E">
        <w:rPr>
          <w:rFonts w:cs="Arial"/>
          <w:szCs w:val="22"/>
        </w:rPr>
        <w:noBreakHyphen/>
        <w:t>Zamówienia – jakie korzyści z tego wynikają i jakie dane w tym procesie będą re-użyte - składanie i otwieranie ofert w MOW, rejestracja postępowania unijnego wraz z publikacją ogłoszeń unijnych na Platformie z wykorzystaniem e-Sendera Platformy, prowadzenie komunikacji w postępowaniu za pośrednictwem Platformy oraz pozostałe funkcjonalności.</w:t>
      </w:r>
    </w:p>
    <w:p w14:paraId="4EB81A5E" w14:textId="77777777" w:rsidR="004D036E" w:rsidRPr="004D036E" w:rsidRDefault="004D036E" w:rsidP="004D036E">
      <w:pPr>
        <w:shd w:val="clear" w:color="auto" w:fill="FFFFFF"/>
        <w:rPr>
          <w:rFonts w:cs="Arial"/>
          <w:szCs w:val="22"/>
        </w:rPr>
      </w:pPr>
      <w:r w:rsidRPr="004D036E">
        <w:rPr>
          <w:rFonts w:cs="Arial"/>
          <w:szCs w:val="22"/>
        </w:rPr>
        <w:t>Konferencja odbyła się w formie zdalnej za pomocą dedykowanej platformy internetowej.</w:t>
      </w:r>
    </w:p>
    <w:p w14:paraId="56C320E3" w14:textId="77777777" w:rsidR="004D036E" w:rsidRDefault="004D036E" w:rsidP="004D036E">
      <w:pPr>
        <w:shd w:val="clear" w:color="auto" w:fill="FFFFFF"/>
        <w:rPr>
          <w:rFonts w:cs="Arial"/>
          <w:szCs w:val="22"/>
        </w:rPr>
      </w:pPr>
    </w:p>
    <w:p w14:paraId="07D8619E" w14:textId="431F37BD" w:rsidR="004D036E" w:rsidRPr="004D036E" w:rsidRDefault="004D036E" w:rsidP="004D036E">
      <w:pPr>
        <w:shd w:val="clear" w:color="auto" w:fill="FFFFFF"/>
        <w:rPr>
          <w:rFonts w:cs="Arial"/>
          <w:szCs w:val="22"/>
        </w:rPr>
      </w:pPr>
      <w:r w:rsidRPr="004D036E">
        <w:rPr>
          <w:rFonts w:cs="Arial"/>
          <w:szCs w:val="22"/>
        </w:rPr>
        <w:t>Obie konferencje nt. Platformy e</w:t>
      </w:r>
      <w:r w:rsidRPr="004D036E">
        <w:rPr>
          <w:rFonts w:cs="Arial"/>
          <w:szCs w:val="22"/>
        </w:rPr>
        <w:noBreakHyphen/>
        <w:t>Zamówienia zostały zorganizowane w ramach projektu współfinansowanego ze środków UE pt.</w:t>
      </w:r>
      <w:r w:rsidR="009343A1">
        <w:rPr>
          <w:rFonts w:cs="Arial"/>
          <w:szCs w:val="22"/>
        </w:rPr>
        <w:t xml:space="preserve"> </w:t>
      </w:r>
      <w:r w:rsidRPr="004D036E">
        <w:rPr>
          <w:rFonts w:cs="Arial"/>
          <w:szCs w:val="22"/>
        </w:rPr>
        <w:t>„e</w:t>
      </w:r>
      <w:r w:rsidRPr="004D036E">
        <w:rPr>
          <w:rFonts w:cs="Arial"/>
          <w:szCs w:val="22"/>
        </w:rPr>
        <w:noBreakHyphen/>
        <w:t>Zamówienia – elektroniczne zamówienia publiczne” w Programie Operacyjnym Polska Cyfrowa</w:t>
      </w:r>
      <w:r w:rsidR="009343A1">
        <w:rPr>
          <w:rFonts w:cs="Arial"/>
          <w:szCs w:val="22"/>
        </w:rPr>
        <w:t xml:space="preserve"> </w:t>
      </w:r>
      <w:r w:rsidRPr="004D036E">
        <w:rPr>
          <w:rFonts w:cs="Arial"/>
          <w:szCs w:val="22"/>
        </w:rPr>
        <w:t>na lata 2014</w:t>
      </w:r>
      <w:r w:rsidR="00447DF9" w:rsidRPr="00447DF9">
        <w:rPr>
          <w:rFonts w:cs="Arial"/>
          <w:szCs w:val="22"/>
        </w:rPr>
        <w:t>–</w:t>
      </w:r>
      <w:r w:rsidRPr="004D036E">
        <w:rPr>
          <w:rFonts w:cs="Arial"/>
          <w:szCs w:val="22"/>
        </w:rPr>
        <w:t>2020, Oś priorytetowa nr 2 „E-administracja i otwarty rząd”, Działanie nr 2.1</w:t>
      </w:r>
      <w:r w:rsidRPr="004D036E">
        <w:rPr>
          <w:rFonts w:cs="Arial"/>
          <w:b/>
          <w:bCs/>
          <w:szCs w:val="22"/>
        </w:rPr>
        <w:t xml:space="preserve"> </w:t>
      </w:r>
      <w:r w:rsidRPr="004D036E">
        <w:rPr>
          <w:rFonts w:cs="Arial"/>
          <w:bCs/>
          <w:szCs w:val="22"/>
        </w:rPr>
        <w:t>„Wysoka dostępność i jakość e-usług publicznych”</w:t>
      </w:r>
      <w:r w:rsidRPr="004D036E">
        <w:rPr>
          <w:rFonts w:cs="Arial"/>
          <w:szCs w:val="22"/>
        </w:rPr>
        <w:t xml:space="preserve">. </w:t>
      </w:r>
    </w:p>
    <w:p w14:paraId="1325993B" w14:textId="77777777" w:rsidR="004D036E" w:rsidRPr="004D036E" w:rsidRDefault="004D036E" w:rsidP="004D036E">
      <w:pPr>
        <w:shd w:val="clear" w:color="auto" w:fill="FFFFFF"/>
        <w:rPr>
          <w:rFonts w:cs="Arial"/>
          <w:szCs w:val="22"/>
        </w:rPr>
      </w:pPr>
      <w:r w:rsidRPr="004D036E">
        <w:rPr>
          <w:rFonts w:cs="Arial"/>
          <w:szCs w:val="22"/>
        </w:rPr>
        <w:t xml:space="preserve">Nagrania z konferencji są dostępne na kanale Urzędu Zamówień Publicznych na platformie YouTube. </w:t>
      </w:r>
    </w:p>
    <w:p w14:paraId="0C690A6A" w14:textId="4C02945C" w:rsidR="004D036E" w:rsidRDefault="004D036E" w:rsidP="004645C5">
      <w:pPr>
        <w:shd w:val="clear" w:color="auto" w:fill="FFFFFF"/>
        <w:rPr>
          <w:rFonts w:cs="Arial"/>
          <w:szCs w:val="22"/>
        </w:rPr>
      </w:pPr>
    </w:p>
    <w:p w14:paraId="1A0267DD" w14:textId="695745FA" w:rsidR="00070B77" w:rsidRDefault="00070B77" w:rsidP="004645C5">
      <w:pPr>
        <w:shd w:val="clear" w:color="auto" w:fill="FFFFFF"/>
        <w:rPr>
          <w:rFonts w:cs="Arial"/>
          <w:szCs w:val="22"/>
        </w:rPr>
      </w:pPr>
    </w:p>
    <w:p w14:paraId="0C6A8F07" w14:textId="5E6379B6" w:rsidR="00070B77" w:rsidRPr="00E1650A" w:rsidRDefault="00070B77" w:rsidP="00E16264">
      <w:pPr>
        <w:pStyle w:val="StylArial11ptWyjustowany"/>
        <w:numPr>
          <w:ilvl w:val="0"/>
          <w:numId w:val="12"/>
        </w:numPr>
        <w:shd w:val="clear" w:color="auto" w:fill="FFFFFF"/>
        <w:jc w:val="left"/>
        <w:rPr>
          <w:rFonts w:cs="Arial"/>
          <w:b/>
          <w:iCs/>
          <w:color w:val="0070C0"/>
          <w:szCs w:val="22"/>
        </w:rPr>
      </w:pPr>
      <w:r w:rsidRPr="00070B77">
        <w:rPr>
          <w:rFonts w:cs="Arial"/>
          <w:b/>
          <w:iCs/>
          <w:color w:val="0070C0"/>
          <w:szCs w:val="22"/>
        </w:rPr>
        <w:t>Uruchomienie nowej zakładki w repozytorium wiedzy dotyczącej norm w</w:t>
      </w:r>
      <w:r w:rsidR="009D30D7">
        <w:rPr>
          <w:rFonts w:cs="Arial"/>
          <w:b/>
          <w:iCs/>
          <w:color w:val="0070C0"/>
          <w:szCs w:val="22"/>
        </w:rPr>
        <w:t> </w:t>
      </w:r>
      <w:r w:rsidRPr="00070B77">
        <w:rPr>
          <w:rFonts w:cs="Arial"/>
          <w:b/>
          <w:iCs/>
          <w:color w:val="0070C0"/>
          <w:szCs w:val="22"/>
        </w:rPr>
        <w:t>zamówieniach publicznych</w:t>
      </w:r>
    </w:p>
    <w:p w14:paraId="5424669B" w14:textId="13811989" w:rsidR="00070B77" w:rsidRDefault="00070B77" w:rsidP="004645C5">
      <w:pPr>
        <w:shd w:val="clear" w:color="auto" w:fill="FFFFFF"/>
        <w:rPr>
          <w:rFonts w:cs="Arial"/>
          <w:szCs w:val="22"/>
        </w:rPr>
      </w:pPr>
    </w:p>
    <w:p w14:paraId="04691649" w14:textId="604E14B0" w:rsidR="00070B77" w:rsidRPr="00070B77" w:rsidRDefault="00070B77" w:rsidP="00070B77">
      <w:pPr>
        <w:shd w:val="clear" w:color="auto" w:fill="FFFFFF"/>
        <w:rPr>
          <w:rFonts w:cs="Arial"/>
          <w:bCs/>
          <w:szCs w:val="22"/>
        </w:rPr>
      </w:pPr>
      <w:r w:rsidRPr="00070B77">
        <w:rPr>
          <w:rFonts w:cs="Arial"/>
          <w:bCs/>
          <w:szCs w:val="22"/>
        </w:rPr>
        <w:t>W ostatnim kwartale 2022 r. Urząd Zamówień Publicznych uruchomił na stronie internetowej w repozytorium wiedzy nową zakładkę poświęconą normom w</w:t>
      </w:r>
      <w:r w:rsidR="009343A1">
        <w:rPr>
          <w:rFonts w:cs="Arial"/>
          <w:bCs/>
          <w:szCs w:val="22"/>
        </w:rPr>
        <w:t xml:space="preserve"> </w:t>
      </w:r>
      <w:r w:rsidRPr="00070B77">
        <w:rPr>
          <w:rFonts w:cs="Arial"/>
          <w:bCs/>
          <w:szCs w:val="22"/>
        </w:rPr>
        <w:t xml:space="preserve">zamówieniach publicznych: </w:t>
      </w:r>
      <w:hyperlink r:id="rId50" w:history="1">
        <w:r w:rsidRPr="00070B77">
          <w:rPr>
            <w:rStyle w:val="Hipercze"/>
            <w:rFonts w:cs="Arial"/>
            <w:bCs/>
            <w:szCs w:val="22"/>
          </w:rPr>
          <w:t>https://www.gov.pl/web/uzp/normy-w-zamowieniach-publicznych</w:t>
        </w:r>
      </w:hyperlink>
      <w:r w:rsidRPr="00070B77">
        <w:rPr>
          <w:rFonts w:cs="Arial"/>
          <w:bCs/>
          <w:szCs w:val="22"/>
        </w:rPr>
        <w:t>. Uruchomienie zakładki ma na celu wprowadzenie do tematyki związanej z</w:t>
      </w:r>
      <w:r w:rsidR="009343A1">
        <w:rPr>
          <w:rFonts w:cs="Arial"/>
          <w:bCs/>
          <w:szCs w:val="22"/>
        </w:rPr>
        <w:t xml:space="preserve"> </w:t>
      </w:r>
      <w:r w:rsidRPr="00070B77">
        <w:rPr>
          <w:rFonts w:cs="Arial"/>
          <w:bCs/>
          <w:szCs w:val="22"/>
        </w:rPr>
        <w:t>odwoływaniem się do norm w zamówieniach publicznych.</w:t>
      </w:r>
      <w:r w:rsidR="009343A1">
        <w:rPr>
          <w:rFonts w:cs="Arial"/>
          <w:bCs/>
          <w:szCs w:val="22"/>
        </w:rPr>
        <w:t xml:space="preserve"> </w:t>
      </w:r>
      <w:r w:rsidRPr="00070B77">
        <w:rPr>
          <w:rFonts w:cs="Arial"/>
          <w:bCs/>
          <w:szCs w:val="22"/>
        </w:rPr>
        <w:t>Podmioty zainteresowane znajdą</w:t>
      </w:r>
      <w:r w:rsidR="009343A1">
        <w:rPr>
          <w:rFonts w:cs="Arial"/>
          <w:bCs/>
          <w:szCs w:val="22"/>
        </w:rPr>
        <w:t xml:space="preserve"> </w:t>
      </w:r>
      <w:r w:rsidRPr="00070B77">
        <w:rPr>
          <w:rFonts w:cs="Arial"/>
          <w:bCs/>
          <w:szCs w:val="22"/>
        </w:rPr>
        <w:t>tam informacje na temat podstaw prawnych, zarówno krajowych</w:t>
      </w:r>
      <w:r w:rsidR="005A1325">
        <w:rPr>
          <w:rFonts w:cs="Arial"/>
          <w:bCs/>
          <w:szCs w:val="22"/>
        </w:rPr>
        <w:t>,</w:t>
      </w:r>
      <w:r w:rsidRPr="00070B77">
        <w:rPr>
          <w:rFonts w:cs="Arial"/>
          <w:bCs/>
          <w:szCs w:val="22"/>
        </w:rPr>
        <w:t xml:space="preserve"> jak i</w:t>
      </w:r>
      <w:r w:rsidR="009343A1">
        <w:rPr>
          <w:rFonts w:cs="Arial"/>
          <w:bCs/>
          <w:szCs w:val="22"/>
        </w:rPr>
        <w:t xml:space="preserve"> </w:t>
      </w:r>
      <w:r w:rsidRPr="00070B77">
        <w:rPr>
          <w:rFonts w:cs="Arial"/>
          <w:bCs/>
          <w:szCs w:val="22"/>
        </w:rPr>
        <w:t>europejskich oraz sposobów odwoływania się do norm w zamówieniach. Ponadto na stronie został zamieszczony wykaz organizacji normalizacyjnych oraz link do publikacji pt. „Przewodnik dot. odwoływania się do norm w zamówieniach publicznych”</w:t>
      </w:r>
      <w:r w:rsidR="009343A1">
        <w:rPr>
          <w:rFonts w:cs="Arial"/>
          <w:bCs/>
          <w:szCs w:val="22"/>
        </w:rPr>
        <w:t xml:space="preserve"> </w:t>
      </w:r>
      <w:r w:rsidRPr="00070B77">
        <w:rPr>
          <w:rFonts w:cs="Arial"/>
          <w:bCs/>
          <w:szCs w:val="22"/>
        </w:rPr>
        <w:t xml:space="preserve">przygotowanej na zlecenie KE, która w sposób ogólny przybliża tematykę stosowania norm w zamówieniach publicznych w oparciu o dyrektywę 2014/24/UE. </w:t>
      </w:r>
    </w:p>
    <w:p w14:paraId="5ABD4C59" w14:textId="0FA1FF54" w:rsidR="00070B77" w:rsidRDefault="00070B77" w:rsidP="004645C5">
      <w:pPr>
        <w:shd w:val="clear" w:color="auto" w:fill="FFFFFF"/>
        <w:rPr>
          <w:rFonts w:cs="Arial"/>
          <w:szCs w:val="22"/>
        </w:rPr>
      </w:pPr>
    </w:p>
    <w:p w14:paraId="54CCF9A7" w14:textId="15DF80D0" w:rsidR="0015733C" w:rsidRDefault="0015733C" w:rsidP="004645C5">
      <w:pPr>
        <w:shd w:val="clear" w:color="auto" w:fill="FFFFFF"/>
        <w:rPr>
          <w:rFonts w:cs="Arial"/>
          <w:szCs w:val="22"/>
        </w:rPr>
      </w:pPr>
    </w:p>
    <w:p w14:paraId="5F600E1B" w14:textId="122DF738" w:rsidR="00E94D01" w:rsidRPr="00E1650A" w:rsidRDefault="00E94D01" w:rsidP="00E94D01">
      <w:pPr>
        <w:pStyle w:val="StylArial11ptWyjustowany"/>
        <w:numPr>
          <w:ilvl w:val="0"/>
          <w:numId w:val="12"/>
        </w:numPr>
        <w:shd w:val="clear" w:color="auto" w:fill="FFFFFF"/>
        <w:jc w:val="left"/>
        <w:rPr>
          <w:rFonts w:cs="Arial"/>
          <w:b/>
          <w:iCs/>
          <w:color w:val="0070C0"/>
          <w:szCs w:val="22"/>
        </w:rPr>
      </w:pPr>
      <w:r w:rsidRPr="00E94D01">
        <w:rPr>
          <w:rFonts w:cs="Arial"/>
          <w:b/>
          <w:iCs/>
          <w:color w:val="0070C0"/>
          <w:szCs w:val="22"/>
        </w:rPr>
        <w:t>Patronat</w:t>
      </w:r>
      <w:r>
        <w:rPr>
          <w:rFonts w:cs="Arial"/>
          <w:b/>
          <w:iCs/>
          <w:color w:val="0070C0"/>
          <w:szCs w:val="22"/>
        </w:rPr>
        <w:t>y</w:t>
      </w:r>
      <w:r w:rsidRPr="00E94D01">
        <w:rPr>
          <w:rFonts w:cs="Arial"/>
          <w:b/>
          <w:iCs/>
          <w:color w:val="0070C0"/>
          <w:szCs w:val="22"/>
        </w:rPr>
        <w:t xml:space="preserve"> Prezesa UZP</w:t>
      </w:r>
    </w:p>
    <w:p w14:paraId="3A5D676E" w14:textId="58CA7885" w:rsidR="0015733C" w:rsidRDefault="0015733C" w:rsidP="004645C5">
      <w:pPr>
        <w:shd w:val="clear" w:color="auto" w:fill="FFFFFF"/>
        <w:rPr>
          <w:rFonts w:cs="Arial"/>
          <w:szCs w:val="22"/>
        </w:rPr>
      </w:pPr>
    </w:p>
    <w:p w14:paraId="4EE47007" w14:textId="59F35916" w:rsidR="00D32C2B" w:rsidRPr="00D32C2B" w:rsidRDefault="00D32C2B" w:rsidP="00D32C2B">
      <w:pPr>
        <w:shd w:val="clear" w:color="auto" w:fill="FFFFFF"/>
        <w:rPr>
          <w:rFonts w:cs="Arial"/>
          <w:szCs w:val="22"/>
        </w:rPr>
      </w:pPr>
      <w:r w:rsidRPr="00D32C2B">
        <w:rPr>
          <w:rFonts w:cs="Arial"/>
          <w:szCs w:val="22"/>
        </w:rPr>
        <w:t>Prezes Urzędu Zamówień Publicznych udzielił</w:t>
      </w:r>
      <w:r>
        <w:rPr>
          <w:rFonts w:cs="Arial"/>
          <w:szCs w:val="22"/>
        </w:rPr>
        <w:t xml:space="preserve"> </w:t>
      </w:r>
      <w:r w:rsidRPr="00D32C2B">
        <w:rPr>
          <w:rFonts w:cs="Arial"/>
          <w:szCs w:val="22"/>
        </w:rPr>
        <w:t>w 2022 r</w:t>
      </w:r>
      <w:r>
        <w:rPr>
          <w:rFonts w:cs="Arial"/>
          <w:szCs w:val="22"/>
        </w:rPr>
        <w:t>.</w:t>
      </w:r>
      <w:r w:rsidRPr="00D32C2B">
        <w:rPr>
          <w:rFonts w:cs="Arial"/>
          <w:szCs w:val="22"/>
        </w:rPr>
        <w:t xml:space="preserve"> patronatu przedsięwzięciom, których celem było upowszechnianie wiedzy na temat zamówień publicznych, podnoszenie poziomu profesjonalizacji kadr czy też wsparcie różnych grup uczestników rynku działających w wielu branżach zamówieniowych. </w:t>
      </w:r>
    </w:p>
    <w:p w14:paraId="2CAAA91E" w14:textId="0AC3F5F1" w:rsidR="00D32C2B" w:rsidRPr="00D32C2B" w:rsidRDefault="00D32C2B" w:rsidP="00D32C2B">
      <w:pPr>
        <w:shd w:val="clear" w:color="auto" w:fill="FFFFFF"/>
        <w:rPr>
          <w:rFonts w:cs="Arial"/>
          <w:szCs w:val="22"/>
        </w:rPr>
      </w:pPr>
      <w:r w:rsidRPr="00D32C2B">
        <w:rPr>
          <w:rFonts w:cs="Arial"/>
          <w:szCs w:val="22"/>
        </w:rPr>
        <w:t>Wśród przedsięwzięć objętych patronatem Prezesa Urzędu znalazły się: IV Forum Zamówień Publicznych dla Wykonawców (28 lutego </w:t>
      </w:r>
      <w:r w:rsidRPr="00D32C2B">
        <w:rPr>
          <w:rFonts w:cs="Arial"/>
          <w:szCs w:val="22"/>
        </w:rPr>
        <w:noBreakHyphen/>
        <w:t> 3 marca 2021 r.), IX Forum Przetargów Publicznych na Roboty Budowlane (14 </w:t>
      </w:r>
      <w:r w:rsidRPr="00D32C2B">
        <w:rPr>
          <w:rFonts w:cs="Arial"/>
          <w:szCs w:val="22"/>
        </w:rPr>
        <w:noBreakHyphen/>
        <w:t> 16 marca 2022 r.), XII konferencja z cyklu Państwo 2.0 (3 </w:t>
      </w:r>
      <w:r w:rsidRPr="00D32C2B">
        <w:rPr>
          <w:rFonts w:cs="Arial"/>
          <w:szCs w:val="22"/>
        </w:rPr>
        <w:noBreakHyphen/>
        <w:t> 4 marca 2022 r.), IV Krajowy Kongres Skarbników (10 </w:t>
      </w:r>
      <w:r w:rsidRPr="00D32C2B">
        <w:rPr>
          <w:rFonts w:cs="Arial"/>
          <w:szCs w:val="22"/>
        </w:rPr>
        <w:noBreakHyphen/>
        <w:t> 11 maja 2022 r.), VI Krajowy Kongres Sekretarzy (19 </w:t>
      </w:r>
      <w:r w:rsidRPr="00D32C2B">
        <w:rPr>
          <w:rFonts w:cs="Arial"/>
          <w:szCs w:val="22"/>
        </w:rPr>
        <w:noBreakHyphen/>
        <w:t> 20 października 2022 r.), XIII edycja konferencji Infrastruktura Polska i Budownictwo (9 marca 2022 r.), Szkoła Zamówień Publicznych 2022 (6 </w:t>
      </w:r>
      <w:r w:rsidRPr="00D32C2B">
        <w:rPr>
          <w:rFonts w:cs="Arial"/>
          <w:szCs w:val="22"/>
        </w:rPr>
        <w:noBreakHyphen/>
        <w:t> 7 czerwca 2022 r.), VI Forum Zamówień Publicznych dla Kadry Kierowniczej (1 </w:t>
      </w:r>
      <w:r w:rsidRPr="00D32C2B">
        <w:rPr>
          <w:rFonts w:cs="Arial"/>
          <w:szCs w:val="22"/>
        </w:rPr>
        <w:noBreakHyphen/>
        <w:t> 3 czerwca 2022 r.), Konferencja</w:t>
      </w:r>
      <w:r>
        <w:rPr>
          <w:rFonts w:cs="Arial"/>
          <w:szCs w:val="22"/>
        </w:rPr>
        <w:t xml:space="preserve"> </w:t>
      </w:r>
      <w:r w:rsidRPr="00D32C2B">
        <w:rPr>
          <w:rFonts w:cs="Arial"/>
          <w:szCs w:val="22"/>
        </w:rPr>
        <w:t>POZAP Poznań o zamówieniach publicznych (30 września 2022 r.), Targi Profesjonalnego Utrzymania Czystości CLEANING EXPO 2022 (4 </w:t>
      </w:r>
      <w:r w:rsidRPr="00D32C2B">
        <w:rPr>
          <w:rFonts w:cs="Arial"/>
          <w:szCs w:val="22"/>
        </w:rPr>
        <w:noBreakHyphen/>
        <w:t> 6 października 2022 r.), XVII Forum Przetargów Publicznych (10 </w:t>
      </w:r>
      <w:r w:rsidRPr="00D32C2B">
        <w:rPr>
          <w:rFonts w:cs="Arial"/>
          <w:szCs w:val="22"/>
        </w:rPr>
        <w:noBreakHyphen/>
        <w:t> 12 października 2022 r.), XXVI Zjazdu specjalistów i Ekspertów ds. zamówień publicznych (17 listopada 2022 r.), Turniej Moot Court „Zastępstwo procesowe przed Krajową Izbą Odwoławcz</w:t>
      </w:r>
      <w:r w:rsidR="0078715B">
        <w:rPr>
          <w:rFonts w:cs="Arial"/>
          <w:szCs w:val="22"/>
        </w:rPr>
        <w:t>ą</w:t>
      </w:r>
      <w:r w:rsidRPr="00D32C2B">
        <w:rPr>
          <w:rFonts w:cs="Arial"/>
          <w:szCs w:val="22"/>
        </w:rPr>
        <w:t>” (wrzesień-grudzień 2022 r.), konferencja naukowa „Nowa odsłona prawa zamówień publicznych – eksperci dla praktyków” (20 </w:t>
      </w:r>
      <w:r w:rsidRPr="00D32C2B">
        <w:rPr>
          <w:rFonts w:cs="Arial"/>
          <w:szCs w:val="22"/>
        </w:rPr>
        <w:noBreakHyphen/>
        <w:t> 21 października 2022 r.), VII Forum Odpowiedzialności Kierowników Sektora Finansów Publicznych (5 </w:t>
      </w:r>
      <w:r w:rsidRPr="00D32C2B">
        <w:rPr>
          <w:rFonts w:cs="Arial"/>
          <w:szCs w:val="22"/>
        </w:rPr>
        <w:noBreakHyphen/>
        <w:t> 7 grudnia 2022 r.).</w:t>
      </w:r>
    </w:p>
    <w:p w14:paraId="6A7E5BF5" w14:textId="77777777" w:rsidR="00E94D01" w:rsidRDefault="00E94D01" w:rsidP="004645C5">
      <w:pPr>
        <w:shd w:val="clear" w:color="auto" w:fill="FFFFFF"/>
        <w:rPr>
          <w:rFonts w:cs="Arial"/>
          <w:szCs w:val="22"/>
        </w:rPr>
      </w:pPr>
    </w:p>
    <w:p w14:paraId="1ED445C9" w14:textId="37A6C81B" w:rsidR="0015733C" w:rsidRDefault="0015733C" w:rsidP="004645C5">
      <w:pPr>
        <w:shd w:val="clear" w:color="auto" w:fill="FFFFFF"/>
        <w:rPr>
          <w:rFonts w:cs="Arial"/>
          <w:szCs w:val="22"/>
        </w:rPr>
      </w:pPr>
    </w:p>
    <w:p w14:paraId="40EB4694" w14:textId="3BCB1A87" w:rsidR="00A230A2" w:rsidRPr="00E1650A" w:rsidRDefault="00A230A2" w:rsidP="00A230A2">
      <w:pPr>
        <w:pStyle w:val="StylArial11ptWyjustowany"/>
        <w:numPr>
          <w:ilvl w:val="0"/>
          <w:numId w:val="12"/>
        </w:numPr>
        <w:shd w:val="clear" w:color="auto" w:fill="FFFFFF"/>
        <w:jc w:val="left"/>
        <w:rPr>
          <w:rFonts w:cs="Arial"/>
          <w:b/>
          <w:iCs/>
          <w:color w:val="0070C0"/>
          <w:szCs w:val="22"/>
        </w:rPr>
      </w:pPr>
      <w:r w:rsidRPr="00A230A2">
        <w:rPr>
          <w:rFonts w:cs="Arial"/>
          <w:b/>
          <w:iCs/>
          <w:color w:val="0070C0"/>
          <w:szCs w:val="22"/>
        </w:rPr>
        <w:t xml:space="preserve">Studia </w:t>
      </w:r>
      <w:r>
        <w:rPr>
          <w:rFonts w:cs="Arial"/>
          <w:b/>
          <w:iCs/>
          <w:color w:val="0070C0"/>
          <w:szCs w:val="22"/>
        </w:rPr>
        <w:t xml:space="preserve">podyplomowe </w:t>
      </w:r>
      <w:r w:rsidRPr="00A230A2">
        <w:rPr>
          <w:rFonts w:cs="Arial"/>
          <w:b/>
          <w:iCs/>
          <w:color w:val="0070C0"/>
          <w:szCs w:val="22"/>
        </w:rPr>
        <w:t>pod patronatem Prezesa UZP</w:t>
      </w:r>
    </w:p>
    <w:p w14:paraId="145790F3" w14:textId="3B7C78D7" w:rsidR="009759A1" w:rsidRDefault="009759A1" w:rsidP="004645C5">
      <w:pPr>
        <w:shd w:val="clear" w:color="auto" w:fill="FFFFFF"/>
        <w:rPr>
          <w:rFonts w:cs="Arial"/>
          <w:szCs w:val="22"/>
        </w:rPr>
      </w:pPr>
    </w:p>
    <w:p w14:paraId="1518BD61" w14:textId="3DF70F11" w:rsidR="00F140B5" w:rsidRPr="00F140B5" w:rsidRDefault="00F140B5" w:rsidP="00F140B5">
      <w:pPr>
        <w:shd w:val="clear" w:color="auto" w:fill="FFFFFF"/>
        <w:rPr>
          <w:rFonts w:cs="Arial"/>
          <w:szCs w:val="22"/>
        </w:rPr>
      </w:pPr>
      <w:r w:rsidRPr="00F140B5">
        <w:rPr>
          <w:rFonts w:cs="Arial"/>
          <w:szCs w:val="22"/>
        </w:rPr>
        <w:t xml:space="preserve">W związku z reformą systemu studiów podyplomowych prowadzonych pod patronatem Prezesa Urzędu Zamówień Publicznych w 2022 </w:t>
      </w:r>
      <w:r>
        <w:rPr>
          <w:rFonts w:cs="Arial"/>
          <w:szCs w:val="22"/>
        </w:rPr>
        <w:t xml:space="preserve">r. </w:t>
      </w:r>
      <w:r w:rsidRPr="00F140B5">
        <w:rPr>
          <w:rFonts w:cs="Arial"/>
          <w:szCs w:val="22"/>
        </w:rPr>
        <w:t>z uczelniami wyższymi zostały zawarte nowe porozumienia. Zainteresowane uczelnie wyższe, kształcące kadry zamówieniowe w ramach studiów podyplomowych, w tym także dotychczasowi sygnatariusze Porozumienia, mogli uzyskać patronat Prezesa na zmodyfikowanych warunkach, opracowanych przy pełnym poszanowaniu specyfiki uczelni wyż</w:t>
      </w:r>
      <w:r w:rsidR="00B00895">
        <w:rPr>
          <w:rFonts w:cs="Arial"/>
          <w:szCs w:val="22"/>
        </w:rPr>
        <w:t>sz</w:t>
      </w:r>
      <w:r w:rsidRPr="00F140B5">
        <w:rPr>
          <w:rFonts w:cs="Arial"/>
          <w:szCs w:val="22"/>
        </w:rPr>
        <w:t xml:space="preserve">ej, w szczególności jej autonomii. Modyfikacja warunków uzyskania patronatu dotyczyła w szczególności dostosowania ramowego programu do przepisów, założeń i celów nowego Prawa zamówień publicznych, dostosowanie zobowiązań do nowych przepisów o szkolnictwie wyższym, a także urealnienie obowiązków stron porozumienia. </w:t>
      </w:r>
    </w:p>
    <w:p w14:paraId="7125E2F0" w14:textId="77777777" w:rsidR="00F140B5" w:rsidRPr="00F140B5" w:rsidRDefault="00F140B5" w:rsidP="00F140B5">
      <w:pPr>
        <w:shd w:val="clear" w:color="auto" w:fill="FFFFFF"/>
        <w:rPr>
          <w:rFonts w:cs="Arial"/>
          <w:szCs w:val="22"/>
        </w:rPr>
      </w:pPr>
      <w:r w:rsidRPr="00F140B5">
        <w:rPr>
          <w:rFonts w:cs="Arial"/>
          <w:szCs w:val="22"/>
        </w:rPr>
        <w:t>Szczególną pozycję wśród studiów podyplomowych w zakresie zamówień publicznych zajmują współorganizowane przez Szkołę Główną Handlową i Urząd Zamówień Publicznych Studia Podyplomowe Profesjonalne Kadry Zamówień Publicznych. Mają one na celu przekazanie wiedzy i umiejętności z zakresu efektywnego podejścia do realizacji zamówień publicznych z punktu widzenia wymagań prawnych oraz kompetencji z zakresu ekonomii, finansów i zarządzania. Atutem tych studiów, w odróżnieniu od standardowego programu obejmującego wyłącznie kwestie prawno-proceduralne, jest zwrócenie uwagi na potrzebę profesjonalizacji kadr nie tylko przez pryzmat znajomości przepisów i procedur, lecz z perspektywy holistycznego podejścia do procesu zakupowego.</w:t>
      </w:r>
    </w:p>
    <w:p w14:paraId="6138E0E9" w14:textId="77777777" w:rsidR="0045655F" w:rsidRDefault="00F140B5" w:rsidP="00F140B5">
      <w:pPr>
        <w:shd w:val="clear" w:color="auto" w:fill="FFFFFF"/>
        <w:rPr>
          <w:rFonts w:cs="Arial"/>
          <w:szCs w:val="22"/>
        </w:rPr>
      </w:pPr>
      <w:r w:rsidRPr="00F140B5">
        <w:rPr>
          <w:rFonts w:cs="Arial"/>
          <w:szCs w:val="22"/>
        </w:rPr>
        <w:t xml:space="preserve">Wykaz uczelni prowadzących studia podyplomowe po patronatem Prezesa UZP jest publikowany na stronie internetowej Urzędu pod adresem: </w:t>
      </w:r>
    </w:p>
    <w:p w14:paraId="558013F0" w14:textId="2E7C8426" w:rsidR="00F140B5" w:rsidRPr="00F140B5" w:rsidRDefault="00BE2079" w:rsidP="00F140B5">
      <w:pPr>
        <w:shd w:val="clear" w:color="auto" w:fill="FFFFFF"/>
        <w:rPr>
          <w:rFonts w:cs="Arial"/>
          <w:szCs w:val="22"/>
        </w:rPr>
      </w:pPr>
      <w:hyperlink r:id="rId51" w:history="1">
        <w:r w:rsidR="0045655F" w:rsidRPr="00A02D72">
          <w:rPr>
            <w:rStyle w:val="Hipercze"/>
            <w:rFonts w:cs="Arial"/>
            <w:szCs w:val="22"/>
          </w:rPr>
          <w:t>https://www.gov.pl/web/uzp/lista-studiow-podyplomowych-objetych-patronatem-prezesa-uzp</w:t>
        </w:r>
      </w:hyperlink>
      <w:r w:rsidR="0045655F">
        <w:rPr>
          <w:rFonts w:cs="Arial"/>
          <w:szCs w:val="22"/>
        </w:rPr>
        <w:t>.</w:t>
      </w:r>
    </w:p>
    <w:p w14:paraId="3134A154" w14:textId="77777777" w:rsidR="009759A1" w:rsidRDefault="009759A1" w:rsidP="004645C5">
      <w:pPr>
        <w:shd w:val="clear" w:color="auto" w:fill="FFFFFF"/>
        <w:rPr>
          <w:rFonts w:cs="Arial"/>
          <w:szCs w:val="22"/>
        </w:rPr>
      </w:pPr>
    </w:p>
    <w:p w14:paraId="4A12D6AB" w14:textId="4FC24C31" w:rsidR="003F09B7" w:rsidRDefault="003F09B7" w:rsidP="004645C5">
      <w:pPr>
        <w:shd w:val="clear" w:color="auto" w:fill="FFFFFF"/>
        <w:rPr>
          <w:rFonts w:cs="Arial"/>
          <w:szCs w:val="22"/>
        </w:rPr>
      </w:pPr>
    </w:p>
    <w:p w14:paraId="3570C981" w14:textId="1E976661" w:rsidR="003F09B7" w:rsidRPr="00E1650A" w:rsidRDefault="003F09B7" w:rsidP="00E16264">
      <w:pPr>
        <w:pStyle w:val="StylArial11ptWyjustowany"/>
        <w:numPr>
          <w:ilvl w:val="0"/>
          <w:numId w:val="12"/>
        </w:numPr>
        <w:shd w:val="clear" w:color="auto" w:fill="FFFFFF"/>
        <w:jc w:val="left"/>
        <w:rPr>
          <w:rFonts w:cs="Arial"/>
          <w:b/>
          <w:iCs/>
          <w:color w:val="0070C0"/>
          <w:szCs w:val="22"/>
        </w:rPr>
      </w:pPr>
      <w:r w:rsidRPr="003F09B7">
        <w:rPr>
          <w:rFonts w:cs="Arial"/>
          <w:b/>
          <w:iCs/>
          <w:color w:val="0070C0"/>
          <w:szCs w:val="22"/>
        </w:rPr>
        <w:t>Prezentacja zagadnień Pzp podczas wydarzeń organizowanych przez podmioty zewnętrzne</w:t>
      </w:r>
    </w:p>
    <w:p w14:paraId="6BF1C71E" w14:textId="77777777" w:rsidR="003F09B7" w:rsidRDefault="003F09B7" w:rsidP="004645C5">
      <w:pPr>
        <w:shd w:val="clear" w:color="auto" w:fill="FFFFFF"/>
        <w:rPr>
          <w:rFonts w:cs="Arial"/>
          <w:szCs w:val="22"/>
        </w:rPr>
      </w:pPr>
    </w:p>
    <w:p w14:paraId="2C21A9EA" w14:textId="6408B21C" w:rsidR="00A9505C" w:rsidRPr="00A9505C" w:rsidRDefault="00A9505C" w:rsidP="00A9505C">
      <w:pPr>
        <w:shd w:val="clear" w:color="auto" w:fill="FFFFFF"/>
        <w:rPr>
          <w:rFonts w:cs="Arial"/>
          <w:szCs w:val="22"/>
        </w:rPr>
      </w:pPr>
      <w:r w:rsidRPr="00A9505C">
        <w:rPr>
          <w:rFonts w:cs="Arial"/>
          <w:szCs w:val="22"/>
        </w:rPr>
        <w:t xml:space="preserve">2 marca 2022 r. </w:t>
      </w:r>
      <w:r w:rsidR="00C931D7">
        <w:rPr>
          <w:rFonts w:cs="Arial"/>
          <w:szCs w:val="22"/>
        </w:rPr>
        <w:t xml:space="preserve">przedstawiciel </w:t>
      </w:r>
      <w:r w:rsidRPr="00A9505C">
        <w:rPr>
          <w:rFonts w:cs="Arial"/>
          <w:szCs w:val="22"/>
        </w:rPr>
        <w:t>Urzędu Zamówień Publicznych, wziął udział w</w:t>
      </w:r>
      <w:r w:rsidR="009343A1">
        <w:rPr>
          <w:rFonts w:cs="Arial"/>
          <w:szCs w:val="22"/>
        </w:rPr>
        <w:t xml:space="preserve"> </w:t>
      </w:r>
      <w:r w:rsidRPr="00A9505C">
        <w:rPr>
          <w:rFonts w:cs="Arial"/>
          <w:szCs w:val="22"/>
        </w:rPr>
        <w:t>posiedzeniu</w:t>
      </w:r>
      <w:r w:rsidR="009343A1">
        <w:rPr>
          <w:rFonts w:cs="Arial"/>
          <w:szCs w:val="22"/>
        </w:rPr>
        <w:t xml:space="preserve"> </w:t>
      </w:r>
      <w:r w:rsidRPr="00A9505C">
        <w:rPr>
          <w:rFonts w:cs="Arial"/>
          <w:b/>
          <w:bCs/>
          <w:szCs w:val="22"/>
        </w:rPr>
        <w:t>Śląskiego Forum Zamówień Publicznych.</w:t>
      </w:r>
    </w:p>
    <w:p w14:paraId="228047C2" w14:textId="28D6CEEA" w:rsidR="00A9505C" w:rsidRPr="00A9505C" w:rsidRDefault="00A9505C" w:rsidP="00A9505C">
      <w:pPr>
        <w:shd w:val="clear" w:color="auto" w:fill="FFFFFF"/>
        <w:rPr>
          <w:rFonts w:cs="Arial"/>
          <w:szCs w:val="22"/>
        </w:rPr>
      </w:pPr>
      <w:r w:rsidRPr="00A9505C">
        <w:rPr>
          <w:rFonts w:cs="Arial"/>
          <w:szCs w:val="22"/>
        </w:rPr>
        <w:t>W trakcie posiedzenia omawiane były zagadnienia dotyczące m.in. opisu przedmiotu zamówienia na roboty budowlane w świetle nowych przepisów wykonawczych, centralizacji zamówień jako narzędzia optymalizacji wydatków publicznych, budowania konkurencyjności w zamówieniach publicznych, wymagań dotyczących elektromobilności w postępowaniach o</w:t>
      </w:r>
      <w:r w:rsidR="009343A1">
        <w:rPr>
          <w:rFonts w:cs="Arial"/>
          <w:szCs w:val="22"/>
        </w:rPr>
        <w:t xml:space="preserve"> </w:t>
      </w:r>
      <w:r w:rsidRPr="00A9505C">
        <w:rPr>
          <w:rFonts w:cs="Arial"/>
          <w:szCs w:val="22"/>
        </w:rPr>
        <w:t xml:space="preserve">udzielenie zamówienia publicznego, a także doświadczeń organów kontroli w zakresie stosowania ustawy </w:t>
      </w:r>
      <w:r w:rsidR="003E12FC" w:rsidRPr="003E12FC">
        <w:rPr>
          <w:rFonts w:cs="Arial"/>
          <w:szCs w:val="22"/>
        </w:rPr>
        <w:t>–</w:t>
      </w:r>
      <w:r w:rsidR="003E12FC">
        <w:rPr>
          <w:rFonts w:cs="Arial"/>
          <w:szCs w:val="22"/>
        </w:rPr>
        <w:t xml:space="preserve"> </w:t>
      </w:r>
      <w:r w:rsidRPr="00A9505C">
        <w:rPr>
          <w:rFonts w:cs="Arial"/>
          <w:szCs w:val="22"/>
        </w:rPr>
        <w:t>Prawo zamówień publicznych.</w:t>
      </w:r>
    </w:p>
    <w:p w14:paraId="2E4D9779" w14:textId="6D8E5A20" w:rsidR="00A9505C" w:rsidRPr="00A9505C" w:rsidRDefault="00A9505C" w:rsidP="00A9505C">
      <w:pPr>
        <w:shd w:val="clear" w:color="auto" w:fill="FFFFFF"/>
        <w:rPr>
          <w:rFonts w:cs="Arial"/>
          <w:szCs w:val="22"/>
        </w:rPr>
      </w:pPr>
      <w:r w:rsidRPr="00A9505C">
        <w:rPr>
          <w:rFonts w:cs="Arial"/>
          <w:szCs w:val="22"/>
        </w:rPr>
        <w:t>Śląskie Forum Zamówień Publicznych powstałe przy Ośrodku Kształcenia Samorządu Terytorialnego im. Waleriana Pańki, zorganizowane zostało po raz pierwszy. Celami działania Śląskiego Forum Zamówień Publicznych będą: podnoszenie poziomu wiedzy i</w:t>
      </w:r>
      <w:r w:rsidR="009343A1">
        <w:rPr>
          <w:rFonts w:cs="Arial"/>
          <w:szCs w:val="22"/>
        </w:rPr>
        <w:t xml:space="preserve"> </w:t>
      </w:r>
      <w:r w:rsidRPr="00A9505C">
        <w:rPr>
          <w:rFonts w:cs="Arial"/>
          <w:szCs w:val="22"/>
        </w:rPr>
        <w:t>doskonalenie umiejętności osób zajmujących się udzielaniem zamówień publicznych w</w:t>
      </w:r>
      <w:r w:rsidR="009343A1">
        <w:rPr>
          <w:rFonts w:cs="Arial"/>
          <w:szCs w:val="22"/>
        </w:rPr>
        <w:t xml:space="preserve"> </w:t>
      </w:r>
      <w:r w:rsidRPr="00A9505C">
        <w:rPr>
          <w:rFonts w:cs="Arial"/>
          <w:szCs w:val="22"/>
        </w:rPr>
        <w:t>jednostkach samorządu terytorialnego, zakładach budżetowych, spółkach komunalnych przez działalność szkoleniową, konsultacje oraz wzajemne wspieranie się członków Forum poprzez wymianę doświadczeń w</w:t>
      </w:r>
      <w:r w:rsidR="009343A1">
        <w:rPr>
          <w:rFonts w:cs="Arial"/>
          <w:szCs w:val="22"/>
        </w:rPr>
        <w:t xml:space="preserve"> </w:t>
      </w:r>
      <w:r w:rsidRPr="00A9505C">
        <w:rPr>
          <w:rFonts w:cs="Arial"/>
          <w:szCs w:val="22"/>
        </w:rPr>
        <w:t>rozwiązywaniu problemów pojawiających się w</w:t>
      </w:r>
      <w:r w:rsidR="009343A1">
        <w:rPr>
          <w:rFonts w:cs="Arial"/>
          <w:szCs w:val="22"/>
        </w:rPr>
        <w:t xml:space="preserve"> </w:t>
      </w:r>
      <w:r w:rsidRPr="00A9505C">
        <w:rPr>
          <w:rFonts w:cs="Arial"/>
          <w:szCs w:val="22"/>
        </w:rPr>
        <w:t xml:space="preserve">ich codziennej pracy. </w:t>
      </w:r>
    </w:p>
    <w:p w14:paraId="71B8C70F" w14:textId="77777777" w:rsidR="00A9505C" w:rsidRPr="00A9505C" w:rsidRDefault="00A9505C" w:rsidP="00A9505C">
      <w:pPr>
        <w:shd w:val="clear" w:color="auto" w:fill="FFFFFF"/>
        <w:rPr>
          <w:rFonts w:cs="Arial"/>
          <w:szCs w:val="22"/>
        </w:rPr>
      </w:pPr>
    </w:p>
    <w:p w14:paraId="58B97CF0" w14:textId="2BE0E868" w:rsidR="00A9505C" w:rsidRPr="00A9505C" w:rsidRDefault="00A9505C" w:rsidP="00A9505C">
      <w:pPr>
        <w:shd w:val="clear" w:color="auto" w:fill="FFFFFF"/>
        <w:rPr>
          <w:rFonts w:cs="Arial"/>
          <w:szCs w:val="22"/>
        </w:rPr>
      </w:pPr>
      <w:r w:rsidRPr="00A9505C">
        <w:rPr>
          <w:rFonts w:cs="Arial"/>
          <w:szCs w:val="22"/>
        </w:rPr>
        <w:t xml:space="preserve">3 marca 2022 r. Prezes Urzędu Zamówień Publicznych uczestniczył w objętej patronatem Prezesa UZP 12. konferencji z cyklu </w:t>
      </w:r>
      <w:r w:rsidRPr="00A9505C">
        <w:rPr>
          <w:rFonts w:cs="Arial"/>
          <w:b/>
          <w:bCs/>
          <w:szCs w:val="22"/>
        </w:rPr>
        <w:t>Państwo 2.0.</w:t>
      </w:r>
      <w:r w:rsidR="009343A1">
        <w:rPr>
          <w:rFonts w:cs="Arial"/>
          <w:szCs w:val="22"/>
        </w:rPr>
        <w:t xml:space="preserve"> </w:t>
      </w:r>
      <w:r w:rsidRPr="00A9505C">
        <w:rPr>
          <w:rFonts w:cs="Arial"/>
          <w:szCs w:val="22"/>
        </w:rPr>
        <w:t xml:space="preserve">W sesji otwierającej konferencję wygłosił prelekcję nt. </w:t>
      </w:r>
      <w:r w:rsidRPr="00A9505C">
        <w:rPr>
          <w:rFonts w:cs="Arial"/>
          <w:b/>
          <w:bCs/>
          <w:szCs w:val="22"/>
        </w:rPr>
        <w:t>Cyfryzacji procesu zamówień publicznych</w:t>
      </w:r>
      <w:r w:rsidRPr="00A9505C">
        <w:rPr>
          <w:rFonts w:cs="Arial"/>
          <w:szCs w:val="22"/>
        </w:rPr>
        <w:t>, przybliżając te istotne zagadnienia nierozłącznie związane ze strategią cyfryzacji państwa</w:t>
      </w:r>
      <w:r w:rsidRPr="00A9505C">
        <w:rPr>
          <w:rFonts w:cs="Arial"/>
          <w:b/>
          <w:bCs/>
          <w:szCs w:val="22"/>
        </w:rPr>
        <w:t xml:space="preserve"> </w:t>
      </w:r>
      <w:r w:rsidRPr="008F1FCE">
        <w:rPr>
          <w:rFonts w:cs="Arial"/>
          <w:szCs w:val="22"/>
        </w:rPr>
        <w:t>u</w:t>
      </w:r>
      <w:r w:rsidRPr="00A9505C">
        <w:rPr>
          <w:rFonts w:cs="Arial"/>
          <w:szCs w:val="22"/>
        </w:rPr>
        <w:t xml:space="preserve">czestniczącym w konferencji przedstawicielom administracji centralnej, wojewódzkiej i samorządowej oraz dostawcom nowych technologii. </w:t>
      </w:r>
    </w:p>
    <w:p w14:paraId="5EFAF201" w14:textId="77777777" w:rsidR="00A9505C" w:rsidRPr="00A9505C" w:rsidRDefault="00A9505C" w:rsidP="00A9505C">
      <w:pPr>
        <w:shd w:val="clear" w:color="auto" w:fill="FFFFFF"/>
        <w:rPr>
          <w:rFonts w:cs="Arial"/>
          <w:szCs w:val="22"/>
        </w:rPr>
      </w:pPr>
    </w:p>
    <w:p w14:paraId="5C230301" w14:textId="77777777" w:rsidR="00A9505C" w:rsidRPr="00A9505C" w:rsidRDefault="00A9505C" w:rsidP="00A9505C">
      <w:pPr>
        <w:shd w:val="clear" w:color="auto" w:fill="FFFFFF"/>
        <w:rPr>
          <w:rFonts w:cs="Arial"/>
          <w:szCs w:val="22"/>
        </w:rPr>
      </w:pPr>
      <w:r w:rsidRPr="00A9505C">
        <w:rPr>
          <w:rFonts w:cs="Arial"/>
          <w:szCs w:val="22"/>
        </w:rPr>
        <w:t>30 czerwca 2022 r. odbyła się konferencja „</w:t>
      </w:r>
      <w:r w:rsidRPr="00A9505C">
        <w:rPr>
          <w:rFonts w:cs="Arial"/>
          <w:b/>
          <w:bCs/>
          <w:szCs w:val="22"/>
        </w:rPr>
        <w:t>Polityka zakupowa państwa – korzyści z wdrożenia”</w:t>
      </w:r>
      <w:r w:rsidRPr="00A9505C">
        <w:rPr>
          <w:rFonts w:cs="Arial"/>
          <w:szCs w:val="22"/>
        </w:rPr>
        <w:t xml:space="preserve"> zorganizowana przez Ministerstwo Rozwoju i Technologii. W trakcie konferencji zaprezentowano główne założenia Polityki zakupowej państwa na lata 2022-2025 oraz korzyści płynące ze stosowania zawartych w niej narzędzi i rekomendacji. Uczestnikami paneli dyskusyjnych byli przedstawiciele świata nauki, administracji państwowej oraz eksperci.</w:t>
      </w:r>
    </w:p>
    <w:p w14:paraId="463713C1" w14:textId="68DA9D36" w:rsidR="00A9505C" w:rsidRPr="00A9505C" w:rsidRDefault="00A9505C" w:rsidP="00A9505C">
      <w:pPr>
        <w:shd w:val="clear" w:color="auto" w:fill="FFFFFF"/>
        <w:rPr>
          <w:rFonts w:cs="Arial"/>
          <w:szCs w:val="22"/>
        </w:rPr>
      </w:pPr>
      <w:r w:rsidRPr="00A9505C">
        <w:rPr>
          <w:rFonts w:cs="Arial"/>
          <w:szCs w:val="22"/>
        </w:rPr>
        <w:t>Pierwsza z sesji panelowych dotyczyła profesjonalizacji zamówień publicznych. W ramach tej sesji paneliści podzielili się wiedzą i</w:t>
      </w:r>
      <w:r w:rsidR="009343A1">
        <w:rPr>
          <w:rFonts w:cs="Arial"/>
          <w:szCs w:val="22"/>
        </w:rPr>
        <w:t xml:space="preserve"> </w:t>
      </w:r>
      <w:r w:rsidRPr="00A9505C">
        <w:rPr>
          <w:rFonts w:cs="Arial"/>
          <w:szCs w:val="22"/>
        </w:rPr>
        <w:t xml:space="preserve">dyskutowali na temat tytułowego zagadnienia profesjonalizacji w kontekście zwiększenia efektywności zamówień publicznych, a także doskonalenia kadr zamawiającego, w tym możliwości, korzyści, uwarunkowań prawnych i organizacyjnych. Podjęli też temat rozdzielności bądź kompatybilności sądowego i pozasądowego modelu rozwiązywania sporów w zamówieniach publicznych. </w:t>
      </w:r>
    </w:p>
    <w:p w14:paraId="12A1A365" w14:textId="77777777" w:rsidR="00A9505C" w:rsidRDefault="00A9505C" w:rsidP="00A9505C">
      <w:pPr>
        <w:shd w:val="clear" w:color="auto" w:fill="FFFFFF"/>
        <w:rPr>
          <w:rFonts w:cs="Arial"/>
          <w:szCs w:val="22"/>
        </w:rPr>
      </w:pPr>
    </w:p>
    <w:p w14:paraId="49FDBD83" w14:textId="1D183F6B" w:rsidR="00A9505C" w:rsidRPr="00A9505C" w:rsidRDefault="00894E3C" w:rsidP="00A9505C">
      <w:pPr>
        <w:shd w:val="clear" w:color="auto" w:fill="FFFFFF"/>
        <w:rPr>
          <w:rFonts w:cs="Arial"/>
          <w:szCs w:val="22"/>
        </w:rPr>
      </w:pPr>
      <w:r>
        <w:rPr>
          <w:rFonts w:cs="Arial"/>
          <w:szCs w:val="22"/>
        </w:rPr>
        <w:t>W</w:t>
      </w:r>
      <w:r w:rsidRPr="00A9505C">
        <w:rPr>
          <w:rFonts w:cs="Arial"/>
          <w:szCs w:val="22"/>
        </w:rPr>
        <w:t xml:space="preserve"> dniach 25</w:t>
      </w:r>
      <w:r w:rsidR="003E12FC" w:rsidRPr="003E12FC">
        <w:rPr>
          <w:rFonts w:cs="Arial"/>
          <w:szCs w:val="22"/>
        </w:rPr>
        <w:t>–</w:t>
      </w:r>
      <w:r w:rsidRPr="00A9505C">
        <w:rPr>
          <w:rFonts w:cs="Arial"/>
          <w:szCs w:val="22"/>
        </w:rPr>
        <w:t>27 kwietnia 2022 r.</w:t>
      </w:r>
      <w:r>
        <w:rPr>
          <w:rFonts w:cs="Arial"/>
          <w:szCs w:val="22"/>
        </w:rPr>
        <w:t xml:space="preserve"> w Katowicach </w:t>
      </w:r>
      <w:r w:rsidR="00CA291D">
        <w:rPr>
          <w:rFonts w:cs="Arial"/>
          <w:szCs w:val="22"/>
        </w:rPr>
        <w:t>odbył</w:t>
      </w:r>
      <w:r w:rsidR="0019231B">
        <w:rPr>
          <w:rFonts w:cs="Arial"/>
          <w:szCs w:val="22"/>
        </w:rPr>
        <w:t xml:space="preserve"> się</w:t>
      </w:r>
      <w:r w:rsidR="0019231B" w:rsidRPr="0019231B">
        <w:rPr>
          <w:rFonts w:cs="Arial"/>
          <w:szCs w:val="22"/>
        </w:rPr>
        <w:t xml:space="preserve"> </w:t>
      </w:r>
      <w:r w:rsidR="0019231B">
        <w:rPr>
          <w:rFonts w:cs="Arial"/>
          <w:szCs w:val="22"/>
        </w:rPr>
        <w:t xml:space="preserve">z udziałem przedstawiciela kierownictwa </w:t>
      </w:r>
      <w:r w:rsidR="0019231B" w:rsidRPr="00A9505C">
        <w:rPr>
          <w:rFonts w:cs="Arial"/>
          <w:szCs w:val="22"/>
        </w:rPr>
        <w:t>Urzędu Zamówień Publicznych</w:t>
      </w:r>
      <w:r w:rsidR="00BB6ED6" w:rsidRPr="00BB6ED6">
        <w:rPr>
          <w:rFonts w:cs="Arial"/>
          <w:szCs w:val="22"/>
        </w:rPr>
        <w:t xml:space="preserve"> </w:t>
      </w:r>
      <w:r w:rsidR="00BB6ED6" w:rsidRPr="00A9505C">
        <w:rPr>
          <w:rFonts w:cs="Arial"/>
          <w:b/>
          <w:bCs/>
          <w:szCs w:val="22"/>
        </w:rPr>
        <w:t>Europejski Kongres Gospodarcz</w:t>
      </w:r>
      <w:r w:rsidR="00BB6ED6">
        <w:rPr>
          <w:rFonts w:cs="Arial"/>
          <w:b/>
          <w:bCs/>
          <w:szCs w:val="22"/>
        </w:rPr>
        <w:t>y</w:t>
      </w:r>
      <w:r w:rsidR="0019231B">
        <w:rPr>
          <w:rFonts w:cs="Arial"/>
          <w:szCs w:val="22"/>
        </w:rPr>
        <w:t xml:space="preserve"> w trakcie którego </w:t>
      </w:r>
      <w:r w:rsidR="00A9505C" w:rsidRPr="00A9505C">
        <w:rPr>
          <w:rFonts w:cs="Arial"/>
          <w:szCs w:val="22"/>
        </w:rPr>
        <w:t>dysku</w:t>
      </w:r>
      <w:r w:rsidR="00356811">
        <w:rPr>
          <w:rFonts w:cs="Arial"/>
          <w:szCs w:val="22"/>
        </w:rPr>
        <w:t>towano na temat</w:t>
      </w:r>
      <w:r w:rsidR="00A9505C" w:rsidRPr="00A9505C">
        <w:rPr>
          <w:rFonts w:cs="Arial"/>
          <w:szCs w:val="22"/>
        </w:rPr>
        <w:t xml:space="preserve"> zamówień publicznych w samorządach</w:t>
      </w:r>
      <w:r w:rsidR="00CF1304">
        <w:rPr>
          <w:rFonts w:cs="Arial"/>
          <w:szCs w:val="22"/>
        </w:rPr>
        <w:t>.</w:t>
      </w:r>
      <w:r w:rsidR="00A9505C" w:rsidRPr="00A9505C">
        <w:rPr>
          <w:rFonts w:cs="Arial"/>
          <w:szCs w:val="22"/>
        </w:rPr>
        <w:t xml:space="preserve"> Rozmawiano m.in. o warunkach realizacji inwestycji samorządowych, celach i funkcjonowaniu systemu zamówień publicznych, skutkach wynikających z wejścia w życie Prawa zamówień publicznych, a także o bieżących wyzwaniach, z którymi mierzą się zamawiający.</w:t>
      </w:r>
    </w:p>
    <w:p w14:paraId="293C9BE8" w14:textId="77777777" w:rsidR="00A9505C" w:rsidRDefault="00A9505C" w:rsidP="00A9505C">
      <w:pPr>
        <w:shd w:val="clear" w:color="auto" w:fill="FFFFFF"/>
        <w:rPr>
          <w:rFonts w:cs="Arial"/>
          <w:szCs w:val="22"/>
        </w:rPr>
      </w:pPr>
    </w:p>
    <w:p w14:paraId="265C21BC" w14:textId="7C62A137" w:rsidR="00A9505C" w:rsidRPr="00A9505C" w:rsidRDefault="00A9505C" w:rsidP="00A9505C">
      <w:pPr>
        <w:shd w:val="clear" w:color="auto" w:fill="FFFFFF"/>
        <w:rPr>
          <w:rFonts w:cs="Arial"/>
          <w:szCs w:val="22"/>
        </w:rPr>
      </w:pPr>
      <w:r w:rsidRPr="00A9505C">
        <w:rPr>
          <w:rFonts w:cs="Arial"/>
          <w:szCs w:val="22"/>
        </w:rPr>
        <w:t>W dniach 27</w:t>
      </w:r>
      <w:r w:rsidR="003E12FC" w:rsidRPr="003E12FC">
        <w:rPr>
          <w:rFonts w:cs="Arial"/>
          <w:szCs w:val="22"/>
        </w:rPr>
        <w:t>–</w:t>
      </w:r>
      <w:r w:rsidRPr="00A9505C">
        <w:rPr>
          <w:rFonts w:cs="Arial"/>
          <w:szCs w:val="22"/>
        </w:rPr>
        <w:t>28 kwietnia 2022 r. Krajow</w:t>
      </w:r>
      <w:r w:rsidR="006A6453">
        <w:rPr>
          <w:rFonts w:cs="Arial"/>
          <w:szCs w:val="22"/>
        </w:rPr>
        <w:t>a</w:t>
      </w:r>
      <w:r w:rsidRPr="00A9505C">
        <w:rPr>
          <w:rFonts w:cs="Arial"/>
          <w:szCs w:val="22"/>
        </w:rPr>
        <w:t xml:space="preserve"> Rad</w:t>
      </w:r>
      <w:r w:rsidR="006A6453">
        <w:rPr>
          <w:rFonts w:cs="Arial"/>
          <w:szCs w:val="22"/>
        </w:rPr>
        <w:t>a</w:t>
      </w:r>
      <w:r w:rsidRPr="00A9505C">
        <w:rPr>
          <w:rFonts w:cs="Arial"/>
          <w:szCs w:val="22"/>
        </w:rPr>
        <w:t xml:space="preserve"> Regionalnych Izb Obrachunkowych </w:t>
      </w:r>
      <w:r w:rsidR="006A6453">
        <w:rPr>
          <w:rFonts w:cs="Arial"/>
          <w:szCs w:val="22"/>
        </w:rPr>
        <w:t xml:space="preserve">zorganizowała </w:t>
      </w:r>
      <w:r w:rsidRPr="00A9505C">
        <w:rPr>
          <w:rFonts w:cs="Arial"/>
          <w:szCs w:val="22"/>
        </w:rPr>
        <w:t>konferencj</w:t>
      </w:r>
      <w:r w:rsidR="006A6453">
        <w:rPr>
          <w:rFonts w:cs="Arial"/>
          <w:szCs w:val="22"/>
        </w:rPr>
        <w:t>ę</w:t>
      </w:r>
      <w:r w:rsidR="009343A1">
        <w:rPr>
          <w:rFonts w:cs="Arial"/>
          <w:szCs w:val="22"/>
        </w:rPr>
        <w:t xml:space="preserve"> </w:t>
      </w:r>
      <w:r w:rsidRPr="00A9505C">
        <w:rPr>
          <w:rFonts w:cs="Arial"/>
          <w:szCs w:val="22"/>
        </w:rPr>
        <w:t xml:space="preserve">pt. </w:t>
      </w:r>
      <w:r w:rsidRPr="00A9505C">
        <w:rPr>
          <w:rFonts w:cs="Arial"/>
          <w:b/>
          <w:bCs/>
          <w:szCs w:val="22"/>
        </w:rPr>
        <w:t>Zasady ponoszenia odpowiedzialności i orzekania w sprawach o</w:t>
      </w:r>
      <w:r w:rsidR="009343A1">
        <w:rPr>
          <w:rFonts w:cs="Arial"/>
          <w:b/>
          <w:bCs/>
          <w:szCs w:val="22"/>
        </w:rPr>
        <w:t xml:space="preserve"> </w:t>
      </w:r>
      <w:r w:rsidRPr="00A9505C">
        <w:rPr>
          <w:rFonts w:cs="Arial"/>
          <w:b/>
          <w:bCs/>
          <w:szCs w:val="22"/>
        </w:rPr>
        <w:t>naruszenie dyscypliny finansów publicznych</w:t>
      </w:r>
      <w:r w:rsidRPr="00A9505C">
        <w:rPr>
          <w:rFonts w:cs="Arial"/>
          <w:szCs w:val="22"/>
        </w:rPr>
        <w:t xml:space="preserve">, w której </w:t>
      </w:r>
      <w:r w:rsidR="006A6453">
        <w:rPr>
          <w:rFonts w:cs="Arial"/>
          <w:szCs w:val="22"/>
        </w:rPr>
        <w:t>uczestniczył</w:t>
      </w:r>
      <w:r w:rsidRPr="00A9505C">
        <w:rPr>
          <w:rFonts w:cs="Arial"/>
          <w:szCs w:val="22"/>
        </w:rPr>
        <w:t xml:space="preserve"> Wiceprezes Urzędu Zamówień Publicznych. </w:t>
      </w:r>
      <w:r w:rsidR="00415D77">
        <w:rPr>
          <w:rFonts w:cs="Arial"/>
          <w:szCs w:val="22"/>
        </w:rPr>
        <w:t>C</w:t>
      </w:r>
      <w:r w:rsidRPr="00A9505C">
        <w:rPr>
          <w:rFonts w:cs="Arial"/>
          <w:szCs w:val="22"/>
        </w:rPr>
        <w:t>złonkowie komisji orzekających w sprawach o naruszenie dyscypliny finansów publicznych</w:t>
      </w:r>
      <w:r w:rsidR="009E1953">
        <w:rPr>
          <w:rFonts w:cs="Arial"/>
          <w:szCs w:val="22"/>
        </w:rPr>
        <w:t xml:space="preserve"> d</w:t>
      </w:r>
      <w:r w:rsidR="00415D77">
        <w:rPr>
          <w:rFonts w:cs="Arial"/>
          <w:szCs w:val="22"/>
        </w:rPr>
        <w:t xml:space="preserve">ebatowali m.in. </w:t>
      </w:r>
      <w:r w:rsidRPr="00A9505C">
        <w:rPr>
          <w:rFonts w:cs="Arial"/>
          <w:szCs w:val="22"/>
        </w:rPr>
        <w:t>na temat odpowiedzialności za naruszenie dyscypliny finansów publicznych przy udzielaniu zamówień publicznych.</w:t>
      </w:r>
    </w:p>
    <w:p w14:paraId="4EEB060C" w14:textId="77777777" w:rsidR="00A9505C" w:rsidRDefault="00A9505C" w:rsidP="00A9505C">
      <w:pPr>
        <w:shd w:val="clear" w:color="auto" w:fill="FFFFFF"/>
        <w:rPr>
          <w:rFonts w:cs="Arial"/>
          <w:szCs w:val="22"/>
        </w:rPr>
      </w:pPr>
    </w:p>
    <w:p w14:paraId="3786E64A" w14:textId="165E7429" w:rsidR="00A9505C" w:rsidRPr="00A9505C" w:rsidRDefault="00A9505C" w:rsidP="00A9505C">
      <w:pPr>
        <w:shd w:val="clear" w:color="auto" w:fill="FFFFFF"/>
        <w:rPr>
          <w:rFonts w:cs="Arial"/>
          <w:szCs w:val="22"/>
        </w:rPr>
      </w:pPr>
      <w:r w:rsidRPr="00A9505C">
        <w:rPr>
          <w:rFonts w:cs="Arial"/>
          <w:szCs w:val="22"/>
        </w:rPr>
        <w:t xml:space="preserve">Przedstawiciele Urzędu Zamówień Publicznych wzięli udział w </w:t>
      </w:r>
      <w:r w:rsidRPr="00A9505C">
        <w:rPr>
          <w:rFonts w:cs="Arial"/>
          <w:b/>
          <w:szCs w:val="22"/>
        </w:rPr>
        <w:t>XXV Szkole Zarządzania Strategicznego</w:t>
      </w:r>
      <w:r w:rsidRPr="00A9505C">
        <w:rPr>
          <w:rFonts w:cs="Arial"/>
          <w:szCs w:val="22"/>
        </w:rPr>
        <w:t>, zorganizowanej 1 czerwca 2022 r.</w:t>
      </w:r>
      <w:r w:rsidR="009343A1">
        <w:rPr>
          <w:rFonts w:cs="Arial"/>
          <w:szCs w:val="22"/>
        </w:rPr>
        <w:t xml:space="preserve"> </w:t>
      </w:r>
      <w:r w:rsidRPr="00A9505C">
        <w:rPr>
          <w:rFonts w:cs="Arial"/>
          <w:szCs w:val="22"/>
        </w:rPr>
        <w:t>przez Fundację Rektorów Polskich w partnerstwie z Konferencją Rektorów Akademickich Szkół Polskich. W trakcie wydarzenia skierowanego do kanclerzy, dyrektorów, kwestorów i głównych księgowych uczelni wyższych przedstawiciele Urzędu mówili o</w:t>
      </w:r>
      <w:r w:rsidR="009343A1">
        <w:rPr>
          <w:rFonts w:cs="Arial"/>
          <w:szCs w:val="22"/>
        </w:rPr>
        <w:t xml:space="preserve"> </w:t>
      </w:r>
      <w:r w:rsidRPr="00A9505C">
        <w:rPr>
          <w:rFonts w:cs="Arial"/>
          <w:szCs w:val="22"/>
        </w:rPr>
        <w:t>regulacjach Prawa zamówień publicznych, a</w:t>
      </w:r>
      <w:r w:rsidR="009343A1">
        <w:rPr>
          <w:rFonts w:cs="Arial"/>
          <w:szCs w:val="22"/>
        </w:rPr>
        <w:t xml:space="preserve"> </w:t>
      </w:r>
      <w:r w:rsidRPr="00A9505C">
        <w:rPr>
          <w:rFonts w:cs="Arial"/>
          <w:szCs w:val="22"/>
        </w:rPr>
        <w:t>także odpowiadali na pytania zgromadzonych uczestników.</w:t>
      </w:r>
    </w:p>
    <w:p w14:paraId="120E8289" w14:textId="77777777" w:rsidR="00A9505C" w:rsidRDefault="00A9505C" w:rsidP="00A9505C">
      <w:pPr>
        <w:shd w:val="clear" w:color="auto" w:fill="FFFFFF"/>
        <w:rPr>
          <w:rFonts w:cs="Arial"/>
          <w:szCs w:val="22"/>
        </w:rPr>
      </w:pPr>
    </w:p>
    <w:p w14:paraId="4D3D792D" w14:textId="4C0153C4" w:rsidR="00A9505C" w:rsidRPr="00A9505C" w:rsidRDefault="00A9505C" w:rsidP="00A9505C">
      <w:pPr>
        <w:shd w:val="clear" w:color="auto" w:fill="FFFFFF"/>
        <w:rPr>
          <w:rFonts w:cs="Arial"/>
          <w:szCs w:val="22"/>
        </w:rPr>
      </w:pPr>
      <w:r w:rsidRPr="00A9505C">
        <w:rPr>
          <w:rFonts w:cs="Arial"/>
          <w:szCs w:val="22"/>
        </w:rPr>
        <w:t xml:space="preserve">Urząd Zamówień Publicznych aktywnie uczestniczył w zorganizowanym przez Ministerstwo Rozwoju i Technologii </w:t>
      </w:r>
      <w:r w:rsidRPr="00A9505C">
        <w:rPr>
          <w:rFonts w:cs="Arial"/>
          <w:b/>
          <w:bCs/>
          <w:szCs w:val="22"/>
        </w:rPr>
        <w:t>Dniu Przedsiębiorcy.</w:t>
      </w:r>
      <w:r w:rsidRPr="00A9505C">
        <w:rPr>
          <w:rFonts w:cs="Arial"/>
          <w:szCs w:val="22"/>
        </w:rPr>
        <w:t xml:space="preserve"> 21 czerwca 2022 r. odbył się </w:t>
      </w:r>
      <w:r w:rsidRPr="00A9505C">
        <w:rPr>
          <w:rFonts w:cs="Arial"/>
          <w:b/>
          <w:bCs/>
          <w:szCs w:val="22"/>
        </w:rPr>
        <w:t>videochat dla przedsiębiorców poświęcony Prawu zamówień publicznych</w:t>
      </w:r>
      <w:r w:rsidRPr="00A9505C">
        <w:rPr>
          <w:rFonts w:cs="Arial"/>
          <w:szCs w:val="22"/>
        </w:rPr>
        <w:t xml:space="preserve">. Uczestniczący w spotkaniu przedsiębiorcy mieli możliwość zadania pytań dotyczących procedur Prawa zamówień publicznych, na które odpowiadał </w:t>
      </w:r>
      <w:r w:rsidR="00BA1359">
        <w:rPr>
          <w:rFonts w:cs="Arial"/>
          <w:szCs w:val="22"/>
        </w:rPr>
        <w:t>przedstawiciel</w:t>
      </w:r>
      <w:r w:rsidR="009A02C1">
        <w:rPr>
          <w:rFonts w:cs="Arial"/>
          <w:szCs w:val="22"/>
        </w:rPr>
        <w:t xml:space="preserve"> </w:t>
      </w:r>
      <w:r w:rsidRPr="00A9505C">
        <w:rPr>
          <w:rFonts w:cs="Arial"/>
          <w:szCs w:val="22"/>
        </w:rPr>
        <w:t xml:space="preserve">Departamentu Prawnego UZP. W wydarzeniu wzięło udział ponad 50 osób. Pytania dotyczyły m.in. terminów związania ofertą, kwestii zmiany umów, środków ochrony prawnej, a także przedmiotowych i podmiotowych środków dowodowych. </w:t>
      </w:r>
    </w:p>
    <w:p w14:paraId="535AEAE1" w14:textId="77777777" w:rsidR="003E6D28" w:rsidRDefault="003E6D28" w:rsidP="00A9505C">
      <w:pPr>
        <w:shd w:val="clear" w:color="auto" w:fill="FFFFFF"/>
        <w:rPr>
          <w:rFonts w:cs="Arial"/>
          <w:szCs w:val="22"/>
        </w:rPr>
      </w:pPr>
    </w:p>
    <w:p w14:paraId="4A5E9A73" w14:textId="74C34F3F" w:rsidR="00A9505C" w:rsidRPr="00A9505C" w:rsidRDefault="00A9505C" w:rsidP="00A9505C">
      <w:pPr>
        <w:shd w:val="clear" w:color="auto" w:fill="FFFFFF"/>
        <w:rPr>
          <w:rFonts w:cs="Arial"/>
          <w:szCs w:val="22"/>
        </w:rPr>
      </w:pPr>
      <w:r w:rsidRPr="00A9505C">
        <w:rPr>
          <w:rFonts w:cs="Arial"/>
          <w:szCs w:val="22"/>
        </w:rPr>
        <w:t>30 września 2022 r. w</w:t>
      </w:r>
      <w:r w:rsidR="009343A1">
        <w:rPr>
          <w:rFonts w:cs="Arial"/>
          <w:szCs w:val="22"/>
        </w:rPr>
        <w:t xml:space="preserve"> </w:t>
      </w:r>
      <w:r w:rsidRPr="00A9505C">
        <w:rPr>
          <w:rFonts w:cs="Arial"/>
          <w:szCs w:val="22"/>
        </w:rPr>
        <w:t xml:space="preserve">Poznaniu odbyła się II edycja konferencji </w:t>
      </w:r>
      <w:r w:rsidRPr="00A9505C">
        <w:rPr>
          <w:rFonts w:cs="Arial"/>
          <w:b/>
          <w:bCs/>
          <w:szCs w:val="22"/>
        </w:rPr>
        <w:t>POZAP – Poznań o</w:t>
      </w:r>
      <w:r w:rsidR="009343A1">
        <w:rPr>
          <w:rFonts w:cs="Arial"/>
          <w:b/>
          <w:bCs/>
          <w:szCs w:val="22"/>
        </w:rPr>
        <w:t xml:space="preserve"> </w:t>
      </w:r>
      <w:r w:rsidRPr="00A9505C">
        <w:rPr>
          <w:rFonts w:cs="Arial"/>
          <w:b/>
          <w:bCs/>
          <w:szCs w:val="22"/>
        </w:rPr>
        <w:t>zamówieniach publicznych.</w:t>
      </w:r>
      <w:r w:rsidRPr="00A9505C">
        <w:rPr>
          <w:rFonts w:cs="Arial"/>
          <w:szCs w:val="22"/>
        </w:rPr>
        <w:t xml:space="preserve"> To duże przedsięwzięcie było okazją do wymiany doświadczeń wśród praktyków zajmujących się zamówieniami publicznymi w zakresie najbardziej istotnych kwestii i zmieniających się uwarunkowań w tym obszarze, a także popularyzacji wiedzy o</w:t>
      </w:r>
      <w:r w:rsidR="009343A1">
        <w:rPr>
          <w:rFonts w:cs="Arial"/>
          <w:szCs w:val="22"/>
        </w:rPr>
        <w:t xml:space="preserve"> </w:t>
      </w:r>
      <w:r w:rsidRPr="00A9505C">
        <w:rPr>
          <w:rFonts w:cs="Arial"/>
          <w:szCs w:val="22"/>
        </w:rPr>
        <w:t>zamówieniach publicznych.</w:t>
      </w:r>
    </w:p>
    <w:p w14:paraId="2A580538" w14:textId="4E210695" w:rsidR="00A9505C" w:rsidRPr="00A9505C" w:rsidRDefault="00A9505C" w:rsidP="00A9505C">
      <w:pPr>
        <w:shd w:val="clear" w:color="auto" w:fill="FFFFFF"/>
        <w:rPr>
          <w:rFonts w:cs="Arial"/>
          <w:szCs w:val="22"/>
        </w:rPr>
      </w:pPr>
      <w:r w:rsidRPr="00A9505C">
        <w:rPr>
          <w:rFonts w:cs="Arial"/>
          <w:szCs w:val="22"/>
        </w:rPr>
        <w:t>Podczas wydarzenia przedstawiciele Urzędu Zamówień Publicznych przekazali uczestnikom wiedzę w zakresie zagadnień budzących największe zainteresowanie, tj. e-</w:t>
      </w:r>
      <w:r w:rsidR="005A3FD1">
        <w:rPr>
          <w:rFonts w:cs="Arial"/>
          <w:szCs w:val="22"/>
        </w:rPr>
        <w:t>Z</w:t>
      </w:r>
      <w:r w:rsidRPr="00A9505C">
        <w:rPr>
          <w:rFonts w:cs="Arial"/>
          <w:szCs w:val="22"/>
        </w:rPr>
        <w:t>amówień, w</w:t>
      </w:r>
      <w:r w:rsidR="009343A1">
        <w:rPr>
          <w:rFonts w:cs="Arial"/>
          <w:szCs w:val="22"/>
        </w:rPr>
        <w:t xml:space="preserve"> </w:t>
      </w:r>
      <w:r w:rsidRPr="00A9505C">
        <w:rPr>
          <w:rFonts w:cs="Arial"/>
          <w:szCs w:val="22"/>
        </w:rPr>
        <w:t>szczególności istotne informacje dotyczące e-</w:t>
      </w:r>
      <w:r w:rsidR="005A3FD1">
        <w:rPr>
          <w:rFonts w:cs="Arial"/>
          <w:szCs w:val="22"/>
        </w:rPr>
        <w:t>Z</w:t>
      </w:r>
      <w:r w:rsidRPr="00A9505C">
        <w:rPr>
          <w:rFonts w:cs="Arial"/>
          <w:szCs w:val="22"/>
        </w:rPr>
        <w:t>amówień jako następcy miniPortalu.</w:t>
      </w:r>
    </w:p>
    <w:p w14:paraId="0DCD0E36" w14:textId="77777777" w:rsidR="00A9505C" w:rsidRPr="00A9505C" w:rsidRDefault="00A9505C" w:rsidP="00A9505C">
      <w:pPr>
        <w:shd w:val="clear" w:color="auto" w:fill="FFFFFF"/>
        <w:rPr>
          <w:rFonts w:cs="Arial"/>
          <w:szCs w:val="22"/>
        </w:rPr>
      </w:pPr>
    </w:p>
    <w:p w14:paraId="0EA6F16E" w14:textId="39712A9F" w:rsidR="00A9505C" w:rsidRPr="00A9505C" w:rsidRDefault="00A9505C" w:rsidP="00A9505C">
      <w:pPr>
        <w:shd w:val="clear" w:color="auto" w:fill="FFFFFF"/>
        <w:rPr>
          <w:rFonts w:cs="Arial"/>
          <w:szCs w:val="22"/>
        </w:rPr>
      </w:pPr>
      <w:r w:rsidRPr="00A9505C">
        <w:rPr>
          <w:rFonts w:cs="Arial"/>
          <w:szCs w:val="22"/>
        </w:rPr>
        <w:t xml:space="preserve">Urząd Zamówień Publicznych we współpracy z samorządami lokalnymi przeprowadził </w:t>
      </w:r>
      <w:r w:rsidRPr="00A9505C">
        <w:rPr>
          <w:rFonts w:cs="Arial"/>
          <w:b/>
          <w:bCs/>
          <w:szCs w:val="22"/>
        </w:rPr>
        <w:t>szkolenia na temat Platformy e</w:t>
      </w:r>
      <w:r w:rsidR="003E6D28">
        <w:rPr>
          <w:rFonts w:cs="Arial"/>
          <w:b/>
          <w:bCs/>
          <w:szCs w:val="22"/>
        </w:rPr>
        <w:t>-</w:t>
      </w:r>
      <w:r w:rsidRPr="00A9505C">
        <w:rPr>
          <w:rFonts w:cs="Arial"/>
          <w:b/>
          <w:bCs/>
          <w:szCs w:val="22"/>
        </w:rPr>
        <w:t>Zamówienia</w:t>
      </w:r>
      <w:r w:rsidRPr="00A9505C">
        <w:rPr>
          <w:rFonts w:cs="Arial"/>
          <w:szCs w:val="22"/>
        </w:rPr>
        <w:t>. Odbyły się one w Gdańsku: 14 października 2022</w:t>
      </w:r>
      <w:r w:rsidR="009343A1">
        <w:rPr>
          <w:rFonts w:cs="Arial"/>
          <w:szCs w:val="22"/>
        </w:rPr>
        <w:t xml:space="preserve"> </w:t>
      </w:r>
      <w:r w:rsidRPr="00A9505C">
        <w:rPr>
          <w:rFonts w:cs="Arial"/>
          <w:szCs w:val="22"/>
        </w:rPr>
        <w:t>r. (dla przedstawicieli samorządów lokalnych z województwa pomorskiego we współpracy z</w:t>
      </w:r>
      <w:r w:rsidR="009343A1">
        <w:rPr>
          <w:rFonts w:cs="Arial"/>
          <w:szCs w:val="22"/>
        </w:rPr>
        <w:t xml:space="preserve"> </w:t>
      </w:r>
      <w:r w:rsidRPr="00A9505C">
        <w:rPr>
          <w:rFonts w:cs="Arial"/>
          <w:szCs w:val="22"/>
        </w:rPr>
        <w:t>Samorządem Województwa Pomorskiego i Związkiem Gmin Pomorskich) oraz 17</w:t>
      </w:r>
      <w:r w:rsidR="009343A1">
        <w:rPr>
          <w:rFonts w:cs="Arial"/>
          <w:szCs w:val="22"/>
        </w:rPr>
        <w:t xml:space="preserve"> </w:t>
      </w:r>
      <w:r w:rsidRPr="00A9505C">
        <w:rPr>
          <w:rFonts w:cs="Arial"/>
          <w:szCs w:val="22"/>
        </w:rPr>
        <w:t>listopada 2022</w:t>
      </w:r>
      <w:r w:rsidR="009343A1">
        <w:rPr>
          <w:rFonts w:cs="Arial"/>
          <w:szCs w:val="22"/>
        </w:rPr>
        <w:t xml:space="preserve"> </w:t>
      </w:r>
      <w:r w:rsidRPr="00A9505C">
        <w:rPr>
          <w:rFonts w:cs="Arial"/>
          <w:szCs w:val="22"/>
        </w:rPr>
        <w:t>r. (dla przedstawicieli samorządów lokalnych z województwa warmińsko-mazurskiego we współpracy z Urzędem Miejskim w Lidzbarku Warmińskim). W spotkaniach uczestniczyło ok. 130 osób. Tematem spotkań była elektronizacja zamówień publicznych i praktyczne korzystanie z</w:t>
      </w:r>
      <w:r w:rsidR="009343A1">
        <w:rPr>
          <w:rFonts w:cs="Arial"/>
          <w:szCs w:val="22"/>
        </w:rPr>
        <w:t xml:space="preserve"> </w:t>
      </w:r>
      <w:r w:rsidRPr="00A9505C">
        <w:rPr>
          <w:rFonts w:cs="Arial"/>
          <w:szCs w:val="22"/>
        </w:rPr>
        <w:t>Platformy e-Zamówienia. Była to również okazja do zadania pytań pracownikom Urzędu Zamówień Publicznych, którzy od samego początku uczestniczyli w budowie Platformy. Prezentacje poświęcone były poszczególnym modułom Platformy e</w:t>
      </w:r>
      <w:r w:rsidRPr="00A9505C">
        <w:rPr>
          <w:rFonts w:cs="Arial"/>
          <w:szCs w:val="22"/>
        </w:rPr>
        <w:noBreakHyphen/>
        <w:t>Zamówienia, takim jak: praktyczne korzystanie i zastosowanie formularza ofertowego, re</w:t>
      </w:r>
      <w:r w:rsidRPr="00A9505C">
        <w:rPr>
          <w:rFonts w:cs="Arial"/>
          <w:szCs w:val="22"/>
        </w:rPr>
        <w:noBreakHyphen/>
        <w:t xml:space="preserve">użycie danych w zakresie prowadzenia postępowania na Platformie e-Zamówienia, składanie i otwarcie ofert w Module Ofert i Wniosków, rejestracja postępowania unijnego wraz z publikacją ogłoszeń unijnych na Platformie z wykorzystaniem e-Sendera Platformy, sporządzanie </w:t>
      </w:r>
      <w:r w:rsidR="003E12FC">
        <w:rPr>
          <w:rFonts w:cs="Arial"/>
          <w:szCs w:val="22"/>
        </w:rPr>
        <w:t>r</w:t>
      </w:r>
      <w:r w:rsidRPr="00A9505C">
        <w:rPr>
          <w:rFonts w:cs="Arial"/>
          <w:szCs w:val="22"/>
        </w:rPr>
        <w:t xml:space="preserve">ocznego sprawozdania o udzielonych zamówieniach publicznych </w:t>
      </w:r>
      <w:r w:rsidR="003E12FC" w:rsidRPr="003E12FC">
        <w:rPr>
          <w:rFonts w:cs="Arial"/>
          <w:szCs w:val="22"/>
        </w:rPr>
        <w:t>–</w:t>
      </w:r>
      <w:r w:rsidRPr="00A9505C">
        <w:rPr>
          <w:rFonts w:cs="Arial"/>
          <w:szCs w:val="22"/>
        </w:rPr>
        <w:t xml:space="preserve"> re-użycie danych z ogłoszeń, prowadzenie komunikacji w postępowaniu, szczegóły dot. zdarzeń w</w:t>
      </w:r>
      <w:r w:rsidR="009343A1">
        <w:rPr>
          <w:rFonts w:cs="Arial"/>
          <w:szCs w:val="22"/>
        </w:rPr>
        <w:t xml:space="preserve"> </w:t>
      </w:r>
      <w:r w:rsidRPr="00A9505C">
        <w:rPr>
          <w:rFonts w:cs="Arial"/>
          <w:szCs w:val="22"/>
        </w:rPr>
        <w:t>postępowaniu i ich agregacji w Raporcie Platformy dotyczącym postępowania i zdarzeń.</w:t>
      </w:r>
    </w:p>
    <w:p w14:paraId="3588CB33" w14:textId="77777777" w:rsidR="00A9505C" w:rsidRPr="00A9505C" w:rsidRDefault="00A9505C" w:rsidP="00A9505C">
      <w:pPr>
        <w:shd w:val="clear" w:color="auto" w:fill="FFFFFF"/>
        <w:rPr>
          <w:rFonts w:cs="Arial"/>
          <w:szCs w:val="22"/>
        </w:rPr>
      </w:pPr>
    </w:p>
    <w:p w14:paraId="5BE82CE1" w14:textId="0D22D3BF" w:rsidR="00A9505C" w:rsidRPr="00A9505C" w:rsidRDefault="00A9505C" w:rsidP="00A9505C">
      <w:pPr>
        <w:shd w:val="clear" w:color="auto" w:fill="FFFFFF"/>
        <w:rPr>
          <w:rFonts w:cs="Arial"/>
          <w:szCs w:val="22"/>
        </w:rPr>
      </w:pPr>
      <w:r w:rsidRPr="00A9505C">
        <w:rPr>
          <w:rFonts w:cs="Arial"/>
          <w:szCs w:val="22"/>
        </w:rPr>
        <w:t>W dniach 16</w:t>
      </w:r>
      <w:r w:rsidR="00447DF9" w:rsidRPr="00447DF9">
        <w:rPr>
          <w:rFonts w:cs="Arial"/>
          <w:szCs w:val="22"/>
        </w:rPr>
        <w:t>–</w:t>
      </w:r>
      <w:r w:rsidRPr="00A9505C">
        <w:rPr>
          <w:rFonts w:cs="Arial"/>
          <w:szCs w:val="22"/>
        </w:rPr>
        <w:t>17 listopada 2022 r. w Warszawie odbyła się X edycja konferencji Stowarzyszenia Inżynierów Doradców i Rzeczoznawców (SIDiR) pt.</w:t>
      </w:r>
      <w:r w:rsidR="009343A1">
        <w:rPr>
          <w:rFonts w:cs="Arial"/>
          <w:szCs w:val="22"/>
        </w:rPr>
        <w:t xml:space="preserve"> </w:t>
      </w:r>
      <w:r w:rsidRPr="00A9505C">
        <w:rPr>
          <w:rFonts w:cs="Arial"/>
          <w:b/>
          <w:bCs/>
          <w:szCs w:val="22"/>
        </w:rPr>
        <w:t>„Realizacja kontraktów budowlanych w</w:t>
      </w:r>
      <w:r w:rsidR="009343A1">
        <w:rPr>
          <w:rFonts w:cs="Arial"/>
          <w:b/>
          <w:bCs/>
          <w:szCs w:val="22"/>
        </w:rPr>
        <w:t xml:space="preserve"> </w:t>
      </w:r>
      <w:r w:rsidRPr="00A9505C">
        <w:rPr>
          <w:rFonts w:cs="Arial"/>
          <w:b/>
          <w:bCs/>
          <w:szCs w:val="22"/>
        </w:rPr>
        <w:t xml:space="preserve">czasach nadzwyczajnych zmian stosunków, w tym wywołanych działaniem Siły Wyższej”. </w:t>
      </w:r>
      <w:r w:rsidRPr="00A9505C">
        <w:rPr>
          <w:rFonts w:cs="Arial"/>
          <w:szCs w:val="22"/>
        </w:rPr>
        <w:t>Dwudniowe wydarzeni</w:t>
      </w:r>
      <w:r w:rsidR="00447DF9">
        <w:rPr>
          <w:rFonts w:cs="Arial"/>
          <w:szCs w:val="22"/>
        </w:rPr>
        <w:t>e</w:t>
      </w:r>
      <w:r w:rsidRPr="00A9505C">
        <w:rPr>
          <w:rFonts w:cs="Arial"/>
          <w:szCs w:val="22"/>
        </w:rPr>
        <w:t xml:space="preserve"> spotkało się z dużym zainteresowaniem uczestników rynku zamówień publicznych, zarówno po stronie zamawiających, jak i wykonawców. Drugiego dnia w</w:t>
      </w:r>
      <w:r w:rsidR="009343A1">
        <w:rPr>
          <w:rFonts w:cs="Arial"/>
          <w:szCs w:val="22"/>
        </w:rPr>
        <w:t xml:space="preserve"> </w:t>
      </w:r>
      <w:r w:rsidRPr="00A9505C">
        <w:rPr>
          <w:rFonts w:cs="Arial"/>
          <w:szCs w:val="22"/>
        </w:rPr>
        <w:t>panelu</w:t>
      </w:r>
      <w:r w:rsidR="009343A1">
        <w:rPr>
          <w:rFonts w:cs="Arial"/>
          <w:szCs w:val="22"/>
        </w:rPr>
        <w:t xml:space="preserve"> </w:t>
      </w:r>
      <w:r w:rsidRPr="00A9505C">
        <w:rPr>
          <w:rFonts w:cs="Arial"/>
          <w:szCs w:val="22"/>
        </w:rPr>
        <w:t>„Klauzule przeglądowe jako wskazanie możliwości wprowadzenia zmian do umowy w</w:t>
      </w:r>
      <w:r w:rsidR="009343A1">
        <w:rPr>
          <w:rFonts w:cs="Arial"/>
          <w:szCs w:val="22"/>
        </w:rPr>
        <w:t xml:space="preserve"> </w:t>
      </w:r>
      <w:r w:rsidRPr="00A9505C">
        <w:rPr>
          <w:rFonts w:cs="Arial"/>
          <w:szCs w:val="22"/>
        </w:rPr>
        <w:t>sprawie zamówienia publicznego”</w:t>
      </w:r>
      <w:r w:rsidR="009343A1">
        <w:rPr>
          <w:rFonts w:cs="Arial"/>
          <w:szCs w:val="22"/>
        </w:rPr>
        <w:t xml:space="preserve"> </w:t>
      </w:r>
      <w:r w:rsidRPr="00A9505C">
        <w:rPr>
          <w:rFonts w:cs="Arial"/>
          <w:szCs w:val="22"/>
        </w:rPr>
        <w:t>udział wziął</w:t>
      </w:r>
      <w:r w:rsidR="009343A1">
        <w:rPr>
          <w:rFonts w:cs="Arial"/>
          <w:szCs w:val="22"/>
        </w:rPr>
        <w:t xml:space="preserve"> </w:t>
      </w:r>
      <w:r w:rsidRPr="00A9505C">
        <w:rPr>
          <w:rFonts w:cs="Arial"/>
          <w:szCs w:val="22"/>
        </w:rPr>
        <w:t>Prezes Urzędu Zamówień Publicznych.</w:t>
      </w:r>
    </w:p>
    <w:p w14:paraId="750EAD45" w14:textId="77777777" w:rsidR="00A9505C" w:rsidRPr="00A9505C" w:rsidRDefault="00A9505C" w:rsidP="00A9505C">
      <w:pPr>
        <w:shd w:val="clear" w:color="auto" w:fill="FFFFFF"/>
        <w:rPr>
          <w:rFonts w:cs="Arial"/>
          <w:szCs w:val="22"/>
        </w:rPr>
      </w:pPr>
    </w:p>
    <w:p w14:paraId="4F1A21BB" w14:textId="5F09DDAD" w:rsidR="00A9505C" w:rsidRPr="00A9505C" w:rsidRDefault="00A9505C" w:rsidP="00A9505C">
      <w:pPr>
        <w:shd w:val="clear" w:color="auto" w:fill="FFFFFF"/>
        <w:rPr>
          <w:rFonts w:cs="Arial"/>
          <w:szCs w:val="22"/>
        </w:rPr>
      </w:pPr>
      <w:r w:rsidRPr="00A9505C">
        <w:rPr>
          <w:rFonts w:cs="Arial"/>
          <w:szCs w:val="22"/>
        </w:rPr>
        <w:t>15 listopada 2022 r. Ministerstwo Rozwoju i</w:t>
      </w:r>
      <w:r w:rsidR="009343A1">
        <w:rPr>
          <w:rFonts w:cs="Arial"/>
          <w:szCs w:val="22"/>
        </w:rPr>
        <w:t xml:space="preserve"> </w:t>
      </w:r>
      <w:r w:rsidRPr="00A9505C">
        <w:rPr>
          <w:rFonts w:cs="Arial"/>
          <w:szCs w:val="22"/>
        </w:rPr>
        <w:t xml:space="preserve">Technologii </w:t>
      </w:r>
      <w:r w:rsidR="00240B64">
        <w:rPr>
          <w:rFonts w:cs="Arial"/>
          <w:szCs w:val="22"/>
        </w:rPr>
        <w:t xml:space="preserve">zorganizowało </w:t>
      </w:r>
      <w:r w:rsidR="00AB35CA">
        <w:rPr>
          <w:rFonts w:cs="Arial"/>
          <w:szCs w:val="22"/>
        </w:rPr>
        <w:t xml:space="preserve">konferencję </w:t>
      </w:r>
      <w:r w:rsidRPr="00A9505C">
        <w:rPr>
          <w:rFonts w:cs="Arial"/>
          <w:szCs w:val="22"/>
        </w:rPr>
        <w:t xml:space="preserve">pt. </w:t>
      </w:r>
      <w:r w:rsidRPr="008F1FCE">
        <w:rPr>
          <w:rFonts w:cs="Arial"/>
          <w:b/>
          <w:bCs/>
          <w:szCs w:val="22"/>
        </w:rPr>
        <w:t>„</w:t>
      </w:r>
      <w:r w:rsidRPr="00A9505C">
        <w:rPr>
          <w:rFonts w:cs="Arial"/>
          <w:b/>
          <w:bCs/>
          <w:szCs w:val="22"/>
        </w:rPr>
        <w:t>Waloryzacja wynagrodzeń wykonawców w praktyce kontroli udzielania zamówień”.</w:t>
      </w:r>
      <w:r w:rsidRPr="00A9505C">
        <w:rPr>
          <w:rFonts w:cs="Arial"/>
          <w:szCs w:val="22"/>
        </w:rPr>
        <w:t xml:space="preserve"> Celem wydarzenia było omówienie zasad dokonywania waloryzacji wynagrodzeń wykonawców zamówień publicznych, w tym ram prawnych waloryzacji, możliwości i zakresu dokonywania zmian zawartych umów oraz wskazanie praktycznych wytycznych dla kontrolerów, w kontekście obowiązujących przepisów ustawy Pzp, zmian związanych z</w:t>
      </w:r>
      <w:r w:rsidR="009343A1">
        <w:rPr>
          <w:rFonts w:cs="Arial"/>
          <w:szCs w:val="22"/>
        </w:rPr>
        <w:t xml:space="preserve"> </w:t>
      </w:r>
      <w:r w:rsidRPr="00A9505C">
        <w:rPr>
          <w:rFonts w:cs="Arial"/>
          <w:szCs w:val="22"/>
        </w:rPr>
        <w:t>ułatwieniem dokonywania waloryzacji oraz opinii Prezesa Urzędu Zamówień Publicznych i</w:t>
      </w:r>
      <w:r w:rsidR="009343A1">
        <w:rPr>
          <w:rFonts w:cs="Arial"/>
          <w:szCs w:val="22"/>
        </w:rPr>
        <w:t xml:space="preserve"> </w:t>
      </w:r>
      <w:r w:rsidRPr="00A9505C">
        <w:rPr>
          <w:rFonts w:cs="Arial"/>
          <w:szCs w:val="22"/>
        </w:rPr>
        <w:t>Prokuratorii Generalnej Rzeczpospolitej Polskiej, wydanych w tym zakresie.</w:t>
      </w:r>
    </w:p>
    <w:p w14:paraId="388CF1E7" w14:textId="0733C64B" w:rsidR="00A9505C" w:rsidRPr="00A9505C" w:rsidRDefault="00A9505C" w:rsidP="00A9505C">
      <w:pPr>
        <w:shd w:val="clear" w:color="auto" w:fill="FFFFFF"/>
        <w:rPr>
          <w:rFonts w:cs="Arial"/>
          <w:szCs w:val="22"/>
        </w:rPr>
      </w:pPr>
      <w:r w:rsidRPr="00A9505C">
        <w:rPr>
          <w:rFonts w:cs="Arial"/>
          <w:szCs w:val="22"/>
        </w:rPr>
        <w:t xml:space="preserve">Urząd Zamówień Publicznych reprezentował na konferencji Wiceprezes UZP. W swoim wystąpieniu omówił on zagadnienia związane z możliwością dokonania zmiany umowy w kontekście opinii Prezesa UZP nt. dopuszczalności zmian umowy w sprawie zamówienia publicznego na podstawie art. 455 ust. 1 pkt 1 i 4 oraz art. 455 ust. 2 ustawy Pzp. </w:t>
      </w:r>
      <w:r w:rsidR="00CF117F">
        <w:rPr>
          <w:rFonts w:cs="Arial"/>
          <w:szCs w:val="22"/>
        </w:rPr>
        <w:t>O</w:t>
      </w:r>
      <w:r w:rsidRPr="00A9505C">
        <w:rPr>
          <w:rFonts w:cs="Arial"/>
          <w:szCs w:val="22"/>
        </w:rPr>
        <w:t>dpowiedział również na szereg pytań praktycznych związanych z</w:t>
      </w:r>
      <w:r w:rsidR="009343A1">
        <w:rPr>
          <w:rFonts w:cs="Arial"/>
          <w:szCs w:val="22"/>
        </w:rPr>
        <w:t xml:space="preserve"> </w:t>
      </w:r>
      <w:r w:rsidRPr="00A9505C">
        <w:rPr>
          <w:rFonts w:cs="Arial"/>
          <w:szCs w:val="22"/>
        </w:rPr>
        <w:t>kontrolą waloryzacji wynagrodzeń.</w:t>
      </w:r>
      <w:r w:rsidR="009343A1">
        <w:rPr>
          <w:rFonts w:cs="Arial"/>
          <w:szCs w:val="22"/>
        </w:rPr>
        <w:t xml:space="preserve"> </w:t>
      </w:r>
    </w:p>
    <w:p w14:paraId="12290522" w14:textId="77777777" w:rsidR="00A9505C" w:rsidRPr="00A9505C" w:rsidRDefault="00A9505C" w:rsidP="00A9505C">
      <w:pPr>
        <w:shd w:val="clear" w:color="auto" w:fill="FFFFFF"/>
        <w:rPr>
          <w:rFonts w:cs="Arial"/>
          <w:szCs w:val="22"/>
        </w:rPr>
      </w:pPr>
    </w:p>
    <w:p w14:paraId="4AB6B780" w14:textId="0C6F6825" w:rsidR="00A9505C" w:rsidRPr="00A9505C" w:rsidRDefault="00A9505C" w:rsidP="00A9505C">
      <w:pPr>
        <w:shd w:val="clear" w:color="auto" w:fill="FFFFFF"/>
        <w:rPr>
          <w:rFonts w:cs="Arial"/>
          <w:szCs w:val="22"/>
        </w:rPr>
      </w:pPr>
      <w:r w:rsidRPr="00A9505C">
        <w:rPr>
          <w:rFonts w:cs="Arial"/>
          <w:szCs w:val="22"/>
        </w:rPr>
        <w:t xml:space="preserve">3 listopada 2022 r. </w:t>
      </w:r>
      <w:r w:rsidR="00A12CBD">
        <w:rPr>
          <w:rFonts w:cs="Arial"/>
          <w:szCs w:val="22"/>
        </w:rPr>
        <w:t>miała miejsce</w:t>
      </w:r>
      <w:r w:rsidR="009A02C1">
        <w:rPr>
          <w:rFonts w:cs="Arial"/>
          <w:szCs w:val="22"/>
        </w:rPr>
        <w:t xml:space="preserve"> </w:t>
      </w:r>
      <w:r w:rsidRPr="00A9505C">
        <w:rPr>
          <w:rFonts w:cs="Arial"/>
          <w:szCs w:val="22"/>
        </w:rPr>
        <w:t xml:space="preserve">pierwsza edycja </w:t>
      </w:r>
      <w:r w:rsidRPr="00A9505C">
        <w:rPr>
          <w:rFonts w:cs="Arial"/>
          <w:b/>
          <w:bCs/>
          <w:szCs w:val="22"/>
        </w:rPr>
        <w:t>„Positive.Procurement”</w:t>
      </w:r>
      <w:r w:rsidRPr="00A9505C">
        <w:rPr>
          <w:rFonts w:cs="Arial"/>
          <w:szCs w:val="22"/>
        </w:rPr>
        <w:t xml:space="preserve"> - poświęcon</w:t>
      </w:r>
      <w:r w:rsidR="00C44EF2">
        <w:rPr>
          <w:rFonts w:cs="Arial"/>
          <w:szCs w:val="22"/>
        </w:rPr>
        <w:t>a</w:t>
      </w:r>
      <w:r w:rsidRPr="00A9505C">
        <w:rPr>
          <w:rFonts w:cs="Arial"/>
          <w:szCs w:val="22"/>
        </w:rPr>
        <w:t xml:space="preserve"> różnym aspektom zamówień</w:t>
      </w:r>
      <w:r w:rsidR="009343A1">
        <w:rPr>
          <w:rFonts w:cs="Arial"/>
          <w:szCs w:val="22"/>
        </w:rPr>
        <w:t xml:space="preserve"> </w:t>
      </w:r>
      <w:r w:rsidRPr="00A9505C">
        <w:rPr>
          <w:rFonts w:cs="Arial"/>
          <w:szCs w:val="22"/>
        </w:rPr>
        <w:t>zakupów realizowanych zarówno w sektorze prywatnym, jak i w sektorze publicznym. To pierwsza tego typu inicjatywa, która w jednym miejscu zebrała praktyków zamówieniowych obu sektorów. W trakcie wydarzenia koncentrowano się na wielu pozytywnych trendach i kierunkach zmian, które w najbliższej przyszłości będą determinować kształt rynku zakupowego. Poruszano takie zagadnienia, jak sztuczna inteligencja, postępująca elektronizacja czy połączony z nią dalszy rozwój funkcjonalności elektronicznych narzędzi. Jednym z elementów wydarzenia była rozmowa z Prezesem UZP. Dotyczyła ona pozytywnych aspektów elektronizacji zamówień publicznych, a także wyzwań, jakie w tym zakresie stoją przed sektorem publicznym.</w:t>
      </w:r>
    </w:p>
    <w:p w14:paraId="5EAA94A5" w14:textId="77777777" w:rsidR="00A9505C" w:rsidRPr="00A9505C" w:rsidRDefault="00A9505C" w:rsidP="00A9505C">
      <w:pPr>
        <w:shd w:val="clear" w:color="auto" w:fill="FFFFFF"/>
        <w:rPr>
          <w:rFonts w:cs="Arial"/>
          <w:szCs w:val="22"/>
        </w:rPr>
      </w:pPr>
    </w:p>
    <w:p w14:paraId="51157467" w14:textId="3C81FF1E" w:rsidR="00A9505C" w:rsidRPr="00A9505C" w:rsidRDefault="00A9505C" w:rsidP="00A9505C">
      <w:pPr>
        <w:shd w:val="clear" w:color="auto" w:fill="FFFFFF"/>
        <w:rPr>
          <w:rFonts w:cs="Arial"/>
          <w:szCs w:val="22"/>
        </w:rPr>
      </w:pPr>
      <w:r w:rsidRPr="00A9505C">
        <w:rPr>
          <w:rFonts w:cs="Arial"/>
          <w:szCs w:val="22"/>
        </w:rPr>
        <w:t xml:space="preserve">26 października 2022 r. odbyło się zorganizowane przez Ministerstwo Finansów </w:t>
      </w:r>
      <w:r w:rsidRPr="003E6D28">
        <w:rPr>
          <w:rFonts w:cs="Arial"/>
          <w:b/>
          <w:szCs w:val="22"/>
        </w:rPr>
        <w:t>szkolenie dla rzeczników dyscypliny finansów publicznych</w:t>
      </w:r>
      <w:r w:rsidRPr="00A9505C">
        <w:rPr>
          <w:rFonts w:cs="Arial"/>
          <w:szCs w:val="22"/>
        </w:rPr>
        <w:t>.</w:t>
      </w:r>
      <w:r w:rsidR="009343A1">
        <w:rPr>
          <w:rFonts w:cs="Arial"/>
          <w:szCs w:val="22"/>
        </w:rPr>
        <w:t xml:space="preserve"> </w:t>
      </w:r>
      <w:r w:rsidRPr="00A9505C">
        <w:rPr>
          <w:rFonts w:cs="Arial"/>
          <w:szCs w:val="22"/>
        </w:rPr>
        <w:t>Jednym z tematów poruszanych w trakcie szkolenia była kwestia odpowiedzialności za naruszenie dyscypliny finansów publicznych przy udzielaniu zamówień publicznych. Wystąpienie na ten temat wygłosił Wiceprezes Urzędu Zamówień Publicznych.</w:t>
      </w:r>
    </w:p>
    <w:p w14:paraId="3F1F73ED" w14:textId="77777777" w:rsidR="00A9505C" w:rsidRPr="00A9505C" w:rsidRDefault="00A9505C" w:rsidP="00A9505C">
      <w:pPr>
        <w:shd w:val="clear" w:color="auto" w:fill="FFFFFF"/>
        <w:rPr>
          <w:rFonts w:cs="Arial"/>
          <w:szCs w:val="22"/>
        </w:rPr>
      </w:pPr>
    </w:p>
    <w:p w14:paraId="34AF2324" w14:textId="70BDB14C" w:rsidR="00A9505C" w:rsidRPr="00A9505C" w:rsidRDefault="00A9505C" w:rsidP="00A9505C">
      <w:pPr>
        <w:shd w:val="clear" w:color="auto" w:fill="FFFFFF"/>
        <w:rPr>
          <w:rFonts w:cs="Arial"/>
          <w:szCs w:val="22"/>
        </w:rPr>
      </w:pPr>
      <w:r w:rsidRPr="00A9505C">
        <w:rPr>
          <w:rFonts w:cs="Arial"/>
          <w:szCs w:val="22"/>
        </w:rPr>
        <w:t xml:space="preserve">16 listopada 2022 r. na zaproszenie Uniwersyteckiej Komisji Finansów Konferencji Rektorów Uniwersytetów Polskich </w:t>
      </w:r>
      <w:r w:rsidR="00CC22A4">
        <w:rPr>
          <w:rFonts w:cs="Arial"/>
          <w:szCs w:val="22"/>
        </w:rPr>
        <w:t xml:space="preserve">przedstawiciel kierownictwa </w:t>
      </w:r>
      <w:r w:rsidRPr="00A9505C">
        <w:rPr>
          <w:rFonts w:cs="Arial"/>
          <w:szCs w:val="22"/>
        </w:rPr>
        <w:t xml:space="preserve">UZP wziął udział w </w:t>
      </w:r>
      <w:r w:rsidRPr="003E6D28">
        <w:rPr>
          <w:rFonts w:cs="Arial"/>
          <w:b/>
          <w:szCs w:val="22"/>
        </w:rPr>
        <w:t>spotkaniu dotyczącym stosowania Prawa zamówień publicznych w uczelniach</w:t>
      </w:r>
      <w:r w:rsidRPr="00A9505C">
        <w:rPr>
          <w:rFonts w:cs="Arial"/>
          <w:szCs w:val="22"/>
        </w:rPr>
        <w:t>. Wystąpienie Wiceprezesa UZP odnosiło się do specyfiki zamówień na uczelniach wyższych oraz odpowiedzialności za ich udzielanie. Istotnym elementem była dyskusja obejmująca aktualne problemy praktyczne w zakresie organizacji udzielania zamówień w uczelni oraz prowadzenia postepowań o udzielenie zamówienia, w tym związanych z prowadzeniem działalności naukowo-badawczej.</w:t>
      </w:r>
    </w:p>
    <w:p w14:paraId="725FBDCC" w14:textId="7A6FAD0F" w:rsidR="004D036E" w:rsidRDefault="004D036E" w:rsidP="004645C5">
      <w:pPr>
        <w:shd w:val="clear" w:color="auto" w:fill="FFFFFF"/>
        <w:rPr>
          <w:rFonts w:cs="Arial"/>
          <w:szCs w:val="22"/>
        </w:rPr>
      </w:pPr>
    </w:p>
    <w:p w14:paraId="02D8F3B0" w14:textId="58094C67" w:rsidR="004E6E49" w:rsidRDefault="004E6E49" w:rsidP="00C23208">
      <w:pPr>
        <w:shd w:val="clear" w:color="auto" w:fill="FFFFFF"/>
      </w:pPr>
    </w:p>
    <w:tbl>
      <w:tblPr>
        <w:tblW w:w="8912" w:type="dxa"/>
        <w:tblInd w:w="374" w:type="dxa"/>
        <w:tblLayout w:type="fixed"/>
        <w:tblLook w:val="04A0" w:firstRow="1" w:lastRow="0" w:firstColumn="1" w:lastColumn="0" w:noHBand="0" w:noVBand="1"/>
      </w:tblPr>
      <w:tblGrid>
        <w:gridCol w:w="236"/>
        <w:gridCol w:w="8676"/>
      </w:tblGrid>
      <w:tr w:rsidR="00E63700" w:rsidRPr="001E7D51" w14:paraId="21EEAC64" w14:textId="77777777" w:rsidTr="00C23208">
        <w:trPr>
          <w:cantSplit/>
        </w:trPr>
        <w:tc>
          <w:tcPr>
            <w:tcW w:w="236" w:type="dxa"/>
            <w:shd w:val="clear" w:color="auto" w:fill="B8CCE4"/>
          </w:tcPr>
          <w:p w14:paraId="2A880A2D" w14:textId="77777777" w:rsidR="00E63700" w:rsidRPr="001E7D51" w:rsidRDefault="00E63700" w:rsidP="00F058DB">
            <w:pPr>
              <w:rPr>
                <w:sz w:val="24"/>
              </w:rPr>
            </w:pPr>
          </w:p>
        </w:tc>
        <w:tc>
          <w:tcPr>
            <w:tcW w:w="8676" w:type="dxa"/>
          </w:tcPr>
          <w:p w14:paraId="3FFB2CB3" w14:textId="0ED1C907" w:rsidR="004E6E49" w:rsidRPr="001502D2" w:rsidRDefault="00783086" w:rsidP="00383D89">
            <w:pPr>
              <w:pStyle w:val="Nagwek3"/>
              <w:shd w:val="clear" w:color="auto" w:fill="FFFFFF"/>
              <w:spacing w:after="120"/>
              <w:ind w:left="698" w:hanging="698"/>
              <w:rPr>
                <w:color w:val="0070C0"/>
                <w:sz w:val="24"/>
                <w:szCs w:val="24"/>
              </w:rPr>
            </w:pPr>
            <w:bookmarkStart w:id="228" w:name="_Toc64451885"/>
            <w:bookmarkStart w:id="229" w:name="_Toc141276462"/>
            <w:r w:rsidRPr="001502D2">
              <w:rPr>
                <w:color w:val="0070C0"/>
                <w:sz w:val="24"/>
                <w:szCs w:val="24"/>
              </w:rPr>
              <w:t>III.1.</w:t>
            </w:r>
            <w:r w:rsidR="00BF64AC" w:rsidRPr="001502D2">
              <w:rPr>
                <w:color w:val="0070C0"/>
                <w:sz w:val="24"/>
                <w:szCs w:val="24"/>
              </w:rPr>
              <w:t>9</w:t>
            </w:r>
            <w:r w:rsidRPr="001502D2">
              <w:rPr>
                <w:color w:val="0070C0"/>
                <w:sz w:val="24"/>
                <w:szCs w:val="24"/>
              </w:rPr>
              <w:t>.</w:t>
            </w:r>
            <w:r w:rsidR="00750B05" w:rsidRPr="001502D2">
              <w:rPr>
                <w:color w:val="0070C0"/>
                <w:sz w:val="24"/>
                <w:szCs w:val="24"/>
              </w:rPr>
              <w:t xml:space="preserve"> </w:t>
            </w:r>
            <w:r w:rsidR="00E65FF4" w:rsidRPr="001502D2">
              <w:rPr>
                <w:color w:val="0070C0"/>
                <w:sz w:val="24"/>
                <w:szCs w:val="24"/>
              </w:rPr>
              <w:t xml:space="preserve">Realizacja działań dotyczących </w:t>
            </w:r>
            <w:r w:rsidRPr="001502D2">
              <w:rPr>
                <w:color w:val="0070C0"/>
                <w:sz w:val="24"/>
                <w:szCs w:val="24"/>
              </w:rPr>
              <w:t>zrównoważonych zamówień publicznych</w:t>
            </w:r>
            <w:bookmarkEnd w:id="228"/>
            <w:bookmarkEnd w:id="229"/>
          </w:p>
        </w:tc>
      </w:tr>
    </w:tbl>
    <w:p w14:paraId="19C853CC" w14:textId="7B7E8B6A" w:rsidR="005855C8" w:rsidRDefault="005855C8" w:rsidP="00CD1EAA">
      <w:pPr>
        <w:shd w:val="clear" w:color="auto" w:fill="FFFFFF"/>
        <w:rPr>
          <w:rFonts w:cs="Arial"/>
          <w:szCs w:val="22"/>
        </w:rPr>
      </w:pPr>
      <w:bookmarkStart w:id="230" w:name="_Toc223156055"/>
      <w:bookmarkStart w:id="231" w:name="_Toc223156275"/>
      <w:bookmarkStart w:id="232" w:name="_Toc223923440"/>
      <w:bookmarkStart w:id="233" w:name="_Toc223924353"/>
    </w:p>
    <w:p w14:paraId="1394A4F5" w14:textId="29AE39E3" w:rsidR="007A5C39" w:rsidRPr="007A5C39" w:rsidRDefault="007A5C39" w:rsidP="00E16264">
      <w:pPr>
        <w:pStyle w:val="StylArial11ptWyjustowany"/>
        <w:numPr>
          <w:ilvl w:val="0"/>
          <w:numId w:val="10"/>
        </w:numPr>
        <w:shd w:val="clear" w:color="auto" w:fill="FFFFFF"/>
        <w:jc w:val="left"/>
        <w:rPr>
          <w:rFonts w:cs="Arial"/>
          <w:b/>
          <w:iCs/>
          <w:color w:val="0070C0"/>
          <w:szCs w:val="22"/>
        </w:rPr>
      </w:pPr>
      <w:r w:rsidRPr="007A5C39">
        <w:rPr>
          <w:rFonts w:cs="Arial"/>
          <w:b/>
          <w:iCs/>
          <w:color w:val="0070C0"/>
          <w:szCs w:val="22"/>
        </w:rPr>
        <w:t>Organizacja konferencji z zakresu zielonych zamówień</w:t>
      </w:r>
    </w:p>
    <w:p w14:paraId="3855DC82" w14:textId="77777777" w:rsidR="007A5C39" w:rsidRDefault="007A5C39" w:rsidP="007A5C39">
      <w:pPr>
        <w:shd w:val="clear" w:color="auto" w:fill="FFFFFF"/>
        <w:rPr>
          <w:rFonts w:cs="Arial"/>
          <w:szCs w:val="22"/>
        </w:rPr>
      </w:pPr>
    </w:p>
    <w:p w14:paraId="386F7883" w14:textId="2B03B7D2" w:rsidR="00762EE0" w:rsidRPr="00762EE0" w:rsidRDefault="00762EE0" w:rsidP="00762EE0">
      <w:pPr>
        <w:shd w:val="clear" w:color="auto" w:fill="FFFFFF"/>
        <w:rPr>
          <w:rFonts w:cs="Arial"/>
          <w:szCs w:val="22"/>
        </w:rPr>
      </w:pPr>
      <w:r w:rsidRPr="00762EE0">
        <w:rPr>
          <w:rFonts w:cs="Arial"/>
          <w:szCs w:val="22"/>
        </w:rPr>
        <w:t>24 marca 2022 r.</w:t>
      </w:r>
      <w:r w:rsidR="009343A1">
        <w:rPr>
          <w:rFonts w:cs="Arial"/>
          <w:szCs w:val="22"/>
        </w:rPr>
        <w:t xml:space="preserve"> </w:t>
      </w:r>
      <w:r w:rsidRPr="00762EE0">
        <w:rPr>
          <w:rFonts w:cs="Arial"/>
          <w:szCs w:val="22"/>
        </w:rPr>
        <w:t>odbyła się w formule online</w:t>
      </w:r>
      <w:r w:rsidR="009343A1">
        <w:rPr>
          <w:rFonts w:cs="Arial"/>
          <w:szCs w:val="22"/>
        </w:rPr>
        <w:t xml:space="preserve"> </w:t>
      </w:r>
      <w:r w:rsidRPr="00762EE0">
        <w:rPr>
          <w:rFonts w:cs="Arial"/>
          <w:szCs w:val="22"/>
        </w:rPr>
        <w:t xml:space="preserve">XVI Konferencja – Zielone zamówienia publiczne. Wydarzenie koncentrowało się na prezentacji roli zamówień publicznych w realizacji unijnych i krajowych celów środowiskowych. W wydarzeniu, poza przedstawicielami Urzędu Zamówień Publicznych, uczestniczyli reprezentanci Komisji Europejskiej, Dyrekcji Generalnej ds. Środowiska oraz Dyrekcji Generalnej ds. Energii, a także przedstawiciele Ministerstwa Rozwoju i Technologii, Ministerstwa Klimatu i Środowiska, Ministerstwa Infrastruktury oraz </w:t>
      </w:r>
      <w:r w:rsidR="005E599A">
        <w:rPr>
          <w:rFonts w:cs="Arial"/>
          <w:szCs w:val="22"/>
        </w:rPr>
        <w:t xml:space="preserve">firmy Bluehill, </w:t>
      </w:r>
      <w:r w:rsidRPr="00762EE0">
        <w:rPr>
          <w:rFonts w:cs="Arial"/>
          <w:szCs w:val="22"/>
        </w:rPr>
        <w:t>która na zlecenie Urzędu Zamówień Publicznych</w:t>
      </w:r>
      <w:r w:rsidR="00E406E6">
        <w:rPr>
          <w:rFonts w:cs="Arial"/>
          <w:szCs w:val="22"/>
        </w:rPr>
        <w:t xml:space="preserve"> realizowała</w:t>
      </w:r>
      <w:r w:rsidRPr="00762EE0">
        <w:rPr>
          <w:rFonts w:cs="Arial"/>
          <w:szCs w:val="22"/>
        </w:rPr>
        <w:t xml:space="preserve"> badanie stanu zrównoważonych zamówień publicznych w 2020 r. w Polsce. Na konferencji przedstawiono statystyki dla zielonych zamówień publicznych, a także zaprezentowano uczestnikom najnowsze materiały i opracowania w tym obszarze, które udostępnione zostały na stronie internetowej UZP. Wydarzenie posłużyło również do przedstawienia przepisów ustawy Pzp, które umożliwiają uwzględnienie aspektów środowiskowych zarówno na etapie poprzedzającym wszczęcie postępowania (m.in. w ramach analizy potrzeb i wymagań), jak i w ramach postępowania o udzielenie zamówienia publicznego. </w:t>
      </w:r>
    </w:p>
    <w:p w14:paraId="21BCBB35" w14:textId="77777777" w:rsidR="00762EE0" w:rsidRDefault="00762EE0" w:rsidP="00762EE0">
      <w:pPr>
        <w:shd w:val="clear" w:color="auto" w:fill="FFFFFF"/>
        <w:rPr>
          <w:rFonts w:cs="Arial"/>
          <w:szCs w:val="22"/>
        </w:rPr>
      </w:pPr>
    </w:p>
    <w:p w14:paraId="276F1DEC" w14:textId="0D8EA864" w:rsidR="00762EE0" w:rsidRPr="00762EE0" w:rsidRDefault="00762EE0" w:rsidP="00762EE0">
      <w:pPr>
        <w:shd w:val="clear" w:color="auto" w:fill="FFFFFF"/>
        <w:rPr>
          <w:rFonts w:cs="Arial"/>
          <w:szCs w:val="22"/>
        </w:rPr>
      </w:pPr>
      <w:r w:rsidRPr="00762EE0">
        <w:rPr>
          <w:rFonts w:cs="Arial"/>
          <w:szCs w:val="22"/>
        </w:rPr>
        <w:t>Na konferencji zaprezentowano obowiązki naczelnych i centralnych organów administracji państwowej oraz jednostek samorządu terytorialnego wynikające z</w:t>
      </w:r>
      <w:r w:rsidR="009343A1">
        <w:rPr>
          <w:rFonts w:cs="Arial"/>
          <w:szCs w:val="22"/>
        </w:rPr>
        <w:t xml:space="preserve"> </w:t>
      </w:r>
      <w:r w:rsidRPr="00762EE0">
        <w:rPr>
          <w:rFonts w:cs="Arial"/>
          <w:szCs w:val="22"/>
        </w:rPr>
        <w:t xml:space="preserve">ustawy </w:t>
      </w:r>
      <w:r w:rsidR="00042049">
        <w:rPr>
          <w:rFonts w:cs="Arial"/>
          <w:szCs w:val="22"/>
        </w:rPr>
        <w:t xml:space="preserve">z dnia </w:t>
      </w:r>
      <w:r w:rsidR="004868C3">
        <w:rPr>
          <w:rFonts w:cs="Arial"/>
          <w:szCs w:val="22"/>
        </w:rPr>
        <w:t xml:space="preserve">11 stycznia 2018 r. </w:t>
      </w:r>
      <w:r w:rsidRPr="00762EE0">
        <w:rPr>
          <w:rFonts w:cs="Arial"/>
          <w:szCs w:val="22"/>
        </w:rPr>
        <w:t>o elektromobilności i paliwach alternatywnych</w:t>
      </w:r>
      <w:r w:rsidR="004868C3">
        <w:rPr>
          <w:rFonts w:cs="Arial"/>
          <w:szCs w:val="22"/>
        </w:rPr>
        <w:t xml:space="preserve"> (Dz. U. z 20</w:t>
      </w:r>
      <w:r w:rsidR="000D483C">
        <w:rPr>
          <w:rFonts w:cs="Arial"/>
          <w:szCs w:val="22"/>
        </w:rPr>
        <w:t>2</w:t>
      </w:r>
      <w:r w:rsidR="004868C3">
        <w:rPr>
          <w:rFonts w:cs="Arial"/>
          <w:szCs w:val="22"/>
        </w:rPr>
        <w:t xml:space="preserve">3 r. </w:t>
      </w:r>
      <w:r w:rsidR="000D483C">
        <w:rPr>
          <w:rFonts w:cs="Arial"/>
          <w:szCs w:val="22"/>
        </w:rPr>
        <w:t>poz. 875 i 1394)</w:t>
      </w:r>
      <w:r w:rsidRPr="00762EE0">
        <w:rPr>
          <w:rFonts w:cs="Arial"/>
          <w:szCs w:val="22"/>
        </w:rPr>
        <w:t>, a</w:t>
      </w:r>
      <w:r w:rsidR="009343A1">
        <w:rPr>
          <w:rFonts w:cs="Arial"/>
          <w:szCs w:val="22"/>
        </w:rPr>
        <w:t xml:space="preserve"> </w:t>
      </w:r>
      <w:r w:rsidRPr="00762EE0">
        <w:rPr>
          <w:rFonts w:cs="Arial"/>
          <w:szCs w:val="22"/>
        </w:rPr>
        <w:t>także obowiązki nałożone na zamawiających do zapewni</w:t>
      </w:r>
      <w:r w:rsidR="007E68AD">
        <w:rPr>
          <w:rFonts w:cs="Arial"/>
          <w:szCs w:val="22"/>
        </w:rPr>
        <w:t>eni</w:t>
      </w:r>
      <w:r w:rsidRPr="00762EE0">
        <w:rPr>
          <w:rFonts w:cs="Arial"/>
          <w:szCs w:val="22"/>
        </w:rPr>
        <w:t>a odpowiedniego udziału, w zależności od kategorii, pojazdów elektrycznych lub napędzanych wodorem, czy też pojazdów napędzanych paliwami alternatywnymi w całkowitej liczbie pojazdów danych kategorii objętych zamówieniami na dostawę pojazdów oraz zamówieniami na</w:t>
      </w:r>
      <w:r w:rsidR="009343A1">
        <w:rPr>
          <w:rFonts w:cs="Arial"/>
          <w:szCs w:val="22"/>
        </w:rPr>
        <w:t xml:space="preserve"> </w:t>
      </w:r>
      <w:r w:rsidRPr="00762EE0">
        <w:rPr>
          <w:rFonts w:cs="Arial"/>
          <w:szCs w:val="22"/>
        </w:rPr>
        <w:t>określone usługi transportowe.</w:t>
      </w:r>
    </w:p>
    <w:p w14:paraId="5F1806BC" w14:textId="77777777" w:rsidR="00762EE0" w:rsidRDefault="00762EE0" w:rsidP="00762EE0">
      <w:pPr>
        <w:shd w:val="clear" w:color="auto" w:fill="FFFFFF"/>
        <w:rPr>
          <w:rFonts w:cs="Arial"/>
          <w:szCs w:val="22"/>
        </w:rPr>
      </w:pPr>
    </w:p>
    <w:p w14:paraId="6CDBA286" w14:textId="55B2BF54" w:rsidR="00762EE0" w:rsidRPr="00762EE0" w:rsidRDefault="00762EE0" w:rsidP="00762EE0">
      <w:pPr>
        <w:shd w:val="clear" w:color="auto" w:fill="FFFFFF"/>
        <w:rPr>
          <w:rFonts w:cs="Arial"/>
          <w:szCs w:val="22"/>
        </w:rPr>
      </w:pPr>
      <w:r w:rsidRPr="00762EE0">
        <w:rPr>
          <w:rFonts w:cs="Arial"/>
          <w:szCs w:val="22"/>
        </w:rPr>
        <w:t>Przybliżone zostały także regulacje wynikające z rozporządzenia Ministra Rozwoju i</w:t>
      </w:r>
      <w:r>
        <w:rPr>
          <w:rFonts w:cs="Arial"/>
          <w:szCs w:val="22"/>
        </w:rPr>
        <w:t xml:space="preserve"> </w:t>
      </w:r>
      <w:r w:rsidRPr="00762EE0">
        <w:rPr>
          <w:rFonts w:cs="Arial"/>
          <w:szCs w:val="22"/>
        </w:rPr>
        <w:t xml:space="preserve">Technologii z dnia 23 listopada 2021 r. w sprawie metody kalkulacji kosztów cyklu życia budynków oraz sposobu przedstawiania informacji o tych kosztach (Dz. U. poz. 2276), które wydane zostało na podstawie delegacji z art. 245 ust. 7 ustawy </w:t>
      </w:r>
      <w:r w:rsidR="007E68AD" w:rsidRPr="007E68AD">
        <w:rPr>
          <w:rFonts w:cs="Arial"/>
          <w:szCs w:val="22"/>
        </w:rPr>
        <w:t>–</w:t>
      </w:r>
      <w:r w:rsidR="007E68AD">
        <w:rPr>
          <w:rFonts w:cs="Arial"/>
          <w:szCs w:val="22"/>
        </w:rPr>
        <w:t xml:space="preserve"> </w:t>
      </w:r>
      <w:r w:rsidRPr="00762EE0">
        <w:rPr>
          <w:rFonts w:cs="Arial"/>
          <w:szCs w:val="22"/>
        </w:rPr>
        <w:t xml:space="preserve">Prawo zamówień publicznych. Wydarzenie posłużyło również do zaprezentowania kierunków zmian legislacyjnych w oparciu o projekt </w:t>
      </w:r>
      <w:r w:rsidR="00E406E6" w:rsidRPr="00E406E6">
        <w:rPr>
          <w:rFonts w:cs="Arial"/>
          <w:color w:val="333333"/>
          <w:szCs w:val="22"/>
          <w:shd w:val="clear" w:color="auto" w:fill="FFFFFF"/>
        </w:rPr>
        <w:t>dyrektywy Parlamentu Europejskiego i Rady w sprawie efektywności energetycznej (wersja przekształcona) (KOM (2021)558).</w:t>
      </w:r>
      <w:r w:rsidRPr="00762EE0">
        <w:rPr>
          <w:rFonts w:cs="Arial"/>
          <w:szCs w:val="22"/>
        </w:rPr>
        <w:t xml:space="preserve"> Przepisy ujęte we wniosku legislacyjnym nakładają obowiązek stosowania wymogów w zakresie efektywności energetycznej na wszystkich zamawiających, rezygnując przy tym z uwarunkowań dotyczących m.in. opłacalności, wykonalności ekonomicznej, przydatności technicznej.</w:t>
      </w:r>
    </w:p>
    <w:p w14:paraId="650D881A" w14:textId="77777777" w:rsidR="00762EE0" w:rsidRDefault="00762EE0" w:rsidP="00762EE0">
      <w:pPr>
        <w:shd w:val="clear" w:color="auto" w:fill="FFFFFF"/>
        <w:rPr>
          <w:rFonts w:cs="Arial"/>
          <w:szCs w:val="22"/>
        </w:rPr>
      </w:pPr>
    </w:p>
    <w:p w14:paraId="40F6ECEF" w14:textId="20BBB758" w:rsidR="00762EE0" w:rsidRPr="00762EE0" w:rsidRDefault="00762EE0" w:rsidP="00762EE0">
      <w:pPr>
        <w:shd w:val="clear" w:color="auto" w:fill="FFFFFF"/>
        <w:rPr>
          <w:rFonts w:cs="Arial"/>
          <w:szCs w:val="22"/>
        </w:rPr>
      </w:pPr>
      <w:r w:rsidRPr="00762EE0">
        <w:rPr>
          <w:rFonts w:cs="Arial"/>
          <w:szCs w:val="22"/>
        </w:rPr>
        <w:t xml:space="preserve">W konferencji uczestniczyło ponad 180 osób. Wydarzenie zrealizowano w ramach projektu „Profesjonalizacja kadr w zamówieniach publicznych” współfinansowanego ze środków </w:t>
      </w:r>
      <w:r w:rsidR="005E599A">
        <w:rPr>
          <w:rFonts w:cs="Arial"/>
          <w:szCs w:val="22"/>
        </w:rPr>
        <w:t xml:space="preserve">EFS </w:t>
      </w:r>
      <w:r w:rsidRPr="00762EE0">
        <w:rPr>
          <w:rFonts w:cs="Arial"/>
          <w:szCs w:val="22"/>
        </w:rPr>
        <w:t>w Programie Operacyjnym Wiedza Edukacja Rozwój</w:t>
      </w:r>
      <w:r w:rsidR="007E68AD">
        <w:rPr>
          <w:rFonts w:cs="Arial"/>
          <w:szCs w:val="22"/>
        </w:rPr>
        <w:t xml:space="preserve"> 2014</w:t>
      </w:r>
      <w:r w:rsidR="007E68AD" w:rsidRPr="007E68AD">
        <w:rPr>
          <w:rFonts w:cs="Arial"/>
          <w:szCs w:val="22"/>
        </w:rPr>
        <w:t>–</w:t>
      </w:r>
      <w:r w:rsidR="007E68AD">
        <w:rPr>
          <w:rFonts w:cs="Arial"/>
          <w:szCs w:val="22"/>
        </w:rPr>
        <w:t>2020</w:t>
      </w:r>
      <w:r w:rsidRPr="00762EE0">
        <w:rPr>
          <w:rFonts w:cs="Arial"/>
          <w:szCs w:val="22"/>
        </w:rPr>
        <w:t>, Oś priorytetowa II: Efektywne polityki publiczne dla rynku pracy, gospodarki i edukacji, Działanie 2.18: Wysokiej jakości usługi administracyjne.</w:t>
      </w:r>
    </w:p>
    <w:p w14:paraId="76D249AC" w14:textId="5320E637" w:rsidR="00180CC0" w:rsidRDefault="00180CC0" w:rsidP="007A5C39">
      <w:pPr>
        <w:shd w:val="clear" w:color="auto" w:fill="FFFFFF"/>
        <w:rPr>
          <w:rFonts w:cs="Arial"/>
          <w:szCs w:val="22"/>
        </w:rPr>
      </w:pPr>
    </w:p>
    <w:p w14:paraId="302CBFD2" w14:textId="77777777" w:rsidR="00180CC0" w:rsidRDefault="00180CC0" w:rsidP="007A5C39">
      <w:pPr>
        <w:shd w:val="clear" w:color="auto" w:fill="FFFFFF"/>
        <w:rPr>
          <w:rFonts w:cs="Arial"/>
          <w:szCs w:val="22"/>
        </w:rPr>
      </w:pPr>
    </w:p>
    <w:p w14:paraId="7390F50C" w14:textId="55E6BB78" w:rsidR="007A5C39" w:rsidRPr="00180CC0" w:rsidRDefault="007A5C39" w:rsidP="00E16264">
      <w:pPr>
        <w:pStyle w:val="StylArial11ptWyjustowany"/>
        <w:numPr>
          <w:ilvl w:val="0"/>
          <w:numId w:val="10"/>
        </w:numPr>
        <w:shd w:val="clear" w:color="auto" w:fill="FFFFFF"/>
        <w:jc w:val="left"/>
        <w:rPr>
          <w:rFonts w:cs="Arial"/>
          <w:b/>
          <w:iCs/>
          <w:color w:val="0070C0"/>
          <w:szCs w:val="22"/>
        </w:rPr>
      </w:pPr>
      <w:r w:rsidRPr="00180CC0">
        <w:rPr>
          <w:rFonts w:cs="Arial"/>
          <w:b/>
          <w:iCs/>
          <w:color w:val="0070C0"/>
          <w:szCs w:val="22"/>
        </w:rPr>
        <w:t>Organizacja konferencji ze społecznych zamówień publicznych</w:t>
      </w:r>
    </w:p>
    <w:p w14:paraId="0ECB833A" w14:textId="77777777" w:rsidR="00180CC0" w:rsidRDefault="00180CC0" w:rsidP="007A5C39">
      <w:pPr>
        <w:shd w:val="clear" w:color="auto" w:fill="FFFFFF"/>
        <w:rPr>
          <w:rFonts w:cs="Arial"/>
          <w:szCs w:val="22"/>
        </w:rPr>
      </w:pPr>
    </w:p>
    <w:p w14:paraId="3C46995C" w14:textId="05674B6C" w:rsidR="00762EE0" w:rsidRPr="00762EE0" w:rsidRDefault="00762EE0" w:rsidP="00762EE0">
      <w:pPr>
        <w:shd w:val="clear" w:color="auto" w:fill="FFFFFF"/>
        <w:rPr>
          <w:rFonts w:cs="Arial"/>
          <w:szCs w:val="22"/>
        </w:rPr>
      </w:pPr>
      <w:bookmarkStart w:id="234" w:name="_Hlk128729876"/>
      <w:r w:rsidRPr="00762EE0">
        <w:rPr>
          <w:rFonts w:cs="Arial"/>
          <w:szCs w:val="22"/>
        </w:rPr>
        <w:t>12 października 2022 r. odbyła się w formule online konferencja pn. „</w:t>
      </w:r>
      <w:bookmarkStart w:id="235" w:name="_Hlk115438745"/>
      <w:r w:rsidRPr="00762EE0">
        <w:rPr>
          <w:rFonts w:cs="Arial"/>
          <w:szCs w:val="22"/>
        </w:rPr>
        <w:t>Dostępność cyfrowa i informacyjno-komunikacyjna w zamówieniach publicznych</w:t>
      </w:r>
      <w:bookmarkEnd w:id="235"/>
      <w:r w:rsidRPr="00762EE0">
        <w:rPr>
          <w:rFonts w:cs="Arial"/>
          <w:szCs w:val="22"/>
        </w:rPr>
        <w:t>”. Wydarzenie, w</w:t>
      </w:r>
      <w:r w:rsidR="009343A1">
        <w:rPr>
          <w:rFonts w:cs="Arial"/>
          <w:szCs w:val="22"/>
        </w:rPr>
        <w:t xml:space="preserve"> </w:t>
      </w:r>
      <w:r w:rsidRPr="00762EE0">
        <w:rPr>
          <w:rFonts w:cs="Arial"/>
          <w:szCs w:val="22"/>
        </w:rPr>
        <w:t>którym uczestniczyło ok. 120 osób, zrealizowano w ramach projektu „Profesjonalizacja kadr w zamówieniach publicznych” współfinansowanego ze</w:t>
      </w:r>
      <w:r w:rsidR="009343A1">
        <w:rPr>
          <w:rFonts w:cs="Arial"/>
          <w:szCs w:val="22"/>
        </w:rPr>
        <w:t xml:space="preserve"> </w:t>
      </w:r>
      <w:r w:rsidRPr="00762EE0">
        <w:rPr>
          <w:rFonts w:cs="Arial"/>
          <w:szCs w:val="22"/>
        </w:rPr>
        <w:t>środków UE w Programie Operacyjnym Wiedza Edukacja Rozwój</w:t>
      </w:r>
      <w:r w:rsidR="00240B46">
        <w:rPr>
          <w:rFonts w:cs="Arial"/>
          <w:szCs w:val="22"/>
        </w:rPr>
        <w:t xml:space="preserve"> </w:t>
      </w:r>
      <w:r w:rsidR="00240B46" w:rsidRPr="00240B46">
        <w:rPr>
          <w:rFonts w:cs="Arial"/>
          <w:szCs w:val="22"/>
        </w:rPr>
        <w:t>2014–2020</w:t>
      </w:r>
      <w:r w:rsidRPr="00762EE0">
        <w:rPr>
          <w:rFonts w:cs="Arial"/>
          <w:szCs w:val="22"/>
        </w:rPr>
        <w:t xml:space="preserve">. W ramach tej konferencji zwrócono uwagę na obowiązki instytucji publicznych w zakresie uwzględniania wymogów dotyczących dostępności dla osób z niepełnosprawnościami w świetle ustawy Pzp oraz ustawy </w:t>
      </w:r>
      <w:r w:rsidR="005C2E1E">
        <w:rPr>
          <w:rFonts w:cs="Arial"/>
          <w:szCs w:val="22"/>
        </w:rPr>
        <w:t xml:space="preserve">z dnia 19 lipca 2019 r. </w:t>
      </w:r>
      <w:r w:rsidRPr="00762EE0">
        <w:rPr>
          <w:rFonts w:cs="Arial"/>
          <w:szCs w:val="22"/>
        </w:rPr>
        <w:t>o zapewnieniu dostępności osobom ze szczególnymi potrzebami</w:t>
      </w:r>
      <w:r w:rsidR="005C2E1E">
        <w:rPr>
          <w:rFonts w:cs="Arial"/>
          <w:szCs w:val="22"/>
        </w:rPr>
        <w:t xml:space="preserve"> (Dz. U. z 2022 r. poz. 2240)</w:t>
      </w:r>
      <w:r w:rsidRPr="00762EE0">
        <w:rPr>
          <w:rFonts w:cs="Arial"/>
          <w:szCs w:val="22"/>
        </w:rPr>
        <w:t xml:space="preserve">. Przedstawiono także założenia ustawy o dostępności niektórych produktów i usług, wdrażającej tzw. Europejski Akt Dostępności. Konferencję poświęcono także przybliżeniu uczestnikom pojęcia dostępności cyfrowej, jak również omówieniu wymagań w tym zakresie związanych z organizacją wydarzeń online. </w:t>
      </w:r>
      <w:bookmarkEnd w:id="234"/>
      <w:r w:rsidRPr="00762EE0">
        <w:rPr>
          <w:rFonts w:cs="Arial"/>
          <w:szCs w:val="22"/>
        </w:rPr>
        <w:t>Uczestnicy mieli okazję zapoznać się z praktycznymi przykładami działań w</w:t>
      </w:r>
      <w:r w:rsidR="009343A1">
        <w:rPr>
          <w:rFonts w:cs="Arial"/>
          <w:szCs w:val="22"/>
        </w:rPr>
        <w:t xml:space="preserve"> </w:t>
      </w:r>
      <w:r w:rsidRPr="00762EE0">
        <w:rPr>
          <w:rFonts w:cs="Arial"/>
          <w:szCs w:val="22"/>
        </w:rPr>
        <w:t>obszarze dostępności podejmowanymi przez instytucje zamawiające. Organizacja corocznych konferencji na temat społecznych zamówień publicznych, jak również pozostałe działania Urzędu Zamówień Publicznych w zakresie promocji szerszego uwzględniania aspektów społecznych w zamówieniach publicznych, w tym zagadnienia dostępności dla osób z niepełnosprawnościami, wpisują się w realizację celów społecznych określonych w strategicznych dokumentach rządowych, takich jak „Zalecenia w sprawie uwzględniania przez administrację rządową aspektów społecznych w zamówieniach publicznych”, „Polityka zakupowa państwa”, rządowy Program Dostępność Plus czy „Krajowy Program Rozwoju Ekonomii Społecznej”.</w:t>
      </w:r>
    </w:p>
    <w:p w14:paraId="571B765C" w14:textId="3B7B5BD0" w:rsidR="00E122CB" w:rsidRDefault="00E122CB" w:rsidP="007A5C39">
      <w:pPr>
        <w:shd w:val="clear" w:color="auto" w:fill="FFFFFF"/>
        <w:rPr>
          <w:rFonts w:cs="Arial"/>
          <w:szCs w:val="22"/>
        </w:rPr>
      </w:pPr>
    </w:p>
    <w:p w14:paraId="067DFB74" w14:textId="77777777" w:rsidR="00E122CB" w:rsidRPr="007A5C39" w:rsidRDefault="00E122CB" w:rsidP="007A5C39">
      <w:pPr>
        <w:shd w:val="clear" w:color="auto" w:fill="FFFFFF"/>
        <w:rPr>
          <w:rFonts w:cs="Arial"/>
          <w:szCs w:val="22"/>
        </w:rPr>
      </w:pPr>
    </w:p>
    <w:p w14:paraId="2DC1078B" w14:textId="1904F966" w:rsidR="007A5C39" w:rsidRPr="00E122CB" w:rsidRDefault="007A5C39" w:rsidP="00E16264">
      <w:pPr>
        <w:pStyle w:val="StylArial11ptWyjustowany"/>
        <w:numPr>
          <w:ilvl w:val="0"/>
          <w:numId w:val="10"/>
        </w:numPr>
        <w:shd w:val="clear" w:color="auto" w:fill="FFFFFF"/>
        <w:jc w:val="left"/>
        <w:rPr>
          <w:rFonts w:cs="Arial"/>
          <w:b/>
          <w:iCs/>
          <w:color w:val="0070C0"/>
          <w:szCs w:val="22"/>
        </w:rPr>
      </w:pPr>
      <w:r w:rsidRPr="00E122CB">
        <w:rPr>
          <w:rFonts w:cs="Arial"/>
          <w:b/>
          <w:iCs/>
          <w:color w:val="0070C0"/>
          <w:szCs w:val="22"/>
        </w:rPr>
        <w:t>Organizacja szkoleń z zakresu zielonych zamówień</w:t>
      </w:r>
    </w:p>
    <w:p w14:paraId="3F869E71" w14:textId="77777777" w:rsidR="00E122CB" w:rsidRDefault="00E122CB" w:rsidP="007A5C39">
      <w:pPr>
        <w:shd w:val="clear" w:color="auto" w:fill="FFFFFF"/>
        <w:rPr>
          <w:rFonts w:cs="Arial"/>
          <w:szCs w:val="22"/>
        </w:rPr>
      </w:pPr>
    </w:p>
    <w:p w14:paraId="5CC5E9CF" w14:textId="7B085FDA" w:rsidR="00762EE0" w:rsidRPr="00762EE0" w:rsidRDefault="00762EE0" w:rsidP="00762EE0">
      <w:pPr>
        <w:shd w:val="clear" w:color="auto" w:fill="FFFFFF"/>
        <w:rPr>
          <w:rFonts w:cs="Arial"/>
          <w:szCs w:val="22"/>
        </w:rPr>
      </w:pPr>
      <w:r w:rsidRPr="00762EE0">
        <w:rPr>
          <w:rFonts w:cs="Arial"/>
          <w:szCs w:val="22"/>
        </w:rPr>
        <w:t>UZP zorganizował w 2022 r. trzy szkolenia poświęcone tematyce zielonych zamówień publicznych. Wydarzenia w formule online odbyły się w dniach 1, 15, 29 czerwca 2022 r.</w:t>
      </w:r>
      <w:r w:rsidRPr="00762EE0">
        <w:rPr>
          <w:rFonts w:cs="Arial"/>
          <w:b/>
          <w:bCs/>
          <w:szCs w:val="22"/>
        </w:rPr>
        <w:t xml:space="preserve"> </w:t>
      </w:r>
      <w:r w:rsidRPr="00762EE0">
        <w:rPr>
          <w:rFonts w:cs="Arial"/>
          <w:szCs w:val="22"/>
        </w:rPr>
        <w:t>W trakcie szkoleń omówiono unijne i krajowe regulacje prawne powiązane z</w:t>
      </w:r>
      <w:r w:rsidR="009343A1">
        <w:rPr>
          <w:rFonts w:cs="Arial"/>
          <w:szCs w:val="22"/>
        </w:rPr>
        <w:t xml:space="preserve"> </w:t>
      </w:r>
      <w:r w:rsidRPr="00762EE0">
        <w:rPr>
          <w:rFonts w:cs="Arial"/>
          <w:szCs w:val="22"/>
        </w:rPr>
        <w:t>zielonymi zamówieniami publicznymi, w tym ustawę</w:t>
      </w:r>
      <w:r w:rsidR="003C22FE">
        <w:rPr>
          <w:rFonts w:cs="Arial"/>
          <w:szCs w:val="22"/>
        </w:rPr>
        <w:t xml:space="preserve"> z dnia 20 maja 20</w:t>
      </w:r>
      <w:r w:rsidR="00D51D1B">
        <w:rPr>
          <w:rFonts w:cs="Arial"/>
          <w:szCs w:val="22"/>
        </w:rPr>
        <w:t>16 r.</w:t>
      </w:r>
      <w:r w:rsidRPr="00762EE0">
        <w:rPr>
          <w:rFonts w:cs="Arial"/>
          <w:szCs w:val="22"/>
        </w:rPr>
        <w:t xml:space="preserve"> o efektywności energetycznej </w:t>
      </w:r>
      <w:r w:rsidR="00D51D1B">
        <w:rPr>
          <w:rFonts w:cs="Arial"/>
          <w:szCs w:val="22"/>
        </w:rPr>
        <w:t xml:space="preserve">(Dz. U. z 2021 r. poz. 2166) </w:t>
      </w:r>
      <w:r w:rsidRPr="00762EE0">
        <w:rPr>
          <w:rFonts w:cs="Arial"/>
          <w:szCs w:val="22"/>
        </w:rPr>
        <w:t>oraz ustawę o elektromobilności i paliwach alternatywnych, wskazując wynikające z</w:t>
      </w:r>
      <w:r w:rsidR="009343A1">
        <w:rPr>
          <w:rFonts w:cs="Arial"/>
          <w:szCs w:val="22"/>
        </w:rPr>
        <w:t xml:space="preserve"> </w:t>
      </w:r>
      <w:r w:rsidRPr="00762EE0">
        <w:rPr>
          <w:rFonts w:cs="Arial"/>
          <w:szCs w:val="22"/>
        </w:rPr>
        <w:t xml:space="preserve">nich obowiązki dla zamawiających. Szczegółowo omówione zostały regulacje prawne wynikające z ustawy </w:t>
      </w:r>
      <w:r w:rsidR="00AF58A6" w:rsidRPr="00AF58A6">
        <w:rPr>
          <w:rFonts w:cs="Arial"/>
          <w:szCs w:val="22"/>
        </w:rPr>
        <w:t>–</w:t>
      </w:r>
      <w:r w:rsidR="00AF58A6">
        <w:rPr>
          <w:rFonts w:cs="Arial"/>
          <w:szCs w:val="22"/>
        </w:rPr>
        <w:t xml:space="preserve"> </w:t>
      </w:r>
      <w:r w:rsidRPr="00762EE0">
        <w:rPr>
          <w:rFonts w:cs="Arial"/>
          <w:szCs w:val="22"/>
        </w:rPr>
        <w:t>Prawo zamówień publicznych, które umożliwiają zamawiającym uwzględnienie aspektów środowiskowych na rożnych etapach postępowania o udzielenie zamówienia. Zaprezentowano przy tym przykładowe kryteria oceny ofert i warunki dot. realizacji zamówienia o zielonym charakterze. Dalsza część szkoleń koncentrowała się na omówieniu przykładów praktycznego zastosowania aspektów środowiskowych w zamówieniach publicznych na podstawie doświadczeń Głównego Urzędu Statystycznego. Łącznie w szkoleniach z tematyki zielonych zamówień publicznych uczestniczył</w:t>
      </w:r>
      <w:r w:rsidR="005C5C3C">
        <w:rPr>
          <w:rFonts w:cs="Arial"/>
          <w:szCs w:val="22"/>
        </w:rPr>
        <w:t>o</w:t>
      </w:r>
      <w:r w:rsidRPr="00762EE0">
        <w:rPr>
          <w:rFonts w:cs="Arial"/>
          <w:szCs w:val="22"/>
        </w:rPr>
        <w:t xml:space="preserve"> ok. 130 osób. </w:t>
      </w:r>
    </w:p>
    <w:p w14:paraId="5DF7B0B2" w14:textId="388461B1" w:rsidR="00E122CB" w:rsidRDefault="00E122CB" w:rsidP="007A5C39">
      <w:pPr>
        <w:shd w:val="clear" w:color="auto" w:fill="FFFFFF"/>
        <w:rPr>
          <w:rFonts w:cs="Arial"/>
          <w:szCs w:val="22"/>
        </w:rPr>
      </w:pPr>
    </w:p>
    <w:p w14:paraId="49A486BC" w14:textId="77777777" w:rsidR="00E122CB" w:rsidRPr="007A5C39" w:rsidRDefault="00E122CB" w:rsidP="007A5C39">
      <w:pPr>
        <w:shd w:val="clear" w:color="auto" w:fill="FFFFFF"/>
        <w:rPr>
          <w:rFonts w:cs="Arial"/>
          <w:szCs w:val="22"/>
        </w:rPr>
      </w:pPr>
    </w:p>
    <w:p w14:paraId="549802AE" w14:textId="6013591A" w:rsidR="007A5C39" w:rsidRPr="00E122CB" w:rsidRDefault="007A5C39" w:rsidP="00E16264">
      <w:pPr>
        <w:pStyle w:val="StylArial11ptWyjustowany"/>
        <w:numPr>
          <w:ilvl w:val="0"/>
          <w:numId w:val="10"/>
        </w:numPr>
        <w:shd w:val="clear" w:color="auto" w:fill="FFFFFF"/>
        <w:jc w:val="left"/>
        <w:rPr>
          <w:rFonts w:cs="Arial"/>
          <w:b/>
          <w:iCs/>
          <w:color w:val="0070C0"/>
          <w:szCs w:val="22"/>
        </w:rPr>
      </w:pPr>
      <w:r w:rsidRPr="00E122CB">
        <w:rPr>
          <w:rFonts w:cs="Arial"/>
          <w:b/>
          <w:iCs/>
          <w:color w:val="0070C0"/>
          <w:szCs w:val="22"/>
        </w:rPr>
        <w:t>Organizacja szkoleń ze społecznych zamówień publicznych</w:t>
      </w:r>
    </w:p>
    <w:p w14:paraId="5B479984" w14:textId="77777777" w:rsidR="00E122CB" w:rsidRDefault="00E122CB" w:rsidP="007A5C39">
      <w:pPr>
        <w:shd w:val="clear" w:color="auto" w:fill="FFFFFF"/>
        <w:rPr>
          <w:rFonts w:cs="Arial"/>
          <w:szCs w:val="22"/>
        </w:rPr>
      </w:pPr>
    </w:p>
    <w:p w14:paraId="0E8D0373" w14:textId="2DAC21E9" w:rsidR="00762EE0" w:rsidRPr="00762EE0" w:rsidRDefault="00762EE0" w:rsidP="00762EE0">
      <w:pPr>
        <w:shd w:val="clear" w:color="auto" w:fill="FFFFFF"/>
        <w:rPr>
          <w:rFonts w:cs="Arial"/>
          <w:szCs w:val="22"/>
        </w:rPr>
      </w:pPr>
      <w:r w:rsidRPr="00762EE0">
        <w:rPr>
          <w:rFonts w:cs="Arial"/>
          <w:szCs w:val="22"/>
        </w:rPr>
        <w:t>W 2022 r. Urząd przeprowadził 3 szkolenia na temat społecznych zamówień publicznych. Szkolenia, które zorganizowano w formule online w dniach 10, 17 i 24 maja, adresowane były do przedstawicieli instytucji zamawiających – reprezentantów administracji rządowej, samorządowej oraz instytucji kontrolnych. Ogółem w</w:t>
      </w:r>
      <w:r w:rsidR="009343A1">
        <w:rPr>
          <w:rFonts w:cs="Arial"/>
          <w:szCs w:val="22"/>
        </w:rPr>
        <w:t xml:space="preserve"> </w:t>
      </w:r>
      <w:r w:rsidRPr="00762EE0">
        <w:rPr>
          <w:rFonts w:cs="Arial"/>
          <w:szCs w:val="22"/>
        </w:rPr>
        <w:t>szkoleniach ze społecznych zamówień publicznych wzięło udział</w:t>
      </w:r>
      <w:r w:rsidR="009343A1">
        <w:rPr>
          <w:rFonts w:cs="Arial"/>
          <w:szCs w:val="22"/>
        </w:rPr>
        <w:t xml:space="preserve"> </w:t>
      </w:r>
      <w:r w:rsidRPr="00762EE0">
        <w:rPr>
          <w:rFonts w:cs="Arial"/>
          <w:szCs w:val="22"/>
        </w:rPr>
        <w:t xml:space="preserve">ok. 130 uczestników. Wydarzenia te zorganizowano w ramach projektu pt. „Profesjonalizacja kadr w zamówieniach publicznych” współfinansowanego ze środków UE. W ramach szkoleń omówiono instrumenty prawne w ustawie </w:t>
      </w:r>
      <w:r w:rsidR="005C5C3C" w:rsidRPr="005C5C3C">
        <w:rPr>
          <w:rFonts w:cs="Arial"/>
          <w:szCs w:val="22"/>
        </w:rPr>
        <w:t>–</w:t>
      </w:r>
      <w:r w:rsidR="005C5C3C">
        <w:rPr>
          <w:rFonts w:cs="Arial"/>
          <w:szCs w:val="22"/>
        </w:rPr>
        <w:t xml:space="preserve"> </w:t>
      </w:r>
      <w:r w:rsidRPr="00762EE0">
        <w:rPr>
          <w:rFonts w:cs="Arial"/>
          <w:szCs w:val="22"/>
        </w:rPr>
        <w:t>Prawo zamówień publicznych umożliwiające uwzględnianie aspektów społecznych w toku przygotowania i</w:t>
      </w:r>
      <w:r w:rsidR="009343A1">
        <w:rPr>
          <w:rFonts w:cs="Arial"/>
          <w:szCs w:val="22"/>
        </w:rPr>
        <w:t xml:space="preserve"> </w:t>
      </w:r>
      <w:r w:rsidRPr="00762EE0">
        <w:rPr>
          <w:rFonts w:cs="Arial"/>
          <w:szCs w:val="22"/>
        </w:rPr>
        <w:t xml:space="preserve">prowadzenia postępowania o udzielenie zamówienia publicznego oraz na etapie realizacji zamówienia publicznego, a także przedstawiono praktyczne doświadczenia zamawiającego – Głównego Urzędu Statystycznego </w:t>
      </w:r>
      <w:r w:rsidR="005C5C3C" w:rsidRPr="005C5C3C">
        <w:rPr>
          <w:rFonts w:cs="Arial"/>
          <w:szCs w:val="22"/>
        </w:rPr>
        <w:t xml:space="preserve">– </w:t>
      </w:r>
      <w:r w:rsidRPr="00762EE0">
        <w:rPr>
          <w:rFonts w:cs="Arial"/>
          <w:szCs w:val="22"/>
        </w:rPr>
        <w:t xml:space="preserve">w zakresie uwzględniania aspektów społecznych w zamówieniach publicznych. </w:t>
      </w:r>
    </w:p>
    <w:p w14:paraId="34A9A596" w14:textId="03DFF9BD" w:rsidR="00E122CB" w:rsidRDefault="00E122CB" w:rsidP="007A5C39">
      <w:pPr>
        <w:shd w:val="clear" w:color="auto" w:fill="FFFFFF"/>
        <w:rPr>
          <w:rFonts w:cs="Arial"/>
          <w:szCs w:val="22"/>
        </w:rPr>
      </w:pPr>
    </w:p>
    <w:p w14:paraId="427C791D" w14:textId="77777777" w:rsidR="00E122CB" w:rsidRPr="007A5C39" w:rsidRDefault="00E122CB" w:rsidP="007A5C39">
      <w:pPr>
        <w:shd w:val="clear" w:color="auto" w:fill="FFFFFF"/>
        <w:rPr>
          <w:rFonts w:cs="Arial"/>
          <w:szCs w:val="22"/>
        </w:rPr>
      </w:pPr>
    </w:p>
    <w:p w14:paraId="0C581287" w14:textId="1C96D601" w:rsidR="007A5C39" w:rsidRPr="00E122CB" w:rsidRDefault="007A5C39" w:rsidP="00E16264">
      <w:pPr>
        <w:pStyle w:val="StylArial11ptWyjustowany"/>
        <w:numPr>
          <w:ilvl w:val="0"/>
          <w:numId w:val="10"/>
        </w:numPr>
        <w:shd w:val="clear" w:color="auto" w:fill="FFFFFF"/>
        <w:jc w:val="left"/>
        <w:rPr>
          <w:rFonts w:cs="Arial"/>
          <w:b/>
          <w:iCs/>
          <w:color w:val="0070C0"/>
          <w:szCs w:val="22"/>
        </w:rPr>
      </w:pPr>
      <w:r w:rsidRPr="00E122CB">
        <w:rPr>
          <w:rFonts w:cs="Arial"/>
          <w:b/>
          <w:iCs/>
          <w:color w:val="0070C0"/>
          <w:szCs w:val="22"/>
        </w:rPr>
        <w:t>Działalność informacyjna na stronie internetowej Urzędu Zamówień Publicznych</w:t>
      </w:r>
    </w:p>
    <w:p w14:paraId="7ADF97A2" w14:textId="77777777" w:rsidR="00E122CB" w:rsidRDefault="00E122CB" w:rsidP="007A5C39">
      <w:pPr>
        <w:shd w:val="clear" w:color="auto" w:fill="FFFFFF"/>
        <w:rPr>
          <w:rFonts w:cs="Arial"/>
          <w:szCs w:val="22"/>
        </w:rPr>
      </w:pPr>
    </w:p>
    <w:p w14:paraId="5F435BEB" w14:textId="79E661F8" w:rsidR="00762EE0" w:rsidRPr="00762EE0" w:rsidRDefault="00762EE0" w:rsidP="00762EE0">
      <w:pPr>
        <w:shd w:val="clear" w:color="auto" w:fill="FFFFFF"/>
        <w:rPr>
          <w:rFonts w:cs="Arial"/>
          <w:szCs w:val="22"/>
        </w:rPr>
      </w:pPr>
      <w:r w:rsidRPr="00762EE0">
        <w:rPr>
          <w:rFonts w:cs="Arial"/>
          <w:szCs w:val="22"/>
        </w:rPr>
        <w:t xml:space="preserve">Urząd Zamówień Publicznych dokonywał bieżącej aktualizacji treści zakładki „Zrównoważone zamówienia publiczne” na stronie internetowej UZP. W dniu 1 lipca 2022 r. uruchomiona została nowa strona internetowa UZP: </w:t>
      </w:r>
      <w:hyperlink r:id="rId52" w:history="1">
        <w:r w:rsidRPr="00762EE0">
          <w:rPr>
            <w:rStyle w:val="Hipercze"/>
            <w:rFonts w:cs="Arial"/>
            <w:szCs w:val="22"/>
          </w:rPr>
          <w:t>https://www.gov.pl/web/uzp/</w:t>
        </w:r>
      </w:hyperlink>
      <w:r w:rsidRPr="00762EE0">
        <w:rPr>
          <w:rFonts w:cs="Arial"/>
          <w:szCs w:val="22"/>
        </w:rPr>
        <w:t>, w</w:t>
      </w:r>
      <w:r w:rsidR="00BF79F0">
        <w:rPr>
          <w:rFonts w:cs="Arial"/>
          <w:szCs w:val="22"/>
        </w:rPr>
        <w:t xml:space="preserve"> </w:t>
      </w:r>
      <w:r w:rsidRPr="00762EE0">
        <w:rPr>
          <w:rFonts w:cs="Arial"/>
          <w:szCs w:val="22"/>
        </w:rPr>
        <w:t xml:space="preserve">ramach której „Zielone zamówienia” oraz „Społeczne zamówienia” otrzymały osobne zakładki. Zakładki uzupełnione zostały aktualnymi treściami i opracowaniami z dotychczasowej strony internetowej UZP. </w:t>
      </w:r>
    </w:p>
    <w:p w14:paraId="39C82778" w14:textId="77777777" w:rsidR="00762EE0" w:rsidRDefault="00762EE0" w:rsidP="00762EE0">
      <w:pPr>
        <w:shd w:val="clear" w:color="auto" w:fill="FFFFFF"/>
        <w:rPr>
          <w:rFonts w:cs="Arial"/>
          <w:szCs w:val="22"/>
        </w:rPr>
      </w:pPr>
    </w:p>
    <w:p w14:paraId="362A2CCD" w14:textId="0FD35748" w:rsidR="00762EE0" w:rsidRPr="00762EE0" w:rsidRDefault="00762EE0" w:rsidP="00762EE0">
      <w:pPr>
        <w:shd w:val="clear" w:color="auto" w:fill="FFFFFF"/>
        <w:rPr>
          <w:rFonts w:cs="Arial"/>
          <w:szCs w:val="22"/>
        </w:rPr>
      </w:pPr>
      <w:r w:rsidRPr="00762EE0">
        <w:rPr>
          <w:rFonts w:cs="Arial"/>
          <w:szCs w:val="22"/>
        </w:rPr>
        <w:t xml:space="preserve">W podzakładce dotyczącej kierunkowych publikacji z obszaru zielonych zamówień udostępniono m.in. opracowanie na temat etykiet ekologicznych, materiał dotyczący kosztów cyklu życia LCC, raport z badania jakościowego w zakresie zrównoważonych zamówień publicznych udzielonych w Polsce w 2020 roku, materiał informacyjny na temat sposobu stosowania kryterium kosztu z wykorzystaniem metody kalkulacji kosztów cyklu życia dla budynków, a także aktualny przewodnik po obowiązujących przepisach w obszarze zielonych zamówień publicznych. </w:t>
      </w:r>
    </w:p>
    <w:p w14:paraId="4373646C" w14:textId="77777777" w:rsidR="00762EE0" w:rsidRDefault="00762EE0" w:rsidP="00762EE0">
      <w:pPr>
        <w:shd w:val="clear" w:color="auto" w:fill="FFFFFF"/>
        <w:rPr>
          <w:rFonts w:cs="Arial"/>
          <w:szCs w:val="22"/>
        </w:rPr>
      </w:pPr>
    </w:p>
    <w:p w14:paraId="0B057391" w14:textId="4E9EF6EB" w:rsidR="00762EE0" w:rsidRPr="00762EE0" w:rsidRDefault="00762EE0" w:rsidP="00762EE0">
      <w:pPr>
        <w:shd w:val="clear" w:color="auto" w:fill="FFFFFF"/>
        <w:rPr>
          <w:rFonts w:cs="Arial"/>
          <w:szCs w:val="22"/>
        </w:rPr>
      </w:pPr>
      <w:r w:rsidRPr="00762EE0">
        <w:rPr>
          <w:rFonts w:cs="Arial"/>
          <w:szCs w:val="22"/>
        </w:rPr>
        <w:t>Zakładkę „Społeczne zamówienia” uzupełniono o nowe orzeczenia Krajowej Izby Odwoławczej dotyczące uwzględniania aspektów społecznych, a także przykłady społecznie odpowiedzialnych zamówień publicznych. W podzakładce dedykowanej zagadnieniu dostępności został opublikowany materiał zawierający zapisy do dokumentacji w zakresie dostępności cyfrowej i dostępności wydarzeń online, a także materiał prezentujący przykłady dobrych praktyk w obszarze architektury. W zakładce tej znalazły się również poradniki i materiały zawierające praktyczne informacje na temat dostępności opracowane przez inne podmioty, w tym m.in. Ministerstwo Funduszy i Polityki Regionalnej, Fundację FADO czy Fundację Integracja.</w:t>
      </w:r>
    </w:p>
    <w:p w14:paraId="75C55A86" w14:textId="77777777" w:rsidR="00E122CB" w:rsidRPr="007A5C39" w:rsidRDefault="00E122CB" w:rsidP="007A5C39">
      <w:pPr>
        <w:shd w:val="clear" w:color="auto" w:fill="FFFFFF"/>
        <w:rPr>
          <w:rFonts w:cs="Arial"/>
          <w:szCs w:val="22"/>
        </w:rPr>
      </w:pPr>
    </w:p>
    <w:p w14:paraId="334F058E" w14:textId="2932D175" w:rsidR="007A5C39" w:rsidRPr="00E122CB" w:rsidRDefault="007A5C39" w:rsidP="00E16264">
      <w:pPr>
        <w:pStyle w:val="StylArial11ptWyjustowany"/>
        <w:numPr>
          <w:ilvl w:val="1"/>
          <w:numId w:val="10"/>
        </w:numPr>
        <w:shd w:val="clear" w:color="auto" w:fill="FFFFFF"/>
        <w:jc w:val="left"/>
        <w:rPr>
          <w:rFonts w:cs="Arial"/>
          <w:b/>
          <w:szCs w:val="22"/>
        </w:rPr>
      </w:pPr>
      <w:r w:rsidRPr="00E122CB">
        <w:rPr>
          <w:rFonts w:cs="Arial"/>
          <w:b/>
          <w:iCs/>
          <w:color w:val="0070C0"/>
          <w:szCs w:val="22"/>
        </w:rPr>
        <w:t>Przewodnik po obowiązujących przepisach w obszarze zielonych zamówień publicznych</w:t>
      </w:r>
    </w:p>
    <w:p w14:paraId="4A62F4B1" w14:textId="77777777" w:rsidR="00E122CB" w:rsidRDefault="00E122CB" w:rsidP="007A5C39">
      <w:pPr>
        <w:shd w:val="clear" w:color="auto" w:fill="FFFFFF"/>
        <w:rPr>
          <w:rFonts w:cs="Arial"/>
          <w:szCs w:val="22"/>
        </w:rPr>
      </w:pPr>
    </w:p>
    <w:p w14:paraId="5E4B02BB" w14:textId="164961D4" w:rsidR="00BA6BAF" w:rsidRPr="00BA6BAF" w:rsidRDefault="00BA6BAF" w:rsidP="00BA6BAF">
      <w:pPr>
        <w:shd w:val="clear" w:color="auto" w:fill="FFFFFF"/>
        <w:rPr>
          <w:rFonts w:cs="Arial"/>
          <w:szCs w:val="22"/>
        </w:rPr>
      </w:pPr>
      <w:r w:rsidRPr="00BA6BAF">
        <w:rPr>
          <w:rFonts w:cs="Arial"/>
          <w:szCs w:val="22"/>
        </w:rPr>
        <w:t>W 2022 r. dokonano kolejnej aktualizacji opracowania UZP</w:t>
      </w:r>
      <w:r w:rsidRPr="00BA6BAF">
        <w:rPr>
          <w:rFonts w:cs="Arial"/>
          <w:b/>
          <w:bCs/>
          <w:szCs w:val="22"/>
        </w:rPr>
        <w:t xml:space="preserve"> </w:t>
      </w:r>
      <w:r w:rsidRPr="00BA6BAF">
        <w:rPr>
          <w:rFonts w:cs="Arial"/>
          <w:szCs w:val="22"/>
        </w:rPr>
        <w:t>opisującego główne akty prawne z obszaru zielonych zamówień publicznych, które wpływają na sposób prowadzenia postępowań o udzielenie zamówienia dla określonych grup produktowych. Wprowadzone zmiany wynikały z kolejnej nowelizacji ustawy o</w:t>
      </w:r>
      <w:r w:rsidR="009343A1">
        <w:rPr>
          <w:rFonts w:cs="Arial"/>
          <w:szCs w:val="22"/>
        </w:rPr>
        <w:t xml:space="preserve"> </w:t>
      </w:r>
      <w:r w:rsidRPr="00BA6BAF">
        <w:rPr>
          <w:rFonts w:cs="Arial"/>
          <w:szCs w:val="22"/>
        </w:rPr>
        <w:t xml:space="preserve">elektromobilności i paliwach alternatywnych. Opracowanie (stan na czerwiec 2022 r.) dostępne jest pod linkiem: </w:t>
      </w:r>
      <w:hyperlink r:id="rId53" w:history="1">
        <w:r w:rsidRPr="00BA6BAF">
          <w:rPr>
            <w:rStyle w:val="Hipercze"/>
            <w:rFonts w:cs="Arial"/>
            <w:szCs w:val="22"/>
          </w:rPr>
          <w:t>https://www.gov.pl/web/uzp/publikacje-z-obszaru-zzp</w:t>
        </w:r>
      </w:hyperlink>
      <w:r w:rsidRPr="00BA6BAF">
        <w:rPr>
          <w:rFonts w:cs="Arial"/>
          <w:szCs w:val="22"/>
        </w:rPr>
        <w:t xml:space="preserve"> </w:t>
      </w:r>
    </w:p>
    <w:p w14:paraId="6F74BAB6" w14:textId="77777777" w:rsidR="00B15505" w:rsidRDefault="00B15505" w:rsidP="007A5C39">
      <w:pPr>
        <w:shd w:val="clear" w:color="auto" w:fill="FFFFFF"/>
        <w:rPr>
          <w:rFonts w:cs="Arial"/>
          <w:szCs w:val="22"/>
        </w:rPr>
      </w:pPr>
    </w:p>
    <w:p w14:paraId="369626A3" w14:textId="77777777" w:rsidR="00AB1DF1" w:rsidRPr="007A5C39" w:rsidRDefault="00AB1DF1" w:rsidP="007A5C39">
      <w:pPr>
        <w:shd w:val="clear" w:color="auto" w:fill="FFFFFF"/>
        <w:rPr>
          <w:rFonts w:cs="Arial"/>
          <w:szCs w:val="22"/>
        </w:rPr>
      </w:pPr>
    </w:p>
    <w:p w14:paraId="6B184038" w14:textId="1D7D1629" w:rsidR="007A5C39" w:rsidRPr="00934635" w:rsidRDefault="007A5C39" w:rsidP="00E16264">
      <w:pPr>
        <w:pStyle w:val="StylArial11ptWyjustowany"/>
        <w:numPr>
          <w:ilvl w:val="1"/>
          <w:numId w:val="10"/>
        </w:numPr>
        <w:shd w:val="clear" w:color="auto" w:fill="FFFFFF"/>
        <w:jc w:val="left"/>
        <w:rPr>
          <w:rFonts w:cs="Arial"/>
          <w:b/>
          <w:iCs/>
          <w:color w:val="0070C0"/>
          <w:szCs w:val="22"/>
        </w:rPr>
      </w:pPr>
      <w:r w:rsidRPr="00934635">
        <w:rPr>
          <w:rFonts w:cs="Arial"/>
          <w:b/>
          <w:iCs/>
          <w:color w:val="0070C0"/>
          <w:szCs w:val="22"/>
        </w:rPr>
        <w:t>Publikacja na temat włączenia społecznego</w:t>
      </w:r>
    </w:p>
    <w:p w14:paraId="094449DB" w14:textId="77777777" w:rsidR="00934635" w:rsidRDefault="00934635" w:rsidP="007A5C39">
      <w:pPr>
        <w:shd w:val="clear" w:color="auto" w:fill="FFFFFF"/>
        <w:rPr>
          <w:rFonts w:cs="Arial"/>
          <w:szCs w:val="22"/>
        </w:rPr>
      </w:pPr>
    </w:p>
    <w:p w14:paraId="67BCF296" w14:textId="1FC5EE47" w:rsidR="00BA6BAF" w:rsidRPr="00BA6BAF" w:rsidRDefault="00BA6BAF" w:rsidP="00BA6BAF">
      <w:pPr>
        <w:shd w:val="clear" w:color="auto" w:fill="FFFFFF"/>
        <w:rPr>
          <w:rFonts w:cs="Arial"/>
          <w:szCs w:val="22"/>
        </w:rPr>
      </w:pPr>
      <w:r w:rsidRPr="00BA6BAF">
        <w:rPr>
          <w:rFonts w:cs="Arial"/>
          <w:szCs w:val="22"/>
        </w:rPr>
        <w:t xml:space="preserve">W 2022 r. została wydana publikacja z zakresu społecznych zamówień publicznych poświęcona tematowi włączenia społecznego. Publikacja zawiera omówienie instrumentów o charakterze społecznym przewidzianych ustawą Pzp wraz </w:t>
      </w:r>
      <w:r w:rsidR="001F11D8">
        <w:rPr>
          <w:rFonts w:cs="Arial"/>
          <w:szCs w:val="22"/>
        </w:rPr>
        <w:t xml:space="preserve">z </w:t>
      </w:r>
      <w:r w:rsidRPr="00BA6BAF">
        <w:rPr>
          <w:rFonts w:cs="Arial"/>
          <w:szCs w:val="22"/>
        </w:rPr>
        <w:t>praktycznymi przykładami ich zastosowania. Publikacja przybliża również zagadnienie dostępności i projektowania z przeznaczeniem dla wszystkich użytkowników ze</w:t>
      </w:r>
      <w:r w:rsidR="009343A1">
        <w:rPr>
          <w:rFonts w:cs="Arial"/>
          <w:szCs w:val="22"/>
        </w:rPr>
        <w:t xml:space="preserve"> </w:t>
      </w:r>
      <w:r w:rsidRPr="00BA6BAF">
        <w:rPr>
          <w:rFonts w:cs="Arial"/>
          <w:szCs w:val="22"/>
        </w:rPr>
        <w:t xml:space="preserve">szczególnym uwzględnieniem dostępności cyfrowej oraz dostępności wydarzeń organizowanych online. </w:t>
      </w:r>
    </w:p>
    <w:p w14:paraId="5EED9C7C" w14:textId="77777777" w:rsidR="00E5075A" w:rsidRDefault="00E5075A" w:rsidP="00BA6BAF">
      <w:pPr>
        <w:shd w:val="clear" w:color="auto" w:fill="FFFFFF"/>
        <w:rPr>
          <w:rFonts w:cs="Arial"/>
          <w:szCs w:val="22"/>
        </w:rPr>
      </w:pPr>
    </w:p>
    <w:p w14:paraId="56B358EE" w14:textId="183AC9E0" w:rsidR="00BA6BAF" w:rsidRPr="00BA6BAF" w:rsidRDefault="00BA6BAF" w:rsidP="00BA6BAF">
      <w:pPr>
        <w:shd w:val="clear" w:color="auto" w:fill="FFFFFF"/>
        <w:rPr>
          <w:rFonts w:cs="Arial"/>
          <w:szCs w:val="22"/>
          <w:u w:val="single"/>
        </w:rPr>
      </w:pPr>
      <w:r w:rsidRPr="00BA6BAF">
        <w:rPr>
          <w:rFonts w:cs="Arial"/>
          <w:szCs w:val="22"/>
        </w:rPr>
        <w:t xml:space="preserve">Publikacja dostępna jest pod linkiem: </w:t>
      </w:r>
      <w:hyperlink r:id="rId54" w:history="1">
        <w:r w:rsidRPr="00BA6BAF">
          <w:rPr>
            <w:rStyle w:val="Hipercze"/>
            <w:rFonts w:cs="Arial"/>
            <w:szCs w:val="22"/>
          </w:rPr>
          <w:t>https://www.gov.pl/web/uzp/publikacje-z-obszaru-spolecznych-zamowien-publicznych2</w:t>
        </w:r>
      </w:hyperlink>
    </w:p>
    <w:p w14:paraId="5C73BBBF" w14:textId="02D27F64" w:rsidR="007A5C39" w:rsidRDefault="007A5C39" w:rsidP="007A5C39">
      <w:pPr>
        <w:shd w:val="clear" w:color="auto" w:fill="FFFFFF"/>
        <w:rPr>
          <w:rFonts w:cs="Arial"/>
          <w:szCs w:val="22"/>
        </w:rPr>
      </w:pPr>
    </w:p>
    <w:p w14:paraId="606DD307" w14:textId="77777777" w:rsidR="00934635" w:rsidRPr="007A5C39" w:rsidRDefault="00934635" w:rsidP="007A5C39">
      <w:pPr>
        <w:shd w:val="clear" w:color="auto" w:fill="FFFFFF"/>
        <w:rPr>
          <w:rFonts w:cs="Arial"/>
          <w:szCs w:val="22"/>
        </w:rPr>
      </w:pPr>
    </w:p>
    <w:p w14:paraId="5EF668C0" w14:textId="2F3F0916" w:rsidR="007A5C39" w:rsidRPr="00934635" w:rsidRDefault="00EC56B9" w:rsidP="00E16264">
      <w:pPr>
        <w:pStyle w:val="StylArial11ptWyjustowany"/>
        <w:numPr>
          <w:ilvl w:val="1"/>
          <w:numId w:val="10"/>
        </w:numPr>
        <w:shd w:val="clear" w:color="auto" w:fill="FFFFFF"/>
        <w:jc w:val="left"/>
        <w:rPr>
          <w:rFonts w:cs="Arial"/>
          <w:b/>
          <w:iCs/>
          <w:color w:val="0070C0"/>
          <w:szCs w:val="22"/>
        </w:rPr>
      </w:pPr>
      <w:r w:rsidRPr="00EC56B9">
        <w:rPr>
          <w:rFonts w:cs="Arial"/>
          <w:b/>
          <w:iCs/>
          <w:color w:val="0070C0"/>
          <w:szCs w:val="22"/>
        </w:rPr>
        <w:t>Raport końcowy z badania jakościowego w zakresie zrównoważonych (społecznych i zielonych) zamówień publiczn</w:t>
      </w:r>
      <w:r w:rsidR="00656001">
        <w:rPr>
          <w:rFonts w:cs="Arial"/>
          <w:b/>
          <w:iCs/>
          <w:color w:val="0070C0"/>
          <w:szCs w:val="22"/>
        </w:rPr>
        <w:t>ych udzielonych w Polsce w</w:t>
      </w:r>
      <w:r w:rsidR="009343A1">
        <w:rPr>
          <w:rFonts w:cs="Arial"/>
          <w:b/>
          <w:iCs/>
          <w:color w:val="0070C0"/>
          <w:szCs w:val="22"/>
        </w:rPr>
        <w:t xml:space="preserve"> </w:t>
      </w:r>
      <w:r w:rsidR="00656001">
        <w:rPr>
          <w:rFonts w:cs="Arial"/>
          <w:b/>
          <w:iCs/>
          <w:color w:val="0070C0"/>
          <w:szCs w:val="22"/>
        </w:rPr>
        <w:t>2020</w:t>
      </w:r>
      <w:r w:rsidR="003D7F5A">
        <w:rPr>
          <w:rFonts w:cs="Arial"/>
          <w:b/>
          <w:iCs/>
          <w:color w:val="0070C0"/>
          <w:szCs w:val="22"/>
        </w:rPr>
        <w:t> </w:t>
      </w:r>
      <w:r w:rsidRPr="00EC56B9">
        <w:rPr>
          <w:rFonts w:cs="Arial"/>
          <w:b/>
          <w:iCs/>
          <w:color w:val="0070C0"/>
          <w:szCs w:val="22"/>
        </w:rPr>
        <w:t>r.</w:t>
      </w:r>
    </w:p>
    <w:p w14:paraId="6A491B69" w14:textId="77777777" w:rsidR="00934635" w:rsidRDefault="00934635" w:rsidP="007A5C39">
      <w:pPr>
        <w:shd w:val="clear" w:color="auto" w:fill="FFFFFF"/>
        <w:rPr>
          <w:rFonts w:cs="Arial"/>
          <w:szCs w:val="22"/>
        </w:rPr>
      </w:pPr>
    </w:p>
    <w:p w14:paraId="4A179BE6" w14:textId="7758B145" w:rsidR="0056539E" w:rsidRDefault="0056539E" w:rsidP="0056539E">
      <w:pPr>
        <w:shd w:val="clear" w:color="auto" w:fill="FFFFFF"/>
        <w:rPr>
          <w:rFonts w:cs="Arial"/>
          <w:szCs w:val="22"/>
        </w:rPr>
      </w:pPr>
      <w:r w:rsidRPr="0056539E">
        <w:rPr>
          <w:rFonts w:cs="Arial"/>
          <w:bCs/>
          <w:szCs w:val="22"/>
        </w:rPr>
        <w:t>W marcu 2022 r. zamieszczono na stronie internetowej UZP raport końcowy ze</w:t>
      </w:r>
      <w:r w:rsidR="009343A1">
        <w:rPr>
          <w:rFonts w:cs="Arial"/>
          <w:bCs/>
          <w:szCs w:val="22"/>
        </w:rPr>
        <w:t xml:space="preserve"> </w:t>
      </w:r>
      <w:r w:rsidRPr="0056539E">
        <w:rPr>
          <w:rFonts w:cs="Arial"/>
          <w:bCs/>
          <w:szCs w:val="22"/>
        </w:rPr>
        <w:t>zleconego przez Urząd Zamówień Publicznych badania jakościowego na temat stanu zrównoważonych zamówień publicznych w Polsce za rok 2020.</w:t>
      </w:r>
      <w:r w:rsidRPr="0056539E">
        <w:rPr>
          <w:rFonts w:cs="Arial"/>
          <w:szCs w:val="22"/>
        </w:rPr>
        <w:t xml:space="preserve"> Badanie koncentrowało się na uzyskaniu wiedzy na temat polityki w zakresie zrównoważonych zamówień publicznych realizowanej przez zamawiających oraz praktycznego wymiaru tej polityki w ramach stosowania aspektów społecznych i środowiskowych w</w:t>
      </w:r>
      <w:r w:rsidR="009343A1">
        <w:rPr>
          <w:rFonts w:cs="Arial"/>
          <w:szCs w:val="22"/>
        </w:rPr>
        <w:t xml:space="preserve"> </w:t>
      </w:r>
      <w:r w:rsidRPr="0056539E">
        <w:rPr>
          <w:rFonts w:cs="Arial"/>
          <w:szCs w:val="22"/>
        </w:rPr>
        <w:t xml:space="preserve">postępowaniach o udzielenie zamówienia publicznego w oparciu o przepisy ustawy </w:t>
      </w:r>
      <w:r w:rsidR="005C5C3C" w:rsidRPr="005C5C3C">
        <w:rPr>
          <w:rFonts w:cs="Arial"/>
          <w:szCs w:val="22"/>
        </w:rPr>
        <w:t>–</w:t>
      </w:r>
      <w:r w:rsidR="005C5C3C">
        <w:rPr>
          <w:rFonts w:cs="Arial"/>
          <w:szCs w:val="22"/>
        </w:rPr>
        <w:t xml:space="preserve"> </w:t>
      </w:r>
      <w:r w:rsidRPr="0056539E">
        <w:rPr>
          <w:rFonts w:cs="Arial"/>
          <w:szCs w:val="22"/>
        </w:rPr>
        <w:t>Prawo zamówień publicznych z 2004 r. W ramach badania przeprowadzono a</w:t>
      </w:r>
      <w:r w:rsidRPr="0056539E">
        <w:rPr>
          <w:rFonts w:cs="Arial"/>
          <w:bCs/>
          <w:szCs w:val="22"/>
        </w:rPr>
        <w:t>nalizę danych sprawozdawczych z rocznych sprawozdań o udzielonych zamówieniach oraz</w:t>
      </w:r>
      <w:r w:rsidR="009343A1">
        <w:rPr>
          <w:rFonts w:cs="Arial"/>
          <w:bCs/>
          <w:szCs w:val="22"/>
        </w:rPr>
        <w:t xml:space="preserve"> </w:t>
      </w:r>
      <w:r w:rsidRPr="0056539E">
        <w:rPr>
          <w:rFonts w:cs="Arial"/>
          <w:bCs/>
          <w:szCs w:val="22"/>
        </w:rPr>
        <w:t>analizę wybranej losowo dokumentacji przetargowej, w ramach której zidentyfikowano dobre praktyki zastosowania instrumentów środowiskowych i</w:t>
      </w:r>
      <w:r w:rsidR="009343A1">
        <w:rPr>
          <w:rFonts w:cs="Arial"/>
          <w:bCs/>
          <w:szCs w:val="22"/>
        </w:rPr>
        <w:t xml:space="preserve"> </w:t>
      </w:r>
      <w:r w:rsidRPr="0056539E">
        <w:rPr>
          <w:rFonts w:cs="Arial"/>
          <w:bCs/>
          <w:szCs w:val="22"/>
        </w:rPr>
        <w:t xml:space="preserve">społecznych. Zrealizowane w ramach </w:t>
      </w:r>
      <w:r w:rsidRPr="0056539E">
        <w:rPr>
          <w:rFonts w:cs="Arial"/>
          <w:szCs w:val="22"/>
        </w:rPr>
        <w:t>b</w:t>
      </w:r>
      <w:r w:rsidRPr="0056539E">
        <w:rPr>
          <w:rFonts w:cs="Arial"/>
          <w:bCs/>
          <w:szCs w:val="22"/>
        </w:rPr>
        <w:t xml:space="preserve">adania wywiady ankietowe wśród przedstawicieli zamawiających, uzupełnione zostały o wywiady telefoniczne. </w:t>
      </w:r>
      <w:r w:rsidRPr="0056539E">
        <w:rPr>
          <w:rFonts w:cs="Arial"/>
          <w:szCs w:val="22"/>
        </w:rPr>
        <w:t>Raport dostępny jest pod linkiem:</w:t>
      </w:r>
    </w:p>
    <w:p w14:paraId="6EEA9788" w14:textId="225F5145" w:rsidR="0056539E" w:rsidRPr="0056539E" w:rsidRDefault="00BE2079" w:rsidP="0056539E">
      <w:pPr>
        <w:shd w:val="clear" w:color="auto" w:fill="FFFFFF"/>
        <w:rPr>
          <w:rFonts w:cs="Arial"/>
          <w:bCs/>
          <w:szCs w:val="22"/>
        </w:rPr>
      </w:pPr>
      <w:hyperlink r:id="rId55" w:history="1">
        <w:r w:rsidR="0056539E" w:rsidRPr="0056539E">
          <w:rPr>
            <w:rStyle w:val="Hipercze"/>
            <w:rFonts w:cs="Arial"/>
            <w:szCs w:val="22"/>
          </w:rPr>
          <w:t>https://www.gov.pl/web/uzp/publikacje-z-obszaru-zzp</w:t>
        </w:r>
      </w:hyperlink>
    </w:p>
    <w:p w14:paraId="6F59ACBB" w14:textId="17287F59" w:rsidR="0080494E" w:rsidRDefault="0080494E" w:rsidP="007A5C39">
      <w:pPr>
        <w:shd w:val="clear" w:color="auto" w:fill="FFFFFF"/>
        <w:rPr>
          <w:rFonts w:cs="Arial"/>
          <w:szCs w:val="22"/>
        </w:rPr>
      </w:pPr>
    </w:p>
    <w:p w14:paraId="07AA2D69" w14:textId="269CD1D7" w:rsidR="00EC56B9" w:rsidRDefault="00EC56B9" w:rsidP="007A5C39">
      <w:pPr>
        <w:shd w:val="clear" w:color="auto" w:fill="FFFFFF"/>
        <w:rPr>
          <w:rFonts w:cs="Arial"/>
          <w:szCs w:val="22"/>
        </w:rPr>
      </w:pPr>
    </w:p>
    <w:p w14:paraId="465F0F47" w14:textId="30CF530A" w:rsidR="0056539E" w:rsidRPr="00934635" w:rsidRDefault="0056539E" w:rsidP="00E16264">
      <w:pPr>
        <w:pStyle w:val="StylArial11ptWyjustowany"/>
        <w:numPr>
          <w:ilvl w:val="1"/>
          <w:numId w:val="10"/>
        </w:numPr>
        <w:shd w:val="clear" w:color="auto" w:fill="FFFFFF"/>
        <w:jc w:val="left"/>
        <w:rPr>
          <w:rFonts w:cs="Arial"/>
          <w:b/>
          <w:iCs/>
          <w:color w:val="0070C0"/>
          <w:szCs w:val="22"/>
        </w:rPr>
      </w:pPr>
      <w:r w:rsidRPr="0056539E">
        <w:rPr>
          <w:rFonts w:cs="Arial"/>
          <w:b/>
          <w:iCs/>
          <w:color w:val="0070C0"/>
          <w:szCs w:val="22"/>
        </w:rPr>
        <w:t>Etykiety ekologiczne – opracowanie</w:t>
      </w:r>
    </w:p>
    <w:p w14:paraId="692ADD86" w14:textId="2D75ED70" w:rsidR="00EC56B9" w:rsidRDefault="00EC56B9" w:rsidP="007A5C39">
      <w:pPr>
        <w:shd w:val="clear" w:color="auto" w:fill="FFFFFF"/>
        <w:rPr>
          <w:rFonts w:cs="Arial"/>
          <w:szCs w:val="22"/>
        </w:rPr>
      </w:pPr>
    </w:p>
    <w:p w14:paraId="3B4E7F4A" w14:textId="3DBD9510" w:rsidR="0056539E" w:rsidRPr="0056539E" w:rsidRDefault="0056539E" w:rsidP="0056539E">
      <w:pPr>
        <w:shd w:val="clear" w:color="auto" w:fill="FFFFFF"/>
        <w:rPr>
          <w:rFonts w:cs="Arial"/>
          <w:bCs/>
          <w:szCs w:val="22"/>
        </w:rPr>
      </w:pPr>
      <w:r w:rsidRPr="0056539E">
        <w:rPr>
          <w:rFonts w:cs="Arial"/>
          <w:bCs/>
          <w:szCs w:val="22"/>
        </w:rPr>
        <w:t xml:space="preserve">Urząd Zamówień Publicznych dokonał aktualizacji materiału informacyjnego z 2018 r. na temat przykładowych etykiet ekologicznych. Opracowanie obejmuje prezentację zarówno etykiet sektora żywnościowego, włókien drzewnych, biurowego sprzętu komputerowego, budynków, a także omówienie wielokryterialnych etykiet dla szeregu grup produktowych. Aktualizacja materiału wynikała ze zmian w wymogach dla niektórych etykiet środowiskowych. Opracowanie dostępne jest pod linkiem: </w:t>
      </w:r>
      <w:hyperlink r:id="rId56" w:history="1">
        <w:r w:rsidRPr="0056539E">
          <w:rPr>
            <w:rStyle w:val="Hipercze"/>
            <w:rFonts w:cs="Arial"/>
            <w:bCs/>
            <w:szCs w:val="22"/>
          </w:rPr>
          <w:t>https://www.gov.pl/web/uzp/zielone-zamowienia2</w:t>
        </w:r>
      </w:hyperlink>
      <w:r w:rsidRPr="0056539E">
        <w:rPr>
          <w:rFonts w:cs="Arial"/>
          <w:bCs/>
          <w:szCs w:val="22"/>
        </w:rPr>
        <w:t xml:space="preserve"> </w:t>
      </w:r>
    </w:p>
    <w:p w14:paraId="2022BBE7" w14:textId="1CB1705D" w:rsidR="0056539E" w:rsidRDefault="0056539E" w:rsidP="007A5C39">
      <w:pPr>
        <w:shd w:val="clear" w:color="auto" w:fill="FFFFFF"/>
        <w:rPr>
          <w:rFonts w:cs="Arial"/>
          <w:szCs w:val="22"/>
        </w:rPr>
      </w:pPr>
    </w:p>
    <w:p w14:paraId="5E306F6F" w14:textId="032FD264" w:rsidR="0056539E" w:rsidRDefault="0056539E" w:rsidP="007A5C39">
      <w:pPr>
        <w:shd w:val="clear" w:color="auto" w:fill="FFFFFF"/>
        <w:rPr>
          <w:rFonts w:cs="Arial"/>
          <w:szCs w:val="22"/>
        </w:rPr>
      </w:pPr>
    </w:p>
    <w:p w14:paraId="4A880FFB" w14:textId="5CD0021C" w:rsidR="0056539E" w:rsidRPr="00934635" w:rsidRDefault="0056539E" w:rsidP="00E16264">
      <w:pPr>
        <w:pStyle w:val="StylArial11ptWyjustowany"/>
        <w:numPr>
          <w:ilvl w:val="1"/>
          <w:numId w:val="10"/>
        </w:numPr>
        <w:shd w:val="clear" w:color="auto" w:fill="FFFFFF"/>
        <w:jc w:val="left"/>
        <w:rPr>
          <w:rFonts w:cs="Arial"/>
          <w:b/>
          <w:iCs/>
          <w:color w:val="0070C0"/>
          <w:szCs w:val="22"/>
        </w:rPr>
      </w:pPr>
      <w:r w:rsidRPr="0056539E">
        <w:rPr>
          <w:rFonts w:cs="Arial"/>
          <w:b/>
          <w:iCs/>
          <w:color w:val="0070C0"/>
          <w:szCs w:val="22"/>
        </w:rPr>
        <w:t>Opracowanie na temat etykiet społecznych</w:t>
      </w:r>
    </w:p>
    <w:p w14:paraId="5CA6EA5E" w14:textId="77777777" w:rsidR="0056539E" w:rsidRDefault="0056539E" w:rsidP="007A5C39">
      <w:pPr>
        <w:shd w:val="clear" w:color="auto" w:fill="FFFFFF"/>
        <w:rPr>
          <w:rFonts w:cs="Arial"/>
          <w:szCs w:val="22"/>
        </w:rPr>
      </w:pPr>
    </w:p>
    <w:p w14:paraId="08F619E7" w14:textId="02794F37" w:rsidR="0056539E" w:rsidRPr="0056539E" w:rsidRDefault="0056539E" w:rsidP="0056539E">
      <w:pPr>
        <w:shd w:val="clear" w:color="auto" w:fill="FFFFFF"/>
        <w:rPr>
          <w:rFonts w:cs="Arial"/>
          <w:bCs/>
          <w:szCs w:val="22"/>
        </w:rPr>
      </w:pPr>
      <w:r w:rsidRPr="0056539E">
        <w:rPr>
          <w:rFonts w:cs="Arial"/>
          <w:bCs/>
          <w:szCs w:val="22"/>
        </w:rPr>
        <w:t>W 2022 r. Urząd dokonał również aktualizacji opracowania na temat etykiet o</w:t>
      </w:r>
      <w:r w:rsidR="009343A1">
        <w:rPr>
          <w:rFonts w:cs="Arial"/>
          <w:bCs/>
          <w:szCs w:val="22"/>
        </w:rPr>
        <w:t xml:space="preserve"> </w:t>
      </w:r>
      <w:r w:rsidRPr="0056539E">
        <w:rPr>
          <w:rFonts w:cs="Arial"/>
          <w:bCs/>
          <w:szCs w:val="22"/>
        </w:rPr>
        <w:t>charakterze społecznym, które mogą być wymagane przez zamawiających w</w:t>
      </w:r>
      <w:r w:rsidR="009343A1">
        <w:rPr>
          <w:rFonts w:cs="Arial"/>
          <w:bCs/>
          <w:szCs w:val="22"/>
        </w:rPr>
        <w:t xml:space="preserve"> </w:t>
      </w:r>
      <w:r w:rsidRPr="0056539E">
        <w:rPr>
          <w:rFonts w:cs="Arial"/>
          <w:bCs/>
          <w:szCs w:val="22"/>
        </w:rPr>
        <w:t>ramach procesu udzielania zamówień publicznych. Etykiety o charakterze społecznym potwierdzają spełnienie kryteriów społecznych, które najczęściej opierają się na weryfikacji przestrzegania przepisów konwencji Międzynarodowej Organizacji Pracy regulujących kwestie praw człowieka, w szczególności praw pracowniczych i</w:t>
      </w:r>
      <w:r w:rsidR="009343A1">
        <w:rPr>
          <w:rFonts w:cs="Arial"/>
          <w:bCs/>
          <w:szCs w:val="22"/>
        </w:rPr>
        <w:t xml:space="preserve"> </w:t>
      </w:r>
      <w:r w:rsidRPr="0056539E">
        <w:rPr>
          <w:rFonts w:cs="Arial"/>
          <w:bCs/>
          <w:szCs w:val="22"/>
        </w:rPr>
        <w:t>praw socjalnych. Opracowanie dostępne jest pod linkiem:</w:t>
      </w:r>
    </w:p>
    <w:p w14:paraId="644C5828" w14:textId="2D0C6E37" w:rsidR="0056539E" w:rsidRPr="0056539E" w:rsidRDefault="00BE2079" w:rsidP="0056539E">
      <w:pPr>
        <w:shd w:val="clear" w:color="auto" w:fill="FFFFFF"/>
        <w:rPr>
          <w:rFonts w:cs="Arial"/>
          <w:bCs/>
          <w:szCs w:val="22"/>
        </w:rPr>
      </w:pPr>
      <w:hyperlink r:id="rId57" w:history="1">
        <w:r w:rsidR="0056539E" w:rsidRPr="0056539E">
          <w:rPr>
            <w:rStyle w:val="Hipercze"/>
            <w:rFonts w:cs="Arial"/>
            <w:bCs/>
            <w:szCs w:val="22"/>
          </w:rPr>
          <w:t>https://www.gov.pl/web/uzp/publikacje-z-obszaru-spolecznych-zamowien-publicznych2</w:t>
        </w:r>
      </w:hyperlink>
    </w:p>
    <w:p w14:paraId="69A58652" w14:textId="32EDC689" w:rsidR="0056539E" w:rsidRDefault="0056539E" w:rsidP="007A5C39">
      <w:pPr>
        <w:shd w:val="clear" w:color="auto" w:fill="FFFFFF"/>
        <w:rPr>
          <w:rFonts w:cs="Arial"/>
          <w:szCs w:val="22"/>
        </w:rPr>
      </w:pPr>
    </w:p>
    <w:p w14:paraId="66E651DB" w14:textId="2CDF2177" w:rsidR="0056539E" w:rsidRDefault="0056539E" w:rsidP="007A5C39">
      <w:pPr>
        <w:shd w:val="clear" w:color="auto" w:fill="FFFFFF"/>
        <w:rPr>
          <w:rFonts w:cs="Arial"/>
          <w:szCs w:val="22"/>
        </w:rPr>
      </w:pPr>
    </w:p>
    <w:p w14:paraId="319F4263" w14:textId="63B8D310" w:rsidR="0056539E" w:rsidRPr="00934635" w:rsidRDefault="0056539E" w:rsidP="00E16264">
      <w:pPr>
        <w:pStyle w:val="StylArial11ptWyjustowany"/>
        <w:numPr>
          <w:ilvl w:val="1"/>
          <w:numId w:val="10"/>
        </w:numPr>
        <w:shd w:val="clear" w:color="auto" w:fill="FFFFFF"/>
        <w:jc w:val="left"/>
        <w:rPr>
          <w:rFonts w:cs="Arial"/>
          <w:b/>
          <w:iCs/>
          <w:color w:val="0070C0"/>
          <w:szCs w:val="22"/>
        </w:rPr>
      </w:pPr>
      <w:r w:rsidRPr="0056539E">
        <w:rPr>
          <w:rFonts w:cs="Arial"/>
          <w:b/>
          <w:iCs/>
          <w:color w:val="0070C0"/>
          <w:szCs w:val="22"/>
        </w:rPr>
        <w:t xml:space="preserve">Repozytorium </w:t>
      </w:r>
      <w:r>
        <w:rPr>
          <w:rFonts w:cs="Arial"/>
          <w:b/>
          <w:iCs/>
          <w:color w:val="0070C0"/>
          <w:szCs w:val="22"/>
        </w:rPr>
        <w:t>–</w:t>
      </w:r>
      <w:r w:rsidRPr="0056539E">
        <w:rPr>
          <w:rFonts w:cs="Arial"/>
          <w:b/>
          <w:iCs/>
          <w:color w:val="0070C0"/>
          <w:szCs w:val="22"/>
        </w:rPr>
        <w:t xml:space="preserve"> Koszty cyklu życia LCC</w:t>
      </w:r>
    </w:p>
    <w:p w14:paraId="0713A315" w14:textId="17640FBC" w:rsidR="0056539E" w:rsidRDefault="0056539E" w:rsidP="007A5C39">
      <w:pPr>
        <w:shd w:val="clear" w:color="auto" w:fill="FFFFFF"/>
        <w:rPr>
          <w:rFonts w:cs="Arial"/>
          <w:szCs w:val="22"/>
        </w:rPr>
      </w:pPr>
    </w:p>
    <w:p w14:paraId="74BC4E20" w14:textId="50ED00EE" w:rsidR="0056539E" w:rsidRDefault="0056539E" w:rsidP="007A5C39">
      <w:pPr>
        <w:shd w:val="clear" w:color="auto" w:fill="FFFFFF"/>
        <w:rPr>
          <w:rFonts w:cs="Arial"/>
          <w:szCs w:val="22"/>
        </w:rPr>
      </w:pPr>
      <w:r w:rsidRPr="0056539E">
        <w:rPr>
          <w:rFonts w:cs="Arial"/>
          <w:szCs w:val="22"/>
        </w:rPr>
        <w:t>Urząd Zamówień Publicznych zlecił opracowanie materiału informacyjnego na temat rachunku kosztów cyklu życia. W materiale ujęto podstawowe wskaźniki finansowe wykorzystywane w analizie LCC oraz metody obliczania LCC z</w:t>
      </w:r>
      <w:r w:rsidR="009343A1">
        <w:rPr>
          <w:rFonts w:cs="Arial"/>
          <w:szCs w:val="22"/>
        </w:rPr>
        <w:t xml:space="preserve"> </w:t>
      </w:r>
      <w:r w:rsidRPr="0056539E">
        <w:rPr>
          <w:rFonts w:cs="Arial"/>
          <w:szCs w:val="22"/>
        </w:rPr>
        <w:t xml:space="preserve">uwzględnieniem stałych i zmiennych cen. Opracowanie zawiera przykładowe kalkulacje dla biurowego sprzętu komputerowego (tj. komputerów, monitorów, drukarek i urządzeń wielofunkcyjnych) oraz urządzeń wyposażenia budynków (w tym kotłów grzewczych, elektrycznych podgrzewaczy do wody, klimatyzatorów, sprzętu AGD). Opracowanie dostępne </w:t>
      </w:r>
      <w:r w:rsidRPr="0056539E">
        <w:rPr>
          <w:rFonts w:cs="Arial"/>
          <w:bCs/>
          <w:szCs w:val="22"/>
        </w:rPr>
        <w:t xml:space="preserve">jest pod linkiem: </w:t>
      </w:r>
      <w:hyperlink r:id="rId58" w:history="1">
        <w:r w:rsidRPr="0056539E">
          <w:rPr>
            <w:rStyle w:val="Hipercze"/>
            <w:rFonts w:cs="Arial"/>
            <w:bCs/>
            <w:szCs w:val="22"/>
          </w:rPr>
          <w:t>https://www.gov.pl/web/uzp/zielone-zamowienia2</w:t>
        </w:r>
      </w:hyperlink>
    </w:p>
    <w:p w14:paraId="717A131C" w14:textId="733C1CF8" w:rsidR="0056539E" w:rsidRDefault="0056539E" w:rsidP="007A5C39">
      <w:pPr>
        <w:shd w:val="clear" w:color="auto" w:fill="FFFFFF"/>
        <w:rPr>
          <w:rFonts w:cs="Arial"/>
          <w:szCs w:val="22"/>
        </w:rPr>
      </w:pPr>
    </w:p>
    <w:p w14:paraId="6430436A" w14:textId="2A9713F3" w:rsidR="0056539E" w:rsidRDefault="0056539E" w:rsidP="007A5C39">
      <w:pPr>
        <w:shd w:val="clear" w:color="auto" w:fill="FFFFFF"/>
        <w:rPr>
          <w:rFonts w:cs="Arial"/>
          <w:szCs w:val="22"/>
        </w:rPr>
      </w:pPr>
    </w:p>
    <w:p w14:paraId="68E17AB9" w14:textId="352E9D7A" w:rsidR="0056539E" w:rsidRPr="00934635" w:rsidRDefault="0056539E" w:rsidP="00E16264">
      <w:pPr>
        <w:pStyle w:val="StylArial11ptWyjustowany"/>
        <w:numPr>
          <w:ilvl w:val="1"/>
          <w:numId w:val="10"/>
        </w:numPr>
        <w:shd w:val="clear" w:color="auto" w:fill="FFFFFF"/>
        <w:jc w:val="left"/>
        <w:rPr>
          <w:rFonts w:cs="Arial"/>
          <w:b/>
          <w:iCs/>
          <w:color w:val="0070C0"/>
          <w:szCs w:val="22"/>
        </w:rPr>
      </w:pPr>
      <w:r w:rsidRPr="0056539E">
        <w:rPr>
          <w:rFonts w:cs="Arial"/>
          <w:b/>
          <w:iCs/>
          <w:color w:val="0070C0"/>
          <w:szCs w:val="22"/>
        </w:rPr>
        <w:t>Stosowanie kryterium kosztu opartego na LCC z zastosowaniem metody kalkulacji kosztów cyklu życia dla budynków</w:t>
      </w:r>
    </w:p>
    <w:p w14:paraId="00E50DF9" w14:textId="6E55C1E0" w:rsidR="0056539E" w:rsidRDefault="0056539E" w:rsidP="007A5C39">
      <w:pPr>
        <w:shd w:val="clear" w:color="auto" w:fill="FFFFFF"/>
        <w:rPr>
          <w:rFonts w:cs="Arial"/>
          <w:szCs w:val="22"/>
        </w:rPr>
      </w:pPr>
    </w:p>
    <w:p w14:paraId="65E26AFC" w14:textId="4456E5D3" w:rsidR="0056539E" w:rsidRDefault="0056539E" w:rsidP="0056539E">
      <w:pPr>
        <w:shd w:val="clear" w:color="auto" w:fill="FFFFFF"/>
        <w:rPr>
          <w:rFonts w:cs="Arial"/>
          <w:bCs/>
          <w:szCs w:val="22"/>
        </w:rPr>
      </w:pPr>
      <w:r w:rsidRPr="0056539E">
        <w:rPr>
          <w:rFonts w:cs="Arial"/>
          <w:szCs w:val="22"/>
        </w:rPr>
        <w:t>Urząd Zamówień Publicznych zlecił opracowanie materiału pt. „Stosowanie kryterium kosztu opartego na LCC z zastosowaniem metody kalkulacji kosztów cyklu życia dla budynków w oparciu o przepisy rozporządzenia Ministra Rozwoju i Technologii z dnia 23 listopada 2021 r. w sprawie metody kalkulacji kosztów cyklu życia budynków oraz sposobu przedstawiania informacji o tych kosztach (Dz.</w:t>
      </w:r>
      <w:r w:rsidR="00496BE5">
        <w:rPr>
          <w:rFonts w:cs="Arial"/>
          <w:szCs w:val="22"/>
        </w:rPr>
        <w:t xml:space="preserve"> </w:t>
      </w:r>
      <w:r w:rsidRPr="0056539E">
        <w:rPr>
          <w:rFonts w:cs="Arial"/>
          <w:szCs w:val="22"/>
        </w:rPr>
        <w:t>U. poz. 2276)”. Opracowanie zawiera prezentację regulacji prawnych z ustawy Pzp umożliwiających zastosowanie kryterium kosztu, a także szczegółowe omówienie metody kalkulacji LCC dla budynków z rozporządzenia Ministra Rozwoju i Technologii wraz z</w:t>
      </w:r>
      <w:r w:rsidR="009343A1">
        <w:rPr>
          <w:rFonts w:cs="Arial"/>
          <w:szCs w:val="22"/>
        </w:rPr>
        <w:t xml:space="preserve"> </w:t>
      </w:r>
      <w:r w:rsidRPr="0056539E">
        <w:rPr>
          <w:rFonts w:cs="Arial"/>
          <w:szCs w:val="22"/>
        </w:rPr>
        <w:t xml:space="preserve">przykładem jej zastosowania. Materiał dostępny </w:t>
      </w:r>
      <w:r w:rsidRPr="0056539E">
        <w:rPr>
          <w:rFonts w:cs="Arial"/>
          <w:bCs/>
          <w:szCs w:val="22"/>
        </w:rPr>
        <w:t xml:space="preserve">jest pod linkiem: </w:t>
      </w:r>
    </w:p>
    <w:p w14:paraId="40DA25E9" w14:textId="2F499935" w:rsidR="0056539E" w:rsidRPr="0056539E" w:rsidRDefault="00BE2079" w:rsidP="0056539E">
      <w:pPr>
        <w:shd w:val="clear" w:color="auto" w:fill="FFFFFF"/>
        <w:rPr>
          <w:rFonts w:cs="Arial"/>
          <w:szCs w:val="22"/>
        </w:rPr>
      </w:pPr>
      <w:hyperlink r:id="rId59" w:history="1">
        <w:r w:rsidR="0056539E" w:rsidRPr="0056539E">
          <w:rPr>
            <w:rStyle w:val="Hipercze"/>
            <w:rFonts w:cs="Arial"/>
            <w:bCs/>
            <w:szCs w:val="22"/>
          </w:rPr>
          <w:t>https://www.gov.pl/web/uzp/zielone-zamowienia2</w:t>
        </w:r>
      </w:hyperlink>
    </w:p>
    <w:p w14:paraId="6AFBA5F6" w14:textId="585C19DA" w:rsidR="0056539E" w:rsidRDefault="0056539E" w:rsidP="007A5C39">
      <w:pPr>
        <w:shd w:val="clear" w:color="auto" w:fill="FFFFFF"/>
        <w:rPr>
          <w:rFonts w:cs="Arial"/>
          <w:szCs w:val="22"/>
        </w:rPr>
      </w:pPr>
    </w:p>
    <w:p w14:paraId="60589370" w14:textId="411D2853" w:rsidR="0056539E" w:rsidRDefault="0056539E" w:rsidP="007A5C39">
      <w:pPr>
        <w:shd w:val="clear" w:color="auto" w:fill="FFFFFF"/>
        <w:rPr>
          <w:rFonts w:cs="Arial"/>
          <w:szCs w:val="22"/>
        </w:rPr>
      </w:pPr>
    </w:p>
    <w:p w14:paraId="66F61951" w14:textId="40A809A3" w:rsidR="00343AD2" w:rsidRPr="00934635" w:rsidRDefault="00343AD2" w:rsidP="00E16264">
      <w:pPr>
        <w:pStyle w:val="StylArial11ptWyjustowany"/>
        <w:numPr>
          <w:ilvl w:val="1"/>
          <w:numId w:val="10"/>
        </w:numPr>
        <w:shd w:val="clear" w:color="auto" w:fill="FFFFFF"/>
        <w:jc w:val="left"/>
        <w:rPr>
          <w:rFonts w:cs="Arial"/>
          <w:b/>
          <w:iCs/>
          <w:color w:val="0070C0"/>
          <w:szCs w:val="22"/>
        </w:rPr>
      </w:pPr>
      <w:r w:rsidRPr="00343AD2">
        <w:rPr>
          <w:rFonts w:cs="Arial"/>
          <w:b/>
          <w:iCs/>
          <w:color w:val="0070C0"/>
          <w:szCs w:val="22"/>
        </w:rPr>
        <w:t>Opracowanie materiału w zakresie dostępnoś</w:t>
      </w:r>
      <w:r w:rsidR="00E23DBE">
        <w:rPr>
          <w:rFonts w:cs="Arial"/>
          <w:b/>
          <w:iCs/>
          <w:color w:val="0070C0"/>
          <w:szCs w:val="22"/>
        </w:rPr>
        <w:t>ci dla osób z</w:t>
      </w:r>
      <w:r w:rsidR="009343A1">
        <w:rPr>
          <w:rFonts w:cs="Arial"/>
          <w:b/>
          <w:iCs/>
          <w:color w:val="0070C0"/>
          <w:szCs w:val="22"/>
        </w:rPr>
        <w:t xml:space="preserve"> </w:t>
      </w:r>
      <w:r w:rsidRPr="00343AD2">
        <w:rPr>
          <w:rFonts w:cs="Arial"/>
          <w:b/>
          <w:iCs/>
          <w:color w:val="0070C0"/>
          <w:szCs w:val="22"/>
        </w:rPr>
        <w:t>niepełnosprawnościami</w:t>
      </w:r>
    </w:p>
    <w:p w14:paraId="16A0BC91" w14:textId="2F6EB3EF" w:rsidR="0056539E" w:rsidRDefault="0056539E" w:rsidP="007A5C39">
      <w:pPr>
        <w:shd w:val="clear" w:color="auto" w:fill="FFFFFF"/>
        <w:rPr>
          <w:rFonts w:cs="Arial"/>
          <w:szCs w:val="22"/>
        </w:rPr>
      </w:pPr>
    </w:p>
    <w:p w14:paraId="24C58A03" w14:textId="0BFD8C10" w:rsidR="0025540C" w:rsidRPr="0025540C" w:rsidRDefault="0025540C" w:rsidP="0025540C">
      <w:pPr>
        <w:shd w:val="clear" w:color="auto" w:fill="FFFFFF"/>
        <w:rPr>
          <w:rFonts w:cs="Arial"/>
          <w:bCs/>
          <w:szCs w:val="22"/>
        </w:rPr>
      </w:pPr>
      <w:r w:rsidRPr="0025540C">
        <w:rPr>
          <w:rFonts w:cs="Arial"/>
          <w:bCs/>
          <w:szCs w:val="22"/>
        </w:rPr>
        <w:t>Na stronie internetowej UZP opublikowane zostało opracowanie dotyczące zagadnienia dostępności architektonicznej dla osób ze szczególnymi potrzebami. Materiał przybliża pojęcie dostępności oraz projektowania uniwersalnego w obszarze architektury, jak również prezentuje przykłady dobrych praktyk w tym zakresie. Materiały z zakresu społecznych zamówień publicznych stanowią praktyczną pomoc dla zamawiających, którzy po odpowiednim dostosowaniu zapisów, uwzględniając charakter danego zamówienia, mogą wykorzystać je w prowadzonych postępowaniach o udzielenie zamówienia publicznego. Z kolei poprzez prezentację konkretnych przykładów np. w zakresie dostępności dla osób z</w:t>
      </w:r>
      <w:r w:rsidR="009343A1">
        <w:rPr>
          <w:rFonts w:cs="Arial"/>
          <w:bCs/>
          <w:szCs w:val="22"/>
        </w:rPr>
        <w:t xml:space="preserve"> </w:t>
      </w:r>
      <w:r w:rsidRPr="0025540C">
        <w:rPr>
          <w:rFonts w:cs="Arial"/>
          <w:bCs/>
          <w:szCs w:val="22"/>
        </w:rPr>
        <w:t xml:space="preserve">niepełnosprawnościami i projektowania uniwersalnego, mają na celu inspirowanie instytucji zamawiających do podejmowania działań o podobnym charakterze. </w:t>
      </w:r>
    </w:p>
    <w:p w14:paraId="494C5767" w14:textId="35874B90" w:rsidR="0025540C" w:rsidRPr="0025540C" w:rsidRDefault="0025540C" w:rsidP="0025540C">
      <w:pPr>
        <w:shd w:val="clear" w:color="auto" w:fill="FFFFFF"/>
        <w:rPr>
          <w:rFonts w:cs="Arial"/>
          <w:bCs/>
          <w:szCs w:val="22"/>
        </w:rPr>
      </w:pPr>
      <w:r w:rsidRPr="0025540C">
        <w:rPr>
          <w:rFonts w:cs="Arial"/>
          <w:bCs/>
          <w:szCs w:val="22"/>
        </w:rPr>
        <w:t xml:space="preserve">Materiał dostępny pod linkiem: </w:t>
      </w:r>
      <w:hyperlink r:id="rId60" w:history="1">
        <w:r w:rsidRPr="0025540C">
          <w:rPr>
            <w:rStyle w:val="Hipercze"/>
            <w:rFonts w:cs="Arial"/>
            <w:bCs/>
            <w:szCs w:val="22"/>
          </w:rPr>
          <w:t>https://www.gov.pl/web/uzp/dostepnosc3</w:t>
        </w:r>
      </w:hyperlink>
    </w:p>
    <w:p w14:paraId="44F9A693" w14:textId="77777777" w:rsidR="0056539E" w:rsidRDefault="0056539E" w:rsidP="007A5C39">
      <w:pPr>
        <w:shd w:val="clear" w:color="auto" w:fill="FFFFFF"/>
        <w:rPr>
          <w:rFonts w:cs="Arial"/>
          <w:szCs w:val="22"/>
        </w:rPr>
      </w:pPr>
    </w:p>
    <w:p w14:paraId="26EB951B" w14:textId="77777777" w:rsidR="00093A90" w:rsidRPr="007A5C39" w:rsidRDefault="00093A90" w:rsidP="007A5C39">
      <w:pPr>
        <w:shd w:val="clear" w:color="auto" w:fill="FFFFFF"/>
        <w:rPr>
          <w:rFonts w:cs="Arial"/>
          <w:szCs w:val="22"/>
        </w:rPr>
      </w:pPr>
    </w:p>
    <w:p w14:paraId="624596FD" w14:textId="217B0AC9" w:rsidR="007A5C39" w:rsidRPr="00486FE4" w:rsidRDefault="007A5C39" w:rsidP="00E16264">
      <w:pPr>
        <w:pStyle w:val="StylArial11ptWyjustowany"/>
        <w:numPr>
          <w:ilvl w:val="0"/>
          <w:numId w:val="10"/>
        </w:numPr>
        <w:shd w:val="clear" w:color="auto" w:fill="FFFFFF"/>
        <w:jc w:val="left"/>
        <w:rPr>
          <w:rFonts w:cs="Arial"/>
          <w:b/>
          <w:iCs/>
          <w:color w:val="0070C0"/>
          <w:szCs w:val="22"/>
        </w:rPr>
      </w:pPr>
      <w:r w:rsidRPr="00486FE4">
        <w:rPr>
          <w:rFonts w:cs="Arial"/>
          <w:b/>
          <w:iCs/>
          <w:color w:val="0070C0"/>
          <w:szCs w:val="22"/>
        </w:rPr>
        <w:t xml:space="preserve">Współpraca z innymi </w:t>
      </w:r>
      <w:r w:rsidR="00E43BD3" w:rsidRPr="00E43BD3">
        <w:rPr>
          <w:rFonts w:cs="Arial"/>
          <w:b/>
          <w:iCs/>
          <w:color w:val="0070C0"/>
          <w:szCs w:val="22"/>
        </w:rPr>
        <w:t>podmiotami w zakresie zrównoważonych zamówień publicznych</w:t>
      </w:r>
    </w:p>
    <w:p w14:paraId="5E3A1C3C" w14:textId="085983DC" w:rsidR="00486FE4" w:rsidRDefault="00486FE4" w:rsidP="007A5C39">
      <w:pPr>
        <w:shd w:val="clear" w:color="auto" w:fill="FFFFFF"/>
        <w:rPr>
          <w:rFonts w:cs="Arial"/>
          <w:szCs w:val="22"/>
        </w:rPr>
      </w:pPr>
    </w:p>
    <w:p w14:paraId="0B8909C1" w14:textId="5904FB3C" w:rsidR="00E43BD3" w:rsidRPr="00934635" w:rsidRDefault="00E43BD3" w:rsidP="00E16264">
      <w:pPr>
        <w:pStyle w:val="StylArial11ptWyjustowany"/>
        <w:numPr>
          <w:ilvl w:val="1"/>
          <w:numId w:val="10"/>
        </w:numPr>
        <w:shd w:val="clear" w:color="auto" w:fill="FFFFFF"/>
        <w:jc w:val="left"/>
        <w:rPr>
          <w:rFonts w:cs="Arial"/>
          <w:b/>
          <w:iCs/>
          <w:color w:val="0070C0"/>
          <w:szCs w:val="22"/>
        </w:rPr>
      </w:pPr>
      <w:r w:rsidRPr="00E43BD3">
        <w:rPr>
          <w:rFonts w:cs="Arial"/>
          <w:b/>
          <w:iCs/>
          <w:color w:val="0070C0"/>
          <w:szCs w:val="22"/>
        </w:rPr>
        <w:t>Zalecenia w sprawie uwzględniania przez administrację rządową aspektów społecznych w zamówieniach publicznych</w:t>
      </w:r>
    </w:p>
    <w:p w14:paraId="6D24434B" w14:textId="2336932D" w:rsidR="00E43BD3" w:rsidRDefault="00E43BD3" w:rsidP="007A5C39">
      <w:pPr>
        <w:shd w:val="clear" w:color="auto" w:fill="FFFFFF"/>
        <w:rPr>
          <w:rFonts w:cs="Arial"/>
          <w:szCs w:val="22"/>
        </w:rPr>
      </w:pPr>
    </w:p>
    <w:p w14:paraId="47BEC9C4" w14:textId="77777777" w:rsidR="00E43BD3" w:rsidRPr="00E43BD3" w:rsidRDefault="00E43BD3" w:rsidP="00E43BD3">
      <w:pPr>
        <w:shd w:val="clear" w:color="auto" w:fill="FFFFFF"/>
        <w:rPr>
          <w:rFonts w:cs="Arial"/>
          <w:szCs w:val="22"/>
        </w:rPr>
      </w:pPr>
      <w:r w:rsidRPr="00E43BD3">
        <w:rPr>
          <w:rFonts w:cs="Arial"/>
          <w:szCs w:val="22"/>
        </w:rPr>
        <w:t xml:space="preserve">8 grudnia 2022 r. Rada Ministrów przyjęła Zalecenia w sprawie uwzględniania przez administrację rządową aspektów społecznych w zamówieniach publicznych. Dokument ten nakłada na wszystkich kierowników jednostek administracji rządowej obowiązek uwzględniania aspektów społecznych, w tym w szczególności klauzul społecznych, w możliwie jak najszerszym zakresie oraz w jak największej liczbie postępowań o udzielenie zamówienia publicznego. Zalecenia odnoszą się do instrumentów o charakterze społecznym wskazanych w ustawie Pzp. </w:t>
      </w:r>
    </w:p>
    <w:p w14:paraId="6A2305D1" w14:textId="77777777" w:rsidR="00E43BD3" w:rsidRDefault="00E43BD3" w:rsidP="00E43BD3">
      <w:pPr>
        <w:shd w:val="clear" w:color="auto" w:fill="FFFFFF"/>
        <w:rPr>
          <w:rFonts w:cs="Arial"/>
          <w:szCs w:val="22"/>
        </w:rPr>
      </w:pPr>
    </w:p>
    <w:p w14:paraId="7D4F418F" w14:textId="3C14E56B" w:rsidR="00E43BD3" w:rsidRPr="00E43BD3" w:rsidRDefault="00E43BD3" w:rsidP="00E43BD3">
      <w:pPr>
        <w:shd w:val="clear" w:color="auto" w:fill="FFFFFF"/>
        <w:rPr>
          <w:rFonts w:cs="Arial"/>
          <w:szCs w:val="22"/>
        </w:rPr>
      </w:pPr>
      <w:r w:rsidRPr="00E43BD3">
        <w:rPr>
          <w:rFonts w:cs="Arial"/>
          <w:szCs w:val="22"/>
        </w:rPr>
        <w:t>Aktualizacja obowiązujących od 2017 r. Zaleceń Rady Ministrów była podyktowana potrzebą dostosowania ich treści do obecnego stanu prawnego w zakresie zamówień publicznych, a także koniecznością zapewnienia spójności z innymi dokumentami o</w:t>
      </w:r>
      <w:r w:rsidR="009343A1">
        <w:rPr>
          <w:rFonts w:cs="Arial"/>
          <w:szCs w:val="22"/>
        </w:rPr>
        <w:t xml:space="preserve"> </w:t>
      </w:r>
      <w:r w:rsidRPr="00E43BD3">
        <w:rPr>
          <w:rFonts w:cs="Arial"/>
          <w:szCs w:val="22"/>
        </w:rPr>
        <w:t>charakterze strategicznym, m.in. Polityką zakupową państwa, która określa planowane działania administracji rządowej w zakresie społecznych zamówień publicznych. Zalecenia dostępne pod linkiem:</w:t>
      </w:r>
    </w:p>
    <w:p w14:paraId="64931796" w14:textId="226AADD4" w:rsidR="00E43BD3" w:rsidRPr="00E43BD3" w:rsidRDefault="00BE2079" w:rsidP="00E43BD3">
      <w:pPr>
        <w:shd w:val="clear" w:color="auto" w:fill="FFFFFF"/>
        <w:rPr>
          <w:rFonts w:cs="Arial"/>
          <w:szCs w:val="22"/>
          <w:u w:val="single"/>
        </w:rPr>
      </w:pPr>
      <w:hyperlink r:id="rId61" w:history="1">
        <w:r w:rsidR="00E43BD3" w:rsidRPr="00E43BD3">
          <w:rPr>
            <w:rStyle w:val="Hipercze"/>
            <w:rFonts w:cs="Arial"/>
            <w:szCs w:val="22"/>
          </w:rPr>
          <w:t>https://www.gov.pl/web/uzp/zalecenia-rady-ministrow-w-sprawie-uwzgledniania-przez-administracje-rzadowa-aspektow-spolecznych-w-zamowieniach-publicznych</w:t>
        </w:r>
      </w:hyperlink>
    </w:p>
    <w:p w14:paraId="7FB8F3CB" w14:textId="5CA3157D" w:rsidR="00E43BD3" w:rsidRDefault="00E43BD3" w:rsidP="007A5C39">
      <w:pPr>
        <w:shd w:val="clear" w:color="auto" w:fill="FFFFFF"/>
        <w:rPr>
          <w:rFonts w:cs="Arial"/>
          <w:szCs w:val="22"/>
        </w:rPr>
      </w:pPr>
    </w:p>
    <w:p w14:paraId="777C5232" w14:textId="776A36AE" w:rsidR="00E43BD3" w:rsidRDefault="00E43BD3" w:rsidP="007A5C39">
      <w:pPr>
        <w:shd w:val="clear" w:color="auto" w:fill="FFFFFF"/>
        <w:rPr>
          <w:rFonts w:cs="Arial"/>
          <w:szCs w:val="22"/>
        </w:rPr>
      </w:pPr>
    </w:p>
    <w:p w14:paraId="6C6B76DB" w14:textId="40C400B5" w:rsidR="00E43BD3" w:rsidRPr="00934635" w:rsidRDefault="00E43BD3" w:rsidP="00E16264">
      <w:pPr>
        <w:pStyle w:val="StylArial11ptWyjustowany"/>
        <w:numPr>
          <w:ilvl w:val="1"/>
          <w:numId w:val="10"/>
        </w:numPr>
        <w:shd w:val="clear" w:color="auto" w:fill="FFFFFF"/>
        <w:jc w:val="left"/>
        <w:rPr>
          <w:rFonts w:cs="Arial"/>
          <w:b/>
          <w:iCs/>
          <w:color w:val="0070C0"/>
          <w:szCs w:val="22"/>
        </w:rPr>
      </w:pPr>
      <w:r w:rsidRPr="00E43BD3">
        <w:rPr>
          <w:rFonts w:cs="Arial"/>
          <w:b/>
          <w:iCs/>
          <w:color w:val="0070C0"/>
          <w:szCs w:val="22"/>
        </w:rPr>
        <w:t>Krajowy Komitet Rozwoju Ekonomii Społecznej</w:t>
      </w:r>
    </w:p>
    <w:p w14:paraId="40C0AE6B" w14:textId="3AF0066E" w:rsidR="00E43BD3" w:rsidRDefault="00E43BD3" w:rsidP="007A5C39">
      <w:pPr>
        <w:shd w:val="clear" w:color="auto" w:fill="FFFFFF"/>
        <w:rPr>
          <w:rFonts w:cs="Arial"/>
          <w:szCs w:val="22"/>
        </w:rPr>
      </w:pPr>
    </w:p>
    <w:p w14:paraId="381D2CF7" w14:textId="03D202EB" w:rsidR="00E43BD3" w:rsidRPr="00E43BD3" w:rsidRDefault="00E43BD3" w:rsidP="00E43BD3">
      <w:pPr>
        <w:shd w:val="clear" w:color="auto" w:fill="FFFFFF"/>
        <w:rPr>
          <w:rFonts w:cs="Arial"/>
          <w:szCs w:val="22"/>
        </w:rPr>
      </w:pPr>
      <w:r w:rsidRPr="00E43BD3">
        <w:rPr>
          <w:rFonts w:cs="Arial"/>
          <w:szCs w:val="22"/>
        </w:rPr>
        <w:t>W 2022 r. Urząd uczestniczył w pracach Krajowego Komitetu Rozwoju Ekonomii Społecznej, funkcjonującego na mocy zarządzenia nr 35 Ministra Rodziny i Polityki Społecznej z dnia 13 lipca 2021 r. w sprawie powołania Krajowego Komitetu Rozwoju Ekonomii Społecznej. Komitet jest organem pomocniczym Ministra Rodziny i Polityki Społecznej. Stanowi instytucjonalizację dialogu obywatelskiego w dziedzinie ekonomii społecznej, umożliwiając tworzenie rozwiązań w sposób partycypacyjny, w</w:t>
      </w:r>
      <w:r w:rsidR="009343A1">
        <w:rPr>
          <w:rFonts w:cs="Arial"/>
          <w:szCs w:val="22"/>
        </w:rPr>
        <w:t xml:space="preserve"> </w:t>
      </w:r>
      <w:r w:rsidRPr="00E43BD3">
        <w:rPr>
          <w:rFonts w:cs="Arial"/>
          <w:szCs w:val="22"/>
        </w:rPr>
        <w:t>porozumieniu z teoretykami i praktykami, reprezentującymi administrację rządową i</w:t>
      </w:r>
      <w:r w:rsidR="009343A1">
        <w:rPr>
          <w:rFonts w:cs="Arial"/>
          <w:szCs w:val="22"/>
        </w:rPr>
        <w:t xml:space="preserve"> </w:t>
      </w:r>
      <w:r w:rsidRPr="00E43BD3">
        <w:rPr>
          <w:rFonts w:cs="Arial"/>
          <w:szCs w:val="22"/>
        </w:rPr>
        <w:t>samorządową, sektor ekonomii społecznej, środowiska naukowe, partnerów społecznych oraz instytucje finansowe. Komitet prowadzi prace w ramach grup roboczych (do spraw strategicznych i programowych, prawnych, finansowych, edukacyjnych, monitorowania i ewaluacji oraz koordynacji ekonomii społecznej w</w:t>
      </w:r>
      <w:r w:rsidR="009343A1">
        <w:rPr>
          <w:rFonts w:cs="Arial"/>
          <w:szCs w:val="22"/>
        </w:rPr>
        <w:t xml:space="preserve"> </w:t>
      </w:r>
      <w:r w:rsidRPr="00E43BD3">
        <w:rPr>
          <w:rFonts w:cs="Arial"/>
          <w:szCs w:val="22"/>
        </w:rPr>
        <w:t>regionach). Przedstawiciele Urzędu w 2022 r. brali udział w spotkaniach eksperckich w ramach prac grupy roboczej do spraw strategicznych i programowych oraz grupy do spraw prawnych, jak również w posiedzeniach Krajowego Komitetu Rozwoju Ekonomii Społecznej, które odbyły się 20 stycznia, 2 marca, 2 czerwca oraz 13 września 2022 roku. Głównymi tematami spotkań były potrzeby sektora ekonomii społecznej w</w:t>
      </w:r>
      <w:r w:rsidR="009343A1">
        <w:rPr>
          <w:rFonts w:cs="Arial"/>
          <w:szCs w:val="22"/>
        </w:rPr>
        <w:t xml:space="preserve"> </w:t>
      </w:r>
      <w:r w:rsidRPr="00E43BD3">
        <w:rPr>
          <w:rFonts w:cs="Arial"/>
          <w:szCs w:val="22"/>
        </w:rPr>
        <w:t xml:space="preserve">kontekście pomocy uchodźcom z Ukrainy, ekonomia społeczna jako dostarczyciel usług społecznych, wdrażanie ustawy o ekonomii społecznej. </w:t>
      </w:r>
    </w:p>
    <w:p w14:paraId="25336F59" w14:textId="41436473" w:rsidR="00E43BD3" w:rsidRDefault="00E43BD3" w:rsidP="007A5C39">
      <w:pPr>
        <w:shd w:val="clear" w:color="auto" w:fill="FFFFFF"/>
        <w:rPr>
          <w:rFonts w:cs="Arial"/>
          <w:szCs w:val="22"/>
        </w:rPr>
      </w:pPr>
    </w:p>
    <w:p w14:paraId="517175AE" w14:textId="08BC6F41" w:rsidR="00E43BD3" w:rsidRDefault="00E43BD3" w:rsidP="007A5C39">
      <w:pPr>
        <w:shd w:val="clear" w:color="auto" w:fill="FFFFFF"/>
        <w:rPr>
          <w:rFonts w:cs="Arial"/>
          <w:szCs w:val="22"/>
        </w:rPr>
      </w:pPr>
    </w:p>
    <w:p w14:paraId="06D935D8" w14:textId="7E1BAA32" w:rsidR="00E43BD3" w:rsidRPr="00934635" w:rsidRDefault="00E43BD3" w:rsidP="00E16264">
      <w:pPr>
        <w:pStyle w:val="StylArial11ptWyjustowany"/>
        <w:numPr>
          <w:ilvl w:val="1"/>
          <w:numId w:val="10"/>
        </w:numPr>
        <w:shd w:val="clear" w:color="auto" w:fill="FFFFFF"/>
        <w:jc w:val="left"/>
        <w:rPr>
          <w:rFonts w:cs="Arial"/>
          <w:b/>
          <w:iCs/>
          <w:color w:val="0070C0"/>
          <w:szCs w:val="22"/>
        </w:rPr>
      </w:pPr>
      <w:r w:rsidRPr="00E43BD3">
        <w:rPr>
          <w:rFonts w:cs="Arial"/>
          <w:b/>
          <w:iCs/>
          <w:color w:val="0070C0"/>
          <w:szCs w:val="22"/>
        </w:rPr>
        <w:t>Rada Dostępności</w:t>
      </w:r>
    </w:p>
    <w:p w14:paraId="4004B853" w14:textId="10202C56" w:rsidR="00E43BD3" w:rsidRDefault="00E43BD3" w:rsidP="007A5C39">
      <w:pPr>
        <w:shd w:val="clear" w:color="auto" w:fill="FFFFFF"/>
        <w:rPr>
          <w:rFonts w:cs="Arial"/>
          <w:szCs w:val="22"/>
        </w:rPr>
      </w:pPr>
    </w:p>
    <w:p w14:paraId="34A64D0D" w14:textId="2D43ADF5" w:rsidR="00E43BD3" w:rsidRPr="00E43BD3" w:rsidRDefault="00E43BD3" w:rsidP="00E43BD3">
      <w:pPr>
        <w:shd w:val="clear" w:color="auto" w:fill="FFFFFF"/>
        <w:rPr>
          <w:rFonts w:cs="Arial"/>
          <w:szCs w:val="22"/>
        </w:rPr>
      </w:pPr>
      <w:r w:rsidRPr="00E43BD3">
        <w:rPr>
          <w:rFonts w:cs="Arial"/>
          <w:szCs w:val="22"/>
        </w:rPr>
        <w:t>Przedstawiciel Urzędu uczestniczył również w posiedzeniach Rady Dostępności powołanej na podstawie art. 13 i art. 71 ustawy z dnia 19 lipca 2019 r. o zapewnianiu dostępności osobom ze szczególnymi potrzebami</w:t>
      </w:r>
      <w:r w:rsidR="0074306E">
        <w:rPr>
          <w:rFonts w:cs="Arial"/>
          <w:szCs w:val="22"/>
        </w:rPr>
        <w:t xml:space="preserve"> (Dz. U. z 2022 r. poz. 2240)</w:t>
      </w:r>
      <w:r w:rsidRPr="00E43BD3">
        <w:rPr>
          <w:rFonts w:cs="Arial"/>
          <w:szCs w:val="22"/>
        </w:rPr>
        <w:t>. Do głównych zadań Rady należy opiniowanie i doradztwo w procesie tworzenia i przeglądu przepisów prawa, wyrażanie opinii w zakresie potrzeb osób z niepełnosprawnościami oraz działań na rzecz poprawy świadomości społecznej w tym zakresie, jak również przygotowywanie analiz niezbędnych do realizacji działań zaplanowanych w Programie Dostępność Plus. Podczas spotkań Rady, które odbyły się 20 stycznia, 18 maja oraz 17 października 2022 roku omawiano m.in. stopień i kierunki realizacji programu rządowego Dostępność Plus.</w:t>
      </w:r>
    </w:p>
    <w:p w14:paraId="3D518D19" w14:textId="065D2D57" w:rsidR="00E43BD3" w:rsidRDefault="00E43BD3" w:rsidP="007A5C39">
      <w:pPr>
        <w:shd w:val="clear" w:color="auto" w:fill="FFFFFF"/>
        <w:rPr>
          <w:rFonts w:cs="Arial"/>
          <w:szCs w:val="22"/>
        </w:rPr>
      </w:pPr>
    </w:p>
    <w:p w14:paraId="3FA108BF" w14:textId="1FD94C53" w:rsidR="00E43BD3" w:rsidRDefault="00E43BD3" w:rsidP="007A5C39">
      <w:pPr>
        <w:shd w:val="clear" w:color="auto" w:fill="FFFFFF"/>
        <w:rPr>
          <w:rFonts w:cs="Arial"/>
          <w:szCs w:val="22"/>
        </w:rPr>
      </w:pPr>
    </w:p>
    <w:p w14:paraId="189C11F3" w14:textId="1F3F2692" w:rsidR="00E43BD3" w:rsidRPr="00934635" w:rsidRDefault="0007152A" w:rsidP="00E16264">
      <w:pPr>
        <w:pStyle w:val="StylArial11ptWyjustowany"/>
        <w:numPr>
          <w:ilvl w:val="1"/>
          <w:numId w:val="10"/>
        </w:numPr>
        <w:shd w:val="clear" w:color="auto" w:fill="FFFFFF"/>
        <w:jc w:val="left"/>
        <w:rPr>
          <w:rFonts w:cs="Arial"/>
          <w:b/>
          <w:iCs/>
          <w:color w:val="0070C0"/>
          <w:szCs w:val="22"/>
        </w:rPr>
      </w:pPr>
      <w:r w:rsidRPr="0007152A">
        <w:rPr>
          <w:rFonts w:cs="Arial"/>
          <w:b/>
          <w:iCs/>
          <w:color w:val="0070C0"/>
          <w:szCs w:val="22"/>
        </w:rPr>
        <w:t xml:space="preserve">Szkolenie dla Grupy Roboczej ds. Zielonych Zamówień Publicznych </w:t>
      </w:r>
      <w:r>
        <w:rPr>
          <w:rFonts w:cs="Arial"/>
          <w:b/>
          <w:iCs/>
          <w:color w:val="0070C0"/>
          <w:szCs w:val="22"/>
        </w:rPr>
        <w:t>–</w:t>
      </w:r>
      <w:r w:rsidRPr="0007152A">
        <w:rPr>
          <w:rFonts w:cs="Arial"/>
          <w:b/>
          <w:iCs/>
          <w:color w:val="0070C0"/>
          <w:szCs w:val="22"/>
        </w:rPr>
        <w:t xml:space="preserve"> 6</w:t>
      </w:r>
      <w:r w:rsidR="009343A1">
        <w:rPr>
          <w:rFonts w:cs="Arial"/>
          <w:b/>
          <w:iCs/>
          <w:color w:val="0070C0"/>
          <w:szCs w:val="22"/>
        </w:rPr>
        <w:t xml:space="preserve"> </w:t>
      </w:r>
      <w:r w:rsidRPr="0007152A">
        <w:rPr>
          <w:rFonts w:cs="Arial"/>
          <w:b/>
          <w:iCs/>
          <w:color w:val="0070C0"/>
          <w:szCs w:val="22"/>
        </w:rPr>
        <w:t>września 2022 r.</w:t>
      </w:r>
    </w:p>
    <w:p w14:paraId="6E51C3D2" w14:textId="51D24DEB" w:rsidR="00E43BD3" w:rsidRDefault="00E43BD3" w:rsidP="007A5C39">
      <w:pPr>
        <w:shd w:val="clear" w:color="auto" w:fill="FFFFFF"/>
        <w:rPr>
          <w:rFonts w:cs="Arial"/>
          <w:szCs w:val="22"/>
        </w:rPr>
      </w:pPr>
    </w:p>
    <w:p w14:paraId="1C647591" w14:textId="1E213734" w:rsidR="000718AC" w:rsidRPr="000718AC" w:rsidRDefault="000718AC" w:rsidP="000718AC">
      <w:pPr>
        <w:shd w:val="clear" w:color="auto" w:fill="FFFFFF"/>
        <w:rPr>
          <w:rFonts w:cs="Arial"/>
          <w:szCs w:val="22"/>
        </w:rPr>
      </w:pPr>
      <w:r w:rsidRPr="000718AC">
        <w:rPr>
          <w:rFonts w:cs="Arial"/>
          <w:szCs w:val="22"/>
        </w:rPr>
        <w:t>Urząd Zamówień Publicznych przeprowadził w formule online szkolenie z</w:t>
      </w:r>
      <w:r w:rsidR="009343A1">
        <w:rPr>
          <w:rFonts w:cs="Arial"/>
          <w:szCs w:val="22"/>
        </w:rPr>
        <w:t xml:space="preserve"> </w:t>
      </w:r>
      <w:r w:rsidRPr="000718AC">
        <w:rPr>
          <w:rFonts w:cs="Arial"/>
          <w:szCs w:val="22"/>
        </w:rPr>
        <w:t>prawnych możliwości uwzględniania aspektów środowiskowych w ramach postępowań o</w:t>
      </w:r>
      <w:r w:rsidR="009343A1">
        <w:rPr>
          <w:rFonts w:cs="Arial"/>
          <w:szCs w:val="22"/>
        </w:rPr>
        <w:t xml:space="preserve"> </w:t>
      </w:r>
      <w:r w:rsidRPr="000718AC">
        <w:rPr>
          <w:rFonts w:cs="Arial"/>
          <w:szCs w:val="22"/>
        </w:rPr>
        <w:t xml:space="preserve">udzielenie zamówienia w oparciu o przepisy ustawy Pzp na potrzeby Grupy Roboczej ds. Zielonych Zamówień Publicznych powołanej przez Generalnego Dyrektora Ochrony Środowiska w ramach sieci krajowej „Partnerstwo: Środowisko dla Rozwoju”. </w:t>
      </w:r>
    </w:p>
    <w:p w14:paraId="16EF9585" w14:textId="77777777" w:rsidR="000718AC" w:rsidRDefault="000718AC" w:rsidP="000718AC">
      <w:pPr>
        <w:shd w:val="clear" w:color="auto" w:fill="FFFFFF"/>
        <w:rPr>
          <w:rFonts w:cs="Arial"/>
          <w:szCs w:val="22"/>
        </w:rPr>
      </w:pPr>
    </w:p>
    <w:p w14:paraId="54FF0E9F" w14:textId="26C33757" w:rsidR="000718AC" w:rsidRPr="000718AC" w:rsidRDefault="000718AC" w:rsidP="000718AC">
      <w:pPr>
        <w:shd w:val="clear" w:color="auto" w:fill="FFFFFF"/>
        <w:rPr>
          <w:rFonts w:cs="Arial"/>
          <w:szCs w:val="22"/>
        </w:rPr>
      </w:pPr>
      <w:r w:rsidRPr="000718AC">
        <w:rPr>
          <w:rFonts w:cs="Arial"/>
          <w:szCs w:val="22"/>
        </w:rPr>
        <w:t>Celem funkcjonowania Grupy jest</w:t>
      </w:r>
      <w:r>
        <w:rPr>
          <w:rFonts w:cs="Arial"/>
          <w:szCs w:val="22"/>
        </w:rPr>
        <w:t xml:space="preserve"> </w:t>
      </w:r>
      <w:r w:rsidRPr="000718AC">
        <w:rPr>
          <w:rFonts w:cs="Arial"/>
          <w:szCs w:val="22"/>
        </w:rPr>
        <w:t>zwiększenie zakresu stosowania aspektów środowiskowych w zamówieniach publicznych, w szczególności finansowanych ze</w:t>
      </w:r>
      <w:r w:rsidR="009343A1">
        <w:rPr>
          <w:rFonts w:cs="Arial"/>
          <w:szCs w:val="22"/>
        </w:rPr>
        <w:t xml:space="preserve"> </w:t>
      </w:r>
      <w:r w:rsidRPr="000718AC">
        <w:rPr>
          <w:rFonts w:cs="Arial"/>
          <w:szCs w:val="22"/>
        </w:rPr>
        <w:t>środków UE. Prace grupy mają koncentrować się na wypracowaniu modelu dobrych praktyk w oparciu o przykłady zastosowania proekologicznych rozwiązań w</w:t>
      </w:r>
      <w:r w:rsidR="009343A1">
        <w:rPr>
          <w:rFonts w:cs="Arial"/>
          <w:szCs w:val="22"/>
        </w:rPr>
        <w:t xml:space="preserve"> </w:t>
      </w:r>
      <w:r w:rsidRPr="000718AC">
        <w:rPr>
          <w:rFonts w:cs="Arial"/>
          <w:szCs w:val="22"/>
        </w:rPr>
        <w:t xml:space="preserve">zamówieniach, jak również weryfikację istniejących opracowań, zaleceń, wytycznych, a także współpracę z organizacjami pozarządowymi oraz podmiotami właściwymi w sprawach zamówień publicznych. </w:t>
      </w:r>
    </w:p>
    <w:p w14:paraId="0C040951" w14:textId="11E60CD8" w:rsidR="00E43BD3" w:rsidRDefault="00E43BD3" w:rsidP="007A5C39">
      <w:pPr>
        <w:shd w:val="clear" w:color="auto" w:fill="FFFFFF"/>
        <w:rPr>
          <w:rFonts w:cs="Arial"/>
          <w:szCs w:val="22"/>
        </w:rPr>
      </w:pPr>
    </w:p>
    <w:p w14:paraId="41877896" w14:textId="0529DC3A" w:rsidR="00E43BD3" w:rsidRDefault="00E43BD3" w:rsidP="007A5C39">
      <w:pPr>
        <w:shd w:val="clear" w:color="auto" w:fill="FFFFFF"/>
        <w:rPr>
          <w:rFonts w:cs="Arial"/>
          <w:szCs w:val="22"/>
        </w:rPr>
      </w:pPr>
    </w:p>
    <w:p w14:paraId="34353FFC" w14:textId="42868F78" w:rsidR="000718AC" w:rsidRPr="00934635" w:rsidRDefault="000718AC" w:rsidP="00E16264">
      <w:pPr>
        <w:pStyle w:val="StylArial11ptWyjustowany"/>
        <w:numPr>
          <w:ilvl w:val="1"/>
          <w:numId w:val="10"/>
        </w:numPr>
        <w:shd w:val="clear" w:color="auto" w:fill="FFFFFF"/>
        <w:jc w:val="left"/>
        <w:rPr>
          <w:rFonts w:cs="Arial"/>
          <w:b/>
          <w:iCs/>
          <w:color w:val="0070C0"/>
          <w:szCs w:val="22"/>
        </w:rPr>
      </w:pPr>
      <w:r w:rsidRPr="000718AC">
        <w:rPr>
          <w:rFonts w:cs="Arial"/>
          <w:b/>
          <w:iCs/>
          <w:color w:val="0070C0"/>
          <w:szCs w:val="22"/>
        </w:rPr>
        <w:t>XX Samorządowe Forum Kapitału i Finansów 12 października 2022 r.</w:t>
      </w:r>
    </w:p>
    <w:p w14:paraId="31F2465B" w14:textId="3681EE1F" w:rsidR="00E43BD3" w:rsidRDefault="00E43BD3" w:rsidP="007A5C39">
      <w:pPr>
        <w:shd w:val="clear" w:color="auto" w:fill="FFFFFF"/>
        <w:rPr>
          <w:rFonts w:cs="Arial"/>
          <w:szCs w:val="22"/>
        </w:rPr>
      </w:pPr>
    </w:p>
    <w:p w14:paraId="31E32889" w14:textId="77777777" w:rsidR="00DB7125" w:rsidRPr="00DB7125" w:rsidRDefault="00DB7125" w:rsidP="00DB7125">
      <w:pPr>
        <w:shd w:val="clear" w:color="auto" w:fill="FFFFFF"/>
        <w:rPr>
          <w:rFonts w:cs="Arial"/>
          <w:szCs w:val="22"/>
        </w:rPr>
      </w:pPr>
      <w:r w:rsidRPr="00DB7125">
        <w:rPr>
          <w:rFonts w:cs="Arial"/>
          <w:szCs w:val="22"/>
        </w:rPr>
        <w:t>Przedstawiciel UZP wziął udział w panelu dyskusyjnym na temat roli zielonych zamówień w jednostkach samorządu terytorialnego jako skutecznego narzędzia wydatkowania środków publicznych. W dyskusji poruszono temat instrumentów służących realizacji zielonych zamówień publicznych, a także korzyści z tego wynikających. Inni uczestnicy panelu, tj. przedstawiciele Górnośląskiej Zagłębiowskiej Metropolii oraz Urzędu Gminy Wólka, zaprezentowali swoje działania kreujące zielone zamówienia publiczne.</w:t>
      </w:r>
    </w:p>
    <w:p w14:paraId="3198E5AB" w14:textId="51AF92C2" w:rsidR="00E43BD3" w:rsidRDefault="00E43BD3" w:rsidP="007A5C39">
      <w:pPr>
        <w:shd w:val="clear" w:color="auto" w:fill="FFFFFF"/>
        <w:rPr>
          <w:rFonts w:cs="Arial"/>
          <w:szCs w:val="22"/>
        </w:rPr>
      </w:pPr>
    </w:p>
    <w:p w14:paraId="579DFACF" w14:textId="62ABCB56" w:rsidR="00E43BD3" w:rsidRDefault="00E43BD3" w:rsidP="007A5C39">
      <w:pPr>
        <w:shd w:val="clear" w:color="auto" w:fill="FFFFFF"/>
        <w:rPr>
          <w:rFonts w:cs="Arial"/>
          <w:szCs w:val="22"/>
        </w:rPr>
      </w:pPr>
    </w:p>
    <w:p w14:paraId="3A0C1231" w14:textId="627D5411" w:rsidR="00A83318" w:rsidRPr="00934635" w:rsidRDefault="00A83318" w:rsidP="00E16264">
      <w:pPr>
        <w:pStyle w:val="StylArial11ptWyjustowany"/>
        <w:numPr>
          <w:ilvl w:val="1"/>
          <w:numId w:val="10"/>
        </w:numPr>
        <w:shd w:val="clear" w:color="auto" w:fill="FFFFFF"/>
        <w:jc w:val="left"/>
        <w:rPr>
          <w:rFonts w:cs="Arial"/>
          <w:b/>
          <w:iCs/>
          <w:color w:val="0070C0"/>
          <w:szCs w:val="22"/>
        </w:rPr>
      </w:pPr>
      <w:r w:rsidRPr="00A83318">
        <w:rPr>
          <w:rFonts w:cs="Arial"/>
          <w:b/>
          <w:bCs/>
          <w:iCs/>
          <w:color w:val="0070C0"/>
          <w:szCs w:val="22"/>
        </w:rPr>
        <w:t>Konferencja samorządowa „Czas na regiON” 19-20 października 2022</w:t>
      </w:r>
      <w:r w:rsidR="009343A1">
        <w:rPr>
          <w:rFonts w:cs="Arial"/>
          <w:b/>
          <w:bCs/>
          <w:iCs/>
          <w:color w:val="0070C0"/>
          <w:szCs w:val="22"/>
        </w:rPr>
        <w:t xml:space="preserve"> </w:t>
      </w:r>
      <w:r w:rsidRPr="00A83318">
        <w:rPr>
          <w:rFonts w:cs="Arial"/>
          <w:b/>
          <w:bCs/>
          <w:iCs/>
          <w:color w:val="0070C0"/>
          <w:szCs w:val="22"/>
        </w:rPr>
        <w:t>r.</w:t>
      </w:r>
    </w:p>
    <w:p w14:paraId="73A490E9" w14:textId="77777777" w:rsidR="00E43BD3" w:rsidRDefault="00E43BD3" w:rsidP="007A5C39">
      <w:pPr>
        <w:shd w:val="clear" w:color="auto" w:fill="FFFFFF"/>
        <w:rPr>
          <w:rFonts w:cs="Arial"/>
          <w:szCs w:val="22"/>
        </w:rPr>
      </w:pPr>
    </w:p>
    <w:p w14:paraId="0473D268" w14:textId="1B3B9BAD" w:rsidR="00A83318" w:rsidRPr="00A83318" w:rsidRDefault="00A83318" w:rsidP="00A83318">
      <w:pPr>
        <w:shd w:val="clear" w:color="auto" w:fill="FFFFFF"/>
        <w:rPr>
          <w:rFonts w:cs="Arial"/>
          <w:szCs w:val="22"/>
        </w:rPr>
      </w:pPr>
      <w:r w:rsidRPr="00A83318">
        <w:rPr>
          <w:rFonts w:cs="Arial"/>
          <w:szCs w:val="22"/>
        </w:rPr>
        <w:t>Przedstawiciel UZP wziął udział w panelu dyskusyjnym pn. „Ustawa o</w:t>
      </w:r>
      <w:r w:rsidR="009343A1">
        <w:rPr>
          <w:rFonts w:cs="Arial"/>
          <w:szCs w:val="22"/>
        </w:rPr>
        <w:t xml:space="preserve"> </w:t>
      </w:r>
      <w:r w:rsidRPr="00A83318">
        <w:rPr>
          <w:rFonts w:cs="Arial"/>
          <w:szCs w:val="22"/>
        </w:rPr>
        <w:t>elektromobilności</w:t>
      </w:r>
      <w:r w:rsidR="009343A1">
        <w:rPr>
          <w:rFonts w:cs="Arial"/>
          <w:szCs w:val="22"/>
        </w:rPr>
        <w:t xml:space="preserve"> </w:t>
      </w:r>
      <w:r w:rsidRPr="00A83318">
        <w:rPr>
          <w:rFonts w:cs="Arial"/>
          <w:szCs w:val="22"/>
        </w:rPr>
        <w:t>a zamówienia publiczne” w trakcie drugiego dnia konferencji samorządowej</w:t>
      </w:r>
      <w:r w:rsidR="009343A1">
        <w:rPr>
          <w:rFonts w:cs="Arial"/>
          <w:szCs w:val="22"/>
        </w:rPr>
        <w:t xml:space="preserve"> </w:t>
      </w:r>
      <w:r w:rsidRPr="00A83318">
        <w:rPr>
          <w:rFonts w:cs="Arial"/>
          <w:szCs w:val="22"/>
        </w:rPr>
        <w:t>pn. „Czas na regiON". W ramach swojego wystąpienia omówił pokrótce regulacje wynikające z ustawy o elektromobilności i paliwach alternatywnych wpływające na udzielanie zamówień publicznych na pojazdy samochodowe oraz</w:t>
      </w:r>
      <w:r w:rsidR="009343A1">
        <w:rPr>
          <w:rFonts w:cs="Arial"/>
          <w:szCs w:val="22"/>
        </w:rPr>
        <w:t xml:space="preserve"> </w:t>
      </w:r>
      <w:r w:rsidRPr="00A83318">
        <w:rPr>
          <w:rFonts w:cs="Arial"/>
          <w:szCs w:val="22"/>
        </w:rPr>
        <w:t>wybrane usługi transportowe, a także zaprezentował przepisy dotyczące wymaganych udziałów pojazdów elektrycznych we flocie i wykorzystywanych na</w:t>
      </w:r>
      <w:r w:rsidR="009343A1">
        <w:rPr>
          <w:rFonts w:cs="Arial"/>
          <w:szCs w:val="22"/>
        </w:rPr>
        <w:t xml:space="preserve"> </w:t>
      </w:r>
      <w:r w:rsidRPr="00A83318">
        <w:rPr>
          <w:rFonts w:cs="Arial"/>
          <w:szCs w:val="22"/>
        </w:rPr>
        <w:t>potrzeby realizacji zadań publicznych. Dalsza część panelu polegała na wskazaniu przez pozostałych uczestników dyskusji wycinkowych problemów interpretacyjnych przepisów oraz krótkiej rundzie pytań i odpowiedzi.</w:t>
      </w:r>
    </w:p>
    <w:p w14:paraId="2E4074DB" w14:textId="77777777" w:rsidR="00A83318" w:rsidRDefault="00A83318" w:rsidP="00A83318">
      <w:pPr>
        <w:shd w:val="clear" w:color="auto" w:fill="FFFFFF"/>
        <w:rPr>
          <w:rFonts w:cs="Arial"/>
          <w:szCs w:val="22"/>
        </w:rPr>
      </w:pPr>
    </w:p>
    <w:p w14:paraId="6A5BA0F7" w14:textId="43910A2F" w:rsidR="00A83318" w:rsidRPr="00A83318" w:rsidRDefault="00A83318" w:rsidP="00A83318">
      <w:pPr>
        <w:shd w:val="clear" w:color="auto" w:fill="FFFFFF"/>
        <w:rPr>
          <w:rFonts w:cs="Arial"/>
          <w:szCs w:val="22"/>
        </w:rPr>
      </w:pPr>
      <w:r w:rsidRPr="00A83318">
        <w:rPr>
          <w:rFonts w:cs="Arial"/>
          <w:szCs w:val="22"/>
        </w:rPr>
        <w:t>Konferencja samorządowa „Czas na regiON" to wydarzenie skierowane do samorządowców, pracowników jednostek samorządu terytorialnego wszystkich szczebli, przedstawicieli instytucji, organizacji i spółek samorządowych, przedstawicieli administracji publicznej z całej Polski oraz każdego zainteresowanego tematyką samorządową. Podczas dwóch dni Konferencji odbyły się 22 panele tematyczne, w których wzięło udział ponad 50 ekspertów i 200 uczestników z całej Polski.</w:t>
      </w:r>
    </w:p>
    <w:p w14:paraId="74D9918A" w14:textId="0C445798" w:rsidR="00E43BD3" w:rsidRDefault="00E43BD3" w:rsidP="007A5C39">
      <w:pPr>
        <w:shd w:val="clear" w:color="auto" w:fill="FFFFFF"/>
        <w:rPr>
          <w:rFonts w:cs="Arial"/>
          <w:szCs w:val="22"/>
        </w:rPr>
      </w:pPr>
    </w:p>
    <w:p w14:paraId="34E124E8" w14:textId="79CFCFD8" w:rsidR="00A83318" w:rsidRDefault="00A83318" w:rsidP="007A5C39">
      <w:pPr>
        <w:shd w:val="clear" w:color="auto" w:fill="FFFFFF"/>
        <w:rPr>
          <w:rFonts w:cs="Arial"/>
          <w:szCs w:val="22"/>
        </w:rPr>
      </w:pPr>
    </w:p>
    <w:p w14:paraId="6A897A68" w14:textId="6A2A766C" w:rsidR="00E51618" w:rsidRPr="00934635" w:rsidRDefault="00E51618" w:rsidP="00E16264">
      <w:pPr>
        <w:pStyle w:val="StylArial11ptWyjustowany"/>
        <w:numPr>
          <w:ilvl w:val="1"/>
          <w:numId w:val="10"/>
        </w:numPr>
        <w:shd w:val="clear" w:color="auto" w:fill="FFFFFF"/>
        <w:jc w:val="left"/>
        <w:rPr>
          <w:rFonts w:cs="Arial"/>
          <w:b/>
          <w:iCs/>
          <w:color w:val="0070C0"/>
          <w:szCs w:val="22"/>
        </w:rPr>
      </w:pPr>
      <w:r w:rsidRPr="00E51618">
        <w:rPr>
          <w:rFonts w:cs="Arial"/>
          <w:b/>
          <w:bCs/>
          <w:iCs/>
          <w:color w:val="0070C0"/>
          <w:szCs w:val="22"/>
        </w:rPr>
        <w:t>VII Forum Uczelnianych Pełnomocników ds. Osób z</w:t>
      </w:r>
      <w:r w:rsidR="009343A1">
        <w:rPr>
          <w:rFonts w:cs="Arial"/>
          <w:b/>
          <w:bCs/>
          <w:iCs/>
          <w:color w:val="0070C0"/>
          <w:szCs w:val="22"/>
        </w:rPr>
        <w:t xml:space="preserve"> </w:t>
      </w:r>
      <w:r w:rsidRPr="00E51618">
        <w:rPr>
          <w:rFonts w:cs="Arial"/>
          <w:b/>
          <w:bCs/>
          <w:iCs/>
          <w:color w:val="0070C0"/>
          <w:szCs w:val="22"/>
        </w:rPr>
        <w:t>Niepełnosprawnościami, 21-22 września 2022 r. Poznań</w:t>
      </w:r>
    </w:p>
    <w:p w14:paraId="34658CF4" w14:textId="36DD2D4E" w:rsidR="00A83318" w:rsidRDefault="00A83318" w:rsidP="007A5C39">
      <w:pPr>
        <w:shd w:val="clear" w:color="auto" w:fill="FFFFFF"/>
        <w:rPr>
          <w:rFonts w:cs="Arial"/>
          <w:szCs w:val="22"/>
        </w:rPr>
      </w:pPr>
    </w:p>
    <w:p w14:paraId="4AD71D3C" w14:textId="465B7AFD" w:rsidR="00405BD4" w:rsidRPr="00405BD4" w:rsidRDefault="00405BD4" w:rsidP="00405BD4">
      <w:pPr>
        <w:shd w:val="clear" w:color="auto" w:fill="FFFFFF"/>
        <w:rPr>
          <w:rFonts w:cs="Arial"/>
          <w:szCs w:val="22"/>
        </w:rPr>
      </w:pPr>
      <w:r w:rsidRPr="00405BD4">
        <w:rPr>
          <w:rFonts w:cs="Arial"/>
          <w:szCs w:val="22"/>
        </w:rPr>
        <w:t>Głównym celem wydarzenia zorganizowanego przez Biuro Wsparcia Osób z</w:t>
      </w:r>
      <w:r w:rsidR="009343A1">
        <w:rPr>
          <w:rFonts w:cs="Arial"/>
          <w:szCs w:val="22"/>
        </w:rPr>
        <w:t xml:space="preserve"> </w:t>
      </w:r>
      <w:r w:rsidRPr="00405BD4">
        <w:rPr>
          <w:rFonts w:cs="Arial"/>
          <w:szCs w:val="22"/>
        </w:rPr>
        <w:t>Niepełnosprawnościami Uniwersytetu im. Adama Mickiewicza w Poznaniu było promowanie innowacyjnych rozwiązań w zakresie wspierania osób z</w:t>
      </w:r>
      <w:r w:rsidR="009343A1">
        <w:rPr>
          <w:rFonts w:cs="Arial"/>
          <w:szCs w:val="22"/>
        </w:rPr>
        <w:t xml:space="preserve"> </w:t>
      </w:r>
      <w:r w:rsidRPr="00405BD4">
        <w:rPr>
          <w:rFonts w:cs="Arial"/>
          <w:szCs w:val="22"/>
        </w:rPr>
        <w:t>niepełnosprawnościami oraz upowszechnianie wiedzy i podnoszenie świadomości na temat funkcjonowania osób z różnymi niepełnosprawnościami w szkolnictwie wyższym. W ramach konferencji przedstawiciel Urzędu przybliżył uczestnikom temat dostępności w zamówieniach publicznych.</w:t>
      </w:r>
    </w:p>
    <w:p w14:paraId="5E1FD9CF" w14:textId="688C0505" w:rsidR="00A83318" w:rsidRDefault="00A83318" w:rsidP="007A5C39">
      <w:pPr>
        <w:shd w:val="clear" w:color="auto" w:fill="FFFFFF"/>
        <w:rPr>
          <w:rFonts w:cs="Arial"/>
          <w:szCs w:val="22"/>
        </w:rPr>
      </w:pPr>
    </w:p>
    <w:p w14:paraId="5EA97DFC" w14:textId="27531F57" w:rsidR="00405BD4" w:rsidRDefault="00405BD4" w:rsidP="007A5C39">
      <w:pPr>
        <w:shd w:val="clear" w:color="auto" w:fill="FFFFFF"/>
        <w:rPr>
          <w:rFonts w:cs="Arial"/>
          <w:szCs w:val="22"/>
        </w:rPr>
      </w:pPr>
    </w:p>
    <w:p w14:paraId="3A8401A7" w14:textId="3EA89E20" w:rsidR="00405BD4" w:rsidRPr="00C6336B" w:rsidRDefault="00405BD4" w:rsidP="00E16264">
      <w:pPr>
        <w:pStyle w:val="StylArial11ptWyjustowany"/>
        <w:numPr>
          <w:ilvl w:val="1"/>
          <w:numId w:val="10"/>
        </w:numPr>
        <w:shd w:val="clear" w:color="auto" w:fill="FFFFFF"/>
        <w:jc w:val="left"/>
        <w:rPr>
          <w:rFonts w:cs="Arial"/>
          <w:b/>
          <w:iCs/>
          <w:color w:val="0070C0"/>
          <w:szCs w:val="22"/>
        </w:rPr>
      </w:pPr>
      <w:r>
        <w:rPr>
          <w:rFonts w:cs="Arial"/>
          <w:b/>
          <w:bCs/>
          <w:iCs/>
          <w:color w:val="0070C0"/>
          <w:szCs w:val="22"/>
        </w:rPr>
        <w:t>N</w:t>
      </w:r>
      <w:r w:rsidRPr="00405BD4">
        <w:rPr>
          <w:rFonts w:cs="Arial"/>
          <w:b/>
          <w:bCs/>
          <w:iCs/>
          <w:color w:val="0070C0"/>
          <w:szCs w:val="22"/>
        </w:rPr>
        <w:t>arzędzia elektronicznego modelowania danych o obiektach budowlanych (BIM)</w:t>
      </w:r>
    </w:p>
    <w:p w14:paraId="65C6F43C" w14:textId="77777777" w:rsidR="00C6336B" w:rsidRPr="00C6336B" w:rsidRDefault="00C6336B" w:rsidP="00C6336B">
      <w:pPr>
        <w:pStyle w:val="StylArial11ptWyjustowany"/>
        <w:shd w:val="clear" w:color="auto" w:fill="FFFFFF"/>
        <w:jc w:val="left"/>
        <w:rPr>
          <w:rFonts w:cs="Arial"/>
          <w:iCs/>
          <w:szCs w:val="22"/>
        </w:rPr>
      </w:pPr>
    </w:p>
    <w:p w14:paraId="1FC0B33B" w14:textId="46C61CF0" w:rsidR="00C6336B" w:rsidRPr="00934635" w:rsidRDefault="00C6336B" w:rsidP="00E16264">
      <w:pPr>
        <w:pStyle w:val="StylArial11ptWyjustowany"/>
        <w:numPr>
          <w:ilvl w:val="2"/>
          <w:numId w:val="10"/>
        </w:numPr>
        <w:shd w:val="clear" w:color="auto" w:fill="FFFFFF"/>
        <w:jc w:val="left"/>
        <w:rPr>
          <w:rFonts w:cs="Arial"/>
          <w:b/>
          <w:iCs/>
          <w:color w:val="0070C0"/>
          <w:szCs w:val="22"/>
        </w:rPr>
      </w:pPr>
      <w:r>
        <w:rPr>
          <w:rFonts w:cs="Arial"/>
          <w:b/>
          <w:bCs/>
          <w:iCs/>
          <w:color w:val="0070C0"/>
          <w:szCs w:val="22"/>
        </w:rPr>
        <w:t>G</w:t>
      </w:r>
      <w:r w:rsidRPr="00C6336B">
        <w:rPr>
          <w:rFonts w:cs="Arial"/>
          <w:b/>
          <w:bCs/>
          <w:iCs/>
          <w:color w:val="0070C0"/>
          <w:szCs w:val="22"/>
        </w:rPr>
        <w:t>rupa robocza do spraw BIM</w:t>
      </w:r>
    </w:p>
    <w:p w14:paraId="3AE60A92" w14:textId="26306532" w:rsidR="00405BD4" w:rsidRDefault="00405BD4" w:rsidP="007A5C39">
      <w:pPr>
        <w:shd w:val="clear" w:color="auto" w:fill="FFFFFF"/>
        <w:rPr>
          <w:rFonts w:cs="Arial"/>
          <w:szCs w:val="22"/>
        </w:rPr>
      </w:pPr>
    </w:p>
    <w:p w14:paraId="3162865D" w14:textId="24D25F7C" w:rsidR="00C6336B" w:rsidRDefault="00C6336B" w:rsidP="007A5C39">
      <w:pPr>
        <w:shd w:val="clear" w:color="auto" w:fill="FFFFFF"/>
        <w:rPr>
          <w:rFonts w:cs="Arial"/>
          <w:szCs w:val="22"/>
        </w:rPr>
      </w:pPr>
      <w:r w:rsidRPr="00C6336B">
        <w:rPr>
          <w:rFonts w:cs="Arial"/>
          <w:szCs w:val="22"/>
        </w:rPr>
        <w:t>Przedstawiciel UZP został powołany w skład Grupy roboczej do spraw BIM, która w marcu 2022 r. została powołana przy Ministrze Rozwoju i Technologii. Podstawowym zadaniem grupy jest zapewnienie wsparcia Ministrowi w działaniach związanych z wdrażaniem BIM oraz opracowywanie strategii wdrażania BIM w Polsce, uwzględniając w szczególności: przygotowywanie administracji architektoniczno-budowlanej i nadzoru budowlanego do realizacji projektów inwestycyjnych w budownictwie zgodnie z metodyką BIM. Ponadto Grupa przygotowuje propozycje działań legislacyjnych dotyczących realizacji projektów inwestycyjnych w budownictwie zgodnie z metodyką BIM, w tym w ramach zamówień publicznych. W 2022 r. odbyło się 8 posiedzeń Grupy</w:t>
      </w:r>
      <w:r w:rsidR="00407741">
        <w:rPr>
          <w:rFonts w:cs="Arial"/>
          <w:szCs w:val="22"/>
        </w:rPr>
        <w:t>.</w:t>
      </w:r>
      <w:r w:rsidRPr="00C6336B">
        <w:rPr>
          <w:rFonts w:cs="Arial"/>
          <w:szCs w:val="22"/>
        </w:rPr>
        <w:t xml:space="preserve"> </w:t>
      </w:r>
    </w:p>
    <w:p w14:paraId="29A7070E" w14:textId="719B61AC" w:rsidR="00405BD4" w:rsidRDefault="00BE2079" w:rsidP="007A5C39">
      <w:pPr>
        <w:shd w:val="clear" w:color="auto" w:fill="FFFFFF"/>
        <w:rPr>
          <w:rFonts w:cs="Arial"/>
          <w:szCs w:val="22"/>
        </w:rPr>
      </w:pPr>
      <w:hyperlink r:id="rId62" w:history="1">
        <w:r w:rsidR="00C832FB" w:rsidRPr="00AC3791">
          <w:rPr>
            <w:rStyle w:val="Hipercze"/>
            <w:rFonts w:cs="Arial"/>
            <w:szCs w:val="22"/>
          </w:rPr>
          <w:t>https://www.gov.pl/web/rozwoj-technologia/grupa-robocza-do-spraw-bim</w:t>
        </w:r>
      </w:hyperlink>
    </w:p>
    <w:p w14:paraId="3DD8927F" w14:textId="1AB8B9AB" w:rsidR="00E51618" w:rsidRDefault="00E51618" w:rsidP="007A5C39">
      <w:pPr>
        <w:shd w:val="clear" w:color="auto" w:fill="FFFFFF"/>
        <w:rPr>
          <w:rFonts w:cs="Arial"/>
          <w:szCs w:val="22"/>
        </w:rPr>
      </w:pPr>
    </w:p>
    <w:p w14:paraId="3BB7A419" w14:textId="77777777" w:rsidR="0037506F" w:rsidRDefault="0037506F" w:rsidP="007A5C39">
      <w:pPr>
        <w:shd w:val="clear" w:color="auto" w:fill="FFFFFF"/>
        <w:rPr>
          <w:rFonts w:cs="Arial"/>
          <w:szCs w:val="22"/>
        </w:rPr>
      </w:pPr>
    </w:p>
    <w:p w14:paraId="77BC55D1" w14:textId="5A36FCE1" w:rsidR="00C06378" w:rsidRPr="00934635" w:rsidRDefault="00C06378" w:rsidP="00E16264">
      <w:pPr>
        <w:pStyle w:val="StylArial11ptWyjustowany"/>
        <w:numPr>
          <w:ilvl w:val="2"/>
          <w:numId w:val="10"/>
        </w:numPr>
        <w:shd w:val="clear" w:color="auto" w:fill="FFFFFF"/>
        <w:jc w:val="left"/>
        <w:rPr>
          <w:rFonts w:cs="Arial"/>
          <w:b/>
          <w:iCs/>
          <w:color w:val="0070C0"/>
          <w:szCs w:val="22"/>
        </w:rPr>
      </w:pPr>
      <w:r>
        <w:rPr>
          <w:rFonts w:cs="Arial"/>
          <w:b/>
          <w:bCs/>
          <w:iCs/>
          <w:color w:val="0070C0"/>
          <w:szCs w:val="22"/>
        </w:rPr>
        <w:t>U</w:t>
      </w:r>
      <w:r w:rsidRPr="00C06378">
        <w:rPr>
          <w:rFonts w:cs="Arial"/>
          <w:b/>
          <w:bCs/>
          <w:iCs/>
          <w:color w:val="0070C0"/>
          <w:szCs w:val="22"/>
        </w:rPr>
        <w:t>dział w wydarzeniach zewnętrznych dotyczących BIM</w:t>
      </w:r>
    </w:p>
    <w:p w14:paraId="4EC76FDF" w14:textId="541BAA22" w:rsidR="00A83318" w:rsidRDefault="00A83318" w:rsidP="007A5C39">
      <w:pPr>
        <w:shd w:val="clear" w:color="auto" w:fill="FFFFFF"/>
        <w:rPr>
          <w:rFonts w:cs="Arial"/>
          <w:szCs w:val="22"/>
        </w:rPr>
      </w:pPr>
    </w:p>
    <w:p w14:paraId="7F7040AB" w14:textId="3B343F4D" w:rsidR="00C06378" w:rsidRPr="00C06378" w:rsidRDefault="00C06378" w:rsidP="00C06378">
      <w:pPr>
        <w:shd w:val="clear" w:color="auto" w:fill="FFFFFF"/>
        <w:rPr>
          <w:rFonts w:cs="Arial"/>
          <w:szCs w:val="22"/>
        </w:rPr>
      </w:pPr>
      <w:r w:rsidRPr="00C06378">
        <w:rPr>
          <w:rFonts w:cs="Arial"/>
          <w:szCs w:val="22"/>
        </w:rPr>
        <w:t>Przedstawiciel UZP wziął udział w następujących wydarzeniach zewnętrznych dotyczących tematyki BIM: Akademia Górniczo-Hutnicza/Grupa Robocza ds. BIM – spotkanie robocze dotyczące wdrożenia formatu IFC w Polsce, 8.12.2022; WSB Poznań – wystąpienie na konferencji absolwentów studiów BIM poświęconej tematyce BIM, 1.10.2022; buildingSmart Polska – spotkanie w sprawie klasyfikacji budowlanej CCI-PL, 22.09.2022.</w:t>
      </w:r>
      <w:r w:rsidR="009343A1">
        <w:rPr>
          <w:rFonts w:cs="Arial"/>
          <w:szCs w:val="22"/>
        </w:rPr>
        <w:t xml:space="preserve"> </w:t>
      </w:r>
    </w:p>
    <w:p w14:paraId="445AB850" w14:textId="1231F9E9" w:rsidR="00A83318" w:rsidRDefault="00A83318" w:rsidP="007A5C39">
      <w:pPr>
        <w:shd w:val="clear" w:color="auto" w:fill="FFFFFF"/>
        <w:rPr>
          <w:rFonts w:cs="Arial"/>
          <w:szCs w:val="22"/>
        </w:rPr>
      </w:pPr>
    </w:p>
    <w:p w14:paraId="224D2B06" w14:textId="77777777" w:rsidR="0037506F" w:rsidRDefault="0037506F" w:rsidP="007A5C39">
      <w:pPr>
        <w:shd w:val="clear" w:color="auto" w:fill="FFFFFF"/>
        <w:rPr>
          <w:rFonts w:cs="Arial"/>
          <w:szCs w:val="22"/>
        </w:rPr>
      </w:pPr>
    </w:p>
    <w:p w14:paraId="48E26F94" w14:textId="42D8F2E1" w:rsidR="00C06378" w:rsidRPr="00934635" w:rsidRDefault="00C06378" w:rsidP="00E16264">
      <w:pPr>
        <w:pStyle w:val="StylArial11ptWyjustowany"/>
        <w:numPr>
          <w:ilvl w:val="2"/>
          <w:numId w:val="10"/>
        </w:numPr>
        <w:shd w:val="clear" w:color="auto" w:fill="FFFFFF"/>
        <w:jc w:val="left"/>
        <w:rPr>
          <w:rFonts w:cs="Arial"/>
          <w:b/>
          <w:iCs/>
          <w:color w:val="0070C0"/>
          <w:szCs w:val="22"/>
        </w:rPr>
      </w:pPr>
      <w:r>
        <w:rPr>
          <w:rFonts w:cs="Arial"/>
          <w:b/>
          <w:bCs/>
          <w:iCs/>
          <w:color w:val="0070C0"/>
          <w:szCs w:val="22"/>
        </w:rPr>
        <w:t>Z</w:t>
      </w:r>
      <w:r w:rsidRPr="00C06378">
        <w:rPr>
          <w:rFonts w:cs="Arial"/>
          <w:b/>
          <w:bCs/>
          <w:iCs/>
          <w:color w:val="0070C0"/>
          <w:szCs w:val="22"/>
        </w:rPr>
        <w:t>espół ds. tłumaczenia normy ISO 19650</w:t>
      </w:r>
    </w:p>
    <w:p w14:paraId="0EC3F456" w14:textId="0E8143B6" w:rsidR="00A83318" w:rsidRDefault="00A83318" w:rsidP="007A5C39">
      <w:pPr>
        <w:shd w:val="clear" w:color="auto" w:fill="FFFFFF"/>
        <w:rPr>
          <w:rFonts w:cs="Arial"/>
          <w:szCs w:val="22"/>
        </w:rPr>
      </w:pPr>
    </w:p>
    <w:p w14:paraId="014157F4" w14:textId="77777777" w:rsidR="00534763" w:rsidRPr="00534763" w:rsidRDefault="00534763" w:rsidP="00534763">
      <w:pPr>
        <w:shd w:val="clear" w:color="auto" w:fill="FFFFFF"/>
        <w:rPr>
          <w:rFonts w:cs="Arial"/>
          <w:szCs w:val="22"/>
        </w:rPr>
      </w:pPr>
      <w:r w:rsidRPr="00534763">
        <w:rPr>
          <w:rFonts w:cs="Arial"/>
          <w:szCs w:val="22"/>
        </w:rPr>
        <w:t xml:space="preserve">Przedstawiciel UZP uczestniczył w pracach Zespołu ds. tłumaczenia normy ISO 19650. Propozycja tłumaczenia Słownika normy ISO 19650 w ramach Zespołu powstała w wyniku inicjatywy Izby Architektów RP (IARP) obejmującej przetłumaczenie norm ISO 19650-1 i 19650-2 zgłoszonej w Komitecie Technicznym KT-232 Polskiego Komitetu Normalizacji. W ramach Zespołu pracowały osoby reprezentujące następujące instytucje: Izba Architektów Rzeczypospolitej Polskiej, Polska Izba Inżynierów Budownictwa, Stowarzyszenie Architektów Polskich, Urząd Zamówień Publicznych, Politechnika Krakowska. </w:t>
      </w:r>
    </w:p>
    <w:p w14:paraId="100F6700" w14:textId="77777777" w:rsidR="00A83318" w:rsidRDefault="00A83318" w:rsidP="007A5C39">
      <w:pPr>
        <w:shd w:val="clear" w:color="auto" w:fill="FFFFFF"/>
        <w:rPr>
          <w:rFonts w:cs="Arial"/>
          <w:szCs w:val="22"/>
        </w:rPr>
      </w:pPr>
    </w:p>
    <w:p w14:paraId="2336F770" w14:textId="0EBF513E" w:rsidR="00A83318" w:rsidRDefault="00A83318" w:rsidP="007A5C39">
      <w:pPr>
        <w:shd w:val="clear" w:color="auto" w:fill="FFFFFF"/>
        <w:rPr>
          <w:rFonts w:cs="Arial"/>
          <w:szCs w:val="22"/>
        </w:rPr>
      </w:pPr>
    </w:p>
    <w:p w14:paraId="51F7DDDD" w14:textId="2B61B718" w:rsidR="00FA7F91" w:rsidRPr="00C6336B" w:rsidRDefault="00FA7F91" w:rsidP="00E16264">
      <w:pPr>
        <w:pStyle w:val="StylArial11ptWyjustowany"/>
        <w:numPr>
          <w:ilvl w:val="1"/>
          <w:numId w:val="10"/>
        </w:numPr>
        <w:shd w:val="clear" w:color="auto" w:fill="FFFFFF"/>
        <w:jc w:val="left"/>
        <w:rPr>
          <w:rFonts w:cs="Arial"/>
          <w:b/>
          <w:iCs/>
          <w:color w:val="0070C0"/>
          <w:szCs w:val="22"/>
        </w:rPr>
      </w:pPr>
      <w:r>
        <w:rPr>
          <w:rFonts w:cs="Arial"/>
          <w:b/>
          <w:bCs/>
          <w:iCs/>
          <w:color w:val="0070C0"/>
          <w:szCs w:val="22"/>
        </w:rPr>
        <w:t>Z</w:t>
      </w:r>
      <w:r w:rsidRPr="00FA7F91">
        <w:rPr>
          <w:rFonts w:cs="Arial"/>
          <w:b/>
          <w:bCs/>
          <w:iCs/>
          <w:color w:val="0070C0"/>
          <w:szCs w:val="22"/>
        </w:rPr>
        <w:t>amówienia publiczne na innowacje (ZPI)</w:t>
      </w:r>
    </w:p>
    <w:p w14:paraId="5C9C6AEC" w14:textId="20365FB2" w:rsidR="00A83318" w:rsidRDefault="00A83318" w:rsidP="007A5C39">
      <w:pPr>
        <w:shd w:val="clear" w:color="auto" w:fill="FFFFFF"/>
        <w:rPr>
          <w:rFonts w:cs="Arial"/>
          <w:szCs w:val="22"/>
        </w:rPr>
      </w:pPr>
    </w:p>
    <w:p w14:paraId="54BF13CE" w14:textId="70FF0482" w:rsidR="00D65C44" w:rsidRPr="00D65C44" w:rsidRDefault="00D65C44" w:rsidP="00D65C44">
      <w:pPr>
        <w:shd w:val="clear" w:color="auto" w:fill="FFFFFF"/>
        <w:rPr>
          <w:rFonts w:cs="Arial"/>
          <w:szCs w:val="22"/>
        </w:rPr>
      </w:pPr>
      <w:r w:rsidRPr="00D65C44">
        <w:rPr>
          <w:rFonts w:cs="Arial"/>
          <w:szCs w:val="22"/>
        </w:rPr>
        <w:t>W 2022 roku działania w zakresie zamówień publicznych na innowacje skoncentrowane były na tematyce BIM (zobacz sekcję poświęconą tematyce BIM). Narzędzia typu BIM choć obecne na krajowym rynku projektowym i budowlanym są</w:t>
      </w:r>
      <w:r w:rsidR="009343A1">
        <w:rPr>
          <w:rFonts w:cs="Arial"/>
          <w:szCs w:val="22"/>
        </w:rPr>
        <w:t xml:space="preserve"> </w:t>
      </w:r>
      <w:r w:rsidRPr="00D65C44">
        <w:rPr>
          <w:rFonts w:cs="Arial"/>
          <w:szCs w:val="22"/>
        </w:rPr>
        <w:t>w niedostateczny sposób wykorzystywane w ramach projektów finansowanych przez sektor publiczny. Dlatego też postrzegane są jako rozwiązanie innowacyjne. Jednym z działań podejmowanych w ramach promowania wśród zamawiających BIM jako innowacji była opracowane we współpracy z szerokim gronem ekspertów zewnętrznych publikacja pt. „BIM – innowacyjne podejście do zamówień publicznych w sektorze budowlanym” (</w:t>
      </w:r>
      <w:hyperlink r:id="rId63" w:history="1">
        <w:r w:rsidRPr="00D65C44">
          <w:rPr>
            <w:rStyle w:val="Hipercze"/>
            <w:rFonts w:cs="Arial"/>
            <w:szCs w:val="22"/>
          </w:rPr>
          <w:t>https://www.gov.pl/web/uzp/bim---innowacyjne-podejscie-do-zamowien-publicznych-w-sektorze-budowlanym</w:t>
        </w:r>
      </w:hyperlink>
      <w:r w:rsidRPr="00D65C44">
        <w:rPr>
          <w:rFonts w:cs="Arial"/>
          <w:szCs w:val="22"/>
        </w:rPr>
        <w:t>), której zadaniem było wprowadzenie w temat zamawiających</w:t>
      </w:r>
      <w:r w:rsidR="009343A1">
        <w:rPr>
          <w:rFonts w:cs="Arial"/>
          <w:szCs w:val="22"/>
        </w:rPr>
        <w:t xml:space="preserve"> </w:t>
      </w:r>
      <w:r w:rsidRPr="00D65C44">
        <w:rPr>
          <w:rFonts w:cs="Arial"/>
          <w:szCs w:val="22"/>
        </w:rPr>
        <w:t>nieznających go lub posiadających bardzo ograniczoną wiedzę w tym zakresie.</w:t>
      </w:r>
    </w:p>
    <w:p w14:paraId="2E70552B" w14:textId="77777777" w:rsidR="00D65C44" w:rsidRDefault="00D65C44" w:rsidP="00D65C44">
      <w:pPr>
        <w:shd w:val="clear" w:color="auto" w:fill="FFFFFF"/>
        <w:rPr>
          <w:rFonts w:cs="Arial"/>
          <w:szCs w:val="22"/>
        </w:rPr>
      </w:pPr>
    </w:p>
    <w:p w14:paraId="4167A97E" w14:textId="0263B572" w:rsidR="00D65C44" w:rsidRPr="00D65C44" w:rsidRDefault="00D65C44" w:rsidP="00D65C44">
      <w:pPr>
        <w:shd w:val="clear" w:color="auto" w:fill="FFFFFF"/>
        <w:rPr>
          <w:rFonts w:cs="Arial"/>
          <w:szCs w:val="22"/>
        </w:rPr>
      </w:pPr>
      <w:r w:rsidRPr="00D65C44">
        <w:rPr>
          <w:rFonts w:cs="Arial"/>
          <w:szCs w:val="22"/>
        </w:rPr>
        <w:t>Ponadto przedstawiciel UZP wziął udział w następujących spotkaniach dotyczących tematyki</w:t>
      </w:r>
      <w:r w:rsidR="009343A1">
        <w:rPr>
          <w:rFonts w:cs="Arial"/>
          <w:szCs w:val="22"/>
        </w:rPr>
        <w:t xml:space="preserve"> </w:t>
      </w:r>
      <w:r w:rsidRPr="00D65C44">
        <w:rPr>
          <w:rFonts w:cs="Arial"/>
          <w:szCs w:val="22"/>
        </w:rPr>
        <w:t xml:space="preserve">zamówień publicznych na innowacje: </w:t>
      </w:r>
      <w:r w:rsidRPr="00D65C44">
        <w:rPr>
          <w:rFonts w:cs="Arial"/>
          <w:i/>
          <w:iCs/>
          <w:szCs w:val="22"/>
        </w:rPr>
        <w:t>EAFIP Innovation Procurement: Cybersecurity &amp; dual use</w:t>
      </w:r>
      <w:r w:rsidRPr="00D65C44">
        <w:rPr>
          <w:rFonts w:cs="Arial"/>
          <w:szCs w:val="22"/>
        </w:rPr>
        <w:t xml:space="preserve"> w dniu 13 stycznia 2022 r.; konferencja Uniwersytetu Śląskiego pn. Zamówienia publiczne i innowacje w dniu 19 stycznia 2022 r.; warsztaty </w:t>
      </w:r>
      <w:r w:rsidRPr="00D65C44">
        <w:rPr>
          <w:rFonts w:cs="Arial"/>
          <w:i/>
          <w:iCs/>
          <w:szCs w:val="22"/>
        </w:rPr>
        <w:t>IPRs and Innovation</w:t>
      </w:r>
      <w:r w:rsidRPr="00D65C44">
        <w:rPr>
          <w:rFonts w:cs="Arial"/>
          <w:szCs w:val="22"/>
        </w:rPr>
        <w:t xml:space="preserve"> w dniu 20 stycznia 2022 r.; warsztaty </w:t>
      </w:r>
      <w:r w:rsidRPr="00D65C44">
        <w:rPr>
          <w:rFonts w:cs="Arial"/>
          <w:i/>
          <w:iCs/>
          <w:szCs w:val="22"/>
        </w:rPr>
        <w:t>EAFIP Innovation Procurement: PCP&amp;PPI</w:t>
      </w:r>
      <w:r w:rsidRPr="00D65C44">
        <w:rPr>
          <w:rFonts w:cs="Arial"/>
          <w:szCs w:val="22"/>
        </w:rPr>
        <w:t xml:space="preserve"> w dniu 15 lutego 2022 r.</w:t>
      </w:r>
    </w:p>
    <w:p w14:paraId="1FD1AAEA" w14:textId="77777777" w:rsidR="004E6E49" w:rsidRPr="00CD1EAA" w:rsidRDefault="004E6E49" w:rsidP="00CD1EAA">
      <w:pPr>
        <w:rPr>
          <w:rFonts w:cs="Arial"/>
          <w:szCs w:val="22"/>
        </w:rPr>
      </w:pPr>
    </w:p>
    <w:p w14:paraId="1318D422" w14:textId="3A8EC94F" w:rsidR="004E6E49" w:rsidRPr="00CD1EAA" w:rsidRDefault="004E6E49" w:rsidP="00CD1EAA">
      <w:pPr>
        <w:shd w:val="clear" w:color="auto" w:fill="FFFFFF"/>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AB5334" w14:paraId="694A0765" w14:textId="77777777" w:rsidTr="0052673B">
        <w:trPr>
          <w:cantSplit/>
        </w:trPr>
        <w:tc>
          <w:tcPr>
            <w:tcW w:w="236" w:type="dxa"/>
            <w:shd w:val="clear" w:color="auto" w:fill="B8CCE4"/>
          </w:tcPr>
          <w:p w14:paraId="7841B5CC" w14:textId="77777777" w:rsidR="00E63700" w:rsidRPr="007057F1" w:rsidRDefault="00E63700" w:rsidP="00AB5334">
            <w:pPr>
              <w:rPr>
                <w:rFonts w:cs="Arial"/>
                <w:szCs w:val="22"/>
              </w:rPr>
            </w:pPr>
          </w:p>
        </w:tc>
        <w:tc>
          <w:tcPr>
            <w:tcW w:w="8676" w:type="dxa"/>
          </w:tcPr>
          <w:p w14:paraId="0BE84920" w14:textId="41E75F31" w:rsidR="00E63700" w:rsidRPr="00105422" w:rsidRDefault="00D01743" w:rsidP="00F37E98">
            <w:pPr>
              <w:pStyle w:val="Nagwek3"/>
              <w:shd w:val="clear" w:color="auto" w:fill="FFFFFF"/>
              <w:spacing w:after="120"/>
              <w:ind w:left="0"/>
              <w:rPr>
                <w:rFonts w:cs="Arial"/>
                <w:color w:val="0070C0"/>
                <w:sz w:val="24"/>
                <w:szCs w:val="24"/>
              </w:rPr>
            </w:pPr>
            <w:bookmarkStart w:id="236" w:name="_Toc64451886"/>
            <w:bookmarkStart w:id="237" w:name="_Toc141276463"/>
            <w:r w:rsidRPr="00105422">
              <w:rPr>
                <w:rFonts w:cs="Arial"/>
                <w:color w:val="0070C0"/>
                <w:sz w:val="24"/>
                <w:szCs w:val="24"/>
              </w:rPr>
              <w:t>III.1.1</w:t>
            </w:r>
            <w:r w:rsidR="00F37E98" w:rsidRPr="00105422">
              <w:rPr>
                <w:rFonts w:cs="Arial"/>
                <w:color w:val="0070C0"/>
                <w:sz w:val="24"/>
                <w:szCs w:val="24"/>
              </w:rPr>
              <w:t>0</w:t>
            </w:r>
            <w:r w:rsidRPr="00105422">
              <w:rPr>
                <w:rFonts w:cs="Arial"/>
                <w:color w:val="0070C0"/>
                <w:sz w:val="24"/>
                <w:szCs w:val="24"/>
              </w:rPr>
              <w:t>.</w:t>
            </w:r>
            <w:r w:rsidR="00750B05" w:rsidRPr="00105422">
              <w:rPr>
                <w:rFonts w:cs="Arial"/>
                <w:color w:val="0070C0"/>
                <w:sz w:val="24"/>
                <w:szCs w:val="24"/>
              </w:rPr>
              <w:t xml:space="preserve"> </w:t>
            </w:r>
            <w:r w:rsidRPr="00105422">
              <w:rPr>
                <w:rFonts w:cs="Arial"/>
                <w:color w:val="0070C0"/>
                <w:sz w:val="24"/>
                <w:szCs w:val="24"/>
              </w:rPr>
              <w:t>Współpraca międzynarodowa</w:t>
            </w:r>
            <w:bookmarkEnd w:id="236"/>
            <w:bookmarkEnd w:id="237"/>
          </w:p>
        </w:tc>
      </w:tr>
    </w:tbl>
    <w:p w14:paraId="580AA56D" w14:textId="7154AD05" w:rsidR="00E63700" w:rsidRDefault="00E63700" w:rsidP="00822AAB">
      <w:pPr>
        <w:shd w:val="clear" w:color="auto" w:fill="FFFFFF"/>
        <w:rPr>
          <w:rFonts w:cs="Arial"/>
          <w:szCs w:val="22"/>
        </w:rPr>
      </w:pPr>
    </w:p>
    <w:p w14:paraId="35333968" w14:textId="2DB1A0E9" w:rsidR="001E1705" w:rsidRPr="00292EE8" w:rsidRDefault="001E1705" w:rsidP="00E16264">
      <w:pPr>
        <w:pStyle w:val="StylArial11ptWyjustowany"/>
        <w:numPr>
          <w:ilvl w:val="0"/>
          <w:numId w:val="11"/>
        </w:numPr>
        <w:shd w:val="clear" w:color="auto" w:fill="FFFFFF"/>
        <w:jc w:val="left"/>
        <w:rPr>
          <w:rFonts w:cs="Arial"/>
          <w:b/>
          <w:iCs/>
          <w:color w:val="0070C0"/>
          <w:szCs w:val="22"/>
        </w:rPr>
      </w:pPr>
      <w:r w:rsidRPr="00292EE8">
        <w:rPr>
          <w:rFonts w:cs="Arial"/>
          <w:b/>
          <w:iCs/>
          <w:color w:val="0070C0"/>
          <w:szCs w:val="22"/>
        </w:rPr>
        <w:t xml:space="preserve">Udział w pracach nad inicjatywami unijnymi </w:t>
      </w:r>
    </w:p>
    <w:p w14:paraId="092E1FFA" w14:textId="77777777" w:rsidR="001E1705" w:rsidRPr="001E1705" w:rsidRDefault="001E1705" w:rsidP="001E1705">
      <w:pPr>
        <w:shd w:val="clear" w:color="auto" w:fill="FFFFFF"/>
        <w:rPr>
          <w:rFonts w:cs="Arial"/>
          <w:szCs w:val="22"/>
        </w:rPr>
      </w:pPr>
    </w:p>
    <w:p w14:paraId="498D8174" w14:textId="2A54E9DE" w:rsidR="001E1705" w:rsidRPr="00292EE8" w:rsidRDefault="001E1705" w:rsidP="00E16264">
      <w:pPr>
        <w:pStyle w:val="StylArial11ptWyjustowany"/>
        <w:numPr>
          <w:ilvl w:val="1"/>
          <w:numId w:val="11"/>
        </w:numPr>
        <w:shd w:val="clear" w:color="auto" w:fill="FFFFFF"/>
        <w:jc w:val="left"/>
        <w:rPr>
          <w:rFonts w:cs="Arial"/>
          <w:b/>
          <w:iCs/>
          <w:color w:val="0070C0"/>
          <w:szCs w:val="22"/>
        </w:rPr>
      </w:pPr>
      <w:r w:rsidRPr="00292EE8">
        <w:rPr>
          <w:rFonts w:cs="Arial"/>
          <w:b/>
          <w:iCs/>
          <w:color w:val="0070C0"/>
          <w:szCs w:val="22"/>
        </w:rPr>
        <w:t>Grupy robocze w Radzie Unii Europejskiej</w:t>
      </w:r>
    </w:p>
    <w:p w14:paraId="54AC0B7E" w14:textId="77777777" w:rsidR="001E1705" w:rsidRPr="001E1705" w:rsidRDefault="001E1705" w:rsidP="001E1705">
      <w:pPr>
        <w:shd w:val="clear" w:color="auto" w:fill="FFFFFF"/>
        <w:rPr>
          <w:rFonts w:cs="Arial"/>
          <w:szCs w:val="22"/>
        </w:rPr>
      </w:pPr>
    </w:p>
    <w:p w14:paraId="6741BE22" w14:textId="0FE741EB" w:rsidR="001E1705" w:rsidRPr="00292EE8" w:rsidRDefault="009F5ADD" w:rsidP="00E16264">
      <w:pPr>
        <w:pStyle w:val="StylArial11ptWyjustowany"/>
        <w:numPr>
          <w:ilvl w:val="2"/>
          <w:numId w:val="11"/>
        </w:numPr>
        <w:shd w:val="clear" w:color="auto" w:fill="FFFFFF"/>
        <w:jc w:val="left"/>
        <w:rPr>
          <w:rFonts w:cs="Arial"/>
          <w:b/>
          <w:iCs/>
          <w:color w:val="0070C0"/>
          <w:szCs w:val="22"/>
        </w:rPr>
      </w:pPr>
      <w:r w:rsidRPr="009F5ADD">
        <w:rPr>
          <w:rFonts w:cs="Arial"/>
          <w:b/>
          <w:iCs/>
          <w:color w:val="0070C0"/>
          <w:szCs w:val="22"/>
        </w:rPr>
        <w:t xml:space="preserve">Grupa Robocza ds. </w:t>
      </w:r>
      <w:r w:rsidRPr="009F5ADD">
        <w:rPr>
          <w:rFonts w:cs="Arial"/>
          <w:b/>
          <w:bCs/>
          <w:iCs/>
          <w:color w:val="0070C0"/>
          <w:szCs w:val="22"/>
        </w:rPr>
        <w:t xml:space="preserve">Konkurencyjności i Wzrostu (format </w:t>
      </w:r>
      <w:r w:rsidRPr="009F5ADD">
        <w:rPr>
          <w:rFonts w:cs="Arial"/>
          <w:b/>
          <w:iCs/>
          <w:color w:val="0070C0"/>
          <w:szCs w:val="22"/>
        </w:rPr>
        <w:t>Zamówienia Publiczne)</w:t>
      </w:r>
    </w:p>
    <w:p w14:paraId="68174DDF" w14:textId="77777777" w:rsidR="00292EE8" w:rsidRDefault="00292EE8" w:rsidP="001E1705">
      <w:pPr>
        <w:shd w:val="clear" w:color="auto" w:fill="FFFFFF"/>
        <w:rPr>
          <w:rFonts w:cs="Arial"/>
          <w:szCs w:val="22"/>
        </w:rPr>
      </w:pPr>
    </w:p>
    <w:p w14:paraId="2018B930" w14:textId="47628A5E" w:rsidR="0047095A" w:rsidRPr="0047095A" w:rsidRDefault="0047095A" w:rsidP="0047095A">
      <w:pPr>
        <w:shd w:val="clear" w:color="auto" w:fill="FFFFFF"/>
        <w:rPr>
          <w:rFonts w:cs="Arial"/>
          <w:szCs w:val="22"/>
        </w:rPr>
      </w:pPr>
      <w:r w:rsidRPr="0047095A">
        <w:rPr>
          <w:rFonts w:cs="Arial"/>
          <w:iCs/>
          <w:szCs w:val="22"/>
        </w:rPr>
        <w:t xml:space="preserve">W 2022 r. odbyło się pięć posiedzeń </w:t>
      </w:r>
      <w:r w:rsidR="00D731CB">
        <w:rPr>
          <w:rFonts w:cs="Arial"/>
          <w:iCs/>
          <w:szCs w:val="22"/>
        </w:rPr>
        <w:t>G</w:t>
      </w:r>
      <w:r w:rsidRPr="0047095A">
        <w:rPr>
          <w:rFonts w:cs="Arial"/>
          <w:iCs/>
          <w:szCs w:val="22"/>
        </w:rPr>
        <w:t xml:space="preserve">rupy </w:t>
      </w:r>
      <w:r w:rsidR="00D731CB">
        <w:rPr>
          <w:rFonts w:cs="Arial"/>
          <w:iCs/>
          <w:szCs w:val="22"/>
        </w:rPr>
        <w:t>R</w:t>
      </w:r>
      <w:r w:rsidRPr="0047095A">
        <w:rPr>
          <w:rFonts w:cs="Arial"/>
          <w:iCs/>
          <w:szCs w:val="22"/>
        </w:rPr>
        <w:t xml:space="preserve">oboczej ds. </w:t>
      </w:r>
      <w:r w:rsidR="00D731CB">
        <w:rPr>
          <w:rFonts w:cs="Arial"/>
          <w:iCs/>
          <w:szCs w:val="22"/>
        </w:rPr>
        <w:t>K</w:t>
      </w:r>
      <w:r w:rsidRPr="0047095A">
        <w:rPr>
          <w:rFonts w:cs="Arial"/>
          <w:iCs/>
          <w:szCs w:val="22"/>
        </w:rPr>
        <w:t xml:space="preserve">onkurencyjności i </w:t>
      </w:r>
      <w:r w:rsidR="00D731CB">
        <w:rPr>
          <w:rFonts w:cs="Arial"/>
          <w:iCs/>
          <w:szCs w:val="22"/>
        </w:rPr>
        <w:t>W</w:t>
      </w:r>
      <w:r w:rsidRPr="0047095A">
        <w:rPr>
          <w:rFonts w:cs="Arial"/>
          <w:iCs/>
          <w:szCs w:val="22"/>
        </w:rPr>
        <w:t xml:space="preserve">zrostu  </w:t>
      </w:r>
      <w:r w:rsidR="00C4709D">
        <w:rPr>
          <w:rFonts w:cs="Arial"/>
          <w:iCs/>
          <w:szCs w:val="22"/>
        </w:rPr>
        <w:t xml:space="preserve">dotyczących </w:t>
      </w:r>
      <w:r w:rsidRPr="0047095A">
        <w:rPr>
          <w:rFonts w:cs="Arial"/>
          <w:iCs/>
          <w:szCs w:val="22"/>
        </w:rPr>
        <w:t>zamówie</w:t>
      </w:r>
      <w:r w:rsidR="00C4709D">
        <w:rPr>
          <w:rFonts w:cs="Arial"/>
          <w:iCs/>
          <w:szCs w:val="22"/>
        </w:rPr>
        <w:t>ń</w:t>
      </w:r>
      <w:r w:rsidRPr="0047095A">
        <w:rPr>
          <w:rFonts w:cs="Arial"/>
          <w:iCs/>
          <w:szCs w:val="22"/>
        </w:rPr>
        <w:t xml:space="preserve"> publiczn</w:t>
      </w:r>
      <w:r w:rsidR="00C4709D">
        <w:rPr>
          <w:rFonts w:cs="Arial"/>
          <w:iCs/>
          <w:szCs w:val="22"/>
        </w:rPr>
        <w:t>ych</w:t>
      </w:r>
      <w:r w:rsidRPr="0047095A">
        <w:rPr>
          <w:rFonts w:cs="Arial"/>
          <w:iCs/>
          <w:szCs w:val="22"/>
        </w:rPr>
        <w:t>: 26 stycznia, 4 marca, 11 maja, 27 września oraz 21 listopada.</w:t>
      </w:r>
    </w:p>
    <w:p w14:paraId="15972345" w14:textId="77777777" w:rsidR="0047095A" w:rsidRDefault="0047095A" w:rsidP="0047095A">
      <w:pPr>
        <w:shd w:val="clear" w:color="auto" w:fill="FFFFFF"/>
        <w:rPr>
          <w:rFonts w:cs="Arial"/>
          <w:iCs/>
          <w:szCs w:val="22"/>
        </w:rPr>
      </w:pPr>
    </w:p>
    <w:p w14:paraId="6F8521EE" w14:textId="54E99BF8" w:rsidR="0047095A" w:rsidRPr="0047095A" w:rsidRDefault="0047095A" w:rsidP="0047095A">
      <w:pPr>
        <w:shd w:val="clear" w:color="auto" w:fill="FFFFFF"/>
        <w:rPr>
          <w:rFonts w:cs="Arial"/>
          <w:iCs/>
          <w:szCs w:val="22"/>
        </w:rPr>
      </w:pPr>
      <w:r w:rsidRPr="0047095A">
        <w:rPr>
          <w:rFonts w:cs="Arial"/>
          <w:iCs/>
          <w:szCs w:val="22"/>
        </w:rPr>
        <w:t>W ramach Prezydencji francuskiej odbyły się trzy spotkania Grupy Roboczej. Na posiedzeniu w dniu 26 stycznia 2022 r. państwa członkowskie dyskutowały projekt Konkluzji Rady w sprawie rozwoju zrównoważonych zamówień publicznych oraz</w:t>
      </w:r>
      <w:r w:rsidR="009343A1">
        <w:rPr>
          <w:rFonts w:cs="Arial"/>
          <w:iCs/>
          <w:szCs w:val="22"/>
        </w:rPr>
        <w:t xml:space="preserve"> </w:t>
      </w:r>
      <w:r w:rsidRPr="0047095A">
        <w:rPr>
          <w:rFonts w:cs="Arial"/>
          <w:iCs/>
          <w:szCs w:val="22"/>
        </w:rPr>
        <w:t xml:space="preserve">europejskie i krajowe inicjatywy w zakresie zamówień publicznych na innowacje. </w:t>
      </w:r>
    </w:p>
    <w:p w14:paraId="071879A8" w14:textId="77777777" w:rsidR="0047095A" w:rsidRDefault="0047095A" w:rsidP="0047095A">
      <w:pPr>
        <w:shd w:val="clear" w:color="auto" w:fill="FFFFFF"/>
        <w:rPr>
          <w:rFonts w:cs="Arial"/>
          <w:iCs/>
          <w:szCs w:val="22"/>
        </w:rPr>
      </w:pPr>
    </w:p>
    <w:p w14:paraId="617389D7" w14:textId="6230D998" w:rsidR="0047095A" w:rsidRPr="0047095A" w:rsidRDefault="0047095A" w:rsidP="0047095A">
      <w:pPr>
        <w:shd w:val="clear" w:color="auto" w:fill="FFFFFF"/>
        <w:rPr>
          <w:rFonts w:cs="Arial"/>
          <w:iCs/>
          <w:szCs w:val="22"/>
        </w:rPr>
      </w:pPr>
      <w:r w:rsidRPr="0047095A">
        <w:rPr>
          <w:rFonts w:cs="Arial"/>
          <w:iCs/>
          <w:szCs w:val="22"/>
        </w:rPr>
        <w:t xml:space="preserve">Spotkanie w dniu 4 marca 2022 r. w związku z napaścią Rosji na Ukrainę dotyczyło m.in. sankcji nałożonych na Rosję i ich skutków w odniesieniu do zamówień publicznych (możliwość całkowitego wyłączenia Rosji z rynku zamówień publicznych, kwestia udziału Rosji w łańcuchach dostaw i podwykonawstwie). Ponadto kontynuowano dyskusje nad projektem Konkluzji Rady w sprawie rozwoju zrównoważonych zamówień publicznych, nad tematem tzw. „wąskich gardeł” zidentyfikowanych w procesie wdrażania dyrektyw dotyczących zamówień publicznych oraz omawiano wniosek dotyczący rozporządzenia Parlamentu Europejskiego i Rady w sprawie subsydiów zagranicznych zakłócających rynek wewnętrzny. </w:t>
      </w:r>
    </w:p>
    <w:p w14:paraId="04972C68" w14:textId="77777777" w:rsidR="0047095A" w:rsidRDefault="0047095A" w:rsidP="0047095A">
      <w:pPr>
        <w:shd w:val="clear" w:color="auto" w:fill="FFFFFF"/>
        <w:rPr>
          <w:rFonts w:cs="Arial"/>
          <w:iCs/>
          <w:szCs w:val="22"/>
        </w:rPr>
      </w:pPr>
    </w:p>
    <w:p w14:paraId="287BE9FA" w14:textId="0B5230CD" w:rsidR="0047095A" w:rsidRPr="0047095A" w:rsidRDefault="0047095A" w:rsidP="0047095A">
      <w:pPr>
        <w:shd w:val="clear" w:color="auto" w:fill="FFFFFF"/>
        <w:rPr>
          <w:rFonts w:cs="Arial"/>
          <w:iCs/>
          <w:szCs w:val="22"/>
        </w:rPr>
      </w:pPr>
      <w:r w:rsidRPr="0047095A">
        <w:rPr>
          <w:rFonts w:cs="Arial"/>
          <w:iCs/>
          <w:szCs w:val="22"/>
        </w:rPr>
        <w:t>W trakcie spotkania grupy roboczej w dniu 11 maja 2022 r. finalizowano dyskusję nad projektem konkluzji Rady w sprawie rozwoju zrównoważonych zamówień publicznych. Przedstawiony został także raport podsumowujący przeprowadzoną w grupie dyskusję dotyczącą zidentyfikowanych zatorów („</w:t>
      </w:r>
      <w:r w:rsidRPr="0047095A">
        <w:rPr>
          <w:rFonts w:cs="Arial"/>
          <w:i/>
          <w:iCs/>
          <w:szCs w:val="22"/>
        </w:rPr>
        <w:t>bottlenecks</w:t>
      </w:r>
      <w:r w:rsidRPr="0047095A">
        <w:rPr>
          <w:rFonts w:cs="Arial"/>
          <w:iCs/>
          <w:szCs w:val="22"/>
        </w:rPr>
        <w:t>”) w zamówieniach publicznych. Omówione zostały również problemy związane z wpływem wojny w Ukrainie na zamówienia publiczne, w tym dotyczące stosowania w obszarze zamówień przepisów rozporządzenia  2022/576 zmieniającego rozporządzenie  833/2014 dotyczącego środków ograniczających w związku z działaniami Rosji destabilizującymi sytuację na Ukrainie. Ponadto Komisja zaprezentowała informacje o przebiegu negocjacji we właściwej grupie roboczej nad przepisami dotyczącymi zamówień publicznych wniosku Komisji dotyczącego dyrektywy w sprawie efektywności energetycznej.</w:t>
      </w:r>
      <w:r w:rsidR="009343A1">
        <w:rPr>
          <w:rFonts w:cs="Arial"/>
          <w:iCs/>
          <w:szCs w:val="22"/>
        </w:rPr>
        <w:t xml:space="preserve"> </w:t>
      </w:r>
    </w:p>
    <w:p w14:paraId="32551BA8" w14:textId="77777777" w:rsidR="0047095A" w:rsidRDefault="0047095A" w:rsidP="0047095A">
      <w:pPr>
        <w:shd w:val="clear" w:color="auto" w:fill="FFFFFF"/>
        <w:rPr>
          <w:rFonts w:cs="Arial"/>
          <w:iCs/>
          <w:szCs w:val="22"/>
        </w:rPr>
      </w:pPr>
    </w:p>
    <w:p w14:paraId="34CBF2BD" w14:textId="368F4BA0" w:rsidR="0047095A" w:rsidRPr="0047095A" w:rsidRDefault="0047095A" w:rsidP="0047095A">
      <w:pPr>
        <w:shd w:val="clear" w:color="auto" w:fill="FFFFFF"/>
        <w:rPr>
          <w:rFonts w:cs="Arial"/>
          <w:iCs/>
          <w:szCs w:val="22"/>
        </w:rPr>
      </w:pPr>
      <w:r w:rsidRPr="0047095A">
        <w:rPr>
          <w:rFonts w:cs="Arial"/>
          <w:iCs/>
          <w:szCs w:val="22"/>
        </w:rPr>
        <w:t>W czasie Prezydencji czeskiej odbyły się 2 spotkania grupy roboczej: w dniach 27 września i 21 listopada 2022 r. Na spotkaniu w dniu 27 wrzenia 2022 r. Prezydencja czeska zainicjowała prace w zakresie przeglądu unijnych aktów sektorowych zawierających regulacje z obszaru zamówień publicznych, przedstawiając listę takich aktów. Na spotkaniu grupy roboczej w dniu 21 listopada 2022 r. Prezydencja czeska kontynuowała temat monitoringu aktów sektorowych zawierających przepisy dotyczące zamówień publicznych i w tym celu zaprezentowała zaktualizowaną listę takich aktów: ostatnio przyjętych, w toku i oczekujących na przyjęcie. Ponadto na spotkaniu omówione zostały przedstawione przez Komisję przepisy dotyczące zamówień publicznych projektu rozporządzenia UE ustanawiającego zharmonizowane warunki wprowadzania do obrotu wyrobów budowlanych.</w:t>
      </w:r>
    </w:p>
    <w:p w14:paraId="482DD76D" w14:textId="4F1E8CC4" w:rsidR="00292EE8" w:rsidRDefault="00292EE8" w:rsidP="001E1705">
      <w:pPr>
        <w:shd w:val="clear" w:color="auto" w:fill="FFFFFF"/>
        <w:rPr>
          <w:rFonts w:cs="Arial"/>
          <w:szCs w:val="22"/>
        </w:rPr>
      </w:pPr>
    </w:p>
    <w:p w14:paraId="620B11E5" w14:textId="77777777" w:rsidR="00F969AD" w:rsidRPr="001E1705" w:rsidRDefault="00F969AD" w:rsidP="001E1705">
      <w:pPr>
        <w:shd w:val="clear" w:color="auto" w:fill="FFFFFF"/>
        <w:rPr>
          <w:rFonts w:cs="Arial"/>
          <w:szCs w:val="22"/>
        </w:rPr>
      </w:pPr>
    </w:p>
    <w:p w14:paraId="3F8762AC" w14:textId="5D5B4355" w:rsidR="001E1705" w:rsidRPr="00292EE8" w:rsidRDefault="001E1705" w:rsidP="00E16264">
      <w:pPr>
        <w:pStyle w:val="StylArial11ptWyjustowany"/>
        <w:numPr>
          <w:ilvl w:val="2"/>
          <w:numId w:val="11"/>
        </w:numPr>
        <w:shd w:val="clear" w:color="auto" w:fill="FFFFFF"/>
        <w:jc w:val="left"/>
        <w:rPr>
          <w:rFonts w:cs="Arial"/>
          <w:b/>
          <w:iCs/>
          <w:color w:val="0070C0"/>
          <w:szCs w:val="22"/>
        </w:rPr>
      </w:pPr>
      <w:r w:rsidRPr="00292EE8">
        <w:rPr>
          <w:rFonts w:cs="Arial"/>
          <w:b/>
          <w:iCs/>
          <w:color w:val="0070C0"/>
          <w:szCs w:val="22"/>
        </w:rPr>
        <w:t xml:space="preserve">Grupa </w:t>
      </w:r>
      <w:r w:rsidR="00D731CB">
        <w:rPr>
          <w:rFonts w:cs="Arial"/>
          <w:b/>
          <w:iCs/>
          <w:color w:val="0070C0"/>
          <w:szCs w:val="22"/>
        </w:rPr>
        <w:t>R</w:t>
      </w:r>
      <w:r w:rsidRPr="00292EE8">
        <w:rPr>
          <w:rFonts w:cs="Arial"/>
          <w:b/>
          <w:iCs/>
          <w:color w:val="0070C0"/>
          <w:szCs w:val="22"/>
        </w:rPr>
        <w:t xml:space="preserve">obocza </w:t>
      </w:r>
      <w:r w:rsidR="007D40E3">
        <w:rPr>
          <w:rFonts w:cs="Arial"/>
          <w:b/>
          <w:iCs/>
          <w:color w:val="0070C0"/>
          <w:szCs w:val="22"/>
        </w:rPr>
        <w:t>ds.</w:t>
      </w:r>
      <w:r w:rsidR="00D731CB">
        <w:rPr>
          <w:rFonts w:cs="Arial"/>
          <w:b/>
          <w:iCs/>
          <w:color w:val="0070C0"/>
          <w:szCs w:val="22"/>
        </w:rPr>
        <w:t xml:space="preserve"> Handlowych</w:t>
      </w:r>
      <w:r w:rsidRPr="00292EE8">
        <w:rPr>
          <w:rFonts w:cs="Arial"/>
          <w:b/>
          <w:iCs/>
          <w:color w:val="0070C0"/>
          <w:szCs w:val="22"/>
        </w:rPr>
        <w:t xml:space="preserve"> (WPTQ)</w:t>
      </w:r>
    </w:p>
    <w:p w14:paraId="4022DE50" w14:textId="77777777" w:rsidR="00292EE8" w:rsidRDefault="00292EE8" w:rsidP="001E1705">
      <w:pPr>
        <w:shd w:val="clear" w:color="auto" w:fill="FFFFFF"/>
        <w:rPr>
          <w:rFonts w:cs="Arial"/>
          <w:szCs w:val="22"/>
        </w:rPr>
      </w:pPr>
    </w:p>
    <w:p w14:paraId="457725DB" w14:textId="68A14EAE" w:rsidR="00A23365" w:rsidRPr="00A23365" w:rsidRDefault="00A23365" w:rsidP="00A23365">
      <w:pPr>
        <w:shd w:val="clear" w:color="auto" w:fill="FFFFFF"/>
        <w:rPr>
          <w:rFonts w:cs="Arial"/>
          <w:iCs/>
          <w:szCs w:val="22"/>
        </w:rPr>
      </w:pPr>
      <w:r w:rsidRPr="00A23365">
        <w:rPr>
          <w:rFonts w:cs="Arial"/>
          <w:iCs/>
          <w:szCs w:val="22"/>
        </w:rPr>
        <w:t xml:space="preserve">W 2022 r. Grupa </w:t>
      </w:r>
      <w:r w:rsidR="00D731CB">
        <w:rPr>
          <w:rFonts w:cs="Arial"/>
          <w:iCs/>
          <w:szCs w:val="22"/>
        </w:rPr>
        <w:t>R</w:t>
      </w:r>
      <w:r w:rsidRPr="00A23365">
        <w:rPr>
          <w:rFonts w:cs="Arial"/>
          <w:iCs/>
          <w:szCs w:val="22"/>
        </w:rPr>
        <w:t>obocza Rady d</w:t>
      </w:r>
      <w:r w:rsidR="00D731CB">
        <w:rPr>
          <w:rFonts w:cs="Arial"/>
          <w:iCs/>
          <w:szCs w:val="22"/>
        </w:rPr>
        <w:t>o Spraw H</w:t>
      </w:r>
      <w:r w:rsidRPr="00A23365">
        <w:rPr>
          <w:rFonts w:cs="Arial"/>
          <w:iCs/>
          <w:szCs w:val="22"/>
        </w:rPr>
        <w:t>andl</w:t>
      </w:r>
      <w:r w:rsidR="00D731CB">
        <w:rPr>
          <w:rFonts w:cs="Arial"/>
          <w:iCs/>
          <w:szCs w:val="22"/>
        </w:rPr>
        <w:t>owych</w:t>
      </w:r>
      <w:r w:rsidRPr="00A23365">
        <w:rPr>
          <w:rFonts w:cs="Arial"/>
          <w:iCs/>
          <w:szCs w:val="22"/>
        </w:rPr>
        <w:t xml:space="preserve"> (WPTQ) odbyła dziewięć spotkań poświęconych bieżącemu omawianiu przebiegu trilogu między Radą, Komisją a Parlamentem Europejskim w negocjacjach nad przepisami projektu rozporządzenia UE w sprawie dostępu wykonawców, towarów i usług z państw trzecich do unijnego rynku zamówień publicznych oraz procedur wspierających negocjacje w sprawie dostępu unijnych wykonawców, towarów i usług do rynków zamówień publicznych państw trzecich (Instrument w sprawie Zamówień Międzynarodowych – IZM). Przebieg trilogu omawiany był też na bieżąco w trakcie dziesięciu spotkań Coreper i zatwierdzony na spotkaniu Coreper w dniu 30 marca 2022 r. W wyniku osiągniętego porozumienia, w dniu 9 czerwca 2022 r. Parlament Europejski przyjął w pierwszym czytaniu stanowisko w celu przyjęcia rozporządzenia odzwierciedlające ten kompromis.</w:t>
      </w:r>
    </w:p>
    <w:p w14:paraId="3937E7B1" w14:textId="5DBA5E19" w:rsidR="00292EE8" w:rsidRDefault="00292EE8" w:rsidP="001E1705">
      <w:pPr>
        <w:shd w:val="clear" w:color="auto" w:fill="FFFFFF"/>
        <w:rPr>
          <w:rFonts w:cs="Arial"/>
          <w:szCs w:val="22"/>
        </w:rPr>
      </w:pPr>
    </w:p>
    <w:p w14:paraId="51B8D21A" w14:textId="77777777" w:rsidR="00F969AD" w:rsidRDefault="00F969AD" w:rsidP="001E1705">
      <w:pPr>
        <w:shd w:val="clear" w:color="auto" w:fill="FFFFFF"/>
        <w:rPr>
          <w:rFonts w:cs="Arial"/>
          <w:szCs w:val="22"/>
        </w:rPr>
      </w:pPr>
    </w:p>
    <w:p w14:paraId="1F7D0DF4" w14:textId="2734A5DC" w:rsidR="001E1705" w:rsidRPr="00292EE8" w:rsidRDefault="000A0F4D" w:rsidP="00E16264">
      <w:pPr>
        <w:pStyle w:val="StylArial11ptWyjustowany"/>
        <w:numPr>
          <w:ilvl w:val="2"/>
          <w:numId w:val="11"/>
        </w:numPr>
        <w:shd w:val="clear" w:color="auto" w:fill="FFFFFF"/>
        <w:jc w:val="left"/>
        <w:rPr>
          <w:rFonts w:cs="Arial"/>
          <w:b/>
          <w:iCs/>
          <w:color w:val="0070C0"/>
          <w:szCs w:val="22"/>
        </w:rPr>
      </w:pPr>
      <w:r w:rsidRPr="000A0F4D">
        <w:rPr>
          <w:rFonts w:cs="Arial"/>
          <w:b/>
          <w:bCs/>
          <w:iCs/>
          <w:color w:val="0070C0"/>
          <w:szCs w:val="22"/>
        </w:rPr>
        <w:t>Grupa Robocza ds. Konkurencyjności i Wzrostu (format Rynek Wewnętrzny)</w:t>
      </w:r>
    </w:p>
    <w:p w14:paraId="3DA40CFF" w14:textId="77777777" w:rsidR="00292EE8" w:rsidRDefault="00292EE8" w:rsidP="001E1705">
      <w:pPr>
        <w:shd w:val="clear" w:color="auto" w:fill="FFFFFF"/>
        <w:rPr>
          <w:rFonts w:cs="Arial"/>
          <w:szCs w:val="22"/>
        </w:rPr>
      </w:pPr>
    </w:p>
    <w:p w14:paraId="586B9C93" w14:textId="5356CB9E" w:rsidR="000A0F4D" w:rsidRPr="000A0F4D" w:rsidRDefault="000A0F4D" w:rsidP="000A0F4D">
      <w:pPr>
        <w:shd w:val="clear" w:color="auto" w:fill="FFFFFF"/>
        <w:rPr>
          <w:rFonts w:cs="Arial"/>
          <w:iCs/>
          <w:szCs w:val="22"/>
        </w:rPr>
      </w:pPr>
      <w:r w:rsidRPr="000A0F4D">
        <w:rPr>
          <w:rFonts w:cs="Arial"/>
          <w:iCs/>
          <w:szCs w:val="22"/>
        </w:rPr>
        <w:t>Urząd Zamówień Publicznych uczestniczył w 2022 r. w wypracowaniu zapisów do instrukcji na posiedzeni</w:t>
      </w:r>
      <w:r w:rsidR="006C3A9E">
        <w:rPr>
          <w:rFonts w:cs="Arial"/>
          <w:iCs/>
          <w:szCs w:val="22"/>
        </w:rPr>
        <w:t>u</w:t>
      </w:r>
      <w:r w:rsidR="009343A1">
        <w:rPr>
          <w:rFonts w:cs="Arial"/>
          <w:iCs/>
          <w:szCs w:val="22"/>
        </w:rPr>
        <w:t xml:space="preserve"> </w:t>
      </w:r>
      <w:r w:rsidRPr="000A0F4D">
        <w:rPr>
          <w:rFonts w:cs="Arial"/>
          <w:iCs/>
          <w:szCs w:val="22"/>
        </w:rPr>
        <w:t xml:space="preserve">Grupy Roboczej ds. Konkurencyjności i Wzrostu (Rynek wewnętrzny) w związku z pracami legislacyjnymi nad projektem rozporządzenia </w:t>
      </w:r>
      <w:r w:rsidR="009D7216">
        <w:rPr>
          <w:rFonts w:cs="Arial"/>
          <w:iCs/>
          <w:szCs w:val="22"/>
        </w:rPr>
        <w:t xml:space="preserve">Parlamentu Europejskiego i Rady </w:t>
      </w:r>
      <w:r w:rsidRPr="000A0F4D">
        <w:rPr>
          <w:rFonts w:cs="Arial"/>
          <w:iCs/>
          <w:szCs w:val="22"/>
        </w:rPr>
        <w:t>ustanawiającego ramy ustalania wymogów dotyczących ekoprojektu dla zrównoważonych produktów i uchylającego dyrektywę 2009/125/WE (COM(2022) 142). Opublikowany w dniu 30 marca 2022 r. projekt rozporządzenia przewiduje wprowadzenie wymagań opierających się na parametrach produktu, które będą miały zastosowanie do zamówień publicznych. Wymagania dotyczące ekoprojektowania mają odnosić się do trwałości i niezawodności produktu, możliwości ponownego użycia produktu, możliwości ulepszenia produktu, możliwości jego naprawy, łatwości konserwacji i</w:t>
      </w:r>
      <w:r w:rsidR="009343A1">
        <w:rPr>
          <w:rFonts w:cs="Arial"/>
          <w:iCs/>
          <w:szCs w:val="22"/>
        </w:rPr>
        <w:t xml:space="preserve"> </w:t>
      </w:r>
      <w:r w:rsidRPr="000A0F4D">
        <w:rPr>
          <w:rFonts w:cs="Arial"/>
          <w:iCs/>
          <w:szCs w:val="22"/>
        </w:rPr>
        <w:t>odnowienia, obecności substancji potencjalnie niebezpiecznych w produktach, efektywności energetycznej produktu i jego zasobooszczędności, zawartości materiałów z recyklingu w produktach, regeneracji i recyklingu produktu, śladu węglowego i środowiskowego produktu, a także przewidywanej ilości odpadów wytworzonych w związku z produktem. Ustanawiając wymagania w odniesieniu do</w:t>
      </w:r>
      <w:r w:rsidR="009343A1">
        <w:rPr>
          <w:rFonts w:cs="Arial"/>
          <w:iCs/>
          <w:szCs w:val="22"/>
        </w:rPr>
        <w:t xml:space="preserve"> </w:t>
      </w:r>
      <w:r w:rsidRPr="000A0F4D">
        <w:rPr>
          <w:rFonts w:cs="Arial"/>
          <w:iCs/>
          <w:szCs w:val="22"/>
        </w:rPr>
        <w:t xml:space="preserve">zamówień publicznych, Komisja ma wziąć pod uwagę wartość i wielkość zamówień publicznych udzielanych na daną grupę produktów lub na usługi bądź roboty budowlane, w ramach których wykorzystuje się daną grupę produktów, konieczność zapewnienia wystarczającego popytu na bardziej zrównoważone środowiskowo produkty, a także ekonomiczną wykonalność zakupu produktów bardziej zrównoważonych środowiskowo przez instytucje zamawiające lub podmioty zamawiające, bez powodowania nieproporcjonalnych kosztów. </w:t>
      </w:r>
    </w:p>
    <w:p w14:paraId="149C1050" w14:textId="77777777" w:rsidR="000A0F4D" w:rsidRDefault="000A0F4D" w:rsidP="000A0F4D">
      <w:pPr>
        <w:shd w:val="clear" w:color="auto" w:fill="FFFFFF"/>
        <w:rPr>
          <w:rFonts w:cs="Arial"/>
          <w:iCs/>
          <w:szCs w:val="22"/>
        </w:rPr>
      </w:pPr>
    </w:p>
    <w:p w14:paraId="33629795" w14:textId="14BD6C37" w:rsidR="000A0F4D" w:rsidRPr="000A0F4D" w:rsidRDefault="000A0F4D" w:rsidP="000A0F4D">
      <w:pPr>
        <w:shd w:val="clear" w:color="auto" w:fill="FFFFFF"/>
        <w:rPr>
          <w:rFonts w:cs="Arial"/>
          <w:iCs/>
          <w:szCs w:val="22"/>
        </w:rPr>
      </w:pPr>
      <w:r w:rsidRPr="000A0F4D">
        <w:rPr>
          <w:rFonts w:cs="Arial"/>
          <w:iCs/>
          <w:szCs w:val="22"/>
        </w:rPr>
        <w:t xml:space="preserve">W 2022 r. odbyły się także cztery spotkania </w:t>
      </w:r>
      <w:r w:rsidR="00B714EB">
        <w:rPr>
          <w:rFonts w:cs="Arial"/>
          <w:iCs/>
          <w:szCs w:val="22"/>
        </w:rPr>
        <w:t>G</w:t>
      </w:r>
      <w:r w:rsidRPr="000A0F4D">
        <w:rPr>
          <w:rFonts w:cs="Arial"/>
          <w:iCs/>
          <w:szCs w:val="22"/>
        </w:rPr>
        <w:t xml:space="preserve">rupy </w:t>
      </w:r>
      <w:r w:rsidR="00B714EB">
        <w:rPr>
          <w:rFonts w:cs="Arial"/>
          <w:iCs/>
          <w:szCs w:val="22"/>
        </w:rPr>
        <w:t>R</w:t>
      </w:r>
      <w:r w:rsidRPr="000A0F4D">
        <w:rPr>
          <w:rFonts w:cs="Arial"/>
          <w:iCs/>
          <w:szCs w:val="22"/>
        </w:rPr>
        <w:t xml:space="preserve">oboczej ds. </w:t>
      </w:r>
      <w:r w:rsidR="00B714EB">
        <w:rPr>
          <w:rFonts w:cs="Arial"/>
          <w:iCs/>
          <w:szCs w:val="22"/>
        </w:rPr>
        <w:t>K</w:t>
      </w:r>
      <w:r w:rsidRPr="000A0F4D">
        <w:rPr>
          <w:rFonts w:cs="Arial"/>
          <w:iCs/>
          <w:szCs w:val="22"/>
        </w:rPr>
        <w:t>onkurencyjności i</w:t>
      </w:r>
      <w:r w:rsidR="009343A1">
        <w:rPr>
          <w:rFonts w:cs="Arial"/>
          <w:iCs/>
          <w:szCs w:val="22"/>
        </w:rPr>
        <w:t xml:space="preserve"> </w:t>
      </w:r>
      <w:r w:rsidR="00B714EB">
        <w:rPr>
          <w:rFonts w:cs="Arial"/>
          <w:iCs/>
          <w:szCs w:val="22"/>
        </w:rPr>
        <w:t>W</w:t>
      </w:r>
      <w:r w:rsidRPr="000A0F4D">
        <w:rPr>
          <w:rFonts w:cs="Arial"/>
          <w:iCs/>
          <w:szCs w:val="22"/>
        </w:rPr>
        <w:t xml:space="preserve">zrostu w formacie Rynek Wewnętrzny, dotyczące projektu rozporządzenia </w:t>
      </w:r>
      <w:r w:rsidR="009A3B21">
        <w:rPr>
          <w:rFonts w:cs="Arial"/>
          <w:iCs/>
          <w:szCs w:val="22"/>
        </w:rPr>
        <w:t xml:space="preserve">Parlamentu Europejskiego i Rady </w:t>
      </w:r>
      <w:r w:rsidRPr="000A0F4D">
        <w:rPr>
          <w:rFonts w:cs="Arial"/>
          <w:iCs/>
          <w:szCs w:val="22"/>
        </w:rPr>
        <w:t>ustanawiającego nadzwyczajny instrument jednolitego rynku i uchylającego rozporządzenie Rady (WE) nr 2679/98, opublikowanego 19</w:t>
      </w:r>
      <w:r w:rsidR="009343A1">
        <w:rPr>
          <w:rFonts w:cs="Arial"/>
          <w:iCs/>
          <w:szCs w:val="22"/>
        </w:rPr>
        <w:t xml:space="preserve"> </w:t>
      </w:r>
      <w:r w:rsidRPr="000A0F4D">
        <w:rPr>
          <w:rFonts w:cs="Arial"/>
          <w:iCs/>
          <w:szCs w:val="22"/>
        </w:rPr>
        <w:t>września 2022 r. COM(2022) 459</w:t>
      </w:r>
      <w:r w:rsidR="00D45490">
        <w:rPr>
          <w:rFonts w:cs="Arial"/>
          <w:iCs/>
          <w:szCs w:val="22"/>
        </w:rPr>
        <w:t xml:space="preserve"> </w:t>
      </w:r>
      <w:r w:rsidR="002F52C2">
        <w:rPr>
          <w:rFonts w:cs="Arial"/>
          <w:iCs/>
          <w:szCs w:val="22"/>
        </w:rPr>
        <w:t>(ang. Single Market Emergency Instrument – SMEI).</w:t>
      </w:r>
      <w:r w:rsidRPr="000A0F4D">
        <w:rPr>
          <w:rFonts w:cs="Arial"/>
          <w:iCs/>
          <w:szCs w:val="22"/>
        </w:rPr>
        <w:t xml:space="preserve"> Projekt został przedstawiony po raz pierwszy na spotkaniu tej grupy roboczej w dniu 20 września 2022 r. SMEI ma być wiążącym prawnie zestawem narzędzi zarządzania kryzysowego, zapewniającym wolny przepływ osób, towarów i usług w przypadkach przyszłych sytuacji kryzysowych. Ma stanowić element zestawu środków UE gotowości i reagowania na sytuacje kryzysowe, w 3 trybach działania: 1) planowania awaryjnego; 2) podwyższonej czujności; 3) sytuacji nadzwyczajnej. Przepisy projektu rozporządzenia SMEI dotyczące zamówień publicznych, zawarte są w Części V „</w:t>
      </w:r>
      <w:r w:rsidRPr="000A0F4D">
        <w:rPr>
          <w:rFonts w:cs="Arial"/>
          <w:i/>
          <w:iCs/>
          <w:szCs w:val="22"/>
        </w:rPr>
        <w:t>Procurement</w:t>
      </w:r>
      <w:r w:rsidRPr="000A0F4D">
        <w:rPr>
          <w:rFonts w:cs="Arial"/>
          <w:iCs/>
          <w:szCs w:val="22"/>
        </w:rPr>
        <w:t>”. Przepisy te: 1) pozwalają Komisji na udzielanie na rzecz państw członkowskich UE zamówień na „towary i usługi o znaczeniu strategicznym” i</w:t>
      </w:r>
      <w:r w:rsidR="009343A1">
        <w:rPr>
          <w:rFonts w:cs="Arial"/>
          <w:iCs/>
          <w:szCs w:val="22"/>
        </w:rPr>
        <w:t xml:space="preserve"> </w:t>
      </w:r>
      <w:r w:rsidRPr="000A0F4D">
        <w:rPr>
          <w:rFonts w:cs="Arial"/>
          <w:iCs/>
          <w:szCs w:val="22"/>
        </w:rPr>
        <w:t xml:space="preserve">„towary i usługi istotne w kontekście kryzysu”, zdefiniowane w sposób ogólny w art. 3 SMEI (art. 34 </w:t>
      </w:r>
      <w:bookmarkStart w:id="238" w:name="_Hlk135402838"/>
      <w:r w:rsidRPr="000A0F4D">
        <w:rPr>
          <w:rFonts w:cs="Arial"/>
          <w:iCs/>
          <w:szCs w:val="22"/>
        </w:rPr>
        <w:t>–</w:t>
      </w:r>
      <w:bookmarkEnd w:id="238"/>
      <w:r w:rsidRPr="000A0F4D">
        <w:rPr>
          <w:rFonts w:cs="Arial"/>
          <w:iCs/>
          <w:szCs w:val="22"/>
        </w:rPr>
        <w:t xml:space="preserve"> 36); 2) zawierają podstawę prawną do korzystania przez państwa UE z zamówień udzielanych wspólnie przez Komisję z instytucjami zamawiającymi z</w:t>
      </w:r>
      <w:r w:rsidR="009343A1">
        <w:rPr>
          <w:rFonts w:cs="Arial"/>
          <w:iCs/>
          <w:szCs w:val="22"/>
        </w:rPr>
        <w:t xml:space="preserve"> </w:t>
      </w:r>
      <w:r w:rsidRPr="000A0F4D">
        <w:rPr>
          <w:rFonts w:cs="Arial"/>
          <w:iCs/>
          <w:szCs w:val="22"/>
        </w:rPr>
        <w:t>państw członkowskich (art. 37); 3) w trybie sytuacji nadzwyczajnej zobowiązują państwa UE do wzajemnej konsultacji i koordynacji z Komisją przed udzielaniem zamówień na</w:t>
      </w:r>
      <w:r w:rsidR="009343A1">
        <w:rPr>
          <w:rFonts w:cs="Arial"/>
          <w:iCs/>
          <w:szCs w:val="22"/>
        </w:rPr>
        <w:t xml:space="preserve"> </w:t>
      </w:r>
      <w:r w:rsidRPr="000A0F4D">
        <w:rPr>
          <w:rFonts w:cs="Arial"/>
          <w:iCs/>
          <w:szCs w:val="22"/>
        </w:rPr>
        <w:t>„towary i usługi istotne w kontekście kryzysu” (art. 38) oraz; 4) w trybie sytuacji nadzwyczajnej zawierają zakaz dla państw UE do udzielania zamówień na „towary i usługi istotne w kontekście kryzysu”, które Komisja udziela na wniosek i na rzecz tych państw, na podstawie art. 34-36 SMEI (art.</w:t>
      </w:r>
      <w:r w:rsidR="009343A1">
        <w:rPr>
          <w:rFonts w:cs="Arial"/>
          <w:iCs/>
          <w:szCs w:val="22"/>
        </w:rPr>
        <w:t xml:space="preserve"> </w:t>
      </w:r>
      <w:r w:rsidRPr="000A0F4D">
        <w:rPr>
          <w:rFonts w:cs="Arial"/>
          <w:iCs/>
          <w:szCs w:val="22"/>
        </w:rPr>
        <w:t>39).</w:t>
      </w:r>
    </w:p>
    <w:p w14:paraId="00B47B1A" w14:textId="77777777" w:rsidR="000A0F4D" w:rsidRDefault="000A0F4D" w:rsidP="001E1705">
      <w:pPr>
        <w:shd w:val="clear" w:color="auto" w:fill="FFFFFF"/>
        <w:rPr>
          <w:rFonts w:cs="Arial"/>
          <w:szCs w:val="22"/>
        </w:rPr>
      </w:pPr>
    </w:p>
    <w:p w14:paraId="3954942E" w14:textId="77777777" w:rsidR="00F969AD" w:rsidRDefault="00F969AD" w:rsidP="001E1705">
      <w:pPr>
        <w:shd w:val="clear" w:color="auto" w:fill="FFFFFF"/>
        <w:rPr>
          <w:rFonts w:cs="Arial"/>
          <w:szCs w:val="22"/>
        </w:rPr>
      </w:pPr>
    </w:p>
    <w:p w14:paraId="7A8736C1" w14:textId="576E6890" w:rsidR="0052478F" w:rsidRPr="00292EE8"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t>Grupa Robocza ds. Konkurencyjności i Wzrostu (format Przemysł)</w:t>
      </w:r>
    </w:p>
    <w:p w14:paraId="6C53E04D" w14:textId="561DA849" w:rsidR="0052478F" w:rsidRDefault="0052478F" w:rsidP="001E1705">
      <w:pPr>
        <w:shd w:val="clear" w:color="auto" w:fill="FFFFFF"/>
        <w:rPr>
          <w:rFonts w:cs="Arial"/>
          <w:szCs w:val="22"/>
        </w:rPr>
      </w:pPr>
    </w:p>
    <w:p w14:paraId="52628048" w14:textId="0194CB3F" w:rsidR="001D3BEA" w:rsidRPr="001D3BEA" w:rsidRDefault="001D3BEA" w:rsidP="001D3BEA">
      <w:pPr>
        <w:shd w:val="clear" w:color="auto" w:fill="FFFFFF"/>
        <w:rPr>
          <w:rFonts w:cs="Arial"/>
          <w:iCs/>
          <w:szCs w:val="22"/>
        </w:rPr>
      </w:pPr>
      <w:r w:rsidRPr="001D3BEA">
        <w:rPr>
          <w:rFonts w:cs="Arial"/>
          <w:iCs/>
          <w:szCs w:val="22"/>
        </w:rPr>
        <w:t xml:space="preserve">Prace legislacyjne nad przepisami projektu rozporządzenia </w:t>
      </w:r>
      <w:r w:rsidR="00407741">
        <w:rPr>
          <w:rFonts w:cs="Arial"/>
          <w:iCs/>
          <w:szCs w:val="22"/>
        </w:rPr>
        <w:t xml:space="preserve">Parlamentu Europejskiego i Rady </w:t>
      </w:r>
      <w:r w:rsidRPr="001D3BEA">
        <w:rPr>
          <w:rFonts w:cs="Arial"/>
          <w:iCs/>
          <w:szCs w:val="22"/>
        </w:rPr>
        <w:t xml:space="preserve">ustanawiającego ramy środków na rzecz wzmocnienia europejskiego ekosystemu półprzewodników (COM(2022) 46), ogłoszonego w dniu 8 lutego 2022 r. przez Komisję, toczyły się w </w:t>
      </w:r>
      <w:r w:rsidR="00182C01">
        <w:rPr>
          <w:rFonts w:cs="Arial"/>
          <w:iCs/>
          <w:szCs w:val="22"/>
        </w:rPr>
        <w:t>G</w:t>
      </w:r>
      <w:r w:rsidRPr="001D3BEA">
        <w:rPr>
          <w:rFonts w:cs="Arial"/>
          <w:iCs/>
          <w:szCs w:val="22"/>
        </w:rPr>
        <w:t xml:space="preserve">rupie </w:t>
      </w:r>
      <w:r w:rsidR="00182C01">
        <w:rPr>
          <w:rFonts w:cs="Arial"/>
          <w:iCs/>
          <w:szCs w:val="22"/>
        </w:rPr>
        <w:t>R</w:t>
      </w:r>
      <w:r w:rsidRPr="001D3BEA">
        <w:rPr>
          <w:rFonts w:cs="Arial"/>
          <w:iCs/>
          <w:szCs w:val="22"/>
        </w:rPr>
        <w:t xml:space="preserve">oboczej Rady ds. </w:t>
      </w:r>
      <w:r w:rsidR="00182C01">
        <w:rPr>
          <w:rFonts w:cs="Arial"/>
          <w:iCs/>
          <w:szCs w:val="22"/>
        </w:rPr>
        <w:t>K</w:t>
      </w:r>
      <w:r w:rsidRPr="001D3BEA">
        <w:rPr>
          <w:rFonts w:cs="Arial"/>
          <w:iCs/>
          <w:szCs w:val="22"/>
        </w:rPr>
        <w:t xml:space="preserve">onkurencyjności i </w:t>
      </w:r>
      <w:r w:rsidR="00182C01">
        <w:rPr>
          <w:rFonts w:cs="Arial"/>
          <w:iCs/>
          <w:szCs w:val="22"/>
        </w:rPr>
        <w:t>W</w:t>
      </w:r>
      <w:r w:rsidRPr="001D3BEA">
        <w:rPr>
          <w:rFonts w:cs="Arial"/>
          <w:iCs/>
          <w:szCs w:val="22"/>
        </w:rPr>
        <w:t>zrostu w formacie Przemysł. Celem proponowanego rozporządzenia jest wzmocnienie europejskiego ekosystemu półprzewodników, zwiększenie bezpieczeństwa dostaw półprzewodników w UE oraz rozwój nowych rynków dla najnowocześniejszych technologii europejskich. Inicjatywa ma objąć cały łańcuch wartości, od projektowania do zdolności produkcyjnych. Ma on w szczególności na celu ograniczenie ryzyka przyszłych niedoborów lub napięć w dostawach półprzewodników w Europie oraz powstrzymanie konsekwencji w razie potrzeby, przyczyniając się w ten sposób do odporności europejskiego przemysłu. Ma też na celu uporządkowanie europejskiego podejścia do tej kwestii, co powinno przyczynić się do wzmocnienia rynku wewnętrznego. Rozporządzenie proponuje wśród narzędzi odpowiedzi na sytuację kryzysową na rynku półprzewodników wspólne zamówienia (art. 22) na produkty istotne w kontekście kryzysu (art. 2 ust. 1 pkt 17), w których Komisja jako centralny zamawiający, będzie mogła udzielać zamówień zgodnie z procedurami określonymi w rozporządzeniu finansowym UE, na rzecz co najmniej dwóch państw członkowskich na podstawie wniosków i zawartych umów z państwami członkowskimi, przy czym państwo członkowskie będ</w:t>
      </w:r>
      <w:r w:rsidR="002F2F14">
        <w:rPr>
          <w:rFonts w:cs="Arial"/>
          <w:iCs/>
          <w:szCs w:val="22"/>
        </w:rPr>
        <w:t>zie</w:t>
      </w:r>
      <w:r w:rsidRPr="001D3BEA">
        <w:rPr>
          <w:rFonts w:cs="Arial"/>
          <w:iCs/>
          <w:szCs w:val="22"/>
        </w:rPr>
        <w:t xml:space="preserve"> mogł</w:t>
      </w:r>
      <w:r w:rsidR="002F2F14">
        <w:rPr>
          <w:rFonts w:cs="Arial"/>
          <w:iCs/>
          <w:szCs w:val="22"/>
        </w:rPr>
        <w:t>o</w:t>
      </w:r>
      <w:r w:rsidRPr="001D3BEA">
        <w:rPr>
          <w:rFonts w:cs="Arial"/>
          <w:iCs/>
          <w:szCs w:val="22"/>
        </w:rPr>
        <w:t xml:space="preserve"> dołączyć do procedury przed zawarciem umowy, nawet jeśli nie było inicjatorem. Po przeanalizowaniu wniosku przez tę grupę roboczą na 21 posiedzeniach w okresie od lutego do listopada 2022 r. Rada ds. Konkurencyjności na posiedzeniu w dniu 1 grudnia 2022 r. przyjęła podejście ogólne do wniosku.</w:t>
      </w:r>
    </w:p>
    <w:p w14:paraId="4ACDC9D1" w14:textId="77777777" w:rsidR="001D3BEA" w:rsidRDefault="001D3BEA" w:rsidP="001E1705">
      <w:pPr>
        <w:shd w:val="clear" w:color="auto" w:fill="FFFFFF"/>
        <w:rPr>
          <w:rFonts w:cs="Arial"/>
          <w:szCs w:val="22"/>
        </w:rPr>
      </w:pPr>
    </w:p>
    <w:p w14:paraId="6D483CE4" w14:textId="7DC1D1B7" w:rsidR="0052478F" w:rsidRDefault="0052478F" w:rsidP="001E1705">
      <w:pPr>
        <w:shd w:val="clear" w:color="auto" w:fill="FFFFFF"/>
        <w:rPr>
          <w:rFonts w:cs="Arial"/>
          <w:szCs w:val="22"/>
        </w:rPr>
      </w:pPr>
    </w:p>
    <w:p w14:paraId="10D3A451" w14:textId="699D418B" w:rsidR="001D3BEA" w:rsidRPr="00292EE8"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t>Grupa Robocza ds. Konkurencji</w:t>
      </w:r>
    </w:p>
    <w:p w14:paraId="0F975B7C" w14:textId="7FC378AE" w:rsidR="001D3BEA" w:rsidRDefault="001D3BEA" w:rsidP="001E1705">
      <w:pPr>
        <w:shd w:val="clear" w:color="auto" w:fill="FFFFFF"/>
        <w:rPr>
          <w:rFonts w:cs="Arial"/>
          <w:szCs w:val="22"/>
        </w:rPr>
      </w:pPr>
    </w:p>
    <w:p w14:paraId="5B6AF8D0" w14:textId="4CAB3F13" w:rsidR="001D3BEA" w:rsidRPr="001D3BEA" w:rsidRDefault="001D3BEA" w:rsidP="001D3BEA">
      <w:pPr>
        <w:shd w:val="clear" w:color="auto" w:fill="FFFFFF"/>
        <w:rPr>
          <w:rFonts w:cs="Arial"/>
          <w:iCs/>
          <w:szCs w:val="22"/>
        </w:rPr>
      </w:pPr>
      <w:r w:rsidRPr="001D3BEA">
        <w:rPr>
          <w:rFonts w:cs="Arial"/>
          <w:iCs/>
          <w:szCs w:val="22"/>
        </w:rPr>
        <w:t xml:space="preserve">W 2022 r. odbyło się czternaście spotkań grupy roboczej Rady ds. </w:t>
      </w:r>
      <w:r w:rsidR="004F148B">
        <w:rPr>
          <w:rFonts w:cs="Arial"/>
          <w:iCs/>
          <w:szCs w:val="22"/>
        </w:rPr>
        <w:t>K</w:t>
      </w:r>
      <w:r w:rsidRPr="001D3BEA">
        <w:rPr>
          <w:rFonts w:cs="Arial"/>
          <w:iCs/>
          <w:szCs w:val="22"/>
        </w:rPr>
        <w:t>onkurencji poświęconych pracy nad przepisami wniosku Komisji dotyczącego rozporządzenia Parlamentu Europejskiego i Rady w sprawie subsydiów zagranicznych zakłócających rynek wewnętrzny (COM(2021) 223), opublikowanego 5 maja 2021 r., które adresują problem subsydiów zagranicznych m.in. w procedurach udzielania zamówień publicznych w państwach UE. W rezultacie prac przeprowadzonych w tej grupie roboczej w 2021 r. i 2022 r., w dniu 4 maja 2022 r. na posiedzeniu Coreper został przyjęty mandat do negocjacji z Parlamentem Europejskim. Pierwszy trilog między Radą, Komisją a Parlamentem Europejskim odbył się 5 maja 2022 r., a porozumienie zostało osiągnięte podczas drugiego trilogu, który odbył się w dniu 30 czerwca 2022 r. Porozumienie z Parlamentem zostało zatwierdzone na posiedzeniu Coreper w dn. 13 lipca 2022 r.</w:t>
      </w:r>
    </w:p>
    <w:p w14:paraId="7C0DF785" w14:textId="77777777" w:rsidR="001D3BEA" w:rsidRDefault="001D3BEA" w:rsidP="001E1705">
      <w:pPr>
        <w:shd w:val="clear" w:color="auto" w:fill="FFFFFF"/>
        <w:rPr>
          <w:rFonts w:cs="Arial"/>
          <w:szCs w:val="22"/>
        </w:rPr>
      </w:pPr>
    </w:p>
    <w:p w14:paraId="41507FD5" w14:textId="77777777" w:rsidR="00F969AD" w:rsidRDefault="00F969AD" w:rsidP="001E1705">
      <w:pPr>
        <w:shd w:val="clear" w:color="auto" w:fill="FFFFFF"/>
        <w:rPr>
          <w:rFonts w:cs="Arial"/>
          <w:szCs w:val="22"/>
        </w:rPr>
      </w:pPr>
    </w:p>
    <w:p w14:paraId="38E7E7BB" w14:textId="3E3642A9" w:rsidR="001E1705" w:rsidRPr="00292EE8"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t>Grupa Robocza ds. Społecznych</w:t>
      </w:r>
    </w:p>
    <w:p w14:paraId="39641993" w14:textId="4601D0F9" w:rsidR="00292EE8" w:rsidRDefault="00292EE8" w:rsidP="001E1705">
      <w:pPr>
        <w:shd w:val="clear" w:color="auto" w:fill="FFFFFF"/>
        <w:rPr>
          <w:rFonts w:cs="Arial"/>
          <w:szCs w:val="22"/>
        </w:rPr>
      </w:pPr>
    </w:p>
    <w:p w14:paraId="6B2F60B5" w14:textId="77777777" w:rsidR="001D3BEA" w:rsidRPr="001D3BEA" w:rsidRDefault="001D3BEA" w:rsidP="001D3BEA">
      <w:pPr>
        <w:shd w:val="clear" w:color="auto" w:fill="FFFFFF"/>
        <w:rPr>
          <w:rFonts w:cs="Arial"/>
          <w:iCs/>
          <w:szCs w:val="22"/>
        </w:rPr>
      </w:pPr>
      <w:r w:rsidRPr="001D3BEA">
        <w:rPr>
          <w:rFonts w:cs="Arial"/>
          <w:iCs/>
          <w:szCs w:val="22"/>
        </w:rPr>
        <w:t xml:space="preserve">Przedmiotem prac grupy roboczej do spraw społecznych działającej w ramach Rady ds. Zatrudnienia, Polityki Społecznej, Zdrowia i Ochrony Konsumentów był projekt dyrektywy Parlamentu Europejskiego i Rady w sprawie wzmocnienia stosowania zasady równości wynagrodzeń dla kobiet i mężczyzn za taką samą pracę lub pracę o takiej samej wartości za pośrednictwem mechanizmów przejrzystości wynagrodzeń oraz mechanizmów egzekwowania (COM(2021) 93). Inicjatywa Komisji Europejskiej jest odpowiedzią na utrzymujący się problem niedostatecznego egzekwowania podstawowego prawa do równego wynagrodzenia kobiet i mężczyzn za taką samą pracę lub pracę o takiej samej wartości. Zgodnie z projektem dyrektywy państwa członkowskie m.in. powinny zapewnić, aby podmioty gospodarcze, realizując zamówienie publiczne lub koncesję, dysponowały mechanizmami ustalania wynagrodzeń, które nie prowadzą do różnicy w wynagrodzeniach między pracownikami płci żeńskiej a pracownikami płci męskiej, której nie można uzasadnić czynnikami neutralnymi pod względem płci, w jakiejkolwiek kategorii pracowników wykonujących taką samą pracę lub pracę o takiej samej wartości, a także rozważyć wprowadzenie przez instytucje zamawiające, w stosownych przypadkach, sankcji i warunków wypowiedzenia, gwarantujących zachowanie zgodności z zasadą równości wynagrodzeń podczas realizowania zamówień publicznych i koncesji. 15 grudnia 2022 r. Rada i Parlament Europejski osiągnęły wstępne porozumienie polityczne w sprawie ww. projektu dyrektywy. </w:t>
      </w:r>
    </w:p>
    <w:p w14:paraId="2EA07A1C" w14:textId="77777777" w:rsidR="001D3BEA" w:rsidRDefault="001D3BEA" w:rsidP="001D3BEA">
      <w:pPr>
        <w:shd w:val="clear" w:color="auto" w:fill="FFFFFF"/>
        <w:rPr>
          <w:rFonts w:cs="Arial"/>
          <w:iCs/>
          <w:szCs w:val="22"/>
        </w:rPr>
      </w:pPr>
    </w:p>
    <w:p w14:paraId="139DE057" w14:textId="70254CA9" w:rsidR="001D3BEA" w:rsidRPr="001D3BEA" w:rsidRDefault="001D3BEA" w:rsidP="001D3BEA">
      <w:pPr>
        <w:shd w:val="clear" w:color="auto" w:fill="FFFFFF"/>
        <w:rPr>
          <w:rFonts w:cs="Arial"/>
          <w:iCs/>
          <w:szCs w:val="22"/>
        </w:rPr>
      </w:pPr>
      <w:r w:rsidRPr="001D3BEA">
        <w:rPr>
          <w:rFonts w:cs="Arial"/>
          <w:iCs/>
          <w:szCs w:val="22"/>
        </w:rPr>
        <w:t xml:space="preserve">Grupa robocza do spraw społecznych zajmowała się również projektem </w:t>
      </w:r>
      <w:bookmarkStart w:id="239" w:name="_Hlk135397637"/>
      <w:r w:rsidRPr="001D3BEA">
        <w:rPr>
          <w:rFonts w:cs="Arial"/>
          <w:iCs/>
          <w:szCs w:val="22"/>
        </w:rPr>
        <w:t>dyrektywy Parlamentu Europejskiego i Rady w sprawie adekwatnych wynagrodzeń minimalnych w</w:t>
      </w:r>
      <w:bookmarkEnd w:id="239"/>
      <w:r w:rsidRPr="001D3BEA">
        <w:rPr>
          <w:rFonts w:cs="Arial"/>
          <w:iCs/>
          <w:szCs w:val="22"/>
        </w:rPr>
        <w:t xml:space="preserve"> Unii Europejskiej (COM(2020)</w:t>
      </w:r>
      <w:r w:rsidR="007A716E">
        <w:rPr>
          <w:rFonts w:cs="Arial"/>
          <w:iCs/>
          <w:szCs w:val="22"/>
        </w:rPr>
        <w:t xml:space="preserve"> </w:t>
      </w:r>
      <w:r w:rsidRPr="001D3BEA">
        <w:rPr>
          <w:rFonts w:cs="Arial"/>
          <w:iCs/>
          <w:szCs w:val="22"/>
        </w:rPr>
        <w:t>682), w ramach którego wskazano na zobowiązanie państw członkowskich do wprowadzenia odpowiednich środków w celu zapewnienia, aby przy wykonywaniu umów o zamówienia publiczne lub umów koncesji stosowane były wynagrodzenia określone w ustawowych przepisach prawa dotyczących minimalnych wynagrodzeń lub w układach zbiorowych, zgodnie z dyrektywą 2014/24/UE, dyrektywą 2014/25/UE i dyrektywą 2014/23/UE. Dyrektywa Parlamentu Europejskiego i Rady (UE) 2022/2041 z dnia 19 października 2022 r. w sprawie adekwatnych wynagrodzeń minimalnych w Unii Europejskiej została opublikowana w Dzienniku Urzędowym Unii Europejskiej w dniu 25 października br. i weszła w życie 14 listopada 2022 roku. Termin transpozycji dyrektywy 2022/2041/UE upływa z dniem 15 listopada 2024 r.</w:t>
      </w:r>
    </w:p>
    <w:p w14:paraId="128E9C7C" w14:textId="77777777" w:rsidR="001D3BEA" w:rsidRDefault="001D3BEA" w:rsidP="001D3BEA">
      <w:pPr>
        <w:shd w:val="clear" w:color="auto" w:fill="FFFFFF"/>
        <w:rPr>
          <w:rFonts w:cs="Arial"/>
          <w:iCs/>
          <w:szCs w:val="22"/>
        </w:rPr>
      </w:pPr>
    </w:p>
    <w:p w14:paraId="2AB42254" w14:textId="5D7953BF" w:rsidR="001D3BEA" w:rsidRPr="001D3BEA" w:rsidRDefault="001D3BEA" w:rsidP="001D3BEA">
      <w:pPr>
        <w:shd w:val="clear" w:color="auto" w:fill="FFFFFF"/>
        <w:rPr>
          <w:rFonts w:cs="Arial"/>
          <w:iCs/>
          <w:szCs w:val="22"/>
        </w:rPr>
      </w:pPr>
      <w:r w:rsidRPr="001D3BEA">
        <w:rPr>
          <w:rFonts w:cs="Arial"/>
          <w:iCs/>
          <w:szCs w:val="22"/>
        </w:rPr>
        <w:t xml:space="preserve">Urząd w zakresie prac nad ww. projektami dyrektyw współpracował z Ministerstwem Rodziny i Polityki Społecznej, które jest instytucją wiodącą w tym obszarze. </w:t>
      </w:r>
    </w:p>
    <w:p w14:paraId="322C3843" w14:textId="4844ED9D" w:rsidR="00292EE8" w:rsidRDefault="00292EE8" w:rsidP="001E1705">
      <w:pPr>
        <w:shd w:val="clear" w:color="auto" w:fill="FFFFFF"/>
        <w:rPr>
          <w:rFonts w:cs="Arial"/>
          <w:szCs w:val="22"/>
        </w:rPr>
      </w:pPr>
    </w:p>
    <w:p w14:paraId="175C74B5" w14:textId="77777777" w:rsidR="00F969AD" w:rsidRPr="001E1705" w:rsidRDefault="00F969AD" w:rsidP="001E1705">
      <w:pPr>
        <w:shd w:val="clear" w:color="auto" w:fill="FFFFFF"/>
        <w:rPr>
          <w:rFonts w:cs="Arial"/>
          <w:szCs w:val="22"/>
        </w:rPr>
      </w:pPr>
    </w:p>
    <w:p w14:paraId="530D2835" w14:textId="4683D161" w:rsidR="001E1705" w:rsidRPr="00292EE8"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t>Grupa Robocza ds. Prawa spółek</w:t>
      </w:r>
    </w:p>
    <w:p w14:paraId="05829AC8" w14:textId="21057203" w:rsidR="00292EE8" w:rsidRDefault="00292EE8" w:rsidP="001E1705">
      <w:pPr>
        <w:shd w:val="clear" w:color="auto" w:fill="FFFFFF"/>
        <w:rPr>
          <w:rFonts w:cs="Arial"/>
          <w:szCs w:val="22"/>
        </w:rPr>
      </w:pPr>
    </w:p>
    <w:p w14:paraId="7B0005CF" w14:textId="7847EA7D" w:rsidR="001D3BEA" w:rsidRPr="001D3BEA" w:rsidRDefault="001D3BEA" w:rsidP="001D3BEA">
      <w:pPr>
        <w:shd w:val="clear" w:color="auto" w:fill="FFFFFF"/>
        <w:rPr>
          <w:rFonts w:cs="Arial"/>
          <w:iCs/>
          <w:szCs w:val="22"/>
        </w:rPr>
      </w:pPr>
      <w:r w:rsidRPr="001D3BEA">
        <w:rPr>
          <w:rFonts w:cs="Arial"/>
          <w:iCs/>
          <w:szCs w:val="22"/>
        </w:rPr>
        <w:t>Przedmiotem prac grupy roboczej ds. prawa spółek działającej w ramach Rady ds. Konkurencyjności był wniosek dyrektywa Parlamentu Europejskiego i Rady w sprawie należytej staranności przedsiębiorstw w zakresie zrównoważonego rozwoju (COM(2022)</w:t>
      </w:r>
      <w:r w:rsidR="004854A7">
        <w:rPr>
          <w:rFonts w:cs="Arial"/>
          <w:iCs/>
          <w:szCs w:val="22"/>
        </w:rPr>
        <w:t xml:space="preserve"> </w:t>
      </w:r>
      <w:r w:rsidRPr="001D3BEA">
        <w:rPr>
          <w:rFonts w:cs="Arial"/>
          <w:iCs/>
          <w:szCs w:val="22"/>
        </w:rPr>
        <w:t xml:space="preserve">071). Przyjęcie przepisów regulujących kwestie związane z należytą starannością przedsiębiorstw na szczeblu Unii ma się przyczynić do poprawy poszanowania praw człowieka i przestrzegania przepisów w zakresie ochrony środowiska. Przepisy te mają mieć również zastosowanie do przedsiębiorstw z państw trzecich prowadzących działalność na rynku Unii. Dla przedsiębiorstw te nowe przepisy mają przynieść pewność prawa i równe warunki działania, a konsumentom i inwestorom zapewnić większą przejrzystość działalności przedsiębiorstw. </w:t>
      </w:r>
    </w:p>
    <w:p w14:paraId="431B1FD6" w14:textId="77777777" w:rsidR="001D3BEA" w:rsidRDefault="001D3BEA" w:rsidP="001D3BEA">
      <w:pPr>
        <w:shd w:val="clear" w:color="auto" w:fill="FFFFFF"/>
        <w:rPr>
          <w:rFonts w:cs="Arial"/>
          <w:iCs/>
          <w:szCs w:val="22"/>
        </w:rPr>
      </w:pPr>
    </w:p>
    <w:p w14:paraId="4AEBC132" w14:textId="02B3B45E" w:rsidR="001D3BEA" w:rsidRPr="001D3BEA" w:rsidRDefault="001D3BEA" w:rsidP="001D3BEA">
      <w:pPr>
        <w:shd w:val="clear" w:color="auto" w:fill="FFFFFF"/>
        <w:rPr>
          <w:rFonts w:cs="Arial"/>
          <w:iCs/>
          <w:szCs w:val="22"/>
        </w:rPr>
      </w:pPr>
      <w:r w:rsidRPr="001D3BEA">
        <w:rPr>
          <w:rFonts w:cs="Arial"/>
          <w:iCs/>
          <w:szCs w:val="22"/>
        </w:rPr>
        <w:t>1 grudnia 2022 r. na forum Rady zostało przyjęte ogólne podejście do projektu dyrektywy. Urząd w zakresie ww. dyrektywy współpracował z Ministerstwem Funduszy i Polityki Regionalnej, które jest instytucją wiodącą dla tego wniosku legislacyjnego.</w:t>
      </w:r>
    </w:p>
    <w:p w14:paraId="7D47FA5F" w14:textId="50F600F8" w:rsidR="00D6468C" w:rsidRDefault="00D6468C" w:rsidP="001E1705">
      <w:pPr>
        <w:shd w:val="clear" w:color="auto" w:fill="FFFFFF"/>
        <w:rPr>
          <w:rFonts w:cs="Arial"/>
          <w:szCs w:val="22"/>
        </w:rPr>
      </w:pPr>
    </w:p>
    <w:p w14:paraId="0890134C" w14:textId="77777777" w:rsidR="00F969AD" w:rsidRPr="001E1705" w:rsidRDefault="00F969AD" w:rsidP="001E1705">
      <w:pPr>
        <w:shd w:val="clear" w:color="auto" w:fill="FFFFFF"/>
        <w:rPr>
          <w:rFonts w:cs="Arial"/>
          <w:szCs w:val="22"/>
        </w:rPr>
      </w:pPr>
    </w:p>
    <w:p w14:paraId="05AF450D" w14:textId="574100F3" w:rsidR="001E1705" w:rsidRPr="00D6468C"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t>Grupa Robocza ds. Środowiska</w:t>
      </w:r>
    </w:p>
    <w:p w14:paraId="15A9B1F4" w14:textId="4A7A02B0" w:rsidR="00D6468C" w:rsidRDefault="00D6468C" w:rsidP="001E1705">
      <w:pPr>
        <w:shd w:val="clear" w:color="auto" w:fill="FFFFFF"/>
        <w:rPr>
          <w:rFonts w:cs="Arial"/>
          <w:szCs w:val="22"/>
        </w:rPr>
      </w:pPr>
    </w:p>
    <w:p w14:paraId="4C54B1B2" w14:textId="1B3CB0EC" w:rsidR="001D3BEA" w:rsidRPr="001D3BEA" w:rsidRDefault="001D3BEA" w:rsidP="001D3BEA">
      <w:pPr>
        <w:shd w:val="clear" w:color="auto" w:fill="FFFFFF"/>
        <w:rPr>
          <w:rFonts w:cs="Arial"/>
          <w:iCs/>
          <w:szCs w:val="22"/>
        </w:rPr>
      </w:pPr>
      <w:r w:rsidRPr="001D3BEA">
        <w:rPr>
          <w:rFonts w:cs="Arial"/>
          <w:iCs/>
          <w:szCs w:val="22"/>
        </w:rPr>
        <w:t>Urząd Zamówień Publicznych uczestniczył w 2022 r. w wypracowaniu zapisów do instrukcji na posiedzenia Grupy Roboczej ds. Środowiska w ramach Rady Unii Europejskiej w związku z trwającym procesem legislacyjnym nad projektem rozporządzenia Parlamentu Europejskiego i Rady w sprawie baterii i zużytych baterii</w:t>
      </w:r>
      <w:r w:rsidR="003837F1">
        <w:rPr>
          <w:rFonts w:cs="Arial"/>
          <w:iCs/>
          <w:szCs w:val="22"/>
        </w:rPr>
        <w:t xml:space="preserve">, </w:t>
      </w:r>
      <w:r w:rsidR="003837F1" w:rsidRPr="003837F1">
        <w:rPr>
          <w:rFonts w:cs="Arial"/>
          <w:color w:val="333333"/>
          <w:szCs w:val="22"/>
          <w:shd w:val="clear" w:color="auto" w:fill="FFFFFF"/>
        </w:rPr>
        <w:t>uchylające</w:t>
      </w:r>
      <w:r w:rsidR="003837F1">
        <w:rPr>
          <w:rFonts w:cs="Arial"/>
          <w:color w:val="333333"/>
          <w:szCs w:val="22"/>
          <w:shd w:val="clear" w:color="auto" w:fill="FFFFFF"/>
        </w:rPr>
        <w:t>go</w:t>
      </w:r>
      <w:r w:rsidR="003837F1" w:rsidRPr="003837F1">
        <w:rPr>
          <w:rFonts w:cs="Arial"/>
          <w:color w:val="333333"/>
          <w:szCs w:val="22"/>
          <w:shd w:val="clear" w:color="auto" w:fill="FFFFFF"/>
        </w:rPr>
        <w:t xml:space="preserve"> dyrektywę 2006/66/WE i zmieniające</w:t>
      </w:r>
      <w:r w:rsidR="003837F1">
        <w:rPr>
          <w:rFonts w:cs="Arial"/>
          <w:color w:val="333333"/>
          <w:szCs w:val="22"/>
          <w:shd w:val="clear" w:color="auto" w:fill="FFFFFF"/>
        </w:rPr>
        <w:t>go</w:t>
      </w:r>
      <w:r w:rsidR="003837F1" w:rsidRPr="003837F1">
        <w:rPr>
          <w:rFonts w:cs="Arial"/>
          <w:color w:val="333333"/>
          <w:szCs w:val="22"/>
          <w:shd w:val="clear" w:color="auto" w:fill="FFFFFF"/>
        </w:rPr>
        <w:t xml:space="preserve"> rozporządzenie (UE) 2019/1020</w:t>
      </w:r>
      <w:r w:rsidRPr="003837F1">
        <w:rPr>
          <w:rFonts w:cs="Arial"/>
          <w:iCs/>
          <w:szCs w:val="22"/>
        </w:rPr>
        <w:t xml:space="preserve"> </w:t>
      </w:r>
      <w:r w:rsidRPr="001D3BEA">
        <w:rPr>
          <w:rFonts w:cs="Arial"/>
          <w:iCs/>
          <w:szCs w:val="22"/>
        </w:rPr>
        <w:t xml:space="preserve">(COM (2020) 798). Projekt rozporządzenia przewiduje nałożenie na instytucje i podmioty zamawiające zobowiązania do uwzględnienia wpływu baterii na środowisko w całym cyklu życia w odniesieniu do zamówień na baterie lub produkty zawierające baterie. </w:t>
      </w:r>
    </w:p>
    <w:p w14:paraId="09E53F47" w14:textId="77777777" w:rsidR="001D3BEA" w:rsidRDefault="001D3BEA" w:rsidP="001D3BEA">
      <w:pPr>
        <w:shd w:val="clear" w:color="auto" w:fill="FFFFFF"/>
        <w:rPr>
          <w:rFonts w:cs="Arial"/>
          <w:iCs/>
          <w:szCs w:val="22"/>
        </w:rPr>
      </w:pPr>
    </w:p>
    <w:p w14:paraId="6831D453" w14:textId="4EA42326" w:rsidR="001D3BEA" w:rsidRPr="001D3BEA" w:rsidRDefault="001D3BEA" w:rsidP="001D3BEA">
      <w:pPr>
        <w:shd w:val="clear" w:color="auto" w:fill="FFFFFF"/>
        <w:rPr>
          <w:rFonts w:cs="Arial"/>
          <w:iCs/>
          <w:szCs w:val="22"/>
        </w:rPr>
      </w:pPr>
      <w:r w:rsidRPr="001D3BEA">
        <w:rPr>
          <w:rFonts w:cs="Arial"/>
          <w:iCs/>
          <w:szCs w:val="22"/>
        </w:rPr>
        <w:t>17 marca 2022 r. Rada UE przyjęła podejście ogólne do projektu rozporządzenia, z kolei w grudniu zakończył się etap prac nad projektem rozporządzenia w ramach tzw. trilogów. Planowany termin przyjęcia rozporządzenia to I połowa 2023 r.</w:t>
      </w:r>
    </w:p>
    <w:p w14:paraId="45C5E6E4" w14:textId="3AB92B6F" w:rsidR="001D3BEA" w:rsidRDefault="001D3BEA" w:rsidP="001E1705">
      <w:pPr>
        <w:shd w:val="clear" w:color="auto" w:fill="FFFFFF"/>
        <w:rPr>
          <w:rFonts w:cs="Arial"/>
          <w:szCs w:val="22"/>
        </w:rPr>
      </w:pPr>
    </w:p>
    <w:p w14:paraId="6CC41458" w14:textId="394D57B3" w:rsidR="001D3BEA" w:rsidRDefault="001D3BEA" w:rsidP="001E1705">
      <w:pPr>
        <w:shd w:val="clear" w:color="auto" w:fill="FFFFFF"/>
        <w:rPr>
          <w:rFonts w:cs="Arial"/>
          <w:szCs w:val="22"/>
        </w:rPr>
      </w:pPr>
    </w:p>
    <w:p w14:paraId="0F69B56E" w14:textId="78156120" w:rsidR="001D3BEA" w:rsidRPr="00D6468C" w:rsidRDefault="001D3BEA" w:rsidP="00E16264">
      <w:pPr>
        <w:pStyle w:val="StylArial11ptWyjustowany"/>
        <w:numPr>
          <w:ilvl w:val="2"/>
          <w:numId w:val="11"/>
        </w:numPr>
        <w:shd w:val="clear" w:color="auto" w:fill="FFFFFF"/>
        <w:jc w:val="left"/>
        <w:rPr>
          <w:rFonts w:cs="Arial"/>
          <w:b/>
          <w:iCs/>
          <w:color w:val="0070C0"/>
          <w:szCs w:val="22"/>
        </w:rPr>
      </w:pPr>
      <w:r w:rsidRPr="001D3BEA">
        <w:rPr>
          <w:rFonts w:cs="Arial"/>
          <w:b/>
          <w:bCs/>
          <w:iCs/>
          <w:color w:val="0070C0"/>
          <w:szCs w:val="22"/>
        </w:rPr>
        <w:t>Grupa Robocza ds. Harmonizacji Technicznej</w:t>
      </w:r>
    </w:p>
    <w:p w14:paraId="672A3EDF" w14:textId="043A09A1" w:rsidR="001D3BEA" w:rsidRDefault="001D3BEA" w:rsidP="001E1705">
      <w:pPr>
        <w:shd w:val="clear" w:color="auto" w:fill="FFFFFF"/>
        <w:rPr>
          <w:rFonts w:cs="Arial"/>
          <w:szCs w:val="22"/>
        </w:rPr>
      </w:pPr>
    </w:p>
    <w:p w14:paraId="1F96B480" w14:textId="61355933" w:rsidR="001D3BEA" w:rsidRPr="001D3BEA" w:rsidRDefault="001D3BEA" w:rsidP="001D3BEA">
      <w:pPr>
        <w:shd w:val="clear" w:color="auto" w:fill="FFFFFF"/>
        <w:rPr>
          <w:rFonts w:cs="Arial"/>
          <w:iCs/>
          <w:szCs w:val="22"/>
        </w:rPr>
      </w:pPr>
      <w:r w:rsidRPr="001D3BEA">
        <w:rPr>
          <w:rFonts w:cs="Arial"/>
          <w:iCs/>
          <w:szCs w:val="22"/>
        </w:rPr>
        <w:t xml:space="preserve">Urząd Zamówień Publicznych brał w 2022 r. udział w wypracowaniu zapisów do instrukcji na posiedzenia Grupy Roboczej ds. Harmonizacji Technicznej (Wyroby budowlane) w związku z trwającymi pracami legislacyjnymi nad projektem </w:t>
      </w:r>
      <w:r w:rsidR="003837F1" w:rsidRPr="003837F1">
        <w:rPr>
          <w:rFonts w:cs="Arial"/>
          <w:color w:val="323225"/>
          <w:szCs w:val="22"/>
          <w:shd w:val="clear" w:color="auto" w:fill="FFFFFF"/>
        </w:rPr>
        <w:t>rozporządzenia Parlamentu Europejskiego i Rady ustanawiającego zharmonizowane warunki wprowadzania do obrotu wyrobów budowlanych, zmieniającego rozporządzenie (UE) 2019/1020 i uchylającego rozporządzenie (UE) nr 305/2011 (COM(2022) 144)</w:t>
      </w:r>
      <w:r w:rsidRPr="001D3BEA">
        <w:rPr>
          <w:rFonts w:cs="Arial"/>
          <w:iCs/>
          <w:szCs w:val="22"/>
        </w:rPr>
        <w:t xml:space="preserve">. Opublikowany w dniu 30 marca 2022 r. projekt rozporządzenia przewiduje ustanowienie wymagań w zakresie zrównoważonego rozwoju mających zastosowanie do zamówień publicznych. Skierowane do instytucji i podmiotów zamawiających wymagania będą mogły, w stosownych przypadkach, przyjąć formę obowiązkowych specyfikacji technicznych, kryteriów kwalifikacji, kryteriów wyboru, klauzul dotyczących realizacji zamówienia lub celów. Ustanawiając wymogi dotyczące zamówień publicznych, Komisja ma wziąć pod uwagę, analogicznie jak w przypadku </w:t>
      </w:r>
      <w:r w:rsidR="00E406E6">
        <w:rPr>
          <w:rFonts w:cs="Arial"/>
          <w:iCs/>
          <w:szCs w:val="22"/>
        </w:rPr>
        <w:t xml:space="preserve">projektu </w:t>
      </w:r>
      <w:r w:rsidR="00E406E6" w:rsidRPr="00E406E6">
        <w:rPr>
          <w:rFonts w:cs="Arial"/>
          <w:color w:val="333333"/>
          <w:szCs w:val="22"/>
          <w:shd w:val="clear" w:color="auto" w:fill="FFFFFF"/>
        </w:rPr>
        <w:t>rozporządzenia Parlamentu Europejskiego i Rady ustanawiającego ramy ustalania wymogów dotyczących ekoprojektu dla zrównoważonych produktów i uchylającego dyrektywę 2009/125/WE</w:t>
      </w:r>
      <w:r w:rsidR="00E406E6" w:rsidRPr="001D3BEA" w:rsidDel="00E406E6">
        <w:rPr>
          <w:rFonts w:cs="Arial"/>
          <w:iCs/>
          <w:szCs w:val="22"/>
        </w:rPr>
        <w:t xml:space="preserve"> </w:t>
      </w:r>
      <w:r w:rsidRPr="001D3BEA">
        <w:rPr>
          <w:rFonts w:cs="Arial"/>
          <w:iCs/>
          <w:szCs w:val="22"/>
        </w:rPr>
        <w:t>(COM (2022) 142), wartość i liczbę zamówień publicznych udzielonych na daną rodzinę lub kategorię wyrobów lub na usługi lub roboty budowlane, w ramach których wykorzystano daną rodzinę lub kategorię wyrobów, konieczność zapewnienia wystarczającego popytu na wyroby bardziej zrównoważone pod względem środowiskowym oraz ekonomiczną wykonalność zakupu przez instytucje zamawiające lub podmioty zamawiające wyrobów bardziej zrównoważonych pod względem środowiskowym bez pociągania za sobą nieproporcjonalnych kosztów.</w:t>
      </w:r>
    </w:p>
    <w:p w14:paraId="4B00EF8A" w14:textId="06B096E8" w:rsidR="00D6468C" w:rsidRDefault="00D6468C" w:rsidP="001E1705">
      <w:pPr>
        <w:shd w:val="clear" w:color="auto" w:fill="FFFFFF"/>
        <w:rPr>
          <w:rFonts w:cs="Arial"/>
          <w:szCs w:val="22"/>
        </w:rPr>
      </w:pPr>
    </w:p>
    <w:p w14:paraId="3F99E486" w14:textId="77777777" w:rsidR="00D6468C" w:rsidRPr="001E1705" w:rsidRDefault="00D6468C" w:rsidP="001E1705">
      <w:pPr>
        <w:shd w:val="clear" w:color="auto" w:fill="FFFFFF"/>
        <w:rPr>
          <w:rFonts w:cs="Arial"/>
          <w:szCs w:val="22"/>
        </w:rPr>
      </w:pPr>
    </w:p>
    <w:p w14:paraId="47846533" w14:textId="169A5658" w:rsidR="001E1705" w:rsidRPr="00BD3418" w:rsidRDefault="001E1705" w:rsidP="00E16264">
      <w:pPr>
        <w:pStyle w:val="StylArial11ptWyjustowany"/>
        <w:numPr>
          <w:ilvl w:val="1"/>
          <w:numId w:val="11"/>
        </w:numPr>
        <w:shd w:val="clear" w:color="auto" w:fill="FFFFFF"/>
        <w:jc w:val="left"/>
        <w:rPr>
          <w:rFonts w:cs="Arial"/>
          <w:b/>
          <w:iCs/>
          <w:color w:val="0070C0"/>
          <w:szCs w:val="22"/>
        </w:rPr>
      </w:pPr>
      <w:r w:rsidRPr="00BD3418">
        <w:rPr>
          <w:rFonts w:cs="Arial"/>
          <w:b/>
          <w:iCs/>
          <w:color w:val="0070C0"/>
          <w:szCs w:val="22"/>
        </w:rPr>
        <w:t>Grupy eksperckie działające przy Komisji Europejskiej</w:t>
      </w:r>
    </w:p>
    <w:p w14:paraId="3D2B3F7A" w14:textId="77777777" w:rsidR="001E1705" w:rsidRPr="001E1705" w:rsidRDefault="001E1705" w:rsidP="001E1705">
      <w:pPr>
        <w:shd w:val="clear" w:color="auto" w:fill="FFFFFF"/>
        <w:rPr>
          <w:rFonts w:cs="Arial"/>
          <w:szCs w:val="22"/>
        </w:rPr>
      </w:pPr>
    </w:p>
    <w:p w14:paraId="3F2EFF04" w14:textId="17A85800" w:rsidR="001E1705" w:rsidRPr="00BD3418" w:rsidRDefault="001E1705" w:rsidP="00E16264">
      <w:pPr>
        <w:pStyle w:val="StylArial11ptWyjustowany"/>
        <w:numPr>
          <w:ilvl w:val="2"/>
          <w:numId w:val="11"/>
        </w:numPr>
        <w:shd w:val="clear" w:color="auto" w:fill="FFFFFF"/>
        <w:jc w:val="left"/>
        <w:rPr>
          <w:rFonts w:cs="Arial"/>
          <w:b/>
          <w:iCs/>
          <w:color w:val="0070C0"/>
          <w:szCs w:val="22"/>
        </w:rPr>
      </w:pPr>
      <w:r w:rsidRPr="00BD3418">
        <w:rPr>
          <w:rFonts w:cs="Arial"/>
          <w:b/>
          <w:iCs/>
          <w:color w:val="0070C0"/>
          <w:szCs w:val="22"/>
        </w:rPr>
        <w:t xml:space="preserve">Grupa ekspercka ds. zamówień publicznych (EXPP) </w:t>
      </w:r>
    </w:p>
    <w:p w14:paraId="6D6B0D9B" w14:textId="77777777" w:rsidR="00BD3418" w:rsidRDefault="00BD3418" w:rsidP="001E1705">
      <w:pPr>
        <w:shd w:val="clear" w:color="auto" w:fill="FFFFFF"/>
        <w:rPr>
          <w:rFonts w:cs="Arial"/>
          <w:szCs w:val="22"/>
        </w:rPr>
      </w:pPr>
    </w:p>
    <w:p w14:paraId="3EBAA53B" w14:textId="7567CDAB" w:rsidR="00E37C2C" w:rsidRPr="00E37C2C" w:rsidRDefault="00E37C2C" w:rsidP="00E37C2C">
      <w:pPr>
        <w:shd w:val="clear" w:color="auto" w:fill="FFFFFF"/>
        <w:rPr>
          <w:rFonts w:cs="Arial"/>
          <w:iCs/>
          <w:szCs w:val="22"/>
        </w:rPr>
      </w:pPr>
      <w:r w:rsidRPr="00E37C2C">
        <w:rPr>
          <w:rFonts w:cs="Arial"/>
          <w:iCs/>
          <w:szCs w:val="22"/>
        </w:rPr>
        <w:t xml:space="preserve">Przedstawiciel Urzędu w 2022 r. uczestniczył w trzech posiedzeniach działającej przy Komisji Europejskiej grupy eksperckiej ds. zamówień publicznych (Expert Group on Public Procurement, EXPP). Na marcowym posiedzeniu EXPP omawiano tematy takie jak zrównoważone zamówienia publiczne, zatory w systemie zamówień publicznych (tzw. </w:t>
      </w:r>
      <w:r w:rsidRPr="00E37C2C">
        <w:rPr>
          <w:rFonts w:cs="Arial"/>
          <w:i/>
          <w:szCs w:val="22"/>
        </w:rPr>
        <w:t>bottlenecks</w:t>
      </w:r>
      <w:r w:rsidRPr="00E37C2C">
        <w:rPr>
          <w:rFonts w:cs="Arial"/>
          <w:iCs/>
          <w:szCs w:val="22"/>
        </w:rPr>
        <w:t>), rewizja rozporządzenia w sprawie e-formularzy czy Instrument Zamówień Międzynarodowych (IZM). Przedmiotem czerwcowego posiedzenia były sankcje wobec Rosji i ich wpływ na zamówienia publiczne, wymiana doświadczeń państw członkowskich dotyczących problemów w zakresie wahania cen, zakłóceń łańcuchów dostaw i braków siły roboczej, stosowanie w państwach członkowskich instrumentu zamówień zastrzeżonych (art. 77 dyrektywy 2014/</w:t>
      </w:r>
      <w:r w:rsidR="009F00DC">
        <w:rPr>
          <w:rFonts w:cs="Arial"/>
          <w:iCs/>
          <w:szCs w:val="22"/>
        </w:rPr>
        <w:t>24/</w:t>
      </w:r>
      <w:r w:rsidRPr="00E37C2C">
        <w:rPr>
          <w:rFonts w:cs="Arial"/>
          <w:iCs/>
          <w:szCs w:val="22"/>
        </w:rPr>
        <w:t xml:space="preserve">UE), a także badania Komisji na temat partnerstwa innowacyjnego oraz w zakresie rozwiązań przyjętych przez państwa członkowskie w celu implementacji przepisów </w:t>
      </w:r>
      <w:r w:rsidR="004F4651">
        <w:rPr>
          <w:rFonts w:cs="Arial"/>
          <w:iCs/>
          <w:szCs w:val="22"/>
        </w:rPr>
        <w:t>d</w:t>
      </w:r>
      <w:r w:rsidR="004F4651" w:rsidRPr="004F4651">
        <w:rPr>
          <w:rFonts w:cs="Arial"/>
          <w:iCs/>
          <w:szCs w:val="22"/>
        </w:rPr>
        <w:t>yrektyw</w:t>
      </w:r>
      <w:r w:rsidR="004F4651">
        <w:rPr>
          <w:rFonts w:cs="Arial"/>
          <w:iCs/>
          <w:szCs w:val="22"/>
        </w:rPr>
        <w:t>y</w:t>
      </w:r>
      <w:r w:rsidR="004F4651" w:rsidRPr="004F4651">
        <w:rPr>
          <w:rFonts w:cs="Arial"/>
          <w:iCs/>
          <w:szCs w:val="22"/>
        </w:rPr>
        <w:t xml:space="preserve"> Parlamentu Europejskiego i Rady 2011/7/UE z dnia 16 lutego 2011 r. w sprawie zwalczania opóźnień w płatnościach w transakcjach handlowych</w:t>
      </w:r>
      <w:r w:rsidRPr="00E37C2C">
        <w:rPr>
          <w:rFonts w:cs="Arial"/>
          <w:iCs/>
          <w:szCs w:val="22"/>
        </w:rPr>
        <w:t>. Natomiast listopadowe posiedzenie EXPP było poświęcone m.in. implementacji rozporządzenia w sprawie subsydiów zagranicznych, aktom horyzontalnym mającym wpływ na zamówienia publiczne, wytycznym w zakresie wdrażania rozporządzenia w sprawie ustanowienia Instrumentu Zamówień Międzynarodowych (IZM), prezentacji spraw przed Trybunałem Sprawiedliwości UE czy stworzeniu unijnej cyfrowej platformy zamówień publicznych.</w:t>
      </w:r>
    </w:p>
    <w:p w14:paraId="03695F14" w14:textId="1A40FEFD" w:rsidR="006E2545" w:rsidRDefault="006E2545" w:rsidP="001E1705">
      <w:pPr>
        <w:shd w:val="clear" w:color="auto" w:fill="FFFFFF"/>
        <w:rPr>
          <w:rFonts w:cs="Arial"/>
          <w:szCs w:val="22"/>
        </w:rPr>
      </w:pPr>
    </w:p>
    <w:p w14:paraId="4A82E21D" w14:textId="77777777" w:rsidR="00F969AD" w:rsidRPr="001E1705" w:rsidRDefault="00F969AD" w:rsidP="001E1705">
      <w:pPr>
        <w:shd w:val="clear" w:color="auto" w:fill="FFFFFF"/>
        <w:rPr>
          <w:rFonts w:cs="Arial"/>
          <w:szCs w:val="22"/>
        </w:rPr>
      </w:pPr>
    </w:p>
    <w:p w14:paraId="7C97F407" w14:textId="2BE8B81E" w:rsidR="001E1705" w:rsidRPr="006E2545" w:rsidRDefault="001E1705" w:rsidP="00E16264">
      <w:pPr>
        <w:pStyle w:val="StylArial11ptWyjustowany"/>
        <w:numPr>
          <w:ilvl w:val="2"/>
          <w:numId w:val="11"/>
        </w:numPr>
        <w:shd w:val="clear" w:color="auto" w:fill="FFFFFF"/>
        <w:jc w:val="left"/>
        <w:rPr>
          <w:rFonts w:cs="Arial"/>
          <w:b/>
          <w:iCs/>
          <w:color w:val="0070C0"/>
          <w:szCs w:val="22"/>
        </w:rPr>
      </w:pPr>
      <w:r w:rsidRPr="006E2545">
        <w:rPr>
          <w:rFonts w:cs="Arial"/>
          <w:b/>
          <w:iCs/>
          <w:color w:val="0070C0"/>
          <w:szCs w:val="22"/>
        </w:rPr>
        <w:t xml:space="preserve">Grupa ekspercka ds. e-Zamówień (EXEP) </w:t>
      </w:r>
    </w:p>
    <w:p w14:paraId="6DDD510D" w14:textId="77777777" w:rsidR="006E2545" w:rsidRDefault="006E2545" w:rsidP="001E1705">
      <w:pPr>
        <w:shd w:val="clear" w:color="auto" w:fill="FFFFFF"/>
        <w:rPr>
          <w:rFonts w:cs="Arial"/>
          <w:szCs w:val="22"/>
        </w:rPr>
      </w:pPr>
    </w:p>
    <w:p w14:paraId="3556B571" w14:textId="33569924" w:rsidR="005D1EDB" w:rsidRPr="005D1EDB" w:rsidRDefault="005D1EDB" w:rsidP="005D1EDB">
      <w:pPr>
        <w:shd w:val="clear" w:color="auto" w:fill="FFFFFF"/>
        <w:rPr>
          <w:rFonts w:cs="Arial"/>
          <w:iCs/>
          <w:szCs w:val="22"/>
        </w:rPr>
      </w:pPr>
      <w:r w:rsidRPr="005D1EDB">
        <w:rPr>
          <w:rFonts w:cs="Arial"/>
          <w:iCs/>
          <w:szCs w:val="22"/>
        </w:rPr>
        <w:t>W 2022 r. odbyły się dwa spotkania Grupy Ekspertów ds. e-Zamówień EXEP (10 marca oraz 6</w:t>
      </w:r>
      <w:r w:rsidR="000171DF" w:rsidRPr="000171DF">
        <w:rPr>
          <w:rFonts w:cs="Arial"/>
          <w:iCs/>
          <w:szCs w:val="22"/>
        </w:rPr>
        <w:t>–</w:t>
      </w:r>
      <w:r w:rsidRPr="005D1EDB">
        <w:rPr>
          <w:rFonts w:cs="Arial"/>
          <w:iCs/>
          <w:szCs w:val="22"/>
        </w:rPr>
        <w:t xml:space="preserve">7 grudnia). Przedstawiciele Komisji Europejskiej i Urzędu Publikacji UE przekazali informacje o postępie w pracach nad standardowymi formularzami ogłoszeń. Wskazano również, które uwagi do e-formularzy zgłoszone przez państwa członkowskie uwzględniono w ramach rewizji w 2022 r., a które zagadnienia zostaną wprowadzone przy kolejnej rewizji zaplanowanej na koniec 2023 r. </w:t>
      </w:r>
    </w:p>
    <w:p w14:paraId="509AB9C3" w14:textId="77777777" w:rsidR="005D1EDB" w:rsidRDefault="005D1EDB" w:rsidP="005D1EDB">
      <w:pPr>
        <w:shd w:val="clear" w:color="auto" w:fill="FFFFFF"/>
        <w:rPr>
          <w:rFonts w:cs="Arial"/>
          <w:iCs/>
          <w:szCs w:val="22"/>
        </w:rPr>
      </w:pPr>
    </w:p>
    <w:p w14:paraId="5A7B7FEC" w14:textId="03FB8C5D" w:rsidR="005D1EDB" w:rsidRPr="005D1EDB" w:rsidRDefault="005D1EDB" w:rsidP="005D1EDB">
      <w:pPr>
        <w:shd w:val="clear" w:color="auto" w:fill="FFFFFF"/>
        <w:rPr>
          <w:rFonts w:cs="Arial"/>
          <w:iCs/>
          <w:szCs w:val="22"/>
        </w:rPr>
      </w:pPr>
      <w:r w:rsidRPr="005D1EDB">
        <w:rPr>
          <w:rFonts w:cs="Arial"/>
          <w:iCs/>
          <w:szCs w:val="22"/>
        </w:rPr>
        <w:t>Poinformowano, że nowe formularze ogłoszeń będą dostępne (nieobowiązkowo) od 14 listopada 2022 r., a ich stosowanie będzie obowiązkow</w:t>
      </w:r>
      <w:r w:rsidR="00723E28">
        <w:rPr>
          <w:rFonts w:cs="Arial"/>
          <w:iCs/>
          <w:szCs w:val="22"/>
        </w:rPr>
        <w:t>e</w:t>
      </w:r>
      <w:r w:rsidRPr="005D1EDB">
        <w:rPr>
          <w:rFonts w:cs="Arial"/>
          <w:iCs/>
          <w:szCs w:val="22"/>
        </w:rPr>
        <w:t xml:space="preserve"> od 23 października 2023 r. Wskazano przy tym, że nieobowiązkowe formularze ogłoszeń (dotyczące m.in. wstępnych konsultacji rynkowych, planów dla zamówień poniżej progów</w:t>
      </w:r>
      <w:r w:rsidR="00503F6B">
        <w:rPr>
          <w:rFonts w:cs="Arial"/>
          <w:iCs/>
          <w:szCs w:val="22"/>
        </w:rPr>
        <w:t xml:space="preserve"> unijnych</w:t>
      </w:r>
      <w:r w:rsidRPr="005D1EDB">
        <w:rPr>
          <w:rFonts w:cs="Arial"/>
          <w:iCs/>
          <w:szCs w:val="22"/>
        </w:rPr>
        <w:t>, o realizacji zamówienia) będą dostępne w późniejszym terminie. Dodatkowo przekazano informacje związane z technicznymi aspektami wdrażania e-formularzy, w tym dotyczące schematów systemu, miejsc udostępnienia dokumentacji technicznej, zakładanych terminów realizacji poszczególnych komponentów technicznych systemu. Na grudniowym spotkaniu zaprezentowano pokrótce zmiany formalnie wprowadzone rozporządzeniem wykonawczym Komisji (UE) 2022/2303 z dnia 24 listopada 2022 r. zmieniającym rozporządzenie wykonawcze (UE) 2019/1780 ustanawiające standardowe formularze do publikacji ogłoszeń w dziedzinie zamówień publicznych. Dotyczyły one głównie pól związanych z zielonymi zamówieniami, umowami ramowymi, ekologicznie czystymi pojazdami, funduszami unijnymi, a także służyły poprawie błędów i doprecyzowaniu opisu pól oraz wyjaśnień wybranych pól standardowych formularzy. Wskazano przy tym zmiany, których wprowadzenie planowane jest na koniec 2023 r. Dotyczyć mają</w:t>
      </w:r>
      <w:r w:rsidR="009343A1">
        <w:rPr>
          <w:rFonts w:cs="Arial"/>
          <w:iCs/>
          <w:szCs w:val="22"/>
        </w:rPr>
        <w:t xml:space="preserve"> </w:t>
      </w:r>
      <w:r w:rsidRPr="005D1EDB">
        <w:rPr>
          <w:rFonts w:cs="Arial"/>
          <w:iCs/>
          <w:szCs w:val="22"/>
        </w:rPr>
        <w:t xml:space="preserve">m.in.: (i) instrumentu zamówień międzynarodowych (IZM) wynikającego z rozporządzenia Parlamentu Europejskiego i Rady (UE) 2022/1031 z dnia 23 czerwca 2022 r. w sprawie dostępu wykonawców, towarów i usług z państw trzecich do unijnych rynków zamówień publicznych i koncesji oraz procedur wspierających negocjacje dotyczące dostępu unijnych wykonawców, towarów i usług do rynków zamówień publicznych i koncesji państw trzecich; (ii) zagranicznych subsydiów zakłócających rynek wewnętrzny zgodnie z rozporządzeniem </w:t>
      </w:r>
      <w:r w:rsidRPr="005D1EDB">
        <w:rPr>
          <w:rFonts w:cs="Arial"/>
          <w:szCs w:val="22"/>
        </w:rPr>
        <w:t>Parlamentu Europejskiego i Rady (UE) 2022/2560 z dnia 14</w:t>
      </w:r>
      <w:r w:rsidR="009343A1">
        <w:rPr>
          <w:rFonts w:cs="Arial"/>
          <w:szCs w:val="22"/>
        </w:rPr>
        <w:t xml:space="preserve"> </w:t>
      </w:r>
      <w:r w:rsidRPr="005D1EDB">
        <w:rPr>
          <w:rFonts w:cs="Arial"/>
          <w:szCs w:val="22"/>
        </w:rPr>
        <w:t xml:space="preserve">grudnia 2022 r. w sprawie subsydiów zagranicznych zakłócających rynek wewnętrzny (rozporządzenie </w:t>
      </w:r>
      <w:r w:rsidRPr="005D1EDB">
        <w:rPr>
          <w:rFonts w:cs="Arial"/>
          <w:iCs/>
          <w:szCs w:val="22"/>
        </w:rPr>
        <w:t xml:space="preserve">FSR). W trakcie spotkań przedstawiono najlepsze praktyki w zakresie e-zamówień z wybranych państw członkowskich. </w:t>
      </w:r>
    </w:p>
    <w:p w14:paraId="00CEF2B8" w14:textId="5A823300" w:rsidR="006E2545" w:rsidRDefault="006E2545" w:rsidP="001E1705">
      <w:pPr>
        <w:shd w:val="clear" w:color="auto" w:fill="FFFFFF"/>
        <w:rPr>
          <w:rFonts w:cs="Arial"/>
          <w:szCs w:val="22"/>
        </w:rPr>
      </w:pPr>
    </w:p>
    <w:p w14:paraId="16560E1B" w14:textId="77777777" w:rsidR="006E77F5" w:rsidRPr="006E77F5" w:rsidRDefault="006E77F5" w:rsidP="006E77F5">
      <w:pPr>
        <w:shd w:val="clear" w:color="auto" w:fill="FFFFFF"/>
        <w:rPr>
          <w:rFonts w:cs="Arial"/>
          <w:b/>
          <w:bCs/>
          <w:color w:val="0070C0"/>
          <w:szCs w:val="22"/>
        </w:rPr>
      </w:pPr>
      <w:r w:rsidRPr="006E77F5">
        <w:rPr>
          <w:rFonts w:cs="Arial"/>
          <w:b/>
          <w:bCs/>
          <w:color w:val="0070C0"/>
          <w:szCs w:val="22"/>
        </w:rPr>
        <w:t>Warsztaty ws. eFormularzy</w:t>
      </w:r>
    </w:p>
    <w:p w14:paraId="2B222535" w14:textId="77777777" w:rsidR="00DF0CFD" w:rsidRDefault="006E77F5" w:rsidP="006E77F5">
      <w:pPr>
        <w:shd w:val="clear" w:color="auto" w:fill="FFFFFF"/>
        <w:rPr>
          <w:rFonts w:cs="Arial"/>
          <w:szCs w:val="22"/>
        </w:rPr>
      </w:pPr>
      <w:r w:rsidRPr="006E77F5">
        <w:rPr>
          <w:rFonts w:cs="Arial"/>
          <w:szCs w:val="22"/>
        </w:rPr>
        <w:t>W 2022 r. odbyły się 2 warsztaty w sprawie e</w:t>
      </w:r>
      <w:r w:rsidR="00300A6E">
        <w:rPr>
          <w:rFonts w:cs="Arial"/>
          <w:szCs w:val="22"/>
        </w:rPr>
        <w:t>-</w:t>
      </w:r>
      <w:r w:rsidRPr="006E77F5">
        <w:rPr>
          <w:rFonts w:cs="Arial"/>
          <w:szCs w:val="22"/>
        </w:rPr>
        <w:t>formularzy dla eSenderów (w terminach 11 maja oraz 29</w:t>
      </w:r>
      <w:r w:rsidR="00723E28" w:rsidRPr="00723E28">
        <w:rPr>
          <w:rFonts w:cs="Arial"/>
          <w:iCs/>
          <w:szCs w:val="22"/>
        </w:rPr>
        <w:t>–</w:t>
      </w:r>
      <w:r w:rsidRPr="006E77F5">
        <w:rPr>
          <w:rFonts w:cs="Arial"/>
          <w:szCs w:val="22"/>
        </w:rPr>
        <w:t>30 września), w których uczestniczyli również przedstawiciele Urzędu. Celem warsztatów było zapoznanie uczestników z aktualnym harmonogramem działań służących implementacji standardowych formularzy z</w:t>
      </w:r>
      <w:r w:rsidR="009343A1">
        <w:rPr>
          <w:rFonts w:cs="Arial"/>
          <w:szCs w:val="22"/>
        </w:rPr>
        <w:t xml:space="preserve"> </w:t>
      </w:r>
      <w:r w:rsidRPr="006E77F5">
        <w:rPr>
          <w:rFonts w:cs="Arial"/>
          <w:szCs w:val="22"/>
        </w:rPr>
        <w:t xml:space="preserve">rozporządzenia wykonawczego Komisji (UE) 2019/1780 oraz dokonanie przeglądu udostępnionej przez Urząd Publikacji UE dokumentacji technicznej SDK (ang. Software Development Kit), czy też omówienie możliwości wykorzystania API (tj. interfejsu programowania aplikacji) w e-formularzach. Ponadto zaprezentowano nową wersję platformy do przygotowywania i przesyłania standardowych formularzy </w:t>
      </w:r>
      <w:r>
        <w:rPr>
          <w:rFonts w:cs="Arial"/>
          <w:szCs w:val="22"/>
        </w:rPr>
        <w:t>–</w:t>
      </w:r>
      <w:r w:rsidRPr="006E77F5">
        <w:rPr>
          <w:rFonts w:cs="Arial"/>
          <w:szCs w:val="22"/>
        </w:rPr>
        <w:t xml:space="preserve"> eNotices2</w:t>
      </w:r>
      <w:r w:rsidR="00DF0CFD">
        <w:rPr>
          <w:rFonts w:cs="Arial"/>
          <w:szCs w:val="22"/>
        </w:rPr>
        <w:t xml:space="preserve">, </w:t>
      </w:r>
      <w:r w:rsidRPr="006E77F5">
        <w:rPr>
          <w:rFonts w:cs="Arial"/>
          <w:szCs w:val="22"/>
        </w:rPr>
        <w:t xml:space="preserve">która dostępna jest pod linkiem: </w:t>
      </w:r>
    </w:p>
    <w:p w14:paraId="7E67D548" w14:textId="025CE757" w:rsidR="006E77F5" w:rsidRPr="006E77F5" w:rsidRDefault="00BE2079" w:rsidP="006E77F5">
      <w:pPr>
        <w:shd w:val="clear" w:color="auto" w:fill="FFFFFF"/>
        <w:rPr>
          <w:rFonts w:cs="Arial"/>
          <w:szCs w:val="22"/>
        </w:rPr>
      </w:pPr>
      <w:hyperlink r:id="rId64" w:history="1">
        <w:r w:rsidR="006E77F5" w:rsidRPr="006E77F5">
          <w:rPr>
            <w:rStyle w:val="Hipercze"/>
            <w:rFonts w:cs="Arial"/>
            <w:szCs w:val="22"/>
          </w:rPr>
          <w:t>https://enotices2.ted.europa.eu/home</w:t>
        </w:r>
      </w:hyperlink>
      <w:r w:rsidR="006E77F5" w:rsidRPr="006E77F5">
        <w:rPr>
          <w:rFonts w:cs="Arial"/>
          <w:szCs w:val="22"/>
        </w:rPr>
        <w:t>.</w:t>
      </w:r>
    </w:p>
    <w:p w14:paraId="4FEB70DF" w14:textId="77777777" w:rsidR="006E77F5" w:rsidRDefault="006E77F5" w:rsidP="001E1705">
      <w:pPr>
        <w:shd w:val="clear" w:color="auto" w:fill="FFFFFF"/>
        <w:rPr>
          <w:rFonts w:cs="Arial"/>
          <w:szCs w:val="22"/>
        </w:rPr>
      </w:pPr>
    </w:p>
    <w:p w14:paraId="3BA92477" w14:textId="77777777" w:rsidR="00F969AD" w:rsidRPr="001E1705" w:rsidRDefault="00F969AD" w:rsidP="001E1705">
      <w:pPr>
        <w:shd w:val="clear" w:color="auto" w:fill="FFFFFF"/>
        <w:rPr>
          <w:rFonts w:cs="Arial"/>
          <w:szCs w:val="22"/>
        </w:rPr>
      </w:pPr>
    </w:p>
    <w:p w14:paraId="0D5EBFB7" w14:textId="1840CD27" w:rsidR="006E77F5" w:rsidRPr="009F16AC" w:rsidRDefault="006E77F5" w:rsidP="00E16264">
      <w:pPr>
        <w:pStyle w:val="StylArial11ptWyjustowany"/>
        <w:numPr>
          <w:ilvl w:val="2"/>
          <w:numId w:val="11"/>
        </w:numPr>
        <w:shd w:val="clear" w:color="auto" w:fill="FFFFFF"/>
        <w:jc w:val="left"/>
        <w:rPr>
          <w:rFonts w:cs="Arial"/>
          <w:b/>
          <w:iCs/>
          <w:color w:val="0070C0"/>
          <w:szCs w:val="22"/>
          <w:lang w:val="en-US"/>
        </w:rPr>
      </w:pPr>
      <w:r w:rsidRPr="006E77F5">
        <w:rPr>
          <w:rFonts w:cs="Arial"/>
          <w:b/>
          <w:bCs/>
          <w:iCs/>
          <w:color w:val="0070C0"/>
          <w:szCs w:val="22"/>
        </w:rPr>
        <w:t>Komitet Doradczy ds</w:t>
      </w:r>
      <w:r>
        <w:rPr>
          <w:rFonts w:cs="Arial"/>
          <w:b/>
          <w:iCs/>
          <w:color w:val="0070C0"/>
          <w:szCs w:val="22"/>
        </w:rPr>
        <w:t xml:space="preserve">. </w:t>
      </w:r>
      <w:r w:rsidRPr="006E77F5">
        <w:rPr>
          <w:rFonts w:cs="Arial"/>
          <w:b/>
          <w:bCs/>
          <w:iCs/>
          <w:color w:val="0070C0"/>
          <w:szCs w:val="22"/>
        </w:rPr>
        <w:t xml:space="preserve">Zamówień Publicznych (ang. </w:t>
      </w:r>
      <w:r w:rsidRPr="006E77F5">
        <w:rPr>
          <w:rFonts w:cs="Arial"/>
          <w:b/>
          <w:bCs/>
          <w:iCs/>
          <w:color w:val="0070C0"/>
          <w:szCs w:val="22"/>
          <w:lang w:val="en-US"/>
        </w:rPr>
        <w:t>Advisory Committee for Public Contracts)</w:t>
      </w:r>
    </w:p>
    <w:p w14:paraId="4A8540EF" w14:textId="42C6F933" w:rsidR="00F50934" w:rsidRPr="009F16AC" w:rsidRDefault="00F50934" w:rsidP="001E1705">
      <w:pPr>
        <w:shd w:val="clear" w:color="auto" w:fill="FFFFFF"/>
        <w:rPr>
          <w:rFonts w:cs="Arial"/>
          <w:szCs w:val="22"/>
          <w:lang w:val="en-US"/>
        </w:rPr>
      </w:pPr>
    </w:p>
    <w:p w14:paraId="762776CD" w14:textId="26A5E0E0" w:rsidR="006E77F5" w:rsidRPr="006E77F5" w:rsidRDefault="006E77F5" w:rsidP="006E77F5">
      <w:pPr>
        <w:shd w:val="clear" w:color="auto" w:fill="FFFFFF"/>
        <w:rPr>
          <w:rFonts w:cs="Arial"/>
          <w:szCs w:val="22"/>
        </w:rPr>
      </w:pPr>
      <w:r w:rsidRPr="006E77F5">
        <w:rPr>
          <w:rFonts w:cs="Arial"/>
          <w:szCs w:val="22"/>
        </w:rPr>
        <w:t xml:space="preserve">W dniu </w:t>
      </w:r>
      <w:r w:rsidRPr="006E77F5">
        <w:rPr>
          <w:rFonts w:cs="Arial"/>
          <w:bCs/>
          <w:szCs w:val="22"/>
        </w:rPr>
        <w:t>10 października 2022 r.</w:t>
      </w:r>
      <w:r w:rsidRPr="006E77F5">
        <w:rPr>
          <w:rFonts w:cs="Arial"/>
          <w:szCs w:val="22"/>
        </w:rPr>
        <w:t xml:space="preserve"> odbyło się w formie hybrydowej posiedzenie Komitetu Doradczego ds.</w:t>
      </w:r>
      <w:r w:rsidR="009343A1">
        <w:rPr>
          <w:rFonts w:cs="Arial"/>
          <w:szCs w:val="22"/>
        </w:rPr>
        <w:t xml:space="preserve"> </w:t>
      </w:r>
      <w:r w:rsidRPr="006E77F5">
        <w:rPr>
          <w:rFonts w:cs="Arial"/>
          <w:szCs w:val="22"/>
        </w:rPr>
        <w:t>Zamówień Publicznych</w:t>
      </w:r>
      <w:r w:rsidRPr="006E77F5">
        <w:rPr>
          <w:rFonts w:cs="Arial"/>
          <w:b/>
          <w:bCs/>
          <w:szCs w:val="22"/>
        </w:rPr>
        <w:t xml:space="preserve"> </w:t>
      </w:r>
      <w:r w:rsidRPr="006E77F5">
        <w:rPr>
          <w:rFonts w:cs="Arial"/>
          <w:szCs w:val="22"/>
        </w:rPr>
        <w:t xml:space="preserve">zorganizowane przez Dyrekcję Generalną Rynek Wewnętrzny, Przemysł, Przedsiębiorczość i MŚP (DG GROW) w Komisji Europejskiej. W spotkaniu uczestniczył również przedstawiciel UZP. Spotkanie poświęcone było w całości procedowanym zmianom w zakresie informacji publikowanych w standardowych formularzach wykorzystywanych w ramach zamówień publicznych, które koncentrowały się w głównej mierze na aspektach środowiskowych. </w:t>
      </w:r>
    </w:p>
    <w:p w14:paraId="6A35A237" w14:textId="77777777" w:rsidR="006E77F5" w:rsidRDefault="006E77F5" w:rsidP="006E77F5">
      <w:pPr>
        <w:shd w:val="clear" w:color="auto" w:fill="FFFFFF"/>
        <w:rPr>
          <w:rFonts w:cs="Arial"/>
          <w:szCs w:val="22"/>
        </w:rPr>
      </w:pPr>
    </w:p>
    <w:p w14:paraId="63059553" w14:textId="27A11880" w:rsidR="006E77F5" w:rsidRPr="006E77F5" w:rsidRDefault="006E77F5" w:rsidP="006E77F5">
      <w:pPr>
        <w:shd w:val="clear" w:color="auto" w:fill="FFFFFF"/>
        <w:rPr>
          <w:rFonts w:cs="Arial"/>
          <w:szCs w:val="22"/>
        </w:rPr>
      </w:pPr>
      <w:r w:rsidRPr="006E77F5">
        <w:rPr>
          <w:rFonts w:cs="Arial"/>
          <w:szCs w:val="22"/>
        </w:rPr>
        <w:t xml:space="preserve">Omawiane zmiany zostały wprowadzone rozporządzeniem wykonawczym Komisji (UE) 2022/2303 z dnia 24 listopada 2022 r. zmieniającym rozporządzenie wykonawcze (UE) 2019/1780 ustanawiające standardowe formularze do publikacji ogłoszeń w dziedzinie zamówień publicznych, które weszło w życie 15 grudnia 2022 r. </w:t>
      </w:r>
    </w:p>
    <w:p w14:paraId="6652F0D1" w14:textId="16ED7338" w:rsidR="006E77F5" w:rsidRDefault="006E77F5" w:rsidP="001E1705">
      <w:pPr>
        <w:shd w:val="clear" w:color="auto" w:fill="FFFFFF"/>
        <w:rPr>
          <w:rFonts w:cs="Arial"/>
          <w:szCs w:val="22"/>
        </w:rPr>
      </w:pPr>
    </w:p>
    <w:p w14:paraId="2E69F766" w14:textId="1BF77AD2" w:rsidR="006E77F5" w:rsidRDefault="006E77F5" w:rsidP="001E1705">
      <w:pPr>
        <w:shd w:val="clear" w:color="auto" w:fill="FFFFFF"/>
        <w:rPr>
          <w:rFonts w:cs="Arial"/>
          <w:szCs w:val="22"/>
        </w:rPr>
      </w:pPr>
    </w:p>
    <w:p w14:paraId="781D2E4D" w14:textId="7352278C" w:rsidR="00D530D2" w:rsidRPr="00534BE9" w:rsidRDefault="00D530D2" w:rsidP="00E16264">
      <w:pPr>
        <w:pStyle w:val="StylArial11ptWyjustowany"/>
        <w:numPr>
          <w:ilvl w:val="2"/>
          <w:numId w:val="11"/>
        </w:numPr>
        <w:shd w:val="clear" w:color="auto" w:fill="FFFFFF"/>
        <w:jc w:val="left"/>
        <w:rPr>
          <w:rFonts w:cs="Arial"/>
          <w:b/>
          <w:iCs/>
          <w:color w:val="0070C0"/>
          <w:szCs w:val="22"/>
        </w:rPr>
      </w:pPr>
      <w:r w:rsidRPr="00534BE9">
        <w:rPr>
          <w:rFonts w:cs="Arial"/>
          <w:b/>
          <w:bCs/>
          <w:iCs/>
          <w:color w:val="0070C0"/>
          <w:szCs w:val="22"/>
        </w:rPr>
        <w:t xml:space="preserve">Grupa Doradcza ds. Zielonych Zamówień Publicznych (ang. </w:t>
      </w:r>
      <w:r w:rsidR="00A76569">
        <w:rPr>
          <w:rFonts w:cs="Arial"/>
          <w:b/>
          <w:bCs/>
          <w:iCs/>
          <w:color w:val="0070C0"/>
          <w:szCs w:val="22"/>
        </w:rPr>
        <w:t xml:space="preserve">GPP </w:t>
      </w:r>
      <w:r w:rsidRPr="00534BE9">
        <w:rPr>
          <w:rFonts w:cs="Arial"/>
          <w:b/>
          <w:bCs/>
          <w:iCs/>
          <w:color w:val="0070C0"/>
          <w:szCs w:val="22"/>
        </w:rPr>
        <w:t>Advisory Group)</w:t>
      </w:r>
    </w:p>
    <w:p w14:paraId="002F7C45" w14:textId="38BF1C76" w:rsidR="00D530D2" w:rsidRDefault="00D530D2" w:rsidP="001E1705">
      <w:pPr>
        <w:shd w:val="clear" w:color="auto" w:fill="FFFFFF"/>
        <w:rPr>
          <w:rFonts w:cs="Arial"/>
          <w:szCs w:val="22"/>
        </w:rPr>
      </w:pPr>
    </w:p>
    <w:p w14:paraId="7059409C" w14:textId="4F10159F" w:rsidR="00534BE9" w:rsidRPr="00534BE9" w:rsidRDefault="00534BE9" w:rsidP="00534BE9">
      <w:pPr>
        <w:shd w:val="clear" w:color="auto" w:fill="FFFFFF"/>
        <w:rPr>
          <w:rFonts w:cs="Arial"/>
          <w:szCs w:val="22"/>
        </w:rPr>
      </w:pPr>
      <w:r w:rsidRPr="00534BE9">
        <w:rPr>
          <w:rFonts w:cs="Arial"/>
          <w:szCs w:val="22"/>
          <w:lang w:val="cs-CZ"/>
        </w:rPr>
        <w:t>W 2022 r. odbyły się dwa spotkania Grupy Doradczej ds. Zielonych Zamówień Publicznych powołanej przez Komisję Europejską (Dyrekcja Generalna ds. Środowiska)</w:t>
      </w:r>
      <w:r w:rsidRPr="00534BE9">
        <w:rPr>
          <w:rFonts w:cs="Arial"/>
          <w:szCs w:val="22"/>
        </w:rPr>
        <w:t xml:space="preserve">, w którym udział wziął przedstawiciel UZP </w:t>
      </w:r>
      <w:r w:rsidRPr="00534BE9">
        <w:rPr>
          <w:rFonts w:cs="Arial"/>
          <w:szCs w:val="22"/>
          <w:lang w:val="cs-CZ"/>
        </w:rPr>
        <w:t>(</w:t>
      </w:r>
      <w:r w:rsidRPr="00534BE9">
        <w:rPr>
          <w:rFonts w:cs="Arial"/>
          <w:bCs/>
          <w:szCs w:val="22"/>
        </w:rPr>
        <w:t xml:space="preserve">17 marca oraz </w:t>
      </w:r>
      <w:r w:rsidRPr="00534BE9">
        <w:rPr>
          <w:rFonts w:cs="Arial"/>
          <w:bCs/>
          <w:szCs w:val="22"/>
          <w:lang w:val="cs-CZ"/>
        </w:rPr>
        <w:t>13</w:t>
      </w:r>
      <w:r w:rsidR="00401AD1" w:rsidRPr="00401AD1">
        <w:rPr>
          <w:rFonts w:cs="Arial"/>
          <w:bCs/>
          <w:iCs/>
          <w:szCs w:val="22"/>
        </w:rPr>
        <w:t>–</w:t>
      </w:r>
      <w:r w:rsidRPr="00534BE9">
        <w:rPr>
          <w:rFonts w:cs="Arial"/>
          <w:bCs/>
          <w:szCs w:val="22"/>
          <w:lang w:val="cs-CZ"/>
        </w:rPr>
        <w:t>14 grudnia)</w:t>
      </w:r>
      <w:r w:rsidRPr="00534BE9">
        <w:rPr>
          <w:rFonts w:cs="Arial"/>
          <w:szCs w:val="22"/>
        </w:rPr>
        <w:t>. Na spotkaniach Komisja Europejska dokonała przeglądu wniosków legislacyjnych oraz inicjatyw mających na celu wprowadzenie szerszego stosowania aspektów środowiskowych w ramach zamówień publicznych. Poinformowała również o prowadzonych zmianach w ramach e-formularzy ogłoszeń, które dotyczą m.in. czystych pojazdów, zamówień na innowacje, zielonych zamówień i wartości szacunkowej w umowach ramowych.</w:t>
      </w:r>
    </w:p>
    <w:p w14:paraId="7E4BE338" w14:textId="77777777" w:rsidR="00534BE9" w:rsidRDefault="00534BE9" w:rsidP="00534BE9">
      <w:pPr>
        <w:shd w:val="clear" w:color="auto" w:fill="FFFFFF"/>
        <w:rPr>
          <w:rFonts w:cs="Arial"/>
          <w:szCs w:val="22"/>
        </w:rPr>
      </w:pPr>
    </w:p>
    <w:p w14:paraId="2B109E8E" w14:textId="65C62A26" w:rsidR="00534BE9" w:rsidRPr="00534BE9" w:rsidRDefault="00534BE9" w:rsidP="00534BE9">
      <w:pPr>
        <w:shd w:val="clear" w:color="auto" w:fill="FFFFFF"/>
        <w:rPr>
          <w:rFonts w:cs="Arial"/>
          <w:szCs w:val="22"/>
        </w:rPr>
      </w:pPr>
      <w:r w:rsidRPr="00534BE9">
        <w:rPr>
          <w:rFonts w:cs="Arial"/>
          <w:szCs w:val="22"/>
        </w:rPr>
        <w:t xml:space="preserve">Przedstawiciel Komisji przekazał również informacje o prowadzonych przez Wspólne Centrum Badawcze działaniach mających na celu rewizję unijnych kryteriów środowiskowych dla budynków. Materiał będący przedmiotem aktualizacji został opracowany w 2016 r. </w:t>
      </w:r>
    </w:p>
    <w:p w14:paraId="379F670F" w14:textId="4123AEAD" w:rsidR="00534BE9" w:rsidRPr="00534BE9" w:rsidRDefault="00534BE9" w:rsidP="00534BE9">
      <w:pPr>
        <w:shd w:val="clear" w:color="auto" w:fill="FFFFFF"/>
        <w:rPr>
          <w:rFonts w:cs="Arial"/>
          <w:szCs w:val="22"/>
        </w:rPr>
      </w:pPr>
      <w:r w:rsidRPr="00534BE9">
        <w:rPr>
          <w:rFonts w:cs="Arial"/>
          <w:szCs w:val="22"/>
        </w:rPr>
        <w:t>Ponadto, zaprezentowane zostały główne założenia oraz wnioski z badania dotyczącego wdrożenia metod oceny cyklu życia i śladu środowiskowego w kontekście zamówień publicznych</w:t>
      </w:r>
      <w:r w:rsidRPr="00534BE9">
        <w:rPr>
          <w:rFonts w:cs="Arial"/>
          <w:b/>
          <w:bCs/>
          <w:szCs w:val="22"/>
        </w:rPr>
        <w:t xml:space="preserve"> </w:t>
      </w:r>
      <w:r w:rsidRPr="00534BE9">
        <w:rPr>
          <w:rFonts w:cs="Arial"/>
          <w:szCs w:val="22"/>
        </w:rPr>
        <w:t xml:space="preserve">pn. </w:t>
      </w:r>
      <w:r w:rsidRPr="00534BE9">
        <w:rPr>
          <w:rFonts w:cs="Arial"/>
          <w:szCs w:val="22"/>
          <w:lang w:val="en-US"/>
        </w:rPr>
        <w:t>„</w:t>
      </w:r>
      <w:r w:rsidRPr="00534BE9">
        <w:rPr>
          <w:rFonts w:cs="Arial"/>
          <w:i/>
          <w:iCs/>
          <w:szCs w:val="22"/>
          <w:lang w:val="en-US"/>
        </w:rPr>
        <w:t xml:space="preserve">Study on </w:t>
      </w:r>
      <w:r w:rsidR="008C1DF4">
        <w:rPr>
          <w:rFonts w:cs="Arial"/>
          <w:i/>
          <w:iCs/>
          <w:szCs w:val="22"/>
          <w:lang w:val="en-US"/>
        </w:rPr>
        <w:t xml:space="preserve">the implementation of </w:t>
      </w:r>
      <w:r w:rsidRPr="00534BE9">
        <w:rPr>
          <w:rFonts w:cs="Arial"/>
          <w:i/>
          <w:iCs/>
          <w:szCs w:val="22"/>
          <w:lang w:val="en-US"/>
        </w:rPr>
        <w:t xml:space="preserve">life cycle assessment and environmental footprint methods in </w:t>
      </w:r>
      <w:r w:rsidR="008C1DF4">
        <w:rPr>
          <w:rFonts w:cs="Arial"/>
          <w:i/>
          <w:iCs/>
          <w:szCs w:val="22"/>
          <w:lang w:val="en-US"/>
        </w:rPr>
        <w:t xml:space="preserve">the context of </w:t>
      </w:r>
      <w:r w:rsidRPr="00534BE9">
        <w:rPr>
          <w:rFonts w:cs="Arial"/>
          <w:i/>
          <w:iCs/>
          <w:szCs w:val="22"/>
          <w:lang w:val="en-US"/>
        </w:rPr>
        <w:t>public procurement</w:t>
      </w:r>
      <w:r w:rsidRPr="00534BE9">
        <w:rPr>
          <w:rFonts w:cs="Arial"/>
          <w:szCs w:val="22"/>
          <w:lang w:val="en-US"/>
        </w:rPr>
        <w:t xml:space="preserve">”. </w:t>
      </w:r>
      <w:r w:rsidRPr="00534BE9">
        <w:rPr>
          <w:rFonts w:cs="Arial"/>
          <w:szCs w:val="22"/>
        </w:rPr>
        <w:t xml:space="preserve">Badanie koncentrowało się na identyfikacji podstaw prawnych oraz zasad wprowadzających ocenę śladu środowiskowego lub ocenę cyklu życia jako </w:t>
      </w:r>
      <w:r w:rsidR="008C1DF4" w:rsidRPr="00534BE9">
        <w:rPr>
          <w:rFonts w:cs="Arial"/>
          <w:szCs w:val="22"/>
        </w:rPr>
        <w:t>kryteri</w:t>
      </w:r>
      <w:r w:rsidR="008C1DF4">
        <w:rPr>
          <w:rFonts w:cs="Arial"/>
          <w:szCs w:val="22"/>
        </w:rPr>
        <w:t>ów</w:t>
      </w:r>
      <w:r w:rsidR="008C1DF4" w:rsidRPr="00534BE9">
        <w:rPr>
          <w:rFonts w:cs="Arial"/>
          <w:szCs w:val="22"/>
        </w:rPr>
        <w:t xml:space="preserve"> </w:t>
      </w:r>
      <w:r w:rsidRPr="00534BE9">
        <w:rPr>
          <w:rFonts w:cs="Arial"/>
          <w:szCs w:val="22"/>
        </w:rPr>
        <w:t>w ramach zamówień publicznych w dziewięciu kraj</w:t>
      </w:r>
      <w:r w:rsidR="00965FDE">
        <w:rPr>
          <w:rFonts w:cs="Arial"/>
          <w:szCs w:val="22"/>
        </w:rPr>
        <w:t>ach</w:t>
      </w:r>
      <w:r w:rsidRPr="00534BE9">
        <w:rPr>
          <w:rFonts w:cs="Arial"/>
          <w:szCs w:val="22"/>
        </w:rPr>
        <w:t xml:space="preserve"> EOG uczestniczących w badaniu. Finalna wersja dostępna jest pod linkiem: </w:t>
      </w:r>
      <w:hyperlink r:id="rId65" w:history="1">
        <w:r w:rsidRPr="00534BE9">
          <w:rPr>
            <w:rStyle w:val="Hipercze"/>
            <w:rFonts w:cs="Arial"/>
            <w:szCs w:val="22"/>
          </w:rPr>
          <w:t>https://op.europa.eu/en/publication-detail/-/publication/28948315-41da-11ec-89db-01aa75ed71a1/language-en/format-PDF/source-242944128</w:t>
        </w:r>
      </w:hyperlink>
    </w:p>
    <w:p w14:paraId="16B3B9F5" w14:textId="77777777" w:rsidR="00D530D2" w:rsidRDefault="00D530D2" w:rsidP="001E1705">
      <w:pPr>
        <w:shd w:val="clear" w:color="auto" w:fill="FFFFFF"/>
        <w:rPr>
          <w:rFonts w:cs="Arial"/>
          <w:szCs w:val="22"/>
        </w:rPr>
      </w:pPr>
    </w:p>
    <w:p w14:paraId="4FF22A50" w14:textId="77777777" w:rsidR="006E77F5" w:rsidRPr="001E1705" w:rsidRDefault="006E77F5" w:rsidP="001E1705">
      <w:pPr>
        <w:shd w:val="clear" w:color="auto" w:fill="FFFFFF"/>
        <w:rPr>
          <w:rFonts w:cs="Arial"/>
          <w:szCs w:val="22"/>
        </w:rPr>
      </w:pPr>
    </w:p>
    <w:p w14:paraId="24382D56" w14:textId="424108A4" w:rsidR="001E1705" w:rsidRPr="00F50934" w:rsidRDefault="001E1705" w:rsidP="00E16264">
      <w:pPr>
        <w:pStyle w:val="StylArial11ptWyjustowany"/>
        <w:numPr>
          <w:ilvl w:val="1"/>
          <w:numId w:val="11"/>
        </w:numPr>
        <w:shd w:val="clear" w:color="auto" w:fill="FFFFFF"/>
        <w:jc w:val="left"/>
        <w:rPr>
          <w:rFonts w:cs="Arial"/>
          <w:b/>
          <w:iCs/>
          <w:color w:val="0070C0"/>
          <w:szCs w:val="22"/>
        </w:rPr>
      </w:pPr>
      <w:r w:rsidRPr="00F50934">
        <w:rPr>
          <w:rFonts w:cs="Arial"/>
          <w:b/>
          <w:iCs/>
          <w:color w:val="0070C0"/>
          <w:szCs w:val="22"/>
        </w:rPr>
        <w:t>Komitet Polityki Handlowej (TPC)</w:t>
      </w:r>
    </w:p>
    <w:p w14:paraId="6764F690" w14:textId="77777777" w:rsidR="00F50934" w:rsidRDefault="00F50934" w:rsidP="001E1705">
      <w:pPr>
        <w:shd w:val="clear" w:color="auto" w:fill="FFFFFF"/>
        <w:rPr>
          <w:rFonts w:cs="Arial"/>
          <w:szCs w:val="22"/>
        </w:rPr>
      </w:pPr>
    </w:p>
    <w:p w14:paraId="4BF263D6" w14:textId="77777777" w:rsidR="00D41E95" w:rsidRPr="00D41E95" w:rsidRDefault="00D41E95" w:rsidP="00D41E95">
      <w:pPr>
        <w:shd w:val="clear" w:color="auto" w:fill="FFFFFF"/>
        <w:rPr>
          <w:rFonts w:cs="Arial"/>
          <w:iCs/>
          <w:szCs w:val="22"/>
        </w:rPr>
      </w:pPr>
      <w:r w:rsidRPr="00D41E95">
        <w:rPr>
          <w:rFonts w:cs="Arial"/>
          <w:iCs/>
          <w:szCs w:val="22"/>
        </w:rPr>
        <w:t xml:space="preserve">W 2022 r. w pracach Komitetu Polityki Handlowej (TPC) temat zamówień publicznych pojawiał się głównie w kontekście negocjowanych umów handlowych UE z państwami trzecimi, takimi jak Australia, Nowa Zelandia, Chile, kraje Mercosur, Meksyk, zawierających rozdziały dotyczące zasad wzajemnego dostępu do zamówień publicznych, oraz akcesji Brazylii i Macedonii Północnej do GPA oraz informacji o pracach legislacyjnych dotyczących projektu rozporządzenia w sprawie subsydiów zagranicznych (rozporządzenie FSR). </w:t>
      </w:r>
    </w:p>
    <w:p w14:paraId="1A30078C" w14:textId="70C6D587" w:rsidR="001E1705" w:rsidRDefault="001E1705" w:rsidP="001E1705">
      <w:pPr>
        <w:shd w:val="clear" w:color="auto" w:fill="FFFFFF"/>
        <w:rPr>
          <w:rFonts w:cs="Arial"/>
          <w:szCs w:val="22"/>
        </w:rPr>
      </w:pPr>
    </w:p>
    <w:p w14:paraId="19975326" w14:textId="77777777" w:rsidR="00974A83" w:rsidRPr="001E1705" w:rsidRDefault="00974A83" w:rsidP="001E1705">
      <w:pPr>
        <w:shd w:val="clear" w:color="auto" w:fill="FFFFFF"/>
        <w:rPr>
          <w:rFonts w:cs="Arial"/>
          <w:szCs w:val="22"/>
        </w:rPr>
      </w:pPr>
    </w:p>
    <w:p w14:paraId="65DF1E98" w14:textId="3287A323" w:rsidR="001E1705" w:rsidRPr="00754A52" w:rsidRDefault="001E1705" w:rsidP="00E16264">
      <w:pPr>
        <w:pStyle w:val="StylArial11ptWyjustowany"/>
        <w:numPr>
          <w:ilvl w:val="0"/>
          <w:numId w:val="11"/>
        </w:numPr>
        <w:shd w:val="clear" w:color="auto" w:fill="FFFFFF"/>
        <w:jc w:val="left"/>
        <w:rPr>
          <w:rFonts w:cs="Arial"/>
          <w:b/>
          <w:iCs/>
          <w:color w:val="0070C0"/>
          <w:szCs w:val="22"/>
        </w:rPr>
      </w:pPr>
      <w:r w:rsidRPr="00754A52">
        <w:rPr>
          <w:rFonts w:cs="Arial"/>
          <w:b/>
          <w:iCs/>
          <w:color w:val="0070C0"/>
          <w:szCs w:val="22"/>
        </w:rPr>
        <w:t>Współpraca z instytucjami międzynarodowymi</w:t>
      </w:r>
    </w:p>
    <w:p w14:paraId="3BA5A255" w14:textId="77777777" w:rsidR="001E1705" w:rsidRPr="001E1705" w:rsidRDefault="001E1705" w:rsidP="001E1705">
      <w:pPr>
        <w:shd w:val="clear" w:color="auto" w:fill="FFFFFF"/>
        <w:rPr>
          <w:rFonts w:cs="Arial"/>
          <w:szCs w:val="22"/>
        </w:rPr>
      </w:pPr>
    </w:p>
    <w:p w14:paraId="5C516D0C" w14:textId="1486918F" w:rsidR="001E1705" w:rsidRPr="001E1705" w:rsidRDefault="001E1705" w:rsidP="00E16264">
      <w:pPr>
        <w:pStyle w:val="StylArial11ptWyjustowany"/>
        <w:numPr>
          <w:ilvl w:val="1"/>
          <w:numId w:val="11"/>
        </w:numPr>
        <w:shd w:val="clear" w:color="auto" w:fill="FFFFFF"/>
        <w:jc w:val="left"/>
        <w:rPr>
          <w:rFonts w:cs="Arial"/>
          <w:szCs w:val="22"/>
        </w:rPr>
      </w:pPr>
      <w:r w:rsidRPr="00582D93">
        <w:rPr>
          <w:rFonts w:cs="Arial"/>
          <w:b/>
          <w:iCs/>
          <w:color w:val="0070C0"/>
          <w:szCs w:val="22"/>
        </w:rPr>
        <w:t>Współpraca z Organizacją Współpracy Gospodarczej i Rozwoju (OECD)</w:t>
      </w:r>
    </w:p>
    <w:p w14:paraId="1474DB7F" w14:textId="77777777" w:rsidR="00582D93" w:rsidRDefault="00582D93" w:rsidP="001E1705">
      <w:pPr>
        <w:shd w:val="clear" w:color="auto" w:fill="FFFFFF"/>
        <w:rPr>
          <w:rFonts w:cs="Arial"/>
          <w:szCs w:val="22"/>
        </w:rPr>
      </w:pPr>
    </w:p>
    <w:p w14:paraId="3E77B480" w14:textId="5775161E" w:rsidR="00F014E5" w:rsidRPr="00F014E5" w:rsidRDefault="00F014E5" w:rsidP="00F014E5">
      <w:pPr>
        <w:shd w:val="clear" w:color="auto" w:fill="FFFFFF"/>
        <w:rPr>
          <w:rFonts w:cs="Arial"/>
          <w:szCs w:val="22"/>
        </w:rPr>
      </w:pPr>
      <w:r w:rsidRPr="00F014E5">
        <w:rPr>
          <w:rFonts w:cs="Arial"/>
          <w:szCs w:val="22"/>
        </w:rPr>
        <w:t>W 2022 roku odbyła się</w:t>
      </w:r>
      <w:r w:rsidR="009343A1">
        <w:rPr>
          <w:rFonts w:cs="Arial"/>
          <w:szCs w:val="22"/>
        </w:rPr>
        <w:t xml:space="preserve"> </w:t>
      </w:r>
      <w:r w:rsidRPr="00F014E5">
        <w:rPr>
          <w:rFonts w:cs="Arial"/>
          <w:szCs w:val="22"/>
        </w:rPr>
        <w:t xml:space="preserve">4 </w:t>
      </w:r>
      <w:r w:rsidR="00A61C1B">
        <w:rPr>
          <w:rFonts w:cs="Arial"/>
          <w:szCs w:val="22"/>
        </w:rPr>
        <w:t>f</w:t>
      </w:r>
      <w:r w:rsidRPr="00F014E5">
        <w:rPr>
          <w:rFonts w:cs="Arial"/>
          <w:szCs w:val="22"/>
        </w:rPr>
        <w:t>aza przeglądu ewaluacyjnego Polski przeprowadzonego przez Grupę Roboczą OECD do spraw Przekupstwa w Międzynarodowych Transakcjach Handlowych (Working Group on Bribery). W marcu 2022 roku przekazano odpowiedzi na zawarte w kwestionariuszu pytania, które odnosiły się do podstaw wykluczenia z postępowania oraz dokumentów stanowiących podstawę weryfikacji danych dotyczących, w szczególności sytuacji związanych z wystąpieniem przekupstwa międzynarodowego urzędników, systemu kontroli zamówień oraz w jaki sposób są wykorzystywane listy wykluczenia z udziału w zamówieniach, które zostały opracowane przez międzynarodowe instytucje finansowe takie jak Bank Światowy, Europejski Bank Odbudowy i Rozwoju, Azjatycki Bank Rozwoju, Grupa Inter-amerykańskiego Banku Rozwoju, Grupa Afrykańskiego Banku Rozwoju. Przedstawiciel UZP w dniu 8 lipca 2022 roku wziął udział w spotkaniu z audytorami OECD oceniającymi stan wdrożenia przez Polskę Konwencji OECD o zwalczaniu przekupstw zagranicznych funkcjonariuszy publicznych w międzynarodowych transakcjach handlowych, gdzie omówione zostały zagadnienia wskazane w</w:t>
      </w:r>
      <w:r w:rsidR="009343A1">
        <w:rPr>
          <w:rFonts w:cs="Arial"/>
          <w:szCs w:val="22"/>
        </w:rPr>
        <w:t xml:space="preserve"> </w:t>
      </w:r>
      <w:r w:rsidRPr="00F014E5">
        <w:rPr>
          <w:rFonts w:cs="Arial"/>
          <w:szCs w:val="22"/>
        </w:rPr>
        <w:t>kwestionariuszu. W dniach 6</w:t>
      </w:r>
      <w:r w:rsidR="0048038A" w:rsidRPr="0048038A">
        <w:rPr>
          <w:rFonts w:cs="Arial"/>
          <w:bCs/>
          <w:iCs/>
          <w:szCs w:val="22"/>
        </w:rPr>
        <w:t>–</w:t>
      </w:r>
      <w:r w:rsidRPr="00F014E5">
        <w:rPr>
          <w:rFonts w:cs="Arial"/>
          <w:szCs w:val="22"/>
        </w:rPr>
        <w:t>9 grudnia 2022 roku o</w:t>
      </w:r>
      <w:r w:rsidR="000654C5">
        <w:rPr>
          <w:rFonts w:cs="Arial"/>
          <w:szCs w:val="22"/>
        </w:rPr>
        <w:t>d</w:t>
      </w:r>
      <w:r w:rsidRPr="00F014E5">
        <w:rPr>
          <w:rFonts w:cs="Arial"/>
          <w:szCs w:val="22"/>
        </w:rPr>
        <w:t>było się spotkanie w Paryżu (Polska reprezentowana przez Ministerstwo Sprawiedliwości) oraz online (udział przedstawiciela UZP), gdzie przeprowadzono czytania projektu raportu. Ostateczna wersja raportu została przekazana w styczniu 2023 roku. W ramach rekomendacji odnoszących się do właściwości UZP [rekomendacja</w:t>
      </w:r>
      <w:r w:rsidR="001B5154">
        <w:rPr>
          <w:rFonts w:cs="Arial"/>
          <w:szCs w:val="22"/>
        </w:rPr>
        <w:t xml:space="preserve"> w</w:t>
      </w:r>
      <w:r w:rsidRPr="00F014E5">
        <w:rPr>
          <w:rFonts w:cs="Arial"/>
          <w:szCs w:val="22"/>
        </w:rPr>
        <w:t xml:space="preserve"> punkcie 21 (f)] wskazano, że powinno się zachęcać zamawiających do rozważenia zastosowania w</w:t>
      </w:r>
      <w:r w:rsidR="009343A1">
        <w:rPr>
          <w:rFonts w:cs="Arial"/>
          <w:szCs w:val="22"/>
        </w:rPr>
        <w:t xml:space="preserve"> </w:t>
      </w:r>
      <w:r w:rsidRPr="00F014E5">
        <w:rPr>
          <w:rFonts w:cs="Arial"/>
          <w:szCs w:val="22"/>
        </w:rPr>
        <w:t>przypadku międzynarodowych transakcji handlowych, w stosownych przypadkach, kontroli wewnętrznych, programów etycznych i programów zgodności lub mierników w</w:t>
      </w:r>
      <w:r w:rsidR="009343A1">
        <w:rPr>
          <w:rFonts w:cs="Arial"/>
          <w:szCs w:val="22"/>
        </w:rPr>
        <w:t xml:space="preserve"> </w:t>
      </w:r>
      <w:r w:rsidRPr="00F014E5">
        <w:rPr>
          <w:rFonts w:cs="Arial"/>
          <w:szCs w:val="22"/>
        </w:rPr>
        <w:t>celu zapobiegania i wykrywania przekupstwa o charakterze międzynarodowym w</w:t>
      </w:r>
      <w:r w:rsidR="009343A1">
        <w:rPr>
          <w:rFonts w:cs="Arial"/>
          <w:szCs w:val="22"/>
        </w:rPr>
        <w:t xml:space="preserve"> </w:t>
      </w:r>
      <w:r w:rsidRPr="00F014E5">
        <w:rPr>
          <w:rFonts w:cs="Arial"/>
          <w:szCs w:val="22"/>
        </w:rPr>
        <w:t>zamówieniach publicznych.</w:t>
      </w:r>
    </w:p>
    <w:p w14:paraId="0B008138" w14:textId="77777777" w:rsidR="00F014E5" w:rsidRDefault="00F014E5" w:rsidP="00F014E5">
      <w:pPr>
        <w:shd w:val="clear" w:color="auto" w:fill="FFFFFF"/>
        <w:rPr>
          <w:rFonts w:cs="Arial"/>
          <w:szCs w:val="22"/>
        </w:rPr>
      </w:pPr>
    </w:p>
    <w:p w14:paraId="11545EDB" w14:textId="33FECA3A" w:rsidR="00F014E5" w:rsidRPr="00F014E5" w:rsidRDefault="00F014E5" w:rsidP="00F014E5">
      <w:pPr>
        <w:shd w:val="clear" w:color="auto" w:fill="FFFFFF"/>
        <w:rPr>
          <w:rFonts w:cs="Arial"/>
          <w:szCs w:val="22"/>
        </w:rPr>
      </w:pPr>
      <w:r w:rsidRPr="00F014E5">
        <w:rPr>
          <w:rFonts w:cs="Arial"/>
          <w:szCs w:val="22"/>
        </w:rPr>
        <w:t>W ramach współpracy z Organizacją Współpracy Gospodarczej i Rozwoju (OECD), w</w:t>
      </w:r>
      <w:r w:rsidR="009343A1">
        <w:rPr>
          <w:rFonts w:cs="Arial"/>
          <w:szCs w:val="22"/>
        </w:rPr>
        <w:t xml:space="preserve"> </w:t>
      </w:r>
      <w:r w:rsidRPr="00F014E5">
        <w:rPr>
          <w:rFonts w:cs="Arial"/>
          <w:szCs w:val="22"/>
        </w:rPr>
        <w:t>dniach 13</w:t>
      </w:r>
      <w:bookmarkStart w:id="240" w:name="_Hlk135651071"/>
      <w:r w:rsidR="0048038A" w:rsidRPr="0048038A">
        <w:rPr>
          <w:rFonts w:cs="Arial"/>
          <w:bCs/>
          <w:iCs/>
          <w:szCs w:val="22"/>
        </w:rPr>
        <w:t>–</w:t>
      </w:r>
      <w:bookmarkEnd w:id="240"/>
      <w:r w:rsidRPr="00F014E5">
        <w:rPr>
          <w:rFonts w:cs="Arial"/>
          <w:szCs w:val="22"/>
        </w:rPr>
        <w:t>14 października 2022 r. przedstawiciel Urzędu brał udział w corocznym spotkaniu eksperckim Grupy Roboczej Wiodących Praktyków Zamówień Publicznych (</w:t>
      </w:r>
      <w:r w:rsidRPr="00F014E5">
        <w:rPr>
          <w:rFonts w:cs="Arial"/>
          <w:i/>
          <w:iCs/>
          <w:szCs w:val="22"/>
        </w:rPr>
        <w:t xml:space="preserve">The Working Party of the Leading Practitioners on Public Procurement </w:t>
      </w:r>
      <w:r w:rsidRPr="00F014E5">
        <w:rPr>
          <w:rFonts w:cs="Arial"/>
          <w:szCs w:val="22"/>
        </w:rPr>
        <w:t>(LPP) w Paryżu. Spotkanie poświęcone zostało zagadnieniu współpracy rządów i łańcuchów dostaw w celu zapewnienia zrównoważonego rozwoju w zamówieniach publicznych.</w:t>
      </w:r>
      <w:r w:rsidR="009343A1">
        <w:rPr>
          <w:rFonts w:cs="Arial"/>
          <w:szCs w:val="22"/>
        </w:rPr>
        <w:t xml:space="preserve"> </w:t>
      </w:r>
    </w:p>
    <w:p w14:paraId="6CC7AE8E" w14:textId="77777777" w:rsidR="00F014E5" w:rsidRPr="00F014E5" w:rsidRDefault="00F014E5" w:rsidP="00F014E5">
      <w:pPr>
        <w:shd w:val="clear" w:color="auto" w:fill="FFFFFF"/>
        <w:rPr>
          <w:rFonts w:cs="Arial"/>
          <w:szCs w:val="22"/>
          <w:lang w:val="cs-CZ"/>
        </w:rPr>
      </w:pPr>
      <w:r w:rsidRPr="00F014E5">
        <w:rPr>
          <w:rFonts w:cs="Arial"/>
          <w:szCs w:val="22"/>
          <w:lang w:val="cs-CZ"/>
        </w:rPr>
        <w:t xml:space="preserve">Urząd Zamówień Publicznych wziął udział w zorganizowanym przez </w:t>
      </w:r>
      <w:r w:rsidRPr="00F014E5">
        <w:rPr>
          <w:rFonts w:cs="Arial"/>
          <w:szCs w:val="22"/>
        </w:rPr>
        <w:t>OECD</w:t>
      </w:r>
      <w:r w:rsidRPr="00F014E5">
        <w:rPr>
          <w:rFonts w:cs="Arial"/>
          <w:szCs w:val="22"/>
          <w:lang w:val="cs-CZ"/>
        </w:rPr>
        <w:t xml:space="preserve"> badaniu pn. „Survey on Green Public Procurement“. Badanie dotyczyło prawnych możliwości uwzględnienia aspektów środowiskowych w ramach postępowań o udzielenie zamówienia, a także realizowanych przez Urząd Zamówień Publicznych działaniach w obszarze zielonych zamowień. </w:t>
      </w:r>
    </w:p>
    <w:p w14:paraId="028DEC21" w14:textId="4242AA05" w:rsidR="001E1705" w:rsidRDefault="001E1705" w:rsidP="001E1705">
      <w:pPr>
        <w:shd w:val="clear" w:color="auto" w:fill="FFFFFF"/>
        <w:rPr>
          <w:rFonts w:cs="Arial"/>
          <w:szCs w:val="22"/>
        </w:rPr>
      </w:pPr>
    </w:p>
    <w:p w14:paraId="128150F2" w14:textId="77777777" w:rsidR="00582D93" w:rsidRPr="001E1705" w:rsidRDefault="00582D93" w:rsidP="001E1705">
      <w:pPr>
        <w:shd w:val="clear" w:color="auto" w:fill="FFFFFF"/>
        <w:rPr>
          <w:rFonts w:cs="Arial"/>
          <w:szCs w:val="22"/>
        </w:rPr>
      </w:pPr>
    </w:p>
    <w:p w14:paraId="19A85B19" w14:textId="76AC26C9" w:rsidR="001E1705" w:rsidRPr="00582D93" w:rsidRDefault="001E1705" w:rsidP="00E16264">
      <w:pPr>
        <w:pStyle w:val="StylArial11ptWyjustowany"/>
        <w:numPr>
          <w:ilvl w:val="1"/>
          <w:numId w:val="11"/>
        </w:numPr>
        <w:shd w:val="clear" w:color="auto" w:fill="FFFFFF"/>
        <w:jc w:val="left"/>
        <w:rPr>
          <w:rFonts w:cs="Arial"/>
          <w:b/>
          <w:iCs/>
          <w:color w:val="0070C0"/>
          <w:szCs w:val="22"/>
        </w:rPr>
      </w:pPr>
      <w:r w:rsidRPr="00582D93">
        <w:rPr>
          <w:rFonts w:cs="Arial"/>
          <w:b/>
          <w:iCs/>
          <w:color w:val="0070C0"/>
          <w:szCs w:val="22"/>
        </w:rPr>
        <w:t xml:space="preserve">Komitet ws. Zamówień Rządowych </w:t>
      </w:r>
    </w:p>
    <w:p w14:paraId="0BD78883" w14:textId="77777777" w:rsidR="00582D93" w:rsidRDefault="00582D93" w:rsidP="001E1705">
      <w:pPr>
        <w:shd w:val="clear" w:color="auto" w:fill="FFFFFF"/>
        <w:rPr>
          <w:rFonts w:cs="Arial"/>
          <w:szCs w:val="22"/>
        </w:rPr>
      </w:pPr>
    </w:p>
    <w:p w14:paraId="1732AF67" w14:textId="77777777" w:rsidR="00960738" w:rsidRPr="00960738" w:rsidRDefault="00960738" w:rsidP="00960738">
      <w:pPr>
        <w:shd w:val="clear" w:color="auto" w:fill="FFFFFF"/>
        <w:rPr>
          <w:rFonts w:cs="Arial"/>
          <w:iCs/>
          <w:szCs w:val="22"/>
        </w:rPr>
      </w:pPr>
      <w:r w:rsidRPr="00960738">
        <w:rPr>
          <w:rFonts w:cs="Arial"/>
          <w:iCs/>
          <w:szCs w:val="22"/>
        </w:rPr>
        <w:t>Żadne z zaplanowanych na 2022 r. posiedzeń Komitetu ws. Zamówień Rządowych (Komitet GPA), ustanowionego na podstawie Porozumienia GPA i działającego w ramach WTO, nie odbyło się z powodu braku konsensusu w trwającej od 2021 r. dyskusji nad wyborem kolejnego Przewodniczącego Komitetu. Ze względu na szczególne okoliczności związane z wyborem przewodniczącego Komitetu, w okresie sprawozdawczym Komitet GPA prowadził prace w trybie korespondencyjnym, w ramach których zatwierdzony został status obserwatora dla Republiki Dominikany oraz dla Europejskiego Banku Odbudowy i Rozwoju, konsultowane były zmienione oferty dostępu do rynków zamówień Brazylii i Macedonii Północnej, w związku z toczącym się procesem akcesji tych państw do GPA; strony dokonywały też stosownych powiadomień na podstawie GPA z 2012 r. W dniu 31 października 2022 r. Komitet podjął decyzję w sprawie kontynuowania procedury przystąpienia Macedonii Północnej do GPA w procedurze pisemnej.</w:t>
      </w:r>
    </w:p>
    <w:p w14:paraId="1C2D7CBE" w14:textId="77777777" w:rsidR="00960738" w:rsidRDefault="00960738" w:rsidP="00960738">
      <w:pPr>
        <w:shd w:val="clear" w:color="auto" w:fill="FFFFFF"/>
        <w:rPr>
          <w:rFonts w:cs="Arial"/>
          <w:iCs/>
          <w:szCs w:val="22"/>
        </w:rPr>
      </w:pPr>
    </w:p>
    <w:p w14:paraId="0E7FC795" w14:textId="16DFA0EE" w:rsidR="00960738" w:rsidRPr="00960738" w:rsidRDefault="00960738" w:rsidP="00960738">
      <w:pPr>
        <w:shd w:val="clear" w:color="auto" w:fill="FFFFFF"/>
        <w:rPr>
          <w:rFonts w:cs="Arial"/>
          <w:iCs/>
          <w:szCs w:val="22"/>
        </w:rPr>
      </w:pPr>
      <w:r w:rsidRPr="00960738">
        <w:rPr>
          <w:rFonts w:cs="Arial"/>
          <w:iCs/>
          <w:szCs w:val="22"/>
        </w:rPr>
        <w:t>We wspólnym dokumencie z dnia 20 czerwca 2022 r. piętnaście stron GPA, w tym UE, oświadczyło, że w związku z agresją Federacji Rosyjskiej na Ukrainę, nie będą uczestniczyć w żadnych pracach związanych z przystąpieniem Federacji Rosyjskiej do GPA i uznają proces jej akcesji za zawieszony.</w:t>
      </w:r>
    </w:p>
    <w:p w14:paraId="6F89E964" w14:textId="47292A3C" w:rsidR="00582D93" w:rsidRDefault="00582D93" w:rsidP="001E1705">
      <w:pPr>
        <w:shd w:val="clear" w:color="auto" w:fill="FFFFFF"/>
        <w:rPr>
          <w:rFonts w:cs="Arial"/>
          <w:szCs w:val="22"/>
        </w:rPr>
      </w:pPr>
    </w:p>
    <w:p w14:paraId="114626FA" w14:textId="77777777" w:rsidR="003C1CD5" w:rsidRPr="001E1705" w:rsidRDefault="003C1CD5" w:rsidP="001E1705">
      <w:pPr>
        <w:shd w:val="clear" w:color="auto" w:fill="FFFFFF"/>
        <w:rPr>
          <w:rFonts w:cs="Arial"/>
          <w:szCs w:val="22"/>
        </w:rPr>
      </w:pPr>
    </w:p>
    <w:p w14:paraId="3865DC9B" w14:textId="72E5E735" w:rsidR="001E1705" w:rsidRPr="00582D93" w:rsidRDefault="001E1705" w:rsidP="00E16264">
      <w:pPr>
        <w:pStyle w:val="StylArial11ptWyjustowany"/>
        <w:numPr>
          <w:ilvl w:val="1"/>
          <w:numId w:val="11"/>
        </w:numPr>
        <w:shd w:val="clear" w:color="auto" w:fill="FFFFFF"/>
        <w:jc w:val="left"/>
        <w:rPr>
          <w:rFonts w:cs="Arial"/>
          <w:b/>
          <w:iCs/>
          <w:color w:val="0070C0"/>
          <w:szCs w:val="22"/>
        </w:rPr>
      </w:pPr>
      <w:r w:rsidRPr="00582D93">
        <w:rPr>
          <w:rFonts w:cs="Arial"/>
          <w:b/>
          <w:iCs/>
          <w:color w:val="0070C0"/>
          <w:szCs w:val="22"/>
        </w:rPr>
        <w:t>Współpraca z Bankiem Światowym</w:t>
      </w:r>
    </w:p>
    <w:p w14:paraId="6A119043" w14:textId="77777777" w:rsidR="00582D93" w:rsidRDefault="00582D93" w:rsidP="001E1705">
      <w:pPr>
        <w:shd w:val="clear" w:color="auto" w:fill="FFFFFF"/>
        <w:rPr>
          <w:rFonts w:cs="Arial"/>
          <w:szCs w:val="22"/>
        </w:rPr>
      </w:pPr>
    </w:p>
    <w:p w14:paraId="6A8DC352" w14:textId="10F0F3ED" w:rsidR="00960738" w:rsidRPr="00960738" w:rsidRDefault="00960738" w:rsidP="00960738">
      <w:pPr>
        <w:shd w:val="clear" w:color="auto" w:fill="FFFFFF"/>
        <w:rPr>
          <w:rFonts w:cs="Arial"/>
          <w:iCs/>
          <w:szCs w:val="22"/>
          <w:lang w:val="cs-CZ"/>
        </w:rPr>
      </w:pPr>
      <w:r w:rsidRPr="00960738">
        <w:rPr>
          <w:rFonts w:cs="Arial"/>
          <w:iCs/>
          <w:szCs w:val="22"/>
          <w:lang w:val="cs-CZ"/>
        </w:rPr>
        <w:t xml:space="preserve">Urząd Zamówień Publicznych uczestniczył w inicjatywie pn. „2020 Global Public Procurement Database“ prowadzonej przez Bank Światowy. Celem działania było uzyskanie syntetycznej informacji z poszczególnych krajów na temat zamówień publicznych, w tym wielkości rynku, uregulowań prawnych oraz dostępnych publicznych platform umożliwiających prowadzenie postępowań o udzielenie zamówienia. Informacje (stan na 2020 r.) dostępne są pod linkiem: </w:t>
      </w:r>
      <w:hyperlink r:id="rId66" w:history="1">
        <w:r w:rsidRPr="00960738">
          <w:rPr>
            <w:rStyle w:val="Hipercze"/>
            <w:rFonts w:cs="Arial"/>
            <w:iCs/>
            <w:szCs w:val="22"/>
            <w:lang w:val="cs-CZ"/>
          </w:rPr>
          <w:t>https://www.globalpublicprocurementdata.org/gppd/</w:t>
        </w:r>
      </w:hyperlink>
    </w:p>
    <w:p w14:paraId="68B3F493" w14:textId="77777777" w:rsidR="00960738" w:rsidRDefault="00960738" w:rsidP="00960738">
      <w:pPr>
        <w:shd w:val="clear" w:color="auto" w:fill="FFFFFF"/>
        <w:rPr>
          <w:rFonts w:cs="Arial"/>
          <w:iCs/>
          <w:szCs w:val="22"/>
          <w:lang w:val="cs-CZ"/>
        </w:rPr>
      </w:pPr>
    </w:p>
    <w:p w14:paraId="5B8B1B98" w14:textId="0014B467" w:rsidR="00960738" w:rsidRPr="00960738" w:rsidRDefault="00960738" w:rsidP="00960738">
      <w:pPr>
        <w:shd w:val="clear" w:color="auto" w:fill="FFFFFF"/>
        <w:rPr>
          <w:rFonts w:cs="Arial"/>
          <w:iCs/>
          <w:szCs w:val="22"/>
          <w:lang w:val="cs-CZ"/>
        </w:rPr>
      </w:pPr>
      <w:r w:rsidRPr="00960738">
        <w:rPr>
          <w:rFonts w:cs="Arial"/>
          <w:iCs/>
          <w:szCs w:val="22"/>
          <w:lang w:val="cs-CZ"/>
        </w:rPr>
        <w:t>Urząd Zamówień Publicznych uczestniczył w badaniu pn. „PPP Survey“ prowadzonym przez Bank Światowy. Celem badania było uzyskanie informacji na temat prawnych i</w:t>
      </w:r>
      <w:r w:rsidR="009343A1">
        <w:rPr>
          <w:rFonts w:cs="Arial"/>
          <w:iCs/>
          <w:szCs w:val="22"/>
          <w:lang w:val="cs-CZ"/>
        </w:rPr>
        <w:t xml:space="preserve"> </w:t>
      </w:r>
      <w:r w:rsidRPr="00960738">
        <w:rPr>
          <w:rFonts w:cs="Arial"/>
          <w:iCs/>
          <w:szCs w:val="22"/>
          <w:lang w:val="cs-CZ"/>
        </w:rPr>
        <w:t>ekonomicznych uwarunkowań prowadzenia współpracy w modelu partnerstwa</w:t>
      </w:r>
      <w:r w:rsidR="005E599A">
        <w:rPr>
          <w:rFonts w:cs="Arial"/>
          <w:iCs/>
          <w:szCs w:val="22"/>
          <w:lang w:val="cs-CZ"/>
        </w:rPr>
        <w:t xml:space="preserve"> publiczno</w:t>
      </w:r>
      <w:r w:rsidRPr="00960738">
        <w:rPr>
          <w:rFonts w:cs="Arial"/>
          <w:iCs/>
          <w:szCs w:val="22"/>
          <w:lang w:val="cs-CZ"/>
        </w:rPr>
        <w:t>-prywatnego według stanu na 2022 r.</w:t>
      </w:r>
    </w:p>
    <w:p w14:paraId="3DB4A2EB" w14:textId="1DD5D0A1" w:rsidR="00582D93" w:rsidRDefault="00582D93" w:rsidP="001E1705">
      <w:pPr>
        <w:shd w:val="clear" w:color="auto" w:fill="FFFFFF"/>
        <w:rPr>
          <w:rFonts w:cs="Arial"/>
          <w:szCs w:val="22"/>
        </w:rPr>
      </w:pPr>
    </w:p>
    <w:p w14:paraId="2EB1677D" w14:textId="77777777" w:rsidR="00582D93" w:rsidRPr="001E1705" w:rsidRDefault="00582D93" w:rsidP="001E1705">
      <w:pPr>
        <w:shd w:val="clear" w:color="auto" w:fill="FFFFFF"/>
        <w:rPr>
          <w:rFonts w:cs="Arial"/>
          <w:szCs w:val="22"/>
        </w:rPr>
      </w:pPr>
    </w:p>
    <w:p w14:paraId="26438B60" w14:textId="5EC894D9" w:rsidR="001E1705" w:rsidRPr="00582D93" w:rsidRDefault="009162B2" w:rsidP="00E16264">
      <w:pPr>
        <w:pStyle w:val="StylArial11ptWyjustowany"/>
        <w:numPr>
          <w:ilvl w:val="1"/>
          <w:numId w:val="11"/>
        </w:numPr>
        <w:shd w:val="clear" w:color="auto" w:fill="FFFFFF"/>
        <w:jc w:val="left"/>
        <w:rPr>
          <w:rFonts w:cs="Arial"/>
          <w:b/>
          <w:iCs/>
          <w:color w:val="0070C0"/>
          <w:szCs w:val="22"/>
        </w:rPr>
      </w:pPr>
      <w:r w:rsidRPr="009162B2">
        <w:rPr>
          <w:rFonts w:cs="Arial"/>
          <w:b/>
          <w:bCs/>
          <w:iCs/>
          <w:color w:val="0070C0"/>
          <w:szCs w:val="22"/>
        </w:rPr>
        <w:t xml:space="preserve">Międzynarodowy </w:t>
      </w:r>
      <w:r w:rsidR="001E1705" w:rsidRPr="00582D93">
        <w:rPr>
          <w:rFonts w:cs="Arial"/>
          <w:b/>
          <w:iCs/>
          <w:color w:val="0070C0"/>
          <w:szCs w:val="22"/>
        </w:rPr>
        <w:t>Fundusz Walutowy</w:t>
      </w:r>
    </w:p>
    <w:p w14:paraId="1FA06BEA" w14:textId="77777777" w:rsidR="00582D93" w:rsidRDefault="00582D93" w:rsidP="001E1705">
      <w:pPr>
        <w:shd w:val="clear" w:color="auto" w:fill="FFFFFF"/>
        <w:rPr>
          <w:rFonts w:cs="Arial"/>
          <w:szCs w:val="22"/>
        </w:rPr>
      </w:pPr>
    </w:p>
    <w:p w14:paraId="0630C900" w14:textId="5F191A76" w:rsidR="009162B2" w:rsidRPr="009162B2" w:rsidRDefault="009162B2" w:rsidP="009162B2">
      <w:pPr>
        <w:shd w:val="clear" w:color="auto" w:fill="FFFFFF"/>
        <w:rPr>
          <w:rFonts w:cs="Arial"/>
          <w:szCs w:val="22"/>
        </w:rPr>
      </w:pPr>
      <w:r w:rsidRPr="009162B2">
        <w:rPr>
          <w:rFonts w:cs="Arial"/>
          <w:szCs w:val="22"/>
        </w:rPr>
        <w:t>Przedstawiciel UZP uczestniczył we współpracy z Międzynarodowym Funduszem Walutowym kontynuując udział w badaniu na potrzeby opracowania raportu MFW pt. Polska – Ocena Zarządzania Inwestycjami Publicznymi (Raport PIMA). PIMA stanowi metodologię oceny zarządzania infrastrukturą dla krajów na wszystkich poziomach rozwoju gospodarczego. Z jej wykorzystaniem ocenia się procedury, narzędzia, procesy decyzyjne i monitorujące stosowane przez rządy w celu udostępniania zasobów i usług infrastrukturalnych społeczeństwu. Celem badania jest pomoc w</w:t>
      </w:r>
      <w:r w:rsidR="009343A1">
        <w:rPr>
          <w:rFonts w:cs="Arial"/>
          <w:szCs w:val="22"/>
        </w:rPr>
        <w:t xml:space="preserve"> </w:t>
      </w:r>
      <w:r w:rsidRPr="009162B2">
        <w:rPr>
          <w:rFonts w:cs="Arial"/>
          <w:szCs w:val="22"/>
        </w:rPr>
        <w:t>określeniu priorytetów reform i opracowanie praktycznych kroków w celu ich wdrożenia.</w:t>
      </w:r>
    </w:p>
    <w:p w14:paraId="47E8B2E1" w14:textId="35EC17ED" w:rsidR="00582D93" w:rsidRDefault="00582D93" w:rsidP="001E1705">
      <w:pPr>
        <w:shd w:val="clear" w:color="auto" w:fill="FFFFFF"/>
        <w:rPr>
          <w:rFonts w:cs="Arial"/>
          <w:szCs w:val="22"/>
        </w:rPr>
      </w:pPr>
    </w:p>
    <w:p w14:paraId="3D5EAF1F" w14:textId="77777777" w:rsidR="00582D93" w:rsidRPr="001E1705" w:rsidRDefault="00582D93" w:rsidP="001E1705">
      <w:pPr>
        <w:shd w:val="clear" w:color="auto" w:fill="FFFFFF"/>
        <w:rPr>
          <w:rFonts w:cs="Arial"/>
          <w:szCs w:val="22"/>
        </w:rPr>
      </w:pPr>
    </w:p>
    <w:p w14:paraId="1BC1B6FC" w14:textId="53452FC3" w:rsidR="001E1705" w:rsidRPr="00582D93" w:rsidRDefault="001E1705" w:rsidP="00E16264">
      <w:pPr>
        <w:pStyle w:val="StylArial11ptWyjustowany"/>
        <w:numPr>
          <w:ilvl w:val="1"/>
          <w:numId w:val="11"/>
        </w:numPr>
        <w:shd w:val="clear" w:color="auto" w:fill="FFFFFF"/>
        <w:jc w:val="left"/>
        <w:rPr>
          <w:rFonts w:cs="Arial"/>
          <w:b/>
          <w:iCs/>
          <w:color w:val="0070C0"/>
          <w:szCs w:val="22"/>
        </w:rPr>
      </w:pPr>
      <w:r w:rsidRPr="00582D93">
        <w:rPr>
          <w:rFonts w:cs="Arial"/>
          <w:b/>
          <w:iCs/>
          <w:color w:val="0070C0"/>
          <w:szCs w:val="22"/>
        </w:rPr>
        <w:t>Współpraca w ramach Grupy Wyszehradzkiej (V4)</w:t>
      </w:r>
    </w:p>
    <w:p w14:paraId="788E2185" w14:textId="77777777" w:rsidR="00582D93" w:rsidRDefault="00582D93" w:rsidP="001E1705">
      <w:pPr>
        <w:shd w:val="clear" w:color="auto" w:fill="FFFFFF"/>
        <w:rPr>
          <w:rFonts w:cs="Arial"/>
          <w:szCs w:val="22"/>
        </w:rPr>
      </w:pPr>
    </w:p>
    <w:p w14:paraId="4D3CDB0E" w14:textId="5A1FF47F" w:rsidR="00192226" w:rsidRPr="00192226" w:rsidRDefault="00192226" w:rsidP="00192226">
      <w:pPr>
        <w:shd w:val="clear" w:color="auto" w:fill="FFFFFF"/>
        <w:rPr>
          <w:rFonts w:cs="Arial"/>
          <w:bCs/>
          <w:szCs w:val="22"/>
        </w:rPr>
      </w:pPr>
      <w:r w:rsidRPr="00192226">
        <w:rPr>
          <w:rFonts w:cs="Arial"/>
          <w:bCs/>
          <w:szCs w:val="22"/>
        </w:rPr>
        <w:t>W dniach 20</w:t>
      </w:r>
      <w:r w:rsidR="00F97B60" w:rsidRPr="00F97B60">
        <w:rPr>
          <w:rFonts w:cs="Arial"/>
          <w:bCs/>
          <w:iCs/>
          <w:szCs w:val="22"/>
        </w:rPr>
        <w:t>–</w:t>
      </w:r>
      <w:r w:rsidRPr="00192226">
        <w:rPr>
          <w:rFonts w:cs="Arial"/>
          <w:bCs/>
          <w:szCs w:val="22"/>
        </w:rPr>
        <w:t>21 czerwca 2022 r. odbyło się robocze spotkanie eksperckie zorganizowane przez węgierski Urząd Zamówień Publicznych w ramach przewodnictwa Węgier w Grupie Wyszehradzkiej (V4). W spotkaniu oprócz przedstawicieli polskiego Urzędu Zamówień Publicznych udział wzięli również przedstawiciele Węgier (Urząd Zamówień Publicznych oraz Rada ds. Arbitrażu w</w:t>
      </w:r>
      <w:r w:rsidR="009343A1">
        <w:rPr>
          <w:rFonts w:cs="Arial"/>
          <w:bCs/>
          <w:szCs w:val="22"/>
        </w:rPr>
        <w:t xml:space="preserve"> </w:t>
      </w:r>
      <w:r w:rsidRPr="00192226">
        <w:rPr>
          <w:rFonts w:cs="Arial"/>
          <w:bCs/>
          <w:szCs w:val="22"/>
        </w:rPr>
        <w:t>Zamówieniach Publicznych, Słowacji (Urząd Zamówień Publicznych), Czech (Ministerstwo Rozwoju Regionalnego oraz Urząd Ochrony Konkurencji) oraz Chorwacji (Państwowa Komisja ds. Zamówień Publicznych). Podczas spotkania poruszono temat problemów jakie napotkają państwa w związku ze wzrostem cen spowodowanym pandemią Covid-19 oraz wojną w Ukrainie oraz rozwiązań, które zostały podjęte w celu łagodzenia niekorzystnych skutków w obszarze zamówień publicznych, rozwiązań w zakresie zrównoważonych zamówień publicznych, szczególnie w kontekście osiągnięcia celów Europejskiego Zielonego Ładu, środków ochrony prawnej oraz zewnętrznej i wewnętrznej integralności, w tym rozwiązań mających na celu zapobieganie konfliktom interesów oraz przeciwdziałanie korupcji.</w:t>
      </w:r>
    </w:p>
    <w:p w14:paraId="4466F37C" w14:textId="2E55FF11" w:rsidR="00582D93" w:rsidRDefault="00582D93" w:rsidP="001E1705">
      <w:pPr>
        <w:shd w:val="clear" w:color="auto" w:fill="FFFFFF"/>
        <w:rPr>
          <w:rFonts w:cs="Arial"/>
          <w:szCs w:val="22"/>
        </w:rPr>
      </w:pPr>
    </w:p>
    <w:p w14:paraId="3426EE0B" w14:textId="77777777" w:rsidR="00582D93" w:rsidRPr="001E1705" w:rsidRDefault="00582D93" w:rsidP="001E1705">
      <w:pPr>
        <w:shd w:val="clear" w:color="auto" w:fill="FFFFFF"/>
        <w:rPr>
          <w:rFonts w:cs="Arial"/>
          <w:szCs w:val="22"/>
        </w:rPr>
      </w:pPr>
    </w:p>
    <w:p w14:paraId="13630EC4" w14:textId="2AEF0D2B" w:rsidR="001E1705" w:rsidRPr="00582D93" w:rsidRDefault="001E1705" w:rsidP="00E16264">
      <w:pPr>
        <w:pStyle w:val="StylArial11ptWyjustowany"/>
        <w:numPr>
          <w:ilvl w:val="1"/>
          <w:numId w:val="11"/>
        </w:numPr>
        <w:shd w:val="clear" w:color="auto" w:fill="FFFFFF"/>
        <w:jc w:val="left"/>
        <w:rPr>
          <w:rFonts w:cs="Arial"/>
          <w:b/>
          <w:iCs/>
          <w:color w:val="0070C0"/>
          <w:szCs w:val="22"/>
        </w:rPr>
      </w:pPr>
      <w:r w:rsidRPr="00582D93">
        <w:rPr>
          <w:rFonts w:cs="Arial"/>
          <w:b/>
          <w:iCs/>
          <w:color w:val="0070C0"/>
          <w:szCs w:val="22"/>
        </w:rPr>
        <w:t>Współpraca z Organizacją Narodów Zjednoczonych w ramach Programu Środowiskowego (UNEP)</w:t>
      </w:r>
    </w:p>
    <w:p w14:paraId="5A3A400E" w14:textId="77777777" w:rsidR="001E1705" w:rsidRPr="001E1705" w:rsidRDefault="001E1705" w:rsidP="001E1705">
      <w:pPr>
        <w:shd w:val="clear" w:color="auto" w:fill="FFFFFF"/>
        <w:rPr>
          <w:rFonts w:cs="Arial"/>
          <w:szCs w:val="22"/>
        </w:rPr>
      </w:pPr>
    </w:p>
    <w:p w14:paraId="07B84489" w14:textId="40A64DBA" w:rsidR="001E1705" w:rsidRPr="0022516A" w:rsidRDefault="00234E37" w:rsidP="00E16264">
      <w:pPr>
        <w:pStyle w:val="StylArial11ptWyjustowany"/>
        <w:numPr>
          <w:ilvl w:val="2"/>
          <w:numId w:val="11"/>
        </w:numPr>
        <w:shd w:val="clear" w:color="auto" w:fill="FFFFFF"/>
        <w:jc w:val="left"/>
        <w:rPr>
          <w:rFonts w:cs="Arial"/>
          <w:b/>
          <w:iCs/>
          <w:color w:val="0070C0"/>
          <w:szCs w:val="22"/>
        </w:rPr>
      </w:pPr>
      <w:r w:rsidRPr="00234E37">
        <w:rPr>
          <w:rFonts w:cs="Arial"/>
          <w:b/>
          <w:iCs/>
          <w:color w:val="0070C0"/>
          <w:szCs w:val="22"/>
        </w:rPr>
        <w:t xml:space="preserve">SDG Indicator 12.7.1. – Data Collection </w:t>
      </w:r>
      <w:r>
        <w:rPr>
          <w:rFonts w:cs="Arial"/>
          <w:b/>
          <w:iCs/>
          <w:color w:val="0070C0"/>
          <w:szCs w:val="22"/>
        </w:rPr>
        <w:t>–</w:t>
      </w:r>
      <w:r w:rsidRPr="00234E37">
        <w:rPr>
          <w:rFonts w:cs="Arial"/>
          <w:b/>
          <w:iCs/>
          <w:color w:val="0070C0"/>
          <w:szCs w:val="22"/>
        </w:rPr>
        <w:t xml:space="preserve"> Zbieranie danych dla wskaźnika SDG 12.7.1</w:t>
      </w:r>
      <w:r w:rsidR="001E1705" w:rsidRPr="0022516A">
        <w:rPr>
          <w:rFonts w:cs="Arial"/>
          <w:b/>
          <w:iCs/>
          <w:color w:val="0070C0"/>
          <w:szCs w:val="22"/>
        </w:rPr>
        <w:t xml:space="preserve"> </w:t>
      </w:r>
    </w:p>
    <w:p w14:paraId="467420D8" w14:textId="77777777" w:rsidR="00582D93" w:rsidRDefault="00582D93" w:rsidP="001E1705">
      <w:pPr>
        <w:shd w:val="clear" w:color="auto" w:fill="FFFFFF"/>
        <w:rPr>
          <w:rFonts w:cs="Arial"/>
          <w:szCs w:val="22"/>
        </w:rPr>
      </w:pPr>
    </w:p>
    <w:p w14:paraId="0CDE695D" w14:textId="77777777" w:rsidR="00316134" w:rsidRDefault="00FF44D2" w:rsidP="001E1705">
      <w:pPr>
        <w:shd w:val="clear" w:color="auto" w:fill="FFFFFF"/>
        <w:rPr>
          <w:rFonts w:cs="Arial"/>
          <w:szCs w:val="22"/>
        </w:rPr>
      </w:pPr>
      <w:r w:rsidRPr="00FF44D2">
        <w:rPr>
          <w:rFonts w:cs="Arial"/>
          <w:szCs w:val="22"/>
        </w:rPr>
        <w:t>Urząd Zamówień Publicznych uczestniczył w badaniu z zakresu realizacji celów zrównoważonego rozwoju (w obszarze wskaźnika 12.7.1. – zrównoważone zamówienia publiczne) prowadzonym przez Program Środowiskowy Organizacji Narodów Zjednoczonych (UNEP). Przekazane przez Urząd informacje obejmowały rok 2022 r. i dotyczyły dostępnych dokumentów strategicznych oraz kryteriów środowiskowych, a także praktyk w realizacji zielonych i społecznych zamówień publicznych dla wskazanych grup produktowych na szczeblu centralnym. Dedykowana strona badania:</w:t>
      </w:r>
    </w:p>
    <w:p w14:paraId="6C27CF0F" w14:textId="06CA83BF" w:rsidR="0022516A" w:rsidRDefault="00BE2079" w:rsidP="001E1705">
      <w:pPr>
        <w:shd w:val="clear" w:color="auto" w:fill="FFFFFF"/>
        <w:rPr>
          <w:rFonts w:cs="Arial"/>
          <w:szCs w:val="22"/>
        </w:rPr>
      </w:pPr>
      <w:hyperlink r:id="rId67" w:history="1">
        <w:r w:rsidR="00FF44D2" w:rsidRPr="00FF44D2">
          <w:rPr>
            <w:rStyle w:val="Hipercze"/>
            <w:rFonts w:cs="Arial"/>
            <w:szCs w:val="22"/>
            <w:lang w:val="cs-CZ"/>
          </w:rPr>
          <w:t>https://www.unep.org/explore-topics/resource-efficiency/what-we-do/sustainable-public-procurement/sdg-127-target-and</w:t>
        </w:r>
      </w:hyperlink>
    </w:p>
    <w:p w14:paraId="235EA565" w14:textId="7B93169F" w:rsidR="003C1CD5" w:rsidRDefault="003C1CD5" w:rsidP="001E1705">
      <w:pPr>
        <w:shd w:val="clear" w:color="auto" w:fill="FFFFFF"/>
        <w:rPr>
          <w:rFonts w:cs="Arial"/>
          <w:szCs w:val="22"/>
        </w:rPr>
      </w:pPr>
    </w:p>
    <w:p w14:paraId="54D7D602" w14:textId="77777777" w:rsidR="00D23E4E" w:rsidRPr="001E1705" w:rsidRDefault="00D23E4E" w:rsidP="001E1705">
      <w:pPr>
        <w:shd w:val="clear" w:color="auto" w:fill="FFFFFF"/>
        <w:rPr>
          <w:rFonts w:cs="Arial"/>
          <w:szCs w:val="22"/>
        </w:rPr>
      </w:pPr>
    </w:p>
    <w:p w14:paraId="3D83B643" w14:textId="0671F8C7" w:rsidR="001E1705" w:rsidRPr="0022516A" w:rsidRDefault="001E1705" w:rsidP="00E16264">
      <w:pPr>
        <w:pStyle w:val="StylArial11ptWyjustowany"/>
        <w:numPr>
          <w:ilvl w:val="2"/>
          <w:numId w:val="11"/>
        </w:numPr>
        <w:shd w:val="clear" w:color="auto" w:fill="FFFFFF"/>
        <w:jc w:val="left"/>
        <w:rPr>
          <w:rFonts w:cs="Arial"/>
          <w:b/>
          <w:iCs/>
          <w:color w:val="0070C0"/>
          <w:szCs w:val="22"/>
        </w:rPr>
      </w:pPr>
      <w:r w:rsidRPr="0022516A">
        <w:rPr>
          <w:rFonts w:cs="Arial"/>
          <w:b/>
          <w:iCs/>
          <w:color w:val="0070C0"/>
          <w:szCs w:val="22"/>
        </w:rPr>
        <w:t>202</w:t>
      </w:r>
      <w:r w:rsidR="00D23E4E">
        <w:rPr>
          <w:rFonts w:cs="Arial"/>
          <w:b/>
          <w:iCs/>
          <w:color w:val="0070C0"/>
          <w:szCs w:val="22"/>
        </w:rPr>
        <w:t>2</w:t>
      </w:r>
      <w:r w:rsidRPr="0022516A">
        <w:rPr>
          <w:rFonts w:cs="Arial"/>
          <w:b/>
          <w:iCs/>
          <w:color w:val="0070C0"/>
          <w:szCs w:val="22"/>
        </w:rPr>
        <w:t xml:space="preserve"> Global Review SPP</w:t>
      </w:r>
    </w:p>
    <w:p w14:paraId="4A19B075" w14:textId="77777777" w:rsidR="0022516A" w:rsidRDefault="0022516A" w:rsidP="001E1705">
      <w:pPr>
        <w:shd w:val="clear" w:color="auto" w:fill="FFFFFF"/>
        <w:rPr>
          <w:rFonts w:cs="Arial"/>
          <w:szCs w:val="22"/>
        </w:rPr>
      </w:pPr>
    </w:p>
    <w:p w14:paraId="69C035E3" w14:textId="77777777" w:rsidR="006518B4" w:rsidRDefault="00D23E4E" w:rsidP="001E1705">
      <w:pPr>
        <w:shd w:val="clear" w:color="auto" w:fill="FFFFFF"/>
        <w:rPr>
          <w:rFonts w:cs="Arial"/>
          <w:szCs w:val="22"/>
          <w:lang w:val="cs-CZ"/>
        </w:rPr>
      </w:pPr>
      <w:r w:rsidRPr="00D23E4E">
        <w:rPr>
          <w:rFonts w:cs="Arial"/>
          <w:szCs w:val="22"/>
          <w:lang w:val="cs-CZ"/>
        </w:rPr>
        <w:t>Urząd Zamówień Publicznych wziął udział w badaniu pn. „2022 Global Review SPP“ organizowanym przez Program Środowiskowy Organizacji Narodów Zjednoczonych – UNEP. Inicjatywa miała na celu aktualizację informacji z</w:t>
      </w:r>
      <w:r w:rsidR="009343A1">
        <w:rPr>
          <w:rFonts w:cs="Arial"/>
          <w:szCs w:val="22"/>
          <w:lang w:val="cs-CZ"/>
        </w:rPr>
        <w:t xml:space="preserve"> </w:t>
      </w:r>
      <w:r w:rsidRPr="00D23E4E">
        <w:rPr>
          <w:rFonts w:cs="Arial"/>
          <w:szCs w:val="22"/>
          <w:lang w:val="cs-CZ"/>
        </w:rPr>
        <w:t xml:space="preserve">wybranów krajów na temat stanu zrównoważonych zamówień publicznych oraz uregulowań prawnych, które umożliwiają lub zobowiązują do uwzględniania kwestii zrównoważonych w ramach postępowań o udzielenie zamówienia. Raport został opublikowany pod linkiem: </w:t>
      </w:r>
    </w:p>
    <w:p w14:paraId="3805A742" w14:textId="222CF627" w:rsidR="00D27D56" w:rsidRDefault="00BE2079" w:rsidP="001E1705">
      <w:pPr>
        <w:shd w:val="clear" w:color="auto" w:fill="FFFFFF"/>
        <w:rPr>
          <w:rFonts w:cs="Arial"/>
          <w:szCs w:val="22"/>
        </w:rPr>
      </w:pPr>
      <w:hyperlink r:id="rId68" w:history="1">
        <w:r w:rsidR="00E53F9F" w:rsidRPr="004D0D43">
          <w:rPr>
            <w:rStyle w:val="Hipercze"/>
            <w:rFonts w:cs="Arial"/>
            <w:szCs w:val="22"/>
            <w:lang w:val="cs-CZ"/>
          </w:rPr>
          <w:t>https://www.oneplanetnetwork.org/knowledge-centre/resources/sustainable-public-procurement-2022-global-review-parts-i-and-ii</w:t>
        </w:r>
      </w:hyperlink>
    </w:p>
    <w:p w14:paraId="1841F823" w14:textId="4452D9AB" w:rsidR="00D27D56" w:rsidRDefault="00D27D56" w:rsidP="001E1705">
      <w:pPr>
        <w:shd w:val="clear" w:color="auto" w:fill="FFFFFF"/>
        <w:rPr>
          <w:rFonts w:cs="Arial"/>
          <w:szCs w:val="22"/>
        </w:rPr>
      </w:pPr>
    </w:p>
    <w:p w14:paraId="39755ED8" w14:textId="77777777" w:rsidR="00D23E4E" w:rsidRPr="001E1705" w:rsidRDefault="00D23E4E" w:rsidP="001E1705">
      <w:pPr>
        <w:shd w:val="clear" w:color="auto" w:fill="FFFFFF"/>
        <w:rPr>
          <w:rFonts w:cs="Arial"/>
          <w:szCs w:val="22"/>
        </w:rPr>
      </w:pPr>
    </w:p>
    <w:p w14:paraId="2BF8F0E7" w14:textId="121E0726" w:rsidR="001E1705" w:rsidRPr="00D27D56" w:rsidRDefault="001E1705" w:rsidP="00E16264">
      <w:pPr>
        <w:pStyle w:val="StylArial11ptWyjustowany"/>
        <w:numPr>
          <w:ilvl w:val="0"/>
          <w:numId w:val="11"/>
        </w:numPr>
        <w:shd w:val="clear" w:color="auto" w:fill="FFFFFF"/>
        <w:jc w:val="left"/>
        <w:rPr>
          <w:rFonts w:cs="Arial"/>
          <w:b/>
          <w:iCs/>
          <w:color w:val="0070C0"/>
          <w:szCs w:val="22"/>
        </w:rPr>
      </w:pPr>
      <w:r w:rsidRPr="00D27D56">
        <w:rPr>
          <w:rFonts w:cs="Arial"/>
          <w:b/>
          <w:iCs/>
          <w:color w:val="0070C0"/>
          <w:szCs w:val="22"/>
        </w:rPr>
        <w:t>Udział w wydarzeniach i projektach międzynarodowych</w:t>
      </w:r>
    </w:p>
    <w:p w14:paraId="6FD5B481" w14:textId="77777777" w:rsidR="00D27D56" w:rsidRDefault="00D27D56" w:rsidP="001E1705">
      <w:pPr>
        <w:shd w:val="clear" w:color="auto" w:fill="FFFFFF"/>
        <w:rPr>
          <w:rFonts w:cs="Arial"/>
          <w:szCs w:val="22"/>
        </w:rPr>
      </w:pPr>
    </w:p>
    <w:p w14:paraId="74F34480" w14:textId="4C862F43" w:rsidR="007253C2" w:rsidRPr="009C3F1D" w:rsidRDefault="007253C2" w:rsidP="007253C2">
      <w:pPr>
        <w:pStyle w:val="Akapitzlist"/>
        <w:shd w:val="clear" w:color="auto" w:fill="FFFFFF"/>
        <w:ind w:left="0"/>
        <w:rPr>
          <w:rFonts w:cs="Arial"/>
          <w:iCs/>
          <w:sz w:val="22"/>
          <w:szCs w:val="22"/>
        </w:rPr>
      </w:pPr>
      <w:bookmarkStart w:id="241" w:name="_Toc223154374"/>
      <w:bookmarkEnd w:id="230"/>
      <w:bookmarkEnd w:id="231"/>
      <w:bookmarkEnd w:id="232"/>
      <w:bookmarkEnd w:id="233"/>
      <w:bookmarkEnd w:id="241"/>
      <w:r w:rsidRPr="009C3F1D">
        <w:rPr>
          <w:rFonts w:cs="Arial"/>
          <w:iCs/>
          <w:sz w:val="22"/>
          <w:szCs w:val="22"/>
        </w:rPr>
        <w:t>W dniu 12 stycznia oraz 27 kwietnia 2022 r. odbyły się dwa spotkania Europejskiej Sieci dotyczącej upowszechniania wykorzystania norm w zamówieniach publicznych. Nieformalna sieć koncentruje przedstawicieli krajowych organów właściwych w sprawie zamówień publicznych oraz krajowych jednostek normalizacyjnych. Celem spotkań jest zwiększenie ogólnej świadomości na temat stosowania norm w zamówieniach publicznych, w szczególności zwrócenie większej uwagi na stosowanie art. 42 ust. 3 lit. b</w:t>
      </w:r>
      <w:r w:rsidR="003153D1" w:rsidRPr="003153D1">
        <w:rPr>
          <w:rFonts w:cs="Arial"/>
          <w:iCs/>
          <w:sz w:val="22"/>
          <w:szCs w:val="22"/>
          <w:lang w:val="pl-PL"/>
        </w:rPr>
        <w:t>–</w:t>
      </w:r>
      <w:r w:rsidRPr="009C3F1D">
        <w:rPr>
          <w:rFonts w:cs="Arial"/>
          <w:iCs/>
          <w:sz w:val="22"/>
          <w:szCs w:val="22"/>
        </w:rPr>
        <w:t xml:space="preserve">d dyrektywy 2014/24/UE poprzez wymianę krajowych doświadczeń w zakresie odwoływania się do norm w procedurach zamówieniowych. Na spotkaniach w roku 2022 podkreślano potrzebę uszczegółowienia wiedzy na temat powoływania się na normy w konkretnych procedurach. </w:t>
      </w:r>
    </w:p>
    <w:p w14:paraId="42803A19" w14:textId="77777777" w:rsidR="007F3382" w:rsidRPr="009C3F1D" w:rsidRDefault="007F3382" w:rsidP="007F3382">
      <w:pPr>
        <w:pStyle w:val="Akapitzlist"/>
        <w:shd w:val="clear" w:color="auto" w:fill="FFFFFF"/>
        <w:ind w:left="0"/>
        <w:rPr>
          <w:rFonts w:cs="Arial"/>
          <w:sz w:val="22"/>
          <w:szCs w:val="22"/>
          <w:lang w:val="cs-CZ"/>
        </w:rPr>
      </w:pPr>
    </w:p>
    <w:p w14:paraId="3397E9F9" w14:textId="2BFCA8C3" w:rsidR="007253C2" w:rsidRPr="009C3F1D" w:rsidRDefault="007253C2" w:rsidP="007F3382">
      <w:pPr>
        <w:pStyle w:val="Akapitzlist"/>
        <w:shd w:val="clear" w:color="auto" w:fill="FFFFFF"/>
        <w:ind w:left="0"/>
        <w:rPr>
          <w:rFonts w:cs="Arial"/>
          <w:sz w:val="22"/>
          <w:szCs w:val="22"/>
          <w:lang w:val="cs-CZ"/>
        </w:rPr>
      </w:pPr>
      <w:r w:rsidRPr="009C3F1D">
        <w:rPr>
          <w:rFonts w:cs="Arial"/>
          <w:sz w:val="22"/>
          <w:szCs w:val="22"/>
          <w:lang w:val="cs-CZ"/>
        </w:rPr>
        <w:t>Urząd Zamówień Publicznych przekazał konsorcjum składającemu się z</w:t>
      </w:r>
      <w:r w:rsidR="007F3382" w:rsidRPr="009C3F1D">
        <w:rPr>
          <w:rFonts w:cs="Arial"/>
          <w:sz w:val="22"/>
          <w:szCs w:val="22"/>
          <w:lang w:val="cs-CZ"/>
        </w:rPr>
        <w:t xml:space="preserve"> </w:t>
      </w:r>
      <w:r w:rsidRPr="009C3F1D">
        <w:rPr>
          <w:rFonts w:cs="Arial"/>
          <w:sz w:val="22"/>
          <w:szCs w:val="22"/>
          <w:lang w:val="cs-CZ"/>
        </w:rPr>
        <w:t xml:space="preserve">firm </w:t>
      </w:r>
      <w:r w:rsidRPr="009C3F1D">
        <w:rPr>
          <w:rFonts w:cs="Arial"/>
          <w:sz w:val="22"/>
          <w:szCs w:val="22"/>
        </w:rPr>
        <w:t xml:space="preserve">e7 Energy Innovation &amp; Engineering oraz Schönherr Rechtsanwälte GmbH, </w:t>
      </w:r>
      <w:r w:rsidRPr="009C3F1D">
        <w:rPr>
          <w:rFonts w:cs="Arial"/>
          <w:sz w:val="22"/>
          <w:szCs w:val="22"/>
          <w:lang w:val="cs-CZ"/>
        </w:rPr>
        <w:t>realizującemu badanie na zlecenie Komisji Europejskiej (Dyrekcja Generalna ds. Energii), obszerne informacje w zakresie możliwości uwzględniania efektywności energetycznej w zamówieniach publicznych w świetle przepisów ustawy Pzp. Wskazano przy tym na dotychczas zrealizowane przez UZP działania, w tym przygotowany materiał nt. etykiet ekologicznych, w którym ujęto rownież oznakowania uwzględniające zużycie energii. Podkreślono przy tym, że zagadnienie efektywności energetycznej jest stale uwzględniane w programach szkoleń i konferencji Urzędu z</w:t>
      </w:r>
      <w:r w:rsidR="009343A1" w:rsidRPr="009C3F1D">
        <w:rPr>
          <w:rFonts w:cs="Arial"/>
          <w:sz w:val="22"/>
          <w:szCs w:val="22"/>
          <w:lang w:val="cs-CZ"/>
        </w:rPr>
        <w:t xml:space="preserve"> </w:t>
      </w:r>
      <w:r w:rsidRPr="009C3F1D">
        <w:rPr>
          <w:rFonts w:cs="Arial"/>
          <w:sz w:val="22"/>
          <w:szCs w:val="22"/>
          <w:lang w:val="cs-CZ"/>
        </w:rPr>
        <w:t>zakresu zielonych zamówień publicznych.</w:t>
      </w:r>
    </w:p>
    <w:p w14:paraId="0E35A203" w14:textId="77777777" w:rsidR="007F3382" w:rsidRPr="009C3F1D" w:rsidRDefault="007F3382" w:rsidP="007F3382">
      <w:pPr>
        <w:pStyle w:val="Akapitzlist"/>
        <w:shd w:val="clear" w:color="auto" w:fill="FFFFFF"/>
        <w:ind w:left="0"/>
        <w:rPr>
          <w:rFonts w:cs="Arial"/>
          <w:sz w:val="22"/>
          <w:szCs w:val="22"/>
          <w:lang w:val="cs-CZ"/>
        </w:rPr>
      </w:pPr>
    </w:p>
    <w:p w14:paraId="65F7B884" w14:textId="64619247" w:rsidR="007253C2" w:rsidRPr="009C3F1D" w:rsidRDefault="007253C2" w:rsidP="007F3382">
      <w:pPr>
        <w:pStyle w:val="Akapitzlist"/>
        <w:shd w:val="clear" w:color="auto" w:fill="FFFFFF"/>
        <w:ind w:left="0"/>
        <w:rPr>
          <w:rFonts w:cs="Arial"/>
          <w:sz w:val="22"/>
          <w:szCs w:val="22"/>
          <w:lang w:val="cs-CZ"/>
        </w:rPr>
      </w:pPr>
      <w:r w:rsidRPr="009C3F1D">
        <w:rPr>
          <w:rFonts w:cs="Arial"/>
          <w:sz w:val="22"/>
          <w:szCs w:val="22"/>
          <w:lang w:val="cs-CZ"/>
        </w:rPr>
        <w:t>Urząd Zamówień Publicznych brał udział w badaniu Komisji Europejskiej dostarczając wkładu na potrzeby „Survey on Mainstreaming Innovation Procurement in the Digital Economy” prowadzonego przez Dyrekcję Generalną CONNECT (badanie dotyczące uwzględniania zamówień na innowacje w gospodarce cyfrowej).</w:t>
      </w:r>
    </w:p>
    <w:p w14:paraId="7FAE3E94" w14:textId="77777777" w:rsidR="007F3382" w:rsidRPr="009C3F1D" w:rsidRDefault="007F3382" w:rsidP="007F3382">
      <w:pPr>
        <w:pStyle w:val="Akapitzlist"/>
        <w:shd w:val="clear" w:color="auto" w:fill="FFFFFF"/>
        <w:ind w:left="0"/>
        <w:rPr>
          <w:rFonts w:cs="Arial"/>
          <w:bCs/>
          <w:sz w:val="22"/>
          <w:szCs w:val="22"/>
        </w:rPr>
      </w:pPr>
    </w:p>
    <w:p w14:paraId="6B6E8F98" w14:textId="3A94F600" w:rsidR="007253C2" w:rsidRPr="009C3F1D" w:rsidRDefault="007253C2" w:rsidP="007F3382">
      <w:pPr>
        <w:pStyle w:val="Akapitzlist"/>
        <w:shd w:val="clear" w:color="auto" w:fill="FFFFFF"/>
        <w:ind w:left="0"/>
        <w:rPr>
          <w:rFonts w:cs="Arial"/>
          <w:bCs/>
          <w:sz w:val="22"/>
          <w:szCs w:val="22"/>
        </w:rPr>
      </w:pPr>
      <w:r w:rsidRPr="009C3F1D">
        <w:rPr>
          <w:rFonts w:cs="Arial"/>
          <w:bCs/>
          <w:sz w:val="22"/>
          <w:szCs w:val="22"/>
        </w:rPr>
        <w:t xml:space="preserve">Urząd Zamówień Publicznych bierze udział w cyklicznych spotkaniach Sieci Europejskich Centrów Kompetencji ds. Zrównoważonych Zamówień Publicznych, w której uczestniczą przedstawiciele instytucji odpowiedzialnych za zamówienia publiczne państw Europy Zachodniej i Środkowo-Wschodniej. Celem funkcjonowania Sieci jest wymiana informacji i poglądów na temat różnych kwestii dotyczących zielonych i społecznych zamówień publicznych w celu wsparcia rozwoju tych polityk na szczeblu krajowym. </w:t>
      </w:r>
    </w:p>
    <w:p w14:paraId="560259D7" w14:textId="77777777" w:rsidR="007F3382" w:rsidRPr="009C3F1D" w:rsidRDefault="007F3382" w:rsidP="007F3382">
      <w:pPr>
        <w:pStyle w:val="Akapitzlist"/>
        <w:shd w:val="clear" w:color="auto" w:fill="FFFFFF"/>
        <w:ind w:left="0"/>
        <w:rPr>
          <w:rFonts w:cs="Arial"/>
          <w:iCs/>
          <w:sz w:val="22"/>
          <w:szCs w:val="22"/>
        </w:rPr>
      </w:pPr>
    </w:p>
    <w:p w14:paraId="0B87ACCA" w14:textId="30A5F949" w:rsidR="007253C2" w:rsidRPr="009C3F1D" w:rsidRDefault="007253C2" w:rsidP="007F3382">
      <w:pPr>
        <w:pStyle w:val="Akapitzlist"/>
        <w:shd w:val="clear" w:color="auto" w:fill="FFFFFF"/>
        <w:ind w:left="0"/>
        <w:rPr>
          <w:rFonts w:cs="Arial"/>
          <w:iCs/>
          <w:sz w:val="22"/>
          <w:szCs w:val="22"/>
        </w:rPr>
      </w:pPr>
      <w:r w:rsidRPr="009C3F1D">
        <w:rPr>
          <w:rFonts w:cs="Arial"/>
          <w:iCs/>
          <w:sz w:val="22"/>
          <w:szCs w:val="22"/>
        </w:rPr>
        <w:t>W dniach 4</w:t>
      </w:r>
      <w:r w:rsidR="005E0760" w:rsidRPr="005E0760">
        <w:rPr>
          <w:rFonts w:cs="Arial"/>
          <w:iCs/>
          <w:sz w:val="22"/>
          <w:szCs w:val="22"/>
          <w:lang w:val="pl-PL"/>
        </w:rPr>
        <w:t>–</w:t>
      </w:r>
      <w:r w:rsidRPr="009C3F1D">
        <w:rPr>
          <w:rFonts w:cs="Arial"/>
          <w:iCs/>
          <w:sz w:val="22"/>
          <w:szCs w:val="22"/>
        </w:rPr>
        <w:t>5 października 2022 r. przedstawiciel UZP wziął udział w międzynarodowej konferencji nt. innowacyjnych zamówień publicznych zorganizowanej przez Ministerstwo Rozwoju Regionalnego Republiki Czeskiej w ramach czeskiej prezydencji w Unii Europejskiej. Wydarzenie poświęcono dyskusji i prezentacji na temat krajowych doświadczeń w stosowaniu procedur sprzyjających innowacjom oraz udziału małych i średnich przedsiębiorstw na rynku zamówień publicznych.</w:t>
      </w:r>
    </w:p>
    <w:p w14:paraId="58F31D6F" w14:textId="77777777" w:rsidR="007F3382" w:rsidRPr="009C3F1D" w:rsidRDefault="007F3382" w:rsidP="007F3382">
      <w:pPr>
        <w:pStyle w:val="Akapitzlist"/>
        <w:shd w:val="clear" w:color="auto" w:fill="FFFFFF"/>
        <w:ind w:left="0"/>
        <w:rPr>
          <w:rFonts w:cs="Arial"/>
          <w:iCs/>
          <w:sz w:val="22"/>
          <w:szCs w:val="22"/>
          <w:lang w:val="cs-CZ"/>
        </w:rPr>
      </w:pPr>
    </w:p>
    <w:p w14:paraId="6EFC6A84" w14:textId="333D7D0D" w:rsidR="007253C2" w:rsidRPr="009C3F1D" w:rsidRDefault="007253C2" w:rsidP="007F3382">
      <w:pPr>
        <w:pStyle w:val="Akapitzlist"/>
        <w:shd w:val="clear" w:color="auto" w:fill="FFFFFF"/>
        <w:ind w:left="0"/>
        <w:rPr>
          <w:rFonts w:cs="Arial"/>
          <w:iCs/>
          <w:sz w:val="22"/>
          <w:szCs w:val="22"/>
        </w:rPr>
      </w:pPr>
      <w:r w:rsidRPr="009C3F1D">
        <w:rPr>
          <w:rFonts w:cs="Arial"/>
          <w:iCs/>
          <w:sz w:val="22"/>
          <w:szCs w:val="22"/>
          <w:lang w:val="cs-CZ"/>
        </w:rPr>
        <w:t xml:space="preserve">W dniu 8 listopada 2022 r. przedstawiciel UZP uczestniczył w charakterze prelegenta w </w:t>
      </w:r>
      <w:r w:rsidRPr="009C3F1D">
        <w:rPr>
          <w:rFonts w:cs="Arial"/>
          <w:iCs/>
          <w:sz w:val="22"/>
          <w:szCs w:val="22"/>
        </w:rPr>
        <w:t xml:space="preserve">warsztatach szkoleniowych poświęconych zrównoważonym zamówieniom publicznym, które zorganizowało </w:t>
      </w:r>
      <w:r w:rsidRPr="009C3F1D">
        <w:rPr>
          <w:rFonts w:cs="Arial"/>
          <w:iCs/>
          <w:sz w:val="22"/>
          <w:szCs w:val="22"/>
          <w:lang w:val="cs-CZ"/>
        </w:rPr>
        <w:t xml:space="preserve">w formule hybrydowej </w:t>
      </w:r>
      <w:r w:rsidRPr="009C3F1D">
        <w:rPr>
          <w:rFonts w:cs="Arial"/>
          <w:iCs/>
          <w:sz w:val="22"/>
          <w:szCs w:val="22"/>
        </w:rPr>
        <w:t>Ministerstwo Finansów Republiki Kazachstanu w ścisłej współpracy z Programem Narodów Zjednoczonych ds. Ochrony Środowiska (UNEP), Biurem Programowym OBWE w Astanie oraz Kazachskim Stowarzyszeniem Regionalnych Inicjatyw Ekologicznych „ECOJER”.</w:t>
      </w:r>
    </w:p>
    <w:p w14:paraId="4D33BA24" w14:textId="77777777" w:rsidR="007F3382" w:rsidRPr="009C3F1D" w:rsidRDefault="007F3382" w:rsidP="007F3382">
      <w:pPr>
        <w:pStyle w:val="Akapitzlist"/>
        <w:shd w:val="clear" w:color="auto" w:fill="FFFFFF"/>
        <w:ind w:left="0"/>
        <w:rPr>
          <w:rFonts w:cs="Arial"/>
          <w:iCs/>
          <w:sz w:val="22"/>
          <w:szCs w:val="22"/>
        </w:rPr>
      </w:pPr>
    </w:p>
    <w:p w14:paraId="648F3F70" w14:textId="4CDFBF8E" w:rsidR="007253C2" w:rsidRPr="009C3F1D" w:rsidRDefault="007253C2" w:rsidP="007F3382">
      <w:pPr>
        <w:pStyle w:val="Akapitzlist"/>
        <w:shd w:val="clear" w:color="auto" w:fill="FFFFFF"/>
        <w:ind w:left="0"/>
        <w:rPr>
          <w:rFonts w:cs="Arial"/>
          <w:iCs/>
          <w:sz w:val="22"/>
          <w:szCs w:val="22"/>
        </w:rPr>
      </w:pPr>
      <w:r w:rsidRPr="009C3F1D">
        <w:rPr>
          <w:rFonts w:cs="Arial"/>
          <w:iCs/>
          <w:sz w:val="22"/>
          <w:szCs w:val="22"/>
        </w:rPr>
        <w:t xml:space="preserve">Celem warsztatów było przybliżenie urzędnikom Republiki Kazachstanu możliwości stosowania aspektów środowiskowych w ramach postępowań o udzielenie zamówienia publicznego, a także sposobu promowania zrównoważonych zamówień na przykładzie wybranych krajów, w tym Polski. Zaprezentowano uregulowania prawne ujęte w ustawie </w:t>
      </w:r>
      <w:r w:rsidR="005E0760" w:rsidRPr="005E0760">
        <w:rPr>
          <w:rFonts w:cs="Arial"/>
          <w:iCs/>
          <w:sz w:val="22"/>
          <w:szCs w:val="22"/>
          <w:lang w:val="pl-PL"/>
        </w:rPr>
        <w:t>–</w:t>
      </w:r>
      <w:r w:rsidRPr="009C3F1D">
        <w:rPr>
          <w:rFonts w:cs="Arial"/>
          <w:iCs/>
          <w:sz w:val="22"/>
          <w:szCs w:val="22"/>
        </w:rPr>
        <w:t>Prawo zamówień publicznych pozwalające na realizację zielonych zamówień publicznych, a także działalność informacyjno-szkoleniową Urzędu Zamówień Publicznych w tym obszarze.</w:t>
      </w:r>
    </w:p>
    <w:p w14:paraId="58959174" w14:textId="77777777" w:rsidR="003C1CD5" w:rsidRPr="002E1DAC" w:rsidRDefault="003C1CD5" w:rsidP="006445A2">
      <w:pPr>
        <w:pStyle w:val="Akapitzlist"/>
        <w:shd w:val="clear" w:color="auto" w:fill="FFFFFF"/>
        <w:ind w:left="0"/>
        <w:rPr>
          <w:rFonts w:cs="Arial"/>
          <w:sz w:val="22"/>
          <w:szCs w:val="22"/>
          <w:lang w:val="pl-PL"/>
        </w:rPr>
      </w:pPr>
    </w:p>
    <w:p w14:paraId="6E153A51" w14:textId="11B587B1" w:rsidR="00F7529E" w:rsidRDefault="00F7529E" w:rsidP="00AB5334">
      <w:pPr>
        <w:rPr>
          <w:rFonts w:cs="Arial"/>
        </w:rPr>
      </w:pPr>
      <w:bookmarkStart w:id="242" w:name="_Hlk36729493"/>
    </w:p>
    <w:tbl>
      <w:tblPr>
        <w:tblW w:w="0" w:type="auto"/>
        <w:tblInd w:w="90" w:type="dxa"/>
        <w:tblLayout w:type="fixed"/>
        <w:tblLook w:val="04A0" w:firstRow="1" w:lastRow="0" w:firstColumn="1" w:lastColumn="0" w:noHBand="0" w:noVBand="1"/>
      </w:tblPr>
      <w:tblGrid>
        <w:gridCol w:w="236"/>
        <w:gridCol w:w="8960"/>
      </w:tblGrid>
      <w:tr w:rsidR="00F7529E" w14:paraId="694B6C5F" w14:textId="77777777" w:rsidTr="00831CD1">
        <w:trPr>
          <w:cantSplit/>
        </w:trPr>
        <w:tc>
          <w:tcPr>
            <w:tcW w:w="236" w:type="dxa"/>
            <w:shd w:val="clear" w:color="auto" w:fill="95B3D7"/>
          </w:tcPr>
          <w:p w14:paraId="7CE68EED" w14:textId="77777777" w:rsidR="00F7529E" w:rsidRDefault="00F7529E" w:rsidP="00831CD1"/>
        </w:tc>
        <w:tc>
          <w:tcPr>
            <w:tcW w:w="8960" w:type="dxa"/>
          </w:tcPr>
          <w:p w14:paraId="34061B20" w14:textId="5829501D" w:rsidR="00F7529E" w:rsidRPr="00613851" w:rsidRDefault="00F7529E" w:rsidP="00831CD1">
            <w:pPr>
              <w:pStyle w:val="Nagwek2"/>
              <w:shd w:val="clear" w:color="auto" w:fill="FFFFFF"/>
              <w:spacing w:after="120"/>
              <w:rPr>
                <w:noProof/>
                <w:color w:val="0070C0"/>
                <w:sz w:val="28"/>
              </w:rPr>
            </w:pPr>
            <w:bookmarkStart w:id="243" w:name="_Toc141276464"/>
            <w:r w:rsidRPr="00613851">
              <w:rPr>
                <w:noProof/>
                <w:color w:val="0070C0"/>
                <w:sz w:val="28"/>
              </w:rPr>
              <w:t>III.2. Rada Zamówień Publicznych</w:t>
            </w:r>
            <w:bookmarkEnd w:id="243"/>
          </w:p>
        </w:tc>
      </w:tr>
      <w:bookmarkEnd w:id="242"/>
    </w:tbl>
    <w:p w14:paraId="7B5DF3FC" w14:textId="77777777" w:rsidR="00EF13CF" w:rsidRPr="00EF13CF" w:rsidRDefault="00EF13CF" w:rsidP="00EF13CF">
      <w:pPr>
        <w:rPr>
          <w:rFonts w:cs="Calibri"/>
          <w:szCs w:val="22"/>
        </w:rPr>
      </w:pPr>
    </w:p>
    <w:p w14:paraId="5E65F6E4" w14:textId="61E7D37D" w:rsidR="00EF13CF" w:rsidRPr="00EF13CF" w:rsidRDefault="00EF13CF" w:rsidP="00EF13CF">
      <w:pPr>
        <w:rPr>
          <w:rFonts w:cs="Calibri"/>
          <w:szCs w:val="22"/>
        </w:rPr>
      </w:pPr>
      <w:r w:rsidRPr="00EF13CF">
        <w:rPr>
          <w:rFonts w:cs="Calibri"/>
          <w:szCs w:val="22"/>
        </w:rPr>
        <w:t xml:space="preserve">Rada Zamówień Publicznych jest organem opiniodawczo-doradczym Prezesa Urzędu działającym na podstawie art. 500 ustawy </w:t>
      </w:r>
      <w:r w:rsidR="005E0760" w:rsidRPr="005E0760">
        <w:rPr>
          <w:rFonts w:cs="Calibri"/>
          <w:iCs/>
          <w:szCs w:val="22"/>
        </w:rPr>
        <w:t>–</w:t>
      </w:r>
      <w:r w:rsidR="005E0760">
        <w:rPr>
          <w:rFonts w:cs="Calibri"/>
          <w:iCs/>
          <w:szCs w:val="22"/>
        </w:rPr>
        <w:t xml:space="preserve"> </w:t>
      </w:r>
      <w:r w:rsidRPr="00EF13CF">
        <w:rPr>
          <w:rFonts w:cs="Calibri"/>
          <w:szCs w:val="22"/>
        </w:rPr>
        <w:t xml:space="preserve">Prawo zamówień publicznych. </w:t>
      </w:r>
    </w:p>
    <w:p w14:paraId="08BD7BD9" w14:textId="05E7F788" w:rsidR="00EF13CF" w:rsidRPr="00EF13CF" w:rsidRDefault="00EF13CF" w:rsidP="00EF13CF">
      <w:pPr>
        <w:rPr>
          <w:rFonts w:cs="Calibri"/>
          <w:szCs w:val="22"/>
        </w:rPr>
      </w:pPr>
      <w:r w:rsidRPr="00EF13CF">
        <w:rPr>
          <w:rFonts w:cs="Calibri"/>
          <w:szCs w:val="22"/>
        </w:rPr>
        <w:t>W skład Rady Zamówień Publicznych wchodzi 15 członków powołanych przez ministra właściwego do spraw gospodarki</w:t>
      </w:r>
      <w:r w:rsidR="00890364">
        <w:rPr>
          <w:rFonts w:cs="Calibri"/>
          <w:szCs w:val="22"/>
        </w:rPr>
        <w:t xml:space="preserve">. </w:t>
      </w:r>
      <w:r w:rsidR="003521A8">
        <w:rPr>
          <w:rFonts w:cs="Calibri"/>
          <w:szCs w:val="22"/>
        </w:rPr>
        <w:t>Rada ulega rozwiązaniu wraz z odwołaniem Prezesa Urzędu</w:t>
      </w:r>
      <w:r w:rsidRPr="00EF13CF">
        <w:rPr>
          <w:rFonts w:cs="Calibri"/>
          <w:szCs w:val="22"/>
        </w:rPr>
        <w:t>. Członkowie Rady są reprezentantami różnych środowisk, a ich doświadczenie, autorytet i posiadana wiedza są gwarantem prawidłowego realizowania zadań Rady.</w:t>
      </w:r>
    </w:p>
    <w:p w14:paraId="2DE1E329" w14:textId="77777777" w:rsidR="008B73A6" w:rsidRDefault="008B73A6" w:rsidP="00EF13CF">
      <w:pPr>
        <w:rPr>
          <w:rFonts w:cs="Calibri"/>
          <w:szCs w:val="22"/>
        </w:rPr>
      </w:pPr>
    </w:p>
    <w:p w14:paraId="6844E056" w14:textId="782B3D76" w:rsidR="00EF13CF" w:rsidRPr="00EF13CF" w:rsidRDefault="00EF13CF" w:rsidP="00EF13CF">
      <w:pPr>
        <w:rPr>
          <w:rFonts w:cs="Calibri"/>
          <w:szCs w:val="22"/>
        </w:rPr>
      </w:pPr>
      <w:r w:rsidRPr="00EF13CF">
        <w:rPr>
          <w:rFonts w:cs="Calibri"/>
          <w:szCs w:val="22"/>
        </w:rPr>
        <w:t xml:space="preserve">Do zadań Rady należy: </w:t>
      </w:r>
    </w:p>
    <w:p w14:paraId="355F3F66" w14:textId="5CD719EB" w:rsidR="00EF13CF" w:rsidRPr="008B73A6" w:rsidRDefault="00EF13CF" w:rsidP="00E16264">
      <w:pPr>
        <w:pStyle w:val="Akapitzlist"/>
        <w:numPr>
          <w:ilvl w:val="0"/>
          <w:numId w:val="14"/>
        </w:numPr>
        <w:rPr>
          <w:rFonts w:cs="Calibri"/>
          <w:sz w:val="22"/>
          <w:szCs w:val="22"/>
        </w:rPr>
      </w:pPr>
      <w:r w:rsidRPr="008B73A6">
        <w:rPr>
          <w:rFonts w:cs="Calibri"/>
          <w:sz w:val="22"/>
          <w:szCs w:val="22"/>
        </w:rPr>
        <w:t xml:space="preserve">wyrażanie opinii w szczególnie istotnych sprawach systemu zamówień, przedstawionych jej przez Prezesa Urzędu, </w:t>
      </w:r>
    </w:p>
    <w:p w14:paraId="22100512" w14:textId="2ADA7C8D" w:rsidR="00EF13CF" w:rsidRPr="008B73A6" w:rsidRDefault="00EF13CF" w:rsidP="00E16264">
      <w:pPr>
        <w:pStyle w:val="Akapitzlist"/>
        <w:numPr>
          <w:ilvl w:val="0"/>
          <w:numId w:val="14"/>
        </w:numPr>
        <w:rPr>
          <w:rFonts w:cs="Calibri"/>
          <w:sz w:val="22"/>
          <w:szCs w:val="22"/>
        </w:rPr>
      </w:pPr>
      <w:r w:rsidRPr="008B73A6">
        <w:rPr>
          <w:rFonts w:cs="Calibri"/>
          <w:sz w:val="22"/>
          <w:szCs w:val="22"/>
        </w:rPr>
        <w:t xml:space="preserve">opiniowanie projektów aktów normatywnych dotyczących zamówień, </w:t>
      </w:r>
    </w:p>
    <w:p w14:paraId="5B9F5549" w14:textId="2AA97483" w:rsidR="00EF13CF" w:rsidRPr="008B73A6" w:rsidRDefault="00EF13CF" w:rsidP="00E16264">
      <w:pPr>
        <w:pStyle w:val="Akapitzlist"/>
        <w:numPr>
          <w:ilvl w:val="0"/>
          <w:numId w:val="14"/>
        </w:numPr>
        <w:rPr>
          <w:rFonts w:cs="Calibri"/>
          <w:sz w:val="22"/>
          <w:szCs w:val="22"/>
        </w:rPr>
      </w:pPr>
      <w:r w:rsidRPr="008B73A6">
        <w:rPr>
          <w:rFonts w:cs="Calibri"/>
          <w:sz w:val="22"/>
          <w:szCs w:val="22"/>
        </w:rPr>
        <w:t>opiniowanie rocznego sprawozdania Prezesa Urzędu o funkcjonowaniu systemu zamówień,</w:t>
      </w:r>
    </w:p>
    <w:p w14:paraId="0A97B1E2" w14:textId="0211BCCB" w:rsidR="00EF13CF" w:rsidRPr="008B73A6" w:rsidRDefault="00EF13CF" w:rsidP="00E16264">
      <w:pPr>
        <w:pStyle w:val="Akapitzlist"/>
        <w:numPr>
          <w:ilvl w:val="0"/>
          <w:numId w:val="14"/>
        </w:numPr>
        <w:rPr>
          <w:rFonts w:cs="Calibri"/>
          <w:sz w:val="22"/>
          <w:szCs w:val="22"/>
        </w:rPr>
      </w:pPr>
      <w:r w:rsidRPr="008B73A6">
        <w:rPr>
          <w:rFonts w:cs="Calibri"/>
          <w:sz w:val="22"/>
          <w:szCs w:val="22"/>
        </w:rPr>
        <w:t>ustalanie zasad etyki zawodowej osób wykonujących określone w ustawie Pzp zadania w systemie zamówień,</w:t>
      </w:r>
    </w:p>
    <w:p w14:paraId="788FCED7" w14:textId="7A47B3C4" w:rsidR="00EF13CF" w:rsidRPr="008B73A6" w:rsidRDefault="00EF13CF" w:rsidP="00E16264">
      <w:pPr>
        <w:pStyle w:val="Akapitzlist"/>
        <w:numPr>
          <w:ilvl w:val="0"/>
          <w:numId w:val="14"/>
        </w:numPr>
        <w:rPr>
          <w:rFonts w:cs="Calibri"/>
          <w:sz w:val="22"/>
          <w:szCs w:val="22"/>
        </w:rPr>
      </w:pPr>
      <w:r w:rsidRPr="008B73A6">
        <w:rPr>
          <w:rFonts w:cs="Calibri"/>
          <w:sz w:val="22"/>
          <w:szCs w:val="22"/>
        </w:rPr>
        <w:t>wykonywanie innych zadań zleconych przez Prezesa Urzędu.</w:t>
      </w:r>
    </w:p>
    <w:p w14:paraId="68D294B1" w14:textId="77777777" w:rsidR="008B73A6" w:rsidRDefault="008B73A6" w:rsidP="00EF13CF">
      <w:pPr>
        <w:rPr>
          <w:rFonts w:cs="Calibri"/>
          <w:szCs w:val="22"/>
        </w:rPr>
      </w:pPr>
    </w:p>
    <w:p w14:paraId="3FFF0099" w14:textId="1B410F17" w:rsidR="00EF13CF" w:rsidRPr="00EF13CF" w:rsidRDefault="00EF13CF" w:rsidP="00EF13CF">
      <w:pPr>
        <w:rPr>
          <w:rFonts w:cs="Calibri"/>
          <w:szCs w:val="22"/>
        </w:rPr>
      </w:pPr>
      <w:r w:rsidRPr="00EF13CF">
        <w:rPr>
          <w:rFonts w:cs="Calibri"/>
          <w:szCs w:val="22"/>
        </w:rPr>
        <w:t>W 2022 r</w:t>
      </w:r>
      <w:r w:rsidR="008B73A6">
        <w:rPr>
          <w:rFonts w:cs="Calibri"/>
          <w:szCs w:val="22"/>
        </w:rPr>
        <w:t>.</w:t>
      </w:r>
      <w:r w:rsidRPr="00EF13CF">
        <w:rPr>
          <w:rFonts w:cs="Calibri"/>
          <w:szCs w:val="22"/>
        </w:rPr>
        <w:t xml:space="preserve"> odbyły się dwa posiedzenia stałe, Rada obradowała w </w:t>
      </w:r>
      <w:r w:rsidR="008B73A6">
        <w:rPr>
          <w:rFonts w:cs="Calibri"/>
          <w:szCs w:val="22"/>
        </w:rPr>
        <w:t xml:space="preserve">dniu 28 kwietnia i 8 grudnia. </w:t>
      </w:r>
    </w:p>
    <w:p w14:paraId="34C6B60A" w14:textId="77777777" w:rsidR="00EF13CF" w:rsidRPr="00EF13CF" w:rsidRDefault="00EF13CF" w:rsidP="00EF13CF">
      <w:pPr>
        <w:rPr>
          <w:rFonts w:cs="Calibri"/>
          <w:szCs w:val="22"/>
        </w:rPr>
      </w:pPr>
    </w:p>
    <w:p w14:paraId="464269E9" w14:textId="77777777" w:rsidR="00EF13CF" w:rsidRPr="00EF13CF" w:rsidRDefault="00EF13CF" w:rsidP="00EF13CF">
      <w:pPr>
        <w:rPr>
          <w:rFonts w:cs="Calibri"/>
          <w:szCs w:val="22"/>
        </w:rPr>
      </w:pPr>
      <w:r w:rsidRPr="00EF13CF">
        <w:rPr>
          <w:rFonts w:cs="Calibri"/>
          <w:szCs w:val="22"/>
        </w:rPr>
        <w:t>Rada wyrażała stanowisko dotyczące:</w:t>
      </w:r>
    </w:p>
    <w:p w14:paraId="1AB6D1AC" w14:textId="06CEF7CA" w:rsidR="00EF13CF" w:rsidRPr="008B73A6" w:rsidRDefault="00EF13CF" w:rsidP="00E16264">
      <w:pPr>
        <w:pStyle w:val="Akapitzlist"/>
        <w:numPr>
          <w:ilvl w:val="0"/>
          <w:numId w:val="15"/>
        </w:numPr>
        <w:ind w:left="426" w:hanging="426"/>
        <w:rPr>
          <w:rFonts w:cs="Calibri"/>
          <w:sz w:val="22"/>
          <w:szCs w:val="22"/>
        </w:rPr>
      </w:pPr>
      <w:r w:rsidRPr="008B73A6">
        <w:rPr>
          <w:rFonts w:cs="Calibri"/>
          <w:sz w:val="22"/>
          <w:szCs w:val="22"/>
        </w:rPr>
        <w:t>Sprawozdania Prezesa Urzędu Zamówień Publicznych z funkcjonowania systemu zamówień publicznych w 2021 roku, w tym przyjęcie uchwały ws</w:t>
      </w:r>
      <w:r w:rsidR="008B73A6">
        <w:rPr>
          <w:rFonts w:cs="Calibri"/>
          <w:sz w:val="22"/>
          <w:szCs w:val="22"/>
          <w:lang w:val="pl-PL"/>
        </w:rPr>
        <w:t>.</w:t>
      </w:r>
      <w:r w:rsidRPr="008B73A6">
        <w:rPr>
          <w:rFonts w:cs="Calibri"/>
          <w:sz w:val="22"/>
          <w:szCs w:val="22"/>
        </w:rPr>
        <w:t xml:space="preserve"> zaopiniowania przedmiotowego Sprawozdania;</w:t>
      </w:r>
    </w:p>
    <w:p w14:paraId="72966443" w14:textId="48F62AC6" w:rsidR="00EF13CF" w:rsidRPr="008B73A6" w:rsidRDefault="00EF13CF" w:rsidP="00E16264">
      <w:pPr>
        <w:pStyle w:val="Akapitzlist"/>
        <w:numPr>
          <w:ilvl w:val="0"/>
          <w:numId w:val="15"/>
        </w:numPr>
        <w:ind w:left="426" w:hanging="426"/>
        <w:rPr>
          <w:rFonts w:cs="Calibri"/>
          <w:sz w:val="22"/>
          <w:szCs w:val="22"/>
        </w:rPr>
      </w:pPr>
      <w:r w:rsidRPr="008B73A6">
        <w:rPr>
          <w:rFonts w:cs="Calibri"/>
          <w:sz w:val="22"/>
          <w:szCs w:val="22"/>
        </w:rPr>
        <w:t>Projektu ustawy o ekonomii społeczne</w:t>
      </w:r>
      <w:r w:rsidR="008B73A6">
        <w:rPr>
          <w:rFonts w:cs="Calibri"/>
          <w:sz w:val="22"/>
          <w:szCs w:val="22"/>
          <w:lang w:val="pl-PL"/>
        </w:rPr>
        <w:t>j</w:t>
      </w:r>
      <w:r w:rsidRPr="008B73A6">
        <w:rPr>
          <w:rFonts w:cs="Calibri"/>
          <w:sz w:val="22"/>
          <w:szCs w:val="22"/>
        </w:rPr>
        <w:t>, w tym przyjęcie uchwały ws</w:t>
      </w:r>
      <w:r w:rsidR="008B73A6">
        <w:rPr>
          <w:rFonts w:cs="Calibri"/>
          <w:sz w:val="22"/>
          <w:szCs w:val="22"/>
          <w:lang w:val="pl-PL"/>
        </w:rPr>
        <w:t>.</w:t>
      </w:r>
      <w:r w:rsidRPr="008B73A6">
        <w:rPr>
          <w:rFonts w:cs="Calibri"/>
          <w:sz w:val="22"/>
          <w:szCs w:val="22"/>
        </w:rPr>
        <w:t xml:space="preserve"> zaopiniowania przedmiotowego projektu;</w:t>
      </w:r>
    </w:p>
    <w:p w14:paraId="0E9141B3" w14:textId="26D3CDB1" w:rsidR="00EF13CF" w:rsidRPr="008B73A6" w:rsidRDefault="00EF13CF" w:rsidP="00E16264">
      <w:pPr>
        <w:pStyle w:val="Akapitzlist"/>
        <w:numPr>
          <w:ilvl w:val="0"/>
          <w:numId w:val="15"/>
        </w:numPr>
        <w:ind w:left="426" w:hanging="426"/>
        <w:rPr>
          <w:rFonts w:cs="Calibri"/>
          <w:sz w:val="22"/>
          <w:szCs w:val="22"/>
        </w:rPr>
      </w:pPr>
      <w:r w:rsidRPr="008B73A6">
        <w:rPr>
          <w:rFonts w:cs="Calibri"/>
          <w:sz w:val="22"/>
          <w:szCs w:val="22"/>
        </w:rPr>
        <w:t>Projektu ustawy o usprawnieniu procesu inwestycyjnego Centralnego Portu Komunikacyjnego, w tym przyjęcie uchwały ws</w:t>
      </w:r>
      <w:r w:rsidR="008B73A6">
        <w:rPr>
          <w:rFonts w:cs="Calibri"/>
          <w:sz w:val="22"/>
          <w:szCs w:val="22"/>
          <w:lang w:val="pl-PL"/>
        </w:rPr>
        <w:t>.</w:t>
      </w:r>
      <w:r w:rsidRPr="008B73A6">
        <w:rPr>
          <w:rFonts w:cs="Calibri"/>
          <w:sz w:val="22"/>
          <w:szCs w:val="22"/>
        </w:rPr>
        <w:t xml:space="preserve"> zaopiniowania przedmiotowego projektu;</w:t>
      </w:r>
    </w:p>
    <w:p w14:paraId="75921E1B" w14:textId="59D88C6C" w:rsidR="00EF13CF" w:rsidRPr="008B73A6" w:rsidRDefault="00EF13CF" w:rsidP="00E16264">
      <w:pPr>
        <w:pStyle w:val="Akapitzlist"/>
        <w:numPr>
          <w:ilvl w:val="0"/>
          <w:numId w:val="15"/>
        </w:numPr>
        <w:ind w:left="426" w:hanging="426"/>
        <w:rPr>
          <w:rFonts w:cs="Calibri"/>
          <w:sz w:val="22"/>
          <w:szCs w:val="22"/>
        </w:rPr>
      </w:pPr>
      <w:r w:rsidRPr="008B73A6">
        <w:rPr>
          <w:rFonts w:cs="Calibri"/>
          <w:sz w:val="22"/>
          <w:szCs w:val="22"/>
        </w:rPr>
        <w:t>Projektu ustawy o zmianie ustawy o pomocy obywatelom Ukrainy w związku z konfliktem zbrojnym na terytorium tego państwa oraz niektórych innych</w:t>
      </w:r>
      <w:r w:rsidR="008B73A6">
        <w:rPr>
          <w:rFonts w:cs="Calibri"/>
          <w:sz w:val="22"/>
          <w:szCs w:val="22"/>
          <w:lang w:val="pl-PL"/>
        </w:rPr>
        <w:t xml:space="preserve"> ustaw</w:t>
      </w:r>
      <w:r w:rsidRPr="008B73A6">
        <w:rPr>
          <w:rFonts w:cs="Calibri"/>
          <w:sz w:val="22"/>
          <w:szCs w:val="22"/>
        </w:rPr>
        <w:t>, w tym przyjęcie uchwały ws</w:t>
      </w:r>
      <w:r w:rsidR="008B73A6">
        <w:rPr>
          <w:rFonts w:cs="Calibri"/>
          <w:sz w:val="22"/>
          <w:szCs w:val="22"/>
          <w:lang w:val="pl-PL"/>
        </w:rPr>
        <w:t>.</w:t>
      </w:r>
      <w:r w:rsidRPr="008B73A6">
        <w:rPr>
          <w:rFonts w:cs="Calibri"/>
          <w:sz w:val="22"/>
          <w:szCs w:val="22"/>
        </w:rPr>
        <w:t xml:space="preserve"> zaopiniowania przedmiotowego projektu.</w:t>
      </w:r>
    </w:p>
    <w:p w14:paraId="0199E6DA" w14:textId="77777777" w:rsidR="00EF13CF" w:rsidRPr="00EF13CF" w:rsidRDefault="00EF13CF" w:rsidP="00EF13CF">
      <w:pPr>
        <w:rPr>
          <w:rFonts w:cs="Calibri"/>
          <w:szCs w:val="22"/>
        </w:rPr>
      </w:pPr>
    </w:p>
    <w:p w14:paraId="0839E22F" w14:textId="77777777" w:rsidR="00EF13CF" w:rsidRPr="00EF13CF" w:rsidRDefault="00EF13CF" w:rsidP="00EF13CF">
      <w:pPr>
        <w:rPr>
          <w:rFonts w:cs="Calibri"/>
          <w:szCs w:val="22"/>
        </w:rPr>
      </w:pPr>
      <w:r w:rsidRPr="00EF13CF">
        <w:rPr>
          <w:rFonts w:cs="Calibri"/>
          <w:szCs w:val="22"/>
        </w:rPr>
        <w:t>Na posiedzeniach Rada dyskutowała nad zagadnieniami dotyczącymi:</w:t>
      </w:r>
    </w:p>
    <w:p w14:paraId="30DC7EBB" w14:textId="283308F0" w:rsidR="00EF13CF" w:rsidRPr="008B73A6" w:rsidRDefault="00EF13CF" w:rsidP="00E16264">
      <w:pPr>
        <w:pStyle w:val="Akapitzlist"/>
        <w:numPr>
          <w:ilvl w:val="0"/>
          <w:numId w:val="14"/>
        </w:numPr>
        <w:rPr>
          <w:rFonts w:cs="Calibri"/>
          <w:sz w:val="22"/>
          <w:szCs w:val="22"/>
        </w:rPr>
      </w:pPr>
      <w:r w:rsidRPr="008B73A6">
        <w:rPr>
          <w:rFonts w:cs="Calibri"/>
          <w:sz w:val="22"/>
          <w:szCs w:val="22"/>
        </w:rPr>
        <w:t>elektronizacji systemu zamówień publicznych,</w:t>
      </w:r>
    </w:p>
    <w:p w14:paraId="15F69AB9" w14:textId="6B4B46F1" w:rsidR="00EF13CF" w:rsidRPr="008B73A6" w:rsidRDefault="00EF13CF" w:rsidP="00E16264">
      <w:pPr>
        <w:pStyle w:val="Akapitzlist"/>
        <w:numPr>
          <w:ilvl w:val="0"/>
          <w:numId w:val="14"/>
        </w:numPr>
        <w:rPr>
          <w:rFonts w:cs="Calibri"/>
          <w:sz w:val="22"/>
          <w:szCs w:val="22"/>
        </w:rPr>
      </w:pPr>
      <w:r w:rsidRPr="008B73A6">
        <w:rPr>
          <w:rFonts w:cs="Calibri"/>
          <w:sz w:val="22"/>
          <w:szCs w:val="22"/>
        </w:rPr>
        <w:t>systemu zamówień publicznych,</w:t>
      </w:r>
    </w:p>
    <w:p w14:paraId="309A71AE" w14:textId="50D7FFB4" w:rsidR="00EF13CF" w:rsidRPr="008B73A6" w:rsidRDefault="00EF13CF" w:rsidP="00E16264">
      <w:pPr>
        <w:pStyle w:val="Akapitzlist"/>
        <w:numPr>
          <w:ilvl w:val="0"/>
          <w:numId w:val="14"/>
        </w:numPr>
        <w:rPr>
          <w:rFonts w:cs="Calibri"/>
          <w:sz w:val="22"/>
          <w:szCs w:val="22"/>
        </w:rPr>
      </w:pPr>
      <w:r w:rsidRPr="008B73A6">
        <w:rPr>
          <w:rFonts w:cs="Calibri"/>
          <w:sz w:val="22"/>
          <w:szCs w:val="22"/>
        </w:rPr>
        <w:t>waloryzacji realizowanych kontraktów w zamówieniach publicznych,</w:t>
      </w:r>
    </w:p>
    <w:p w14:paraId="12A5B2ED" w14:textId="16CA43CD" w:rsidR="005A1D41" w:rsidRPr="008B73A6" w:rsidRDefault="00EF13CF" w:rsidP="00E16264">
      <w:pPr>
        <w:pStyle w:val="Akapitzlist"/>
        <w:numPr>
          <w:ilvl w:val="0"/>
          <w:numId w:val="14"/>
        </w:numPr>
        <w:rPr>
          <w:rFonts w:cs="Calibri"/>
          <w:sz w:val="22"/>
          <w:szCs w:val="22"/>
        </w:rPr>
      </w:pPr>
      <w:r w:rsidRPr="008B73A6">
        <w:rPr>
          <w:rFonts w:cs="Calibri"/>
          <w:sz w:val="22"/>
          <w:szCs w:val="22"/>
        </w:rPr>
        <w:t>planów na 2023 rok.</w:t>
      </w:r>
    </w:p>
    <w:p w14:paraId="612ED658" w14:textId="6897DC59" w:rsidR="005855C8" w:rsidRDefault="005855C8" w:rsidP="007D4DEB">
      <w:pPr>
        <w:shd w:val="clear" w:color="auto" w:fill="FFFFFF"/>
        <w:rPr>
          <w:rFonts w:cs="Arial"/>
        </w:rPr>
      </w:pPr>
    </w:p>
    <w:p w14:paraId="24ED2A1C" w14:textId="77777777" w:rsidR="008B73A6" w:rsidRPr="00F24A63" w:rsidRDefault="008B73A6" w:rsidP="007D4DEB">
      <w:pPr>
        <w:shd w:val="clear" w:color="auto" w:fill="FFFFFF"/>
        <w:rPr>
          <w:rFonts w:cs="Arial"/>
        </w:rPr>
      </w:pPr>
    </w:p>
    <w:tbl>
      <w:tblPr>
        <w:tblW w:w="0" w:type="auto"/>
        <w:tblInd w:w="90" w:type="dxa"/>
        <w:tblLayout w:type="fixed"/>
        <w:tblLook w:val="04A0" w:firstRow="1" w:lastRow="0" w:firstColumn="1" w:lastColumn="0" w:noHBand="0" w:noVBand="1"/>
      </w:tblPr>
      <w:tblGrid>
        <w:gridCol w:w="236"/>
        <w:gridCol w:w="8960"/>
      </w:tblGrid>
      <w:tr w:rsidR="005F3C4D" w14:paraId="4CF0AFEC" w14:textId="77777777" w:rsidTr="008C3B34">
        <w:trPr>
          <w:cantSplit/>
        </w:trPr>
        <w:tc>
          <w:tcPr>
            <w:tcW w:w="236" w:type="dxa"/>
            <w:shd w:val="clear" w:color="auto" w:fill="95B3D7"/>
          </w:tcPr>
          <w:p w14:paraId="5CE1CFAC" w14:textId="77777777" w:rsidR="005F3C4D" w:rsidRDefault="005F3C4D" w:rsidP="00F058DB"/>
        </w:tc>
        <w:tc>
          <w:tcPr>
            <w:tcW w:w="8960" w:type="dxa"/>
          </w:tcPr>
          <w:p w14:paraId="5DE8F44A" w14:textId="5C1C2737" w:rsidR="005F3C4D" w:rsidRPr="005E1846" w:rsidRDefault="00FE07B6" w:rsidP="00F058DB">
            <w:pPr>
              <w:pStyle w:val="Nagwek2"/>
              <w:shd w:val="clear" w:color="auto" w:fill="FFFFFF"/>
              <w:spacing w:after="120"/>
              <w:rPr>
                <w:noProof/>
                <w:color w:val="0070C0"/>
                <w:sz w:val="28"/>
              </w:rPr>
            </w:pPr>
            <w:bookmarkStart w:id="244" w:name="_Toc64451888"/>
            <w:bookmarkStart w:id="245" w:name="_Toc141276465"/>
            <w:r w:rsidRPr="005E1846">
              <w:rPr>
                <w:noProof/>
                <w:color w:val="0070C0"/>
                <w:sz w:val="28"/>
              </w:rPr>
              <w:t>III.3</w:t>
            </w:r>
            <w:r w:rsidR="00363D2F" w:rsidRPr="005E1846">
              <w:rPr>
                <w:noProof/>
                <w:color w:val="0070C0"/>
                <w:sz w:val="28"/>
              </w:rPr>
              <w:t>.</w:t>
            </w:r>
            <w:r w:rsidR="00750B05" w:rsidRPr="005E1846">
              <w:rPr>
                <w:noProof/>
                <w:color w:val="0070C0"/>
                <w:sz w:val="28"/>
              </w:rPr>
              <w:t xml:space="preserve"> </w:t>
            </w:r>
            <w:r w:rsidR="00363D2F" w:rsidRPr="005E1846">
              <w:rPr>
                <w:noProof/>
                <w:color w:val="0070C0"/>
                <w:sz w:val="28"/>
              </w:rPr>
              <w:t>Krajowa Izba Odwoławcza</w:t>
            </w:r>
            <w:bookmarkEnd w:id="244"/>
            <w:bookmarkEnd w:id="245"/>
          </w:p>
        </w:tc>
      </w:tr>
    </w:tbl>
    <w:p w14:paraId="4899BFEF" w14:textId="77777777" w:rsidR="00E63700" w:rsidRDefault="00E63700" w:rsidP="007D4DEB">
      <w:pPr>
        <w:shd w:val="clear" w:color="auto" w:fill="FFFFFF"/>
        <w:rPr>
          <w:rFonts w:cs="Arial"/>
        </w:rPr>
      </w:pPr>
    </w:p>
    <w:p w14:paraId="0A39B9B6" w14:textId="77777777" w:rsidR="00CB1037" w:rsidRPr="00CB1037" w:rsidRDefault="00CB1037" w:rsidP="00CB1037">
      <w:r w:rsidRPr="00CB1037">
        <w:t xml:space="preserve">Zgodnie z art. 473 ustawy Pzp podstawową rolą Krajowej Izby Odwoławczej jest rozpoznawanie odwołań wnoszonych w postępowaniu o udzielenie zamówienia publicznego. </w:t>
      </w:r>
    </w:p>
    <w:p w14:paraId="2790284B" w14:textId="77777777" w:rsidR="00CB1037" w:rsidRDefault="00CB1037" w:rsidP="00CB1037"/>
    <w:p w14:paraId="63963FC0" w14:textId="44632CF5" w:rsidR="00CB1037" w:rsidRPr="00CB1037" w:rsidRDefault="00CB1037" w:rsidP="00CB1037">
      <w:r w:rsidRPr="00CB1037">
        <w:t>Na podstawie przepisów ustawy Pzp do pozostałych kompetencji Krajowej Izby Odwoławczej należy rozpoznawanie wniosków o uchylenie zakazu zawarcia umowy do czasu ogłoszenia przez Izbę wyroku lub postanowienia kończącego postępowanie odwoławcze oraz wyrażanie w formie uchwały opinii w sprawie zastrzeżeń do</w:t>
      </w:r>
      <w:r w:rsidR="009343A1">
        <w:t xml:space="preserve"> </w:t>
      </w:r>
      <w:r w:rsidRPr="00CB1037">
        <w:t xml:space="preserve">wyników kontroli zgłoszonych przez zamawiającego do Prezesa UZP w toku przeprowadzania kontroli, zarówno doraźnej, jak i uprzedniej. </w:t>
      </w:r>
    </w:p>
    <w:p w14:paraId="1A9CA020" w14:textId="77777777" w:rsidR="003C1CD5" w:rsidRDefault="003C1CD5" w:rsidP="00F058DB"/>
    <w:tbl>
      <w:tblPr>
        <w:tblW w:w="0" w:type="auto"/>
        <w:tblInd w:w="374" w:type="dxa"/>
        <w:tblLayout w:type="fixed"/>
        <w:tblLook w:val="04A0" w:firstRow="1" w:lastRow="0" w:firstColumn="1" w:lastColumn="0" w:noHBand="0" w:noVBand="1"/>
      </w:tblPr>
      <w:tblGrid>
        <w:gridCol w:w="236"/>
        <w:gridCol w:w="8676"/>
      </w:tblGrid>
      <w:tr w:rsidR="00E63700" w:rsidRPr="001E7D51" w14:paraId="64288725" w14:textId="77777777" w:rsidTr="00363D2F">
        <w:trPr>
          <w:cantSplit/>
        </w:trPr>
        <w:tc>
          <w:tcPr>
            <w:tcW w:w="236" w:type="dxa"/>
            <w:shd w:val="clear" w:color="auto" w:fill="B8CCE4"/>
          </w:tcPr>
          <w:p w14:paraId="5EB15674" w14:textId="77777777" w:rsidR="00E63700" w:rsidRPr="001E7D51" w:rsidRDefault="00E63700" w:rsidP="00F058DB">
            <w:pPr>
              <w:rPr>
                <w:sz w:val="24"/>
              </w:rPr>
            </w:pPr>
          </w:p>
        </w:tc>
        <w:tc>
          <w:tcPr>
            <w:tcW w:w="8676" w:type="dxa"/>
          </w:tcPr>
          <w:p w14:paraId="544E8A9D" w14:textId="2BB35EB5" w:rsidR="00E63700" w:rsidRPr="005E1846" w:rsidRDefault="0071296E" w:rsidP="00FE07B6">
            <w:pPr>
              <w:pStyle w:val="Nagwek3"/>
              <w:shd w:val="clear" w:color="auto" w:fill="FFFFFF"/>
              <w:spacing w:after="120"/>
              <w:ind w:left="0"/>
              <w:rPr>
                <w:color w:val="0070C0"/>
                <w:sz w:val="24"/>
                <w:szCs w:val="24"/>
              </w:rPr>
            </w:pPr>
            <w:bookmarkStart w:id="246" w:name="_Toc64451889"/>
            <w:bookmarkStart w:id="247" w:name="_Toc141276466"/>
            <w:r w:rsidRPr="005E1846">
              <w:rPr>
                <w:color w:val="0070C0"/>
                <w:sz w:val="24"/>
                <w:szCs w:val="24"/>
              </w:rPr>
              <w:t>III.</w:t>
            </w:r>
            <w:r w:rsidR="00FE07B6" w:rsidRPr="005E1846">
              <w:rPr>
                <w:color w:val="0070C0"/>
                <w:sz w:val="24"/>
                <w:szCs w:val="24"/>
              </w:rPr>
              <w:t>3</w:t>
            </w:r>
            <w:r w:rsidRPr="005E1846">
              <w:rPr>
                <w:color w:val="0070C0"/>
                <w:sz w:val="24"/>
                <w:szCs w:val="24"/>
              </w:rPr>
              <w:t>.1.</w:t>
            </w:r>
            <w:r w:rsidR="00750B05" w:rsidRPr="005E1846">
              <w:rPr>
                <w:color w:val="0070C0"/>
                <w:sz w:val="24"/>
                <w:szCs w:val="24"/>
              </w:rPr>
              <w:t xml:space="preserve"> </w:t>
            </w:r>
            <w:r w:rsidR="00363D2F" w:rsidRPr="005E1846">
              <w:rPr>
                <w:color w:val="0070C0"/>
                <w:sz w:val="24"/>
                <w:szCs w:val="24"/>
              </w:rPr>
              <w:t>Rozpatrywanie odwołań</w:t>
            </w:r>
            <w:bookmarkEnd w:id="246"/>
            <w:bookmarkEnd w:id="247"/>
          </w:p>
        </w:tc>
      </w:tr>
    </w:tbl>
    <w:p w14:paraId="76B0D3A1" w14:textId="61023804" w:rsidR="005855C8" w:rsidRDefault="005855C8" w:rsidP="00F058DB">
      <w:pPr>
        <w:shd w:val="clear" w:color="auto" w:fill="FFFFFF"/>
        <w:rPr>
          <w:rFonts w:cs="Arial"/>
          <w:szCs w:val="22"/>
        </w:rPr>
      </w:pPr>
      <w:bookmarkStart w:id="248" w:name="_Toc223154375"/>
      <w:bookmarkEnd w:id="248"/>
    </w:p>
    <w:p w14:paraId="204D2C2F" w14:textId="12A92602" w:rsidR="005E1846" w:rsidRPr="005E1846" w:rsidRDefault="005E1846" w:rsidP="005E1846">
      <w:pPr>
        <w:rPr>
          <w:rFonts w:cs="Arial"/>
          <w:szCs w:val="22"/>
        </w:rPr>
      </w:pPr>
      <w:r w:rsidRPr="005E1846">
        <w:rPr>
          <w:rFonts w:cs="Arial"/>
          <w:szCs w:val="22"/>
        </w:rPr>
        <w:t>W 2022 r. rozstrzygnięto 3 514 odwołań. Spośród wszystkich rozpatrzonych odwołań 45% stanowiły rozpoznane przez KIO merytorycznie (29% oddalonych i 16% uwzględnionych). Pozostałe rozstrzygnięcia kształtowały się następująco: 24% – umorzenie z</w:t>
      </w:r>
      <w:r w:rsidR="009343A1">
        <w:rPr>
          <w:rFonts w:cs="Arial"/>
          <w:szCs w:val="22"/>
        </w:rPr>
        <w:t xml:space="preserve"> </w:t>
      </w:r>
      <w:r w:rsidRPr="005E1846">
        <w:rPr>
          <w:rFonts w:cs="Arial"/>
          <w:szCs w:val="22"/>
        </w:rPr>
        <w:t xml:space="preserve">powodu wycofania odwołania, 24% – umorzenie z powodu uwzględnienia zarzutów odwołania przez zamawiającego, 5% – zwrot z powodu braku wpisu lub nieuzupełnienia braków formalnych, 2% – odrzucenie odwołania. </w:t>
      </w:r>
    </w:p>
    <w:p w14:paraId="1488401D" w14:textId="77777777" w:rsidR="005E1846" w:rsidRDefault="005E1846" w:rsidP="005E1846">
      <w:pPr>
        <w:rPr>
          <w:rFonts w:cs="Arial"/>
          <w:szCs w:val="22"/>
        </w:rPr>
      </w:pPr>
    </w:p>
    <w:p w14:paraId="4BA4DAB2" w14:textId="673C6F57" w:rsidR="005E1846" w:rsidRPr="005E1846" w:rsidRDefault="005E1846" w:rsidP="005E1846">
      <w:pPr>
        <w:rPr>
          <w:rFonts w:cs="Arial"/>
          <w:szCs w:val="22"/>
        </w:rPr>
      </w:pPr>
      <w:r w:rsidRPr="005E1846">
        <w:rPr>
          <w:rFonts w:cs="Arial"/>
          <w:szCs w:val="22"/>
        </w:rPr>
        <w:t xml:space="preserve">W porównaniu do roku 2021 wskaźniki te zmieniły się w zakresie odwołań rozpatrzonych merytorycznie – spadek z 48%, liczby odwołań umarzanych ze względu na uwzględnienie zarzutów przez zamawiającego (wzrost z 18%) oraz liczby odwołań umarzanych ze względu na wycofanie odwołania (spadek z 27% w roku 2021). Stosunek odwołań zwróconych oraz odrzuconych pozostał niezmieniony. </w:t>
      </w:r>
    </w:p>
    <w:p w14:paraId="1ABA1FF0" w14:textId="77777777" w:rsidR="00FE07B6" w:rsidRDefault="00FE07B6" w:rsidP="00183270">
      <w:pPr>
        <w:rPr>
          <w:rFonts w:cs="Arial"/>
          <w:szCs w:val="22"/>
        </w:rPr>
      </w:pPr>
    </w:p>
    <w:p w14:paraId="78B3CC8F" w14:textId="77777777" w:rsidR="00C712D3" w:rsidRDefault="00C712D3" w:rsidP="00F058DB">
      <w:pPr>
        <w:shd w:val="clear" w:color="auto" w:fill="FFFFFF"/>
        <w:rPr>
          <w:rFonts w:cs="Arial"/>
          <w:szCs w:val="22"/>
        </w:rPr>
      </w:pPr>
    </w:p>
    <w:tbl>
      <w:tblPr>
        <w:tblW w:w="8912" w:type="dxa"/>
        <w:tblInd w:w="374" w:type="dxa"/>
        <w:tblLayout w:type="fixed"/>
        <w:tblLook w:val="04A0" w:firstRow="1" w:lastRow="0" w:firstColumn="1" w:lastColumn="0" w:noHBand="0" w:noVBand="1"/>
      </w:tblPr>
      <w:tblGrid>
        <w:gridCol w:w="236"/>
        <w:gridCol w:w="8676"/>
      </w:tblGrid>
      <w:tr w:rsidR="00E63700" w:rsidRPr="001E7D51" w14:paraId="5EF8A71B" w14:textId="77777777" w:rsidTr="00660931">
        <w:trPr>
          <w:cantSplit/>
        </w:trPr>
        <w:tc>
          <w:tcPr>
            <w:tcW w:w="236" w:type="dxa"/>
            <w:shd w:val="clear" w:color="auto" w:fill="B8CCE4"/>
          </w:tcPr>
          <w:p w14:paraId="24BB7A92" w14:textId="77777777" w:rsidR="00E63700" w:rsidRPr="001E7D51" w:rsidRDefault="00E63700" w:rsidP="00F058DB">
            <w:pPr>
              <w:rPr>
                <w:sz w:val="24"/>
              </w:rPr>
            </w:pPr>
          </w:p>
        </w:tc>
        <w:tc>
          <w:tcPr>
            <w:tcW w:w="8676" w:type="dxa"/>
          </w:tcPr>
          <w:p w14:paraId="4759E6D0" w14:textId="6A0D94B2" w:rsidR="00E63700" w:rsidRPr="00BD7BF4" w:rsidRDefault="00FE07B6" w:rsidP="00F058DB">
            <w:pPr>
              <w:pStyle w:val="Nagwek3"/>
              <w:shd w:val="clear" w:color="auto" w:fill="FFFFFF"/>
              <w:spacing w:after="120"/>
              <w:ind w:left="737" w:hanging="737"/>
              <w:rPr>
                <w:color w:val="0070C0"/>
                <w:sz w:val="24"/>
                <w:szCs w:val="24"/>
              </w:rPr>
            </w:pPr>
            <w:bookmarkStart w:id="249" w:name="_Toc64451890"/>
            <w:bookmarkStart w:id="250" w:name="_Toc141276467"/>
            <w:r w:rsidRPr="00BD7BF4">
              <w:rPr>
                <w:color w:val="0070C0"/>
                <w:sz w:val="24"/>
                <w:szCs w:val="24"/>
              </w:rPr>
              <w:t>III.3</w:t>
            </w:r>
            <w:r w:rsidR="0071296E" w:rsidRPr="00BD7BF4">
              <w:rPr>
                <w:color w:val="0070C0"/>
                <w:sz w:val="24"/>
                <w:szCs w:val="24"/>
              </w:rPr>
              <w:t>.2.</w:t>
            </w:r>
            <w:r w:rsidR="00750B05" w:rsidRPr="00BD7BF4">
              <w:rPr>
                <w:color w:val="0070C0"/>
                <w:sz w:val="24"/>
                <w:szCs w:val="24"/>
              </w:rPr>
              <w:t xml:space="preserve"> </w:t>
            </w:r>
            <w:r w:rsidR="0071296E" w:rsidRPr="00BD7BF4">
              <w:rPr>
                <w:color w:val="0070C0"/>
                <w:sz w:val="24"/>
                <w:szCs w:val="24"/>
              </w:rPr>
              <w:t>Wnioski o uchylenie zakazu zawarcia umowy w sprawie zamówienia publicznego</w:t>
            </w:r>
            <w:bookmarkEnd w:id="249"/>
            <w:bookmarkEnd w:id="250"/>
          </w:p>
        </w:tc>
      </w:tr>
    </w:tbl>
    <w:p w14:paraId="49E05B17" w14:textId="05B79D4E" w:rsidR="00955ED3" w:rsidRDefault="00955ED3" w:rsidP="00F058DB"/>
    <w:p w14:paraId="192222B7" w14:textId="41621344" w:rsidR="00614461" w:rsidRPr="00614461" w:rsidRDefault="00614461" w:rsidP="00614461">
      <w:r w:rsidRPr="00614461">
        <w:t>W 2022 r. do KIO wpłynęło 50 wniosków o uchylenie zakazu zawarcia umowy, a 49 wniosków zostało rozpatrzonych. Rozstrzygnięcia w</w:t>
      </w:r>
      <w:r w:rsidR="009343A1">
        <w:t xml:space="preserve"> </w:t>
      </w:r>
      <w:r w:rsidRPr="00614461">
        <w:t>przedmiocie złożonych wniosków przedstawiały się następująco:</w:t>
      </w:r>
    </w:p>
    <w:p w14:paraId="701A7D38" w14:textId="3B061503" w:rsidR="003C1CD5" w:rsidRDefault="003C1CD5" w:rsidP="00F058DB"/>
    <w:p w14:paraId="03AAD53B" w14:textId="465D2D84" w:rsidR="00803AFC" w:rsidRDefault="00803AFC" w:rsidP="00803AFC">
      <w:pPr>
        <w:pStyle w:val="Legenda"/>
      </w:pPr>
      <w:bookmarkStart w:id="251" w:name="_Toc141276570"/>
      <w:r w:rsidRPr="00742E01">
        <w:t xml:space="preserve">Tab. </w:t>
      </w:r>
      <w:r w:rsidR="00BE2079">
        <w:fldChar w:fldCharType="begin"/>
      </w:r>
      <w:r w:rsidR="00BE2079">
        <w:instrText xml:space="preserve"> SEQ Tab. \* ARABIC </w:instrText>
      </w:r>
      <w:r w:rsidR="00BE2079">
        <w:fldChar w:fldCharType="separate"/>
      </w:r>
      <w:r w:rsidR="00A43C68">
        <w:rPr>
          <w:noProof/>
        </w:rPr>
        <w:t>63</w:t>
      </w:r>
      <w:r w:rsidR="00BE2079">
        <w:rPr>
          <w:noProof/>
        </w:rPr>
        <w:fldChar w:fldCharType="end"/>
      </w:r>
      <w:r w:rsidRPr="00742E01">
        <w:t xml:space="preserve">. </w:t>
      </w:r>
      <w:r>
        <w:t xml:space="preserve">Rozstrzygnięcia KIO w zakresie wniosków </w:t>
      </w:r>
      <w:r w:rsidRPr="00803AFC">
        <w:t>o uchylenie zakazu zawarcia umowy</w:t>
      </w:r>
      <w:bookmarkEnd w:id="251"/>
    </w:p>
    <w:tbl>
      <w:tblPr>
        <w:tblW w:w="6951" w:type="dxa"/>
        <w:tblInd w:w="-5" w:type="dxa"/>
        <w:tblLayout w:type="fixed"/>
        <w:tblLook w:val="04A0" w:firstRow="1" w:lastRow="0" w:firstColumn="1" w:lastColumn="0" w:noHBand="0" w:noVBand="1"/>
      </w:tblPr>
      <w:tblGrid>
        <w:gridCol w:w="4116"/>
        <w:gridCol w:w="1417"/>
        <w:gridCol w:w="1418"/>
      </w:tblGrid>
      <w:tr w:rsidR="00803AFC" w:rsidRPr="00842D79" w14:paraId="7A162E98" w14:textId="77777777" w:rsidTr="00E71CF7">
        <w:trPr>
          <w:tblHeader/>
        </w:trPr>
        <w:tc>
          <w:tcPr>
            <w:tcW w:w="4116" w:type="dxa"/>
            <w:tcBorders>
              <w:right w:val="single" w:sz="4" w:space="0" w:color="FFFFFF"/>
            </w:tcBorders>
            <w:shd w:val="clear" w:color="auto" w:fill="002060"/>
            <w:vAlign w:val="center"/>
          </w:tcPr>
          <w:p w14:paraId="4BC2FD71" w14:textId="2CFFC42F" w:rsidR="00803AFC" w:rsidRPr="00842D79" w:rsidRDefault="00E71CF7" w:rsidP="00D835A0">
            <w:pPr>
              <w:spacing w:before="60" w:after="60"/>
              <w:jc w:val="center"/>
              <w:rPr>
                <w:b/>
                <w:sz w:val="18"/>
                <w:szCs w:val="18"/>
              </w:rPr>
            </w:pPr>
            <w:r w:rsidRPr="00E71CF7">
              <w:rPr>
                <w:b/>
                <w:sz w:val="18"/>
                <w:szCs w:val="18"/>
              </w:rPr>
              <w:t>Rozstrzygnięcie</w:t>
            </w:r>
          </w:p>
        </w:tc>
        <w:tc>
          <w:tcPr>
            <w:tcW w:w="1417" w:type="dxa"/>
            <w:tcBorders>
              <w:left w:val="single" w:sz="4" w:space="0" w:color="FFFFFF"/>
            </w:tcBorders>
            <w:shd w:val="clear" w:color="auto" w:fill="002060"/>
            <w:vAlign w:val="center"/>
          </w:tcPr>
          <w:p w14:paraId="1281BD0F" w14:textId="77777777" w:rsidR="00803AFC" w:rsidRPr="00842D79" w:rsidRDefault="00803AFC" w:rsidP="00E71CF7">
            <w:pPr>
              <w:spacing w:before="60" w:after="60"/>
              <w:jc w:val="center"/>
              <w:rPr>
                <w:b/>
                <w:sz w:val="18"/>
                <w:szCs w:val="18"/>
              </w:rPr>
            </w:pPr>
            <w:r>
              <w:rPr>
                <w:b/>
                <w:sz w:val="18"/>
                <w:szCs w:val="18"/>
              </w:rPr>
              <w:t>Liczba</w:t>
            </w:r>
          </w:p>
        </w:tc>
        <w:tc>
          <w:tcPr>
            <w:tcW w:w="1418" w:type="dxa"/>
            <w:tcBorders>
              <w:left w:val="single" w:sz="4" w:space="0" w:color="FFFFFF"/>
            </w:tcBorders>
            <w:shd w:val="clear" w:color="auto" w:fill="002060"/>
            <w:vAlign w:val="center"/>
          </w:tcPr>
          <w:p w14:paraId="163E963C" w14:textId="77777777" w:rsidR="00803AFC" w:rsidRPr="00842D79" w:rsidRDefault="00803AFC" w:rsidP="00E71CF7">
            <w:pPr>
              <w:spacing w:before="60" w:after="60"/>
              <w:jc w:val="center"/>
              <w:rPr>
                <w:b/>
                <w:sz w:val="18"/>
                <w:szCs w:val="18"/>
              </w:rPr>
            </w:pPr>
            <w:r>
              <w:rPr>
                <w:b/>
                <w:sz w:val="18"/>
                <w:szCs w:val="18"/>
              </w:rPr>
              <w:t>Odsetek</w:t>
            </w:r>
          </w:p>
        </w:tc>
      </w:tr>
      <w:tr w:rsidR="00E71CF7" w:rsidRPr="00842D79" w14:paraId="07D4E86B" w14:textId="77777777" w:rsidTr="00E71CF7">
        <w:tc>
          <w:tcPr>
            <w:tcW w:w="4116" w:type="dxa"/>
            <w:tcBorders>
              <w:right w:val="single" w:sz="4" w:space="0" w:color="FFFFFF"/>
            </w:tcBorders>
            <w:shd w:val="clear" w:color="auto" w:fill="auto"/>
          </w:tcPr>
          <w:p w14:paraId="40068344" w14:textId="58A8FD7E" w:rsidR="00E71CF7" w:rsidRPr="00E71CF7" w:rsidRDefault="00E71CF7" w:rsidP="00E71CF7">
            <w:pPr>
              <w:autoSpaceDE w:val="0"/>
              <w:autoSpaceDN w:val="0"/>
              <w:adjustRightInd w:val="0"/>
              <w:spacing w:before="60" w:after="60"/>
              <w:jc w:val="left"/>
              <w:rPr>
                <w:color w:val="000000"/>
                <w:sz w:val="18"/>
                <w:szCs w:val="18"/>
              </w:rPr>
            </w:pPr>
            <w:r w:rsidRPr="00E71CF7">
              <w:rPr>
                <w:rFonts w:cs="Arial"/>
                <w:sz w:val="18"/>
                <w:szCs w:val="18"/>
              </w:rPr>
              <w:t xml:space="preserve">Uchylenie zakazu </w:t>
            </w:r>
          </w:p>
        </w:tc>
        <w:tc>
          <w:tcPr>
            <w:tcW w:w="1417" w:type="dxa"/>
            <w:tcBorders>
              <w:left w:val="single" w:sz="4" w:space="0" w:color="FFFFFF"/>
            </w:tcBorders>
            <w:shd w:val="clear" w:color="auto" w:fill="auto"/>
            <w:vAlign w:val="center"/>
          </w:tcPr>
          <w:p w14:paraId="54E69FE5" w14:textId="4D60B2A8"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11</w:t>
            </w:r>
          </w:p>
        </w:tc>
        <w:tc>
          <w:tcPr>
            <w:tcW w:w="1418" w:type="dxa"/>
            <w:tcBorders>
              <w:left w:val="single" w:sz="4" w:space="0" w:color="FFFFFF"/>
            </w:tcBorders>
            <w:shd w:val="clear" w:color="auto" w:fill="auto"/>
            <w:vAlign w:val="center"/>
          </w:tcPr>
          <w:p w14:paraId="2E90E604" w14:textId="0ED0B158"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22%</w:t>
            </w:r>
          </w:p>
        </w:tc>
      </w:tr>
      <w:tr w:rsidR="00E71CF7" w:rsidRPr="00842D79" w14:paraId="77083B6B" w14:textId="77777777" w:rsidTr="00E71CF7">
        <w:tc>
          <w:tcPr>
            <w:tcW w:w="4116" w:type="dxa"/>
            <w:tcBorders>
              <w:right w:val="single" w:sz="4" w:space="0" w:color="FFFFFF"/>
            </w:tcBorders>
            <w:shd w:val="clear" w:color="auto" w:fill="00B0F0"/>
          </w:tcPr>
          <w:p w14:paraId="0DE516DC" w14:textId="77302AE6" w:rsidR="00E71CF7" w:rsidRPr="00E71CF7" w:rsidRDefault="00E71CF7" w:rsidP="00E71CF7">
            <w:pPr>
              <w:autoSpaceDE w:val="0"/>
              <w:autoSpaceDN w:val="0"/>
              <w:adjustRightInd w:val="0"/>
              <w:spacing w:before="60" w:after="60"/>
              <w:jc w:val="left"/>
              <w:rPr>
                <w:color w:val="000000"/>
                <w:sz w:val="18"/>
                <w:szCs w:val="18"/>
              </w:rPr>
            </w:pPr>
            <w:r w:rsidRPr="00E71CF7">
              <w:rPr>
                <w:rFonts w:cs="Arial"/>
                <w:sz w:val="18"/>
                <w:szCs w:val="18"/>
              </w:rPr>
              <w:t xml:space="preserve">Odmowa uchylenia zakazu </w:t>
            </w:r>
          </w:p>
        </w:tc>
        <w:tc>
          <w:tcPr>
            <w:tcW w:w="1417" w:type="dxa"/>
            <w:tcBorders>
              <w:left w:val="single" w:sz="4" w:space="0" w:color="FFFFFF"/>
            </w:tcBorders>
            <w:shd w:val="clear" w:color="auto" w:fill="00B0F0"/>
            <w:vAlign w:val="center"/>
          </w:tcPr>
          <w:p w14:paraId="28AA9C10" w14:textId="7D222478"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25</w:t>
            </w:r>
          </w:p>
        </w:tc>
        <w:tc>
          <w:tcPr>
            <w:tcW w:w="1418" w:type="dxa"/>
            <w:tcBorders>
              <w:left w:val="single" w:sz="4" w:space="0" w:color="FFFFFF"/>
            </w:tcBorders>
            <w:shd w:val="clear" w:color="auto" w:fill="00B0F0"/>
            <w:vAlign w:val="center"/>
          </w:tcPr>
          <w:p w14:paraId="3431D6BF" w14:textId="5EEB789C"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51%</w:t>
            </w:r>
          </w:p>
        </w:tc>
      </w:tr>
      <w:tr w:rsidR="00E71CF7" w:rsidRPr="00842D79" w14:paraId="603DAB7E" w14:textId="77777777" w:rsidTr="00E71CF7">
        <w:tc>
          <w:tcPr>
            <w:tcW w:w="4116" w:type="dxa"/>
            <w:tcBorders>
              <w:right w:val="single" w:sz="4" w:space="0" w:color="FFFFFF"/>
            </w:tcBorders>
            <w:shd w:val="clear" w:color="auto" w:fill="auto"/>
          </w:tcPr>
          <w:p w14:paraId="11DC7681" w14:textId="0A7EEF36" w:rsidR="00E71CF7" w:rsidRPr="00E71CF7" w:rsidRDefault="00E71CF7" w:rsidP="00E71CF7">
            <w:pPr>
              <w:autoSpaceDE w:val="0"/>
              <w:autoSpaceDN w:val="0"/>
              <w:adjustRightInd w:val="0"/>
              <w:spacing w:before="60" w:after="60"/>
              <w:jc w:val="left"/>
              <w:rPr>
                <w:color w:val="000000"/>
                <w:sz w:val="18"/>
                <w:szCs w:val="18"/>
              </w:rPr>
            </w:pPr>
            <w:r w:rsidRPr="00E71CF7">
              <w:rPr>
                <w:rFonts w:cs="Arial"/>
                <w:sz w:val="18"/>
                <w:szCs w:val="18"/>
              </w:rPr>
              <w:t>Umorzenie postępowania</w:t>
            </w:r>
          </w:p>
        </w:tc>
        <w:tc>
          <w:tcPr>
            <w:tcW w:w="1417" w:type="dxa"/>
            <w:tcBorders>
              <w:left w:val="single" w:sz="4" w:space="0" w:color="FFFFFF"/>
            </w:tcBorders>
            <w:shd w:val="clear" w:color="auto" w:fill="auto"/>
            <w:vAlign w:val="center"/>
          </w:tcPr>
          <w:p w14:paraId="51BAE570" w14:textId="4EE7F8DA"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13</w:t>
            </w:r>
          </w:p>
        </w:tc>
        <w:tc>
          <w:tcPr>
            <w:tcW w:w="1418" w:type="dxa"/>
            <w:tcBorders>
              <w:left w:val="single" w:sz="4" w:space="0" w:color="FFFFFF"/>
            </w:tcBorders>
            <w:shd w:val="clear" w:color="auto" w:fill="auto"/>
            <w:vAlign w:val="center"/>
          </w:tcPr>
          <w:p w14:paraId="0A00EAD5" w14:textId="7D1316F8" w:rsidR="00E71CF7" w:rsidRPr="00E71CF7" w:rsidRDefault="00E71CF7" w:rsidP="00E71CF7">
            <w:pPr>
              <w:autoSpaceDE w:val="0"/>
              <w:autoSpaceDN w:val="0"/>
              <w:adjustRightInd w:val="0"/>
              <w:spacing w:before="60" w:after="60"/>
              <w:jc w:val="center"/>
              <w:rPr>
                <w:color w:val="000000"/>
                <w:sz w:val="18"/>
                <w:szCs w:val="18"/>
              </w:rPr>
            </w:pPr>
            <w:r w:rsidRPr="00E71CF7">
              <w:rPr>
                <w:rFonts w:cs="Arial"/>
                <w:sz w:val="18"/>
                <w:szCs w:val="18"/>
              </w:rPr>
              <w:t>27%</w:t>
            </w:r>
          </w:p>
        </w:tc>
      </w:tr>
    </w:tbl>
    <w:p w14:paraId="7360E5E9" w14:textId="676102F8" w:rsidR="00614461" w:rsidRDefault="00614461" w:rsidP="00F058DB"/>
    <w:p w14:paraId="7BDDE99C" w14:textId="3BF34A81" w:rsidR="00B86071" w:rsidRPr="00B86071" w:rsidRDefault="00B86071" w:rsidP="00B86071">
      <w:r w:rsidRPr="00B86071">
        <w:t>Dla porównania w 2021 r. do KIO wpłynęło 110 wniosków o uchylenie zakazu zawarcia umowy, a 112 zostało rozpatrzonych. Rozstrzygnięcia w przedmiocie złożonych wniosków przedstawiały się następująco: w 63 przypadkach (56%) odmówiono uchylenia zakazu, w</w:t>
      </w:r>
      <w:r w:rsidR="009343A1">
        <w:t xml:space="preserve"> </w:t>
      </w:r>
      <w:r w:rsidRPr="00B86071">
        <w:t>38</w:t>
      </w:r>
      <w:r w:rsidR="009343A1">
        <w:t xml:space="preserve"> </w:t>
      </w:r>
      <w:r w:rsidRPr="00B86071">
        <w:t xml:space="preserve">przypadkach (34%) uchylono zakaz, a w 11 (10%) umorzono postępowanie. </w:t>
      </w:r>
    </w:p>
    <w:p w14:paraId="7FFDB568" w14:textId="77777777" w:rsidR="00614461" w:rsidRPr="00135BCA" w:rsidRDefault="00614461" w:rsidP="00F058DB"/>
    <w:p w14:paraId="50AAEB6A" w14:textId="77777777" w:rsidR="00CE2EDA" w:rsidRPr="00135BCA" w:rsidRDefault="00CE2EDA" w:rsidP="00F058D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CE2EDA" w:rsidRPr="001E7D51" w14:paraId="2863D6A3" w14:textId="77777777" w:rsidTr="00EA2D4D">
        <w:trPr>
          <w:cantSplit/>
        </w:trPr>
        <w:tc>
          <w:tcPr>
            <w:tcW w:w="236" w:type="dxa"/>
            <w:shd w:val="clear" w:color="auto" w:fill="B8CCE4"/>
          </w:tcPr>
          <w:p w14:paraId="48162922" w14:textId="77777777" w:rsidR="00CE2EDA" w:rsidRPr="001E7D51" w:rsidRDefault="00CE2EDA" w:rsidP="00F058DB">
            <w:pPr>
              <w:rPr>
                <w:sz w:val="24"/>
              </w:rPr>
            </w:pPr>
          </w:p>
        </w:tc>
        <w:tc>
          <w:tcPr>
            <w:tcW w:w="8676" w:type="dxa"/>
          </w:tcPr>
          <w:p w14:paraId="1534DF36" w14:textId="418948BC" w:rsidR="00CE2EDA" w:rsidRPr="00BD7BF4" w:rsidRDefault="00CE2EDA" w:rsidP="00720F99">
            <w:pPr>
              <w:pStyle w:val="Nagwek3"/>
              <w:shd w:val="clear" w:color="auto" w:fill="FFFFFF"/>
              <w:spacing w:after="120"/>
              <w:ind w:left="737" w:hanging="737"/>
              <w:rPr>
                <w:color w:val="0070C0"/>
                <w:sz w:val="24"/>
                <w:szCs w:val="24"/>
              </w:rPr>
            </w:pPr>
            <w:bookmarkStart w:id="252" w:name="_Toc64451891"/>
            <w:bookmarkStart w:id="253" w:name="_Toc141276468"/>
            <w:r w:rsidRPr="00BD7BF4">
              <w:rPr>
                <w:color w:val="0070C0"/>
                <w:sz w:val="24"/>
                <w:szCs w:val="24"/>
              </w:rPr>
              <w:t>III.</w:t>
            </w:r>
            <w:r w:rsidR="00445B52" w:rsidRPr="00BD7BF4">
              <w:rPr>
                <w:color w:val="0070C0"/>
                <w:sz w:val="24"/>
                <w:szCs w:val="24"/>
              </w:rPr>
              <w:t>3</w:t>
            </w:r>
            <w:r w:rsidRPr="00BD7BF4">
              <w:rPr>
                <w:color w:val="0070C0"/>
                <w:sz w:val="24"/>
                <w:szCs w:val="24"/>
              </w:rPr>
              <w:t>.</w:t>
            </w:r>
            <w:r w:rsidR="001B49EC" w:rsidRPr="00BD7BF4">
              <w:rPr>
                <w:color w:val="0070C0"/>
                <w:sz w:val="24"/>
                <w:szCs w:val="24"/>
              </w:rPr>
              <w:t xml:space="preserve">3. </w:t>
            </w:r>
            <w:r w:rsidR="00170157" w:rsidRPr="00BD7BF4">
              <w:rPr>
                <w:color w:val="0070C0"/>
                <w:sz w:val="24"/>
                <w:szCs w:val="24"/>
              </w:rPr>
              <w:t xml:space="preserve">Opinie </w:t>
            </w:r>
            <w:r w:rsidR="00E6663C" w:rsidRPr="00BD7BF4">
              <w:rPr>
                <w:color w:val="0070C0"/>
                <w:sz w:val="24"/>
                <w:szCs w:val="24"/>
              </w:rPr>
              <w:t xml:space="preserve">w sprawach </w:t>
            </w:r>
            <w:r w:rsidR="00170157" w:rsidRPr="00BD7BF4">
              <w:rPr>
                <w:color w:val="0070C0"/>
                <w:sz w:val="24"/>
                <w:szCs w:val="24"/>
              </w:rPr>
              <w:t>zastrzeżeń do wyniku kontroli</w:t>
            </w:r>
            <w:bookmarkEnd w:id="252"/>
            <w:r w:rsidR="00550659" w:rsidRPr="00BD7BF4">
              <w:rPr>
                <w:color w:val="0070C0"/>
                <w:sz w:val="24"/>
                <w:szCs w:val="24"/>
              </w:rPr>
              <w:t xml:space="preserve"> Prezesa Urzędu</w:t>
            </w:r>
            <w:bookmarkEnd w:id="253"/>
          </w:p>
        </w:tc>
      </w:tr>
    </w:tbl>
    <w:p w14:paraId="192DF1A6" w14:textId="77777777" w:rsidR="00135BCA" w:rsidRDefault="00135BCA" w:rsidP="007D4DEB"/>
    <w:p w14:paraId="513F6FE9" w14:textId="607FCAD5" w:rsidR="00B86071" w:rsidRPr="00B86071" w:rsidRDefault="00B86071" w:rsidP="00B86071">
      <w:pPr>
        <w:rPr>
          <w:rFonts w:cs="Arial"/>
        </w:rPr>
      </w:pPr>
      <w:r w:rsidRPr="00B86071">
        <w:rPr>
          <w:rFonts w:cs="Arial"/>
        </w:rPr>
        <w:t>W 2022 roku do KIO wpłynęło 37 zastrzeżeń do wyników kontroli Prezesa UZP. Wydano 35 uchwał (pozostałe zastrzeżenia zostały rozpatrzone już w 2023 r.) Sposób rozpatrzenia zgłaszanych zas</w:t>
      </w:r>
      <w:r w:rsidR="00A74AB3">
        <w:rPr>
          <w:rFonts w:cs="Arial"/>
        </w:rPr>
        <w:t>trzeżeń obrazuje tabela poniżej.</w:t>
      </w:r>
    </w:p>
    <w:p w14:paraId="221EBAD8" w14:textId="01C61392" w:rsidR="00F431B2" w:rsidRDefault="00F431B2" w:rsidP="00F058DB">
      <w:pPr>
        <w:rPr>
          <w:rFonts w:cs="Arial"/>
        </w:rPr>
      </w:pPr>
    </w:p>
    <w:p w14:paraId="12679EC8" w14:textId="74258CB2" w:rsidR="00720F99" w:rsidRDefault="00720F99" w:rsidP="00720F99">
      <w:pPr>
        <w:pStyle w:val="Legenda"/>
      </w:pPr>
      <w:bookmarkStart w:id="254" w:name="_Toc141276571"/>
      <w:r w:rsidRPr="00CA4F13">
        <w:t xml:space="preserve">Tab. </w:t>
      </w:r>
      <w:r w:rsidR="00BE2079">
        <w:fldChar w:fldCharType="begin"/>
      </w:r>
      <w:r w:rsidR="00BE2079">
        <w:instrText xml:space="preserve"> SEQ Tab. \* ARABIC </w:instrText>
      </w:r>
      <w:r w:rsidR="00BE2079">
        <w:fldChar w:fldCharType="separate"/>
      </w:r>
      <w:r w:rsidR="00A43C68">
        <w:rPr>
          <w:noProof/>
        </w:rPr>
        <w:t>64</w:t>
      </w:r>
      <w:r w:rsidR="00BE2079">
        <w:rPr>
          <w:noProof/>
        </w:rPr>
        <w:fldChar w:fldCharType="end"/>
      </w:r>
      <w:r w:rsidRPr="00CA4F13">
        <w:t xml:space="preserve">. </w:t>
      </w:r>
      <w:r w:rsidR="00D835A0">
        <w:t xml:space="preserve">Sposób rozpatrzenia zastrzeżeń </w:t>
      </w:r>
      <w:r w:rsidR="00D835A0" w:rsidRPr="00D835A0">
        <w:t>do wyników kontroli Prezesa UZP</w:t>
      </w:r>
      <w:bookmarkEnd w:id="254"/>
    </w:p>
    <w:tbl>
      <w:tblPr>
        <w:tblStyle w:val="Tabela-Siatka"/>
        <w:tblW w:w="9214" w:type="dxa"/>
        <w:tblInd w:w="-5" w:type="dxa"/>
        <w:tblLayout w:type="fixed"/>
        <w:tblLook w:val="01E0" w:firstRow="1" w:lastRow="1" w:firstColumn="1" w:lastColumn="1" w:noHBand="0" w:noVBand="0"/>
      </w:tblPr>
      <w:tblGrid>
        <w:gridCol w:w="2552"/>
        <w:gridCol w:w="1110"/>
        <w:gridCol w:w="1110"/>
        <w:gridCol w:w="1111"/>
        <w:gridCol w:w="1110"/>
        <w:gridCol w:w="1110"/>
        <w:gridCol w:w="1111"/>
      </w:tblGrid>
      <w:tr w:rsidR="00D835A0" w:rsidRPr="00D57537" w14:paraId="6E020FFB" w14:textId="77777777" w:rsidTr="00D57537">
        <w:trPr>
          <w:trHeight w:val="101"/>
          <w:tblHeader/>
        </w:trPr>
        <w:tc>
          <w:tcPr>
            <w:tcW w:w="255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C430824" w14:textId="618C8C98" w:rsidR="00D835A0" w:rsidRPr="00D57537" w:rsidRDefault="00D57537" w:rsidP="00D57537">
            <w:pPr>
              <w:spacing w:before="60" w:after="60"/>
              <w:jc w:val="center"/>
              <w:rPr>
                <w:rFonts w:cs="Arial"/>
                <w:b/>
                <w:sz w:val="18"/>
                <w:szCs w:val="18"/>
              </w:rPr>
            </w:pPr>
            <w:r w:rsidRPr="00D57537">
              <w:rPr>
                <w:rFonts w:cs="Arial"/>
                <w:b/>
                <w:sz w:val="18"/>
                <w:szCs w:val="18"/>
              </w:rPr>
              <w:t>Sposób rozpatrzenia zastrzeżeń</w:t>
            </w:r>
          </w:p>
        </w:tc>
        <w:tc>
          <w:tcPr>
            <w:tcW w:w="22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D510BDF" w14:textId="068D498F" w:rsidR="00D835A0" w:rsidRPr="00D57537" w:rsidRDefault="00D57537" w:rsidP="00D57537">
            <w:pPr>
              <w:spacing w:before="60" w:after="60"/>
              <w:jc w:val="center"/>
              <w:rPr>
                <w:rFonts w:cs="Arial"/>
                <w:b/>
                <w:sz w:val="18"/>
                <w:szCs w:val="18"/>
              </w:rPr>
            </w:pPr>
            <w:r w:rsidRPr="00D57537">
              <w:rPr>
                <w:rFonts w:cs="Arial"/>
                <w:b/>
                <w:sz w:val="18"/>
                <w:szCs w:val="18"/>
              </w:rPr>
              <w:t>Kontrola doraźna</w:t>
            </w:r>
          </w:p>
        </w:tc>
        <w:tc>
          <w:tcPr>
            <w:tcW w:w="22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29C1144" w14:textId="3237710A" w:rsidR="00D835A0" w:rsidRPr="00D57537" w:rsidRDefault="00D57537" w:rsidP="00D57537">
            <w:pPr>
              <w:spacing w:before="60" w:after="60"/>
              <w:jc w:val="center"/>
              <w:rPr>
                <w:rFonts w:cs="Arial"/>
                <w:b/>
                <w:sz w:val="18"/>
                <w:szCs w:val="18"/>
              </w:rPr>
            </w:pPr>
            <w:r w:rsidRPr="00D57537">
              <w:rPr>
                <w:rFonts w:cs="Arial"/>
                <w:b/>
                <w:sz w:val="18"/>
                <w:szCs w:val="18"/>
              </w:rPr>
              <w:t>Kontrola uprzednia</w:t>
            </w:r>
          </w:p>
        </w:tc>
        <w:tc>
          <w:tcPr>
            <w:tcW w:w="222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84F1C6B" w14:textId="56808ABD" w:rsidR="00D835A0" w:rsidRPr="00D57537" w:rsidRDefault="00D57537" w:rsidP="00D57537">
            <w:pPr>
              <w:spacing w:before="60" w:after="60"/>
              <w:jc w:val="center"/>
              <w:rPr>
                <w:rFonts w:cs="Arial"/>
                <w:b/>
                <w:sz w:val="18"/>
                <w:szCs w:val="18"/>
              </w:rPr>
            </w:pPr>
            <w:r w:rsidRPr="00D57537">
              <w:rPr>
                <w:rFonts w:cs="Arial"/>
                <w:b/>
                <w:sz w:val="18"/>
                <w:szCs w:val="18"/>
              </w:rPr>
              <w:t>Ogółem</w:t>
            </w:r>
          </w:p>
        </w:tc>
      </w:tr>
      <w:tr w:rsidR="00D57537" w:rsidRPr="00D57537" w14:paraId="365CB4D4" w14:textId="77777777" w:rsidTr="00D57537">
        <w:trPr>
          <w:trHeight w:val="44"/>
          <w:tblHeader/>
        </w:trPr>
        <w:tc>
          <w:tcPr>
            <w:tcW w:w="2552" w:type="dxa"/>
            <w:vMerge/>
            <w:tcBorders>
              <w:top w:val="single" w:sz="4" w:space="0" w:color="FFFFFF" w:themeColor="background1"/>
              <w:left w:val="single" w:sz="4" w:space="0" w:color="FFFFFF" w:themeColor="background1"/>
              <w:bottom w:val="nil"/>
              <w:right w:val="single" w:sz="4" w:space="0" w:color="FFFFFF" w:themeColor="background1"/>
            </w:tcBorders>
            <w:vAlign w:val="center"/>
          </w:tcPr>
          <w:p w14:paraId="602C0B97" w14:textId="77777777" w:rsidR="00D57537" w:rsidRPr="00D57537" w:rsidRDefault="00D57537" w:rsidP="00D57537">
            <w:pPr>
              <w:spacing w:before="60" w:after="60"/>
              <w:jc w:val="center"/>
              <w:rPr>
                <w:rFonts w:cs="Arial"/>
                <w:b/>
                <w:sz w:val="18"/>
                <w:szCs w:val="18"/>
              </w:rPr>
            </w:pP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14C57FFE" w14:textId="6EBD1053" w:rsidR="00D57537" w:rsidRPr="00D57537" w:rsidRDefault="00D57537" w:rsidP="00D57537">
            <w:pPr>
              <w:spacing w:before="60" w:after="60"/>
              <w:jc w:val="center"/>
              <w:rPr>
                <w:rFonts w:cs="Arial"/>
                <w:b/>
                <w:sz w:val="18"/>
                <w:szCs w:val="18"/>
              </w:rPr>
            </w:pPr>
            <w:r w:rsidRPr="00D57537">
              <w:rPr>
                <w:rFonts w:cs="Arial"/>
                <w:sz w:val="18"/>
                <w:szCs w:val="18"/>
              </w:rPr>
              <w:t>Liczba</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7CBE878" w14:textId="662832DE" w:rsidR="00D57537" w:rsidRPr="00D57537" w:rsidRDefault="00D57537" w:rsidP="00D57537">
            <w:pPr>
              <w:spacing w:before="60" w:after="60"/>
              <w:jc w:val="center"/>
              <w:rPr>
                <w:rFonts w:cs="Arial"/>
                <w:b/>
                <w:sz w:val="18"/>
                <w:szCs w:val="18"/>
              </w:rPr>
            </w:pPr>
            <w:r w:rsidRPr="00D57537">
              <w:rPr>
                <w:rFonts w:cs="Arial"/>
                <w:sz w:val="18"/>
                <w:szCs w:val="18"/>
              </w:rPr>
              <w:t>Odsetek</w:t>
            </w:r>
          </w:p>
        </w:tc>
        <w:tc>
          <w:tcPr>
            <w:tcW w:w="111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0BCC131E" w14:textId="6F87A724" w:rsidR="00D57537" w:rsidRPr="00D57537" w:rsidRDefault="00D57537" w:rsidP="00D57537">
            <w:pPr>
              <w:spacing w:before="60" w:after="60"/>
              <w:jc w:val="center"/>
              <w:rPr>
                <w:rFonts w:cs="Arial"/>
                <w:b/>
                <w:sz w:val="18"/>
                <w:szCs w:val="18"/>
              </w:rPr>
            </w:pPr>
            <w:r w:rsidRPr="00D57537">
              <w:rPr>
                <w:rFonts w:cs="Arial"/>
                <w:sz w:val="18"/>
                <w:szCs w:val="18"/>
              </w:rPr>
              <w:t>Liczba</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64A24272" w14:textId="42240710" w:rsidR="00D57537" w:rsidRPr="00D57537" w:rsidRDefault="00D57537" w:rsidP="00D57537">
            <w:pPr>
              <w:spacing w:before="60" w:after="60"/>
              <w:jc w:val="center"/>
              <w:rPr>
                <w:rFonts w:cs="Arial"/>
                <w:b/>
                <w:sz w:val="18"/>
                <w:szCs w:val="18"/>
              </w:rPr>
            </w:pPr>
            <w:r w:rsidRPr="00D57537">
              <w:rPr>
                <w:rFonts w:cs="Arial"/>
                <w:sz w:val="18"/>
                <w:szCs w:val="18"/>
              </w:rPr>
              <w:t>Odsetek</w:t>
            </w:r>
          </w:p>
        </w:tc>
        <w:tc>
          <w:tcPr>
            <w:tcW w:w="1110"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3FDBFD2F" w14:textId="38F97362" w:rsidR="00D57537" w:rsidRPr="00D57537" w:rsidRDefault="00D57537" w:rsidP="00D57537">
            <w:pPr>
              <w:spacing w:before="60" w:after="60"/>
              <w:jc w:val="center"/>
              <w:rPr>
                <w:rFonts w:cs="Arial"/>
                <w:b/>
                <w:sz w:val="18"/>
                <w:szCs w:val="18"/>
              </w:rPr>
            </w:pPr>
            <w:r w:rsidRPr="00D57537">
              <w:rPr>
                <w:rFonts w:cs="Arial"/>
                <w:sz w:val="18"/>
                <w:szCs w:val="18"/>
              </w:rPr>
              <w:t>Liczba</w:t>
            </w:r>
          </w:p>
        </w:tc>
        <w:tc>
          <w:tcPr>
            <w:tcW w:w="1111" w:type="dxa"/>
            <w:tcBorders>
              <w:top w:val="single" w:sz="4" w:space="0" w:color="FFFFFF" w:themeColor="background1"/>
              <w:left w:val="single" w:sz="4" w:space="0" w:color="FFFFFF" w:themeColor="background1"/>
              <w:bottom w:val="nil"/>
              <w:right w:val="single" w:sz="4" w:space="0" w:color="FFFFFF" w:themeColor="background1"/>
            </w:tcBorders>
            <w:shd w:val="clear" w:color="auto" w:fill="002060"/>
            <w:vAlign w:val="center"/>
          </w:tcPr>
          <w:p w14:paraId="758CD1E2" w14:textId="54CC5157" w:rsidR="00D57537" w:rsidRPr="00D57537" w:rsidRDefault="00D57537" w:rsidP="00D57537">
            <w:pPr>
              <w:spacing w:before="60" w:after="60"/>
              <w:jc w:val="center"/>
              <w:rPr>
                <w:rFonts w:cs="Arial"/>
                <w:b/>
                <w:sz w:val="18"/>
                <w:szCs w:val="18"/>
              </w:rPr>
            </w:pPr>
            <w:r w:rsidRPr="00D57537">
              <w:rPr>
                <w:rFonts w:cs="Arial"/>
                <w:sz w:val="18"/>
                <w:szCs w:val="18"/>
              </w:rPr>
              <w:t>Odsetek</w:t>
            </w:r>
          </w:p>
        </w:tc>
      </w:tr>
      <w:tr w:rsidR="00D57537" w:rsidRPr="00D57537" w14:paraId="1B609417" w14:textId="77777777" w:rsidTr="00D57537">
        <w:trPr>
          <w:trHeight w:val="44"/>
        </w:trPr>
        <w:tc>
          <w:tcPr>
            <w:tcW w:w="2552" w:type="dxa"/>
            <w:tcBorders>
              <w:top w:val="nil"/>
              <w:left w:val="nil"/>
              <w:bottom w:val="nil"/>
              <w:right w:val="single" w:sz="4" w:space="0" w:color="FFFFFF" w:themeColor="background1"/>
            </w:tcBorders>
            <w:vAlign w:val="center"/>
          </w:tcPr>
          <w:p w14:paraId="1D91E7E2" w14:textId="413F7DC4" w:rsidR="00D57537" w:rsidRPr="00D57537" w:rsidRDefault="00D57537" w:rsidP="00D57537">
            <w:pPr>
              <w:spacing w:before="60" w:after="60"/>
              <w:jc w:val="left"/>
              <w:rPr>
                <w:rFonts w:cs="Arial"/>
                <w:bCs/>
                <w:sz w:val="18"/>
                <w:szCs w:val="18"/>
              </w:rPr>
            </w:pPr>
            <w:r w:rsidRPr="00D57537">
              <w:rPr>
                <w:rFonts w:cs="Arial"/>
                <w:sz w:val="18"/>
                <w:szCs w:val="18"/>
              </w:rPr>
              <w:t>Nieuwzględnione</w:t>
            </w:r>
          </w:p>
        </w:tc>
        <w:tc>
          <w:tcPr>
            <w:tcW w:w="1110" w:type="dxa"/>
            <w:tcBorders>
              <w:top w:val="nil"/>
              <w:left w:val="single" w:sz="4" w:space="0" w:color="FFFFFF" w:themeColor="background1"/>
              <w:bottom w:val="nil"/>
              <w:right w:val="single" w:sz="4" w:space="0" w:color="FFFFFF" w:themeColor="background1"/>
            </w:tcBorders>
            <w:vAlign w:val="center"/>
          </w:tcPr>
          <w:p w14:paraId="01798BCB" w14:textId="5B739E05" w:rsidR="00D57537" w:rsidRPr="00D57537" w:rsidRDefault="00D57537" w:rsidP="00D57537">
            <w:pPr>
              <w:spacing w:before="60" w:after="60"/>
              <w:jc w:val="center"/>
              <w:rPr>
                <w:rFonts w:cs="Arial"/>
                <w:sz w:val="18"/>
                <w:szCs w:val="18"/>
              </w:rPr>
            </w:pPr>
            <w:r w:rsidRPr="00D57537">
              <w:rPr>
                <w:rFonts w:cs="Arial"/>
                <w:sz w:val="18"/>
                <w:szCs w:val="18"/>
              </w:rPr>
              <w:t>22</w:t>
            </w:r>
          </w:p>
        </w:tc>
        <w:tc>
          <w:tcPr>
            <w:tcW w:w="1110" w:type="dxa"/>
            <w:tcBorders>
              <w:top w:val="nil"/>
              <w:left w:val="single" w:sz="4" w:space="0" w:color="FFFFFF" w:themeColor="background1"/>
              <w:bottom w:val="nil"/>
              <w:right w:val="single" w:sz="4" w:space="0" w:color="FFFFFF" w:themeColor="background1"/>
            </w:tcBorders>
            <w:vAlign w:val="center"/>
          </w:tcPr>
          <w:p w14:paraId="2EF49130" w14:textId="7D8214DB" w:rsidR="00D57537" w:rsidRPr="00D57537" w:rsidRDefault="00D57537" w:rsidP="00D57537">
            <w:pPr>
              <w:spacing w:before="60" w:after="60"/>
              <w:jc w:val="center"/>
              <w:rPr>
                <w:rFonts w:cs="Arial"/>
                <w:sz w:val="18"/>
                <w:szCs w:val="18"/>
              </w:rPr>
            </w:pPr>
            <w:r w:rsidRPr="00D57537">
              <w:rPr>
                <w:rFonts w:cs="Arial"/>
                <w:sz w:val="18"/>
                <w:szCs w:val="18"/>
              </w:rPr>
              <w:t>63%</w:t>
            </w:r>
          </w:p>
        </w:tc>
        <w:tc>
          <w:tcPr>
            <w:tcW w:w="1111" w:type="dxa"/>
            <w:tcBorders>
              <w:top w:val="nil"/>
              <w:left w:val="single" w:sz="4" w:space="0" w:color="FFFFFF" w:themeColor="background1"/>
              <w:bottom w:val="nil"/>
              <w:right w:val="nil"/>
            </w:tcBorders>
            <w:vAlign w:val="center"/>
          </w:tcPr>
          <w:p w14:paraId="025FEF28" w14:textId="02671D1C" w:rsidR="00D57537" w:rsidRPr="00D57537" w:rsidRDefault="00D57537" w:rsidP="00D57537">
            <w:pPr>
              <w:spacing w:before="60" w:after="60"/>
              <w:jc w:val="center"/>
              <w:rPr>
                <w:rFonts w:cs="Arial"/>
                <w:bCs/>
                <w:sz w:val="18"/>
                <w:szCs w:val="18"/>
              </w:rPr>
            </w:pPr>
            <w:r w:rsidRPr="00D57537">
              <w:rPr>
                <w:rFonts w:cs="Arial"/>
                <w:sz w:val="18"/>
                <w:szCs w:val="18"/>
              </w:rPr>
              <w:t>5</w:t>
            </w:r>
          </w:p>
        </w:tc>
        <w:tc>
          <w:tcPr>
            <w:tcW w:w="1110" w:type="dxa"/>
            <w:tcBorders>
              <w:top w:val="nil"/>
              <w:left w:val="single" w:sz="4" w:space="0" w:color="FFFFFF" w:themeColor="background1"/>
              <w:bottom w:val="nil"/>
              <w:right w:val="single" w:sz="4" w:space="0" w:color="FFFFFF" w:themeColor="background1"/>
            </w:tcBorders>
            <w:vAlign w:val="center"/>
          </w:tcPr>
          <w:p w14:paraId="3B3CD60E" w14:textId="48D45EEA" w:rsidR="00D57537" w:rsidRPr="00D57537" w:rsidRDefault="00D57537" w:rsidP="00D57537">
            <w:pPr>
              <w:spacing w:before="60" w:after="60"/>
              <w:jc w:val="center"/>
              <w:rPr>
                <w:rFonts w:cs="Arial"/>
                <w:bCs/>
                <w:sz w:val="18"/>
                <w:szCs w:val="18"/>
              </w:rPr>
            </w:pPr>
            <w:r w:rsidRPr="00D57537">
              <w:rPr>
                <w:rFonts w:cs="Arial"/>
                <w:sz w:val="18"/>
                <w:szCs w:val="18"/>
              </w:rPr>
              <w:t>14%</w:t>
            </w:r>
          </w:p>
        </w:tc>
        <w:tc>
          <w:tcPr>
            <w:tcW w:w="1110" w:type="dxa"/>
            <w:tcBorders>
              <w:top w:val="nil"/>
              <w:left w:val="single" w:sz="4" w:space="0" w:color="FFFFFF" w:themeColor="background1"/>
              <w:bottom w:val="nil"/>
              <w:right w:val="single" w:sz="4" w:space="0" w:color="FFFFFF" w:themeColor="background1"/>
            </w:tcBorders>
            <w:vAlign w:val="center"/>
          </w:tcPr>
          <w:p w14:paraId="27EC9F05" w14:textId="164A0324" w:rsidR="00D57537" w:rsidRPr="00D57537" w:rsidRDefault="00D57537" w:rsidP="00D57537">
            <w:pPr>
              <w:spacing w:before="60" w:after="60"/>
              <w:jc w:val="center"/>
              <w:rPr>
                <w:rFonts w:cs="Arial"/>
                <w:bCs/>
                <w:sz w:val="18"/>
                <w:szCs w:val="18"/>
              </w:rPr>
            </w:pPr>
            <w:r w:rsidRPr="00D57537">
              <w:rPr>
                <w:rFonts w:cs="Arial"/>
                <w:sz w:val="18"/>
                <w:szCs w:val="18"/>
              </w:rPr>
              <w:t>27</w:t>
            </w:r>
          </w:p>
        </w:tc>
        <w:tc>
          <w:tcPr>
            <w:tcW w:w="1111" w:type="dxa"/>
            <w:tcBorders>
              <w:top w:val="nil"/>
              <w:left w:val="single" w:sz="4" w:space="0" w:color="FFFFFF" w:themeColor="background1"/>
              <w:bottom w:val="nil"/>
              <w:right w:val="nil"/>
            </w:tcBorders>
            <w:vAlign w:val="center"/>
          </w:tcPr>
          <w:p w14:paraId="3B9D44AE" w14:textId="3067352D" w:rsidR="00D57537" w:rsidRPr="00D57537" w:rsidRDefault="00D57537" w:rsidP="00D57537">
            <w:pPr>
              <w:spacing w:before="60" w:after="60"/>
              <w:jc w:val="center"/>
              <w:rPr>
                <w:rFonts w:cs="Arial"/>
                <w:bCs/>
                <w:sz w:val="18"/>
                <w:szCs w:val="18"/>
              </w:rPr>
            </w:pPr>
            <w:r w:rsidRPr="00D57537">
              <w:rPr>
                <w:rFonts w:cs="Arial"/>
                <w:sz w:val="18"/>
                <w:szCs w:val="18"/>
              </w:rPr>
              <w:t>77%</w:t>
            </w:r>
          </w:p>
        </w:tc>
      </w:tr>
      <w:tr w:rsidR="00D57537" w:rsidRPr="00D57537" w14:paraId="0C670C5B" w14:textId="77777777" w:rsidTr="00D57537">
        <w:trPr>
          <w:trHeight w:val="59"/>
        </w:trPr>
        <w:tc>
          <w:tcPr>
            <w:tcW w:w="2552" w:type="dxa"/>
            <w:tcBorders>
              <w:top w:val="nil"/>
              <w:left w:val="nil"/>
              <w:bottom w:val="nil"/>
              <w:right w:val="single" w:sz="4" w:space="0" w:color="FFFFFF" w:themeColor="background1"/>
            </w:tcBorders>
            <w:shd w:val="clear" w:color="auto" w:fill="00B0F0"/>
            <w:vAlign w:val="center"/>
          </w:tcPr>
          <w:p w14:paraId="631DF7C4" w14:textId="3BC89BC0" w:rsidR="00D57537" w:rsidRPr="00D57537" w:rsidRDefault="00D57537" w:rsidP="00D57537">
            <w:pPr>
              <w:spacing w:before="60" w:after="60"/>
              <w:jc w:val="left"/>
              <w:rPr>
                <w:rFonts w:cs="Arial"/>
                <w:bCs/>
                <w:sz w:val="18"/>
                <w:szCs w:val="18"/>
              </w:rPr>
            </w:pPr>
            <w:r w:rsidRPr="00D57537">
              <w:rPr>
                <w:rFonts w:cs="Arial"/>
                <w:sz w:val="18"/>
                <w:szCs w:val="18"/>
              </w:rPr>
              <w:t>Częściowo uwzględnione</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0FB70A00" w14:textId="026FC290" w:rsidR="00D57537" w:rsidRPr="00D57537" w:rsidRDefault="00D57537" w:rsidP="00D57537">
            <w:pPr>
              <w:spacing w:before="60" w:after="60"/>
              <w:jc w:val="center"/>
              <w:rPr>
                <w:rFonts w:cs="Arial"/>
                <w:sz w:val="18"/>
                <w:szCs w:val="18"/>
              </w:rPr>
            </w:pPr>
            <w:r w:rsidRPr="00D57537">
              <w:rPr>
                <w:rFonts w:cs="Arial"/>
                <w:sz w:val="18"/>
                <w:szCs w:val="18"/>
              </w:rPr>
              <w:t>3</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7C0755C6" w14:textId="1487BF2B" w:rsidR="00D57537" w:rsidRPr="00D57537" w:rsidRDefault="00D57537" w:rsidP="00D57537">
            <w:pPr>
              <w:spacing w:before="60" w:after="60"/>
              <w:jc w:val="center"/>
              <w:rPr>
                <w:rFonts w:cs="Arial"/>
                <w:sz w:val="18"/>
                <w:szCs w:val="18"/>
              </w:rPr>
            </w:pPr>
            <w:r w:rsidRPr="00D57537">
              <w:rPr>
                <w:rFonts w:cs="Arial"/>
                <w:sz w:val="18"/>
                <w:szCs w:val="18"/>
              </w:rPr>
              <w:t>9%</w:t>
            </w:r>
          </w:p>
        </w:tc>
        <w:tc>
          <w:tcPr>
            <w:tcW w:w="1111" w:type="dxa"/>
            <w:tcBorders>
              <w:top w:val="nil"/>
              <w:left w:val="single" w:sz="4" w:space="0" w:color="FFFFFF" w:themeColor="background1"/>
              <w:bottom w:val="nil"/>
              <w:right w:val="nil"/>
            </w:tcBorders>
            <w:shd w:val="clear" w:color="auto" w:fill="00B0F0"/>
            <w:vAlign w:val="center"/>
          </w:tcPr>
          <w:p w14:paraId="02D16361" w14:textId="36BD9896" w:rsidR="00D57537" w:rsidRPr="00D57537" w:rsidRDefault="00D57537" w:rsidP="00D57537">
            <w:pPr>
              <w:spacing w:before="60" w:after="60"/>
              <w:jc w:val="center"/>
              <w:rPr>
                <w:rFonts w:cs="Arial"/>
                <w:bCs/>
                <w:sz w:val="18"/>
                <w:szCs w:val="18"/>
              </w:rPr>
            </w:pPr>
            <w:r w:rsidRPr="00D57537">
              <w:rPr>
                <w:rFonts w:cs="Arial"/>
                <w:sz w:val="18"/>
                <w:szCs w:val="18"/>
              </w:rPr>
              <w:t>2</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29055E90" w14:textId="2293734F" w:rsidR="00D57537" w:rsidRPr="00D57537" w:rsidRDefault="00D57537" w:rsidP="00D57537">
            <w:pPr>
              <w:spacing w:before="60" w:after="60"/>
              <w:jc w:val="center"/>
              <w:rPr>
                <w:rFonts w:cs="Arial"/>
                <w:bCs/>
                <w:sz w:val="18"/>
                <w:szCs w:val="18"/>
              </w:rPr>
            </w:pPr>
            <w:r w:rsidRPr="00D57537">
              <w:rPr>
                <w:rFonts w:cs="Arial"/>
                <w:sz w:val="18"/>
                <w:szCs w:val="18"/>
              </w:rPr>
              <w:t>6%</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4E0971FC" w14:textId="0DBB55C0" w:rsidR="00D57537" w:rsidRPr="00D57537" w:rsidRDefault="00D57537" w:rsidP="00D57537">
            <w:pPr>
              <w:spacing w:before="60" w:after="60"/>
              <w:jc w:val="center"/>
              <w:rPr>
                <w:rFonts w:cs="Arial"/>
                <w:bCs/>
                <w:sz w:val="18"/>
                <w:szCs w:val="18"/>
              </w:rPr>
            </w:pPr>
            <w:r w:rsidRPr="00D57537">
              <w:rPr>
                <w:rFonts w:cs="Arial"/>
                <w:sz w:val="18"/>
                <w:szCs w:val="18"/>
              </w:rPr>
              <w:t>5</w:t>
            </w:r>
          </w:p>
        </w:tc>
        <w:tc>
          <w:tcPr>
            <w:tcW w:w="1111" w:type="dxa"/>
            <w:tcBorders>
              <w:top w:val="nil"/>
              <w:left w:val="single" w:sz="4" w:space="0" w:color="FFFFFF" w:themeColor="background1"/>
              <w:bottom w:val="nil"/>
              <w:right w:val="nil"/>
            </w:tcBorders>
            <w:shd w:val="clear" w:color="auto" w:fill="00B0F0"/>
            <w:vAlign w:val="center"/>
          </w:tcPr>
          <w:p w14:paraId="5B66A8D0" w14:textId="66D55521" w:rsidR="00D57537" w:rsidRPr="00D57537" w:rsidRDefault="00D57537" w:rsidP="00D57537">
            <w:pPr>
              <w:spacing w:before="60" w:after="60"/>
              <w:jc w:val="center"/>
              <w:rPr>
                <w:rFonts w:cs="Arial"/>
                <w:bCs/>
                <w:sz w:val="18"/>
                <w:szCs w:val="18"/>
              </w:rPr>
            </w:pPr>
            <w:r w:rsidRPr="00D57537">
              <w:rPr>
                <w:rFonts w:cs="Arial"/>
                <w:sz w:val="18"/>
                <w:szCs w:val="18"/>
              </w:rPr>
              <w:t>15%</w:t>
            </w:r>
          </w:p>
        </w:tc>
      </w:tr>
      <w:tr w:rsidR="00D57537" w:rsidRPr="00D57537" w14:paraId="128684EE" w14:textId="77777777" w:rsidTr="00D57537">
        <w:trPr>
          <w:trHeight w:val="106"/>
        </w:trPr>
        <w:tc>
          <w:tcPr>
            <w:tcW w:w="2552" w:type="dxa"/>
            <w:tcBorders>
              <w:top w:val="nil"/>
              <w:left w:val="nil"/>
              <w:bottom w:val="nil"/>
              <w:right w:val="single" w:sz="4" w:space="0" w:color="FFFFFF" w:themeColor="background1"/>
            </w:tcBorders>
            <w:vAlign w:val="center"/>
          </w:tcPr>
          <w:p w14:paraId="6851BBE6" w14:textId="1A0BDC89" w:rsidR="00D57537" w:rsidRPr="00D57537" w:rsidRDefault="00D57537" w:rsidP="00D57537">
            <w:pPr>
              <w:spacing w:before="60" w:after="60"/>
              <w:jc w:val="left"/>
              <w:rPr>
                <w:rFonts w:cs="Arial"/>
                <w:bCs/>
                <w:sz w:val="18"/>
                <w:szCs w:val="18"/>
              </w:rPr>
            </w:pPr>
            <w:r w:rsidRPr="00D57537">
              <w:rPr>
                <w:rFonts w:cs="Arial"/>
                <w:sz w:val="18"/>
                <w:szCs w:val="18"/>
              </w:rPr>
              <w:t>Uwzględnione</w:t>
            </w:r>
          </w:p>
        </w:tc>
        <w:tc>
          <w:tcPr>
            <w:tcW w:w="1110" w:type="dxa"/>
            <w:tcBorders>
              <w:top w:val="nil"/>
              <w:left w:val="single" w:sz="4" w:space="0" w:color="FFFFFF" w:themeColor="background1"/>
              <w:bottom w:val="nil"/>
              <w:right w:val="single" w:sz="4" w:space="0" w:color="FFFFFF" w:themeColor="background1"/>
            </w:tcBorders>
            <w:vAlign w:val="center"/>
          </w:tcPr>
          <w:p w14:paraId="22A25347" w14:textId="212FBD8A" w:rsidR="00D57537" w:rsidRPr="00D57537" w:rsidRDefault="00D57537" w:rsidP="00D57537">
            <w:pPr>
              <w:spacing w:before="60" w:after="60"/>
              <w:jc w:val="center"/>
              <w:rPr>
                <w:rFonts w:cs="Arial"/>
                <w:sz w:val="18"/>
                <w:szCs w:val="18"/>
              </w:rPr>
            </w:pPr>
            <w:r w:rsidRPr="00D57537">
              <w:rPr>
                <w:rFonts w:cs="Arial"/>
                <w:sz w:val="18"/>
                <w:szCs w:val="18"/>
              </w:rPr>
              <w:t>2</w:t>
            </w:r>
          </w:p>
        </w:tc>
        <w:tc>
          <w:tcPr>
            <w:tcW w:w="1110" w:type="dxa"/>
            <w:tcBorders>
              <w:top w:val="nil"/>
              <w:left w:val="single" w:sz="4" w:space="0" w:color="FFFFFF" w:themeColor="background1"/>
              <w:bottom w:val="nil"/>
              <w:right w:val="single" w:sz="4" w:space="0" w:color="FFFFFF" w:themeColor="background1"/>
            </w:tcBorders>
            <w:vAlign w:val="center"/>
          </w:tcPr>
          <w:p w14:paraId="486193C6" w14:textId="3F8715D9" w:rsidR="00D57537" w:rsidRPr="00D57537" w:rsidRDefault="00D57537" w:rsidP="00D57537">
            <w:pPr>
              <w:spacing w:before="60" w:after="60"/>
              <w:jc w:val="center"/>
              <w:rPr>
                <w:rFonts w:cs="Arial"/>
                <w:sz w:val="18"/>
                <w:szCs w:val="18"/>
              </w:rPr>
            </w:pPr>
            <w:r w:rsidRPr="00D57537">
              <w:rPr>
                <w:rFonts w:cs="Arial"/>
                <w:sz w:val="18"/>
                <w:szCs w:val="18"/>
              </w:rPr>
              <w:t>6%</w:t>
            </w:r>
          </w:p>
        </w:tc>
        <w:tc>
          <w:tcPr>
            <w:tcW w:w="1111" w:type="dxa"/>
            <w:tcBorders>
              <w:top w:val="nil"/>
              <w:left w:val="single" w:sz="4" w:space="0" w:color="FFFFFF" w:themeColor="background1"/>
              <w:bottom w:val="nil"/>
              <w:right w:val="nil"/>
            </w:tcBorders>
            <w:vAlign w:val="center"/>
          </w:tcPr>
          <w:p w14:paraId="540558AB" w14:textId="3C5E00F2" w:rsidR="00D57537" w:rsidRPr="00D57537" w:rsidRDefault="00D57537" w:rsidP="00D57537">
            <w:pPr>
              <w:spacing w:before="60" w:after="60"/>
              <w:jc w:val="center"/>
              <w:rPr>
                <w:rFonts w:cs="Arial"/>
                <w:bCs/>
                <w:sz w:val="18"/>
                <w:szCs w:val="18"/>
              </w:rPr>
            </w:pPr>
            <w:r w:rsidRPr="00D57537">
              <w:rPr>
                <w:rFonts w:cs="Arial"/>
                <w:sz w:val="18"/>
                <w:szCs w:val="18"/>
              </w:rPr>
              <w:t>1</w:t>
            </w:r>
          </w:p>
        </w:tc>
        <w:tc>
          <w:tcPr>
            <w:tcW w:w="1110" w:type="dxa"/>
            <w:tcBorders>
              <w:top w:val="nil"/>
              <w:left w:val="single" w:sz="4" w:space="0" w:color="FFFFFF" w:themeColor="background1"/>
              <w:bottom w:val="nil"/>
              <w:right w:val="single" w:sz="4" w:space="0" w:color="FFFFFF" w:themeColor="background1"/>
            </w:tcBorders>
            <w:vAlign w:val="center"/>
          </w:tcPr>
          <w:p w14:paraId="432B9AEF" w14:textId="7D5718F4" w:rsidR="00D57537" w:rsidRPr="00D57537" w:rsidRDefault="00D57537" w:rsidP="00D57537">
            <w:pPr>
              <w:spacing w:before="60" w:after="60"/>
              <w:jc w:val="center"/>
              <w:rPr>
                <w:rFonts w:cs="Arial"/>
                <w:bCs/>
                <w:sz w:val="18"/>
                <w:szCs w:val="18"/>
              </w:rPr>
            </w:pPr>
            <w:r w:rsidRPr="00D57537">
              <w:rPr>
                <w:rFonts w:cs="Arial"/>
                <w:sz w:val="18"/>
                <w:szCs w:val="18"/>
              </w:rPr>
              <w:t>2%</w:t>
            </w:r>
          </w:p>
        </w:tc>
        <w:tc>
          <w:tcPr>
            <w:tcW w:w="1110" w:type="dxa"/>
            <w:tcBorders>
              <w:top w:val="nil"/>
              <w:left w:val="single" w:sz="4" w:space="0" w:color="FFFFFF" w:themeColor="background1"/>
              <w:bottom w:val="nil"/>
              <w:right w:val="single" w:sz="4" w:space="0" w:color="FFFFFF" w:themeColor="background1"/>
            </w:tcBorders>
            <w:vAlign w:val="center"/>
          </w:tcPr>
          <w:p w14:paraId="7AE3892E" w14:textId="11654F11" w:rsidR="00D57537" w:rsidRPr="00D57537" w:rsidRDefault="00D57537" w:rsidP="00D57537">
            <w:pPr>
              <w:spacing w:before="60" w:after="60"/>
              <w:jc w:val="center"/>
              <w:rPr>
                <w:rFonts w:cs="Arial"/>
                <w:bCs/>
                <w:sz w:val="18"/>
                <w:szCs w:val="18"/>
              </w:rPr>
            </w:pPr>
            <w:r w:rsidRPr="00D57537">
              <w:rPr>
                <w:rFonts w:cs="Arial"/>
                <w:sz w:val="18"/>
                <w:szCs w:val="18"/>
              </w:rPr>
              <w:t>3</w:t>
            </w:r>
          </w:p>
        </w:tc>
        <w:tc>
          <w:tcPr>
            <w:tcW w:w="1111" w:type="dxa"/>
            <w:tcBorders>
              <w:top w:val="nil"/>
              <w:left w:val="single" w:sz="4" w:space="0" w:color="FFFFFF" w:themeColor="background1"/>
              <w:bottom w:val="nil"/>
              <w:right w:val="nil"/>
            </w:tcBorders>
            <w:vAlign w:val="center"/>
          </w:tcPr>
          <w:p w14:paraId="0612990F" w14:textId="7696ED8E" w:rsidR="00D57537" w:rsidRPr="00D57537" w:rsidRDefault="00D57537" w:rsidP="00D57537">
            <w:pPr>
              <w:spacing w:before="60" w:after="60"/>
              <w:jc w:val="center"/>
              <w:rPr>
                <w:rFonts w:cs="Arial"/>
                <w:bCs/>
                <w:sz w:val="18"/>
                <w:szCs w:val="18"/>
              </w:rPr>
            </w:pPr>
            <w:r w:rsidRPr="00D57537">
              <w:rPr>
                <w:rFonts w:cs="Arial"/>
                <w:sz w:val="18"/>
                <w:szCs w:val="18"/>
              </w:rPr>
              <w:t>8%</w:t>
            </w:r>
          </w:p>
        </w:tc>
      </w:tr>
      <w:tr w:rsidR="00D57537" w:rsidRPr="00D57537" w14:paraId="70EF73B4" w14:textId="77777777" w:rsidTr="00D57537">
        <w:trPr>
          <w:trHeight w:val="151"/>
        </w:trPr>
        <w:tc>
          <w:tcPr>
            <w:tcW w:w="2552" w:type="dxa"/>
            <w:tcBorders>
              <w:top w:val="nil"/>
              <w:left w:val="nil"/>
              <w:bottom w:val="nil"/>
              <w:right w:val="single" w:sz="4" w:space="0" w:color="FFFFFF" w:themeColor="background1"/>
            </w:tcBorders>
            <w:shd w:val="clear" w:color="auto" w:fill="00B0F0"/>
            <w:vAlign w:val="center"/>
          </w:tcPr>
          <w:p w14:paraId="4DA665F1" w14:textId="541827B2" w:rsidR="00D57537" w:rsidRPr="00D57537" w:rsidRDefault="00D57537" w:rsidP="00D57537">
            <w:pPr>
              <w:spacing w:before="60" w:after="60"/>
              <w:jc w:val="center"/>
              <w:rPr>
                <w:rFonts w:cs="Arial"/>
                <w:bCs/>
                <w:sz w:val="18"/>
                <w:szCs w:val="18"/>
              </w:rPr>
            </w:pPr>
            <w:r w:rsidRPr="00D57537">
              <w:rPr>
                <w:rFonts w:cs="Arial"/>
                <w:sz w:val="18"/>
                <w:szCs w:val="18"/>
              </w:rPr>
              <w:t>Ogółem</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03A1B355" w14:textId="17244B23" w:rsidR="00D57537" w:rsidRPr="00D57537" w:rsidRDefault="00D57537" w:rsidP="00D57537">
            <w:pPr>
              <w:spacing w:before="60" w:after="60"/>
              <w:jc w:val="center"/>
              <w:rPr>
                <w:rFonts w:cs="Arial"/>
                <w:sz w:val="18"/>
                <w:szCs w:val="18"/>
              </w:rPr>
            </w:pPr>
            <w:r w:rsidRPr="00D57537">
              <w:rPr>
                <w:rFonts w:cs="Arial"/>
                <w:b/>
                <w:bCs/>
                <w:sz w:val="18"/>
                <w:szCs w:val="18"/>
              </w:rPr>
              <w:t>27</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6D69831E" w14:textId="66633C94" w:rsidR="00D57537" w:rsidRPr="00D57537" w:rsidRDefault="00D57537" w:rsidP="00D57537">
            <w:pPr>
              <w:spacing w:before="60" w:after="60"/>
              <w:jc w:val="center"/>
              <w:rPr>
                <w:rFonts w:cs="Arial"/>
                <w:sz w:val="18"/>
                <w:szCs w:val="18"/>
              </w:rPr>
            </w:pPr>
            <w:r w:rsidRPr="00D57537">
              <w:rPr>
                <w:rFonts w:cs="Arial"/>
                <w:b/>
                <w:bCs/>
                <w:sz w:val="18"/>
                <w:szCs w:val="18"/>
              </w:rPr>
              <w:t>78%</w:t>
            </w:r>
          </w:p>
        </w:tc>
        <w:tc>
          <w:tcPr>
            <w:tcW w:w="1111" w:type="dxa"/>
            <w:tcBorders>
              <w:top w:val="nil"/>
              <w:left w:val="single" w:sz="4" w:space="0" w:color="FFFFFF" w:themeColor="background1"/>
              <w:bottom w:val="nil"/>
              <w:right w:val="nil"/>
            </w:tcBorders>
            <w:shd w:val="clear" w:color="auto" w:fill="00B0F0"/>
            <w:vAlign w:val="center"/>
          </w:tcPr>
          <w:p w14:paraId="0FD5633C" w14:textId="0817E2D2" w:rsidR="00D57537" w:rsidRPr="00D57537" w:rsidRDefault="00D57537" w:rsidP="00D57537">
            <w:pPr>
              <w:spacing w:before="60" w:after="60"/>
              <w:jc w:val="center"/>
              <w:rPr>
                <w:rFonts w:cs="Arial"/>
                <w:bCs/>
                <w:sz w:val="18"/>
                <w:szCs w:val="18"/>
              </w:rPr>
            </w:pPr>
            <w:r w:rsidRPr="00D57537">
              <w:rPr>
                <w:rFonts w:cs="Arial"/>
                <w:b/>
                <w:bCs/>
                <w:sz w:val="18"/>
                <w:szCs w:val="18"/>
              </w:rPr>
              <w:t>8</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023EDBD1" w14:textId="176538BB" w:rsidR="00D57537" w:rsidRPr="00D57537" w:rsidRDefault="00D57537" w:rsidP="00D57537">
            <w:pPr>
              <w:spacing w:before="60" w:after="60"/>
              <w:jc w:val="center"/>
              <w:rPr>
                <w:rFonts w:cs="Arial"/>
                <w:bCs/>
                <w:sz w:val="18"/>
                <w:szCs w:val="18"/>
              </w:rPr>
            </w:pPr>
            <w:r w:rsidRPr="00D57537">
              <w:rPr>
                <w:rFonts w:cs="Arial"/>
                <w:b/>
                <w:bCs/>
                <w:sz w:val="18"/>
                <w:szCs w:val="18"/>
              </w:rPr>
              <w:t>22%</w:t>
            </w:r>
          </w:p>
        </w:tc>
        <w:tc>
          <w:tcPr>
            <w:tcW w:w="1110" w:type="dxa"/>
            <w:tcBorders>
              <w:top w:val="nil"/>
              <w:left w:val="single" w:sz="4" w:space="0" w:color="FFFFFF" w:themeColor="background1"/>
              <w:bottom w:val="nil"/>
              <w:right w:val="single" w:sz="4" w:space="0" w:color="FFFFFF" w:themeColor="background1"/>
            </w:tcBorders>
            <w:shd w:val="clear" w:color="auto" w:fill="00B0F0"/>
            <w:vAlign w:val="center"/>
          </w:tcPr>
          <w:p w14:paraId="4083A0C4" w14:textId="213E1861" w:rsidR="00D57537" w:rsidRPr="00D57537" w:rsidRDefault="00D57537" w:rsidP="00D57537">
            <w:pPr>
              <w:spacing w:before="60" w:after="60"/>
              <w:jc w:val="center"/>
              <w:rPr>
                <w:rFonts w:cs="Arial"/>
                <w:bCs/>
                <w:sz w:val="18"/>
                <w:szCs w:val="18"/>
              </w:rPr>
            </w:pPr>
            <w:r w:rsidRPr="00D57537">
              <w:rPr>
                <w:rFonts w:cs="Arial"/>
                <w:b/>
                <w:bCs/>
                <w:sz w:val="18"/>
                <w:szCs w:val="18"/>
              </w:rPr>
              <w:t>35</w:t>
            </w:r>
          </w:p>
        </w:tc>
        <w:tc>
          <w:tcPr>
            <w:tcW w:w="1111" w:type="dxa"/>
            <w:tcBorders>
              <w:top w:val="nil"/>
              <w:left w:val="single" w:sz="4" w:space="0" w:color="FFFFFF" w:themeColor="background1"/>
              <w:bottom w:val="nil"/>
              <w:right w:val="nil"/>
            </w:tcBorders>
            <w:shd w:val="clear" w:color="auto" w:fill="00B0F0"/>
            <w:vAlign w:val="center"/>
          </w:tcPr>
          <w:p w14:paraId="14BB4FC2" w14:textId="663A0EC9" w:rsidR="00D57537" w:rsidRPr="00D57537" w:rsidRDefault="00D57537" w:rsidP="00D57537">
            <w:pPr>
              <w:spacing w:before="60" w:after="60"/>
              <w:jc w:val="center"/>
              <w:rPr>
                <w:rFonts w:cs="Arial"/>
                <w:bCs/>
                <w:sz w:val="18"/>
                <w:szCs w:val="18"/>
              </w:rPr>
            </w:pPr>
            <w:r w:rsidRPr="00D57537">
              <w:rPr>
                <w:rFonts w:cs="Arial"/>
                <w:b/>
                <w:bCs/>
                <w:sz w:val="18"/>
                <w:szCs w:val="18"/>
              </w:rPr>
              <w:t>100%</w:t>
            </w:r>
          </w:p>
        </w:tc>
      </w:tr>
    </w:tbl>
    <w:p w14:paraId="04A3DFB8" w14:textId="1DCA3BAF" w:rsidR="0075726E" w:rsidRDefault="0075726E" w:rsidP="00F058DB">
      <w:pPr>
        <w:rPr>
          <w:rFonts w:cs="Arial"/>
        </w:rPr>
      </w:pPr>
    </w:p>
    <w:p w14:paraId="79E86027" w14:textId="77777777" w:rsidR="0075726E" w:rsidRPr="0075726E" w:rsidRDefault="0075726E" w:rsidP="0075726E">
      <w:pPr>
        <w:rPr>
          <w:rFonts w:cs="Arial"/>
        </w:rPr>
      </w:pPr>
      <w:r w:rsidRPr="0075726E">
        <w:rPr>
          <w:rFonts w:cs="Arial"/>
        </w:rPr>
        <w:t>Dla porównania w roku 2021 do KIO wpłynęło 26 zastrzeżeń do wyników kontroli Prezesa UZP i wydano 26 uchwał zawierające opinię w sprawie zastrzeżeń.</w:t>
      </w:r>
    </w:p>
    <w:p w14:paraId="726077FF" w14:textId="77777777" w:rsidR="0075726E" w:rsidRDefault="0075726E" w:rsidP="00F058DB">
      <w:pPr>
        <w:rPr>
          <w:rFonts w:cs="Arial"/>
        </w:rPr>
      </w:pPr>
    </w:p>
    <w:p w14:paraId="4B46A2B8" w14:textId="77777777" w:rsidR="00D74D54" w:rsidRDefault="00D74D54" w:rsidP="00F058DB">
      <w:pPr>
        <w:rPr>
          <w:rFonts w:cs="Arial"/>
        </w:rPr>
      </w:pPr>
    </w:p>
    <w:tbl>
      <w:tblPr>
        <w:tblW w:w="0" w:type="auto"/>
        <w:tblInd w:w="90" w:type="dxa"/>
        <w:tblLayout w:type="fixed"/>
        <w:tblLook w:val="04A0" w:firstRow="1" w:lastRow="0" w:firstColumn="1" w:lastColumn="0" w:noHBand="0" w:noVBand="1"/>
      </w:tblPr>
      <w:tblGrid>
        <w:gridCol w:w="236"/>
        <w:gridCol w:w="8960"/>
      </w:tblGrid>
      <w:tr w:rsidR="00F431B2" w14:paraId="66FEACA6" w14:textId="77777777" w:rsidTr="00831CD1">
        <w:trPr>
          <w:cantSplit/>
        </w:trPr>
        <w:tc>
          <w:tcPr>
            <w:tcW w:w="236" w:type="dxa"/>
            <w:shd w:val="clear" w:color="auto" w:fill="95B3D7"/>
          </w:tcPr>
          <w:p w14:paraId="1E07D445" w14:textId="77777777" w:rsidR="00F431B2" w:rsidRDefault="00F431B2" w:rsidP="00831CD1"/>
        </w:tc>
        <w:tc>
          <w:tcPr>
            <w:tcW w:w="8960" w:type="dxa"/>
          </w:tcPr>
          <w:p w14:paraId="2D671789" w14:textId="3C1EF83A" w:rsidR="00F431B2" w:rsidRPr="00E83CD3" w:rsidRDefault="00F431B2" w:rsidP="00831CD1">
            <w:pPr>
              <w:pStyle w:val="Nagwek2"/>
              <w:shd w:val="clear" w:color="auto" w:fill="FFFFFF"/>
              <w:spacing w:after="120"/>
              <w:ind w:left="624" w:hanging="624"/>
              <w:rPr>
                <w:noProof/>
                <w:color w:val="0070C0"/>
                <w:sz w:val="28"/>
              </w:rPr>
            </w:pPr>
            <w:bookmarkStart w:id="255" w:name="_Toc141276469"/>
            <w:r w:rsidRPr="00E83CD3">
              <w:rPr>
                <w:noProof/>
                <w:color w:val="0070C0"/>
                <w:sz w:val="28"/>
              </w:rPr>
              <w:t>III.4. Struktura organizacyjna i budżet Urzędu Zamówień Publicznych</w:t>
            </w:r>
            <w:bookmarkEnd w:id="255"/>
          </w:p>
        </w:tc>
      </w:tr>
    </w:tbl>
    <w:p w14:paraId="54E9741D" w14:textId="38882C7A" w:rsidR="00F431B2" w:rsidRDefault="00F431B2" w:rsidP="00F058DB">
      <w:pPr>
        <w:rPr>
          <w:rFonts w:cs="Arial"/>
        </w:rPr>
      </w:pPr>
    </w:p>
    <w:p w14:paraId="62C43863" w14:textId="43B6469C" w:rsidR="001B188E" w:rsidRPr="00E83CD3" w:rsidRDefault="001B188E" w:rsidP="00E16264">
      <w:pPr>
        <w:pStyle w:val="StylArial11ptWyjustowany"/>
        <w:numPr>
          <w:ilvl w:val="0"/>
          <w:numId w:val="16"/>
        </w:numPr>
        <w:shd w:val="clear" w:color="auto" w:fill="FFFFFF"/>
        <w:jc w:val="left"/>
        <w:rPr>
          <w:rFonts w:cs="Arial"/>
          <w:b/>
          <w:iCs/>
          <w:color w:val="0070C0"/>
          <w:szCs w:val="22"/>
        </w:rPr>
      </w:pPr>
      <w:r w:rsidRPr="00E83CD3">
        <w:rPr>
          <w:rFonts w:cs="Arial"/>
          <w:b/>
          <w:iCs/>
          <w:color w:val="0070C0"/>
          <w:szCs w:val="22"/>
        </w:rPr>
        <w:t>Struktura organizacyjna</w:t>
      </w:r>
    </w:p>
    <w:p w14:paraId="27E6FA47" w14:textId="4342BCE9" w:rsidR="00170157" w:rsidRDefault="00170157" w:rsidP="00F058DB">
      <w:pPr>
        <w:rPr>
          <w:rFonts w:cs="Arial"/>
        </w:rPr>
      </w:pPr>
    </w:p>
    <w:p w14:paraId="45821383" w14:textId="77777777" w:rsidR="004C6799" w:rsidRPr="004C6799" w:rsidRDefault="004C6799" w:rsidP="004C6799">
      <w:pPr>
        <w:rPr>
          <w:rFonts w:cs="Arial"/>
        </w:rPr>
      </w:pPr>
      <w:r w:rsidRPr="004C6799">
        <w:rPr>
          <w:rFonts w:cs="Arial"/>
        </w:rPr>
        <w:t>Urząd Zamówień Publicznych zapewnia obsługę Prezesa Urzędu Zamówień Publicznych oraz obsługę organizacyjno-techniczną i księgową Krajowej Izby Odwoławczej.</w:t>
      </w:r>
    </w:p>
    <w:p w14:paraId="2A33632E" w14:textId="77777777" w:rsidR="004C6799" w:rsidRPr="004C6799" w:rsidRDefault="004C6799" w:rsidP="004C6799">
      <w:pPr>
        <w:rPr>
          <w:rFonts w:cs="Arial"/>
        </w:rPr>
      </w:pPr>
    </w:p>
    <w:p w14:paraId="1070A658" w14:textId="77777777" w:rsidR="004C6799" w:rsidRPr="004C6799" w:rsidRDefault="004C6799" w:rsidP="004C6799">
      <w:pPr>
        <w:rPr>
          <w:rFonts w:cs="Arial"/>
        </w:rPr>
      </w:pPr>
      <w:r w:rsidRPr="004C6799">
        <w:rPr>
          <w:rFonts w:cs="Arial"/>
        </w:rPr>
        <w:t xml:space="preserve">W skład Urzędu Zamówień Publicznych wchodzi sześć komórek organizacyjnych: Departament Prawny, Departament Kontroli Zamówień Publicznych, Departament Unii Europejskiej i Współpracy Międzynarodowej, Departament Informacji, Edukacji i Analiz Systemowych, Biuro Odwołań, Biuro Organizacyjno-Finansowe oraz Samodzielne Stanowisko do spraw Audytu Wewnętrznego. </w:t>
      </w:r>
    </w:p>
    <w:p w14:paraId="4CAA2E26" w14:textId="77777777" w:rsidR="004C6799" w:rsidRPr="004C6799" w:rsidRDefault="004C6799" w:rsidP="004C6799">
      <w:pPr>
        <w:rPr>
          <w:rFonts w:cs="Arial"/>
        </w:rPr>
      </w:pPr>
    </w:p>
    <w:p w14:paraId="37B939C7" w14:textId="41F8F7B4" w:rsidR="004C6799" w:rsidRDefault="004C6799" w:rsidP="004C6799">
      <w:pPr>
        <w:rPr>
          <w:rFonts w:cs="Arial"/>
        </w:rPr>
      </w:pPr>
      <w:r w:rsidRPr="004C6799">
        <w:rPr>
          <w:rFonts w:cs="Arial"/>
        </w:rPr>
        <w:t>W 2022 r</w:t>
      </w:r>
      <w:r w:rsidR="003D5143">
        <w:rPr>
          <w:rFonts w:cs="Arial"/>
        </w:rPr>
        <w:t>.</w:t>
      </w:r>
      <w:r w:rsidRPr="004C6799">
        <w:rPr>
          <w:rFonts w:cs="Arial"/>
        </w:rPr>
        <w:t xml:space="preserve"> średnioroczne, przeciętne zatrudnienie w Urzędzie Zamówień Publicznych wyniosło 195 etatów, w tym w Krajowej Izbie Odwoławczej – 44 etaty. </w:t>
      </w:r>
    </w:p>
    <w:p w14:paraId="77B40196" w14:textId="77777777" w:rsidR="004C6799" w:rsidRPr="004C6799" w:rsidRDefault="004C6799" w:rsidP="004C6799">
      <w:pPr>
        <w:rPr>
          <w:rFonts w:cs="Arial"/>
        </w:rPr>
      </w:pPr>
    </w:p>
    <w:p w14:paraId="57EA5631" w14:textId="304B372E" w:rsidR="004C6799" w:rsidRPr="004C6799" w:rsidRDefault="004C6799" w:rsidP="004C6799">
      <w:pPr>
        <w:rPr>
          <w:rFonts w:cs="Arial"/>
        </w:rPr>
      </w:pPr>
      <w:r w:rsidRPr="004C6799">
        <w:rPr>
          <w:rFonts w:cs="Arial"/>
        </w:rPr>
        <w:t xml:space="preserve">W Urzędzie Zamówień Publicznych w 2022 </w:t>
      </w:r>
      <w:r w:rsidR="003D5143">
        <w:rPr>
          <w:rFonts w:cs="Arial"/>
        </w:rPr>
        <w:t xml:space="preserve">r. </w:t>
      </w:r>
      <w:r w:rsidRPr="004C6799">
        <w:rPr>
          <w:rFonts w:cs="Arial"/>
        </w:rPr>
        <w:t xml:space="preserve">przeprowadzono: </w:t>
      </w:r>
    </w:p>
    <w:p w14:paraId="53F979E7" w14:textId="77777777" w:rsidR="004C6799" w:rsidRPr="004C6799" w:rsidRDefault="004C6799" w:rsidP="005C7DF9">
      <w:pPr>
        <w:numPr>
          <w:ilvl w:val="0"/>
          <w:numId w:val="65"/>
        </w:numPr>
        <w:rPr>
          <w:rFonts w:cs="Arial"/>
        </w:rPr>
      </w:pPr>
      <w:r w:rsidRPr="004C6799">
        <w:rPr>
          <w:rFonts w:cs="Arial"/>
        </w:rPr>
        <w:t>22 nabory w korpusie służby cywilnej, z czego 17 naborów zakończyło się bez wyłonienia kandydata do zatrudnienia;</w:t>
      </w:r>
    </w:p>
    <w:p w14:paraId="24C68689" w14:textId="5A4BC766" w:rsidR="004C6799" w:rsidRPr="004C6799" w:rsidRDefault="004C6799" w:rsidP="005C7DF9">
      <w:pPr>
        <w:numPr>
          <w:ilvl w:val="0"/>
          <w:numId w:val="65"/>
        </w:numPr>
        <w:rPr>
          <w:rFonts w:cs="Arial"/>
        </w:rPr>
      </w:pPr>
      <w:r w:rsidRPr="004C6799">
        <w:rPr>
          <w:rFonts w:cs="Arial"/>
        </w:rPr>
        <w:t>2 nabory na stanowiska pomocnicze poza korpusem służby cywilnej w obszarze dotyczącym obsługi protokolarnej rozpraw w Krajowej Izbie Odwoławczej, nabory zakończyły się bez wyłonienia kandydata do zatrudnienia, oba nabory to nabory powtórzone;</w:t>
      </w:r>
    </w:p>
    <w:p w14:paraId="6F23F3A8" w14:textId="1A6479E1" w:rsidR="004C6799" w:rsidRPr="004C6799" w:rsidRDefault="004C6799" w:rsidP="005C7DF9">
      <w:pPr>
        <w:numPr>
          <w:ilvl w:val="0"/>
          <w:numId w:val="65"/>
        </w:numPr>
        <w:rPr>
          <w:rFonts w:cs="Arial"/>
        </w:rPr>
      </w:pPr>
      <w:r w:rsidRPr="004C6799">
        <w:rPr>
          <w:rFonts w:cs="Arial"/>
        </w:rPr>
        <w:t>Urząd Zamówień Publicznych uczestniczył w projekcie „Dobry pracownik nie ma wieku” – w ramach tego przedsięwzięcia, po realizacji stażu zatrudniono 1 pracownika do obsługi protokolarnej rozpraw w Krajowej Izbie Odwoławczej;</w:t>
      </w:r>
    </w:p>
    <w:p w14:paraId="51477595" w14:textId="77777777" w:rsidR="004C6799" w:rsidRPr="004C6799" w:rsidRDefault="004C6799" w:rsidP="005C7DF9">
      <w:pPr>
        <w:numPr>
          <w:ilvl w:val="0"/>
          <w:numId w:val="65"/>
        </w:numPr>
        <w:rPr>
          <w:rFonts w:cs="Arial"/>
        </w:rPr>
      </w:pPr>
      <w:r w:rsidRPr="004C6799">
        <w:rPr>
          <w:rFonts w:cs="Arial"/>
        </w:rPr>
        <w:t>postępowanie kwalifikacyjne na członków Krajowej Izby Odwoławczej;</w:t>
      </w:r>
    </w:p>
    <w:p w14:paraId="3D76B137" w14:textId="77777777" w:rsidR="004C6799" w:rsidRPr="004C6799" w:rsidRDefault="004C6799" w:rsidP="005C7DF9">
      <w:pPr>
        <w:numPr>
          <w:ilvl w:val="0"/>
          <w:numId w:val="65"/>
        </w:numPr>
        <w:rPr>
          <w:rFonts w:cs="Arial"/>
        </w:rPr>
      </w:pPr>
      <w:r w:rsidRPr="004C6799">
        <w:rPr>
          <w:rFonts w:cs="Arial"/>
        </w:rPr>
        <w:t>postępowanie konkursowe na stanowisko Prezesa Krajowej Izby Odwoławczej.</w:t>
      </w:r>
    </w:p>
    <w:p w14:paraId="0D796DE4" w14:textId="77777777" w:rsidR="004C6799" w:rsidRPr="004C6799" w:rsidRDefault="004C6799" w:rsidP="004C6799">
      <w:pPr>
        <w:rPr>
          <w:rFonts w:cs="Arial"/>
        </w:rPr>
      </w:pPr>
    </w:p>
    <w:p w14:paraId="06796E51" w14:textId="54C55C48" w:rsidR="004C6799" w:rsidRPr="004C6799" w:rsidRDefault="004C6799" w:rsidP="004C6799">
      <w:pPr>
        <w:rPr>
          <w:rFonts w:cs="Arial"/>
        </w:rPr>
      </w:pPr>
      <w:r w:rsidRPr="004C6799">
        <w:rPr>
          <w:rFonts w:cs="Arial"/>
        </w:rPr>
        <w:t>W wyniku przeprowadzonego postępowania kwalifikacyjnego na członków Krajowej Izby Odwoławczej na 8 wolnych stanowisk, wyłoniono 7 kandydatów do zatrudnienia</w:t>
      </w:r>
      <w:r w:rsidR="00B15E34">
        <w:rPr>
          <w:rFonts w:cs="Arial"/>
        </w:rPr>
        <w:t xml:space="preserve"> </w:t>
      </w:r>
      <w:r w:rsidR="002B525A">
        <w:rPr>
          <w:rFonts w:cs="Arial"/>
        </w:rPr>
        <w:t xml:space="preserve">z </w:t>
      </w:r>
      <w:r w:rsidRPr="004C6799">
        <w:rPr>
          <w:rFonts w:cs="Arial"/>
        </w:rPr>
        <w:t>terminem objęcia funkcji orzeczniczej w okresie marzec</w:t>
      </w:r>
      <w:r w:rsidR="00C60CCD" w:rsidRPr="00C60CCD">
        <w:rPr>
          <w:rFonts w:cs="Arial"/>
        </w:rPr>
        <w:t>–</w:t>
      </w:r>
      <w:r w:rsidRPr="004C6799">
        <w:rPr>
          <w:rFonts w:cs="Arial"/>
        </w:rPr>
        <w:t>kwiecień 2023 r</w:t>
      </w:r>
      <w:r w:rsidR="002B525A">
        <w:rPr>
          <w:rFonts w:cs="Arial"/>
        </w:rPr>
        <w:t>.</w:t>
      </w:r>
      <w:r w:rsidRPr="004C6799">
        <w:rPr>
          <w:rFonts w:cs="Arial"/>
        </w:rPr>
        <w:t xml:space="preserve"> </w:t>
      </w:r>
      <w:r>
        <w:rPr>
          <w:rFonts w:cs="Arial"/>
        </w:rPr>
        <w:t>–</w:t>
      </w:r>
      <w:r w:rsidRPr="004C6799">
        <w:rPr>
          <w:rFonts w:cs="Arial"/>
        </w:rPr>
        <w:t xml:space="preserve"> 2 kandydatów zrezygnowało z zatrudnienia. </w:t>
      </w:r>
    </w:p>
    <w:p w14:paraId="7B89CC86" w14:textId="027D9C46" w:rsidR="004C6799" w:rsidRPr="004C6799" w:rsidRDefault="004C6799" w:rsidP="004C6799">
      <w:pPr>
        <w:rPr>
          <w:rFonts w:cs="Arial"/>
        </w:rPr>
      </w:pPr>
      <w:r w:rsidRPr="004C6799">
        <w:rPr>
          <w:rFonts w:cs="Arial"/>
        </w:rPr>
        <w:t>W wyniku przeprowadzonego postępowania konkursowego wyłoniono Prezesa Krajowej Izby Odwoławczej z terminem objęcia stanowiska 1 stycznia 2023 r.</w:t>
      </w:r>
    </w:p>
    <w:p w14:paraId="70782C3C" w14:textId="77777777" w:rsidR="004C6799" w:rsidRPr="004C6799" w:rsidRDefault="004C6799" w:rsidP="004C6799">
      <w:pPr>
        <w:rPr>
          <w:rFonts w:cs="Arial"/>
        </w:rPr>
      </w:pPr>
    </w:p>
    <w:p w14:paraId="4D45E7DE" w14:textId="5D4C7C0E" w:rsidR="004C6799" w:rsidRPr="004C6799" w:rsidRDefault="004C6799" w:rsidP="004C6799">
      <w:pPr>
        <w:rPr>
          <w:rFonts w:cs="Arial"/>
        </w:rPr>
      </w:pPr>
      <w:r w:rsidRPr="004C6799">
        <w:rPr>
          <w:rFonts w:cs="Arial"/>
        </w:rPr>
        <w:t xml:space="preserve">W korpusie służby cywilnej w 2022 </w:t>
      </w:r>
      <w:r w:rsidR="00420C4E">
        <w:rPr>
          <w:rFonts w:cs="Arial"/>
        </w:rPr>
        <w:t xml:space="preserve">r. </w:t>
      </w:r>
      <w:r w:rsidRPr="004C6799">
        <w:rPr>
          <w:rFonts w:cs="Arial"/>
        </w:rPr>
        <w:t>w wyniku przeprowadzonych naborów zatrudnionych zostało 5 pracowników.</w:t>
      </w:r>
    </w:p>
    <w:p w14:paraId="72562250" w14:textId="77777777" w:rsidR="003C1CD5" w:rsidRDefault="003C1CD5" w:rsidP="00F058DB">
      <w:pPr>
        <w:rPr>
          <w:rFonts w:cs="Arial"/>
        </w:rPr>
      </w:pPr>
    </w:p>
    <w:p w14:paraId="54BCFD04" w14:textId="77777777" w:rsidR="00831CD1" w:rsidRDefault="00831CD1" w:rsidP="00F058DB">
      <w:pPr>
        <w:rPr>
          <w:rFonts w:cs="Arial"/>
        </w:rPr>
      </w:pPr>
    </w:p>
    <w:p w14:paraId="4E02B3C3" w14:textId="384C07CA" w:rsidR="00027B63" w:rsidRPr="006F6EF1" w:rsidRDefault="00027B63" w:rsidP="00E16264">
      <w:pPr>
        <w:pStyle w:val="StylArial11ptWyjustowany"/>
        <w:numPr>
          <w:ilvl w:val="0"/>
          <w:numId w:val="16"/>
        </w:numPr>
        <w:shd w:val="clear" w:color="auto" w:fill="FFFFFF"/>
        <w:jc w:val="left"/>
        <w:rPr>
          <w:rFonts w:cs="Arial"/>
          <w:b/>
          <w:iCs/>
          <w:color w:val="0070C0"/>
          <w:szCs w:val="22"/>
        </w:rPr>
      </w:pPr>
      <w:r w:rsidRPr="006F6EF1">
        <w:rPr>
          <w:rFonts w:cs="Arial"/>
          <w:b/>
          <w:iCs/>
          <w:color w:val="0070C0"/>
          <w:szCs w:val="22"/>
        </w:rPr>
        <w:t>Wykonan</w:t>
      </w:r>
      <w:r w:rsidR="00D517D8" w:rsidRPr="006F6EF1">
        <w:rPr>
          <w:rFonts w:cs="Arial"/>
          <w:b/>
          <w:iCs/>
          <w:color w:val="0070C0"/>
          <w:szCs w:val="22"/>
        </w:rPr>
        <w:t>ie budżetu</w:t>
      </w:r>
    </w:p>
    <w:p w14:paraId="58B71EFF" w14:textId="77777777" w:rsidR="00027B63" w:rsidRPr="00027B63" w:rsidRDefault="00027B63" w:rsidP="00027B63">
      <w:pPr>
        <w:rPr>
          <w:rFonts w:cs="Arial"/>
        </w:rPr>
      </w:pPr>
    </w:p>
    <w:p w14:paraId="2C5B1173" w14:textId="0E4BFBCC" w:rsidR="00027B63" w:rsidRPr="00027B63" w:rsidRDefault="00027B63" w:rsidP="00027B63">
      <w:pPr>
        <w:rPr>
          <w:rFonts w:cs="Arial"/>
        </w:rPr>
      </w:pPr>
      <w:r w:rsidRPr="00027B63">
        <w:rPr>
          <w:rFonts w:cs="Arial"/>
        </w:rPr>
        <w:t xml:space="preserve">Dochody budżetowe w części 49 w 2022 r. zostały wykonane w </w:t>
      </w:r>
      <w:r>
        <w:rPr>
          <w:rFonts w:cs="Arial"/>
        </w:rPr>
        <w:t>kwocie 23</w:t>
      </w:r>
      <w:r w:rsidR="009343A1">
        <w:rPr>
          <w:rFonts w:cs="Arial"/>
        </w:rPr>
        <w:t xml:space="preserve"> </w:t>
      </w:r>
      <w:r>
        <w:rPr>
          <w:rFonts w:cs="Arial"/>
        </w:rPr>
        <w:t>910 tys. zł, tj. 95,3</w:t>
      </w:r>
      <w:r w:rsidRPr="00027B63">
        <w:rPr>
          <w:rFonts w:cs="Arial"/>
        </w:rPr>
        <w:t xml:space="preserve">% kwoty określonej w ustawie budżetowej </w:t>
      </w:r>
      <w:r>
        <w:rPr>
          <w:rFonts w:cs="Arial"/>
        </w:rPr>
        <w:t>(25</w:t>
      </w:r>
      <w:r w:rsidR="009343A1">
        <w:rPr>
          <w:rFonts w:cs="Arial"/>
        </w:rPr>
        <w:t xml:space="preserve"> </w:t>
      </w:r>
      <w:r w:rsidR="00D07B98">
        <w:rPr>
          <w:rFonts w:cs="Arial"/>
        </w:rPr>
        <w:t>090 tys. zł)</w:t>
      </w:r>
      <w:r w:rsidRPr="00027B63">
        <w:rPr>
          <w:rFonts w:cs="Arial"/>
        </w:rPr>
        <w:t xml:space="preserve"> oraz 90,7% kwoty dochodów wykonanych w 2021 r. </w:t>
      </w:r>
      <w:r>
        <w:rPr>
          <w:rFonts w:cs="Arial"/>
        </w:rPr>
        <w:t>(26</w:t>
      </w:r>
      <w:r w:rsidR="009343A1">
        <w:rPr>
          <w:rFonts w:cs="Arial"/>
        </w:rPr>
        <w:t xml:space="preserve"> </w:t>
      </w:r>
      <w:r w:rsidRPr="00027B63">
        <w:rPr>
          <w:rFonts w:cs="Arial"/>
        </w:rPr>
        <w:t xml:space="preserve">353 tys. zł). </w:t>
      </w:r>
    </w:p>
    <w:p w14:paraId="3CB93548" w14:textId="77777777" w:rsidR="00027B63" w:rsidRPr="00027B63" w:rsidRDefault="00027B63" w:rsidP="00027B63">
      <w:pPr>
        <w:rPr>
          <w:rFonts w:cs="Arial"/>
        </w:rPr>
      </w:pPr>
    </w:p>
    <w:p w14:paraId="301423EF" w14:textId="626B9189" w:rsidR="00027B63" w:rsidRPr="00027B63" w:rsidRDefault="00027B63" w:rsidP="00027B63">
      <w:pPr>
        <w:rPr>
          <w:rFonts w:cs="Arial"/>
        </w:rPr>
      </w:pPr>
      <w:r w:rsidRPr="00027B63">
        <w:rPr>
          <w:rFonts w:cs="Arial"/>
        </w:rPr>
        <w:t>Urząd Zamówień Publicznych w 2022 r. zrealizował wydatki w części 49 działu 750 roz</w:t>
      </w:r>
      <w:r>
        <w:rPr>
          <w:rFonts w:cs="Arial"/>
        </w:rPr>
        <w:t>działu 75001 na ogólną kwotę 40</w:t>
      </w:r>
      <w:r w:rsidR="009343A1">
        <w:rPr>
          <w:rFonts w:cs="Arial"/>
        </w:rPr>
        <w:t xml:space="preserve"> </w:t>
      </w:r>
      <w:r w:rsidR="00D07B98">
        <w:rPr>
          <w:rFonts w:cs="Arial"/>
        </w:rPr>
        <w:t>531 tys. zł</w:t>
      </w:r>
      <w:r w:rsidRPr="00027B63">
        <w:rPr>
          <w:rFonts w:cs="Arial"/>
        </w:rPr>
        <w:t>, tj. w wysokości 97% całości budżetu</w:t>
      </w:r>
      <w:r>
        <w:rPr>
          <w:rFonts w:cs="Arial"/>
        </w:rPr>
        <w:t xml:space="preserve"> UZP po zmianach na 2022 r. (41</w:t>
      </w:r>
      <w:r w:rsidR="009343A1">
        <w:rPr>
          <w:rFonts w:cs="Arial"/>
        </w:rPr>
        <w:t xml:space="preserve"> </w:t>
      </w:r>
      <w:r w:rsidRPr="00027B63">
        <w:rPr>
          <w:rFonts w:cs="Arial"/>
        </w:rPr>
        <w:t xml:space="preserve">965 tys. zł) oraz </w:t>
      </w:r>
      <w:r w:rsidR="00D07B98">
        <w:rPr>
          <w:rFonts w:cs="Arial"/>
        </w:rPr>
        <w:t>98</w:t>
      </w:r>
      <w:r w:rsidR="00DF119D">
        <w:rPr>
          <w:rFonts w:cs="Arial"/>
        </w:rPr>
        <w:t xml:space="preserve">% kwoty wydatków określonej w </w:t>
      </w:r>
      <w:r w:rsidRPr="00027B63">
        <w:rPr>
          <w:rFonts w:cs="Arial"/>
        </w:rPr>
        <w:t xml:space="preserve">ustawie budżetowej na 2022 </w:t>
      </w:r>
      <w:r>
        <w:rPr>
          <w:rFonts w:cs="Arial"/>
        </w:rPr>
        <w:t>r. (41</w:t>
      </w:r>
      <w:r w:rsidR="009343A1">
        <w:rPr>
          <w:rFonts w:cs="Arial"/>
        </w:rPr>
        <w:t xml:space="preserve"> </w:t>
      </w:r>
      <w:r w:rsidRPr="00027B63">
        <w:rPr>
          <w:rFonts w:cs="Arial"/>
        </w:rPr>
        <w:t>260 tys. zł). W porównaniu do wydatk</w:t>
      </w:r>
      <w:r>
        <w:rPr>
          <w:rFonts w:cs="Arial"/>
        </w:rPr>
        <w:t>ów zrealizowanych w 2021 r. (38</w:t>
      </w:r>
      <w:r w:rsidR="009343A1">
        <w:rPr>
          <w:rFonts w:cs="Arial"/>
        </w:rPr>
        <w:t xml:space="preserve"> </w:t>
      </w:r>
      <w:r w:rsidRPr="00027B63">
        <w:rPr>
          <w:rFonts w:cs="Arial"/>
        </w:rPr>
        <w:t>136 tys. zł) wydatki z</w:t>
      </w:r>
      <w:r w:rsidR="00D07B98">
        <w:rPr>
          <w:rFonts w:cs="Arial"/>
        </w:rPr>
        <w:t xml:space="preserve">realizowane w 2022 r. stanowiły </w:t>
      </w:r>
      <w:r w:rsidRPr="00027B63">
        <w:rPr>
          <w:rFonts w:cs="Arial"/>
        </w:rPr>
        <w:t>106%.</w:t>
      </w:r>
    </w:p>
    <w:p w14:paraId="0FB34E2F" w14:textId="77777777" w:rsidR="00027B63" w:rsidRPr="00027B63" w:rsidRDefault="00027B63" w:rsidP="00027B63">
      <w:pPr>
        <w:rPr>
          <w:rFonts w:cs="Arial"/>
        </w:rPr>
      </w:pPr>
    </w:p>
    <w:p w14:paraId="60CBC18B" w14:textId="7DB3F862" w:rsidR="00831CD1" w:rsidRDefault="00027B63" w:rsidP="00027B63">
      <w:pPr>
        <w:rPr>
          <w:rFonts w:cs="Arial"/>
        </w:rPr>
      </w:pPr>
      <w:r w:rsidRPr="00027B63">
        <w:rPr>
          <w:rFonts w:cs="Arial"/>
        </w:rPr>
        <w:t xml:space="preserve">W ustawie budżetowej na 2022 </w:t>
      </w:r>
      <w:r w:rsidR="00724F1C">
        <w:rPr>
          <w:rFonts w:cs="Arial"/>
        </w:rPr>
        <w:t xml:space="preserve">r. </w:t>
      </w:r>
      <w:r w:rsidRPr="00027B63">
        <w:rPr>
          <w:rFonts w:cs="Arial"/>
        </w:rPr>
        <w:t>w budżecie środków europejskich zaplanowane zostały wydatki w wysokości 16</w:t>
      </w:r>
      <w:r w:rsidR="009343A1">
        <w:rPr>
          <w:rFonts w:cs="Arial"/>
        </w:rPr>
        <w:t xml:space="preserve"> </w:t>
      </w:r>
      <w:r w:rsidR="00724F1C">
        <w:rPr>
          <w:rFonts w:cs="Arial"/>
        </w:rPr>
        <w:t>600 tys. zł</w:t>
      </w:r>
      <w:r w:rsidRPr="00027B63">
        <w:rPr>
          <w:rFonts w:cs="Arial"/>
        </w:rPr>
        <w:t xml:space="preserve"> przeznaczone na realizację Programu Operacyjnego Wiedza Edukacja Rozwój 2014</w:t>
      </w:r>
      <w:r w:rsidR="00447DF9" w:rsidRPr="00447DF9">
        <w:rPr>
          <w:rFonts w:cs="Arial"/>
        </w:rPr>
        <w:t>–</w:t>
      </w:r>
      <w:r w:rsidRPr="00027B63">
        <w:rPr>
          <w:rFonts w:cs="Arial"/>
        </w:rPr>
        <w:t>2020 oraz Program Operacyjny Polska Cyfrowa 2014</w:t>
      </w:r>
      <w:r w:rsidR="00447DF9" w:rsidRPr="00447DF9">
        <w:rPr>
          <w:rFonts w:cs="Arial"/>
        </w:rPr>
        <w:t>–</w:t>
      </w:r>
      <w:r w:rsidRPr="00027B63">
        <w:rPr>
          <w:rFonts w:cs="Arial"/>
        </w:rPr>
        <w:t>2020. UZP wyd</w:t>
      </w:r>
      <w:r w:rsidR="00D07B98">
        <w:rPr>
          <w:rFonts w:cs="Arial"/>
        </w:rPr>
        <w:t xml:space="preserve">atkował ww. środki w kwocie </w:t>
      </w:r>
      <w:r w:rsidR="00724F1C">
        <w:rPr>
          <w:rFonts w:cs="Arial"/>
        </w:rPr>
        <w:t>15</w:t>
      </w:r>
      <w:r w:rsidR="009343A1">
        <w:rPr>
          <w:rFonts w:cs="Arial"/>
        </w:rPr>
        <w:t xml:space="preserve"> </w:t>
      </w:r>
      <w:r w:rsidR="00724F1C">
        <w:rPr>
          <w:rFonts w:cs="Arial"/>
        </w:rPr>
        <w:t>698 tys. zł, tj. 94,6</w:t>
      </w:r>
      <w:r w:rsidRPr="00027B63">
        <w:rPr>
          <w:rFonts w:cs="Arial"/>
        </w:rPr>
        <w:t>%.</w:t>
      </w:r>
    </w:p>
    <w:p w14:paraId="638D7C36" w14:textId="77777777" w:rsidR="003C1CD5" w:rsidRPr="00831CD1" w:rsidRDefault="003C1CD5" w:rsidP="00831CD1">
      <w:pPr>
        <w:rPr>
          <w:rFonts w:cs="Arial"/>
        </w:rPr>
      </w:pPr>
    </w:p>
    <w:p w14:paraId="76F52C8E" w14:textId="77777777" w:rsidR="0094753B" w:rsidRPr="00D61E35" w:rsidRDefault="0094753B" w:rsidP="00F058DB">
      <w:pPr>
        <w:shd w:val="clear" w:color="auto" w:fill="FFFFFF"/>
        <w:rPr>
          <w:rFonts w:cs="Arial"/>
          <w:szCs w:val="22"/>
        </w:rPr>
      </w:pPr>
    </w:p>
    <w:tbl>
      <w:tblPr>
        <w:tblW w:w="0" w:type="auto"/>
        <w:tblInd w:w="90" w:type="dxa"/>
        <w:tblLayout w:type="fixed"/>
        <w:tblLook w:val="04A0" w:firstRow="1" w:lastRow="0" w:firstColumn="1" w:lastColumn="0" w:noHBand="0" w:noVBand="1"/>
      </w:tblPr>
      <w:tblGrid>
        <w:gridCol w:w="236"/>
        <w:gridCol w:w="8960"/>
      </w:tblGrid>
      <w:tr w:rsidR="005F3C4D" w14:paraId="726CD657" w14:textId="77777777" w:rsidTr="008C3B34">
        <w:trPr>
          <w:cantSplit/>
        </w:trPr>
        <w:tc>
          <w:tcPr>
            <w:tcW w:w="236" w:type="dxa"/>
            <w:shd w:val="clear" w:color="auto" w:fill="95B3D7"/>
          </w:tcPr>
          <w:p w14:paraId="36BB3A33" w14:textId="77777777" w:rsidR="005F3C4D" w:rsidRDefault="005F3C4D" w:rsidP="00F058DB"/>
        </w:tc>
        <w:tc>
          <w:tcPr>
            <w:tcW w:w="8960" w:type="dxa"/>
          </w:tcPr>
          <w:p w14:paraId="47B47EAF" w14:textId="73E1FE97" w:rsidR="005F3C4D" w:rsidRPr="00FA71FA" w:rsidRDefault="008306B2" w:rsidP="00F431B2">
            <w:pPr>
              <w:pStyle w:val="Nagwek2"/>
              <w:shd w:val="clear" w:color="auto" w:fill="FFFFFF"/>
              <w:spacing w:after="120"/>
              <w:ind w:left="624" w:hanging="624"/>
              <w:rPr>
                <w:noProof/>
                <w:color w:val="0070C0"/>
                <w:sz w:val="28"/>
              </w:rPr>
            </w:pPr>
            <w:bookmarkStart w:id="256" w:name="_Toc16598653"/>
            <w:bookmarkStart w:id="257" w:name="_Toc64451892"/>
            <w:bookmarkStart w:id="258" w:name="_Toc141276470"/>
            <w:r w:rsidRPr="00FA71FA">
              <w:rPr>
                <w:noProof/>
                <w:color w:val="0070C0"/>
                <w:sz w:val="28"/>
              </w:rPr>
              <w:t>III.</w:t>
            </w:r>
            <w:r w:rsidR="00F431B2" w:rsidRPr="00FA71FA">
              <w:rPr>
                <w:noProof/>
                <w:color w:val="0070C0"/>
                <w:sz w:val="28"/>
              </w:rPr>
              <w:t>5</w:t>
            </w:r>
            <w:r w:rsidRPr="00FA71FA">
              <w:rPr>
                <w:noProof/>
                <w:color w:val="0070C0"/>
                <w:sz w:val="28"/>
              </w:rPr>
              <w:t>.</w:t>
            </w:r>
            <w:r w:rsidR="00750B05" w:rsidRPr="00FA71FA">
              <w:rPr>
                <w:noProof/>
                <w:color w:val="0070C0"/>
                <w:sz w:val="28"/>
              </w:rPr>
              <w:t xml:space="preserve"> </w:t>
            </w:r>
            <w:r w:rsidR="00CE2EDA" w:rsidRPr="00FA71FA">
              <w:rPr>
                <w:noProof/>
                <w:color w:val="0070C0"/>
                <w:sz w:val="28"/>
              </w:rPr>
              <w:t xml:space="preserve">Zamówienia publiczne w </w:t>
            </w:r>
            <w:r w:rsidR="00BD5689" w:rsidRPr="00FA71FA">
              <w:rPr>
                <w:noProof/>
                <w:color w:val="0070C0"/>
                <w:sz w:val="28"/>
              </w:rPr>
              <w:t>mediach</w:t>
            </w:r>
            <w:bookmarkEnd w:id="256"/>
            <w:bookmarkEnd w:id="257"/>
            <w:bookmarkEnd w:id="258"/>
          </w:p>
        </w:tc>
      </w:tr>
    </w:tbl>
    <w:p w14:paraId="5467AE7B" w14:textId="77777777" w:rsidR="005F3C4D" w:rsidRDefault="005F3C4D" w:rsidP="007D4DEB">
      <w:pPr>
        <w:shd w:val="clear" w:color="auto" w:fill="FFFFFF"/>
        <w:rPr>
          <w:rFonts w:cs="Arial"/>
          <w:szCs w:val="22"/>
        </w:rPr>
      </w:pPr>
    </w:p>
    <w:tbl>
      <w:tblPr>
        <w:tblW w:w="0" w:type="auto"/>
        <w:tblInd w:w="374" w:type="dxa"/>
        <w:tblLayout w:type="fixed"/>
        <w:tblLook w:val="04A0" w:firstRow="1" w:lastRow="0" w:firstColumn="1" w:lastColumn="0" w:noHBand="0" w:noVBand="1"/>
      </w:tblPr>
      <w:tblGrid>
        <w:gridCol w:w="236"/>
        <w:gridCol w:w="8676"/>
      </w:tblGrid>
      <w:tr w:rsidR="000F0F8B" w:rsidRPr="001E7D51" w14:paraId="076F6001" w14:textId="77777777" w:rsidTr="0080794B">
        <w:trPr>
          <w:cantSplit/>
        </w:trPr>
        <w:tc>
          <w:tcPr>
            <w:tcW w:w="236" w:type="dxa"/>
            <w:shd w:val="clear" w:color="auto" w:fill="B8CCE4"/>
          </w:tcPr>
          <w:p w14:paraId="289D8DA9" w14:textId="77777777" w:rsidR="000F0F8B" w:rsidRPr="001E7D51" w:rsidRDefault="000F0F8B" w:rsidP="007D4DEB">
            <w:pPr>
              <w:rPr>
                <w:sz w:val="24"/>
              </w:rPr>
            </w:pPr>
          </w:p>
        </w:tc>
        <w:tc>
          <w:tcPr>
            <w:tcW w:w="8676" w:type="dxa"/>
          </w:tcPr>
          <w:p w14:paraId="3F50523A" w14:textId="0E62EAC3" w:rsidR="000F0F8B" w:rsidRPr="00AA6A23" w:rsidRDefault="008726F0" w:rsidP="00F058DB">
            <w:pPr>
              <w:pStyle w:val="Nagwek3"/>
              <w:shd w:val="clear" w:color="auto" w:fill="FFFFFF"/>
              <w:spacing w:after="120"/>
              <w:ind w:left="0"/>
              <w:rPr>
                <w:color w:val="0070C0"/>
                <w:sz w:val="24"/>
                <w:szCs w:val="24"/>
              </w:rPr>
            </w:pPr>
            <w:bookmarkStart w:id="259" w:name="_Toc64451893"/>
            <w:bookmarkStart w:id="260" w:name="_Toc141276471"/>
            <w:r w:rsidRPr="00AA6A23">
              <w:rPr>
                <w:color w:val="0070C0"/>
                <w:sz w:val="24"/>
                <w:szCs w:val="24"/>
              </w:rPr>
              <w:t>III.5</w:t>
            </w:r>
            <w:r w:rsidR="000F0F8B" w:rsidRPr="00AA6A23">
              <w:rPr>
                <w:color w:val="0070C0"/>
                <w:sz w:val="24"/>
                <w:szCs w:val="24"/>
              </w:rPr>
              <w:t>.1. Informacje statystyczne</w:t>
            </w:r>
            <w:bookmarkEnd w:id="259"/>
            <w:bookmarkEnd w:id="260"/>
          </w:p>
        </w:tc>
      </w:tr>
    </w:tbl>
    <w:p w14:paraId="4BBBB9DC" w14:textId="74129E93" w:rsidR="00483124" w:rsidRDefault="00483124" w:rsidP="00282022">
      <w:pPr>
        <w:shd w:val="clear" w:color="auto" w:fill="FFFFFF"/>
        <w:rPr>
          <w:rFonts w:cs="Arial"/>
        </w:rPr>
      </w:pPr>
      <w:bookmarkStart w:id="261" w:name="_Toc223154376"/>
      <w:bookmarkEnd w:id="261"/>
    </w:p>
    <w:p w14:paraId="43815E7D" w14:textId="7D8688C4" w:rsidR="00AA6A23" w:rsidRPr="00AA6A23" w:rsidRDefault="00AA6A23" w:rsidP="00AA6A23">
      <w:pPr>
        <w:shd w:val="clear" w:color="auto" w:fill="FFFFFF"/>
        <w:rPr>
          <w:rFonts w:cs="Arial"/>
        </w:rPr>
      </w:pPr>
      <w:r w:rsidRPr="00AA6A23">
        <w:rPr>
          <w:rFonts w:cs="Arial"/>
        </w:rPr>
        <w:t>Analizą objęto</w:t>
      </w:r>
      <w:r w:rsidRPr="00AA6A23">
        <w:rPr>
          <w:rFonts w:cs="Arial"/>
          <w:b/>
          <w:bCs/>
        </w:rPr>
        <w:t xml:space="preserve"> </w:t>
      </w:r>
      <w:r w:rsidRPr="00AA6A23">
        <w:rPr>
          <w:rFonts w:cs="Arial"/>
        </w:rPr>
        <w:t>18 685</w:t>
      </w:r>
      <w:r w:rsidRPr="00AA6A23">
        <w:rPr>
          <w:rFonts w:cs="Arial"/>
          <w:b/>
          <w:bCs/>
        </w:rPr>
        <w:t xml:space="preserve"> </w:t>
      </w:r>
      <w:r w:rsidRPr="00AA6A23">
        <w:rPr>
          <w:rFonts w:cs="Arial"/>
        </w:rPr>
        <w:t xml:space="preserve">materiałów dotyczących zamówień publicznych opublikowanych w okresie </w:t>
      </w:r>
      <w:r w:rsidR="000B66C8">
        <w:rPr>
          <w:rFonts w:cs="Arial"/>
        </w:rPr>
        <w:t xml:space="preserve">od </w:t>
      </w:r>
      <w:r w:rsidRPr="00AA6A23">
        <w:rPr>
          <w:rFonts w:cs="Arial"/>
        </w:rPr>
        <w:t xml:space="preserve">1 stycznia do 31 grudnia 2022 r. w tytułach prasowych o zasięgu ogólnopolskim i regionalnym, czasopismach branżowych, portalach internetowych oraz w RTV i TV. </w:t>
      </w:r>
    </w:p>
    <w:p w14:paraId="662139AE" w14:textId="77777777" w:rsidR="00AA6A23" w:rsidRDefault="00AA6A23" w:rsidP="00AA6A23">
      <w:pPr>
        <w:shd w:val="clear" w:color="auto" w:fill="FFFFFF"/>
        <w:rPr>
          <w:rFonts w:cs="Arial"/>
        </w:rPr>
      </w:pPr>
    </w:p>
    <w:p w14:paraId="5512AA17" w14:textId="7F93DA0E" w:rsidR="00AA6A23" w:rsidRPr="00AA6A23" w:rsidRDefault="00AA6A23" w:rsidP="00AA6A23">
      <w:pPr>
        <w:shd w:val="clear" w:color="auto" w:fill="FFFFFF"/>
        <w:rPr>
          <w:rFonts w:cs="Arial"/>
        </w:rPr>
      </w:pPr>
      <w:r w:rsidRPr="00AA6A23">
        <w:rPr>
          <w:rFonts w:cs="Arial"/>
        </w:rPr>
        <w:t xml:space="preserve">W prasie ogólnopolskiej najwięcej artykułów o systemie zamówień publicznych zamieszczono w Dzienniku Gazecie Prawnej, Rzeczpospolitej, w Gazecie Podatkowej oraz w Pulsie Biznesu. Incydentalnie pojawiały się artykuły m.in. w tygodnikach: Wprost, W sieci, Newsweek. W prasie branżowej najwięcej artykułów o tematyce zamówień publicznych publikowały: Przetargi Publiczne, Miesięcznik Monitor Zamówień Publicznych, Zamówienia Publiczne w Praktyce oraz Zamówienia Publiczne. Doradca. Najwięcej artykułów prasowych ukazało się w marcu, w maju, we wrześniu i w listopadzie. </w:t>
      </w:r>
    </w:p>
    <w:p w14:paraId="7E2117AB" w14:textId="77777777" w:rsidR="00AA6A23" w:rsidRDefault="00AA6A23" w:rsidP="00AA6A23">
      <w:pPr>
        <w:shd w:val="clear" w:color="auto" w:fill="FFFFFF"/>
        <w:rPr>
          <w:rFonts w:cs="Arial"/>
        </w:rPr>
      </w:pPr>
    </w:p>
    <w:p w14:paraId="4814158A" w14:textId="23AEA5F3" w:rsidR="00AA6A23" w:rsidRPr="00AA6A23" w:rsidRDefault="00AA6A23" w:rsidP="00AA6A23">
      <w:pPr>
        <w:shd w:val="clear" w:color="auto" w:fill="FFFFFF"/>
        <w:rPr>
          <w:rFonts w:cs="Arial"/>
        </w:rPr>
      </w:pPr>
      <w:r w:rsidRPr="00AA6A23">
        <w:rPr>
          <w:rFonts w:cs="Arial"/>
        </w:rPr>
        <w:t>Na portalach internetowych informacje publikowane były najczęściej na portalach: bomega.pl, portalzp.pl, gov.pl, wnp.pl, msn.pl oraz biznes.pap.pl. Najwięcej artykułów internetowych ukazało się w lutym, w kwietniu, w październiku oraz w listopadzie.</w:t>
      </w:r>
    </w:p>
    <w:p w14:paraId="458B1929" w14:textId="77777777" w:rsidR="00AA6A23" w:rsidRPr="00AA6A23" w:rsidRDefault="00AA6A23" w:rsidP="00AA6A23">
      <w:pPr>
        <w:shd w:val="clear" w:color="auto" w:fill="FFFFFF"/>
        <w:rPr>
          <w:rFonts w:cs="Arial"/>
        </w:rPr>
      </w:pPr>
      <w:r w:rsidRPr="00AA6A23">
        <w:rPr>
          <w:rFonts w:cs="Arial"/>
        </w:rPr>
        <w:t>Tematy związane z zamówieniami publicznymi poruszane były również podczas audycji radiowych i telewizyjnych. Najczęściej audycje pojawiały się w stacjach TV: Wydarzenia 24, Polsat News, Biznes 24 oraz TVPinfo i TVN24. oraz rozgłośniach radiowych: Radio TOK FM, PR 24, PR1, PR3 oraz Radio RDC. Najwięcej audycji nadawano w lutym, we wrześniu i w październiku.</w:t>
      </w:r>
    </w:p>
    <w:p w14:paraId="4F043FA7" w14:textId="77777777" w:rsidR="008726F0" w:rsidRDefault="008726F0" w:rsidP="00282022">
      <w:pPr>
        <w:shd w:val="clear" w:color="auto" w:fill="FFFFFF"/>
        <w:rPr>
          <w:rFonts w:cs="Arial"/>
        </w:rPr>
      </w:pPr>
    </w:p>
    <w:p w14:paraId="0EDE6FD8" w14:textId="77777777" w:rsidR="00F96B8E" w:rsidRDefault="00F96B8E" w:rsidP="00282022">
      <w:pPr>
        <w:shd w:val="clear" w:color="auto" w:fill="FFFFFF"/>
        <w:rPr>
          <w:rFonts w:cs="Arial"/>
        </w:rPr>
      </w:pPr>
    </w:p>
    <w:tbl>
      <w:tblPr>
        <w:tblW w:w="0" w:type="auto"/>
        <w:tblInd w:w="374" w:type="dxa"/>
        <w:tblLayout w:type="fixed"/>
        <w:tblLook w:val="04A0" w:firstRow="1" w:lastRow="0" w:firstColumn="1" w:lastColumn="0" w:noHBand="0" w:noVBand="1"/>
      </w:tblPr>
      <w:tblGrid>
        <w:gridCol w:w="236"/>
        <w:gridCol w:w="8676"/>
      </w:tblGrid>
      <w:tr w:rsidR="00390AB1" w:rsidRPr="001E7D51" w14:paraId="77453E0C" w14:textId="77777777" w:rsidTr="00386884">
        <w:trPr>
          <w:cantSplit/>
        </w:trPr>
        <w:tc>
          <w:tcPr>
            <w:tcW w:w="236" w:type="dxa"/>
            <w:shd w:val="clear" w:color="auto" w:fill="B8CCE4"/>
          </w:tcPr>
          <w:p w14:paraId="38C723F1" w14:textId="77777777" w:rsidR="00390AB1" w:rsidRPr="001E7D51" w:rsidRDefault="00390AB1" w:rsidP="00386884">
            <w:pPr>
              <w:rPr>
                <w:sz w:val="24"/>
              </w:rPr>
            </w:pPr>
          </w:p>
        </w:tc>
        <w:tc>
          <w:tcPr>
            <w:tcW w:w="8676" w:type="dxa"/>
          </w:tcPr>
          <w:p w14:paraId="4ABAB1D6" w14:textId="643D4E22" w:rsidR="00390AB1" w:rsidRPr="00B002DA" w:rsidRDefault="00390AB1" w:rsidP="008726F0">
            <w:pPr>
              <w:pStyle w:val="Nagwek3"/>
              <w:shd w:val="clear" w:color="auto" w:fill="FFFFFF"/>
              <w:spacing w:after="120"/>
              <w:ind w:left="0"/>
              <w:rPr>
                <w:color w:val="0070C0"/>
                <w:sz w:val="24"/>
                <w:szCs w:val="24"/>
              </w:rPr>
            </w:pPr>
            <w:bookmarkStart w:id="262" w:name="_Toc141276472"/>
            <w:r w:rsidRPr="00B002DA">
              <w:rPr>
                <w:color w:val="0070C0"/>
                <w:sz w:val="24"/>
                <w:szCs w:val="24"/>
              </w:rPr>
              <w:t>III.</w:t>
            </w:r>
            <w:r w:rsidR="008726F0" w:rsidRPr="00B002DA">
              <w:rPr>
                <w:color w:val="0070C0"/>
                <w:sz w:val="24"/>
                <w:szCs w:val="24"/>
              </w:rPr>
              <w:t>5</w:t>
            </w:r>
            <w:r w:rsidRPr="00B002DA">
              <w:rPr>
                <w:color w:val="0070C0"/>
                <w:sz w:val="24"/>
                <w:szCs w:val="24"/>
              </w:rPr>
              <w:t>.2. Analiza treści publikowanych w mediach</w:t>
            </w:r>
            <w:bookmarkEnd w:id="262"/>
          </w:p>
        </w:tc>
      </w:tr>
    </w:tbl>
    <w:p w14:paraId="7A8B2498" w14:textId="083D995E" w:rsidR="00390AB1" w:rsidRDefault="00390AB1" w:rsidP="00F96B8E">
      <w:pPr>
        <w:shd w:val="clear" w:color="auto" w:fill="FFFFFF"/>
        <w:rPr>
          <w:rFonts w:cs="Arial"/>
        </w:rPr>
      </w:pPr>
    </w:p>
    <w:p w14:paraId="6EA996E1" w14:textId="77777777" w:rsidR="002822D4" w:rsidRPr="002822D4" w:rsidRDefault="002822D4" w:rsidP="002822D4">
      <w:pPr>
        <w:shd w:val="clear" w:color="auto" w:fill="FFFFFF"/>
        <w:rPr>
          <w:rFonts w:cs="Arial"/>
        </w:rPr>
      </w:pPr>
      <w:r w:rsidRPr="002822D4">
        <w:rPr>
          <w:rFonts w:cs="Arial"/>
        </w:rPr>
        <w:t xml:space="preserve">Media tradycyjne oraz media elektroniczne informowały w roku 2022 o najważniejszych zagadnieniach dotyczących rynku zamówień publicznych. Dużą rolę w przekazywaniu informacji nt. zamówień publicznych odgrywają dzienniki ogólnopolskie – Dziennik Gazeta Prawna, Puls Biznesu oraz Rzeczpospolita. Tytuły te nie tylko dostarczają informacji, ale także w miarę możliwości udostępniają łamy swoich pism do szerszej analizy wybranych zagadnień dokonywanej przez specjalistów funkcjonujących na rynku. </w:t>
      </w:r>
    </w:p>
    <w:p w14:paraId="37CE3BB5" w14:textId="77777777" w:rsidR="002822D4" w:rsidRDefault="002822D4" w:rsidP="002822D4">
      <w:pPr>
        <w:shd w:val="clear" w:color="auto" w:fill="FFFFFF"/>
        <w:rPr>
          <w:rFonts w:cs="Arial"/>
        </w:rPr>
      </w:pPr>
    </w:p>
    <w:p w14:paraId="7B0E3364" w14:textId="5BDBA2E5" w:rsidR="002822D4" w:rsidRPr="002822D4" w:rsidRDefault="002822D4" w:rsidP="002822D4">
      <w:pPr>
        <w:shd w:val="clear" w:color="auto" w:fill="FFFFFF"/>
        <w:rPr>
          <w:rFonts w:cs="Arial"/>
        </w:rPr>
      </w:pPr>
      <w:r w:rsidRPr="002822D4">
        <w:rPr>
          <w:rFonts w:cs="Arial"/>
        </w:rPr>
        <w:t xml:space="preserve">Istotną funkcję w kształtowaniu opinii o rynku zamówień sprawują portale internetowe, zarówno te poświęcone tematyce biznesowej i prawnej omawiające najważniejsze zagadnienia i wyzwania całego rynku zamówień publicznych oraz strony dedykowane sprawom lokalnych społeczności, które zwykle koncentrują się wokół konkretnych postępowań mających realny wpływ na życie danej wspólnoty. </w:t>
      </w:r>
    </w:p>
    <w:p w14:paraId="7DCFCFC2" w14:textId="77777777" w:rsidR="002822D4" w:rsidRDefault="002822D4" w:rsidP="002822D4">
      <w:pPr>
        <w:shd w:val="clear" w:color="auto" w:fill="FFFFFF"/>
        <w:rPr>
          <w:rFonts w:cs="Arial"/>
        </w:rPr>
      </w:pPr>
    </w:p>
    <w:p w14:paraId="6AD674B1" w14:textId="7DD55FF9" w:rsidR="002822D4" w:rsidRPr="002822D4" w:rsidRDefault="002822D4" w:rsidP="002822D4">
      <w:pPr>
        <w:shd w:val="clear" w:color="auto" w:fill="FFFFFF"/>
        <w:rPr>
          <w:rFonts w:cs="Arial"/>
        </w:rPr>
      </w:pPr>
      <w:r w:rsidRPr="002822D4">
        <w:rPr>
          <w:rFonts w:cs="Arial"/>
        </w:rPr>
        <w:t xml:space="preserve">Należy także podkreślić bardzo duże znaczenie profesjonalnych czasopism dedykowanych tylko zamówieniom publicznym. „Przetargi Publiczne”, „Zamówienia Publiczne. Doradca”, „Monitor Zamówień Publicznych”, „Przetargowa.pl” to tylko część z szerokiej gamy tytułów dostępnych na rynku prasowym. Z racji swojej specyfiki, tytuły te stanowią najlepsze źródło bardzo pogłębionej wiedzy odnośnie różnych aspektów funkcjonowania rynku. Trafiają do wybranego grona odbiorców – osób zaangażowanych w rynek zamówień publicznych, przez co pełnią istotną rolę edukacyjną, zwłaszcza w kontekście wejścia w życie nowego Prawa zamówień publicznych. </w:t>
      </w:r>
    </w:p>
    <w:p w14:paraId="5F11DF32" w14:textId="77777777" w:rsidR="002822D4" w:rsidRDefault="002822D4" w:rsidP="002822D4">
      <w:pPr>
        <w:shd w:val="clear" w:color="auto" w:fill="FFFFFF"/>
        <w:rPr>
          <w:rFonts w:cs="Arial"/>
        </w:rPr>
      </w:pPr>
    </w:p>
    <w:p w14:paraId="4047A3C3" w14:textId="221338FF" w:rsidR="002822D4" w:rsidRDefault="002822D4" w:rsidP="002822D4">
      <w:pPr>
        <w:shd w:val="clear" w:color="auto" w:fill="FFFFFF"/>
        <w:rPr>
          <w:rFonts w:cs="Arial"/>
        </w:rPr>
      </w:pPr>
      <w:r w:rsidRPr="002822D4">
        <w:rPr>
          <w:rFonts w:cs="Arial"/>
        </w:rPr>
        <w:t xml:space="preserve">W roku 2022 najważniejsze tematy na których skoncentrowana była uwaga mediów w obszarze zamówień publicznych to: </w:t>
      </w:r>
    </w:p>
    <w:p w14:paraId="567E53F2" w14:textId="77777777" w:rsidR="002822D4" w:rsidRPr="002822D4" w:rsidRDefault="002822D4" w:rsidP="002822D4">
      <w:pPr>
        <w:shd w:val="clear" w:color="auto" w:fill="FFFFFF"/>
        <w:rPr>
          <w:rFonts w:cs="Arial"/>
        </w:rPr>
      </w:pPr>
    </w:p>
    <w:p w14:paraId="17623441" w14:textId="77777777" w:rsidR="002822D4" w:rsidRPr="002822D4" w:rsidRDefault="002822D4" w:rsidP="005C7DF9">
      <w:pPr>
        <w:numPr>
          <w:ilvl w:val="0"/>
          <w:numId w:val="66"/>
        </w:numPr>
        <w:shd w:val="clear" w:color="auto" w:fill="FFFFFF"/>
        <w:rPr>
          <w:rFonts w:cs="Arial"/>
          <w:szCs w:val="22"/>
        </w:rPr>
      </w:pPr>
      <w:r w:rsidRPr="002822D4">
        <w:rPr>
          <w:rFonts w:cs="Arial"/>
          <w:szCs w:val="22"/>
        </w:rPr>
        <w:t>Funkcjonowanie rynku zamówień publicznych pod rządami Prawa zamówień publicznych z 2019 roku</w:t>
      </w:r>
    </w:p>
    <w:p w14:paraId="2D7B4EDF" w14:textId="4767456D" w:rsidR="002822D4" w:rsidRDefault="002822D4" w:rsidP="002822D4">
      <w:pPr>
        <w:shd w:val="clear" w:color="auto" w:fill="FFFFFF"/>
        <w:ind w:left="360"/>
        <w:rPr>
          <w:rFonts w:cs="Arial"/>
        </w:rPr>
      </w:pPr>
      <w:r w:rsidRPr="002822D4">
        <w:rPr>
          <w:rFonts w:cs="Arial"/>
        </w:rPr>
        <w:t>Uwaga dziennikarzy skoncentrowana była wokół najważniejszych rozwiązań wprowadzanych nowym Prawem zamówień publicznych – ich analiz i wniosków jakie płyną z obserwacji stosowania nowych rozwiązań. Materiały drukowane oraz materiały w mediach elektronicznych opatrzone były komentarzami specjalistów zajmujących się na co dzień zamówieniami publicznymi. Teoretycy oraz praktycy zamówień publicznych w przeważającej części pozytywnie wypowiadali się o zmianach, które weszły w życie wraz z nowym PZP, podkreślając zwłaszcza innowacyjny charakter wprowadzanych rozwiązań oraz kompleksowość zaproponowanych regulacji.</w:t>
      </w:r>
    </w:p>
    <w:p w14:paraId="5FDF509F" w14:textId="77777777" w:rsidR="002822D4" w:rsidRPr="002822D4" w:rsidRDefault="002822D4" w:rsidP="002822D4">
      <w:pPr>
        <w:shd w:val="clear" w:color="auto" w:fill="FFFFFF"/>
        <w:rPr>
          <w:rFonts w:cs="Arial"/>
        </w:rPr>
      </w:pPr>
    </w:p>
    <w:p w14:paraId="6E8D8FC2" w14:textId="77777777" w:rsidR="002822D4" w:rsidRPr="002822D4" w:rsidRDefault="002822D4" w:rsidP="005C7DF9">
      <w:pPr>
        <w:numPr>
          <w:ilvl w:val="0"/>
          <w:numId w:val="66"/>
        </w:numPr>
        <w:shd w:val="clear" w:color="auto" w:fill="FFFFFF"/>
        <w:rPr>
          <w:rFonts w:cs="Arial"/>
          <w:szCs w:val="22"/>
        </w:rPr>
      </w:pPr>
      <w:r w:rsidRPr="002822D4">
        <w:rPr>
          <w:rFonts w:cs="Arial"/>
          <w:szCs w:val="22"/>
        </w:rPr>
        <w:t>Temat elektronizacji zamówień publicznych</w:t>
      </w:r>
    </w:p>
    <w:p w14:paraId="47D10202" w14:textId="2F56B764" w:rsidR="002822D4" w:rsidRDefault="002822D4" w:rsidP="002822D4">
      <w:pPr>
        <w:shd w:val="clear" w:color="auto" w:fill="FFFFFF"/>
        <w:ind w:left="360"/>
        <w:rPr>
          <w:rFonts w:cs="Arial"/>
        </w:rPr>
      </w:pPr>
      <w:r w:rsidRPr="002822D4">
        <w:rPr>
          <w:rFonts w:cs="Arial"/>
        </w:rPr>
        <w:t>W roku 2022 dobiegła końca budow</w:t>
      </w:r>
      <w:r w:rsidR="009A39D1">
        <w:rPr>
          <w:rFonts w:cs="Arial"/>
        </w:rPr>
        <w:t>a</w:t>
      </w:r>
      <w:r w:rsidRPr="002822D4">
        <w:rPr>
          <w:rFonts w:cs="Arial"/>
        </w:rPr>
        <w:t xml:space="preserve"> Platformy e-Zamówienia. Mając ten fakt na względzie, informacje prasowe koncentrowały się wokół funkcjonalności udostępnionych na </w:t>
      </w:r>
      <w:r w:rsidR="00844F88">
        <w:rPr>
          <w:rFonts w:cs="Arial"/>
        </w:rPr>
        <w:t>P</w:t>
      </w:r>
      <w:r w:rsidRPr="002822D4">
        <w:rPr>
          <w:rFonts w:cs="Arial"/>
        </w:rPr>
        <w:t>latformie e-Zamówienia</w:t>
      </w:r>
      <w:r w:rsidR="00844F88">
        <w:rPr>
          <w:rFonts w:cs="Arial"/>
        </w:rPr>
        <w:t>.</w:t>
      </w:r>
    </w:p>
    <w:p w14:paraId="163AB1D7" w14:textId="77777777" w:rsidR="002822D4" w:rsidRPr="002822D4" w:rsidRDefault="002822D4" w:rsidP="002822D4">
      <w:pPr>
        <w:shd w:val="clear" w:color="auto" w:fill="FFFFFF"/>
        <w:rPr>
          <w:rFonts w:cs="Arial"/>
        </w:rPr>
      </w:pPr>
    </w:p>
    <w:p w14:paraId="3846DC5F" w14:textId="77777777" w:rsidR="002822D4" w:rsidRPr="002822D4" w:rsidRDefault="002822D4" w:rsidP="005C7DF9">
      <w:pPr>
        <w:numPr>
          <w:ilvl w:val="0"/>
          <w:numId w:val="66"/>
        </w:numPr>
        <w:shd w:val="clear" w:color="auto" w:fill="FFFFFF"/>
        <w:rPr>
          <w:rFonts w:cs="Arial"/>
          <w:szCs w:val="22"/>
        </w:rPr>
      </w:pPr>
      <w:r w:rsidRPr="002822D4">
        <w:rPr>
          <w:rFonts w:cs="Arial"/>
          <w:szCs w:val="22"/>
        </w:rPr>
        <w:t xml:space="preserve">Waloryzacja kontraktów budowlanych </w:t>
      </w:r>
    </w:p>
    <w:p w14:paraId="1180F398" w14:textId="195CEDFD" w:rsidR="002822D4" w:rsidRDefault="002822D4" w:rsidP="002822D4">
      <w:pPr>
        <w:shd w:val="clear" w:color="auto" w:fill="FFFFFF"/>
        <w:ind w:left="360"/>
        <w:rPr>
          <w:rFonts w:cs="Arial"/>
        </w:rPr>
      </w:pPr>
      <w:r w:rsidRPr="002822D4">
        <w:rPr>
          <w:rFonts w:cs="Arial"/>
        </w:rPr>
        <w:t>W obliczu wysokiej inflacji, sprawą szeroko omawianą w mediach stała się potrzeba wprowadzania mechanizmów waloryzacyjnych w umowy o zamówienia publiczne. Kwestia ta szczególnie dotyczyła branży budowlanej. Na kanwie tego zagadnienia, powstała publikacja poświęcona przykładowym klauzulom waloryzacyjnym w sektorze budownictwa. Opracowanie było efektem działania grupy roboczej, w której obok przedstawicieli Urzędu Zamówień Publicznych i Prokuratorii Generalnej Rzeczypospolitej Polskiej znaleźli się reprezentanci branżowych zrzeszeń sektora budownictwa, a także zamawiający zarówno szczebla rządowego, jak i samorządowego.</w:t>
      </w:r>
    </w:p>
    <w:p w14:paraId="1D22AF32" w14:textId="77777777" w:rsidR="002822D4" w:rsidRPr="002822D4" w:rsidRDefault="002822D4" w:rsidP="002822D4">
      <w:pPr>
        <w:shd w:val="clear" w:color="auto" w:fill="FFFFFF"/>
        <w:rPr>
          <w:rFonts w:cs="Arial"/>
        </w:rPr>
      </w:pPr>
    </w:p>
    <w:p w14:paraId="1B0DC1D9" w14:textId="77777777" w:rsidR="002822D4" w:rsidRPr="002822D4" w:rsidRDefault="002822D4" w:rsidP="005C7DF9">
      <w:pPr>
        <w:numPr>
          <w:ilvl w:val="0"/>
          <w:numId w:val="66"/>
        </w:numPr>
        <w:shd w:val="clear" w:color="auto" w:fill="FFFFFF"/>
        <w:rPr>
          <w:rFonts w:cs="Arial"/>
          <w:szCs w:val="22"/>
        </w:rPr>
      </w:pPr>
      <w:r w:rsidRPr="002822D4">
        <w:rPr>
          <w:rFonts w:cs="Arial"/>
          <w:szCs w:val="22"/>
        </w:rPr>
        <w:t>Duże przetargi inwestycyjne i ich przebieg – zagadnienia kontroli oraz sprawy związane z postępowaniami toczonymi przed Krajową Izbą Odwoławczą</w:t>
      </w:r>
    </w:p>
    <w:p w14:paraId="79D25B13" w14:textId="00407729" w:rsidR="002822D4" w:rsidRDefault="002822D4" w:rsidP="00367D08">
      <w:pPr>
        <w:shd w:val="clear" w:color="auto" w:fill="FFFFFF"/>
        <w:ind w:left="360"/>
        <w:rPr>
          <w:rFonts w:cs="Arial"/>
        </w:rPr>
      </w:pPr>
      <w:r w:rsidRPr="002822D4">
        <w:rPr>
          <w:rFonts w:cs="Arial"/>
        </w:rPr>
        <w:t>Szeroko informowano</w:t>
      </w:r>
      <w:r w:rsidR="00B15E34">
        <w:rPr>
          <w:rFonts w:cs="Arial"/>
        </w:rPr>
        <w:t xml:space="preserve"> </w:t>
      </w:r>
      <w:r w:rsidRPr="002822D4">
        <w:rPr>
          <w:rFonts w:cs="Arial"/>
        </w:rPr>
        <w:t>o</w:t>
      </w:r>
      <w:r w:rsidR="00B15E34">
        <w:rPr>
          <w:rFonts w:cs="Arial"/>
        </w:rPr>
        <w:t xml:space="preserve"> </w:t>
      </w:r>
      <w:r w:rsidRPr="002822D4">
        <w:rPr>
          <w:rFonts w:cs="Arial"/>
        </w:rPr>
        <w:t>dużych zamówieniach inwestycyjnych, w szczególności dotyczących budowy i remontu dróg, dostaw pojazdów oraz systemów informatycznych. Publikowane materiały w sposób czytelny i najczęściej poprawny merytorycznie wyjaśniały konkretne przepisy</w:t>
      </w:r>
      <w:r w:rsidR="00B15E34">
        <w:rPr>
          <w:rFonts w:cs="Arial"/>
        </w:rPr>
        <w:t xml:space="preserve"> </w:t>
      </w:r>
      <w:r w:rsidRPr="002822D4">
        <w:rPr>
          <w:rFonts w:cs="Arial"/>
        </w:rPr>
        <w:t>prawne</w:t>
      </w:r>
      <w:r w:rsidR="00B15E34">
        <w:rPr>
          <w:rFonts w:cs="Arial"/>
        </w:rPr>
        <w:t xml:space="preserve"> </w:t>
      </w:r>
      <w:r w:rsidRPr="002822D4">
        <w:rPr>
          <w:rFonts w:cs="Arial"/>
        </w:rPr>
        <w:t>oraz</w:t>
      </w:r>
      <w:r w:rsidR="00B15E34">
        <w:rPr>
          <w:rFonts w:cs="Arial"/>
        </w:rPr>
        <w:t xml:space="preserve"> </w:t>
      </w:r>
      <w:r w:rsidRPr="002822D4">
        <w:rPr>
          <w:rFonts w:cs="Arial"/>
        </w:rPr>
        <w:t>rozwiązania,</w:t>
      </w:r>
      <w:r w:rsidR="00B15E34">
        <w:rPr>
          <w:rFonts w:cs="Arial"/>
        </w:rPr>
        <w:t xml:space="preserve"> </w:t>
      </w:r>
      <w:r w:rsidRPr="002822D4">
        <w:rPr>
          <w:rFonts w:cs="Arial"/>
        </w:rPr>
        <w:t>prezentując konkretne przykłady. Dziennikarze</w:t>
      </w:r>
      <w:r w:rsidR="00B15E34">
        <w:rPr>
          <w:rFonts w:cs="Arial"/>
        </w:rPr>
        <w:t xml:space="preserve"> </w:t>
      </w:r>
      <w:r w:rsidRPr="002822D4">
        <w:rPr>
          <w:rFonts w:cs="Arial"/>
        </w:rPr>
        <w:t>informowali</w:t>
      </w:r>
      <w:r w:rsidR="00B15E34">
        <w:rPr>
          <w:rFonts w:cs="Arial"/>
        </w:rPr>
        <w:t xml:space="preserve"> </w:t>
      </w:r>
      <w:r w:rsidRPr="002822D4">
        <w:rPr>
          <w:rFonts w:cs="Arial"/>
        </w:rPr>
        <w:t>także</w:t>
      </w:r>
      <w:r w:rsidR="00B15E34">
        <w:rPr>
          <w:rFonts w:cs="Arial"/>
        </w:rPr>
        <w:t xml:space="preserve"> </w:t>
      </w:r>
      <w:r w:rsidRPr="002822D4">
        <w:rPr>
          <w:rFonts w:cs="Arial"/>
        </w:rPr>
        <w:t>o</w:t>
      </w:r>
      <w:r w:rsidR="00B15E34">
        <w:rPr>
          <w:rFonts w:cs="Arial"/>
        </w:rPr>
        <w:t xml:space="preserve"> </w:t>
      </w:r>
      <w:r w:rsidRPr="002822D4">
        <w:rPr>
          <w:rFonts w:cs="Arial"/>
        </w:rPr>
        <w:t>działaniach</w:t>
      </w:r>
      <w:r w:rsidR="00B15E34">
        <w:rPr>
          <w:rFonts w:cs="Arial"/>
        </w:rPr>
        <w:t xml:space="preserve"> </w:t>
      </w:r>
      <w:r w:rsidRPr="002822D4">
        <w:rPr>
          <w:rFonts w:cs="Arial"/>
        </w:rPr>
        <w:t>Urzędu</w:t>
      </w:r>
      <w:r w:rsidR="00B15E34">
        <w:rPr>
          <w:rFonts w:cs="Arial"/>
        </w:rPr>
        <w:t xml:space="preserve"> </w:t>
      </w:r>
      <w:r w:rsidRPr="002822D4">
        <w:rPr>
          <w:rFonts w:cs="Arial"/>
        </w:rPr>
        <w:t>Zamówień</w:t>
      </w:r>
      <w:r w:rsidR="00B15E34">
        <w:rPr>
          <w:rFonts w:cs="Arial"/>
        </w:rPr>
        <w:t xml:space="preserve"> </w:t>
      </w:r>
      <w:r w:rsidRPr="002822D4">
        <w:rPr>
          <w:rFonts w:cs="Arial"/>
        </w:rPr>
        <w:t>Publicznych</w:t>
      </w:r>
      <w:r w:rsidR="00B15E34">
        <w:rPr>
          <w:rFonts w:cs="Arial"/>
        </w:rPr>
        <w:t xml:space="preserve"> </w:t>
      </w:r>
      <w:r w:rsidRPr="002822D4">
        <w:rPr>
          <w:rFonts w:cs="Arial"/>
        </w:rPr>
        <w:t>w</w:t>
      </w:r>
      <w:r w:rsidR="00B15E34">
        <w:rPr>
          <w:rFonts w:cs="Arial"/>
        </w:rPr>
        <w:t xml:space="preserve"> </w:t>
      </w:r>
      <w:r w:rsidRPr="002822D4">
        <w:rPr>
          <w:rFonts w:cs="Arial"/>
        </w:rPr>
        <w:t xml:space="preserve">zakresie prowadzonych kontroli postępowań o udzielenie zamówienia publicznego. Nie brakowało również artykułów szeroko opisujących i analizujących wyroki Krajowej Izby Odwoławczej. </w:t>
      </w:r>
    </w:p>
    <w:p w14:paraId="43E254EB" w14:textId="77777777" w:rsidR="00367D08" w:rsidRPr="002822D4" w:rsidRDefault="00367D08" w:rsidP="002822D4">
      <w:pPr>
        <w:shd w:val="clear" w:color="auto" w:fill="FFFFFF"/>
        <w:rPr>
          <w:rFonts w:cs="Arial"/>
        </w:rPr>
      </w:pPr>
    </w:p>
    <w:p w14:paraId="15FCDF6A" w14:textId="77777777" w:rsidR="002822D4" w:rsidRPr="00367D08" w:rsidRDefault="002822D4" w:rsidP="005C7DF9">
      <w:pPr>
        <w:numPr>
          <w:ilvl w:val="0"/>
          <w:numId w:val="66"/>
        </w:numPr>
        <w:shd w:val="clear" w:color="auto" w:fill="FFFFFF"/>
        <w:rPr>
          <w:rFonts w:cs="Arial"/>
          <w:szCs w:val="22"/>
        </w:rPr>
      </w:pPr>
      <w:r w:rsidRPr="00367D08">
        <w:rPr>
          <w:rFonts w:cs="Arial"/>
          <w:szCs w:val="22"/>
        </w:rPr>
        <w:t>Publikacje dot. materiałów zamieszczanych na stronie Urzędu</w:t>
      </w:r>
    </w:p>
    <w:p w14:paraId="2113B48F" w14:textId="49909D98" w:rsidR="002822D4" w:rsidRPr="002822D4" w:rsidRDefault="002822D4" w:rsidP="00367D08">
      <w:pPr>
        <w:shd w:val="clear" w:color="auto" w:fill="FFFFFF"/>
        <w:ind w:left="360"/>
        <w:rPr>
          <w:rFonts w:cs="Arial"/>
        </w:rPr>
      </w:pPr>
      <w:r w:rsidRPr="002822D4">
        <w:rPr>
          <w:rFonts w:cs="Arial"/>
        </w:rPr>
        <w:t xml:space="preserve">Rok 2022 to rok kontynuacji współpracy w zakresie przygotowywania Rekomendacji oraz praktycznych dokumentów dla uczestników rynku. Urząd prowadzi współpracę z wieloma branżami, czego efektem w roku 2022 były Rekomendacje Prezesa UZP dotyczące konkursu w branży architektonicznej, Rekomendacje pn. </w:t>
      </w:r>
      <w:r w:rsidRPr="002822D4">
        <w:rPr>
          <w:rFonts w:cs="Arial"/>
          <w:i/>
          <w:iCs/>
        </w:rPr>
        <w:t>„Udzielanie zamówień publicznych w zakresie urządzeń drukujących i wielofunkcyjnych, urządzeń mobilnych oraz systemów digital signage”</w:t>
      </w:r>
      <w:r w:rsidRPr="002822D4">
        <w:rPr>
          <w:rFonts w:cs="Arial"/>
        </w:rPr>
        <w:t xml:space="preserve"> a także opracowanie przygotowane w ramach współpracy ze światem nauki poświęcone kwestii grup odczynników na potrzeby szacowania wartości zamówienia</w:t>
      </w:r>
      <w:r w:rsidR="00844F88">
        <w:rPr>
          <w:rFonts w:cs="Arial"/>
        </w:rPr>
        <w:t>.</w:t>
      </w:r>
    </w:p>
    <w:p w14:paraId="7E74A432" w14:textId="77777777" w:rsidR="00367D08" w:rsidRDefault="00367D08" w:rsidP="002822D4">
      <w:pPr>
        <w:shd w:val="clear" w:color="auto" w:fill="FFFFFF"/>
        <w:rPr>
          <w:rFonts w:cs="Arial"/>
        </w:rPr>
      </w:pPr>
    </w:p>
    <w:p w14:paraId="0C029DA1" w14:textId="51A9C79B" w:rsidR="002822D4" w:rsidRPr="002822D4" w:rsidRDefault="002822D4" w:rsidP="002822D4">
      <w:pPr>
        <w:shd w:val="clear" w:color="auto" w:fill="FFFFFF"/>
        <w:rPr>
          <w:rFonts w:cs="Arial"/>
        </w:rPr>
      </w:pPr>
      <w:r w:rsidRPr="002822D4">
        <w:rPr>
          <w:rFonts w:cs="Arial"/>
        </w:rPr>
        <w:t>O tych wszystkich aktywnościach, a także o dużej liczbie nowych dokumentów pomagających uczestnikom rynku informowały zarówno media tradycyjne, jak i elektroniczne.</w:t>
      </w:r>
      <w:r w:rsidR="00B15E34">
        <w:rPr>
          <w:rFonts w:cs="Arial"/>
        </w:rPr>
        <w:t xml:space="preserve"> </w:t>
      </w:r>
      <w:r w:rsidRPr="002822D4">
        <w:rPr>
          <w:rFonts w:cs="Arial"/>
        </w:rPr>
        <w:t>Należy podkreślić, że w roku 2022 cały czas rosła aktywność Urzędu w zakresie prowadzenia mediów społecznościowych (Linkedin, Twitter, YouTube), dzięki czemu informacje, praktyczne materiały, a także edukacyjne filmy trafiają do szerokiego grona odbiorców. Profile UZP są miejscami prowokującymi dyskusje i inspirującymi obserwujących do aktywności i prezentowania swoich poglądów. Tym samym zagadnienia zamówień publicznych stają się istotną częścią debaty profesjonalistów różnych branż.</w:t>
      </w:r>
    </w:p>
    <w:p w14:paraId="28CB0437" w14:textId="77777777" w:rsidR="00B002DA" w:rsidRDefault="00B002DA" w:rsidP="002822D4">
      <w:pPr>
        <w:shd w:val="clear" w:color="auto" w:fill="FFFFFF"/>
        <w:rPr>
          <w:rFonts w:cs="Arial"/>
        </w:rPr>
      </w:pPr>
    </w:p>
    <w:p w14:paraId="5B65EE7F" w14:textId="173F0564" w:rsidR="002822D4" w:rsidRPr="002822D4" w:rsidRDefault="002822D4" w:rsidP="002822D4">
      <w:pPr>
        <w:shd w:val="clear" w:color="auto" w:fill="FFFFFF"/>
        <w:rPr>
          <w:rFonts w:cs="Arial"/>
        </w:rPr>
      </w:pPr>
      <w:r w:rsidRPr="002822D4">
        <w:rPr>
          <w:rFonts w:cs="Arial"/>
        </w:rPr>
        <w:t xml:space="preserve">Dodatkowo, w lipcu 2022 roku Urząd przeniósł swoją stronę internetową na środowisko gov.pl. Oficjalna strona UZP prowadzona jest obecnie pod adresem </w:t>
      </w:r>
      <w:hyperlink r:id="rId69" w:history="1">
        <w:r w:rsidRPr="002822D4">
          <w:rPr>
            <w:rStyle w:val="Hipercze"/>
            <w:rFonts w:cs="Arial"/>
          </w:rPr>
          <w:t>http://gov.pl/web/uzp/</w:t>
        </w:r>
      </w:hyperlink>
      <w:r w:rsidRPr="002822D4">
        <w:rPr>
          <w:rFonts w:cs="Arial"/>
        </w:rPr>
        <w:t xml:space="preserve">. Witryna zyskała uspójniony wygląd z większością stron organów administracji rządowej, co oznacza lepszą dostępność dla osób z niepełnosprawnościami, a także większą przejrzystość i jednolitość publikowanych treści. </w:t>
      </w:r>
    </w:p>
    <w:p w14:paraId="55D87D3D" w14:textId="3B9FF7B2" w:rsidR="00AA4318" w:rsidRDefault="00AA4318">
      <w:pPr>
        <w:jc w:val="left"/>
        <w:rPr>
          <w:rFonts w:cs="Arial"/>
        </w:rPr>
      </w:pPr>
      <w:r>
        <w:rPr>
          <w:rFonts w:cs="Arial"/>
        </w:rPr>
        <w:br w:type="page"/>
      </w:r>
    </w:p>
    <w:p w14:paraId="02EE4541" w14:textId="77777777" w:rsidR="00A32237" w:rsidRDefault="00A32237" w:rsidP="00F96B8E">
      <w:pPr>
        <w:shd w:val="clear" w:color="auto" w:fill="FFFFFF"/>
        <w:rPr>
          <w:rFonts w:cs="Arial"/>
        </w:rPr>
      </w:pPr>
    </w:p>
    <w:p w14:paraId="14144E13" w14:textId="77777777" w:rsidR="00DF24A6" w:rsidRPr="00A716F2" w:rsidRDefault="00DF24A6" w:rsidP="00F96B8E">
      <w:bookmarkStart w:id="263" w:name="_Toc223156058"/>
      <w:bookmarkStart w:id="264" w:name="_Toc223156278"/>
      <w:bookmarkStart w:id="265" w:name="_Toc223923443"/>
      <w:bookmarkStart w:id="266" w:name="_Toc223924356"/>
    </w:p>
    <w:tbl>
      <w:tblPr>
        <w:tblW w:w="9480" w:type="dxa"/>
        <w:tblInd w:w="-194" w:type="dxa"/>
        <w:tblLayout w:type="fixed"/>
        <w:tblLook w:val="04A0" w:firstRow="1" w:lastRow="0" w:firstColumn="1" w:lastColumn="0" w:noHBand="0" w:noVBand="1"/>
      </w:tblPr>
      <w:tblGrid>
        <w:gridCol w:w="302"/>
        <w:gridCol w:w="9178"/>
      </w:tblGrid>
      <w:tr w:rsidR="00016B98" w:rsidRPr="008C3B34" w14:paraId="4BC0FAD9" w14:textId="77777777" w:rsidTr="003E3B45">
        <w:tc>
          <w:tcPr>
            <w:tcW w:w="302" w:type="dxa"/>
            <w:shd w:val="clear" w:color="auto" w:fill="365F91"/>
          </w:tcPr>
          <w:p w14:paraId="32B16DAB" w14:textId="77777777" w:rsidR="00016B98" w:rsidRPr="008C3B34" w:rsidRDefault="00016B98" w:rsidP="00F058DB">
            <w:pPr>
              <w:pStyle w:val="Nagwek1"/>
              <w:spacing w:after="120"/>
              <w:rPr>
                <w:sz w:val="32"/>
                <w:szCs w:val="32"/>
              </w:rPr>
            </w:pPr>
          </w:p>
        </w:tc>
        <w:tc>
          <w:tcPr>
            <w:tcW w:w="9178" w:type="dxa"/>
          </w:tcPr>
          <w:p w14:paraId="5BC911E9" w14:textId="77777777" w:rsidR="00016B98" w:rsidRPr="00A6597A" w:rsidRDefault="00016B98" w:rsidP="00F058DB">
            <w:pPr>
              <w:pStyle w:val="Nagwek1"/>
              <w:spacing w:after="120"/>
              <w:rPr>
                <w:noProof/>
                <w:color w:val="0070C0"/>
                <w:sz w:val="32"/>
                <w:szCs w:val="32"/>
              </w:rPr>
            </w:pPr>
            <w:bookmarkStart w:id="267" w:name="_Toc64451895"/>
            <w:bookmarkStart w:id="268" w:name="_Ref99031238"/>
            <w:bookmarkStart w:id="269" w:name="_Toc141276473"/>
            <w:r w:rsidRPr="00A6597A">
              <w:rPr>
                <w:noProof/>
                <w:color w:val="0070C0"/>
                <w:sz w:val="32"/>
                <w:szCs w:val="32"/>
              </w:rPr>
              <w:t>IV.</w:t>
            </w:r>
            <w:r w:rsidR="00750B05" w:rsidRPr="00A6597A">
              <w:rPr>
                <w:noProof/>
                <w:color w:val="0070C0"/>
                <w:sz w:val="32"/>
                <w:szCs w:val="32"/>
              </w:rPr>
              <w:t xml:space="preserve"> </w:t>
            </w:r>
            <w:r w:rsidRPr="00A6597A">
              <w:rPr>
                <w:noProof/>
                <w:color w:val="0070C0"/>
                <w:sz w:val="32"/>
                <w:szCs w:val="32"/>
              </w:rPr>
              <w:t>WNIOSKI I REKOMENDACJE</w:t>
            </w:r>
            <w:bookmarkEnd w:id="267"/>
            <w:bookmarkEnd w:id="268"/>
            <w:bookmarkEnd w:id="269"/>
          </w:p>
        </w:tc>
      </w:tr>
    </w:tbl>
    <w:p w14:paraId="26AA179F" w14:textId="77777777" w:rsidR="00C66463" w:rsidRPr="009F16AC" w:rsidRDefault="00C66463" w:rsidP="007D4DEB">
      <w:pPr>
        <w:shd w:val="clear" w:color="auto" w:fill="FFFFFF"/>
        <w:rPr>
          <w:rFonts w:cs="Arial"/>
          <w:szCs w:val="22"/>
        </w:rPr>
      </w:pPr>
    </w:p>
    <w:tbl>
      <w:tblPr>
        <w:tblW w:w="0" w:type="auto"/>
        <w:tblInd w:w="90" w:type="dxa"/>
        <w:tblLayout w:type="fixed"/>
        <w:tblLook w:val="04A0" w:firstRow="1" w:lastRow="0" w:firstColumn="1" w:lastColumn="0" w:noHBand="0" w:noVBand="1"/>
      </w:tblPr>
      <w:tblGrid>
        <w:gridCol w:w="236"/>
        <w:gridCol w:w="8960"/>
      </w:tblGrid>
      <w:tr w:rsidR="0043023F" w14:paraId="640B820E" w14:textId="77777777" w:rsidTr="0080794B">
        <w:trPr>
          <w:cantSplit/>
        </w:trPr>
        <w:tc>
          <w:tcPr>
            <w:tcW w:w="236" w:type="dxa"/>
            <w:shd w:val="clear" w:color="auto" w:fill="95B3D7"/>
          </w:tcPr>
          <w:p w14:paraId="32806791" w14:textId="77777777" w:rsidR="0043023F" w:rsidRDefault="0043023F" w:rsidP="007D4DEB"/>
        </w:tc>
        <w:tc>
          <w:tcPr>
            <w:tcW w:w="8960" w:type="dxa"/>
          </w:tcPr>
          <w:p w14:paraId="0311FC5F" w14:textId="77777777" w:rsidR="0043023F" w:rsidRPr="00A6597A" w:rsidRDefault="0043023F" w:rsidP="00F058DB">
            <w:pPr>
              <w:pStyle w:val="Nagwek2"/>
              <w:shd w:val="clear" w:color="auto" w:fill="FFFFFF"/>
              <w:spacing w:after="120"/>
              <w:rPr>
                <w:noProof/>
                <w:color w:val="0070C0"/>
                <w:sz w:val="28"/>
              </w:rPr>
            </w:pPr>
            <w:bookmarkStart w:id="270" w:name="_Toc64451896"/>
            <w:bookmarkStart w:id="271" w:name="_Toc141276474"/>
            <w:r w:rsidRPr="00A6597A">
              <w:rPr>
                <w:noProof/>
                <w:color w:val="0070C0"/>
                <w:sz w:val="28"/>
              </w:rPr>
              <w:t>IV.1. Wnioski</w:t>
            </w:r>
            <w:bookmarkEnd w:id="270"/>
            <w:bookmarkEnd w:id="271"/>
          </w:p>
        </w:tc>
      </w:tr>
    </w:tbl>
    <w:p w14:paraId="2889401C" w14:textId="58D5BF04" w:rsidR="0043023F" w:rsidRDefault="0043023F" w:rsidP="007D4DEB">
      <w:pPr>
        <w:shd w:val="clear" w:color="auto" w:fill="FFFFFF"/>
        <w:rPr>
          <w:rFonts w:cs="Arial"/>
        </w:rPr>
      </w:pPr>
    </w:p>
    <w:p w14:paraId="1B666402" w14:textId="77777777" w:rsidR="009F16AC" w:rsidRPr="009F16AC" w:rsidRDefault="009F16AC" w:rsidP="009F16AC">
      <w:pPr>
        <w:shd w:val="clear" w:color="auto" w:fill="FFFFFF"/>
        <w:rPr>
          <w:rFonts w:cs="Arial"/>
          <w:szCs w:val="22"/>
        </w:rPr>
      </w:pPr>
      <w:r>
        <w:rPr>
          <w:rFonts w:cs="Arial"/>
          <w:szCs w:val="22"/>
        </w:rPr>
        <w:t xml:space="preserve">Dane dotyczące funkcjonowania systemu zamówień publicznych w 2022 roku pozwalają </w:t>
      </w:r>
      <w:r w:rsidRPr="009F16AC">
        <w:rPr>
          <w:rFonts w:cs="Arial"/>
          <w:szCs w:val="22"/>
        </w:rPr>
        <w:t xml:space="preserve">dostrzec niżej wskazane zjawiska i trendy w obszarze zamówień publicznych oraz sformułować następujące wnioski: </w:t>
      </w:r>
    </w:p>
    <w:p w14:paraId="42175F71" w14:textId="77777777" w:rsidR="009F16AC" w:rsidRPr="009F16AC" w:rsidRDefault="009F16AC" w:rsidP="009F16AC">
      <w:pPr>
        <w:shd w:val="clear" w:color="auto" w:fill="FFFFFF"/>
        <w:rPr>
          <w:rFonts w:cs="Arial"/>
          <w:szCs w:val="22"/>
        </w:rPr>
      </w:pPr>
    </w:p>
    <w:p w14:paraId="15B54D2B" w14:textId="69213368" w:rsidR="009F16AC" w:rsidRPr="009F16AC" w:rsidRDefault="0075295B" w:rsidP="00AB684C">
      <w:pPr>
        <w:pStyle w:val="Akapitzlist"/>
        <w:numPr>
          <w:ilvl w:val="0"/>
          <w:numId w:val="71"/>
        </w:numPr>
        <w:shd w:val="clear" w:color="auto" w:fill="FFFFFF"/>
        <w:spacing w:after="60"/>
        <w:ind w:left="360"/>
        <w:contextualSpacing w:val="0"/>
        <w:rPr>
          <w:rFonts w:cs="Arial"/>
          <w:bCs/>
          <w:sz w:val="22"/>
          <w:szCs w:val="22"/>
        </w:rPr>
      </w:pPr>
      <w:r>
        <w:rPr>
          <w:rFonts w:cs="Arial"/>
          <w:bCs/>
          <w:sz w:val="22"/>
          <w:szCs w:val="22"/>
          <w:lang w:val="pl-PL"/>
        </w:rPr>
        <w:t>w</w:t>
      </w:r>
      <w:r w:rsidR="009F16AC">
        <w:rPr>
          <w:rFonts w:cs="Arial"/>
          <w:bCs/>
          <w:sz w:val="22"/>
          <w:szCs w:val="22"/>
          <w:lang w:val="pl-PL"/>
        </w:rPr>
        <w:t xml:space="preserve"> 2022 roku </w:t>
      </w:r>
      <w:r w:rsidR="009F16AC" w:rsidRPr="009F16AC">
        <w:rPr>
          <w:rFonts w:cs="Arial"/>
          <w:bCs/>
          <w:sz w:val="22"/>
          <w:szCs w:val="22"/>
        </w:rPr>
        <w:t xml:space="preserve">nastąpił </w:t>
      </w:r>
      <w:r w:rsidR="009F16AC">
        <w:rPr>
          <w:rFonts w:cs="Arial"/>
          <w:bCs/>
          <w:sz w:val="22"/>
          <w:szCs w:val="22"/>
          <w:lang w:val="pl-PL"/>
        </w:rPr>
        <w:t xml:space="preserve">w stosunku do roku 2021 </w:t>
      </w:r>
      <w:r w:rsidR="009F16AC" w:rsidRPr="009F16AC">
        <w:rPr>
          <w:rFonts w:cs="Arial"/>
          <w:bCs/>
          <w:sz w:val="22"/>
          <w:szCs w:val="22"/>
        </w:rPr>
        <w:t xml:space="preserve">znaczny wzrost wartości zamówień </w:t>
      </w:r>
      <w:r w:rsidR="009F16AC" w:rsidRPr="009F16AC">
        <w:rPr>
          <w:rFonts w:cs="Arial"/>
          <w:sz w:val="22"/>
          <w:szCs w:val="22"/>
        </w:rPr>
        <w:t>udzielonych zarówno na podstawie przepisów Pzp, jak i na podstawie zwolnień ustawowych</w:t>
      </w:r>
      <w:r>
        <w:rPr>
          <w:rFonts w:cs="Arial"/>
          <w:sz w:val="22"/>
          <w:szCs w:val="22"/>
          <w:lang w:val="pl-PL"/>
        </w:rPr>
        <w:t>;</w:t>
      </w:r>
    </w:p>
    <w:p w14:paraId="675E194D" w14:textId="68571704" w:rsidR="009F16AC" w:rsidRPr="009F16AC" w:rsidRDefault="0075295B" w:rsidP="0089386B">
      <w:pPr>
        <w:pStyle w:val="Akapitzlist"/>
        <w:numPr>
          <w:ilvl w:val="0"/>
          <w:numId w:val="71"/>
        </w:numPr>
        <w:shd w:val="clear" w:color="auto" w:fill="FFFFFF"/>
        <w:ind w:left="357" w:hanging="357"/>
        <w:contextualSpacing w:val="0"/>
        <w:rPr>
          <w:rFonts w:cs="Arial"/>
          <w:sz w:val="22"/>
          <w:szCs w:val="22"/>
        </w:rPr>
      </w:pPr>
      <w:r w:rsidRPr="009F16AC">
        <w:rPr>
          <w:rFonts w:cs="Arial"/>
          <w:sz w:val="22"/>
          <w:szCs w:val="22"/>
        </w:rPr>
        <w:t>wartość</w:t>
      </w:r>
      <w:r w:rsidR="009F16AC" w:rsidRPr="009F16AC">
        <w:rPr>
          <w:rFonts w:cs="Arial"/>
          <w:sz w:val="22"/>
          <w:szCs w:val="22"/>
        </w:rPr>
        <w:t xml:space="preserve"> zamówień udzielonych na podstawie przepisów Pzp wzrosła z 184,6 mld zł w</w:t>
      </w:r>
      <w:r>
        <w:rPr>
          <w:rFonts w:cs="Arial"/>
          <w:sz w:val="22"/>
          <w:szCs w:val="22"/>
          <w:lang w:val="pl-PL"/>
        </w:rPr>
        <w:t> </w:t>
      </w:r>
      <w:r w:rsidR="00AB684C">
        <w:rPr>
          <w:rFonts w:cs="Arial"/>
          <w:sz w:val="22"/>
          <w:szCs w:val="22"/>
        </w:rPr>
        <w:t>2021</w:t>
      </w:r>
      <w:r w:rsidR="00AB684C">
        <w:rPr>
          <w:rFonts w:cs="Arial"/>
          <w:sz w:val="22"/>
          <w:szCs w:val="22"/>
          <w:lang w:val="pl-PL"/>
        </w:rPr>
        <w:t> </w:t>
      </w:r>
      <w:r w:rsidR="009F16AC" w:rsidRPr="009F16AC">
        <w:rPr>
          <w:rFonts w:cs="Arial"/>
          <w:sz w:val="22"/>
          <w:szCs w:val="22"/>
        </w:rPr>
        <w:t>r. do 274,8 mld zł w 2022 r., w tym:</w:t>
      </w:r>
    </w:p>
    <w:p w14:paraId="1FFD7F08" w14:textId="459CE582" w:rsidR="009F16AC" w:rsidRPr="0089386B" w:rsidRDefault="0075295B" w:rsidP="0089386B">
      <w:pPr>
        <w:pStyle w:val="Akapitzlist"/>
        <w:numPr>
          <w:ilvl w:val="0"/>
          <w:numId w:val="76"/>
        </w:numPr>
        <w:shd w:val="clear" w:color="auto" w:fill="FFFFFF"/>
        <w:ind w:left="714" w:hanging="357"/>
        <w:contextualSpacing w:val="0"/>
        <w:rPr>
          <w:rFonts w:cs="Arial"/>
          <w:sz w:val="22"/>
          <w:szCs w:val="22"/>
        </w:rPr>
      </w:pPr>
      <w:r w:rsidRPr="0089386B">
        <w:rPr>
          <w:rFonts w:cs="Arial"/>
          <w:sz w:val="22"/>
          <w:szCs w:val="22"/>
        </w:rPr>
        <w:t>zamówień sektorowych</w:t>
      </w:r>
      <w:r w:rsidR="009F16AC" w:rsidRPr="0089386B">
        <w:rPr>
          <w:rFonts w:cs="Arial"/>
          <w:sz w:val="22"/>
          <w:szCs w:val="22"/>
        </w:rPr>
        <w:t xml:space="preserve">: z 32,451 mld zł do 64,187 mld zł (zamówienia o dużej wartości na usługi i dostawy, kilka zamówień o wartości ponad 1 mld zł, w tym największe </w:t>
      </w:r>
      <w:r w:rsidR="00187B7C" w:rsidRPr="0089386B">
        <w:rPr>
          <w:rFonts w:cs="Arial"/>
          <w:sz w:val="22"/>
          <w:szCs w:val="22"/>
        </w:rPr>
        <w:t xml:space="preserve">o wartości </w:t>
      </w:r>
      <w:r w:rsidR="009F16AC" w:rsidRPr="0089386B">
        <w:rPr>
          <w:rFonts w:cs="Arial"/>
          <w:sz w:val="22"/>
          <w:szCs w:val="22"/>
        </w:rPr>
        <w:t>ponad 7 mld zł)</w:t>
      </w:r>
      <w:r w:rsidRPr="0089386B">
        <w:rPr>
          <w:rFonts w:cs="Arial"/>
          <w:sz w:val="22"/>
          <w:szCs w:val="22"/>
        </w:rPr>
        <w:t>,</w:t>
      </w:r>
    </w:p>
    <w:p w14:paraId="5AFF2A80" w14:textId="48E445C4" w:rsidR="009F16AC" w:rsidRPr="0089386B" w:rsidRDefault="0075295B" w:rsidP="0089386B">
      <w:pPr>
        <w:pStyle w:val="Akapitzlist"/>
        <w:numPr>
          <w:ilvl w:val="0"/>
          <w:numId w:val="76"/>
        </w:numPr>
        <w:shd w:val="clear" w:color="auto" w:fill="FFFFFF"/>
        <w:ind w:left="714" w:hanging="357"/>
        <w:contextualSpacing w:val="0"/>
        <w:rPr>
          <w:rFonts w:cs="Arial"/>
          <w:sz w:val="22"/>
          <w:szCs w:val="22"/>
        </w:rPr>
      </w:pPr>
      <w:r w:rsidRPr="0089386B">
        <w:rPr>
          <w:rFonts w:cs="Arial"/>
          <w:sz w:val="22"/>
          <w:szCs w:val="22"/>
        </w:rPr>
        <w:t>zamówień</w:t>
      </w:r>
      <w:r w:rsidR="009F16AC" w:rsidRPr="0089386B">
        <w:rPr>
          <w:rFonts w:cs="Arial"/>
          <w:sz w:val="22"/>
          <w:szCs w:val="22"/>
        </w:rPr>
        <w:t xml:space="preserve"> w dziedzinach obronności i bezpieczeństwa: z 5,825 mld zł w 2021 r. do 16,343 mld zł w 2022 r. (dostawy o dużej wartości)</w:t>
      </w:r>
      <w:r w:rsidRPr="0089386B">
        <w:rPr>
          <w:rFonts w:cs="Arial"/>
          <w:sz w:val="22"/>
          <w:szCs w:val="22"/>
        </w:rPr>
        <w:t>,</w:t>
      </w:r>
    </w:p>
    <w:p w14:paraId="0A0E4D1D" w14:textId="0DE7D21C" w:rsidR="009F16AC" w:rsidRPr="0089386B" w:rsidRDefault="0075295B" w:rsidP="0089386B">
      <w:pPr>
        <w:pStyle w:val="Akapitzlist"/>
        <w:numPr>
          <w:ilvl w:val="0"/>
          <w:numId w:val="76"/>
        </w:numPr>
        <w:shd w:val="clear" w:color="auto" w:fill="FFFFFF"/>
        <w:spacing w:after="60"/>
        <w:ind w:left="714" w:hanging="357"/>
        <w:contextualSpacing w:val="0"/>
        <w:rPr>
          <w:rFonts w:cs="Arial"/>
          <w:sz w:val="22"/>
          <w:szCs w:val="22"/>
        </w:rPr>
      </w:pPr>
      <w:r w:rsidRPr="0089386B">
        <w:rPr>
          <w:rFonts w:cs="Arial"/>
          <w:sz w:val="22"/>
          <w:szCs w:val="22"/>
        </w:rPr>
        <w:t>zamówień</w:t>
      </w:r>
      <w:r w:rsidR="009F16AC" w:rsidRPr="0089386B">
        <w:rPr>
          <w:rFonts w:cs="Arial"/>
          <w:sz w:val="22"/>
          <w:szCs w:val="22"/>
        </w:rPr>
        <w:t xml:space="preserve"> klasycznych: kilka dużych zamówień na roboty budowlane, dużo zamówień o wysokiej wartości na dostawy</w:t>
      </w:r>
      <w:r w:rsidRPr="0089386B">
        <w:rPr>
          <w:rFonts w:cs="Arial"/>
          <w:sz w:val="22"/>
          <w:szCs w:val="22"/>
        </w:rPr>
        <w:t>;</w:t>
      </w:r>
    </w:p>
    <w:p w14:paraId="591054BA" w14:textId="2922B98B" w:rsidR="00DF3A28" w:rsidRPr="00DF3A28" w:rsidRDefault="0075295B" w:rsidP="00AB684C">
      <w:pPr>
        <w:pStyle w:val="Akapitzlist"/>
        <w:numPr>
          <w:ilvl w:val="0"/>
          <w:numId w:val="71"/>
        </w:numPr>
        <w:shd w:val="clear" w:color="auto" w:fill="FFFFFF"/>
        <w:spacing w:after="60"/>
        <w:ind w:left="360"/>
        <w:contextualSpacing w:val="0"/>
      </w:pPr>
      <w:r w:rsidRPr="00DF3A28">
        <w:rPr>
          <w:rFonts w:cs="Arial"/>
          <w:sz w:val="22"/>
          <w:szCs w:val="22"/>
        </w:rPr>
        <w:t>wartość</w:t>
      </w:r>
      <w:r w:rsidR="009F16AC" w:rsidRPr="00DF3A28">
        <w:rPr>
          <w:rFonts w:cs="Arial"/>
          <w:sz w:val="22"/>
          <w:szCs w:val="22"/>
        </w:rPr>
        <w:t xml:space="preserve"> zamówień udzielonych na podstawie wyłączeń ustawowych wzrosła ze 113,2 mld zł w 2021 r. do 423,5 mld zł w 2022 r., w czym duży udział miały zamówienia w</w:t>
      </w:r>
      <w:r w:rsidR="00AB684C">
        <w:rPr>
          <w:rFonts w:cs="Arial"/>
          <w:sz w:val="22"/>
          <w:szCs w:val="22"/>
          <w:lang w:val="pl-PL"/>
        </w:rPr>
        <w:t xml:space="preserve"> </w:t>
      </w:r>
      <w:r w:rsidR="009F16AC" w:rsidRPr="00DF3A28">
        <w:rPr>
          <w:rFonts w:cs="Arial"/>
          <w:sz w:val="22"/>
          <w:szCs w:val="22"/>
        </w:rPr>
        <w:t>dziedzinach obronności i bezpieczeństwa (ponad 241 mld zł), a także zamówienia sektorowe (ok. 87 mld zł)</w:t>
      </w:r>
      <w:r w:rsidRPr="00DF3A28">
        <w:rPr>
          <w:rFonts w:cs="Arial"/>
          <w:sz w:val="22"/>
          <w:szCs w:val="22"/>
          <w:lang w:val="pl-PL"/>
        </w:rPr>
        <w:t>;</w:t>
      </w:r>
    </w:p>
    <w:p w14:paraId="15AA64DE" w14:textId="0DDEEEAF" w:rsidR="00CC39C5" w:rsidRPr="00CC39C5" w:rsidRDefault="000E02A7" w:rsidP="00AB684C">
      <w:pPr>
        <w:pStyle w:val="Akapitzlist"/>
        <w:numPr>
          <w:ilvl w:val="0"/>
          <w:numId w:val="71"/>
        </w:numPr>
        <w:shd w:val="clear" w:color="auto" w:fill="FFFFFF"/>
        <w:spacing w:after="60"/>
        <w:ind w:left="360"/>
        <w:contextualSpacing w:val="0"/>
      </w:pPr>
      <w:r w:rsidRPr="007F3E0D">
        <w:rPr>
          <w:rFonts w:cs="Arial"/>
          <w:sz w:val="22"/>
          <w:szCs w:val="22"/>
          <w:lang w:val="pl-PL"/>
        </w:rPr>
        <w:t xml:space="preserve">w 2022 r. </w:t>
      </w:r>
      <w:r w:rsidR="00A05796" w:rsidRPr="007F3E0D">
        <w:rPr>
          <w:rFonts w:cs="Arial"/>
          <w:sz w:val="22"/>
          <w:szCs w:val="22"/>
          <w:lang w:val="pl-PL"/>
        </w:rPr>
        <w:t xml:space="preserve">odnotowano </w:t>
      </w:r>
      <w:r w:rsidR="00C0197A" w:rsidRPr="007F3E0D">
        <w:rPr>
          <w:rFonts w:cs="Arial"/>
          <w:sz w:val="22"/>
          <w:szCs w:val="22"/>
          <w:lang w:val="pl-PL"/>
        </w:rPr>
        <w:t>wzrost odsetka</w:t>
      </w:r>
      <w:r w:rsidR="009E34B6" w:rsidRPr="007F3E0D">
        <w:rPr>
          <w:rFonts w:cs="Arial"/>
          <w:sz w:val="22"/>
          <w:szCs w:val="22"/>
          <w:lang w:val="pl-PL"/>
        </w:rPr>
        <w:t>, o 6</w:t>
      </w:r>
      <w:r w:rsidR="0016352F">
        <w:rPr>
          <w:rFonts w:cs="Arial"/>
          <w:sz w:val="22"/>
          <w:szCs w:val="22"/>
          <w:lang w:val="pl-PL"/>
        </w:rPr>
        <w:t xml:space="preserve"> pkt </w:t>
      </w:r>
      <w:r w:rsidR="009E34B6" w:rsidRPr="007F3E0D">
        <w:rPr>
          <w:rFonts w:cs="Arial"/>
          <w:sz w:val="22"/>
          <w:szCs w:val="22"/>
          <w:lang w:val="pl-PL"/>
        </w:rPr>
        <w:t>%</w:t>
      </w:r>
      <w:r w:rsidR="00DF3A28" w:rsidRPr="007F3E0D">
        <w:rPr>
          <w:rFonts w:cs="Arial"/>
          <w:sz w:val="22"/>
          <w:szCs w:val="22"/>
          <w:lang w:val="pl-PL"/>
        </w:rPr>
        <w:t>,</w:t>
      </w:r>
      <w:r w:rsidR="00C0197A" w:rsidRPr="007F3E0D">
        <w:rPr>
          <w:rFonts w:cs="Arial"/>
          <w:sz w:val="22"/>
          <w:szCs w:val="22"/>
          <w:lang w:val="pl-PL"/>
        </w:rPr>
        <w:t xml:space="preserve"> wartości zamówień </w:t>
      </w:r>
      <w:r w:rsidR="002F1F7E" w:rsidRPr="007F3E0D">
        <w:rPr>
          <w:rFonts w:cs="Arial"/>
          <w:sz w:val="22"/>
          <w:szCs w:val="22"/>
          <w:lang w:val="pl-PL"/>
        </w:rPr>
        <w:t xml:space="preserve">na dostawy, </w:t>
      </w:r>
      <w:r w:rsidR="009B4FAA" w:rsidRPr="007F3E0D">
        <w:rPr>
          <w:rFonts w:cs="Arial"/>
          <w:sz w:val="22"/>
          <w:szCs w:val="22"/>
          <w:lang w:val="pl-PL"/>
        </w:rPr>
        <w:t>przy jednoczesnym obniżeniu tej wartości w przypadku robót budowlanych</w:t>
      </w:r>
      <w:r w:rsidR="00B441BA" w:rsidRPr="007F3E0D">
        <w:rPr>
          <w:rFonts w:cs="Arial"/>
          <w:sz w:val="22"/>
          <w:szCs w:val="22"/>
          <w:lang w:val="pl-PL"/>
        </w:rPr>
        <w:t xml:space="preserve">, z 39% w 2021 r. do </w:t>
      </w:r>
      <w:r w:rsidR="00A94FE3" w:rsidRPr="007F3E0D">
        <w:rPr>
          <w:rFonts w:cs="Arial"/>
          <w:sz w:val="22"/>
          <w:szCs w:val="22"/>
          <w:lang w:val="pl-PL"/>
        </w:rPr>
        <w:t>34% w 2022 r.</w:t>
      </w:r>
      <w:r w:rsidR="00187B7C">
        <w:rPr>
          <w:rFonts w:cs="Arial"/>
          <w:sz w:val="22"/>
          <w:szCs w:val="22"/>
          <w:lang w:val="pl-PL"/>
        </w:rPr>
        <w:t>;</w:t>
      </w:r>
    </w:p>
    <w:p w14:paraId="5A2BEEF4" w14:textId="4AD972DB" w:rsidR="007F3E0D" w:rsidRPr="00DC7C16" w:rsidRDefault="00DD03F7" w:rsidP="00AB684C">
      <w:pPr>
        <w:pStyle w:val="Akapitzlist"/>
        <w:numPr>
          <w:ilvl w:val="0"/>
          <w:numId w:val="71"/>
        </w:numPr>
        <w:shd w:val="clear" w:color="auto" w:fill="FFFFFF"/>
        <w:spacing w:after="60"/>
        <w:ind w:left="360"/>
        <w:contextualSpacing w:val="0"/>
        <w:rPr>
          <w:sz w:val="22"/>
          <w:szCs w:val="22"/>
        </w:rPr>
      </w:pPr>
      <w:r w:rsidRPr="005243BD">
        <w:rPr>
          <w:rFonts w:cs="Arial"/>
          <w:sz w:val="22"/>
          <w:szCs w:val="22"/>
          <w:lang w:val="pl-PL"/>
        </w:rPr>
        <w:t>w przypadku zamówień</w:t>
      </w:r>
      <w:r w:rsidR="00AF5C58" w:rsidRPr="005243BD">
        <w:rPr>
          <w:rFonts w:cs="Arial"/>
          <w:sz w:val="22"/>
          <w:szCs w:val="22"/>
          <w:lang w:val="pl-PL"/>
        </w:rPr>
        <w:t xml:space="preserve"> realizowanych w związku z przeciwdziałaniem </w:t>
      </w:r>
      <w:r w:rsidR="005243BD" w:rsidRPr="005243BD">
        <w:rPr>
          <w:rFonts w:cs="Arial"/>
          <w:sz w:val="22"/>
          <w:szCs w:val="22"/>
          <w:lang w:val="pl-PL"/>
        </w:rPr>
        <w:t>COVID</w:t>
      </w:r>
      <w:r w:rsidR="005243BD">
        <w:rPr>
          <w:rFonts w:cs="Arial"/>
          <w:sz w:val="22"/>
          <w:szCs w:val="22"/>
          <w:lang w:val="pl-PL"/>
        </w:rPr>
        <w:t xml:space="preserve"> 19 </w:t>
      </w:r>
      <w:r w:rsidR="00B17F77" w:rsidRPr="00DC7C16">
        <w:rPr>
          <w:rFonts w:cs="Arial"/>
          <w:sz w:val="22"/>
          <w:szCs w:val="22"/>
          <w:lang w:val="pl-PL"/>
        </w:rPr>
        <w:t xml:space="preserve">najczęściej korzystano z dostaw </w:t>
      </w:r>
      <w:r w:rsidR="0039514C" w:rsidRPr="00DC7C16">
        <w:rPr>
          <w:rFonts w:cs="Arial"/>
          <w:sz w:val="22"/>
          <w:szCs w:val="22"/>
          <w:lang w:val="pl-PL"/>
        </w:rPr>
        <w:t xml:space="preserve">– 84%, najrzadziej </w:t>
      </w:r>
      <w:r w:rsidR="004F3742" w:rsidRPr="00DC7C16">
        <w:rPr>
          <w:rFonts w:cs="Arial"/>
          <w:sz w:val="22"/>
          <w:szCs w:val="22"/>
          <w:lang w:val="pl-PL"/>
        </w:rPr>
        <w:t>wykonywano roboty budowlane – 2%</w:t>
      </w:r>
      <w:r w:rsidR="00187B7C">
        <w:rPr>
          <w:rFonts w:cs="Arial"/>
          <w:sz w:val="22"/>
          <w:szCs w:val="22"/>
          <w:lang w:val="pl-PL"/>
        </w:rPr>
        <w:t xml:space="preserve"> </w:t>
      </w:r>
      <w:r w:rsidR="00495048" w:rsidRPr="00DC7C16">
        <w:rPr>
          <w:rFonts w:cs="Arial"/>
          <w:sz w:val="22"/>
          <w:szCs w:val="22"/>
          <w:lang w:val="pl-PL"/>
        </w:rPr>
        <w:t>zamówień;</w:t>
      </w:r>
    </w:p>
    <w:p w14:paraId="49F63B21" w14:textId="672CBEFF" w:rsidR="00DC7C16" w:rsidRPr="00E4131B" w:rsidRDefault="001036CE" w:rsidP="00AB684C">
      <w:pPr>
        <w:pStyle w:val="Akapitzlist"/>
        <w:numPr>
          <w:ilvl w:val="0"/>
          <w:numId w:val="71"/>
        </w:numPr>
        <w:spacing w:after="60"/>
        <w:ind w:left="360"/>
        <w:contextualSpacing w:val="0"/>
        <w:rPr>
          <w:sz w:val="22"/>
          <w:szCs w:val="22"/>
        </w:rPr>
      </w:pPr>
      <w:r>
        <w:rPr>
          <w:sz w:val="22"/>
          <w:szCs w:val="22"/>
          <w:lang w:val="pl-PL"/>
        </w:rPr>
        <w:t xml:space="preserve">zamówienia </w:t>
      </w:r>
      <w:r w:rsidR="00194E93">
        <w:rPr>
          <w:sz w:val="22"/>
          <w:szCs w:val="22"/>
          <w:lang w:val="pl-PL"/>
        </w:rPr>
        <w:t xml:space="preserve">dotyczące </w:t>
      </w:r>
      <w:r w:rsidR="00DC7C16" w:rsidRPr="00DC7C16">
        <w:rPr>
          <w:sz w:val="22"/>
          <w:szCs w:val="22"/>
        </w:rPr>
        <w:t>pomocy obywatelom Ukrainy w związku z konfliktem zbrojnym na terytorium tego państwa</w:t>
      </w:r>
      <w:r w:rsidR="00D6187A">
        <w:rPr>
          <w:sz w:val="22"/>
          <w:szCs w:val="22"/>
          <w:lang w:val="pl-PL"/>
        </w:rPr>
        <w:t xml:space="preserve"> w 65% </w:t>
      </w:r>
      <w:r w:rsidR="00441F07">
        <w:rPr>
          <w:sz w:val="22"/>
          <w:szCs w:val="22"/>
          <w:lang w:val="pl-PL"/>
        </w:rPr>
        <w:t>odnosiły się do usług</w:t>
      </w:r>
      <w:r w:rsidR="00DC7C16" w:rsidRPr="00DC7C16">
        <w:rPr>
          <w:sz w:val="22"/>
          <w:szCs w:val="22"/>
        </w:rPr>
        <w:t>.</w:t>
      </w:r>
      <w:r w:rsidR="00077BF3">
        <w:rPr>
          <w:sz w:val="22"/>
          <w:szCs w:val="22"/>
          <w:lang w:val="pl-PL"/>
        </w:rPr>
        <w:t xml:space="preserve"> Marginalnie </w:t>
      </w:r>
      <w:r w:rsidR="00CA319E">
        <w:rPr>
          <w:sz w:val="22"/>
          <w:szCs w:val="22"/>
          <w:lang w:val="pl-PL"/>
        </w:rPr>
        <w:t>dotyczyły robót budowlanych</w:t>
      </w:r>
      <w:r w:rsidR="00162102">
        <w:rPr>
          <w:sz w:val="22"/>
          <w:szCs w:val="22"/>
          <w:lang w:val="pl-PL"/>
        </w:rPr>
        <w:t xml:space="preserve"> – 1% ogółu zamówień;</w:t>
      </w:r>
    </w:p>
    <w:p w14:paraId="7C7F92C3" w14:textId="196C8DE2" w:rsidR="00AE5FD7" w:rsidRPr="00AE5FD7" w:rsidRDefault="00023BCD" w:rsidP="00AB684C">
      <w:pPr>
        <w:pStyle w:val="Akapitzlist"/>
        <w:numPr>
          <w:ilvl w:val="0"/>
          <w:numId w:val="71"/>
        </w:numPr>
        <w:spacing w:after="60"/>
        <w:ind w:left="360"/>
        <w:contextualSpacing w:val="0"/>
        <w:rPr>
          <w:szCs w:val="22"/>
        </w:rPr>
      </w:pPr>
      <w:r w:rsidRPr="00AE5FD7">
        <w:rPr>
          <w:sz w:val="22"/>
          <w:szCs w:val="22"/>
          <w:lang w:val="pl-PL"/>
        </w:rPr>
        <w:t xml:space="preserve">w przypadku zamówień publicznych </w:t>
      </w:r>
      <w:r w:rsidR="00B22067" w:rsidRPr="00AE5FD7">
        <w:rPr>
          <w:sz w:val="22"/>
          <w:szCs w:val="22"/>
        </w:rPr>
        <w:t>o wartościach poniżej progów unijnych</w:t>
      </w:r>
      <w:r w:rsidR="001E1B27" w:rsidRPr="00AE5FD7">
        <w:rPr>
          <w:sz w:val="22"/>
          <w:szCs w:val="22"/>
          <w:lang w:val="pl-PL"/>
        </w:rPr>
        <w:t xml:space="preserve"> </w:t>
      </w:r>
      <w:r w:rsidR="00342C6B" w:rsidRPr="00AE5FD7">
        <w:rPr>
          <w:sz w:val="22"/>
          <w:szCs w:val="22"/>
          <w:lang w:val="pl-PL"/>
        </w:rPr>
        <w:t xml:space="preserve">największą popularnością cieszył się </w:t>
      </w:r>
      <w:r w:rsidR="00793200" w:rsidRPr="00AE5FD7">
        <w:rPr>
          <w:sz w:val="22"/>
          <w:szCs w:val="22"/>
          <w:lang w:val="pl-PL"/>
        </w:rPr>
        <w:t>tryb podstawowy (</w:t>
      </w:r>
      <w:r w:rsidR="00B22067" w:rsidRPr="00AE5FD7">
        <w:rPr>
          <w:sz w:val="22"/>
          <w:szCs w:val="22"/>
        </w:rPr>
        <w:t>ponad 90% zamówień</w:t>
      </w:r>
      <w:r w:rsidR="00793200" w:rsidRPr="00AE5FD7">
        <w:rPr>
          <w:sz w:val="22"/>
          <w:szCs w:val="22"/>
          <w:lang w:val="pl-PL"/>
        </w:rPr>
        <w:t xml:space="preserve">, </w:t>
      </w:r>
      <w:r w:rsidR="00B22067" w:rsidRPr="00AE5FD7">
        <w:rPr>
          <w:sz w:val="22"/>
          <w:szCs w:val="22"/>
        </w:rPr>
        <w:t>ponad 95% ogólnej kwoty zamówień</w:t>
      </w:r>
      <w:r w:rsidR="00D2622F" w:rsidRPr="00AE5FD7">
        <w:rPr>
          <w:sz w:val="22"/>
          <w:szCs w:val="22"/>
          <w:lang w:val="pl-PL"/>
        </w:rPr>
        <w:t xml:space="preserve">), przy czym </w:t>
      </w:r>
      <w:r w:rsidR="009B277D" w:rsidRPr="00AE5FD7">
        <w:rPr>
          <w:sz w:val="22"/>
          <w:szCs w:val="22"/>
          <w:lang w:val="pl-PL"/>
        </w:rPr>
        <w:t>t</w:t>
      </w:r>
      <w:r w:rsidR="009B277D" w:rsidRPr="00AE5FD7">
        <w:rPr>
          <w:sz w:val="22"/>
          <w:szCs w:val="22"/>
        </w:rPr>
        <w:t>ryb podstawowy</w:t>
      </w:r>
      <w:r w:rsidR="00CA3052" w:rsidRPr="00AE5FD7">
        <w:rPr>
          <w:sz w:val="22"/>
          <w:szCs w:val="22"/>
          <w:lang w:val="pl-PL"/>
        </w:rPr>
        <w:t xml:space="preserve"> bez negocjacji</w:t>
      </w:r>
      <w:r w:rsidR="00B22067" w:rsidRPr="00AE5FD7">
        <w:rPr>
          <w:sz w:val="22"/>
          <w:szCs w:val="22"/>
        </w:rPr>
        <w:t xml:space="preserve"> </w:t>
      </w:r>
      <w:r w:rsidR="009B277D" w:rsidRPr="00AE5FD7">
        <w:rPr>
          <w:sz w:val="22"/>
          <w:szCs w:val="22"/>
          <w:lang w:val="pl-PL"/>
        </w:rPr>
        <w:t xml:space="preserve">zastosowano </w:t>
      </w:r>
      <w:r w:rsidR="00744668" w:rsidRPr="00AE5FD7">
        <w:rPr>
          <w:sz w:val="22"/>
          <w:szCs w:val="22"/>
          <w:lang w:val="pl-PL"/>
        </w:rPr>
        <w:t>w 79,03% przypadków, t</w:t>
      </w:r>
      <w:r w:rsidR="00744668" w:rsidRPr="00AE5FD7">
        <w:rPr>
          <w:sz w:val="22"/>
          <w:szCs w:val="22"/>
        </w:rPr>
        <w:t>ryb podstawowy</w:t>
      </w:r>
      <w:r w:rsidR="00CA3052" w:rsidRPr="00AE5FD7">
        <w:rPr>
          <w:sz w:val="22"/>
          <w:szCs w:val="22"/>
          <w:lang w:val="pl-PL"/>
        </w:rPr>
        <w:t xml:space="preserve"> </w:t>
      </w:r>
      <w:r w:rsidR="005034ED" w:rsidRPr="00AE5FD7">
        <w:rPr>
          <w:sz w:val="22"/>
          <w:szCs w:val="22"/>
          <w:lang w:val="pl-PL"/>
        </w:rPr>
        <w:t xml:space="preserve">dopuszczający negocjacje </w:t>
      </w:r>
      <w:r w:rsidR="00744668" w:rsidRPr="00AE5FD7">
        <w:rPr>
          <w:sz w:val="22"/>
          <w:szCs w:val="22"/>
          <w:lang w:val="pl-PL"/>
        </w:rPr>
        <w:t>w 11,25%</w:t>
      </w:r>
      <w:r w:rsidR="00260509" w:rsidRPr="00AE5FD7">
        <w:rPr>
          <w:sz w:val="22"/>
          <w:szCs w:val="22"/>
          <w:lang w:val="pl-PL"/>
        </w:rPr>
        <w:t xml:space="preserve">. Najrzadziej korzystano z </w:t>
      </w:r>
      <w:r w:rsidR="005034ED" w:rsidRPr="00AE5FD7">
        <w:rPr>
          <w:sz w:val="22"/>
          <w:szCs w:val="22"/>
          <w:lang w:val="pl-PL"/>
        </w:rPr>
        <w:t>trybu</w:t>
      </w:r>
      <w:r w:rsidR="00260509" w:rsidRPr="00AE5FD7">
        <w:rPr>
          <w:sz w:val="22"/>
          <w:szCs w:val="22"/>
        </w:rPr>
        <w:t xml:space="preserve"> podstawow</w:t>
      </w:r>
      <w:r w:rsidR="00383F7E" w:rsidRPr="00AE5FD7">
        <w:rPr>
          <w:sz w:val="22"/>
          <w:szCs w:val="22"/>
          <w:lang w:val="pl-PL"/>
        </w:rPr>
        <w:t>ego</w:t>
      </w:r>
      <w:r w:rsidR="005034ED" w:rsidRPr="00AE5FD7">
        <w:rPr>
          <w:sz w:val="22"/>
          <w:szCs w:val="22"/>
          <w:lang w:val="pl-PL"/>
        </w:rPr>
        <w:t xml:space="preserve"> z negocjacjami</w:t>
      </w:r>
      <w:r w:rsidR="00F27E2E" w:rsidRPr="00AE5FD7">
        <w:rPr>
          <w:sz w:val="22"/>
          <w:szCs w:val="22"/>
          <w:lang w:val="pl-PL"/>
        </w:rPr>
        <w:t xml:space="preserve"> – 0,06%</w:t>
      </w:r>
      <w:r w:rsidR="00187B7C">
        <w:rPr>
          <w:sz w:val="22"/>
          <w:szCs w:val="22"/>
          <w:lang w:val="pl-PL"/>
        </w:rPr>
        <w:t>;</w:t>
      </w:r>
    </w:p>
    <w:p w14:paraId="3669B550" w14:textId="252054C0" w:rsidR="000A4075" w:rsidRPr="00017592" w:rsidRDefault="000F1742" w:rsidP="00AB684C">
      <w:pPr>
        <w:pStyle w:val="Akapitzlist"/>
        <w:numPr>
          <w:ilvl w:val="0"/>
          <w:numId w:val="71"/>
        </w:numPr>
        <w:spacing w:after="60"/>
        <w:ind w:left="360"/>
        <w:contextualSpacing w:val="0"/>
        <w:rPr>
          <w:sz w:val="22"/>
          <w:szCs w:val="22"/>
        </w:rPr>
      </w:pPr>
      <w:r w:rsidRPr="00017592">
        <w:rPr>
          <w:sz w:val="22"/>
          <w:szCs w:val="22"/>
          <w:lang w:val="pl-PL"/>
        </w:rPr>
        <w:t>d</w:t>
      </w:r>
      <w:r w:rsidR="00BC2394" w:rsidRPr="00017592">
        <w:rPr>
          <w:sz w:val="22"/>
          <w:szCs w:val="22"/>
          <w:lang w:val="pl-PL"/>
        </w:rPr>
        <w:t>ane dotyczące średniego czasu trwania procedury udzielenia zamówienia</w:t>
      </w:r>
      <w:r w:rsidRPr="00017592">
        <w:rPr>
          <w:sz w:val="22"/>
          <w:szCs w:val="22"/>
          <w:lang w:val="pl-PL"/>
        </w:rPr>
        <w:t xml:space="preserve"> zasadniczo nie uległy zmianie w st</w:t>
      </w:r>
      <w:r w:rsidR="00581C1B" w:rsidRPr="00017592">
        <w:rPr>
          <w:sz w:val="22"/>
          <w:szCs w:val="22"/>
          <w:lang w:val="pl-PL"/>
        </w:rPr>
        <w:t>o</w:t>
      </w:r>
      <w:r w:rsidRPr="00017592">
        <w:rPr>
          <w:sz w:val="22"/>
          <w:szCs w:val="22"/>
          <w:lang w:val="pl-PL"/>
        </w:rPr>
        <w:t>sunku do</w:t>
      </w:r>
      <w:r w:rsidR="00581C1B" w:rsidRPr="00017592">
        <w:rPr>
          <w:sz w:val="22"/>
          <w:szCs w:val="22"/>
          <w:lang w:val="pl-PL"/>
        </w:rPr>
        <w:t xml:space="preserve"> wcześniej obserwowanych. W 2022 r. </w:t>
      </w:r>
      <w:r w:rsidR="000A4075" w:rsidRPr="00017592">
        <w:rPr>
          <w:sz w:val="22"/>
          <w:szCs w:val="22"/>
        </w:rPr>
        <w:t>średni czas trwania postępowania o wartości nieprzekraczającej progów unijnych wyniósł 40 dni (w 2021 r. – 39 dni).</w:t>
      </w:r>
      <w:r w:rsidR="0024470D" w:rsidRPr="00017592">
        <w:rPr>
          <w:sz w:val="22"/>
          <w:szCs w:val="22"/>
          <w:lang w:val="pl-PL"/>
        </w:rPr>
        <w:t xml:space="preserve"> </w:t>
      </w:r>
      <w:r w:rsidR="00D41DE9" w:rsidRPr="00017592">
        <w:rPr>
          <w:sz w:val="22"/>
          <w:szCs w:val="22"/>
          <w:lang w:val="pl-PL"/>
        </w:rPr>
        <w:t xml:space="preserve">W przypadku zamówień </w:t>
      </w:r>
      <w:r w:rsidR="00D41DE9" w:rsidRPr="00017592">
        <w:rPr>
          <w:sz w:val="22"/>
          <w:szCs w:val="22"/>
        </w:rPr>
        <w:t xml:space="preserve">o wartości </w:t>
      </w:r>
      <w:r w:rsidR="00573834">
        <w:rPr>
          <w:sz w:val="22"/>
          <w:szCs w:val="22"/>
          <w:lang w:val="pl-PL"/>
        </w:rPr>
        <w:t>równej lub przekraczającej progi unijne</w:t>
      </w:r>
      <w:r w:rsidR="00D41DE9" w:rsidRPr="00017592">
        <w:rPr>
          <w:sz w:val="22"/>
          <w:szCs w:val="22"/>
          <w:lang w:val="pl-PL"/>
        </w:rPr>
        <w:t xml:space="preserve"> </w:t>
      </w:r>
      <w:r w:rsidR="00741AC3" w:rsidRPr="00017592">
        <w:rPr>
          <w:sz w:val="22"/>
          <w:szCs w:val="22"/>
          <w:lang w:val="pl-PL"/>
        </w:rPr>
        <w:t xml:space="preserve">czas ten uległ niewielkiemu skróceniu </w:t>
      </w:r>
      <w:r w:rsidR="000B59E1" w:rsidRPr="00017592">
        <w:rPr>
          <w:sz w:val="22"/>
          <w:szCs w:val="22"/>
          <w:lang w:val="pl-PL"/>
        </w:rPr>
        <w:t xml:space="preserve">z </w:t>
      </w:r>
      <w:r w:rsidR="00332233" w:rsidRPr="00017592">
        <w:rPr>
          <w:sz w:val="22"/>
          <w:szCs w:val="22"/>
          <w:lang w:val="pl-PL"/>
        </w:rPr>
        <w:t>99 dni w 2021 r. do 92 dni w 2022 r.</w:t>
      </w:r>
      <w:r w:rsidR="00C32FB3">
        <w:rPr>
          <w:sz w:val="22"/>
          <w:szCs w:val="22"/>
          <w:lang w:val="pl-PL"/>
        </w:rPr>
        <w:t>;</w:t>
      </w:r>
    </w:p>
    <w:p w14:paraId="21EEBDA3" w14:textId="12672163" w:rsidR="009363B7" w:rsidRPr="00017592" w:rsidRDefault="008D4BCF" w:rsidP="006E5301">
      <w:pPr>
        <w:numPr>
          <w:ilvl w:val="0"/>
          <w:numId w:val="75"/>
        </w:numPr>
        <w:shd w:val="clear" w:color="auto" w:fill="FFFFFF"/>
        <w:spacing w:after="60"/>
        <w:rPr>
          <w:szCs w:val="22"/>
        </w:rPr>
      </w:pPr>
      <w:r w:rsidRPr="009363B7">
        <w:rPr>
          <w:rFonts w:cs="Arial"/>
        </w:rPr>
        <w:t xml:space="preserve">mimo wzmożonych działań </w:t>
      </w:r>
      <w:r w:rsidR="00085F50" w:rsidRPr="009363B7">
        <w:rPr>
          <w:rFonts w:cs="Arial"/>
        </w:rPr>
        <w:t>informacyjno</w:t>
      </w:r>
      <w:r w:rsidR="00844F88" w:rsidRPr="00844F88">
        <w:rPr>
          <w:rFonts w:cs="Arial"/>
        </w:rPr>
        <w:t>-</w:t>
      </w:r>
      <w:r w:rsidR="00085F50" w:rsidRPr="009363B7">
        <w:rPr>
          <w:rFonts w:cs="Arial"/>
        </w:rPr>
        <w:t xml:space="preserve">edukacyjnych podejmowanych przez Urząd Zamówień </w:t>
      </w:r>
      <w:r w:rsidR="001B3209" w:rsidRPr="009363B7">
        <w:rPr>
          <w:rFonts w:cs="Arial"/>
        </w:rPr>
        <w:t xml:space="preserve">Publicznych </w:t>
      </w:r>
      <w:r w:rsidR="005F016D" w:rsidRPr="009363B7">
        <w:rPr>
          <w:rFonts w:cs="Arial"/>
        </w:rPr>
        <w:t xml:space="preserve">zachęcających do zainteresowania rynkiem zamówień publicznych </w:t>
      </w:r>
      <w:r w:rsidR="007C7659" w:rsidRPr="009363B7">
        <w:rPr>
          <w:rFonts w:cs="Arial"/>
        </w:rPr>
        <w:t xml:space="preserve">konkurencyjność postępowań o zamówienie publiczne </w:t>
      </w:r>
      <w:r w:rsidR="00F529F9" w:rsidRPr="009363B7">
        <w:rPr>
          <w:rFonts w:cs="Arial"/>
        </w:rPr>
        <w:t xml:space="preserve">utrzymywała się na </w:t>
      </w:r>
      <w:r w:rsidR="006A6C18" w:rsidRPr="009363B7">
        <w:rPr>
          <w:rFonts w:cs="Arial"/>
        </w:rPr>
        <w:t xml:space="preserve">niesatysfakcjonującym poziomie. </w:t>
      </w:r>
      <w:r w:rsidR="007C7659" w:rsidRPr="009363B7">
        <w:rPr>
          <w:rFonts w:cs="Arial"/>
        </w:rPr>
        <w:t xml:space="preserve">W </w:t>
      </w:r>
      <w:r w:rsidR="006A6C18" w:rsidRPr="009363B7">
        <w:rPr>
          <w:rFonts w:cs="Arial"/>
        </w:rPr>
        <w:t xml:space="preserve">2022 r. </w:t>
      </w:r>
      <w:r w:rsidR="007C7659" w:rsidRPr="009363B7">
        <w:rPr>
          <w:rFonts w:cs="Arial"/>
        </w:rPr>
        <w:t xml:space="preserve">w postępowaniach </w:t>
      </w:r>
      <w:r w:rsidR="006E5301">
        <w:rPr>
          <w:rFonts w:cs="Arial"/>
        </w:rPr>
        <w:t xml:space="preserve">o wartościach </w:t>
      </w:r>
      <w:r w:rsidR="007C7659" w:rsidRPr="009363B7">
        <w:rPr>
          <w:rFonts w:cs="Arial"/>
        </w:rPr>
        <w:t>poniżej progów unijnych wpływało średnio</w:t>
      </w:r>
      <w:r w:rsidR="00EA6AF6" w:rsidRPr="009363B7">
        <w:rPr>
          <w:rFonts w:cs="Arial"/>
        </w:rPr>
        <w:t xml:space="preserve"> 2,43 oferty (w 2021 r. </w:t>
      </w:r>
      <w:r w:rsidR="00844F88" w:rsidRPr="00844F88">
        <w:rPr>
          <w:rFonts w:cs="Arial"/>
        </w:rPr>
        <w:t>–</w:t>
      </w:r>
      <w:r w:rsidR="007C7659" w:rsidRPr="009363B7">
        <w:rPr>
          <w:rFonts w:cs="Arial"/>
        </w:rPr>
        <w:t xml:space="preserve"> 2,59</w:t>
      </w:r>
      <w:r w:rsidR="00EA6AF6" w:rsidRPr="009363B7">
        <w:rPr>
          <w:rFonts w:cs="Arial"/>
        </w:rPr>
        <w:t>)</w:t>
      </w:r>
      <w:r w:rsidR="007C7659" w:rsidRPr="009363B7">
        <w:rPr>
          <w:rFonts w:cs="Arial"/>
        </w:rPr>
        <w:t>.</w:t>
      </w:r>
      <w:r w:rsidR="00A429F0" w:rsidRPr="009363B7">
        <w:rPr>
          <w:rFonts w:cs="Arial"/>
        </w:rPr>
        <w:t xml:space="preserve"> W przypadku postępowań </w:t>
      </w:r>
      <w:r w:rsidR="006E5301" w:rsidRPr="006E5301">
        <w:rPr>
          <w:rFonts w:cs="Arial"/>
        </w:rPr>
        <w:t>o wartościach równych lub przekraczających progi unijne</w:t>
      </w:r>
      <w:r w:rsidR="00A429F0" w:rsidRPr="009363B7">
        <w:rPr>
          <w:rFonts w:cs="Arial"/>
        </w:rPr>
        <w:t xml:space="preserve"> wartość ta wynosiła średnio</w:t>
      </w:r>
      <w:r w:rsidR="004C208B" w:rsidRPr="009363B7">
        <w:rPr>
          <w:rFonts w:cs="Arial"/>
        </w:rPr>
        <w:t xml:space="preserve"> 2,18 (w 2021 r. – 2,25)</w:t>
      </w:r>
      <w:r w:rsidR="00301FAE">
        <w:rPr>
          <w:rFonts w:cs="Arial"/>
        </w:rPr>
        <w:t>. Powyższe wynika</w:t>
      </w:r>
      <w:r w:rsidR="00C47B97">
        <w:rPr>
          <w:rFonts w:cs="Arial"/>
        </w:rPr>
        <w:t xml:space="preserve"> m.in.</w:t>
      </w:r>
      <w:r w:rsidR="00301FAE">
        <w:rPr>
          <w:rFonts w:cs="Arial"/>
        </w:rPr>
        <w:t xml:space="preserve"> z systematycznie zwiększającego się rynku zarówno zamówień publicznych jak i rynku prywatnego </w:t>
      </w:r>
      <w:r w:rsidR="003A7FB9">
        <w:rPr>
          <w:rFonts w:cs="Arial"/>
        </w:rPr>
        <w:t xml:space="preserve">(zarówno wolumenów ilościowych i wartościowych), zwiększających się dochodach budżetu państwa </w:t>
      </w:r>
      <w:r w:rsidR="00301FAE">
        <w:rPr>
          <w:rFonts w:cs="Arial"/>
        </w:rPr>
        <w:t xml:space="preserve">przy </w:t>
      </w:r>
      <w:r w:rsidR="003A7FB9">
        <w:rPr>
          <w:rFonts w:cs="Arial"/>
        </w:rPr>
        <w:t xml:space="preserve">prawie niezmiennej </w:t>
      </w:r>
      <w:r w:rsidR="00301FAE">
        <w:rPr>
          <w:rFonts w:cs="Arial"/>
        </w:rPr>
        <w:t xml:space="preserve">liczbie przedsiębiorstw i niezwiększającej się liczbie pracowników. Biorąc pod uwagę zwiększającą się liczbę zamówień </w:t>
      </w:r>
      <w:r w:rsidR="003A7FB9">
        <w:rPr>
          <w:rFonts w:cs="Arial"/>
        </w:rPr>
        <w:t xml:space="preserve">publicznych i zleceń prywatnych </w:t>
      </w:r>
      <w:r w:rsidR="00301FAE">
        <w:rPr>
          <w:rFonts w:cs="Arial"/>
        </w:rPr>
        <w:t>oraz ich wartość i pracochłonność w nich przy jednoczesnym braku zwiększenia liczby przedsiębiorstw lub znaczącej ich automatyzacji oraz biorąc pod uwagę aspekty demograficzne i społeczne związane z rozwojem „life balance” w najbliższych latach trudno oczekiwać zwiększenia zaint</w:t>
      </w:r>
      <w:r w:rsidR="000E6FC1">
        <w:rPr>
          <w:rFonts w:cs="Arial"/>
        </w:rPr>
        <w:t>e</w:t>
      </w:r>
      <w:r w:rsidR="00301FAE">
        <w:rPr>
          <w:rFonts w:cs="Arial"/>
        </w:rPr>
        <w:t xml:space="preserve">resowania firm rynkiem zamówień publicznych w Polsce. Dodatkowo może wystąpić zagrożenie odpływu przedsiębiorców dotychczas występujących w systemie zamówień publicznych w związku z rozwojem sektora prywatnego i rynków zagranicznych ze szczególnym uwzględnieniem rynku Ukrainy. Aspektem tego zagrożenia może być ograniczenie </w:t>
      </w:r>
      <w:r w:rsidR="003A7FB9">
        <w:rPr>
          <w:rFonts w:cs="Arial"/>
        </w:rPr>
        <w:t>możliwości realizacyjnych przez</w:t>
      </w:r>
      <w:r w:rsidR="00301FAE">
        <w:rPr>
          <w:rFonts w:cs="Arial"/>
        </w:rPr>
        <w:t xml:space="preserve"> przedsiębiorców związany z odpływem/powrotem pracowników z Ukrainy do rodzimego kraju w celu jego odbudowy</w:t>
      </w:r>
      <w:r w:rsidR="00237759" w:rsidRPr="009363B7">
        <w:rPr>
          <w:rFonts w:cs="Arial"/>
        </w:rPr>
        <w:t>;</w:t>
      </w:r>
    </w:p>
    <w:p w14:paraId="2F820E12" w14:textId="77777777" w:rsidR="00017592" w:rsidRPr="009F16AC" w:rsidRDefault="00017592" w:rsidP="00AB684C">
      <w:pPr>
        <w:pStyle w:val="Akapitzlist"/>
        <w:numPr>
          <w:ilvl w:val="0"/>
          <w:numId w:val="75"/>
        </w:numPr>
        <w:shd w:val="clear" w:color="auto" w:fill="FFFFFF"/>
        <w:spacing w:after="60"/>
        <w:contextualSpacing w:val="0"/>
        <w:rPr>
          <w:rFonts w:cs="Arial"/>
          <w:sz w:val="22"/>
          <w:szCs w:val="22"/>
        </w:rPr>
      </w:pPr>
      <w:r>
        <w:rPr>
          <w:rFonts w:cs="Arial"/>
          <w:sz w:val="22"/>
          <w:szCs w:val="22"/>
          <w:lang w:val="pl-PL"/>
        </w:rPr>
        <w:t>p</w:t>
      </w:r>
      <w:r w:rsidRPr="009F16AC">
        <w:rPr>
          <w:rFonts w:cs="Arial"/>
          <w:sz w:val="22"/>
          <w:szCs w:val="22"/>
        </w:rPr>
        <w:t>o raz pierwszy od kilku lat w roku 2022 spadła liczba odwołań wpływających do Krajowej Izby Odwoławczej. Mniejsze było również zainteresowanie instytucją uchylenia zakazu zawarcia umowy o zamówienie publiczne. W 2022 r. wpłynęło w tym zakresie 50 wniosków, co stanowi mniej niż połowę w porównaniu do roku 2021 (110 wniosków)</w:t>
      </w:r>
      <w:r>
        <w:rPr>
          <w:rFonts w:cs="Arial"/>
          <w:sz w:val="22"/>
          <w:szCs w:val="22"/>
          <w:lang w:val="pl-PL"/>
        </w:rPr>
        <w:t>;</w:t>
      </w:r>
    </w:p>
    <w:p w14:paraId="2B6293EB" w14:textId="77777777" w:rsidR="00017592" w:rsidRPr="009F16AC" w:rsidRDefault="00017592" w:rsidP="00AB684C">
      <w:pPr>
        <w:pStyle w:val="Akapitzlist"/>
        <w:numPr>
          <w:ilvl w:val="0"/>
          <w:numId w:val="75"/>
        </w:numPr>
        <w:shd w:val="clear" w:color="auto" w:fill="FFFFFF"/>
        <w:spacing w:after="60"/>
        <w:contextualSpacing w:val="0"/>
        <w:rPr>
          <w:rFonts w:cs="Arial"/>
          <w:sz w:val="22"/>
          <w:szCs w:val="22"/>
        </w:rPr>
      </w:pPr>
      <w:r w:rsidRPr="009F16AC">
        <w:rPr>
          <w:rFonts w:cs="Arial"/>
          <w:sz w:val="22"/>
          <w:szCs w:val="22"/>
        </w:rPr>
        <w:t xml:space="preserve">liczba </w:t>
      </w:r>
      <w:r w:rsidRPr="00A74DD8">
        <w:rPr>
          <w:rFonts w:cs="Arial"/>
          <w:sz w:val="22"/>
          <w:szCs w:val="22"/>
        </w:rPr>
        <w:t>społecznych zamówień publicznych</w:t>
      </w:r>
      <w:r w:rsidRPr="009F16AC">
        <w:rPr>
          <w:rFonts w:cs="Arial"/>
          <w:sz w:val="22"/>
          <w:szCs w:val="22"/>
        </w:rPr>
        <w:t xml:space="preserve"> wzrosła w stosunku do roku 2021 o 6 787 zamówień, co przełożyło się również na wzrost wartości tych zamówień, która w roku 2022 była większa w porównaniu z rokiem 2021 o kwotę ok. 30 mld zł (bez podatku od towarów i usług)</w:t>
      </w:r>
      <w:r>
        <w:rPr>
          <w:rFonts w:cs="Arial"/>
          <w:sz w:val="22"/>
          <w:szCs w:val="22"/>
          <w:lang w:val="pl-PL"/>
        </w:rPr>
        <w:t>;</w:t>
      </w:r>
    </w:p>
    <w:p w14:paraId="7FD16DDE" w14:textId="1A6D311E" w:rsidR="00017592" w:rsidRPr="004F5069" w:rsidRDefault="00017592" w:rsidP="00AB684C">
      <w:pPr>
        <w:pStyle w:val="Akapitzlist"/>
        <w:numPr>
          <w:ilvl w:val="0"/>
          <w:numId w:val="75"/>
        </w:numPr>
        <w:shd w:val="clear" w:color="auto" w:fill="FFFFFF"/>
        <w:spacing w:after="60"/>
        <w:contextualSpacing w:val="0"/>
        <w:rPr>
          <w:rFonts w:cs="Arial"/>
          <w:sz w:val="22"/>
          <w:szCs w:val="22"/>
        </w:rPr>
      </w:pPr>
      <w:r>
        <w:rPr>
          <w:rFonts w:cs="Arial"/>
          <w:sz w:val="22"/>
          <w:szCs w:val="22"/>
          <w:lang w:val="pl-PL"/>
        </w:rPr>
        <w:t>p</w:t>
      </w:r>
      <w:r w:rsidRPr="009F16AC">
        <w:rPr>
          <w:rFonts w:cs="Arial"/>
          <w:sz w:val="22"/>
          <w:szCs w:val="22"/>
        </w:rPr>
        <w:t>odobnie jak w latach ubiegłych</w:t>
      </w:r>
      <w:r>
        <w:rPr>
          <w:rFonts w:cs="Arial"/>
          <w:sz w:val="22"/>
          <w:szCs w:val="22"/>
          <w:lang w:val="pl-PL"/>
        </w:rPr>
        <w:t>,</w:t>
      </w:r>
      <w:r w:rsidRPr="009F16AC">
        <w:rPr>
          <w:rFonts w:cs="Arial"/>
          <w:sz w:val="22"/>
          <w:szCs w:val="22"/>
        </w:rPr>
        <w:t xml:space="preserve"> również w 2022 roku polscy zamawiający najczęściej uwzględniali aspekty społeczne o charakterze obligatoryjnym, tj. określenie wymagań związanych z realizacją zamówienia w zakresie zatrudnienia na podstawie stosunku pracy (art. 95 ust. 1) oraz ustanowienie w</w:t>
      </w:r>
      <w:r w:rsidR="00C32FB3">
        <w:rPr>
          <w:rFonts w:cs="Arial"/>
          <w:sz w:val="22"/>
          <w:szCs w:val="22"/>
        </w:rPr>
        <w:t xml:space="preserve">ymagań w zakresie dostępności i </w:t>
      </w:r>
      <w:r w:rsidRPr="009F16AC">
        <w:rPr>
          <w:rFonts w:cs="Arial"/>
          <w:sz w:val="22"/>
          <w:szCs w:val="22"/>
        </w:rPr>
        <w:t xml:space="preserve">projektowania z przeznaczeniem dla wszystkich użytkowników (art. 100 ust. 1). Zastosowanie klauzuli społecznej z art. 95 ust. 1 ustawy Pzp odpowiadało również za największą wartość społecznych zamówień publicznych. W tym zakresie odnotowano także znaczący wzrost w porównaniu do roku </w:t>
      </w:r>
      <w:r w:rsidRPr="004F5069">
        <w:rPr>
          <w:rFonts w:cs="Arial"/>
          <w:sz w:val="22"/>
          <w:szCs w:val="22"/>
        </w:rPr>
        <w:t>2021 – o ponad 26 mld zł</w:t>
      </w:r>
      <w:r w:rsidRPr="004F5069">
        <w:rPr>
          <w:rFonts w:cs="Arial"/>
          <w:sz w:val="22"/>
          <w:szCs w:val="22"/>
          <w:lang w:val="pl-PL"/>
        </w:rPr>
        <w:t>;</w:t>
      </w:r>
    </w:p>
    <w:p w14:paraId="2070D323" w14:textId="77777777" w:rsidR="00017592" w:rsidRPr="004F5069" w:rsidRDefault="00017592" w:rsidP="00AB684C">
      <w:pPr>
        <w:pStyle w:val="Akapitzlist"/>
        <w:numPr>
          <w:ilvl w:val="0"/>
          <w:numId w:val="75"/>
        </w:numPr>
        <w:shd w:val="clear" w:color="auto" w:fill="FFFFFF"/>
        <w:spacing w:after="60"/>
        <w:contextualSpacing w:val="0"/>
        <w:rPr>
          <w:rFonts w:cs="Arial"/>
          <w:sz w:val="22"/>
          <w:szCs w:val="22"/>
        </w:rPr>
      </w:pPr>
      <w:r w:rsidRPr="004F5069">
        <w:rPr>
          <w:rFonts w:cs="Arial"/>
          <w:sz w:val="22"/>
          <w:szCs w:val="22"/>
          <w:lang w:val="pl-PL"/>
        </w:rPr>
        <w:t>w</w:t>
      </w:r>
      <w:r w:rsidRPr="004F5069">
        <w:rPr>
          <w:rFonts w:cs="Arial"/>
          <w:sz w:val="22"/>
          <w:szCs w:val="22"/>
        </w:rPr>
        <w:t xml:space="preserve"> przypadku większości aspektów społecznych o charakterze fakultatywnym w roku 2022 również zanotowano </w:t>
      </w:r>
      <w:r w:rsidRPr="004F5069">
        <w:rPr>
          <w:rFonts w:cs="Arial"/>
          <w:sz w:val="22"/>
          <w:szCs w:val="22"/>
          <w:lang w:val="pl-PL"/>
        </w:rPr>
        <w:t xml:space="preserve">względem roku 2021 </w:t>
      </w:r>
      <w:r w:rsidRPr="004F5069">
        <w:rPr>
          <w:rFonts w:cs="Arial"/>
          <w:sz w:val="22"/>
          <w:szCs w:val="22"/>
        </w:rPr>
        <w:t xml:space="preserve">wzrost </w:t>
      </w:r>
      <w:r w:rsidRPr="004F5069">
        <w:rPr>
          <w:rFonts w:cs="Arial"/>
          <w:sz w:val="22"/>
          <w:szCs w:val="22"/>
          <w:lang w:val="pl-PL"/>
        </w:rPr>
        <w:t xml:space="preserve">zarówno </w:t>
      </w:r>
      <w:r w:rsidRPr="004F5069">
        <w:rPr>
          <w:rFonts w:cs="Arial"/>
          <w:sz w:val="22"/>
          <w:szCs w:val="22"/>
        </w:rPr>
        <w:t>w odniesieniu do liczby</w:t>
      </w:r>
      <w:r w:rsidRPr="004F5069">
        <w:rPr>
          <w:rFonts w:cs="Arial"/>
          <w:sz w:val="22"/>
          <w:szCs w:val="22"/>
          <w:lang w:val="pl-PL"/>
        </w:rPr>
        <w:t>, jak i wartości</w:t>
      </w:r>
      <w:r w:rsidRPr="004F5069">
        <w:rPr>
          <w:rFonts w:cs="Arial"/>
          <w:sz w:val="22"/>
          <w:szCs w:val="22"/>
        </w:rPr>
        <w:t xml:space="preserve"> zamówień uwzględniających te instrumenty. Wyjątkiem w tym zakresie jest zastosowanie instrumentu z art. 96 ust. 1 umożliwiającego określenie wymagań związanych z realizacją zamówienia obejmujących aspekty społeczne związane z zatrudnieniem. W przypadku tego aspektu w porównaniu do roku 2021 odnotowano spadek zarówno liczby takich zamówień – o 48, jak i wartości – o ok. 606 mln zł</w:t>
      </w:r>
      <w:r>
        <w:rPr>
          <w:rFonts w:cs="Arial"/>
          <w:sz w:val="22"/>
          <w:szCs w:val="22"/>
          <w:lang w:val="pl-PL"/>
        </w:rPr>
        <w:t>;</w:t>
      </w:r>
    </w:p>
    <w:p w14:paraId="2360B85D" w14:textId="61C3ED9E" w:rsidR="00017592" w:rsidRPr="004F5069" w:rsidRDefault="00017592" w:rsidP="00AB684C">
      <w:pPr>
        <w:pStyle w:val="Akapitzlist"/>
        <w:numPr>
          <w:ilvl w:val="0"/>
          <w:numId w:val="75"/>
        </w:numPr>
        <w:shd w:val="clear" w:color="auto" w:fill="FFFFFF"/>
        <w:spacing w:after="60"/>
        <w:ind w:left="357" w:hanging="357"/>
        <w:contextualSpacing w:val="0"/>
        <w:rPr>
          <w:rFonts w:cs="Arial"/>
          <w:sz w:val="22"/>
          <w:szCs w:val="22"/>
        </w:rPr>
      </w:pPr>
      <w:r w:rsidRPr="004F5069">
        <w:rPr>
          <w:rFonts w:cs="Arial"/>
          <w:sz w:val="22"/>
          <w:szCs w:val="22"/>
        </w:rPr>
        <w:t>najrzadziej stosowanym przez zamawiających instrumentem prospołecznym (podobnie jak w roku 2021) były etykiety związane z aspektami społecznymi. Może wynikać to z niewielkiej wiedzy zamawiających na temat istniejących oznakowań społecznych oraz grup produktowych, które obejmują, a także z faktu, iż skorzystanie z uprawnienia przewidzianego w art. 104 ustawy Pzp wymaga spełnienia przez oznakowanie wszystkich wymienio</w:t>
      </w:r>
      <w:r w:rsidR="00603739">
        <w:rPr>
          <w:rFonts w:cs="Arial"/>
          <w:sz w:val="22"/>
          <w:szCs w:val="22"/>
          <w:lang w:val="pl-PL"/>
        </w:rPr>
        <w:t>n</w:t>
      </w:r>
      <w:r w:rsidRPr="004F5069">
        <w:rPr>
          <w:rFonts w:cs="Arial"/>
          <w:sz w:val="22"/>
          <w:szCs w:val="22"/>
        </w:rPr>
        <w:t>ych w przedmiotowym przepisie warunków</w:t>
      </w:r>
      <w:r>
        <w:rPr>
          <w:rFonts w:cs="Arial"/>
          <w:sz w:val="22"/>
          <w:szCs w:val="22"/>
          <w:lang w:val="pl-PL"/>
        </w:rPr>
        <w:t>;</w:t>
      </w:r>
    </w:p>
    <w:p w14:paraId="4159DD0D" w14:textId="7996BD6C" w:rsidR="00017592" w:rsidRPr="00710E4F" w:rsidRDefault="00017592" w:rsidP="00AB684C">
      <w:pPr>
        <w:pStyle w:val="Akapitzlist"/>
        <w:numPr>
          <w:ilvl w:val="0"/>
          <w:numId w:val="75"/>
        </w:numPr>
        <w:shd w:val="clear" w:color="auto" w:fill="FFFFFF"/>
        <w:spacing w:after="60"/>
        <w:contextualSpacing w:val="0"/>
        <w:rPr>
          <w:rFonts w:cs="Arial"/>
          <w:sz w:val="22"/>
          <w:szCs w:val="22"/>
        </w:rPr>
      </w:pPr>
      <w:r w:rsidRPr="004F5069">
        <w:rPr>
          <w:rFonts w:cs="Arial"/>
          <w:sz w:val="22"/>
          <w:szCs w:val="22"/>
        </w:rPr>
        <w:t>niewiele częściej zamawiający decydowali się na udziel</w:t>
      </w:r>
      <w:r w:rsidR="00C32FB3">
        <w:rPr>
          <w:rFonts w:cs="Arial"/>
          <w:sz w:val="22"/>
          <w:szCs w:val="22"/>
        </w:rPr>
        <w:t xml:space="preserve">enie zamówienia zastrzeżonego – </w:t>
      </w:r>
      <w:r w:rsidRPr="004F5069">
        <w:rPr>
          <w:rFonts w:cs="Arial"/>
          <w:sz w:val="22"/>
          <w:szCs w:val="22"/>
        </w:rPr>
        <w:t>bądź z art. 94 ust. 1 ustawy Pzp, bądź też w ramach dodatkowego reżimu zamówień zastrzeżonych na usługi zdrowot</w:t>
      </w:r>
      <w:r w:rsidR="007B1E9A">
        <w:rPr>
          <w:rFonts w:cs="Arial"/>
          <w:sz w:val="22"/>
          <w:szCs w:val="22"/>
        </w:rPr>
        <w:t xml:space="preserve">ne, społeczne lub kulturalne, o </w:t>
      </w:r>
      <w:r w:rsidRPr="004F5069">
        <w:rPr>
          <w:rFonts w:cs="Arial"/>
          <w:sz w:val="22"/>
          <w:szCs w:val="22"/>
        </w:rPr>
        <w:t>którym mowa w art. 361 ust. 1 ustawy Pzp. Powód rzadkiego</w:t>
      </w:r>
      <w:r w:rsidRPr="009F16AC">
        <w:rPr>
          <w:rFonts w:cs="Arial"/>
          <w:sz w:val="22"/>
          <w:szCs w:val="22"/>
        </w:rPr>
        <w:t xml:space="preserve"> korzystania z</w:t>
      </w:r>
      <w:r w:rsidR="007B1E9A">
        <w:rPr>
          <w:rFonts w:cs="Arial"/>
          <w:sz w:val="22"/>
          <w:szCs w:val="22"/>
          <w:lang w:val="pl-PL"/>
        </w:rPr>
        <w:t xml:space="preserve"> </w:t>
      </w:r>
      <w:r w:rsidRPr="009F16AC">
        <w:rPr>
          <w:rFonts w:cs="Arial"/>
          <w:sz w:val="22"/>
          <w:szCs w:val="22"/>
        </w:rPr>
        <w:t>możliwości ograniczenia ubiegania się o zamówienie do określonych grup podmiotów może stanowić</w:t>
      </w:r>
      <w:r w:rsidR="009A02C1">
        <w:rPr>
          <w:rFonts w:cs="Arial"/>
          <w:sz w:val="22"/>
          <w:szCs w:val="22"/>
        </w:rPr>
        <w:t xml:space="preserve"> </w:t>
      </w:r>
      <w:r w:rsidRPr="009F16AC">
        <w:rPr>
          <w:rFonts w:cs="Arial"/>
          <w:sz w:val="22"/>
          <w:szCs w:val="22"/>
        </w:rPr>
        <w:t>obawa przed koniecznością unieważnienia postępowania z powodu braku ofert bądź też ograniczona wiedza na temat podmiotów ekonomii społecznej, zakresu i obszaru funkcjo</w:t>
      </w:r>
      <w:r w:rsidR="007B1E9A">
        <w:rPr>
          <w:rFonts w:cs="Arial"/>
          <w:sz w:val="22"/>
          <w:szCs w:val="22"/>
        </w:rPr>
        <w:t>nowania;</w:t>
      </w:r>
    </w:p>
    <w:p w14:paraId="52CF938C" w14:textId="3AF6ED2B" w:rsidR="00AB0FAD" w:rsidRPr="009F16AC" w:rsidRDefault="009363B7" w:rsidP="00AB684C">
      <w:pPr>
        <w:numPr>
          <w:ilvl w:val="0"/>
          <w:numId w:val="75"/>
        </w:numPr>
        <w:shd w:val="clear" w:color="auto" w:fill="FFFFFF"/>
        <w:spacing w:after="60"/>
        <w:rPr>
          <w:rFonts w:cs="Arial"/>
          <w:szCs w:val="22"/>
        </w:rPr>
      </w:pPr>
      <w:r w:rsidRPr="00220C58">
        <w:rPr>
          <w:szCs w:val="22"/>
        </w:rPr>
        <w:t xml:space="preserve">w 2022 r. </w:t>
      </w:r>
      <w:r w:rsidR="0013201D">
        <w:rPr>
          <w:szCs w:val="22"/>
        </w:rPr>
        <w:t xml:space="preserve">odpowiadając na </w:t>
      </w:r>
      <w:r w:rsidR="007C3C17">
        <w:rPr>
          <w:szCs w:val="22"/>
        </w:rPr>
        <w:t xml:space="preserve">potrzeby </w:t>
      </w:r>
      <w:r w:rsidR="007C3C17" w:rsidRPr="00220C58">
        <w:rPr>
          <w:szCs w:val="22"/>
        </w:rPr>
        <w:t xml:space="preserve">uczestników systemu zamówień publicznych </w:t>
      </w:r>
      <w:r w:rsidR="007C3C17" w:rsidRPr="00220C58">
        <w:rPr>
          <w:rFonts w:cs="Arial"/>
        </w:rPr>
        <w:t>Urząd Zamówień Publicznych</w:t>
      </w:r>
      <w:r w:rsidR="007C3C17" w:rsidRPr="00220C58">
        <w:rPr>
          <w:szCs w:val="22"/>
        </w:rPr>
        <w:t xml:space="preserve"> </w:t>
      </w:r>
      <w:r w:rsidR="000B2B98" w:rsidRPr="00220C58">
        <w:rPr>
          <w:szCs w:val="22"/>
        </w:rPr>
        <w:t>z</w:t>
      </w:r>
      <w:r w:rsidRPr="00220C58">
        <w:rPr>
          <w:szCs w:val="22"/>
        </w:rPr>
        <w:t>apewnia</w:t>
      </w:r>
      <w:r w:rsidR="000B2B98" w:rsidRPr="00220C58">
        <w:rPr>
          <w:szCs w:val="22"/>
        </w:rPr>
        <w:t>ł wielopłaszczyznowe wsp</w:t>
      </w:r>
      <w:r w:rsidRPr="00220C58">
        <w:rPr>
          <w:szCs w:val="22"/>
        </w:rPr>
        <w:t>arci</w:t>
      </w:r>
      <w:r w:rsidR="003A3C9D" w:rsidRPr="00220C58">
        <w:rPr>
          <w:szCs w:val="22"/>
        </w:rPr>
        <w:t>e</w:t>
      </w:r>
      <w:r w:rsidR="007C3C17">
        <w:rPr>
          <w:szCs w:val="22"/>
        </w:rPr>
        <w:t xml:space="preserve"> tej grupy zawodowej</w:t>
      </w:r>
      <w:r w:rsidRPr="00220C58">
        <w:rPr>
          <w:szCs w:val="22"/>
        </w:rPr>
        <w:t xml:space="preserve"> poprzez </w:t>
      </w:r>
      <w:r w:rsidR="003A3C9D" w:rsidRPr="00220C58">
        <w:rPr>
          <w:szCs w:val="22"/>
        </w:rPr>
        <w:t xml:space="preserve">oferowanie </w:t>
      </w:r>
      <w:r w:rsidR="0094499B" w:rsidRPr="00220C58">
        <w:rPr>
          <w:szCs w:val="22"/>
        </w:rPr>
        <w:t xml:space="preserve">udziału w </w:t>
      </w:r>
      <w:r w:rsidRPr="00220C58">
        <w:rPr>
          <w:szCs w:val="22"/>
        </w:rPr>
        <w:t>szkole</w:t>
      </w:r>
      <w:r w:rsidR="0094499B" w:rsidRPr="00220C58">
        <w:rPr>
          <w:szCs w:val="22"/>
        </w:rPr>
        <w:t xml:space="preserve">niach, konferencjach, seminariach </w:t>
      </w:r>
      <w:r w:rsidR="00D53313" w:rsidRPr="00220C58">
        <w:rPr>
          <w:szCs w:val="22"/>
        </w:rPr>
        <w:t xml:space="preserve">oraz upublicznianie </w:t>
      </w:r>
      <w:r w:rsidRPr="00220C58">
        <w:rPr>
          <w:szCs w:val="22"/>
        </w:rPr>
        <w:t>publikacj</w:t>
      </w:r>
      <w:r w:rsidR="00220C58">
        <w:rPr>
          <w:szCs w:val="22"/>
        </w:rPr>
        <w:t>i</w:t>
      </w:r>
      <w:r w:rsidRPr="00220C58">
        <w:rPr>
          <w:szCs w:val="22"/>
        </w:rPr>
        <w:t xml:space="preserve"> tematyczn</w:t>
      </w:r>
      <w:r w:rsidR="00220C58">
        <w:rPr>
          <w:szCs w:val="22"/>
        </w:rPr>
        <w:t>ych</w:t>
      </w:r>
      <w:r w:rsidRPr="00220C58">
        <w:rPr>
          <w:szCs w:val="22"/>
        </w:rPr>
        <w:t>, informator</w:t>
      </w:r>
      <w:r w:rsidR="00220C58">
        <w:rPr>
          <w:szCs w:val="22"/>
        </w:rPr>
        <w:t>ów</w:t>
      </w:r>
      <w:r w:rsidRPr="00220C58">
        <w:rPr>
          <w:szCs w:val="22"/>
        </w:rPr>
        <w:t>, interpretacj</w:t>
      </w:r>
      <w:r w:rsidR="00220C58">
        <w:rPr>
          <w:szCs w:val="22"/>
        </w:rPr>
        <w:t>i</w:t>
      </w:r>
      <w:r w:rsidRPr="00220C58">
        <w:rPr>
          <w:szCs w:val="22"/>
        </w:rPr>
        <w:t>,</w:t>
      </w:r>
      <w:r w:rsidR="0044613B">
        <w:rPr>
          <w:szCs w:val="22"/>
        </w:rPr>
        <w:t xml:space="preserve"> wyjaśnień, rekomendacji, itp.</w:t>
      </w:r>
      <w:r w:rsidRPr="00220C58">
        <w:rPr>
          <w:szCs w:val="22"/>
        </w:rPr>
        <w:t xml:space="preserve"> </w:t>
      </w:r>
      <w:r w:rsidR="0009176B">
        <w:rPr>
          <w:szCs w:val="22"/>
        </w:rPr>
        <w:t xml:space="preserve">Działania powyższe były realizowane zarówno w ramach działalności statutowej Urzędu, jak również </w:t>
      </w:r>
      <w:r w:rsidR="009D3D0A">
        <w:rPr>
          <w:szCs w:val="22"/>
        </w:rPr>
        <w:t xml:space="preserve">m.in. </w:t>
      </w:r>
      <w:r w:rsidR="0009176B">
        <w:rPr>
          <w:szCs w:val="22"/>
        </w:rPr>
        <w:t>w projekcie „P</w:t>
      </w:r>
      <w:r w:rsidR="00426D44">
        <w:rPr>
          <w:szCs w:val="22"/>
        </w:rPr>
        <w:t>rofesjonalizacja kadr w zamówieniach publicznych” (POWER) oraz w ramach Polityki zakupowej państwa</w:t>
      </w:r>
      <w:r w:rsidR="0013201D">
        <w:rPr>
          <w:szCs w:val="22"/>
        </w:rPr>
        <w:t>;</w:t>
      </w:r>
      <w:r w:rsidR="00426D44">
        <w:rPr>
          <w:szCs w:val="22"/>
        </w:rPr>
        <w:t xml:space="preserve"> </w:t>
      </w:r>
    </w:p>
    <w:p w14:paraId="62057423" w14:textId="03AC0D8B" w:rsidR="009F16AC" w:rsidRPr="009F16AC" w:rsidRDefault="0075295B" w:rsidP="00AB684C">
      <w:pPr>
        <w:pStyle w:val="Akapitzlist"/>
        <w:numPr>
          <w:ilvl w:val="0"/>
          <w:numId w:val="71"/>
        </w:numPr>
        <w:shd w:val="clear" w:color="auto" w:fill="FFFFFF"/>
        <w:spacing w:after="60"/>
        <w:ind w:left="360"/>
        <w:contextualSpacing w:val="0"/>
        <w:rPr>
          <w:rFonts w:cs="Arial"/>
          <w:sz w:val="22"/>
          <w:szCs w:val="22"/>
        </w:rPr>
      </w:pPr>
      <w:r>
        <w:rPr>
          <w:rFonts w:cs="Arial"/>
          <w:sz w:val="22"/>
          <w:szCs w:val="22"/>
          <w:lang w:val="pl-PL"/>
        </w:rPr>
        <w:t>działania</w:t>
      </w:r>
      <w:r w:rsidR="009F16AC" w:rsidRPr="009F16AC">
        <w:rPr>
          <w:rFonts w:cs="Arial"/>
          <w:sz w:val="22"/>
          <w:szCs w:val="22"/>
        </w:rPr>
        <w:t xml:space="preserve"> Urzędu Zamówień Publicznych w 2022 r. skoncentrowane były na pomocy w </w:t>
      </w:r>
      <w:r>
        <w:rPr>
          <w:rFonts w:cs="Arial"/>
          <w:sz w:val="22"/>
          <w:szCs w:val="22"/>
          <w:lang w:val="pl-PL"/>
        </w:rPr>
        <w:t xml:space="preserve">obszarze </w:t>
      </w:r>
      <w:r w:rsidR="009F16AC" w:rsidRPr="009F16AC">
        <w:rPr>
          <w:rFonts w:cs="Arial"/>
          <w:sz w:val="22"/>
          <w:szCs w:val="22"/>
        </w:rPr>
        <w:t>rzetelnego przyg</w:t>
      </w:r>
      <w:r w:rsidR="007B1E9A">
        <w:rPr>
          <w:rFonts w:cs="Arial"/>
          <w:sz w:val="22"/>
          <w:szCs w:val="22"/>
        </w:rPr>
        <w:t>otowania i przeprowadzenia post</w:t>
      </w:r>
      <w:r w:rsidR="007B1E9A">
        <w:rPr>
          <w:rFonts w:cs="Arial"/>
          <w:sz w:val="22"/>
          <w:szCs w:val="22"/>
          <w:lang w:val="pl-PL"/>
        </w:rPr>
        <w:t>ę</w:t>
      </w:r>
      <w:r w:rsidR="009F16AC" w:rsidRPr="009F16AC">
        <w:rPr>
          <w:rFonts w:cs="Arial"/>
          <w:sz w:val="22"/>
          <w:szCs w:val="22"/>
        </w:rPr>
        <w:t xml:space="preserve">powań o udzielenie zamówienia publicznego według nowych przepisów dotyczących zamówień. Na stronie internetowej UZP regularnie udostępniano </w:t>
      </w:r>
      <w:r w:rsidR="007B1E9A">
        <w:rPr>
          <w:rFonts w:cs="Arial"/>
          <w:sz w:val="22"/>
          <w:szCs w:val="22"/>
        </w:rPr>
        <w:t>–</w:t>
      </w:r>
      <w:r w:rsidR="009F16AC" w:rsidRPr="009F16AC">
        <w:rPr>
          <w:rFonts w:cs="Arial"/>
          <w:sz w:val="22"/>
          <w:szCs w:val="22"/>
        </w:rPr>
        <w:t xml:space="preserve"> w</w:t>
      </w:r>
      <w:r w:rsidR="007B1E9A">
        <w:rPr>
          <w:rFonts w:cs="Arial"/>
          <w:sz w:val="22"/>
          <w:szCs w:val="22"/>
          <w:lang w:val="pl-PL"/>
        </w:rPr>
        <w:t xml:space="preserve"> </w:t>
      </w:r>
      <w:r w:rsidR="009F16AC" w:rsidRPr="009F16AC">
        <w:rPr>
          <w:rFonts w:cs="Arial"/>
          <w:sz w:val="22"/>
          <w:szCs w:val="22"/>
        </w:rPr>
        <w:t xml:space="preserve">ramach założonej w roku poprzednim zakładki „Nowe Pzp” </w:t>
      </w:r>
      <w:r w:rsidR="007B1E9A">
        <w:rPr>
          <w:rFonts w:cs="Arial"/>
          <w:sz w:val="22"/>
          <w:szCs w:val="22"/>
        </w:rPr>
        <w:t>–</w:t>
      </w:r>
      <w:r w:rsidR="009F16AC" w:rsidRPr="009F16AC">
        <w:rPr>
          <w:rFonts w:cs="Arial"/>
          <w:sz w:val="22"/>
          <w:szCs w:val="22"/>
        </w:rPr>
        <w:t xml:space="preserve"> nowe informacje i aktualizacje, w szczególności interpretacje ustawy Pzp, a także odpowiedzi na formułowane przez uczestników rynku zamówień publicznych pytania. Ponadto w związku z konfliktem zbrojnym w Ukrainie wydzielona została na stronie internetowej UZP zakładka tematyczna, w której zamieszczane były materiały dotyczące tego zagadnienia, co ułatwiało odnalezienie informacji i wygodne z nich korzystanie</w:t>
      </w:r>
      <w:r w:rsidR="00A6597A">
        <w:rPr>
          <w:rFonts w:cs="Arial"/>
          <w:sz w:val="22"/>
          <w:szCs w:val="22"/>
          <w:lang w:val="pl-PL"/>
        </w:rPr>
        <w:t>.</w:t>
      </w:r>
    </w:p>
    <w:p w14:paraId="1B0DE4C2" w14:textId="77777777" w:rsidR="00D576FC" w:rsidRPr="005B740C" w:rsidRDefault="00D576FC" w:rsidP="005B740C">
      <w:pPr>
        <w:shd w:val="clear" w:color="auto" w:fill="FFFFFF"/>
        <w:rPr>
          <w:rFonts w:cs="Arial"/>
          <w:szCs w:val="22"/>
        </w:rPr>
      </w:pPr>
    </w:p>
    <w:p w14:paraId="65D02EFB" w14:textId="77777777" w:rsidR="00693B5E" w:rsidRPr="00712AC1" w:rsidRDefault="00693B5E" w:rsidP="007D4DEB">
      <w:pPr>
        <w:jc w:val="left"/>
      </w:pPr>
    </w:p>
    <w:tbl>
      <w:tblPr>
        <w:tblW w:w="0" w:type="auto"/>
        <w:tblInd w:w="90" w:type="dxa"/>
        <w:tblLayout w:type="fixed"/>
        <w:tblLook w:val="04A0" w:firstRow="1" w:lastRow="0" w:firstColumn="1" w:lastColumn="0" w:noHBand="0" w:noVBand="1"/>
      </w:tblPr>
      <w:tblGrid>
        <w:gridCol w:w="236"/>
        <w:gridCol w:w="8960"/>
      </w:tblGrid>
      <w:tr w:rsidR="00712AC1" w14:paraId="40468516" w14:textId="77777777" w:rsidTr="0080794B">
        <w:trPr>
          <w:cantSplit/>
        </w:trPr>
        <w:tc>
          <w:tcPr>
            <w:tcW w:w="236" w:type="dxa"/>
            <w:shd w:val="clear" w:color="auto" w:fill="95B3D7"/>
          </w:tcPr>
          <w:p w14:paraId="0FAC496E" w14:textId="77777777" w:rsidR="00712AC1" w:rsidRDefault="00712AC1" w:rsidP="00F058DB"/>
        </w:tc>
        <w:tc>
          <w:tcPr>
            <w:tcW w:w="8960" w:type="dxa"/>
          </w:tcPr>
          <w:p w14:paraId="5F89B08A" w14:textId="77777777" w:rsidR="00712AC1" w:rsidRPr="005879E4" w:rsidRDefault="00712AC1" w:rsidP="00F058DB">
            <w:pPr>
              <w:pStyle w:val="Nagwek2"/>
              <w:shd w:val="clear" w:color="auto" w:fill="FFFFFF"/>
              <w:spacing w:after="120"/>
              <w:rPr>
                <w:noProof/>
                <w:color w:val="0070C0"/>
                <w:sz w:val="28"/>
              </w:rPr>
            </w:pPr>
            <w:bookmarkStart w:id="272" w:name="_Toc64451897"/>
            <w:bookmarkStart w:id="273" w:name="_Toc141276475"/>
            <w:r w:rsidRPr="005879E4">
              <w:rPr>
                <w:noProof/>
                <w:color w:val="0070C0"/>
                <w:sz w:val="28"/>
              </w:rPr>
              <w:t>IV.2. Rekomendacje</w:t>
            </w:r>
            <w:bookmarkEnd w:id="272"/>
            <w:bookmarkEnd w:id="273"/>
          </w:p>
        </w:tc>
      </w:tr>
    </w:tbl>
    <w:p w14:paraId="1E77A736" w14:textId="77777777" w:rsidR="00007B80" w:rsidRPr="00712AC1" w:rsidRDefault="00007B80" w:rsidP="007D4DEB">
      <w:pPr>
        <w:rPr>
          <w:iCs/>
          <w:szCs w:val="22"/>
        </w:rPr>
      </w:pPr>
    </w:p>
    <w:p w14:paraId="7DA31DF8" w14:textId="113B6924" w:rsidR="00081E98" w:rsidRPr="000E6CD1" w:rsidRDefault="003A6ED3" w:rsidP="00BA7633">
      <w:pPr>
        <w:pStyle w:val="Akapitzlist"/>
        <w:numPr>
          <w:ilvl w:val="0"/>
          <w:numId w:val="72"/>
        </w:numPr>
        <w:shd w:val="clear" w:color="auto" w:fill="FFFFFF"/>
        <w:ind w:left="360"/>
        <w:rPr>
          <w:sz w:val="22"/>
          <w:szCs w:val="22"/>
        </w:rPr>
      </w:pPr>
      <w:r w:rsidRPr="000E7203">
        <w:rPr>
          <w:sz w:val="22"/>
          <w:szCs w:val="22"/>
          <w:lang w:val="pl-PL"/>
        </w:rPr>
        <w:t>K</w:t>
      </w:r>
      <w:r w:rsidR="00BE4B60" w:rsidRPr="000E7203">
        <w:rPr>
          <w:sz w:val="22"/>
          <w:szCs w:val="22"/>
          <w:lang w:val="pl-PL"/>
        </w:rPr>
        <w:t xml:space="preserve">ontynuacja </w:t>
      </w:r>
      <w:r w:rsidR="00EA3A3E" w:rsidRPr="000E7203">
        <w:rPr>
          <w:sz w:val="22"/>
          <w:szCs w:val="22"/>
          <w:lang w:val="pl-PL"/>
        </w:rPr>
        <w:t xml:space="preserve">zróżnicowanych, </w:t>
      </w:r>
      <w:r w:rsidR="00BE4B60" w:rsidRPr="000E7203">
        <w:rPr>
          <w:sz w:val="22"/>
          <w:szCs w:val="22"/>
          <w:lang w:val="pl-PL"/>
        </w:rPr>
        <w:t>wielokierunkowych działań adresowanych do zamawiającyc</w:t>
      </w:r>
      <w:r w:rsidRPr="000E7203">
        <w:rPr>
          <w:sz w:val="22"/>
          <w:szCs w:val="22"/>
          <w:lang w:val="pl-PL"/>
        </w:rPr>
        <w:t xml:space="preserve">h i wykonawców </w:t>
      </w:r>
      <w:r w:rsidR="00472737" w:rsidRPr="000E7203">
        <w:rPr>
          <w:sz w:val="22"/>
          <w:szCs w:val="22"/>
          <w:lang w:val="pl-PL"/>
        </w:rPr>
        <w:t>zmierzających</w:t>
      </w:r>
      <w:r w:rsidRPr="000E7203">
        <w:rPr>
          <w:sz w:val="22"/>
          <w:szCs w:val="22"/>
          <w:lang w:val="pl-PL"/>
        </w:rPr>
        <w:t xml:space="preserve"> do zainter</w:t>
      </w:r>
      <w:r w:rsidR="00472737" w:rsidRPr="000E7203">
        <w:rPr>
          <w:sz w:val="22"/>
          <w:szCs w:val="22"/>
          <w:lang w:val="pl-PL"/>
        </w:rPr>
        <w:t xml:space="preserve">esowania rynkiem zamówień publicznych </w:t>
      </w:r>
      <w:r w:rsidR="00EF6580" w:rsidRPr="000E7203">
        <w:rPr>
          <w:sz w:val="22"/>
          <w:szCs w:val="22"/>
          <w:lang w:val="pl-PL"/>
        </w:rPr>
        <w:t xml:space="preserve">przedsiębiorców, w szczególności </w:t>
      </w:r>
      <w:r w:rsidR="00472737" w:rsidRPr="000E7203">
        <w:rPr>
          <w:sz w:val="22"/>
          <w:szCs w:val="22"/>
          <w:lang w:val="pl-PL"/>
        </w:rPr>
        <w:t>z sektora M</w:t>
      </w:r>
      <w:r w:rsidR="00603739">
        <w:rPr>
          <w:sz w:val="22"/>
          <w:szCs w:val="22"/>
          <w:lang w:val="pl-PL"/>
        </w:rPr>
        <w:t>Ś</w:t>
      </w:r>
      <w:r w:rsidR="00472737" w:rsidRPr="000E7203">
        <w:rPr>
          <w:sz w:val="22"/>
          <w:szCs w:val="22"/>
          <w:lang w:val="pl-PL"/>
        </w:rPr>
        <w:t>P</w:t>
      </w:r>
      <w:r w:rsidR="00081E98" w:rsidRPr="000E7203">
        <w:rPr>
          <w:sz w:val="22"/>
          <w:szCs w:val="22"/>
          <w:lang w:val="pl-PL"/>
        </w:rPr>
        <w:t>.</w:t>
      </w:r>
    </w:p>
    <w:p w14:paraId="7DE77679" w14:textId="77777777" w:rsidR="000E6CD1" w:rsidRPr="000E7203" w:rsidRDefault="000E6CD1" w:rsidP="00BA7633">
      <w:pPr>
        <w:pStyle w:val="Akapitzlist"/>
        <w:shd w:val="clear" w:color="auto" w:fill="FFFFFF"/>
        <w:ind w:left="360"/>
        <w:rPr>
          <w:sz w:val="22"/>
          <w:szCs w:val="22"/>
        </w:rPr>
      </w:pPr>
    </w:p>
    <w:p w14:paraId="0926391D" w14:textId="0522A97C" w:rsidR="002D4A3F" w:rsidRPr="000E6CD1" w:rsidRDefault="000E7203" w:rsidP="00BA7633">
      <w:pPr>
        <w:pStyle w:val="Akapitzlist"/>
        <w:numPr>
          <w:ilvl w:val="0"/>
          <w:numId w:val="72"/>
        </w:numPr>
        <w:shd w:val="clear" w:color="auto" w:fill="FFFFFF"/>
        <w:ind w:left="360"/>
        <w:rPr>
          <w:sz w:val="22"/>
          <w:szCs w:val="22"/>
        </w:rPr>
      </w:pPr>
      <w:r w:rsidRPr="000E7203">
        <w:rPr>
          <w:sz w:val="22"/>
          <w:szCs w:val="22"/>
          <w:lang w:val="pl-PL"/>
        </w:rPr>
        <w:t xml:space="preserve">Rozwijanie </w:t>
      </w:r>
      <w:r>
        <w:rPr>
          <w:sz w:val="22"/>
          <w:szCs w:val="22"/>
          <w:lang w:val="pl-PL"/>
        </w:rPr>
        <w:t xml:space="preserve">oferty edukacyjnej </w:t>
      </w:r>
      <w:r w:rsidR="002D4A3F" w:rsidRPr="000E7203">
        <w:rPr>
          <w:sz w:val="22"/>
          <w:szCs w:val="22"/>
        </w:rPr>
        <w:t xml:space="preserve">Urzędu obejmującej </w:t>
      </w:r>
      <w:r w:rsidR="000D5CC7">
        <w:rPr>
          <w:sz w:val="22"/>
          <w:szCs w:val="22"/>
          <w:lang w:val="pl-PL"/>
        </w:rPr>
        <w:t xml:space="preserve">różne grupy </w:t>
      </w:r>
      <w:r w:rsidR="002D4A3F" w:rsidRPr="000E7203">
        <w:rPr>
          <w:sz w:val="22"/>
          <w:szCs w:val="22"/>
        </w:rPr>
        <w:t>interesariuszy systemu zamówień publicznych, jak</w:t>
      </w:r>
      <w:r w:rsidR="006F1ED4">
        <w:rPr>
          <w:sz w:val="22"/>
          <w:szCs w:val="22"/>
          <w:lang w:val="pl-PL"/>
        </w:rPr>
        <w:t xml:space="preserve"> również uwzględniającej zagadnienia </w:t>
      </w:r>
      <w:r w:rsidR="00C9548A">
        <w:rPr>
          <w:sz w:val="22"/>
          <w:szCs w:val="22"/>
          <w:lang w:val="pl-PL"/>
        </w:rPr>
        <w:t xml:space="preserve">ważne z perspektywy </w:t>
      </w:r>
      <w:r w:rsidR="00065919">
        <w:rPr>
          <w:sz w:val="22"/>
          <w:szCs w:val="22"/>
          <w:lang w:val="pl-PL"/>
        </w:rPr>
        <w:t>właściwego funkcjonowania tego systemu</w:t>
      </w:r>
      <w:r w:rsidR="0061249E">
        <w:rPr>
          <w:sz w:val="22"/>
          <w:szCs w:val="22"/>
          <w:lang w:val="pl-PL"/>
        </w:rPr>
        <w:t>, jak np. konkurencyjność, kryteria pozacenowe, zielone zamówienia publiczne, innowacyjność, społeczne zamówienia publiczne</w:t>
      </w:r>
      <w:r w:rsidR="001C657A">
        <w:rPr>
          <w:sz w:val="22"/>
          <w:szCs w:val="22"/>
          <w:lang w:val="pl-PL"/>
        </w:rPr>
        <w:t>. Profesjonalizacja zamówień publicznych.</w:t>
      </w:r>
    </w:p>
    <w:p w14:paraId="4B4EA360" w14:textId="77777777" w:rsidR="000E6CD1" w:rsidRPr="000E6CD1" w:rsidRDefault="000E6CD1" w:rsidP="00BA7633">
      <w:pPr>
        <w:pStyle w:val="Akapitzlist"/>
        <w:ind w:left="360"/>
        <w:rPr>
          <w:sz w:val="22"/>
          <w:szCs w:val="22"/>
        </w:rPr>
      </w:pPr>
    </w:p>
    <w:p w14:paraId="1B604002" w14:textId="50865EAF" w:rsidR="00A81C37" w:rsidRPr="00C6789F" w:rsidRDefault="00FD5953" w:rsidP="00BA7633">
      <w:pPr>
        <w:pStyle w:val="Akapitzlist"/>
        <w:numPr>
          <w:ilvl w:val="0"/>
          <w:numId w:val="72"/>
        </w:numPr>
        <w:ind w:left="360"/>
        <w:rPr>
          <w:sz w:val="22"/>
          <w:szCs w:val="22"/>
        </w:rPr>
      </w:pPr>
      <w:r>
        <w:rPr>
          <w:sz w:val="22"/>
          <w:szCs w:val="22"/>
          <w:lang w:val="pl-PL"/>
        </w:rPr>
        <w:t xml:space="preserve">Wzmocnienie </w:t>
      </w:r>
      <w:r w:rsidR="002D4A3F" w:rsidRPr="00290F99">
        <w:rPr>
          <w:sz w:val="22"/>
          <w:szCs w:val="22"/>
        </w:rPr>
        <w:t>elektronizacj</w:t>
      </w:r>
      <w:r w:rsidR="002D4A3F">
        <w:rPr>
          <w:sz w:val="22"/>
          <w:szCs w:val="22"/>
          <w:lang w:val="pl-PL"/>
        </w:rPr>
        <w:t>i</w:t>
      </w:r>
      <w:r w:rsidR="002D4A3F" w:rsidRPr="00290F99">
        <w:rPr>
          <w:sz w:val="22"/>
          <w:szCs w:val="22"/>
        </w:rPr>
        <w:t xml:space="preserve"> </w:t>
      </w:r>
      <w:r w:rsidR="00FC6E5C">
        <w:rPr>
          <w:sz w:val="22"/>
          <w:szCs w:val="22"/>
          <w:lang w:val="pl-PL"/>
        </w:rPr>
        <w:t>procesu udzielania</w:t>
      </w:r>
      <w:r w:rsidR="00CA702B">
        <w:rPr>
          <w:sz w:val="22"/>
          <w:szCs w:val="22"/>
          <w:lang w:val="pl-PL"/>
        </w:rPr>
        <w:t xml:space="preserve"> zamówień publicznych poprzez tworzenie nowych narzędzi </w:t>
      </w:r>
      <w:r w:rsidR="00B1655D">
        <w:rPr>
          <w:sz w:val="22"/>
          <w:szCs w:val="22"/>
          <w:lang w:val="pl-PL"/>
        </w:rPr>
        <w:t xml:space="preserve">dotyczących środków ochrony prawnej oraz dostępu do orzecznictwa </w:t>
      </w:r>
      <w:r w:rsidR="00A81C37">
        <w:rPr>
          <w:sz w:val="22"/>
          <w:szCs w:val="22"/>
          <w:lang w:val="pl-PL"/>
        </w:rPr>
        <w:t>w tej dziedzinie.</w:t>
      </w:r>
    </w:p>
    <w:p w14:paraId="05400164" w14:textId="77777777" w:rsidR="00C6789F" w:rsidRPr="00C6789F" w:rsidRDefault="00C6789F" w:rsidP="00C6789F">
      <w:pPr>
        <w:pStyle w:val="Akapitzlist"/>
        <w:rPr>
          <w:sz w:val="22"/>
          <w:szCs w:val="22"/>
        </w:rPr>
      </w:pPr>
    </w:p>
    <w:p w14:paraId="123B3A80" w14:textId="67358838" w:rsidR="00C6789F" w:rsidRPr="00A81C37" w:rsidRDefault="0089282F" w:rsidP="00BA7633">
      <w:pPr>
        <w:pStyle w:val="Akapitzlist"/>
        <w:numPr>
          <w:ilvl w:val="0"/>
          <w:numId w:val="72"/>
        </w:numPr>
        <w:ind w:left="360"/>
        <w:rPr>
          <w:sz w:val="22"/>
          <w:szCs w:val="22"/>
        </w:rPr>
      </w:pPr>
      <w:r>
        <w:rPr>
          <w:sz w:val="22"/>
          <w:szCs w:val="22"/>
          <w:lang w:val="pl-PL"/>
        </w:rPr>
        <w:t xml:space="preserve">Przegląd przepisów ustawy </w:t>
      </w:r>
      <w:r w:rsidR="009D4A51" w:rsidRPr="009D4A51">
        <w:rPr>
          <w:sz w:val="22"/>
          <w:szCs w:val="22"/>
          <w:lang w:val="pl-PL"/>
        </w:rPr>
        <w:t>–</w:t>
      </w:r>
      <w:r w:rsidR="00F7455E">
        <w:rPr>
          <w:sz w:val="22"/>
          <w:szCs w:val="22"/>
          <w:lang w:val="pl-PL"/>
        </w:rPr>
        <w:t xml:space="preserve"> </w:t>
      </w:r>
      <w:r>
        <w:rPr>
          <w:sz w:val="22"/>
          <w:szCs w:val="22"/>
          <w:lang w:val="pl-PL"/>
        </w:rPr>
        <w:t>Prawo zamówień publicznych</w:t>
      </w:r>
      <w:r w:rsidR="00830C57">
        <w:rPr>
          <w:sz w:val="22"/>
          <w:szCs w:val="22"/>
          <w:lang w:val="pl-PL"/>
        </w:rPr>
        <w:t xml:space="preserve"> z uwzględnieniem praktyki jej stosowania we współpracy z ekspertami reprez</w:t>
      </w:r>
      <w:r w:rsidR="00523A7A">
        <w:rPr>
          <w:sz w:val="22"/>
          <w:szCs w:val="22"/>
          <w:lang w:val="pl-PL"/>
        </w:rPr>
        <w:t xml:space="preserve">entującymi różne obszary systemu </w:t>
      </w:r>
      <w:r w:rsidR="00F7455E">
        <w:rPr>
          <w:sz w:val="22"/>
          <w:szCs w:val="22"/>
          <w:lang w:val="pl-PL"/>
        </w:rPr>
        <w:t>zamówień</w:t>
      </w:r>
      <w:r w:rsidR="00523A7A">
        <w:rPr>
          <w:sz w:val="22"/>
          <w:szCs w:val="22"/>
          <w:lang w:val="pl-PL"/>
        </w:rPr>
        <w:t xml:space="preserve"> publicznych.</w:t>
      </w:r>
    </w:p>
    <w:p w14:paraId="568455C8" w14:textId="77777777" w:rsidR="00A81C37" w:rsidRPr="00A81C37" w:rsidRDefault="00A81C37" w:rsidP="00BA7633">
      <w:pPr>
        <w:pStyle w:val="Akapitzlist"/>
        <w:ind w:left="360"/>
        <w:rPr>
          <w:sz w:val="22"/>
          <w:szCs w:val="22"/>
        </w:rPr>
      </w:pPr>
    </w:p>
    <w:p w14:paraId="685EC180" w14:textId="00C11D5A" w:rsidR="002D4A3F" w:rsidRPr="009F16AC" w:rsidRDefault="002D4A3F" w:rsidP="00BA7633">
      <w:pPr>
        <w:pStyle w:val="Akapitzlist"/>
        <w:shd w:val="clear" w:color="auto" w:fill="FFFFFF"/>
        <w:ind w:left="360"/>
        <w:rPr>
          <w:rFonts w:cs="Arial"/>
          <w:sz w:val="22"/>
          <w:szCs w:val="22"/>
        </w:rPr>
      </w:pPr>
    </w:p>
    <w:p w14:paraId="0EEBCFFF" w14:textId="77777777" w:rsidR="003A3DA2" w:rsidRDefault="003A3DA2" w:rsidP="00BA7633">
      <w:pPr>
        <w:shd w:val="clear" w:color="auto" w:fill="FFFFFF"/>
        <w:rPr>
          <w:rFonts w:cs="Arial"/>
        </w:rPr>
        <w:sectPr w:rsidR="003A3DA2" w:rsidSect="00333F5B">
          <w:pgSz w:w="11906" w:h="16838"/>
          <w:pgMar w:top="1418" w:right="1418" w:bottom="1418" w:left="1418" w:header="709" w:footer="709" w:gutter="0"/>
          <w:cols w:space="708"/>
          <w:titlePg/>
          <w:docGrid w:linePitch="299"/>
        </w:sectPr>
      </w:pPr>
    </w:p>
    <w:p w14:paraId="7910923F" w14:textId="77777777" w:rsidR="000D31BE" w:rsidRDefault="000D31BE" w:rsidP="000D31BE">
      <w:pPr>
        <w:rPr>
          <w:rFonts w:cs="Arial"/>
          <w:color w:val="000000"/>
          <w:szCs w:val="22"/>
        </w:rPr>
      </w:pPr>
    </w:p>
    <w:tbl>
      <w:tblPr>
        <w:tblW w:w="9480" w:type="dxa"/>
        <w:tblInd w:w="-194" w:type="dxa"/>
        <w:tblLayout w:type="fixed"/>
        <w:tblLook w:val="04A0" w:firstRow="1" w:lastRow="0" w:firstColumn="1" w:lastColumn="0" w:noHBand="0" w:noVBand="1"/>
      </w:tblPr>
      <w:tblGrid>
        <w:gridCol w:w="302"/>
        <w:gridCol w:w="9178"/>
      </w:tblGrid>
      <w:tr w:rsidR="00007B80" w:rsidRPr="008C3B34" w14:paraId="199621EF" w14:textId="77777777" w:rsidTr="00DC67F7">
        <w:tc>
          <w:tcPr>
            <w:tcW w:w="302" w:type="dxa"/>
            <w:shd w:val="clear" w:color="auto" w:fill="365F91"/>
          </w:tcPr>
          <w:p w14:paraId="2D0CDA0C" w14:textId="77777777" w:rsidR="00007B80" w:rsidRPr="008C3B34" w:rsidRDefault="00007B80" w:rsidP="006C345E">
            <w:pPr>
              <w:pStyle w:val="Nagwek1"/>
              <w:spacing w:after="100" w:afterAutospacing="1"/>
              <w:rPr>
                <w:sz w:val="32"/>
                <w:szCs w:val="32"/>
              </w:rPr>
            </w:pPr>
          </w:p>
        </w:tc>
        <w:tc>
          <w:tcPr>
            <w:tcW w:w="9178" w:type="dxa"/>
          </w:tcPr>
          <w:p w14:paraId="6115BA3A" w14:textId="0915E4DB" w:rsidR="00007B80" w:rsidRPr="00CD3CAB" w:rsidRDefault="00007B80" w:rsidP="00007B80">
            <w:pPr>
              <w:pStyle w:val="Nagwek1"/>
              <w:spacing w:after="120"/>
              <w:rPr>
                <w:noProof/>
                <w:color w:val="0070C0"/>
                <w:sz w:val="32"/>
                <w:szCs w:val="32"/>
              </w:rPr>
            </w:pPr>
            <w:bookmarkStart w:id="274" w:name="_Ref99524658"/>
            <w:bookmarkStart w:id="275" w:name="_Toc141276476"/>
            <w:r w:rsidRPr="00CD3CAB">
              <w:rPr>
                <w:noProof/>
                <w:color w:val="0070C0"/>
                <w:sz w:val="32"/>
                <w:szCs w:val="32"/>
              </w:rPr>
              <w:t>V. SPIS RYSUNKÓW</w:t>
            </w:r>
            <w:bookmarkEnd w:id="274"/>
            <w:bookmarkEnd w:id="275"/>
          </w:p>
        </w:tc>
      </w:tr>
    </w:tbl>
    <w:p w14:paraId="5A7FBDB9" w14:textId="1A54DEF7" w:rsidR="00E33597" w:rsidRDefault="00E33597" w:rsidP="007F1299">
      <w:pPr>
        <w:shd w:val="clear" w:color="auto" w:fill="FFFFFF"/>
        <w:rPr>
          <w:rFonts w:cs="Arial"/>
        </w:rPr>
      </w:pPr>
    </w:p>
    <w:p w14:paraId="24B23192" w14:textId="6DA5AC1F" w:rsidR="00A43C68" w:rsidRDefault="00BF3743">
      <w:pPr>
        <w:pStyle w:val="Spisilustracji"/>
        <w:tabs>
          <w:tab w:val="right" w:pos="9060"/>
        </w:tabs>
        <w:rPr>
          <w:rFonts w:asciiTheme="minorHAnsi" w:eastAsiaTheme="minorEastAsia" w:hAnsiTheme="minorHAnsi" w:cstheme="minorBidi"/>
          <w:noProof/>
          <w:sz w:val="22"/>
          <w:szCs w:val="22"/>
        </w:rPr>
      </w:pPr>
      <w:r>
        <w:rPr>
          <w:rFonts w:cs="Arial"/>
        </w:rPr>
        <w:fldChar w:fldCharType="begin"/>
      </w:r>
      <w:r>
        <w:rPr>
          <w:rFonts w:cs="Arial"/>
        </w:rPr>
        <w:instrText xml:space="preserve"> TOC \h \z \c "Rys." </w:instrText>
      </w:r>
      <w:r>
        <w:rPr>
          <w:rFonts w:cs="Arial"/>
        </w:rPr>
        <w:fldChar w:fldCharType="separate"/>
      </w:r>
      <w:hyperlink w:anchor="_Toc141276479" w:history="1">
        <w:r w:rsidR="00A43C68" w:rsidRPr="00E40F36">
          <w:rPr>
            <w:rStyle w:val="Hipercze"/>
            <w:noProof/>
          </w:rPr>
          <w:t>Rys. 1. Wartość zamówień publicznych udzielonych z zastosowaniem przepisów ustawy Pzp w latach 2012 – 2022 [w mld zł]</w:t>
        </w:r>
        <w:r w:rsidR="00A43C68">
          <w:rPr>
            <w:noProof/>
            <w:webHidden/>
          </w:rPr>
          <w:tab/>
        </w:r>
        <w:r w:rsidR="00A43C68">
          <w:rPr>
            <w:noProof/>
            <w:webHidden/>
          </w:rPr>
          <w:fldChar w:fldCharType="begin"/>
        </w:r>
        <w:r w:rsidR="00A43C68">
          <w:rPr>
            <w:noProof/>
            <w:webHidden/>
          </w:rPr>
          <w:instrText xml:space="preserve"> PAGEREF _Toc141276479 \h </w:instrText>
        </w:r>
        <w:r w:rsidR="00A43C68">
          <w:rPr>
            <w:noProof/>
            <w:webHidden/>
          </w:rPr>
        </w:r>
        <w:r w:rsidR="00A43C68">
          <w:rPr>
            <w:noProof/>
            <w:webHidden/>
          </w:rPr>
          <w:fldChar w:fldCharType="separate"/>
        </w:r>
        <w:r w:rsidR="00A43C68">
          <w:rPr>
            <w:noProof/>
            <w:webHidden/>
          </w:rPr>
          <w:t>17</w:t>
        </w:r>
        <w:r w:rsidR="00A43C68">
          <w:rPr>
            <w:noProof/>
            <w:webHidden/>
          </w:rPr>
          <w:fldChar w:fldCharType="end"/>
        </w:r>
      </w:hyperlink>
    </w:p>
    <w:p w14:paraId="63246FAD" w14:textId="3AF29D09"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80" w:history="1">
        <w:r w:rsidR="00A43C68" w:rsidRPr="00E40F36">
          <w:rPr>
            <w:rStyle w:val="Hipercze"/>
            <w:noProof/>
          </w:rPr>
          <w:t>Rys. 2. Liczba i wartość zamówień publicznych udzielonych z zastosowaniem przepisów ustawy Pzp w podziale na województwa</w:t>
        </w:r>
        <w:r w:rsidR="00A43C68">
          <w:rPr>
            <w:noProof/>
            <w:webHidden/>
          </w:rPr>
          <w:tab/>
        </w:r>
        <w:r w:rsidR="00A43C68">
          <w:rPr>
            <w:noProof/>
            <w:webHidden/>
          </w:rPr>
          <w:fldChar w:fldCharType="begin"/>
        </w:r>
        <w:r w:rsidR="00A43C68">
          <w:rPr>
            <w:noProof/>
            <w:webHidden/>
          </w:rPr>
          <w:instrText xml:space="preserve"> PAGEREF _Toc141276480 \h </w:instrText>
        </w:r>
        <w:r w:rsidR="00A43C68">
          <w:rPr>
            <w:noProof/>
            <w:webHidden/>
          </w:rPr>
        </w:r>
        <w:r w:rsidR="00A43C68">
          <w:rPr>
            <w:noProof/>
            <w:webHidden/>
          </w:rPr>
          <w:fldChar w:fldCharType="separate"/>
        </w:r>
        <w:r w:rsidR="00A43C68">
          <w:rPr>
            <w:noProof/>
            <w:webHidden/>
          </w:rPr>
          <w:t>18</w:t>
        </w:r>
        <w:r w:rsidR="00A43C68">
          <w:rPr>
            <w:noProof/>
            <w:webHidden/>
          </w:rPr>
          <w:fldChar w:fldCharType="end"/>
        </w:r>
      </w:hyperlink>
    </w:p>
    <w:p w14:paraId="07DD1E30" w14:textId="49F02C28"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81" w:history="1">
        <w:r w:rsidR="00A43C68" w:rsidRPr="00E40F36">
          <w:rPr>
            <w:rStyle w:val="Hipercze"/>
            <w:noProof/>
          </w:rPr>
          <w:t>Rys. 3. Liczba przekazanych rocznych sprawozdań o udzielonych zamówieniach w 2022 r. w podziale na województwa</w:t>
        </w:r>
        <w:r w:rsidR="00A43C68">
          <w:rPr>
            <w:noProof/>
            <w:webHidden/>
          </w:rPr>
          <w:tab/>
        </w:r>
        <w:r w:rsidR="00A43C68">
          <w:rPr>
            <w:noProof/>
            <w:webHidden/>
          </w:rPr>
          <w:fldChar w:fldCharType="begin"/>
        </w:r>
        <w:r w:rsidR="00A43C68">
          <w:rPr>
            <w:noProof/>
            <w:webHidden/>
          </w:rPr>
          <w:instrText xml:space="preserve"> PAGEREF _Toc141276481 \h </w:instrText>
        </w:r>
        <w:r w:rsidR="00A43C68">
          <w:rPr>
            <w:noProof/>
            <w:webHidden/>
          </w:rPr>
        </w:r>
        <w:r w:rsidR="00A43C68">
          <w:rPr>
            <w:noProof/>
            <w:webHidden/>
          </w:rPr>
          <w:fldChar w:fldCharType="separate"/>
        </w:r>
        <w:r w:rsidR="00A43C68">
          <w:rPr>
            <w:noProof/>
            <w:webHidden/>
          </w:rPr>
          <w:t>20</w:t>
        </w:r>
        <w:r w:rsidR="00A43C68">
          <w:rPr>
            <w:noProof/>
            <w:webHidden/>
          </w:rPr>
          <w:fldChar w:fldCharType="end"/>
        </w:r>
      </w:hyperlink>
    </w:p>
    <w:p w14:paraId="48DBBED9" w14:textId="57E8378C"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82" w:history="1">
        <w:r w:rsidR="00A43C68" w:rsidRPr="00E40F36">
          <w:rPr>
            <w:rStyle w:val="Hipercze"/>
            <w:noProof/>
          </w:rPr>
          <w:t>Rys. 4. Struktura wartości udzielonych zamówień w podziale na rodzaj zamówienia</w:t>
        </w:r>
        <w:r w:rsidR="00A43C68">
          <w:rPr>
            <w:noProof/>
            <w:webHidden/>
          </w:rPr>
          <w:tab/>
        </w:r>
        <w:r w:rsidR="00A43C68">
          <w:rPr>
            <w:noProof/>
            <w:webHidden/>
          </w:rPr>
          <w:fldChar w:fldCharType="begin"/>
        </w:r>
        <w:r w:rsidR="00A43C68">
          <w:rPr>
            <w:noProof/>
            <w:webHidden/>
          </w:rPr>
          <w:instrText xml:space="preserve"> PAGEREF _Toc141276482 \h </w:instrText>
        </w:r>
        <w:r w:rsidR="00A43C68">
          <w:rPr>
            <w:noProof/>
            <w:webHidden/>
          </w:rPr>
        </w:r>
        <w:r w:rsidR="00A43C68">
          <w:rPr>
            <w:noProof/>
            <w:webHidden/>
          </w:rPr>
          <w:fldChar w:fldCharType="separate"/>
        </w:r>
        <w:r w:rsidR="00A43C68">
          <w:rPr>
            <w:noProof/>
            <w:webHidden/>
          </w:rPr>
          <w:t>21</w:t>
        </w:r>
        <w:r w:rsidR="00A43C68">
          <w:rPr>
            <w:noProof/>
            <w:webHidden/>
          </w:rPr>
          <w:fldChar w:fldCharType="end"/>
        </w:r>
      </w:hyperlink>
    </w:p>
    <w:p w14:paraId="31357981" w14:textId="73786D16"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83" w:history="1">
        <w:r w:rsidR="00A43C68" w:rsidRPr="00E40F36">
          <w:rPr>
            <w:rStyle w:val="Hipercze"/>
            <w:noProof/>
          </w:rPr>
          <w:t>Rys. 5. Struktura liczby udzielonych zamówień w podziale na rodzaj zamówienia</w:t>
        </w:r>
        <w:r w:rsidR="00A43C68">
          <w:rPr>
            <w:noProof/>
            <w:webHidden/>
          </w:rPr>
          <w:tab/>
        </w:r>
        <w:r w:rsidR="00A43C68">
          <w:rPr>
            <w:noProof/>
            <w:webHidden/>
          </w:rPr>
          <w:fldChar w:fldCharType="begin"/>
        </w:r>
        <w:r w:rsidR="00A43C68">
          <w:rPr>
            <w:noProof/>
            <w:webHidden/>
          </w:rPr>
          <w:instrText xml:space="preserve"> PAGEREF _Toc141276483 \h </w:instrText>
        </w:r>
        <w:r w:rsidR="00A43C68">
          <w:rPr>
            <w:noProof/>
            <w:webHidden/>
          </w:rPr>
        </w:r>
        <w:r w:rsidR="00A43C68">
          <w:rPr>
            <w:noProof/>
            <w:webHidden/>
          </w:rPr>
          <w:fldChar w:fldCharType="separate"/>
        </w:r>
        <w:r w:rsidR="00A43C68">
          <w:rPr>
            <w:noProof/>
            <w:webHidden/>
          </w:rPr>
          <w:t>21</w:t>
        </w:r>
        <w:r w:rsidR="00A43C68">
          <w:rPr>
            <w:noProof/>
            <w:webHidden/>
          </w:rPr>
          <w:fldChar w:fldCharType="end"/>
        </w:r>
      </w:hyperlink>
    </w:p>
    <w:p w14:paraId="6B830834" w14:textId="11867C76"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84" w:history="1">
        <w:r w:rsidR="00A43C68" w:rsidRPr="00E40F36">
          <w:rPr>
            <w:rStyle w:val="Hipercze"/>
            <w:noProof/>
          </w:rPr>
          <w:t>Rys. 6. Wartość udzielonych zamówień sektorowych [w mld zł]</w:t>
        </w:r>
        <w:r w:rsidR="00A43C68">
          <w:rPr>
            <w:noProof/>
            <w:webHidden/>
          </w:rPr>
          <w:tab/>
        </w:r>
        <w:r w:rsidR="00A43C68">
          <w:rPr>
            <w:noProof/>
            <w:webHidden/>
          </w:rPr>
          <w:fldChar w:fldCharType="begin"/>
        </w:r>
        <w:r w:rsidR="00A43C68">
          <w:rPr>
            <w:noProof/>
            <w:webHidden/>
          </w:rPr>
          <w:instrText xml:space="preserve"> PAGEREF _Toc141276484 \h </w:instrText>
        </w:r>
        <w:r w:rsidR="00A43C68">
          <w:rPr>
            <w:noProof/>
            <w:webHidden/>
          </w:rPr>
        </w:r>
        <w:r w:rsidR="00A43C68">
          <w:rPr>
            <w:noProof/>
            <w:webHidden/>
          </w:rPr>
          <w:fldChar w:fldCharType="separate"/>
        </w:r>
        <w:r w:rsidR="00A43C68">
          <w:rPr>
            <w:noProof/>
            <w:webHidden/>
          </w:rPr>
          <w:t>22</w:t>
        </w:r>
        <w:r w:rsidR="00A43C68">
          <w:rPr>
            <w:noProof/>
            <w:webHidden/>
          </w:rPr>
          <w:fldChar w:fldCharType="end"/>
        </w:r>
      </w:hyperlink>
    </w:p>
    <w:p w14:paraId="1CDE9187" w14:textId="1323743F"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85" w:history="1">
        <w:r w:rsidR="00A43C68" w:rsidRPr="00E40F36">
          <w:rPr>
            <w:rStyle w:val="Hipercze"/>
            <w:noProof/>
          </w:rPr>
          <w:t>Rys. 7. Wartość udzielonych zamówień sektorowych w podziale na działalności sektorowe [w mld zł]</w:t>
        </w:r>
        <w:r w:rsidR="00A43C68">
          <w:rPr>
            <w:noProof/>
            <w:webHidden/>
          </w:rPr>
          <w:tab/>
        </w:r>
        <w:r w:rsidR="00A43C68">
          <w:rPr>
            <w:noProof/>
            <w:webHidden/>
          </w:rPr>
          <w:fldChar w:fldCharType="begin"/>
        </w:r>
        <w:r w:rsidR="00A43C68">
          <w:rPr>
            <w:noProof/>
            <w:webHidden/>
          </w:rPr>
          <w:instrText xml:space="preserve"> PAGEREF _Toc141276485 \h </w:instrText>
        </w:r>
        <w:r w:rsidR="00A43C68">
          <w:rPr>
            <w:noProof/>
            <w:webHidden/>
          </w:rPr>
        </w:r>
        <w:r w:rsidR="00A43C68">
          <w:rPr>
            <w:noProof/>
            <w:webHidden/>
          </w:rPr>
          <w:fldChar w:fldCharType="separate"/>
        </w:r>
        <w:r w:rsidR="00A43C68">
          <w:rPr>
            <w:noProof/>
            <w:webHidden/>
          </w:rPr>
          <w:t>22</w:t>
        </w:r>
        <w:r w:rsidR="00A43C68">
          <w:rPr>
            <w:noProof/>
            <w:webHidden/>
          </w:rPr>
          <w:fldChar w:fldCharType="end"/>
        </w:r>
      </w:hyperlink>
    </w:p>
    <w:p w14:paraId="2181AB68" w14:textId="7A150EAE"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86" w:history="1">
        <w:r w:rsidR="00A43C68" w:rsidRPr="00E40F36">
          <w:rPr>
            <w:rStyle w:val="Hipercze"/>
            <w:noProof/>
          </w:rPr>
          <w:t>Rys. 8. Struktura ogłoszeń dot. wyłączeń stosowania ustawy Pzp związanych z COVID-19 opublikowanych w BZP w 2022 r.</w:t>
        </w:r>
        <w:r w:rsidR="00A43C68">
          <w:rPr>
            <w:noProof/>
            <w:webHidden/>
          </w:rPr>
          <w:tab/>
        </w:r>
        <w:r w:rsidR="00A43C68">
          <w:rPr>
            <w:noProof/>
            <w:webHidden/>
          </w:rPr>
          <w:fldChar w:fldCharType="begin"/>
        </w:r>
        <w:r w:rsidR="00A43C68">
          <w:rPr>
            <w:noProof/>
            <w:webHidden/>
          </w:rPr>
          <w:instrText xml:space="preserve"> PAGEREF _Toc141276486 \h </w:instrText>
        </w:r>
        <w:r w:rsidR="00A43C68">
          <w:rPr>
            <w:noProof/>
            <w:webHidden/>
          </w:rPr>
        </w:r>
        <w:r w:rsidR="00A43C68">
          <w:rPr>
            <w:noProof/>
            <w:webHidden/>
          </w:rPr>
          <w:fldChar w:fldCharType="separate"/>
        </w:r>
        <w:r w:rsidR="00A43C68">
          <w:rPr>
            <w:noProof/>
            <w:webHidden/>
          </w:rPr>
          <w:t>27</w:t>
        </w:r>
        <w:r w:rsidR="00A43C68">
          <w:rPr>
            <w:noProof/>
            <w:webHidden/>
          </w:rPr>
          <w:fldChar w:fldCharType="end"/>
        </w:r>
      </w:hyperlink>
    </w:p>
    <w:p w14:paraId="06997393" w14:textId="06A8FB99"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87" w:history="1">
        <w:r w:rsidR="00A43C68" w:rsidRPr="00E40F36">
          <w:rPr>
            <w:rStyle w:val="Hipercze"/>
            <w:noProof/>
          </w:rPr>
          <w:t>Rys. 9. Struktura ogłoszeń dot. wyłączeń stosowania ustawy Pzp na podstawie ustawy o pomocy obywatelom Ukrainy opublikowanych w BZP w 2022 r.</w:t>
        </w:r>
        <w:r w:rsidR="00A43C68">
          <w:rPr>
            <w:noProof/>
            <w:webHidden/>
          </w:rPr>
          <w:tab/>
        </w:r>
        <w:r w:rsidR="00A43C68">
          <w:rPr>
            <w:noProof/>
            <w:webHidden/>
          </w:rPr>
          <w:fldChar w:fldCharType="begin"/>
        </w:r>
        <w:r w:rsidR="00A43C68">
          <w:rPr>
            <w:noProof/>
            <w:webHidden/>
          </w:rPr>
          <w:instrText xml:space="preserve"> PAGEREF _Toc141276487 \h </w:instrText>
        </w:r>
        <w:r w:rsidR="00A43C68">
          <w:rPr>
            <w:noProof/>
            <w:webHidden/>
          </w:rPr>
        </w:r>
        <w:r w:rsidR="00A43C68">
          <w:rPr>
            <w:noProof/>
            <w:webHidden/>
          </w:rPr>
          <w:fldChar w:fldCharType="separate"/>
        </w:r>
        <w:r w:rsidR="00A43C68">
          <w:rPr>
            <w:noProof/>
            <w:webHidden/>
          </w:rPr>
          <w:t>28</w:t>
        </w:r>
        <w:r w:rsidR="00A43C68">
          <w:rPr>
            <w:noProof/>
            <w:webHidden/>
          </w:rPr>
          <w:fldChar w:fldCharType="end"/>
        </w:r>
      </w:hyperlink>
    </w:p>
    <w:p w14:paraId="47F38A1F" w14:textId="0DFB7800"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88" w:history="1">
        <w:r w:rsidR="00A43C68" w:rsidRPr="00E40F36">
          <w:rPr>
            <w:rStyle w:val="Hipercze"/>
            <w:noProof/>
          </w:rPr>
          <w:t>Rys. 10. Struktura ogłoszeń dot. wyłączeń stosowania ustawy Pzp na podstawie ustawy o zakupie preferencyjnym paliwa stałego dla gospodarstw domowych opublikowanych w BZP w 2022 r.</w:t>
        </w:r>
        <w:r w:rsidR="00A43C68">
          <w:rPr>
            <w:noProof/>
            <w:webHidden/>
          </w:rPr>
          <w:tab/>
        </w:r>
        <w:r w:rsidR="00A43C68">
          <w:rPr>
            <w:noProof/>
            <w:webHidden/>
          </w:rPr>
          <w:fldChar w:fldCharType="begin"/>
        </w:r>
        <w:r w:rsidR="00A43C68">
          <w:rPr>
            <w:noProof/>
            <w:webHidden/>
          </w:rPr>
          <w:instrText xml:space="preserve"> PAGEREF _Toc141276488 \h </w:instrText>
        </w:r>
        <w:r w:rsidR="00A43C68">
          <w:rPr>
            <w:noProof/>
            <w:webHidden/>
          </w:rPr>
        </w:r>
        <w:r w:rsidR="00A43C68">
          <w:rPr>
            <w:noProof/>
            <w:webHidden/>
          </w:rPr>
          <w:fldChar w:fldCharType="separate"/>
        </w:r>
        <w:r w:rsidR="00A43C68">
          <w:rPr>
            <w:noProof/>
            <w:webHidden/>
          </w:rPr>
          <w:t>29</w:t>
        </w:r>
        <w:r w:rsidR="00A43C68">
          <w:rPr>
            <w:noProof/>
            <w:webHidden/>
          </w:rPr>
          <w:fldChar w:fldCharType="end"/>
        </w:r>
      </w:hyperlink>
    </w:p>
    <w:p w14:paraId="6506982F" w14:textId="53AE9FBE"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89" w:history="1">
        <w:r w:rsidR="00A43C68" w:rsidRPr="00E40F36">
          <w:rPr>
            <w:rStyle w:val="Hipercze"/>
            <w:iCs/>
            <w:noProof/>
          </w:rPr>
          <w:t>Rys. 11. Odsetek zamówień udzielanych w oparciu o cenę i inne kryteria oceny ofert</w:t>
        </w:r>
        <w:r w:rsidR="00A43C68">
          <w:rPr>
            <w:noProof/>
            <w:webHidden/>
          </w:rPr>
          <w:tab/>
        </w:r>
        <w:r w:rsidR="00A43C68">
          <w:rPr>
            <w:noProof/>
            <w:webHidden/>
          </w:rPr>
          <w:fldChar w:fldCharType="begin"/>
        </w:r>
        <w:r w:rsidR="00A43C68">
          <w:rPr>
            <w:noProof/>
            <w:webHidden/>
          </w:rPr>
          <w:instrText xml:space="preserve"> PAGEREF _Toc141276489 \h </w:instrText>
        </w:r>
        <w:r w:rsidR="00A43C68">
          <w:rPr>
            <w:noProof/>
            <w:webHidden/>
          </w:rPr>
        </w:r>
        <w:r w:rsidR="00A43C68">
          <w:rPr>
            <w:noProof/>
            <w:webHidden/>
          </w:rPr>
          <w:fldChar w:fldCharType="separate"/>
        </w:r>
        <w:r w:rsidR="00A43C68">
          <w:rPr>
            <w:noProof/>
            <w:webHidden/>
          </w:rPr>
          <w:t>32</w:t>
        </w:r>
        <w:r w:rsidR="00A43C68">
          <w:rPr>
            <w:noProof/>
            <w:webHidden/>
          </w:rPr>
          <w:fldChar w:fldCharType="end"/>
        </w:r>
      </w:hyperlink>
    </w:p>
    <w:p w14:paraId="49092382" w14:textId="11D4CB53"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90" w:history="1">
        <w:r w:rsidR="00A43C68" w:rsidRPr="00E40F36">
          <w:rPr>
            <w:rStyle w:val="Hipercze"/>
            <w:noProof/>
          </w:rPr>
          <w:t>Rys. 12. Średnia liczba ofert składanych w 2022 r. w postępowaniach o wartościach poniżej progów unijnych i równych lub przekraczających progi unijne w podziale na województwa</w:t>
        </w:r>
        <w:r w:rsidR="00A43C68">
          <w:rPr>
            <w:noProof/>
            <w:webHidden/>
          </w:rPr>
          <w:tab/>
        </w:r>
        <w:r w:rsidR="00A43C68">
          <w:rPr>
            <w:noProof/>
            <w:webHidden/>
          </w:rPr>
          <w:fldChar w:fldCharType="begin"/>
        </w:r>
        <w:r w:rsidR="00A43C68">
          <w:rPr>
            <w:noProof/>
            <w:webHidden/>
          </w:rPr>
          <w:instrText xml:space="preserve"> PAGEREF _Toc141276490 \h </w:instrText>
        </w:r>
        <w:r w:rsidR="00A43C68">
          <w:rPr>
            <w:noProof/>
            <w:webHidden/>
          </w:rPr>
        </w:r>
        <w:r w:rsidR="00A43C68">
          <w:rPr>
            <w:noProof/>
            <w:webHidden/>
          </w:rPr>
          <w:fldChar w:fldCharType="separate"/>
        </w:r>
        <w:r w:rsidR="00A43C68">
          <w:rPr>
            <w:noProof/>
            <w:webHidden/>
          </w:rPr>
          <w:t>36</w:t>
        </w:r>
        <w:r w:rsidR="00A43C68">
          <w:rPr>
            <w:noProof/>
            <w:webHidden/>
          </w:rPr>
          <w:fldChar w:fldCharType="end"/>
        </w:r>
      </w:hyperlink>
    </w:p>
    <w:p w14:paraId="7EA4034C" w14:textId="47ED642D"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91" w:history="1">
        <w:r w:rsidR="00A43C68" w:rsidRPr="00E40F36">
          <w:rPr>
            <w:rStyle w:val="Hipercze"/>
            <w:noProof/>
          </w:rPr>
          <w:t>Rys. 13. Liczba wniesionych odwołań w latach 2019–2022 w podziale na rodzaj zamówienia oraz ogółem</w:t>
        </w:r>
        <w:r w:rsidR="00A43C68">
          <w:rPr>
            <w:noProof/>
            <w:webHidden/>
          </w:rPr>
          <w:tab/>
        </w:r>
        <w:r w:rsidR="00A43C68">
          <w:rPr>
            <w:noProof/>
            <w:webHidden/>
          </w:rPr>
          <w:fldChar w:fldCharType="begin"/>
        </w:r>
        <w:r w:rsidR="00A43C68">
          <w:rPr>
            <w:noProof/>
            <w:webHidden/>
          </w:rPr>
          <w:instrText xml:space="preserve"> PAGEREF _Toc141276491 \h </w:instrText>
        </w:r>
        <w:r w:rsidR="00A43C68">
          <w:rPr>
            <w:noProof/>
            <w:webHidden/>
          </w:rPr>
        </w:r>
        <w:r w:rsidR="00A43C68">
          <w:rPr>
            <w:noProof/>
            <w:webHidden/>
          </w:rPr>
          <w:fldChar w:fldCharType="separate"/>
        </w:r>
        <w:r w:rsidR="00A43C68">
          <w:rPr>
            <w:noProof/>
            <w:webHidden/>
          </w:rPr>
          <w:t>41</w:t>
        </w:r>
        <w:r w:rsidR="00A43C68">
          <w:rPr>
            <w:noProof/>
            <w:webHidden/>
          </w:rPr>
          <w:fldChar w:fldCharType="end"/>
        </w:r>
      </w:hyperlink>
    </w:p>
    <w:p w14:paraId="751F68FA" w14:textId="598DD83C"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92" w:history="1">
        <w:r w:rsidR="00A43C68" w:rsidRPr="00E40F36">
          <w:rPr>
            <w:rStyle w:val="Hipercze"/>
            <w:noProof/>
          </w:rPr>
          <w:t>Rys. 14. Liczba zamówień, w których zastosowano odpowiednie aspekty społeczne</w:t>
        </w:r>
        <w:r w:rsidR="00A43C68">
          <w:rPr>
            <w:noProof/>
            <w:webHidden/>
          </w:rPr>
          <w:tab/>
        </w:r>
        <w:r w:rsidR="00A43C68">
          <w:rPr>
            <w:noProof/>
            <w:webHidden/>
          </w:rPr>
          <w:fldChar w:fldCharType="begin"/>
        </w:r>
        <w:r w:rsidR="00A43C68">
          <w:rPr>
            <w:noProof/>
            <w:webHidden/>
          </w:rPr>
          <w:instrText xml:space="preserve"> PAGEREF _Toc141276492 \h </w:instrText>
        </w:r>
        <w:r w:rsidR="00A43C68">
          <w:rPr>
            <w:noProof/>
            <w:webHidden/>
          </w:rPr>
        </w:r>
        <w:r w:rsidR="00A43C68">
          <w:rPr>
            <w:noProof/>
            <w:webHidden/>
          </w:rPr>
          <w:fldChar w:fldCharType="separate"/>
        </w:r>
        <w:r w:rsidR="00A43C68">
          <w:rPr>
            <w:noProof/>
            <w:webHidden/>
          </w:rPr>
          <w:t>49</w:t>
        </w:r>
        <w:r w:rsidR="00A43C68">
          <w:rPr>
            <w:noProof/>
            <w:webHidden/>
          </w:rPr>
          <w:fldChar w:fldCharType="end"/>
        </w:r>
      </w:hyperlink>
    </w:p>
    <w:p w14:paraId="510B2E17" w14:textId="49570430"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93" w:history="1">
        <w:r w:rsidR="00A43C68" w:rsidRPr="00E40F36">
          <w:rPr>
            <w:rStyle w:val="Hipercze"/>
            <w:noProof/>
          </w:rPr>
          <w:t>Rys. 15. Wartość zamówień, w których zastosowano odpowiednie aspekty społeczne</w:t>
        </w:r>
        <w:r w:rsidR="00A43C68">
          <w:rPr>
            <w:noProof/>
            <w:webHidden/>
          </w:rPr>
          <w:tab/>
        </w:r>
        <w:r w:rsidR="00A43C68">
          <w:rPr>
            <w:noProof/>
            <w:webHidden/>
          </w:rPr>
          <w:fldChar w:fldCharType="begin"/>
        </w:r>
        <w:r w:rsidR="00A43C68">
          <w:rPr>
            <w:noProof/>
            <w:webHidden/>
          </w:rPr>
          <w:instrText xml:space="preserve"> PAGEREF _Toc141276493 \h </w:instrText>
        </w:r>
        <w:r w:rsidR="00A43C68">
          <w:rPr>
            <w:noProof/>
            <w:webHidden/>
          </w:rPr>
        </w:r>
        <w:r w:rsidR="00A43C68">
          <w:rPr>
            <w:noProof/>
            <w:webHidden/>
          </w:rPr>
          <w:fldChar w:fldCharType="separate"/>
        </w:r>
        <w:r w:rsidR="00A43C68">
          <w:rPr>
            <w:noProof/>
            <w:webHidden/>
          </w:rPr>
          <w:t>50</w:t>
        </w:r>
        <w:r w:rsidR="00A43C68">
          <w:rPr>
            <w:noProof/>
            <w:webHidden/>
          </w:rPr>
          <w:fldChar w:fldCharType="end"/>
        </w:r>
      </w:hyperlink>
    </w:p>
    <w:p w14:paraId="34F3F828" w14:textId="4D4567F0"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94" w:history="1">
        <w:r w:rsidR="00A43C68" w:rsidRPr="00E40F36">
          <w:rPr>
            <w:rStyle w:val="Hipercze"/>
            <w:noProof/>
          </w:rPr>
          <w:t>Rys. 16. Liczba zamówień, w których zastosowano odpowiednie aspekty środowiskowe</w:t>
        </w:r>
        <w:r w:rsidR="00A43C68">
          <w:rPr>
            <w:noProof/>
            <w:webHidden/>
          </w:rPr>
          <w:tab/>
        </w:r>
        <w:r w:rsidR="00A43C68">
          <w:rPr>
            <w:noProof/>
            <w:webHidden/>
          </w:rPr>
          <w:fldChar w:fldCharType="begin"/>
        </w:r>
        <w:r w:rsidR="00A43C68">
          <w:rPr>
            <w:noProof/>
            <w:webHidden/>
          </w:rPr>
          <w:instrText xml:space="preserve"> PAGEREF _Toc141276494 \h </w:instrText>
        </w:r>
        <w:r w:rsidR="00A43C68">
          <w:rPr>
            <w:noProof/>
            <w:webHidden/>
          </w:rPr>
        </w:r>
        <w:r w:rsidR="00A43C68">
          <w:rPr>
            <w:noProof/>
            <w:webHidden/>
          </w:rPr>
          <w:fldChar w:fldCharType="separate"/>
        </w:r>
        <w:r w:rsidR="00A43C68">
          <w:rPr>
            <w:noProof/>
            <w:webHidden/>
          </w:rPr>
          <w:t>54</w:t>
        </w:r>
        <w:r w:rsidR="00A43C68">
          <w:rPr>
            <w:noProof/>
            <w:webHidden/>
          </w:rPr>
          <w:fldChar w:fldCharType="end"/>
        </w:r>
      </w:hyperlink>
    </w:p>
    <w:p w14:paraId="0E83DB2B" w14:textId="1CD3DD17"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95" w:history="1">
        <w:r w:rsidR="00A43C68" w:rsidRPr="00E40F36">
          <w:rPr>
            <w:rStyle w:val="Hipercze"/>
            <w:noProof/>
          </w:rPr>
          <w:t>Rys. 17. Wartość zamówień, w których zastosowano odpowiednie aspekty środowiskowe</w:t>
        </w:r>
        <w:r w:rsidR="00A43C68">
          <w:rPr>
            <w:noProof/>
            <w:webHidden/>
          </w:rPr>
          <w:tab/>
        </w:r>
        <w:r w:rsidR="00A43C68">
          <w:rPr>
            <w:noProof/>
            <w:webHidden/>
          </w:rPr>
          <w:fldChar w:fldCharType="begin"/>
        </w:r>
        <w:r w:rsidR="00A43C68">
          <w:rPr>
            <w:noProof/>
            <w:webHidden/>
          </w:rPr>
          <w:instrText xml:space="preserve"> PAGEREF _Toc141276495 \h </w:instrText>
        </w:r>
        <w:r w:rsidR="00A43C68">
          <w:rPr>
            <w:noProof/>
            <w:webHidden/>
          </w:rPr>
        </w:r>
        <w:r w:rsidR="00A43C68">
          <w:rPr>
            <w:noProof/>
            <w:webHidden/>
          </w:rPr>
          <w:fldChar w:fldCharType="separate"/>
        </w:r>
        <w:r w:rsidR="00A43C68">
          <w:rPr>
            <w:noProof/>
            <w:webHidden/>
          </w:rPr>
          <w:t>55</w:t>
        </w:r>
        <w:r w:rsidR="00A43C68">
          <w:rPr>
            <w:noProof/>
            <w:webHidden/>
          </w:rPr>
          <w:fldChar w:fldCharType="end"/>
        </w:r>
      </w:hyperlink>
    </w:p>
    <w:p w14:paraId="737BC2C8" w14:textId="280B2DD0"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96" w:history="1">
        <w:r w:rsidR="00A43C68" w:rsidRPr="00E40F36">
          <w:rPr>
            <w:rStyle w:val="Hipercze"/>
            <w:noProof/>
          </w:rPr>
          <w:t>Rys. 18. Liczba zamówień, w których zastosowano odpowiednie aspekty innowacyjne</w:t>
        </w:r>
        <w:r w:rsidR="00A43C68">
          <w:rPr>
            <w:noProof/>
            <w:webHidden/>
          </w:rPr>
          <w:tab/>
        </w:r>
        <w:r w:rsidR="00A43C68">
          <w:rPr>
            <w:noProof/>
            <w:webHidden/>
          </w:rPr>
          <w:fldChar w:fldCharType="begin"/>
        </w:r>
        <w:r w:rsidR="00A43C68">
          <w:rPr>
            <w:noProof/>
            <w:webHidden/>
          </w:rPr>
          <w:instrText xml:space="preserve"> PAGEREF _Toc141276496 \h </w:instrText>
        </w:r>
        <w:r w:rsidR="00A43C68">
          <w:rPr>
            <w:noProof/>
            <w:webHidden/>
          </w:rPr>
        </w:r>
        <w:r w:rsidR="00A43C68">
          <w:rPr>
            <w:noProof/>
            <w:webHidden/>
          </w:rPr>
          <w:fldChar w:fldCharType="separate"/>
        </w:r>
        <w:r w:rsidR="00A43C68">
          <w:rPr>
            <w:noProof/>
            <w:webHidden/>
          </w:rPr>
          <w:t>57</w:t>
        </w:r>
        <w:r w:rsidR="00A43C68">
          <w:rPr>
            <w:noProof/>
            <w:webHidden/>
          </w:rPr>
          <w:fldChar w:fldCharType="end"/>
        </w:r>
      </w:hyperlink>
    </w:p>
    <w:p w14:paraId="6DEC5B67" w14:textId="4EEF46B4"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97" w:history="1">
        <w:r w:rsidR="00A43C68" w:rsidRPr="00E40F36">
          <w:rPr>
            <w:rStyle w:val="Hipercze"/>
            <w:noProof/>
          </w:rPr>
          <w:t>Rys. 19. Wartość zamówień, w których zastosowano odpowiednie aspekty innowacyjne</w:t>
        </w:r>
        <w:r w:rsidR="00A43C68">
          <w:rPr>
            <w:noProof/>
            <w:webHidden/>
          </w:rPr>
          <w:tab/>
        </w:r>
        <w:r w:rsidR="00A43C68">
          <w:rPr>
            <w:noProof/>
            <w:webHidden/>
          </w:rPr>
          <w:fldChar w:fldCharType="begin"/>
        </w:r>
        <w:r w:rsidR="00A43C68">
          <w:rPr>
            <w:noProof/>
            <w:webHidden/>
          </w:rPr>
          <w:instrText xml:space="preserve"> PAGEREF _Toc141276497 \h </w:instrText>
        </w:r>
        <w:r w:rsidR="00A43C68">
          <w:rPr>
            <w:noProof/>
            <w:webHidden/>
          </w:rPr>
        </w:r>
        <w:r w:rsidR="00A43C68">
          <w:rPr>
            <w:noProof/>
            <w:webHidden/>
          </w:rPr>
          <w:fldChar w:fldCharType="separate"/>
        </w:r>
        <w:r w:rsidR="00A43C68">
          <w:rPr>
            <w:noProof/>
            <w:webHidden/>
          </w:rPr>
          <w:t>58</w:t>
        </w:r>
        <w:r w:rsidR="00A43C68">
          <w:rPr>
            <w:noProof/>
            <w:webHidden/>
          </w:rPr>
          <w:fldChar w:fldCharType="end"/>
        </w:r>
      </w:hyperlink>
    </w:p>
    <w:p w14:paraId="1F7B7C3A" w14:textId="7F2B14D8"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98" w:history="1">
        <w:r w:rsidR="00A43C68" w:rsidRPr="00E40F36">
          <w:rPr>
            <w:rStyle w:val="Hipercze"/>
            <w:noProof/>
          </w:rPr>
          <w:t>Rys. 20. Liczba zamówień udzielonych przez jednostki administracji rządowej, w których zastosowano odpowiednie aspekty społeczne</w:t>
        </w:r>
        <w:r w:rsidR="00A43C68">
          <w:rPr>
            <w:noProof/>
            <w:webHidden/>
          </w:rPr>
          <w:tab/>
        </w:r>
        <w:r w:rsidR="00A43C68">
          <w:rPr>
            <w:noProof/>
            <w:webHidden/>
          </w:rPr>
          <w:fldChar w:fldCharType="begin"/>
        </w:r>
        <w:r w:rsidR="00A43C68">
          <w:rPr>
            <w:noProof/>
            <w:webHidden/>
          </w:rPr>
          <w:instrText xml:space="preserve"> PAGEREF _Toc141276498 \h </w:instrText>
        </w:r>
        <w:r w:rsidR="00A43C68">
          <w:rPr>
            <w:noProof/>
            <w:webHidden/>
          </w:rPr>
        </w:r>
        <w:r w:rsidR="00A43C68">
          <w:rPr>
            <w:noProof/>
            <w:webHidden/>
          </w:rPr>
          <w:fldChar w:fldCharType="separate"/>
        </w:r>
        <w:r w:rsidR="00A43C68">
          <w:rPr>
            <w:noProof/>
            <w:webHidden/>
          </w:rPr>
          <w:t>64</w:t>
        </w:r>
        <w:r w:rsidR="00A43C68">
          <w:rPr>
            <w:noProof/>
            <w:webHidden/>
          </w:rPr>
          <w:fldChar w:fldCharType="end"/>
        </w:r>
      </w:hyperlink>
    </w:p>
    <w:p w14:paraId="5F596FA5" w14:textId="09F8C579"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499" w:history="1">
        <w:r w:rsidR="00A43C68" w:rsidRPr="00E40F36">
          <w:rPr>
            <w:rStyle w:val="Hipercze"/>
            <w:noProof/>
          </w:rPr>
          <w:t>Rys. 21. Wartość zamówień udzielonych przez jednostki administracji rządowej, w których zastosowano odpowiednie aspekty społeczne</w:t>
        </w:r>
        <w:r w:rsidR="00A43C68">
          <w:rPr>
            <w:noProof/>
            <w:webHidden/>
          </w:rPr>
          <w:tab/>
        </w:r>
        <w:r w:rsidR="00A43C68">
          <w:rPr>
            <w:noProof/>
            <w:webHidden/>
          </w:rPr>
          <w:fldChar w:fldCharType="begin"/>
        </w:r>
        <w:r w:rsidR="00A43C68">
          <w:rPr>
            <w:noProof/>
            <w:webHidden/>
          </w:rPr>
          <w:instrText xml:space="preserve"> PAGEREF _Toc141276499 \h </w:instrText>
        </w:r>
        <w:r w:rsidR="00A43C68">
          <w:rPr>
            <w:noProof/>
            <w:webHidden/>
          </w:rPr>
        </w:r>
        <w:r w:rsidR="00A43C68">
          <w:rPr>
            <w:noProof/>
            <w:webHidden/>
          </w:rPr>
          <w:fldChar w:fldCharType="separate"/>
        </w:r>
        <w:r w:rsidR="00A43C68">
          <w:rPr>
            <w:noProof/>
            <w:webHidden/>
          </w:rPr>
          <w:t>65</w:t>
        </w:r>
        <w:r w:rsidR="00A43C68">
          <w:rPr>
            <w:noProof/>
            <w:webHidden/>
          </w:rPr>
          <w:fldChar w:fldCharType="end"/>
        </w:r>
      </w:hyperlink>
    </w:p>
    <w:p w14:paraId="051CFE16" w14:textId="2629851E"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00" w:history="1">
        <w:r w:rsidR="00A43C68" w:rsidRPr="00E40F36">
          <w:rPr>
            <w:rStyle w:val="Hipercze"/>
            <w:noProof/>
          </w:rPr>
          <w:t>Rys. 22. Liczba zamówień udzielonych przez jednostki administracji rządowej, w których zastosowano odpowiednie aspekty środowiskowe</w:t>
        </w:r>
        <w:r w:rsidR="00A43C68">
          <w:rPr>
            <w:noProof/>
            <w:webHidden/>
          </w:rPr>
          <w:tab/>
        </w:r>
        <w:r w:rsidR="00A43C68">
          <w:rPr>
            <w:noProof/>
            <w:webHidden/>
          </w:rPr>
          <w:fldChar w:fldCharType="begin"/>
        </w:r>
        <w:r w:rsidR="00A43C68">
          <w:rPr>
            <w:noProof/>
            <w:webHidden/>
          </w:rPr>
          <w:instrText xml:space="preserve"> PAGEREF _Toc141276500 \h </w:instrText>
        </w:r>
        <w:r w:rsidR="00A43C68">
          <w:rPr>
            <w:noProof/>
            <w:webHidden/>
          </w:rPr>
        </w:r>
        <w:r w:rsidR="00A43C68">
          <w:rPr>
            <w:noProof/>
            <w:webHidden/>
          </w:rPr>
          <w:fldChar w:fldCharType="separate"/>
        </w:r>
        <w:r w:rsidR="00A43C68">
          <w:rPr>
            <w:noProof/>
            <w:webHidden/>
          </w:rPr>
          <w:t>70</w:t>
        </w:r>
        <w:r w:rsidR="00A43C68">
          <w:rPr>
            <w:noProof/>
            <w:webHidden/>
          </w:rPr>
          <w:fldChar w:fldCharType="end"/>
        </w:r>
      </w:hyperlink>
    </w:p>
    <w:p w14:paraId="444C501C" w14:textId="2ACA17E5"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01" w:history="1">
        <w:r w:rsidR="00A43C68" w:rsidRPr="00E40F36">
          <w:rPr>
            <w:rStyle w:val="Hipercze"/>
            <w:noProof/>
          </w:rPr>
          <w:t>Rys. 23. Wartość zamówień udzielonych przez jednostki administracji rządowej, w których zastosowano odpowiednie aspekty środowiskowe</w:t>
        </w:r>
        <w:r w:rsidR="00A43C68">
          <w:rPr>
            <w:noProof/>
            <w:webHidden/>
          </w:rPr>
          <w:tab/>
        </w:r>
        <w:r w:rsidR="00A43C68">
          <w:rPr>
            <w:noProof/>
            <w:webHidden/>
          </w:rPr>
          <w:fldChar w:fldCharType="begin"/>
        </w:r>
        <w:r w:rsidR="00A43C68">
          <w:rPr>
            <w:noProof/>
            <w:webHidden/>
          </w:rPr>
          <w:instrText xml:space="preserve"> PAGEREF _Toc141276501 \h </w:instrText>
        </w:r>
        <w:r w:rsidR="00A43C68">
          <w:rPr>
            <w:noProof/>
            <w:webHidden/>
          </w:rPr>
        </w:r>
        <w:r w:rsidR="00A43C68">
          <w:rPr>
            <w:noProof/>
            <w:webHidden/>
          </w:rPr>
          <w:fldChar w:fldCharType="separate"/>
        </w:r>
        <w:r w:rsidR="00A43C68">
          <w:rPr>
            <w:noProof/>
            <w:webHidden/>
          </w:rPr>
          <w:t>71</w:t>
        </w:r>
        <w:r w:rsidR="00A43C68">
          <w:rPr>
            <w:noProof/>
            <w:webHidden/>
          </w:rPr>
          <w:fldChar w:fldCharType="end"/>
        </w:r>
      </w:hyperlink>
    </w:p>
    <w:p w14:paraId="3EAA0BE7" w14:textId="27E1C568"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02" w:history="1">
        <w:r w:rsidR="00A43C68" w:rsidRPr="00E40F36">
          <w:rPr>
            <w:rStyle w:val="Hipercze"/>
            <w:noProof/>
          </w:rPr>
          <w:t>Rys. 24. Liczba zamówień udzielonych przez jednostki administracji rządowej, w których zastosowano odpowiednie aspekty innowacyjne</w:t>
        </w:r>
        <w:r w:rsidR="00A43C68">
          <w:rPr>
            <w:noProof/>
            <w:webHidden/>
          </w:rPr>
          <w:tab/>
        </w:r>
        <w:r w:rsidR="00A43C68">
          <w:rPr>
            <w:noProof/>
            <w:webHidden/>
          </w:rPr>
          <w:fldChar w:fldCharType="begin"/>
        </w:r>
        <w:r w:rsidR="00A43C68">
          <w:rPr>
            <w:noProof/>
            <w:webHidden/>
          </w:rPr>
          <w:instrText xml:space="preserve"> PAGEREF _Toc141276502 \h </w:instrText>
        </w:r>
        <w:r w:rsidR="00A43C68">
          <w:rPr>
            <w:noProof/>
            <w:webHidden/>
          </w:rPr>
        </w:r>
        <w:r w:rsidR="00A43C68">
          <w:rPr>
            <w:noProof/>
            <w:webHidden/>
          </w:rPr>
          <w:fldChar w:fldCharType="separate"/>
        </w:r>
        <w:r w:rsidR="00A43C68">
          <w:rPr>
            <w:noProof/>
            <w:webHidden/>
          </w:rPr>
          <w:t>73</w:t>
        </w:r>
        <w:r w:rsidR="00A43C68">
          <w:rPr>
            <w:noProof/>
            <w:webHidden/>
          </w:rPr>
          <w:fldChar w:fldCharType="end"/>
        </w:r>
      </w:hyperlink>
    </w:p>
    <w:p w14:paraId="1C976C92" w14:textId="1725902F"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03" w:history="1">
        <w:r w:rsidR="00A43C68" w:rsidRPr="00E40F36">
          <w:rPr>
            <w:rStyle w:val="Hipercze"/>
            <w:noProof/>
          </w:rPr>
          <w:t>Rys. 25. Wartość zamówień udzielonych przez jednostki administracji rządowej, w których zastosowano odpowiednie aspekty innowacyjne</w:t>
        </w:r>
        <w:r w:rsidR="00A43C68">
          <w:rPr>
            <w:noProof/>
            <w:webHidden/>
          </w:rPr>
          <w:tab/>
        </w:r>
        <w:r w:rsidR="00A43C68">
          <w:rPr>
            <w:noProof/>
            <w:webHidden/>
          </w:rPr>
          <w:fldChar w:fldCharType="begin"/>
        </w:r>
        <w:r w:rsidR="00A43C68">
          <w:rPr>
            <w:noProof/>
            <w:webHidden/>
          </w:rPr>
          <w:instrText xml:space="preserve"> PAGEREF _Toc141276503 \h </w:instrText>
        </w:r>
        <w:r w:rsidR="00A43C68">
          <w:rPr>
            <w:noProof/>
            <w:webHidden/>
          </w:rPr>
        </w:r>
        <w:r w:rsidR="00A43C68">
          <w:rPr>
            <w:noProof/>
            <w:webHidden/>
          </w:rPr>
          <w:fldChar w:fldCharType="separate"/>
        </w:r>
        <w:r w:rsidR="00A43C68">
          <w:rPr>
            <w:noProof/>
            <w:webHidden/>
          </w:rPr>
          <w:t>74</w:t>
        </w:r>
        <w:r w:rsidR="00A43C68">
          <w:rPr>
            <w:noProof/>
            <w:webHidden/>
          </w:rPr>
          <w:fldChar w:fldCharType="end"/>
        </w:r>
      </w:hyperlink>
    </w:p>
    <w:p w14:paraId="782CD3BC" w14:textId="28CB9511"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04" w:history="1">
        <w:r w:rsidR="00A43C68" w:rsidRPr="00E40F36">
          <w:rPr>
            <w:rStyle w:val="Hipercze"/>
            <w:noProof/>
          </w:rPr>
          <w:t>Rys. 26. Liczba ogłoszeń o zamiarze zawarcia umowy</w:t>
        </w:r>
        <w:r w:rsidR="00A43C68">
          <w:rPr>
            <w:noProof/>
            <w:webHidden/>
          </w:rPr>
          <w:tab/>
        </w:r>
        <w:r w:rsidR="00A43C68">
          <w:rPr>
            <w:noProof/>
            <w:webHidden/>
          </w:rPr>
          <w:fldChar w:fldCharType="begin"/>
        </w:r>
        <w:r w:rsidR="00A43C68">
          <w:rPr>
            <w:noProof/>
            <w:webHidden/>
          </w:rPr>
          <w:instrText xml:space="preserve"> PAGEREF _Toc141276504 \h </w:instrText>
        </w:r>
        <w:r w:rsidR="00A43C68">
          <w:rPr>
            <w:noProof/>
            <w:webHidden/>
          </w:rPr>
        </w:r>
        <w:r w:rsidR="00A43C68">
          <w:rPr>
            <w:noProof/>
            <w:webHidden/>
          </w:rPr>
          <w:fldChar w:fldCharType="separate"/>
        </w:r>
        <w:r w:rsidR="00A43C68">
          <w:rPr>
            <w:noProof/>
            <w:webHidden/>
          </w:rPr>
          <w:t>75</w:t>
        </w:r>
        <w:r w:rsidR="00A43C68">
          <w:rPr>
            <w:noProof/>
            <w:webHidden/>
          </w:rPr>
          <w:fldChar w:fldCharType="end"/>
        </w:r>
      </w:hyperlink>
    </w:p>
    <w:p w14:paraId="6AC3C410" w14:textId="0FA6499C"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05" w:history="1">
        <w:r w:rsidR="00A43C68" w:rsidRPr="00E40F36">
          <w:rPr>
            <w:rStyle w:val="Hipercze"/>
            <w:noProof/>
          </w:rPr>
          <w:t>Rys. 27. Odsetek postępowań, w których przewidziano zmiany postanowień zawartej umowy w stosunku do treści oferty</w:t>
        </w:r>
        <w:r w:rsidR="00A43C68">
          <w:rPr>
            <w:noProof/>
            <w:webHidden/>
          </w:rPr>
          <w:tab/>
        </w:r>
        <w:r w:rsidR="00A43C68">
          <w:rPr>
            <w:noProof/>
            <w:webHidden/>
          </w:rPr>
          <w:fldChar w:fldCharType="begin"/>
        </w:r>
        <w:r w:rsidR="00A43C68">
          <w:rPr>
            <w:noProof/>
            <w:webHidden/>
          </w:rPr>
          <w:instrText xml:space="preserve"> PAGEREF _Toc141276505 \h </w:instrText>
        </w:r>
        <w:r w:rsidR="00A43C68">
          <w:rPr>
            <w:noProof/>
            <w:webHidden/>
          </w:rPr>
        </w:r>
        <w:r w:rsidR="00A43C68">
          <w:rPr>
            <w:noProof/>
            <w:webHidden/>
          </w:rPr>
          <w:fldChar w:fldCharType="separate"/>
        </w:r>
        <w:r w:rsidR="00A43C68">
          <w:rPr>
            <w:noProof/>
            <w:webHidden/>
          </w:rPr>
          <w:t>76</w:t>
        </w:r>
        <w:r w:rsidR="00A43C68">
          <w:rPr>
            <w:noProof/>
            <w:webHidden/>
          </w:rPr>
          <w:fldChar w:fldCharType="end"/>
        </w:r>
      </w:hyperlink>
    </w:p>
    <w:p w14:paraId="734581E3" w14:textId="380B6C3A"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06" w:history="1">
        <w:r w:rsidR="00A43C68" w:rsidRPr="00E40F36">
          <w:rPr>
            <w:rStyle w:val="Hipercze"/>
            <w:noProof/>
          </w:rPr>
          <w:t>Rys. 28. Odsetek postępowań, w których przed wszczęciem postępowania o udzielenie zamówienia przeprowadzono wstępne konsultacje rynkowe</w:t>
        </w:r>
        <w:r w:rsidR="00A43C68">
          <w:rPr>
            <w:noProof/>
            <w:webHidden/>
          </w:rPr>
          <w:tab/>
        </w:r>
        <w:r w:rsidR="00A43C68">
          <w:rPr>
            <w:noProof/>
            <w:webHidden/>
          </w:rPr>
          <w:fldChar w:fldCharType="begin"/>
        </w:r>
        <w:r w:rsidR="00A43C68">
          <w:rPr>
            <w:noProof/>
            <w:webHidden/>
          </w:rPr>
          <w:instrText xml:space="preserve"> PAGEREF _Toc141276506 \h </w:instrText>
        </w:r>
        <w:r w:rsidR="00A43C68">
          <w:rPr>
            <w:noProof/>
            <w:webHidden/>
          </w:rPr>
        </w:r>
        <w:r w:rsidR="00A43C68">
          <w:rPr>
            <w:noProof/>
            <w:webHidden/>
          </w:rPr>
          <w:fldChar w:fldCharType="separate"/>
        </w:r>
        <w:r w:rsidR="00A43C68">
          <w:rPr>
            <w:noProof/>
            <w:webHidden/>
          </w:rPr>
          <w:t>77</w:t>
        </w:r>
        <w:r w:rsidR="00A43C68">
          <w:rPr>
            <w:noProof/>
            <w:webHidden/>
          </w:rPr>
          <w:fldChar w:fldCharType="end"/>
        </w:r>
      </w:hyperlink>
    </w:p>
    <w:p w14:paraId="4C94C6C4" w14:textId="274EE3D6"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07" w:history="1">
        <w:r w:rsidR="00A43C68" w:rsidRPr="00E40F36">
          <w:rPr>
            <w:rStyle w:val="Hipercze"/>
            <w:noProof/>
          </w:rPr>
          <w:t>Rys. 29. Odsetek kontroli uprzednich obligatoryjnych, w których nie stwierdzono naruszeń przepisów ustawy</w:t>
        </w:r>
        <w:r w:rsidR="00A43C68">
          <w:rPr>
            <w:noProof/>
            <w:webHidden/>
          </w:rPr>
          <w:tab/>
        </w:r>
        <w:r w:rsidR="00A43C68">
          <w:rPr>
            <w:noProof/>
            <w:webHidden/>
          </w:rPr>
          <w:fldChar w:fldCharType="begin"/>
        </w:r>
        <w:r w:rsidR="00A43C68">
          <w:rPr>
            <w:noProof/>
            <w:webHidden/>
          </w:rPr>
          <w:instrText xml:space="preserve"> PAGEREF _Toc141276507 \h </w:instrText>
        </w:r>
        <w:r w:rsidR="00A43C68">
          <w:rPr>
            <w:noProof/>
            <w:webHidden/>
          </w:rPr>
        </w:r>
        <w:r w:rsidR="00A43C68">
          <w:rPr>
            <w:noProof/>
            <w:webHidden/>
          </w:rPr>
          <w:fldChar w:fldCharType="separate"/>
        </w:r>
        <w:r w:rsidR="00A43C68">
          <w:rPr>
            <w:noProof/>
            <w:webHidden/>
          </w:rPr>
          <w:t>87</w:t>
        </w:r>
        <w:r w:rsidR="00A43C68">
          <w:rPr>
            <w:noProof/>
            <w:webHidden/>
          </w:rPr>
          <w:fldChar w:fldCharType="end"/>
        </w:r>
      </w:hyperlink>
    </w:p>
    <w:p w14:paraId="4A6226C0" w14:textId="31561A8A" w:rsidR="00557D40" w:rsidRDefault="00BF3743" w:rsidP="007F1299">
      <w:pPr>
        <w:shd w:val="clear" w:color="auto" w:fill="FFFFFF"/>
        <w:rPr>
          <w:rFonts w:cs="Arial"/>
        </w:rPr>
      </w:pPr>
      <w:r>
        <w:rPr>
          <w:rFonts w:cs="Arial"/>
        </w:rPr>
        <w:fldChar w:fldCharType="end"/>
      </w:r>
    </w:p>
    <w:p w14:paraId="2BC440D1" w14:textId="77777777" w:rsidR="009B0B19" w:rsidRDefault="009B0B19" w:rsidP="007F1299">
      <w:pPr>
        <w:shd w:val="clear" w:color="auto" w:fill="FFFFFF"/>
        <w:rPr>
          <w:rFonts w:cs="Arial"/>
        </w:rPr>
        <w:sectPr w:rsidR="009B0B19" w:rsidSect="00333F5B">
          <w:pgSz w:w="11906" w:h="16838"/>
          <w:pgMar w:top="1418" w:right="1418" w:bottom="1418" w:left="1418" w:header="709" w:footer="709" w:gutter="0"/>
          <w:cols w:space="708"/>
          <w:titlePg/>
          <w:docGrid w:linePitch="299"/>
        </w:sectPr>
      </w:pPr>
    </w:p>
    <w:p w14:paraId="1D133999" w14:textId="77777777" w:rsidR="00557D40" w:rsidRDefault="00557D40" w:rsidP="007F1299">
      <w:pPr>
        <w:shd w:val="clear" w:color="auto" w:fill="FFFFFF"/>
        <w:rPr>
          <w:rFonts w:cs="Arial"/>
        </w:rPr>
      </w:pPr>
    </w:p>
    <w:tbl>
      <w:tblPr>
        <w:tblW w:w="9480" w:type="dxa"/>
        <w:tblInd w:w="-194" w:type="dxa"/>
        <w:tblLayout w:type="fixed"/>
        <w:tblLook w:val="04A0" w:firstRow="1" w:lastRow="0" w:firstColumn="1" w:lastColumn="0" w:noHBand="0" w:noVBand="1"/>
      </w:tblPr>
      <w:tblGrid>
        <w:gridCol w:w="302"/>
        <w:gridCol w:w="9178"/>
      </w:tblGrid>
      <w:tr w:rsidR="00007B80" w:rsidRPr="008C3B34" w14:paraId="0FFBC6F0" w14:textId="77777777" w:rsidTr="00007B80">
        <w:tc>
          <w:tcPr>
            <w:tcW w:w="302" w:type="dxa"/>
            <w:shd w:val="clear" w:color="auto" w:fill="365F91"/>
          </w:tcPr>
          <w:p w14:paraId="5B955C6B" w14:textId="77777777" w:rsidR="00007B80" w:rsidRPr="008C3B34" w:rsidRDefault="00007B80" w:rsidP="00233D1B">
            <w:pPr>
              <w:pStyle w:val="Nagwek1"/>
              <w:spacing w:after="120"/>
              <w:rPr>
                <w:sz w:val="32"/>
                <w:szCs w:val="32"/>
              </w:rPr>
            </w:pPr>
          </w:p>
        </w:tc>
        <w:tc>
          <w:tcPr>
            <w:tcW w:w="9178" w:type="dxa"/>
          </w:tcPr>
          <w:p w14:paraId="0C0752AF" w14:textId="11434654" w:rsidR="00007B80" w:rsidRPr="0059773D" w:rsidRDefault="00007B80" w:rsidP="00233D1B">
            <w:pPr>
              <w:pStyle w:val="Nagwek1"/>
              <w:spacing w:after="120"/>
              <w:rPr>
                <w:noProof/>
                <w:color w:val="0070C0"/>
                <w:sz w:val="32"/>
                <w:szCs w:val="32"/>
              </w:rPr>
            </w:pPr>
            <w:bookmarkStart w:id="276" w:name="_Ref99524731"/>
            <w:bookmarkStart w:id="277" w:name="_Toc141276477"/>
            <w:r w:rsidRPr="0059773D">
              <w:rPr>
                <w:noProof/>
                <w:color w:val="0070C0"/>
                <w:sz w:val="32"/>
                <w:szCs w:val="32"/>
              </w:rPr>
              <w:t>VI. SPIS TABEL</w:t>
            </w:r>
            <w:bookmarkEnd w:id="276"/>
            <w:bookmarkEnd w:id="277"/>
          </w:p>
        </w:tc>
      </w:tr>
    </w:tbl>
    <w:p w14:paraId="17E53DC3" w14:textId="6FA0DE64" w:rsidR="00007B80" w:rsidRDefault="00007B80" w:rsidP="007F1299">
      <w:pPr>
        <w:shd w:val="clear" w:color="auto" w:fill="FFFFFF"/>
        <w:rPr>
          <w:rFonts w:cs="Arial"/>
        </w:rPr>
      </w:pPr>
    </w:p>
    <w:p w14:paraId="6FE926E4" w14:textId="1D35E055" w:rsidR="00A43C68" w:rsidRDefault="002C1A87">
      <w:pPr>
        <w:pStyle w:val="Spisilustracji"/>
        <w:tabs>
          <w:tab w:val="right" w:pos="9060"/>
        </w:tabs>
        <w:rPr>
          <w:rFonts w:asciiTheme="minorHAnsi" w:eastAsiaTheme="minorEastAsia" w:hAnsiTheme="minorHAnsi" w:cstheme="minorBidi"/>
          <w:noProof/>
          <w:sz w:val="22"/>
          <w:szCs w:val="22"/>
        </w:rPr>
      </w:pPr>
      <w:r>
        <w:rPr>
          <w:rFonts w:cs="Arial"/>
        </w:rPr>
        <w:fldChar w:fldCharType="begin"/>
      </w:r>
      <w:r>
        <w:rPr>
          <w:rFonts w:cs="Arial"/>
        </w:rPr>
        <w:instrText xml:space="preserve"> TOC \h \z \c "Tab." </w:instrText>
      </w:r>
      <w:r>
        <w:rPr>
          <w:rFonts w:cs="Arial"/>
        </w:rPr>
        <w:fldChar w:fldCharType="separate"/>
      </w:r>
      <w:hyperlink w:anchor="_Toc141276508" w:history="1">
        <w:r w:rsidR="00A43C68" w:rsidRPr="00854433">
          <w:rPr>
            <w:rStyle w:val="Hipercze"/>
            <w:noProof/>
          </w:rPr>
          <w:t>Tab. 1. Odsetek złożonych sprawozdań według rodzaju zamawiającego</w:t>
        </w:r>
        <w:r w:rsidR="00A43C68">
          <w:rPr>
            <w:noProof/>
            <w:webHidden/>
          </w:rPr>
          <w:tab/>
        </w:r>
        <w:r w:rsidR="00A43C68">
          <w:rPr>
            <w:noProof/>
            <w:webHidden/>
          </w:rPr>
          <w:fldChar w:fldCharType="begin"/>
        </w:r>
        <w:r w:rsidR="00A43C68">
          <w:rPr>
            <w:noProof/>
            <w:webHidden/>
          </w:rPr>
          <w:instrText xml:space="preserve"> PAGEREF _Toc141276508 \h </w:instrText>
        </w:r>
        <w:r w:rsidR="00A43C68">
          <w:rPr>
            <w:noProof/>
            <w:webHidden/>
          </w:rPr>
        </w:r>
        <w:r w:rsidR="00A43C68">
          <w:rPr>
            <w:noProof/>
            <w:webHidden/>
          </w:rPr>
          <w:fldChar w:fldCharType="separate"/>
        </w:r>
        <w:r w:rsidR="00A43C68">
          <w:rPr>
            <w:noProof/>
            <w:webHidden/>
          </w:rPr>
          <w:t>19</w:t>
        </w:r>
        <w:r w:rsidR="00A43C68">
          <w:rPr>
            <w:noProof/>
            <w:webHidden/>
          </w:rPr>
          <w:fldChar w:fldCharType="end"/>
        </w:r>
      </w:hyperlink>
    </w:p>
    <w:p w14:paraId="5E85E7B8" w14:textId="2792E256"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09" w:history="1">
        <w:r w:rsidR="00A43C68" w:rsidRPr="00854433">
          <w:rPr>
            <w:rStyle w:val="Hipercze"/>
            <w:noProof/>
          </w:rPr>
          <w:t>Tab. 2. Struktura udzielonych zamówień sektorowych w podziale na rodzaj zamówienia</w:t>
        </w:r>
        <w:r w:rsidR="00A43C68">
          <w:rPr>
            <w:noProof/>
            <w:webHidden/>
          </w:rPr>
          <w:tab/>
        </w:r>
        <w:r w:rsidR="00A43C68">
          <w:rPr>
            <w:noProof/>
            <w:webHidden/>
          </w:rPr>
          <w:fldChar w:fldCharType="begin"/>
        </w:r>
        <w:r w:rsidR="00A43C68">
          <w:rPr>
            <w:noProof/>
            <w:webHidden/>
          </w:rPr>
          <w:instrText xml:space="preserve"> PAGEREF _Toc141276509 \h </w:instrText>
        </w:r>
        <w:r w:rsidR="00A43C68">
          <w:rPr>
            <w:noProof/>
            <w:webHidden/>
          </w:rPr>
        </w:r>
        <w:r w:rsidR="00A43C68">
          <w:rPr>
            <w:noProof/>
            <w:webHidden/>
          </w:rPr>
          <w:fldChar w:fldCharType="separate"/>
        </w:r>
        <w:r w:rsidR="00A43C68">
          <w:rPr>
            <w:noProof/>
            <w:webHidden/>
          </w:rPr>
          <w:t>23</w:t>
        </w:r>
        <w:r w:rsidR="00A43C68">
          <w:rPr>
            <w:noProof/>
            <w:webHidden/>
          </w:rPr>
          <w:fldChar w:fldCharType="end"/>
        </w:r>
      </w:hyperlink>
    </w:p>
    <w:p w14:paraId="52177774" w14:textId="450B006E"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10" w:history="1">
        <w:r w:rsidR="00A43C68" w:rsidRPr="00854433">
          <w:rPr>
            <w:rStyle w:val="Hipercze"/>
            <w:noProof/>
          </w:rPr>
          <w:t>Tab. 3. Struktura udzielonych zamówień w dziedzinach obronności i bezpieczeństwa w podziale na rodzaj zamówienia</w:t>
        </w:r>
        <w:r w:rsidR="00A43C68">
          <w:rPr>
            <w:noProof/>
            <w:webHidden/>
          </w:rPr>
          <w:tab/>
        </w:r>
        <w:r w:rsidR="00A43C68">
          <w:rPr>
            <w:noProof/>
            <w:webHidden/>
          </w:rPr>
          <w:fldChar w:fldCharType="begin"/>
        </w:r>
        <w:r w:rsidR="00A43C68">
          <w:rPr>
            <w:noProof/>
            <w:webHidden/>
          </w:rPr>
          <w:instrText xml:space="preserve"> PAGEREF _Toc141276510 \h </w:instrText>
        </w:r>
        <w:r w:rsidR="00A43C68">
          <w:rPr>
            <w:noProof/>
            <w:webHidden/>
          </w:rPr>
        </w:r>
        <w:r w:rsidR="00A43C68">
          <w:rPr>
            <w:noProof/>
            <w:webHidden/>
          </w:rPr>
          <w:fldChar w:fldCharType="separate"/>
        </w:r>
        <w:r w:rsidR="00A43C68">
          <w:rPr>
            <w:noProof/>
            <w:webHidden/>
          </w:rPr>
          <w:t>23</w:t>
        </w:r>
        <w:r w:rsidR="00A43C68">
          <w:rPr>
            <w:noProof/>
            <w:webHidden/>
          </w:rPr>
          <w:fldChar w:fldCharType="end"/>
        </w:r>
      </w:hyperlink>
    </w:p>
    <w:p w14:paraId="694E6F69" w14:textId="3606B5E7"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11" w:history="1">
        <w:r w:rsidR="00A43C68" w:rsidRPr="00854433">
          <w:rPr>
            <w:rStyle w:val="Hipercze"/>
            <w:iCs/>
            <w:noProof/>
          </w:rPr>
          <w:t>Tab. 4. Liczba ogłoszeń dotyczących koncesji na roboty budowlane lub usługi</w:t>
        </w:r>
        <w:r w:rsidR="00A43C68">
          <w:rPr>
            <w:noProof/>
            <w:webHidden/>
          </w:rPr>
          <w:tab/>
        </w:r>
        <w:r w:rsidR="00A43C68">
          <w:rPr>
            <w:noProof/>
            <w:webHidden/>
          </w:rPr>
          <w:fldChar w:fldCharType="begin"/>
        </w:r>
        <w:r w:rsidR="00A43C68">
          <w:rPr>
            <w:noProof/>
            <w:webHidden/>
          </w:rPr>
          <w:instrText xml:space="preserve"> PAGEREF _Toc141276511 \h </w:instrText>
        </w:r>
        <w:r w:rsidR="00A43C68">
          <w:rPr>
            <w:noProof/>
            <w:webHidden/>
          </w:rPr>
        </w:r>
        <w:r w:rsidR="00A43C68">
          <w:rPr>
            <w:noProof/>
            <w:webHidden/>
          </w:rPr>
          <w:fldChar w:fldCharType="separate"/>
        </w:r>
        <w:r w:rsidR="00A43C68">
          <w:rPr>
            <w:noProof/>
            <w:webHidden/>
          </w:rPr>
          <w:t>24</w:t>
        </w:r>
        <w:r w:rsidR="00A43C68">
          <w:rPr>
            <w:noProof/>
            <w:webHidden/>
          </w:rPr>
          <w:fldChar w:fldCharType="end"/>
        </w:r>
      </w:hyperlink>
    </w:p>
    <w:p w14:paraId="0114F9EC" w14:textId="3EE1E7F5"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12" w:history="1">
        <w:r w:rsidR="00A43C68" w:rsidRPr="00854433">
          <w:rPr>
            <w:rStyle w:val="Hipercze"/>
            <w:noProof/>
          </w:rPr>
          <w:t>Tab. 5. Zamówienia, w których zastosowano odpowiednią przesłankę in-house</w:t>
        </w:r>
        <w:r w:rsidR="00A43C68">
          <w:rPr>
            <w:noProof/>
            <w:webHidden/>
          </w:rPr>
          <w:tab/>
        </w:r>
        <w:r w:rsidR="00A43C68">
          <w:rPr>
            <w:noProof/>
            <w:webHidden/>
          </w:rPr>
          <w:fldChar w:fldCharType="begin"/>
        </w:r>
        <w:r w:rsidR="00A43C68">
          <w:rPr>
            <w:noProof/>
            <w:webHidden/>
          </w:rPr>
          <w:instrText xml:space="preserve"> PAGEREF _Toc141276512 \h </w:instrText>
        </w:r>
        <w:r w:rsidR="00A43C68">
          <w:rPr>
            <w:noProof/>
            <w:webHidden/>
          </w:rPr>
        </w:r>
        <w:r w:rsidR="00A43C68">
          <w:rPr>
            <w:noProof/>
            <w:webHidden/>
          </w:rPr>
          <w:fldChar w:fldCharType="separate"/>
        </w:r>
        <w:r w:rsidR="00A43C68">
          <w:rPr>
            <w:noProof/>
            <w:webHidden/>
          </w:rPr>
          <w:t>25</w:t>
        </w:r>
        <w:r w:rsidR="00A43C68">
          <w:rPr>
            <w:noProof/>
            <w:webHidden/>
          </w:rPr>
          <w:fldChar w:fldCharType="end"/>
        </w:r>
      </w:hyperlink>
    </w:p>
    <w:p w14:paraId="1CC47FFE" w14:textId="5E4EB767"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13" w:history="1">
        <w:r w:rsidR="00A43C68" w:rsidRPr="00854433">
          <w:rPr>
            <w:rStyle w:val="Hipercze"/>
            <w:noProof/>
          </w:rPr>
          <w:t>Tab. 6. Zamówienia o wartościach poniżej progów UE udzielone w 2022 r. na podstawie przepisów ustawy Pzp</w:t>
        </w:r>
        <w:r w:rsidR="00A43C68">
          <w:rPr>
            <w:noProof/>
            <w:webHidden/>
          </w:rPr>
          <w:tab/>
        </w:r>
        <w:r w:rsidR="00A43C68">
          <w:rPr>
            <w:noProof/>
            <w:webHidden/>
          </w:rPr>
          <w:fldChar w:fldCharType="begin"/>
        </w:r>
        <w:r w:rsidR="00A43C68">
          <w:rPr>
            <w:noProof/>
            <w:webHidden/>
          </w:rPr>
          <w:instrText xml:space="preserve"> PAGEREF _Toc141276513 \h </w:instrText>
        </w:r>
        <w:r w:rsidR="00A43C68">
          <w:rPr>
            <w:noProof/>
            <w:webHidden/>
          </w:rPr>
        </w:r>
        <w:r w:rsidR="00A43C68">
          <w:rPr>
            <w:noProof/>
            <w:webHidden/>
          </w:rPr>
          <w:fldChar w:fldCharType="separate"/>
        </w:r>
        <w:r w:rsidR="00A43C68">
          <w:rPr>
            <w:noProof/>
            <w:webHidden/>
          </w:rPr>
          <w:t>29</w:t>
        </w:r>
        <w:r w:rsidR="00A43C68">
          <w:rPr>
            <w:noProof/>
            <w:webHidden/>
          </w:rPr>
          <w:fldChar w:fldCharType="end"/>
        </w:r>
      </w:hyperlink>
    </w:p>
    <w:p w14:paraId="396F0206" w14:textId="171AA16B"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14" w:history="1">
        <w:r w:rsidR="00A43C68" w:rsidRPr="00854433">
          <w:rPr>
            <w:rStyle w:val="Hipercze"/>
            <w:noProof/>
          </w:rPr>
          <w:t>Tab. 7. Zamówienia o wartościach równych lub przekraczających progi unijne udzielone w 2022 r. na podstawie zarówno przepisów ustawy Pzp z 2004 r., jak i ustawy Pzp</w:t>
        </w:r>
        <w:r w:rsidR="00A43C68">
          <w:rPr>
            <w:noProof/>
            <w:webHidden/>
          </w:rPr>
          <w:tab/>
        </w:r>
        <w:r w:rsidR="00A43C68">
          <w:rPr>
            <w:noProof/>
            <w:webHidden/>
          </w:rPr>
          <w:fldChar w:fldCharType="begin"/>
        </w:r>
        <w:r w:rsidR="00A43C68">
          <w:rPr>
            <w:noProof/>
            <w:webHidden/>
          </w:rPr>
          <w:instrText xml:space="preserve"> PAGEREF _Toc141276514 \h </w:instrText>
        </w:r>
        <w:r w:rsidR="00A43C68">
          <w:rPr>
            <w:noProof/>
            <w:webHidden/>
          </w:rPr>
        </w:r>
        <w:r w:rsidR="00A43C68">
          <w:rPr>
            <w:noProof/>
            <w:webHidden/>
          </w:rPr>
          <w:fldChar w:fldCharType="separate"/>
        </w:r>
        <w:r w:rsidR="00A43C68">
          <w:rPr>
            <w:noProof/>
            <w:webHidden/>
          </w:rPr>
          <w:t>30</w:t>
        </w:r>
        <w:r w:rsidR="00A43C68">
          <w:rPr>
            <w:noProof/>
            <w:webHidden/>
          </w:rPr>
          <w:fldChar w:fldCharType="end"/>
        </w:r>
      </w:hyperlink>
    </w:p>
    <w:p w14:paraId="72AD81D9" w14:textId="25D75AEE"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15" w:history="1">
        <w:r w:rsidR="00A43C68" w:rsidRPr="00854433">
          <w:rPr>
            <w:rStyle w:val="Hipercze"/>
            <w:noProof/>
          </w:rPr>
          <w:t>Tab. 8. Średni czas trwania postępowań w zależności od rodzaju i trybu udzielenia zamówienia [dni] (postępowania o wartościach poniżej progów unijnych)</w:t>
        </w:r>
        <w:r w:rsidR="00A43C68">
          <w:rPr>
            <w:noProof/>
            <w:webHidden/>
          </w:rPr>
          <w:tab/>
        </w:r>
        <w:r w:rsidR="00A43C68">
          <w:rPr>
            <w:noProof/>
            <w:webHidden/>
          </w:rPr>
          <w:fldChar w:fldCharType="begin"/>
        </w:r>
        <w:r w:rsidR="00A43C68">
          <w:rPr>
            <w:noProof/>
            <w:webHidden/>
          </w:rPr>
          <w:instrText xml:space="preserve"> PAGEREF _Toc141276515 \h </w:instrText>
        </w:r>
        <w:r w:rsidR="00A43C68">
          <w:rPr>
            <w:noProof/>
            <w:webHidden/>
          </w:rPr>
        </w:r>
        <w:r w:rsidR="00A43C68">
          <w:rPr>
            <w:noProof/>
            <w:webHidden/>
          </w:rPr>
          <w:fldChar w:fldCharType="separate"/>
        </w:r>
        <w:r w:rsidR="00A43C68">
          <w:rPr>
            <w:noProof/>
            <w:webHidden/>
          </w:rPr>
          <w:t>31</w:t>
        </w:r>
        <w:r w:rsidR="00A43C68">
          <w:rPr>
            <w:noProof/>
            <w:webHidden/>
          </w:rPr>
          <w:fldChar w:fldCharType="end"/>
        </w:r>
      </w:hyperlink>
    </w:p>
    <w:p w14:paraId="055B45F1" w14:textId="216275EF"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16" w:history="1">
        <w:r w:rsidR="00A43C68" w:rsidRPr="00854433">
          <w:rPr>
            <w:rStyle w:val="Hipercze"/>
            <w:noProof/>
          </w:rPr>
          <w:t>Tab. 9. Średni czas trwania postępowań w zależności od rodzaju i trybu udzielenia zamówienia [dni] (postępowania o wartościach równych lub przekraczających progi unijne)</w:t>
        </w:r>
        <w:r w:rsidR="00A43C68">
          <w:rPr>
            <w:noProof/>
            <w:webHidden/>
          </w:rPr>
          <w:tab/>
        </w:r>
        <w:r w:rsidR="00A43C68">
          <w:rPr>
            <w:noProof/>
            <w:webHidden/>
          </w:rPr>
          <w:fldChar w:fldCharType="begin"/>
        </w:r>
        <w:r w:rsidR="00A43C68">
          <w:rPr>
            <w:noProof/>
            <w:webHidden/>
          </w:rPr>
          <w:instrText xml:space="preserve"> PAGEREF _Toc141276516 \h </w:instrText>
        </w:r>
        <w:r w:rsidR="00A43C68">
          <w:rPr>
            <w:noProof/>
            <w:webHidden/>
          </w:rPr>
        </w:r>
        <w:r w:rsidR="00A43C68">
          <w:rPr>
            <w:noProof/>
            <w:webHidden/>
          </w:rPr>
          <w:fldChar w:fldCharType="separate"/>
        </w:r>
        <w:r w:rsidR="00A43C68">
          <w:rPr>
            <w:noProof/>
            <w:webHidden/>
          </w:rPr>
          <w:t>31</w:t>
        </w:r>
        <w:r w:rsidR="00A43C68">
          <w:rPr>
            <w:noProof/>
            <w:webHidden/>
          </w:rPr>
          <w:fldChar w:fldCharType="end"/>
        </w:r>
      </w:hyperlink>
    </w:p>
    <w:p w14:paraId="1996D571" w14:textId="55095CBF"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17" w:history="1">
        <w:r w:rsidR="00A43C68" w:rsidRPr="00854433">
          <w:rPr>
            <w:rStyle w:val="Hipercze"/>
            <w:iCs/>
            <w:noProof/>
          </w:rPr>
          <w:t>Tab. 10. Odsetek postępowań z ceną jako jedynym kryterium oceny ofert</w:t>
        </w:r>
        <w:r w:rsidR="00A43C68">
          <w:rPr>
            <w:noProof/>
            <w:webHidden/>
          </w:rPr>
          <w:tab/>
        </w:r>
        <w:r w:rsidR="00A43C68">
          <w:rPr>
            <w:noProof/>
            <w:webHidden/>
          </w:rPr>
          <w:fldChar w:fldCharType="begin"/>
        </w:r>
        <w:r w:rsidR="00A43C68">
          <w:rPr>
            <w:noProof/>
            <w:webHidden/>
          </w:rPr>
          <w:instrText xml:space="preserve"> PAGEREF _Toc141276517 \h </w:instrText>
        </w:r>
        <w:r w:rsidR="00A43C68">
          <w:rPr>
            <w:noProof/>
            <w:webHidden/>
          </w:rPr>
        </w:r>
        <w:r w:rsidR="00A43C68">
          <w:rPr>
            <w:noProof/>
            <w:webHidden/>
          </w:rPr>
          <w:fldChar w:fldCharType="separate"/>
        </w:r>
        <w:r w:rsidR="00A43C68">
          <w:rPr>
            <w:noProof/>
            <w:webHidden/>
          </w:rPr>
          <w:t>32</w:t>
        </w:r>
        <w:r w:rsidR="00A43C68">
          <w:rPr>
            <w:noProof/>
            <w:webHidden/>
          </w:rPr>
          <w:fldChar w:fldCharType="end"/>
        </w:r>
      </w:hyperlink>
    </w:p>
    <w:p w14:paraId="4A870DF1" w14:textId="38822BFF"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18" w:history="1">
        <w:r w:rsidR="00A43C68" w:rsidRPr="00854433">
          <w:rPr>
            <w:rStyle w:val="Hipercze"/>
            <w:iCs/>
            <w:noProof/>
          </w:rPr>
          <w:t>Tab. 11. Odsetek postępowań z odpowiednią liczbą kryteriów oceny ofert</w:t>
        </w:r>
        <w:r w:rsidR="00A43C68">
          <w:rPr>
            <w:noProof/>
            <w:webHidden/>
          </w:rPr>
          <w:tab/>
        </w:r>
        <w:r w:rsidR="00A43C68">
          <w:rPr>
            <w:noProof/>
            <w:webHidden/>
          </w:rPr>
          <w:fldChar w:fldCharType="begin"/>
        </w:r>
        <w:r w:rsidR="00A43C68">
          <w:rPr>
            <w:noProof/>
            <w:webHidden/>
          </w:rPr>
          <w:instrText xml:space="preserve"> PAGEREF _Toc141276518 \h </w:instrText>
        </w:r>
        <w:r w:rsidR="00A43C68">
          <w:rPr>
            <w:noProof/>
            <w:webHidden/>
          </w:rPr>
        </w:r>
        <w:r w:rsidR="00A43C68">
          <w:rPr>
            <w:noProof/>
            <w:webHidden/>
          </w:rPr>
          <w:fldChar w:fldCharType="separate"/>
        </w:r>
        <w:r w:rsidR="00A43C68">
          <w:rPr>
            <w:noProof/>
            <w:webHidden/>
          </w:rPr>
          <w:t>32</w:t>
        </w:r>
        <w:r w:rsidR="00A43C68">
          <w:rPr>
            <w:noProof/>
            <w:webHidden/>
          </w:rPr>
          <w:fldChar w:fldCharType="end"/>
        </w:r>
      </w:hyperlink>
    </w:p>
    <w:p w14:paraId="3A2EB1BD" w14:textId="582CA292"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19" w:history="1">
        <w:r w:rsidR="00A43C68" w:rsidRPr="00854433">
          <w:rPr>
            <w:rStyle w:val="Hipercze"/>
            <w:noProof/>
          </w:rPr>
          <w:t>Tab. 12. Średnia liczba ofert składanych w poszczególnych trybach (postępowania o wartościach poniżej progów unijnych)</w:t>
        </w:r>
        <w:r w:rsidR="00A43C68">
          <w:rPr>
            <w:noProof/>
            <w:webHidden/>
          </w:rPr>
          <w:tab/>
        </w:r>
        <w:r w:rsidR="00A43C68">
          <w:rPr>
            <w:noProof/>
            <w:webHidden/>
          </w:rPr>
          <w:fldChar w:fldCharType="begin"/>
        </w:r>
        <w:r w:rsidR="00A43C68">
          <w:rPr>
            <w:noProof/>
            <w:webHidden/>
          </w:rPr>
          <w:instrText xml:space="preserve"> PAGEREF _Toc141276519 \h </w:instrText>
        </w:r>
        <w:r w:rsidR="00A43C68">
          <w:rPr>
            <w:noProof/>
            <w:webHidden/>
          </w:rPr>
        </w:r>
        <w:r w:rsidR="00A43C68">
          <w:rPr>
            <w:noProof/>
            <w:webHidden/>
          </w:rPr>
          <w:fldChar w:fldCharType="separate"/>
        </w:r>
        <w:r w:rsidR="00A43C68">
          <w:rPr>
            <w:noProof/>
            <w:webHidden/>
          </w:rPr>
          <w:t>33</w:t>
        </w:r>
        <w:r w:rsidR="00A43C68">
          <w:rPr>
            <w:noProof/>
            <w:webHidden/>
          </w:rPr>
          <w:fldChar w:fldCharType="end"/>
        </w:r>
      </w:hyperlink>
    </w:p>
    <w:p w14:paraId="2C657BAC" w14:textId="76D2AA6C"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20" w:history="1">
        <w:r w:rsidR="00A43C68" w:rsidRPr="00854433">
          <w:rPr>
            <w:rStyle w:val="Hipercze"/>
            <w:noProof/>
          </w:rPr>
          <w:t>Tab. 13. Średnia liczba ofert składanych na poszczególne rodzaje zamówień (postępowania o wartościach poniżej progów unijnych)</w:t>
        </w:r>
        <w:r w:rsidR="00A43C68">
          <w:rPr>
            <w:noProof/>
            <w:webHidden/>
          </w:rPr>
          <w:tab/>
        </w:r>
        <w:r w:rsidR="00A43C68">
          <w:rPr>
            <w:noProof/>
            <w:webHidden/>
          </w:rPr>
          <w:fldChar w:fldCharType="begin"/>
        </w:r>
        <w:r w:rsidR="00A43C68">
          <w:rPr>
            <w:noProof/>
            <w:webHidden/>
          </w:rPr>
          <w:instrText xml:space="preserve"> PAGEREF _Toc141276520 \h </w:instrText>
        </w:r>
        <w:r w:rsidR="00A43C68">
          <w:rPr>
            <w:noProof/>
            <w:webHidden/>
          </w:rPr>
        </w:r>
        <w:r w:rsidR="00A43C68">
          <w:rPr>
            <w:noProof/>
            <w:webHidden/>
          </w:rPr>
          <w:fldChar w:fldCharType="separate"/>
        </w:r>
        <w:r w:rsidR="00A43C68">
          <w:rPr>
            <w:noProof/>
            <w:webHidden/>
          </w:rPr>
          <w:t>33</w:t>
        </w:r>
        <w:r w:rsidR="00A43C68">
          <w:rPr>
            <w:noProof/>
            <w:webHidden/>
          </w:rPr>
          <w:fldChar w:fldCharType="end"/>
        </w:r>
      </w:hyperlink>
    </w:p>
    <w:p w14:paraId="4C46516C" w14:textId="49AC1DA6"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21" w:history="1">
        <w:r w:rsidR="00A43C68" w:rsidRPr="00854433">
          <w:rPr>
            <w:rStyle w:val="Hipercze"/>
            <w:noProof/>
          </w:rPr>
          <w:t>Tab. 14. Odsetek zamówień, w których wykonawcy składali odpowiednią liczbę ofert (postępowania o wartościach poniżej progów unijnych)</w:t>
        </w:r>
        <w:r w:rsidR="00A43C68">
          <w:rPr>
            <w:noProof/>
            <w:webHidden/>
          </w:rPr>
          <w:tab/>
        </w:r>
        <w:r w:rsidR="00A43C68">
          <w:rPr>
            <w:noProof/>
            <w:webHidden/>
          </w:rPr>
          <w:fldChar w:fldCharType="begin"/>
        </w:r>
        <w:r w:rsidR="00A43C68">
          <w:rPr>
            <w:noProof/>
            <w:webHidden/>
          </w:rPr>
          <w:instrText xml:space="preserve"> PAGEREF _Toc141276521 \h </w:instrText>
        </w:r>
        <w:r w:rsidR="00A43C68">
          <w:rPr>
            <w:noProof/>
            <w:webHidden/>
          </w:rPr>
        </w:r>
        <w:r w:rsidR="00A43C68">
          <w:rPr>
            <w:noProof/>
            <w:webHidden/>
          </w:rPr>
          <w:fldChar w:fldCharType="separate"/>
        </w:r>
        <w:r w:rsidR="00A43C68">
          <w:rPr>
            <w:noProof/>
            <w:webHidden/>
          </w:rPr>
          <w:t>34</w:t>
        </w:r>
        <w:r w:rsidR="00A43C68">
          <w:rPr>
            <w:noProof/>
            <w:webHidden/>
          </w:rPr>
          <w:fldChar w:fldCharType="end"/>
        </w:r>
      </w:hyperlink>
    </w:p>
    <w:p w14:paraId="40AE7134" w14:textId="1576A0DA"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22" w:history="1">
        <w:r w:rsidR="00A43C68" w:rsidRPr="00854433">
          <w:rPr>
            <w:rStyle w:val="Hipercze"/>
            <w:noProof/>
          </w:rPr>
          <w:t>Tab. 15. Średnia liczba ofert składanych w poszczególnych trybach (postępowania o wartościach równych lub przekraczających progi unijne)</w:t>
        </w:r>
        <w:r w:rsidR="00A43C68">
          <w:rPr>
            <w:noProof/>
            <w:webHidden/>
          </w:rPr>
          <w:tab/>
        </w:r>
        <w:r w:rsidR="00A43C68">
          <w:rPr>
            <w:noProof/>
            <w:webHidden/>
          </w:rPr>
          <w:fldChar w:fldCharType="begin"/>
        </w:r>
        <w:r w:rsidR="00A43C68">
          <w:rPr>
            <w:noProof/>
            <w:webHidden/>
          </w:rPr>
          <w:instrText xml:space="preserve"> PAGEREF _Toc141276522 \h </w:instrText>
        </w:r>
        <w:r w:rsidR="00A43C68">
          <w:rPr>
            <w:noProof/>
            <w:webHidden/>
          </w:rPr>
        </w:r>
        <w:r w:rsidR="00A43C68">
          <w:rPr>
            <w:noProof/>
            <w:webHidden/>
          </w:rPr>
          <w:fldChar w:fldCharType="separate"/>
        </w:r>
        <w:r w:rsidR="00A43C68">
          <w:rPr>
            <w:noProof/>
            <w:webHidden/>
          </w:rPr>
          <w:t>34</w:t>
        </w:r>
        <w:r w:rsidR="00A43C68">
          <w:rPr>
            <w:noProof/>
            <w:webHidden/>
          </w:rPr>
          <w:fldChar w:fldCharType="end"/>
        </w:r>
      </w:hyperlink>
    </w:p>
    <w:p w14:paraId="7F39B0FA" w14:textId="325FBD1F"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23" w:history="1">
        <w:r w:rsidR="00A43C68" w:rsidRPr="00854433">
          <w:rPr>
            <w:rStyle w:val="Hipercze"/>
            <w:noProof/>
          </w:rPr>
          <w:t>Tab. 16. Średnia liczba ofert składanych na poszczególne rodzaje zamówień (postępowania o wartościach równych lub przekraczających progi unijne)</w:t>
        </w:r>
        <w:r w:rsidR="00A43C68">
          <w:rPr>
            <w:noProof/>
            <w:webHidden/>
          </w:rPr>
          <w:tab/>
        </w:r>
        <w:r w:rsidR="00A43C68">
          <w:rPr>
            <w:noProof/>
            <w:webHidden/>
          </w:rPr>
          <w:fldChar w:fldCharType="begin"/>
        </w:r>
        <w:r w:rsidR="00A43C68">
          <w:rPr>
            <w:noProof/>
            <w:webHidden/>
          </w:rPr>
          <w:instrText xml:space="preserve"> PAGEREF _Toc141276523 \h </w:instrText>
        </w:r>
        <w:r w:rsidR="00A43C68">
          <w:rPr>
            <w:noProof/>
            <w:webHidden/>
          </w:rPr>
        </w:r>
        <w:r w:rsidR="00A43C68">
          <w:rPr>
            <w:noProof/>
            <w:webHidden/>
          </w:rPr>
          <w:fldChar w:fldCharType="separate"/>
        </w:r>
        <w:r w:rsidR="00A43C68">
          <w:rPr>
            <w:noProof/>
            <w:webHidden/>
          </w:rPr>
          <w:t>35</w:t>
        </w:r>
        <w:r w:rsidR="00A43C68">
          <w:rPr>
            <w:noProof/>
            <w:webHidden/>
          </w:rPr>
          <w:fldChar w:fldCharType="end"/>
        </w:r>
      </w:hyperlink>
    </w:p>
    <w:p w14:paraId="634765E6" w14:textId="638580B0"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24" w:history="1">
        <w:r w:rsidR="00A43C68" w:rsidRPr="00854433">
          <w:rPr>
            <w:rStyle w:val="Hipercze"/>
            <w:noProof/>
          </w:rPr>
          <w:t>Tab. 17. Odsetek zamówień, w których wykonawcy składali odpowiednią liczbę ofert (postępowania o wartościach równych lub przekraczających progi unijne)</w:t>
        </w:r>
        <w:r w:rsidR="00A43C68">
          <w:rPr>
            <w:noProof/>
            <w:webHidden/>
          </w:rPr>
          <w:tab/>
        </w:r>
        <w:r w:rsidR="00A43C68">
          <w:rPr>
            <w:noProof/>
            <w:webHidden/>
          </w:rPr>
          <w:fldChar w:fldCharType="begin"/>
        </w:r>
        <w:r w:rsidR="00A43C68">
          <w:rPr>
            <w:noProof/>
            <w:webHidden/>
          </w:rPr>
          <w:instrText xml:space="preserve"> PAGEREF _Toc141276524 \h </w:instrText>
        </w:r>
        <w:r w:rsidR="00A43C68">
          <w:rPr>
            <w:noProof/>
            <w:webHidden/>
          </w:rPr>
        </w:r>
        <w:r w:rsidR="00A43C68">
          <w:rPr>
            <w:noProof/>
            <w:webHidden/>
          </w:rPr>
          <w:fldChar w:fldCharType="separate"/>
        </w:r>
        <w:r w:rsidR="00A43C68">
          <w:rPr>
            <w:noProof/>
            <w:webHidden/>
          </w:rPr>
          <w:t>35</w:t>
        </w:r>
        <w:r w:rsidR="00A43C68">
          <w:rPr>
            <w:noProof/>
            <w:webHidden/>
          </w:rPr>
          <w:fldChar w:fldCharType="end"/>
        </w:r>
      </w:hyperlink>
    </w:p>
    <w:p w14:paraId="451D04CB" w14:textId="7EF5D6B1"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25" w:history="1">
        <w:r w:rsidR="00A43C68" w:rsidRPr="00854433">
          <w:rPr>
            <w:rStyle w:val="Hipercze"/>
            <w:noProof/>
          </w:rPr>
          <w:t>Tab. 18. Odsetek zamówień udzielonych wykonawcom z sektora MŚP (postępowania o wartościach poniżej progów unijnych)</w:t>
        </w:r>
        <w:r w:rsidR="00A43C68">
          <w:rPr>
            <w:noProof/>
            <w:webHidden/>
          </w:rPr>
          <w:tab/>
        </w:r>
        <w:r w:rsidR="00A43C68">
          <w:rPr>
            <w:noProof/>
            <w:webHidden/>
          </w:rPr>
          <w:fldChar w:fldCharType="begin"/>
        </w:r>
        <w:r w:rsidR="00A43C68">
          <w:rPr>
            <w:noProof/>
            <w:webHidden/>
          </w:rPr>
          <w:instrText xml:space="preserve"> PAGEREF _Toc141276525 \h </w:instrText>
        </w:r>
        <w:r w:rsidR="00A43C68">
          <w:rPr>
            <w:noProof/>
            <w:webHidden/>
          </w:rPr>
        </w:r>
        <w:r w:rsidR="00A43C68">
          <w:rPr>
            <w:noProof/>
            <w:webHidden/>
          </w:rPr>
          <w:fldChar w:fldCharType="separate"/>
        </w:r>
        <w:r w:rsidR="00A43C68">
          <w:rPr>
            <w:noProof/>
            <w:webHidden/>
          </w:rPr>
          <w:t>37</w:t>
        </w:r>
        <w:r w:rsidR="00A43C68">
          <w:rPr>
            <w:noProof/>
            <w:webHidden/>
          </w:rPr>
          <w:fldChar w:fldCharType="end"/>
        </w:r>
      </w:hyperlink>
    </w:p>
    <w:p w14:paraId="054DAA3B" w14:textId="6A4DFC14"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26" w:history="1">
        <w:r w:rsidR="00A43C68" w:rsidRPr="00854433">
          <w:rPr>
            <w:rStyle w:val="Hipercze"/>
            <w:noProof/>
          </w:rPr>
          <w:t>Tab. 19. Odsetek zamówień udzielonych wykonawcom z sektora MŚP (postępowania o wartościach równych lub przekraczających progi unijne)</w:t>
        </w:r>
        <w:r w:rsidR="00A43C68">
          <w:rPr>
            <w:noProof/>
            <w:webHidden/>
          </w:rPr>
          <w:tab/>
        </w:r>
        <w:r w:rsidR="00A43C68">
          <w:rPr>
            <w:noProof/>
            <w:webHidden/>
          </w:rPr>
          <w:fldChar w:fldCharType="begin"/>
        </w:r>
        <w:r w:rsidR="00A43C68">
          <w:rPr>
            <w:noProof/>
            <w:webHidden/>
          </w:rPr>
          <w:instrText xml:space="preserve"> PAGEREF _Toc141276526 \h </w:instrText>
        </w:r>
        <w:r w:rsidR="00A43C68">
          <w:rPr>
            <w:noProof/>
            <w:webHidden/>
          </w:rPr>
        </w:r>
        <w:r w:rsidR="00A43C68">
          <w:rPr>
            <w:noProof/>
            <w:webHidden/>
          </w:rPr>
          <w:fldChar w:fldCharType="separate"/>
        </w:r>
        <w:r w:rsidR="00A43C68">
          <w:rPr>
            <w:noProof/>
            <w:webHidden/>
          </w:rPr>
          <w:t>37</w:t>
        </w:r>
        <w:r w:rsidR="00A43C68">
          <w:rPr>
            <w:noProof/>
            <w:webHidden/>
          </w:rPr>
          <w:fldChar w:fldCharType="end"/>
        </w:r>
      </w:hyperlink>
    </w:p>
    <w:p w14:paraId="0F883BAE" w14:textId="768CED8E"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27" w:history="1">
        <w:r w:rsidR="00A43C68" w:rsidRPr="00854433">
          <w:rPr>
            <w:rStyle w:val="Hipercze"/>
            <w:noProof/>
          </w:rPr>
          <w:t>Tab. 20. Liczba i wartość zamówień udzielonych w 2022 r. polskim wykonawcom na europejskim rynku zamówień publicznych</w:t>
        </w:r>
        <w:r w:rsidR="00A43C68">
          <w:rPr>
            <w:noProof/>
            <w:webHidden/>
          </w:rPr>
          <w:tab/>
        </w:r>
        <w:r w:rsidR="00A43C68">
          <w:rPr>
            <w:noProof/>
            <w:webHidden/>
          </w:rPr>
          <w:fldChar w:fldCharType="begin"/>
        </w:r>
        <w:r w:rsidR="00A43C68">
          <w:rPr>
            <w:noProof/>
            <w:webHidden/>
          </w:rPr>
          <w:instrText xml:space="preserve"> PAGEREF _Toc141276527 \h </w:instrText>
        </w:r>
        <w:r w:rsidR="00A43C68">
          <w:rPr>
            <w:noProof/>
            <w:webHidden/>
          </w:rPr>
        </w:r>
        <w:r w:rsidR="00A43C68">
          <w:rPr>
            <w:noProof/>
            <w:webHidden/>
          </w:rPr>
          <w:fldChar w:fldCharType="separate"/>
        </w:r>
        <w:r w:rsidR="00A43C68">
          <w:rPr>
            <w:noProof/>
            <w:webHidden/>
          </w:rPr>
          <w:t>38</w:t>
        </w:r>
        <w:r w:rsidR="00A43C68">
          <w:rPr>
            <w:noProof/>
            <w:webHidden/>
          </w:rPr>
          <w:fldChar w:fldCharType="end"/>
        </w:r>
      </w:hyperlink>
    </w:p>
    <w:p w14:paraId="7866360F" w14:textId="08AEA484"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28" w:history="1">
        <w:r w:rsidR="00A43C68" w:rsidRPr="00854433">
          <w:rPr>
            <w:rStyle w:val="Hipercze"/>
            <w:noProof/>
          </w:rPr>
          <w:t>Tab. 21. Liczba i wartość zamówień udzielonych w 2022 r. przez polskich zamawiających wykonawcom zagranicznym</w:t>
        </w:r>
        <w:r w:rsidR="00A43C68">
          <w:rPr>
            <w:noProof/>
            <w:webHidden/>
          </w:rPr>
          <w:tab/>
        </w:r>
        <w:r w:rsidR="00A43C68">
          <w:rPr>
            <w:noProof/>
            <w:webHidden/>
          </w:rPr>
          <w:fldChar w:fldCharType="begin"/>
        </w:r>
        <w:r w:rsidR="00A43C68">
          <w:rPr>
            <w:noProof/>
            <w:webHidden/>
          </w:rPr>
          <w:instrText xml:space="preserve"> PAGEREF _Toc141276528 \h </w:instrText>
        </w:r>
        <w:r w:rsidR="00A43C68">
          <w:rPr>
            <w:noProof/>
            <w:webHidden/>
          </w:rPr>
        </w:r>
        <w:r w:rsidR="00A43C68">
          <w:rPr>
            <w:noProof/>
            <w:webHidden/>
          </w:rPr>
          <w:fldChar w:fldCharType="separate"/>
        </w:r>
        <w:r w:rsidR="00A43C68">
          <w:rPr>
            <w:noProof/>
            <w:webHidden/>
          </w:rPr>
          <w:t>39</w:t>
        </w:r>
        <w:r w:rsidR="00A43C68">
          <w:rPr>
            <w:noProof/>
            <w:webHidden/>
          </w:rPr>
          <w:fldChar w:fldCharType="end"/>
        </w:r>
      </w:hyperlink>
    </w:p>
    <w:p w14:paraId="0434D1F7" w14:textId="1E6F7E04"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29" w:history="1">
        <w:r w:rsidR="00A43C68" w:rsidRPr="00854433">
          <w:rPr>
            <w:rStyle w:val="Hipercze"/>
            <w:noProof/>
          </w:rPr>
          <w:t>Tab. 22. Struktura rozpatrzonych odwołań – 2022 r.</w:t>
        </w:r>
        <w:r w:rsidR="00A43C68">
          <w:rPr>
            <w:noProof/>
            <w:webHidden/>
          </w:rPr>
          <w:tab/>
        </w:r>
        <w:r w:rsidR="00A43C68">
          <w:rPr>
            <w:noProof/>
            <w:webHidden/>
          </w:rPr>
          <w:fldChar w:fldCharType="begin"/>
        </w:r>
        <w:r w:rsidR="00A43C68">
          <w:rPr>
            <w:noProof/>
            <w:webHidden/>
          </w:rPr>
          <w:instrText xml:space="preserve"> PAGEREF _Toc141276529 \h </w:instrText>
        </w:r>
        <w:r w:rsidR="00A43C68">
          <w:rPr>
            <w:noProof/>
            <w:webHidden/>
          </w:rPr>
        </w:r>
        <w:r w:rsidR="00A43C68">
          <w:rPr>
            <w:noProof/>
            <w:webHidden/>
          </w:rPr>
          <w:fldChar w:fldCharType="separate"/>
        </w:r>
        <w:r w:rsidR="00A43C68">
          <w:rPr>
            <w:noProof/>
            <w:webHidden/>
          </w:rPr>
          <w:t>42</w:t>
        </w:r>
        <w:r w:rsidR="00A43C68">
          <w:rPr>
            <w:noProof/>
            <w:webHidden/>
          </w:rPr>
          <w:fldChar w:fldCharType="end"/>
        </w:r>
      </w:hyperlink>
    </w:p>
    <w:p w14:paraId="7967B596" w14:textId="5F7D718D"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30" w:history="1">
        <w:r w:rsidR="00A43C68" w:rsidRPr="00854433">
          <w:rPr>
            <w:rStyle w:val="Hipercze"/>
            <w:noProof/>
          </w:rPr>
          <w:t>Tab. 23. Struktura rozpatrzonych odwołań – 2021 r.</w:t>
        </w:r>
        <w:r w:rsidR="00A43C68">
          <w:rPr>
            <w:noProof/>
            <w:webHidden/>
          </w:rPr>
          <w:tab/>
        </w:r>
        <w:r w:rsidR="00A43C68">
          <w:rPr>
            <w:noProof/>
            <w:webHidden/>
          </w:rPr>
          <w:fldChar w:fldCharType="begin"/>
        </w:r>
        <w:r w:rsidR="00A43C68">
          <w:rPr>
            <w:noProof/>
            <w:webHidden/>
          </w:rPr>
          <w:instrText xml:space="preserve"> PAGEREF _Toc141276530 \h </w:instrText>
        </w:r>
        <w:r w:rsidR="00A43C68">
          <w:rPr>
            <w:noProof/>
            <w:webHidden/>
          </w:rPr>
        </w:r>
        <w:r w:rsidR="00A43C68">
          <w:rPr>
            <w:noProof/>
            <w:webHidden/>
          </w:rPr>
          <w:fldChar w:fldCharType="separate"/>
        </w:r>
        <w:r w:rsidR="00A43C68">
          <w:rPr>
            <w:noProof/>
            <w:webHidden/>
          </w:rPr>
          <w:t>42</w:t>
        </w:r>
        <w:r w:rsidR="00A43C68">
          <w:rPr>
            <w:noProof/>
            <w:webHidden/>
          </w:rPr>
          <w:fldChar w:fldCharType="end"/>
        </w:r>
      </w:hyperlink>
    </w:p>
    <w:p w14:paraId="1AAE38ED" w14:textId="5D1867F3"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31" w:history="1">
        <w:r w:rsidR="00A43C68" w:rsidRPr="00854433">
          <w:rPr>
            <w:rStyle w:val="Hipercze"/>
            <w:noProof/>
          </w:rPr>
          <w:t>Tab. 24. Struktura odwołań w podziale na sektor/branżę</w:t>
        </w:r>
        <w:r w:rsidR="00A43C68">
          <w:rPr>
            <w:noProof/>
            <w:webHidden/>
          </w:rPr>
          <w:tab/>
        </w:r>
        <w:r w:rsidR="00A43C68">
          <w:rPr>
            <w:noProof/>
            <w:webHidden/>
          </w:rPr>
          <w:fldChar w:fldCharType="begin"/>
        </w:r>
        <w:r w:rsidR="00A43C68">
          <w:rPr>
            <w:noProof/>
            <w:webHidden/>
          </w:rPr>
          <w:instrText xml:space="preserve"> PAGEREF _Toc141276531 \h </w:instrText>
        </w:r>
        <w:r w:rsidR="00A43C68">
          <w:rPr>
            <w:noProof/>
            <w:webHidden/>
          </w:rPr>
        </w:r>
        <w:r w:rsidR="00A43C68">
          <w:rPr>
            <w:noProof/>
            <w:webHidden/>
          </w:rPr>
          <w:fldChar w:fldCharType="separate"/>
        </w:r>
        <w:r w:rsidR="00A43C68">
          <w:rPr>
            <w:noProof/>
            <w:webHidden/>
          </w:rPr>
          <w:t>43</w:t>
        </w:r>
        <w:r w:rsidR="00A43C68">
          <w:rPr>
            <w:noProof/>
            <w:webHidden/>
          </w:rPr>
          <w:fldChar w:fldCharType="end"/>
        </w:r>
      </w:hyperlink>
    </w:p>
    <w:p w14:paraId="28CA9246" w14:textId="19B4355A"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32" w:history="1">
        <w:r w:rsidR="00A43C68" w:rsidRPr="00854433">
          <w:rPr>
            <w:rStyle w:val="Hipercze"/>
            <w:noProof/>
          </w:rPr>
          <w:t>Tab. 25. Społeczne zamówienia publiczne w 2022 r. – dane ogólne</w:t>
        </w:r>
        <w:r w:rsidR="00A43C68">
          <w:rPr>
            <w:noProof/>
            <w:webHidden/>
          </w:rPr>
          <w:tab/>
        </w:r>
        <w:r w:rsidR="00A43C68">
          <w:rPr>
            <w:noProof/>
            <w:webHidden/>
          </w:rPr>
          <w:fldChar w:fldCharType="begin"/>
        </w:r>
        <w:r w:rsidR="00A43C68">
          <w:rPr>
            <w:noProof/>
            <w:webHidden/>
          </w:rPr>
          <w:instrText xml:space="preserve"> PAGEREF _Toc141276532 \h </w:instrText>
        </w:r>
        <w:r w:rsidR="00A43C68">
          <w:rPr>
            <w:noProof/>
            <w:webHidden/>
          </w:rPr>
        </w:r>
        <w:r w:rsidR="00A43C68">
          <w:rPr>
            <w:noProof/>
            <w:webHidden/>
          </w:rPr>
          <w:fldChar w:fldCharType="separate"/>
        </w:r>
        <w:r w:rsidR="00A43C68">
          <w:rPr>
            <w:noProof/>
            <w:webHidden/>
          </w:rPr>
          <w:t>44</w:t>
        </w:r>
        <w:r w:rsidR="00A43C68">
          <w:rPr>
            <w:noProof/>
            <w:webHidden/>
          </w:rPr>
          <w:fldChar w:fldCharType="end"/>
        </w:r>
      </w:hyperlink>
    </w:p>
    <w:p w14:paraId="7E5A476A" w14:textId="70C4C654"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33" w:history="1">
        <w:r w:rsidR="00A43C68" w:rsidRPr="00854433">
          <w:rPr>
            <w:rStyle w:val="Hipercze"/>
            <w:noProof/>
          </w:rPr>
          <w:t>Tab. 26. Zamówienia publiczne z zastosowaniem art. 94 ust. 1 ustawy Pzp</w:t>
        </w:r>
        <w:r w:rsidR="00A43C68">
          <w:rPr>
            <w:noProof/>
            <w:webHidden/>
          </w:rPr>
          <w:tab/>
        </w:r>
        <w:r w:rsidR="00A43C68">
          <w:rPr>
            <w:noProof/>
            <w:webHidden/>
          </w:rPr>
          <w:fldChar w:fldCharType="begin"/>
        </w:r>
        <w:r w:rsidR="00A43C68">
          <w:rPr>
            <w:noProof/>
            <w:webHidden/>
          </w:rPr>
          <w:instrText xml:space="preserve"> PAGEREF _Toc141276533 \h </w:instrText>
        </w:r>
        <w:r w:rsidR="00A43C68">
          <w:rPr>
            <w:noProof/>
            <w:webHidden/>
          </w:rPr>
        </w:r>
        <w:r w:rsidR="00A43C68">
          <w:rPr>
            <w:noProof/>
            <w:webHidden/>
          </w:rPr>
          <w:fldChar w:fldCharType="separate"/>
        </w:r>
        <w:r w:rsidR="00A43C68">
          <w:rPr>
            <w:noProof/>
            <w:webHidden/>
          </w:rPr>
          <w:t>45</w:t>
        </w:r>
        <w:r w:rsidR="00A43C68">
          <w:rPr>
            <w:noProof/>
            <w:webHidden/>
          </w:rPr>
          <w:fldChar w:fldCharType="end"/>
        </w:r>
      </w:hyperlink>
    </w:p>
    <w:p w14:paraId="6872B25B" w14:textId="38CED318"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34" w:history="1">
        <w:r w:rsidR="00A43C68" w:rsidRPr="00854433">
          <w:rPr>
            <w:rStyle w:val="Hipercze"/>
            <w:noProof/>
          </w:rPr>
          <w:t>Tab. 27. Zamówienia publiczne z zastosowaniem art. 100 ust. 1 ustawy Pzp</w:t>
        </w:r>
        <w:r w:rsidR="00A43C68">
          <w:rPr>
            <w:noProof/>
            <w:webHidden/>
          </w:rPr>
          <w:tab/>
        </w:r>
        <w:r w:rsidR="00A43C68">
          <w:rPr>
            <w:noProof/>
            <w:webHidden/>
          </w:rPr>
          <w:fldChar w:fldCharType="begin"/>
        </w:r>
        <w:r w:rsidR="00A43C68">
          <w:rPr>
            <w:noProof/>
            <w:webHidden/>
          </w:rPr>
          <w:instrText xml:space="preserve"> PAGEREF _Toc141276534 \h </w:instrText>
        </w:r>
        <w:r w:rsidR="00A43C68">
          <w:rPr>
            <w:noProof/>
            <w:webHidden/>
          </w:rPr>
        </w:r>
        <w:r w:rsidR="00A43C68">
          <w:rPr>
            <w:noProof/>
            <w:webHidden/>
          </w:rPr>
          <w:fldChar w:fldCharType="separate"/>
        </w:r>
        <w:r w:rsidR="00A43C68">
          <w:rPr>
            <w:noProof/>
            <w:webHidden/>
          </w:rPr>
          <w:t>46</w:t>
        </w:r>
        <w:r w:rsidR="00A43C68">
          <w:rPr>
            <w:noProof/>
            <w:webHidden/>
          </w:rPr>
          <w:fldChar w:fldCharType="end"/>
        </w:r>
      </w:hyperlink>
    </w:p>
    <w:p w14:paraId="133128D9" w14:textId="5F90C746"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35" w:history="1">
        <w:r w:rsidR="00A43C68" w:rsidRPr="00854433">
          <w:rPr>
            <w:rStyle w:val="Hipercze"/>
            <w:noProof/>
          </w:rPr>
          <w:t>Tab. 28. Społeczne zamówienia publiczne z zastosowaniem art. 242 ust. 2 ustawy Pzp</w:t>
        </w:r>
        <w:r w:rsidR="00A43C68">
          <w:rPr>
            <w:noProof/>
            <w:webHidden/>
          </w:rPr>
          <w:tab/>
        </w:r>
        <w:r w:rsidR="00A43C68">
          <w:rPr>
            <w:noProof/>
            <w:webHidden/>
          </w:rPr>
          <w:fldChar w:fldCharType="begin"/>
        </w:r>
        <w:r w:rsidR="00A43C68">
          <w:rPr>
            <w:noProof/>
            <w:webHidden/>
          </w:rPr>
          <w:instrText xml:space="preserve"> PAGEREF _Toc141276535 \h </w:instrText>
        </w:r>
        <w:r w:rsidR="00A43C68">
          <w:rPr>
            <w:noProof/>
            <w:webHidden/>
          </w:rPr>
        </w:r>
        <w:r w:rsidR="00A43C68">
          <w:rPr>
            <w:noProof/>
            <w:webHidden/>
          </w:rPr>
          <w:fldChar w:fldCharType="separate"/>
        </w:r>
        <w:r w:rsidR="00A43C68">
          <w:rPr>
            <w:noProof/>
            <w:webHidden/>
          </w:rPr>
          <w:t>46</w:t>
        </w:r>
        <w:r w:rsidR="00A43C68">
          <w:rPr>
            <w:noProof/>
            <w:webHidden/>
          </w:rPr>
          <w:fldChar w:fldCharType="end"/>
        </w:r>
      </w:hyperlink>
    </w:p>
    <w:p w14:paraId="5FF8D3DD" w14:textId="7117E2C2"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36" w:history="1">
        <w:r w:rsidR="00A43C68" w:rsidRPr="00854433">
          <w:rPr>
            <w:rStyle w:val="Hipercze"/>
            <w:noProof/>
          </w:rPr>
          <w:t>Tab. 29. Zamówienia publiczne z zastosowaniem art. 95 ust. 1 ustawy Pzp</w:t>
        </w:r>
        <w:r w:rsidR="00A43C68">
          <w:rPr>
            <w:noProof/>
            <w:webHidden/>
          </w:rPr>
          <w:tab/>
        </w:r>
        <w:r w:rsidR="00A43C68">
          <w:rPr>
            <w:noProof/>
            <w:webHidden/>
          </w:rPr>
          <w:fldChar w:fldCharType="begin"/>
        </w:r>
        <w:r w:rsidR="00A43C68">
          <w:rPr>
            <w:noProof/>
            <w:webHidden/>
          </w:rPr>
          <w:instrText xml:space="preserve"> PAGEREF _Toc141276536 \h </w:instrText>
        </w:r>
        <w:r w:rsidR="00A43C68">
          <w:rPr>
            <w:noProof/>
            <w:webHidden/>
          </w:rPr>
        </w:r>
        <w:r w:rsidR="00A43C68">
          <w:rPr>
            <w:noProof/>
            <w:webHidden/>
          </w:rPr>
          <w:fldChar w:fldCharType="separate"/>
        </w:r>
        <w:r w:rsidR="00A43C68">
          <w:rPr>
            <w:noProof/>
            <w:webHidden/>
          </w:rPr>
          <w:t>46</w:t>
        </w:r>
        <w:r w:rsidR="00A43C68">
          <w:rPr>
            <w:noProof/>
            <w:webHidden/>
          </w:rPr>
          <w:fldChar w:fldCharType="end"/>
        </w:r>
      </w:hyperlink>
    </w:p>
    <w:p w14:paraId="67E4A69D" w14:textId="125ADC57"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37" w:history="1">
        <w:r w:rsidR="00A43C68" w:rsidRPr="00854433">
          <w:rPr>
            <w:rStyle w:val="Hipercze"/>
            <w:noProof/>
          </w:rPr>
          <w:t>Tab. 30. Społeczne zamówienia publiczne z zastosowaniem art. 96 ust. 1 ustawy Pzp</w:t>
        </w:r>
        <w:r w:rsidR="00A43C68">
          <w:rPr>
            <w:noProof/>
            <w:webHidden/>
          </w:rPr>
          <w:tab/>
        </w:r>
        <w:r w:rsidR="00A43C68">
          <w:rPr>
            <w:noProof/>
            <w:webHidden/>
          </w:rPr>
          <w:fldChar w:fldCharType="begin"/>
        </w:r>
        <w:r w:rsidR="00A43C68">
          <w:rPr>
            <w:noProof/>
            <w:webHidden/>
          </w:rPr>
          <w:instrText xml:space="preserve"> PAGEREF _Toc141276537 \h </w:instrText>
        </w:r>
        <w:r w:rsidR="00A43C68">
          <w:rPr>
            <w:noProof/>
            <w:webHidden/>
          </w:rPr>
        </w:r>
        <w:r w:rsidR="00A43C68">
          <w:rPr>
            <w:noProof/>
            <w:webHidden/>
          </w:rPr>
          <w:fldChar w:fldCharType="separate"/>
        </w:r>
        <w:r w:rsidR="00A43C68">
          <w:rPr>
            <w:noProof/>
            <w:webHidden/>
          </w:rPr>
          <w:t>47</w:t>
        </w:r>
        <w:r w:rsidR="00A43C68">
          <w:rPr>
            <w:noProof/>
            <w:webHidden/>
          </w:rPr>
          <w:fldChar w:fldCharType="end"/>
        </w:r>
      </w:hyperlink>
    </w:p>
    <w:p w14:paraId="49D8D35D" w14:textId="0C59FC4E"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38" w:history="1">
        <w:r w:rsidR="00A43C68" w:rsidRPr="00854433">
          <w:rPr>
            <w:rStyle w:val="Hipercze"/>
            <w:noProof/>
          </w:rPr>
          <w:t>Tab. 31. Społeczne zamówienia publiczne z zastosowaniem art. 104 ustawy Pzp</w:t>
        </w:r>
        <w:r w:rsidR="00A43C68">
          <w:rPr>
            <w:noProof/>
            <w:webHidden/>
          </w:rPr>
          <w:tab/>
        </w:r>
        <w:r w:rsidR="00A43C68">
          <w:rPr>
            <w:noProof/>
            <w:webHidden/>
          </w:rPr>
          <w:fldChar w:fldCharType="begin"/>
        </w:r>
        <w:r w:rsidR="00A43C68">
          <w:rPr>
            <w:noProof/>
            <w:webHidden/>
          </w:rPr>
          <w:instrText xml:space="preserve"> PAGEREF _Toc141276538 \h </w:instrText>
        </w:r>
        <w:r w:rsidR="00A43C68">
          <w:rPr>
            <w:noProof/>
            <w:webHidden/>
          </w:rPr>
        </w:r>
        <w:r w:rsidR="00A43C68">
          <w:rPr>
            <w:noProof/>
            <w:webHidden/>
          </w:rPr>
          <w:fldChar w:fldCharType="separate"/>
        </w:r>
        <w:r w:rsidR="00A43C68">
          <w:rPr>
            <w:noProof/>
            <w:webHidden/>
          </w:rPr>
          <w:t>47</w:t>
        </w:r>
        <w:r w:rsidR="00A43C68">
          <w:rPr>
            <w:noProof/>
            <w:webHidden/>
          </w:rPr>
          <w:fldChar w:fldCharType="end"/>
        </w:r>
      </w:hyperlink>
    </w:p>
    <w:p w14:paraId="1E317A11" w14:textId="721BC3AC"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39" w:history="1">
        <w:r w:rsidR="00A43C68" w:rsidRPr="00854433">
          <w:rPr>
            <w:rStyle w:val="Hipercze"/>
            <w:noProof/>
          </w:rPr>
          <w:t>Tab. 32. Zamówienia publiczne z zastosowaniem art. 361 ust. 1 lub art. 392 ust. 3 ustawy Pzp</w:t>
        </w:r>
        <w:r w:rsidR="00A43C68">
          <w:rPr>
            <w:noProof/>
            <w:webHidden/>
          </w:rPr>
          <w:tab/>
        </w:r>
        <w:r w:rsidR="00A43C68">
          <w:rPr>
            <w:noProof/>
            <w:webHidden/>
          </w:rPr>
          <w:fldChar w:fldCharType="begin"/>
        </w:r>
        <w:r w:rsidR="00A43C68">
          <w:rPr>
            <w:noProof/>
            <w:webHidden/>
          </w:rPr>
          <w:instrText xml:space="preserve"> PAGEREF _Toc141276539 \h </w:instrText>
        </w:r>
        <w:r w:rsidR="00A43C68">
          <w:rPr>
            <w:noProof/>
            <w:webHidden/>
          </w:rPr>
        </w:r>
        <w:r w:rsidR="00A43C68">
          <w:rPr>
            <w:noProof/>
            <w:webHidden/>
          </w:rPr>
          <w:fldChar w:fldCharType="separate"/>
        </w:r>
        <w:r w:rsidR="00A43C68">
          <w:rPr>
            <w:noProof/>
            <w:webHidden/>
          </w:rPr>
          <w:t>47</w:t>
        </w:r>
        <w:r w:rsidR="00A43C68">
          <w:rPr>
            <w:noProof/>
            <w:webHidden/>
          </w:rPr>
          <w:fldChar w:fldCharType="end"/>
        </w:r>
      </w:hyperlink>
    </w:p>
    <w:p w14:paraId="6B24AB80" w14:textId="148328BC"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40" w:history="1">
        <w:r w:rsidR="00A43C68" w:rsidRPr="00854433">
          <w:rPr>
            <w:rStyle w:val="Hipercze"/>
            <w:noProof/>
          </w:rPr>
          <w:t>Tab. 33. Zielone zamówienia publiczne w 2022 r. – dane ogólne</w:t>
        </w:r>
        <w:r w:rsidR="00A43C68">
          <w:rPr>
            <w:noProof/>
            <w:webHidden/>
          </w:rPr>
          <w:tab/>
        </w:r>
        <w:r w:rsidR="00A43C68">
          <w:rPr>
            <w:noProof/>
            <w:webHidden/>
          </w:rPr>
          <w:fldChar w:fldCharType="begin"/>
        </w:r>
        <w:r w:rsidR="00A43C68">
          <w:rPr>
            <w:noProof/>
            <w:webHidden/>
          </w:rPr>
          <w:instrText xml:space="preserve"> PAGEREF _Toc141276540 \h </w:instrText>
        </w:r>
        <w:r w:rsidR="00A43C68">
          <w:rPr>
            <w:noProof/>
            <w:webHidden/>
          </w:rPr>
        </w:r>
        <w:r w:rsidR="00A43C68">
          <w:rPr>
            <w:noProof/>
            <w:webHidden/>
          </w:rPr>
          <w:fldChar w:fldCharType="separate"/>
        </w:r>
        <w:r w:rsidR="00A43C68">
          <w:rPr>
            <w:noProof/>
            <w:webHidden/>
          </w:rPr>
          <w:t>51</w:t>
        </w:r>
        <w:r w:rsidR="00A43C68">
          <w:rPr>
            <w:noProof/>
            <w:webHidden/>
          </w:rPr>
          <w:fldChar w:fldCharType="end"/>
        </w:r>
      </w:hyperlink>
    </w:p>
    <w:p w14:paraId="78D438B8" w14:textId="4D10AA9A"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41" w:history="1">
        <w:r w:rsidR="00A43C68" w:rsidRPr="00854433">
          <w:rPr>
            <w:rStyle w:val="Hipercze"/>
            <w:noProof/>
          </w:rPr>
          <w:t>Tab. 34. Zielone zamówienia publiczne z zastosowaniem art. 101 ustawy Pzp</w:t>
        </w:r>
        <w:r w:rsidR="00A43C68">
          <w:rPr>
            <w:noProof/>
            <w:webHidden/>
          </w:rPr>
          <w:tab/>
        </w:r>
        <w:r w:rsidR="00A43C68">
          <w:rPr>
            <w:noProof/>
            <w:webHidden/>
          </w:rPr>
          <w:fldChar w:fldCharType="begin"/>
        </w:r>
        <w:r w:rsidR="00A43C68">
          <w:rPr>
            <w:noProof/>
            <w:webHidden/>
          </w:rPr>
          <w:instrText xml:space="preserve"> PAGEREF _Toc141276541 \h </w:instrText>
        </w:r>
        <w:r w:rsidR="00A43C68">
          <w:rPr>
            <w:noProof/>
            <w:webHidden/>
          </w:rPr>
        </w:r>
        <w:r w:rsidR="00A43C68">
          <w:rPr>
            <w:noProof/>
            <w:webHidden/>
          </w:rPr>
          <w:fldChar w:fldCharType="separate"/>
        </w:r>
        <w:r w:rsidR="00A43C68">
          <w:rPr>
            <w:noProof/>
            <w:webHidden/>
          </w:rPr>
          <w:t>51</w:t>
        </w:r>
        <w:r w:rsidR="00A43C68">
          <w:rPr>
            <w:noProof/>
            <w:webHidden/>
          </w:rPr>
          <w:fldChar w:fldCharType="end"/>
        </w:r>
      </w:hyperlink>
    </w:p>
    <w:p w14:paraId="0090E85A" w14:textId="58CE640B"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42" w:history="1">
        <w:r w:rsidR="00A43C68" w:rsidRPr="00854433">
          <w:rPr>
            <w:rStyle w:val="Hipercze"/>
            <w:noProof/>
          </w:rPr>
          <w:t>Tab. 35. Zielone zamówienia publiczne z zastosowaniem art. 116 ust. 1 ustawy Pzp</w:t>
        </w:r>
        <w:r w:rsidR="00A43C68">
          <w:rPr>
            <w:noProof/>
            <w:webHidden/>
          </w:rPr>
          <w:tab/>
        </w:r>
        <w:r w:rsidR="00A43C68">
          <w:rPr>
            <w:noProof/>
            <w:webHidden/>
          </w:rPr>
          <w:fldChar w:fldCharType="begin"/>
        </w:r>
        <w:r w:rsidR="00A43C68">
          <w:rPr>
            <w:noProof/>
            <w:webHidden/>
          </w:rPr>
          <w:instrText xml:space="preserve"> PAGEREF _Toc141276542 \h </w:instrText>
        </w:r>
        <w:r w:rsidR="00A43C68">
          <w:rPr>
            <w:noProof/>
            <w:webHidden/>
          </w:rPr>
        </w:r>
        <w:r w:rsidR="00A43C68">
          <w:rPr>
            <w:noProof/>
            <w:webHidden/>
          </w:rPr>
          <w:fldChar w:fldCharType="separate"/>
        </w:r>
        <w:r w:rsidR="00A43C68">
          <w:rPr>
            <w:noProof/>
            <w:webHidden/>
          </w:rPr>
          <w:t>51</w:t>
        </w:r>
        <w:r w:rsidR="00A43C68">
          <w:rPr>
            <w:noProof/>
            <w:webHidden/>
          </w:rPr>
          <w:fldChar w:fldCharType="end"/>
        </w:r>
      </w:hyperlink>
    </w:p>
    <w:p w14:paraId="522E81C3" w14:textId="3A6807B2"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43" w:history="1">
        <w:r w:rsidR="00A43C68" w:rsidRPr="00854433">
          <w:rPr>
            <w:rStyle w:val="Hipercze"/>
            <w:noProof/>
          </w:rPr>
          <w:t>Tab. 36. Zielone zamówienia publiczne z zastosowaniem art. 242 ust. 2 ustawy Pzp</w:t>
        </w:r>
        <w:r w:rsidR="00A43C68">
          <w:rPr>
            <w:noProof/>
            <w:webHidden/>
          </w:rPr>
          <w:tab/>
        </w:r>
        <w:r w:rsidR="00A43C68">
          <w:rPr>
            <w:noProof/>
            <w:webHidden/>
          </w:rPr>
          <w:fldChar w:fldCharType="begin"/>
        </w:r>
        <w:r w:rsidR="00A43C68">
          <w:rPr>
            <w:noProof/>
            <w:webHidden/>
          </w:rPr>
          <w:instrText xml:space="preserve"> PAGEREF _Toc141276543 \h </w:instrText>
        </w:r>
        <w:r w:rsidR="00A43C68">
          <w:rPr>
            <w:noProof/>
            <w:webHidden/>
          </w:rPr>
        </w:r>
        <w:r w:rsidR="00A43C68">
          <w:rPr>
            <w:noProof/>
            <w:webHidden/>
          </w:rPr>
          <w:fldChar w:fldCharType="separate"/>
        </w:r>
        <w:r w:rsidR="00A43C68">
          <w:rPr>
            <w:noProof/>
            <w:webHidden/>
          </w:rPr>
          <w:t>52</w:t>
        </w:r>
        <w:r w:rsidR="00A43C68">
          <w:rPr>
            <w:noProof/>
            <w:webHidden/>
          </w:rPr>
          <w:fldChar w:fldCharType="end"/>
        </w:r>
      </w:hyperlink>
    </w:p>
    <w:p w14:paraId="5D34F11A" w14:textId="60A45BDD"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44" w:history="1">
        <w:r w:rsidR="00A43C68" w:rsidRPr="00854433">
          <w:rPr>
            <w:rStyle w:val="Hipercze"/>
            <w:noProof/>
          </w:rPr>
          <w:t>Tab. 37. Zielone zamówienia publiczne z zastosowaniem art. 245 ust. 1 ustawy Pzp</w:t>
        </w:r>
        <w:r w:rsidR="00A43C68">
          <w:rPr>
            <w:noProof/>
            <w:webHidden/>
          </w:rPr>
          <w:tab/>
        </w:r>
        <w:r w:rsidR="00A43C68">
          <w:rPr>
            <w:noProof/>
            <w:webHidden/>
          </w:rPr>
          <w:fldChar w:fldCharType="begin"/>
        </w:r>
        <w:r w:rsidR="00A43C68">
          <w:rPr>
            <w:noProof/>
            <w:webHidden/>
          </w:rPr>
          <w:instrText xml:space="preserve"> PAGEREF _Toc141276544 \h </w:instrText>
        </w:r>
        <w:r w:rsidR="00A43C68">
          <w:rPr>
            <w:noProof/>
            <w:webHidden/>
          </w:rPr>
        </w:r>
        <w:r w:rsidR="00A43C68">
          <w:rPr>
            <w:noProof/>
            <w:webHidden/>
          </w:rPr>
          <w:fldChar w:fldCharType="separate"/>
        </w:r>
        <w:r w:rsidR="00A43C68">
          <w:rPr>
            <w:noProof/>
            <w:webHidden/>
          </w:rPr>
          <w:t>52</w:t>
        </w:r>
        <w:r w:rsidR="00A43C68">
          <w:rPr>
            <w:noProof/>
            <w:webHidden/>
          </w:rPr>
          <w:fldChar w:fldCharType="end"/>
        </w:r>
      </w:hyperlink>
    </w:p>
    <w:p w14:paraId="531260E4" w14:textId="4C40733F"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45" w:history="1">
        <w:r w:rsidR="00A43C68" w:rsidRPr="00854433">
          <w:rPr>
            <w:rStyle w:val="Hipercze"/>
            <w:noProof/>
          </w:rPr>
          <w:t>Tab. 38. Zamówienia publiczne z zastosowaniem art. 96 ust. 1 ustawy Pzp</w:t>
        </w:r>
        <w:r w:rsidR="00A43C68">
          <w:rPr>
            <w:noProof/>
            <w:webHidden/>
          </w:rPr>
          <w:tab/>
        </w:r>
        <w:r w:rsidR="00A43C68">
          <w:rPr>
            <w:noProof/>
            <w:webHidden/>
          </w:rPr>
          <w:fldChar w:fldCharType="begin"/>
        </w:r>
        <w:r w:rsidR="00A43C68">
          <w:rPr>
            <w:noProof/>
            <w:webHidden/>
          </w:rPr>
          <w:instrText xml:space="preserve"> PAGEREF _Toc141276545 \h </w:instrText>
        </w:r>
        <w:r w:rsidR="00A43C68">
          <w:rPr>
            <w:noProof/>
            <w:webHidden/>
          </w:rPr>
        </w:r>
        <w:r w:rsidR="00A43C68">
          <w:rPr>
            <w:noProof/>
            <w:webHidden/>
          </w:rPr>
          <w:fldChar w:fldCharType="separate"/>
        </w:r>
        <w:r w:rsidR="00A43C68">
          <w:rPr>
            <w:noProof/>
            <w:webHidden/>
          </w:rPr>
          <w:t>52</w:t>
        </w:r>
        <w:r w:rsidR="00A43C68">
          <w:rPr>
            <w:noProof/>
            <w:webHidden/>
          </w:rPr>
          <w:fldChar w:fldCharType="end"/>
        </w:r>
      </w:hyperlink>
    </w:p>
    <w:p w14:paraId="031BDAA1" w14:textId="2B51597D"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46" w:history="1">
        <w:r w:rsidR="00A43C68" w:rsidRPr="00854433">
          <w:rPr>
            <w:rStyle w:val="Hipercze"/>
            <w:noProof/>
          </w:rPr>
          <w:t>Tab. 39. Zamówienia publiczne z zastosowaniem art. 104 ustawy Pzp</w:t>
        </w:r>
        <w:r w:rsidR="00A43C68">
          <w:rPr>
            <w:noProof/>
            <w:webHidden/>
          </w:rPr>
          <w:tab/>
        </w:r>
        <w:r w:rsidR="00A43C68">
          <w:rPr>
            <w:noProof/>
            <w:webHidden/>
          </w:rPr>
          <w:fldChar w:fldCharType="begin"/>
        </w:r>
        <w:r w:rsidR="00A43C68">
          <w:rPr>
            <w:noProof/>
            <w:webHidden/>
          </w:rPr>
          <w:instrText xml:space="preserve"> PAGEREF _Toc141276546 \h </w:instrText>
        </w:r>
        <w:r w:rsidR="00A43C68">
          <w:rPr>
            <w:noProof/>
            <w:webHidden/>
          </w:rPr>
        </w:r>
        <w:r w:rsidR="00A43C68">
          <w:rPr>
            <w:noProof/>
            <w:webHidden/>
          </w:rPr>
          <w:fldChar w:fldCharType="separate"/>
        </w:r>
        <w:r w:rsidR="00A43C68">
          <w:rPr>
            <w:noProof/>
            <w:webHidden/>
          </w:rPr>
          <w:t>53</w:t>
        </w:r>
        <w:r w:rsidR="00A43C68">
          <w:rPr>
            <w:noProof/>
            <w:webHidden/>
          </w:rPr>
          <w:fldChar w:fldCharType="end"/>
        </w:r>
      </w:hyperlink>
    </w:p>
    <w:p w14:paraId="5E9F171F" w14:textId="59DEC340"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47" w:history="1">
        <w:r w:rsidR="00A43C68" w:rsidRPr="00854433">
          <w:rPr>
            <w:rStyle w:val="Hipercze"/>
            <w:noProof/>
          </w:rPr>
          <w:t>Tab. 40. Innowacyjne zamówienia publiczne w 2022 r. – dane ogólne</w:t>
        </w:r>
        <w:r w:rsidR="00A43C68">
          <w:rPr>
            <w:noProof/>
            <w:webHidden/>
          </w:rPr>
          <w:tab/>
        </w:r>
        <w:r w:rsidR="00A43C68">
          <w:rPr>
            <w:noProof/>
            <w:webHidden/>
          </w:rPr>
          <w:fldChar w:fldCharType="begin"/>
        </w:r>
        <w:r w:rsidR="00A43C68">
          <w:rPr>
            <w:noProof/>
            <w:webHidden/>
          </w:rPr>
          <w:instrText xml:space="preserve"> PAGEREF _Toc141276547 \h </w:instrText>
        </w:r>
        <w:r w:rsidR="00A43C68">
          <w:rPr>
            <w:noProof/>
            <w:webHidden/>
          </w:rPr>
        </w:r>
        <w:r w:rsidR="00A43C68">
          <w:rPr>
            <w:noProof/>
            <w:webHidden/>
          </w:rPr>
          <w:fldChar w:fldCharType="separate"/>
        </w:r>
        <w:r w:rsidR="00A43C68">
          <w:rPr>
            <w:noProof/>
            <w:webHidden/>
          </w:rPr>
          <w:t>56</w:t>
        </w:r>
        <w:r w:rsidR="00A43C68">
          <w:rPr>
            <w:noProof/>
            <w:webHidden/>
          </w:rPr>
          <w:fldChar w:fldCharType="end"/>
        </w:r>
      </w:hyperlink>
    </w:p>
    <w:p w14:paraId="1846E8CB" w14:textId="2170DDDF"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48" w:history="1">
        <w:r w:rsidR="00A43C68" w:rsidRPr="00854433">
          <w:rPr>
            <w:rStyle w:val="Hipercze"/>
            <w:noProof/>
          </w:rPr>
          <w:t>Tab. 41. Innowacyjne zamówienia publiczne z zastosowaniem art. 242 ust. 2 ustawy Pzp</w:t>
        </w:r>
        <w:r w:rsidR="00A43C68">
          <w:rPr>
            <w:noProof/>
            <w:webHidden/>
          </w:rPr>
          <w:tab/>
        </w:r>
        <w:r w:rsidR="00A43C68">
          <w:rPr>
            <w:noProof/>
            <w:webHidden/>
          </w:rPr>
          <w:fldChar w:fldCharType="begin"/>
        </w:r>
        <w:r w:rsidR="00A43C68">
          <w:rPr>
            <w:noProof/>
            <w:webHidden/>
          </w:rPr>
          <w:instrText xml:space="preserve"> PAGEREF _Toc141276548 \h </w:instrText>
        </w:r>
        <w:r w:rsidR="00A43C68">
          <w:rPr>
            <w:noProof/>
            <w:webHidden/>
          </w:rPr>
        </w:r>
        <w:r w:rsidR="00A43C68">
          <w:rPr>
            <w:noProof/>
            <w:webHidden/>
          </w:rPr>
          <w:fldChar w:fldCharType="separate"/>
        </w:r>
        <w:r w:rsidR="00A43C68">
          <w:rPr>
            <w:noProof/>
            <w:webHidden/>
          </w:rPr>
          <w:t>56</w:t>
        </w:r>
        <w:r w:rsidR="00A43C68">
          <w:rPr>
            <w:noProof/>
            <w:webHidden/>
          </w:rPr>
          <w:fldChar w:fldCharType="end"/>
        </w:r>
      </w:hyperlink>
    </w:p>
    <w:p w14:paraId="735D66C5" w14:textId="7BF8888B"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49" w:history="1">
        <w:r w:rsidR="00A43C68" w:rsidRPr="00854433">
          <w:rPr>
            <w:rStyle w:val="Hipercze"/>
            <w:noProof/>
          </w:rPr>
          <w:t>Tab. 42. Innowacyjne zamówienia publiczne z zastosowaniem art. 96 ust. 1 ustawy Pzp</w:t>
        </w:r>
        <w:r w:rsidR="00A43C68">
          <w:rPr>
            <w:noProof/>
            <w:webHidden/>
          </w:rPr>
          <w:tab/>
        </w:r>
        <w:r w:rsidR="00A43C68">
          <w:rPr>
            <w:noProof/>
            <w:webHidden/>
          </w:rPr>
          <w:fldChar w:fldCharType="begin"/>
        </w:r>
        <w:r w:rsidR="00A43C68">
          <w:rPr>
            <w:noProof/>
            <w:webHidden/>
          </w:rPr>
          <w:instrText xml:space="preserve"> PAGEREF _Toc141276549 \h </w:instrText>
        </w:r>
        <w:r w:rsidR="00A43C68">
          <w:rPr>
            <w:noProof/>
            <w:webHidden/>
          </w:rPr>
        </w:r>
        <w:r w:rsidR="00A43C68">
          <w:rPr>
            <w:noProof/>
            <w:webHidden/>
          </w:rPr>
          <w:fldChar w:fldCharType="separate"/>
        </w:r>
        <w:r w:rsidR="00A43C68">
          <w:rPr>
            <w:noProof/>
            <w:webHidden/>
          </w:rPr>
          <w:t>56</w:t>
        </w:r>
        <w:r w:rsidR="00A43C68">
          <w:rPr>
            <w:noProof/>
            <w:webHidden/>
          </w:rPr>
          <w:fldChar w:fldCharType="end"/>
        </w:r>
      </w:hyperlink>
    </w:p>
    <w:p w14:paraId="613C8827" w14:textId="4B491A1A"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50" w:history="1">
        <w:r w:rsidR="00A43C68" w:rsidRPr="00854433">
          <w:rPr>
            <w:rStyle w:val="Hipercze"/>
            <w:noProof/>
          </w:rPr>
          <w:t>Tab. 43. Społeczne zamówienia publiczne udzielane przez jednostki administracji rządowej w 2022 r. – dane ogólne</w:t>
        </w:r>
        <w:r w:rsidR="00A43C68">
          <w:rPr>
            <w:noProof/>
            <w:webHidden/>
          </w:rPr>
          <w:tab/>
        </w:r>
        <w:r w:rsidR="00A43C68">
          <w:rPr>
            <w:noProof/>
            <w:webHidden/>
          </w:rPr>
          <w:fldChar w:fldCharType="begin"/>
        </w:r>
        <w:r w:rsidR="00A43C68">
          <w:rPr>
            <w:noProof/>
            <w:webHidden/>
          </w:rPr>
          <w:instrText xml:space="preserve"> PAGEREF _Toc141276550 \h </w:instrText>
        </w:r>
        <w:r w:rsidR="00A43C68">
          <w:rPr>
            <w:noProof/>
            <w:webHidden/>
          </w:rPr>
        </w:r>
        <w:r w:rsidR="00A43C68">
          <w:rPr>
            <w:noProof/>
            <w:webHidden/>
          </w:rPr>
          <w:fldChar w:fldCharType="separate"/>
        </w:r>
        <w:r w:rsidR="00A43C68">
          <w:rPr>
            <w:noProof/>
            <w:webHidden/>
          </w:rPr>
          <w:t>59</w:t>
        </w:r>
        <w:r w:rsidR="00A43C68">
          <w:rPr>
            <w:noProof/>
            <w:webHidden/>
          </w:rPr>
          <w:fldChar w:fldCharType="end"/>
        </w:r>
      </w:hyperlink>
    </w:p>
    <w:p w14:paraId="6A403248" w14:textId="1B243413"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51" w:history="1">
        <w:r w:rsidR="00A43C68" w:rsidRPr="00854433">
          <w:rPr>
            <w:rStyle w:val="Hipercze"/>
            <w:noProof/>
          </w:rPr>
          <w:t>Tab. 44. Zamówienia publiczne udzielane przez jednostki administracji rządowej z zastosowaniem art. 94 ust. 1 ustawy Pzp</w:t>
        </w:r>
        <w:r w:rsidR="00A43C68">
          <w:rPr>
            <w:noProof/>
            <w:webHidden/>
          </w:rPr>
          <w:tab/>
        </w:r>
        <w:r w:rsidR="00A43C68">
          <w:rPr>
            <w:noProof/>
            <w:webHidden/>
          </w:rPr>
          <w:fldChar w:fldCharType="begin"/>
        </w:r>
        <w:r w:rsidR="00A43C68">
          <w:rPr>
            <w:noProof/>
            <w:webHidden/>
          </w:rPr>
          <w:instrText xml:space="preserve"> PAGEREF _Toc141276551 \h </w:instrText>
        </w:r>
        <w:r w:rsidR="00A43C68">
          <w:rPr>
            <w:noProof/>
            <w:webHidden/>
          </w:rPr>
        </w:r>
        <w:r w:rsidR="00A43C68">
          <w:rPr>
            <w:noProof/>
            <w:webHidden/>
          </w:rPr>
          <w:fldChar w:fldCharType="separate"/>
        </w:r>
        <w:r w:rsidR="00A43C68">
          <w:rPr>
            <w:noProof/>
            <w:webHidden/>
          </w:rPr>
          <w:t>60</w:t>
        </w:r>
        <w:r w:rsidR="00A43C68">
          <w:rPr>
            <w:noProof/>
            <w:webHidden/>
          </w:rPr>
          <w:fldChar w:fldCharType="end"/>
        </w:r>
      </w:hyperlink>
    </w:p>
    <w:p w14:paraId="3BD5E67F" w14:textId="2C832257"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52" w:history="1">
        <w:r w:rsidR="00A43C68" w:rsidRPr="00854433">
          <w:rPr>
            <w:rStyle w:val="Hipercze"/>
            <w:noProof/>
          </w:rPr>
          <w:t>Tab. 45. Zamówienia publiczne udzielane przez jednostki administracji rządowej z zastosowaniem art. 100 ust. 1 ustawy Pzp</w:t>
        </w:r>
        <w:r w:rsidR="00A43C68">
          <w:rPr>
            <w:noProof/>
            <w:webHidden/>
          </w:rPr>
          <w:tab/>
        </w:r>
        <w:r w:rsidR="00A43C68">
          <w:rPr>
            <w:noProof/>
            <w:webHidden/>
          </w:rPr>
          <w:fldChar w:fldCharType="begin"/>
        </w:r>
        <w:r w:rsidR="00A43C68">
          <w:rPr>
            <w:noProof/>
            <w:webHidden/>
          </w:rPr>
          <w:instrText xml:space="preserve"> PAGEREF _Toc141276552 \h </w:instrText>
        </w:r>
        <w:r w:rsidR="00A43C68">
          <w:rPr>
            <w:noProof/>
            <w:webHidden/>
          </w:rPr>
        </w:r>
        <w:r w:rsidR="00A43C68">
          <w:rPr>
            <w:noProof/>
            <w:webHidden/>
          </w:rPr>
          <w:fldChar w:fldCharType="separate"/>
        </w:r>
        <w:r w:rsidR="00A43C68">
          <w:rPr>
            <w:noProof/>
            <w:webHidden/>
          </w:rPr>
          <w:t>61</w:t>
        </w:r>
        <w:r w:rsidR="00A43C68">
          <w:rPr>
            <w:noProof/>
            <w:webHidden/>
          </w:rPr>
          <w:fldChar w:fldCharType="end"/>
        </w:r>
      </w:hyperlink>
    </w:p>
    <w:p w14:paraId="17F87706" w14:textId="5FCB30A5"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53" w:history="1">
        <w:r w:rsidR="00A43C68" w:rsidRPr="00854433">
          <w:rPr>
            <w:rStyle w:val="Hipercze"/>
            <w:noProof/>
          </w:rPr>
          <w:t>Tab. 46. Społeczne zamówienia publiczne udzielane przez jednostki administracji rządowej z zastosowaniem art. 242 ust. 2 ustawy Pzp</w:t>
        </w:r>
        <w:r w:rsidR="00A43C68">
          <w:rPr>
            <w:noProof/>
            <w:webHidden/>
          </w:rPr>
          <w:tab/>
        </w:r>
        <w:r w:rsidR="00A43C68">
          <w:rPr>
            <w:noProof/>
            <w:webHidden/>
          </w:rPr>
          <w:fldChar w:fldCharType="begin"/>
        </w:r>
        <w:r w:rsidR="00A43C68">
          <w:rPr>
            <w:noProof/>
            <w:webHidden/>
          </w:rPr>
          <w:instrText xml:space="preserve"> PAGEREF _Toc141276553 \h </w:instrText>
        </w:r>
        <w:r w:rsidR="00A43C68">
          <w:rPr>
            <w:noProof/>
            <w:webHidden/>
          </w:rPr>
        </w:r>
        <w:r w:rsidR="00A43C68">
          <w:rPr>
            <w:noProof/>
            <w:webHidden/>
          </w:rPr>
          <w:fldChar w:fldCharType="separate"/>
        </w:r>
        <w:r w:rsidR="00A43C68">
          <w:rPr>
            <w:noProof/>
            <w:webHidden/>
          </w:rPr>
          <w:t>61</w:t>
        </w:r>
        <w:r w:rsidR="00A43C68">
          <w:rPr>
            <w:noProof/>
            <w:webHidden/>
          </w:rPr>
          <w:fldChar w:fldCharType="end"/>
        </w:r>
      </w:hyperlink>
    </w:p>
    <w:p w14:paraId="31FACF56" w14:textId="7942B913"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54" w:history="1">
        <w:r w:rsidR="00A43C68" w:rsidRPr="00854433">
          <w:rPr>
            <w:rStyle w:val="Hipercze"/>
            <w:noProof/>
          </w:rPr>
          <w:t>Tab. 47. Zamówienia publiczne udzielane przez jednostki administracji rządowej z zastosowaniem art. 95 ust. 1 ustawy Pzp</w:t>
        </w:r>
        <w:r w:rsidR="00A43C68">
          <w:rPr>
            <w:noProof/>
            <w:webHidden/>
          </w:rPr>
          <w:tab/>
        </w:r>
        <w:r w:rsidR="00A43C68">
          <w:rPr>
            <w:noProof/>
            <w:webHidden/>
          </w:rPr>
          <w:fldChar w:fldCharType="begin"/>
        </w:r>
        <w:r w:rsidR="00A43C68">
          <w:rPr>
            <w:noProof/>
            <w:webHidden/>
          </w:rPr>
          <w:instrText xml:space="preserve"> PAGEREF _Toc141276554 \h </w:instrText>
        </w:r>
        <w:r w:rsidR="00A43C68">
          <w:rPr>
            <w:noProof/>
            <w:webHidden/>
          </w:rPr>
        </w:r>
        <w:r w:rsidR="00A43C68">
          <w:rPr>
            <w:noProof/>
            <w:webHidden/>
          </w:rPr>
          <w:fldChar w:fldCharType="separate"/>
        </w:r>
        <w:r w:rsidR="00A43C68">
          <w:rPr>
            <w:noProof/>
            <w:webHidden/>
          </w:rPr>
          <w:t>61</w:t>
        </w:r>
        <w:r w:rsidR="00A43C68">
          <w:rPr>
            <w:noProof/>
            <w:webHidden/>
          </w:rPr>
          <w:fldChar w:fldCharType="end"/>
        </w:r>
      </w:hyperlink>
    </w:p>
    <w:p w14:paraId="7DF0EBE2" w14:textId="16D2D2D5"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55" w:history="1">
        <w:r w:rsidR="00A43C68" w:rsidRPr="00854433">
          <w:rPr>
            <w:rStyle w:val="Hipercze"/>
            <w:noProof/>
          </w:rPr>
          <w:t>Tab. 48. Społeczne zamówienia publiczne udzielane przez jednostki administracji rządowej z zastosowaniem art. 96 ust. 1 ustawy Pzp</w:t>
        </w:r>
        <w:r w:rsidR="00A43C68">
          <w:rPr>
            <w:noProof/>
            <w:webHidden/>
          </w:rPr>
          <w:tab/>
        </w:r>
        <w:r w:rsidR="00A43C68">
          <w:rPr>
            <w:noProof/>
            <w:webHidden/>
          </w:rPr>
          <w:fldChar w:fldCharType="begin"/>
        </w:r>
        <w:r w:rsidR="00A43C68">
          <w:rPr>
            <w:noProof/>
            <w:webHidden/>
          </w:rPr>
          <w:instrText xml:space="preserve"> PAGEREF _Toc141276555 \h </w:instrText>
        </w:r>
        <w:r w:rsidR="00A43C68">
          <w:rPr>
            <w:noProof/>
            <w:webHidden/>
          </w:rPr>
        </w:r>
        <w:r w:rsidR="00A43C68">
          <w:rPr>
            <w:noProof/>
            <w:webHidden/>
          </w:rPr>
          <w:fldChar w:fldCharType="separate"/>
        </w:r>
        <w:r w:rsidR="00A43C68">
          <w:rPr>
            <w:noProof/>
            <w:webHidden/>
          </w:rPr>
          <w:t>62</w:t>
        </w:r>
        <w:r w:rsidR="00A43C68">
          <w:rPr>
            <w:noProof/>
            <w:webHidden/>
          </w:rPr>
          <w:fldChar w:fldCharType="end"/>
        </w:r>
      </w:hyperlink>
    </w:p>
    <w:p w14:paraId="1E962E8C" w14:textId="2FC12A01"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56" w:history="1">
        <w:r w:rsidR="00A43C68" w:rsidRPr="00854433">
          <w:rPr>
            <w:rStyle w:val="Hipercze"/>
            <w:noProof/>
          </w:rPr>
          <w:t>Tab. 49. Społeczne zamówienia publiczne udzielane przez jednostki administracji rządowej z zastosowaniem art. 104 ustawy Pzp</w:t>
        </w:r>
        <w:r w:rsidR="00A43C68">
          <w:rPr>
            <w:noProof/>
            <w:webHidden/>
          </w:rPr>
          <w:tab/>
        </w:r>
        <w:r w:rsidR="00A43C68">
          <w:rPr>
            <w:noProof/>
            <w:webHidden/>
          </w:rPr>
          <w:fldChar w:fldCharType="begin"/>
        </w:r>
        <w:r w:rsidR="00A43C68">
          <w:rPr>
            <w:noProof/>
            <w:webHidden/>
          </w:rPr>
          <w:instrText xml:space="preserve"> PAGEREF _Toc141276556 \h </w:instrText>
        </w:r>
        <w:r w:rsidR="00A43C68">
          <w:rPr>
            <w:noProof/>
            <w:webHidden/>
          </w:rPr>
        </w:r>
        <w:r w:rsidR="00A43C68">
          <w:rPr>
            <w:noProof/>
            <w:webHidden/>
          </w:rPr>
          <w:fldChar w:fldCharType="separate"/>
        </w:r>
        <w:r w:rsidR="00A43C68">
          <w:rPr>
            <w:noProof/>
            <w:webHidden/>
          </w:rPr>
          <w:t>62</w:t>
        </w:r>
        <w:r w:rsidR="00A43C68">
          <w:rPr>
            <w:noProof/>
            <w:webHidden/>
          </w:rPr>
          <w:fldChar w:fldCharType="end"/>
        </w:r>
      </w:hyperlink>
    </w:p>
    <w:p w14:paraId="028464A4" w14:textId="129F2584"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57" w:history="1">
        <w:r w:rsidR="00A43C68" w:rsidRPr="00854433">
          <w:rPr>
            <w:rStyle w:val="Hipercze"/>
            <w:noProof/>
          </w:rPr>
          <w:t>Tab. 50. Zamówienia publiczne udzielane przez jednostki administracji rządowej z zastosowaniem art. 361 ust. 1 lub art. 392 ust. 3 ustawy Pzp</w:t>
        </w:r>
        <w:r w:rsidR="00A43C68">
          <w:rPr>
            <w:noProof/>
            <w:webHidden/>
          </w:rPr>
          <w:tab/>
        </w:r>
        <w:r w:rsidR="00A43C68">
          <w:rPr>
            <w:noProof/>
            <w:webHidden/>
          </w:rPr>
          <w:fldChar w:fldCharType="begin"/>
        </w:r>
        <w:r w:rsidR="00A43C68">
          <w:rPr>
            <w:noProof/>
            <w:webHidden/>
          </w:rPr>
          <w:instrText xml:space="preserve"> PAGEREF _Toc141276557 \h </w:instrText>
        </w:r>
        <w:r w:rsidR="00A43C68">
          <w:rPr>
            <w:noProof/>
            <w:webHidden/>
          </w:rPr>
        </w:r>
        <w:r w:rsidR="00A43C68">
          <w:rPr>
            <w:noProof/>
            <w:webHidden/>
          </w:rPr>
          <w:fldChar w:fldCharType="separate"/>
        </w:r>
        <w:r w:rsidR="00A43C68">
          <w:rPr>
            <w:noProof/>
            <w:webHidden/>
          </w:rPr>
          <w:t>62</w:t>
        </w:r>
        <w:r w:rsidR="00A43C68">
          <w:rPr>
            <w:noProof/>
            <w:webHidden/>
          </w:rPr>
          <w:fldChar w:fldCharType="end"/>
        </w:r>
      </w:hyperlink>
    </w:p>
    <w:p w14:paraId="2C158866" w14:textId="3ECB928B"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58" w:history="1">
        <w:r w:rsidR="00A43C68" w:rsidRPr="00854433">
          <w:rPr>
            <w:rStyle w:val="Hipercze"/>
            <w:noProof/>
          </w:rPr>
          <w:t>Tab. 51. Zielone zamówienia publiczne udzielane przez jednostki administracji rządowej w 2022 r. – dane ogólne</w:t>
        </w:r>
        <w:r w:rsidR="00A43C68">
          <w:rPr>
            <w:noProof/>
            <w:webHidden/>
          </w:rPr>
          <w:tab/>
        </w:r>
        <w:r w:rsidR="00A43C68">
          <w:rPr>
            <w:noProof/>
            <w:webHidden/>
          </w:rPr>
          <w:fldChar w:fldCharType="begin"/>
        </w:r>
        <w:r w:rsidR="00A43C68">
          <w:rPr>
            <w:noProof/>
            <w:webHidden/>
          </w:rPr>
          <w:instrText xml:space="preserve"> PAGEREF _Toc141276558 \h </w:instrText>
        </w:r>
        <w:r w:rsidR="00A43C68">
          <w:rPr>
            <w:noProof/>
            <w:webHidden/>
          </w:rPr>
        </w:r>
        <w:r w:rsidR="00A43C68">
          <w:rPr>
            <w:noProof/>
            <w:webHidden/>
          </w:rPr>
          <w:fldChar w:fldCharType="separate"/>
        </w:r>
        <w:r w:rsidR="00A43C68">
          <w:rPr>
            <w:noProof/>
            <w:webHidden/>
          </w:rPr>
          <w:t>66</w:t>
        </w:r>
        <w:r w:rsidR="00A43C68">
          <w:rPr>
            <w:noProof/>
            <w:webHidden/>
          </w:rPr>
          <w:fldChar w:fldCharType="end"/>
        </w:r>
      </w:hyperlink>
    </w:p>
    <w:p w14:paraId="511E79F6" w14:textId="6CE0CD21"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59" w:history="1">
        <w:r w:rsidR="00A43C68" w:rsidRPr="00854433">
          <w:rPr>
            <w:rStyle w:val="Hipercze"/>
            <w:noProof/>
          </w:rPr>
          <w:t>Tab. 52. Zielone zamówienia publiczne udzielane przez jednostki administracji rządowej z zastosowaniem art. 101 ustawy Pzp</w:t>
        </w:r>
        <w:r w:rsidR="00A43C68">
          <w:rPr>
            <w:noProof/>
            <w:webHidden/>
          </w:rPr>
          <w:tab/>
        </w:r>
        <w:r w:rsidR="00A43C68">
          <w:rPr>
            <w:noProof/>
            <w:webHidden/>
          </w:rPr>
          <w:fldChar w:fldCharType="begin"/>
        </w:r>
        <w:r w:rsidR="00A43C68">
          <w:rPr>
            <w:noProof/>
            <w:webHidden/>
          </w:rPr>
          <w:instrText xml:space="preserve"> PAGEREF _Toc141276559 \h </w:instrText>
        </w:r>
        <w:r w:rsidR="00A43C68">
          <w:rPr>
            <w:noProof/>
            <w:webHidden/>
          </w:rPr>
        </w:r>
        <w:r w:rsidR="00A43C68">
          <w:rPr>
            <w:noProof/>
            <w:webHidden/>
          </w:rPr>
          <w:fldChar w:fldCharType="separate"/>
        </w:r>
        <w:r w:rsidR="00A43C68">
          <w:rPr>
            <w:noProof/>
            <w:webHidden/>
          </w:rPr>
          <w:t>66</w:t>
        </w:r>
        <w:r w:rsidR="00A43C68">
          <w:rPr>
            <w:noProof/>
            <w:webHidden/>
          </w:rPr>
          <w:fldChar w:fldCharType="end"/>
        </w:r>
      </w:hyperlink>
    </w:p>
    <w:p w14:paraId="1939B919" w14:textId="3B664568"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60" w:history="1">
        <w:r w:rsidR="00A43C68" w:rsidRPr="00854433">
          <w:rPr>
            <w:rStyle w:val="Hipercze"/>
            <w:noProof/>
          </w:rPr>
          <w:t>Tab. 53. Zielone zamówienia publiczne udzielane przez jednostki administracji rządowej z zastosowaniem art. 116 ust. 1 ustawy Pzp</w:t>
        </w:r>
        <w:r w:rsidR="00A43C68">
          <w:rPr>
            <w:noProof/>
            <w:webHidden/>
          </w:rPr>
          <w:tab/>
        </w:r>
        <w:r w:rsidR="00A43C68">
          <w:rPr>
            <w:noProof/>
            <w:webHidden/>
          </w:rPr>
          <w:fldChar w:fldCharType="begin"/>
        </w:r>
        <w:r w:rsidR="00A43C68">
          <w:rPr>
            <w:noProof/>
            <w:webHidden/>
          </w:rPr>
          <w:instrText xml:space="preserve"> PAGEREF _Toc141276560 \h </w:instrText>
        </w:r>
        <w:r w:rsidR="00A43C68">
          <w:rPr>
            <w:noProof/>
            <w:webHidden/>
          </w:rPr>
        </w:r>
        <w:r w:rsidR="00A43C68">
          <w:rPr>
            <w:noProof/>
            <w:webHidden/>
          </w:rPr>
          <w:fldChar w:fldCharType="separate"/>
        </w:r>
        <w:r w:rsidR="00A43C68">
          <w:rPr>
            <w:noProof/>
            <w:webHidden/>
          </w:rPr>
          <w:t>67</w:t>
        </w:r>
        <w:r w:rsidR="00A43C68">
          <w:rPr>
            <w:noProof/>
            <w:webHidden/>
          </w:rPr>
          <w:fldChar w:fldCharType="end"/>
        </w:r>
      </w:hyperlink>
    </w:p>
    <w:p w14:paraId="567EA8AE" w14:textId="136371A6"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61" w:history="1">
        <w:r w:rsidR="00A43C68" w:rsidRPr="00854433">
          <w:rPr>
            <w:rStyle w:val="Hipercze"/>
            <w:noProof/>
          </w:rPr>
          <w:t>Tab. 54. Zielone zamówienia publiczne udzielane przez jednostki administracji rządowej z zastosowaniem art. 242 ust. 2 ustawy Pzp</w:t>
        </w:r>
        <w:r w:rsidR="00A43C68">
          <w:rPr>
            <w:noProof/>
            <w:webHidden/>
          </w:rPr>
          <w:tab/>
        </w:r>
        <w:r w:rsidR="00A43C68">
          <w:rPr>
            <w:noProof/>
            <w:webHidden/>
          </w:rPr>
          <w:fldChar w:fldCharType="begin"/>
        </w:r>
        <w:r w:rsidR="00A43C68">
          <w:rPr>
            <w:noProof/>
            <w:webHidden/>
          </w:rPr>
          <w:instrText xml:space="preserve"> PAGEREF _Toc141276561 \h </w:instrText>
        </w:r>
        <w:r w:rsidR="00A43C68">
          <w:rPr>
            <w:noProof/>
            <w:webHidden/>
          </w:rPr>
        </w:r>
        <w:r w:rsidR="00A43C68">
          <w:rPr>
            <w:noProof/>
            <w:webHidden/>
          </w:rPr>
          <w:fldChar w:fldCharType="separate"/>
        </w:r>
        <w:r w:rsidR="00A43C68">
          <w:rPr>
            <w:noProof/>
            <w:webHidden/>
          </w:rPr>
          <w:t>67</w:t>
        </w:r>
        <w:r w:rsidR="00A43C68">
          <w:rPr>
            <w:noProof/>
            <w:webHidden/>
          </w:rPr>
          <w:fldChar w:fldCharType="end"/>
        </w:r>
      </w:hyperlink>
    </w:p>
    <w:p w14:paraId="541A08AE" w14:textId="55C5F9CE"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62" w:history="1">
        <w:r w:rsidR="00A43C68" w:rsidRPr="00854433">
          <w:rPr>
            <w:rStyle w:val="Hipercze"/>
            <w:noProof/>
          </w:rPr>
          <w:t>Tab. 55. Zielone zamówienia publiczne udzielane przez jednostki administracji rządowej z zastosowaniem art. 245 ust. 1 ustawy Pzp</w:t>
        </w:r>
        <w:r w:rsidR="00A43C68">
          <w:rPr>
            <w:noProof/>
            <w:webHidden/>
          </w:rPr>
          <w:tab/>
        </w:r>
        <w:r w:rsidR="00A43C68">
          <w:rPr>
            <w:noProof/>
            <w:webHidden/>
          </w:rPr>
          <w:fldChar w:fldCharType="begin"/>
        </w:r>
        <w:r w:rsidR="00A43C68">
          <w:rPr>
            <w:noProof/>
            <w:webHidden/>
          </w:rPr>
          <w:instrText xml:space="preserve"> PAGEREF _Toc141276562 \h </w:instrText>
        </w:r>
        <w:r w:rsidR="00A43C68">
          <w:rPr>
            <w:noProof/>
            <w:webHidden/>
          </w:rPr>
        </w:r>
        <w:r w:rsidR="00A43C68">
          <w:rPr>
            <w:noProof/>
            <w:webHidden/>
          </w:rPr>
          <w:fldChar w:fldCharType="separate"/>
        </w:r>
        <w:r w:rsidR="00A43C68">
          <w:rPr>
            <w:noProof/>
            <w:webHidden/>
          </w:rPr>
          <w:t>67</w:t>
        </w:r>
        <w:r w:rsidR="00A43C68">
          <w:rPr>
            <w:noProof/>
            <w:webHidden/>
          </w:rPr>
          <w:fldChar w:fldCharType="end"/>
        </w:r>
      </w:hyperlink>
    </w:p>
    <w:p w14:paraId="05CBE384" w14:textId="3CAEA25B"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63" w:history="1">
        <w:r w:rsidR="00A43C68" w:rsidRPr="00854433">
          <w:rPr>
            <w:rStyle w:val="Hipercze"/>
            <w:noProof/>
          </w:rPr>
          <w:t>Tab. 56. Zielone zamówienia publiczne udzielane przez jednostki administracji rządowej z zastosowaniem art. 96 ust. 1 ustawy Pzp</w:t>
        </w:r>
        <w:r w:rsidR="00A43C68">
          <w:rPr>
            <w:noProof/>
            <w:webHidden/>
          </w:rPr>
          <w:tab/>
        </w:r>
        <w:r w:rsidR="00A43C68">
          <w:rPr>
            <w:noProof/>
            <w:webHidden/>
          </w:rPr>
          <w:fldChar w:fldCharType="begin"/>
        </w:r>
        <w:r w:rsidR="00A43C68">
          <w:rPr>
            <w:noProof/>
            <w:webHidden/>
          </w:rPr>
          <w:instrText xml:space="preserve"> PAGEREF _Toc141276563 \h </w:instrText>
        </w:r>
        <w:r w:rsidR="00A43C68">
          <w:rPr>
            <w:noProof/>
            <w:webHidden/>
          </w:rPr>
        </w:r>
        <w:r w:rsidR="00A43C68">
          <w:rPr>
            <w:noProof/>
            <w:webHidden/>
          </w:rPr>
          <w:fldChar w:fldCharType="separate"/>
        </w:r>
        <w:r w:rsidR="00A43C68">
          <w:rPr>
            <w:noProof/>
            <w:webHidden/>
          </w:rPr>
          <w:t>67</w:t>
        </w:r>
        <w:r w:rsidR="00A43C68">
          <w:rPr>
            <w:noProof/>
            <w:webHidden/>
          </w:rPr>
          <w:fldChar w:fldCharType="end"/>
        </w:r>
      </w:hyperlink>
    </w:p>
    <w:p w14:paraId="79E3EC6E" w14:textId="0D07F718"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64" w:history="1">
        <w:r w:rsidR="00A43C68" w:rsidRPr="00854433">
          <w:rPr>
            <w:rStyle w:val="Hipercze"/>
            <w:noProof/>
          </w:rPr>
          <w:t>Tab. 57. Zielone zamówienia publiczne udzielane przez jednostki administracji rządowej z art. 104 ustawy Pzp</w:t>
        </w:r>
        <w:r w:rsidR="00A43C68">
          <w:rPr>
            <w:noProof/>
            <w:webHidden/>
          </w:rPr>
          <w:tab/>
        </w:r>
        <w:r w:rsidR="00A43C68">
          <w:rPr>
            <w:noProof/>
            <w:webHidden/>
          </w:rPr>
          <w:fldChar w:fldCharType="begin"/>
        </w:r>
        <w:r w:rsidR="00A43C68">
          <w:rPr>
            <w:noProof/>
            <w:webHidden/>
          </w:rPr>
          <w:instrText xml:space="preserve"> PAGEREF _Toc141276564 \h </w:instrText>
        </w:r>
        <w:r w:rsidR="00A43C68">
          <w:rPr>
            <w:noProof/>
            <w:webHidden/>
          </w:rPr>
        </w:r>
        <w:r w:rsidR="00A43C68">
          <w:rPr>
            <w:noProof/>
            <w:webHidden/>
          </w:rPr>
          <w:fldChar w:fldCharType="separate"/>
        </w:r>
        <w:r w:rsidR="00A43C68">
          <w:rPr>
            <w:noProof/>
            <w:webHidden/>
          </w:rPr>
          <w:t>68</w:t>
        </w:r>
        <w:r w:rsidR="00A43C68">
          <w:rPr>
            <w:noProof/>
            <w:webHidden/>
          </w:rPr>
          <w:fldChar w:fldCharType="end"/>
        </w:r>
      </w:hyperlink>
    </w:p>
    <w:p w14:paraId="37F241FB" w14:textId="6ED2598B"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65" w:history="1">
        <w:r w:rsidR="00A43C68" w:rsidRPr="00854433">
          <w:rPr>
            <w:rStyle w:val="Hipercze"/>
            <w:noProof/>
          </w:rPr>
          <w:t>Tab. 58. Innowacyjne zamówienia publiczne udzielane przez jednostki administracji rządowej w 2022 r. – dane ogólne</w:t>
        </w:r>
        <w:r w:rsidR="00A43C68">
          <w:rPr>
            <w:noProof/>
            <w:webHidden/>
          </w:rPr>
          <w:tab/>
        </w:r>
        <w:r w:rsidR="00A43C68">
          <w:rPr>
            <w:noProof/>
            <w:webHidden/>
          </w:rPr>
          <w:fldChar w:fldCharType="begin"/>
        </w:r>
        <w:r w:rsidR="00A43C68">
          <w:rPr>
            <w:noProof/>
            <w:webHidden/>
          </w:rPr>
          <w:instrText xml:space="preserve"> PAGEREF _Toc141276565 \h </w:instrText>
        </w:r>
        <w:r w:rsidR="00A43C68">
          <w:rPr>
            <w:noProof/>
            <w:webHidden/>
          </w:rPr>
        </w:r>
        <w:r w:rsidR="00A43C68">
          <w:rPr>
            <w:noProof/>
            <w:webHidden/>
          </w:rPr>
          <w:fldChar w:fldCharType="separate"/>
        </w:r>
        <w:r w:rsidR="00A43C68">
          <w:rPr>
            <w:noProof/>
            <w:webHidden/>
          </w:rPr>
          <w:t>72</w:t>
        </w:r>
        <w:r w:rsidR="00A43C68">
          <w:rPr>
            <w:noProof/>
            <w:webHidden/>
          </w:rPr>
          <w:fldChar w:fldCharType="end"/>
        </w:r>
      </w:hyperlink>
    </w:p>
    <w:p w14:paraId="63DA0423" w14:textId="5270B346"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66" w:history="1">
        <w:r w:rsidR="00A43C68" w:rsidRPr="00854433">
          <w:rPr>
            <w:rStyle w:val="Hipercze"/>
            <w:noProof/>
          </w:rPr>
          <w:t>Tab. 59. Innowacyjne zamówienia publiczne udzielane przez jednostki administracji rządowej z zastosowaniem art. 242 ust. 2 ustawy Pzp</w:t>
        </w:r>
        <w:r w:rsidR="00A43C68">
          <w:rPr>
            <w:noProof/>
            <w:webHidden/>
          </w:rPr>
          <w:tab/>
        </w:r>
        <w:r w:rsidR="00A43C68">
          <w:rPr>
            <w:noProof/>
            <w:webHidden/>
          </w:rPr>
          <w:fldChar w:fldCharType="begin"/>
        </w:r>
        <w:r w:rsidR="00A43C68">
          <w:rPr>
            <w:noProof/>
            <w:webHidden/>
          </w:rPr>
          <w:instrText xml:space="preserve"> PAGEREF _Toc141276566 \h </w:instrText>
        </w:r>
        <w:r w:rsidR="00A43C68">
          <w:rPr>
            <w:noProof/>
            <w:webHidden/>
          </w:rPr>
        </w:r>
        <w:r w:rsidR="00A43C68">
          <w:rPr>
            <w:noProof/>
            <w:webHidden/>
          </w:rPr>
          <w:fldChar w:fldCharType="separate"/>
        </w:r>
        <w:r w:rsidR="00A43C68">
          <w:rPr>
            <w:noProof/>
            <w:webHidden/>
          </w:rPr>
          <w:t>72</w:t>
        </w:r>
        <w:r w:rsidR="00A43C68">
          <w:rPr>
            <w:noProof/>
            <w:webHidden/>
          </w:rPr>
          <w:fldChar w:fldCharType="end"/>
        </w:r>
      </w:hyperlink>
    </w:p>
    <w:p w14:paraId="3DDD9745" w14:textId="41C403CB"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67" w:history="1">
        <w:r w:rsidR="00A43C68" w:rsidRPr="00854433">
          <w:rPr>
            <w:rStyle w:val="Hipercze"/>
            <w:noProof/>
          </w:rPr>
          <w:t>Tab. 60. Innowacyjne zamówienia publiczne udzielane przez jednostki administracji rządowej z zastosowaniem art. 96 ust. 1 ustawy Pzp</w:t>
        </w:r>
        <w:r w:rsidR="00A43C68">
          <w:rPr>
            <w:noProof/>
            <w:webHidden/>
          </w:rPr>
          <w:tab/>
        </w:r>
        <w:r w:rsidR="00A43C68">
          <w:rPr>
            <w:noProof/>
            <w:webHidden/>
          </w:rPr>
          <w:fldChar w:fldCharType="begin"/>
        </w:r>
        <w:r w:rsidR="00A43C68">
          <w:rPr>
            <w:noProof/>
            <w:webHidden/>
          </w:rPr>
          <w:instrText xml:space="preserve"> PAGEREF _Toc141276567 \h </w:instrText>
        </w:r>
        <w:r w:rsidR="00A43C68">
          <w:rPr>
            <w:noProof/>
            <w:webHidden/>
          </w:rPr>
        </w:r>
        <w:r w:rsidR="00A43C68">
          <w:rPr>
            <w:noProof/>
            <w:webHidden/>
          </w:rPr>
          <w:fldChar w:fldCharType="separate"/>
        </w:r>
        <w:r w:rsidR="00A43C68">
          <w:rPr>
            <w:noProof/>
            <w:webHidden/>
          </w:rPr>
          <w:t>72</w:t>
        </w:r>
        <w:r w:rsidR="00A43C68">
          <w:rPr>
            <w:noProof/>
            <w:webHidden/>
          </w:rPr>
          <w:fldChar w:fldCharType="end"/>
        </w:r>
      </w:hyperlink>
    </w:p>
    <w:p w14:paraId="790102C3" w14:textId="3D672F73"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68" w:history="1">
        <w:r w:rsidR="00A43C68" w:rsidRPr="00854433">
          <w:rPr>
            <w:rStyle w:val="Hipercze"/>
            <w:noProof/>
          </w:rPr>
          <w:t>Tab. 61. Liczba opublikowanych postępowań na miniPortalu w rozbiciu na miesiące danego roku</w:t>
        </w:r>
        <w:r w:rsidR="00A43C68">
          <w:rPr>
            <w:noProof/>
            <w:webHidden/>
          </w:rPr>
          <w:tab/>
        </w:r>
        <w:r w:rsidR="00A43C68">
          <w:rPr>
            <w:noProof/>
            <w:webHidden/>
          </w:rPr>
          <w:fldChar w:fldCharType="begin"/>
        </w:r>
        <w:r w:rsidR="00A43C68">
          <w:rPr>
            <w:noProof/>
            <w:webHidden/>
          </w:rPr>
          <w:instrText xml:space="preserve"> PAGEREF _Toc141276568 \h </w:instrText>
        </w:r>
        <w:r w:rsidR="00A43C68">
          <w:rPr>
            <w:noProof/>
            <w:webHidden/>
          </w:rPr>
        </w:r>
        <w:r w:rsidR="00A43C68">
          <w:rPr>
            <w:noProof/>
            <w:webHidden/>
          </w:rPr>
          <w:fldChar w:fldCharType="separate"/>
        </w:r>
        <w:r w:rsidR="00A43C68">
          <w:rPr>
            <w:noProof/>
            <w:webHidden/>
          </w:rPr>
          <w:t>92</w:t>
        </w:r>
        <w:r w:rsidR="00A43C68">
          <w:rPr>
            <w:noProof/>
            <w:webHidden/>
          </w:rPr>
          <w:fldChar w:fldCharType="end"/>
        </w:r>
      </w:hyperlink>
    </w:p>
    <w:p w14:paraId="36D3E4BB" w14:textId="0018A001"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69" w:history="1">
        <w:r w:rsidR="00A43C68" w:rsidRPr="00854433">
          <w:rPr>
            <w:rStyle w:val="Hipercze"/>
            <w:noProof/>
          </w:rPr>
          <w:t>Tab. 62. Liczba ogłoszeń publikowanych w BZP w latach 2018-2021 według rodzaju ogłoszenia</w:t>
        </w:r>
        <w:r w:rsidR="00A43C68">
          <w:rPr>
            <w:noProof/>
            <w:webHidden/>
          </w:rPr>
          <w:tab/>
        </w:r>
        <w:r w:rsidR="00A43C68">
          <w:rPr>
            <w:noProof/>
            <w:webHidden/>
          </w:rPr>
          <w:fldChar w:fldCharType="begin"/>
        </w:r>
        <w:r w:rsidR="00A43C68">
          <w:rPr>
            <w:noProof/>
            <w:webHidden/>
          </w:rPr>
          <w:instrText xml:space="preserve"> PAGEREF _Toc141276569 \h </w:instrText>
        </w:r>
        <w:r w:rsidR="00A43C68">
          <w:rPr>
            <w:noProof/>
            <w:webHidden/>
          </w:rPr>
        </w:r>
        <w:r w:rsidR="00A43C68">
          <w:rPr>
            <w:noProof/>
            <w:webHidden/>
          </w:rPr>
          <w:fldChar w:fldCharType="separate"/>
        </w:r>
        <w:r w:rsidR="00A43C68">
          <w:rPr>
            <w:noProof/>
            <w:webHidden/>
          </w:rPr>
          <w:t>95</w:t>
        </w:r>
        <w:r w:rsidR="00A43C68">
          <w:rPr>
            <w:noProof/>
            <w:webHidden/>
          </w:rPr>
          <w:fldChar w:fldCharType="end"/>
        </w:r>
      </w:hyperlink>
    </w:p>
    <w:p w14:paraId="79FAB75E" w14:textId="29FAFC7D"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70" w:history="1">
        <w:r w:rsidR="00A43C68" w:rsidRPr="00854433">
          <w:rPr>
            <w:rStyle w:val="Hipercze"/>
            <w:noProof/>
          </w:rPr>
          <w:t>Tab. 63. Rozstrzygnięcia KIO w zakresie wniosków o uchylenie zakazu zawarcia umowy</w:t>
        </w:r>
        <w:r w:rsidR="00A43C68">
          <w:rPr>
            <w:noProof/>
            <w:webHidden/>
          </w:rPr>
          <w:tab/>
        </w:r>
        <w:r w:rsidR="00A43C68">
          <w:rPr>
            <w:noProof/>
            <w:webHidden/>
          </w:rPr>
          <w:fldChar w:fldCharType="begin"/>
        </w:r>
        <w:r w:rsidR="00A43C68">
          <w:rPr>
            <w:noProof/>
            <w:webHidden/>
          </w:rPr>
          <w:instrText xml:space="preserve"> PAGEREF _Toc141276570 \h </w:instrText>
        </w:r>
        <w:r w:rsidR="00A43C68">
          <w:rPr>
            <w:noProof/>
            <w:webHidden/>
          </w:rPr>
        </w:r>
        <w:r w:rsidR="00A43C68">
          <w:rPr>
            <w:noProof/>
            <w:webHidden/>
          </w:rPr>
          <w:fldChar w:fldCharType="separate"/>
        </w:r>
        <w:r w:rsidR="00A43C68">
          <w:rPr>
            <w:noProof/>
            <w:webHidden/>
          </w:rPr>
          <w:t>125</w:t>
        </w:r>
        <w:r w:rsidR="00A43C68">
          <w:rPr>
            <w:noProof/>
            <w:webHidden/>
          </w:rPr>
          <w:fldChar w:fldCharType="end"/>
        </w:r>
      </w:hyperlink>
    </w:p>
    <w:p w14:paraId="22597E65" w14:textId="02F9B894" w:rsidR="00A43C68" w:rsidRDefault="00BE2079">
      <w:pPr>
        <w:pStyle w:val="Spisilustracji"/>
        <w:tabs>
          <w:tab w:val="right" w:pos="9060"/>
        </w:tabs>
        <w:rPr>
          <w:rFonts w:asciiTheme="minorHAnsi" w:eastAsiaTheme="minorEastAsia" w:hAnsiTheme="minorHAnsi" w:cstheme="minorBidi"/>
          <w:noProof/>
          <w:sz w:val="22"/>
          <w:szCs w:val="22"/>
        </w:rPr>
      </w:pPr>
      <w:hyperlink w:anchor="_Toc141276571" w:history="1">
        <w:r w:rsidR="00A43C68" w:rsidRPr="00854433">
          <w:rPr>
            <w:rStyle w:val="Hipercze"/>
            <w:noProof/>
          </w:rPr>
          <w:t>Tab. 64. Sposób rozpatrzenia zastrzeżeń do wyników kontroli Prezesa UZP</w:t>
        </w:r>
        <w:r w:rsidR="00A43C68">
          <w:rPr>
            <w:noProof/>
            <w:webHidden/>
          </w:rPr>
          <w:tab/>
        </w:r>
        <w:r w:rsidR="00A43C68">
          <w:rPr>
            <w:noProof/>
            <w:webHidden/>
          </w:rPr>
          <w:fldChar w:fldCharType="begin"/>
        </w:r>
        <w:r w:rsidR="00A43C68">
          <w:rPr>
            <w:noProof/>
            <w:webHidden/>
          </w:rPr>
          <w:instrText xml:space="preserve"> PAGEREF _Toc141276571 \h </w:instrText>
        </w:r>
        <w:r w:rsidR="00A43C68">
          <w:rPr>
            <w:noProof/>
            <w:webHidden/>
          </w:rPr>
        </w:r>
        <w:r w:rsidR="00A43C68">
          <w:rPr>
            <w:noProof/>
            <w:webHidden/>
          </w:rPr>
          <w:fldChar w:fldCharType="separate"/>
        </w:r>
        <w:r w:rsidR="00A43C68">
          <w:rPr>
            <w:noProof/>
            <w:webHidden/>
          </w:rPr>
          <w:t>125</w:t>
        </w:r>
        <w:r w:rsidR="00A43C68">
          <w:rPr>
            <w:noProof/>
            <w:webHidden/>
          </w:rPr>
          <w:fldChar w:fldCharType="end"/>
        </w:r>
      </w:hyperlink>
    </w:p>
    <w:p w14:paraId="685A3A3A" w14:textId="66AC0282" w:rsidR="00007B80" w:rsidRDefault="002C1A87" w:rsidP="007F1299">
      <w:pPr>
        <w:shd w:val="clear" w:color="auto" w:fill="FFFFFF"/>
        <w:rPr>
          <w:rFonts w:cs="Arial"/>
        </w:rPr>
      </w:pPr>
      <w:r>
        <w:rPr>
          <w:rFonts w:cs="Arial"/>
        </w:rPr>
        <w:fldChar w:fldCharType="end"/>
      </w:r>
    </w:p>
    <w:p w14:paraId="767FAD4F" w14:textId="77777777" w:rsidR="00202BF0" w:rsidRDefault="00202BF0" w:rsidP="007F1299">
      <w:pPr>
        <w:shd w:val="clear" w:color="auto" w:fill="FFFFFF"/>
        <w:rPr>
          <w:rFonts w:cs="Arial"/>
        </w:rPr>
        <w:sectPr w:rsidR="00202BF0" w:rsidSect="00333F5B">
          <w:pgSz w:w="11906" w:h="16838"/>
          <w:pgMar w:top="1418" w:right="1418" w:bottom="1418" w:left="1418" w:header="709" w:footer="709" w:gutter="0"/>
          <w:cols w:space="708"/>
          <w:titlePg/>
          <w:docGrid w:linePitch="299"/>
        </w:sectPr>
      </w:pPr>
    </w:p>
    <w:p w14:paraId="4D56E1F3" w14:textId="77777777" w:rsidR="00557D40" w:rsidRDefault="00557D40" w:rsidP="007F1299">
      <w:pPr>
        <w:shd w:val="clear" w:color="auto" w:fill="FFFFFF"/>
        <w:rPr>
          <w:rFonts w:cs="Arial"/>
        </w:rPr>
      </w:pPr>
    </w:p>
    <w:bookmarkEnd w:id="263"/>
    <w:bookmarkEnd w:id="264"/>
    <w:bookmarkEnd w:id="265"/>
    <w:bookmarkEnd w:id="266"/>
    <w:tbl>
      <w:tblPr>
        <w:tblW w:w="9480" w:type="dxa"/>
        <w:tblInd w:w="-194" w:type="dxa"/>
        <w:tblLayout w:type="fixed"/>
        <w:tblLook w:val="04A0" w:firstRow="1" w:lastRow="0" w:firstColumn="1" w:lastColumn="0" w:noHBand="0" w:noVBand="1"/>
      </w:tblPr>
      <w:tblGrid>
        <w:gridCol w:w="302"/>
        <w:gridCol w:w="9178"/>
      </w:tblGrid>
      <w:tr w:rsidR="00D26B28" w:rsidRPr="008C3B34" w14:paraId="4EE7677A" w14:textId="77777777" w:rsidTr="006F42E9">
        <w:tc>
          <w:tcPr>
            <w:tcW w:w="302" w:type="dxa"/>
            <w:shd w:val="clear" w:color="auto" w:fill="365F91"/>
          </w:tcPr>
          <w:p w14:paraId="7EA1DDCE" w14:textId="77777777" w:rsidR="00D26B28" w:rsidRPr="008C3B34" w:rsidRDefault="00D26B28" w:rsidP="007D4DEB">
            <w:pPr>
              <w:pStyle w:val="Nagwek1"/>
              <w:spacing w:after="120"/>
              <w:rPr>
                <w:sz w:val="32"/>
                <w:szCs w:val="32"/>
              </w:rPr>
            </w:pPr>
          </w:p>
        </w:tc>
        <w:tc>
          <w:tcPr>
            <w:tcW w:w="9178" w:type="dxa"/>
          </w:tcPr>
          <w:p w14:paraId="22C73275" w14:textId="04899218" w:rsidR="00D26B28" w:rsidRPr="00626FE1" w:rsidRDefault="00D26B28" w:rsidP="007D4DEB">
            <w:pPr>
              <w:pStyle w:val="Nagwek1"/>
              <w:spacing w:after="120"/>
              <w:rPr>
                <w:noProof/>
                <w:color w:val="0070C0"/>
                <w:sz w:val="32"/>
                <w:szCs w:val="32"/>
              </w:rPr>
            </w:pPr>
            <w:bookmarkStart w:id="278" w:name="_Toc64451898"/>
            <w:bookmarkStart w:id="279" w:name="_Ref99031317"/>
            <w:bookmarkStart w:id="280" w:name="_Toc141276478"/>
            <w:r w:rsidRPr="00626FE1">
              <w:rPr>
                <w:noProof/>
                <w:color w:val="0070C0"/>
                <w:sz w:val="32"/>
                <w:szCs w:val="32"/>
              </w:rPr>
              <w:t>V</w:t>
            </w:r>
            <w:r w:rsidR="00007B80" w:rsidRPr="00626FE1">
              <w:rPr>
                <w:noProof/>
                <w:color w:val="0070C0"/>
                <w:sz w:val="32"/>
                <w:szCs w:val="32"/>
              </w:rPr>
              <w:t>II</w:t>
            </w:r>
            <w:r w:rsidRPr="00626FE1">
              <w:rPr>
                <w:noProof/>
                <w:color w:val="0070C0"/>
                <w:sz w:val="32"/>
                <w:szCs w:val="32"/>
              </w:rPr>
              <w:t>.</w:t>
            </w:r>
            <w:r w:rsidR="00750B05" w:rsidRPr="00626FE1">
              <w:rPr>
                <w:noProof/>
                <w:color w:val="0070C0"/>
                <w:sz w:val="32"/>
                <w:szCs w:val="32"/>
              </w:rPr>
              <w:t xml:space="preserve"> </w:t>
            </w:r>
            <w:r w:rsidRPr="00626FE1">
              <w:rPr>
                <w:noProof/>
                <w:color w:val="0070C0"/>
                <w:sz w:val="32"/>
                <w:szCs w:val="32"/>
              </w:rPr>
              <w:t>ZAŁĄCZNIKI</w:t>
            </w:r>
            <w:bookmarkEnd w:id="278"/>
            <w:bookmarkEnd w:id="279"/>
            <w:bookmarkEnd w:id="280"/>
          </w:p>
        </w:tc>
      </w:tr>
    </w:tbl>
    <w:p w14:paraId="1E799D45" w14:textId="49314866" w:rsidR="00D26B28" w:rsidRDefault="00D26B28" w:rsidP="007D4DEB">
      <w:pPr>
        <w:shd w:val="clear" w:color="auto" w:fill="FFFFFF"/>
        <w:rPr>
          <w:rFonts w:cs="Arial"/>
        </w:rPr>
      </w:pPr>
    </w:p>
    <w:p w14:paraId="02B34CFF" w14:textId="77777777" w:rsidR="006F3CF2" w:rsidRDefault="006F3CF2" w:rsidP="007D4DEB">
      <w:pPr>
        <w:shd w:val="clear" w:color="auto" w:fill="FFFFFF"/>
        <w:rPr>
          <w:rFonts w:cs="Arial"/>
        </w:rPr>
      </w:pPr>
    </w:p>
    <w:p w14:paraId="093CD332" w14:textId="77777777" w:rsidR="005E5DFF" w:rsidRPr="002C3799" w:rsidRDefault="005E5DFF" w:rsidP="005E5DFF">
      <w:pPr>
        <w:shd w:val="clear" w:color="auto" w:fill="FFFFFF"/>
        <w:rPr>
          <w:b/>
          <w:color w:val="0070C0"/>
        </w:rPr>
      </w:pPr>
      <w:r w:rsidRPr="002C3799">
        <w:rPr>
          <w:b/>
          <w:color w:val="0070C0"/>
        </w:rPr>
        <w:t>Spis załączników</w:t>
      </w:r>
    </w:p>
    <w:p w14:paraId="4ABECC85" w14:textId="77777777" w:rsidR="002C3799" w:rsidRPr="00AD4AAB" w:rsidRDefault="002C3799" w:rsidP="005E5DFF">
      <w:pPr>
        <w:shd w:val="clear" w:color="auto" w:fill="FFFFFF"/>
      </w:pPr>
    </w:p>
    <w:p w14:paraId="44DEDD49" w14:textId="31D5E1AA" w:rsidR="00431D9C" w:rsidRPr="009F7C6B" w:rsidRDefault="00BE2079" w:rsidP="002C3799">
      <w:pPr>
        <w:numPr>
          <w:ilvl w:val="0"/>
          <w:numId w:val="1"/>
        </w:numPr>
        <w:shd w:val="clear" w:color="auto" w:fill="FFFFFF"/>
        <w:spacing w:after="60"/>
        <w:ind w:left="357" w:hanging="357"/>
        <w:rPr>
          <w:rFonts w:cs="Arial"/>
          <w:sz w:val="20"/>
          <w:szCs w:val="20"/>
        </w:rPr>
      </w:pPr>
      <w:hyperlink w:anchor="Zał_1" w:history="1">
        <w:r w:rsidR="00431D9C" w:rsidRPr="009F7C6B">
          <w:rPr>
            <w:rStyle w:val="Hipercze"/>
            <w:color w:val="auto"/>
            <w:sz w:val="20"/>
            <w:szCs w:val="20"/>
            <w:u w:val="none"/>
          </w:rPr>
          <w:t xml:space="preserve">Wykaz aktów wykonawczych do ustawy </w:t>
        </w:r>
        <w:r w:rsidR="0060438C" w:rsidRPr="009F7C6B">
          <w:rPr>
            <w:rStyle w:val="Hipercze"/>
            <w:rFonts w:cs="Arial"/>
            <w:color w:val="auto"/>
            <w:sz w:val="20"/>
            <w:szCs w:val="20"/>
            <w:u w:val="none"/>
          </w:rPr>
          <w:t>Pzp</w:t>
        </w:r>
      </w:hyperlink>
    </w:p>
    <w:p w14:paraId="34DC1AA1" w14:textId="753EF638" w:rsidR="00431D9C" w:rsidRPr="00C844A8" w:rsidRDefault="00BE2079" w:rsidP="002C3799">
      <w:pPr>
        <w:numPr>
          <w:ilvl w:val="0"/>
          <w:numId w:val="1"/>
        </w:numPr>
        <w:shd w:val="clear" w:color="auto" w:fill="FFFFFF"/>
        <w:spacing w:after="60"/>
        <w:ind w:left="357" w:hanging="357"/>
        <w:rPr>
          <w:rFonts w:cs="Arial"/>
          <w:sz w:val="20"/>
          <w:szCs w:val="20"/>
        </w:rPr>
      </w:pPr>
      <w:hyperlink w:anchor="Zał_2" w:history="1">
        <w:r w:rsidR="00431D9C" w:rsidRPr="00C844A8">
          <w:rPr>
            <w:rStyle w:val="Hipercze"/>
            <w:rFonts w:cs="Arial"/>
            <w:color w:val="auto"/>
            <w:sz w:val="20"/>
            <w:szCs w:val="20"/>
            <w:u w:val="none"/>
          </w:rPr>
          <w:t>Wykaz aktów prawnych obowiązujących w 202</w:t>
        </w:r>
        <w:r w:rsidR="004F7C18" w:rsidRPr="00C844A8">
          <w:rPr>
            <w:rStyle w:val="Hipercze"/>
            <w:rFonts w:cs="Arial"/>
            <w:color w:val="auto"/>
            <w:sz w:val="20"/>
            <w:szCs w:val="20"/>
            <w:u w:val="none"/>
          </w:rPr>
          <w:t>2</w:t>
        </w:r>
        <w:r w:rsidR="00431D9C" w:rsidRPr="00C844A8">
          <w:rPr>
            <w:rStyle w:val="Hipercze"/>
            <w:rFonts w:cs="Arial"/>
            <w:color w:val="auto"/>
            <w:sz w:val="20"/>
            <w:szCs w:val="20"/>
            <w:u w:val="none"/>
          </w:rPr>
          <w:t xml:space="preserve"> r. regulujących zagadnienia z dziedziny zamówień publicznych na szczeblu unijnym</w:t>
        </w:r>
      </w:hyperlink>
    </w:p>
    <w:p w14:paraId="615B390A" w14:textId="0B78BCC8" w:rsidR="00D16447" w:rsidRPr="00C844A8" w:rsidRDefault="00BE2079" w:rsidP="002C3799">
      <w:pPr>
        <w:numPr>
          <w:ilvl w:val="0"/>
          <w:numId w:val="1"/>
        </w:numPr>
        <w:shd w:val="clear" w:color="auto" w:fill="FFFFFF"/>
        <w:spacing w:after="60"/>
        <w:ind w:left="357" w:hanging="357"/>
        <w:rPr>
          <w:rStyle w:val="Hipercze"/>
          <w:rFonts w:cs="Arial"/>
          <w:color w:val="auto"/>
          <w:sz w:val="20"/>
          <w:szCs w:val="20"/>
          <w:u w:val="none"/>
        </w:rPr>
      </w:pPr>
      <w:hyperlink w:anchor="Zał_3" w:history="1">
        <w:r w:rsidR="00D16447" w:rsidRPr="00C844A8">
          <w:rPr>
            <w:rStyle w:val="Hipercze"/>
            <w:rFonts w:cs="Arial"/>
            <w:color w:val="auto"/>
            <w:sz w:val="20"/>
            <w:szCs w:val="20"/>
            <w:u w:val="none"/>
          </w:rPr>
          <w:t>Krótkie omówienie orzeczeń Trybunału Sprawiedliwości Unii Europejskiej wydanych w 202</w:t>
        </w:r>
        <w:r w:rsidR="004F7C18" w:rsidRPr="00C844A8">
          <w:rPr>
            <w:rStyle w:val="Hipercze"/>
            <w:rFonts w:cs="Arial"/>
            <w:color w:val="auto"/>
            <w:sz w:val="20"/>
            <w:szCs w:val="20"/>
            <w:u w:val="none"/>
          </w:rPr>
          <w:t>2</w:t>
        </w:r>
        <w:r w:rsidR="00D16447" w:rsidRPr="00C844A8">
          <w:rPr>
            <w:rStyle w:val="Hipercze"/>
            <w:rFonts w:cs="Arial"/>
            <w:color w:val="auto"/>
            <w:sz w:val="20"/>
            <w:szCs w:val="20"/>
            <w:u w:val="none"/>
          </w:rPr>
          <w:t xml:space="preserve"> r.</w:t>
        </w:r>
      </w:hyperlink>
    </w:p>
    <w:p w14:paraId="41F6E5BB" w14:textId="31EEF0A4" w:rsidR="00DD6DC8" w:rsidRPr="00AE0C6D" w:rsidRDefault="00BE2079" w:rsidP="004E44FA">
      <w:pPr>
        <w:numPr>
          <w:ilvl w:val="0"/>
          <w:numId w:val="1"/>
        </w:numPr>
        <w:shd w:val="clear" w:color="auto" w:fill="FFFFFF"/>
        <w:spacing w:after="60"/>
        <w:rPr>
          <w:rStyle w:val="Hipercze"/>
          <w:rFonts w:cs="Arial"/>
          <w:color w:val="auto"/>
          <w:sz w:val="20"/>
          <w:szCs w:val="20"/>
          <w:u w:val="none"/>
        </w:rPr>
      </w:pPr>
      <w:hyperlink w:anchor="Zał_4" w:history="1">
        <w:r w:rsidR="004E44FA" w:rsidRPr="00AE0C6D">
          <w:rPr>
            <w:rStyle w:val="Hipercze"/>
            <w:color w:val="auto"/>
            <w:sz w:val="20"/>
            <w:szCs w:val="20"/>
            <w:u w:val="none"/>
          </w:rPr>
          <w:t xml:space="preserve">Liczba i wartość zamówień udzielonych na podstawie wyłączeń przepisów ustawy </w:t>
        </w:r>
        <w:r w:rsidR="0060438C" w:rsidRPr="00AE0C6D">
          <w:rPr>
            <w:rStyle w:val="Hipercze"/>
            <w:rFonts w:cs="Arial"/>
            <w:color w:val="auto"/>
            <w:sz w:val="20"/>
            <w:szCs w:val="20"/>
            <w:u w:val="none"/>
          </w:rPr>
          <w:t>Pzp</w:t>
        </w:r>
      </w:hyperlink>
    </w:p>
    <w:p w14:paraId="475A258F" w14:textId="36928EF5" w:rsidR="00D25FB3" w:rsidRPr="00B06EB4" w:rsidRDefault="00BE2079" w:rsidP="00D25FB3">
      <w:pPr>
        <w:numPr>
          <w:ilvl w:val="0"/>
          <w:numId w:val="1"/>
        </w:numPr>
        <w:shd w:val="clear" w:color="auto" w:fill="FFFFFF"/>
        <w:spacing w:after="60"/>
        <w:rPr>
          <w:rStyle w:val="Hipercze"/>
          <w:rFonts w:cs="Arial"/>
          <w:color w:val="auto"/>
          <w:sz w:val="20"/>
          <w:szCs w:val="20"/>
          <w:u w:val="none"/>
        </w:rPr>
      </w:pPr>
      <w:hyperlink w:anchor="Zał_5" w:history="1">
        <w:r w:rsidR="00D25FB3" w:rsidRPr="00B06EB4">
          <w:rPr>
            <w:rStyle w:val="Hipercze"/>
            <w:rFonts w:cs="Arial"/>
            <w:color w:val="auto"/>
            <w:sz w:val="20"/>
            <w:szCs w:val="20"/>
            <w:u w:val="none"/>
          </w:rPr>
          <w:t>Dane dotyczące zamówień, w których zastosowano odpowiednie instrumenty prospołeczne</w:t>
        </w:r>
      </w:hyperlink>
    </w:p>
    <w:p w14:paraId="34DF8567" w14:textId="2F831C81" w:rsidR="00D25FB3" w:rsidRPr="00276FC0" w:rsidRDefault="00BE2079" w:rsidP="00D25FB3">
      <w:pPr>
        <w:numPr>
          <w:ilvl w:val="0"/>
          <w:numId w:val="1"/>
        </w:numPr>
        <w:shd w:val="clear" w:color="auto" w:fill="FFFFFF"/>
        <w:spacing w:after="60"/>
        <w:rPr>
          <w:rStyle w:val="Hipercze"/>
          <w:rFonts w:cs="Arial"/>
          <w:color w:val="auto"/>
          <w:sz w:val="20"/>
          <w:szCs w:val="20"/>
          <w:u w:val="none"/>
        </w:rPr>
      </w:pPr>
      <w:hyperlink w:anchor="Zał_6" w:history="1">
        <w:r w:rsidR="00D25FB3" w:rsidRPr="00276FC0">
          <w:rPr>
            <w:rStyle w:val="Hipercze"/>
            <w:rFonts w:cs="Arial"/>
            <w:color w:val="auto"/>
            <w:sz w:val="20"/>
            <w:szCs w:val="20"/>
            <w:u w:val="none"/>
          </w:rPr>
          <w:t>Dane dotyczące zamówień, w których odwołano się do odpowiednich instrumentów środowiskowych</w:t>
        </w:r>
      </w:hyperlink>
    </w:p>
    <w:p w14:paraId="49632F40" w14:textId="53E94FFD" w:rsidR="00D25FB3" w:rsidRPr="00757D06" w:rsidRDefault="00BE2079" w:rsidP="00D25FB3">
      <w:pPr>
        <w:numPr>
          <w:ilvl w:val="0"/>
          <w:numId w:val="1"/>
        </w:numPr>
        <w:shd w:val="clear" w:color="auto" w:fill="FFFFFF"/>
        <w:spacing w:after="60"/>
        <w:rPr>
          <w:rStyle w:val="Hipercze"/>
          <w:rFonts w:cs="Arial"/>
          <w:color w:val="auto"/>
          <w:sz w:val="20"/>
          <w:szCs w:val="20"/>
          <w:u w:val="none"/>
        </w:rPr>
      </w:pPr>
      <w:hyperlink w:anchor="Zał_7" w:history="1">
        <w:r w:rsidR="00D25FB3" w:rsidRPr="00757D06">
          <w:rPr>
            <w:rStyle w:val="Hipercze"/>
            <w:rFonts w:cs="Arial"/>
            <w:color w:val="auto"/>
            <w:sz w:val="20"/>
            <w:szCs w:val="20"/>
            <w:u w:val="none"/>
          </w:rPr>
          <w:t>Dane dotyczące zamówień, w których odwołano się do odpowiednich instrumentów innowacyjnych</w:t>
        </w:r>
      </w:hyperlink>
    </w:p>
    <w:p w14:paraId="2E725F7D" w14:textId="38AE6F8F" w:rsidR="00D25FB3" w:rsidRPr="00757D06" w:rsidRDefault="00BE2079" w:rsidP="00D25FB3">
      <w:pPr>
        <w:numPr>
          <w:ilvl w:val="0"/>
          <w:numId w:val="1"/>
        </w:numPr>
        <w:shd w:val="clear" w:color="auto" w:fill="FFFFFF"/>
        <w:spacing w:after="60"/>
        <w:rPr>
          <w:rStyle w:val="Hipercze"/>
          <w:rFonts w:cs="Arial"/>
          <w:color w:val="auto"/>
          <w:sz w:val="20"/>
          <w:szCs w:val="20"/>
          <w:u w:val="none"/>
        </w:rPr>
      </w:pPr>
      <w:hyperlink w:anchor="Zał_8" w:history="1">
        <w:r w:rsidR="00D25FB3" w:rsidRPr="00757D06">
          <w:rPr>
            <w:rStyle w:val="Hipercze"/>
            <w:rFonts w:cs="Arial"/>
            <w:color w:val="auto"/>
            <w:sz w:val="20"/>
            <w:szCs w:val="20"/>
            <w:u w:val="none"/>
          </w:rPr>
          <w:t>Dane dotyczące zamówień udzielonych przez jednostki administracji rządowej, w których zastosowano odpowiednie instrumenty prospołeczne</w:t>
        </w:r>
      </w:hyperlink>
    </w:p>
    <w:p w14:paraId="2FD568ED" w14:textId="16FA81D7" w:rsidR="00D25FB3" w:rsidRPr="00276FC0" w:rsidRDefault="00BE2079" w:rsidP="00D25FB3">
      <w:pPr>
        <w:numPr>
          <w:ilvl w:val="0"/>
          <w:numId w:val="1"/>
        </w:numPr>
        <w:shd w:val="clear" w:color="auto" w:fill="FFFFFF"/>
        <w:spacing w:after="60"/>
        <w:rPr>
          <w:rStyle w:val="Hipercze"/>
          <w:rFonts w:cs="Arial"/>
          <w:color w:val="auto"/>
          <w:sz w:val="20"/>
          <w:szCs w:val="20"/>
          <w:u w:val="none"/>
        </w:rPr>
      </w:pPr>
      <w:hyperlink w:anchor="Zał_9" w:history="1">
        <w:r w:rsidR="00D25FB3" w:rsidRPr="00276FC0">
          <w:rPr>
            <w:rStyle w:val="Hipercze"/>
            <w:rFonts w:cs="Arial"/>
            <w:color w:val="auto"/>
            <w:sz w:val="20"/>
            <w:szCs w:val="20"/>
            <w:u w:val="none"/>
          </w:rPr>
          <w:t>Dane dotyczące zamówień udzielonych przez jednostki administracji rządowej, w których odwołano się do odpowiednich instrumentów środowiskowych</w:t>
        </w:r>
      </w:hyperlink>
    </w:p>
    <w:p w14:paraId="5BB5E948" w14:textId="2353D41F" w:rsidR="002F41A1" w:rsidRPr="00276FC0" w:rsidRDefault="00BE2079" w:rsidP="002F41A1">
      <w:pPr>
        <w:numPr>
          <w:ilvl w:val="0"/>
          <w:numId w:val="1"/>
        </w:numPr>
        <w:shd w:val="clear" w:color="auto" w:fill="FFFFFF"/>
        <w:spacing w:after="60"/>
        <w:rPr>
          <w:rFonts w:cs="Arial"/>
          <w:sz w:val="20"/>
          <w:szCs w:val="20"/>
        </w:rPr>
      </w:pPr>
      <w:hyperlink w:anchor="Zał_10" w:history="1">
        <w:r w:rsidR="002F41A1" w:rsidRPr="00276FC0">
          <w:rPr>
            <w:rStyle w:val="Hipercze"/>
            <w:rFonts w:cs="Arial"/>
            <w:color w:val="auto"/>
            <w:sz w:val="20"/>
            <w:szCs w:val="20"/>
            <w:u w:val="none"/>
          </w:rPr>
          <w:t>Dane dotyczące zamówień udzielonych przez jednostki administracji rządowej, w których odwołano się do odpowiednich instrumentów innowacyjnych</w:t>
        </w:r>
      </w:hyperlink>
    </w:p>
    <w:p w14:paraId="304A89B7" w14:textId="520CC469" w:rsidR="003915F6" w:rsidRDefault="003915F6" w:rsidP="005E5DFF">
      <w:pPr>
        <w:shd w:val="clear" w:color="auto" w:fill="FFFFFF"/>
        <w:rPr>
          <w:rFonts w:cs="Arial"/>
        </w:rPr>
      </w:pPr>
    </w:p>
    <w:p w14:paraId="00113725" w14:textId="77777777" w:rsidR="000B2F35" w:rsidRDefault="000B2F35" w:rsidP="005E5DFF">
      <w:pPr>
        <w:shd w:val="clear" w:color="auto" w:fill="FFFFFF"/>
        <w:rPr>
          <w:rFonts w:cs="Arial"/>
        </w:rPr>
        <w:sectPr w:rsidR="000B2F35" w:rsidSect="00333F5B">
          <w:pgSz w:w="11906" w:h="16838"/>
          <w:pgMar w:top="1418" w:right="1418" w:bottom="1418" w:left="1418" w:header="709" w:footer="709" w:gutter="0"/>
          <w:cols w:space="708"/>
          <w:titlePg/>
          <w:docGrid w:linePitch="299"/>
        </w:sectPr>
      </w:pPr>
    </w:p>
    <w:tbl>
      <w:tblPr>
        <w:tblW w:w="9416" w:type="dxa"/>
        <w:tblLayout w:type="fixed"/>
        <w:tblLook w:val="04A0" w:firstRow="1" w:lastRow="0" w:firstColumn="1" w:lastColumn="0" w:noHBand="0" w:noVBand="1"/>
      </w:tblPr>
      <w:tblGrid>
        <w:gridCol w:w="9180"/>
        <w:gridCol w:w="236"/>
      </w:tblGrid>
      <w:tr w:rsidR="00B269A9" w:rsidRPr="00A855CF" w14:paraId="2CF6677B" w14:textId="77777777" w:rsidTr="00CB1AE2">
        <w:tc>
          <w:tcPr>
            <w:tcW w:w="9180" w:type="dxa"/>
            <w:shd w:val="clear" w:color="auto" w:fill="auto"/>
          </w:tcPr>
          <w:p w14:paraId="58E1730D" w14:textId="28154F03" w:rsidR="00B269A9" w:rsidRPr="00D2016D" w:rsidRDefault="00B269A9" w:rsidP="005E4D5A">
            <w:pPr>
              <w:spacing w:before="120" w:after="120"/>
              <w:jc w:val="right"/>
              <w:rPr>
                <w:b/>
                <w:color w:val="0070C0"/>
                <w:sz w:val="24"/>
              </w:rPr>
            </w:pPr>
            <w:r w:rsidRPr="00D2016D">
              <w:rPr>
                <w:rFonts w:cs="Arial"/>
                <w:color w:val="0070C0"/>
                <w:szCs w:val="22"/>
              </w:rPr>
              <w:br w:type="page"/>
            </w:r>
            <w:r w:rsidRPr="00D2016D">
              <w:rPr>
                <w:rFonts w:cs="Arial"/>
                <w:color w:val="0070C0"/>
                <w:szCs w:val="22"/>
              </w:rPr>
              <w:br w:type="page"/>
            </w:r>
            <w:r w:rsidRPr="00D2016D">
              <w:rPr>
                <w:rFonts w:cs="Arial"/>
                <w:color w:val="0070C0"/>
                <w:sz w:val="20"/>
                <w:szCs w:val="20"/>
              </w:rPr>
              <w:br w:type="page"/>
            </w:r>
            <w:bookmarkStart w:id="281" w:name="Zał_1"/>
            <w:bookmarkEnd w:id="281"/>
            <w:r w:rsidRPr="00D2016D">
              <w:rPr>
                <w:b/>
                <w:color w:val="0070C0"/>
                <w:sz w:val="24"/>
              </w:rPr>
              <w:t>Załącznik nr 1</w:t>
            </w:r>
          </w:p>
        </w:tc>
        <w:tc>
          <w:tcPr>
            <w:tcW w:w="236" w:type="dxa"/>
            <w:shd w:val="clear" w:color="auto" w:fill="2E74B5"/>
          </w:tcPr>
          <w:p w14:paraId="5C07A94A" w14:textId="77777777" w:rsidR="00B269A9" w:rsidRPr="00A855CF" w:rsidRDefault="00B269A9" w:rsidP="00CB1AE2">
            <w:pPr>
              <w:spacing w:before="120" w:after="120"/>
              <w:jc w:val="right"/>
              <w:rPr>
                <w:b/>
                <w:sz w:val="24"/>
              </w:rPr>
            </w:pPr>
          </w:p>
        </w:tc>
      </w:tr>
    </w:tbl>
    <w:p w14:paraId="03ECAD3C" w14:textId="77777777" w:rsidR="00B269A9" w:rsidRPr="002555B1" w:rsidRDefault="00B269A9" w:rsidP="00B269A9">
      <w:pPr>
        <w:rPr>
          <w:rFonts w:cs="Arial"/>
          <w:bCs/>
          <w:sz w:val="16"/>
          <w:szCs w:val="16"/>
        </w:rPr>
      </w:pPr>
    </w:p>
    <w:p w14:paraId="29BE7837" w14:textId="6F34023D" w:rsidR="00B269A9" w:rsidRDefault="00B269A9" w:rsidP="00B269A9">
      <w:pPr>
        <w:shd w:val="clear" w:color="auto" w:fill="FFFFFF"/>
        <w:jc w:val="center"/>
        <w:rPr>
          <w:rFonts w:cs="Arial"/>
        </w:rPr>
      </w:pPr>
      <w:r w:rsidRPr="000C72FD">
        <w:rPr>
          <w:rFonts w:cs="Arial"/>
          <w:b/>
        </w:rPr>
        <w:t xml:space="preserve">Wykaz aktów wykonawczych do ustawy </w:t>
      </w:r>
      <w:r w:rsidR="0060438C">
        <w:rPr>
          <w:rFonts w:cs="Arial"/>
          <w:b/>
        </w:rPr>
        <w:t>Pzp</w:t>
      </w:r>
    </w:p>
    <w:p w14:paraId="0B16B046" w14:textId="04053A73" w:rsidR="00B269A9" w:rsidRDefault="00B269A9" w:rsidP="00B269A9">
      <w:pPr>
        <w:shd w:val="clear" w:color="auto" w:fill="FFFFFF"/>
        <w:rPr>
          <w:rFonts w:cs="Arial"/>
          <w:szCs w:val="22"/>
        </w:rPr>
      </w:pPr>
    </w:p>
    <w:p w14:paraId="092D9FAF" w14:textId="77777777" w:rsidR="000E4269" w:rsidRPr="000E4269" w:rsidRDefault="000E4269" w:rsidP="00E16264">
      <w:pPr>
        <w:numPr>
          <w:ilvl w:val="0"/>
          <w:numId w:val="33"/>
        </w:numPr>
        <w:shd w:val="clear" w:color="auto" w:fill="FFFFFF"/>
        <w:rPr>
          <w:rFonts w:cs="Arial"/>
          <w:b/>
          <w:bCs/>
          <w:i/>
          <w:iCs/>
          <w:szCs w:val="22"/>
          <w:lang w:val="x-none"/>
        </w:rPr>
      </w:pPr>
      <w:r w:rsidRPr="000E4269">
        <w:rPr>
          <w:rFonts w:cs="Arial"/>
          <w:b/>
          <w:bCs/>
          <w:szCs w:val="22"/>
          <w:lang w:val="x-none"/>
        </w:rPr>
        <w:t xml:space="preserve">Obwieszczenie Prezesa Urzędu Zamówień Publicznych z dnia 3 grudnia 2021 r. w sprawie aktualnych progów unijnych, ich równowartości w złotych, równowartości w złotych kwot wyrażonych w euro oraz średniego kursu złotego w stosunku do euro stanowiącego podstawę przeliczania wartości zamówień publicznych lub konkursów (M.P. poz. 1177) </w:t>
      </w:r>
      <w:r w:rsidRPr="000E4269">
        <w:rPr>
          <w:rFonts w:cs="Arial"/>
          <w:i/>
          <w:iCs/>
          <w:szCs w:val="22"/>
          <w:lang w:val="x-none"/>
        </w:rPr>
        <w:t>– wydane na podstawie art. 3 ust. 3 ustawy Pzp; obowiązujące od dnia 1.01.2022 r.</w:t>
      </w:r>
    </w:p>
    <w:p w14:paraId="3653A7A9" w14:textId="25A5D70B" w:rsidR="000E4269" w:rsidRDefault="000E4269" w:rsidP="00F85121">
      <w:pPr>
        <w:shd w:val="clear" w:color="auto" w:fill="FFFFFF"/>
        <w:ind w:left="360"/>
        <w:rPr>
          <w:rFonts w:cs="Arial"/>
          <w:szCs w:val="22"/>
          <w:lang w:val="x-none"/>
        </w:rPr>
      </w:pPr>
      <w:r w:rsidRPr="000E4269">
        <w:rPr>
          <w:rFonts w:cs="Arial"/>
          <w:szCs w:val="22"/>
          <w:lang w:val="x-none"/>
        </w:rPr>
        <w:t>W obwieszczeniu podane zostały aktualne progi unijne, ich równowartości w złotych oraz równowartości w złotych kwot wyrażonych w euro w ustawie Pzp oraz średni kurs złotego w stosunku do euro, stanowiący podstawę przeliczania wartości zamówień publicznych lub konkursów, ustalony na podstawie kwot określonych w komunikacie Komisji Europejskiej w sprawie równowartości progów określonych w dyrektywach Parlamentu Europejskiego i Rady 2014/23/UE, 2014/24/UE, 2014/25/UE i 2009/81/WE (Dz. Urz. UE C 457 z 11.11.2021, str. 1). W porównaniu z poprzednim stanem prawnym, określonym w obwieszczeniu Prezesa Urzędu Zamówień Publicznych z dnia 1 stycznia 2021 r.</w:t>
      </w:r>
      <w:r w:rsidR="009343A1">
        <w:rPr>
          <w:rFonts w:cs="Arial"/>
          <w:szCs w:val="22"/>
          <w:lang w:val="x-none"/>
        </w:rPr>
        <w:t xml:space="preserve"> </w:t>
      </w:r>
      <w:r w:rsidRPr="000E4269">
        <w:rPr>
          <w:rFonts w:cs="Arial"/>
          <w:szCs w:val="22"/>
          <w:lang w:val="x-none"/>
        </w:rPr>
        <w:t>w sprawie aktualnych progów unijnych, ich równowartości w złotych, równowartości w złotych kwot wyrażonych w euro oraz średniego kursu złotego w stosunku do euro stanowiącego podstawę przeliczania wartości zamówień publicznych lub konkursów</w:t>
      </w:r>
      <w:r w:rsidR="009343A1">
        <w:rPr>
          <w:rFonts w:cs="Arial"/>
          <w:szCs w:val="22"/>
          <w:lang w:val="x-none"/>
        </w:rPr>
        <w:t xml:space="preserve"> </w:t>
      </w:r>
      <w:r w:rsidRPr="000E4269">
        <w:rPr>
          <w:rFonts w:cs="Arial"/>
          <w:szCs w:val="22"/>
          <w:lang w:val="x-none"/>
        </w:rPr>
        <w:t>(M.P. poz. 11) – progi unijne i ich równowartości w złotych oraz średni kurs złotego w stosunku do euro stanowiący podstawę przeliczania wartości zamówień publicznych lub konkursów uległy zmianie, przykładowo średni kurs euro w stosunku do złotego z dniem 1 stycznia 2022 r. uległ zmianie z 4,2693 na 4,4536.</w:t>
      </w:r>
    </w:p>
    <w:p w14:paraId="7FF9EEB8" w14:textId="77777777" w:rsidR="00F85121" w:rsidRPr="000E4269" w:rsidRDefault="00F85121" w:rsidP="00F85121">
      <w:pPr>
        <w:shd w:val="clear" w:color="auto" w:fill="FFFFFF"/>
        <w:ind w:left="360"/>
        <w:rPr>
          <w:rFonts w:cs="Arial"/>
          <w:szCs w:val="22"/>
          <w:lang w:val="x-none"/>
        </w:rPr>
      </w:pPr>
    </w:p>
    <w:p w14:paraId="4253C2E1" w14:textId="324806B9"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 xml:space="preserve">Obwieszczenie Prezesa Urzędu Zamówień Publicznych z dnia 5 lipca 2021 r. w sprawie wykazu aktów prawnych wdrażających przepisy określone w załączniku II do dyrektywy Parlamentu Europejskiego i Rady 2014/25/UE z dnia 26 lutego 2014 r. w sprawie udzielania zamówień przez podmioty działające w sektorach gospodarki wodnej, energetyki, transportu i usług pocztowych, uchylającej dyrektywę 2004/17/WE (M.P. poz. 615) </w:t>
      </w:r>
      <w:r w:rsidRPr="000E4269">
        <w:rPr>
          <w:rFonts w:cs="Arial"/>
          <w:i/>
          <w:iCs/>
          <w:szCs w:val="22"/>
          <w:lang w:val="x-none"/>
        </w:rPr>
        <w:t>– wydane na podstawie art. 5 ust. 3 ustawy Pzp; zaktualizowane</w:t>
      </w:r>
      <w:r w:rsidRPr="000E4269">
        <w:rPr>
          <w:rFonts w:cs="Arial"/>
          <w:szCs w:val="22"/>
          <w:lang w:val="x-none"/>
        </w:rPr>
        <w:t>.</w:t>
      </w:r>
    </w:p>
    <w:p w14:paraId="1036C70B" w14:textId="77777777" w:rsidR="00F85121" w:rsidRPr="00F85121" w:rsidRDefault="00F85121" w:rsidP="00F85121">
      <w:pPr>
        <w:shd w:val="clear" w:color="auto" w:fill="FFFFFF"/>
        <w:ind w:left="360"/>
        <w:rPr>
          <w:rFonts w:cs="Arial"/>
          <w:szCs w:val="22"/>
          <w:lang w:val="x-none"/>
        </w:rPr>
      </w:pPr>
    </w:p>
    <w:p w14:paraId="22680C54" w14:textId="207EB0B0"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Ministra Rozwoju, Pracy i Technologii z dnia 18 grudnia 2020 r. w sprawie wzoru planu postępowań o udzielenie zamówień (Dz. U. poz. 2362)</w:t>
      </w:r>
      <w:r w:rsidRPr="000E4269">
        <w:rPr>
          <w:rFonts w:cs="Arial"/>
          <w:szCs w:val="22"/>
          <w:lang w:val="x-none"/>
        </w:rPr>
        <w:t xml:space="preserve"> </w:t>
      </w:r>
      <w:r w:rsidRPr="000E4269">
        <w:rPr>
          <w:rFonts w:cs="Arial"/>
          <w:i/>
          <w:iCs/>
          <w:szCs w:val="22"/>
          <w:lang w:val="x-none"/>
        </w:rPr>
        <w:t>– wydane na podstawie art. 23 ust. 6 ustawy Pzp; weszło w życie z dniem 1.01.2021 r.</w:t>
      </w:r>
      <w:r w:rsidRPr="000E4269">
        <w:rPr>
          <w:rFonts w:cs="Arial"/>
          <w:szCs w:val="22"/>
          <w:lang w:val="x-none"/>
        </w:rPr>
        <w:t xml:space="preserve"> </w:t>
      </w:r>
    </w:p>
    <w:p w14:paraId="374D128D" w14:textId="77777777" w:rsidR="00F85121" w:rsidRPr="000E4269" w:rsidRDefault="00F85121" w:rsidP="00F85121">
      <w:pPr>
        <w:shd w:val="clear" w:color="auto" w:fill="FFFFFF"/>
        <w:ind w:left="360"/>
        <w:rPr>
          <w:rFonts w:cs="Arial"/>
          <w:szCs w:val="22"/>
          <w:lang w:val="x-none"/>
        </w:rPr>
      </w:pPr>
    </w:p>
    <w:p w14:paraId="0CADBD26" w14:textId="77777777" w:rsidR="000E4269" w:rsidRPr="000E4269" w:rsidRDefault="000E4269" w:rsidP="00E16264">
      <w:pPr>
        <w:numPr>
          <w:ilvl w:val="0"/>
          <w:numId w:val="33"/>
        </w:numPr>
        <w:shd w:val="clear" w:color="auto" w:fill="FFFFFF"/>
        <w:rPr>
          <w:rFonts w:cs="Arial"/>
          <w:i/>
          <w:iCs/>
          <w:szCs w:val="22"/>
          <w:lang w:val="x-none"/>
        </w:rPr>
      </w:pPr>
      <w:r w:rsidRPr="000E4269">
        <w:rPr>
          <w:rFonts w:cs="Arial"/>
          <w:b/>
          <w:bCs/>
          <w:szCs w:val="22"/>
          <w:lang w:val="x-none"/>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r w:rsidRPr="000E4269">
        <w:rPr>
          <w:rFonts w:cs="Arial"/>
          <w:szCs w:val="22"/>
          <w:lang w:val="x-none"/>
        </w:rPr>
        <w:t xml:space="preserve"> </w:t>
      </w:r>
      <w:r w:rsidRPr="000E4269">
        <w:rPr>
          <w:rFonts w:cs="Arial"/>
          <w:i/>
          <w:iCs/>
          <w:szCs w:val="22"/>
          <w:lang w:val="x-none"/>
        </w:rPr>
        <w:t>– wydane na podstawie art. 34 ust. 2 ustawy Pzp; weszło w życie z dniem 1.01.2022 r.</w:t>
      </w:r>
    </w:p>
    <w:p w14:paraId="003E0AFD" w14:textId="77777777" w:rsidR="000E4269" w:rsidRPr="000E4269" w:rsidRDefault="000E4269" w:rsidP="00F85121">
      <w:pPr>
        <w:shd w:val="clear" w:color="auto" w:fill="FFFFFF"/>
        <w:ind w:left="360"/>
        <w:rPr>
          <w:rFonts w:cs="Arial"/>
          <w:szCs w:val="22"/>
          <w:lang w:val="x-none"/>
        </w:rPr>
      </w:pPr>
      <w:r w:rsidRPr="000E4269">
        <w:rPr>
          <w:rFonts w:cs="Arial"/>
          <w:szCs w:val="22"/>
          <w:lang w:val="x-none"/>
        </w:rPr>
        <w:t>Rozporządzenie określa metody i podstawy sporządzania kosztorysu inwestorskiego, który stanowi podstawę określenia wartości zamówienia, gdy jego przedmiotem są roboty budowlane. Rozporządzenie określa również metody i podstawy obliczania planowanych kosztów prac projektowych i planowanych kosztów robót budowlanych, które stanowią podstawę określenia wartości zamówienia, gdy jego przedmiotem jest zaprojektowanie i wykonanie robót budowlanych. Podstawę do ich obliczenia (planowanych wartości/kosztów robót budowlanych) stanowią program funkcjonalno-użytkowy i wskaźniki procentowe.</w:t>
      </w:r>
    </w:p>
    <w:p w14:paraId="67383784" w14:textId="22CD710F" w:rsidR="000E4269" w:rsidRDefault="000E4269" w:rsidP="00F85121">
      <w:pPr>
        <w:shd w:val="clear" w:color="auto" w:fill="FFFFFF"/>
        <w:ind w:left="360"/>
        <w:rPr>
          <w:rFonts w:cs="Arial"/>
          <w:szCs w:val="22"/>
          <w:lang w:val="x-none"/>
        </w:rPr>
      </w:pPr>
      <w:r w:rsidRPr="000E4269">
        <w:rPr>
          <w:rFonts w:cs="Arial"/>
          <w:szCs w:val="22"/>
        </w:rPr>
        <w:t>W 2022 r. d</w:t>
      </w:r>
      <w:r w:rsidRPr="000E4269">
        <w:rPr>
          <w:rFonts w:cs="Arial"/>
          <w:szCs w:val="22"/>
          <w:lang w:val="x-none"/>
        </w:rPr>
        <w:t xml:space="preserve">o postępowań o udzielenie zamówienia wszczętych i niezakończonych przed dniem 1.01.2022 r. w zakresie ustalenia wartości zamówienia </w:t>
      </w:r>
      <w:r w:rsidRPr="000E4269">
        <w:rPr>
          <w:rFonts w:cs="Arial"/>
          <w:szCs w:val="22"/>
        </w:rPr>
        <w:t>miały zastosowanie</w:t>
      </w:r>
      <w:r w:rsidRPr="000E4269">
        <w:rPr>
          <w:rFonts w:cs="Arial"/>
          <w:szCs w:val="22"/>
          <w:lang w:val="x-none"/>
        </w:rPr>
        <w:t xml:space="preserve"> przepisy dotychczasowe, tj. przepisy rozporządzenia Ministra Infrastruktury z dnia 18 maja 2004 r. w sprawie określenia</w:t>
      </w:r>
      <w:r w:rsidRPr="000E4269">
        <w:rPr>
          <w:rFonts w:cs="Arial"/>
          <w:szCs w:val="22"/>
        </w:rPr>
        <w:t xml:space="preserve"> </w:t>
      </w:r>
      <w:r w:rsidRPr="000E4269">
        <w:rPr>
          <w:rFonts w:cs="Arial"/>
          <w:szCs w:val="22"/>
          <w:lang w:val="x-none"/>
        </w:rPr>
        <w:t>metod i podstaw sporządzania kosztorysu inwestorskiego, obliczania planowanych kosztów prac projektowych oraz planowanych kosztów robót budowlanych określonych w programie funkcjonalno-użytkowym (Dz. U. poz. 1389). Zamawiający, w celu ustalenia wartości zamówienia w przypadku przygotowania lub przeprowadzenia postępowania o udzielenie zamówienia wszczętego po dniu 31.12.2021 r., mógł korzystać odpowiednio z kosztorysu inwestorskiego albo planowanych kosztów prac projektowych oraz planowanych kosztów robót budowlanych określonych w programie funkcjonalno-użytkowym, sporządzonych przed dniem 1.01.2022 r., w przypadku gdy od ich sporządzenia upłynęło nie więcej niż 6 miesięcy.</w:t>
      </w:r>
    </w:p>
    <w:p w14:paraId="3E770B04" w14:textId="77777777" w:rsidR="00F85121" w:rsidRPr="000E4269" w:rsidRDefault="00F85121" w:rsidP="00F85121">
      <w:pPr>
        <w:shd w:val="clear" w:color="auto" w:fill="FFFFFF"/>
        <w:ind w:left="360"/>
        <w:rPr>
          <w:rFonts w:cs="Arial"/>
          <w:szCs w:val="22"/>
          <w:lang w:val="x-none"/>
        </w:rPr>
      </w:pPr>
    </w:p>
    <w:p w14:paraId="72B6B837" w14:textId="77EE65A0" w:rsidR="000E4269" w:rsidRPr="00F85121" w:rsidRDefault="000E4269" w:rsidP="00E16264">
      <w:pPr>
        <w:numPr>
          <w:ilvl w:val="0"/>
          <w:numId w:val="33"/>
        </w:numPr>
        <w:shd w:val="clear" w:color="auto" w:fill="FFFFFF"/>
        <w:rPr>
          <w:rFonts w:cs="Arial"/>
          <w:b/>
          <w:bCs/>
          <w:szCs w:val="22"/>
          <w:lang w:val="x-none"/>
        </w:rPr>
      </w:pPr>
      <w:r w:rsidRPr="000E4269">
        <w:rPr>
          <w:rFonts w:cs="Arial"/>
          <w:b/>
          <w:bCs/>
          <w:szCs w:val="22"/>
          <w:lang w:val="x-none"/>
        </w:rPr>
        <w:t xml:space="preserve">Zarządzenie nr 249 Prezesa Rady Ministrów z dnia 30 grudnia 2020 r. w sprawie wskazania centralnego zamawiającego dla jednostek administracji rządowej oraz wskazania jednostek administracji rządowej zobowiązanych do nabywania zamówień od centralnego zamawiającego (M. P. poz. 1215 oraz z 2022 r. poz. 1275) </w:t>
      </w:r>
      <w:r w:rsidRPr="000E4269">
        <w:rPr>
          <w:rFonts w:cs="Arial"/>
          <w:i/>
          <w:iCs/>
          <w:szCs w:val="22"/>
          <w:lang w:val="x-none"/>
        </w:rPr>
        <w:t>– wydane na podstawie art. 47 ustawy Pzp; weszło w życie z dniem 1.01.2021 r.; zmienione zarządzeniem nr 419 Prezesa Rady Ministrów z dnia 22 grudnia 2022 r. zmieniającym zarządzenie w sprawie wskazania centralnego zamawiającego dla jednostek administracji rządowej oraz wskazania jednostek administracji rządowej zobowiązanych do nabywania zamówień od centralnego zamawiającego (M. P. poz. 1275), które weszło w życie z dniem 29.12.2022 r.</w:t>
      </w:r>
    </w:p>
    <w:p w14:paraId="0FBDAEC7" w14:textId="77777777" w:rsidR="00F85121" w:rsidRPr="00F85121" w:rsidRDefault="00F85121" w:rsidP="00F85121">
      <w:pPr>
        <w:shd w:val="clear" w:color="auto" w:fill="FFFFFF"/>
        <w:ind w:left="360"/>
        <w:rPr>
          <w:rFonts w:cs="Arial"/>
          <w:bCs/>
          <w:szCs w:val="22"/>
          <w:lang w:val="x-none"/>
        </w:rPr>
      </w:pPr>
    </w:p>
    <w:p w14:paraId="66C60878" w14:textId="7AE6C14F" w:rsidR="000E4269" w:rsidRPr="00F85121" w:rsidRDefault="000E4269" w:rsidP="00E16264">
      <w:pPr>
        <w:numPr>
          <w:ilvl w:val="0"/>
          <w:numId w:val="33"/>
        </w:numPr>
        <w:shd w:val="clear" w:color="auto" w:fill="FFFFFF"/>
        <w:rPr>
          <w:rFonts w:cs="Arial"/>
          <w:i/>
          <w:iCs/>
          <w:szCs w:val="22"/>
          <w:lang w:val="x-none"/>
        </w:rPr>
      </w:pPr>
      <w:r w:rsidRPr="000E4269">
        <w:rPr>
          <w:rFonts w:cs="Arial"/>
          <w:b/>
          <w:bCs/>
          <w:szCs w:val="22"/>
          <w:lang w:val="x-none"/>
        </w:rPr>
        <w:t>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r w:rsidRPr="000E4269">
        <w:rPr>
          <w:rFonts w:cs="Arial"/>
          <w:i/>
          <w:iCs/>
          <w:szCs w:val="22"/>
          <w:lang w:val="x-none"/>
        </w:rPr>
        <w:t xml:space="preserve"> – wydane na podstawie art. 70 ustawy Pzp; weszło w życie z dniem 1.01.2021 r</w:t>
      </w:r>
      <w:r w:rsidRPr="000E4269">
        <w:rPr>
          <w:rFonts w:cs="Arial"/>
          <w:szCs w:val="22"/>
          <w:lang w:val="x-none"/>
        </w:rPr>
        <w:t xml:space="preserve">. </w:t>
      </w:r>
    </w:p>
    <w:p w14:paraId="0192FCAC" w14:textId="77777777" w:rsidR="00F85121" w:rsidRPr="000E4269" w:rsidRDefault="00F85121" w:rsidP="00F85121">
      <w:pPr>
        <w:shd w:val="clear" w:color="auto" w:fill="FFFFFF"/>
        <w:ind w:left="360"/>
        <w:rPr>
          <w:rFonts w:cs="Arial"/>
          <w:i/>
          <w:iCs/>
          <w:szCs w:val="22"/>
          <w:lang w:val="x-none"/>
        </w:rPr>
      </w:pPr>
    </w:p>
    <w:p w14:paraId="563FD269" w14:textId="7EF40775"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Ministra Rozwoju, Pracy i Technologii z dnia 18 grudnia 2020 r. w sprawie protokołów postępowania oraz dokumentacji postępowania o udzielenie zamówienia publicznego (Dz. U. poz. 2434)</w:t>
      </w:r>
      <w:r w:rsidRPr="000E4269">
        <w:rPr>
          <w:rFonts w:cs="Arial"/>
          <w:szCs w:val="22"/>
          <w:lang w:val="x-none"/>
        </w:rPr>
        <w:t xml:space="preserve"> – </w:t>
      </w:r>
      <w:r w:rsidRPr="000E4269">
        <w:rPr>
          <w:rFonts w:cs="Arial"/>
          <w:i/>
          <w:iCs/>
          <w:szCs w:val="22"/>
          <w:lang w:val="x-none"/>
        </w:rPr>
        <w:t>wydane na podstawie art. 80 ustawy Pzp; weszło w życie z dniem 1.01.2021 r.</w:t>
      </w:r>
      <w:r w:rsidRPr="000E4269">
        <w:rPr>
          <w:rFonts w:cs="Arial"/>
          <w:szCs w:val="22"/>
          <w:lang w:val="x-none"/>
        </w:rPr>
        <w:t xml:space="preserve"> </w:t>
      </w:r>
    </w:p>
    <w:p w14:paraId="72CEFD73" w14:textId="77777777" w:rsidR="00F85121" w:rsidRPr="000E4269" w:rsidRDefault="00F85121" w:rsidP="00F85121">
      <w:pPr>
        <w:shd w:val="clear" w:color="auto" w:fill="FFFFFF"/>
        <w:ind w:left="360"/>
        <w:rPr>
          <w:rFonts w:cs="Arial"/>
          <w:szCs w:val="22"/>
          <w:lang w:val="x-none"/>
        </w:rPr>
      </w:pPr>
    </w:p>
    <w:p w14:paraId="6977F8C8" w14:textId="09DE2A61"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Ministra Rozwoju, Pracy i Technologii z dnia 21 grudnia 2020 r. w sprawie informacji o złożonych wnioskach o dopuszczenie do udziału w postępowaniu lub ofertach przekazywanej Prezesowi Urzędu Zamówień Publicznych (Dz. U. poz. 2406)</w:t>
      </w:r>
      <w:r w:rsidRPr="000E4269">
        <w:rPr>
          <w:rFonts w:cs="Arial"/>
          <w:szCs w:val="22"/>
          <w:lang w:val="x-none"/>
        </w:rPr>
        <w:t xml:space="preserve"> – </w:t>
      </w:r>
      <w:r w:rsidRPr="000E4269">
        <w:rPr>
          <w:rFonts w:cs="Arial"/>
          <w:i/>
          <w:iCs/>
          <w:szCs w:val="22"/>
          <w:lang w:val="x-none"/>
        </w:rPr>
        <w:t>wydane na podstawie art. 81 ust. 2 ustawy Pzp; weszło w życie z dniem 1.01.2021 r.</w:t>
      </w:r>
      <w:r w:rsidRPr="000E4269">
        <w:rPr>
          <w:rFonts w:cs="Arial"/>
          <w:szCs w:val="22"/>
          <w:lang w:val="x-none"/>
        </w:rPr>
        <w:t xml:space="preserve"> </w:t>
      </w:r>
    </w:p>
    <w:p w14:paraId="2B0C799F" w14:textId="77777777" w:rsidR="00F85121" w:rsidRPr="000E4269" w:rsidRDefault="00F85121" w:rsidP="00F85121">
      <w:pPr>
        <w:shd w:val="clear" w:color="auto" w:fill="FFFFFF"/>
        <w:ind w:left="360"/>
        <w:rPr>
          <w:rFonts w:cs="Arial"/>
          <w:szCs w:val="22"/>
          <w:lang w:val="x-none"/>
        </w:rPr>
      </w:pPr>
    </w:p>
    <w:p w14:paraId="3A900D6A" w14:textId="77777777" w:rsidR="000E4269" w:rsidRPr="000E4269" w:rsidRDefault="000E4269" w:rsidP="00E16264">
      <w:pPr>
        <w:numPr>
          <w:ilvl w:val="0"/>
          <w:numId w:val="33"/>
        </w:numPr>
        <w:shd w:val="clear" w:color="auto" w:fill="FFFFFF"/>
        <w:rPr>
          <w:rFonts w:cs="Arial"/>
          <w:i/>
          <w:iCs/>
          <w:szCs w:val="22"/>
          <w:lang w:val="x-none"/>
        </w:rPr>
      </w:pPr>
      <w:r w:rsidRPr="000E4269">
        <w:rPr>
          <w:rFonts w:cs="Arial"/>
          <w:b/>
          <w:bCs/>
          <w:szCs w:val="22"/>
          <w:lang w:val="x-none"/>
        </w:rPr>
        <w:t xml:space="preserve">Rozporządzenie Ministra Rozwoju i Technologii z dnia 20 grudnia 2021 r. w sprawie zakresu informacji zawartych w rocznym sprawozdaniu o udzielonych zamówieniach, jego wzoru, sposobu przekazywania oraz sposobu i trybu jego korygowania (Dz. U. poz. 2463) </w:t>
      </w:r>
      <w:r w:rsidRPr="000E4269">
        <w:rPr>
          <w:rFonts w:cs="Arial"/>
          <w:i/>
          <w:iCs/>
          <w:szCs w:val="22"/>
          <w:lang w:val="x-none"/>
        </w:rPr>
        <w:t>– wydane na podstawie art. 82 ust. 4 ustawy Pzp; weszło w życie z dniem 1.01.2022 r.</w:t>
      </w:r>
    </w:p>
    <w:p w14:paraId="435F5F8B" w14:textId="77777777" w:rsidR="000E4269" w:rsidRPr="000E4269" w:rsidRDefault="000E4269" w:rsidP="00F85121">
      <w:pPr>
        <w:shd w:val="clear" w:color="auto" w:fill="FFFFFF"/>
        <w:ind w:left="360"/>
        <w:rPr>
          <w:rFonts w:cs="Arial"/>
          <w:szCs w:val="22"/>
          <w:lang w:val="x-none"/>
        </w:rPr>
      </w:pPr>
      <w:r w:rsidRPr="000E4269">
        <w:rPr>
          <w:rFonts w:cs="Arial"/>
          <w:szCs w:val="22"/>
          <w:lang w:val="x-none"/>
        </w:rPr>
        <w:t xml:space="preserve">W </w:t>
      </w:r>
      <w:r w:rsidRPr="000E4269">
        <w:rPr>
          <w:rFonts w:cs="Arial"/>
          <w:szCs w:val="22"/>
        </w:rPr>
        <w:t xml:space="preserve">2022 r. w </w:t>
      </w:r>
      <w:r w:rsidRPr="000E4269">
        <w:rPr>
          <w:rFonts w:cs="Arial"/>
          <w:szCs w:val="22"/>
          <w:lang w:val="x-none"/>
        </w:rPr>
        <w:t xml:space="preserve">przypadku postępowań o udzielenie zamówienia oraz postępowań o zawarcie umowy ramowej wszczętych po dniu 31.12.2020 r., lecz przed dniem 1.01.2022 r., które: </w:t>
      </w:r>
    </w:p>
    <w:p w14:paraId="3CE12EA3" w14:textId="77777777" w:rsidR="000E4269" w:rsidRPr="000E4269" w:rsidRDefault="000E4269" w:rsidP="00E16264">
      <w:pPr>
        <w:numPr>
          <w:ilvl w:val="0"/>
          <w:numId w:val="34"/>
        </w:numPr>
        <w:shd w:val="clear" w:color="auto" w:fill="FFFFFF"/>
        <w:ind w:left="720"/>
        <w:rPr>
          <w:rFonts w:cs="Arial"/>
          <w:szCs w:val="22"/>
          <w:lang w:val="x-none"/>
        </w:rPr>
      </w:pPr>
      <w:r w:rsidRPr="000E4269">
        <w:rPr>
          <w:rFonts w:cs="Arial"/>
          <w:szCs w:val="22"/>
          <w:lang w:val="x-none"/>
        </w:rPr>
        <w:t xml:space="preserve">zostały zakończone przed dniem 1.01.2022 r., </w:t>
      </w:r>
    </w:p>
    <w:p w14:paraId="25C70692" w14:textId="77777777" w:rsidR="000E4269" w:rsidRPr="000E4269" w:rsidRDefault="000E4269" w:rsidP="00E16264">
      <w:pPr>
        <w:numPr>
          <w:ilvl w:val="0"/>
          <w:numId w:val="34"/>
        </w:numPr>
        <w:shd w:val="clear" w:color="auto" w:fill="FFFFFF"/>
        <w:ind w:left="720"/>
        <w:rPr>
          <w:rFonts w:cs="Arial"/>
          <w:szCs w:val="22"/>
          <w:lang w:val="x-none"/>
        </w:rPr>
      </w:pPr>
      <w:r w:rsidRPr="000E4269">
        <w:rPr>
          <w:rFonts w:cs="Arial"/>
          <w:szCs w:val="22"/>
          <w:lang w:val="x-none"/>
        </w:rPr>
        <w:t xml:space="preserve">nie zostały zakończone przed dniem 1.01.2022 r. </w:t>
      </w:r>
    </w:p>
    <w:p w14:paraId="5F53E355" w14:textId="77777777" w:rsidR="000E4269" w:rsidRPr="000E4269" w:rsidRDefault="000E4269" w:rsidP="00F85121">
      <w:pPr>
        <w:shd w:val="clear" w:color="auto" w:fill="FFFFFF"/>
        <w:ind w:left="360"/>
        <w:rPr>
          <w:rFonts w:cs="Arial"/>
          <w:szCs w:val="22"/>
          <w:lang w:val="x-none"/>
        </w:rPr>
      </w:pPr>
      <w:r w:rsidRPr="000E4269">
        <w:rPr>
          <w:rFonts w:cs="Arial"/>
          <w:szCs w:val="22"/>
          <w:lang w:val="x-none"/>
        </w:rPr>
        <w:t xml:space="preserve">– do sporządzenia rocznego sprawozdania o udzielonych zamówieniach </w:t>
      </w:r>
      <w:r w:rsidRPr="000E4269">
        <w:rPr>
          <w:rFonts w:cs="Arial"/>
          <w:szCs w:val="22"/>
        </w:rPr>
        <w:t>miały zastosowanie</w:t>
      </w:r>
      <w:r w:rsidRPr="000E4269">
        <w:rPr>
          <w:rFonts w:cs="Arial"/>
          <w:szCs w:val="22"/>
          <w:lang w:val="x-none"/>
        </w:rPr>
        <w:t xml:space="preserve"> przepisy ww. rozporządzenia.</w:t>
      </w:r>
    </w:p>
    <w:p w14:paraId="30451AFB" w14:textId="77777777" w:rsidR="000E4269" w:rsidRPr="000E4269" w:rsidRDefault="000E4269" w:rsidP="00F85121">
      <w:pPr>
        <w:shd w:val="clear" w:color="auto" w:fill="FFFFFF"/>
        <w:ind w:left="360"/>
        <w:rPr>
          <w:rFonts w:cs="Arial"/>
          <w:szCs w:val="22"/>
          <w:lang w:val="x-none"/>
        </w:rPr>
      </w:pPr>
      <w:r w:rsidRPr="000E4269">
        <w:rPr>
          <w:rFonts w:cs="Arial"/>
          <w:szCs w:val="22"/>
          <w:lang w:val="x-none"/>
        </w:rPr>
        <w:t>W przypadku postępowań o udzielenie zamówienia oraz postępowań o zawarcie umowy ramowej wszczętych i niezakończonych przed dniem 1 stycznia 2021 r. do sporządzenia rocznego sprawozdania o udzielonych zamówieniach</w:t>
      </w:r>
      <w:r w:rsidRPr="000E4269">
        <w:rPr>
          <w:rFonts w:cs="Arial"/>
          <w:szCs w:val="22"/>
        </w:rPr>
        <w:t xml:space="preserve"> miały zastosowanie</w:t>
      </w:r>
      <w:r w:rsidRPr="000E4269">
        <w:rPr>
          <w:rFonts w:cs="Arial"/>
          <w:szCs w:val="22"/>
          <w:lang w:val="x-none"/>
        </w:rPr>
        <w:t xml:space="preserve"> przepisy dotychczasowe, tj. przepisy rozporządzenia Ministra Rozwoju i Finansów z dnia 15 grudnia 2016 r. w sprawie informacji zawartych w rocznym sprawozdaniu o udzielonych zamówieniach, jego wzoru oraz sposobu przekazywania (Dz. U. poz. 2038).</w:t>
      </w:r>
    </w:p>
    <w:p w14:paraId="6628E69F" w14:textId="77777777" w:rsidR="000E4269" w:rsidRPr="000E4269" w:rsidRDefault="000E4269" w:rsidP="000E4269">
      <w:pPr>
        <w:shd w:val="clear" w:color="auto" w:fill="FFFFFF"/>
        <w:rPr>
          <w:rFonts w:cs="Arial"/>
          <w:szCs w:val="22"/>
          <w:lang w:val="x-none"/>
        </w:rPr>
      </w:pPr>
    </w:p>
    <w:p w14:paraId="4A2460FD" w14:textId="77777777" w:rsidR="000E4269" w:rsidRPr="000E4269" w:rsidRDefault="000E4269" w:rsidP="00E16264">
      <w:pPr>
        <w:numPr>
          <w:ilvl w:val="0"/>
          <w:numId w:val="33"/>
        </w:numPr>
        <w:shd w:val="clear" w:color="auto" w:fill="FFFFFF"/>
        <w:rPr>
          <w:rFonts w:cs="Arial"/>
          <w:i/>
          <w:iCs/>
          <w:szCs w:val="22"/>
          <w:lang w:val="x-none"/>
        </w:rPr>
      </w:pPr>
      <w:r w:rsidRPr="000E4269">
        <w:rPr>
          <w:rFonts w:cs="Arial"/>
          <w:b/>
          <w:bCs/>
          <w:szCs w:val="22"/>
          <w:lang w:val="x-none"/>
        </w:rPr>
        <w:t>Rozporządzenie Ministra Rozwoju i Technologii z dnia 20 grudnia 2021 r. w sprawie szczegółowego zakresu i formy dokumentacji projektowej, specyfikacji technicznych wykonania i odbioru robót budowlanych oraz programu funkcjonalno-użytkowego (Dz. U. poz. 2454)</w:t>
      </w:r>
      <w:r w:rsidRPr="000E4269">
        <w:rPr>
          <w:rFonts w:cs="Arial"/>
          <w:i/>
          <w:iCs/>
          <w:szCs w:val="22"/>
          <w:lang w:val="x-none"/>
        </w:rPr>
        <w:t xml:space="preserve"> – wydane na podstawie art. 103 ust. 4 ustawy Pzp; weszło w życie z dniem 1.01.2022 r.</w:t>
      </w:r>
    </w:p>
    <w:p w14:paraId="70A9B415" w14:textId="79340F59" w:rsidR="000E4269" w:rsidRDefault="000E4269" w:rsidP="00F85121">
      <w:pPr>
        <w:shd w:val="clear" w:color="auto" w:fill="FFFFFF"/>
        <w:ind w:left="360"/>
        <w:rPr>
          <w:rFonts w:cs="Arial"/>
          <w:szCs w:val="22"/>
          <w:lang w:val="x-none"/>
        </w:rPr>
      </w:pPr>
      <w:r w:rsidRPr="000E4269">
        <w:rPr>
          <w:rFonts w:cs="Arial"/>
          <w:szCs w:val="22"/>
        </w:rPr>
        <w:t>W 2022 r. d</w:t>
      </w:r>
      <w:r w:rsidRPr="000E4269">
        <w:rPr>
          <w:rFonts w:cs="Arial"/>
          <w:szCs w:val="22"/>
          <w:lang w:val="x-none"/>
        </w:rPr>
        <w:t>o postępowań o udzielenie zamówienia wszczętych i niezakończonych przed dniem 1.01.2022 r. w zakresie opisu przedmiotu zamówienia</w:t>
      </w:r>
      <w:r w:rsidR="009343A1">
        <w:rPr>
          <w:rFonts w:cs="Arial"/>
          <w:szCs w:val="22"/>
        </w:rPr>
        <w:t xml:space="preserve"> </w:t>
      </w:r>
      <w:r w:rsidRPr="000E4269">
        <w:rPr>
          <w:rFonts w:cs="Arial"/>
          <w:szCs w:val="22"/>
        </w:rPr>
        <w:t>na roboty budowlane</w:t>
      </w:r>
      <w:r w:rsidRPr="000E4269">
        <w:rPr>
          <w:rFonts w:cs="Arial"/>
          <w:szCs w:val="22"/>
          <w:lang w:val="x-none"/>
        </w:rPr>
        <w:t xml:space="preserve"> </w:t>
      </w:r>
      <w:r w:rsidRPr="000E4269">
        <w:rPr>
          <w:rFonts w:cs="Arial"/>
          <w:szCs w:val="22"/>
        </w:rPr>
        <w:t>miały zastosowanie</w:t>
      </w:r>
      <w:r w:rsidRPr="000E4269">
        <w:rPr>
          <w:rFonts w:cs="Arial"/>
          <w:szCs w:val="22"/>
          <w:lang w:val="x-none"/>
        </w:rPr>
        <w:t xml:space="preserve"> przepisy dotychczasowe, tj. przepisy rozporządzenia Ministra Infrastruktury z dnia 2 września 2004 r. w sprawie szczegółowego zakresu i formy dokumentacji projektowej, specyfikacji technicznych wykonania i odbioru robót budowlanych oraz programu funkcjonalno-użytkowego (Dz. U. z 2013 r. poz. 1129). W celu przygotowania lub przeprowadzenia postępowania o udzielenie zamówienia wszczynanego po dniu 31.12.2021 r. zamawiający </w:t>
      </w:r>
      <w:r w:rsidRPr="000E4269">
        <w:rPr>
          <w:rFonts w:cs="Arial"/>
          <w:szCs w:val="22"/>
        </w:rPr>
        <w:t>mógł</w:t>
      </w:r>
      <w:r w:rsidRPr="000E4269">
        <w:rPr>
          <w:rFonts w:cs="Arial"/>
          <w:szCs w:val="22"/>
          <w:lang w:val="x-none"/>
        </w:rPr>
        <w:t xml:space="preserve"> korzystać z dokumentacji projektowej, specyfikacji technicznych wykonania i odbioru robót budowlanych lub programu funkcjonalno-użytkowego, sporządzonych przed dniem wejścia w życie rozporządzenia, o ile w dacie ich sporządzenia spełniały one wymagania określone w ww. rozporządzeniu Ministra Infrastruktury z dnia 2 września 2004 r. </w:t>
      </w:r>
    </w:p>
    <w:p w14:paraId="2F0604FE" w14:textId="77777777" w:rsidR="00F85121" w:rsidRPr="000E4269" w:rsidRDefault="00F85121" w:rsidP="00F85121">
      <w:pPr>
        <w:shd w:val="clear" w:color="auto" w:fill="FFFFFF"/>
        <w:ind w:left="360"/>
        <w:rPr>
          <w:rFonts w:cs="Arial"/>
          <w:szCs w:val="22"/>
          <w:lang w:val="x-none"/>
        </w:rPr>
      </w:pPr>
    </w:p>
    <w:p w14:paraId="396E723B" w14:textId="4133E2C9"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Ministra Rozwoju, Pracy i Technologii z dnia 23 grudnia 2020 r. w sprawie podmiotowych środków dowodowych oraz innych dokumentów lub oświadczeń, jakich może żądać zamawiający od wykonawcy (Dz. U. poz. 2415)</w:t>
      </w:r>
      <w:r w:rsidRPr="000E4269">
        <w:rPr>
          <w:rFonts w:cs="Arial"/>
          <w:szCs w:val="22"/>
          <w:lang w:val="x-none"/>
        </w:rPr>
        <w:t xml:space="preserve"> – </w:t>
      </w:r>
      <w:r w:rsidRPr="000E4269">
        <w:rPr>
          <w:rFonts w:cs="Arial"/>
          <w:i/>
          <w:iCs/>
          <w:szCs w:val="22"/>
          <w:lang w:val="x-none"/>
        </w:rPr>
        <w:t>wydane na podstawie art. 128 ust. 6 ustawy Pzp; weszło w życie z dniem 1.01.2021 r.</w:t>
      </w:r>
      <w:r w:rsidRPr="000E4269">
        <w:rPr>
          <w:rFonts w:cs="Arial"/>
          <w:szCs w:val="22"/>
          <w:lang w:val="x-none"/>
        </w:rPr>
        <w:t xml:space="preserve"> </w:t>
      </w:r>
    </w:p>
    <w:p w14:paraId="7E900D9C" w14:textId="77777777" w:rsidR="00F85121" w:rsidRPr="000E4269" w:rsidRDefault="00F85121" w:rsidP="00F85121">
      <w:pPr>
        <w:shd w:val="clear" w:color="auto" w:fill="FFFFFF"/>
        <w:ind w:left="360"/>
        <w:rPr>
          <w:rFonts w:cs="Arial"/>
          <w:szCs w:val="22"/>
          <w:lang w:val="x-none"/>
        </w:rPr>
      </w:pPr>
    </w:p>
    <w:p w14:paraId="5D210AC9" w14:textId="27578265" w:rsidR="000E4269" w:rsidRPr="000E4269" w:rsidRDefault="000E4269" w:rsidP="00E16264">
      <w:pPr>
        <w:numPr>
          <w:ilvl w:val="0"/>
          <w:numId w:val="33"/>
        </w:numPr>
        <w:shd w:val="clear" w:color="auto" w:fill="FFFFFF"/>
        <w:rPr>
          <w:rFonts w:cs="Arial"/>
          <w:i/>
          <w:iCs/>
          <w:szCs w:val="22"/>
          <w:lang w:val="x-none"/>
        </w:rPr>
      </w:pPr>
      <w:r w:rsidRPr="00F85121">
        <w:rPr>
          <w:rFonts w:cs="Arial"/>
          <w:b/>
          <w:bCs/>
          <w:szCs w:val="22"/>
          <w:lang w:val="x-none"/>
        </w:rPr>
        <w:t>Rozporządzenie Ministra Rozwoju i Technologii z dnia 23 listopada 2021 r. w sprawie metody kalkulacji kosztów cyklu życia budynków oraz sposobu przedstawiania informacji o tych kosztach</w:t>
      </w:r>
      <w:r w:rsidR="009343A1">
        <w:rPr>
          <w:rFonts w:cs="Arial"/>
          <w:b/>
          <w:bCs/>
          <w:szCs w:val="22"/>
          <w:lang w:val="x-none"/>
        </w:rPr>
        <w:t xml:space="preserve"> </w:t>
      </w:r>
      <w:r w:rsidRPr="00F85121">
        <w:rPr>
          <w:rFonts w:cs="Arial"/>
          <w:b/>
          <w:bCs/>
          <w:szCs w:val="22"/>
          <w:lang w:val="x-none"/>
        </w:rPr>
        <w:t>(Dz. U. poz. 2276)</w:t>
      </w:r>
      <w:r w:rsidRPr="000E4269">
        <w:rPr>
          <w:rFonts w:cs="Arial"/>
          <w:i/>
          <w:iCs/>
          <w:szCs w:val="22"/>
          <w:lang w:val="x-none"/>
        </w:rPr>
        <w:t xml:space="preserve"> – wydane na podstawie art. 245 ust. 7 ustawy Pzp; weszło w życie z dniem 1.01.2022 r.</w:t>
      </w:r>
    </w:p>
    <w:p w14:paraId="57A7BA8D" w14:textId="77777777" w:rsidR="000E4269" w:rsidRPr="000E4269" w:rsidRDefault="000E4269" w:rsidP="00F85121">
      <w:pPr>
        <w:shd w:val="clear" w:color="auto" w:fill="FFFFFF"/>
        <w:ind w:left="360"/>
        <w:rPr>
          <w:rFonts w:cs="Arial"/>
          <w:szCs w:val="22"/>
          <w:lang w:val="x-none"/>
        </w:rPr>
      </w:pPr>
      <w:r w:rsidRPr="000E4269">
        <w:rPr>
          <w:rFonts w:cs="Arial"/>
          <w:szCs w:val="22"/>
          <w:lang w:val="x-none"/>
        </w:rPr>
        <w:t>Rozporządzenie było poprzedzone rozporządzeniem Ministra Inwestycji i Rozwoju z dnia 11 lipca 2018 r. w sprawie metody kalkulacji kosztów cyklu życia budynków oraz sposobu przedstawiania informacji o tych kosztach (Dz. U. poz. 1357), które utraciło moc z dniem 1.01.2022 r.</w:t>
      </w:r>
    </w:p>
    <w:p w14:paraId="58ACA4E3" w14:textId="0F236520" w:rsidR="000E4269" w:rsidRDefault="000E4269" w:rsidP="00F85121">
      <w:pPr>
        <w:shd w:val="clear" w:color="auto" w:fill="FFFFFF"/>
        <w:ind w:left="360"/>
        <w:rPr>
          <w:rFonts w:cs="Arial"/>
          <w:szCs w:val="22"/>
          <w:lang w:val="x-none"/>
        </w:rPr>
      </w:pPr>
      <w:r w:rsidRPr="000E4269">
        <w:rPr>
          <w:rFonts w:cs="Arial"/>
          <w:szCs w:val="22"/>
          <w:lang w:val="x-none"/>
        </w:rPr>
        <w:t xml:space="preserve">Obowiązujące rozporządzenie nie zmienia dotychczasowych zasad w zakresie określania metody kalkulacji kosztów cyklu życia budynku oraz sposobu przedstawiania informacji o tych kosztach. </w:t>
      </w:r>
    </w:p>
    <w:p w14:paraId="5BEB2C34" w14:textId="77777777" w:rsidR="00F85121" w:rsidRPr="000E4269" w:rsidRDefault="00F85121" w:rsidP="00F85121">
      <w:pPr>
        <w:shd w:val="clear" w:color="auto" w:fill="FFFFFF"/>
        <w:ind w:left="360"/>
        <w:rPr>
          <w:rFonts w:cs="Arial"/>
          <w:szCs w:val="22"/>
          <w:lang w:val="x-none"/>
        </w:rPr>
      </w:pPr>
    </w:p>
    <w:p w14:paraId="723E875B" w14:textId="680BADD7"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Ministra Rozwoju, Pracy i Technologii z dnia 23 grudnia 2020 r. w sprawie ogłoszeń zamieszczanych w Biuletynie Zamówień Publicznych (Dz. U. poz. 2439)</w:t>
      </w:r>
      <w:r w:rsidRPr="000E4269">
        <w:rPr>
          <w:rFonts w:cs="Arial"/>
          <w:szCs w:val="22"/>
          <w:lang w:val="x-none"/>
        </w:rPr>
        <w:t xml:space="preserve"> – </w:t>
      </w:r>
      <w:r w:rsidRPr="000E4269">
        <w:rPr>
          <w:rFonts w:cs="Arial"/>
          <w:i/>
          <w:iCs/>
          <w:szCs w:val="22"/>
          <w:lang w:val="x-none"/>
        </w:rPr>
        <w:t>wydane na podstawie art. 272 ust. 2 ustawy Pzp; weszło w życie z dniem 1.01.2021 r.</w:t>
      </w:r>
      <w:r w:rsidRPr="000E4269">
        <w:rPr>
          <w:rFonts w:cs="Arial"/>
          <w:szCs w:val="22"/>
          <w:lang w:val="x-none"/>
        </w:rPr>
        <w:t xml:space="preserve"> </w:t>
      </w:r>
    </w:p>
    <w:p w14:paraId="231900FA" w14:textId="77777777" w:rsidR="00F85121" w:rsidRPr="000E4269" w:rsidRDefault="00F85121" w:rsidP="00F85121">
      <w:pPr>
        <w:shd w:val="clear" w:color="auto" w:fill="FFFFFF"/>
        <w:ind w:left="360"/>
        <w:rPr>
          <w:rFonts w:cs="Arial"/>
          <w:szCs w:val="22"/>
          <w:lang w:val="x-none"/>
        </w:rPr>
      </w:pPr>
    </w:p>
    <w:p w14:paraId="63DBA7AA" w14:textId="11473191"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Rady Ministrów z dnia 28 grudnia 2020 r. w sprawie organów właściwych do występowania do Komisji Europejskiej z wnioskiem o stwierdzenie prowadzenia działalności na rynku konkurencyjnym, do którego dostęp nie jest ograniczony (Dz. U. poz. 2460)</w:t>
      </w:r>
      <w:r w:rsidRPr="000E4269">
        <w:rPr>
          <w:rFonts w:cs="Arial"/>
          <w:szCs w:val="22"/>
          <w:lang w:val="x-none"/>
        </w:rPr>
        <w:t xml:space="preserve"> – </w:t>
      </w:r>
      <w:r w:rsidRPr="000E4269">
        <w:rPr>
          <w:rFonts w:cs="Arial"/>
          <w:i/>
          <w:iCs/>
          <w:szCs w:val="22"/>
          <w:lang w:val="x-none"/>
        </w:rPr>
        <w:t>wydane na podstawie art. 394 ust. 4 ustawy Pzp; weszło w życie z dniem 1.01.2021 r.</w:t>
      </w:r>
      <w:r w:rsidRPr="000E4269">
        <w:rPr>
          <w:rFonts w:cs="Arial"/>
          <w:szCs w:val="22"/>
          <w:lang w:val="x-none"/>
        </w:rPr>
        <w:t xml:space="preserve"> </w:t>
      </w:r>
    </w:p>
    <w:p w14:paraId="73454ABC" w14:textId="77777777" w:rsidR="00F85121" w:rsidRPr="000E4269" w:rsidRDefault="00F85121" w:rsidP="00F85121">
      <w:pPr>
        <w:shd w:val="clear" w:color="auto" w:fill="FFFFFF"/>
        <w:ind w:left="360"/>
        <w:rPr>
          <w:rFonts w:cs="Arial"/>
          <w:szCs w:val="22"/>
          <w:lang w:val="x-none"/>
        </w:rPr>
      </w:pPr>
    </w:p>
    <w:p w14:paraId="7CBC1D77" w14:textId="4450FDF1"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Prezesa Rady Ministrów z dnia 22 lutego 2021 r. w sprawie trybu przeprowadzania postępowania kwalifikacyjnego oraz uzupełniającego postępowania kwalifikacyjnego dla kandydatów na członków Krajowej Izby Odwoławczej (Dz. U. poz. 381)</w:t>
      </w:r>
      <w:r w:rsidRPr="000E4269">
        <w:rPr>
          <w:rFonts w:cs="Arial"/>
          <w:szCs w:val="22"/>
          <w:lang w:val="x-none"/>
        </w:rPr>
        <w:t xml:space="preserve"> – </w:t>
      </w:r>
      <w:r w:rsidRPr="000E4269">
        <w:rPr>
          <w:rFonts w:cs="Arial"/>
          <w:i/>
          <w:iCs/>
          <w:szCs w:val="22"/>
          <w:lang w:val="x-none"/>
        </w:rPr>
        <w:t>wydane na podstawie art. 477 ust. 10 ustawy Pzp; weszło w życie z dniem 17.03.2021 r.</w:t>
      </w:r>
      <w:r w:rsidRPr="000E4269">
        <w:rPr>
          <w:rFonts w:cs="Arial"/>
          <w:szCs w:val="22"/>
          <w:lang w:val="x-none"/>
        </w:rPr>
        <w:t xml:space="preserve"> </w:t>
      </w:r>
    </w:p>
    <w:p w14:paraId="722AD2E6" w14:textId="77777777" w:rsidR="00F85121" w:rsidRPr="000E4269" w:rsidRDefault="00F85121" w:rsidP="00F85121">
      <w:pPr>
        <w:shd w:val="clear" w:color="auto" w:fill="FFFFFF"/>
        <w:ind w:left="360"/>
        <w:rPr>
          <w:rFonts w:cs="Arial"/>
          <w:szCs w:val="22"/>
          <w:lang w:val="x-none"/>
        </w:rPr>
      </w:pPr>
    </w:p>
    <w:p w14:paraId="57C34FF8" w14:textId="6FE9C547" w:rsidR="000E4269" w:rsidRDefault="000E4269" w:rsidP="00E16264">
      <w:pPr>
        <w:numPr>
          <w:ilvl w:val="0"/>
          <w:numId w:val="33"/>
        </w:numPr>
        <w:shd w:val="clear" w:color="auto" w:fill="FFFFFF"/>
        <w:rPr>
          <w:rFonts w:cs="Arial"/>
          <w:szCs w:val="22"/>
          <w:lang w:val="x-none"/>
        </w:rPr>
      </w:pPr>
      <w:r w:rsidRPr="000E4269">
        <w:rPr>
          <w:rFonts w:cs="Arial"/>
          <w:b/>
          <w:bCs/>
          <w:szCs w:val="22"/>
          <w:lang w:val="x-none"/>
        </w:rPr>
        <w:t>Rozporządzenie Prezesa Rady Ministrów z dnia 18 marca 2021 r. w sprawie wielokrotności kwoty bazowej stanowiącej podstawę ustalenia wynagrodzenia zasadniczego Prezesa, wiceprezesa oraz pozostałych członków Krajowej Izby Odwoławczej (Dz. U. poz. 525)</w:t>
      </w:r>
      <w:r w:rsidRPr="000E4269">
        <w:rPr>
          <w:rFonts w:cs="Arial"/>
          <w:szCs w:val="22"/>
          <w:lang w:val="x-none"/>
        </w:rPr>
        <w:t xml:space="preserve"> – </w:t>
      </w:r>
      <w:r w:rsidRPr="000E4269">
        <w:rPr>
          <w:rFonts w:cs="Arial"/>
          <w:i/>
          <w:iCs/>
          <w:szCs w:val="22"/>
          <w:lang w:val="x-none"/>
        </w:rPr>
        <w:t>wydane na podstawie art. 484 ust. 5 ustawy Pzp; weszło w życie z dniem 7.04.2021 r.</w:t>
      </w:r>
      <w:r w:rsidRPr="000E4269">
        <w:rPr>
          <w:rFonts w:cs="Arial"/>
          <w:szCs w:val="22"/>
          <w:lang w:val="x-none"/>
        </w:rPr>
        <w:t xml:space="preserve"> </w:t>
      </w:r>
    </w:p>
    <w:p w14:paraId="76421B38" w14:textId="77777777" w:rsidR="00F85121" w:rsidRPr="000E4269" w:rsidRDefault="00F85121" w:rsidP="00F85121">
      <w:pPr>
        <w:shd w:val="clear" w:color="auto" w:fill="FFFFFF"/>
        <w:ind w:left="360"/>
        <w:rPr>
          <w:rFonts w:cs="Arial"/>
          <w:szCs w:val="22"/>
          <w:lang w:val="x-none"/>
        </w:rPr>
      </w:pPr>
    </w:p>
    <w:p w14:paraId="7ADFD31A" w14:textId="611B18DF" w:rsidR="000E4269" w:rsidRPr="00F85121" w:rsidRDefault="000E4269" w:rsidP="00E16264">
      <w:pPr>
        <w:numPr>
          <w:ilvl w:val="0"/>
          <w:numId w:val="33"/>
        </w:numPr>
        <w:shd w:val="clear" w:color="auto" w:fill="FFFFFF"/>
        <w:rPr>
          <w:rFonts w:cs="Arial"/>
          <w:szCs w:val="22"/>
          <w:lang w:val="x-none"/>
        </w:rPr>
      </w:pPr>
      <w:r w:rsidRPr="000E4269">
        <w:rPr>
          <w:rFonts w:cs="Arial"/>
          <w:b/>
          <w:bCs/>
          <w:szCs w:val="22"/>
          <w:lang w:val="x-none"/>
        </w:rPr>
        <w:t xml:space="preserve">Rozporządzenie Ministra Rozwoju, Pracy i Technologii z dnia 22 grudnia 2020 r. w sprawie wysokości wynagrodzenia przewodniczącego, wiceprzewodniczącego i pozostałych członków Rady Zamówień Publicznych (Dz. U. poz. 2397) </w:t>
      </w:r>
      <w:r w:rsidRPr="000E4269">
        <w:rPr>
          <w:rFonts w:cs="Arial"/>
          <w:i/>
          <w:iCs/>
          <w:szCs w:val="22"/>
          <w:lang w:val="x-none"/>
        </w:rPr>
        <w:t xml:space="preserve">– wydane na podstawie art. 504 ust. 2 ustawy Pzp; weszło w życie z dniem 1.01.2021 r. </w:t>
      </w:r>
    </w:p>
    <w:p w14:paraId="679601A5" w14:textId="77777777" w:rsidR="00F85121" w:rsidRPr="000E4269" w:rsidRDefault="00F85121" w:rsidP="00F85121">
      <w:pPr>
        <w:shd w:val="clear" w:color="auto" w:fill="FFFFFF"/>
        <w:ind w:left="360"/>
        <w:rPr>
          <w:rFonts w:cs="Arial"/>
          <w:szCs w:val="22"/>
          <w:lang w:val="x-none"/>
        </w:rPr>
      </w:pPr>
    </w:p>
    <w:p w14:paraId="77B28FDE" w14:textId="00CA0098" w:rsidR="000E4269" w:rsidRPr="00F85121" w:rsidRDefault="000E4269" w:rsidP="00E16264">
      <w:pPr>
        <w:numPr>
          <w:ilvl w:val="0"/>
          <w:numId w:val="33"/>
        </w:numPr>
        <w:shd w:val="clear" w:color="auto" w:fill="FFFFFF"/>
        <w:rPr>
          <w:rFonts w:cs="Arial"/>
          <w:szCs w:val="22"/>
          <w:lang w:val="x-none"/>
        </w:rPr>
      </w:pPr>
      <w:r w:rsidRPr="000E4269">
        <w:rPr>
          <w:rFonts w:cs="Arial"/>
          <w:b/>
          <w:bCs/>
          <w:szCs w:val="22"/>
          <w:lang w:val="x-none"/>
        </w:rPr>
        <w:t xml:space="preserve">Rozporządzenie Prezesa Rady Ministrów z dnia 30 grudnia 2020 r. w sprawie postępowania przy rozpoznawaniu odwołań przez Krajową Izbę Odwoławczą (Dz. U. poz. 2453) </w:t>
      </w:r>
      <w:r w:rsidRPr="000E4269">
        <w:rPr>
          <w:rFonts w:cs="Arial"/>
          <w:i/>
          <w:iCs/>
          <w:szCs w:val="22"/>
          <w:lang w:val="x-none"/>
        </w:rPr>
        <w:t xml:space="preserve">– wydane na podstawie art. 544 ust. 4 ustawy Pzp; weszło w życie z dniem 1.01.2021 r. </w:t>
      </w:r>
    </w:p>
    <w:p w14:paraId="60857F0A" w14:textId="77777777" w:rsidR="00F85121" w:rsidRPr="000E4269" w:rsidRDefault="00F85121" w:rsidP="00F85121">
      <w:pPr>
        <w:shd w:val="clear" w:color="auto" w:fill="FFFFFF"/>
        <w:ind w:left="360"/>
        <w:rPr>
          <w:rFonts w:cs="Arial"/>
          <w:szCs w:val="22"/>
          <w:lang w:val="x-none"/>
        </w:rPr>
      </w:pPr>
    </w:p>
    <w:p w14:paraId="18462891" w14:textId="77777777" w:rsidR="000E4269" w:rsidRPr="000E4269" w:rsidRDefault="000E4269" w:rsidP="00E16264">
      <w:pPr>
        <w:numPr>
          <w:ilvl w:val="0"/>
          <w:numId w:val="33"/>
        </w:numPr>
        <w:shd w:val="clear" w:color="auto" w:fill="FFFFFF"/>
        <w:rPr>
          <w:rFonts w:cs="Arial"/>
          <w:szCs w:val="22"/>
          <w:lang w:val="x-none"/>
        </w:rPr>
      </w:pPr>
      <w:r w:rsidRPr="000E4269">
        <w:rPr>
          <w:rFonts w:cs="Arial"/>
          <w:b/>
          <w:bCs/>
          <w:szCs w:val="22"/>
          <w:lang w:val="x-none"/>
        </w:rPr>
        <w:t xml:space="preserve">Rozporządzenie Prezesa Rady Ministrów z dnia 30 grudnia 2020 r. w sprawie szczegółowych rodzajów kosztów postępowania odwoławczego, ich rozliczania oraz wysokości i sposobu pobierania wpisu od odwołania (Dz. U. poz. 2437) </w:t>
      </w:r>
      <w:r w:rsidRPr="000E4269">
        <w:rPr>
          <w:rFonts w:cs="Arial"/>
          <w:i/>
          <w:iCs/>
          <w:szCs w:val="22"/>
          <w:lang w:val="x-none"/>
        </w:rPr>
        <w:t xml:space="preserve">– wydane na podstawie art. 576 ustawy Pzp; weszło w życie z dniem 1.01.2021 r. </w:t>
      </w:r>
    </w:p>
    <w:p w14:paraId="5EFF65FC" w14:textId="77777777" w:rsidR="00557D40" w:rsidRDefault="00557D40" w:rsidP="00B269A9">
      <w:pPr>
        <w:shd w:val="clear" w:color="auto" w:fill="FFFFFF"/>
        <w:rPr>
          <w:rFonts w:cs="Arial"/>
          <w:szCs w:val="22"/>
        </w:rPr>
      </w:pPr>
    </w:p>
    <w:p w14:paraId="085EC381" w14:textId="02763D92" w:rsidR="00176893" w:rsidRDefault="00176893" w:rsidP="00B269A9">
      <w:pPr>
        <w:shd w:val="clear" w:color="auto" w:fill="FFFFFF"/>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B269A9" w:rsidRPr="00A855CF" w14:paraId="4AAE8C55" w14:textId="77777777" w:rsidTr="00CB1AE2">
        <w:tc>
          <w:tcPr>
            <w:tcW w:w="9180" w:type="dxa"/>
            <w:shd w:val="clear" w:color="auto" w:fill="auto"/>
          </w:tcPr>
          <w:p w14:paraId="5155C001" w14:textId="77777777" w:rsidR="00B269A9" w:rsidRPr="00D2016D" w:rsidRDefault="00B269A9" w:rsidP="00CB1AE2">
            <w:pPr>
              <w:spacing w:before="120" w:after="120"/>
              <w:jc w:val="right"/>
              <w:rPr>
                <w:b/>
                <w:color w:val="0070C0"/>
                <w:sz w:val="24"/>
              </w:rPr>
            </w:pPr>
            <w:r w:rsidRPr="00D2016D">
              <w:rPr>
                <w:rFonts w:cs="Arial"/>
                <w:color w:val="0070C0"/>
                <w:szCs w:val="22"/>
              </w:rPr>
              <w:br w:type="page"/>
            </w:r>
            <w:r w:rsidRPr="00D2016D">
              <w:rPr>
                <w:rFonts w:cs="Arial"/>
                <w:color w:val="0070C0"/>
                <w:szCs w:val="22"/>
              </w:rPr>
              <w:br w:type="page"/>
            </w:r>
            <w:r w:rsidRPr="00D2016D">
              <w:rPr>
                <w:rFonts w:cs="Arial"/>
                <w:color w:val="0070C0"/>
                <w:sz w:val="20"/>
                <w:szCs w:val="20"/>
              </w:rPr>
              <w:br w:type="page"/>
            </w:r>
            <w:bookmarkStart w:id="282" w:name="Zał_2"/>
            <w:bookmarkEnd w:id="282"/>
            <w:r w:rsidRPr="00D2016D">
              <w:rPr>
                <w:b/>
                <w:color w:val="0070C0"/>
                <w:sz w:val="24"/>
              </w:rPr>
              <w:t>Załącznik nr 2</w:t>
            </w:r>
          </w:p>
        </w:tc>
        <w:tc>
          <w:tcPr>
            <w:tcW w:w="236" w:type="dxa"/>
            <w:shd w:val="clear" w:color="auto" w:fill="2E74B5"/>
          </w:tcPr>
          <w:p w14:paraId="61B3D2E5" w14:textId="77777777" w:rsidR="00B269A9" w:rsidRPr="00A855CF" w:rsidRDefault="00B269A9" w:rsidP="00CB1AE2">
            <w:pPr>
              <w:spacing w:before="120" w:after="120"/>
              <w:jc w:val="right"/>
              <w:rPr>
                <w:b/>
                <w:sz w:val="24"/>
              </w:rPr>
            </w:pPr>
          </w:p>
        </w:tc>
      </w:tr>
    </w:tbl>
    <w:p w14:paraId="254A7D5C" w14:textId="77777777" w:rsidR="00B269A9" w:rsidRPr="002555B1" w:rsidRDefault="00B269A9" w:rsidP="00B269A9">
      <w:pPr>
        <w:rPr>
          <w:rFonts w:cs="Arial"/>
          <w:bCs/>
          <w:sz w:val="16"/>
          <w:szCs w:val="16"/>
        </w:rPr>
      </w:pPr>
    </w:p>
    <w:p w14:paraId="35B7FC27" w14:textId="039DD876" w:rsidR="00B269A9" w:rsidRPr="001B6900" w:rsidRDefault="00B269A9" w:rsidP="00B269A9">
      <w:pPr>
        <w:shd w:val="clear" w:color="auto" w:fill="FFFFFF"/>
        <w:jc w:val="center"/>
        <w:rPr>
          <w:rFonts w:cs="Arial"/>
          <w:b/>
        </w:rPr>
      </w:pPr>
      <w:r w:rsidRPr="001B6900">
        <w:rPr>
          <w:rFonts w:cs="Arial"/>
          <w:b/>
        </w:rPr>
        <w:t>Wykaz aktów prawnych obowiązujących w 20</w:t>
      </w:r>
      <w:r>
        <w:rPr>
          <w:rFonts w:cs="Arial"/>
          <w:b/>
        </w:rPr>
        <w:t>2</w:t>
      </w:r>
      <w:r w:rsidR="002005A1">
        <w:rPr>
          <w:rFonts w:cs="Arial"/>
          <w:b/>
        </w:rPr>
        <w:t>2</w:t>
      </w:r>
      <w:r w:rsidRPr="001B6900">
        <w:rPr>
          <w:rFonts w:cs="Arial"/>
          <w:b/>
        </w:rPr>
        <w:t xml:space="preserve"> r. regulujących zagadnienia </w:t>
      </w:r>
    </w:p>
    <w:p w14:paraId="6E5133D0" w14:textId="77777777" w:rsidR="00B269A9" w:rsidRDefault="00B269A9" w:rsidP="00B269A9">
      <w:pPr>
        <w:shd w:val="clear" w:color="auto" w:fill="FFFFFF"/>
        <w:jc w:val="center"/>
        <w:rPr>
          <w:rFonts w:cs="Arial"/>
        </w:rPr>
      </w:pPr>
      <w:r w:rsidRPr="001B6900">
        <w:rPr>
          <w:rFonts w:cs="Arial"/>
          <w:b/>
        </w:rPr>
        <w:t>z dziedziny zamówień publicznych na szczeblu unijnym</w:t>
      </w:r>
    </w:p>
    <w:p w14:paraId="3C3DB5FD" w14:textId="77777777" w:rsidR="00B269A9" w:rsidRPr="006945A9" w:rsidRDefault="00B269A9" w:rsidP="00B269A9">
      <w:pPr>
        <w:shd w:val="clear" w:color="auto" w:fill="FFFFFF"/>
        <w:rPr>
          <w:rFonts w:cs="Arial"/>
          <w:szCs w:val="22"/>
        </w:rPr>
      </w:pPr>
    </w:p>
    <w:p w14:paraId="088A2BAE" w14:textId="77777777" w:rsidR="00C609C6" w:rsidRPr="00C609C6" w:rsidRDefault="00C609C6" w:rsidP="00C609C6">
      <w:pPr>
        <w:shd w:val="clear" w:color="auto" w:fill="FFFFFF"/>
        <w:rPr>
          <w:rFonts w:cs="Arial"/>
          <w:b/>
          <w:color w:val="0070C0"/>
          <w:szCs w:val="22"/>
        </w:rPr>
      </w:pPr>
      <w:r w:rsidRPr="00C609C6">
        <w:rPr>
          <w:rFonts w:cs="Arial"/>
          <w:b/>
          <w:color w:val="0070C0"/>
          <w:szCs w:val="22"/>
        </w:rPr>
        <w:t>Dyrektywy</w:t>
      </w:r>
    </w:p>
    <w:p w14:paraId="37BA7054" w14:textId="636A5A0C"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w:t>
      </w:r>
      <w:r w:rsidRPr="00C609C6">
        <w:rPr>
          <w:rFonts w:cs="Arial"/>
          <w:b/>
          <w:bCs/>
          <w:sz w:val="22"/>
          <w:szCs w:val="22"/>
        </w:rPr>
        <w:t>2014/24/UE</w:t>
      </w:r>
      <w:r w:rsidRPr="00C609C6">
        <w:rPr>
          <w:rFonts w:cs="Arial"/>
          <w:sz w:val="22"/>
          <w:szCs w:val="22"/>
        </w:rPr>
        <w:t xml:space="preserve"> Parlamentu Europejskiego i Rady z dnia 26 lutego 2014 r. w sprawie zamówień publicznych, uchylająca dyrektywę 2004/18/WE (Dz. Urz. UE L 94 z 28.03.2014, str. 65, z późn. zm.) </w:t>
      </w:r>
      <w:r w:rsidRPr="00C609C6">
        <w:rPr>
          <w:rFonts w:cs="Arial"/>
          <w:i/>
          <w:iCs/>
          <w:sz w:val="22"/>
          <w:szCs w:val="22"/>
        </w:rPr>
        <w:t>(tzw. dyrektywa klasyczna)</w:t>
      </w:r>
    </w:p>
    <w:p w14:paraId="06741040" w14:textId="46E54A6C"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w:t>
      </w:r>
      <w:r w:rsidRPr="00C609C6">
        <w:rPr>
          <w:rFonts w:cs="Arial"/>
          <w:b/>
          <w:bCs/>
          <w:sz w:val="22"/>
          <w:szCs w:val="22"/>
        </w:rPr>
        <w:t>2014/25/UE</w:t>
      </w:r>
      <w:r w:rsidRPr="00C609C6">
        <w:rPr>
          <w:rFonts w:cs="Arial"/>
          <w:sz w:val="22"/>
          <w:szCs w:val="22"/>
        </w:rPr>
        <w:t xml:space="preserve"> Parlamentu Europejskiego i Rady z dnia 26 lutego 2014 r. w sprawie udzielania zamówień przez podmioty działające w sektorach gospodarki wodnej, energetyki, transportu i usług pocztowych, uchylająca dyrektywę 2004/17/WE (Dz. Urz. UE L 94 z 28.03.2014, str. 243, z późn. zm.) </w:t>
      </w:r>
      <w:r w:rsidRPr="00C609C6">
        <w:rPr>
          <w:rFonts w:cs="Arial"/>
          <w:i/>
          <w:iCs/>
          <w:sz w:val="22"/>
          <w:szCs w:val="22"/>
        </w:rPr>
        <w:t>(tzw. dyrektywa sektorowa)</w:t>
      </w:r>
    </w:p>
    <w:p w14:paraId="2DA01089" w14:textId="3BBD8182"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w:t>
      </w:r>
      <w:r w:rsidRPr="00C609C6">
        <w:rPr>
          <w:rFonts w:cs="Arial"/>
          <w:b/>
          <w:bCs/>
          <w:sz w:val="22"/>
          <w:szCs w:val="22"/>
        </w:rPr>
        <w:t>2014/23/UE</w:t>
      </w:r>
      <w:r w:rsidRPr="00C609C6">
        <w:rPr>
          <w:rFonts w:cs="Arial"/>
          <w:sz w:val="22"/>
          <w:szCs w:val="22"/>
        </w:rPr>
        <w:t xml:space="preserve"> Parlamentu Europejskiego i Rady z dnia 26 lutego 2014 r. w sprawie udzielania koncesji (Dz. Urz. UE L 94 z 28.03.2014, str. 1, z późn. zm</w:t>
      </w:r>
      <w:r w:rsidRPr="00C609C6">
        <w:rPr>
          <w:rFonts w:cs="Arial"/>
          <w:i/>
          <w:sz w:val="22"/>
          <w:szCs w:val="22"/>
        </w:rPr>
        <w:t>.) (tzw. dyrektywa koncesyjna).</w:t>
      </w:r>
    </w:p>
    <w:p w14:paraId="70A734D4" w14:textId="75253C2D"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w:t>
      </w:r>
      <w:r w:rsidRPr="00C609C6">
        <w:rPr>
          <w:rFonts w:cs="Arial"/>
          <w:b/>
          <w:bCs/>
          <w:sz w:val="22"/>
          <w:szCs w:val="22"/>
        </w:rPr>
        <w:t>2009/81/WE</w:t>
      </w:r>
      <w:r w:rsidRPr="00C609C6">
        <w:rPr>
          <w:rFonts w:cs="Arial"/>
          <w:sz w:val="22"/>
          <w:szCs w:val="22"/>
        </w:rPr>
        <w:t xml:space="preserve"> Parlamentu Europejskiego i Rady z dnia 13 lipca 2009 r. w sprawie koordynacji procedur udzielania niektórych zamówień na roboty budowlane, dostawy i usługi przez instytucje lub podmioty zamawiające w dziedzinach obronności i bezpieczeństwa i zmieniająca dyrektywy 2004/17/WE i 2004/18/WE (Dz. Urz. UE L 216 z 20.08.2009, str. 76, z późn. zm.) </w:t>
      </w:r>
      <w:r w:rsidRPr="00C609C6">
        <w:rPr>
          <w:rFonts w:cs="Arial"/>
          <w:i/>
          <w:iCs/>
          <w:sz w:val="22"/>
          <w:szCs w:val="22"/>
        </w:rPr>
        <w:t>(tzw. dyrektywa obronna).</w:t>
      </w:r>
    </w:p>
    <w:p w14:paraId="67C1F9AB" w14:textId="2A4D8CEA"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Rady </w:t>
      </w:r>
      <w:r w:rsidRPr="00C609C6">
        <w:rPr>
          <w:rFonts w:cs="Arial"/>
          <w:b/>
          <w:bCs/>
          <w:sz w:val="22"/>
          <w:szCs w:val="22"/>
        </w:rPr>
        <w:t>89/665/EWG</w:t>
      </w:r>
      <w:r w:rsidRPr="00C609C6">
        <w:rPr>
          <w:rFonts w:cs="Arial"/>
          <w:sz w:val="22"/>
          <w:szCs w:val="22"/>
        </w:rPr>
        <w:t xml:space="preserve"> z dnia 21 grudnia 1989 r. w sprawie koordynacji przepisów ustawowych, wykonawczych i administracyjnych odnoszących się do stosowania procedur odwoławczych w zakresie udzielania zamówień publicznych na dostawy i roboty budowlane (</w:t>
      </w:r>
      <w:r w:rsidR="009006AE" w:rsidRPr="009006AE">
        <w:rPr>
          <w:rFonts w:cs="Arial"/>
          <w:sz w:val="22"/>
          <w:szCs w:val="22"/>
          <w:lang w:val="pl-PL"/>
        </w:rPr>
        <w:t>Dz. Urz. WE L 395 z 30.12.1989, str. 33, z późn. zm.; Dz. Urz. UE Polskie wydanie specjalne, rozdz. 6, t. 1, str. 246</w:t>
      </w:r>
      <w:r w:rsidRPr="00C609C6">
        <w:rPr>
          <w:rFonts w:cs="Arial"/>
          <w:sz w:val="22"/>
          <w:szCs w:val="22"/>
        </w:rPr>
        <w:t xml:space="preserve">) oraz Dyrektywa Rady </w:t>
      </w:r>
      <w:r w:rsidRPr="00C609C6">
        <w:rPr>
          <w:rFonts w:cs="Arial"/>
          <w:b/>
          <w:sz w:val="22"/>
          <w:szCs w:val="22"/>
        </w:rPr>
        <w:t>92/13/EWG</w:t>
      </w:r>
      <w:r w:rsidRPr="00C609C6">
        <w:rPr>
          <w:rFonts w:cs="Arial"/>
          <w:sz w:val="22"/>
          <w:szCs w:val="22"/>
        </w:rPr>
        <w:t xml:space="preserve"> z dnia 25 lutego 1992 r. koordynująca przepisy ustawowe, wykonawcze i administracyjne odnoszące się do stosowania przepisów wspólnotowych w procedurach zamówień publicznych podmiotów działających w sektorach gospodarki wodnej, energetyki, transportu i telekomunikacji (</w:t>
      </w:r>
      <w:r w:rsidR="009006AE" w:rsidRPr="009006AE">
        <w:rPr>
          <w:rFonts w:cs="Arial"/>
          <w:sz w:val="22"/>
          <w:szCs w:val="22"/>
          <w:lang w:val="pl-PL"/>
        </w:rPr>
        <w:t>Dz. Urz. WE L 76 z 23.03.1992, str. 14, z późn. zm.; Dz. Urz. UE Polskie wydanie specjalne, rozdz. 6, t. 1, str. 315</w:t>
      </w:r>
      <w:r w:rsidR="009006AE" w:rsidRPr="009006AE" w:rsidDel="009006AE">
        <w:rPr>
          <w:rFonts w:cs="Arial"/>
          <w:sz w:val="22"/>
          <w:szCs w:val="22"/>
          <w:lang w:val="pl-PL"/>
        </w:rPr>
        <w:t xml:space="preserve"> </w:t>
      </w:r>
      <w:r w:rsidRPr="00C609C6">
        <w:rPr>
          <w:rFonts w:cs="Arial"/>
          <w:sz w:val="22"/>
          <w:szCs w:val="22"/>
        </w:rPr>
        <w:t>) zmienione:</w:t>
      </w:r>
    </w:p>
    <w:p w14:paraId="59A299C8" w14:textId="27101704" w:rsidR="00C609C6" w:rsidRPr="00C609C6" w:rsidRDefault="00C609C6" w:rsidP="00C609C6">
      <w:pPr>
        <w:pStyle w:val="Akapitzlist"/>
        <w:shd w:val="clear" w:color="auto" w:fill="FFFFFF"/>
        <w:ind w:left="360"/>
        <w:rPr>
          <w:rFonts w:cs="Arial"/>
          <w:sz w:val="22"/>
          <w:szCs w:val="22"/>
        </w:rPr>
      </w:pPr>
      <w:r w:rsidRPr="00C609C6">
        <w:rPr>
          <w:rFonts w:cs="Arial"/>
          <w:sz w:val="22"/>
          <w:szCs w:val="22"/>
        </w:rPr>
        <w:t xml:space="preserve">− Dyrektywą </w:t>
      </w:r>
      <w:r w:rsidRPr="00C609C6">
        <w:rPr>
          <w:rFonts w:cs="Arial"/>
          <w:b/>
          <w:bCs/>
          <w:sz w:val="22"/>
          <w:szCs w:val="22"/>
        </w:rPr>
        <w:t>2007/66/WE</w:t>
      </w:r>
      <w:r w:rsidRPr="00C609C6">
        <w:rPr>
          <w:rFonts w:cs="Arial"/>
          <w:sz w:val="22"/>
          <w:szCs w:val="22"/>
        </w:rPr>
        <w:t xml:space="preserve"> Parlamentu Europejskiego i Rady z dnia 11 grudnia 2007 r. zmieniająca dyrektywy Rady 89/665/EWG i 92/13/EWG w zakresie poprawy skuteczności procedur odwoławczych w dziedzinie udzielania zamówień publicznych</w:t>
      </w:r>
      <w:r w:rsidR="009343A1">
        <w:rPr>
          <w:rFonts w:cs="Arial"/>
          <w:sz w:val="22"/>
          <w:szCs w:val="22"/>
        </w:rPr>
        <w:t xml:space="preserve"> </w:t>
      </w:r>
      <w:r w:rsidRPr="00C609C6">
        <w:rPr>
          <w:rFonts w:cs="Arial"/>
          <w:sz w:val="22"/>
          <w:szCs w:val="22"/>
        </w:rPr>
        <w:t xml:space="preserve">(Dz. Urz. UE L 335 z 20.12.2007, str. 31) </w:t>
      </w:r>
      <w:r w:rsidRPr="00C609C6">
        <w:rPr>
          <w:rFonts w:cs="Arial"/>
          <w:i/>
          <w:iCs/>
          <w:sz w:val="22"/>
          <w:szCs w:val="22"/>
        </w:rPr>
        <w:t>(tzw. dyrektywa odwoławcza).</w:t>
      </w:r>
    </w:p>
    <w:p w14:paraId="4DF275BB" w14:textId="72B319F5" w:rsidR="00C609C6" w:rsidRPr="00C609C6" w:rsidRDefault="00C609C6" w:rsidP="00E16264">
      <w:pPr>
        <w:pStyle w:val="Akapitzlist"/>
        <w:numPr>
          <w:ilvl w:val="0"/>
          <w:numId w:val="38"/>
        </w:numPr>
        <w:shd w:val="clear" w:color="auto" w:fill="FFFFFF"/>
        <w:rPr>
          <w:rFonts w:cs="Arial"/>
          <w:sz w:val="22"/>
          <w:szCs w:val="22"/>
        </w:rPr>
      </w:pPr>
      <w:r w:rsidRPr="00C609C6">
        <w:rPr>
          <w:rFonts w:cs="Arial"/>
          <w:sz w:val="22"/>
          <w:szCs w:val="22"/>
        </w:rPr>
        <w:t xml:space="preserve">Dyrektywa </w:t>
      </w:r>
      <w:r w:rsidRPr="00C609C6">
        <w:rPr>
          <w:rFonts w:cs="Arial"/>
          <w:b/>
          <w:bCs/>
          <w:sz w:val="22"/>
          <w:szCs w:val="22"/>
        </w:rPr>
        <w:t>2014/55/UE</w:t>
      </w:r>
      <w:r w:rsidRPr="00C609C6">
        <w:rPr>
          <w:rFonts w:cs="Arial"/>
          <w:sz w:val="22"/>
          <w:szCs w:val="22"/>
        </w:rPr>
        <w:t xml:space="preserve"> Parlamentu Europejskiego i Rady z dnia 16 kwietnia 2014 r. w sprawie fakturowania elektronicznego w zamówieniach publicznych (Dz. Urz. UE L 133 z 06.05.2014, str. 1).</w:t>
      </w:r>
    </w:p>
    <w:p w14:paraId="0C9E0BB7" w14:textId="77777777" w:rsidR="00C609C6" w:rsidRPr="00C609C6" w:rsidRDefault="00C609C6" w:rsidP="00C609C6">
      <w:pPr>
        <w:shd w:val="clear" w:color="auto" w:fill="FFFFFF"/>
        <w:rPr>
          <w:rFonts w:cs="Arial"/>
          <w:bCs/>
        </w:rPr>
      </w:pPr>
    </w:p>
    <w:p w14:paraId="699B6C3C" w14:textId="516AE347" w:rsidR="00C609C6" w:rsidRPr="00C609C6" w:rsidRDefault="00C609C6" w:rsidP="00C609C6">
      <w:pPr>
        <w:shd w:val="clear" w:color="auto" w:fill="FFFFFF"/>
        <w:rPr>
          <w:rFonts w:cs="Arial"/>
          <w:b/>
          <w:bCs/>
          <w:color w:val="0070C0"/>
        </w:rPr>
      </w:pPr>
      <w:r w:rsidRPr="00C609C6">
        <w:rPr>
          <w:rFonts w:cs="Arial"/>
          <w:b/>
          <w:bCs/>
          <w:color w:val="0070C0"/>
        </w:rPr>
        <w:t>Rozporządzenia</w:t>
      </w:r>
    </w:p>
    <w:p w14:paraId="0A9429D1" w14:textId="1D829F68" w:rsidR="00C609C6" w:rsidRPr="000E53A6" w:rsidRDefault="00C609C6" w:rsidP="00E16264">
      <w:pPr>
        <w:pStyle w:val="Akapitzlist"/>
        <w:numPr>
          <w:ilvl w:val="0"/>
          <w:numId w:val="39"/>
        </w:numPr>
        <w:shd w:val="clear" w:color="auto" w:fill="FFFFFF"/>
        <w:rPr>
          <w:rFonts w:cs="Arial"/>
          <w:i/>
          <w:iCs/>
          <w:sz w:val="22"/>
          <w:szCs w:val="22"/>
        </w:rPr>
      </w:pPr>
      <w:r w:rsidRPr="000E53A6">
        <w:rPr>
          <w:rFonts w:cs="Arial"/>
          <w:sz w:val="22"/>
          <w:szCs w:val="22"/>
        </w:rPr>
        <w:t xml:space="preserve">Rozporządzenie Komisji (WE) nr </w:t>
      </w:r>
      <w:r w:rsidRPr="000E53A6">
        <w:rPr>
          <w:rFonts w:cs="Arial"/>
          <w:b/>
          <w:bCs/>
          <w:sz w:val="22"/>
          <w:szCs w:val="22"/>
        </w:rPr>
        <w:t>213/2008</w:t>
      </w:r>
      <w:r w:rsidRPr="000E53A6">
        <w:rPr>
          <w:rFonts w:cs="Arial"/>
          <w:sz w:val="22"/>
          <w:szCs w:val="22"/>
        </w:rPr>
        <w:t xml:space="preserve"> z dnia 28 listopada 2007 r. zmieniające rozporządzenie (WE) nr 2195/2002 Parlamentu Europejskiego i Rady w sprawie Wspólnego Słownika Zamówień (CPV) oraz dyrektywy 2004/17/WE i 2004/18/WE Parlamentu Europejskiego i Rady dotyczące procedur udzielania zamówień publicznych w zakresie zmiany CPV (Dz. Urz. UE L 74 z 15.03.2008, str. 1) </w:t>
      </w:r>
      <w:r w:rsidRPr="000E53A6">
        <w:rPr>
          <w:rFonts w:cs="Arial"/>
          <w:i/>
          <w:iCs/>
          <w:sz w:val="22"/>
          <w:szCs w:val="22"/>
        </w:rPr>
        <w:t>(Wspólny słownik zamówień).</w:t>
      </w:r>
    </w:p>
    <w:p w14:paraId="7114FF9B" w14:textId="2350C8EE"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wykonawcze Komisji (UE) </w:t>
      </w:r>
      <w:r w:rsidRPr="000E53A6">
        <w:rPr>
          <w:rFonts w:cs="Arial"/>
          <w:b/>
          <w:bCs/>
          <w:sz w:val="22"/>
          <w:szCs w:val="22"/>
        </w:rPr>
        <w:t>2016/7</w:t>
      </w:r>
      <w:r w:rsidRPr="000E53A6">
        <w:rPr>
          <w:rFonts w:cs="Arial"/>
          <w:sz w:val="22"/>
          <w:szCs w:val="22"/>
        </w:rPr>
        <w:t xml:space="preserve"> z dnia 5 stycznia 2016 r. ustanawiające standardowy formularz jednolitego europejskiego dokumentu</w:t>
      </w:r>
      <w:r w:rsidR="009343A1">
        <w:rPr>
          <w:rFonts w:cs="Arial"/>
          <w:sz w:val="22"/>
          <w:szCs w:val="22"/>
        </w:rPr>
        <w:t xml:space="preserve"> </w:t>
      </w:r>
      <w:r w:rsidRPr="000E53A6">
        <w:rPr>
          <w:rFonts w:cs="Arial"/>
          <w:sz w:val="22"/>
          <w:szCs w:val="22"/>
        </w:rPr>
        <w:t xml:space="preserve">zamówienia (Dz. Urz. UE L 3 z 06.01.2016, str. 16) </w:t>
      </w:r>
      <w:r w:rsidRPr="000E53A6">
        <w:rPr>
          <w:rFonts w:cs="Arial"/>
          <w:i/>
          <w:iCs/>
          <w:sz w:val="22"/>
          <w:szCs w:val="22"/>
        </w:rPr>
        <w:t>(Jednolity Europejski Dokument Zamówienia).</w:t>
      </w:r>
    </w:p>
    <w:p w14:paraId="4D9EBE7D" w14:textId="2F32D0FB"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Delegowane Komisji (UE) </w:t>
      </w:r>
      <w:r w:rsidRPr="000E53A6">
        <w:rPr>
          <w:rFonts w:cs="Arial"/>
          <w:b/>
          <w:bCs/>
          <w:sz w:val="22"/>
          <w:szCs w:val="22"/>
        </w:rPr>
        <w:t>2021/1950</w:t>
      </w:r>
      <w:r w:rsidRPr="000E53A6">
        <w:rPr>
          <w:rFonts w:cs="Arial"/>
          <w:sz w:val="22"/>
          <w:szCs w:val="22"/>
        </w:rPr>
        <w:t xml:space="preserve"> z dnia 10 listopada 2021 r. zmieniające dyrektywę Parlamentu Europejskiego i Rady 2009/81/WE w odniesieniu do progów dotyczących zamówień na dostawy, usługi i roboty budowlane (Dz. Urz. UE L 398 z </w:t>
      </w:r>
      <w:r w:rsidR="003A420F">
        <w:rPr>
          <w:rFonts w:cs="Arial"/>
          <w:sz w:val="22"/>
          <w:szCs w:val="22"/>
          <w:lang w:val="pl-PL"/>
        </w:rPr>
        <w:t>11.11.</w:t>
      </w:r>
      <w:r w:rsidRPr="000E53A6">
        <w:rPr>
          <w:rFonts w:cs="Arial"/>
          <w:sz w:val="22"/>
          <w:szCs w:val="22"/>
        </w:rPr>
        <w:t>2021, str. 19).</w:t>
      </w:r>
    </w:p>
    <w:p w14:paraId="5DFEB1E0" w14:textId="5FDD22A6"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Delegowane Komisji (UE) </w:t>
      </w:r>
      <w:r w:rsidRPr="000E53A6">
        <w:rPr>
          <w:rFonts w:cs="Arial"/>
          <w:b/>
          <w:bCs/>
          <w:sz w:val="22"/>
          <w:szCs w:val="22"/>
        </w:rPr>
        <w:t>2021/1951</w:t>
      </w:r>
      <w:r w:rsidRPr="000E53A6">
        <w:rPr>
          <w:rFonts w:cs="Arial"/>
          <w:sz w:val="22"/>
          <w:szCs w:val="22"/>
        </w:rPr>
        <w:t xml:space="preserve"> z dnia 10 listopada 2021 r. zmieniające dyrektywę Parlamentu Europejskiego i Rady 2014/23/UE w odniesieniu do progów dotyczących koncesji (Dz. Urz. UE L 398 z </w:t>
      </w:r>
      <w:r w:rsidR="003A420F">
        <w:rPr>
          <w:rFonts w:cs="Arial"/>
          <w:sz w:val="22"/>
          <w:szCs w:val="22"/>
          <w:lang w:val="pl-PL"/>
        </w:rPr>
        <w:t>11.11.</w:t>
      </w:r>
      <w:r w:rsidRPr="000E53A6">
        <w:rPr>
          <w:rFonts w:cs="Arial"/>
          <w:sz w:val="22"/>
          <w:szCs w:val="22"/>
        </w:rPr>
        <w:t>2021, str. 21)</w:t>
      </w:r>
    </w:p>
    <w:p w14:paraId="0EFAD0DE" w14:textId="17420C70"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Delegowane Komisji (UE) </w:t>
      </w:r>
      <w:r w:rsidRPr="000E53A6">
        <w:rPr>
          <w:rFonts w:cs="Arial"/>
          <w:b/>
          <w:bCs/>
          <w:sz w:val="22"/>
          <w:szCs w:val="22"/>
        </w:rPr>
        <w:t>2021/1952</w:t>
      </w:r>
      <w:r w:rsidRPr="000E53A6">
        <w:rPr>
          <w:rFonts w:cs="Arial"/>
          <w:sz w:val="22"/>
          <w:szCs w:val="22"/>
        </w:rPr>
        <w:t xml:space="preserve"> z dnia 10 listopada 2021 r. zmieniające dyrektywę Parlamentu Europejskiego i Rady 2014/24/UE w odniesieniu do progów dotyczących zamówień publicznych na dostawy, usługi i roboty budowlane oraz konkursów (Dz. Urz. UE L 398 z </w:t>
      </w:r>
      <w:r w:rsidR="003A420F">
        <w:rPr>
          <w:rFonts w:cs="Arial"/>
          <w:sz w:val="22"/>
          <w:szCs w:val="22"/>
          <w:lang w:val="pl-PL"/>
        </w:rPr>
        <w:t>11.11.</w:t>
      </w:r>
      <w:r w:rsidRPr="000E53A6">
        <w:rPr>
          <w:rFonts w:cs="Arial"/>
          <w:sz w:val="22"/>
          <w:szCs w:val="22"/>
        </w:rPr>
        <w:t>2021, str. 23)</w:t>
      </w:r>
    </w:p>
    <w:p w14:paraId="472B9D1B" w14:textId="1D21CE76"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Delegowane Komisji (UE) </w:t>
      </w:r>
      <w:r w:rsidRPr="000E53A6">
        <w:rPr>
          <w:rFonts w:cs="Arial"/>
          <w:b/>
          <w:bCs/>
          <w:sz w:val="22"/>
          <w:szCs w:val="22"/>
        </w:rPr>
        <w:t>2021/1953</w:t>
      </w:r>
      <w:r w:rsidRPr="000E53A6">
        <w:rPr>
          <w:rFonts w:cs="Arial"/>
          <w:sz w:val="22"/>
          <w:szCs w:val="22"/>
        </w:rPr>
        <w:t xml:space="preserve"> z dnia 10 listopada 2021 r. zmieniające dyrektywę Parlamentu Europejskiego i Rady 2014/25/UE w odniesieniu do progów dotyczących zamówień na dostawy, usługi i roboty budowlane oraz konkursów (Dz. Urz. UE L 398 z </w:t>
      </w:r>
      <w:r w:rsidR="003A420F">
        <w:rPr>
          <w:rFonts w:cs="Arial"/>
          <w:sz w:val="22"/>
          <w:szCs w:val="22"/>
          <w:lang w:val="pl-PL"/>
        </w:rPr>
        <w:t>11.11.</w:t>
      </w:r>
      <w:r w:rsidRPr="000E53A6">
        <w:rPr>
          <w:rFonts w:cs="Arial"/>
          <w:sz w:val="22"/>
          <w:szCs w:val="22"/>
        </w:rPr>
        <w:t>2021, str. 25).</w:t>
      </w:r>
    </w:p>
    <w:p w14:paraId="6F36E115" w14:textId="187F8FCA" w:rsidR="00C609C6" w:rsidRPr="000E53A6" w:rsidRDefault="00C609C6" w:rsidP="00E16264">
      <w:pPr>
        <w:pStyle w:val="Akapitzlist"/>
        <w:numPr>
          <w:ilvl w:val="0"/>
          <w:numId w:val="39"/>
        </w:numPr>
        <w:shd w:val="clear" w:color="auto" w:fill="FFFFFF"/>
        <w:rPr>
          <w:rFonts w:cs="Arial"/>
          <w:iCs/>
          <w:sz w:val="22"/>
          <w:szCs w:val="22"/>
        </w:rPr>
      </w:pPr>
      <w:r w:rsidRPr="000E53A6">
        <w:rPr>
          <w:rFonts w:cs="Arial"/>
          <w:sz w:val="22"/>
          <w:szCs w:val="22"/>
        </w:rPr>
        <w:t xml:space="preserve">Rozporządzenie Rady (UE) </w:t>
      </w:r>
      <w:r w:rsidRPr="000E53A6">
        <w:rPr>
          <w:rFonts w:cs="Arial"/>
          <w:b/>
          <w:sz w:val="22"/>
          <w:szCs w:val="22"/>
        </w:rPr>
        <w:t>2022/576</w:t>
      </w:r>
      <w:r w:rsidRPr="000E53A6">
        <w:rPr>
          <w:rFonts w:cs="Arial"/>
          <w:sz w:val="22"/>
          <w:szCs w:val="22"/>
        </w:rPr>
        <w:t xml:space="preserve"> z dnia 8 kwietnia 2022 r. w sprawie zmiany rozporządzenia (UE) nr 833/2014 dotyczącego środków ograniczających w związku z</w:t>
      </w:r>
      <w:r w:rsidR="009343A1">
        <w:rPr>
          <w:rFonts w:cs="Arial"/>
          <w:sz w:val="22"/>
          <w:szCs w:val="22"/>
        </w:rPr>
        <w:t xml:space="preserve"> </w:t>
      </w:r>
      <w:r w:rsidRPr="000E53A6">
        <w:rPr>
          <w:rFonts w:cs="Arial"/>
          <w:sz w:val="22"/>
          <w:szCs w:val="22"/>
        </w:rPr>
        <w:t>działaniami Rosji destabilizującymi sytuację na Ukrainie (Dz. Urz. UE L 111 z 08.04.2022, str. 1).</w:t>
      </w:r>
    </w:p>
    <w:p w14:paraId="2765DF63" w14:textId="26524713"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Parlamentu Europejskiego i Rady (UE) </w:t>
      </w:r>
      <w:r w:rsidRPr="000E53A6">
        <w:rPr>
          <w:rFonts w:cs="Arial"/>
          <w:b/>
          <w:sz w:val="22"/>
          <w:szCs w:val="22"/>
        </w:rPr>
        <w:t>2022/1031</w:t>
      </w:r>
      <w:r w:rsidRPr="000E53A6">
        <w:rPr>
          <w:rFonts w:cs="Arial"/>
          <w:sz w:val="22"/>
          <w:szCs w:val="22"/>
        </w:rPr>
        <w:t xml:space="preserve"> z dnia 23 czerwca 2022 r. w sprawie dostępu wykonawców, towarów i usług z państw trzecich do unijnych rynków zamówień publicznych i</w:t>
      </w:r>
      <w:r w:rsidR="009343A1">
        <w:rPr>
          <w:rFonts w:cs="Arial"/>
          <w:sz w:val="22"/>
          <w:szCs w:val="22"/>
        </w:rPr>
        <w:t xml:space="preserve"> </w:t>
      </w:r>
      <w:r w:rsidRPr="000E53A6">
        <w:rPr>
          <w:rFonts w:cs="Arial"/>
          <w:sz w:val="22"/>
          <w:szCs w:val="22"/>
        </w:rPr>
        <w:t>koncesji oraz procedur wspierających negocjacje dotyczące dostępu unijnych wykonawców, towarów i usług do rynków zamówień publicznych i</w:t>
      </w:r>
      <w:r w:rsidR="009343A1">
        <w:rPr>
          <w:rFonts w:cs="Arial"/>
          <w:sz w:val="22"/>
          <w:szCs w:val="22"/>
        </w:rPr>
        <w:t xml:space="preserve"> </w:t>
      </w:r>
      <w:r w:rsidRPr="000E53A6">
        <w:rPr>
          <w:rFonts w:cs="Arial"/>
          <w:sz w:val="22"/>
          <w:szCs w:val="22"/>
        </w:rPr>
        <w:t>koncesji państw trzecich (Dz. Urz. UE L 173 z 30.06.2022, str. 1).</w:t>
      </w:r>
    </w:p>
    <w:p w14:paraId="0A379D14" w14:textId="4DD14B6E" w:rsidR="00C609C6" w:rsidRPr="000E53A6" w:rsidRDefault="00C609C6" w:rsidP="00E16264">
      <w:pPr>
        <w:pStyle w:val="Akapitzlist"/>
        <w:numPr>
          <w:ilvl w:val="0"/>
          <w:numId w:val="39"/>
        </w:numPr>
        <w:shd w:val="clear" w:color="auto" w:fill="FFFFFF"/>
        <w:rPr>
          <w:rFonts w:cs="Arial"/>
          <w:bCs/>
          <w:iCs/>
          <w:sz w:val="22"/>
          <w:szCs w:val="22"/>
        </w:rPr>
      </w:pPr>
      <w:r w:rsidRPr="000E53A6">
        <w:rPr>
          <w:rFonts w:cs="Arial"/>
          <w:bCs/>
          <w:iCs/>
          <w:sz w:val="22"/>
          <w:szCs w:val="22"/>
        </w:rPr>
        <w:t xml:space="preserve">Rozporządzenie wykonawcze Komisji (UE) </w:t>
      </w:r>
      <w:r w:rsidRPr="000E53A6">
        <w:rPr>
          <w:rFonts w:cs="Arial"/>
          <w:b/>
          <w:bCs/>
          <w:iCs/>
          <w:sz w:val="22"/>
          <w:szCs w:val="22"/>
        </w:rPr>
        <w:t>2022/2303</w:t>
      </w:r>
      <w:r w:rsidRPr="000E53A6">
        <w:rPr>
          <w:rFonts w:cs="Arial"/>
          <w:bCs/>
          <w:iCs/>
          <w:sz w:val="22"/>
          <w:szCs w:val="22"/>
        </w:rPr>
        <w:t xml:space="preserve"> z dnia 24 listopada 2022 r. zmieniające rozporządzenie wykonawcze (UE) 2019/1780 ustanawiające standardowe formularze do publikacji ogłoszeń w dziedzinie zamówień publicznych (Dz. Urz. UE L 305 z 25.11.2022, str. 1) (e-formularze).</w:t>
      </w:r>
    </w:p>
    <w:p w14:paraId="1291C004" w14:textId="6B5E6A3D" w:rsidR="00C609C6" w:rsidRPr="000E53A6" w:rsidRDefault="00C609C6" w:rsidP="00E16264">
      <w:pPr>
        <w:pStyle w:val="Akapitzlist"/>
        <w:numPr>
          <w:ilvl w:val="0"/>
          <w:numId w:val="39"/>
        </w:numPr>
        <w:shd w:val="clear" w:color="auto" w:fill="FFFFFF"/>
        <w:rPr>
          <w:rFonts w:cs="Arial"/>
          <w:sz w:val="22"/>
          <w:szCs w:val="22"/>
        </w:rPr>
      </w:pPr>
      <w:r w:rsidRPr="000E53A6">
        <w:rPr>
          <w:rFonts w:cs="Arial"/>
          <w:sz w:val="22"/>
          <w:szCs w:val="22"/>
        </w:rPr>
        <w:t xml:space="preserve">Rozporządzenie Parlamentu Europejskiego i Rady (UE) </w:t>
      </w:r>
      <w:r w:rsidRPr="000E53A6">
        <w:rPr>
          <w:rFonts w:cs="Arial"/>
          <w:b/>
          <w:sz w:val="22"/>
          <w:szCs w:val="22"/>
        </w:rPr>
        <w:t>2022/2560</w:t>
      </w:r>
      <w:r w:rsidRPr="000E53A6">
        <w:rPr>
          <w:rFonts w:cs="Arial"/>
          <w:sz w:val="22"/>
          <w:szCs w:val="22"/>
        </w:rPr>
        <w:t xml:space="preserve"> z dnia 14</w:t>
      </w:r>
      <w:r w:rsidR="009343A1">
        <w:rPr>
          <w:rFonts w:cs="Arial"/>
          <w:sz w:val="22"/>
          <w:szCs w:val="22"/>
        </w:rPr>
        <w:t xml:space="preserve"> </w:t>
      </w:r>
      <w:r w:rsidRPr="000E53A6">
        <w:rPr>
          <w:rFonts w:cs="Arial"/>
          <w:sz w:val="22"/>
          <w:szCs w:val="22"/>
        </w:rPr>
        <w:t>grudnia 2022 r. w sprawie subsydiów zagranicznych zakłócających rynek wewnętrzny (Dz. Urz. UE L 330 z 23.12.2022, str. 1).</w:t>
      </w:r>
    </w:p>
    <w:p w14:paraId="07B2AD77" w14:textId="77777777" w:rsidR="000E53A6" w:rsidRPr="000E53A6" w:rsidRDefault="000E53A6" w:rsidP="00C609C6">
      <w:pPr>
        <w:shd w:val="clear" w:color="auto" w:fill="FFFFFF"/>
        <w:rPr>
          <w:rFonts w:cs="Arial"/>
          <w:bCs/>
        </w:rPr>
      </w:pPr>
    </w:p>
    <w:p w14:paraId="7C801252" w14:textId="6EC49C72" w:rsidR="00C609C6" w:rsidRPr="000E53A6" w:rsidRDefault="00C609C6" w:rsidP="00C609C6">
      <w:pPr>
        <w:shd w:val="clear" w:color="auto" w:fill="FFFFFF"/>
        <w:rPr>
          <w:rFonts w:cs="Arial"/>
          <w:b/>
          <w:bCs/>
          <w:color w:val="0070C0"/>
        </w:rPr>
      </w:pPr>
      <w:r w:rsidRPr="000E53A6">
        <w:rPr>
          <w:rFonts w:cs="Arial"/>
          <w:b/>
          <w:bCs/>
          <w:color w:val="0070C0"/>
        </w:rPr>
        <w:t>Decyzje</w:t>
      </w:r>
    </w:p>
    <w:p w14:paraId="584BCED2" w14:textId="1E84B4DB" w:rsidR="00C609C6" w:rsidRPr="000E53A6" w:rsidRDefault="00C609C6" w:rsidP="00E16264">
      <w:pPr>
        <w:pStyle w:val="Akapitzlist"/>
        <w:numPr>
          <w:ilvl w:val="0"/>
          <w:numId w:val="40"/>
        </w:numPr>
        <w:shd w:val="clear" w:color="auto" w:fill="FFFFFF"/>
        <w:rPr>
          <w:rFonts w:cs="Arial"/>
          <w:sz w:val="22"/>
          <w:szCs w:val="22"/>
        </w:rPr>
      </w:pPr>
      <w:r w:rsidRPr="000E53A6">
        <w:rPr>
          <w:rFonts w:cs="Arial"/>
          <w:sz w:val="22"/>
          <w:szCs w:val="22"/>
        </w:rPr>
        <w:t xml:space="preserve">Decyzja wykonawcza Komisji (UE) </w:t>
      </w:r>
      <w:r w:rsidRPr="000E53A6">
        <w:rPr>
          <w:rFonts w:cs="Arial"/>
          <w:b/>
          <w:bCs/>
          <w:sz w:val="22"/>
          <w:szCs w:val="22"/>
        </w:rPr>
        <w:t>2016/1195</w:t>
      </w:r>
      <w:r w:rsidRPr="000E53A6">
        <w:rPr>
          <w:rFonts w:cs="Arial"/>
          <w:sz w:val="22"/>
          <w:szCs w:val="22"/>
        </w:rPr>
        <w:t xml:space="preserve"> z dnia 4 lipca 2016 r. wyłączająca usługi kurierskie i usługi inne niż usługi pocztowe w Polsce z zakresu stosowania dyrektywy Parlamentu Europejskiego i Rady 2014/25/UE w sprawie udzielania zamówień przez podmioty działające w sektorach gospodarki wodnej, energetyki, transportu i usług pocztowych, uchylającej dyrektywę 2004/17/WE (Dz. Urz. UE L 197 z 22.07.2016, str. 4).</w:t>
      </w:r>
    </w:p>
    <w:p w14:paraId="6F4A3204" w14:textId="017531B8" w:rsidR="00C609C6" w:rsidRPr="000E53A6" w:rsidRDefault="00C609C6" w:rsidP="00E16264">
      <w:pPr>
        <w:pStyle w:val="Akapitzlist"/>
        <w:numPr>
          <w:ilvl w:val="0"/>
          <w:numId w:val="40"/>
        </w:numPr>
        <w:shd w:val="clear" w:color="auto" w:fill="FFFFFF"/>
        <w:rPr>
          <w:rFonts w:cs="Arial"/>
          <w:sz w:val="22"/>
          <w:szCs w:val="22"/>
        </w:rPr>
      </w:pPr>
      <w:r w:rsidRPr="000E53A6">
        <w:rPr>
          <w:rFonts w:cs="Arial"/>
          <w:sz w:val="22"/>
          <w:szCs w:val="22"/>
        </w:rPr>
        <w:t xml:space="preserve">Decyzja wykonawcza Komisji (UE) </w:t>
      </w:r>
      <w:r w:rsidRPr="000E53A6">
        <w:rPr>
          <w:rFonts w:cs="Arial"/>
          <w:b/>
          <w:bCs/>
          <w:sz w:val="22"/>
          <w:szCs w:val="22"/>
        </w:rPr>
        <w:t>2016/1804</w:t>
      </w:r>
      <w:r w:rsidRPr="000E53A6">
        <w:rPr>
          <w:rFonts w:cs="Arial"/>
          <w:sz w:val="22"/>
          <w:szCs w:val="22"/>
        </w:rPr>
        <w:t xml:space="preserve"> z dnia 10 października 2016 r. dotycząca szczegółowych zasad stosowania art. 34 i 35 dyrektywy Parlamentu Europejskiego i Rady 2014/25/UE w sprawie udzielania zamówień przez podmioty działające w sektorach gospodarki wodnej, energetyki, transportu i usług pocztowych (Dz. Urz. UE L 275 z 12.10.2016, str. 39).</w:t>
      </w:r>
    </w:p>
    <w:p w14:paraId="6884BA53" w14:textId="77777777" w:rsidR="000E53A6" w:rsidRPr="000E53A6" w:rsidRDefault="000E53A6" w:rsidP="00C609C6">
      <w:pPr>
        <w:shd w:val="clear" w:color="auto" w:fill="FFFFFF"/>
        <w:rPr>
          <w:rFonts w:cs="Arial"/>
          <w:bCs/>
        </w:rPr>
      </w:pPr>
    </w:p>
    <w:p w14:paraId="0C6DBA98" w14:textId="5678849F" w:rsidR="00C609C6" w:rsidRPr="000E53A6" w:rsidRDefault="00C609C6" w:rsidP="00C609C6">
      <w:pPr>
        <w:shd w:val="clear" w:color="auto" w:fill="FFFFFF"/>
        <w:rPr>
          <w:rFonts w:cs="Arial"/>
          <w:b/>
          <w:bCs/>
          <w:color w:val="0070C0"/>
        </w:rPr>
      </w:pPr>
      <w:r w:rsidRPr="000E53A6">
        <w:rPr>
          <w:rFonts w:cs="Arial"/>
          <w:b/>
          <w:bCs/>
          <w:color w:val="0070C0"/>
        </w:rPr>
        <w:t>Komunikaty</w:t>
      </w:r>
    </w:p>
    <w:p w14:paraId="689C0580" w14:textId="1912E452" w:rsidR="00C609C6" w:rsidRPr="000E53A6" w:rsidRDefault="00C609C6" w:rsidP="00E16264">
      <w:pPr>
        <w:pStyle w:val="Akapitzlist"/>
        <w:numPr>
          <w:ilvl w:val="0"/>
          <w:numId w:val="41"/>
        </w:numPr>
        <w:shd w:val="clear" w:color="auto" w:fill="FFFFFF"/>
        <w:rPr>
          <w:rFonts w:cs="Arial"/>
          <w:sz w:val="22"/>
          <w:szCs w:val="22"/>
        </w:rPr>
      </w:pPr>
      <w:r w:rsidRPr="000E53A6">
        <w:rPr>
          <w:rFonts w:cs="Arial"/>
          <w:sz w:val="22"/>
          <w:szCs w:val="22"/>
        </w:rPr>
        <w:t>Komunikat wyjaśniający Komisji dotyczący prawa wspólnotowego obowiązującego w dziedzinie udzielania zamówień, które nie są lub są jedynie częściowo objęte dyrektywami w sprawie zamówień publicznych (2006/</w:t>
      </w:r>
      <w:r w:rsidR="009718B9">
        <w:rPr>
          <w:rFonts w:cs="Arial"/>
          <w:sz w:val="22"/>
          <w:szCs w:val="22"/>
          <w:lang w:val="pl-PL"/>
        </w:rPr>
        <w:t xml:space="preserve">C </w:t>
      </w:r>
      <w:r w:rsidRPr="000E53A6">
        <w:rPr>
          <w:rFonts w:cs="Arial"/>
          <w:sz w:val="22"/>
          <w:szCs w:val="22"/>
        </w:rPr>
        <w:t xml:space="preserve">179/02) (Dz. Urz. UE C 179 z </w:t>
      </w:r>
      <w:r w:rsidR="009718B9">
        <w:rPr>
          <w:rFonts w:cs="Arial"/>
          <w:sz w:val="22"/>
          <w:szCs w:val="22"/>
          <w:lang w:val="pl-PL"/>
        </w:rPr>
        <w:t>0</w:t>
      </w:r>
      <w:r w:rsidRPr="000E53A6">
        <w:rPr>
          <w:rFonts w:cs="Arial"/>
          <w:sz w:val="22"/>
          <w:szCs w:val="22"/>
        </w:rPr>
        <w:t>1.</w:t>
      </w:r>
      <w:r w:rsidR="009718B9">
        <w:rPr>
          <w:rFonts w:cs="Arial"/>
          <w:sz w:val="22"/>
          <w:szCs w:val="22"/>
          <w:lang w:val="pl-PL"/>
        </w:rPr>
        <w:t>0</w:t>
      </w:r>
      <w:r w:rsidRPr="000E53A6">
        <w:rPr>
          <w:rFonts w:cs="Arial"/>
          <w:sz w:val="22"/>
          <w:szCs w:val="22"/>
        </w:rPr>
        <w:t>8.2006, str. 2).</w:t>
      </w:r>
    </w:p>
    <w:p w14:paraId="448BE6C0" w14:textId="13BE2217" w:rsidR="00C609C6" w:rsidRPr="000E53A6" w:rsidRDefault="00C609C6" w:rsidP="00E16264">
      <w:pPr>
        <w:pStyle w:val="Akapitzlist"/>
        <w:numPr>
          <w:ilvl w:val="0"/>
          <w:numId w:val="41"/>
        </w:numPr>
        <w:shd w:val="clear" w:color="auto" w:fill="FFFFFF"/>
        <w:rPr>
          <w:rFonts w:cs="Arial"/>
          <w:sz w:val="22"/>
          <w:szCs w:val="22"/>
        </w:rPr>
      </w:pPr>
      <w:r w:rsidRPr="000E53A6">
        <w:rPr>
          <w:rFonts w:cs="Arial"/>
          <w:sz w:val="22"/>
          <w:szCs w:val="22"/>
        </w:rPr>
        <w:t>Komunikat Komisji Równowartość progów określonych w dyrektywach Parlamentu Europejskiego i Rady 2014/23/UE, 2014/24/UE, 2014/25/UE i 2009/81/WE (2021/C 457/01) (Dz. Urz. UE C 457</w:t>
      </w:r>
      <w:r w:rsidR="009343A1">
        <w:rPr>
          <w:rFonts w:cs="Arial"/>
          <w:sz w:val="22"/>
          <w:szCs w:val="22"/>
        </w:rPr>
        <w:t xml:space="preserve"> </w:t>
      </w:r>
      <w:r w:rsidRPr="000E53A6">
        <w:rPr>
          <w:rFonts w:cs="Arial"/>
          <w:sz w:val="22"/>
          <w:szCs w:val="22"/>
        </w:rPr>
        <w:t>z 11.11.2021, str. 1).</w:t>
      </w:r>
    </w:p>
    <w:p w14:paraId="7FC3AA19" w14:textId="77777777" w:rsidR="000E53A6" w:rsidRPr="000E53A6" w:rsidRDefault="000E53A6" w:rsidP="00C609C6">
      <w:pPr>
        <w:shd w:val="clear" w:color="auto" w:fill="FFFFFF"/>
        <w:rPr>
          <w:rFonts w:cs="Arial"/>
          <w:bCs/>
        </w:rPr>
      </w:pPr>
    </w:p>
    <w:p w14:paraId="46203921" w14:textId="3E027808" w:rsidR="00C609C6" w:rsidRPr="000E53A6" w:rsidRDefault="00C609C6" w:rsidP="00C609C6">
      <w:pPr>
        <w:shd w:val="clear" w:color="auto" w:fill="FFFFFF"/>
        <w:rPr>
          <w:rFonts w:cs="Arial"/>
          <w:b/>
          <w:bCs/>
          <w:color w:val="0070C0"/>
        </w:rPr>
      </w:pPr>
      <w:r w:rsidRPr="000E53A6">
        <w:rPr>
          <w:rFonts w:cs="Arial"/>
          <w:b/>
          <w:bCs/>
          <w:color w:val="0070C0"/>
        </w:rPr>
        <w:t>Unijne akty prawne powiązane z zamówieniami publicznymi</w:t>
      </w:r>
    </w:p>
    <w:p w14:paraId="5D3C779C" w14:textId="77777777" w:rsidR="00C609C6" w:rsidRPr="000E53A6" w:rsidRDefault="00C609C6" w:rsidP="00C609C6">
      <w:pPr>
        <w:shd w:val="clear" w:color="auto" w:fill="FFFFFF"/>
        <w:rPr>
          <w:rFonts w:cs="Arial"/>
          <w:b/>
          <w:color w:val="0070C0"/>
        </w:rPr>
      </w:pPr>
      <w:r w:rsidRPr="000E53A6">
        <w:rPr>
          <w:rFonts w:cs="Arial"/>
          <w:b/>
          <w:color w:val="0070C0"/>
        </w:rPr>
        <w:t>Dyrektywy</w:t>
      </w:r>
    </w:p>
    <w:p w14:paraId="73C58697" w14:textId="3B2FA23F"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Dyrektywa 96/71/WE Parlamentu Europejskiego i Rady z dnia 16 grudnia 1996 r. dotycząca delegowania pracowników w ramach świadczenia usług (Dz. Urz. WE L 18 z 21.01.1997, str. 1</w:t>
      </w:r>
      <w:r w:rsidR="003675F5">
        <w:rPr>
          <w:rFonts w:cs="Arial"/>
          <w:sz w:val="22"/>
          <w:szCs w:val="22"/>
          <w:lang w:val="pl-PL"/>
        </w:rPr>
        <w:t>, z późn. zm.</w:t>
      </w:r>
      <w:r w:rsidRPr="000E53A6">
        <w:rPr>
          <w:rFonts w:cs="Arial"/>
          <w:sz w:val="22"/>
          <w:szCs w:val="22"/>
        </w:rPr>
        <w:t xml:space="preserve">; Dz. Urz. UE Polskie wydanie specjalne, rozdz. 5, t. 2, str. 431, z późn. zm.). </w:t>
      </w:r>
    </w:p>
    <w:p w14:paraId="7BC956C6" w14:textId="3F4B1207"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Dyrektywa Parlamentu Europejskiego i Rady 2009/33/WE z dnia 23 kwietnia 2009 r. w sprawie promowania ekologicznie czystych pojazdów transportu drogowego w</w:t>
      </w:r>
      <w:r w:rsidR="009343A1">
        <w:rPr>
          <w:rFonts w:cs="Arial"/>
          <w:sz w:val="22"/>
          <w:szCs w:val="22"/>
        </w:rPr>
        <w:t xml:space="preserve"> </w:t>
      </w:r>
      <w:r w:rsidRPr="000E53A6">
        <w:rPr>
          <w:rFonts w:cs="Arial"/>
          <w:sz w:val="22"/>
          <w:szCs w:val="22"/>
        </w:rPr>
        <w:t>celu wsparcia mobilności niskoemisyjnej (Dz. Urz. UE L 120 z 15.05.2009, str. 5</w:t>
      </w:r>
      <w:r w:rsidR="003B6CAD">
        <w:rPr>
          <w:rFonts w:cs="Arial"/>
          <w:sz w:val="22"/>
          <w:szCs w:val="22"/>
          <w:lang w:val="pl-PL"/>
        </w:rPr>
        <w:t>, z późn. zm.</w:t>
      </w:r>
      <w:r w:rsidRPr="000E53A6">
        <w:rPr>
          <w:rFonts w:cs="Arial"/>
          <w:sz w:val="22"/>
          <w:szCs w:val="22"/>
        </w:rPr>
        <w:t xml:space="preserve">) – w brzmieniu nadanym dyrektywą 2019/1161/UE. </w:t>
      </w:r>
    </w:p>
    <w:p w14:paraId="7612D6F3" w14:textId="4894BC4E"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 xml:space="preserve">Dyrektywa Parlamentu Europejskiego i Rady 2010/31/UE z dnia 19 maja 2010 r. w sprawie charakterystyki energetycznej budynków (Dz. Urz. UE L 153 z 18.06.2010, str. 13, z późn. zm.). </w:t>
      </w:r>
    </w:p>
    <w:p w14:paraId="4BCD0D35" w14:textId="4357CA36"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Dyrektywa Parlamentu Europejskiego i Rady 2011/36/UE z dnia 5 kwietnia 2011 r. w sprawie zapobiegania handlowi ludźmi i zwalczania tego procederu oraz ochrony ofiar,</w:t>
      </w:r>
      <w:r w:rsidR="009343A1">
        <w:rPr>
          <w:rFonts w:cs="Arial"/>
          <w:sz w:val="22"/>
          <w:szCs w:val="22"/>
        </w:rPr>
        <w:t xml:space="preserve"> </w:t>
      </w:r>
      <w:r w:rsidRPr="000E53A6">
        <w:rPr>
          <w:rFonts w:cs="Arial"/>
          <w:sz w:val="22"/>
          <w:szCs w:val="22"/>
        </w:rPr>
        <w:t>zastępująca decyzję ramową Rady 2002/629/WSiSW (Dz. Urz. UE L 101 z 15.04.2011, str. 1).</w:t>
      </w:r>
    </w:p>
    <w:p w14:paraId="14807782" w14:textId="661A2C43"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Dyrektywa Parlamentu Europejskiego i Rady 2012/27/UE z dnia 25 października 2012 r. w sprawie efektywności energetycznej, zmiany dyrektyw 2009/125/WE i 2010/30/UE oraz uchylenia dyrektyw 2004/8/WE i 2006/32/WE (Dz. Urz. UE L 315 z 14.11.2012, str. 1, z późn. zm.).</w:t>
      </w:r>
    </w:p>
    <w:p w14:paraId="1F75741F" w14:textId="29E68E18"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 xml:space="preserve">Rozporządzenie Parlamentu Europejskiego i Rady </w:t>
      </w:r>
      <w:r w:rsidR="00403A53">
        <w:rPr>
          <w:rFonts w:cs="Arial"/>
          <w:sz w:val="22"/>
          <w:szCs w:val="22"/>
          <w:lang w:val="pl-PL"/>
        </w:rPr>
        <w:t xml:space="preserve">(UE) </w:t>
      </w:r>
      <w:r w:rsidRPr="000E53A6">
        <w:rPr>
          <w:rFonts w:cs="Arial"/>
          <w:sz w:val="22"/>
          <w:szCs w:val="22"/>
        </w:rPr>
        <w:t>nr 654/2014 z dnia 15 maja 2014 r. dotyczące wykonywania praw Unii w zakresie stosowania i egzekwowania zasad handlu międzynarodowego oraz zmieniające rozporządzenie Rady (WE) nr 3286/94 ustanawiające procedury wspólnotowe w</w:t>
      </w:r>
      <w:r w:rsidR="009343A1">
        <w:rPr>
          <w:rFonts w:cs="Arial"/>
          <w:sz w:val="22"/>
          <w:szCs w:val="22"/>
        </w:rPr>
        <w:t xml:space="preserve"> </w:t>
      </w:r>
      <w:r w:rsidRPr="000E53A6">
        <w:rPr>
          <w:rFonts w:cs="Arial"/>
          <w:sz w:val="22"/>
          <w:szCs w:val="22"/>
        </w:rPr>
        <w:t>zakresie wspólnej polityki handlowej w celu zapewnienia wykonania praw Wspólnoty zgodnie z</w:t>
      </w:r>
      <w:r w:rsidR="009343A1">
        <w:rPr>
          <w:rFonts w:cs="Arial"/>
          <w:sz w:val="22"/>
          <w:szCs w:val="22"/>
        </w:rPr>
        <w:t xml:space="preserve"> </w:t>
      </w:r>
      <w:r w:rsidRPr="000E53A6">
        <w:rPr>
          <w:rFonts w:cs="Arial"/>
          <w:sz w:val="22"/>
          <w:szCs w:val="22"/>
        </w:rPr>
        <w:t>zasadami handlu międzynarodowego, w szczególności tymi ustanowionymi pod auspicjami Światowej Organizacji Handlu (Dz. Urz. UE L 189 z 27.06.2014 s</w:t>
      </w:r>
      <w:r w:rsidR="00141F41">
        <w:rPr>
          <w:rFonts w:cs="Arial"/>
          <w:sz w:val="22"/>
          <w:szCs w:val="22"/>
          <w:lang w:val="pl-PL"/>
        </w:rPr>
        <w:t>tr</w:t>
      </w:r>
      <w:r w:rsidRPr="000E53A6">
        <w:rPr>
          <w:rFonts w:cs="Arial"/>
          <w:sz w:val="22"/>
          <w:szCs w:val="22"/>
        </w:rPr>
        <w:t xml:space="preserve">. 50, z późń. zm.). </w:t>
      </w:r>
    </w:p>
    <w:p w14:paraId="77F47E15" w14:textId="44CD7A59"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 xml:space="preserve">Dyrektywa Parlamentu Europejskiego i Rady (UE) 2019/882 z dnia 17 kwietnia 2019 r. w sprawie wymogów dostępności produktów i usług (Dz. Urz. UE L 151 z </w:t>
      </w:r>
      <w:r w:rsidR="00141F41">
        <w:rPr>
          <w:rFonts w:cs="Arial"/>
          <w:sz w:val="22"/>
          <w:szCs w:val="22"/>
          <w:lang w:val="pl-PL"/>
        </w:rPr>
        <w:t>0</w:t>
      </w:r>
      <w:r w:rsidRPr="000E53A6">
        <w:rPr>
          <w:rFonts w:cs="Arial"/>
          <w:sz w:val="22"/>
          <w:szCs w:val="22"/>
        </w:rPr>
        <w:t>7.</w:t>
      </w:r>
      <w:r w:rsidR="00141F41">
        <w:rPr>
          <w:rFonts w:cs="Arial"/>
          <w:sz w:val="22"/>
          <w:szCs w:val="22"/>
          <w:lang w:val="pl-PL"/>
        </w:rPr>
        <w:t>0</w:t>
      </w:r>
      <w:r w:rsidRPr="000E53A6">
        <w:rPr>
          <w:rFonts w:cs="Arial"/>
          <w:sz w:val="22"/>
          <w:szCs w:val="22"/>
        </w:rPr>
        <w:t>6.2019, str. 70).</w:t>
      </w:r>
    </w:p>
    <w:p w14:paraId="7995EE00" w14:textId="5F38ADF7"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Dyrektywa Parlamentu Europejskiego i Rady 2022/2041 z dnia 19 października 2022 r. w sprawie adekwatnych wynagrodzeń minimalnych w Unii Europejskiej (Dz. Urz. UE L 275 z 25.10.2022, str. 33).</w:t>
      </w:r>
    </w:p>
    <w:p w14:paraId="07D8784E" w14:textId="2F02B6FA" w:rsidR="00C609C6" w:rsidRPr="000E53A6" w:rsidRDefault="00C609C6" w:rsidP="00E16264">
      <w:pPr>
        <w:pStyle w:val="Akapitzlist"/>
        <w:numPr>
          <w:ilvl w:val="0"/>
          <w:numId w:val="42"/>
        </w:numPr>
        <w:shd w:val="clear" w:color="auto" w:fill="FFFFFF"/>
        <w:rPr>
          <w:rFonts w:cs="Arial"/>
          <w:sz w:val="22"/>
          <w:szCs w:val="22"/>
        </w:rPr>
      </w:pPr>
      <w:r w:rsidRPr="000E53A6">
        <w:rPr>
          <w:rFonts w:cs="Arial"/>
          <w:sz w:val="22"/>
          <w:szCs w:val="22"/>
        </w:rPr>
        <w:t xml:space="preserve">Dyrektywa Parlamentu Europejskiego i Rady 2022/2381 z dnia 23 listopada 2022 r. w sprawie poprawy równowagi płci wśród dyrektorów spółek giełdowych oraz powiązanych środków (Dz. Urz. UE L 315 z </w:t>
      </w:r>
      <w:r w:rsidR="00141F41">
        <w:rPr>
          <w:rFonts w:cs="Arial"/>
          <w:sz w:val="22"/>
          <w:szCs w:val="22"/>
          <w:lang w:val="pl-PL"/>
        </w:rPr>
        <w:t>0</w:t>
      </w:r>
      <w:r w:rsidRPr="000E53A6">
        <w:rPr>
          <w:rFonts w:cs="Arial"/>
          <w:sz w:val="22"/>
          <w:szCs w:val="22"/>
        </w:rPr>
        <w:t xml:space="preserve">7.12.2022, str. 44). </w:t>
      </w:r>
    </w:p>
    <w:p w14:paraId="093EECF6" w14:textId="77777777" w:rsidR="000E53A6" w:rsidRPr="000E53A6" w:rsidRDefault="000E53A6" w:rsidP="00C609C6">
      <w:pPr>
        <w:shd w:val="clear" w:color="auto" w:fill="FFFFFF"/>
        <w:rPr>
          <w:rFonts w:cs="Arial"/>
          <w:bCs/>
        </w:rPr>
      </w:pPr>
    </w:p>
    <w:p w14:paraId="168BF705" w14:textId="10618BDA" w:rsidR="00C609C6" w:rsidRPr="000E53A6" w:rsidRDefault="00C609C6" w:rsidP="00C609C6">
      <w:pPr>
        <w:shd w:val="clear" w:color="auto" w:fill="FFFFFF"/>
        <w:rPr>
          <w:rFonts w:cs="Arial"/>
          <w:b/>
          <w:bCs/>
          <w:color w:val="0070C0"/>
        </w:rPr>
      </w:pPr>
      <w:r w:rsidRPr="000E53A6">
        <w:rPr>
          <w:rFonts w:cs="Arial"/>
          <w:b/>
          <w:bCs/>
          <w:color w:val="0070C0"/>
        </w:rPr>
        <w:t>Rozporządzenia</w:t>
      </w:r>
    </w:p>
    <w:p w14:paraId="12903484" w14:textId="731EE8F2"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(WE) nr 1370/2007 Parlamentu Europejskiego i Rady z dnia 23 października 2007 r. dotyczące usług publicznych w zakresie kolejowego i drogowego transportu pasażerskiego oraz uchylające rozporządzenia Rady (EWG) nr 1191/69 i (EWG) nr 1107/70 (Dz. Urz. UE L 315 z 03.12.2007, str. 1, z późn. zm.).</w:t>
      </w:r>
    </w:p>
    <w:p w14:paraId="413B5A2F" w14:textId="02BE9751"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Parlamentu Europejskiego i Rady (WE) nr 106/2008 z dnia 15 stycznia 2008 r. w sprawie unijnego programu znakowania efektywności energetycznej urządzeń biurowych (Dz. Urz. UE L 39 z 13.02.2008, str. 1, z późn. zm.) – w brzmieniu nadanym przez rozporządzenie 174/2013</w:t>
      </w:r>
    </w:p>
    <w:p w14:paraId="1CFF99B0" w14:textId="710B9E24"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Parlamentu Europejskiego i Rady (WE) nr 1221/2009 z dnia 25 listopada 2009 r. w sprawie dobrowolnego udziału organizacji w systemie ekozarządzania i audytu we Wspólnocie (EMAS), uchylające rozporządzenie (WE) nr 761/2001 oraz decyzje Komisji 2001/681/WE i 2006/193/WE (Dz. Urz. UE L 342 z 22.12.2009, str. 1, z późn. zm.) (rozporządzenie EMAS).</w:t>
      </w:r>
      <w:r w:rsidR="009343A1">
        <w:rPr>
          <w:rFonts w:cs="Arial"/>
          <w:sz w:val="22"/>
          <w:szCs w:val="22"/>
        </w:rPr>
        <w:t xml:space="preserve"> </w:t>
      </w:r>
    </w:p>
    <w:p w14:paraId="14B7BBE6" w14:textId="7011F20C"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 xml:space="preserve">Rozporządzenie Parlamentu Europejskiego i Rady (WE) nr 66/2010 z dnia 25 listopada 2009 r. w sprawie oznakowania ekologicznego UE (Dz. Urz. UE L 27 z 30.01.2010, str. 1, z późn. zm.) (rozporządzenie Ecolabel). </w:t>
      </w:r>
    </w:p>
    <w:p w14:paraId="67B01A8E" w14:textId="24ACCBF7"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Parlamentu Europejskiego i Rady (UE) 2017/1369 z dnia 4 lipca 2017 r. ustanawiające ramy etykietowania energetycznego i uchylające dyrektywę 2010/30/UE (Dz. Urz. UE L 198 z 28.</w:t>
      </w:r>
      <w:r w:rsidR="00006468">
        <w:rPr>
          <w:rFonts w:cs="Arial"/>
          <w:sz w:val="22"/>
          <w:szCs w:val="22"/>
          <w:lang w:val="pl-PL"/>
        </w:rPr>
        <w:t>0</w:t>
      </w:r>
      <w:r w:rsidRPr="000E53A6">
        <w:rPr>
          <w:rFonts w:cs="Arial"/>
          <w:sz w:val="22"/>
          <w:szCs w:val="22"/>
        </w:rPr>
        <w:t>7.2017 r., str. 1</w:t>
      </w:r>
      <w:r w:rsidR="00006468">
        <w:rPr>
          <w:rFonts w:cs="Arial"/>
          <w:sz w:val="22"/>
          <w:szCs w:val="22"/>
          <w:lang w:val="pl-PL"/>
        </w:rPr>
        <w:t>, z późn. zm.</w:t>
      </w:r>
      <w:r w:rsidRPr="000E53A6">
        <w:rPr>
          <w:rFonts w:cs="Arial"/>
          <w:sz w:val="22"/>
          <w:szCs w:val="22"/>
        </w:rPr>
        <w:t>) – w brzmieniu nadanym przez rozporządzenie 2020/740.</w:t>
      </w:r>
    </w:p>
    <w:p w14:paraId="69F795AC" w14:textId="68CD1636"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 xml:space="preserve">Rozporządzenie Parlamentu Europejskiego i Rady (UE) 2020/740 z dnia 25 maja 2020 r. w sprawie etykietowania opon pod kątem efektywności paliwowej i innych parametrów, zmieniające rozporządzenie (UE) 2017/1369 oraz uchylające rozporządzenie (WE) nr 1222/2009 (Dz. Urz. UE L 177 z </w:t>
      </w:r>
      <w:r w:rsidR="00006468">
        <w:rPr>
          <w:rFonts w:cs="Arial"/>
          <w:sz w:val="22"/>
          <w:szCs w:val="22"/>
          <w:lang w:val="pl-PL"/>
        </w:rPr>
        <w:t>05</w:t>
      </w:r>
      <w:r w:rsidRPr="000E53A6">
        <w:rPr>
          <w:rFonts w:cs="Arial"/>
          <w:sz w:val="22"/>
          <w:szCs w:val="22"/>
        </w:rPr>
        <w:t>.</w:t>
      </w:r>
      <w:r w:rsidR="00006468">
        <w:rPr>
          <w:rFonts w:cs="Arial"/>
          <w:sz w:val="22"/>
          <w:szCs w:val="22"/>
          <w:lang w:val="pl-PL"/>
        </w:rPr>
        <w:t>0</w:t>
      </w:r>
      <w:r w:rsidRPr="000E53A6">
        <w:rPr>
          <w:rFonts w:cs="Arial"/>
          <w:sz w:val="22"/>
          <w:szCs w:val="22"/>
        </w:rPr>
        <w:t>6.2020, s</w:t>
      </w:r>
      <w:r w:rsidR="00006468">
        <w:rPr>
          <w:rFonts w:cs="Arial"/>
          <w:sz w:val="22"/>
          <w:szCs w:val="22"/>
          <w:lang w:val="pl-PL"/>
        </w:rPr>
        <w:t>tr</w:t>
      </w:r>
      <w:r w:rsidRPr="000E53A6">
        <w:rPr>
          <w:rFonts w:cs="Arial"/>
          <w:sz w:val="22"/>
          <w:szCs w:val="22"/>
        </w:rPr>
        <w:t>. 1).</w:t>
      </w:r>
    </w:p>
    <w:p w14:paraId="5A35CA63" w14:textId="393F5F29"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Rady (UE) 2022/2372 z dnia 24 października 2022 r. w sprawie ram środków służących zapewnieniu zaopatrzenia w medyczne środki przeciwdziałania istotne podczas kryzysu w</w:t>
      </w:r>
      <w:r w:rsidR="009343A1">
        <w:rPr>
          <w:rFonts w:cs="Arial"/>
          <w:sz w:val="22"/>
          <w:szCs w:val="22"/>
        </w:rPr>
        <w:t xml:space="preserve"> </w:t>
      </w:r>
      <w:r w:rsidRPr="000E53A6">
        <w:rPr>
          <w:rFonts w:cs="Arial"/>
          <w:sz w:val="22"/>
          <w:szCs w:val="22"/>
        </w:rPr>
        <w:t xml:space="preserve">przypadku stanu zagrożenia zdrowia publicznego na poziomie Unii (Dz. Urz. </w:t>
      </w:r>
      <w:r w:rsidR="00006468">
        <w:rPr>
          <w:rFonts w:cs="Arial"/>
          <w:sz w:val="22"/>
          <w:szCs w:val="22"/>
          <w:lang w:val="pl-PL"/>
        </w:rPr>
        <w:t xml:space="preserve">UE </w:t>
      </w:r>
      <w:r w:rsidRPr="000E53A6">
        <w:rPr>
          <w:rFonts w:cs="Arial"/>
          <w:sz w:val="22"/>
          <w:szCs w:val="22"/>
        </w:rPr>
        <w:t xml:space="preserve">L 314 z </w:t>
      </w:r>
      <w:r w:rsidR="00006468">
        <w:rPr>
          <w:rFonts w:cs="Arial"/>
          <w:sz w:val="22"/>
          <w:szCs w:val="22"/>
          <w:lang w:val="pl-PL"/>
        </w:rPr>
        <w:t>0</w:t>
      </w:r>
      <w:r w:rsidRPr="000E53A6">
        <w:rPr>
          <w:rFonts w:cs="Arial"/>
          <w:sz w:val="22"/>
          <w:szCs w:val="22"/>
        </w:rPr>
        <w:t>6.12.2022, str. 64).</w:t>
      </w:r>
    </w:p>
    <w:p w14:paraId="5CA22F2D" w14:textId="03DF45E2" w:rsidR="00C609C6" w:rsidRPr="000E53A6" w:rsidRDefault="00C609C6" w:rsidP="00E16264">
      <w:pPr>
        <w:pStyle w:val="Akapitzlist"/>
        <w:numPr>
          <w:ilvl w:val="0"/>
          <w:numId w:val="43"/>
        </w:numPr>
        <w:shd w:val="clear" w:color="auto" w:fill="FFFFFF"/>
        <w:rPr>
          <w:rFonts w:cs="Arial"/>
          <w:sz w:val="22"/>
          <w:szCs w:val="22"/>
        </w:rPr>
      </w:pPr>
      <w:r w:rsidRPr="000E53A6">
        <w:rPr>
          <w:rFonts w:cs="Arial"/>
          <w:sz w:val="22"/>
          <w:szCs w:val="22"/>
        </w:rPr>
        <w:t>Rozporządzenie Parlamentu Europejskiego i Rady</w:t>
      </w:r>
      <w:r w:rsidR="00006468">
        <w:rPr>
          <w:rFonts w:cs="Arial"/>
          <w:sz w:val="22"/>
          <w:szCs w:val="22"/>
          <w:lang w:val="pl-PL"/>
        </w:rPr>
        <w:t xml:space="preserve"> (UE)</w:t>
      </w:r>
      <w:r w:rsidRPr="000E53A6">
        <w:rPr>
          <w:rFonts w:cs="Arial"/>
          <w:sz w:val="22"/>
          <w:szCs w:val="22"/>
        </w:rPr>
        <w:t xml:space="preserve"> 2022/2371 z dnia 23 listopada 2022 r. w sprawie poważnych transgranicznych zagrożeń zdrowia oraz uchylenia decyzji nr 1082/2013/UE (Dz. Urz. </w:t>
      </w:r>
      <w:r w:rsidR="00006468">
        <w:rPr>
          <w:rFonts w:cs="Arial"/>
          <w:sz w:val="22"/>
          <w:szCs w:val="22"/>
          <w:lang w:val="pl-PL"/>
        </w:rPr>
        <w:t>UE</w:t>
      </w:r>
      <w:r w:rsidR="006C6499">
        <w:rPr>
          <w:rFonts w:cs="Arial"/>
          <w:sz w:val="22"/>
          <w:szCs w:val="22"/>
          <w:lang w:val="pl-PL"/>
        </w:rPr>
        <w:t xml:space="preserve"> </w:t>
      </w:r>
      <w:r w:rsidRPr="000E53A6">
        <w:rPr>
          <w:rFonts w:cs="Arial"/>
          <w:sz w:val="22"/>
          <w:szCs w:val="22"/>
        </w:rPr>
        <w:t xml:space="preserve">L 314 z </w:t>
      </w:r>
      <w:r w:rsidR="00006468">
        <w:rPr>
          <w:rFonts w:cs="Arial"/>
          <w:sz w:val="22"/>
          <w:szCs w:val="22"/>
          <w:lang w:val="pl-PL"/>
        </w:rPr>
        <w:t>0</w:t>
      </w:r>
      <w:r w:rsidRPr="000E53A6">
        <w:rPr>
          <w:rFonts w:cs="Arial"/>
          <w:sz w:val="22"/>
          <w:szCs w:val="22"/>
        </w:rPr>
        <w:t>6.12.2022, str. 26).</w:t>
      </w:r>
    </w:p>
    <w:p w14:paraId="3AD7664E" w14:textId="7D00A242" w:rsidR="00B269A9" w:rsidRDefault="00B269A9" w:rsidP="00B269A9">
      <w:pPr>
        <w:shd w:val="clear" w:color="auto" w:fill="FFFFFF"/>
        <w:rPr>
          <w:rFonts w:cs="Arial"/>
        </w:rPr>
      </w:pPr>
    </w:p>
    <w:p w14:paraId="1C5DA60E" w14:textId="6248BBF4" w:rsidR="00176893" w:rsidRDefault="00176893" w:rsidP="00B269A9">
      <w:pPr>
        <w:shd w:val="clear" w:color="auto" w:fill="FFFFFF"/>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897490" w:rsidRPr="00A855CF" w14:paraId="5F2D286A" w14:textId="77777777" w:rsidTr="009F6D1D">
        <w:tc>
          <w:tcPr>
            <w:tcW w:w="9180" w:type="dxa"/>
            <w:shd w:val="clear" w:color="auto" w:fill="auto"/>
          </w:tcPr>
          <w:p w14:paraId="73662954" w14:textId="148F125B" w:rsidR="00897490" w:rsidRPr="00D2016D" w:rsidRDefault="00897490" w:rsidP="00897490">
            <w:pPr>
              <w:spacing w:before="120" w:after="120"/>
              <w:jc w:val="right"/>
              <w:rPr>
                <w:b/>
                <w:color w:val="0070C0"/>
                <w:sz w:val="24"/>
              </w:rPr>
            </w:pPr>
            <w:r w:rsidRPr="00D2016D">
              <w:rPr>
                <w:rFonts w:cs="Arial"/>
                <w:color w:val="0070C0"/>
                <w:szCs w:val="22"/>
              </w:rPr>
              <w:br w:type="page"/>
            </w:r>
            <w:r w:rsidRPr="00D2016D">
              <w:rPr>
                <w:rFonts w:cs="Arial"/>
                <w:color w:val="0070C0"/>
                <w:szCs w:val="22"/>
              </w:rPr>
              <w:br w:type="page"/>
            </w:r>
            <w:r w:rsidRPr="00D2016D">
              <w:rPr>
                <w:rFonts w:cs="Arial"/>
                <w:color w:val="0070C0"/>
                <w:sz w:val="20"/>
                <w:szCs w:val="20"/>
              </w:rPr>
              <w:br w:type="page"/>
            </w:r>
            <w:bookmarkStart w:id="283" w:name="Zał_3"/>
            <w:bookmarkEnd w:id="283"/>
            <w:r w:rsidRPr="00D2016D">
              <w:rPr>
                <w:b/>
                <w:color w:val="0070C0"/>
                <w:sz w:val="24"/>
              </w:rPr>
              <w:t>Załącznik nr 3</w:t>
            </w:r>
          </w:p>
        </w:tc>
        <w:tc>
          <w:tcPr>
            <w:tcW w:w="236" w:type="dxa"/>
            <w:shd w:val="clear" w:color="auto" w:fill="2E74B5"/>
          </w:tcPr>
          <w:p w14:paraId="314C823D" w14:textId="77777777" w:rsidR="00897490" w:rsidRPr="00A855CF" w:rsidRDefault="00897490" w:rsidP="009F6D1D">
            <w:pPr>
              <w:spacing w:before="120" w:after="120"/>
              <w:jc w:val="right"/>
              <w:rPr>
                <w:b/>
                <w:sz w:val="24"/>
              </w:rPr>
            </w:pPr>
          </w:p>
        </w:tc>
      </w:tr>
    </w:tbl>
    <w:p w14:paraId="5420895C" w14:textId="77777777" w:rsidR="00B269A9" w:rsidRPr="00BB5B42" w:rsidRDefault="00B269A9" w:rsidP="00B269A9">
      <w:pPr>
        <w:shd w:val="clear" w:color="auto" w:fill="FFFFFF"/>
        <w:rPr>
          <w:rFonts w:cs="Arial"/>
          <w:sz w:val="16"/>
          <w:szCs w:val="16"/>
        </w:rPr>
      </w:pPr>
    </w:p>
    <w:p w14:paraId="0B48FE6D" w14:textId="77777777" w:rsidR="00A34644" w:rsidRDefault="00897490" w:rsidP="00897490">
      <w:pPr>
        <w:shd w:val="clear" w:color="auto" w:fill="FFFFFF"/>
        <w:jc w:val="center"/>
        <w:rPr>
          <w:rFonts w:cs="Arial"/>
          <w:b/>
        </w:rPr>
      </w:pPr>
      <w:r w:rsidRPr="00897490">
        <w:rPr>
          <w:rFonts w:cs="Arial"/>
          <w:b/>
        </w:rPr>
        <w:t>Krótkie omówienie orzeczeń Trybunału Sprawiedliwoś</w:t>
      </w:r>
      <w:r>
        <w:rPr>
          <w:rFonts w:cs="Arial"/>
          <w:b/>
        </w:rPr>
        <w:t xml:space="preserve">ci Unii Europejskiej </w:t>
      </w:r>
    </w:p>
    <w:p w14:paraId="4ED7E28F" w14:textId="6B3AED23" w:rsidR="00326D1E" w:rsidRPr="00897490" w:rsidRDefault="00897490" w:rsidP="00897490">
      <w:pPr>
        <w:shd w:val="clear" w:color="auto" w:fill="FFFFFF"/>
        <w:jc w:val="center"/>
        <w:rPr>
          <w:rFonts w:cs="Arial"/>
          <w:b/>
        </w:rPr>
      </w:pPr>
      <w:r>
        <w:rPr>
          <w:rFonts w:cs="Arial"/>
          <w:b/>
        </w:rPr>
        <w:t>wydanych w</w:t>
      </w:r>
      <w:r w:rsidR="00987914">
        <w:rPr>
          <w:rFonts w:cs="Arial"/>
          <w:b/>
        </w:rPr>
        <w:t xml:space="preserve"> </w:t>
      </w:r>
      <w:r w:rsidRPr="00897490">
        <w:rPr>
          <w:rFonts w:cs="Arial"/>
          <w:b/>
        </w:rPr>
        <w:t>202</w:t>
      </w:r>
      <w:r w:rsidR="00660D69">
        <w:rPr>
          <w:rFonts w:cs="Arial"/>
          <w:b/>
        </w:rPr>
        <w:t>2</w:t>
      </w:r>
      <w:r w:rsidRPr="00897490">
        <w:rPr>
          <w:rFonts w:cs="Arial"/>
          <w:b/>
        </w:rPr>
        <w:t xml:space="preserve"> r</w:t>
      </w:r>
      <w:r w:rsidR="00CC67BA">
        <w:rPr>
          <w:rFonts w:cs="Arial"/>
          <w:b/>
        </w:rPr>
        <w:t>.</w:t>
      </w:r>
    </w:p>
    <w:p w14:paraId="63D3A0A2" w14:textId="7FA136E6" w:rsidR="00B269A9" w:rsidRDefault="00B269A9" w:rsidP="005E5DFF">
      <w:pPr>
        <w:shd w:val="clear" w:color="auto" w:fill="FFFFFF"/>
        <w:rPr>
          <w:rFonts w:cs="Arial"/>
        </w:rPr>
      </w:pPr>
    </w:p>
    <w:p w14:paraId="4F4BA64F" w14:textId="77777777" w:rsidR="009C6860" w:rsidRPr="009C6860" w:rsidRDefault="009C6860" w:rsidP="009C6860">
      <w:pPr>
        <w:shd w:val="clear" w:color="auto" w:fill="FFFFFF"/>
        <w:rPr>
          <w:rFonts w:cs="Arial"/>
          <w:b/>
          <w:iCs/>
        </w:rPr>
      </w:pPr>
      <w:r w:rsidRPr="009C6860">
        <w:rPr>
          <w:rFonts w:cs="Arial"/>
          <w:b/>
          <w:iCs/>
        </w:rPr>
        <w:t xml:space="preserve">1. Wyrok z dnia 3 lutego 2022 r. w sprawie C-461/20 </w:t>
      </w:r>
      <w:r w:rsidRPr="009C6860">
        <w:rPr>
          <w:rFonts w:cs="Arial"/>
          <w:b/>
          <w:i/>
          <w:iCs/>
        </w:rPr>
        <w:t>Advania Sverige AB et Kammarkollegiet przeciwko Dustin Sverige AB</w:t>
      </w:r>
      <w:r w:rsidRPr="009C6860">
        <w:rPr>
          <w:rFonts w:cs="Arial"/>
          <w:b/>
          <w:iCs/>
        </w:rPr>
        <w:t>, ECLI:EU:C:2022:72</w:t>
      </w:r>
    </w:p>
    <w:p w14:paraId="243811A6" w14:textId="77777777" w:rsidR="009C6860" w:rsidRPr="009C6860" w:rsidRDefault="009C6860" w:rsidP="009C6860">
      <w:pPr>
        <w:shd w:val="clear" w:color="auto" w:fill="FFFFFF"/>
        <w:rPr>
          <w:rFonts w:cs="Arial"/>
          <w:bCs/>
          <w:iCs/>
        </w:rPr>
      </w:pPr>
      <w:r w:rsidRPr="009C6860">
        <w:rPr>
          <w:rFonts w:cs="Arial"/>
          <w:bCs/>
          <w:iCs/>
        </w:rPr>
        <w:t xml:space="preserve">W sprawie C-461/20 </w:t>
      </w:r>
      <w:r w:rsidRPr="009C6860">
        <w:rPr>
          <w:rFonts w:cs="Arial"/>
          <w:bCs/>
          <w:i/>
          <w:iCs/>
        </w:rPr>
        <w:t>Advania Sverige et Kammarkollegiet</w:t>
      </w:r>
      <w:r w:rsidRPr="009C6860">
        <w:rPr>
          <w:rFonts w:cs="Arial"/>
          <w:bCs/>
          <w:iCs/>
        </w:rPr>
        <w:t xml:space="preserve"> kwestią sporną było to, czy cesja umów ramowych dokonana przez syndyka masy upadłościowej dotychczasowego wykonawcy wiąże się ze wstąpieniem w drodze sukcesji uniwersalnej lub częściowej w prawa i obowiązki dotychczasowego wykonawcy i w konsekwencji stanowi dopuszczalną zmianę umowy ramowej niewymagającą przeprowadzenia nowego postępowania konkurencyjnego.</w:t>
      </w:r>
    </w:p>
    <w:p w14:paraId="1609C4D4" w14:textId="248E1F67" w:rsidR="009C6860" w:rsidRDefault="009C6860" w:rsidP="009C6860">
      <w:pPr>
        <w:shd w:val="clear" w:color="auto" w:fill="FFFFFF"/>
        <w:rPr>
          <w:rFonts w:cs="Arial"/>
          <w:iCs/>
        </w:rPr>
      </w:pPr>
      <w:r w:rsidRPr="009C6860">
        <w:rPr>
          <w:rFonts w:cs="Arial"/>
          <w:bCs/>
          <w:iCs/>
        </w:rPr>
        <w:t xml:space="preserve">Odpowiadając na pytanie szwedzkiego najwyższego sądu administracyjnego Trybunał orzekł, iż przepis </w:t>
      </w:r>
      <w:r w:rsidRPr="009C6860">
        <w:rPr>
          <w:rFonts w:cs="Arial"/>
          <w:iCs/>
        </w:rPr>
        <w:t>art.</w:t>
      </w:r>
      <w:r w:rsidR="009343A1">
        <w:rPr>
          <w:rFonts w:cs="Arial"/>
          <w:iCs/>
        </w:rPr>
        <w:t xml:space="preserve"> </w:t>
      </w:r>
      <w:r w:rsidRPr="009C6860">
        <w:rPr>
          <w:rFonts w:cs="Arial"/>
          <w:iCs/>
        </w:rPr>
        <w:t>72 ust.</w:t>
      </w:r>
      <w:r w:rsidR="009343A1">
        <w:rPr>
          <w:rFonts w:cs="Arial"/>
          <w:iCs/>
        </w:rPr>
        <w:t xml:space="preserve"> </w:t>
      </w:r>
      <w:r w:rsidRPr="009C6860">
        <w:rPr>
          <w:rFonts w:cs="Arial"/>
          <w:iCs/>
        </w:rPr>
        <w:t>1 lit.</w:t>
      </w:r>
      <w:r w:rsidR="009343A1">
        <w:rPr>
          <w:rFonts w:cs="Arial"/>
          <w:iCs/>
        </w:rPr>
        <w:t xml:space="preserve"> </w:t>
      </w:r>
      <w:r w:rsidRPr="009C6860">
        <w:rPr>
          <w:rFonts w:cs="Arial"/>
          <w:iCs/>
        </w:rPr>
        <w:t>d) ppkt</w:t>
      </w:r>
      <w:r w:rsidR="009343A1">
        <w:rPr>
          <w:rFonts w:cs="Arial"/>
          <w:iCs/>
        </w:rPr>
        <w:t xml:space="preserve"> </w:t>
      </w:r>
      <w:r w:rsidRPr="009C6860">
        <w:rPr>
          <w:rFonts w:cs="Arial"/>
          <w:iCs/>
        </w:rPr>
        <w:t>(ii) dyrektywy 2014/24/UE</w:t>
      </w:r>
      <w:r w:rsidRPr="009C6860">
        <w:rPr>
          <w:rFonts w:cs="Arial"/>
          <w:iCs/>
          <w:vertAlign w:val="superscript"/>
        </w:rPr>
        <w:footnoteReference w:id="25"/>
      </w:r>
      <w:r w:rsidRPr="009C6860">
        <w:rPr>
          <w:rFonts w:cs="Arial"/>
          <w:iCs/>
        </w:rPr>
        <w:t xml:space="preserve"> należy interpretować w ten sposób, że wykonawcę, który w związku z postawieniem w stan upadłości pierwotnego wykonawcy prowadzącej do jego likwidacji, przejął jedynie jego prawa i</w:t>
      </w:r>
      <w:r w:rsidR="009343A1">
        <w:rPr>
          <w:rFonts w:cs="Arial"/>
          <w:iCs/>
        </w:rPr>
        <w:t xml:space="preserve"> </w:t>
      </w:r>
      <w:r w:rsidRPr="009C6860">
        <w:rPr>
          <w:rFonts w:cs="Arial"/>
          <w:iCs/>
        </w:rPr>
        <w:t>obowiązki wynikające z umowy ramowej zawartej z instytucją zamawiającą, należy uznać za wstępującego, w wyniku sukcesji częściowej, w prawa i obowiązki owego pierwotnego wykonawcy, w następstwie restrukturyzacji, w rozumieniu tego przepisu.</w:t>
      </w:r>
    </w:p>
    <w:p w14:paraId="53EF0AF1" w14:textId="77777777" w:rsidR="009C6860" w:rsidRPr="009C6860" w:rsidRDefault="009C6860" w:rsidP="009C6860">
      <w:pPr>
        <w:shd w:val="clear" w:color="auto" w:fill="FFFFFF"/>
        <w:rPr>
          <w:rFonts w:cs="Arial"/>
          <w:bCs/>
          <w:iCs/>
        </w:rPr>
      </w:pPr>
    </w:p>
    <w:p w14:paraId="0FD0C359" w14:textId="77777777" w:rsidR="009C6860" w:rsidRPr="009C6860" w:rsidRDefault="009C6860" w:rsidP="009C6860">
      <w:pPr>
        <w:shd w:val="clear" w:color="auto" w:fill="FFFFFF"/>
        <w:rPr>
          <w:rFonts w:cs="Arial"/>
          <w:b/>
          <w:iCs/>
        </w:rPr>
      </w:pPr>
      <w:r w:rsidRPr="009C6860">
        <w:rPr>
          <w:rFonts w:cs="Arial"/>
          <w:b/>
          <w:iCs/>
        </w:rPr>
        <w:t xml:space="preserve">2. Wyrok z dnia 24 lutego 2022 r. w sprawie C-532/20 </w:t>
      </w:r>
      <w:r w:rsidRPr="009C6860">
        <w:rPr>
          <w:rFonts w:cs="Arial"/>
          <w:b/>
          <w:bCs/>
          <w:i/>
          <w:iCs/>
        </w:rPr>
        <w:t>Alstom Transport SA przeciwko</w:t>
      </w:r>
      <w:r w:rsidRPr="009C6860">
        <w:rPr>
          <w:rFonts w:cs="Arial"/>
          <w:i/>
          <w:iCs/>
        </w:rPr>
        <w:t xml:space="preserve"> </w:t>
      </w:r>
      <w:r w:rsidRPr="009C6860">
        <w:rPr>
          <w:rFonts w:cs="Arial"/>
          <w:b/>
          <w:bCs/>
          <w:i/>
          <w:iCs/>
        </w:rPr>
        <w:t>Compania Naţională de Căi Ferate CFR SA, Strabag AG – Sucursala Bucureşti, Swietelsky AG Linz – Sucursala Bucureşti</w:t>
      </w:r>
      <w:r w:rsidRPr="009C6860">
        <w:rPr>
          <w:rFonts w:cs="Arial"/>
          <w:b/>
          <w:bCs/>
          <w:iCs/>
        </w:rPr>
        <w:t>, ECLI:EU:C:2022:128</w:t>
      </w:r>
    </w:p>
    <w:p w14:paraId="56E2E800" w14:textId="77777777" w:rsidR="009C6860" w:rsidRPr="009C6860" w:rsidRDefault="009C6860" w:rsidP="009C6860">
      <w:pPr>
        <w:shd w:val="clear" w:color="auto" w:fill="FFFFFF"/>
        <w:rPr>
          <w:rFonts w:cs="Arial"/>
          <w:b/>
          <w:iCs/>
        </w:rPr>
      </w:pPr>
      <w:r w:rsidRPr="009C6860">
        <w:rPr>
          <w:rFonts w:cs="Arial"/>
          <w:iCs/>
        </w:rPr>
        <w:t>W sprawie będącej przedmiotem odesłania prejudycjalnego Trybunał zajął się problematyką obliczania terminu na wniesienie odwołania od decyzji wydanej w ramach postępowania o udzielenie zamówienia publicznego na roboty budowlane.</w:t>
      </w:r>
    </w:p>
    <w:p w14:paraId="59EB2A74" w14:textId="27C4F34C" w:rsidR="009C6860" w:rsidRDefault="009C6860" w:rsidP="009C6860">
      <w:pPr>
        <w:shd w:val="clear" w:color="auto" w:fill="FFFFFF"/>
        <w:rPr>
          <w:rFonts w:cs="Arial"/>
          <w:iCs/>
        </w:rPr>
      </w:pPr>
      <w:r w:rsidRPr="009C6860">
        <w:rPr>
          <w:rFonts w:cs="Arial"/>
          <w:iCs/>
        </w:rPr>
        <w:t>Odpowiadając na pytanie rumuńskiego sądu apelacyjnego Trybunał orzekł, iż art.</w:t>
      </w:r>
      <w:r w:rsidR="009343A1">
        <w:rPr>
          <w:rFonts w:cs="Arial"/>
          <w:iCs/>
        </w:rPr>
        <w:t xml:space="preserve"> </w:t>
      </w:r>
      <w:r w:rsidRPr="009C6860">
        <w:rPr>
          <w:rFonts w:cs="Arial"/>
          <w:iCs/>
        </w:rPr>
        <w:t>1 ust.</w:t>
      </w:r>
      <w:r w:rsidR="009343A1">
        <w:rPr>
          <w:rFonts w:cs="Arial"/>
          <w:iCs/>
        </w:rPr>
        <w:t xml:space="preserve"> </w:t>
      </w:r>
      <w:r w:rsidRPr="009C6860">
        <w:rPr>
          <w:rFonts w:cs="Arial"/>
          <w:iCs/>
        </w:rPr>
        <w:t>1 akapit czwarty, art.</w:t>
      </w:r>
      <w:r w:rsidR="009343A1">
        <w:rPr>
          <w:rFonts w:cs="Arial"/>
          <w:iCs/>
        </w:rPr>
        <w:t xml:space="preserve"> </w:t>
      </w:r>
      <w:r w:rsidRPr="009C6860">
        <w:rPr>
          <w:rFonts w:cs="Arial"/>
          <w:iCs/>
        </w:rPr>
        <w:t>1 ust.</w:t>
      </w:r>
      <w:r w:rsidR="009343A1">
        <w:rPr>
          <w:rFonts w:cs="Arial"/>
          <w:iCs/>
        </w:rPr>
        <w:t xml:space="preserve"> </w:t>
      </w:r>
      <w:r w:rsidRPr="009C6860">
        <w:rPr>
          <w:rFonts w:cs="Arial"/>
          <w:iCs/>
        </w:rPr>
        <w:t>3 i</w:t>
      </w:r>
      <w:r w:rsidR="009343A1">
        <w:rPr>
          <w:rFonts w:cs="Arial"/>
          <w:iCs/>
        </w:rPr>
        <w:t xml:space="preserve"> </w:t>
      </w:r>
      <w:r w:rsidRPr="009C6860">
        <w:rPr>
          <w:rFonts w:cs="Arial"/>
          <w:iCs/>
        </w:rPr>
        <w:t>art.</w:t>
      </w:r>
      <w:r w:rsidR="009343A1">
        <w:rPr>
          <w:rFonts w:cs="Arial"/>
          <w:iCs/>
        </w:rPr>
        <w:t xml:space="preserve"> </w:t>
      </w:r>
      <w:r w:rsidRPr="009C6860">
        <w:rPr>
          <w:rFonts w:cs="Arial"/>
          <w:iCs/>
        </w:rPr>
        <w:t>2c dyrektywy 92/13/EWG</w:t>
      </w:r>
      <w:r w:rsidRPr="009C6860">
        <w:rPr>
          <w:rFonts w:cs="Arial"/>
          <w:iCs/>
          <w:vertAlign w:val="superscript"/>
        </w:rPr>
        <w:footnoteReference w:id="26"/>
      </w:r>
      <w:r w:rsidRPr="009C6860">
        <w:rPr>
          <w:rFonts w:cs="Arial"/>
          <w:iCs/>
        </w:rPr>
        <w:t xml:space="preserve"> należy interpretować w</w:t>
      </w:r>
      <w:r w:rsidR="009343A1">
        <w:rPr>
          <w:rFonts w:cs="Arial"/>
          <w:iCs/>
        </w:rPr>
        <w:t xml:space="preserve"> </w:t>
      </w:r>
      <w:r w:rsidRPr="009C6860">
        <w:rPr>
          <w:rFonts w:cs="Arial"/>
          <w:iCs/>
        </w:rPr>
        <w:t>ten sposób, że termin, w</w:t>
      </w:r>
      <w:r w:rsidR="009343A1">
        <w:rPr>
          <w:rFonts w:cs="Arial"/>
          <w:iCs/>
        </w:rPr>
        <w:t xml:space="preserve"> </w:t>
      </w:r>
      <w:r w:rsidRPr="009C6860">
        <w:rPr>
          <w:rFonts w:cs="Arial"/>
          <w:iCs/>
        </w:rPr>
        <w:t>którym wyłoniony w</w:t>
      </w:r>
      <w:r w:rsidR="009343A1">
        <w:rPr>
          <w:rFonts w:cs="Arial"/>
          <w:iCs/>
        </w:rPr>
        <w:t xml:space="preserve"> </w:t>
      </w:r>
      <w:r w:rsidRPr="009C6860">
        <w:rPr>
          <w:rFonts w:cs="Arial"/>
          <w:iCs/>
        </w:rPr>
        <w:t>postępowaniu o</w:t>
      </w:r>
      <w:r w:rsidR="009343A1">
        <w:rPr>
          <w:rFonts w:cs="Arial"/>
          <w:iCs/>
        </w:rPr>
        <w:t xml:space="preserve"> </w:t>
      </w:r>
      <w:r w:rsidRPr="009C6860">
        <w:rPr>
          <w:rFonts w:cs="Arial"/>
          <w:iCs/>
        </w:rPr>
        <w:t>udzielenie zamówienia oferent może odwołać się od decyzji zamawiającego uznającej za dopuszczalną, w</w:t>
      </w:r>
      <w:r w:rsidR="009343A1">
        <w:rPr>
          <w:rFonts w:cs="Arial"/>
          <w:iCs/>
        </w:rPr>
        <w:t xml:space="preserve"> </w:t>
      </w:r>
      <w:r w:rsidRPr="009C6860">
        <w:rPr>
          <w:rFonts w:cs="Arial"/>
          <w:iCs/>
        </w:rPr>
        <w:t>ramach decyzji o</w:t>
      </w:r>
      <w:r w:rsidR="009343A1">
        <w:rPr>
          <w:rFonts w:cs="Arial"/>
          <w:iCs/>
        </w:rPr>
        <w:t xml:space="preserve"> </w:t>
      </w:r>
      <w:r w:rsidRPr="009C6860">
        <w:rPr>
          <w:rFonts w:cs="Arial"/>
          <w:iCs/>
        </w:rPr>
        <w:t>udzieleniu tego zamówienia, ofertę złożoną przez innego oferenta, która ostatecznie nie została wybrana, może zostać obliczony w</w:t>
      </w:r>
      <w:r w:rsidR="009343A1">
        <w:rPr>
          <w:rFonts w:cs="Arial"/>
          <w:iCs/>
        </w:rPr>
        <w:t xml:space="preserve"> </w:t>
      </w:r>
      <w:r w:rsidRPr="009C6860">
        <w:rPr>
          <w:rFonts w:cs="Arial"/>
          <w:iCs/>
        </w:rPr>
        <w:t>odniesieniu do dnia, w</w:t>
      </w:r>
      <w:r w:rsidR="009343A1">
        <w:rPr>
          <w:rFonts w:cs="Arial"/>
          <w:iCs/>
        </w:rPr>
        <w:t xml:space="preserve"> </w:t>
      </w:r>
      <w:r w:rsidRPr="009C6860">
        <w:rPr>
          <w:rFonts w:cs="Arial"/>
          <w:iCs/>
        </w:rPr>
        <w:t>którym ów zwycięski oferent otrzymał tę decyzję o</w:t>
      </w:r>
      <w:r w:rsidR="009343A1">
        <w:rPr>
          <w:rFonts w:cs="Arial"/>
          <w:iCs/>
        </w:rPr>
        <w:t xml:space="preserve"> </w:t>
      </w:r>
      <w:r w:rsidRPr="009C6860">
        <w:rPr>
          <w:rFonts w:cs="Arial"/>
          <w:iCs/>
        </w:rPr>
        <w:t>udzieleniu zamówienia, nawet jeśli w</w:t>
      </w:r>
      <w:r w:rsidR="009343A1">
        <w:rPr>
          <w:rFonts w:cs="Arial"/>
          <w:iCs/>
        </w:rPr>
        <w:t xml:space="preserve"> </w:t>
      </w:r>
      <w:r w:rsidRPr="009C6860">
        <w:rPr>
          <w:rFonts w:cs="Arial"/>
          <w:iCs/>
        </w:rPr>
        <w:t>tym dniu ten drugi oferent nie zaskarżył lub nie zdążył jeszcze zaskarżyć owej decyzji. Jeżeli natomiast w</w:t>
      </w:r>
      <w:r w:rsidR="009343A1">
        <w:rPr>
          <w:rFonts w:cs="Arial"/>
          <w:iCs/>
        </w:rPr>
        <w:t xml:space="preserve"> </w:t>
      </w:r>
      <w:r w:rsidRPr="009C6860">
        <w:rPr>
          <w:rFonts w:cs="Arial"/>
          <w:iCs/>
        </w:rPr>
        <w:t>chwili doręczenia lub publikacji rzeczonej decyzji do wiadomości tego zwycięskiego oferenta nie podano, zgodnie ze wskazanym art.</w:t>
      </w:r>
      <w:r w:rsidR="009343A1">
        <w:rPr>
          <w:rFonts w:cs="Arial"/>
          <w:iCs/>
        </w:rPr>
        <w:t xml:space="preserve"> </w:t>
      </w:r>
      <w:r w:rsidRPr="009C6860">
        <w:rPr>
          <w:rFonts w:cs="Arial"/>
          <w:iCs/>
        </w:rPr>
        <w:t>2c, zwięzłego przedstawienia istotnych powodów tej decyzji, takich jak informacje dotyczące zasad oceny owej oferty, termin ten powinien zostać obliczony w</w:t>
      </w:r>
      <w:r w:rsidR="009343A1">
        <w:rPr>
          <w:rFonts w:cs="Arial"/>
          <w:iCs/>
        </w:rPr>
        <w:t xml:space="preserve"> </w:t>
      </w:r>
      <w:r w:rsidRPr="009C6860">
        <w:rPr>
          <w:rFonts w:cs="Arial"/>
          <w:iCs/>
        </w:rPr>
        <w:t>odniesieniu do dnia, w</w:t>
      </w:r>
      <w:r w:rsidR="009343A1">
        <w:rPr>
          <w:rFonts w:cs="Arial"/>
          <w:iCs/>
        </w:rPr>
        <w:t xml:space="preserve"> </w:t>
      </w:r>
      <w:r w:rsidRPr="009C6860">
        <w:rPr>
          <w:rFonts w:cs="Arial"/>
          <w:iCs/>
        </w:rPr>
        <w:t>którym tego rodzaju uzasadnienie zostało przekazane zwycięskiemu oferentowi.</w:t>
      </w:r>
    </w:p>
    <w:p w14:paraId="4C130A5C" w14:textId="77777777" w:rsidR="007F426A" w:rsidRPr="009C6860" w:rsidRDefault="007F426A" w:rsidP="009C6860">
      <w:pPr>
        <w:shd w:val="clear" w:color="auto" w:fill="FFFFFF"/>
        <w:rPr>
          <w:rFonts w:cs="Arial"/>
          <w:iCs/>
        </w:rPr>
      </w:pPr>
    </w:p>
    <w:p w14:paraId="2DC897E8" w14:textId="77777777" w:rsidR="009C6860" w:rsidRPr="009C6860" w:rsidRDefault="009C6860" w:rsidP="009C6860">
      <w:pPr>
        <w:shd w:val="clear" w:color="auto" w:fill="FFFFFF"/>
        <w:rPr>
          <w:rFonts w:cs="Arial"/>
          <w:iCs/>
        </w:rPr>
      </w:pPr>
      <w:r w:rsidRPr="009C6860">
        <w:rPr>
          <w:rFonts w:cs="Arial"/>
          <w:b/>
          <w:iCs/>
        </w:rPr>
        <w:t xml:space="preserve">3. Wyrok z dnia 31 marca 2022 r. w sprawie C-195/21 </w:t>
      </w:r>
      <w:r w:rsidRPr="009C6860">
        <w:rPr>
          <w:rFonts w:cs="Arial"/>
          <w:b/>
          <w:bCs/>
          <w:i/>
          <w:iCs/>
        </w:rPr>
        <w:t xml:space="preserve">LB przeciwko Smetna palata na Republika Bulgaria, </w:t>
      </w:r>
      <w:r w:rsidRPr="009C6860">
        <w:rPr>
          <w:rFonts w:cs="Arial"/>
          <w:b/>
          <w:bCs/>
          <w:iCs/>
        </w:rPr>
        <w:t>ECLI:EU:C:2022:239</w:t>
      </w:r>
    </w:p>
    <w:p w14:paraId="03786B1D" w14:textId="77777777" w:rsidR="009C6860" w:rsidRPr="009C6860" w:rsidRDefault="009C6860" w:rsidP="009C6860">
      <w:pPr>
        <w:shd w:val="clear" w:color="auto" w:fill="FFFFFF"/>
        <w:rPr>
          <w:rFonts w:cs="Arial"/>
          <w:iCs/>
        </w:rPr>
      </w:pPr>
      <w:r w:rsidRPr="009C6860">
        <w:rPr>
          <w:rFonts w:cs="Arial"/>
          <w:iCs/>
        </w:rPr>
        <w:t xml:space="preserve">W sprawie C-195/21 </w:t>
      </w:r>
      <w:r w:rsidRPr="009C6860">
        <w:rPr>
          <w:rFonts w:cs="Arial"/>
          <w:i/>
          <w:iCs/>
        </w:rPr>
        <w:t>Smetna palata na Republika Bulgaria</w:t>
      </w:r>
      <w:r w:rsidRPr="009C6860">
        <w:rPr>
          <w:rFonts w:cs="Arial"/>
          <w:iCs/>
        </w:rPr>
        <w:t xml:space="preserve"> Trybunał zajął się kwestią kryteriów kwalifikacji podmiotowej w kontekście wymogów dotyczących zdolności zawodowych personelu wykonawców oraz oceny prawidłowości udzielania zamówień przez różne organy krajowe.</w:t>
      </w:r>
    </w:p>
    <w:p w14:paraId="3DB1E41E" w14:textId="73C3B8EF" w:rsidR="009C6860" w:rsidRDefault="009C6860" w:rsidP="009C6860">
      <w:pPr>
        <w:shd w:val="clear" w:color="auto" w:fill="FFFFFF"/>
        <w:rPr>
          <w:rFonts w:cs="Arial"/>
          <w:iCs/>
        </w:rPr>
      </w:pPr>
      <w:r w:rsidRPr="009C6860">
        <w:rPr>
          <w:rFonts w:cs="Arial"/>
          <w:iCs/>
        </w:rPr>
        <w:t>Zgodnie z orzeczeniem Trybunału przepisy art. 58 ust. 1 i 4 dyrektywy 2014/24/UE nie sprzeciwiają się temu, aby w ramach postępowania o udzielenie zamówienia publicznego instytucja zamawiająca mogła wprowadzić tytułem kryteriów kwalifikacji dotyczących zdolności technicznych i zawodowych wykonawców bardziej rygorystyczne wymagania niż minimalne wymogi ustanowione przez uregulowanie krajowe, o ile takie wymagania będą właściwe dla zagwarantowania, iż kandydat lub oferent będzie posiadał zdolności techniczne i zawodowe konieczne dla zagwarantowania realizacji udzielanego zamówienia, o ile będą one związane z</w:t>
      </w:r>
      <w:r w:rsidR="009343A1">
        <w:rPr>
          <w:rFonts w:cs="Arial"/>
          <w:iCs/>
        </w:rPr>
        <w:t xml:space="preserve"> </w:t>
      </w:r>
      <w:r w:rsidRPr="009C6860">
        <w:rPr>
          <w:rFonts w:cs="Arial"/>
          <w:iCs/>
        </w:rPr>
        <w:t>przedmiotem zamówienia oraz o ile będą one do niego proporcjonalne. Ponadto Trybunał stwierdził, że art. 8 ust. 3 rozporządzenia Rady (WE, Euratom) nr 2988/95 z dnia 18 grudnia 1995 r. w sprawie ochrony interesów finansowych Wspólnot Europejskich w związku z</w:t>
      </w:r>
      <w:r w:rsidR="009343A1">
        <w:rPr>
          <w:rFonts w:cs="Arial"/>
          <w:iCs/>
        </w:rPr>
        <w:t xml:space="preserve"> </w:t>
      </w:r>
      <w:r w:rsidRPr="009C6860">
        <w:rPr>
          <w:rFonts w:cs="Arial"/>
          <w:iCs/>
        </w:rPr>
        <w:t>rozporządzeniem Parlamentu Europejskiego i Rady (UE) nr 1303/2013 z dnia 17 grudnia 2013 r. ustanawiającym wspólne przepisy dotyczące Europejskiego Funduszu Rozwoju Regionalnego, Europejskiego Funduszu Społecznego, Funduszu Spójności, Europejskiego Funduszu Rolnego na rzecz Rozwoju Obszarów Wiejskich oraz Europejskiego Funduszu Morskiego i Rybackiego oraz ustanawiającym przepisy ogólne dotyczące Europejskiego Funduszu Rozwoju Regionalnego, Europejskiego Funduszu Społecznego, Funduszu Spójności i Europejskiego Funduszu Morskiego i</w:t>
      </w:r>
      <w:r w:rsidR="009343A1">
        <w:rPr>
          <w:rFonts w:cs="Arial"/>
          <w:iCs/>
        </w:rPr>
        <w:t xml:space="preserve"> </w:t>
      </w:r>
      <w:r w:rsidRPr="009C6860">
        <w:rPr>
          <w:rFonts w:cs="Arial"/>
          <w:iCs/>
        </w:rPr>
        <w:t>Rybackiego oraz uchylającym rozporządzenie Rady (WE) nr 1083/2006 należy interpretować w ten sposób, że z zastrzeżeniem zasady proporcjonalności nie sprzeciwia się on temu, aby organy krajowe chroniące interesy finansowe Unii oceniały w różny sposób te same okoliczności w postępowaniach o udzielenie zamówienia publicznego.</w:t>
      </w:r>
    </w:p>
    <w:p w14:paraId="28929E45" w14:textId="77777777" w:rsidR="007F426A" w:rsidRPr="009C6860" w:rsidRDefault="007F426A" w:rsidP="009C6860">
      <w:pPr>
        <w:shd w:val="clear" w:color="auto" w:fill="FFFFFF"/>
        <w:rPr>
          <w:rFonts w:cs="Arial"/>
          <w:iCs/>
        </w:rPr>
      </w:pPr>
    </w:p>
    <w:p w14:paraId="6C892FA8" w14:textId="77777777" w:rsidR="009C6860" w:rsidRPr="009C6860" w:rsidRDefault="009C6860" w:rsidP="009C6860">
      <w:pPr>
        <w:shd w:val="clear" w:color="auto" w:fill="FFFFFF"/>
        <w:rPr>
          <w:rFonts w:cs="Arial"/>
          <w:b/>
          <w:i/>
          <w:iCs/>
        </w:rPr>
      </w:pPr>
      <w:r w:rsidRPr="009C6860">
        <w:rPr>
          <w:rFonts w:cs="Arial"/>
          <w:b/>
          <w:iCs/>
        </w:rPr>
        <w:t xml:space="preserve">4. Wyrok z dnia 28 kwietnia 2022 r. w sprawie C-642/20 </w:t>
      </w:r>
      <w:r w:rsidRPr="009C6860">
        <w:rPr>
          <w:rFonts w:cs="Arial"/>
          <w:b/>
          <w:i/>
          <w:iCs/>
        </w:rPr>
        <w:t>Caruter Srl przeciwko S.R.R. Messina Provincia SCpA i in</w:t>
      </w:r>
      <w:r w:rsidRPr="009C6860">
        <w:rPr>
          <w:rFonts w:cs="Arial"/>
          <w:b/>
          <w:iCs/>
        </w:rPr>
        <w:t>.</w:t>
      </w:r>
      <w:r w:rsidRPr="009C6860">
        <w:rPr>
          <w:rFonts w:cs="Arial"/>
          <w:b/>
          <w:i/>
          <w:iCs/>
        </w:rPr>
        <w:t xml:space="preserve">, </w:t>
      </w:r>
      <w:r w:rsidRPr="009C6860">
        <w:rPr>
          <w:rFonts w:cs="Arial"/>
          <w:b/>
          <w:iCs/>
        </w:rPr>
        <w:t>ECLI:EU:C:2022:308</w:t>
      </w:r>
    </w:p>
    <w:p w14:paraId="65F63B49" w14:textId="65FA2739" w:rsidR="009C6860" w:rsidRPr="009C6860" w:rsidRDefault="009C6860" w:rsidP="009C6860">
      <w:pPr>
        <w:shd w:val="clear" w:color="auto" w:fill="FFFFFF"/>
        <w:rPr>
          <w:rFonts w:cs="Arial"/>
          <w:iCs/>
        </w:rPr>
      </w:pPr>
      <w:r w:rsidRPr="009C6860">
        <w:rPr>
          <w:rFonts w:cs="Arial"/>
          <w:iCs/>
        </w:rPr>
        <w:t>Sprawa będąca przedmiotem odesłania prejudycjalnego dotyczyła zagadnienia polegania przez grupę wykonawców na zdolności innych podmiotów, a ściślej rzecz biorąc, dopuszczalności uregulowań krajowych na mocy których przedsiębiorstwo będące pełnomocnikiem grupy wykonawców musi spełniać kryteria przewidziane w ogłoszeniu i wykonywać świadczenia objęte zamówieniem w</w:t>
      </w:r>
      <w:r w:rsidR="009343A1">
        <w:rPr>
          <w:rFonts w:cs="Arial"/>
          <w:iCs/>
        </w:rPr>
        <w:t xml:space="preserve"> </w:t>
      </w:r>
      <w:r w:rsidRPr="009C6860">
        <w:rPr>
          <w:rFonts w:cs="Arial"/>
          <w:iCs/>
        </w:rPr>
        <w:t>przeważającym zakresie.</w:t>
      </w:r>
    </w:p>
    <w:p w14:paraId="324D5815" w14:textId="1BCE8D04" w:rsidR="009C6860" w:rsidRDefault="009C6860" w:rsidP="009C6860">
      <w:pPr>
        <w:shd w:val="clear" w:color="auto" w:fill="FFFFFF"/>
        <w:rPr>
          <w:rFonts w:cs="Arial"/>
          <w:iCs/>
        </w:rPr>
      </w:pPr>
      <w:r w:rsidRPr="009C6860">
        <w:rPr>
          <w:rFonts w:cs="Arial"/>
          <w:iCs/>
        </w:rPr>
        <w:t>Trybunał orzekł, że art. 63 dyrektywy 2014/24/UE należy interpretować w ten sposób, że stoi on na przeszkodzie przepisom krajowym, zgodnie z którymi przedsiębiorstwo będące pełnomocnikiem grupy wykonawców uczestniczącej w postępowaniu o udzielenie zamówienia publicznego musi spełniać kryteria przewidziane w ogłoszeniu o zamówieniu i wykonywać świadczenia objęte tym zamówieniem w przeważającym zakresie.</w:t>
      </w:r>
    </w:p>
    <w:p w14:paraId="5E04A506" w14:textId="77777777" w:rsidR="007F426A" w:rsidRPr="009C6860" w:rsidRDefault="007F426A" w:rsidP="009C6860">
      <w:pPr>
        <w:shd w:val="clear" w:color="auto" w:fill="FFFFFF"/>
        <w:rPr>
          <w:rFonts w:cs="Arial"/>
          <w:iCs/>
        </w:rPr>
      </w:pPr>
    </w:p>
    <w:p w14:paraId="5C38DB12" w14:textId="77777777" w:rsidR="009C6860" w:rsidRPr="009C6860" w:rsidRDefault="009C6860" w:rsidP="009C6860">
      <w:pPr>
        <w:shd w:val="clear" w:color="auto" w:fill="FFFFFF"/>
        <w:rPr>
          <w:rFonts w:cs="Arial"/>
          <w:b/>
          <w:i/>
          <w:iCs/>
        </w:rPr>
      </w:pPr>
      <w:r w:rsidRPr="009C6860">
        <w:rPr>
          <w:rFonts w:cs="Arial"/>
          <w:b/>
          <w:iCs/>
        </w:rPr>
        <w:t xml:space="preserve">5. Wyrok z dnia 12 maja 2022 r. w sprawie C-719/20 </w:t>
      </w:r>
      <w:r w:rsidRPr="009C6860">
        <w:rPr>
          <w:rFonts w:cs="Arial"/>
          <w:b/>
          <w:bCs/>
          <w:i/>
          <w:iCs/>
        </w:rPr>
        <w:t>Comune di Lerici przeciwko</w:t>
      </w:r>
      <w:r w:rsidRPr="009C6860">
        <w:rPr>
          <w:rFonts w:cs="Arial"/>
          <w:i/>
          <w:iCs/>
        </w:rPr>
        <w:t xml:space="preserve"> </w:t>
      </w:r>
      <w:r w:rsidRPr="009C6860">
        <w:rPr>
          <w:rFonts w:cs="Arial"/>
          <w:b/>
          <w:bCs/>
          <w:i/>
          <w:iCs/>
        </w:rPr>
        <w:t>Provincia di La Spezia</w:t>
      </w:r>
      <w:r w:rsidRPr="009C6860">
        <w:rPr>
          <w:rFonts w:cs="Arial"/>
          <w:b/>
          <w:bCs/>
          <w:iCs/>
        </w:rPr>
        <w:t>, ECLI:EU:C:2022:372</w:t>
      </w:r>
    </w:p>
    <w:p w14:paraId="0C391949" w14:textId="77777777" w:rsidR="009C6860" w:rsidRPr="009C6860" w:rsidRDefault="009C6860" w:rsidP="009C6860">
      <w:pPr>
        <w:shd w:val="clear" w:color="auto" w:fill="FFFFFF"/>
        <w:rPr>
          <w:rFonts w:cs="Arial"/>
          <w:iCs/>
        </w:rPr>
      </w:pPr>
      <w:r w:rsidRPr="009C6860">
        <w:rPr>
          <w:rFonts w:cs="Arial"/>
          <w:iCs/>
        </w:rPr>
        <w:t xml:space="preserve">W sprawie C-719/20 </w:t>
      </w:r>
      <w:r w:rsidRPr="009C6860">
        <w:rPr>
          <w:rFonts w:cs="Arial"/>
          <w:i/>
          <w:iCs/>
        </w:rPr>
        <w:t>Comune di Lerici</w:t>
      </w:r>
      <w:r w:rsidRPr="009C6860">
        <w:rPr>
          <w:rFonts w:cs="Arial"/>
          <w:iCs/>
        </w:rPr>
        <w:t xml:space="preserve"> Trybunał zajął się problematyką zamówień </w:t>
      </w:r>
      <w:r w:rsidRPr="009C6860">
        <w:rPr>
          <w:rFonts w:cs="Arial"/>
          <w:i/>
          <w:iCs/>
        </w:rPr>
        <w:t>in-house</w:t>
      </w:r>
      <w:r w:rsidRPr="009C6860">
        <w:rPr>
          <w:rFonts w:cs="Arial"/>
          <w:iCs/>
        </w:rPr>
        <w:t xml:space="preserve"> i spełniania przesłanek „kontroli podobnej” w następstwie połączenia przedsiębiorstw przez przedsiębiorstwo będące następcą prawnym.</w:t>
      </w:r>
    </w:p>
    <w:p w14:paraId="058BAD89" w14:textId="733BB776" w:rsidR="009C6860" w:rsidRDefault="009C6860" w:rsidP="009C6860">
      <w:pPr>
        <w:shd w:val="clear" w:color="auto" w:fill="FFFFFF"/>
        <w:rPr>
          <w:rFonts w:cs="Arial"/>
          <w:iCs/>
        </w:rPr>
      </w:pPr>
      <w:r w:rsidRPr="009C6860">
        <w:rPr>
          <w:rFonts w:cs="Arial"/>
          <w:iCs/>
        </w:rPr>
        <w:t>Odpowiadając na pytanie zadane przez włoską radę stanu, Trybunał orzekł, iż przepisy dyrektywy 2014/24/UE należy interpretować w ten sposób, że stoją one na przeszkodzie uregulowaniu krajowemu lub praktyce krajowej, zgodnie z którymi wykonywanie zamówienia publicznego, udzielonego początkowo bez przeprowadzenia postępowania przetargowego wewnętrznej jednostce organizacyjnej, nad którą instytucja zamawiająca sprawowała wspólną kontrolę podobną do tej, jaką sprawuje nad własnymi jednostkami organizacyjnymi, jest automatycznie kontynuowane przez wykonawcę, który nabył ową jednostkę organizacyjną w wyniku postępowania przetargowego, w przypadku gdy instytucja zamawiająca nie sprawuje takiej kontroli nad tym wykonawcą i nie posiada udziału w kapitale tego wykonawcy.</w:t>
      </w:r>
    </w:p>
    <w:p w14:paraId="54FA135E" w14:textId="77777777" w:rsidR="007F426A" w:rsidRPr="009C6860" w:rsidRDefault="007F426A" w:rsidP="009C6860">
      <w:pPr>
        <w:shd w:val="clear" w:color="auto" w:fill="FFFFFF"/>
        <w:rPr>
          <w:rFonts w:cs="Arial"/>
          <w:iCs/>
        </w:rPr>
      </w:pPr>
    </w:p>
    <w:p w14:paraId="5A8D1418" w14:textId="77777777" w:rsidR="009C6860" w:rsidRPr="009C6860" w:rsidRDefault="009C6860" w:rsidP="009C6860">
      <w:pPr>
        <w:shd w:val="clear" w:color="auto" w:fill="FFFFFF"/>
        <w:rPr>
          <w:rFonts w:cs="Arial"/>
          <w:b/>
          <w:bCs/>
          <w:i/>
          <w:iCs/>
        </w:rPr>
      </w:pPr>
      <w:r w:rsidRPr="009C6860">
        <w:rPr>
          <w:rFonts w:cs="Arial"/>
          <w:b/>
          <w:bCs/>
          <w:iCs/>
        </w:rPr>
        <w:t xml:space="preserve">6. Postanowienie z dnia 17 maja 2022 r. w sprawie C-787/21 </w:t>
      </w:r>
      <w:r w:rsidRPr="009C6860">
        <w:rPr>
          <w:rFonts w:cs="Arial"/>
          <w:b/>
          <w:bCs/>
          <w:i/>
          <w:iCs/>
        </w:rPr>
        <w:t>Estaleiros Navais de Peniche SA przeciwko Município de Aveiro i in.</w:t>
      </w:r>
      <w:r w:rsidRPr="009C6860">
        <w:rPr>
          <w:rFonts w:cs="Arial"/>
          <w:b/>
          <w:bCs/>
          <w:iCs/>
        </w:rPr>
        <w:t>, ECLI:EU:C:2022:414</w:t>
      </w:r>
    </w:p>
    <w:p w14:paraId="7148C6D1" w14:textId="18C5CD66" w:rsidR="009C6860" w:rsidRDefault="009C6860" w:rsidP="009C6860">
      <w:pPr>
        <w:shd w:val="clear" w:color="auto" w:fill="FFFFFF"/>
        <w:rPr>
          <w:rFonts w:cs="Arial"/>
          <w:iCs/>
        </w:rPr>
      </w:pPr>
      <w:r w:rsidRPr="009C6860">
        <w:rPr>
          <w:rFonts w:cs="Arial"/>
          <w:iCs/>
        </w:rPr>
        <w:t>Przedmiotem sprawy była kwestia skorzystania z procedur odwoławczych przez oferenta wykluczonego z udziału w postępowaniu. Trybunał orzekł w tej sprawie postanowieniem w trybie art. 99 regulaminu, uznawszy że odpowiedź na zadane pytanie prejudycjalne może zostać w sposób jednoznaczny wyprowadzona z istniejącego orzecznictwa. W odpowiedzi na pytanie sądu odsyłającego Trybunał wskazał, że przepis art. 1 ust. 3 dyrektywy 89/665/EWG</w:t>
      </w:r>
      <w:r w:rsidRPr="009C6860">
        <w:rPr>
          <w:rFonts w:cs="Arial"/>
          <w:iCs/>
          <w:vertAlign w:val="superscript"/>
        </w:rPr>
        <w:footnoteReference w:id="27"/>
      </w:r>
      <w:r w:rsidRPr="009C6860">
        <w:rPr>
          <w:rFonts w:cs="Arial"/>
          <w:iCs/>
        </w:rPr>
        <w:t xml:space="preserve"> wyklucza możliwość zaskarżenia decyzji o udzieleniu zamówienia publicznego przez oferenta, który został wykluczony z postępowania o udzielenie zamówienia publicznego na podstawie ostatecznej decyzji instytucji zamawiającej. W tym względzie nie ma znaczenia, czy odrzucony oferent utrzymuje, że mógłby ewentualnie otrzymać zamówienie, gdyby w następstwie stwierdzenia nieważności tej decyzji instytucja zamawiająca postanowiła wszcząć nowe postępowanie o udzielenie zamówienia.</w:t>
      </w:r>
    </w:p>
    <w:p w14:paraId="77658A22" w14:textId="77777777" w:rsidR="007F426A" w:rsidRPr="009C6860" w:rsidRDefault="007F426A" w:rsidP="009C6860">
      <w:pPr>
        <w:shd w:val="clear" w:color="auto" w:fill="FFFFFF"/>
        <w:rPr>
          <w:rFonts w:cs="Arial"/>
          <w:iCs/>
        </w:rPr>
      </w:pPr>
    </w:p>
    <w:p w14:paraId="10002190" w14:textId="1A66233D" w:rsidR="009C6860" w:rsidRPr="009C6860" w:rsidRDefault="009C6860" w:rsidP="009C6860">
      <w:pPr>
        <w:shd w:val="clear" w:color="auto" w:fill="FFFFFF"/>
        <w:rPr>
          <w:rFonts w:cs="Arial"/>
          <w:b/>
          <w:i/>
          <w:iCs/>
        </w:rPr>
      </w:pPr>
      <w:r w:rsidRPr="009C6860">
        <w:rPr>
          <w:rFonts w:cs="Arial"/>
          <w:b/>
          <w:iCs/>
        </w:rPr>
        <w:t xml:space="preserve">7. Wyrok z dnia 16 czerwca 2022 r. w sprawie C-376/21 </w:t>
      </w:r>
      <w:r w:rsidRPr="009C6860">
        <w:rPr>
          <w:rFonts w:cs="Arial"/>
          <w:b/>
          <w:bCs/>
          <w:i/>
          <w:iCs/>
        </w:rPr>
        <w:t>Zamestnik-ministar na regionalnoto razvitie i</w:t>
      </w:r>
      <w:r w:rsidR="009343A1">
        <w:rPr>
          <w:rFonts w:cs="Arial"/>
          <w:b/>
          <w:bCs/>
          <w:i/>
          <w:iCs/>
        </w:rPr>
        <w:t xml:space="preserve"> </w:t>
      </w:r>
      <w:r w:rsidRPr="009C6860">
        <w:rPr>
          <w:rFonts w:cs="Arial"/>
          <w:b/>
          <w:bCs/>
          <w:i/>
          <w:iCs/>
        </w:rPr>
        <w:t>blagoustroystvoto i</w:t>
      </w:r>
      <w:r w:rsidR="009343A1">
        <w:rPr>
          <w:rFonts w:cs="Arial"/>
          <w:b/>
          <w:bCs/>
          <w:i/>
          <w:iCs/>
        </w:rPr>
        <w:t xml:space="preserve"> </w:t>
      </w:r>
      <w:r w:rsidRPr="009C6860">
        <w:rPr>
          <w:rFonts w:cs="Arial"/>
          <w:b/>
          <w:bCs/>
          <w:i/>
          <w:iCs/>
        </w:rPr>
        <w:t>rakovoditel na Upravlyavashtia organ na Operativna programa „Regioni v</w:t>
      </w:r>
      <w:r w:rsidR="009343A1">
        <w:rPr>
          <w:rFonts w:cs="Arial"/>
          <w:b/>
          <w:bCs/>
          <w:i/>
          <w:iCs/>
        </w:rPr>
        <w:t xml:space="preserve"> </w:t>
      </w:r>
      <w:r w:rsidRPr="009C6860">
        <w:rPr>
          <w:rFonts w:cs="Arial"/>
          <w:b/>
          <w:bCs/>
          <w:i/>
          <w:iCs/>
        </w:rPr>
        <w:t xml:space="preserve">rastezh” 2014–2020 przeciwko Obshtina Razlog, </w:t>
      </w:r>
      <w:r w:rsidRPr="009C6860">
        <w:rPr>
          <w:rFonts w:cs="Arial"/>
          <w:b/>
          <w:bCs/>
          <w:iCs/>
        </w:rPr>
        <w:t>ECLI:EU:C:2022:472</w:t>
      </w:r>
    </w:p>
    <w:p w14:paraId="7014387F" w14:textId="6F3A928E" w:rsidR="009C6860" w:rsidRPr="009C6860" w:rsidRDefault="009C6860" w:rsidP="009C6860">
      <w:pPr>
        <w:shd w:val="clear" w:color="auto" w:fill="FFFFFF"/>
        <w:rPr>
          <w:rFonts w:cs="Arial"/>
          <w:iCs/>
        </w:rPr>
      </w:pPr>
      <w:r w:rsidRPr="009C6860">
        <w:rPr>
          <w:rFonts w:cs="Arial"/>
          <w:iCs/>
        </w:rPr>
        <w:t xml:space="preserve">Na gruncie sprawy C-376/21 </w:t>
      </w:r>
      <w:r w:rsidRPr="009C6860">
        <w:rPr>
          <w:rFonts w:cs="Arial"/>
          <w:i/>
          <w:iCs/>
        </w:rPr>
        <w:t>Obshtina Razlog</w:t>
      </w:r>
      <w:r w:rsidRPr="009C6860">
        <w:rPr>
          <w:rFonts w:cs="Arial"/>
          <w:iCs/>
        </w:rPr>
        <w:t xml:space="preserve"> Trybunał zajął się problematyką stosowania rozporządzenia UE/Euratom 2018/1046 oraz rozporządzenia UE/Euratom nr 966/12 do zamówień udzielanych przez zamawiających z państw członkowskich Unii Europejskiej finansowanych ze środków europejskich funduszy strukturalnych i</w:t>
      </w:r>
      <w:r w:rsidR="009343A1">
        <w:rPr>
          <w:rFonts w:cs="Arial"/>
          <w:iCs/>
        </w:rPr>
        <w:t xml:space="preserve"> </w:t>
      </w:r>
      <w:r w:rsidRPr="009C6860">
        <w:rPr>
          <w:rFonts w:cs="Arial"/>
          <w:iCs/>
        </w:rPr>
        <w:t>inwestycyjnych, a także kwestią zastosowania procedury negocjacyjnej bez uprzedniej publikacji wyłącznie w odniesieniu do wskazanego wykonawcy, gdy przedmiot zamówienia publicznego nie odróżnia się specyfiką, która obiektywnie wymagałaby jego wykonania jedynie przez zaproszonego wykonawcę.</w:t>
      </w:r>
    </w:p>
    <w:p w14:paraId="52C86043" w14:textId="0E400083" w:rsidR="009C6860" w:rsidRDefault="009C6860" w:rsidP="009C6860">
      <w:pPr>
        <w:shd w:val="clear" w:color="auto" w:fill="FFFFFF"/>
        <w:rPr>
          <w:rFonts w:cs="Arial"/>
          <w:iCs/>
        </w:rPr>
      </w:pPr>
      <w:r w:rsidRPr="009C6860">
        <w:rPr>
          <w:rFonts w:cs="Arial"/>
          <w:iCs/>
        </w:rPr>
        <w:t>Odpowiadając na pytania zadane przez bułgarski naczelny sąd administracyjny, Trybunał stwierdził, że przepisy art. 160 ust. 1 i 2 rozporządzenia finansowego oraz art. 102 ust. 1 i 2 rozporządzenia nr</w:t>
      </w:r>
      <w:r w:rsidR="009343A1">
        <w:rPr>
          <w:rFonts w:cs="Arial"/>
          <w:iCs/>
        </w:rPr>
        <w:t xml:space="preserve"> </w:t>
      </w:r>
      <w:r w:rsidRPr="009C6860">
        <w:rPr>
          <w:rFonts w:cs="Arial"/>
          <w:iCs/>
        </w:rPr>
        <w:t>966/2012 nie mają zastosowania do postępowań o udzielenie zamówienia publicznego organizowanych przez instytucje zamawiające państw członkowskich, nawet gdy zamówienia te są finansowane ze środków pochodzących z europejskich funduszy strukturalnych i inwestycyjnych. Trybunał orzekł ponadto, że art. 32 ust. 2 lit. a) dyrektywy 2014/24/UE w związku z jej art. 18 ust. 1 należy interpretować w ten sposób, że instytucja zamawiająca może w ramach procedury negocjacyjnej bez uprzedniej publikacji zwrócić się do jednego tylko wykonawcy, gdy w procedurze tej powtórzono bez istotnych zmian pierwotne warunki zamówienia wskazane we wcześniejszej procedurze otwartej, którą zamknięto ze względu na to, że jedyna złożona oferta była nieodpowiednia, nawet jeżeli przedmiot danego zamówienia obiektywnie nie wykazuje specyfiki uzasadniającej powierzenie jego wykonania wyłącznie owemu wykonawcy. Inaczej mówiąc, jeżeli spełnione są przesłanki zastosowania procedury negocjacyjnej bez uprzedniej publikacji określone w tym przepisie, przedmiot zamówień nie musi mieć charakteru uzasadniającego powierzenie jego wykonania konkretnemu wykonawcy.</w:t>
      </w:r>
    </w:p>
    <w:p w14:paraId="4A5EFCA9" w14:textId="77777777" w:rsidR="007F426A" w:rsidRPr="009C6860" w:rsidRDefault="007F426A" w:rsidP="009C6860">
      <w:pPr>
        <w:shd w:val="clear" w:color="auto" w:fill="FFFFFF"/>
        <w:rPr>
          <w:rFonts w:cs="Arial"/>
          <w:iCs/>
        </w:rPr>
      </w:pPr>
    </w:p>
    <w:p w14:paraId="6C21DB8E" w14:textId="77777777" w:rsidR="009C6860" w:rsidRPr="009C6860" w:rsidRDefault="009C6860" w:rsidP="009C6860">
      <w:pPr>
        <w:shd w:val="clear" w:color="auto" w:fill="FFFFFF"/>
        <w:rPr>
          <w:rFonts w:cs="Arial"/>
          <w:b/>
          <w:i/>
          <w:iCs/>
        </w:rPr>
      </w:pPr>
      <w:r w:rsidRPr="009C6860">
        <w:rPr>
          <w:rFonts w:cs="Arial"/>
          <w:b/>
          <w:iCs/>
        </w:rPr>
        <w:t xml:space="preserve">8. Wyrok z dnia 7 lipca 2022 r. w sprawach połączonych C-213/21 i C-214/21 </w:t>
      </w:r>
      <w:r w:rsidRPr="009C6860">
        <w:rPr>
          <w:rFonts w:cs="Arial"/>
          <w:b/>
          <w:i/>
          <w:iCs/>
        </w:rPr>
        <w:t>Italy Emergenza Cooperativa Sociale przeciwko Azienda Sanitaria Locale Barletta</w:t>
      </w:r>
      <w:r w:rsidRPr="009C6860">
        <w:rPr>
          <w:rFonts w:cs="Arial"/>
          <w:b/>
          <w:i/>
          <w:iCs/>
        </w:rPr>
        <w:noBreakHyphen/>
        <w:t>Andria</w:t>
      </w:r>
      <w:r w:rsidRPr="009C6860">
        <w:rPr>
          <w:rFonts w:cs="Arial"/>
          <w:b/>
          <w:i/>
          <w:iCs/>
        </w:rPr>
        <w:noBreakHyphen/>
        <w:t>Trani, Azienda Sanitaria Provinciale di Cosenza i in</w:t>
      </w:r>
      <w:r w:rsidRPr="009C6860">
        <w:rPr>
          <w:rFonts w:cs="Arial"/>
          <w:b/>
          <w:iCs/>
        </w:rPr>
        <w:t>., ECLI:EU:C:2022:532</w:t>
      </w:r>
    </w:p>
    <w:p w14:paraId="69F0C208" w14:textId="7D452DC2" w:rsidR="009C6860" w:rsidRPr="009C6860" w:rsidRDefault="009C6860" w:rsidP="009C6860">
      <w:pPr>
        <w:shd w:val="clear" w:color="auto" w:fill="FFFFFF"/>
        <w:rPr>
          <w:rFonts w:cs="Arial"/>
          <w:bCs/>
          <w:iCs/>
        </w:rPr>
      </w:pPr>
      <w:r w:rsidRPr="009C6860">
        <w:rPr>
          <w:rFonts w:cs="Arial"/>
          <w:bCs/>
          <w:iCs/>
        </w:rPr>
        <w:t xml:space="preserve">W sprawach połączonych C-213/21 i C-214/21 </w:t>
      </w:r>
      <w:r w:rsidRPr="009C6860">
        <w:rPr>
          <w:rFonts w:cs="Arial"/>
          <w:bCs/>
          <w:i/>
          <w:iCs/>
        </w:rPr>
        <w:t>Italy Emergenza</w:t>
      </w:r>
      <w:r w:rsidRPr="009C6860">
        <w:rPr>
          <w:rFonts w:cs="Arial"/>
          <w:bCs/>
          <w:iCs/>
        </w:rPr>
        <w:t xml:space="preserve"> kwestią sporną były decyzje, </w:t>
      </w:r>
      <w:r w:rsidRPr="009C6860">
        <w:rPr>
          <w:rFonts w:cs="Arial"/>
          <w:iCs/>
        </w:rPr>
        <w:t>na mocy których urzędy zdrowia wszczęły postępowania przetargowe w celu udzielenia organizacjom wolontariackim w drodze umowy zamówienia na usługi transportu sanitarnego w</w:t>
      </w:r>
      <w:r w:rsidR="009343A1">
        <w:rPr>
          <w:rFonts w:cs="Arial"/>
          <w:iCs/>
        </w:rPr>
        <w:t xml:space="preserve"> </w:t>
      </w:r>
      <w:r w:rsidRPr="009C6860">
        <w:rPr>
          <w:rFonts w:cs="Arial"/>
          <w:iCs/>
        </w:rPr>
        <w:t>nagłych i</w:t>
      </w:r>
      <w:r w:rsidR="009343A1">
        <w:rPr>
          <w:rFonts w:cs="Arial"/>
          <w:iCs/>
        </w:rPr>
        <w:t xml:space="preserve"> </w:t>
      </w:r>
      <w:r w:rsidRPr="009C6860">
        <w:rPr>
          <w:rFonts w:cs="Arial"/>
          <w:iCs/>
        </w:rPr>
        <w:t>wyjątkowo nagłych przypadkach.</w:t>
      </w:r>
    </w:p>
    <w:p w14:paraId="54509907" w14:textId="22A9F02D" w:rsidR="009C6860" w:rsidRDefault="009C6860" w:rsidP="009C6860">
      <w:pPr>
        <w:shd w:val="clear" w:color="auto" w:fill="FFFFFF"/>
        <w:rPr>
          <w:rFonts w:cs="Arial"/>
          <w:iCs/>
        </w:rPr>
      </w:pPr>
      <w:r w:rsidRPr="009C6860">
        <w:rPr>
          <w:rFonts w:cs="Arial"/>
          <w:iCs/>
        </w:rPr>
        <w:t>Trybunał orzekł, że art.</w:t>
      </w:r>
      <w:r w:rsidR="009343A1">
        <w:rPr>
          <w:rFonts w:cs="Arial"/>
          <w:iCs/>
        </w:rPr>
        <w:t xml:space="preserve"> </w:t>
      </w:r>
      <w:r w:rsidRPr="009C6860">
        <w:rPr>
          <w:rFonts w:cs="Arial"/>
          <w:iCs/>
        </w:rPr>
        <w:t>10 lit.</w:t>
      </w:r>
      <w:r w:rsidR="009343A1">
        <w:rPr>
          <w:rFonts w:cs="Arial"/>
          <w:iCs/>
        </w:rPr>
        <w:t xml:space="preserve"> </w:t>
      </w:r>
      <w:r w:rsidRPr="009C6860">
        <w:rPr>
          <w:rFonts w:cs="Arial"/>
          <w:iCs/>
        </w:rPr>
        <w:t>h) dyrektywy 2014/24/UE nie stoi na przeszkodzie uregulowaniu krajowemu, które przewiduje, że zamówienia na usługi transportu sanitarnego w nagłych i wyjątkowo nagłych przypadkach można udzielić w drodze umowy na zasadzie pierwszeństwa wyłącznie organizacjom wolontariackim, a nie spółdzielniom socjalnym, które mogą dokonywać refundacji na rzecz swoich członków w</w:t>
      </w:r>
      <w:r w:rsidR="009343A1">
        <w:rPr>
          <w:rFonts w:cs="Arial"/>
          <w:iCs/>
        </w:rPr>
        <w:t xml:space="preserve"> </w:t>
      </w:r>
      <w:r w:rsidRPr="009C6860">
        <w:rPr>
          <w:rFonts w:cs="Arial"/>
          <w:iCs/>
        </w:rPr>
        <w:t>związku ze swoją działalnością.</w:t>
      </w:r>
    </w:p>
    <w:p w14:paraId="2E80BF18" w14:textId="77777777" w:rsidR="007F426A" w:rsidRPr="009C6860" w:rsidRDefault="007F426A" w:rsidP="009C6860">
      <w:pPr>
        <w:shd w:val="clear" w:color="auto" w:fill="FFFFFF"/>
        <w:rPr>
          <w:rFonts w:cs="Arial"/>
          <w:iCs/>
        </w:rPr>
      </w:pPr>
    </w:p>
    <w:p w14:paraId="330B7F81" w14:textId="77777777" w:rsidR="009C6860" w:rsidRPr="009C6860" w:rsidRDefault="009C6860" w:rsidP="009C6860">
      <w:pPr>
        <w:shd w:val="clear" w:color="auto" w:fill="FFFFFF"/>
        <w:rPr>
          <w:rFonts w:cs="Arial"/>
          <w:b/>
          <w:i/>
          <w:iCs/>
        </w:rPr>
      </w:pPr>
      <w:r w:rsidRPr="009C6860">
        <w:rPr>
          <w:rFonts w:cs="Arial"/>
          <w:b/>
          <w:iCs/>
        </w:rPr>
        <w:t xml:space="preserve">9. Wyrok z dnia 14 lipca 2022 r. w sprawach połączonych C-274/21 i C-275/21 </w:t>
      </w:r>
      <w:r w:rsidRPr="009C6860">
        <w:rPr>
          <w:rFonts w:cs="Arial"/>
          <w:b/>
          <w:bCs/>
          <w:i/>
          <w:iCs/>
        </w:rPr>
        <w:t xml:space="preserve">EPIC Financial Consulting Ges.m.b.H. przeciwko Republice Austrii i Bundesbeschaffung GmbH, </w:t>
      </w:r>
      <w:r w:rsidRPr="009C6860">
        <w:rPr>
          <w:rFonts w:cs="Arial"/>
          <w:b/>
          <w:bCs/>
          <w:iCs/>
        </w:rPr>
        <w:t>ECLI:EU:C:2022:565</w:t>
      </w:r>
    </w:p>
    <w:p w14:paraId="5B274929" w14:textId="77777777" w:rsidR="009C6860" w:rsidRPr="009C6860" w:rsidRDefault="009C6860" w:rsidP="009C6860">
      <w:pPr>
        <w:shd w:val="clear" w:color="auto" w:fill="FFFFFF"/>
        <w:rPr>
          <w:rFonts w:cs="Arial"/>
          <w:bCs/>
          <w:iCs/>
        </w:rPr>
      </w:pPr>
      <w:r w:rsidRPr="009C6860">
        <w:rPr>
          <w:rFonts w:cs="Arial"/>
          <w:bCs/>
          <w:iCs/>
        </w:rPr>
        <w:t xml:space="preserve">W sprawach połączonych C-274/21 i C-275/21 </w:t>
      </w:r>
      <w:r w:rsidRPr="009C6860">
        <w:rPr>
          <w:rFonts w:cs="Arial"/>
          <w:bCs/>
          <w:i/>
          <w:iCs/>
        </w:rPr>
        <w:t xml:space="preserve">EPIC Financial Consulting </w:t>
      </w:r>
      <w:r w:rsidRPr="009C6860">
        <w:rPr>
          <w:rFonts w:cs="Arial"/>
          <w:bCs/>
          <w:iCs/>
        </w:rPr>
        <w:t xml:space="preserve">Trybunał zajął się problematyką </w:t>
      </w:r>
      <w:r w:rsidRPr="009C6860">
        <w:rPr>
          <w:rFonts w:cs="Arial"/>
          <w:iCs/>
        </w:rPr>
        <w:t>zrównania umowy ramowej z umową w rozumieniu art. 2a ust. 2 dyrektywy 89/665/EWG oraz postępowań o zastosowanie środków tymczasowych i skargi, o których mowa w art. 2 ust. 1 lit. a) i b) tej dyrektywy.</w:t>
      </w:r>
    </w:p>
    <w:p w14:paraId="0D2E86CF" w14:textId="721B6C5B" w:rsidR="009C6860" w:rsidRPr="009C6860" w:rsidRDefault="009C6860" w:rsidP="009C6860">
      <w:pPr>
        <w:shd w:val="clear" w:color="auto" w:fill="FFFFFF"/>
        <w:rPr>
          <w:rFonts w:cs="Arial"/>
          <w:iCs/>
        </w:rPr>
      </w:pPr>
      <w:r w:rsidRPr="009C6860">
        <w:rPr>
          <w:rFonts w:cs="Arial"/>
          <w:bCs/>
          <w:iCs/>
        </w:rPr>
        <w:t>Odpowiadając na pytania prejudycjalne zadane przez austriacki federalny trybunał administracyjny, Trybunał w pierwszej kolejności wskazał, że art. 1 ust. 1 dyrektywy 89/665/EWG należy interpretować w</w:t>
      </w:r>
      <w:r w:rsidR="009343A1">
        <w:rPr>
          <w:rFonts w:cs="Arial"/>
          <w:bCs/>
          <w:iCs/>
        </w:rPr>
        <w:t xml:space="preserve"> </w:t>
      </w:r>
      <w:r w:rsidRPr="009C6860">
        <w:rPr>
          <w:rFonts w:cs="Arial"/>
          <w:bCs/>
          <w:iCs/>
        </w:rPr>
        <w:t>ten sposób, że zawarcie umowy ramowej z jednym wykonawcą zgodnie z</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33 ust.</w:t>
      </w:r>
      <w:r w:rsidR="009343A1">
        <w:rPr>
          <w:rFonts w:cs="Arial"/>
          <w:bCs/>
          <w:iCs/>
        </w:rPr>
        <w:t xml:space="preserve"> </w:t>
      </w:r>
      <w:r w:rsidRPr="009C6860">
        <w:rPr>
          <w:rFonts w:cs="Arial"/>
          <w:bCs/>
          <w:iCs/>
        </w:rPr>
        <w:t>3 dyrektywy 2014/24/UE, stanowi zawarcie umowy zgodnie z</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2a ust.</w:t>
      </w:r>
      <w:r w:rsidR="009343A1">
        <w:rPr>
          <w:rFonts w:cs="Arial"/>
          <w:bCs/>
          <w:iCs/>
        </w:rPr>
        <w:t xml:space="preserve"> </w:t>
      </w:r>
      <w:r w:rsidRPr="009C6860">
        <w:rPr>
          <w:rFonts w:cs="Arial"/>
          <w:bCs/>
          <w:iCs/>
        </w:rPr>
        <w:t xml:space="preserve">2 dyrektywy 89/665/EWG. Następnie Trybunał stwierdził, że zgodnie z art. 33 ust. 3 dyrektywy 2014/24/UE </w:t>
      </w:r>
      <w:r w:rsidRPr="009C6860">
        <w:rPr>
          <w:rFonts w:cs="Arial"/>
          <w:iCs/>
        </w:rPr>
        <w:t>przy udzielaniu nowego zamówienia instytucja zamawiająca nie może już opierać się na umowie ramowej, jeżeli określona przez nią maksymalna ilość lub maksymalna wartość danych robót budowlanych, dostaw lub usług już została osiągnięta, chyba że udzielenie tego zamówienia nie pociąga za sobą istotnej zmiany tej umowy ramowej, jak przewiduje art.</w:t>
      </w:r>
      <w:r w:rsidR="009343A1">
        <w:rPr>
          <w:rFonts w:cs="Arial"/>
          <w:iCs/>
        </w:rPr>
        <w:t xml:space="preserve"> </w:t>
      </w:r>
      <w:r w:rsidRPr="009C6860">
        <w:rPr>
          <w:rFonts w:cs="Arial"/>
          <w:iCs/>
        </w:rPr>
        <w:t>72 ust.</w:t>
      </w:r>
      <w:r w:rsidR="009343A1">
        <w:rPr>
          <w:rFonts w:cs="Arial"/>
          <w:iCs/>
        </w:rPr>
        <w:t xml:space="preserve"> </w:t>
      </w:r>
      <w:r w:rsidRPr="009C6860">
        <w:rPr>
          <w:rFonts w:cs="Arial"/>
          <w:iCs/>
        </w:rPr>
        <w:t>1 lit.</w:t>
      </w:r>
      <w:r w:rsidR="009343A1">
        <w:rPr>
          <w:rFonts w:cs="Arial"/>
          <w:iCs/>
        </w:rPr>
        <w:t xml:space="preserve"> </w:t>
      </w:r>
      <w:r w:rsidRPr="009C6860">
        <w:rPr>
          <w:rFonts w:cs="Arial"/>
          <w:iCs/>
        </w:rPr>
        <w:t xml:space="preserve">e) tej dyrektywy. </w:t>
      </w:r>
    </w:p>
    <w:p w14:paraId="4CF66FAA" w14:textId="54C5977A" w:rsidR="009C6860" w:rsidRPr="009C6860" w:rsidRDefault="009C6860" w:rsidP="009C6860">
      <w:pPr>
        <w:shd w:val="clear" w:color="auto" w:fill="FFFFFF"/>
        <w:rPr>
          <w:rFonts w:cs="Arial"/>
          <w:iCs/>
        </w:rPr>
      </w:pPr>
      <w:r w:rsidRPr="009C6860">
        <w:rPr>
          <w:rFonts w:cs="Arial"/>
          <w:iCs/>
        </w:rPr>
        <w:t>Zasadę równoważności natomiast należy interpretować w</w:t>
      </w:r>
      <w:r w:rsidR="009343A1">
        <w:rPr>
          <w:rFonts w:cs="Arial"/>
          <w:iCs/>
        </w:rPr>
        <w:t xml:space="preserve"> </w:t>
      </w:r>
      <w:r w:rsidRPr="009C6860">
        <w:rPr>
          <w:rFonts w:cs="Arial"/>
          <w:iCs/>
        </w:rPr>
        <w:t>ten sposób, że nie stoi ona na przeszkodzie uregulowaniu krajowemu przewidującemu, w</w:t>
      </w:r>
      <w:r w:rsidR="009343A1">
        <w:rPr>
          <w:rFonts w:cs="Arial"/>
          <w:iCs/>
        </w:rPr>
        <w:t xml:space="preserve"> </w:t>
      </w:r>
      <w:r w:rsidRPr="009C6860">
        <w:rPr>
          <w:rFonts w:cs="Arial"/>
          <w:iCs/>
        </w:rPr>
        <w:t>odniesieniu do wniosków o zastosowanie środków tymczasowych i skarg związanych z postępowaniem o udzielenie zamówienia publicznego, inne przepisy proceduralne niż te, które mają zastosowanie w</w:t>
      </w:r>
      <w:r w:rsidR="009343A1">
        <w:rPr>
          <w:rFonts w:cs="Arial"/>
          <w:iCs/>
        </w:rPr>
        <w:t xml:space="preserve"> </w:t>
      </w:r>
      <w:r w:rsidRPr="009C6860">
        <w:rPr>
          <w:rFonts w:cs="Arial"/>
          <w:iCs/>
        </w:rPr>
        <w:t xml:space="preserve">szczególności do postępowań w sprawach cywilnych. Trybunał wskazał ponadto, że regulacja art. 1 ust. 1 dyrektywy 89/665/EWG, w świetle art. 47 Karty praw podstawowych Unii Europejskiej, stoi na przeszkodzie uregulowaniu krajowemu nakładającemu na podmiot prawa obowiązek wskazania we wniosku o zastosowanie środków tymczasowych oraz w skardze odnośnego postępowania o udzielenie zamówienia publicznego oraz kwestionowanej przez niego podlegającej odrębnemu zaskarżeniu decyzji, w przypadku gdy instytucja zamawiająca zdecydowała się przeprowadzić postępowanie o udzielenie zamówienia publicznego bez uprzedniej publikacji ogłoszenia o zamówieniu oraz gdy ogłoszenie o udzieleniu zamówienia publicznego nie zostało jeszcze opublikowane. </w:t>
      </w:r>
    </w:p>
    <w:p w14:paraId="2526BD01" w14:textId="77777777" w:rsidR="009C6860" w:rsidRPr="009C6860" w:rsidRDefault="009C6860" w:rsidP="009C6860">
      <w:pPr>
        <w:shd w:val="clear" w:color="auto" w:fill="FFFFFF"/>
        <w:rPr>
          <w:rFonts w:cs="Arial"/>
          <w:iCs/>
        </w:rPr>
      </w:pPr>
      <w:r w:rsidRPr="009C6860">
        <w:rPr>
          <w:rFonts w:cs="Arial"/>
          <w:iCs/>
        </w:rPr>
        <w:t>Co więcej, art. 2 ust. 1 dyrektywy 89/665/EWG, w związku z art. 47 karty praw podstawowych należy interpretować w ten sposób, że:</w:t>
      </w:r>
    </w:p>
    <w:p w14:paraId="5A2D8696" w14:textId="77483599" w:rsidR="009C6860" w:rsidRPr="009C6860" w:rsidRDefault="009C6860" w:rsidP="00E16264">
      <w:pPr>
        <w:numPr>
          <w:ilvl w:val="0"/>
          <w:numId w:val="45"/>
        </w:numPr>
        <w:shd w:val="clear" w:color="auto" w:fill="FFFFFF"/>
        <w:rPr>
          <w:rFonts w:cs="Arial"/>
          <w:iCs/>
        </w:rPr>
      </w:pPr>
      <w:r w:rsidRPr="009C6860">
        <w:rPr>
          <w:rFonts w:cs="Arial"/>
          <w:iCs/>
        </w:rPr>
        <w:t>stoi on na przeszkodzie uregulowaniu krajowemu, które nakłada na sąd, który rozpatruje wniosek o zastosowanie środków tymczasowych, mający na celu uniemożliwienie dokonywania zakupów przez instytucję zamawiającą, obowiązek określenia, przed wydaniem rozstrzygnięcia w sprawie wniosku o zastosowanie środków tymczasowych lub skargi złożonych przez ów podmiot, rodzaju odnośnego postępowania o udzielenie zamówienia, (szacunkowej) wartości zamówienia oraz liczby podlegających odrębnemu zaskarżeniu decyzji, a także, w stosownym przypadku, części odnośnego postępowania o</w:t>
      </w:r>
      <w:r w:rsidR="009343A1">
        <w:rPr>
          <w:rFonts w:cs="Arial"/>
          <w:iCs/>
        </w:rPr>
        <w:t xml:space="preserve"> </w:t>
      </w:r>
      <w:r w:rsidRPr="009C6860">
        <w:rPr>
          <w:rFonts w:cs="Arial"/>
          <w:iCs/>
        </w:rPr>
        <w:t>udzielenie zamówienia, wyłącznie w celu obliczenia wysokości sądowej opłaty ryczałtowej, którą wnioskodawca będzie musiał uiścić, pod rygorem oddalenia owego wniosku lub owej skargi wyłącznie z tego powodu, w przypadku gdy instytucja zamawiająca zdecydowała się przeprowadzić postępowanie o udzielenie zamówienia publicznego bez uprzedniej publikacji ogłoszenia o zamówieniu oraz gdy w chwili wniesienia skargi o</w:t>
      </w:r>
      <w:r w:rsidR="009343A1">
        <w:rPr>
          <w:rFonts w:cs="Arial"/>
          <w:iCs/>
        </w:rPr>
        <w:t xml:space="preserve"> </w:t>
      </w:r>
      <w:r w:rsidRPr="009C6860">
        <w:rPr>
          <w:rFonts w:cs="Arial"/>
          <w:iCs/>
        </w:rPr>
        <w:t>stwierdzenie nieważności decyzji związanej z tym postępowaniem ogłoszenie o</w:t>
      </w:r>
      <w:r w:rsidR="009343A1">
        <w:rPr>
          <w:rFonts w:cs="Arial"/>
          <w:iCs/>
        </w:rPr>
        <w:t xml:space="preserve"> </w:t>
      </w:r>
      <w:r w:rsidRPr="009C6860">
        <w:rPr>
          <w:rFonts w:cs="Arial"/>
          <w:iCs/>
        </w:rPr>
        <w:t>udzieleniu zamówienia nie zostało jeszcze opublikowane;</w:t>
      </w:r>
    </w:p>
    <w:p w14:paraId="1F90FD50" w14:textId="358B926D" w:rsidR="009C6860" w:rsidRPr="009C6860" w:rsidRDefault="009C6860" w:rsidP="00E16264">
      <w:pPr>
        <w:numPr>
          <w:ilvl w:val="0"/>
          <w:numId w:val="45"/>
        </w:numPr>
        <w:shd w:val="clear" w:color="auto" w:fill="FFFFFF"/>
        <w:rPr>
          <w:rFonts w:cs="Arial"/>
          <w:iCs/>
        </w:rPr>
      </w:pPr>
      <w:r w:rsidRPr="009C6860">
        <w:rPr>
          <w:rFonts w:cs="Arial"/>
          <w:iCs/>
        </w:rPr>
        <w:t>nie stoi on na przeszkodzie uregulowaniu krajowemu, które nakłada na sąd, który rozpatruje skargę o</w:t>
      </w:r>
      <w:r w:rsidR="009343A1">
        <w:rPr>
          <w:rFonts w:cs="Arial"/>
          <w:iCs/>
        </w:rPr>
        <w:t xml:space="preserve"> </w:t>
      </w:r>
      <w:r w:rsidRPr="009C6860">
        <w:rPr>
          <w:rFonts w:cs="Arial"/>
          <w:iCs/>
        </w:rPr>
        <w:t>stwierdzenie nieważności podlegającej odrębnemu zaskarżeniu decyzji instytucji zamawiającej, obowiązek określenia, przed wydaniem rozstrzygnięcia w sprawie tej skargi, rodzaju odnośnego postępowania o</w:t>
      </w:r>
      <w:r w:rsidR="009343A1">
        <w:rPr>
          <w:rFonts w:cs="Arial"/>
          <w:iCs/>
        </w:rPr>
        <w:t xml:space="preserve"> </w:t>
      </w:r>
      <w:r w:rsidRPr="009C6860">
        <w:rPr>
          <w:rFonts w:cs="Arial"/>
          <w:iCs/>
        </w:rPr>
        <w:t>udzielenie zamówienia, (szacunkowej) wartości odnośnego zamówienia oraz liczby podlegających odrębnemu zaskarżeniu decyzji, a także, w stosownym przypadku, części odnośnego postępowania o</w:t>
      </w:r>
      <w:r w:rsidR="009343A1">
        <w:rPr>
          <w:rFonts w:cs="Arial"/>
          <w:iCs/>
        </w:rPr>
        <w:t xml:space="preserve"> </w:t>
      </w:r>
      <w:r w:rsidRPr="009C6860">
        <w:rPr>
          <w:rFonts w:cs="Arial"/>
          <w:iCs/>
        </w:rPr>
        <w:t>udzielenie zamówienia, wyłącznie w</w:t>
      </w:r>
      <w:r w:rsidR="009343A1">
        <w:rPr>
          <w:rFonts w:cs="Arial"/>
          <w:iCs/>
        </w:rPr>
        <w:t xml:space="preserve"> </w:t>
      </w:r>
      <w:r w:rsidRPr="009C6860">
        <w:rPr>
          <w:rFonts w:cs="Arial"/>
          <w:iCs/>
        </w:rPr>
        <w:t>celu obliczenia wysokości sądowej opłaty ryczałtowej, którą skarżący będzie musiał uiścić, pod rygorem oddalenia owej skargi wyłącznie z tego powodu.</w:t>
      </w:r>
    </w:p>
    <w:p w14:paraId="1852B138" w14:textId="1B8069E5" w:rsidR="009C6860" w:rsidRDefault="009C6860" w:rsidP="009C6860">
      <w:pPr>
        <w:shd w:val="clear" w:color="auto" w:fill="FFFFFF"/>
        <w:rPr>
          <w:rFonts w:cs="Arial"/>
          <w:iCs/>
        </w:rPr>
      </w:pPr>
      <w:r w:rsidRPr="009C6860">
        <w:rPr>
          <w:rFonts w:cs="Arial"/>
          <w:iCs/>
        </w:rPr>
        <w:t>Na zakończenie Trybunał skonstatował, że art. 47 Karty praw podstawowych należy interpretować w ten sposób, że stoi on na przeszkodzie uregulowaniu krajowemu, które zobowiązuje podmiot prawa składający wniosek o zastosowanie środków tymczasowych lub skargę do uiszczenia sądowej opłaty ryczałtowej w</w:t>
      </w:r>
      <w:r w:rsidR="009343A1">
        <w:rPr>
          <w:rFonts w:cs="Arial"/>
          <w:iCs/>
        </w:rPr>
        <w:t xml:space="preserve"> </w:t>
      </w:r>
      <w:r w:rsidRPr="009C6860">
        <w:rPr>
          <w:rFonts w:cs="Arial"/>
          <w:iCs/>
        </w:rPr>
        <w:t>wysokości, której nie może on wcześniej przewidzieć, w</w:t>
      </w:r>
      <w:r w:rsidR="009343A1">
        <w:rPr>
          <w:rFonts w:cs="Arial"/>
          <w:iCs/>
        </w:rPr>
        <w:t xml:space="preserve"> </w:t>
      </w:r>
      <w:r w:rsidRPr="009C6860">
        <w:rPr>
          <w:rFonts w:cs="Arial"/>
          <w:iCs/>
        </w:rPr>
        <w:t>przypadku gdy instytucja zamawiająca zdecydowała się przeprowadzić postępowanie w</w:t>
      </w:r>
      <w:r w:rsidR="009343A1">
        <w:rPr>
          <w:rFonts w:cs="Arial"/>
          <w:iCs/>
        </w:rPr>
        <w:t xml:space="preserve"> </w:t>
      </w:r>
      <w:r w:rsidRPr="009C6860">
        <w:rPr>
          <w:rFonts w:cs="Arial"/>
          <w:iCs/>
        </w:rPr>
        <w:t>sprawie udzielenia zamówienia publicznego bez uprzedniej publikacji ogłoszenia o</w:t>
      </w:r>
      <w:r w:rsidR="009343A1">
        <w:rPr>
          <w:rFonts w:cs="Arial"/>
          <w:iCs/>
        </w:rPr>
        <w:t xml:space="preserve"> </w:t>
      </w:r>
      <w:r w:rsidRPr="009C6860">
        <w:rPr>
          <w:rFonts w:cs="Arial"/>
          <w:iCs/>
        </w:rPr>
        <w:t>zamówieniu lub, w</w:t>
      </w:r>
      <w:r w:rsidR="009343A1">
        <w:rPr>
          <w:rFonts w:cs="Arial"/>
          <w:iCs/>
        </w:rPr>
        <w:t xml:space="preserve"> </w:t>
      </w:r>
      <w:r w:rsidRPr="009C6860">
        <w:rPr>
          <w:rFonts w:cs="Arial"/>
          <w:iCs/>
        </w:rPr>
        <w:t>stosownych przypadkach, bez uprzedniej publikacji ogłoszenia o</w:t>
      </w:r>
      <w:r w:rsidR="009343A1">
        <w:rPr>
          <w:rFonts w:cs="Arial"/>
          <w:iCs/>
        </w:rPr>
        <w:t xml:space="preserve"> </w:t>
      </w:r>
      <w:r w:rsidRPr="009C6860">
        <w:rPr>
          <w:rFonts w:cs="Arial"/>
          <w:iCs/>
        </w:rPr>
        <w:t>udzieleniu zamówienia,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czym ów podmiot prawa może nie być w</w:t>
      </w:r>
      <w:r w:rsidR="009343A1">
        <w:rPr>
          <w:rFonts w:cs="Arial"/>
          <w:iCs/>
        </w:rPr>
        <w:t xml:space="preserve"> </w:t>
      </w:r>
      <w:r w:rsidRPr="009C6860">
        <w:rPr>
          <w:rFonts w:cs="Arial"/>
          <w:iCs/>
        </w:rPr>
        <w:t>stanie uzyskać wiedzy o</w:t>
      </w:r>
      <w:r w:rsidR="009343A1">
        <w:rPr>
          <w:rFonts w:cs="Arial"/>
          <w:iCs/>
        </w:rPr>
        <w:t xml:space="preserve"> </w:t>
      </w:r>
      <w:r w:rsidRPr="009C6860">
        <w:rPr>
          <w:rFonts w:cs="Arial"/>
          <w:iCs/>
        </w:rPr>
        <w:t>szacunkowej wartości zamówienia oraz o</w:t>
      </w:r>
      <w:r w:rsidR="009343A1">
        <w:rPr>
          <w:rFonts w:cs="Arial"/>
          <w:iCs/>
        </w:rPr>
        <w:t xml:space="preserve"> </w:t>
      </w:r>
      <w:r w:rsidRPr="009C6860">
        <w:rPr>
          <w:rFonts w:cs="Arial"/>
          <w:iCs/>
        </w:rPr>
        <w:t>liczbie podlegających odrębnemu zaskarżeniu decyzji wydanych przez instytucję zamawiającą, na podstawie których obliczono ową opłatę.</w:t>
      </w:r>
    </w:p>
    <w:p w14:paraId="72BCD17F" w14:textId="77777777" w:rsidR="00BF4B84" w:rsidRPr="009C6860" w:rsidRDefault="00BF4B84" w:rsidP="009C6860">
      <w:pPr>
        <w:shd w:val="clear" w:color="auto" w:fill="FFFFFF"/>
        <w:rPr>
          <w:rFonts w:cs="Arial"/>
          <w:iCs/>
        </w:rPr>
      </w:pPr>
    </w:p>
    <w:p w14:paraId="37656BF0" w14:textId="24D9160C" w:rsidR="009C6860" w:rsidRPr="009C6860" w:rsidRDefault="009C6860" w:rsidP="009C6860">
      <w:pPr>
        <w:shd w:val="clear" w:color="auto" w:fill="FFFFFF"/>
        <w:rPr>
          <w:rFonts w:cs="Arial"/>
          <w:b/>
          <w:i/>
          <w:iCs/>
          <w:lang w:val="en-US"/>
        </w:rPr>
      </w:pPr>
      <w:r w:rsidRPr="009C6860">
        <w:rPr>
          <w:rFonts w:cs="Arial"/>
          <w:b/>
          <w:iCs/>
          <w:lang w:val="en-US"/>
        </w:rPr>
        <w:t xml:space="preserve">10. Wyrok z dnia 14 lipca 2022 r. w sprawie C-436/20 </w:t>
      </w:r>
      <w:r w:rsidRPr="009C6860">
        <w:rPr>
          <w:rFonts w:cs="Arial"/>
          <w:b/>
          <w:bCs/>
          <w:i/>
          <w:iCs/>
          <w:lang w:val="en-US"/>
        </w:rPr>
        <w:t>Asociación Estatal de Entidades de Servicios de Atención a</w:t>
      </w:r>
      <w:r w:rsidR="009343A1">
        <w:rPr>
          <w:rFonts w:cs="Arial"/>
          <w:b/>
          <w:bCs/>
          <w:i/>
          <w:iCs/>
          <w:lang w:val="en-US"/>
        </w:rPr>
        <w:t xml:space="preserve"> </w:t>
      </w:r>
      <w:r w:rsidRPr="009C6860">
        <w:rPr>
          <w:rFonts w:cs="Arial"/>
          <w:b/>
          <w:bCs/>
          <w:i/>
          <w:iCs/>
          <w:lang w:val="en-US"/>
        </w:rPr>
        <w:t>Domicilio (ASADE) przeciwko</w:t>
      </w:r>
      <w:r w:rsidRPr="009C6860">
        <w:rPr>
          <w:rFonts w:cs="Arial"/>
          <w:i/>
          <w:iCs/>
          <w:lang w:val="en-US"/>
        </w:rPr>
        <w:t xml:space="preserve"> </w:t>
      </w:r>
      <w:r w:rsidRPr="009C6860">
        <w:rPr>
          <w:rFonts w:cs="Arial"/>
          <w:b/>
          <w:bCs/>
          <w:i/>
          <w:iCs/>
          <w:lang w:val="en-US"/>
        </w:rPr>
        <w:t>Consejería de Igualdad y</w:t>
      </w:r>
      <w:r w:rsidR="009343A1">
        <w:rPr>
          <w:rFonts w:cs="Arial"/>
          <w:b/>
          <w:bCs/>
          <w:i/>
          <w:iCs/>
          <w:lang w:val="en-US"/>
        </w:rPr>
        <w:t xml:space="preserve"> </w:t>
      </w:r>
      <w:r w:rsidRPr="009C6860">
        <w:rPr>
          <w:rFonts w:cs="Arial"/>
          <w:b/>
          <w:bCs/>
          <w:i/>
          <w:iCs/>
          <w:lang w:val="en-US"/>
        </w:rPr>
        <w:t xml:space="preserve">Políticas Inclusivas, </w:t>
      </w:r>
      <w:r w:rsidRPr="009C6860">
        <w:rPr>
          <w:rFonts w:cs="Arial"/>
          <w:b/>
          <w:iCs/>
          <w:lang w:val="en-US"/>
        </w:rPr>
        <w:t>ECLI:EU:C:2022:559</w:t>
      </w:r>
    </w:p>
    <w:p w14:paraId="48EAB1AD" w14:textId="3884982B" w:rsidR="009C6860" w:rsidRPr="009C6860" w:rsidRDefault="009C6860" w:rsidP="009C6860">
      <w:pPr>
        <w:shd w:val="clear" w:color="auto" w:fill="FFFFFF"/>
        <w:rPr>
          <w:rFonts w:cs="Arial"/>
          <w:iCs/>
        </w:rPr>
      </w:pPr>
      <w:r w:rsidRPr="009C6860">
        <w:rPr>
          <w:rFonts w:cs="Arial"/>
          <w:iCs/>
        </w:rPr>
        <w:t xml:space="preserve">W sprawie C-476/20 </w:t>
      </w:r>
      <w:r w:rsidRPr="009C6860">
        <w:rPr>
          <w:rFonts w:cs="Arial"/>
          <w:i/>
          <w:iCs/>
        </w:rPr>
        <w:t>ASADE</w:t>
      </w:r>
      <w:r w:rsidRPr="009C6860">
        <w:rPr>
          <w:rFonts w:cs="Arial"/>
          <w:iCs/>
        </w:rPr>
        <w:t xml:space="preserve"> Trybunał pochylił się nad kwestią zawierania z podmiotami prywatnymi o</w:t>
      </w:r>
      <w:r w:rsidR="009343A1">
        <w:rPr>
          <w:rFonts w:cs="Arial"/>
          <w:iCs/>
        </w:rPr>
        <w:t xml:space="preserve"> </w:t>
      </w:r>
      <w:r w:rsidRPr="009C6860">
        <w:rPr>
          <w:rFonts w:cs="Arial"/>
          <w:iCs/>
        </w:rPr>
        <w:t>celu niezarobkowym porozumień dotyczących świadczenia usług socjalnych w zamian za zwrot kosztów, bez stosowania procedur zamówieniowych.</w:t>
      </w:r>
    </w:p>
    <w:p w14:paraId="6EAF0B5E" w14:textId="140FEDB9" w:rsidR="009C6860" w:rsidRDefault="009C6860" w:rsidP="009C6860">
      <w:pPr>
        <w:shd w:val="clear" w:color="auto" w:fill="FFFFFF"/>
        <w:rPr>
          <w:rFonts w:cs="Arial"/>
          <w:iCs/>
        </w:rPr>
      </w:pPr>
      <w:r w:rsidRPr="009C6860">
        <w:rPr>
          <w:rFonts w:cs="Arial"/>
          <w:iCs/>
        </w:rPr>
        <w:t>Zgodnie z orzeczeniem Trybunału regulacje art.</w:t>
      </w:r>
      <w:r w:rsidR="009343A1">
        <w:rPr>
          <w:rFonts w:cs="Arial"/>
          <w:iCs/>
        </w:rPr>
        <w:t xml:space="preserve"> </w:t>
      </w:r>
      <w:r w:rsidRPr="009C6860">
        <w:rPr>
          <w:rFonts w:cs="Arial"/>
          <w:iCs/>
        </w:rPr>
        <w:t>76 i</w:t>
      </w:r>
      <w:r w:rsidR="009343A1">
        <w:rPr>
          <w:rFonts w:cs="Arial"/>
          <w:iCs/>
        </w:rPr>
        <w:t xml:space="preserve"> </w:t>
      </w:r>
      <w:r w:rsidRPr="009C6860">
        <w:rPr>
          <w:rFonts w:cs="Arial"/>
          <w:iCs/>
        </w:rPr>
        <w:t>77 dyrektywy 2014/24/UE nie sprzeciwiają się uregulowaniu krajowemu, które zastrzega dla prywatnych podmiotów niemających celu zarobkowego uprawnienie do zawierania w</w:t>
      </w:r>
      <w:r w:rsidR="009343A1">
        <w:rPr>
          <w:rFonts w:cs="Arial"/>
          <w:iCs/>
        </w:rPr>
        <w:t xml:space="preserve"> </w:t>
      </w:r>
      <w:r w:rsidRPr="009C6860">
        <w:rPr>
          <w:rFonts w:cs="Arial"/>
          <w:iCs/>
        </w:rPr>
        <w:t>drodze przetargu umów, na mocy których podmioty te świadczą usługi społeczne na rzecz osób w</w:t>
      </w:r>
      <w:r w:rsidR="009343A1">
        <w:rPr>
          <w:rFonts w:cs="Arial"/>
          <w:iCs/>
        </w:rPr>
        <w:t xml:space="preserve"> </w:t>
      </w:r>
      <w:r w:rsidRPr="009C6860">
        <w:rPr>
          <w:rFonts w:cs="Arial"/>
          <w:iCs/>
        </w:rPr>
        <w:t>zamian za zwrot poniesionych przez te podmioty kosztów, bez względu na szacunkową wartość tych usług, nawet jeśli podmioty te nie spełniają wymogów przewidzianych w</w:t>
      </w:r>
      <w:r w:rsidR="009343A1">
        <w:rPr>
          <w:rFonts w:cs="Arial"/>
          <w:iCs/>
        </w:rPr>
        <w:t xml:space="preserve"> </w:t>
      </w:r>
      <w:r w:rsidRPr="009C6860">
        <w:rPr>
          <w:rFonts w:cs="Arial"/>
          <w:iCs/>
        </w:rPr>
        <w:t>art.</w:t>
      </w:r>
      <w:r w:rsidR="009343A1">
        <w:rPr>
          <w:rFonts w:cs="Arial"/>
          <w:iCs/>
        </w:rPr>
        <w:t xml:space="preserve"> </w:t>
      </w:r>
      <w:r w:rsidRPr="009C6860">
        <w:rPr>
          <w:rFonts w:cs="Arial"/>
          <w:iCs/>
        </w:rPr>
        <w:t>77, o</w:t>
      </w:r>
      <w:r w:rsidR="009343A1">
        <w:rPr>
          <w:rFonts w:cs="Arial"/>
          <w:iCs/>
        </w:rPr>
        <w:t xml:space="preserve"> </w:t>
      </w:r>
      <w:r w:rsidRPr="009C6860">
        <w:rPr>
          <w:rFonts w:cs="Arial"/>
          <w:iCs/>
        </w:rPr>
        <w:t>ile z</w:t>
      </w:r>
      <w:r w:rsidR="009343A1">
        <w:rPr>
          <w:rFonts w:cs="Arial"/>
          <w:iCs/>
        </w:rPr>
        <w:t xml:space="preserve"> </w:t>
      </w:r>
      <w:r w:rsidRPr="009C6860">
        <w:rPr>
          <w:rFonts w:cs="Arial"/>
          <w:iCs/>
        </w:rPr>
        <w:t>jednej strony ramy prawne i</w:t>
      </w:r>
      <w:r w:rsidR="009343A1">
        <w:rPr>
          <w:rFonts w:cs="Arial"/>
          <w:iCs/>
        </w:rPr>
        <w:t xml:space="preserve"> </w:t>
      </w:r>
      <w:r w:rsidRPr="009C6860">
        <w:rPr>
          <w:rFonts w:cs="Arial"/>
          <w:iCs/>
        </w:rPr>
        <w:t>umowne, w</w:t>
      </w:r>
      <w:r w:rsidR="009343A1">
        <w:rPr>
          <w:rFonts w:cs="Arial"/>
          <w:iCs/>
        </w:rPr>
        <w:t xml:space="preserve"> </w:t>
      </w:r>
      <w:r w:rsidRPr="009C6860">
        <w:rPr>
          <w:rFonts w:cs="Arial"/>
          <w:iCs/>
        </w:rPr>
        <w:t>których prowadzona jest działalność wspomnianych podmiotów, rzeczywiście przyczyniają się do celu społecznego oraz do realizacji celów solidarności i</w:t>
      </w:r>
      <w:r w:rsidR="009343A1">
        <w:rPr>
          <w:rFonts w:cs="Arial"/>
          <w:iCs/>
        </w:rPr>
        <w:t xml:space="preserve"> </w:t>
      </w:r>
      <w:r w:rsidRPr="009C6860">
        <w:rPr>
          <w:rFonts w:cs="Arial"/>
          <w:iCs/>
        </w:rPr>
        <w:t>efektywności budżetowej, na których opiera się owo uregulowanie, a</w:t>
      </w:r>
      <w:r w:rsidR="009343A1">
        <w:rPr>
          <w:rFonts w:cs="Arial"/>
          <w:iCs/>
        </w:rPr>
        <w:t xml:space="preserve"> </w:t>
      </w:r>
      <w:r w:rsidRPr="009C6860">
        <w:rPr>
          <w:rFonts w:cs="Arial"/>
          <w:iCs/>
        </w:rPr>
        <w:t>z</w:t>
      </w:r>
      <w:r w:rsidR="009343A1">
        <w:rPr>
          <w:rFonts w:cs="Arial"/>
          <w:iCs/>
        </w:rPr>
        <w:t xml:space="preserve"> </w:t>
      </w:r>
      <w:r w:rsidRPr="009C6860">
        <w:rPr>
          <w:rFonts w:cs="Arial"/>
          <w:iCs/>
        </w:rPr>
        <w:t>drugiej strony przestrzegana jest zasada przejrzystości, która została w</w:t>
      </w:r>
      <w:r w:rsidR="009343A1">
        <w:rPr>
          <w:rFonts w:cs="Arial"/>
          <w:iCs/>
        </w:rPr>
        <w:t xml:space="preserve"> </w:t>
      </w:r>
      <w:r w:rsidRPr="009C6860">
        <w:rPr>
          <w:rFonts w:cs="Arial"/>
          <w:iCs/>
        </w:rPr>
        <w:t>szczególności określona w</w:t>
      </w:r>
      <w:r w:rsidR="009343A1">
        <w:rPr>
          <w:rFonts w:cs="Arial"/>
          <w:iCs/>
        </w:rPr>
        <w:t xml:space="preserve"> </w:t>
      </w:r>
      <w:r w:rsidRPr="009C6860">
        <w:rPr>
          <w:rFonts w:cs="Arial"/>
          <w:iCs/>
        </w:rPr>
        <w:t>art.</w:t>
      </w:r>
      <w:r w:rsidR="009343A1">
        <w:rPr>
          <w:rFonts w:cs="Arial"/>
          <w:iCs/>
        </w:rPr>
        <w:t xml:space="preserve"> </w:t>
      </w:r>
      <w:r w:rsidRPr="009C6860">
        <w:rPr>
          <w:rFonts w:cs="Arial"/>
          <w:iCs/>
        </w:rPr>
        <w:t>75 dyrektywy 2014/24/UE. Jednocześnie Trybunał wskazał, że art. 76 dyrektywy 2014/24/UE sprzeciwia się uregulowaniu krajowemu, zgodnie z</w:t>
      </w:r>
      <w:r w:rsidR="009343A1">
        <w:rPr>
          <w:rFonts w:cs="Arial"/>
          <w:iCs/>
        </w:rPr>
        <w:t xml:space="preserve"> </w:t>
      </w:r>
      <w:r w:rsidRPr="009C6860">
        <w:rPr>
          <w:rFonts w:cs="Arial"/>
          <w:iCs/>
        </w:rPr>
        <w:t>którym w</w:t>
      </w:r>
      <w:r w:rsidR="009343A1">
        <w:rPr>
          <w:rFonts w:cs="Arial"/>
          <w:iCs/>
        </w:rPr>
        <w:t xml:space="preserve"> </w:t>
      </w:r>
      <w:r w:rsidRPr="009C6860">
        <w:rPr>
          <w:rFonts w:cs="Arial"/>
          <w:iCs/>
        </w:rPr>
        <w:t>ramach udzielania zamówienia publicznego na usługi społeczne, o</w:t>
      </w:r>
      <w:r w:rsidR="009343A1">
        <w:rPr>
          <w:rFonts w:cs="Arial"/>
          <w:iCs/>
        </w:rPr>
        <w:t xml:space="preserve"> </w:t>
      </w:r>
      <w:r w:rsidRPr="009C6860">
        <w:rPr>
          <w:rFonts w:cs="Arial"/>
          <w:iCs/>
        </w:rPr>
        <w:t>których mowa w</w:t>
      </w:r>
      <w:r w:rsidR="009343A1">
        <w:rPr>
          <w:rFonts w:cs="Arial"/>
          <w:iCs/>
        </w:rPr>
        <w:t xml:space="preserve"> </w:t>
      </w:r>
      <w:r w:rsidRPr="009C6860">
        <w:rPr>
          <w:rFonts w:cs="Arial"/>
          <w:iCs/>
        </w:rPr>
        <w:t>załączniku</w:t>
      </w:r>
      <w:r w:rsidR="009343A1">
        <w:rPr>
          <w:rFonts w:cs="Arial"/>
          <w:iCs/>
        </w:rPr>
        <w:t xml:space="preserve"> </w:t>
      </w:r>
      <w:r w:rsidRPr="009C6860">
        <w:rPr>
          <w:rFonts w:cs="Arial"/>
          <w:iCs/>
        </w:rPr>
        <w:t>XIV do tej dyrektywy, lokalizacja wykonawcy w</w:t>
      </w:r>
      <w:r w:rsidR="009343A1">
        <w:rPr>
          <w:rFonts w:cs="Arial"/>
          <w:iCs/>
        </w:rPr>
        <w:t xml:space="preserve"> </w:t>
      </w:r>
      <w:r w:rsidRPr="009C6860">
        <w:rPr>
          <w:rFonts w:cs="Arial"/>
          <w:iCs/>
        </w:rPr>
        <w:t>miejscowości, w</w:t>
      </w:r>
      <w:r w:rsidR="009343A1">
        <w:rPr>
          <w:rFonts w:cs="Arial"/>
          <w:iCs/>
        </w:rPr>
        <w:t xml:space="preserve"> </w:t>
      </w:r>
      <w:r w:rsidRPr="009C6860">
        <w:rPr>
          <w:rFonts w:cs="Arial"/>
          <w:iCs/>
        </w:rPr>
        <w:t>której usługi mają być świadczone, stanowi kryterium wyboru wykonawców poprzedzające zbadanie ich ofert.</w:t>
      </w:r>
    </w:p>
    <w:p w14:paraId="201B5791" w14:textId="77777777" w:rsidR="00BF4B84" w:rsidRPr="009C6860" w:rsidRDefault="00BF4B84" w:rsidP="009C6860">
      <w:pPr>
        <w:shd w:val="clear" w:color="auto" w:fill="FFFFFF"/>
        <w:rPr>
          <w:rFonts w:cs="Arial"/>
          <w:iCs/>
        </w:rPr>
      </w:pPr>
    </w:p>
    <w:p w14:paraId="4C5406F7" w14:textId="5055255B" w:rsidR="009C6860" w:rsidRPr="009C6860" w:rsidRDefault="009C6860" w:rsidP="009C6860">
      <w:pPr>
        <w:shd w:val="clear" w:color="auto" w:fill="FFFFFF"/>
        <w:rPr>
          <w:rFonts w:cs="Arial"/>
          <w:b/>
          <w:i/>
          <w:iCs/>
        </w:rPr>
      </w:pPr>
      <w:r w:rsidRPr="009C6860">
        <w:rPr>
          <w:rFonts w:cs="Arial"/>
          <w:b/>
          <w:iCs/>
        </w:rPr>
        <w:t xml:space="preserve">11. Wyrok z dnia 1 sierpnia 2022 r. w sprawie C-332/20 </w:t>
      </w:r>
      <w:r w:rsidRPr="009C6860">
        <w:rPr>
          <w:rFonts w:cs="Arial"/>
          <w:b/>
          <w:bCs/>
          <w:i/>
          <w:iCs/>
        </w:rPr>
        <w:t>Roma Multiservizi SpA, Rekeep SpA przeciwko Roma Capitale, Autorità Garante della Concorrenza e</w:t>
      </w:r>
      <w:r w:rsidR="009343A1">
        <w:rPr>
          <w:rFonts w:cs="Arial"/>
          <w:b/>
          <w:bCs/>
          <w:i/>
          <w:iCs/>
        </w:rPr>
        <w:t xml:space="preserve"> </w:t>
      </w:r>
      <w:r w:rsidRPr="009C6860">
        <w:rPr>
          <w:rFonts w:cs="Arial"/>
          <w:b/>
          <w:bCs/>
          <w:i/>
          <w:iCs/>
        </w:rPr>
        <w:t>del Mercato</w:t>
      </w:r>
      <w:r w:rsidRPr="009C6860">
        <w:rPr>
          <w:rFonts w:cs="Arial"/>
          <w:b/>
          <w:bCs/>
          <w:iCs/>
        </w:rPr>
        <w:t>, ECLI:EU:C:2022:610</w:t>
      </w:r>
    </w:p>
    <w:p w14:paraId="4E9C0846" w14:textId="77777777" w:rsidR="009C6860" w:rsidRPr="009C6860" w:rsidRDefault="009C6860" w:rsidP="009C6860">
      <w:pPr>
        <w:shd w:val="clear" w:color="auto" w:fill="FFFFFF"/>
        <w:rPr>
          <w:rFonts w:cs="Arial"/>
          <w:iCs/>
        </w:rPr>
      </w:pPr>
      <w:r w:rsidRPr="009C6860">
        <w:rPr>
          <w:rFonts w:cs="Arial"/>
          <w:iCs/>
        </w:rPr>
        <w:t>Sprawa będąca przedmiotem odesłania prejudycjalnego dotyczyła sytuacji, w której dochodzi do powierzenia świadczenia usług mającej powstać spółce publiczno-prywatnej oraz kwestii ustalenia limitów udziału wspólnika prywatnego w takiej spółce.</w:t>
      </w:r>
    </w:p>
    <w:p w14:paraId="52F63767" w14:textId="759F2860" w:rsidR="009C6860" w:rsidRDefault="009C6860" w:rsidP="009C6860">
      <w:pPr>
        <w:shd w:val="clear" w:color="auto" w:fill="FFFFFF"/>
        <w:rPr>
          <w:rFonts w:cs="Arial"/>
          <w:iCs/>
        </w:rPr>
      </w:pPr>
      <w:r w:rsidRPr="009C6860">
        <w:rPr>
          <w:rFonts w:cs="Arial"/>
          <w:iCs/>
        </w:rPr>
        <w:t>Zdaniem Trybunału regulacje art.</w:t>
      </w:r>
      <w:r w:rsidR="009343A1">
        <w:rPr>
          <w:rFonts w:cs="Arial"/>
          <w:iCs/>
        </w:rPr>
        <w:t xml:space="preserve"> </w:t>
      </w:r>
      <w:r w:rsidRPr="009C6860">
        <w:rPr>
          <w:rFonts w:cs="Arial"/>
          <w:iCs/>
        </w:rPr>
        <w:t>58 dyrektywy 2014/24/UE oraz art. 38 dyrektywy 2014/23/UE</w:t>
      </w:r>
      <w:r w:rsidRPr="009C6860">
        <w:rPr>
          <w:rFonts w:cs="Arial"/>
          <w:iCs/>
          <w:vertAlign w:val="superscript"/>
        </w:rPr>
        <w:footnoteReference w:id="28"/>
      </w:r>
      <w:r w:rsidRPr="009C6860">
        <w:rPr>
          <w:rFonts w:cs="Arial"/>
          <w:iCs/>
        </w:rPr>
        <w:t>, należy interpretować w</w:t>
      </w:r>
      <w:r w:rsidR="009343A1">
        <w:rPr>
          <w:rFonts w:cs="Arial"/>
          <w:iCs/>
        </w:rPr>
        <w:t xml:space="preserve"> </w:t>
      </w:r>
      <w:r w:rsidRPr="009C6860">
        <w:rPr>
          <w:rFonts w:cs="Arial"/>
          <w:iCs/>
        </w:rPr>
        <w:t>ten sposób, że instytucja zamawiająca może wykluczyć wykonawcę z</w:t>
      </w:r>
      <w:r w:rsidR="009343A1">
        <w:rPr>
          <w:rFonts w:cs="Arial"/>
          <w:iCs/>
        </w:rPr>
        <w:t xml:space="preserve"> </w:t>
      </w:r>
      <w:r w:rsidRPr="009C6860">
        <w:rPr>
          <w:rFonts w:cs="Arial"/>
          <w:iCs/>
        </w:rPr>
        <w:t>postępowania mającego na celu, po pierwsze, utworzenie spółki z</w:t>
      </w:r>
      <w:r w:rsidR="009343A1">
        <w:rPr>
          <w:rFonts w:cs="Arial"/>
          <w:iCs/>
        </w:rPr>
        <w:t xml:space="preserve"> </w:t>
      </w:r>
      <w:r w:rsidRPr="009C6860">
        <w:rPr>
          <w:rFonts w:cs="Arial"/>
          <w:iCs/>
        </w:rPr>
        <w:t>kapitałem mieszanym, a</w:t>
      </w:r>
      <w:r w:rsidR="009343A1">
        <w:rPr>
          <w:rFonts w:cs="Arial"/>
          <w:iCs/>
        </w:rPr>
        <w:t xml:space="preserve"> </w:t>
      </w:r>
      <w:r w:rsidRPr="009C6860">
        <w:rPr>
          <w:rFonts w:cs="Arial"/>
          <w:iCs/>
        </w:rPr>
        <w:t>po drugie, udzielenie tej spółce zamówienia publicznego na usługi (lub koncesji na usługi), jeżeli wykluczenie to uzasadnione jest przez fakt, iż ze względu na pośredni udział tej instytucji zamawiającej w</w:t>
      </w:r>
      <w:r w:rsidR="009343A1">
        <w:rPr>
          <w:rFonts w:cs="Arial"/>
          <w:iCs/>
        </w:rPr>
        <w:t xml:space="preserve"> </w:t>
      </w:r>
      <w:r w:rsidRPr="009C6860">
        <w:rPr>
          <w:rFonts w:cs="Arial"/>
          <w:iCs/>
        </w:rPr>
        <w:t>kapitale owego wykonawcy maksymalny udział tej instytucji zamawiającej w</w:t>
      </w:r>
      <w:r w:rsidR="009343A1">
        <w:rPr>
          <w:rFonts w:cs="Arial"/>
          <w:iCs/>
        </w:rPr>
        <w:t xml:space="preserve"> </w:t>
      </w:r>
      <w:r w:rsidRPr="009C6860">
        <w:rPr>
          <w:rFonts w:cs="Arial"/>
          <w:iCs/>
        </w:rPr>
        <w:t>kapitale wskazanej spółki, określony przez nią w</w:t>
      </w:r>
      <w:r w:rsidR="009343A1">
        <w:rPr>
          <w:rFonts w:cs="Arial"/>
          <w:iCs/>
        </w:rPr>
        <w:t xml:space="preserve"> </w:t>
      </w:r>
      <w:r w:rsidRPr="009C6860">
        <w:rPr>
          <w:rFonts w:cs="Arial"/>
          <w:iCs/>
        </w:rPr>
        <w:t>dokumentacji przetargowej, zostałby w</w:t>
      </w:r>
      <w:r w:rsidR="009343A1">
        <w:rPr>
          <w:rFonts w:cs="Arial"/>
          <w:iCs/>
        </w:rPr>
        <w:t xml:space="preserve"> </w:t>
      </w:r>
      <w:r w:rsidRPr="009C6860">
        <w:rPr>
          <w:rFonts w:cs="Arial"/>
          <w:iCs/>
        </w:rPr>
        <w:t>rzeczywistości przekroczony, gdyby wybrała ona tego wykonawcę na swojego wspólnika, o</w:t>
      </w:r>
      <w:r w:rsidR="009343A1">
        <w:rPr>
          <w:rFonts w:cs="Arial"/>
          <w:iCs/>
        </w:rPr>
        <w:t xml:space="preserve"> </w:t>
      </w:r>
      <w:r w:rsidRPr="009C6860">
        <w:rPr>
          <w:rFonts w:cs="Arial"/>
          <w:iCs/>
        </w:rPr>
        <w:t xml:space="preserve">ile takie przekroczenie skutkowałoby zwiększeniem ryzyka gospodarczego ponoszonego przez tę instytucję zamawiającą. </w:t>
      </w:r>
    </w:p>
    <w:p w14:paraId="645DE384" w14:textId="77777777" w:rsidR="00BF4B84" w:rsidRPr="009C6860" w:rsidRDefault="00BF4B84" w:rsidP="009C6860">
      <w:pPr>
        <w:shd w:val="clear" w:color="auto" w:fill="FFFFFF"/>
        <w:rPr>
          <w:rFonts w:cs="Arial"/>
          <w:iCs/>
        </w:rPr>
      </w:pPr>
    </w:p>
    <w:p w14:paraId="4AB83951" w14:textId="77777777" w:rsidR="009C6860" w:rsidRPr="009C6860" w:rsidRDefault="009C6860" w:rsidP="009C6860">
      <w:pPr>
        <w:shd w:val="clear" w:color="auto" w:fill="FFFFFF"/>
        <w:rPr>
          <w:rFonts w:cs="Arial"/>
          <w:b/>
          <w:bCs/>
          <w:iCs/>
        </w:rPr>
      </w:pPr>
      <w:r w:rsidRPr="009C6860">
        <w:rPr>
          <w:rFonts w:cs="Arial"/>
          <w:b/>
          <w:iCs/>
        </w:rPr>
        <w:t xml:space="preserve">12. Wyrok z dnia 15 września 2022 r. w sprawie C-669/20 </w:t>
      </w:r>
      <w:r w:rsidRPr="009C6860">
        <w:rPr>
          <w:rFonts w:cs="Arial"/>
          <w:b/>
          <w:bCs/>
          <w:i/>
          <w:iCs/>
        </w:rPr>
        <w:t>Veridos GmbH przeciwko</w:t>
      </w:r>
      <w:r w:rsidRPr="009C6860">
        <w:rPr>
          <w:rFonts w:cs="Arial"/>
          <w:i/>
          <w:iCs/>
        </w:rPr>
        <w:t xml:space="preserve"> </w:t>
      </w:r>
      <w:r w:rsidRPr="009C6860">
        <w:rPr>
          <w:rFonts w:cs="Arial"/>
          <w:b/>
          <w:bCs/>
          <w:i/>
          <w:iCs/>
        </w:rPr>
        <w:t>Ministar na vatreshnite raboti na Republika Bulgaria, Mühlbauer ID Services GmbH – S&amp;T</w:t>
      </w:r>
      <w:r w:rsidRPr="009C6860">
        <w:rPr>
          <w:rFonts w:cs="Arial"/>
          <w:b/>
          <w:bCs/>
          <w:iCs/>
        </w:rPr>
        <w:t>, ECLI:EU:C:2022:684</w:t>
      </w:r>
    </w:p>
    <w:p w14:paraId="187BBC88" w14:textId="3821C55B" w:rsidR="009C6860" w:rsidRPr="009C6860" w:rsidRDefault="009C6860" w:rsidP="009C6860">
      <w:pPr>
        <w:shd w:val="clear" w:color="auto" w:fill="FFFFFF"/>
        <w:rPr>
          <w:rFonts w:cs="Arial"/>
          <w:iCs/>
        </w:rPr>
      </w:pPr>
      <w:r w:rsidRPr="009C6860">
        <w:rPr>
          <w:rFonts w:cs="Arial"/>
          <w:iCs/>
        </w:rPr>
        <w:t xml:space="preserve">W sprawie C-669/20 </w:t>
      </w:r>
      <w:r w:rsidRPr="009C6860">
        <w:rPr>
          <w:rFonts w:cs="Arial"/>
          <w:i/>
          <w:iCs/>
        </w:rPr>
        <w:t>Veridos</w:t>
      </w:r>
      <w:r w:rsidRPr="009C6860">
        <w:rPr>
          <w:rFonts w:cs="Arial"/>
          <w:iCs/>
        </w:rPr>
        <w:t xml:space="preserve"> Trybunał zajął się problematyką badania, na podstawie zasad przejrzystości, niedyskryminacji i</w:t>
      </w:r>
      <w:r w:rsidR="009343A1">
        <w:rPr>
          <w:rFonts w:cs="Arial"/>
          <w:iCs/>
        </w:rPr>
        <w:t xml:space="preserve"> </w:t>
      </w:r>
      <w:r w:rsidRPr="009C6860">
        <w:rPr>
          <w:rFonts w:cs="Arial"/>
          <w:iCs/>
        </w:rPr>
        <w:t>równego traktowania, czy w postępowaniu nie złożono rażąco niskiej oferty.</w:t>
      </w:r>
    </w:p>
    <w:p w14:paraId="5DFC7AA8" w14:textId="564B192D" w:rsidR="009C6860" w:rsidRDefault="009C6860" w:rsidP="009C6860">
      <w:pPr>
        <w:shd w:val="clear" w:color="auto" w:fill="FFFFFF"/>
        <w:rPr>
          <w:rFonts w:cs="Arial"/>
          <w:iCs/>
        </w:rPr>
      </w:pPr>
      <w:r w:rsidRPr="009C6860">
        <w:rPr>
          <w:rFonts w:cs="Arial"/>
          <w:iCs/>
        </w:rPr>
        <w:t>Trybunał orzekł, że art.</w:t>
      </w:r>
      <w:r w:rsidR="009343A1">
        <w:rPr>
          <w:rFonts w:cs="Arial"/>
          <w:iCs/>
        </w:rPr>
        <w:t xml:space="preserve"> </w:t>
      </w:r>
      <w:r w:rsidRPr="009C6860">
        <w:rPr>
          <w:rFonts w:cs="Arial"/>
          <w:iCs/>
        </w:rPr>
        <w:t>38 i</w:t>
      </w:r>
      <w:r w:rsidR="009343A1">
        <w:rPr>
          <w:rFonts w:cs="Arial"/>
          <w:iCs/>
        </w:rPr>
        <w:t xml:space="preserve"> </w:t>
      </w:r>
      <w:r w:rsidRPr="009C6860">
        <w:rPr>
          <w:rFonts w:cs="Arial"/>
          <w:iCs/>
        </w:rPr>
        <w:t>49 dyrektywy Parlamentu Europejskiego i</w:t>
      </w:r>
      <w:r w:rsidR="009343A1">
        <w:rPr>
          <w:rFonts w:cs="Arial"/>
          <w:iCs/>
        </w:rPr>
        <w:t xml:space="preserve"> </w:t>
      </w:r>
      <w:r w:rsidRPr="009C6860">
        <w:rPr>
          <w:rFonts w:cs="Arial"/>
          <w:iCs/>
        </w:rPr>
        <w:t>Rady 2009/81/WE</w:t>
      </w:r>
      <w:r w:rsidRPr="009C6860">
        <w:rPr>
          <w:rFonts w:cs="Arial"/>
          <w:iCs/>
          <w:vertAlign w:val="superscript"/>
        </w:rPr>
        <w:footnoteReference w:id="29"/>
      </w:r>
      <w:r w:rsidRPr="009C6860">
        <w:rPr>
          <w:rFonts w:cs="Arial"/>
          <w:iCs/>
        </w:rPr>
        <w:t xml:space="preserve"> należy interpretować w</w:t>
      </w:r>
      <w:r w:rsidR="009343A1">
        <w:rPr>
          <w:rFonts w:cs="Arial"/>
          <w:iCs/>
        </w:rPr>
        <w:t xml:space="preserve"> </w:t>
      </w:r>
      <w:r w:rsidRPr="009C6860">
        <w:rPr>
          <w:rFonts w:cs="Arial"/>
          <w:iCs/>
        </w:rPr>
        <w:t>ten sposób, że zamawiający, w</w:t>
      </w:r>
      <w:r w:rsidR="009343A1">
        <w:rPr>
          <w:rFonts w:cs="Arial"/>
          <w:iCs/>
        </w:rPr>
        <w:t xml:space="preserve"> </w:t>
      </w:r>
      <w:r w:rsidRPr="009C6860">
        <w:rPr>
          <w:rFonts w:cs="Arial"/>
          <w:iCs/>
        </w:rPr>
        <w:t>przypadku podejrzenia, że oferta jest rażąco niska, są zobowiązani zweryfikować, czy oferta ma rzeczywiście taki charakter, uwzględniając wszystkie istotne elementy przetargu i</w:t>
      </w:r>
      <w:r w:rsidR="009343A1">
        <w:rPr>
          <w:rFonts w:cs="Arial"/>
          <w:iCs/>
        </w:rPr>
        <w:t xml:space="preserve"> </w:t>
      </w:r>
      <w:r w:rsidRPr="009C6860">
        <w:rPr>
          <w:rFonts w:cs="Arial"/>
          <w:iCs/>
        </w:rPr>
        <w:t>specyfikacji istotnych warunków zamówienia, przy czym brak możliwości zastosowania kryteriów przewidzianych w</w:t>
      </w:r>
      <w:r w:rsidR="009343A1">
        <w:rPr>
          <w:rFonts w:cs="Arial"/>
          <w:iCs/>
        </w:rPr>
        <w:t xml:space="preserve"> </w:t>
      </w:r>
      <w:r w:rsidRPr="009C6860">
        <w:rPr>
          <w:rFonts w:cs="Arial"/>
          <w:iCs/>
        </w:rPr>
        <w:t>tym celu przez ustawodawstwo krajowe i</w:t>
      </w:r>
      <w:r w:rsidR="009343A1">
        <w:rPr>
          <w:rFonts w:cs="Arial"/>
          <w:iCs/>
        </w:rPr>
        <w:t xml:space="preserve"> </w:t>
      </w:r>
      <w:r w:rsidRPr="009C6860">
        <w:rPr>
          <w:rFonts w:cs="Arial"/>
          <w:iCs/>
        </w:rPr>
        <w:t>liczba złożonych ofert nie mają w</w:t>
      </w:r>
      <w:r w:rsidR="009343A1">
        <w:rPr>
          <w:rFonts w:cs="Arial"/>
          <w:iCs/>
        </w:rPr>
        <w:t xml:space="preserve"> </w:t>
      </w:r>
      <w:r w:rsidRPr="009C6860">
        <w:rPr>
          <w:rFonts w:cs="Arial"/>
          <w:iCs/>
        </w:rPr>
        <w:t>tym względzie znaczenia. Trybunał stwierdził ponadto, że art.</w:t>
      </w:r>
      <w:r w:rsidR="009343A1">
        <w:rPr>
          <w:rFonts w:cs="Arial"/>
          <w:iCs/>
        </w:rPr>
        <w:t xml:space="preserve"> </w:t>
      </w:r>
      <w:r w:rsidRPr="009C6860">
        <w:rPr>
          <w:rFonts w:cs="Arial"/>
          <w:iCs/>
        </w:rPr>
        <w:t>55 ust.</w:t>
      </w:r>
      <w:r w:rsidR="009343A1">
        <w:rPr>
          <w:rFonts w:cs="Arial"/>
          <w:iCs/>
        </w:rPr>
        <w:t xml:space="preserve"> </w:t>
      </w:r>
      <w:r w:rsidRPr="009C6860">
        <w:rPr>
          <w:rFonts w:cs="Arial"/>
          <w:iCs/>
        </w:rPr>
        <w:t>2 dyrektywy 2009/81/WE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art.</w:t>
      </w:r>
      <w:r w:rsidR="009343A1">
        <w:rPr>
          <w:rFonts w:cs="Arial"/>
          <w:iCs/>
        </w:rPr>
        <w:t xml:space="preserve"> </w:t>
      </w:r>
      <w:r w:rsidRPr="009C6860">
        <w:rPr>
          <w:rFonts w:cs="Arial"/>
          <w:iCs/>
        </w:rPr>
        <w:t>47 Karty praw podstawowych należy interpretować w</w:t>
      </w:r>
      <w:r w:rsidR="009343A1">
        <w:rPr>
          <w:rFonts w:cs="Arial"/>
          <w:iCs/>
        </w:rPr>
        <w:t xml:space="preserve"> </w:t>
      </w:r>
      <w:r w:rsidRPr="009C6860">
        <w:rPr>
          <w:rFonts w:cs="Arial"/>
          <w:iCs/>
        </w:rPr>
        <w:t>ten sposób, że jeżeli instytucja zamawiająca nie wszczęła postępowania sprawdzającego dotyczącego tego, czy dana oferta nie jest ewentualnie rażąco niska, a</w:t>
      </w:r>
      <w:r w:rsidR="009343A1">
        <w:rPr>
          <w:rFonts w:cs="Arial"/>
          <w:iCs/>
        </w:rPr>
        <w:t xml:space="preserve"> </w:t>
      </w:r>
      <w:r w:rsidRPr="009C6860">
        <w:rPr>
          <w:rFonts w:cs="Arial"/>
          <w:iCs/>
        </w:rPr>
        <w:t>to ze względu na to, że uznała, iż żadna z</w:t>
      </w:r>
      <w:r w:rsidR="009343A1">
        <w:rPr>
          <w:rFonts w:cs="Arial"/>
          <w:iCs/>
        </w:rPr>
        <w:t xml:space="preserve"> </w:t>
      </w:r>
      <w:r w:rsidRPr="009C6860">
        <w:rPr>
          <w:rFonts w:cs="Arial"/>
          <w:iCs/>
        </w:rPr>
        <w:t>przedłożonych jej ofert nie ma takiego charakteru, jej ocena może być przedmiotem kontroli sądowej w</w:t>
      </w:r>
      <w:r w:rsidR="009343A1">
        <w:rPr>
          <w:rFonts w:cs="Arial"/>
          <w:iCs/>
        </w:rPr>
        <w:t xml:space="preserve"> </w:t>
      </w:r>
      <w:r w:rsidRPr="009C6860">
        <w:rPr>
          <w:rFonts w:cs="Arial"/>
          <w:iCs/>
        </w:rPr>
        <w:t>ramach odwołania od decyzji o</w:t>
      </w:r>
      <w:r w:rsidR="009343A1">
        <w:rPr>
          <w:rFonts w:cs="Arial"/>
          <w:iCs/>
        </w:rPr>
        <w:t xml:space="preserve"> </w:t>
      </w:r>
      <w:r w:rsidRPr="009C6860">
        <w:rPr>
          <w:rFonts w:cs="Arial"/>
          <w:iCs/>
        </w:rPr>
        <w:t>udzieleniu danego zamówienia.</w:t>
      </w:r>
    </w:p>
    <w:p w14:paraId="493CD54A" w14:textId="77777777" w:rsidR="00BF4B84" w:rsidRPr="009C6860" w:rsidRDefault="00BF4B84" w:rsidP="009C6860">
      <w:pPr>
        <w:shd w:val="clear" w:color="auto" w:fill="FFFFFF"/>
        <w:rPr>
          <w:rFonts w:cs="Arial"/>
          <w:iCs/>
        </w:rPr>
      </w:pPr>
    </w:p>
    <w:p w14:paraId="39FA6349" w14:textId="286EFDED" w:rsidR="009C6860" w:rsidRPr="009C6860" w:rsidRDefault="009C6860" w:rsidP="009C6860">
      <w:pPr>
        <w:shd w:val="clear" w:color="auto" w:fill="FFFFFF"/>
        <w:rPr>
          <w:rFonts w:cs="Arial"/>
          <w:b/>
          <w:i/>
          <w:iCs/>
        </w:rPr>
      </w:pPr>
      <w:r w:rsidRPr="009C6860">
        <w:rPr>
          <w:rFonts w:cs="Arial"/>
          <w:b/>
          <w:iCs/>
        </w:rPr>
        <w:t xml:space="preserve">13. Wyrok z dnia 15 września 2022 r. w sprawie C-416/21 </w:t>
      </w:r>
      <w:r w:rsidRPr="009C6860">
        <w:rPr>
          <w:rFonts w:cs="Arial"/>
          <w:b/>
          <w:bCs/>
          <w:i/>
          <w:iCs/>
        </w:rPr>
        <w:t>Landkreis Aichach-Friedberg przeciwko</w:t>
      </w:r>
      <w:r w:rsidRPr="009C6860">
        <w:rPr>
          <w:rFonts w:cs="Arial"/>
          <w:i/>
          <w:iCs/>
        </w:rPr>
        <w:t xml:space="preserve"> </w:t>
      </w:r>
      <w:r w:rsidRPr="009C6860">
        <w:rPr>
          <w:rFonts w:cs="Arial"/>
          <w:b/>
          <w:bCs/>
          <w:i/>
          <w:iCs/>
        </w:rPr>
        <w:t>J.</w:t>
      </w:r>
      <w:r w:rsidR="009343A1">
        <w:rPr>
          <w:rFonts w:cs="Arial"/>
          <w:b/>
          <w:bCs/>
          <w:i/>
          <w:iCs/>
        </w:rPr>
        <w:t xml:space="preserve"> </w:t>
      </w:r>
      <w:r w:rsidRPr="009C6860">
        <w:rPr>
          <w:rFonts w:cs="Arial"/>
          <w:b/>
          <w:bCs/>
          <w:i/>
          <w:iCs/>
        </w:rPr>
        <w:t>Sch. Omnibusunternehmen, K.</w:t>
      </w:r>
      <w:r w:rsidR="009343A1">
        <w:rPr>
          <w:rFonts w:cs="Arial"/>
          <w:b/>
          <w:bCs/>
          <w:i/>
          <w:iCs/>
        </w:rPr>
        <w:t xml:space="preserve"> </w:t>
      </w:r>
      <w:r w:rsidRPr="009C6860">
        <w:rPr>
          <w:rFonts w:cs="Arial"/>
          <w:b/>
          <w:bCs/>
          <w:i/>
          <w:iCs/>
        </w:rPr>
        <w:t>Reisen GmbH</w:t>
      </w:r>
      <w:r w:rsidRPr="009C6860">
        <w:rPr>
          <w:rFonts w:cs="Arial"/>
          <w:b/>
          <w:bCs/>
          <w:iCs/>
        </w:rPr>
        <w:t>, ECLI:EU:C:2022:689</w:t>
      </w:r>
    </w:p>
    <w:p w14:paraId="55BFC2B5" w14:textId="77777777" w:rsidR="009C6860" w:rsidRPr="009C6860" w:rsidRDefault="009C6860" w:rsidP="009C6860">
      <w:pPr>
        <w:shd w:val="clear" w:color="auto" w:fill="FFFFFF"/>
        <w:rPr>
          <w:rFonts w:cs="Arial"/>
          <w:b/>
          <w:iCs/>
        </w:rPr>
      </w:pPr>
      <w:r w:rsidRPr="009C6860">
        <w:rPr>
          <w:rFonts w:cs="Arial"/>
          <w:iCs/>
        </w:rPr>
        <w:t>W sprawie C-416/21</w:t>
      </w:r>
      <w:r w:rsidRPr="009C6860">
        <w:rPr>
          <w:rFonts w:cs="Arial"/>
          <w:i/>
          <w:iCs/>
        </w:rPr>
        <w:t xml:space="preserve"> J. Sch. Omnibusunternehmen et K. Reisen</w:t>
      </w:r>
      <w:r w:rsidRPr="009C6860">
        <w:rPr>
          <w:rFonts w:cs="Arial"/>
          <w:b/>
          <w:bCs/>
          <w:i/>
          <w:iCs/>
        </w:rPr>
        <w:t xml:space="preserve"> </w:t>
      </w:r>
      <w:r w:rsidRPr="009C6860">
        <w:rPr>
          <w:rFonts w:cs="Arial"/>
          <w:bCs/>
          <w:iCs/>
        </w:rPr>
        <w:t xml:space="preserve">Trybunał zajął się problematyką </w:t>
      </w:r>
      <w:r w:rsidRPr="009C6860">
        <w:rPr>
          <w:rFonts w:cs="Arial"/>
          <w:iCs/>
        </w:rPr>
        <w:t xml:space="preserve">wykluczenia wykonawców, którzy tworzą wspólną jednostkę gospodarczą i w uzgodnieniu składają odrębne oferty. </w:t>
      </w:r>
    </w:p>
    <w:p w14:paraId="389D75C4" w14:textId="22D3F9AE" w:rsidR="009C6860" w:rsidRDefault="009C6860" w:rsidP="009C6860">
      <w:pPr>
        <w:shd w:val="clear" w:color="auto" w:fill="FFFFFF"/>
        <w:rPr>
          <w:rFonts w:cs="Arial"/>
          <w:iCs/>
        </w:rPr>
      </w:pPr>
      <w:r w:rsidRPr="009C6860">
        <w:rPr>
          <w:rFonts w:cs="Arial"/>
          <w:iCs/>
        </w:rPr>
        <w:t>Trybunał orzekł, że art.</w:t>
      </w:r>
      <w:r w:rsidR="009343A1">
        <w:rPr>
          <w:rFonts w:cs="Arial"/>
          <w:iCs/>
        </w:rPr>
        <w:t xml:space="preserve"> </w:t>
      </w:r>
      <w:r w:rsidRPr="009C6860">
        <w:rPr>
          <w:rFonts w:cs="Arial"/>
          <w:iCs/>
        </w:rPr>
        <w:t>57 ust.</w:t>
      </w:r>
      <w:r w:rsidR="009343A1">
        <w:rPr>
          <w:rFonts w:cs="Arial"/>
          <w:iCs/>
        </w:rPr>
        <w:t xml:space="preserve"> </w:t>
      </w:r>
      <w:r w:rsidRPr="009C6860">
        <w:rPr>
          <w:rFonts w:cs="Arial"/>
          <w:iCs/>
        </w:rPr>
        <w:t>4 akapit pierwszy lit.</w:t>
      </w:r>
      <w:r w:rsidR="009343A1">
        <w:rPr>
          <w:rFonts w:cs="Arial"/>
          <w:iCs/>
        </w:rPr>
        <w:t xml:space="preserve"> </w:t>
      </w:r>
      <w:r w:rsidRPr="009C6860">
        <w:rPr>
          <w:rFonts w:cs="Arial"/>
          <w:iCs/>
        </w:rPr>
        <w:t>d) dyrektywy 2014/24/UE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art.</w:t>
      </w:r>
      <w:r w:rsidR="009343A1">
        <w:rPr>
          <w:rFonts w:cs="Arial"/>
          <w:iCs/>
        </w:rPr>
        <w:t xml:space="preserve"> </w:t>
      </w:r>
      <w:r w:rsidRPr="009C6860">
        <w:rPr>
          <w:rFonts w:cs="Arial"/>
          <w:iCs/>
        </w:rPr>
        <w:t>80 ust.</w:t>
      </w:r>
      <w:r w:rsidR="009343A1">
        <w:rPr>
          <w:rFonts w:cs="Arial"/>
          <w:iCs/>
        </w:rPr>
        <w:t xml:space="preserve"> </w:t>
      </w:r>
      <w:r w:rsidRPr="009C6860">
        <w:rPr>
          <w:rFonts w:cs="Arial"/>
          <w:iCs/>
        </w:rPr>
        <w:t>1 akapit trzeci dyrektywy 2014/25/UE</w:t>
      </w:r>
      <w:r w:rsidRPr="009C6860">
        <w:rPr>
          <w:rFonts w:cs="Arial"/>
          <w:iCs/>
          <w:vertAlign w:val="superscript"/>
        </w:rPr>
        <w:footnoteReference w:id="30"/>
      </w:r>
      <w:r w:rsidRPr="009C6860">
        <w:rPr>
          <w:rFonts w:cs="Arial"/>
          <w:iCs/>
        </w:rPr>
        <w:t xml:space="preserve"> należy interpretować w</w:t>
      </w:r>
      <w:r w:rsidR="009343A1">
        <w:rPr>
          <w:rFonts w:cs="Arial"/>
          <w:iCs/>
        </w:rPr>
        <w:t xml:space="preserve"> </w:t>
      </w:r>
      <w:r w:rsidRPr="009C6860">
        <w:rPr>
          <w:rFonts w:cs="Arial"/>
          <w:iCs/>
        </w:rPr>
        <w:t>ten sposób, że fakultatywna podstawa wykluczenia określona w</w:t>
      </w:r>
      <w:r w:rsidR="009343A1">
        <w:rPr>
          <w:rFonts w:cs="Arial"/>
          <w:iCs/>
        </w:rPr>
        <w:t xml:space="preserve"> </w:t>
      </w:r>
      <w:r w:rsidRPr="009C6860">
        <w:rPr>
          <w:rFonts w:cs="Arial"/>
          <w:iCs/>
        </w:rPr>
        <w:t>art.</w:t>
      </w:r>
      <w:r w:rsidR="009343A1">
        <w:rPr>
          <w:rFonts w:cs="Arial"/>
          <w:iCs/>
        </w:rPr>
        <w:t xml:space="preserve"> </w:t>
      </w:r>
      <w:r w:rsidRPr="009C6860">
        <w:rPr>
          <w:rFonts w:cs="Arial"/>
          <w:iCs/>
        </w:rPr>
        <w:t>57 ust.</w:t>
      </w:r>
      <w:r w:rsidR="009343A1">
        <w:rPr>
          <w:rFonts w:cs="Arial"/>
          <w:iCs/>
        </w:rPr>
        <w:t xml:space="preserve"> </w:t>
      </w:r>
      <w:r w:rsidRPr="009C6860">
        <w:rPr>
          <w:rFonts w:cs="Arial"/>
          <w:iCs/>
        </w:rPr>
        <w:t>4 akapit pierwszy lit.</w:t>
      </w:r>
      <w:r w:rsidR="009343A1">
        <w:rPr>
          <w:rFonts w:cs="Arial"/>
          <w:iCs/>
        </w:rPr>
        <w:t xml:space="preserve"> </w:t>
      </w:r>
      <w:r w:rsidRPr="009C6860">
        <w:rPr>
          <w:rFonts w:cs="Arial"/>
          <w:iCs/>
        </w:rPr>
        <w:t>d) dotyczy sytuacji, w</w:t>
      </w:r>
      <w:r w:rsidR="009343A1">
        <w:rPr>
          <w:rFonts w:cs="Arial"/>
          <w:iCs/>
        </w:rPr>
        <w:t xml:space="preserve"> </w:t>
      </w:r>
      <w:r w:rsidRPr="009C6860">
        <w:rPr>
          <w:rFonts w:cs="Arial"/>
          <w:iCs/>
        </w:rPr>
        <w:t>których istnieją wystarczająco wiarygodne przesłanki pozwalające uznać, że wykonawcy zawarli porozumienie zakazane na mocy art.</w:t>
      </w:r>
      <w:r w:rsidR="009343A1">
        <w:rPr>
          <w:rFonts w:cs="Arial"/>
          <w:iCs/>
        </w:rPr>
        <w:t xml:space="preserve"> </w:t>
      </w:r>
      <w:r w:rsidRPr="009C6860">
        <w:rPr>
          <w:rFonts w:cs="Arial"/>
          <w:iCs/>
        </w:rPr>
        <w:t>101</w:t>
      </w:r>
      <w:r w:rsidR="009343A1">
        <w:rPr>
          <w:rFonts w:cs="Arial"/>
          <w:iCs/>
        </w:rPr>
        <w:t xml:space="preserve"> </w:t>
      </w:r>
      <w:r w:rsidRPr="009C6860">
        <w:rPr>
          <w:rFonts w:cs="Arial"/>
          <w:iCs/>
        </w:rPr>
        <w:t>TFUE, lecz nie jest ograniczona jedynie do porozumień, o</w:t>
      </w:r>
      <w:r w:rsidR="009343A1">
        <w:rPr>
          <w:rFonts w:cs="Arial"/>
          <w:iCs/>
        </w:rPr>
        <w:t xml:space="preserve"> </w:t>
      </w:r>
      <w:r w:rsidRPr="009C6860">
        <w:rPr>
          <w:rFonts w:cs="Arial"/>
          <w:iCs/>
        </w:rPr>
        <w:t>których mowa w</w:t>
      </w:r>
      <w:r w:rsidR="009343A1">
        <w:rPr>
          <w:rFonts w:cs="Arial"/>
          <w:iCs/>
        </w:rPr>
        <w:t xml:space="preserve"> </w:t>
      </w:r>
      <w:r w:rsidRPr="009C6860">
        <w:rPr>
          <w:rFonts w:cs="Arial"/>
          <w:iCs/>
        </w:rPr>
        <w:t>tym postanowieniu. Trybunał doszedł także do wniosku, że art.</w:t>
      </w:r>
      <w:r w:rsidR="009343A1">
        <w:rPr>
          <w:rFonts w:cs="Arial"/>
          <w:iCs/>
        </w:rPr>
        <w:t xml:space="preserve"> </w:t>
      </w:r>
      <w:r w:rsidRPr="009C6860">
        <w:rPr>
          <w:rFonts w:cs="Arial"/>
          <w:iCs/>
        </w:rPr>
        <w:t>57 ust.</w:t>
      </w:r>
      <w:r w:rsidR="009343A1">
        <w:rPr>
          <w:rFonts w:cs="Arial"/>
          <w:iCs/>
        </w:rPr>
        <w:t xml:space="preserve"> </w:t>
      </w:r>
      <w:r w:rsidRPr="009C6860">
        <w:rPr>
          <w:rFonts w:cs="Arial"/>
          <w:iCs/>
        </w:rPr>
        <w:t>4 dyrektywy 2014/24/UE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art.</w:t>
      </w:r>
      <w:r w:rsidR="009343A1">
        <w:rPr>
          <w:rFonts w:cs="Arial"/>
          <w:iCs/>
        </w:rPr>
        <w:t xml:space="preserve"> </w:t>
      </w:r>
      <w:r w:rsidRPr="009C6860">
        <w:rPr>
          <w:rFonts w:cs="Arial"/>
          <w:iCs/>
        </w:rPr>
        <w:t>80 ust.</w:t>
      </w:r>
      <w:r w:rsidR="009343A1">
        <w:rPr>
          <w:rFonts w:cs="Arial"/>
          <w:iCs/>
        </w:rPr>
        <w:t xml:space="preserve"> </w:t>
      </w:r>
      <w:r w:rsidRPr="009C6860">
        <w:rPr>
          <w:rFonts w:cs="Arial"/>
          <w:iCs/>
        </w:rPr>
        <w:t>1 akapit trzeci dyrektywy 2014/25/UE należy interpretować w</w:t>
      </w:r>
      <w:r w:rsidR="009343A1">
        <w:rPr>
          <w:rFonts w:cs="Arial"/>
          <w:iCs/>
        </w:rPr>
        <w:t xml:space="preserve"> </w:t>
      </w:r>
      <w:r w:rsidRPr="009C6860">
        <w:rPr>
          <w:rFonts w:cs="Arial"/>
          <w:iCs/>
        </w:rPr>
        <w:t>ten sposób, że art.</w:t>
      </w:r>
      <w:r w:rsidR="009343A1">
        <w:rPr>
          <w:rFonts w:cs="Arial"/>
          <w:iCs/>
        </w:rPr>
        <w:t xml:space="preserve"> </w:t>
      </w:r>
      <w:r w:rsidRPr="009C6860">
        <w:rPr>
          <w:rFonts w:cs="Arial"/>
          <w:iCs/>
        </w:rPr>
        <w:t>57 ust.</w:t>
      </w:r>
      <w:r w:rsidR="009343A1">
        <w:rPr>
          <w:rFonts w:cs="Arial"/>
          <w:iCs/>
        </w:rPr>
        <w:t xml:space="preserve"> </w:t>
      </w:r>
      <w:r w:rsidRPr="009C6860">
        <w:rPr>
          <w:rFonts w:cs="Arial"/>
          <w:iCs/>
        </w:rPr>
        <w:t>4 reguluje w</w:t>
      </w:r>
      <w:r w:rsidR="009343A1">
        <w:rPr>
          <w:rFonts w:cs="Arial"/>
          <w:iCs/>
        </w:rPr>
        <w:t xml:space="preserve"> </w:t>
      </w:r>
      <w:r w:rsidRPr="009C6860">
        <w:rPr>
          <w:rFonts w:cs="Arial"/>
          <w:iCs/>
        </w:rPr>
        <w:t>sposób wyczerpujący fakultatywne podstawy wykluczenia mogące uzasadniać wykluczenie wykonawcy z</w:t>
      </w:r>
      <w:r w:rsidR="009343A1">
        <w:rPr>
          <w:rFonts w:cs="Arial"/>
          <w:iCs/>
        </w:rPr>
        <w:t xml:space="preserve"> </w:t>
      </w:r>
      <w:r w:rsidRPr="009C6860">
        <w:rPr>
          <w:rFonts w:cs="Arial"/>
          <w:iCs/>
        </w:rPr>
        <w:t>udziału w</w:t>
      </w:r>
      <w:r w:rsidR="009343A1">
        <w:rPr>
          <w:rFonts w:cs="Arial"/>
          <w:iCs/>
        </w:rPr>
        <w:t xml:space="preserve"> </w:t>
      </w:r>
      <w:r w:rsidRPr="009C6860">
        <w:rPr>
          <w:rFonts w:cs="Arial"/>
          <w:iCs/>
        </w:rPr>
        <w:t>postępowaniu o</w:t>
      </w:r>
      <w:r w:rsidR="009343A1">
        <w:rPr>
          <w:rFonts w:cs="Arial"/>
          <w:iCs/>
        </w:rPr>
        <w:t xml:space="preserve"> </w:t>
      </w:r>
      <w:r w:rsidRPr="009C6860">
        <w:rPr>
          <w:rFonts w:cs="Arial"/>
          <w:iCs/>
        </w:rPr>
        <w:t>udzielenie zamówienia ze względów wynikających z</w:t>
      </w:r>
      <w:r w:rsidR="009343A1">
        <w:rPr>
          <w:rFonts w:cs="Arial"/>
          <w:iCs/>
        </w:rPr>
        <w:t xml:space="preserve"> </w:t>
      </w:r>
      <w:r w:rsidRPr="009C6860">
        <w:rPr>
          <w:rFonts w:cs="Arial"/>
          <w:iCs/>
        </w:rPr>
        <w:t>obiektywnych okoliczności dotyczących jego cech zawodowych oraz konfliktu interesów lub zakłócenia konkurencji, które mogłyby wynikać z</w:t>
      </w:r>
      <w:r w:rsidR="009343A1">
        <w:rPr>
          <w:rFonts w:cs="Arial"/>
          <w:iCs/>
        </w:rPr>
        <w:t xml:space="preserve"> </w:t>
      </w:r>
      <w:r w:rsidRPr="009C6860">
        <w:rPr>
          <w:rFonts w:cs="Arial"/>
          <w:iCs/>
        </w:rPr>
        <w:t>jego udziału w</w:t>
      </w:r>
      <w:r w:rsidR="009343A1">
        <w:rPr>
          <w:rFonts w:cs="Arial"/>
          <w:iCs/>
        </w:rPr>
        <w:t xml:space="preserve"> </w:t>
      </w:r>
      <w:r w:rsidRPr="009C6860">
        <w:rPr>
          <w:rFonts w:cs="Arial"/>
          <w:iCs/>
        </w:rPr>
        <w:t>przygotowaniu tego postępowania. Niemniej wskazany przepis nie wyklucza możliwości, by zasada równego traktowania, o</w:t>
      </w:r>
      <w:r w:rsidR="009343A1">
        <w:rPr>
          <w:rFonts w:cs="Arial"/>
          <w:iCs/>
        </w:rPr>
        <w:t xml:space="preserve"> </w:t>
      </w:r>
      <w:r w:rsidRPr="009C6860">
        <w:rPr>
          <w:rFonts w:cs="Arial"/>
          <w:iCs/>
        </w:rPr>
        <w:t>której mowa w</w:t>
      </w:r>
      <w:r w:rsidR="009343A1">
        <w:rPr>
          <w:rFonts w:cs="Arial"/>
          <w:iCs/>
        </w:rPr>
        <w:t xml:space="preserve"> </w:t>
      </w:r>
      <w:r w:rsidRPr="009C6860">
        <w:rPr>
          <w:rFonts w:cs="Arial"/>
          <w:iCs/>
        </w:rPr>
        <w:t>art.</w:t>
      </w:r>
      <w:r w:rsidR="009343A1">
        <w:rPr>
          <w:rFonts w:cs="Arial"/>
          <w:iCs/>
        </w:rPr>
        <w:t xml:space="preserve"> </w:t>
      </w:r>
      <w:r w:rsidRPr="009C6860">
        <w:rPr>
          <w:rFonts w:cs="Arial"/>
          <w:iCs/>
        </w:rPr>
        <w:t>36 ust.</w:t>
      </w:r>
      <w:r w:rsidR="009343A1">
        <w:rPr>
          <w:rFonts w:cs="Arial"/>
          <w:iCs/>
        </w:rPr>
        <w:t xml:space="preserve"> </w:t>
      </w:r>
      <w:r w:rsidRPr="009C6860">
        <w:rPr>
          <w:rFonts w:cs="Arial"/>
          <w:iCs/>
        </w:rPr>
        <w:t>1 dyrektywy 2014/25/UE, stała na przeszkodzie udzieleniu danego zamówienia wykonawcom, którzy tworzą jednostkę gospodarczą, a</w:t>
      </w:r>
      <w:r w:rsidR="009343A1">
        <w:rPr>
          <w:rFonts w:cs="Arial"/>
          <w:iCs/>
        </w:rPr>
        <w:t xml:space="preserve"> </w:t>
      </w:r>
      <w:r w:rsidRPr="009C6860">
        <w:rPr>
          <w:rFonts w:cs="Arial"/>
          <w:iCs/>
        </w:rPr>
        <w:t>których oferty, mimo iż złożyli je oddzielnie, nie są samodzielne ani niezależne.</w:t>
      </w:r>
    </w:p>
    <w:p w14:paraId="54CFAB3B" w14:textId="77777777" w:rsidR="00BF4B84" w:rsidRPr="009C6860" w:rsidRDefault="00BF4B84" w:rsidP="009C6860">
      <w:pPr>
        <w:shd w:val="clear" w:color="auto" w:fill="FFFFFF"/>
        <w:rPr>
          <w:rFonts w:cs="Arial"/>
          <w:iCs/>
        </w:rPr>
      </w:pPr>
    </w:p>
    <w:p w14:paraId="0BBBBC25" w14:textId="77777777" w:rsidR="009C6860" w:rsidRPr="009C6860" w:rsidRDefault="009C6860" w:rsidP="009C6860">
      <w:pPr>
        <w:shd w:val="clear" w:color="auto" w:fill="FFFFFF"/>
        <w:rPr>
          <w:rFonts w:cs="Arial"/>
          <w:b/>
          <w:bCs/>
          <w:i/>
          <w:iCs/>
        </w:rPr>
      </w:pPr>
      <w:r w:rsidRPr="009C6860">
        <w:rPr>
          <w:rFonts w:cs="Arial"/>
          <w:b/>
          <w:bCs/>
          <w:iCs/>
        </w:rPr>
        <w:t xml:space="preserve">14. Postanowienie z dnia 30 września 2022 r. w sprawie C-592/21 </w:t>
      </w:r>
      <w:r w:rsidRPr="009C6860">
        <w:rPr>
          <w:rFonts w:cs="Arial"/>
          <w:b/>
          <w:bCs/>
          <w:i/>
          <w:iCs/>
        </w:rPr>
        <w:t>«ĒDIENS &amp; KM.LV» PS przeciwko Ieslodzījuma vietu pārvalde, Iepirkumu uzraudzības birojs</w:t>
      </w:r>
      <w:r w:rsidRPr="009C6860">
        <w:rPr>
          <w:rFonts w:cs="Arial"/>
          <w:b/>
          <w:bCs/>
          <w:iCs/>
        </w:rPr>
        <w:t>, ECLI:EU:C:2022:746</w:t>
      </w:r>
    </w:p>
    <w:p w14:paraId="3C2D860C" w14:textId="77777777" w:rsidR="009C6860" w:rsidRPr="009C6860" w:rsidRDefault="009C6860" w:rsidP="009C6860">
      <w:pPr>
        <w:shd w:val="clear" w:color="auto" w:fill="FFFFFF"/>
        <w:rPr>
          <w:rFonts w:cs="Arial"/>
          <w:iCs/>
        </w:rPr>
      </w:pPr>
      <w:r w:rsidRPr="009C6860">
        <w:rPr>
          <w:rFonts w:cs="Arial"/>
          <w:iCs/>
        </w:rPr>
        <w:t xml:space="preserve">Przedmiotem sprawy była kwestia polegania przez wykonawcę będącego stowarzyszeniem osób na zdolnościach swoich członków. </w:t>
      </w:r>
    </w:p>
    <w:p w14:paraId="397C5373" w14:textId="3DE8DD03" w:rsidR="009C6860" w:rsidRDefault="009C6860" w:rsidP="009C6860">
      <w:pPr>
        <w:shd w:val="clear" w:color="auto" w:fill="FFFFFF"/>
        <w:rPr>
          <w:rFonts w:cs="Arial"/>
          <w:iCs/>
        </w:rPr>
      </w:pPr>
      <w:r w:rsidRPr="009C6860">
        <w:rPr>
          <w:rFonts w:cs="Arial"/>
          <w:iCs/>
        </w:rPr>
        <w:t>W postanowieniu kończącym postępowanie w sprawie Trybunał wskazał, że art. 63 ust. 1 dyrektywy 2014/24/UE w związku z jej art. 59 należy interpretować w ten sposób, że jeżeli zostanie wykazane, iż w przypadku udzielenia zamówienia publicznego na usługi grupie wykonawców wykonywanie działalności, w odniesieniu do której wymagane jest doświadczenie, zostanie powierzone jednemu członkowi grupy, grupa uczestnicząca w przetargu może powołać się w celu wykazania, że spełnia warunek dotyczący doświadczenia określony przez instytucję zamawiającą zgodnie z art. 58 ust. 4 tej dyrektywy, jedynie na doświadczenie wspomnianego członka tej grupy, nawet jeśli dokumentacja przetargowa nie określa wyraźnie, że członkowie tej grupy wykonawców muszą spełnić ten warunek indywidualnie.</w:t>
      </w:r>
    </w:p>
    <w:p w14:paraId="2973891E" w14:textId="77777777" w:rsidR="00BF4B84" w:rsidRPr="009C6860" w:rsidRDefault="00BF4B84" w:rsidP="009C6860">
      <w:pPr>
        <w:shd w:val="clear" w:color="auto" w:fill="FFFFFF"/>
        <w:rPr>
          <w:rFonts w:cs="Arial"/>
          <w:iCs/>
        </w:rPr>
      </w:pPr>
    </w:p>
    <w:p w14:paraId="719A3B7D" w14:textId="77777777" w:rsidR="009C6860" w:rsidRPr="009C6860" w:rsidRDefault="009C6860" w:rsidP="009C6860">
      <w:pPr>
        <w:shd w:val="clear" w:color="auto" w:fill="FFFFFF"/>
        <w:rPr>
          <w:rFonts w:cs="Arial"/>
          <w:b/>
          <w:i/>
          <w:iCs/>
        </w:rPr>
      </w:pPr>
      <w:r w:rsidRPr="009C6860">
        <w:rPr>
          <w:rFonts w:cs="Arial"/>
          <w:b/>
          <w:iCs/>
        </w:rPr>
        <w:t xml:space="preserve">15. Wyrok z dnia 13 października 2022 r. w sprawie C-437/21 </w:t>
      </w:r>
      <w:r w:rsidRPr="009C6860">
        <w:rPr>
          <w:rFonts w:cs="Arial"/>
          <w:b/>
          <w:bCs/>
          <w:i/>
          <w:iCs/>
        </w:rPr>
        <w:t>Liberty Lines SpA przeciwko</w:t>
      </w:r>
      <w:r w:rsidRPr="009C6860">
        <w:rPr>
          <w:rFonts w:cs="Arial"/>
          <w:i/>
          <w:iCs/>
        </w:rPr>
        <w:t xml:space="preserve"> </w:t>
      </w:r>
      <w:r w:rsidRPr="009C6860">
        <w:rPr>
          <w:rFonts w:cs="Arial"/>
          <w:b/>
          <w:bCs/>
          <w:i/>
          <w:iCs/>
        </w:rPr>
        <w:t>Ministero delle Infrastrutture e dei Trasporti</w:t>
      </w:r>
      <w:r w:rsidRPr="009C6860">
        <w:rPr>
          <w:rFonts w:cs="Arial"/>
          <w:b/>
          <w:bCs/>
          <w:iCs/>
        </w:rPr>
        <w:t>, ECLI:EU:C:2022:794</w:t>
      </w:r>
    </w:p>
    <w:p w14:paraId="44E92D03" w14:textId="77777777" w:rsidR="009C6860" w:rsidRPr="009C6860" w:rsidRDefault="009C6860" w:rsidP="009C6860">
      <w:pPr>
        <w:shd w:val="clear" w:color="auto" w:fill="FFFFFF"/>
        <w:rPr>
          <w:rFonts w:cs="Arial"/>
          <w:iCs/>
        </w:rPr>
      </w:pPr>
      <w:r w:rsidRPr="009C6860">
        <w:rPr>
          <w:rFonts w:cs="Arial"/>
          <w:iCs/>
        </w:rPr>
        <w:t xml:space="preserve">W sprawie C-437/21 </w:t>
      </w:r>
      <w:r w:rsidRPr="009C6860">
        <w:rPr>
          <w:rFonts w:cs="Arial"/>
          <w:i/>
          <w:iCs/>
        </w:rPr>
        <w:t>Liberty Lines</w:t>
      </w:r>
      <w:r w:rsidRPr="009C6860">
        <w:rPr>
          <w:rFonts w:cs="Arial"/>
          <w:iCs/>
        </w:rPr>
        <w:t xml:space="preserve"> Trybunał pochylił się nad sporem w przedmiocie bezpośredniego udzielenia zamówienia na świadczenie usług publicznych w postaci szybkiego pasażerskiego przewozu morskiego. </w:t>
      </w:r>
    </w:p>
    <w:p w14:paraId="407096A5" w14:textId="4B5E2B97" w:rsidR="009C6860" w:rsidRDefault="009C6860" w:rsidP="009C6860">
      <w:pPr>
        <w:shd w:val="clear" w:color="auto" w:fill="FFFFFF"/>
        <w:rPr>
          <w:rFonts w:cs="Arial"/>
          <w:iCs/>
        </w:rPr>
      </w:pPr>
      <w:r w:rsidRPr="009C6860">
        <w:rPr>
          <w:rFonts w:cs="Arial"/>
          <w:iCs/>
        </w:rPr>
        <w:t>Trybunał orzekł, że rozporządzenie Rady (EWG) nr</w:t>
      </w:r>
      <w:r w:rsidR="009343A1">
        <w:rPr>
          <w:rFonts w:cs="Arial"/>
          <w:iCs/>
        </w:rPr>
        <w:t xml:space="preserve"> </w:t>
      </w:r>
      <w:r w:rsidRPr="009C6860">
        <w:rPr>
          <w:rFonts w:cs="Arial"/>
          <w:iCs/>
        </w:rPr>
        <w:t>3577/92 z</w:t>
      </w:r>
      <w:r w:rsidR="009343A1">
        <w:rPr>
          <w:rFonts w:cs="Arial"/>
          <w:iCs/>
        </w:rPr>
        <w:t xml:space="preserve"> </w:t>
      </w:r>
      <w:r w:rsidRPr="009C6860">
        <w:rPr>
          <w:rFonts w:cs="Arial"/>
          <w:iCs/>
        </w:rPr>
        <w:t>dnia 7</w:t>
      </w:r>
      <w:r w:rsidR="009343A1">
        <w:rPr>
          <w:rFonts w:cs="Arial"/>
          <w:iCs/>
        </w:rPr>
        <w:t xml:space="preserve"> </w:t>
      </w:r>
      <w:r w:rsidRPr="009C6860">
        <w:rPr>
          <w:rFonts w:cs="Arial"/>
          <w:iCs/>
        </w:rPr>
        <w:t>grudnia 1992</w:t>
      </w:r>
      <w:r w:rsidR="009343A1">
        <w:rPr>
          <w:rFonts w:cs="Arial"/>
          <w:iCs/>
        </w:rPr>
        <w:t xml:space="preserve"> </w:t>
      </w:r>
      <w:r w:rsidRPr="009C6860">
        <w:rPr>
          <w:rFonts w:cs="Arial"/>
          <w:iCs/>
        </w:rPr>
        <w:t>r. dotyczące stosowania zasady swobody świadczenia usług w</w:t>
      </w:r>
      <w:r w:rsidR="009343A1">
        <w:rPr>
          <w:rFonts w:cs="Arial"/>
          <w:iCs/>
        </w:rPr>
        <w:t xml:space="preserve"> </w:t>
      </w:r>
      <w:r w:rsidRPr="009C6860">
        <w:rPr>
          <w:rFonts w:cs="Arial"/>
          <w:iCs/>
        </w:rPr>
        <w:t>transporcie morskim w</w:t>
      </w:r>
      <w:r w:rsidR="009343A1">
        <w:rPr>
          <w:rFonts w:cs="Arial"/>
          <w:iCs/>
        </w:rPr>
        <w:t xml:space="preserve"> </w:t>
      </w:r>
      <w:r w:rsidRPr="009C6860">
        <w:rPr>
          <w:rFonts w:cs="Arial"/>
          <w:iCs/>
        </w:rPr>
        <w:t>obrębie państw członkowskich (kabotaż morski), a</w:t>
      </w:r>
      <w:r w:rsidR="009343A1">
        <w:rPr>
          <w:rFonts w:cs="Arial"/>
          <w:iCs/>
        </w:rPr>
        <w:t xml:space="preserve"> </w:t>
      </w:r>
      <w:r w:rsidRPr="009C6860">
        <w:rPr>
          <w:rFonts w:cs="Arial"/>
          <w:iCs/>
        </w:rPr>
        <w:t>w</w:t>
      </w:r>
      <w:r w:rsidR="009343A1">
        <w:rPr>
          <w:rFonts w:cs="Arial"/>
          <w:iCs/>
        </w:rPr>
        <w:t xml:space="preserve"> </w:t>
      </w:r>
      <w:r w:rsidRPr="009C6860">
        <w:rPr>
          <w:rFonts w:cs="Arial"/>
          <w:iCs/>
        </w:rPr>
        <w:t>szczególności art.</w:t>
      </w:r>
      <w:r w:rsidR="009343A1">
        <w:rPr>
          <w:rFonts w:cs="Arial"/>
          <w:iCs/>
        </w:rPr>
        <w:t xml:space="preserve"> </w:t>
      </w:r>
      <w:r w:rsidRPr="009C6860">
        <w:rPr>
          <w:rFonts w:cs="Arial"/>
          <w:iCs/>
        </w:rPr>
        <w:t>1 ust.</w:t>
      </w:r>
      <w:r w:rsidR="009343A1">
        <w:rPr>
          <w:rFonts w:cs="Arial"/>
          <w:iCs/>
        </w:rPr>
        <w:t xml:space="preserve"> </w:t>
      </w:r>
      <w:r w:rsidRPr="009C6860">
        <w:rPr>
          <w:rFonts w:cs="Arial"/>
          <w:iCs/>
        </w:rPr>
        <w:t>1 i</w:t>
      </w:r>
      <w:r w:rsidR="009343A1">
        <w:rPr>
          <w:rFonts w:cs="Arial"/>
          <w:iCs/>
        </w:rPr>
        <w:t xml:space="preserve"> </w:t>
      </w:r>
      <w:r w:rsidRPr="009C6860">
        <w:rPr>
          <w:rFonts w:cs="Arial"/>
          <w:iCs/>
        </w:rPr>
        <w:t>art.</w:t>
      </w:r>
      <w:r w:rsidR="009343A1">
        <w:rPr>
          <w:rFonts w:cs="Arial"/>
          <w:iCs/>
        </w:rPr>
        <w:t xml:space="preserve"> </w:t>
      </w:r>
      <w:r w:rsidRPr="009C6860">
        <w:rPr>
          <w:rFonts w:cs="Arial"/>
          <w:iCs/>
        </w:rPr>
        <w:t>4 ust.</w:t>
      </w:r>
      <w:r w:rsidR="009343A1">
        <w:rPr>
          <w:rFonts w:cs="Arial"/>
          <w:iCs/>
        </w:rPr>
        <w:t xml:space="preserve"> </w:t>
      </w:r>
      <w:r w:rsidRPr="009C6860">
        <w:rPr>
          <w:rFonts w:cs="Arial"/>
          <w:iCs/>
        </w:rPr>
        <w:t>1 tego rozporządzenia, należy interpretować w</w:t>
      </w:r>
      <w:r w:rsidR="009343A1">
        <w:rPr>
          <w:rFonts w:cs="Arial"/>
          <w:iCs/>
        </w:rPr>
        <w:t xml:space="preserve"> </w:t>
      </w:r>
      <w:r w:rsidRPr="009C6860">
        <w:rPr>
          <w:rFonts w:cs="Arial"/>
          <w:iCs/>
        </w:rPr>
        <w:t>ten sposób, że stoi ono na przeszkodzie uregulowaniu krajowemu, którego przedmiotem jest zrównanie usług przewozu morskiego z</w:t>
      </w:r>
      <w:r w:rsidR="009343A1">
        <w:rPr>
          <w:rFonts w:cs="Arial"/>
          <w:iCs/>
        </w:rPr>
        <w:t xml:space="preserve"> </w:t>
      </w:r>
      <w:r w:rsidRPr="009C6860">
        <w:rPr>
          <w:rFonts w:cs="Arial"/>
          <w:iCs/>
        </w:rPr>
        <w:t>usługami przewozu kolejowego, jeżeli skutkiem tego zrównania jest wyłączenie danej usługi z</w:t>
      </w:r>
      <w:r w:rsidR="009343A1">
        <w:rPr>
          <w:rFonts w:cs="Arial"/>
          <w:iCs/>
        </w:rPr>
        <w:t xml:space="preserve"> </w:t>
      </w:r>
      <w:r w:rsidRPr="009C6860">
        <w:rPr>
          <w:rFonts w:cs="Arial"/>
          <w:iCs/>
        </w:rPr>
        <w:t>zakresu stosowania przepisów w</w:t>
      </w:r>
      <w:r w:rsidR="009343A1">
        <w:rPr>
          <w:rFonts w:cs="Arial"/>
          <w:iCs/>
        </w:rPr>
        <w:t xml:space="preserve"> </w:t>
      </w:r>
      <w:r w:rsidRPr="009C6860">
        <w:rPr>
          <w:rFonts w:cs="Arial"/>
          <w:iCs/>
        </w:rPr>
        <w:t>dziedzinie zamówień publicznych, które mają do niej zastosowanie.</w:t>
      </w:r>
    </w:p>
    <w:p w14:paraId="10CF3F71" w14:textId="77777777" w:rsidR="00BF4B84" w:rsidRPr="009C6860" w:rsidRDefault="00BF4B84" w:rsidP="009C6860">
      <w:pPr>
        <w:shd w:val="clear" w:color="auto" w:fill="FFFFFF"/>
        <w:rPr>
          <w:rFonts w:cs="Arial"/>
          <w:iCs/>
        </w:rPr>
      </w:pPr>
    </w:p>
    <w:p w14:paraId="3A500784" w14:textId="77777777" w:rsidR="009C6860" w:rsidRPr="009C6860" w:rsidRDefault="009C6860" w:rsidP="009C6860">
      <w:pPr>
        <w:shd w:val="clear" w:color="auto" w:fill="FFFFFF"/>
        <w:rPr>
          <w:rFonts w:cs="Arial"/>
          <w:b/>
          <w:i/>
          <w:iCs/>
        </w:rPr>
      </w:pPr>
      <w:r w:rsidRPr="009C6860">
        <w:rPr>
          <w:rFonts w:cs="Arial"/>
          <w:b/>
          <w:iCs/>
        </w:rPr>
        <w:t xml:space="preserve">16. Wyrok z dnia 27 października 2022 r. w sprawach połączonych C-68/21 i C-84/21 </w:t>
      </w:r>
      <w:r w:rsidRPr="009C6860">
        <w:rPr>
          <w:rFonts w:cs="Arial"/>
          <w:b/>
          <w:bCs/>
          <w:i/>
          <w:iCs/>
        </w:rPr>
        <w:t>Iveco Orecchia SpA przeciwko APAM Esercizio SpA, Brescia Trasporti SpA</w:t>
      </w:r>
      <w:r w:rsidRPr="009C6860">
        <w:rPr>
          <w:rFonts w:cs="Arial"/>
          <w:iCs/>
        </w:rPr>
        <w:t xml:space="preserve">, </w:t>
      </w:r>
      <w:r w:rsidRPr="009C6860">
        <w:rPr>
          <w:rFonts w:cs="Arial"/>
          <w:b/>
          <w:bCs/>
          <w:iCs/>
        </w:rPr>
        <w:t>ECLI:EU:C:2022:835</w:t>
      </w:r>
    </w:p>
    <w:p w14:paraId="2B3D290C" w14:textId="04C6DCF7" w:rsidR="009C6860" w:rsidRPr="009C6860" w:rsidRDefault="009C6860" w:rsidP="009C6860">
      <w:pPr>
        <w:shd w:val="clear" w:color="auto" w:fill="FFFFFF"/>
        <w:rPr>
          <w:rFonts w:cs="Arial"/>
          <w:bCs/>
          <w:iCs/>
        </w:rPr>
      </w:pPr>
      <w:r w:rsidRPr="009C6860">
        <w:rPr>
          <w:rFonts w:cs="Arial"/>
          <w:bCs/>
          <w:iCs/>
        </w:rPr>
        <w:t xml:space="preserve">Na gruncie spraw połączonych C-68/21 i C-84/21 </w:t>
      </w:r>
      <w:r w:rsidRPr="009C6860">
        <w:rPr>
          <w:rFonts w:cs="Arial"/>
          <w:bCs/>
          <w:i/>
          <w:iCs/>
        </w:rPr>
        <w:t>Iveco Orecchia i in.</w:t>
      </w:r>
      <w:r w:rsidRPr="009C6860">
        <w:rPr>
          <w:rFonts w:cs="Arial"/>
          <w:bCs/>
          <w:iCs/>
        </w:rPr>
        <w:t xml:space="preserve"> Trybunał zajął się kwestią części zamiennych równoważnych z</w:t>
      </w:r>
      <w:r w:rsidR="009343A1">
        <w:rPr>
          <w:rFonts w:cs="Arial"/>
          <w:bCs/>
          <w:iCs/>
        </w:rPr>
        <w:t xml:space="preserve"> </w:t>
      </w:r>
      <w:r w:rsidRPr="009C6860">
        <w:rPr>
          <w:rFonts w:cs="Arial"/>
          <w:bCs/>
          <w:iCs/>
        </w:rPr>
        <w:t xml:space="preserve">oryginalnymi częściami konkretnej marki oraz dowodami homologacji. </w:t>
      </w:r>
    </w:p>
    <w:p w14:paraId="645C7FE2" w14:textId="63D4178A" w:rsidR="009C6860" w:rsidRDefault="009C6860" w:rsidP="009C6860">
      <w:pPr>
        <w:shd w:val="clear" w:color="auto" w:fill="FFFFFF"/>
        <w:rPr>
          <w:rFonts w:cs="Arial"/>
          <w:bCs/>
          <w:iCs/>
        </w:rPr>
      </w:pPr>
      <w:r w:rsidRPr="009C6860">
        <w:rPr>
          <w:rFonts w:cs="Arial"/>
          <w:bCs/>
          <w:iCs/>
        </w:rPr>
        <w:t>Trybunał orzekł, że przepisy art.</w:t>
      </w:r>
      <w:r w:rsidR="009343A1">
        <w:rPr>
          <w:rFonts w:cs="Arial"/>
          <w:bCs/>
          <w:iCs/>
        </w:rPr>
        <w:t xml:space="preserve"> </w:t>
      </w:r>
      <w:r w:rsidRPr="009C6860">
        <w:rPr>
          <w:rFonts w:cs="Arial"/>
          <w:bCs/>
          <w:iCs/>
        </w:rPr>
        <w:t>10 ust.</w:t>
      </w:r>
      <w:r w:rsidR="009343A1">
        <w:rPr>
          <w:rFonts w:cs="Arial"/>
          <w:bCs/>
          <w:iCs/>
        </w:rPr>
        <w:t xml:space="preserve"> </w:t>
      </w:r>
      <w:r w:rsidRPr="009C6860">
        <w:rPr>
          <w:rFonts w:cs="Arial"/>
          <w:bCs/>
          <w:iCs/>
        </w:rPr>
        <w:t>2, art.</w:t>
      </w:r>
      <w:r w:rsidR="009343A1">
        <w:rPr>
          <w:rFonts w:cs="Arial"/>
          <w:bCs/>
          <w:iCs/>
        </w:rPr>
        <w:t xml:space="preserve"> </w:t>
      </w:r>
      <w:r w:rsidRPr="009C6860">
        <w:rPr>
          <w:rFonts w:cs="Arial"/>
          <w:bCs/>
          <w:iCs/>
        </w:rPr>
        <w:t>19 ust.</w:t>
      </w:r>
      <w:r w:rsidR="009343A1">
        <w:rPr>
          <w:rFonts w:cs="Arial"/>
          <w:bCs/>
          <w:iCs/>
        </w:rPr>
        <w:t xml:space="preserve"> </w:t>
      </w:r>
      <w:r w:rsidRPr="009C6860">
        <w:rPr>
          <w:rFonts w:cs="Arial"/>
          <w:bCs/>
          <w:iCs/>
        </w:rPr>
        <w:t>1 i</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28 ust.</w:t>
      </w:r>
      <w:r w:rsidR="009343A1">
        <w:rPr>
          <w:rFonts w:cs="Arial"/>
          <w:bCs/>
          <w:iCs/>
        </w:rPr>
        <w:t xml:space="preserve"> </w:t>
      </w:r>
      <w:r w:rsidRPr="009C6860">
        <w:rPr>
          <w:rFonts w:cs="Arial"/>
          <w:bCs/>
          <w:iCs/>
        </w:rPr>
        <w:t>1 dyrektywy 2007/46/WE Parlamentu Europejskiego i</w:t>
      </w:r>
      <w:r w:rsidR="009343A1">
        <w:rPr>
          <w:rFonts w:cs="Arial"/>
          <w:bCs/>
          <w:iCs/>
        </w:rPr>
        <w:t xml:space="preserve"> </w:t>
      </w:r>
      <w:r w:rsidRPr="009C6860">
        <w:rPr>
          <w:rFonts w:cs="Arial"/>
          <w:bCs/>
          <w:iCs/>
        </w:rPr>
        <w:t>Rady z</w:t>
      </w:r>
      <w:r w:rsidR="009343A1">
        <w:rPr>
          <w:rFonts w:cs="Arial"/>
          <w:bCs/>
          <w:iCs/>
        </w:rPr>
        <w:t xml:space="preserve"> </w:t>
      </w:r>
      <w:r w:rsidRPr="009C6860">
        <w:rPr>
          <w:rFonts w:cs="Arial"/>
          <w:bCs/>
          <w:iCs/>
        </w:rPr>
        <w:t>dnia 5</w:t>
      </w:r>
      <w:r w:rsidR="009343A1">
        <w:rPr>
          <w:rFonts w:cs="Arial"/>
          <w:bCs/>
          <w:iCs/>
        </w:rPr>
        <w:t xml:space="preserve"> </w:t>
      </w:r>
      <w:r w:rsidRPr="009C6860">
        <w:rPr>
          <w:rFonts w:cs="Arial"/>
          <w:bCs/>
          <w:iCs/>
        </w:rPr>
        <w:t>września 2007</w:t>
      </w:r>
      <w:r w:rsidR="009343A1">
        <w:rPr>
          <w:rFonts w:cs="Arial"/>
          <w:bCs/>
          <w:iCs/>
        </w:rPr>
        <w:t xml:space="preserve"> </w:t>
      </w:r>
      <w:r w:rsidRPr="009C6860">
        <w:rPr>
          <w:rFonts w:cs="Arial"/>
          <w:bCs/>
          <w:iCs/>
        </w:rPr>
        <w:t>r. ustanawiającej ramy dla homologacji pojazdów silnikowych i</w:t>
      </w:r>
      <w:r w:rsidR="009343A1">
        <w:rPr>
          <w:rFonts w:cs="Arial"/>
          <w:bCs/>
          <w:iCs/>
        </w:rPr>
        <w:t xml:space="preserve"> </w:t>
      </w:r>
      <w:r w:rsidRPr="009C6860">
        <w:rPr>
          <w:rFonts w:cs="Arial"/>
          <w:bCs/>
          <w:iCs/>
        </w:rPr>
        <w:t>ich przyczep oraz układów, części i</w:t>
      </w:r>
      <w:r w:rsidR="009343A1">
        <w:rPr>
          <w:rFonts w:cs="Arial"/>
          <w:bCs/>
          <w:iCs/>
        </w:rPr>
        <w:t xml:space="preserve"> </w:t>
      </w:r>
      <w:r w:rsidRPr="009C6860">
        <w:rPr>
          <w:rFonts w:cs="Arial"/>
          <w:bCs/>
          <w:iCs/>
        </w:rPr>
        <w:t>oddzielnych zespołów technicznych przeznaczonych do tych pojazdów (dyrektywy ramowej) należy interpretować w</w:t>
      </w:r>
      <w:r w:rsidR="009343A1">
        <w:rPr>
          <w:rFonts w:cs="Arial"/>
          <w:bCs/>
          <w:iCs/>
        </w:rPr>
        <w:t xml:space="preserve"> </w:t>
      </w:r>
      <w:r w:rsidRPr="009C6860">
        <w:rPr>
          <w:rFonts w:cs="Arial"/>
          <w:bCs/>
          <w:iCs/>
        </w:rPr>
        <w:t>ten sposób, że stoją one na przeszkodzie temu, by instytucja zamawiająca mogła przyjąć w</w:t>
      </w:r>
      <w:r w:rsidR="009343A1">
        <w:rPr>
          <w:rFonts w:cs="Arial"/>
          <w:bCs/>
          <w:iCs/>
        </w:rPr>
        <w:t xml:space="preserve"> </w:t>
      </w:r>
      <w:r w:rsidRPr="009C6860">
        <w:rPr>
          <w:rFonts w:cs="Arial"/>
          <w:bCs/>
          <w:iCs/>
        </w:rPr>
        <w:t>przetargu na dostawę części zamiennych do autobusów przeznaczonych do świadczenia usługi publicznej ofertę na typ części objęty zakresem aktów prawnych wymienionych w</w:t>
      </w:r>
      <w:r w:rsidR="009343A1">
        <w:rPr>
          <w:rFonts w:cs="Arial"/>
          <w:bCs/>
          <w:iCs/>
        </w:rPr>
        <w:t xml:space="preserve"> </w:t>
      </w:r>
      <w:r w:rsidRPr="009C6860">
        <w:rPr>
          <w:rFonts w:cs="Arial"/>
          <w:bCs/>
          <w:iCs/>
        </w:rPr>
        <w:t>załączniku</w:t>
      </w:r>
      <w:r w:rsidR="009343A1">
        <w:rPr>
          <w:rFonts w:cs="Arial"/>
          <w:bCs/>
          <w:iCs/>
        </w:rPr>
        <w:t xml:space="preserve"> </w:t>
      </w:r>
      <w:r w:rsidRPr="009C6860">
        <w:rPr>
          <w:rFonts w:cs="Arial"/>
          <w:bCs/>
          <w:iCs/>
        </w:rPr>
        <w:t>IV do dyrektywy 2007/46, do której nie załączono świadectwa potwierdzającego homologację typu tych części oraz w</w:t>
      </w:r>
      <w:r w:rsidR="009343A1">
        <w:rPr>
          <w:rFonts w:cs="Arial"/>
          <w:bCs/>
          <w:iCs/>
        </w:rPr>
        <w:t xml:space="preserve"> </w:t>
      </w:r>
      <w:r w:rsidRPr="009C6860">
        <w:rPr>
          <w:rFonts w:cs="Arial"/>
          <w:bCs/>
          <w:iCs/>
        </w:rPr>
        <w:t>której nie poinformowano o</w:t>
      </w:r>
      <w:r w:rsidR="009343A1">
        <w:rPr>
          <w:rFonts w:cs="Arial"/>
          <w:bCs/>
          <w:iCs/>
        </w:rPr>
        <w:t xml:space="preserve"> </w:t>
      </w:r>
      <w:r w:rsidRPr="009C6860">
        <w:rPr>
          <w:rFonts w:cs="Arial"/>
          <w:bCs/>
          <w:iCs/>
        </w:rPr>
        <w:t>faktycznym istnieniu takiej homologacji, o</w:t>
      </w:r>
      <w:r w:rsidR="009343A1">
        <w:rPr>
          <w:rFonts w:cs="Arial"/>
          <w:bCs/>
          <w:iCs/>
        </w:rPr>
        <w:t xml:space="preserve"> </w:t>
      </w:r>
      <w:r w:rsidRPr="009C6860">
        <w:rPr>
          <w:rFonts w:cs="Arial"/>
          <w:bCs/>
          <w:iCs/>
        </w:rPr>
        <w:t>ile wskazane akty prawne przewidują taką homologację. Trybunał podkreślił również, że art. 60 i</w:t>
      </w:r>
      <w:r w:rsidR="009343A1">
        <w:rPr>
          <w:rFonts w:cs="Arial"/>
          <w:bCs/>
          <w:iCs/>
        </w:rPr>
        <w:t xml:space="preserve"> </w:t>
      </w:r>
      <w:r w:rsidRPr="009C6860">
        <w:rPr>
          <w:rFonts w:cs="Arial"/>
          <w:bCs/>
          <w:iCs/>
        </w:rPr>
        <w:t>62 dyrektywy 2014/25/UE należy interpretować w</w:t>
      </w:r>
      <w:r w:rsidR="009343A1">
        <w:rPr>
          <w:rFonts w:cs="Arial"/>
          <w:bCs/>
          <w:iCs/>
        </w:rPr>
        <w:t xml:space="preserve"> </w:t>
      </w:r>
      <w:r w:rsidRPr="009C6860">
        <w:rPr>
          <w:rFonts w:cs="Arial"/>
          <w:bCs/>
          <w:iCs/>
        </w:rPr>
        <w:t>ten sposób, że w świetle definicji terminu „producent” zawartej w</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3 pkt</w:t>
      </w:r>
      <w:r w:rsidR="009343A1">
        <w:rPr>
          <w:rFonts w:cs="Arial"/>
          <w:bCs/>
          <w:iCs/>
        </w:rPr>
        <w:t xml:space="preserve"> </w:t>
      </w:r>
      <w:r w:rsidRPr="009C6860">
        <w:rPr>
          <w:rFonts w:cs="Arial"/>
          <w:bCs/>
          <w:iCs/>
        </w:rPr>
        <w:t>27 dyrektywy 2007/46/WE stoją one na przeszkodzie temu, by w</w:t>
      </w:r>
      <w:r w:rsidR="009343A1">
        <w:rPr>
          <w:rFonts w:cs="Arial"/>
          <w:bCs/>
          <w:iCs/>
        </w:rPr>
        <w:t xml:space="preserve"> </w:t>
      </w:r>
      <w:r w:rsidRPr="009C6860">
        <w:rPr>
          <w:rFonts w:cs="Arial"/>
          <w:bCs/>
          <w:iCs/>
        </w:rPr>
        <w:t>przetargu na dostawę części zamiennych do autobusów przeznaczonych do świadczenia usługi publicznej instytucja zamawiająca mogła przyjąć jako dowód równoważności zaproponowanych przez oferenta części objętych aktami prawnymi wymienionymi w</w:t>
      </w:r>
      <w:r w:rsidR="009343A1">
        <w:rPr>
          <w:rFonts w:cs="Arial"/>
          <w:bCs/>
          <w:iCs/>
        </w:rPr>
        <w:t xml:space="preserve"> </w:t>
      </w:r>
      <w:r w:rsidRPr="009C6860">
        <w:rPr>
          <w:rFonts w:cs="Arial"/>
          <w:bCs/>
          <w:iCs/>
        </w:rPr>
        <w:t>załączniku</w:t>
      </w:r>
      <w:r w:rsidR="009343A1">
        <w:rPr>
          <w:rFonts w:cs="Arial"/>
          <w:bCs/>
          <w:iCs/>
        </w:rPr>
        <w:t xml:space="preserve"> </w:t>
      </w:r>
      <w:r w:rsidRPr="009C6860">
        <w:rPr>
          <w:rFonts w:cs="Arial"/>
          <w:bCs/>
          <w:iCs/>
        </w:rPr>
        <w:t>IV do dyrektywy 2007/46 oświadczenie tego oferenta o</w:t>
      </w:r>
      <w:r w:rsidR="009343A1">
        <w:rPr>
          <w:rFonts w:cs="Arial"/>
          <w:bCs/>
          <w:iCs/>
        </w:rPr>
        <w:t xml:space="preserve"> </w:t>
      </w:r>
      <w:r w:rsidRPr="009C6860">
        <w:rPr>
          <w:rFonts w:cs="Arial"/>
          <w:bCs/>
          <w:iCs/>
        </w:rPr>
        <w:t>równoważności, jeżeli tego oferenta nie można uznać za producenta tych części.</w:t>
      </w:r>
    </w:p>
    <w:p w14:paraId="10549BE8" w14:textId="77777777" w:rsidR="00BF4B84" w:rsidRPr="009C6860" w:rsidRDefault="00BF4B84" w:rsidP="009C6860">
      <w:pPr>
        <w:shd w:val="clear" w:color="auto" w:fill="FFFFFF"/>
        <w:rPr>
          <w:rFonts w:cs="Arial"/>
          <w:bCs/>
          <w:iCs/>
        </w:rPr>
      </w:pPr>
    </w:p>
    <w:p w14:paraId="4BA2E8BA" w14:textId="77777777" w:rsidR="009C6860" w:rsidRPr="009C6860" w:rsidRDefault="009C6860" w:rsidP="009C6860">
      <w:pPr>
        <w:shd w:val="clear" w:color="auto" w:fill="FFFFFF"/>
        <w:rPr>
          <w:rFonts w:cs="Arial"/>
          <w:b/>
          <w:i/>
          <w:iCs/>
        </w:rPr>
      </w:pPr>
      <w:r w:rsidRPr="009C6860">
        <w:rPr>
          <w:rFonts w:cs="Arial"/>
          <w:b/>
          <w:iCs/>
        </w:rPr>
        <w:t xml:space="preserve">17. Wyrok z dnia 10 listopada 2022 r. w sprawie C-486/21 </w:t>
      </w:r>
      <w:r w:rsidRPr="009C6860">
        <w:rPr>
          <w:rFonts w:cs="Arial"/>
          <w:b/>
          <w:i/>
          <w:iCs/>
        </w:rPr>
        <w:t>SHARENGO najem in zakup vozil d.o.o. przeciwko Mestna občina Ljubljana</w:t>
      </w:r>
      <w:r w:rsidRPr="009C6860">
        <w:rPr>
          <w:rFonts w:cs="Arial"/>
          <w:b/>
          <w:iCs/>
        </w:rPr>
        <w:t>, ECLI:EU:C:2022:868</w:t>
      </w:r>
    </w:p>
    <w:p w14:paraId="43C7096D" w14:textId="606CFC39" w:rsidR="009C6860" w:rsidRPr="009C6860" w:rsidRDefault="009C6860" w:rsidP="009C6860">
      <w:pPr>
        <w:shd w:val="clear" w:color="auto" w:fill="FFFFFF"/>
        <w:rPr>
          <w:rFonts w:cs="Arial"/>
          <w:iCs/>
        </w:rPr>
      </w:pPr>
      <w:r w:rsidRPr="009C6860">
        <w:rPr>
          <w:rFonts w:cs="Arial"/>
          <w:iCs/>
        </w:rPr>
        <w:t>W sprawie będącej przedmiotem odesłania prejudycjalnego Trybunał podjął się analizy kwestii dotyczącej przede wszystkim zaklasyfikowania wynajmu pojazdów przeznaczonych do transportu osób bez kierowcy jako zamówienia publicznego lub koncesji na ustanowienie publicznego systemu wynajmu i</w:t>
      </w:r>
      <w:r w:rsidR="009343A1">
        <w:rPr>
          <w:rFonts w:cs="Arial"/>
          <w:iCs/>
        </w:rPr>
        <w:t xml:space="preserve"> </w:t>
      </w:r>
      <w:r w:rsidRPr="009C6860">
        <w:rPr>
          <w:rFonts w:cs="Arial"/>
          <w:iCs/>
        </w:rPr>
        <w:t>wspólnego użytkowania pojazdów elektrycznych oraz całkowitego obrotu koncesjonariusza, jak również wynikających z tego zagadnień pochodnych.</w:t>
      </w:r>
    </w:p>
    <w:p w14:paraId="45C17CFA" w14:textId="7E598229" w:rsidR="009C6860" w:rsidRDefault="009C6860" w:rsidP="009C6860">
      <w:pPr>
        <w:shd w:val="clear" w:color="auto" w:fill="FFFFFF"/>
        <w:rPr>
          <w:rFonts w:cs="Arial"/>
          <w:bCs/>
          <w:iCs/>
        </w:rPr>
      </w:pPr>
      <w:r w:rsidRPr="009C6860">
        <w:rPr>
          <w:rFonts w:cs="Arial"/>
          <w:bCs/>
          <w:iCs/>
        </w:rPr>
        <w:t>Trybunał orzekł, że art.</w:t>
      </w:r>
      <w:r w:rsidR="009343A1">
        <w:rPr>
          <w:rFonts w:cs="Arial"/>
          <w:bCs/>
          <w:iCs/>
        </w:rPr>
        <w:t xml:space="preserve"> </w:t>
      </w:r>
      <w:r w:rsidRPr="009C6860">
        <w:rPr>
          <w:rFonts w:cs="Arial"/>
          <w:bCs/>
          <w:iCs/>
        </w:rPr>
        <w:t>5 pkt</w:t>
      </w:r>
      <w:r w:rsidR="009343A1">
        <w:rPr>
          <w:rFonts w:cs="Arial"/>
          <w:bCs/>
          <w:iCs/>
        </w:rPr>
        <w:t xml:space="preserve"> </w:t>
      </w:r>
      <w:r w:rsidRPr="009C6860">
        <w:rPr>
          <w:rFonts w:cs="Arial"/>
          <w:bCs/>
          <w:iCs/>
        </w:rPr>
        <w:t>1 lit.</w:t>
      </w:r>
      <w:r w:rsidR="009343A1">
        <w:rPr>
          <w:rFonts w:cs="Arial"/>
          <w:bCs/>
          <w:iCs/>
        </w:rPr>
        <w:t xml:space="preserve"> </w:t>
      </w:r>
      <w:r w:rsidRPr="009C6860">
        <w:rPr>
          <w:rFonts w:cs="Arial"/>
          <w:bCs/>
          <w:iCs/>
        </w:rPr>
        <w:t>b) dyrektywy 2014/23/UE należy interpretować w</w:t>
      </w:r>
      <w:r w:rsidR="009343A1">
        <w:rPr>
          <w:rFonts w:cs="Arial"/>
          <w:bCs/>
          <w:iCs/>
        </w:rPr>
        <w:t xml:space="preserve"> </w:t>
      </w:r>
      <w:r w:rsidRPr="009C6860">
        <w:rPr>
          <w:rFonts w:cs="Arial"/>
          <w:bCs/>
          <w:iCs/>
        </w:rPr>
        <w:t>ten sposób, że „koncesja na usługi” stanowi czynność, poprzez którą zamawiający zamierza powierzyć stworzenie usługi wynajmu i</w:t>
      </w:r>
      <w:r w:rsidR="009343A1">
        <w:rPr>
          <w:rFonts w:cs="Arial"/>
          <w:bCs/>
          <w:iCs/>
        </w:rPr>
        <w:t xml:space="preserve"> </w:t>
      </w:r>
      <w:r w:rsidRPr="009C6860">
        <w:rPr>
          <w:rFonts w:cs="Arial"/>
          <w:bCs/>
          <w:iCs/>
        </w:rPr>
        <w:t>wspólnego użytkowania pojazdów elektrycznych i</w:t>
      </w:r>
      <w:r w:rsidR="009343A1">
        <w:rPr>
          <w:rFonts w:cs="Arial"/>
          <w:bCs/>
          <w:iCs/>
        </w:rPr>
        <w:t xml:space="preserve"> </w:t>
      </w:r>
      <w:r w:rsidRPr="009C6860">
        <w:rPr>
          <w:rFonts w:cs="Arial"/>
          <w:bCs/>
          <w:iCs/>
        </w:rPr>
        <w:t>zarządzanie tą usługą wykonawcy, którego wkład finansowy jest w</w:t>
      </w:r>
      <w:r w:rsidR="009343A1">
        <w:rPr>
          <w:rFonts w:cs="Arial"/>
          <w:bCs/>
          <w:iCs/>
        </w:rPr>
        <w:t xml:space="preserve"> </w:t>
      </w:r>
      <w:r w:rsidRPr="009C6860">
        <w:rPr>
          <w:rFonts w:cs="Arial"/>
          <w:bCs/>
          <w:iCs/>
        </w:rPr>
        <w:t>przeważającej części przeznaczony na zakup tych pojazdów, i</w:t>
      </w:r>
      <w:r w:rsidR="009343A1">
        <w:rPr>
          <w:rFonts w:cs="Arial"/>
          <w:bCs/>
          <w:iCs/>
        </w:rPr>
        <w:t xml:space="preserve"> </w:t>
      </w:r>
      <w:r w:rsidRPr="009C6860">
        <w:rPr>
          <w:rFonts w:cs="Arial"/>
          <w:bCs/>
          <w:iCs/>
        </w:rPr>
        <w:t>w</w:t>
      </w:r>
      <w:r w:rsidR="009343A1">
        <w:rPr>
          <w:rFonts w:cs="Arial"/>
          <w:bCs/>
          <w:iCs/>
        </w:rPr>
        <w:t xml:space="preserve"> </w:t>
      </w:r>
      <w:r w:rsidRPr="009C6860">
        <w:rPr>
          <w:rFonts w:cs="Arial"/>
          <w:bCs/>
          <w:iCs/>
        </w:rPr>
        <w:t>ramach której dochody tego wykonawcy będą zasadniczo pochodziły z</w:t>
      </w:r>
      <w:r w:rsidR="009343A1">
        <w:rPr>
          <w:rFonts w:cs="Arial"/>
          <w:bCs/>
          <w:iCs/>
        </w:rPr>
        <w:t xml:space="preserve"> </w:t>
      </w:r>
      <w:r w:rsidRPr="009C6860">
        <w:rPr>
          <w:rFonts w:cs="Arial"/>
          <w:bCs/>
          <w:iCs/>
        </w:rPr>
        <w:t>opłat uiszczanych przez użytkowników tej usługi, ponieważ takie cechy mogą wykazać, iż ryzyko związane z</w:t>
      </w:r>
      <w:r w:rsidR="009343A1">
        <w:rPr>
          <w:rFonts w:cs="Arial"/>
          <w:bCs/>
          <w:iCs/>
        </w:rPr>
        <w:t xml:space="preserve"> </w:t>
      </w:r>
      <w:r w:rsidRPr="009C6860">
        <w:rPr>
          <w:rFonts w:cs="Arial"/>
          <w:bCs/>
          <w:iCs/>
        </w:rPr>
        <w:t>wykonywaniem powierzonych usług zostało przeniesione na tego wykonawcę. Trybunał doszedł również do wniosku, że w myśl art.</w:t>
      </w:r>
      <w:r w:rsidR="009343A1">
        <w:rPr>
          <w:rFonts w:cs="Arial"/>
          <w:bCs/>
          <w:iCs/>
        </w:rPr>
        <w:t xml:space="preserve"> </w:t>
      </w:r>
      <w:r w:rsidRPr="009C6860">
        <w:rPr>
          <w:rFonts w:cs="Arial"/>
          <w:bCs/>
          <w:iCs/>
        </w:rPr>
        <w:t>8 dyrektywy 2014/23/UE w</w:t>
      </w:r>
      <w:r w:rsidR="009343A1">
        <w:rPr>
          <w:rFonts w:cs="Arial"/>
          <w:bCs/>
          <w:iCs/>
        </w:rPr>
        <w:t xml:space="preserve"> </w:t>
      </w:r>
      <w:r w:rsidRPr="009C6860">
        <w:rPr>
          <w:rFonts w:cs="Arial"/>
          <w:bCs/>
          <w:iCs/>
        </w:rPr>
        <w:t>celu ustalenia, czy próg stosowania tej dyrektywy zostaje osiągnięty, zamawiający powinien oszacować „całkowity obrót koncesjonariusza wytworzony podczas okresu obowiązywania umowy, bez VAT”, z</w:t>
      </w:r>
      <w:r w:rsidR="009343A1">
        <w:rPr>
          <w:rFonts w:cs="Arial"/>
          <w:bCs/>
          <w:iCs/>
        </w:rPr>
        <w:t xml:space="preserve"> </w:t>
      </w:r>
      <w:r w:rsidRPr="009C6860">
        <w:rPr>
          <w:rFonts w:cs="Arial"/>
          <w:bCs/>
          <w:iCs/>
        </w:rPr>
        <w:t>uwzględnieniem opłat, jakie użytkownicy będą płacić koncesjonariuszowi, a</w:t>
      </w:r>
      <w:r w:rsidR="009343A1">
        <w:rPr>
          <w:rFonts w:cs="Arial"/>
          <w:bCs/>
          <w:iCs/>
        </w:rPr>
        <w:t xml:space="preserve"> </w:t>
      </w:r>
      <w:r w:rsidRPr="009C6860">
        <w:rPr>
          <w:rFonts w:cs="Arial"/>
          <w:bCs/>
          <w:iCs/>
        </w:rPr>
        <w:t>także wkładów i</w:t>
      </w:r>
      <w:r w:rsidR="009343A1">
        <w:rPr>
          <w:rFonts w:cs="Arial"/>
          <w:bCs/>
          <w:iCs/>
        </w:rPr>
        <w:t xml:space="preserve"> </w:t>
      </w:r>
      <w:r w:rsidRPr="009C6860">
        <w:rPr>
          <w:rFonts w:cs="Arial"/>
          <w:bCs/>
          <w:iCs/>
        </w:rPr>
        <w:t>kosztów, jakie poniesie zamawiający, przy czym zamawiający może również uznać, że próg przewidziany dla stosowania dyrektywy 2014/23/UE zostaje osiągnięty, w</w:t>
      </w:r>
      <w:r w:rsidR="009343A1">
        <w:rPr>
          <w:rFonts w:cs="Arial"/>
          <w:bCs/>
          <w:iCs/>
        </w:rPr>
        <w:t xml:space="preserve"> </w:t>
      </w:r>
      <w:r w:rsidRPr="009C6860">
        <w:rPr>
          <w:rFonts w:cs="Arial"/>
          <w:bCs/>
          <w:iCs/>
        </w:rPr>
        <w:t>sytuacji gdy inwestycje i</w:t>
      </w:r>
      <w:r w:rsidR="009343A1">
        <w:rPr>
          <w:rFonts w:cs="Arial"/>
          <w:bCs/>
          <w:iCs/>
        </w:rPr>
        <w:t xml:space="preserve"> </w:t>
      </w:r>
      <w:r w:rsidRPr="009C6860">
        <w:rPr>
          <w:rFonts w:cs="Arial"/>
          <w:bCs/>
          <w:iCs/>
        </w:rPr>
        <w:t>koszty, które koncesjonariusz ma ponieść sam lub wraz z</w:t>
      </w:r>
      <w:r w:rsidR="009343A1">
        <w:rPr>
          <w:rFonts w:cs="Arial"/>
          <w:bCs/>
          <w:iCs/>
        </w:rPr>
        <w:t xml:space="preserve"> </w:t>
      </w:r>
      <w:r w:rsidRPr="009C6860">
        <w:rPr>
          <w:rFonts w:cs="Arial"/>
          <w:bCs/>
          <w:iCs/>
        </w:rPr>
        <w:t>zamawiającym przez cały okres obowiązywania umowy koncesyjnej, przekraczają w</w:t>
      </w:r>
      <w:r w:rsidR="009343A1">
        <w:rPr>
          <w:rFonts w:cs="Arial"/>
          <w:bCs/>
          <w:iCs/>
        </w:rPr>
        <w:t xml:space="preserve"> </w:t>
      </w:r>
      <w:r w:rsidRPr="009C6860">
        <w:rPr>
          <w:rFonts w:cs="Arial"/>
          <w:bCs/>
          <w:iCs/>
        </w:rPr>
        <w:t>sposób oczywisty ten próg stosowania. Ponadto, zgodnie z art.</w:t>
      </w:r>
      <w:r w:rsidR="009343A1">
        <w:rPr>
          <w:rFonts w:cs="Arial"/>
          <w:bCs/>
          <w:iCs/>
        </w:rPr>
        <w:t xml:space="preserve"> </w:t>
      </w:r>
      <w:r w:rsidRPr="009C6860">
        <w:rPr>
          <w:rFonts w:cs="Arial"/>
          <w:bCs/>
          <w:iCs/>
        </w:rPr>
        <w:t>38 ust.</w:t>
      </w:r>
      <w:r w:rsidR="009343A1">
        <w:rPr>
          <w:rFonts w:cs="Arial"/>
          <w:bCs/>
          <w:iCs/>
        </w:rPr>
        <w:t xml:space="preserve"> </w:t>
      </w:r>
      <w:r w:rsidRPr="009C6860">
        <w:rPr>
          <w:rFonts w:cs="Arial"/>
          <w:bCs/>
          <w:iCs/>
        </w:rPr>
        <w:t>1 dyrektywy 2014/23/UE, w</w:t>
      </w:r>
      <w:r w:rsidR="009343A1">
        <w:rPr>
          <w:rFonts w:cs="Arial"/>
          <w:bCs/>
          <w:iCs/>
        </w:rPr>
        <w:t xml:space="preserve"> </w:t>
      </w:r>
      <w:r w:rsidRPr="009C6860">
        <w:rPr>
          <w:rFonts w:cs="Arial"/>
          <w:bCs/>
          <w:iCs/>
        </w:rPr>
        <w:t>związku z</w:t>
      </w:r>
      <w:r w:rsidR="009343A1">
        <w:rPr>
          <w:rFonts w:cs="Arial"/>
          <w:bCs/>
          <w:iCs/>
        </w:rPr>
        <w:t xml:space="preserve"> </w:t>
      </w:r>
      <w:r w:rsidRPr="009C6860">
        <w:rPr>
          <w:rFonts w:cs="Arial"/>
          <w:bCs/>
          <w:iCs/>
        </w:rPr>
        <w:t>pkt</w:t>
      </w:r>
      <w:r w:rsidR="009343A1">
        <w:rPr>
          <w:rFonts w:cs="Arial"/>
          <w:bCs/>
          <w:iCs/>
        </w:rPr>
        <w:t xml:space="preserve"> </w:t>
      </w:r>
      <w:r w:rsidRPr="009C6860">
        <w:rPr>
          <w:rFonts w:cs="Arial"/>
          <w:bCs/>
          <w:iCs/>
        </w:rPr>
        <w:t>7 lit.</w:t>
      </w:r>
      <w:r w:rsidR="009343A1">
        <w:rPr>
          <w:rFonts w:cs="Arial"/>
          <w:bCs/>
          <w:iCs/>
        </w:rPr>
        <w:t xml:space="preserve"> </w:t>
      </w:r>
      <w:r w:rsidRPr="009C6860">
        <w:rPr>
          <w:rFonts w:cs="Arial"/>
          <w:bCs/>
          <w:iCs/>
        </w:rPr>
        <w:t>b) załącznika</w:t>
      </w:r>
      <w:r w:rsidR="009343A1">
        <w:rPr>
          <w:rFonts w:cs="Arial"/>
          <w:bCs/>
          <w:iCs/>
        </w:rPr>
        <w:t xml:space="preserve"> </w:t>
      </w:r>
      <w:r w:rsidRPr="009C6860">
        <w:rPr>
          <w:rFonts w:cs="Arial"/>
          <w:bCs/>
          <w:iCs/>
        </w:rPr>
        <w:t>V do tej dyrektywy i</w:t>
      </w:r>
      <w:r w:rsidR="009343A1">
        <w:rPr>
          <w:rFonts w:cs="Arial"/>
          <w:bCs/>
          <w:iCs/>
        </w:rPr>
        <w:t xml:space="preserve"> </w:t>
      </w:r>
      <w:r w:rsidRPr="009C6860">
        <w:rPr>
          <w:rFonts w:cs="Arial"/>
          <w:bCs/>
          <w:iCs/>
        </w:rPr>
        <w:t>jej motywem</w:t>
      </w:r>
      <w:r w:rsidR="009343A1">
        <w:rPr>
          <w:rFonts w:cs="Arial"/>
          <w:bCs/>
          <w:iCs/>
        </w:rPr>
        <w:t xml:space="preserve"> </w:t>
      </w:r>
      <w:r w:rsidRPr="009C6860">
        <w:rPr>
          <w:rFonts w:cs="Arial"/>
          <w:bCs/>
          <w:iCs/>
        </w:rPr>
        <w:t>4 oraz art.</w:t>
      </w:r>
      <w:r w:rsidR="009343A1">
        <w:rPr>
          <w:rFonts w:cs="Arial"/>
          <w:bCs/>
          <w:iCs/>
        </w:rPr>
        <w:t xml:space="preserve"> </w:t>
      </w:r>
      <w:r w:rsidRPr="009C6860">
        <w:rPr>
          <w:rFonts w:cs="Arial"/>
          <w:bCs/>
          <w:iCs/>
        </w:rPr>
        <w:t>4 rozporządzenia wykonawczego Komisji (UE) 2015/1986 z</w:t>
      </w:r>
      <w:r w:rsidR="009343A1">
        <w:rPr>
          <w:rFonts w:cs="Arial"/>
          <w:bCs/>
          <w:iCs/>
        </w:rPr>
        <w:t xml:space="preserve"> </w:t>
      </w:r>
      <w:r w:rsidRPr="009C6860">
        <w:rPr>
          <w:rFonts w:cs="Arial"/>
          <w:bCs/>
          <w:iCs/>
        </w:rPr>
        <w:t>dnia 11</w:t>
      </w:r>
      <w:r w:rsidR="009343A1">
        <w:rPr>
          <w:rFonts w:cs="Arial"/>
          <w:bCs/>
          <w:iCs/>
        </w:rPr>
        <w:t xml:space="preserve"> </w:t>
      </w:r>
      <w:r w:rsidRPr="009C6860">
        <w:rPr>
          <w:rFonts w:cs="Arial"/>
          <w:bCs/>
          <w:iCs/>
        </w:rPr>
        <w:t>listopada 2015</w:t>
      </w:r>
      <w:r w:rsidR="009343A1">
        <w:rPr>
          <w:rFonts w:cs="Arial"/>
          <w:bCs/>
          <w:iCs/>
        </w:rPr>
        <w:t xml:space="preserve"> </w:t>
      </w:r>
      <w:r w:rsidRPr="009C6860">
        <w:rPr>
          <w:rFonts w:cs="Arial"/>
          <w:bCs/>
          <w:iCs/>
        </w:rPr>
        <w:t>r. ustanawiającego standardowe formularze do publikacji ogłoszeń w</w:t>
      </w:r>
      <w:r w:rsidR="009343A1">
        <w:rPr>
          <w:rFonts w:cs="Arial"/>
          <w:bCs/>
          <w:iCs/>
        </w:rPr>
        <w:t xml:space="preserve"> </w:t>
      </w:r>
      <w:r w:rsidRPr="009C6860">
        <w:rPr>
          <w:rFonts w:cs="Arial"/>
          <w:bCs/>
          <w:iCs/>
        </w:rPr>
        <w:t>dziedzinie zamówień publicznych i</w:t>
      </w:r>
      <w:r w:rsidR="009343A1">
        <w:rPr>
          <w:rFonts w:cs="Arial"/>
          <w:bCs/>
          <w:iCs/>
        </w:rPr>
        <w:t xml:space="preserve"> </w:t>
      </w:r>
      <w:r w:rsidRPr="009C6860">
        <w:rPr>
          <w:rFonts w:cs="Arial"/>
          <w:bCs/>
          <w:iCs/>
        </w:rPr>
        <w:t>uchylającego rozporządzenie wykonawcze (UE) nr</w:t>
      </w:r>
      <w:r w:rsidR="009343A1">
        <w:rPr>
          <w:rFonts w:cs="Arial"/>
          <w:bCs/>
          <w:iCs/>
        </w:rPr>
        <w:t xml:space="preserve"> </w:t>
      </w:r>
      <w:r w:rsidRPr="009C6860">
        <w:rPr>
          <w:rFonts w:cs="Arial"/>
          <w:bCs/>
          <w:iCs/>
        </w:rPr>
        <w:t>842/2011 i</w:t>
      </w:r>
      <w:r w:rsidR="009343A1">
        <w:rPr>
          <w:rFonts w:cs="Arial"/>
          <w:bCs/>
          <w:iCs/>
        </w:rPr>
        <w:t xml:space="preserve"> </w:t>
      </w:r>
      <w:r w:rsidRPr="009C6860">
        <w:rPr>
          <w:rFonts w:cs="Arial"/>
          <w:bCs/>
          <w:iCs/>
        </w:rPr>
        <w:t>pkt</w:t>
      </w:r>
      <w:r w:rsidR="009343A1">
        <w:rPr>
          <w:rFonts w:cs="Arial"/>
          <w:bCs/>
          <w:iCs/>
        </w:rPr>
        <w:t xml:space="preserve"> </w:t>
      </w:r>
      <w:r w:rsidRPr="009C6860">
        <w:rPr>
          <w:rFonts w:cs="Arial"/>
          <w:bCs/>
          <w:iCs/>
        </w:rPr>
        <w:t>III.1.1 załącznika</w:t>
      </w:r>
      <w:r w:rsidR="009343A1">
        <w:rPr>
          <w:rFonts w:cs="Arial"/>
          <w:bCs/>
          <w:iCs/>
        </w:rPr>
        <w:t xml:space="preserve"> </w:t>
      </w:r>
      <w:r w:rsidRPr="009C6860">
        <w:rPr>
          <w:rFonts w:cs="Arial"/>
          <w:bCs/>
          <w:iCs/>
        </w:rPr>
        <w:t>XXI do tego rozporządzenia, instytucja zamawiająca może wymagać, w</w:t>
      </w:r>
      <w:r w:rsidR="009343A1">
        <w:rPr>
          <w:rFonts w:cs="Arial"/>
          <w:bCs/>
          <w:iCs/>
        </w:rPr>
        <w:t xml:space="preserve"> </w:t>
      </w:r>
      <w:r w:rsidRPr="009C6860">
        <w:rPr>
          <w:rFonts w:cs="Arial"/>
          <w:bCs/>
          <w:iCs/>
        </w:rPr>
        <w:t>ramach kryteriów kwalifikacji i</w:t>
      </w:r>
      <w:r w:rsidR="009343A1">
        <w:rPr>
          <w:rFonts w:cs="Arial"/>
          <w:bCs/>
          <w:iCs/>
        </w:rPr>
        <w:t xml:space="preserve"> </w:t>
      </w:r>
      <w:r w:rsidRPr="009C6860">
        <w:rPr>
          <w:rFonts w:cs="Arial"/>
          <w:bCs/>
          <w:iCs/>
        </w:rPr>
        <w:t>oceny podmiotowej kandydatów, aby wykonawcy byli wpisani do rejestru handlowego lub rejestru zawodowego, pod warunkiem że wykonawca może powołać się na wpis, jaki uzyskał w</w:t>
      </w:r>
      <w:r w:rsidR="009343A1">
        <w:rPr>
          <w:rFonts w:cs="Arial"/>
          <w:bCs/>
          <w:iCs/>
        </w:rPr>
        <w:t xml:space="preserve"> </w:t>
      </w:r>
      <w:r w:rsidRPr="009C6860">
        <w:rPr>
          <w:rFonts w:cs="Arial"/>
          <w:bCs/>
          <w:iCs/>
        </w:rPr>
        <w:t>podobnym rejestrze w</w:t>
      </w:r>
      <w:r w:rsidR="009343A1">
        <w:rPr>
          <w:rFonts w:cs="Arial"/>
          <w:bCs/>
          <w:iCs/>
        </w:rPr>
        <w:t xml:space="preserve"> </w:t>
      </w:r>
      <w:r w:rsidRPr="009C6860">
        <w:rPr>
          <w:rFonts w:cs="Arial"/>
          <w:bCs/>
          <w:iCs/>
        </w:rPr>
        <w:t>państwie członkowskim, w</w:t>
      </w:r>
      <w:r w:rsidR="009343A1">
        <w:rPr>
          <w:rFonts w:cs="Arial"/>
          <w:bCs/>
          <w:iCs/>
        </w:rPr>
        <w:t xml:space="preserve"> </w:t>
      </w:r>
      <w:r w:rsidRPr="009C6860">
        <w:rPr>
          <w:rFonts w:cs="Arial"/>
          <w:bCs/>
          <w:iCs/>
        </w:rPr>
        <w:t>którym ma siedzibę. Natomiast art.</w:t>
      </w:r>
      <w:r w:rsidR="009343A1">
        <w:rPr>
          <w:rFonts w:cs="Arial"/>
          <w:bCs/>
          <w:iCs/>
        </w:rPr>
        <w:t xml:space="preserve"> </w:t>
      </w:r>
      <w:r w:rsidRPr="009C6860">
        <w:rPr>
          <w:rFonts w:cs="Arial"/>
          <w:bCs/>
          <w:iCs/>
        </w:rPr>
        <w:t>38 ust.</w:t>
      </w:r>
      <w:r w:rsidR="009343A1">
        <w:rPr>
          <w:rFonts w:cs="Arial"/>
          <w:bCs/>
          <w:iCs/>
        </w:rPr>
        <w:t xml:space="preserve"> </w:t>
      </w:r>
      <w:r w:rsidRPr="009C6860">
        <w:rPr>
          <w:rFonts w:cs="Arial"/>
          <w:bCs/>
          <w:iCs/>
        </w:rPr>
        <w:t>1 dyrektywy 2014/23/UE, w</w:t>
      </w:r>
      <w:r w:rsidR="009343A1">
        <w:rPr>
          <w:rFonts w:cs="Arial"/>
          <w:bCs/>
          <w:iCs/>
        </w:rPr>
        <w:t xml:space="preserve"> </w:t>
      </w:r>
      <w:r w:rsidRPr="009C6860">
        <w:rPr>
          <w:rFonts w:cs="Arial"/>
          <w:bCs/>
          <w:iCs/>
        </w:rPr>
        <w:t>związku z</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27 tej dyrektywy i</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1 rozporządzenia (WE) nr</w:t>
      </w:r>
      <w:r w:rsidR="009343A1">
        <w:rPr>
          <w:rFonts w:cs="Arial"/>
          <w:bCs/>
          <w:iCs/>
        </w:rPr>
        <w:t xml:space="preserve"> </w:t>
      </w:r>
      <w:r w:rsidRPr="009C6860">
        <w:rPr>
          <w:rFonts w:cs="Arial"/>
          <w:bCs/>
          <w:iCs/>
        </w:rPr>
        <w:t>2195/2002 Parlamentu Europejskiego i</w:t>
      </w:r>
      <w:r w:rsidR="009343A1">
        <w:rPr>
          <w:rFonts w:cs="Arial"/>
          <w:bCs/>
          <w:iCs/>
        </w:rPr>
        <w:t xml:space="preserve"> </w:t>
      </w:r>
      <w:r w:rsidRPr="009C6860">
        <w:rPr>
          <w:rFonts w:cs="Arial"/>
          <w:bCs/>
          <w:iCs/>
        </w:rPr>
        <w:t>Rady z</w:t>
      </w:r>
      <w:r w:rsidR="009343A1">
        <w:rPr>
          <w:rFonts w:cs="Arial"/>
          <w:bCs/>
          <w:iCs/>
        </w:rPr>
        <w:t xml:space="preserve"> </w:t>
      </w:r>
      <w:r w:rsidRPr="009C6860">
        <w:rPr>
          <w:rFonts w:cs="Arial"/>
          <w:bCs/>
          <w:iCs/>
        </w:rPr>
        <w:t>dnia 5</w:t>
      </w:r>
      <w:r w:rsidR="009343A1">
        <w:rPr>
          <w:rFonts w:cs="Arial"/>
          <w:bCs/>
          <w:iCs/>
        </w:rPr>
        <w:t xml:space="preserve"> </w:t>
      </w:r>
      <w:r w:rsidRPr="009C6860">
        <w:rPr>
          <w:rFonts w:cs="Arial"/>
          <w:bCs/>
          <w:iCs/>
        </w:rPr>
        <w:t>listopada 2002</w:t>
      </w:r>
      <w:r w:rsidR="009343A1">
        <w:rPr>
          <w:rFonts w:cs="Arial"/>
          <w:bCs/>
          <w:iCs/>
        </w:rPr>
        <w:t xml:space="preserve"> </w:t>
      </w:r>
      <w:r w:rsidRPr="009C6860">
        <w:rPr>
          <w:rFonts w:cs="Arial"/>
          <w:bCs/>
          <w:iCs/>
        </w:rPr>
        <w:t>r. w</w:t>
      </w:r>
      <w:r w:rsidR="009343A1">
        <w:rPr>
          <w:rFonts w:cs="Arial"/>
          <w:bCs/>
          <w:iCs/>
        </w:rPr>
        <w:t xml:space="preserve"> </w:t>
      </w:r>
      <w:r w:rsidRPr="009C6860">
        <w:rPr>
          <w:rFonts w:cs="Arial"/>
          <w:bCs/>
          <w:iCs/>
        </w:rPr>
        <w:t>sprawie Wspólnego słownika zamówień (CPV) należy interpretować w</w:t>
      </w:r>
      <w:r w:rsidR="009343A1">
        <w:rPr>
          <w:rFonts w:cs="Arial"/>
          <w:bCs/>
          <w:iCs/>
        </w:rPr>
        <w:t xml:space="preserve"> </w:t>
      </w:r>
      <w:r w:rsidRPr="009C6860">
        <w:rPr>
          <w:rFonts w:cs="Arial"/>
          <w:bCs/>
          <w:iCs/>
        </w:rPr>
        <w:t>ten sposób, że stoi on na przeszkodzie temu, aby instytucja zamawiająca, która nakłada na wykonawców wymóg bycia wpisanym do rejestru handlowego lub rejestru zawodowego państwa członkowskiego Unii Europejskiej, odnosiła się nie do Wspólnego słownika zamówień, złożonego z</w:t>
      </w:r>
      <w:r w:rsidR="009343A1">
        <w:rPr>
          <w:rFonts w:cs="Arial"/>
          <w:bCs/>
          <w:iCs/>
        </w:rPr>
        <w:t xml:space="preserve"> </w:t>
      </w:r>
      <w:r w:rsidRPr="009C6860">
        <w:rPr>
          <w:rFonts w:cs="Arial"/>
          <w:bCs/>
          <w:iCs/>
        </w:rPr>
        <w:t>kodów CPV, lecz do kwalifikacji NACE Rev 2., ustanowionej w</w:t>
      </w:r>
      <w:r w:rsidR="009343A1">
        <w:rPr>
          <w:rFonts w:cs="Arial"/>
          <w:bCs/>
          <w:iCs/>
        </w:rPr>
        <w:t xml:space="preserve"> </w:t>
      </w:r>
      <w:r w:rsidRPr="009C6860">
        <w:rPr>
          <w:rFonts w:cs="Arial"/>
          <w:bCs/>
          <w:iCs/>
        </w:rPr>
        <w:t>rozporządzeniu (WE) nr</w:t>
      </w:r>
      <w:r w:rsidR="009343A1">
        <w:rPr>
          <w:rFonts w:cs="Arial"/>
          <w:bCs/>
          <w:iCs/>
        </w:rPr>
        <w:t xml:space="preserve"> </w:t>
      </w:r>
      <w:r w:rsidRPr="009C6860">
        <w:rPr>
          <w:rFonts w:cs="Arial"/>
          <w:bCs/>
          <w:iCs/>
        </w:rPr>
        <w:t>1893/2006 Parlamentu Europejskiego i</w:t>
      </w:r>
      <w:r w:rsidR="009343A1">
        <w:rPr>
          <w:rFonts w:cs="Arial"/>
          <w:bCs/>
          <w:iCs/>
        </w:rPr>
        <w:t xml:space="preserve"> </w:t>
      </w:r>
      <w:r w:rsidRPr="009C6860">
        <w:rPr>
          <w:rFonts w:cs="Arial"/>
          <w:bCs/>
          <w:iCs/>
        </w:rPr>
        <w:t>Rady z</w:t>
      </w:r>
      <w:r w:rsidR="009343A1">
        <w:rPr>
          <w:rFonts w:cs="Arial"/>
          <w:bCs/>
          <w:iCs/>
        </w:rPr>
        <w:t xml:space="preserve"> </w:t>
      </w:r>
      <w:r w:rsidRPr="009C6860">
        <w:rPr>
          <w:rFonts w:cs="Arial"/>
          <w:bCs/>
          <w:iCs/>
        </w:rPr>
        <w:t>dnia 20</w:t>
      </w:r>
      <w:r w:rsidR="009343A1">
        <w:rPr>
          <w:rFonts w:cs="Arial"/>
          <w:bCs/>
          <w:iCs/>
        </w:rPr>
        <w:t xml:space="preserve"> </w:t>
      </w:r>
      <w:r w:rsidRPr="009C6860">
        <w:rPr>
          <w:rFonts w:cs="Arial"/>
          <w:bCs/>
          <w:iCs/>
        </w:rPr>
        <w:t>grudnia 2006</w:t>
      </w:r>
      <w:r w:rsidR="009343A1">
        <w:rPr>
          <w:rFonts w:cs="Arial"/>
          <w:bCs/>
          <w:iCs/>
        </w:rPr>
        <w:t xml:space="preserve"> </w:t>
      </w:r>
      <w:r w:rsidRPr="009C6860">
        <w:rPr>
          <w:rFonts w:cs="Arial"/>
          <w:bCs/>
          <w:iCs/>
        </w:rPr>
        <w:t>r. w</w:t>
      </w:r>
      <w:r w:rsidR="009343A1">
        <w:rPr>
          <w:rFonts w:cs="Arial"/>
          <w:bCs/>
          <w:iCs/>
        </w:rPr>
        <w:t xml:space="preserve"> </w:t>
      </w:r>
      <w:r w:rsidRPr="009C6860">
        <w:rPr>
          <w:rFonts w:cs="Arial"/>
          <w:bCs/>
          <w:iCs/>
        </w:rPr>
        <w:t>sprawie statystycznej klasyfikacji działalności gospodarczej NACE Rev.</w:t>
      </w:r>
      <w:r w:rsidR="009343A1">
        <w:rPr>
          <w:rFonts w:cs="Arial"/>
          <w:bCs/>
          <w:iCs/>
        </w:rPr>
        <w:t xml:space="preserve"> </w:t>
      </w:r>
      <w:r w:rsidRPr="009C6860">
        <w:rPr>
          <w:rFonts w:cs="Arial"/>
          <w:bCs/>
          <w:iCs/>
        </w:rPr>
        <w:t>2 i</w:t>
      </w:r>
      <w:r w:rsidR="009343A1">
        <w:rPr>
          <w:rFonts w:cs="Arial"/>
          <w:bCs/>
          <w:iCs/>
        </w:rPr>
        <w:t xml:space="preserve"> </w:t>
      </w:r>
      <w:r w:rsidRPr="009C6860">
        <w:rPr>
          <w:rFonts w:cs="Arial"/>
          <w:bCs/>
          <w:iCs/>
        </w:rPr>
        <w:t>zmieniającym rozporządzenie Rady (EWG) nr</w:t>
      </w:r>
      <w:r w:rsidR="009343A1">
        <w:rPr>
          <w:rFonts w:cs="Arial"/>
          <w:bCs/>
          <w:iCs/>
        </w:rPr>
        <w:t xml:space="preserve"> </w:t>
      </w:r>
      <w:r w:rsidRPr="009C6860">
        <w:rPr>
          <w:rFonts w:cs="Arial"/>
          <w:bCs/>
          <w:iCs/>
        </w:rPr>
        <w:t>3037/90 oraz niektóre rozporządzenia WE w</w:t>
      </w:r>
      <w:r w:rsidR="009343A1">
        <w:rPr>
          <w:rFonts w:cs="Arial"/>
          <w:bCs/>
          <w:iCs/>
        </w:rPr>
        <w:t xml:space="preserve"> </w:t>
      </w:r>
      <w:r w:rsidRPr="009C6860">
        <w:rPr>
          <w:rFonts w:cs="Arial"/>
          <w:bCs/>
          <w:iCs/>
        </w:rPr>
        <w:t>sprawie określonych dziedzin statystycznych. Na koniec Trybunał wskazał, że w myśl regulacji art. 38 ust.</w:t>
      </w:r>
      <w:r w:rsidR="009343A1">
        <w:rPr>
          <w:rFonts w:cs="Arial"/>
          <w:bCs/>
          <w:iCs/>
        </w:rPr>
        <w:t xml:space="preserve"> </w:t>
      </w:r>
      <w:r w:rsidRPr="009C6860">
        <w:rPr>
          <w:rFonts w:cs="Arial"/>
          <w:bCs/>
          <w:iCs/>
        </w:rPr>
        <w:t>1 i</w:t>
      </w:r>
      <w:r w:rsidR="009343A1">
        <w:rPr>
          <w:rFonts w:cs="Arial"/>
          <w:bCs/>
          <w:iCs/>
        </w:rPr>
        <w:t xml:space="preserve"> </w:t>
      </w:r>
      <w:r w:rsidRPr="009C6860">
        <w:rPr>
          <w:rFonts w:cs="Arial"/>
          <w:bCs/>
          <w:iCs/>
        </w:rPr>
        <w:t>2 dyrektywy 2014/23/UE w</w:t>
      </w:r>
      <w:r w:rsidR="009343A1">
        <w:rPr>
          <w:rFonts w:cs="Arial"/>
          <w:bCs/>
          <w:iCs/>
        </w:rPr>
        <w:t xml:space="preserve"> </w:t>
      </w:r>
      <w:r w:rsidRPr="009C6860">
        <w:rPr>
          <w:rFonts w:cs="Arial"/>
          <w:bCs/>
          <w:iCs/>
        </w:rPr>
        <w:t>związku z</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26 ust.</w:t>
      </w:r>
      <w:r w:rsidR="009343A1">
        <w:rPr>
          <w:rFonts w:cs="Arial"/>
          <w:bCs/>
          <w:iCs/>
        </w:rPr>
        <w:t xml:space="preserve"> </w:t>
      </w:r>
      <w:r w:rsidRPr="009C6860">
        <w:rPr>
          <w:rFonts w:cs="Arial"/>
          <w:bCs/>
          <w:iCs/>
        </w:rPr>
        <w:t>2 tej dyrektywy instytucja zamawiająca nie może bez naruszania zasady proporcjonalności zagwarantowanej w</w:t>
      </w:r>
      <w:r w:rsidR="009343A1">
        <w:rPr>
          <w:rFonts w:cs="Arial"/>
          <w:bCs/>
          <w:iCs/>
        </w:rPr>
        <w:t xml:space="preserve"> </w:t>
      </w:r>
      <w:r w:rsidRPr="009C6860">
        <w:rPr>
          <w:rFonts w:cs="Arial"/>
          <w:bCs/>
          <w:iCs/>
        </w:rPr>
        <w:t>art.</w:t>
      </w:r>
      <w:r w:rsidR="009343A1">
        <w:rPr>
          <w:rFonts w:cs="Arial"/>
          <w:bCs/>
          <w:iCs/>
        </w:rPr>
        <w:t xml:space="preserve"> </w:t>
      </w:r>
      <w:r w:rsidRPr="009C6860">
        <w:rPr>
          <w:rFonts w:cs="Arial"/>
          <w:bCs/>
          <w:iCs/>
        </w:rPr>
        <w:t>3 ust.</w:t>
      </w:r>
      <w:r w:rsidR="009343A1">
        <w:rPr>
          <w:rFonts w:cs="Arial"/>
          <w:bCs/>
          <w:iCs/>
        </w:rPr>
        <w:t xml:space="preserve"> </w:t>
      </w:r>
      <w:r w:rsidRPr="009C6860">
        <w:rPr>
          <w:rFonts w:cs="Arial"/>
          <w:bCs/>
          <w:iCs/>
        </w:rPr>
        <w:t>1 akapit pierwszy tej dyrektywy wymagać, aby każdy członek tymczasowego stowarzyszenia przedsiębiorstw był wpisany w</w:t>
      </w:r>
      <w:r w:rsidR="009343A1">
        <w:rPr>
          <w:rFonts w:cs="Arial"/>
          <w:bCs/>
          <w:iCs/>
        </w:rPr>
        <w:t xml:space="preserve"> </w:t>
      </w:r>
      <w:r w:rsidRPr="009C6860">
        <w:rPr>
          <w:rFonts w:cs="Arial"/>
          <w:bCs/>
          <w:iCs/>
        </w:rPr>
        <w:t>państwie członkowskim do rejestru handlowego lub rejestru zawodowego w</w:t>
      </w:r>
      <w:r w:rsidR="009343A1">
        <w:rPr>
          <w:rFonts w:cs="Arial"/>
          <w:bCs/>
          <w:iCs/>
        </w:rPr>
        <w:t xml:space="preserve"> </w:t>
      </w:r>
      <w:r w:rsidRPr="009C6860">
        <w:rPr>
          <w:rFonts w:cs="Arial"/>
          <w:bCs/>
          <w:iCs/>
        </w:rPr>
        <w:t>celu wykonywania działalności obejmującej wynajem i</w:t>
      </w:r>
      <w:r w:rsidR="009343A1">
        <w:rPr>
          <w:rFonts w:cs="Arial"/>
          <w:bCs/>
          <w:iCs/>
        </w:rPr>
        <w:t xml:space="preserve"> </w:t>
      </w:r>
      <w:r w:rsidRPr="009C6860">
        <w:rPr>
          <w:rFonts w:cs="Arial"/>
          <w:bCs/>
          <w:iCs/>
        </w:rPr>
        <w:t>dzierżawę samochodów osobowych i</w:t>
      </w:r>
      <w:r w:rsidR="009343A1">
        <w:rPr>
          <w:rFonts w:cs="Arial"/>
          <w:bCs/>
          <w:iCs/>
        </w:rPr>
        <w:t xml:space="preserve"> </w:t>
      </w:r>
      <w:r w:rsidRPr="009C6860">
        <w:rPr>
          <w:rFonts w:cs="Arial"/>
          <w:bCs/>
          <w:iCs/>
        </w:rPr>
        <w:t>furgonetek.</w:t>
      </w:r>
    </w:p>
    <w:p w14:paraId="77B7B213" w14:textId="77777777" w:rsidR="00BF4B84" w:rsidRPr="009C6860" w:rsidRDefault="00BF4B84" w:rsidP="009C6860">
      <w:pPr>
        <w:shd w:val="clear" w:color="auto" w:fill="FFFFFF"/>
        <w:rPr>
          <w:rFonts w:cs="Arial"/>
          <w:bCs/>
          <w:iCs/>
        </w:rPr>
      </w:pPr>
    </w:p>
    <w:p w14:paraId="2AE46F9E" w14:textId="77777777" w:rsidR="009C6860" w:rsidRPr="009C6860" w:rsidRDefault="009C6860" w:rsidP="009C6860">
      <w:pPr>
        <w:shd w:val="clear" w:color="auto" w:fill="FFFFFF"/>
        <w:rPr>
          <w:rFonts w:cs="Arial"/>
          <w:b/>
          <w:i/>
          <w:iCs/>
        </w:rPr>
      </w:pPr>
      <w:r w:rsidRPr="009C6860">
        <w:rPr>
          <w:rFonts w:cs="Arial"/>
          <w:b/>
          <w:iCs/>
        </w:rPr>
        <w:t xml:space="preserve">18. Wyrok z dnia 10 listopada 2022 r. w sprawie C-631/21 </w:t>
      </w:r>
      <w:r w:rsidRPr="009C6860">
        <w:rPr>
          <w:rFonts w:cs="Arial"/>
          <w:b/>
          <w:bCs/>
          <w:i/>
          <w:iCs/>
        </w:rPr>
        <w:t>Taxi Horn Tours BV przeciwko gemeente Weert, gemeente Nederweert, Touringcars VOF</w:t>
      </w:r>
      <w:r w:rsidRPr="009C6860">
        <w:rPr>
          <w:rFonts w:cs="Arial"/>
          <w:b/>
          <w:bCs/>
          <w:iCs/>
        </w:rPr>
        <w:t xml:space="preserve">, </w:t>
      </w:r>
      <w:r w:rsidRPr="009C6860">
        <w:rPr>
          <w:rFonts w:cs="Arial"/>
          <w:b/>
          <w:iCs/>
        </w:rPr>
        <w:t>ECLI:EU:C:2022:869</w:t>
      </w:r>
    </w:p>
    <w:p w14:paraId="189AD05A" w14:textId="0F905629" w:rsidR="009C6860" w:rsidRPr="009C6860" w:rsidRDefault="009C6860" w:rsidP="009C6860">
      <w:pPr>
        <w:shd w:val="clear" w:color="auto" w:fill="FFFFFF"/>
        <w:rPr>
          <w:rFonts w:cs="Arial"/>
          <w:iCs/>
        </w:rPr>
      </w:pPr>
      <w:r w:rsidRPr="009C6860">
        <w:rPr>
          <w:rFonts w:cs="Arial"/>
          <w:iCs/>
        </w:rPr>
        <w:t xml:space="preserve">Na gruncie sprawy C-631/21 </w:t>
      </w:r>
      <w:r w:rsidRPr="009C6860">
        <w:rPr>
          <w:rFonts w:cs="Arial"/>
          <w:i/>
          <w:iCs/>
        </w:rPr>
        <w:t>Taxi Horn Tours</w:t>
      </w:r>
      <w:r w:rsidRPr="009C6860">
        <w:rPr>
          <w:rFonts w:cs="Arial"/>
          <w:iCs/>
        </w:rPr>
        <w:t xml:space="preserve"> Trybunał podjął się analizy sytuacji, w</w:t>
      </w:r>
      <w:r w:rsidR="009343A1">
        <w:rPr>
          <w:rFonts w:cs="Arial"/>
          <w:iCs/>
        </w:rPr>
        <w:t xml:space="preserve"> </w:t>
      </w:r>
      <w:r w:rsidRPr="009C6860">
        <w:rPr>
          <w:rFonts w:cs="Arial"/>
          <w:iCs/>
        </w:rPr>
        <w:t>której dochodzi do powierzenia świadczenia usług mającej powstać spółce publiczno-prywatnej oraz kwestii ustalenia limitów udziału wspólnika prywatnego w takiej spółce.</w:t>
      </w:r>
    </w:p>
    <w:p w14:paraId="0637B8E8" w14:textId="5A1AF1BA" w:rsidR="009C6860" w:rsidRDefault="009C6860" w:rsidP="009C6860">
      <w:pPr>
        <w:shd w:val="clear" w:color="auto" w:fill="FFFFFF"/>
        <w:rPr>
          <w:rFonts w:cs="Arial"/>
          <w:iCs/>
        </w:rPr>
      </w:pPr>
      <w:r w:rsidRPr="009C6860">
        <w:rPr>
          <w:rFonts w:cs="Arial"/>
          <w:iCs/>
        </w:rPr>
        <w:t>Odpowiadając na pytania holenderskiego sądu odsyłającego Trybunał orzekł, że art.</w:t>
      </w:r>
      <w:r w:rsidR="009343A1">
        <w:rPr>
          <w:rFonts w:cs="Arial"/>
          <w:iCs/>
        </w:rPr>
        <w:t xml:space="preserve"> </w:t>
      </w:r>
      <w:r w:rsidRPr="009C6860">
        <w:rPr>
          <w:rFonts w:cs="Arial"/>
          <w:iCs/>
        </w:rPr>
        <w:t>59 ust.</w:t>
      </w:r>
      <w:r w:rsidR="009343A1">
        <w:rPr>
          <w:rFonts w:cs="Arial"/>
          <w:iCs/>
        </w:rPr>
        <w:t xml:space="preserve"> </w:t>
      </w:r>
      <w:r w:rsidRPr="009C6860">
        <w:rPr>
          <w:rFonts w:cs="Arial"/>
          <w:iCs/>
        </w:rPr>
        <w:t>1 dyrektywy 2014/24/UE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art.</w:t>
      </w:r>
      <w:r w:rsidR="009343A1">
        <w:rPr>
          <w:rFonts w:cs="Arial"/>
          <w:iCs/>
        </w:rPr>
        <w:t xml:space="preserve"> </w:t>
      </w:r>
      <w:r w:rsidRPr="009C6860">
        <w:rPr>
          <w:rFonts w:cs="Arial"/>
          <w:iCs/>
        </w:rPr>
        <w:t>2 ust.</w:t>
      </w:r>
      <w:r w:rsidR="009343A1">
        <w:rPr>
          <w:rFonts w:cs="Arial"/>
          <w:iCs/>
        </w:rPr>
        <w:t xml:space="preserve"> </w:t>
      </w:r>
      <w:r w:rsidRPr="009C6860">
        <w:rPr>
          <w:rFonts w:cs="Arial"/>
          <w:iCs/>
        </w:rPr>
        <w:t>1 pkt</w:t>
      </w:r>
      <w:r w:rsidR="009343A1">
        <w:rPr>
          <w:rFonts w:cs="Arial"/>
          <w:iCs/>
        </w:rPr>
        <w:t xml:space="preserve"> </w:t>
      </w:r>
      <w:r w:rsidRPr="009C6860">
        <w:rPr>
          <w:rFonts w:cs="Arial"/>
          <w:iCs/>
        </w:rPr>
        <w:t>10 i</w:t>
      </w:r>
      <w:r w:rsidR="009343A1">
        <w:rPr>
          <w:rFonts w:cs="Arial"/>
          <w:iCs/>
        </w:rPr>
        <w:t xml:space="preserve"> </w:t>
      </w:r>
      <w:r w:rsidRPr="009C6860">
        <w:rPr>
          <w:rFonts w:cs="Arial"/>
          <w:iCs/>
        </w:rPr>
        <w:t>art.</w:t>
      </w:r>
      <w:r w:rsidR="009343A1">
        <w:rPr>
          <w:rFonts w:cs="Arial"/>
          <w:iCs/>
        </w:rPr>
        <w:t xml:space="preserve"> </w:t>
      </w:r>
      <w:r w:rsidRPr="009C6860">
        <w:rPr>
          <w:rFonts w:cs="Arial"/>
          <w:iCs/>
        </w:rPr>
        <w:t>63 tej dyrektywy, jak również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załącznikiem</w:t>
      </w:r>
      <w:r w:rsidR="009343A1">
        <w:rPr>
          <w:rFonts w:cs="Arial"/>
          <w:iCs/>
        </w:rPr>
        <w:t xml:space="preserve"> </w:t>
      </w:r>
      <w:r w:rsidRPr="009C6860">
        <w:rPr>
          <w:rFonts w:cs="Arial"/>
          <w:iCs/>
        </w:rPr>
        <w:t>nr 1 do rozporządzenia wykonawczego Komisji (UE) 2016/7 z</w:t>
      </w:r>
      <w:r w:rsidR="009343A1">
        <w:rPr>
          <w:rFonts w:cs="Arial"/>
          <w:iCs/>
        </w:rPr>
        <w:t xml:space="preserve"> </w:t>
      </w:r>
      <w:r w:rsidRPr="009C6860">
        <w:rPr>
          <w:rFonts w:cs="Arial"/>
          <w:iCs/>
        </w:rPr>
        <w:t>dnia 5</w:t>
      </w:r>
      <w:r w:rsidR="009343A1">
        <w:rPr>
          <w:rFonts w:cs="Arial"/>
          <w:iCs/>
        </w:rPr>
        <w:t xml:space="preserve"> </w:t>
      </w:r>
      <w:r w:rsidRPr="009C6860">
        <w:rPr>
          <w:rFonts w:cs="Arial"/>
          <w:iCs/>
        </w:rPr>
        <w:t>stycznia 2016</w:t>
      </w:r>
      <w:r w:rsidR="009343A1">
        <w:rPr>
          <w:rFonts w:cs="Arial"/>
          <w:iCs/>
        </w:rPr>
        <w:t xml:space="preserve"> </w:t>
      </w:r>
      <w:r w:rsidRPr="009C6860">
        <w:rPr>
          <w:rFonts w:cs="Arial"/>
          <w:iCs/>
        </w:rPr>
        <w:t>r. ustanawiającego standardowy formularz jednolitego europejskiego dokumentu zamówienia (JEDZ) należy interpretować w</w:t>
      </w:r>
      <w:r w:rsidR="009343A1">
        <w:rPr>
          <w:rFonts w:cs="Arial"/>
          <w:iCs/>
        </w:rPr>
        <w:t xml:space="preserve"> </w:t>
      </w:r>
      <w:r w:rsidRPr="009C6860">
        <w:rPr>
          <w:rFonts w:cs="Arial"/>
          <w:iCs/>
        </w:rPr>
        <w:t>ten sposób, że wspólne przedsiębiorstwo, które nie będąc osobą prawną, ma formę spółki podlegającej prawu krajowemu państwa członkowskiego, która jest wpisana do rejestru handlowego tego państwa członkowskiego, która mogła zostać utworzona zarówno tymczasowo, jak i</w:t>
      </w:r>
      <w:r w:rsidR="009343A1">
        <w:rPr>
          <w:rFonts w:cs="Arial"/>
          <w:iCs/>
        </w:rPr>
        <w:t xml:space="preserve"> </w:t>
      </w:r>
      <w:r w:rsidRPr="009C6860">
        <w:rPr>
          <w:rFonts w:cs="Arial"/>
          <w:iCs/>
        </w:rPr>
        <w:t>na stałe, i</w:t>
      </w:r>
      <w:r w:rsidR="009343A1">
        <w:rPr>
          <w:rFonts w:cs="Arial"/>
          <w:iCs/>
        </w:rPr>
        <w:t xml:space="preserve"> </w:t>
      </w:r>
      <w:r w:rsidRPr="009C6860">
        <w:rPr>
          <w:rFonts w:cs="Arial"/>
          <w:iCs/>
        </w:rPr>
        <w:t>której wspólnicy działają na tym samym rynku co ta spółka oraz są solidarnie odpowiedzialni za właściwe wykonanie zobowiązań przez nią zaciągniętych, powinno przedstawić instytucji zamawiającej jedynie swój własny JEDZ, gdy zamierza indywidualnie uczestniczyć w</w:t>
      </w:r>
      <w:r w:rsidR="009343A1">
        <w:rPr>
          <w:rFonts w:cs="Arial"/>
          <w:iCs/>
        </w:rPr>
        <w:t xml:space="preserve"> </w:t>
      </w:r>
      <w:r w:rsidRPr="009C6860">
        <w:rPr>
          <w:rFonts w:cs="Arial"/>
          <w:iCs/>
        </w:rPr>
        <w:t>postępowaniu o</w:t>
      </w:r>
      <w:r w:rsidR="009343A1">
        <w:rPr>
          <w:rFonts w:cs="Arial"/>
          <w:iCs/>
        </w:rPr>
        <w:t xml:space="preserve"> </w:t>
      </w:r>
      <w:r w:rsidRPr="009C6860">
        <w:rPr>
          <w:rFonts w:cs="Arial"/>
          <w:iCs/>
        </w:rPr>
        <w:t>udzielenie zamówienia publicznego lub złożyć ofertę, pod warunkiem że wykaże, iż może wykonać dane zamówienie przy wykorzystaniu jedynie własnych zasobów osobistych i</w:t>
      </w:r>
      <w:r w:rsidR="009343A1">
        <w:rPr>
          <w:rFonts w:cs="Arial"/>
          <w:iCs/>
        </w:rPr>
        <w:t xml:space="preserve"> </w:t>
      </w:r>
      <w:r w:rsidRPr="009C6860">
        <w:rPr>
          <w:rFonts w:cs="Arial"/>
          <w:iCs/>
        </w:rPr>
        <w:t>materialnych. Jeśli natomiast tego rodzaju wspólne przedsiębiorstwo uważa, że w</w:t>
      </w:r>
      <w:r w:rsidR="009343A1">
        <w:rPr>
          <w:rFonts w:cs="Arial"/>
          <w:iCs/>
        </w:rPr>
        <w:t xml:space="preserve"> </w:t>
      </w:r>
      <w:r w:rsidRPr="009C6860">
        <w:rPr>
          <w:rFonts w:cs="Arial"/>
          <w:iCs/>
        </w:rPr>
        <w:t>celu wykonania zamówienia publicznego musi zażądać zasobów danych wspólników, należy uznać, że polega ono na zdolności innych podmiotów w</w:t>
      </w:r>
      <w:r w:rsidR="009343A1">
        <w:rPr>
          <w:rFonts w:cs="Arial"/>
          <w:iCs/>
        </w:rPr>
        <w:t xml:space="preserve"> </w:t>
      </w:r>
      <w:r w:rsidRPr="009C6860">
        <w:rPr>
          <w:rFonts w:cs="Arial"/>
          <w:iCs/>
        </w:rPr>
        <w:t>rozumieniu art.</w:t>
      </w:r>
      <w:r w:rsidR="009343A1">
        <w:rPr>
          <w:rFonts w:cs="Arial"/>
          <w:iCs/>
        </w:rPr>
        <w:t xml:space="preserve"> </w:t>
      </w:r>
      <w:r w:rsidRPr="009C6860">
        <w:rPr>
          <w:rFonts w:cs="Arial"/>
          <w:iCs/>
        </w:rPr>
        <w:t>63 dyrektywy 2014/24/UE i</w:t>
      </w:r>
      <w:r w:rsidR="009343A1">
        <w:rPr>
          <w:rFonts w:cs="Arial"/>
          <w:iCs/>
        </w:rPr>
        <w:t xml:space="preserve"> </w:t>
      </w:r>
      <w:r w:rsidRPr="009C6860">
        <w:rPr>
          <w:rFonts w:cs="Arial"/>
          <w:iCs/>
        </w:rPr>
        <w:t>powinno zatem przedstawić nie tylko własny JEDZ, ale również JEDZ każdego ze wspólników, na którego zdolnościach zamierza polegać.</w:t>
      </w:r>
    </w:p>
    <w:p w14:paraId="31ED5FC0" w14:textId="77777777" w:rsidR="00BF4B84" w:rsidRPr="009C6860" w:rsidRDefault="00BF4B84" w:rsidP="009C6860">
      <w:pPr>
        <w:shd w:val="clear" w:color="auto" w:fill="FFFFFF"/>
        <w:rPr>
          <w:rFonts w:cs="Arial"/>
          <w:iCs/>
        </w:rPr>
      </w:pPr>
    </w:p>
    <w:p w14:paraId="22BD5634" w14:textId="7897031D" w:rsidR="009C6860" w:rsidRPr="009C6860" w:rsidRDefault="009C6860" w:rsidP="009C6860">
      <w:pPr>
        <w:shd w:val="clear" w:color="auto" w:fill="FFFFFF"/>
        <w:rPr>
          <w:rFonts w:cs="Arial"/>
          <w:b/>
          <w:i/>
          <w:iCs/>
        </w:rPr>
      </w:pPr>
      <w:r w:rsidRPr="009C6860">
        <w:rPr>
          <w:rFonts w:cs="Arial"/>
          <w:b/>
          <w:iCs/>
        </w:rPr>
        <w:t>19. Wyrok z dnia 17 listopada 2022 r. w sprawie C-54/</w:t>
      </w:r>
      <w:r w:rsidRPr="009C6860">
        <w:rPr>
          <w:rFonts w:cs="Arial"/>
          <w:b/>
          <w:i/>
          <w:iCs/>
        </w:rPr>
        <w:t>21 Antea Polska S.A., Pectore-Eco sp. z</w:t>
      </w:r>
      <w:r w:rsidR="009343A1">
        <w:rPr>
          <w:rFonts w:cs="Arial"/>
          <w:b/>
          <w:i/>
          <w:iCs/>
        </w:rPr>
        <w:t xml:space="preserve"> </w:t>
      </w:r>
      <w:r w:rsidRPr="009C6860">
        <w:rPr>
          <w:rFonts w:cs="Arial"/>
          <w:b/>
          <w:i/>
          <w:iCs/>
        </w:rPr>
        <w:t>o.o., Instytut Ochrony Środowiska – Państwowy Instytut Badawczy przeciwko Państwowemu Gospodarstwu Wodnemu Wody Polskie</w:t>
      </w:r>
      <w:r w:rsidRPr="009C6860">
        <w:rPr>
          <w:rFonts w:cs="Arial"/>
          <w:b/>
          <w:bCs/>
          <w:iCs/>
        </w:rPr>
        <w:t xml:space="preserve">, </w:t>
      </w:r>
      <w:r w:rsidRPr="009C6860">
        <w:rPr>
          <w:rFonts w:cs="Arial"/>
          <w:b/>
          <w:iCs/>
        </w:rPr>
        <w:t>ECLI:EU:C:2022:888</w:t>
      </w:r>
    </w:p>
    <w:p w14:paraId="54A0CC07" w14:textId="0CFEBA2D" w:rsidR="009C6860" w:rsidRPr="009C6860" w:rsidRDefault="009C6860" w:rsidP="009C6860">
      <w:pPr>
        <w:shd w:val="clear" w:color="auto" w:fill="FFFFFF"/>
        <w:rPr>
          <w:rFonts w:cs="Arial"/>
          <w:iCs/>
        </w:rPr>
      </w:pPr>
      <w:r w:rsidRPr="009C6860">
        <w:rPr>
          <w:rFonts w:cs="Arial"/>
          <w:iCs/>
        </w:rPr>
        <w:t xml:space="preserve">Pytania prejudycjalne w tej sprawie zostały sformułowane przez polską Krajową Izbę Odwoławczą rozstrzygającą spór między zamawiającym i wykonawcami, dotyczący w głównej mierze informacji zastrzeżonych przez wykonawcę jako tajemnica przedsiębiorstwa w świetle zasady równego i niedyskryminacyjnego traktowania wykonawców oraz zasady przejrzystości. </w:t>
      </w:r>
      <w:r w:rsidRPr="009C6860">
        <w:rPr>
          <w:rFonts w:cs="Arial"/>
          <w:bCs/>
          <w:iCs/>
        </w:rPr>
        <w:t>Trybunał orzekł, że przepisy art.</w:t>
      </w:r>
      <w:r w:rsidR="009343A1">
        <w:rPr>
          <w:rFonts w:cs="Arial"/>
          <w:b/>
          <w:bCs/>
          <w:iCs/>
        </w:rPr>
        <w:t xml:space="preserve"> </w:t>
      </w:r>
      <w:r w:rsidRPr="009C6860">
        <w:rPr>
          <w:rFonts w:cs="Arial"/>
          <w:iCs/>
        </w:rPr>
        <w:t>18 ust.</w:t>
      </w:r>
      <w:r w:rsidR="009343A1">
        <w:rPr>
          <w:rFonts w:cs="Arial"/>
          <w:iCs/>
        </w:rPr>
        <w:t xml:space="preserve"> </w:t>
      </w:r>
      <w:r w:rsidRPr="009C6860">
        <w:rPr>
          <w:rFonts w:cs="Arial"/>
          <w:iCs/>
        </w:rPr>
        <w:t>1 i</w:t>
      </w:r>
      <w:r w:rsidR="009343A1">
        <w:rPr>
          <w:rFonts w:cs="Arial"/>
          <w:iCs/>
        </w:rPr>
        <w:t xml:space="preserve"> </w:t>
      </w:r>
      <w:r w:rsidRPr="009C6860">
        <w:rPr>
          <w:rFonts w:cs="Arial"/>
          <w:iCs/>
        </w:rPr>
        <w:t>art.</w:t>
      </w:r>
      <w:r w:rsidR="009343A1">
        <w:rPr>
          <w:rFonts w:cs="Arial"/>
          <w:iCs/>
        </w:rPr>
        <w:t xml:space="preserve"> </w:t>
      </w:r>
      <w:r w:rsidRPr="009C6860">
        <w:rPr>
          <w:rFonts w:cs="Arial"/>
          <w:iCs/>
        </w:rPr>
        <w:t>21 ust.</w:t>
      </w:r>
      <w:r w:rsidR="009343A1">
        <w:rPr>
          <w:rFonts w:cs="Arial"/>
          <w:iCs/>
        </w:rPr>
        <w:t xml:space="preserve"> </w:t>
      </w:r>
      <w:r w:rsidRPr="009C6860">
        <w:rPr>
          <w:rFonts w:cs="Arial"/>
          <w:iCs/>
        </w:rPr>
        <w:t>1 w</w:t>
      </w:r>
      <w:r w:rsidR="009343A1">
        <w:rPr>
          <w:rFonts w:cs="Arial"/>
          <w:iCs/>
        </w:rPr>
        <w:t xml:space="preserve"> </w:t>
      </w:r>
      <w:r w:rsidRPr="009C6860">
        <w:rPr>
          <w:rFonts w:cs="Arial"/>
          <w:iCs/>
        </w:rPr>
        <w:t>związku z</w:t>
      </w:r>
      <w:r w:rsidR="009343A1">
        <w:rPr>
          <w:rFonts w:cs="Arial"/>
          <w:iCs/>
        </w:rPr>
        <w:t xml:space="preserve"> </w:t>
      </w:r>
      <w:r w:rsidRPr="009C6860">
        <w:rPr>
          <w:rFonts w:cs="Arial"/>
          <w:iCs/>
        </w:rPr>
        <w:t>art.</w:t>
      </w:r>
      <w:r w:rsidR="009343A1">
        <w:rPr>
          <w:rFonts w:cs="Arial"/>
          <w:iCs/>
        </w:rPr>
        <w:t xml:space="preserve"> </w:t>
      </w:r>
      <w:r w:rsidRPr="009C6860">
        <w:rPr>
          <w:rFonts w:cs="Arial"/>
          <w:iCs/>
        </w:rPr>
        <w:t>50 ust.</w:t>
      </w:r>
      <w:r w:rsidR="009343A1">
        <w:rPr>
          <w:rFonts w:cs="Arial"/>
          <w:iCs/>
        </w:rPr>
        <w:t xml:space="preserve"> </w:t>
      </w:r>
      <w:r w:rsidRPr="009C6860">
        <w:rPr>
          <w:rFonts w:cs="Arial"/>
          <w:iCs/>
        </w:rPr>
        <w:t>4 i</w:t>
      </w:r>
      <w:r w:rsidR="009343A1">
        <w:rPr>
          <w:rFonts w:cs="Arial"/>
          <w:iCs/>
        </w:rPr>
        <w:t xml:space="preserve"> </w:t>
      </w:r>
      <w:r w:rsidRPr="009C6860">
        <w:rPr>
          <w:rFonts w:cs="Arial"/>
          <w:iCs/>
        </w:rPr>
        <w:t>art.</w:t>
      </w:r>
      <w:r w:rsidR="009343A1">
        <w:rPr>
          <w:rFonts w:cs="Arial"/>
          <w:iCs/>
        </w:rPr>
        <w:t xml:space="preserve"> </w:t>
      </w:r>
      <w:r w:rsidRPr="009C6860">
        <w:rPr>
          <w:rFonts w:cs="Arial"/>
          <w:iCs/>
        </w:rPr>
        <w:t>55 ust.</w:t>
      </w:r>
      <w:r w:rsidR="009343A1">
        <w:rPr>
          <w:rFonts w:cs="Arial"/>
          <w:iCs/>
        </w:rPr>
        <w:t xml:space="preserve"> </w:t>
      </w:r>
      <w:r w:rsidRPr="009C6860">
        <w:rPr>
          <w:rFonts w:cs="Arial"/>
          <w:iCs/>
        </w:rPr>
        <w:t>3 dyrektywy 2014/24/UE należy interpretować w</w:t>
      </w:r>
      <w:r w:rsidR="009343A1">
        <w:rPr>
          <w:rFonts w:cs="Arial"/>
          <w:iCs/>
        </w:rPr>
        <w:t xml:space="preserve"> </w:t>
      </w:r>
      <w:r w:rsidRPr="009C6860">
        <w:rPr>
          <w:rFonts w:cs="Arial"/>
          <w:iCs/>
        </w:rPr>
        <w:t>ten sposób, że stoją one na przeszkodzie przepisom krajowym w</w:t>
      </w:r>
      <w:r w:rsidR="009343A1">
        <w:rPr>
          <w:rFonts w:cs="Arial"/>
          <w:iCs/>
        </w:rPr>
        <w:t xml:space="preserve"> </w:t>
      </w:r>
      <w:r w:rsidRPr="009C6860">
        <w:rPr>
          <w:rFonts w:cs="Arial"/>
          <w:iCs/>
        </w:rPr>
        <w:t>dziedzinie udzielania zamówień publicznych, które wymagają, aby – z</w:t>
      </w:r>
      <w:r w:rsidR="009343A1">
        <w:rPr>
          <w:rFonts w:cs="Arial"/>
          <w:iCs/>
        </w:rPr>
        <w:t xml:space="preserve"> </w:t>
      </w:r>
      <w:r w:rsidRPr="009C6860">
        <w:rPr>
          <w:rFonts w:cs="Arial"/>
          <w:iCs/>
        </w:rPr>
        <w:t>jedynym wyjątkiem tajemnic przedsiębiorstwa – informacje przekazywane przez oferentów instytucjom zamawiającym były w</w:t>
      </w:r>
      <w:r w:rsidR="009343A1">
        <w:rPr>
          <w:rFonts w:cs="Arial"/>
          <w:iCs/>
        </w:rPr>
        <w:t xml:space="preserve"> </w:t>
      </w:r>
      <w:r w:rsidRPr="009C6860">
        <w:rPr>
          <w:rFonts w:cs="Arial"/>
          <w:iCs/>
        </w:rPr>
        <w:t>całości publikowane lub podawane do wiadomości pozostałych oferentów, a</w:t>
      </w:r>
      <w:r w:rsidR="009343A1">
        <w:rPr>
          <w:rFonts w:cs="Arial"/>
          <w:iCs/>
        </w:rPr>
        <w:t xml:space="preserve"> </w:t>
      </w:r>
      <w:r w:rsidRPr="009C6860">
        <w:rPr>
          <w:rFonts w:cs="Arial"/>
          <w:iCs/>
        </w:rPr>
        <w:t>także praktyce instytucji zamawiających polegającej na każdorazowym uwzględnianiu wniosków o</w:t>
      </w:r>
      <w:r w:rsidR="009343A1">
        <w:rPr>
          <w:rFonts w:cs="Arial"/>
          <w:iCs/>
        </w:rPr>
        <w:t xml:space="preserve"> </w:t>
      </w:r>
      <w:r w:rsidRPr="009C6860">
        <w:rPr>
          <w:rFonts w:cs="Arial"/>
          <w:iCs/>
        </w:rPr>
        <w:t>zachowanie poufności ze względu na tajemnicę przedsiębiorstwa. W dalszej kolejności Trybunał stwierdził, że przepisy art. 18 ust. 1, art. 21 ust. 1 i art. 55 ust. 3 dyrektywy 2014/24/UE należy interpretować w ten sposób, że instytucja zamawiająca:</w:t>
      </w:r>
    </w:p>
    <w:p w14:paraId="37BFF8CB" w14:textId="77777777" w:rsidR="009C6860" w:rsidRPr="009C6860" w:rsidRDefault="009C6860" w:rsidP="00E16264">
      <w:pPr>
        <w:numPr>
          <w:ilvl w:val="0"/>
          <w:numId w:val="44"/>
        </w:numPr>
        <w:shd w:val="clear" w:color="auto" w:fill="FFFFFF"/>
        <w:rPr>
          <w:rFonts w:cs="Arial"/>
          <w:iCs/>
        </w:rPr>
      </w:pPr>
      <w:r w:rsidRPr="009C6860">
        <w:rPr>
          <w:rFonts w:cs="Arial"/>
          <w:iCs/>
        </w:rPr>
        <w:t>musi – na potrzeby ustalenia, czy odmówi dostępu oferentowi, którego dopuszczalna oferta została odrzucona, do przedstawionych przez pozostałych oferentów informacji odnoszących się do ich stosownego doświadczenia i związanych z nim referencji, do tożsamości i kwalifikacji zawodowych osób proponowanych do wykonania zamówienia lub podwykonawców oraz do koncepcji projektów, które mają zostać zrealizowane w ramach zamówienia, i sposobu jego realizacji – ocenić, czy informacje te mają wartość handlową, która nie ogranicza się do danego zamówienia publicznego, gdyż ich ujawnienie mogłoby zaszkodzić uzasadnionym interesom handlowym lub uczciwej konkurencji;</w:t>
      </w:r>
    </w:p>
    <w:p w14:paraId="5AB84BD3" w14:textId="77777777" w:rsidR="009C6860" w:rsidRPr="009C6860" w:rsidRDefault="009C6860" w:rsidP="00E16264">
      <w:pPr>
        <w:numPr>
          <w:ilvl w:val="0"/>
          <w:numId w:val="44"/>
        </w:numPr>
        <w:shd w:val="clear" w:color="auto" w:fill="FFFFFF"/>
        <w:rPr>
          <w:rFonts w:cs="Arial"/>
          <w:iCs/>
        </w:rPr>
      </w:pPr>
      <w:r w:rsidRPr="009C6860">
        <w:rPr>
          <w:rFonts w:cs="Arial"/>
          <w:iCs/>
        </w:rPr>
        <w:t>może ponadto odmówić udzielenia dostępu do tych informacji, jeżeli – nawet gdy nie mają one takiej wartości handlowej – ich ujawnienie mogłoby utrudnić egzekwowanie prawa lub byłoby sprzeczne z interesem publicznym; oraz</w:t>
      </w:r>
    </w:p>
    <w:p w14:paraId="6B41D3D0" w14:textId="77777777" w:rsidR="009C6860" w:rsidRPr="009C6860" w:rsidRDefault="009C6860" w:rsidP="00E16264">
      <w:pPr>
        <w:numPr>
          <w:ilvl w:val="0"/>
          <w:numId w:val="44"/>
        </w:numPr>
        <w:shd w:val="clear" w:color="auto" w:fill="FFFFFF"/>
        <w:rPr>
          <w:rFonts w:cs="Arial"/>
          <w:iCs/>
        </w:rPr>
      </w:pPr>
      <w:r w:rsidRPr="009C6860">
        <w:rPr>
          <w:rFonts w:cs="Arial"/>
          <w:iCs/>
        </w:rPr>
        <w:t>musi, w przypadku odmowy pełnego dostępu do informacji, udzielić owemu oferentowi dostępu do zasadniczej treści tych informacji, tak aby zapewnić poszanowanie prawa do skutecznego środka prawnego.</w:t>
      </w:r>
    </w:p>
    <w:p w14:paraId="5767BD8F" w14:textId="7A7F2476" w:rsidR="009C6860" w:rsidRDefault="009C6860" w:rsidP="009C6860">
      <w:pPr>
        <w:shd w:val="clear" w:color="auto" w:fill="FFFFFF"/>
        <w:rPr>
          <w:rFonts w:cs="Arial"/>
          <w:iCs/>
        </w:rPr>
      </w:pPr>
      <w:r w:rsidRPr="009C6860">
        <w:rPr>
          <w:rFonts w:cs="Arial"/>
          <w:iCs/>
        </w:rPr>
        <w:t>Odpowiadając natomiast na pytanie zmierzające do ustalenia, czy przepisy art. 18 ust. 1 dyrektywy 2014/24/UE w związku z jej art. 67 ust. 4 stoją na przeszkodzie uwzględnieniu wśród kryteriów udzielenia zamówienia „koncepcji opracowania” projektów, które mają zostać zrealizowane w ramach danego zamówienia publicznego, oraz „opisu sposobu realizacji” tego zamówienia, Trybunał stwierdził, że przepisy art. 18 ust. 1 dyrektywy 2014/24/UE w związku z jej art. 67 ust. 4 nie stoją temu na przeszkodzie, o ile do kryteriów tych dołączone są specyfikacje, które umożliwiają instytucji zamawiającej dokonanie konkretnej i obiektywnej oceny złożonych ofert. Na koniec Trybunał skonstatował, że przepisy art. 1 ust. 1 i 3 dyrektywy 89/665/EWG należy interpretować w ten sposób, iż w przypadku stwierdzenia w toku rozpatrywania odwołania od decyzji o udzieleniu zamówienia publicznego, że instytucja zamawiająca ma obowiązek ujawnić odwołującemu informacje, w odniesieniu do których niesłusznie zachowano poufność, oraz że ze względu na nieujawnienie tych informacji naruszono prawo do skutecznego środka ochrony prawnej, stwierdzenie to nie musi koniecznie prowadzić do wydania przez tę instytucję zamawiającą ponownej decyzji o udzieleniu zamówienia, o ile krajowe prawo proceduralne pozwala sądowi rozpatrującemu sprawę na zastosowanie w toku postępowania środków przywracających poszanowanie prawa do skutecznego środka prawnego lub na uznanie, że odwołujący się może ponownie wnieść odwołanie od już podjętej decyzji o udzieleniu zamówienia. Bieg terminu na wniesienie takiego odwołania może rozpocząć się dopiero w dniu, w którym odwołujący uzyskał dostęp do wszystkich informacji, w odniesieniu do których niesłusznie zachowano poufność.</w:t>
      </w:r>
    </w:p>
    <w:p w14:paraId="7AA6A94A" w14:textId="77777777" w:rsidR="00BF4B84" w:rsidRPr="009C6860" w:rsidRDefault="00BF4B84" w:rsidP="009C6860">
      <w:pPr>
        <w:shd w:val="clear" w:color="auto" w:fill="FFFFFF"/>
        <w:rPr>
          <w:rFonts w:cs="Arial"/>
          <w:iCs/>
        </w:rPr>
      </w:pPr>
    </w:p>
    <w:p w14:paraId="41DFFF79" w14:textId="77777777" w:rsidR="009C6860" w:rsidRPr="009C6860" w:rsidRDefault="009C6860" w:rsidP="009C6860">
      <w:pPr>
        <w:shd w:val="clear" w:color="auto" w:fill="FFFFFF"/>
        <w:rPr>
          <w:rFonts w:cs="Arial"/>
          <w:b/>
          <w:bCs/>
          <w:iCs/>
        </w:rPr>
      </w:pPr>
      <w:r w:rsidRPr="009C6860">
        <w:rPr>
          <w:rFonts w:cs="Arial"/>
          <w:b/>
          <w:bCs/>
          <w:iCs/>
        </w:rPr>
        <w:t xml:space="preserve">20. Wyrok z dnia 8 grudnia 2022 r. w sprawie C-769/21 </w:t>
      </w:r>
      <w:r w:rsidRPr="009C6860">
        <w:rPr>
          <w:rFonts w:cs="Arial"/>
          <w:b/>
          <w:bCs/>
          <w:i/>
          <w:iCs/>
        </w:rPr>
        <w:t xml:space="preserve">AAS „BTA Baltic Insurance Company” przeciwko Iepirkumu uzraudzības birojs, Tieslietu ministrija, </w:t>
      </w:r>
      <w:r w:rsidRPr="009C6860">
        <w:rPr>
          <w:rFonts w:cs="Arial"/>
          <w:b/>
          <w:bCs/>
          <w:iCs/>
        </w:rPr>
        <w:t>ECLI:EU:C:2022:973</w:t>
      </w:r>
    </w:p>
    <w:p w14:paraId="4958ADB5" w14:textId="77777777" w:rsidR="009C6860" w:rsidRPr="009C6860" w:rsidRDefault="009C6860" w:rsidP="009C6860">
      <w:pPr>
        <w:shd w:val="clear" w:color="auto" w:fill="FFFFFF"/>
        <w:rPr>
          <w:rFonts w:cs="Arial"/>
          <w:iCs/>
        </w:rPr>
      </w:pPr>
      <w:r w:rsidRPr="009C6860">
        <w:rPr>
          <w:rFonts w:cs="Arial"/>
          <w:iCs/>
        </w:rPr>
        <w:t xml:space="preserve">W sprawie będącej przedmiotem odesłania prejudycjalnego Trybunał podjął się oceny możliwości zakończenia postępowania bez wyboru oferty w przypadku stwierdzenia przez zamawiającego, że kolejny oferent jest tym samym uczestnikiem rynku co pierwotnie wybrany oferent, który wycofał swoją ofertę. </w:t>
      </w:r>
    </w:p>
    <w:p w14:paraId="6A0CD00B" w14:textId="4F3E1DC6" w:rsidR="009C6860" w:rsidRDefault="009C6860" w:rsidP="009C6860">
      <w:pPr>
        <w:shd w:val="clear" w:color="auto" w:fill="FFFFFF"/>
        <w:rPr>
          <w:rFonts w:cs="Arial"/>
          <w:iCs/>
        </w:rPr>
      </w:pPr>
      <w:r w:rsidRPr="009C6860">
        <w:rPr>
          <w:rFonts w:cs="Arial"/>
          <w:iCs/>
        </w:rPr>
        <w:t>Trybunał orzekł, że zasadę proporcjonalności w</w:t>
      </w:r>
      <w:r w:rsidR="009343A1">
        <w:rPr>
          <w:rFonts w:cs="Arial"/>
          <w:iCs/>
        </w:rPr>
        <w:t xml:space="preserve"> </w:t>
      </w:r>
      <w:r w:rsidRPr="009C6860">
        <w:rPr>
          <w:rFonts w:cs="Arial"/>
          <w:iCs/>
        </w:rPr>
        <w:t>rozumieniu art.</w:t>
      </w:r>
      <w:r w:rsidR="009343A1">
        <w:rPr>
          <w:rFonts w:cs="Arial"/>
          <w:iCs/>
        </w:rPr>
        <w:t xml:space="preserve"> </w:t>
      </w:r>
      <w:r w:rsidRPr="009C6860">
        <w:rPr>
          <w:rFonts w:cs="Arial"/>
          <w:iCs/>
        </w:rPr>
        <w:t>18 ust.</w:t>
      </w:r>
      <w:r w:rsidR="009343A1">
        <w:rPr>
          <w:rFonts w:cs="Arial"/>
          <w:iCs/>
        </w:rPr>
        <w:t xml:space="preserve"> </w:t>
      </w:r>
      <w:r w:rsidRPr="009C6860">
        <w:rPr>
          <w:rFonts w:cs="Arial"/>
          <w:iCs/>
        </w:rPr>
        <w:t>1 dyrektywy 2014/24/UE należy interpretować w</w:t>
      </w:r>
      <w:r w:rsidR="009343A1">
        <w:rPr>
          <w:rFonts w:cs="Arial"/>
          <w:iCs/>
        </w:rPr>
        <w:t xml:space="preserve"> </w:t>
      </w:r>
      <w:r w:rsidRPr="009C6860">
        <w:rPr>
          <w:rFonts w:cs="Arial"/>
          <w:iCs/>
        </w:rPr>
        <w:t>ten sposób, że stoi ona na przeszkodzie przepisom krajowym, które zobowiązują instytucję zamawiającą do unieważnienia postępowania w</w:t>
      </w:r>
      <w:r w:rsidR="009343A1">
        <w:rPr>
          <w:rFonts w:cs="Arial"/>
          <w:iCs/>
        </w:rPr>
        <w:t xml:space="preserve"> </w:t>
      </w:r>
      <w:r w:rsidRPr="009C6860">
        <w:rPr>
          <w:rFonts w:cs="Arial"/>
          <w:iCs/>
        </w:rPr>
        <w:t>sprawie udzielenia zamówienia publicznego, jeżeli w</w:t>
      </w:r>
      <w:r w:rsidR="009343A1">
        <w:rPr>
          <w:rFonts w:cs="Arial"/>
          <w:iCs/>
        </w:rPr>
        <w:t xml:space="preserve"> </w:t>
      </w:r>
      <w:r w:rsidRPr="009C6860">
        <w:rPr>
          <w:rFonts w:cs="Arial"/>
          <w:iCs/>
        </w:rPr>
        <w:t>przypadku wycofania się oferenta, którego pierwotnie wybrano z</w:t>
      </w:r>
      <w:r w:rsidR="009343A1">
        <w:rPr>
          <w:rFonts w:cs="Arial"/>
          <w:iCs/>
        </w:rPr>
        <w:t xml:space="preserve"> </w:t>
      </w:r>
      <w:r w:rsidRPr="009C6860">
        <w:rPr>
          <w:rFonts w:cs="Arial"/>
          <w:iCs/>
        </w:rPr>
        <w:t>uwagi na złożenie przez niego oferty najkorzystniejszej ekonomicznie oferent, który złożył następną w</w:t>
      </w:r>
      <w:r w:rsidR="009343A1">
        <w:rPr>
          <w:rFonts w:cs="Arial"/>
          <w:iCs/>
        </w:rPr>
        <w:t xml:space="preserve"> </w:t>
      </w:r>
      <w:r w:rsidRPr="009C6860">
        <w:rPr>
          <w:rFonts w:cs="Arial"/>
          <w:iCs/>
        </w:rPr>
        <w:t>kolejności najkorzystniejszą ekonomicznie ofertę, i</w:t>
      </w:r>
      <w:r w:rsidR="009343A1">
        <w:rPr>
          <w:rFonts w:cs="Arial"/>
          <w:iCs/>
        </w:rPr>
        <w:t xml:space="preserve"> </w:t>
      </w:r>
      <w:r w:rsidRPr="009C6860">
        <w:rPr>
          <w:rFonts w:cs="Arial"/>
          <w:iCs/>
        </w:rPr>
        <w:t>ten pierwszy oferent stanowią jednego wykonawcę.</w:t>
      </w:r>
    </w:p>
    <w:p w14:paraId="769A9590" w14:textId="77777777" w:rsidR="00BF4B84" w:rsidRPr="009C6860" w:rsidRDefault="00BF4B84" w:rsidP="009C6860">
      <w:pPr>
        <w:shd w:val="clear" w:color="auto" w:fill="FFFFFF"/>
        <w:rPr>
          <w:rFonts w:cs="Arial"/>
          <w:iCs/>
        </w:rPr>
      </w:pPr>
    </w:p>
    <w:p w14:paraId="0896274B" w14:textId="77777777" w:rsidR="009C6860" w:rsidRPr="009C6860" w:rsidRDefault="009C6860" w:rsidP="009C6860">
      <w:pPr>
        <w:shd w:val="clear" w:color="auto" w:fill="FFFFFF"/>
        <w:rPr>
          <w:rFonts w:cs="Arial"/>
          <w:b/>
          <w:iCs/>
        </w:rPr>
      </w:pPr>
      <w:r w:rsidRPr="009C6860">
        <w:rPr>
          <w:rFonts w:cs="Arial"/>
          <w:b/>
          <w:iCs/>
        </w:rPr>
        <w:t xml:space="preserve">21. Wyrok z dnia 22 grudnia 2022 r. w sprawach połączonych C-383/21 i C-384/21 </w:t>
      </w:r>
      <w:r w:rsidRPr="009C6860">
        <w:rPr>
          <w:rFonts w:cs="Arial"/>
          <w:b/>
          <w:bCs/>
          <w:i/>
          <w:iCs/>
        </w:rPr>
        <w:t>Sambre &amp; Biesme SCRL, Commune de Farciennes</w:t>
      </w:r>
      <w:r w:rsidRPr="009C6860">
        <w:rPr>
          <w:rFonts w:cs="Arial"/>
          <w:i/>
          <w:iCs/>
        </w:rPr>
        <w:t xml:space="preserve"> </w:t>
      </w:r>
      <w:r w:rsidRPr="009C6860">
        <w:rPr>
          <w:rFonts w:cs="Arial"/>
          <w:b/>
          <w:bCs/>
          <w:i/>
          <w:iCs/>
        </w:rPr>
        <w:t>przeciwko</w:t>
      </w:r>
      <w:r w:rsidRPr="009C6860">
        <w:rPr>
          <w:rFonts w:cs="Arial"/>
          <w:i/>
          <w:iCs/>
        </w:rPr>
        <w:t xml:space="preserve"> </w:t>
      </w:r>
      <w:r w:rsidRPr="009C6860">
        <w:rPr>
          <w:rFonts w:cs="Arial"/>
          <w:b/>
          <w:bCs/>
          <w:i/>
          <w:iCs/>
        </w:rPr>
        <w:t xml:space="preserve">Société wallonne du logement (SWL), </w:t>
      </w:r>
      <w:r w:rsidRPr="009C6860">
        <w:rPr>
          <w:rFonts w:cs="Arial"/>
          <w:b/>
          <w:iCs/>
        </w:rPr>
        <w:t>ECLI:EU:C:2022:1022</w:t>
      </w:r>
    </w:p>
    <w:p w14:paraId="036E0DF0" w14:textId="77777777" w:rsidR="009C6860" w:rsidRPr="009C6860" w:rsidRDefault="009C6860" w:rsidP="009C6860">
      <w:pPr>
        <w:shd w:val="clear" w:color="auto" w:fill="FFFFFF"/>
        <w:rPr>
          <w:rFonts w:cs="Arial"/>
          <w:iCs/>
        </w:rPr>
      </w:pPr>
      <w:r w:rsidRPr="009C6860">
        <w:rPr>
          <w:rFonts w:cs="Arial"/>
          <w:iCs/>
        </w:rPr>
        <w:t>W sprawach połączonych</w:t>
      </w:r>
      <w:r w:rsidRPr="009C6860">
        <w:rPr>
          <w:rFonts w:cs="Arial"/>
          <w:i/>
          <w:iCs/>
        </w:rPr>
        <w:t xml:space="preserve"> </w:t>
      </w:r>
      <w:r w:rsidRPr="009C6860">
        <w:rPr>
          <w:rFonts w:cs="Arial"/>
          <w:iCs/>
        </w:rPr>
        <w:t>C-383/21 i C-384/21</w:t>
      </w:r>
      <w:r w:rsidRPr="009C6860">
        <w:rPr>
          <w:rFonts w:cs="Arial"/>
          <w:i/>
          <w:iCs/>
        </w:rPr>
        <w:t xml:space="preserve"> Sambre &amp; Biesme i in. </w:t>
      </w:r>
      <w:r w:rsidRPr="009C6860">
        <w:rPr>
          <w:rFonts w:cs="Arial"/>
          <w:iCs/>
        </w:rPr>
        <w:t xml:space="preserve">Trybunał zajął się problematyką udzielania zamówień między podmiotami sektora publicznego, w szczególności kwestią kontroli podobnej do kontroli, jaką zamawiający sprawują nad własnymi jednostkami organizacyjnymi. </w:t>
      </w:r>
    </w:p>
    <w:p w14:paraId="301971AD" w14:textId="3AFB6926" w:rsidR="009C6860" w:rsidRPr="009C6860" w:rsidRDefault="009C6860" w:rsidP="009C6860">
      <w:pPr>
        <w:shd w:val="clear" w:color="auto" w:fill="FFFFFF"/>
        <w:rPr>
          <w:rFonts w:cs="Arial"/>
          <w:b/>
          <w:bCs/>
          <w:iCs/>
        </w:rPr>
      </w:pPr>
      <w:r w:rsidRPr="009C6860">
        <w:rPr>
          <w:rFonts w:cs="Arial"/>
          <w:iCs/>
        </w:rPr>
        <w:t>W pierwszej kolejności Trybunał stwierdził, że art.</w:t>
      </w:r>
      <w:r w:rsidR="009343A1">
        <w:rPr>
          <w:rFonts w:cs="Arial"/>
          <w:iCs/>
        </w:rPr>
        <w:t xml:space="preserve"> </w:t>
      </w:r>
      <w:r w:rsidRPr="009C6860">
        <w:rPr>
          <w:rFonts w:cs="Arial"/>
          <w:iCs/>
        </w:rPr>
        <w:t>12 ust.</w:t>
      </w:r>
      <w:r w:rsidR="009343A1">
        <w:rPr>
          <w:rFonts w:cs="Arial"/>
          <w:iCs/>
        </w:rPr>
        <w:t xml:space="preserve"> </w:t>
      </w:r>
      <w:r w:rsidRPr="009C6860">
        <w:rPr>
          <w:rFonts w:cs="Arial"/>
          <w:iCs/>
        </w:rPr>
        <w:t>3 i</w:t>
      </w:r>
      <w:r w:rsidR="009343A1">
        <w:rPr>
          <w:rFonts w:cs="Arial"/>
          <w:iCs/>
        </w:rPr>
        <w:t xml:space="preserve"> </w:t>
      </w:r>
      <w:r w:rsidRPr="009C6860">
        <w:rPr>
          <w:rFonts w:cs="Arial"/>
          <w:iCs/>
        </w:rPr>
        <w:t>4 dyrektywy 2014/24/UE należy interpretować w</w:t>
      </w:r>
      <w:r w:rsidR="009343A1">
        <w:rPr>
          <w:rFonts w:cs="Arial"/>
          <w:iCs/>
        </w:rPr>
        <w:t xml:space="preserve"> </w:t>
      </w:r>
      <w:r w:rsidRPr="009C6860">
        <w:rPr>
          <w:rFonts w:cs="Arial"/>
          <w:iCs/>
        </w:rPr>
        <w:t>ten sposób, że wywołuje on bezpośrednie skutki w</w:t>
      </w:r>
      <w:r w:rsidR="009343A1">
        <w:rPr>
          <w:rFonts w:cs="Arial"/>
          <w:iCs/>
        </w:rPr>
        <w:t xml:space="preserve"> </w:t>
      </w:r>
      <w:r w:rsidRPr="009C6860">
        <w:rPr>
          <w:rFonts w:cs="Arial"/>
          <w:iCs/>
        </w:rPr>
        <w:t>sporach między osobami prawnymi prawa publicznego w</w:t>
      </w:r>
      <w:r w:rsidR="009343A1">
        <w:rPr>
          <w:rFonts w:cs="Arial"/>
          <w:iCs/>
        </w:rPr>
        <w:t xml:space="preserve"> </w:t>
      </w:r>
      <w:r w:rsidRPr="009C6860">
        <w:rPr>
          <w:rFonts w:cs="Arial"/>
          <w:iCs/>
        </w:rPr>
        <w:t>przedmiocie bezpośredniego udzielenia zamówień publicznych, gdy dane państwo członkowskie nie dokonało transpozycji tej dyrektywy do krajowego porządku prawnego w</w:t>
      </w:r>
      <w:r w:rsidR="009343A1">
        <w:rPr>
          <w:rFonts w:cs="Arial"/>
          <w:iCs/>
        </w:rPr>
        <w:t xml:space="preserve"> </w:t>
      </w:r>
      <w:r w:rsidRPr="009C6860">
        <w:rPr>
          <w:rFonts w:cs="Arial"/>
          <w:iCs/>
        </w:rPr>
        <w:t>wyznaczonym terminie. Ponadto Trybunał zauważył, że w myśl regulacji art. 12 ust.</w:t>
      </w:r>
      <w:r w:rsidR="009343A1">
        <w:rPr>
          <w:rFonts w:cs="Arial"/>
          <w:iCs/>
        </w:rPr>
        <w:t xml:space="preserve"> </w:t>
      </w:r>
      <w:r w:rsidRPr="009C6860">
        <w:rPr>
          <w:rFonts w:cs="Arial"/>
          <w:iCs/>
        </w:rPr>
        <w:t>3 akapit drugi ppkt</w:t>
      </w:r>
      <w:r w:rsidR="009343A1">
        <w:rPr>
          <w:rFonts w:cs="Arial"/>
          <w:iCs/>
        </w:rPr>
        <w:t xml:space="preserve"> </w:t>
      </w:r>
      <w:r w:rsidRPr="009C6860">
        <w:rPr>
          <w:rFonts w:cs="Arial"/>
          <w:iCs/>
        </w:rPr>
        <w:t>(i) dyrektywy 2014/24/UE do celów wykazania, iż instytucja zamawiająca wspólnie z</w:t>
      </w:r>
      <w:r w:rsidR="009343A1">
        <w:rPr>
          <w:rFonts w:cs="Arial"/>
          <w:iCs/>
        </w:rPr>
        <w:t xml:space="preserve"> </w:t>
      </w:r>
      <w:r w:rsidRPr="009C6860">
        <w:rPr>
          <w:rFonts w:cs="Arial"/>
          <w:iCs/>
        </w:rPr>
        <w:t>innymi instytucjami zamawiającymi sprawuje nad osobą prawną, której udzielono zamówienia, kontrolę podobną do kontroli, jaką sprawują one nad własnymi jednostkami organizacyjnymi, określony w</w:t>
      </w:r>
      <w:r w:rsidR="009343A1">
        <w:rPr>
          <w:rFonts w:cs="Arial"/>
          <w:iCs/>
        </w:rPr>
        <w:t xml:space="preserve"> </w:t>
      </w:r>
      <w:r w:rsidRPr="009C6860">
        <w:rPr>
          <w:rFonts w:cs="Arial"/>
          <w:iCs/>
        </w:rPr>
        <w:t>tym przepisie wymóg, aby instytucja zamawiająca była reprezentowana w</w:t>
      </w:r>
      <w:r w:rsidR="009343A1">
        <w:rPr>
          <w:rFonts w:cs="Arial"/>
          <w:iCs/>
        </w:rPr>
        <w:t xml:space="preserve"> </w:t>
      </w:r>
      <w:r w:rsidRPr="009C6860">
        <w:rPr>
          <w:rFonts w:cs="Arial"/>
          <w:iCs/>
        </w:rPr>
        <w:t>organach decyzyjnych kontrolowanej osoby prawnej, nie jest spełniony przez sam fakt, że w</w:t>
      </w:r>
      <w:r w:rsidR="009343A1">
        <w:rPr>
          <w:rFonts w:cs="Arial"/>
          <w:iCs/>
        </w:rPr>
        <w:t xml:space="preserve"> </w:t>
      </w:r>
      <w:r w:rsidRPr="009C6860">
        <w:rPr>
          <w:rFonts w:cs="Arial"/>
          <w:iCs/>
        </w:rPr>
        <w:t>zarządzie tej osoby prawnej zasiada przedstawiciel innej instytucji zamawiającej, który wchodzi jednocześnie w</w:t>
      </w:r>
      <w:r w:rsidR="009343A1">
        <w:rPr>
          <w:rFonts w:cs="Arial"/>
          <w:iCs/>
        </w:rPr>
        <w:t xml:space="preserve"> </w:t>
      </w:r>
      <w:r w:rsidRPr="009C6860">
        <w:rPr>
          <w:rFonts w:cs="Arial"/>
          <w:iCs/>
        </w:rPr>
        <w:t>skład zarządu tej pierwszej instytucji zamawiającej. Wreszcie Trybunał orzekł, że na podstawie art.</w:t>
      </w:r>
      <w:r w:rsidR="009343A1">
        <w:rPr>
          <w:rFonts w:cs="Arial"/>
          <w:iCs/>
        </w:rPr>
        <w:t xml:space="preserve"> </w:t>
      </w:r>
      <w:r w:rsidRPr="009C6860">
        <w:rPr>
          <w:rFonts w:cs="Arial"/>
          <w:iCs/>
        </w:rPr>
        <w:t>12 ust.</w:t>
      </w:r>
      <w:r w:rsidR="009343A1">
        <w:rPr>
          <w:rFonts w:cs="Arial"/>
          <w:iCs/>
        </w:rPr>
        <w:t xml:space="preserve"> </w:t>
      </w:r>
      <w:r w:rsidRPr="009C6860">
        <w:rPr>
          <w:rFonts w:cs="Arial"/>
          <w:iCs/>
        </w:rPr>
        <w:t>4 dyrektywy 2014/24/UE należy dojść do wniosku, iż z</w:t>
      </w:r>
      <w:r w:rsidR="009343A1">
        <w:rPr>
          <w:rFonts w:cs="Arial"/>
          <w:iCs/>
        </w:rPr>
        <w:t xml:space="preserve"> </w:t>
      </w:r>
      <w:r w:rsidRPr="009C6860">
        <w:rPr>
          <w:rFonts w:cs="Arial"/>
          <w:iCs/>
        </w:rPr>
        <w:t>zakresu stosowania tej dyrektywy nie jest wyłączone zamówienie publiczne powierzające instytucji zamawiającej zadania z</w:t>
      </w:r>
      <w:r w:rsidR="009343A1">
        <w:rPr>
          <w:rFonts w:cs="Arial"/>
          <w:iCs/>
        </w:rPr>
        <w:t xml:space="preserve"> </w:t>
      </w:r>
      <w:r w:rsidRPr="009C6860">
        <w:rPr>
          <w:rFonts w:cs="Arial"/>
          <w:iCs/>
        </w:rPr>
        <w:t>zakresu usług publicznych, które wpisują się w</w:t>
      </w:r>
      <w:r w:rsidR="009343A1">
        <w:rPr>
          <w:rFonts w:cs="Arial"/>
          <w:iCs/>
        </w:rPr>
        <w:t xml:space="preserve"> </w:t>
      </w:r>
      <w:r w:rsidRPr="009C6860">
        <w:rPr>
          <w:rFonts w:cs="Arial"/>
          <w:iCs/>
        </w:rPr>
        <w:t>ramy współpracy między innymi instytucjami zamawiającymi, jeżeli poprzez wykonywanie takich zadań instytucja zamawiająca, której zadania te zostały zlecone, nie dąży do osiągnięcia celów wspólnych zarówno dla niej, jak i dla tych innych instytucji zamawiających, lecz przyczynia się jedynie do realizacji celów, które są wspólne tylko dla tych innych instytucji zamawiających.</w:t>
      </w:r>
    </w:p>
    <w:p w14:paraId="014E0DAA" w14:textId="6A61FD8D" w:rsidR="00176893" w:rsidRDefault="00176893" w:rsidP="005E5DFF">
      <w:pPr>
        <w:shd w:val="clear" w:color="auto" w:fill="FFFFFF"/>
        <w:rPr>
          <w:rFonts w:cs="Arial"/>
        </w:rPr>
      </w:pPr>
    </w:p>
    <w:p w14:paraId="4C48F449" w14:textId="41DB25B5" w:rsidR="00176893" w:rsidRDefault="00176893" w:rsidP="005E5DFF">
      <w:pPr>
        <w:shd w:val="clear" w:color="auto" w:fill="FFFFFF"/>
        <w:rPr>
          <w:rFonts w:cs="Arial"/>
        </w:rPr>
      </w:pPr>
      <w:r>
        <w:rPr>
          <w:rFonts w:cs="Arial"/>
        </w:rPr>
        <w:br w:type="page"/>
      </w:r>
    </w:p>
    <w:tbl>
      <w:tblPr>
        <w:tblW w:w="9416" w:type="dxa"/>
        <w:tblLayout w:type="fixed"/>
        <w:tblLook w:val="04A0" w:firstRow="1" w:lastRow="0" w:firstColumn="1" w:lastColumn="0" w:noHBand="0" w:noVBand="1"/>
      </w:tblPr>
      <w:tblGrid>
        <w:gridCol w:w="9180"/>
        <w:gridCol w:w="236"/>
      </w:tblGrid>
      <w:tr w:rsidR="00D2318D" w:rsidRPr="00A855CF" w14:paraId="37023230" w14:textId="77777777" w:rsidTr="003C33FD">
        <w:tc>
          <w:tcPr>
            <w:tcW w:w="9180" w:type="dxa"/>
            <w:shd w:val="clear" w:color="auto" w:fill="auto"/>
          </w:tcPr>
          <w:p w14:paraId="095FF6E5" w14:textId="77777777" w:rsidR="00D2318D" w:rsidRPr="00D2016D" w:rsidRDefault="00D2318D" w:rsidP="003C33FD">
            <w:pPr>
              <w:spacing w:before="120" w:after="120"/>
              <w:jc w:val="right"/>
              <w:rPr>
                <w:b/>
                <w:color w:val="0070C0"/>
              </w:rPr>
            </w:pPr>
            <w:r w:rsidRPr="00D2016D">
              <w:rPr>
                <w:color w:val="0070C0"/>
                <w:szCs w:val="22"/>
              </w:rPr>
              <w:br w:type="page"/>
            </w:r>
            <w:r w:rsidRPr="00D2016D">
              <w:rPr>
                <w:color w:val="0070C0"/>
                <w:szCs w:val="22"/>
              </w:rPr>
              <w:br w:type="page"/>
            </w:r>
            <w:r w:rsidRPr="00D2016D">
              <w:rPr>
                <w:color w:val="0070C0"/>
                <w:sz w:val="20"/>
                <w:szCs w:val="20"/>
              </w:rPr>
              <w:br w:type="page"/>
            </w:r>
            <w:bookmarkStart w:id="284" w:name="Zał_4"/>
            <w:bookmarkEnd w:id="284"/>
            <w:r w:rsidRPr="00D2016D">
              <w:rPr>
                <w:b/>
                <w:color w:val="0070C0"/>
              </w:rPr>
              <w:t xml:space="preserve">Załącznik nr </w:t>
            </w:r>
            <w:r>
              <w:rPr>
                <w:b/>
                <w:color w:val="0070C0"/>
              </w:rPr>
              <w:t>4</w:t>
            </w:r>
          </w:p>
        </w:tc>
        <w:tc>
          <w:tcPr>
            <w:tcW w:w="236" w:type="dxa"/>
            <w:shd w:val="clear" w:color="auto" w:fill="2E74B5"/>
          </w:tcPr>
          <w:p w14:paraId="418F7181" w14:textId="77777777" w:rsidR="00D2318D" w:rsidRPr="00A855CF" w:rsidRDefault="00D2318D" w:rsidP="003C33FD">
            <w:pPr>
              <w:spacing w:before="120" w:after="120"/>
              <w:jc w:val="right"/>
              <w:rPr>
                <w:b/>
              </w:rPr>
            </w:pPr>
          </w:p>
        </w:tc>
      </w:tr>
    </w:tbl>
    <w:p w14:paraId="6A4C2A7C" w14:textId="77777777" w:rsidR="00D2318D" w:rsidRPr="002555B1" w:rsidRDefault="00D2318D" w:rsidP="00D2318D">
      <w:pPr>
        <w:rPr>
          <w:bCs/>
          <w:sz w:val="16"/>
          <w:szCs w:val="16"/>
        </w:rPr>
      </w:pPr>
    </w:p>
    <w:p w14:paraId="0706C917" w14:textId="6E1F5429" w:rsidR="00D2318D" w:rsidRDefault="00D2318D" w:rsidP="00D2318D">
      <w:pPr>
        <w:shd w:val="clear" w:color="auto" w:fill="FFFFFF"/>
        <w:jc w:val="center"/>
        <w:rPr>
          <w:b/>
          <w:szCs w:val="22"/>
        </w:rPr>
      </w:pPr>
      <w:r w:rsidRPr="00A03FD5">
        <w:rPr>
          <w:b/>
          <w:szCs w:val="22"/>
        </w:rPr>
        <w:t xml:space="preserve">Liczba i wartość zamówień udzielonych na podstawie wyłączeń przepisów </w:t>
      </w:r>
      <w:r>
        <w:rPr>
          <w:b/>
          <w:szCs w:val="22"/>
        </w:rPr>
        <w:t>ustawy – Prawo zamówień publicznych</w:t>
      </w:r>
      <w:r w:rsidR="0098032C">
        <w:rPr>
          <w:b/>
          <w:szCs w:val="22"/>
        </w:rPr>
        <w:t xml:space="preserve"> </w:t>
      </w:r>
    </w:p>
    <w:p w14:paraId="2A5D3C5E" w14:textId="77777777" w:rsidR="00D2318D" w:rsidRPr="00AC7F4F" w:rsidRDefault="00D2318D" w:rsidP="00D2318D">
      <w:pPr>
        <w:shd w:val="clear" w:color="auto" w:fill="FFFFFF"/>
        <w:jc w:val="center"/>
        <w:rPr>
          <w:szCs w:val="22"/>
        </w:rPr>
      </w:pPr>
    </w:p>
    <w:p w14:paraId="55E1A0CA" w14:textId="77777777" w:rsidR="00D2318D" w:rsidRDefault="00D2318D" w:rsidP="00D2318D">
      <w:pPr>
        <w:shd w:val="clear" w:color="auto" w:fill="FFFFFF"/>
        <w:jc w:val="center"/>
        <w:rPr>
          <w:b/>
          <w:szCs w:val="22"/>
        </w:rPr>
      </w:pPr>
      <w:r>
        <w:rPr>
          <w:b/>
          <w:szCs w:val="22"/>
        </w:rPr>
        <w:t xml:space="preserve">Dane dotyczące wyłączeń </w:t>
      </w:r>
      <w:r w:rsidRPr="00A03FD5">
        <w:rPr>
          <w:b/>
          <w:szCs w:val="22"/>
        </w:rPr>
        <w:t>określonych w art. 4, art. 4b, art. 4d oraz art. 136-138</w:t>
      </w:r>
      <w:r>
        <w:rPr>
          <w:b/>
          <w:szCs w:val="22"/>
        </w:rPr>
        <w:t xml:space="preserve"> </w:t>
      </w:r>
    </w:p>
    <w:p w14:paraId="4BE23987" w14:textId="77777777" w:rsidR="00D2318D" w:rsidRPr="00A03FD5" w:rsidRDefault="00D2318D" w:rsidP="00D2318D">
      <w:pPr>
        <w:shd w:val="clear" w:color="auto" w:fill="FFFFFF"/>
        <w:jc w:val="center"/>
        <w:rPr>
          <w:b/>
          <w:szCs w:val="22"/>
        </w:rPr>
      </w:pPr>
      <w:r>
        <w:rPr>
          <w:b/>
          <w:szCs w:val="22"/>
        </w:rPr>
        <w:t>ustawy Pzp z 2004 r.</w:t>
      </w:r>
    </w:p>
    <w:p w14:paraId="40C5C935" w14:textId="77777777" w:rsidR="00D2318D" w:rsidRPr="00A03FD5" w:rsidRDefault="00D2318D" w:rsidP="00D2318D">
      <w:pPr>
        <w:rPr>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483"/>
        <w:gridCol w:w="1134"/>
        <w:gridCol w:w="1134"/>
      </w:tblGrid>
      <w:tr w:rsidR="00D2318D" w:rsidRPr="00C65B76" w14:paraId="59E05DAA" w14:textId="77777777" w:rsidTr="003C33FD">
        <w:trPr>
          <w:trHeight w:val="300"/>
        </w:trPr>
        <w:tc>
          <w:tcPr>
            <w:tcW w:w="456" w:type="dxa"/>
            <w:noWrap/>
            <w:vAlign w:val="center"/>
            <w:hideMark/>
          </w:tcPr>
          <w:p w14:paraId="7EC4D5EF" w14:textId="77777777" w:rsidR="00D2318D" w:rsidRPr="00C65B76" w:rsidRDefault="00D2318D" w:rsidP="003C33FD">
            <w:pPr>
              <w:shd w:val="clear" w:color="auto" w:fill="FFFFFF"/>
              <w:jc w:val="center"/>
              <w:rPr>
                <w:b/>
                <w:bCs/>
                <w:sz w:val="16"/>
                <w:szCs w:val="16"/>
              </w:rPr>
            </w:pPr>
            <w:r w:rsidRPr="00C65B76">
              <w:rPr>
                <w:b/>
                <w:bCs/>
                <w:sz w:val="16"/>
                <w:szCs w:val="16"/>
              </w:rPr>
              <w:t>Lp.</w:t>
            </w:r>
          </w:p>
        </w:tc>
        <w:tc>
          <w:tcPr>
            <w:tcW w:w="7483" w:type="dxa"/>
            <w:noWrap/>
            <w:vAlign w:val="center"/>
            <w:hideMark/>
          </w:tcPr>
          <w:p w14:paraId="6050304D" w14:textId="22D560AC" w:rsidR="00D2318D" w:rsidRPr="009F347F" w:rsidRDefault="00D2318D" w:rsidP="003C33FD">
            <w:pPr>
              <w:shd w:val="clear" w:color="auto" w:fill="FFFFFF"/>
              <w:jc w:val="center"/>
              <w:rPr>
                <w:b/>
                <w:bCs/>
                <w:sz w:val="16"/>
                <w:szCs w:val="16"/>
              </w:rPr>
            </w:pPr>
            <w:r w:rsidRPr="009F347F">
              <w:rPr>
                <w:b/>
                <w:bCs/>
                <w:sz w:val="16"/>
                <w:szCs w:val="16"/>
              </w:rPr>
              <w:t xml:space="preserve">Wyłączenie procedur określonych przepisami ustawy </w:t>
            </w:r>
            <w:r w:rsidR="00D04F62">
              <w:rPr>
                <w:b/>
                <w:bCs/>
                <w:sz w:val="16"/>
                <w:szCs w:val="16"/>
              </w:rPr>
              <w:t xml:space="preserve">Pzp z 2004 r. </w:t>
            </w:r>
            <w:r w:rsidRPr="009F347F">
              <w:rPr>
                <w:b/>
                <w:bCs/>
                <w:sz w:val="16"/>
                <w:szCs w:val="16"/>
              </w:rPr>
              <w:t>z uwagi na wartość zamówienia</w:t>
            </w:r>
          </w:p>
        </w:tc>
        <w:tc>
          <w:tcPr>
            <w:tcW w:w="1134" w:type="dxa"/>
            <w:tcBorders>
              <w:bottom w:val="single" w:sz="4" w:space="0" w:color="auto"/>
              <w:tl2br w:val="single" w:sz="4" w:space="0" w:color="auto"/>
              <w:tr2bl w:val="single" w:sz="4" w:space="0" w:color="auto"/>
            </w:tcBorders>
            <w:noWrap/>
            <w:vAlign w:val="center"/>
          </w:tcPr>
          <w:p w14:paraId="7F59EB30" w14:textId="77777777" w:rsidR="00D2318D" w:rsidRPr="00C65B76" w:rsidRDefault="00D2318D" w:rsidP="003C33FD">
            <w:pPr>
              <w:shd w:val="clear" w:color="auto" w:fill="FFFFFF"/>
              <w:jc w:val="center"/>
              <w:rPr>
                <w:b/>
                <w:bCs/>
                <w:sz w:val="16"/>
                <w:szCs w:val="16"/>
              </w:rPr>
            </w:pPr>
          </w:p>
        </w:tc>
        <w:tc>
          <w:tcPr>
            <w:tcW w:w="1134" w:type="dxa"/>
            <w:noWrap/>
            <w:vAlign w:val="center"/>
            <w:hideMark/>
          </w:tcPr>
          <w:p w14:paraId="37A07BE3" w14:textId="77777777" w:rsidR="00D2318D" w:rsidRPr="00C65B76" w:rsidRDefault="00D2318D" w:rsidP="003C33FD">
            <w:pPr>
              <w:shd w:val="clear" w:color="auto" w:fill="FFFFFF"/>
              <w:jc w:val="center"/>
              <w:rPr>
                <w:b/>
                <w:bCs/>
                <w:sz w:val="16"/>
                <w:szCs w:val="16"/>
              </w:rPr>
            </w:pPr>
            <w:r w:rsidRPr="00C65B76">
              <w:rPr>
                <w:b/>
                <w:bCs/>
                <w:sz w:val="16"/>
                <w:szCs w:val="16"/>
              </w:rPr>
              <w:t>Łączna wartość</w:t>
            </w:r>
          </w:p>
          <w:p w14:paraId="22BD793A" w14:textId="77777777" w:rsidR="00D2318D" w:rsidRPr="00C65B76" w:rsidRDefault="00D2318D" w:rsidP="003C33FD">
            <w:pPr>
              <w:shd w:val="clear" w:color="auto" w:fill="FFFFFF"/>
              <w:jc w:val="center"/>
              <w:rPr>
                <w:b/>
                <w:bCs/>
                <w:sz w:val="16"/>
                <w:szCs w:val="16"/>
              </w:rPr>
            </w:pPr>
            <w:r w:rsidRPr="00C65B76">
              <w:rPr>
                <w:b/>
                <w:bCs/>
                <w:sz w:val="16"/>
                <w:szCs w:val="16"/>
              </w:rPr>
              <w:t>[w tys. zł]</w:t>
            </w:r>
          </w:p>
        </w:tc>
      </w:tr>
      <w:tr w:rsidR="00D2318D" w:rsidRPr="00CD42FD" w14:paraId="4AF20B9E" w14:textId="77777777" w:rsidTr="003C33FD">
        <w:trPr>
          <w:trHeight w:val="285"/>
        </w:trPr>
        <w:tc>
          <w:tcPr>
            <w:tcW w:w="456" w:type="dxa"/>
            <w:noWrap/>
            <w:vAlign w:val="center"/>
          </w:tcPr>
          <w:p w14:paraId="0F763A6C" w14:textId="77777777" w:rsidR="00D2318D" w:rsidRPr="00C65B76" w:rsidRDefault="00D2318D" w:rsidP="003C33FD">
            <w:pPr>
              <w:jc w:val="right"/>
              <w:rPr>
                <w:color w:val="000000"/>
                <w:sz w:val="16"/>
                <w:szCs w:val="16"/>
              </w:rPr>
            </w:pPr>
            <w:r w:rsidRPr="00C65B76">
              <w:rPr>
                <w:color w:val="000000"/>
                <w:sz w:val="16"/>
                <w:szCs w:val="16"/>
              </w:rPr>
              <w:t>1</w:t>
            </w:r>
          </w:p>
        </w:tc>
        <w:tc>
          <w:tcPr>
            <w:tcW w:w="7483" w:type="dxa"/>
            <w:noWrap/>
            <w:vAlign w:val="center"/>
          </w:tcPr>
          <w:p w14:paraId="45ABF7C8" w14:textId="2ADFCFEB" w:rsidR="00D2318D" w:rsidRPr="009F347F" w:rsidRDefault="00D2318D" w:rsidP="003C33FD">
            <w:pPr>
              <w:jc w:val="left"/>
              <w:rPr>
                <w:sz w:val="16"/>
                <w:szCs w:val="16"/>
              </w:rPr>
            </w:pPr>
            <w:r w:rsidRPr="009F347F">
              <w:rPr>
                <w:sz w:val="16"/>
                <w:szCs w:val="16"/>
              </w:rPr>
              <w:t>zamówienia, których wartość nie przekracza wyrażonej w złotych równowartości kwoty, o której mowa w art. 4 pkt 8 ustawy</w:t>
            </w:r>
            <w:r>
              <w:rPr>
                <w:sz w:val="16"/>
                <w:szCs w:val="16"/>
              </w:rPr>
              <w:t xml:space="preserve"> Pzp</w:t>
            </w:r>
            <w:r w:rsidR="0052136A">
              <w:rPr>
                <w:sz w:val="16"/>
                <w:szCs w:val="16"/>
              </w:rPr>
              <w:t xml:space="preserve"> z 2004 r. </w:t>
            </w:r>
          </w:p>
        </w:tc>
        <w:tc>
          <w:tcPr>
            <w:tcW w:w="1134" w:type="dxa"/>
            <w:tcBorders>
              <w:bottom w:val="single" w:sz="4" w:space="0" w:color="auto"/>
              <w:tl2br w:val="single" w:sz="4" w:space="0" w:color="auto"/>
              <w:tr2bl w:val="single" w:sz="4" w:space="0" w:color="auto"/>
            </w:tcBorders>
            <w:noWrap/>
            <w:vAlign w:val="center"/>
          </w:tcPr>
          <w:p w14:paraId="714D967C" w14:textId="77777777" w:rsidR="00D2318D" w:rsidRPr="00C65B76" w:rsidRDefault="00D2318D" w:rsidP="003C33FD">
            <w:pPr>
              <w:shd w:val="clear" w:color="auto" w:fill="FFFFFF"/>
              <w:jc w:val="center"/>
              <w:rPr>
                <w:sz w:val="16"/>
                <w:szCs w:val="16"/>
              </w:rPr>
            </w:pPr>
          </w:p>
        </w:tc>
        <w:tc>
          <w:tcPr>
            <w:tcW w:w="1134" w:type="dxa"/>
            <w:noWrap/>
            <w:vAlign w:val="center"/>
          </w:tcPr>
          <w:p w14:paraId="4893034A" w14:textId="0635D2C0" w:rsidR="00D2318D" w:rsidRPr="001D4ACC" w:rsidRDefault="00F2533C" w:rsidP="003C33FD">
            <w:pPr>
              <w:autoSpaceDE w:val="0"/>
              <w:autoSpaceDN w:val="0"/>
              <w:adjustRightInd w:val="0"/>
              <w:jc w:val="right"/>
              <w:rPr>
                <w:color w:val="000000"/>
                <w:sz w:val="16"/>
                <w:szCs w:val="16"/>
              </w:rPr>
            </w:pPr>
            <w:r w:rsidRPr="00F2533C">
              <w:rPr>
                <w:color w:val="000000"/>
                <w:sz w:val="16"/>
                <w:szCs w:val="16"/>
              </w:rPr>
              <w:t>5 475</w:t>
            </w:r>
          </w:p>
        </w:tc>
      </w:tr>
      <w:tr w:rsidR="00D2318D" w:rsidRPr="00CD42FD" w14:paraId="6A9C8E68" w14:textId="77777777" w:rsidTr="003C33FD">
        <w:trPr>
          <w:trHeight w:val="285"/>
        </w:trPr>
        <w:tc>
          <w:tcPr>
            <w:tcW w:w="456" w:type="dxa"/>
            <w:noWrap/>
            <w:vAlign w:val="center"/>
          </w:tcPr>
          <w:p w14:paraId="42B48F27" w14:textId="77777777" w:rsidR="00D2318D" w:rsidRPr="00C65B76" w:rsidRDefault="00D2318D" w:rsidP="003C33FD">
            <w:pPr>
              <w:jc w:val="right"/>
              <w:rPr>
                <w:color w:val="000000"/>
                <w:sz w:val="16"/>
                <w:szCs w:val="16"/>
              </w:rPr>
            </w:pPr>
            <w:r w:rsidRPr="00C65B76">
              <w:rPr>
                <w:color w:val="000000"/>
                <w:sz w:val="16"/>
                <w:szCs w:val="16"/>
              </w:rPr>
              <w:t>2</w:t>
            </w:r>
          </w:p>
        </w:tc>
        <w:tc>
          <w:tcPr>
            <w:tcW w:w="7483" w:type="dxa"/>
            <w:noWrap/>
            <w:vAlign w:val="center"/>
          </w:tcPr>
          <w:p w14:paraId="23E4B472" w14:textId="15D2D735" w:rsidR="00D2318D" w:rsidRPr="009F347F" w:rsidRDefault="00D2318D" w:rsidP="003C33FD">
            <w:pPr>
              <w:jc w:val="left"/>
              <w:rPr>
                <w:sz w:val="16"/>
                <w:szCs w:val="16"/>
              </w:rPr>
            </w:pPr>
            <w:r w:rsidRPr="009F347F">
              <w:rPr>
                <w:sz w:val="16"/>
                <w:szCs w:val="16"/>
              </w:rPr>
              <w:t>zamówienia w dziedzinach obronności i bezpieczeństwa udzielone na usługi, jeżeli wartość zamówienia jest mniejsza od kwot określonych w przepisach wydanych na podstawie art. 11 ust. 8 ustawy</w:t>
            </w:r>
            <w:r>
              <w:rPr>
                <w:sz w:val="16"/>
                <w:szCs w:val="16"/>
              </w:rPr>
              <w:t xml:space="preserve"> Pzp</w:t>
            </w:r>
            <w:r w:rsidR="0052136A" w:rsidRPr="0052136A">
              <w:rPr>
                <w:sz w:val="16"/>
                <w:szCs w:val="16"/>
              </w:rPr>
              <w:t xml:space="preserve"> z 2004 r.</w:t>
            </w:r>
          </w:p>
        </w:tc>
        <w:tc>
          <w:tcPr>
            <w:tcW w:w="1134" w:type="dxa"/>
            <w:tcBorders>
              <w:bottom w:val="single" w:sz="4" w:space="0" w:color="auto"/>
              <w:tl2br w:val="single" w:sz="4" w:space="0" w:color="auto"/>
              <w:tr2bl w:val="single" w:sz="4" w:space="0" w:color="auto"/>
            </w:tcBorders>
            <w:noWrap/>
            <w:vAlign w:val="center"/>
          </w:tcPr>
          <w:p w14:paraId="17EB34C3" w14:textId="77777777" w:rsidR="00D2318D" w:rsidRPr="00C65B76" w:rsidRDefault="00D2318D" w:rsidP="003C33FD">
            <w:pPr>
              <w:jc w:val="center"/>
              <w:rPr>
                <w:sz w:val="16"/>
                <w:szCs w:val="16"/>
              </w:rPr>
            </w:pPr>
          </w:p>
        </w:tc>
        <w:tc>
          <w:tcPr>
            <w:tcW w:w="1134" w:type="dxa"/>
            <w:noWrap/>
            <w:vAlign w:val="center"/>
          </w:tcPr>
          <w:p w14:paraId="3553CAEC" w14:textId="59E2BA88" w:rsidR="00D2318D" w:rsidRPr="001D4ACC" w:rsidRDefault="00F2533C" w:rsidP="003C33FD">
            <w:pPr>
              <w:autoSpaceDE w:val="0"/>
              <w:autoSpaceDN w:val="0"/>
              <w:adjustRightInd w:val="0"/>
              <w:jc w:val="right"/>
              <w:rPr>
                <w:color w:val="000000"/>
                <w:sz w:val="16"/>
                <w:szCs w:val="16"/>
              </w:rPr>
            </w:pPr>
            <w:r>
              <w:rPr>
                <w:color w:val="000000"/>
                <w:sz w:val="16"/>
                <w:szCs w:val="16"/>
              </w:rPr>
              <w:t>0</w:t>
            </w:r>
          </w:p>
        </w:tc>
      </w:tr>
      <w:tr w:rsidR="00D2318D" w:rsidRPr="00CD42FD" w14:paraId="228604E8" w14:textId="77777777" w:rsidTr="003C33FD">
        <w:trPr>
          <w:trHeight w:val="285"/>
        </w:trPr>
        <w:tc>
          <w:tcPr>
            <w:tcW w:w="456" w:type="dxa"/>
            <w:noWrap/>
            <w:vAlign w:val="center"/>
          </w:tcPr>
          <w:p w14:paraId="13102159" w14:textId="77777777" w:rsidR="00D2318D" w:rsidRPr="00C65B76" w:rsidRDefault="00D2318D" w:rsidP="003C33FD">
            <w:pPr>
              <w:jc w:val="right"/>
              <w:rPr>
                <w:color w:val="000000"/>
                <w:sz w:val="16"/>
                <w:szCs w:val="16"/>
              </w:rPr>
            </w:pPr>
            <w:r w:rsidRPr="00C65B76">
              <w:rPr>
                <w:color w:val="000000"/>
                <w:sz w:val="16"/>
                <w:szCs w:val="16"/>
              </w:rPr>
              <w:t>3</w:t>
            </w:r>
          </w:p>
        </w:tc>
        <w:tc>
          <w:tcPr>
            <w:tcW w:w="7483" w:type="dxa"/>
            <w:noWrap/>
            <w:vAlign w:val="center"/>
          </w:tcPr>
          <w:p w14:paraId="6CDC0695" w14:textId="5086DB85" w:rsidR="00D2318D" w:rsidRPr="009F347F" w:rsidRDefault="00D2318D" w:rsidP="003C33FD">
            <w:pPr>
              <w:jc w:val="left"/>
              <w:rPr>
                <w:sz w:val="16"/>
                <w:szCs w:val="16"/>
              </w:rPr>
            </w:pPr>
            <w:r w:rsidRPr="009F347F">
              <w:rPr>
                <w:sz w:val="16"/>
                <w:szCs w:val="16"/>
              </w:rPr>
              <w:t>zamówienia w dziedzinach obronności i bezpieczeństwa udzielone na dostawy, jeżeli wartość zamówienia jest mniejsza od kwot określonych w przepisach wydanych na podstawie art. 11 ust. 8 ustawy</w:t>
            </w:r>
            <w:r>
              <w:rPr>
                <w:sz w:val="16"/>
                <w:szCs w:val="16"/>
              </w:rPr>
              <w:t xml:space="preserve"> Pzp</w:t>
            </w:r>
            <w:r w:rsidR="0052136A" w:rsidRPr="0052136A">
              <w:rPr>
                <w:sz w:val="16"/>
                <w:szCs w:val="16"/>
              </w:rPr>
              <w:t xml:space="preserve"> z 2004 r.</w:t>
            </w:r>
          </w:p>
        </w:tc>
        <w:tc>
          <w:tcPr>
            <w:tcW w:w="1134" w:type="dxa"/>
            <w:tcBorders>
              <w:bottom w:val="single" w:sz="4" w:space="0" w:color="auto"/>
              <w:tl2br w:val="single" w:sz="4" w:space="0" w:color="auto"/>
              <w:tr2bl w:val="single" w:sz="4" w:space="0" w:color="auto"/>
            </w:tcBorders>
            <w:noWrap/>
            <w:vAlign w:val="center"/>
          </w:tcPr>
          <w:p w14:paraId="4FF56542" w14:textId="77777777" w:rsidR="00D2318D" w:rsidRPr="00C65B76" w:rsidRDefault="00D2318D" w:rsidP="003C33FD">
            <w:pPr>
              <w:jc w:val="center"/>
              <w:rPr>
                <w:sz w:val="16"/>
                <w:szCs w:val="16"/>
              </w:rPr>
            </w:pPr>
          </w:p>
        </w:tc>
        <w:tc>
          <w:tcPr>
            <w:tcW w:w="1134" w:type="dxa"/>
            <w:noWrap/>
            <w:vAlign w:val="center"/>
          </w:tcPr>
          <w:p w14:paraId="143A7ACF" w14:textId="6A1AE8BE" w:rsidR="00D2318D" w:rsidRPr="001D4ACC" w:rsidRDefault="00F2533C" w:rsidP="003C33FD">
            <w:pPr>
              <w:autoSpaceDE w:val="0"/>
              <w:autoSpaceDN w:val="0"/>
              <w:adjustRightInd w:val="0"/>
              <w:jc w:val="right"/>
              <w:rPr>
                <w:color w:val="000000"/>
                <w:sz w:val="16"/>
                <w:szCs w:val="16"/>
              </w:rPr>
            </w:pPr>
            <w:r>
              <w:rPr>
                <w:color w:val="000000"/>
                <w:sz w:val="16"/>
                <w:szCs w:val="16"/>
              </w:rPr>
              <w:t>0</w:t>
            </w:r>
          </w:p>
        </w:tc>
      </w:tr>
      <w:tr w:rsidR="00D2318D" w:rsidRPr="002C0CE9" w14:paraId="5639D73F" w14:textId="77777777" w:rsidTr="003C33FD">
        <w:trPr>
          <w:trHeight w:val="300"/>
        </w:trPr>
        <w:tc>
          <w:tcPr>
            <w:tcW w:w="456" w:type="dxa"/>
            <w:noWrap/>
            <w:vAlign w:val="center"/>
          </w:tcPr>
          <w:p w14:paraId="0A770A7B" w14:textId="77777777" w:rsidR="00D2318D" w:rsidRPr="00C65B76" w:rsidRDefault="00D2318D" w:rsidP="003C33FD">
            <w:pPr>
              <w:shd w:val="clear" w:color="auto" w:fill="FFFFFF"/>
              <w:jc w:val="center"/>
              <w:rPr>
                <w:b/>
                <w:bCs/>
                <w:sz w:val="16"/>
                <w:szCs w:val="16"/>
              </w:rPr>
            </w:pPr>
          </w:p>
        </w:tc>
        <w:tc>
          <w:tcPr>
            <w:tcW w:w="7483" w:type="dxa"/>
            <w:noWrap/>
            <w:vAlign w:val="center"/>
          </w:tcPr>
          <w:p w14:paraId="13D9CE21" w14:textId="77777777" w:rsidR="00D2318D" w:rsidRDefault="00D2318D" w:rsidP="003C33FD">
            <w:pPr>
              <w:shd w:val="clear" w:color="auto" w:fill="FFFFFF"/>
              <w:jc w:val="right"/>
              <w:rPr>
                <w:b/>
                <w:bCs/>
                <w:sz w:val="16"/>
                <w:szCs w:val="16"/>
              </w:rPr>
            </w:pPr>
            <w:r>
              <w:rPr>
                <w:b/>
                <w:bCs/>
                <w:sz w:val="16"/>
                <w:szCs w:val="16"/>
              </w:rPr>
              <w:t>Razem</w:t>
            </w:r>
          </w:p>
          <w:p w14:paraId="25C5795E" w14:textId="77777777" w:rsidR="00D2318D" w:rsidRPr="009F347F" w:rsidRDefault="00D2318D" w:rsidP="003C33FD">
            <w:pPr>
              <w:shd w:val="clear" w:color="auto" w:fill="FFFFFF"/>
              <w:jc w:val="right"/>
              <w:rPr>
                <w:b/>
                <w:bCs/>
                <w:sz w:val="16"/>
                <w:szCs w:val="16"/>
              </w:rPr>
            </w:pPr>
            <w:r>
              <w:rPr>
                <w:b/>
                <w:bCs/>
                <w:sz w:val="16"/>
                <w:szCs w:val="16"/>
              </w:rPr>
              <w:t>poz. 1-3</w:t>
            </w:r>
          </w:p>
        </w:tc>
        <w:tc>
          <w:tcPr>
            <w:tcW w:w="1134" w:type="dxa"/>
            <w:tcBorders>
              <w:tl2br w:val="single" w:sz="4" w:space="0" w:color="auto"/>
              <w:tr2bl w:val="single" w:sz="4" w:space="0" w:color="auto"/>
            </w:tcBorders>
            <w:noWrap/>
            <w:vAlign w:val="center"/>
          </w:tcPr>
          <w:p w14:paraId="23CDD987" w14:textId="77777777" w:rsidR="00D2318D" w:rsidRPr="00C65B76" w:rsidRDefault="00D2318D" w:rsidP="003C33FD">
            <w:pPr>
              <w:shd w:val="clear" w:color="auto" w:fill="FFFFFF"/>
              <w:jc w:val="center"/>
              <w:rPr>
                <w:b/>
                <w:bCs/>
                <w:sz w:val="16"/>
                <w:szCs w:val="16"/>
              </w:rPr>
            </w:pPr>
          </w:p>
        </w:tc>
        <w:tc>
          <w:tcPr>
            <w:tcW w:w="1134" w:type="dxa"/>
            <w:noWrap/>
            <w:vAlign w:val="center"/>
          </w:tcPr>
          <w:p w14:paraId="2B1EC35F" w14:textId="172116EA" w:rsidR="00D2318D" w:rsidRPr="002C0CE9" w:rsidRDefault="00F2533C" w:rsidP="003C33FD">
            <w:pPr>
              <w:shd w:val="clear" w:color="auto" w:fill="FFFFFF"/>
              <w:jc w:val="right"/>
              <w:rPr>
                <w:b/>
                <w:bCs/>
                <w:sz w:val="16"/>
                <w:szCs w:val="16"/>
              </w:rPr>
            </w:pPr>
            <w:r w:rsidRPr="00F2533C">
              <w:rPr>
                <w:b/>
                <w:bCs/>
                <w:sz w:val="16"/>
                <w:szCs w:val="16"/>
              </w:rPr>
              <w:t>5 475</w:t>
            </w:r>
          </w:p>
        </w:tc>
      </w:tr>
    </w:tbl>
    <w:p w14:paraId="49398028" w14:textId="5A73D989" w:rsidR="00D2318D" w:rsidRPr="00D2318D" w:rsidRDefault="00D2318D" w:rsidP="003C33FD">
      <w:pPr>
        <w:shd w:val="clear" w:color="auto" w:fill="FFFFFF"/>
        <w:tabs>
          <w:tab w:val="left" w:pos="251"/>
          <w:tab w:val="left" w:pos="7734"/>
          <w:tab w:val="left" w:pos="8868"/>
        </w:tabs>
        <w:ind w:left="-205"/>
        <w:jc w:val="left"/>
        <w:rPr>
          <w:bCs/>
          <w:sz w:val="16"/>
          <w:szCs w:val="1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483"/>
        <w:gridCol w:w="1134"/>
        <w:gridCol w:w="1134"/>
      </w:tblGrid>
      <w:tr w:rsidR="00D2318D" w:rsidRPr="00C65B76" w14:paraId="64E2076B" w14:textId="77777777" w:rsidTr="003C33FD">
        <w:trPr>
          <w:trHeight w:val="300"/>
          <w:tblHeader/>
        </w:trPr>
        <w:tc>
          <w:tcPr>
            <w:tcW w:w="456" w:type="dxa"/>
            <w:noWrap/>
            <w:vAlign w:val="center"/>
          </w:tcPr>
          <w:p w14:paraId="128D54CC" w14:textId="77777777" w:rsidR="00D2318D" w:rsidRPr="00C65B76" w:rsidRDefault="00D2318D" w:rsidP="003C33FD">
            <w:pPr>
              <w:shd w:val="clear" w:color="auto" w:fill="FFFFFF"/>
              <w:jc w:val="center"/>
              <w:rPr>
                <w:b/>
                <w:bCs/>
                <w:sz w:val="16"/>
                <w:szCs w:val="16"/>
              </w:rPr>
            </w:pPr>
          </w:p>
        </w:tc>
        <w:tc>
          <w:tcPr>
            <w:tcW w:w="7483" w:type="dxa"/>
            <w:noWrap/>
            <w:vAlign w:val="center"/>
            <w:hideMark/>
          </w:tcPr>
          <w:p w14:paraId="52FAC28B" w14:textId="77777777" w:rsidR="00D2318D" w:rsidRPr="009F347F" w:rsidRDefault="00D2318D" w:rsidP="003C33FD">
            <w:pPr>
              <w:shd w:val="clear" w:color="auto" w:fill="FFFFFF"/>
              <w:jc w:val="center"/>
              <w:rPr>
                <w:b/>
                <w:bCs/>
                <w:sz w:val="16"/>
                <w:szCs w:val="16"/>
              </w:rPr>
            </w:pPr>
            <w:r w:rsidRPr="009F347F">
              <w:rPr>
                <w:b/>
                <w:bCs/>
                <w:sz w:val="16"/>
                <w:szCs w:val="16"/>
              </w:rPr>
              <w:t>Wyłączenie procedur określonych przepisami ustawy z uwagi na inne przesłanki niż wartość zamówienia</w:t>
            </w:r>
          </w:p>
        </w:tc>
        <w:tc>
          <w:tcPr>
            <w:tcW w:w="1134" w:type="dxa"/>
            <w:noWrap/>
            <w:vAlign w:val="center"/>
            <w:hideMark/>
          </w:tcPr>
          <w:p w14:paraId="79061D51" w14:textId="77777777" w:rsidR="00D2318D" w:rsidRPr="00667485" w:rsidRDefault="00D2318D" w:rsidP="003C33FD">
            <w:pPr>
              <w:shd w:val="clear" w:color="auto" w:fill="FFFFFF"/>
              <w:jc w:val="center"/>
              <w:rPr>
                <w:b/>
                <w:bCs/>
                <w:sz w:val="15"/>
                <w:szCs w:val="15"/>
              </w:rPr>
            </w:pPr>
            <w:r w:rsidRPr="00667485">
              <w:rPr>
                <w:b/>
                <w:bCs/>
                <w:sz w:val="15"/>
                <w:szCs w:val="15"/>
              </w:rPr>
              <w:t>Liczba udzielonych zamówień</w:t>
            </w:r>
          </w:p>
        </w:tc>
        <w:tc>
          <w:tcPr>
            <w:tcW w:w="1134" w:type="dxa"/>
            <w:noWrap/>
            <w:vAlign w:val="center"/>
            <w:hideMark/>
          </w:tcPr>
          <w:p w14:paraId="7A9FAFEC" w14:textId="77777777" w:rsidR="00D2318D" w:rsidRPr="00C65B76" w:rsidRDefault="00D2318D" w:rsidP="003C33FD">
            <w:pPr>
              <w:shd w:val="clear" w:color="auto" w:fill="FFFFFF"/>
              <w:jc w:val="center"/>
              <w:rPr>
                <w:b/>
                <w:bCs/>
                <w:sz w:val="16"/>
                <w:szCs w:val="16"/>
              </w:rPr>
            </w:pPr>
            <w:r w:rsidRPr="00C65B76">
              <w:rPr>
                <w:b/>
                <w:bCs/>
                <w:sz w:val="16"/>
                <w:szCs w:val="16"/>
              </w:rPr>
              <w:t>Łączna wartość</w:t>
            </w:r>
          </w:p>
          <w:p w14:paraId="5B2CE88B" w14:textId="77777777" w:rsidR="00D2318D" w:rsidRPr="00C65B76" w:rsidRDefault="00D2318D" w:rsidP="003C33FD">
            <w:pPr>
              <w:shd w:val="clear" w:color="auto" w:fill="FFFFFF"/>
              <w:jc w:val="center"/>
              <w:rPr>
                <w:b/>
                <w:bCs/>
                <w:sz w:val="16"/>
                <w:szCs w:val="16"/>
              </w:rPr>
            </w:pPr>
            <w:r w:rsidRPr="00C65B76">
              <w:rPr>
                <w:b/>
                <w:bCs/>
                <w:sz w:val="16"/>
                <w:szCs w:val="16"/>
              </w:rPr>
              <w:t>[w tys. zł]</w:t>
            </w:r>
          </w:p>
        </w:tc>
      </w:tr>
      <w:tr w:rsidR="00D2318D" w:rsidRPr="00361628" w14:paraId="1CC6B1B0" w14:textId="77777777" w:rsidTr="003C33FD">
        <w:trPr>
          <w:trHeight w:val="285"/>
        </w:trPr>
        <w:tc>
          <w:tcPr>
            <w:tcW w:w="456" w:type="dxa"/>
            <w:noWrap/>
            <w:vAlign w:val="center"/>
          </w:tcPr>
          <w:p w14:paraId="531A9CC7" w14:textId="77777777" w:rsidR="00D2318D" w:rsidRPr="00C65B76" w:rsidRDefault="00D2318D" w:rsidP="003C33FD">
            <w:pPr>
              <w:jc w:val="right"/>
              <w:rPr>
                <w:color w:val="000000"/>
                <w:sz w:val="16"/>
                <w:szCs w:val="16"/>
              </w:rPr>
            </w:pPr>
            <w:r w:rsidRPr="00C65B76">
              <w:rPr>
                <w:color w:val="000000"/>
                <w:sz w:val="16"/>
                <w:szCs w:val="16"/>
              </w:rPr>
              <w:t>10</w:t>
            </w:r>
          </w:p>
        </w:tc>
        <w:tc>
          <w:tcPr>
            <w:tcW w:w="7483" w:type="dxa"/>
            <w:noWrap/>
            <w:vAlign w:val="center"/>
          </w:tcPr>
          <w:p w14:paraId="3EFD68EB" w14:textId="6DB3D6B4" w:rsidR="00D2318D" w:rsidRPr="009F347F" w:rsidRDefault="00D2318D" w:rsidP="003C33FD">
            <w:pPr>
              <w:jc w:val="left"/>
              <w:rPr>
                <w:sz w:val="16"/>
                <w:szCs w:val="16"/>
              </w:rPr>
            </w:pPr>
            <w:r w:rsidRPr="009F347F">
              <w:rPr>
                <w:sz w:val="16"/>
                <w:szCs w:val="16"/>
              </w:rPr>
              <w:t>zamówienia, których przedmiotem są usługi prawne, o których mowa w art. 4 pkt 3 lit. ea ustawy</w:t>
            </w:r>
            <w:r>
              <w:rPr>
                <w:sz w:val="16"/>
                <w:szCs w:val="16"/>
              </w:rPr>
              <w:t xml:space="preserve"> Pzp</w:t>
            </w:r>
            <w:r w:rsidR="0098032C" w:rsidRPr="0098032C">
              <w:rPr>
                <w:sz w:val="16"/>
                <w:szCs w:val="16"/>
              </w:rPr>
              <w:t xml:space="preserve"> z 2004 r.</w:t>
            </w:r>
          </w:p>
        </w:tc>
        <w:tc>
          <w:tcPr>
            <w:tcW w:w="1134" w:type="dxa"/>
            <w:noWrap/>
            <w:vAlign w:val="center"/>
          </w:tcPr>
          <w:p w14:paraId="1AAEC50F" w14:textId="216294EE" w:rsidR="00D2318D" w:rsidRPr="0069435C" w:rsidRDefault="001E20A5" w:rsidP="003C33FD">
            <w:pPr>
              <w:jc w:val="right"/>
              <w:rPr>
                <w:sz w:val="16"/>
                <w:szCs w:val="16"/>
              </w:rPr>
            </w:pPr>
            <w:r>
              <w:rPr>
                <w:sz w:val="16"/>
                <w:szCs w:val="16"/>
              </w:rPr>
              <w:t>12</w:t>
            </w:r>
          </w:p>
        </w:tc>
        <w:tc>
          <w:tcPr>
            <w:tcW w:w="1134" w:type="dxa"/>
            <w:noWrap/>
            <w:vAlign w:val="center"/>
          </w:tcPr>
          <w:p w14:paraId="3DCA8114" w14:textId="102B032F" w:rsidR="00D2318D" w:rsidRPr="0069435C" w:rsidRDefault="001E20A5" w:rsidP="003C33FD">
            <w:pPr>
              <w:jc w:val="right"/>
              <w:rPr>
                <w:sz w:val="16"/>
                <w:szCs w:val="16"/>
              </w:rPr>
            </w:pPr>
            <w:r w:rsidRPr="001E20A5">
              <w:rPr>
                <w:sz w:val="16"/>
                <w:szCs w:val="16"/>
              </w:rPr>
              <w:t>367</w:t>
            </w:r>
          </w:p>
        </w:tc>
      </w:tr>
      <w:tr w:rsidR="00D2318D" w:rsidRPr="00361628" w14:paraId="4FB39006" w14:textId="77777777" w:rsidTr="003C33FD">
        <w:trPr>
          <w:trHeight w:val="285"/>
        </w:trPr>
        <w:tc>
          <w:tcPr>
            <w:tcW w:w="456" w:type="dxa"/>
            <w:noWrap/>
            <w:vAlign w:val="center"/>
          </w:tcPr>
          <w:p w14:paraId="05329B22" w14:textId="77777777" w:rsidR="00D2318D" w:rsidRPr="00C65B76" w:rsidRDefault="00D2318D" w:rsidP="003C33FD">
            <w:pPr>
              <w:jc w:val="right"/>
              <w:rPr>
                <w:color w:val="000000"/>
                <w:sz w:val="16"/>
                <w:szCs w:val="16"/>
              </w:rPr>
            </w:pPr>
            <w:r w:rsidRPr="00C65B76">
              <w:rPr>
                <w:color w:val="000000"/>
                <w:sz w:val="16"/>
                <w:szCs w:val="16"/>
              </w:rPr>
              <w:t>20</w:t>
            </w:r>
          </w:p>
        </w:tc>
        <w:tc>
          <w:tcPr>
            <w:tcW w:w="7483" w:type="dxa"/>
            <w:noWrap/>
            <w:vAlign w:val="center"/>
          </w:tcPr>
          <w:p w14:paraId="01760A1F" w14:textId="285177C7" w:rsidR="00D2318D" w:rsidRPr="009F347F" w:rsidRDefault="00D2318D" w:rsidP="003C33FD">
            <w:pPr>
              <w:jc w:val="left"/>
              <w:rPr>
                <w:sz w:val="16"/>
                <w:szCs w:val="16"/>
              </w:rPr>
            </w:pPr>
            <w:r w:rsidRPr="009F347F">
              <w:rPr>
                <w:sz w:val="16"/>
                <w:szCs w:val="16"/>
              </w:rPr>
              <w:t>zamówienia dotyczące produkcji lub handlu bronią, amunicją lub materiałami wojennymi, o których mowa w art. 4 pkt 5b ustawy</w:t>
            </w:r>
            <w:r>
              <w:rPr>
                <w:sz w:val="16"/>
                <w:szCs w:val="16"/>
              </w:rPr>
              <w:t xml:space="preserve"> Pzp</w:t>
            </w:r>
            <w:r w:rsidR="0098032C" w:rsidRPr="0098032C">
              <w:rPr>
                <w:sz w:val="16"/>
                <w:szCs w:val="16"/>
              </w:rPr>
              <w:t xml:space="preserve"> z 2004 r.</w:t>
            </w:r>
          </w:p>
        </w:tc>
        <w:tc>
          <w:tcPr>
            <w:tcW w:w="1134" w:type="dxa"/>
            <w:noWrap/>
            <w:vAlign w:val="center"/>
          </w:tcPr>
          <w:p w14:paraId="286F0587" w14:textId="61FF77CB" w:rsidR="00D2318D" w:rsidRPr="0069435C" w:rsidRDefault="000E4F49" w:rsidP="003C33FD">
            <w:pPr>
              <w:jc w:val="right"/>
              <w:rPr>
                <w:sz w:val="16"/>
                <w:szCs w:val="16"/>
              </w:rPr>
            </w:pPr>
            <w:r>
              <w:rPr>
                <w:sz w:val="16"/>
                <w:szCs w:val="16"/>
              </w:rPr>
              <w:t>3</w:t>
            </w:r>
          </w:p>
        </w:tc>
        <w:tc>
          <w:tcPr>
            <w:tcW w:w="1134" w:type="dxa"/>
            <w:noWrap/>
            <w:vAlign w:val="center"/>
          </w:tcPr>
          <w:p w14:paraId="4633E3B6" w14:textId="0EAAF73F" w:rsidR="00D2318D" w:rsidRPr="0069435C" w:rsidRDefault="000E4F49" w:rsidP="003C33FD">
            <w:pPr>
              <w:jc w:val="right"/>
              <w:rPr>
                <w:sz w:val="16"/>
                <w:szCs w:val="16"/>
              </w:rPr>
            </w:pPr>
            <w:r w:rsidRPr="000E4F49">
              <w:rPr>
                <w:sz w:val="16"/>
                <w:szCs w:val="16"/>
              </w:rPr>
              <w:t>1 137 150</w:t>
            </w:r>
          </w:p>
        </w:tc>
      </w:tr>
      <w:tr w:rsidR="00D2318D" w:rsidRPr="00361628" w14:paraId="47010B59" w14:textId="77777777" w:rsidTr="003C33FD">
        <w:trPr>
          <w:trHeight w:val="285"/>
        </w:trPr>
        <w:tc>
          <w:tcPr>
            <w:tcW w:w="456" w:type="dxa"/>
            <w:noWrap/>
            <w:vAlign w:val="center"/>
          </w:tcPr>
          <w:p w14:paraId="6F09561D" w14:textId="77777777" w:rsidR="00D2318D" w:rsidRPr="00C65B76" w:rsidRDefault="00D2318D" w:rsidP="003C33FD">
            <w:pPr>
              <w:jc w:val="right"/>
              <w:rPr>
                <w:color w:val="000000"/>
                <w:sz w:val="16"/>
                <w:szCs w:val="16"/>
              </w:rPr>
            </w:pPr>
            <w:r w:rsidRPr="00C65B76">
              <w:rPr>
                <w:color w:val="000000"/>
                <w:sz w:val="16"/>
                <w:szCs w:val="16"/>
              </w:rPr>
              <w:t>33</w:t>
            </w:r>
          </w:p>
        </w:tc>
        <w:tc>
          <w:tcPr>
            <w:tcW w:w="7483" w:type="dxa"/>
            <w:noWrap/>
            <w:vAlign w:val="center"/>
          </w:tcPr>
          <w:p w14:paraId="54399B3B" w14:textId="14A7C904" w:rsidR="00D2318D" w:rsidRPr="009F347F" w:rsidRDefault="00D2318D" w:rsidP="00705399">
            <w:pPr>
              <w:jc w:val="left"/>
              <w:rPr>
                <w:sz w:val="16"/>
                <w:szCs w:val="16"/>
              </w:rPr>
            </w:pPr>
            <w:r w:rsidRPr="009F347F">
              <w:rPr>
                <w:sz w:val="16"/>
                <w:szCs w:val="16"/>
              </w:rPr>
              <w:t>zamówienia w dziedzinach obronności i bezpieczeństwa, o których mowa w art. 4b ust. 1 pkt 1 lit. a ustawy</w:t>
            </w:r>
            <w:r>
              <w:rPr>
                <w:sz w:val="16"/>
                <w:szCs w:val="16"/>
              </w:rPr>
              <w:t xml:space="preserve"> Pzp</w:t>
            </w:r>
            <w:r w:rsidR="007440BB">
              <w:rPr>
                <w:sz w:val="16"/>
                <w:szCs w:val="16"/>
              </w:rPr>
              <w:t xml:space="preserve"> z 2004 r.</w:t>
            </w:r>
            <w:r w:rsidRPr="009F347F">
              <w:rPr>
                <w:sz w:val="16"/>
                <w:szCs w:val="16"/>
              </w:rPr>
              <w:t>, udzielone na podstawie szczególnej procedury wynikającej z umowy międzynarodowej, której stroną jest Rzeczpospolita Polska, zawartej z jednym lub wieloma państwami niebędącymi członkami Unii Europejskiej, lub porozumienia zawieranego na szczeblu ministerialnym</w:t>
            </w:r>
          </w:p>
        </w:tc>
        <w:tc>
          <w:tcPr>
            <w:tcW w:w="1134" w:type="dxa"/>
            <w:noWrap/>
            <w:vAlign w:val="center"/>
          </w:tcPr>
          <w:p w14:paraId="41051AA6" w14:textId="008ABEE7" w:rsidR="00D2318D" w:rsidRPr="0069435C" w:rsidRDefault="000E4F49" w:rsidP="003C33FD">
            <w:pPr>
              <w:jc w:val="right"/>
              <w:rPr>
                <w:sz w:val="16"/>
                <w:szCs w:val="16"/>
              </w:rPr>
            </w:pPr>
            <w:r>
              <w:rPr>
                <w:sz w:val="16"/>
                <w:szCs w:val="16"/>
              </w:rPr>
              <w:t>1</w:t>
            </w:r>
          </w:p>
        </w:tc>
        <w:tc>
          <w:tcPr>
            <w:tcW w:w="1134" w:type="dxa"/>
            <w:noWrap/>
            <w:vAlign w:val="center"/>
          </w:tcPr>
          <w:p w14:paraId="7BDC2193" w14:textId="19B66678" w:rsidR="00D2318D" w:rsidRPr="0069435C" w:rsidRDefault="000E4F49" w:rsidP="003C33FD">
            <w:pPr>
              <w:jc w:val="right"/>
              <w:rPr>
                <w:sz w:val="16"/>
                <w:szCs w:val="16"/>
              </w:rPr>
            </w:pPr>
            <w:r w:rsidRPr="000E4F49">
              <w:rPr>
                <w:sz w:val="16"/>
                <w:szCs w:val="16"/>
              </w:rPr>
              <w:t>25 581</w:t>
            </w:r>
          </w:p>
        </w:tc>
      </w:tr>
      <w:tr w:rsidR="00D2318D" w:rsidRPr="00361628" w14:paraId="5BAA3298" w14:textId="77777777" w:rsidTr="003C33FD">
        <w:trPr>
          <w:trHeight w:val="285"/>
        </w:trPr>
        <w:tc>
          <w:tcPr>
            <w:tcW w:w="456" w:type="dxa"/>
            <w:noWrap/>
            <w:vAlign w:val="center"/>
          </w:tcPr>
          <w:p w14:paraId="7B9FF69D" w14:textId="77777777" w:rsidR="00D2318D" w:rsidRPr="00C65B76" w:rsidRDefault="00D2318D" w:rsidP="003C33FD">
            <w:pPr>
              <w:jc w:val="right"/>
              <w:rPr>
                <w:color w:val="000000"/>
                <w:sz w:val="16"/>
                <w:szCs w:val="16"/>
              </w:rPr>
            </w:pPr>
            <w:r w:rsidRPr="00C65B76">
              <w:rPr>
                <w:color w:val="000000"/>
                <w:sz w:val="16"/>
                <w:szCs w:val="16"/>
              </w:rPr>
              <w:t>37</w:t>
            </w:r>
          </w:p>
        </w:tc>
        <w:tc>
          <w:tcPr>
            <w:tcW w:w="7483" w:type="dxa"/>
            <w:noWrap/>
            <w:vAlign w:val="center"/>
          </w:tcPr>
          <w:p w14:paraId="42C4DD72" w14:textId="383F4426" w:rsidR="00D2318D" w:rsidRPr="009F347F" w:rsidRDefault="00D2318D" w:rsidP="003C33FD">
            <w:pPr>
              <w:jc w:val="left"/>
              <w:rPr>
                <w:sz w:val="16"/>
                <w:szCs w:val="16"/>
              </w:rPr>
            </w:pPr>
            <w:r w:rsidRPr="009F347F">
              <w:rPr>
                <w:sz w:val="16"/>
                <w:szCs w:val="16"/>
              </w:rPr>
              <w:t xml:space="preserve">zamówienia w dziedzinach obronności i bezpieczeństwa udzielone do celów działalności wywiadowczej, o których mowa w art. 4b ust. 1 pkt 3 ustawy </w:t>
            </w:r>
            <w:r>
              <w:rPr>
                <w:sz w:val="16"/>
                <w:szCs w:val="16"/>
              </w:rPr>
              <w:t>Pzp</w:t>
            </w:r>
            <w:r w:rsidR="007440BB">
              <w:rPr>
                <w:sz w:val="16"/>
                <w:szCs w:val="16"/>
              </w:rPr>
              <w:t xml:space="preserve"> z 2004 r.</w:t>
            </w:r>
          </w:p>
        </w:tc>
        <w:tc>
          <w:tcPr>
            <w:tcW w:w="1134" w:type="dxa"/>
            <w:noWrap/>
            <w:vAlign w:val="center"/>
          </w:tcPr>
          <w:p w14:paraId="1570345C" w14:textId="03E06919" w:rsidR="00D2318D" w:rsidRPr="0069435C" w:rsidRDefault="001F0F88" w:rsidP="003C33FD">
            <w:pPr>
              <w:jc w:val="right"/>
              <w:rPr>
                <w:sz w:val="16"/>
                <w:szCs w:val="16"/>
              </w:rPr>
            </w:pPr>
            <w:r>
              <w:rPr>
                <w:sz w:val="16"/>
                <w:szCs w:val="16"/>
              </w:rPr>
              <w:t>2</w:t>
            </w:r>
          </w:p>
        </w:tc>
        <w:tc>
          <w:tcPr>
            <w:tcW w:w="1134" w:type="dxa"/>
            <w:noWrap/>
            <w:vAlign w:val="center"/>
          </w:tcPr>
          <w:p w14:paraId="0C956E03" w14:textId="1FD41881" w:rsidR="00D2318D" w:rsidRPr="0069435C" w:rsidRDefault="001F0F88" w:rsidP="003C33FD">
            <w:pPr>
              <w:jc w:val="right"/>
              <w:rPr>
                <w:sz w:val="16"/>
                <w:szCs w:val="16"/>
              </w:rPr>
            </w:pPr>
            <w:r w:rsidRPr="001F0F88">
              <w:rPr>
                <w:sz w:val="16"/>
                <w:szCs w:val="16"/>
              </w:rPr>
              <w:t>3 132 958</w:t>
            </w:r>
          </w:p>
        </w:tc>
      </w:tr>
      <w:tr w:rsidR="00D2318D" w:rsidRPr="00361628" w14:paraId="3923B153" w14:textId="77777777" w:rsidTr="003C33FD">
        <w:trPr>
          <w:trHeight w:val="285"/>
        </w:trPr>
        <w:tc>
          <w:tcPr>
            <w:tcW w:w="456" w:type="dxa"/>
            <w:noWrap/>
            <w:vAlign w:val="center"/>
          </w:tcPr>
          <w:p w14:paraId="78444A56" w14:textId="77777777" w:rsidR="00D2318D" w:rsidRPr="00C65B76" w:rsidRDefault="00D2318D" w:rsidP="003C33FD">
            <w:pPr>
              <w:jc w:val="right"/>
              <w:rPr>
                <w:color w:val="000000"/>
                <w:sz w:val="16"/>
                <w:szCs w:val="16"/>
              </w:rPr>
            </w:pPr>
            <w:r w:rsidRPr="00C65B76">
              <w:rPr>
                <w:color w:val="000000"/>
                <w:sz w:val="16"/>
                <w:szCs w:val="16"/>
              </w:rPr>
              <w:t>46</w:t>
            </w:r>
          </w:p>
        </w:tc>
        <w:tc>
          <w:tcPr>
            <w:tcW w:w="7483" w:type="dxa"/>
            <w:noWrap/>
            <w:vAlign w:val="center"/>
          </w:tcPr>
          <w:p w14:paraId="6EE4AE10" w14:textId="2019FDB0" w:rsidR="00D2318D" w:rsidRPr="009F347F" w:rsidRDefault="00D2318D" w:rsidP="003C33FD">
            <w:pPr>
              <w:jc w:val="left"/>
              <w:rPr>
                <w:sz w:val="16"/>
                <w:szCs w:val="16"/>
              </w:rPr>
            </w:pPr>
            <w:r w:rsidRPr="009F347F">
              <w:rPr>
                <w:sz w:val="16"/>
                <w:szCs w:val="16"/>
              </w:rPr>
              <w:t>zamówienia, których przedmiotem są dostawy lub usługi służące wyłącznie do celów prac badawczych, eksperymentalnych, naukowych lub rozwojowych, o których mowa w art. 4d ust. 1 pkt 1 ustawy</w:t>
            </w:r>
            <w:r>
              <w:rPr>
                <w:sz w:val="16"/>
                <w:szCs w:val="16"/>
              </w:rPr>
              <w:t xml:space="preserve"> Pzp</w:t>
            </w:r>
            <w:r w:rsidR="007440BB">
              <w:rPr>
                <w:sz w:val="16"/>
                <w:szCs w:val="16"/>
              </w:rPr>
              <w:t xml:space="preserve"> z 2004 r.</w:t>
            </w:r>
          </w:p>
        </w:tc>
        <w:tc>
          <w:tcPr>
            <w:tcW w:w="1134" w:type="dxa"/>
            <w:noWrap/>
            <w:vAlign w:val="center"/>
          </w:tcPr>
          <w:p w14:paraId="55F6A082" w14:textId="6A9C867E" w:rsidR="00D2318D" w:rsidRPr="0069435C" w:rsidRDefault="001F0F88" w:rsidP="003C33FD">
            <w:pPr>
              <w:jc w:val="right"/>
              <w:rPr>
                <w:sz w:val="16"/>
                <w:szCs w:val="16"/>
              </w:rPr>
            </w:pPr>
            <w:r>
              <w:rPr>
                <w:sz w:val="16"/>
                <w:szCs w:val="16"/>
              </w:rPr>
              <w:t>7</w:t>
            </w:r>
          </w:p>
        </w:tc>
        <w:tc>
          <w:tcPr>
            <w:tcW w:w="1134" w:type="dxa"/>
            <w:noWrap/>
            <w:vAlign w:val="center"/>
          </w:tcPr>
          <w:p w14:paraId="71788F70" w14:textId="4822E77D" w:rsidR="00D2318D" w:rsidRPr="0069435C" w:rsidRDefault="001F0F88" w:rsidP="003C33FD">
            <w:pPr>
              <w:jc w:val="right"/>
              <w:rPr>
                <w:sz w:val="16"/>
                <w:szCs w:val="16"/>
              </w:rPr>
            </w:pPr>
            <w:r w:rsidRPr="001F0F88">
              <w:rPr>
                <w:sz w:val="16"/>
                <w:szCs w:val="16"/>
              </w:rPr>
              <w:t>49</w:t>
            </w:r>
          </w:p>
        </w:tc>
      </w:tr>
      <w:tr w:rsidR="00D2318D" w:rsidRPr="00955907" w14:paraId="12149BBD" w14:textId="77777777" w:rsidTr="003C33FD">
        <w:trPr>
          <w:trHeight w:val="300"/>
        </w:trPr>
        <w:tc>
          <w:tcPr>
            <w:tcW w:w="456" w:type="dxa"/>
            <w:noWrap/>
            <w:vAlign w:val="center"/>
            <w:hideMark/>
          </w:tcPr>
          <w:p w14:paraId="5AD11778" w14:textId="77777777" w:rsidR="00D2318D" w:rsidRPr="00C65B76" w:rsidRDefault="00D2318D" w:rsidP="003C33FD">
            <w:pPr>
              <w:shd w:val="clear" w:color="auto" w:fill="FFFFFF"/>
              <w:jc w:val="right"/>
              <w:rPr>
                <w:b/>
                <w:bCs/>
                <w:sz w:val="16"/>
                <w:szCs w:val="16"/>
              </w:rPr>
            </w:pPr>
          </w:p>
        </w:tc>
        <w:tc>
          <w:tcPr>
            <w:tcW w:w="7483" w:type="dxa"/>
            <w:noWrap/>
            <w:vAlign w:val="center"/>
            <w:hideMark/>
          </w:tcPr>
          <w:p w14:paraId="227E4437" w14:textId="77777777" w:rsidR="00D2318D" w:rsidRPr="009F347F" w:rsidRDefault="00D2318D" w:rsidP="003C33FD">
            <w:pPr>
              <w:shd w:val="clear" w:color="auto" w:fill="FFFFFF"/>
              <w:jc w:val="right"/>
              <w:rPr>
                <w:b/>
                <w:bCs/>
                <w:sz w:val="16"/>
                <w:szCs w:val="16"/>
              </w:rPr>
            </w:pPr>
            <w:r w:rsidRPr="009F347F">
              <w:rPr>
                <w:b/>
                <w:bCs/>
                <w:sz w:val="16"/>
                <w:szCs w:val="16"/>
              </w:rPr>
              <w:t xml:space="preserve">Razem </w:t>
            </w:r>
          </w:p>
          <w:p w14:paraId="610BC1DA" w14:textId="77777777" w:rsidR="00D2318D" w:rsidRPr="009F347F" w:rsidRDefault="00D2318D" w:rsidP="003C33FD">
            <w:pPr>
              <w:shd w:val="clear" w:color="auto" w:fill="FFFFFF"/>
              <w:jc w:val="right"/>
              <w:rPr>
                <w:b/>
                <w:bCs/>
                <w:sz w:val="16"/>
                <w:szCs w:val="16"/>
              </w:rPr>
            </w:pPr>
            <w:r w:rsidRPr="009F347F">
              <w:rPr>
                <w:b/>
                <w:bCs/>
                <w:sz w:val="16"/>
                <w:szCs w:val="16"/>
              </w:rPr>
              <w:t>poz. 4-63</w:t>
            </w:r>
          </w:p>
        </w:tc>
        <w:tc>
          <w:tcPr>
            <w:tcW w:w="1134" w:type="dxa"/>
            <w:noWrap/>
            <w:vAlign w:val="center"/>
          </w:tcPr>
          <w:p w14:paraId="1B18BA2A" w14:textId="753AFC8B" w:rsidR="00D2318D" w:rsidRPr="00955907" w:rsidRDefault="001F0F88" w:rsidP="003C33FD">
            <w:pPr>
              <w:autoSpaceDE w:val="0"/>
              <w:autoSpaceDN w:val="0"/>
              <w:adjustRightInd w:val="0"/>
              <w:jc w:val="right"/>
              <w:rPr>
                <w:b/>
                <w:bCs/>
                <w:color w:val="000000"/>
                <w:sz w:val="16"/>
                <w:szCs w:val="16"/>
              </w:rPr>
            </w:pPr>
            <w:r>
              <w:rPr>
                <w:b/>
                <w:bCs/>
                <w:color w:val="000000"/>
                <w:sz w:val="16"/>
                <w:szCs w:val="16"/>
              </w:rPr>
              <w:t>25</w:t>
            </w:r>
          </w:p>
        </w:tc>
        <w:tc>
          <w:tcPr>
            <w:tcW w:w="1134" w:type="dxa"/>
            <w:noWrap/>
            <w:vAlign w:val="center"/>
          </w:tcPr>
          <w:p w14:paraId="1EAA9B4D" w14:textId="02416385" w:rsidR="00D2318D" w:rsidRPr="00955907" w:rsidRDefault="001F0F88" w:rsidP="003C33FD">
            <w:pPr>
              <w:autoSpaceDE w:val="0"/>
              <w:autoSpaceDN w:val="0"/>
              <w:adjustRightInd w:val="0"/>
              <w:jc w:val="right"/>
              <w:rPr>
                <w:b/>
                <w:color w:val="000000"/>
                <w:sz w:val="16"/>
                <w:szCs w:val="16"/>
              </w:rPr>
            </w:pPr>
            <w:r w:rsidRPr="001F0F88">
              <w:rPr>
                <w:b/>
                <w:color w:val="000000"/>
                <w:sz w:val="16"/>
                <w:szCs w:val="16"/>
              </w:rPr>
              <w:t>4 296 105</w:t>
            </w:r>
          </w:p>
        </w:tc>
      </w:tr>
      <w:tr w:rsidR="00D2318D" w:rsidRPr="00955907" w14:paraId="0C2DC063" w14:textId="77777777" w:rsidTr="003C33FD">
        <w:trPr>
          <w:trHeight w:val="300"/>
        </w:trPr>
        <w:tc>
          <w:tcPr>
            <w:tcW w:w="456" w:type="dxa"/>
            <w:noWrap/>
            <w:vAlign w:val="center"/>
            <w:hideMark/>
          </w:tcPr>
          <w:p w14:paraId="3BA74F11" w14:textId="77777777" w:rsidR="00D2318D" w:rsidRPr="00C65B76" w:rsidRDefault="00D2318D" w:rsidP="003C33FD">
            <w:pPr>
              <w:shd w:val="clear" w:color="auto" w:fill="FFFFFF"/>
              <w:jc w:val="right"/>
              <w:rPr>
                <w:b/>
                <w:bCs/>
                <w:sz w:val="16"/>
                <w:szCs w:val="16"/>
              </w:rPr>
            </w:pPr>
          </w:p>
        </w:tc>
        <w:tc>
          <w:tcPr>
            <w:tcW w:w="8617" w:type="dxa"/>
            <w:gridSpan w:val="2"/>
            <w:noWrap/>
            <w:vAlign w:val="center"/>
            <w:hideMark/>
          </w:tcPr>
          <w:p w14:paraId="1C911BDD" w14:textId="77777777" w:rsidR="00D2318D" w:rsidRPr="009F347F" w:rsidRDefault="00D2318D" w:rsidP="003C33FD">
            <w:pPr>
              <w:shd w:val="clear" w:color="auto" w:fill="FFFFFF"/>
              <w:jc w:val="right"/>
              <w:rPr>
                <w:b/>
                <w:bCs/>
                <w:sz w:val="16"/>
                <w:szCs w:val="16"/>
              </w:rPr>
            </w:pPr>
            <w:r w:rsidRPr="009F347F">
              <w:rPr>
                <w:b/>
                <w:bCs/>
                <w:sz w:val="16"/>
                <w:szCs w:val="16"/>
              </w:rPr>
              <w:t>Razem</w:t>
            </w:r>
          </w:p>
          <w:p w14:paraId="05E6BB37" w14:textId="77777777" w:rsidR="00D2318D" w:rsidRPr="009F347F" w:rsidRDefault="00D2318D" w:rsidP="003C33FD">
            <w:pPr>
              <w:shd w:val="clear" w:color="auto" w:fill="FFFFFF"/>
              <w:jc w:val="right"/>
              <w:rPr>
                <w:b/>
                <w:bCs/>
                <w:sz w:val="16"/>
                <w:szCs w:val="16"/>
              </w:rPr>
            </w:pPr>
            <w:r w:rsidRPr="009F347F">
              <w:rPr>
                <w:b/>
                <w:bCs/>
                <w:sz w:val="16"/>
                <w:szCs w:val="16"/>
              </w:rPr>
              <w:t>poz. 1-63</w:t>
            </w:r>
          </w:p>
        </w:tc>
        <w:tc>
          <w:tcPr>
            <w:tcW w:w="1134" w:type="dxa"/>
            <w:noWrap/>
            <w:vAlign w:val="center"/>
          </w:tcPr>
          <w:p w14:paraId="7FA8DCDB" w14:textId="7A788345" w:rsidR="00D2318D" w:rsidRPr="00955907" w:rsidRDefault="00B54563" w:rsidP="003C33FD">
            <w:pPr>
              <w:jc w:val="right"/>
              <w:rPr>
                <w:b/>
                <w:color w:val="000000"/>
                <w:sz w:val="16"/>
                <w:szCs w:val="16"/>
              </w:rPr>
            </w:pPr>
            <w:r w:rsidRPr="00B54563">
              <w:rPr>
                <w:b/>
                <w:color w:val="000000"/>
                <w:sz w:val="16"/>
                <w:szCs w:val="16"/>
              </w:rPr>
              <w:t>4 301 579</w:t>
            </w:r>
          </w:p>
        </w:tc>
      </w:tr>
    </w:tbl>
    <w:p w14:paraId="523A4F22" w14:textId="77777777" w:rsidR="00D2318D" w:rsidRDefault="00D2318D" w:rsidP="00D2318D">
      <w:pPr>
        <w:rPr>
          <w:szCs w:val="22"/>
        </w:rPr>
      </w:pPr>
    </w:p>
    <w:p w14:paraId="21FABBE5" w14:textId="77777777" w:rsidR="00D2318D" w:rsidRPr="00A03FD5" w:rsidRDefault="00D2318D" w:rsidP="00D2318D">
      <w:pPr>
        <w:rPr>
          <w:szCs w:val="22"/>
        </w:rPr>
      </w:pPr>
      <w:r>
        <w:rPr>
          <w:szCs w:val="22"/>
        </w:rPr>
        <w:br w:type="page"/>
      </w:r>
    </w:p>
    <w:p w14:paraId="2B07134A" w14:textId="77777777" w:rsidR="00D2318D" w:rsidRDefault="00D2318D" w:rsidP="00D2318D">
      <w:pPr>
        <w:shd w:val="clear" w:color="auto" w:fill="FFFFFF"/>
        <w:jc w:val="center"/>
        <w:rPr>
          <w:b/>
          <w:szCs w:val="22"/>
        </w:rPr>
      </w:pPr>
      <w:r>
        <w:rPr>
          <w:b/>
          <w:szCs w:val="22"/>
        </w:rPr>
        <w:t xml:space="preserve">Dane dotyczące wyłączeń </w:t>
      </w:r>
      <w:r w:rsidRPr="00A03FD5">
        <w:rPr>
          <w:b/>
          <w:szCs w:val="22"/>
        </w:rPr>
        <w:t xml:space="preserve">określonych w </w:t>
      </w:r>
      <w:r w:rsidRPr="00937F68">
        <w:rPr>
          <w:b/>
          <w:szCs w:val="22"/>
        </w:rPr>
        <w:t>art. 9, art. 10 ust. 1 pkt 3 i 4 oraz ust. 2 pkt 3 i 4, art. 11 ust. 1, ust. 2 pkt 2 i 3, ust. 4</w:t>
      </w:r>
      <w:r>
        <w:rPr>
          <w:b/>
          <w:szCs w:val="22"/>
        </w:rPr>
        <w:t xml:space="preserve"> </w:t>
      </w:r>
      <w:r w:rsidRPr="00937F68">
        <w:rPr>
          <w:b/>
          <w:szCs w:val="22"/>
        </w:rPr>
        <w:t>i ust. 5 pkt 1−9, art. 12 ust. 1, art. 13 ust. 1 pkt 2−8, art. 14, art. 363 ust. 1 i 2, art. 364, art. 365 ust. 1–3 i art. 366 ust. 1</w:t>
      </w:r>
      <w:r>
        <w:rPr>
          <w:b/>
          <w:szCs w:val="22"/>
        </w:rPr>
        <w:t xml:space="preserve"> </w:t>
      </w:r>
    </w:p>
    <w:p w14:paraId="497BC238" w14:textId="09C85DDB" w:rsidR="00D2318D" w:rsidRPr="00A03FD5" w:rsidRDefault="00D2318D" w:rsidP="00D2318D">
      <w:pPr>
        <w:shd w:val="clear" w:color="auto" w:fill="FFFFFF"/>
        <w:jc w:val="center"/>
        <w:rPr>
          <w:b/>
          <w:szCs w:val="22"/>
        </w:rPr>
      </w:pPr>
      <w:r>
        <w:rPr>
          <w:b/>
          <w:szCs w:val="22"/>
        </w:rPr>
        <w:t>ustawy Pzp</w:t>
      </w:r>
    </w:p>
    <w:p w14:paraId="2BD6AAFF" w14:textId="77777777" w:rsidR="00D2318D" w:rsidRDefault="00D2318D" w:rsidP="00D2318D">
      <w:pPr>
        <w:rPr>
          <w:szCs w:val="22"/>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48"/>
        <w:gridCol w:w="1216"/>
        <w:gridCol w:w="1559"/>
      </w:tblGrid>
      <w:tr w:rsidR="00D2318D" w:rsidRPr="00C65B76" w14:paraId="24F82583" w14:textId="77777777" w:rsidTr="00AA71EF">
        <w:trPr>
          <w:trHeight w:val="300"/>
          <w:tblHeader/>
        </w:trPr>
        <w:tc>
          <w:tcPr>
            <w:tcW w:w="567" w:type="dxa"/>
            <w:noWrap/>
            <w:vAlign w:val="center"/>
            <w:hideMark/>
          </w:tcPr>
          <w:p w14:paraId="656ACB81" w14:textId="77777777" w:rsidR="00D2318D" w:rsidRPr="00C65B76" w:rsidRDefault="00D2318D" w:rsidP="003C33FD">
            <w:pPr>
              <w:shd w:val="clear" w:color="auto" w:fill="FFFFFF"/>
              <w:jc w:val="center"/>
              <w:rPr>
                <w:b/>
                <w:bCs/>
                <w:sz w:val="16"/>
                <w:szCs w:val="16"/>
              </w:rPr>
            </w:pPr>
            <w:r w:rsidRPr="00C65B76">
              <w:rPr>
                <w:b/>
                <w:bCs/>
                <w:sz w:val="16"/>
                <w:szCs w:val="16"/>
              </w:rPr>
              <w:t>Lp.</w:t>
            </w:r>
          </w:p>
        </w:tc>
        <w:tc>
          <w:tcPr>
            <w:tcW w:w="7148" w:type="dxa"/>
            <w:noWrap/>
            <w:vAlign w:val="center"/>
            <w:hideMark/>
          </w:tcPr>
          <w:p w14:paraId="4D0E1005" w14:textId="76A8BEB4" w:rsidR="00D2318D" w:rsidRPr="009F347F" w:rsidRDefault="00D2318D" w:rsidP="00DC0811">
            <w:pPr>
              <w:shd w:val="clear" w:color="auto" w:fill="FFFFFF"/>
              <w:jc w:val="center"/>
              <w:rPr>
                <w:b/>
                <w:bCs/>
                <w:sz w:val="16"/>
                <w:szCs w:val="16"/>
              </w:rPr>
            </w:pPr>
            <w:r w:rsidRPr="00371431">
              <w:rPr>
                <w:b/>
                <w:bCs/>
                <w:sz w:val="16"/>
                <w:szCs w:val="16"/>
              </w:rPr>
              <w:t>Wyłączenie stosowania przepisów ustawy</w:t>
            </w:r>
            <w:r w:rsidR="00D04F62">
              <w:rPr>
                <w:b/>
                <w:bCs/>
                <w:sz w:val="16"/>
                <w:szCs w:val="16"/>
              </w:rPr>
              <w:t xml:space="preserve"> Pzp</w:t>
            </w:r>
          </w:p>
        </w:tc>
        <w:tc>
          <w:tcPr>
            <w:tcW w:w="1216" w:type="dxa"/>
            <w:tcBorders>
              <w:bottom w:val="single" w:sz="4" w:space="0" w:color="auto"/>
              <w:tl2br w:val="nil"/>
              <w:tr2bl w:val="nil"/>
            </w:tcBorders>
            <w:noWrap/>
            <w:vAlign w:val="center"/>
          </w:tcPr>
          <w:p w14:paraId="2F8968D5" w14:textId="77777777" w:rsidR="00D2318D" w:rsidRPr="00AA71EF" w:rsidRDefault="00D2318D" w:rsidP="00AA71EF">
            <w:pPr>
              <w:shd w:val="clear" w:color="auto" w:fill="FFFFFF"/>
              <w:jc w:val="center"/>
              <w:rPr>
                <w:rFonts w:cs="Arial"/>
                <w:b/>
                <w:bCs/>
                <w:sz w:val="16"/>
                <w:szCs w:val="16"/>
              </w:rPr>
            </w:pPr>
            <w:r w:rsidRPr="00AA71EF">
              <w:rPr>
                <w:rFonts w:cs="Arial"/>
                <w:b/>
                <w:bCs/>
                <w:sz w:val="16"/>
                <w:szCs w:val="16"/>
              </w:rPr>
              <w:t>Liczba</w:t>
            </w:r>
          </w:p>
          <w:p w14:paraId="45878520" w14:textId="77777777" w:rsidR="00D2318D" w:rsidRPr="00AA71EF" w:rsidRDefault="00D2318D" w:rsidP="00AA71EF">
            <w:pPr>
              <w:shd w:val="clear" w:color="auto" w:fill="FFFFFF"/>
              <w:jc w:val="center"/>
              <w:rPr>
                <w:rFonts w:cs="Arial"/>
                <w:b/>
                <w:bCs/>
                <w:sz w:val="16"/>
                <w:szCs w:val="16"/>
              </w:rPr>
            </w:pPr>
            <w:r w:rsidRPr="00AA71EF">
              <w:rPr>
                <w:rFonts w:cs="Arial"/>
                <w:b/>
                <w:bCs/>
                <w:sz w:val="16"/>
                <w:szCs w:val="16"/>
              </w:rPr>
              <w:t>udzielonych</w:t>
            </w:r>
          </w:p>
          <w:p w14:paraId="7B0AFCFB" w14:textId="77777777" w:rsidR="00D2318D" w:rsidRPr="00AA71EF" w:rsidRDefault="00D2318D" w:rsidP="00AA71EF">
            <w:pPr>
              <w:shd w:val="clear" w:color="auto" w:fill="FFFFFF"/>
              <w:jc w:val="center"/>
              <w:rPr>
                <w:rFonts w:cs="Arial"/>
                <w:b/>
                <w:bCs/>
                <w:sz w:val="16"/>
                <w:szCs w:val="16"/>
              </w:rPr>
            </w:pPr>
            <w:r w:rsidRPr="00AA71EF">
              <w:rPr>
                <w:rFonts w:cs="Arial"/>
                <w:b/>
                <w:bCs/>
                <w:sz w:val="16"/>
                <w:szCs w:val="16"/>
              </w:rPr>
              <w:t>zamówień</w:t>
            </w:r>
          </w:p>
        </w:tc>
        <w:tc>
          <w:tcPr>
            <w:tcW w:w="1559" w:type="dxa"/>
            <w:noWrap/>
            <w:vAlign w:val="center"/>
            <w:hideMark/>
          </w:tcPr>
          <w:p w14:paraId="6F9819A6" w14:textId="77777777" w:rsidR="00D2318D" w:rsidRPr="00AA71EF" w:rsidRDefault="00D2318D" w:rsidP="00AA71EF">
            <w:pPr>
              <w:shd w:val="clear" w:color="auto" w:fill="FFFFFF"/>
              <w:jc w:val="center"/>
              <w:rPr>
                <w:rFonts w:cs="Arial"/>
                <w:b/>
                <w:bCs/>
                <w:sz w:val="16"/>
                <w:szCs w:val="16"/>
              </w:rPr>
            </w:pPr>
            <w:r w:rsidRPr="00AA71EF">
              <w:rPr>
                <w:rFonts w:cs="Arial"/>
                <w:b/>
                <w:bCs/>
                <w:sz w:val="16"/>
                <w:szCs w:val="16"/>
              </w:rPr>
              <w:t>Łączna wartość udzielonych zamówień bez podatku od towarów i usług</w:t>
            </w:r>
          </w:p>
          <w:p w14:paraId="391CE7DF" w14:textId="77777777" w:rsidR="00D2318D" w:rsidRPr="00AA71EF" w:rsidRDefault="00D2318D" w:rsidP="00AA71EF">
            <w:pPr>
              <w:shd w:val="clear" w:color="auto" w:fill="FFFFFF"/>
              <w:jc w:val="center"/>
              <w:rPr>
                <w:rFonts w:cs="Arial"/>
                <w:b/>
                <w:bCs/>
                <w:sz w:val="16"/>
                <w:szCs w:val="16"/>
              </w:rPr>
            </w:pPr>
            <w:r w:rsidRPr="00AA71EF">
              <w:rPr>
                <w:rFonts w:cs="Arial"/>
                <w:b/>
                <w:bCs/>
                <w:sz w:val="16"/>
                <w:szCs w:val="16"/>
              </w:rPr>
              <w:t>[w tys. zł]</w:t>
            </w:r>
          </w:p>
        </w:tc>
      </w:tr>
      <w:tr w:rsidR="00552346" w:rsidRPr="00CD42FD" w14:paraId="335048BD" w14:textId="77777777" w:rsidTr="00AA71EF">
        <w:trPr>
          <w:trHeight w:val="285"/>
        </w:trPr>
        <w:tc>
          <w:tcPr>
            <w:tcW w:w="567" w:type="dxa"/>
            <w:noWrap/>
            <w:vAlign w:val="center"/>
          </w:tcPr>
          <w:p w14:paraId="5EC3E1B6" w14:textId="77777777" w:rsidR="00552346" w:rsidRPr="00C65B76" w:rsidRDefault="00552346" w:rsidP="00552346">
            <w:pPr>
              <w:jc w:val="right"/>
              <w:rPr>
                <w:color w:val="000000"/>
                <w:sz w:val="16"/>
                <w:szCs w:val="16"/>
              </w:rPr>
            </w:pPr>
            <w:r w:rsidRPr="00C65B76">
              <w:rPr>
                <w:color w:val="000000"/>
                <w:sz w:val="16"/>
                <w:szCs w:val="16"/>
              </w:rPr>
              <w:t>1</w:t>
            </w:r>
          </w:p>
        </w:tc>
        <w:tc>
          <w:tcPr>
            <w:tcW w:w="7148" w:type="dxa"/>
            <w:noWrap/>
            <w:vAlign w:val="center"/>
          </w:tcPr>
          <w:p w14:paraId="1BB6FC21" w14:textId="00459C39" w:rsidR="00552346" w:rsidRPr="00720307" w:rsidRDefault="00552346" w:rsidP="00DC0811">
            <w:pPr>
              <w:jc w:val="left"/>
              <w:rPr>
                <w:sz w:val="16"/>
                <w:szCs w:val="16"/>
              </w:rPr>
            </w:pPr>
            <w:r w:rsidRPr="00720307">
              <w:rPr>
                <w:sz w:val="16"/>
                <w:szCs w:val="16"/>
              </w:rPr>
              <w:t>zamówienia klasyczne, zamówienia sektorowe udzielone na podstawie procedury organizacji międzynarodowej odmiennej od określonej w ustawie, o których mowa w art. 9 pkt 1 lit. a ustawy</w:t>
            </w:r>
            <w:r>
              <w:rPr>
                <w:sz w:val="16"/>
                <w:szCs w:val="16"/>
              </w:rPr>
              <w:t xml:space="preserve"> Pzp</w:t>
            </w:r>
          </w:p>
        </w:tc>
        <w:tc>
          <w:tcPr>
            <w:tcW w:w="1216" w:type="dxa"/>
            <w:tcBorders>
              <w:bottom w:val="single" w:sz="4" w:space="0" w:color="auto"/>
              <w:tl2br w:val="nil"/>
              <w:tr2bl w:val="nil"/>
            </w:tcBorders>
            <w:noWrap/>
            <w:vAlign w:val="center"/>
          </w:tcPr>
          <w:p w14:paraId="55F33EE0" w14:textId="1B365DC6" w:rsidR="00552346" w:rsidRPr="00AA71EF" w:rsidRDefault="00552346" w:rsidP="00AA71EF">
            <w:pPr>
              <w:jc w:val="right"/>
              <w:rPr>
                <w:rFonts w:cs="Arial"/>
                <w:sz w:val="16"/>
                <w:szCs w:val="16"/>
              </w:rPr>
            </w:pPr>
            <w:r w:rsidRPr="00AA71EF">
              <w:rPr>
                <w:rFonts w:cs="Arial"/>
                <w:sz w:val="16"/>
                <w:szCs w:val="16"/>
              </w:rPr>
              <w:t>637</w:t>
            </w:r>
          </w:p>
        </w:tc>
        <w:tc>
          <w:tcPr>
            <w:tcW w:w="1559" w:type="dxa"/>
            <w:noWrap/>
            <w:vAlign w:val="center"/>
          </w:tcPr>
          <w:p w14:paraId="6FBFFCC0" w14:textId="744BA740" w:rsidR="00552346" w:rsidRPr="00AA71EF" w:rsidRDefault="00552346" w:rsidP="00AA71EF">
            <w:pPr>
              <w:jc w:val="right"/>
              <w:rPr>
                <w:rFonts w:cs="Arial"/>
                <w:sz w:val="16"/>
                <w:szCs w:val="16"/>
              </w:rPr>
            </w:pPr>
            <w:r w:rsidRPr="00AA71EF">
              <w:rPr>
                <w:rFonts w:cs="Arial"/>
                <w:sz w:val="16"/>
                <w:szCs w:val="16"/>
              </w:rPr>
              <w:t>374 947</w:t>
            </w:r>
          </w:p>
        </w:tc>
      </w:tr>
      <w:tr w:rsidR="00552346" w:rsidRPr="00CD42FD" w14:paraId="399CDE67" w14:textId="77777777" w:rsidTr="00AA71EF">
        <w:trPr>
          <w:trHeight w:val="285"/>
        </w:trPr>
        <w:tc>
          <w:tcPr>
            <w:tcW w:w="567" w:type="dxa"/>
            <w:noWrap/>
            <w:vAlign w:val="center"/>
          </w:tcPr>
          <w:p w14:paraId="2A033F39" w14:textId="77777777" w:rsidR="00552346" w:rsidRPr="00C65B76" w:rsidRDefault="00552346" w:rsidP="00552346">
            <w:pPr>
              <w:jc w:val="right"/>
              <w:rPr>
                <w:color w:val="000000"/>
                <w:sz w:val="16"/>
                <w:szCs w:val="16"/>
              </w:rPr>
            </w:pPr>
            <w:r w:rsidRPr="00C65B76">
              <w:rPr>
                <w:color w:val="000000"/>
                <w:sz w:val="16"/>
                <w:szCs w:val="16"/>
              </w:rPr>
              <w:t>2</w:t>
            </w:r>
          </w:p>
        </w:tc>
        <w:tc>
          <w:tcPr>
            <w:tcW w:w="7148" w:type="dxa"/>
            <w:noWrap/>
            <w:vAlign w:val="center"/>
          </w:tcPr>
          <w:p w14:paraId="599D28E6" w14:textId="36892AA6" w:rsidR="00552346" w:rsidRPr="00720307" w:rsidRDefault="00552346" w:rsidP="00DC0811">
            <w:pPr>
              <w:jc w:val="left"/>
              <w:rPr>
                <w:sz w:val="16"/>
                <w:szCs w:val="16"/>
              </w:rPr>
            </w:pPr>
            <w:r w:rsidRPr="00720307">
              <w:rPr>
                <w:sz w:val="16"/>
                <w:szCs w:val="16"/>
              </w:rPr>
              <w:t>zamówienia klasyczne, zamówienia sektorowe, o których mowa w art. 9 pkt 1 lit. b ustawy</w:t>
            </w:r>
            <w:r>
              <w:rPr>
                <w:sz w:val="16"/>
                <w:szCs w:val="16"/>
              </w:rPr>
              <w:t xml:space="preserve"> Pzp</w:t>
            </w:r>
            <w:r w:rsidRPr="00720307">
              <w:rPr>
                <w:sz w:val="16"/>
                <w:szCs w:val="16"/>
              </w:rPr>
              <w:t>,</w:t>
            </w:r>
            <w:r>
              <w:rPr>
                <w:sz w:val="16"/>
                <w:szCs w:val="16"/>
              </w:rPr>
              <w:t xml:space="preserve"> </w:t>
            </w:r>
            <w:r w:rsidRPr="00720307">
              <w:rPr>
                <w:sz w:val="16"/>
                <w:szCs w:val="16"/>
              </w:rPr>
              <w:t>udzielone na podstawie procedury wynikającej z porozumienia tworzącego zobowiązanie prawnomiędzynarodowe, jak umowa międzynarodowa zawarta między Rzecząpospolitą Polską a jednym lub wieloma państwami niebędącymi członkami Unii Europejskiej, w celu pozyskania dostaw, usług lub robót budowlanych na potrzeby zrealizowania lub prowadzenia wspólnego przedsięwzięcia</w:t>
            </w:r>
          </w:p>
        </w:tc>
        <w:tc>
          <w:tcPr>
            <w:tcW w:w="1216" w:type="dxa"/>
            <w:tcBorders>
              <w:bottom w:val="single" w:sz="4" w:space="0" w:color="auto"/>
              <w:tl2br w:val="nil"/>
              <w:tr2bl w:val="nil"/>
            </w:tcBorders>
            <w:noWrap/>
            <w:vAlign w:val="center"/>
          </w:tcPr>
          <w:p w14:paraId="7D36EC6C" w14:textId="0FB824D0" w:rsidR="00552346" w:rsidRPr="00AA71EF" w:rsidRDefault="00552346" w:rsidP="00AA71EF">
            <w:pPr>
              <w:jc w:val="right"/>
              <w:rPr>
                <w:rFonts w:cs="Arial"/>
                <w:sz w:val="16"/>
                <w:szCs w:val="16"/>
              </w:rPr>
            </w:pPr>
            <w:r w:rsidRPr="00AA71EF">
              <w:rPr>
                <w:rFonts w:cs="Arial"/>
                <w:sz w:val="16"/>
                <w:szCs w:val="16"/>
              </w:rPr>
              <w:t>3</w:t>
            </w:r>
          </w:p>
        </w:tc>
        <w:tc>
          <w:tcPr>
            <w:tcW w:w="1559" w:type="dxa"/>
            <w:noWrap/>
            <w:vAlign w:val="center"/>
          </w:tcPr>
          <w:p w14:paraId="3F18E884" w14:textId="155C48C0" w:rsidR="00552346" w:rsidRPr="00AA71EF" w:rsidRDefault="00552346" w:rsidP="00AA71EF">
            <w:pPr>
              <w:jc w:val="right"/>
              <w:rPr>
                <w:rFonts w:cs="Arial"/>
                <w:sz w:val="16"/>
                <w:szCs w:val="16"/>
              </w:rPr>
            </w:pPr>
            <w:r w:rsidRPr="00AA71EF">
              <w:rPr>
                <w:rFonts w:cs="Arial"/>
                <w:sz w:val="16"/>
                <w:szCs w:val="16"/>
              </w:rPr>
              <w:t>1 287</w:t>
            </w:r>
          </w:p>
        </w:tc>
      </w:tr>
      <w:tr w:rsidR="00552346" w:rsidRPr="00CD42FD" w14:paraId="6593C028" w14:textId="77777777" w:rsidTr="00AA71EF">
        <w:trPr>
          <w:trHeight w:val="285"/>
        </w:trPr>
        <w:tc>
          <w:tcPr>
            <w:tcW w:w="567" w:type="dxa"/>
            <w:noWrap/>
            <w:vAlign w:val="center"/>
          </w:tcPr>
          <w:p w14:paraId="520CF613" w14:textId="77777777" w:rsidR="00552346" w:rsidRPr="00C65B76" w:rsidRDefault="00552346" w:rsidP="00552346">
            <w:pPr>
              <w:jc w:val="right"/>
              <w:rPr>
                <w:color w:val="000000"/>
                <w:sz w:val="16"/>
                <w:szCs w:val="16"/>
              </w:rPr>
            </w:pPr>
            <w:r w:rsidRPr="00C65B76">
              <w:rPr>
                <w:color w:val="000000"/>
                <w:sz w:val="16"/>
                <w:szCs w:val="16"/>
              </w:rPr>
              <w:t>3</w:t>
            </w:r>
          </w:p>
        </w:tc>
        <w:tc>
          <w:tcPr>
            <w:tcW w:w="7148" w:type="dxa"/>
            <w:noWrap/>
            <w:vAlign w:val="center"/>
          </w:tcPr>
          <w:p w14:paraId="56491CE1" w14:textId="757D219E" w:rsidR="00552346" w:rsidRPr="00720307" w:rsidRDefault="00552346" w:rsidP="00552346">
            <w:pPr>
              <w:jc w:val="left"/>
              <w:rPr>
                <w:sz w:val="16"/>
                <w:szCs w:val="16"/>
              </w:rPr>
            </w:pPr>
            <w:r w:rsidRPr="00720307">
              <w:rPr>
                <w:sz w:val="16"/>
                <w:szCs w:val="16"/>
              </w:rPr>
              <w:t>zamówienia klasyczne oraz zamówienia sektorowe, w całości finansowane przez organizację międzynarodową lub międzynarodową instytucję finansującą, o których mowa w art. 9 pkt 2 ustawy</w:t>
            </w:r>
            <w:r w:rsidR="00760711">
              <w:rPr>
                <w:sz w:val="16"/>
                <w:szCs w:val="16"/>
              </w:rPr>
              <w:t xml:space="preserve"> Pzp</w:t>
            </w:r>
          </w:p>
        </w:tc>
        <w:tc>
          <w:tcPr>
            <w:tcW w:w="1216" w:type="dxa"/>
            <w:tcBorders>
              <w:bottom w:val="single" w:sz="4" w:space="0" w:color="auto"/>
              <w:tl2br w:val="nil"/>
              <w:tr2bl w:val="nil"/>
            </w:tcBorders>
            <w:noWrap/>
            <w:vAlign w:val="center"/>
          </w:tcPr>
          <w:p w14:paraId="4DE5C5BE" w14:textId="2668F5AA" w:rsidR="00552346" w:rsidRPr="00AA71EF" w:rsidRDefault="00552346" w:rsidP="00AA71EF">
            <w:pPr>
              <w:jc w:val="right"/>
              <w:rPr>
                <w:rFonts w:cs="Arial"/>
                <w:sz w:val="16"/>
                <w:szCs w:val="16"/>
              </w:rPr>
            </w:pPr>
            <w:r w:rsidRPr="00AA71EF">
              <w:rPr>
                <w:rFonts w:cs="Arial"/>
                <w:sz w:val="16"/>
                <w:szCs w:val="16"/>
              </w:rPr>
              <w:t>11</w:t>
            </w:r>
          </w:p>
        </w:tc>
        <w:tc>
          <w:tcPr>
            <w:tcW w:w="1559" w:type="dxa"/>
            <w:noWrap/>
            <w:vAlign w:val="center"/>
          </w:tcPr>
          <w:p w14:paraId="02DFFA58" w14:textId="105FA307" w:rsidR="00552346" w:rsidRPr="00AA71EF" w:rsidRDefault="00552346" w:rsidP="00AA71EF">
            <w:pPr>
              <w:jc w:val="right"/>
              <w:rPr>
                <w:rFonts w:cs="Arial"/>
                <w:sz w:val="16"/>
                <w:szCs w:val="16"/>
              </w:rPr>
            </w:pPr>
            <w:r w:rsidRPr="00AA71EF">
              <w:rPr>
                <w:rFonts w:cs="Arial"/>
                <w:sz w:val="16"/>
                <w:szCs w:val="16"/>
              </w:rPr>
              <w:t>1 391</w:t>
            </w:r>
          </w:p>
        </w:tc>
      </w:tr>
      <w:tr w:rsidR="00552346" w:rsidRPr="00361628" w14:paraId="79C09F74" w14:textId="77777777" w:rsidTr="00AA71EF">
        <w:trPr>
          <w:trHeight w:val="285"/>
        </w:trPr>
        <w:tc>
          <w:tcPr>
            <w:tcW w:w="567" w:type="dxa"/>
            <w:noWrap/>
            <w:vAlign w:val="center"/>
          </w:tcPr>
          <w:p w14:paraId="703FB598" w14:textId="77777777" w:rsidR="00552346" w:rsidRPr="00C65B76" w:rsidRDefault="00552346" w:rsidP="00552346">
            <w:pPr>
              <w:jc w:val="right"/>
              <w:rPr>
                <w:color w:val="000000"/>
                <w:sz w:val="16"/>
                <w:szCs w:val="16"/>
              </w:rPr>
            </w:pPr>
            <w:r w:rsidRPr="00C65B76">
              <w:rPr>
                <w:color w:val="000000"/>
                <w:sz w:val="16"/>
                <w:szCs w:val="16"/>
              </w:rPr>
              <w:t>4</w:t>
            </w:r>
          </w:p>
        </w:tc>
        <w:tc>
          <w:tcPr>
            <w:tcW w:w="7148" w:type="dxa"/>
            <w:noWrap/>
            <w:vAlign w:val="center"/>
          </w:tcPr>
          <w:p w14:paraId="57266AC0" w14:textId="52CDDBBE" w:rsidR="00552346" w:rsidRPr="00720307" w:rsidRDefault="00552346" w:rsidP="00552346">
            <w:pPr>
              <w:jc w:val="left"/>
              <w:rPr>
                <w:sz w:val="16"/>
                <w:szCs w:val="16"/>
              </w:rPr>
            </w:pPr>
            <w:r w:rsidRPr="00720307">
              <w:rPr>
                <w:sz w:val="16"/>
                <w:szCs w:val="16"/>
              </w:rPr>
              <w:t>zamówienia klasyczne oraz zamówienia sektorowe, w ponad 50% finansowane przez organizację międzynarodową lub międzynarodową instytucję finansującą, o których mowa w art. 9 pkt 3 ustawy</w:t>
            </w:r>
            <w:r w:rsidR="00760711">
              <w:rPr>
                <w:sz w:val="16"/>
                <w:szCs w:val="16"/>
              </w:rPr>
              <w:t xml:space="preserve"> Pzp</w:t>
            </w:r>
          </w:p>
        </w:tc>
        <w:tc>
          <w:tcPr>
            <w:tcW w:w="1216" w:type="dxa"/>
            <w:noWrap/>
            <w:vAlign w:val="center"/>
          </w:tcPr>
          <w:p w14:paraId="77DA1C31" w14:textId="23A533C8" w:rsidR="00552346" w:rsidRPr="00AA71EF" w:rsidRDefault="00552346" w:rsidP="00AA71EF">
            <w:pPr>
              <w:jc w:val="right"/>
              <w:rPr>
                <w:rFonts w:cs="Arial"/>
                <w:sz w:val="16"/>
                <w:szCs w:val="16"/>
              </w:rPr>
            </w:pPr>
            <w:r w:rsidRPr="00AA71EF">
              <w:rPr>
                <w:rFonts w:cs="Arial"/>
                <w:sz w:val="16"/>
                <w:szCs w:val="16"/>
              </w:rPr>
              <w:t>185</w:t>
            </w:r>
          </w:p>
        </w:tc>
        <w:tc>
          <w:tcPr>
            <w:tcW w:w="1559" w:type="dxa"/>
            <w:noWrap/>
            <w:vAlign w:val="center"/>
          </w:tcPr>
          <w:p w14:paraId="057878D8" w14:textId="3FFDFCA3" w:rsidR="00552346" w:rsidRPr="00AA71EF" w:rsidRDefault="00552346" w:rsidP="00AA71EF">
            <w:pPr>
              <w:jc w:val="right"/>
              <w:rPr>
                <w:rFonts w:cs="Arial"/>
                <w:sz w:val="16"/>
                <w:szCs w:val="16"/>
              </w:rPr>
            </w:pPr>
            <w:r w:rsidRPr="00AA71EF">
              <w:rPr>
                <w:rFonts w:cs="Arial"/>
                <w:sz w:val="16"/>
                <w:szCs w:val="16"/>
              </w:rPr>
              <w:t>1 394</w:t>
            </w:r>
          </w:p>
        </w:tc>
      </w:tr>
      <w:tr w:rsidR="00552346" w:rsidRPr="00361628" w14:paraId="62F57570" w14:textId="77777777" w:rsidTr="00AA71EF">
        <w:trPr>
          <w:trHeight w:val="285"/>
        </w:trPr>
        <w:tc>
          <w:tcPr>
            <w:tcW w:w="567" w:type="dxa"/>
            <w:noWrap/>
            <w:vAlign w:val="center"/>
          </w:tcPr>
          <w:p w14:paraId="6DB20CB0" w14:textId="77777777" w:rsidR="00552346" w:rsidRPr="00C65B76" w:rsidRDefault="00552346" w:rsidP="00552346">
            <w:pPr>
              <w:jc w:val="right"/>
              <w:rPr>
                <w:color w:val="000000"/>
                <w:sz w:val="16"/>
                <w:szCs w:val="16"/>
              </w:rPr>
            </w:pPr>
            <w:r w:rsidRPr="00C65B76">
              <w:rPr>
                <w:color w:val="000000"/>
                <w:sz w:val="16"/>
                <w:szCs w:val="16"/>
              </w:rPr>
              <w:t>5</w:t>
            </w:r>
          </w:p>
        </w:tc>
        <w:tc>
          <w:tcPr>
            <w:tcW w:w="7148" w:type="dxa"/>
            <w:noWrap/>
            <w:vAlign w:val="center"/>
          </w:tcPr>
          <w:p w14:paraId="629DBD56" w14:textId="71DD0B96" w:rsidR="00552346" w:rsidRPr="00720307" w:rsidRDefault="00552346" w:rsidP="00552346">
            <w:pPr>
              <w:jc w:val="left"/>
              <w:rPr>
                <w:sz w:val="16"/>
                <w:szCs w:val="16"/>
              </w:rPr>
            </w:pPr>
            <w:r w:rsidRPr="00720307">
              <w:rPr>
                <w:sz w:val="16"/>
                <w:szCs w:val="16"/>
              </w:rPr>
              <w:t>zamówienia udzielane w celu prowadzenia działalności w zakresie udostępniania publicznej sieci telekomunikacyjnej, o których mowa w art. 10 ust. 1 pkt 3 lit. a ustawy</w:t>
            </w:r>
            <w:r w:rsidR="00760711">
              <w:rPr>
                <w:sz w:val="16"/>
                <w:szCs w:val="16"/>
              </w:rPr>
              <w:t xml:space="preserve"> Pzp</w:t>
            </w:r>
          </w:p>
        </w:tc>
        <w:tc>
          <w:tcPr>
            <w:tcW w:w="1216" w:type="dxa"/>
            <w:noWrap/>
            <w:vAlign w:val="center"/>
          </w:tcPr>
          <w:p w14:paraId="587580C1" w14:textId="13C03BE7" w:rsidR="00552346" w:rsidRPr="00AA71EF" w:rsidRDefault="00552346" w:rsidP="00AA71EF">
            <w:pPr>
              <w:jc w:val="right"/>
              <w:rPr>
                <w:rFonts w:cs="Arial"/>
                <w:sz w:val="16"/>
                <w:szCs w:val="16"/>
              </w:rPr>
            </w:pPr>
            <w:r w:rsidRPr="00AA71EF">
              <w:rPr>
                <w:rFonts w:cs="Arial"/>
                <w:sz w:val="16"/>
                <w:szCs w:val="16"/>
              </w:rPr>
              <w:t>33</w:t>
            </w:r>
          </w:p>
        </w:tc>
        <w:tc>
          <w:tcPr>
            <w:tcW w:w="1559" w:type="dxa"/>
            <w:noWrap/>
            <w:vAlign w:val="center"/>
          </w:tcPr>
          <w:p w14:paraId="2ED95743" w14:textId="0DD1E2CB" w:rsidR="00552346" w:rsidRPr="00AA71EF" w:rsidRDefault="00552346" w:rsidP="00AA71EF">
            <w:pPr>
              <w:jc w:val="right"/>
              <w:rPr>
                <w:rFonts w:cs="Arial"/>
                <w:sz w:val="16"/>
                <w:szCs w:val="16"/>
              </w:rPr>
            </w:pPr>
            <w:r w:rsidRPr="00AA71EF">
              <w:rPr>
                <w:rFonts w:cs="Arial"/>
                <w:sz w:val="16"/>
                <w:szCs w:val="16"/>
              </w:rPr>
              <w:t>1 943</w:t>
            </w:r>
          </w:p>
        </w:tc>
      </w:tr>
      <w:tr w:rsidR="00552346" w:rsidRPr="00361628" w14:paraId="0DA4EAA6" w14:textId="77777777" w:rsidTr="00AA71EF">
        <w:trPr>
          <w:trHeight w:val="285"/>
        </w:trPr>
        <w:tc>
          <w:tcPr>
            <w:tcW w:w="567" w:type="dxa"/>
            <w:noWrap/>
            <w:vAlign w:val="center"/>
          </w:tcPr>
          <w:p w14:paraId="7DA72A31" w14:textId="77777777" w:rsidR="00552346" w:rsidRPr="00C65B76" w:rsidRDefault="00552346" w:rsidP="00552346">
            <w:pPr>
              <w:jc w:val="right"/>
              <w:rPr>
                <w:color w:val="000000"/>
                <w:sz w:val="16"/>
                <w:szCs w:val="16"/>
              </w:rPr>
            </w:pPr>
            <w:r w:rsidRPr="00C65B76">
              <w:rPr>
                <w:color w:val="000000"/>
                <w:sz w:val="16"/>
                <w:szCs w:val="16"/>
              </w:rPr>
              <w:t>6</w:t>
            </w:r>
          </w:p>
        </w:tc>
        <w:tc>
          <w:tcPr>
            <w:tcW w:w="7148" w:type="dxa"/>
            <w:noWrap/>
            <w:vAlign w:val="center"/>
          </w:tcPr>
          <w:p w14:paraId="110A9835" w14:textId="5EF6AB21" w:rsidR="00552346" w:rsidRPr="00720307" w:rsidRDefault="00552346" w:rsidP="00552346">
            <w:pPr>
              <w:jc w:val="left"/>
              <w:rPr>
                <w:sz w:val="16"/>
                <w:szCs w:val="16"/>
              </w:rPr>
            </w:pPr>
            <w:r w:rsidRPr="00720307">
              <w:rPr>
                <w:sz w:val="16"/>
                <w:szCs w:val="16"/>
              </w:rPr>
              <w:t>zamówienia udzielane w celu prowadzenia działalności w zakresie obsługi publicznej sieci telekomunikacyjnej, o których mowa w art. 10 ust. 1 pkt 3 lit. b ustawy</w:t>
            </w:r>
            <w:r w:rsidR="00760711">
              <w:rPr>
                <w:sz w:val="16"/>
                <w:szCs w:val="16"/>
              </w:rPr>
              <w:t xml:space="preserve"> Pzp</w:t>
            </w:r>
          </w:p>
        </w:tc>
        <w:tc>
          <w:tcPr>
            <w:tcW w:w="1216" w:type="dxa"/>
            <w:noWrap/>
            <w:vAlign w:val="center"/>
          </w:tcPr>
          <w:p w14:paraId="5E7DED36" w14:textId="50C6C1E4" w:rsidR="00552346" w:rsidRPr="00AA71EF" w:rsidRDefault="00552346" w:rsidP="00AA71EF">
            <w:pPr>
              <w:jc w:val="right"/>
              <w:rPr>
                <w:rFonts w:cs="Arial"/>
                <w:sz w:val="16"/>
                <w:szCs w:val="16"/>
              </w:rPr>
            </w:pPr>
            <w:r w:rsidRPr="00AA71EF">
              <w:rPr>
                <w:rFonts w:cs="Arial"/>
                <w:sz w:val="16"/>
                <w:szCs w:val="16"/>
              </w:rPr>
              <w:t>277</w:t>
            </w:r>
          </w:p>
        </w:tc>
        <w:tc>
          <w:tcPr>
            <w:tcW w:w="1559" w:type="dxa"/>
            <w:noWrap/>
            <w:vAlign w:val="center"/>
          </w:tcPr>
          <w:p w14:paraId="20022728" w14:textId="47F63699" w:rsidR="00552346" w:rsidRPr="00AA71EF" w:rsidRDefault="00552346" w:rsidP="00AA71EF">
            <w:pPr>
              <w:jc w:val="right"/>
              <w:rPr>
                <w:rFonts w:cs="Arial"/>
                <w:sz w:val="16"/>
                <w:szCs w:val="16"/>
              </w:rPr>
            </w:pPr>
            <w:r w:rsidRPr="00AA71EF">
              <w:rPr>
                <w:rFonts w:cs="Arial"/>
                <w:sz w:val="16"/>
                <w:szCs w:val="16"/>
              </w:rPr>
              <w:t>7 813</w:t>
            </w:r>
          </w:p>
        </w:tc>
      </w:tr>
      <w:tr w:rsidR="00552346" w:rsidRPr="00361628" w14:paraId="435998E7" w14:textId="77777777" w:rsidTr="00AA71EF">
        <w:trPr>
          <w:trHeight w:val="285"/>
        </w:trPr>
        <w:tc>
          <w:tcPr>
            <w:tcW w:w="567" w:type="dxa"/>
            <w:noWrap/>
            <w:vAlign w:val="center"/>
          </w:tcPr>
          <w:p w14:paraId="0ACA8FDD" w14:textId="77777777" w:rsidR="00552346" w:rsidRPr="00C65B76" w:rsidRDefault="00552346" w:rsidP="00552346">
            <w:pPr>
              <w:jc w:val="right"/>
              <w:rPr>
                <w:color w:val="000000"/>
                <w:sz w:val="16"/>
                <w:szCs w:val="16"/>
              </w:rPr>
            </w:pPr>
            <w:r w:rsidRPr="00C65B76">
              <w:rPr>
                <w:color w:val="000000"/>
                <w:sz w:val="16"/>
                <w:szCs w:val="16"/>
              </w:rPr>
              <w:t>7</w:t>
            </w:r>
          </w:p>
        </w:tc>
        <w:tc>
          <w:tcPr>
            <w:tcW w:w="7148" w:type="dxa"/>
            <w:noWrap/>
            <w:vAlign w:val="center"/>
          </w:tcPr>
          <w:p w14:paraId="17FDD58C" w14:textId="372C05DF" w:rsidR="00552346" w:rsidRPr="00720307" w:rsidRDefault="00552346" w:rsidP="00552346">
            <w:pPr>
              <w:jc w:val="left"/>
              <w:rPr>
                <w:sz w:val="16"/>
                <w:szCs w:val="16"/>
              </w:rPr>
            </w:pPr>
            <w:r w:rsidRPr="00720307">
              <w:rPr>
                <w:sz w:val="16"/>
                <w:szCs w:val="16"/>
              </w:rPr>
              <w:t>zamówienia udzielane w celu prowadzenia działalności w zakresie świadczenia publicznie dostępnych usług telekomunikacyjnych za pomocą publicznej sieci telekomunikacyjnej, o których mowa w art. 10 ust. 1 pkt 3 lit. c ustawy</w:t>
            </w:r>
            <w:r w:rsidR="00760711">
              <w:rPr>
                <w:sz w:val="16"/>
                <w:szCs w:val="16"/>
              </w:rPr>
              <w:t xml:space="preserve"> Pzp</w:t>
            </w:r>
          </w:p>
        </w:tc>
        <w:tc>
          <w:tcPr>
            <w:tcW w:w="1216" w:type="dxa"/>
            <w:noWrap/>
            <w:vAlign w:val="center"/>
          </w:tcPr>
          <w:p w14:paraId="7FF6218A" w14:textId="740931C6" w:rsidR="00552346" w:rsidRPr="00AA71EF" w:rsidRDefault="00552346" w:rsidP="00AA71EF">
            <w:pPr>
              <w:jc w:val="right"/>
              <w:rPr>
                <w:rFonts w:cs="Arial"/>
                <w:sz w:val="16"/>
                <w:szCs w:val="16"/>
              </w:rPr>
            </w:pPr>
            <w:r w:rsidRPr="00AA71EF">
              <w:rPr>
                <w:rFonts w:cs="Arial"/>
                <w:sz w:val="16"/>
                <w:szCs w:val="16"/>
              </w:rPr>
              <w:t>952</w:t>
            </w:r>
          </w:p>
        </w:tc>
        <w:tc>
          <w:tcPr>
            <w:tcW w:w="1559" w:type="dxa"/>
            <w:noWrap/>
            <w:vAlign w:val="center"/>
          </w:tcPr>
          <w:p w14:paraId="2071A87D" w14:textId="4B9975E8" w:rsidR="00552346" w:rsidRPr="00AA71EF" w:rsidRDefault="00552346" w:rsidP="00AA71EF">
            <w:pPr>
              <w:jc w:val="right"/>
              <w:rPr>
                <w:rFonts w:cs="Arial"/>
                <w:sz w:val="16"/>
                <w:szCs w:val="16"/>
              </w:rPr>
            </w:pPr>
            <w:r w:rsidRPr="00AA71EF">
              <w:rPr>
                <w:rFonts w:cs="Arial"/>
                <w:sz w:val="16"/>
                <w:szCs w:val="16"/>
              </w:rPr>
              <w:t>29 477</w:t>
            </w:r>
          </w:p>
        </w:tc>
      </w:tr>
      <w:tr w:rsidR="00552346" w:rsidRPr="00361628" w14:paraId="4128206C" w14:textId="77777777" w:rsidTr="00AA71EF">
        <w:trPr>
          <w:trHeight w:val="285"/>
        </w:trPr>
        <w:tc>
          <w:tcPr>
            <w:tcW w:w="567" w:type="dxa"/>
            <w:noWrap/>
            <w:vAlign w:val="center"/>
          </w:tcPr>
          <w:p w14:paraId="5F4BB96C" w14:textId="77777777" w:rsidR="00552346" w:rsidRPr="00C65B76" w:rsidRDefault="00552346" w:rsidP="00552346">
            <w:pPr>
              <w:jc w:val="right"/>
              <w:rPr>
                <w:color w:val="000000"/>
                <w:sz w:val="16"/>
                <w:szCs w:val="16"/>
              </w:rPr>
            </w:pPr>
            <w:r w:rsidRPr="00C65B76">
              <w:rPr>
                <w:color w:val="000000"/>
                <w:sz w:val="16"/>
                <w:szCs w:val="16"/>
              </w:rPr>
              <w:t>8</w:t>
            </w:r>
          </w:p>
        </w:tc>
        <w:tc>
          <w:tcPr>
            <w:tcW w:w="7148" w:type="dxa"/>
            <w:noWrap/>
            <w:vAlign w:val="center"/>
          </w:tcPr>
          <w:p w14:paraId="77154676" w14:textId="51DCDFA3" w:rsidR="00552346" w:rsidRPr="00720307" w:rsidRDefault="00552346" w:rsidP="00552346">
            <w:pPr>
              <w:jc w:val="left"/>
              <w:rPr>
                <w:sz w:val="16"/>
                <w:szCs w:val="16"/>
              </w:rPr>
            </w:pPr>
            <w:r w:rsidRPr="00720307">
              <w:rPr>
                <w:sz w:val="16"/>
                <w:szCs w:val="16"/>
              </w:rPr>
              <w:t>zamówienia, o których mowa w art. 10 ust. 1 pkt 4 ustawy</w:t>
            </w:r>
            <w:r>
              <w:rPr>
                <w:sz w:val="16"/>
                <w:szCs w:val="16"/>
              </w:rPr>
              <w:t xml:space="preserve"> Pzp z 2019 r.</w:t>
            </w:r>
            <w:r w:rsidRPr="00720307">
              <w:rPr>
                <w:sz w:val="16"/>
                <w:szCs w:val="16"/>
              </w:rPr>
              <w:t>, udzielane i organizowane przez podmioty wykonujące działalność, o której mowa w art. 5 ust. 4 pkt 6 ustawy</w:t>
            </w:r>
            <w:r w:rsidR="00760711">
              <w:rPr>
                <w:sz w:val="16"/>
                <w:szCs w:val="16"/>
              </w:rPr>
              <w:t xml:space="preserve"> Pzp</w:t>
            </w:r>
          </w:p>
        </w:tc>
        <w:tc>
          <w:tcPr>
            <w:tcW w:w="1216" w:type="dxa"/>
            <w:noWrap/>
            <w:vAlign w:val="center"/>
          </w:tcPr>
          <w:p w14:paraId="063D2218" w14:textId="1FC772FD" w:rsidR="00552346" w:rsidRPr="00AA71EF" w:rsidRDefault="00552346" w:rsidP="00AA71EF">
            <w:pPr>
              <w:jc w:val="right"/>
              <w:rPr>
                <w:rFonts w:cs="Arial"/>
                <w:sz w:val="16"/>
                <w:szCs w:val="16"/>
              </w:rPr>
            </w:pPr>
            <w:r w:rsidRPr="00AA71EF">
              <w:rPr>
                <w:rFonts w:cs="Arial"/>
                <w:sz w:val="16"/>
                <w:szCs w:val="16"/>
              </w:rPr>
              <w:t>1 926</w:t>
            </w:r>
          </w:p>
        </w:tc>
        <w:tc>
          <w:tcPr>
            <w:tcW w:w="1559" w:type="dxa"/>
            <w:noWrap/>
            <w:vAlign w:val="center"/>
          </w:tcPr>
          <w:p w14:paraId="7251A4B1" w14:textId="594D1574" w:rsidR="00552346" w:rsidRPr="00AA71EF" w:rsidRDefault="00552346" w:rsidP="00AA71EF">
            <w:pPr>
              <w:jc w:val="right"/>
              <w:rPr>
                <w:rFonts w:cs="Arial"/>
                <w:sz w:val="16"/>
                <w:szCs w:val="16"/>
              </w:rPr>
            </w:pPr>
            <w:r w:rsidRPr="00AA71EF">
              <w:rPr>
                <w:rFonts w:cs="Arial"/>
                <w:sz w:val="16"/>
                <w:szCs w:val="16"/>
              </w:rPr>
              <w:t>251 655</w:t>
            </w:r>
          </w:p>
        </w:tc>
      </w:tr>
      <w:tr w:rsidR="00552346" w:rsidRPr="00361628" w14:paraId="4C746EA6" w14:textId="77777777" w:rsidTr="00AA71EF">
        <w:trPr>
          <w:trHeight w:val="285"/>
        </w:trPr>
        <w:tc>
          <w:tcPr>
            <w:tcW w:w="567" w:type="dxa"/>
            <w:noWrap/>
            <w:vAlign w:val="center"/>
          </w:tcPr>
          <w:p w14:paraId="3B70AE78" w14:textId="77777777" w:rsidR="00552346" w:rsidRPr="00C65B76" w:rsidRDefault="00552346" w:rsidP="00552346">
            <w:pPr>
              <w:jc w:val="right"/>
              <w:rPr>
                <w:color w:val="000000"/>
                <w:sz w:val="16"/>
                <w:szCs w:val="16"/>
              </w:rPr>
            </w:pPr>
            <w:r w:rsidRPr="00C65B76">
              <w:rPr>
                <w:color w:val="000000"/>
                <w:sz w:val="16"/>
                <w:szCs w:val="16"/>
              </w:rPr>
              <w:t>9</w:t>
            </w:r>
          </w:p>
        </w:tc>
        <w:tc>
          <w:tcPr>
            <w:tcW w:w="7148" w:type="dxa"/>
            <w:noWrap/>
            <w:vAlign w:val="center"/>
          </w:tcPr>
          <w:p w14:paraId="6CE20643" w14:textId="030E485E" w:rsidR="00552346" w:rsidRPr="00720307" w:rsidRDefault="00552346" w:rsidP="00552346">
            <w:pPr>
              <w:jc w:val="left"/>
              <w:rPr>
                <w:sz w:val="16"/>
                <w:szCs w:val="16"/>
              </w:rPr>
            </w:pPr>
            <w:r w:rsidRPr="00720307">
              <w:rPr>
                <w:sz w:val="16"/>
                <w:szCs w:val="16"/>
              </w:rPr>
              <w:t>zamówienia udzielone instytucji gospodarki budżetowej przez organ władzy publicznej wykonujący funkcje organu założycielskiego tej instytucji, o których mowa w art. 10 ust. 2 pkt 3 ustawy</w:t>
            </w:r>
            <w:r w:rsidR="00760711">
              <w:rPr>
                <w:sz w:val="16"/>
                <w:szCs w:val="16"/>
              </w:rPr>
              <w:t xml:space="preserve"> Pzp</w:t>
            </w:r>
          </w:p>
        </w:tc>
        <w:tc>
          <w:tcPr>
            <w:tcW w:w="1216" w:type="dxa"/>
            <w:noWrap/>
            <w:vAlign w:val="center"/>
          </w:tcPr>
          <w:p w14:paraId="36171BEC" w14:textId="419329B4" w:rsidR="00552346" w:rsidRPr="00AA71EF" w:rsidRDefault="00552346" w:rsidP="00AA71EF">
            <w:pPr>
              <w:jc w:val="right"/>
              <w:rPr>
                <w:rFonts w:cs="Arial"/>
                <w:sz w:val="16"/>
                <w:szCs w:val="16"/>
              </w:rPr>
            </w:pPr>
            <w:r w:rsidRPr="00AA71EF">
              <w:rPr>
                <w:rFonts w:cs="Arial"/>
                <w:sz w:val="16"/>
                <w:szCs w:val="16"/>
              </w:rPr>
              <w:t>3 225</w:t>
            </w:r>
          </w:p>
        </w:tc>
        <w:tc>
          <w:tcPr>
            <w:tcW w:w="1559" w:type="dxa"/>
            <w:noWrap/>
            <w:vAlign w:val="center"/>
          </w:tcPr>
          <w:p w14:paraId="2F96EFA6" w14:textId="7D3CEA9D" w:rsidR="00552346" w:rsidRPr="00AA71EF" w:rsidRDefault="00552346" w:rsidP="00AA71EF">
            <w:pPr>
              <w:jc w:val="right"/>
              <w:rPr>
                <w:rFonts w:cs="Arial"/>
                <w:sz w:val="16"/>
                <w:szCs w:val="16"/>
              </w:rPr>
            </w:pPr>
            <w:r w:rsidRPr="00AA71EF">
              <w:rPr>
                <w:rFonts w:cs="Arial"/>
                <w:sz w:val="16"/>
                <w:szCs w:val="16"/>
              </w:rPr>
              <w:t>435 607</w:t>
            </w:r>
          </w:p>
        </w:tc>
      </w:tr>
      <w:tr w:rsidR="00552346" w:rsidRPr="00361628" w14:paraId="767B6D56" w14:textId="77777777" w:rsidTr="00AA71EF">
        <w:trPr>
          <w:trHeight w:val="285"/>
        </w:trPr>
        <w:tc>
          <w:tcPr>
            <w:tcW w:w="567" w:type="dxa"/>
            <w:noWrap/>
            <w:vAlign w:val="center"/>
          </w:tcPr>
          <w:p w14:paraId="29C5AAC0" w14:textId="77777777" w:rsidR="00552346" w:rsidRPr="00C65B76" w:rsidRDefault="00552346" w:rsidP="00552346">
            <w:pPr>
              <w:jc w:val="right"/>
              <w:rPr>
                <w:color w:val="000000"/>
                <w:sz w:val="16"/>
                <w:szCs w:val="16"/>
              </w:rPr>
            </w:pPr>
            <w:r w:rsidRPr="00C65B76">
              <w:rPr>
                <w:color w:val="000000"/>
                <w:sz w:val="16"/>
                <w:szCs w:val="16"/>
              </w:rPr>
              <w:t>10</w:t>
            </w:r>
          </w:p>
        </w:tc>
        <w:tc>
          <w:tcPr>
            <w:tcW w:w="7148" w:type="dxa"/>
            <w:noWrap/>
            <w:vAlign w:val="center"/>
          </w:tcPr>
          <w:p w14:paraId="1F34566D" w14:textId="4E42A2E3" w:rsidR="00552346" w:rsidRPr="00720307" w:rsidRDefault="00552346" w:rsidP="00552346">
            <w:pPr>
              <w:jc w:val="left"/>
              <w:rPr>
                <w:sz w:val="16"/>
                <w:szCs w:val="16"/>
              </w:rPr>
            </w:pPr>
            <w:r w:rsidRPr="00720307">
              <w:rPr>
                <w:sz w:val="16"/>
                <w:szCs w:val="16"/>
              </w:rPr>
              <w:t>zamówienia na usługi udzielane innemu zamawiającemu publicznemu, któremu wyłączne prawo do świadczenia tych usług przyznano na podstawie ustawy lub innego aktu normatywnego, podlegającego publikacji, o których mowa w art. 10 ust. 2 pkt 4 ustawy</w:t>
            </w:r>
            <w:r w:rsidR="00760711">
              <w:rPr>
                <w:sz w:val="16"/>
                <w:szCs w:val="16"/>
              </w:rPr>
              <w:t xml:space="preserve"> Pzp</w:t>
            </w:r>
          </w:p>
        </w:tc>
        <w:tc>
          <w:tcPr>
            <w:tcW w:w="1216" w:type="dxa"/>
            <w:noWrap/>
            <w:vAlign w:val="center"/>
          </w:tcPr>
          <w:p w14:paraId="35E462CC" w14:textId="45B3B768" w:rsidR="00552346" w:rsidRPr="00AA71EF" w:rsidRDefault="00552346" w:rsidP="00AA71EF">
            <w:pPr>
              <w:jc w:val="right"/>
              <w:rPr>
                <w:rFonts w:cs="Arial"/>
                <w:sz w:val="16"/>
                <w:szCs w:val="16"/>
              </w:rPr>
            </w:pPr>
            <w:r w:rsidRPr="00AA71EF">
              <w:rPr>
                <w:rFonts w:cs="Arial"/>
                <w:sz w:val="16"/>
                <w:szCs w:val="16"/>
              </w:rPr>
              <w:t>4 760</w:t>
            </w:r>
          </w:p>
        </w:tc>
        <w:tc>
          <w:tcPr>
            <w:tcW w:w="1559" w:type="dxa"/>
            <w:noWrap/>
            <w:vAlign w:val="center"/>
          </w:tcPr>
          <w:p w14:paraId="15AF05BA" w14:textId="25018352" w:rsidR="00552346" w:rsidRPr="00AA71EF" w:rsidRDefault="00552346" w:rsidP="00AA71EF">
            <w:pPr>
              <w:jc w:val="right"/>
              <w:rPr>
                <w:rFonts w:cs="Arial"/>
                <w:sz w:val="16"/>
                <w:szCs w:val="16"/>
              </w:rPr>
            </w:pPr>
            <w:r w:rsidRPr="00AA71EF">
              <w:rPr>
                <w:rFonts w:cs="Arial"/>
                <w:sz w:val="16"/>
                <w:szCs w:val="16"/>
              </w:rPr>
              <w:t>762 512</w:t>
            </w:r>
          </w:p>
        </w:tc>
      </w:tr>
      <w:tr w:rsidR="00552346" w:rsidRPr="00361628" w14:paraId="3D9FD6CF" w14:textId="77777777" w:rsidTr="00AA71EF">
        <w:trPr>
          <w:trHeight w:val="285"/>
        </w:trPr>
        <w:tc>
          <w:tcPr>
            <w:tcW w:w="567" w:type="dxa"/>
            <w:noWrap/>
            <w:vAlign w:val="center"/>
          </w:tcPr>
          <w:p w14:paraId="781E61FE" w14:textId="77777777" w:rsidR="00552346" w:rsidRPr="00C65B76" w:rsidRDefault="00552346" w:rsidP="00552346">
            <w:pPr>
              <w:jc w:val="right"/>
              <w:rPr>
                <w:color w:val="000000"/>
                <w:sz w:val="16"/>
                <w:szCs w:val="16"/>
              </w:rPr>
            </w:pPr>
            <w:r w:rsidRPr="00C65B76">
              <w:rPr>
                <w:color w:val="000000"/>
                <w:sz w:val="16"/>
                <w:szCs w:val="16"/>
              </w:rPr>
              <w:t>11</w:t>
            </w:r>
          </w:p>
        </w:tc>
        <w:tc>
          <w:tcPr>
            <w:tcW w:w="7148" w:type="dxa"/>
            <w:noWrap/>
            <w:vAlign w:val="center"/>
          </w:tcPr>
          <w:p w14:paraId="40A240E3" w14:textId="451580B9" w:rsidR="00552346" w:rsidRPr="00720307" w:rsidRDefault="00552346" w:rsidP="00552346">
            <w:pPr>
              <w:jc w:val="left"/>
              <w:rPr>
                <w:sz w:val="16"/>
                <w:szCs w:val="16"/>
              </w:rPr>
            </w:pPr>
            <w:r w:rsidRPr="00720307">
              <w:rPr>
                <w:sz w:val="16"/>
                <w:szCs w:val="16"/>
              </w:rPr>
              <w:t>zamówienia, których przedmiotem są usługi arbitrażowe lub pojednawcze, o których mowa w art. 11 ust. 1 pkt 1 ustawy</w:t>
            </w:r>
            <w:r w:rsidR="00760711">
              <w:rPr>
                <w:sz w:val="16"/>
                <w:szCs w:val="16"/>
              </w:rPr>
              <w:t xml:space="preserve"> Pzp</w:t>
            </w:r>
          </w:p>
        </w:tc>
        <w:tc>
          <w:tcPr>
            <w:tcW w:w="1216" w:type="dxa"/>
            <w:noWrap/>
            <w:vAlign w:val="center"/>
          </w:tcPr>
          <w:p w14:paraId="2BA028CC" w14:textId="1A8FE288" w:rsidR="00552346" w:rsidRPr="00AA71EF" w:rsidRDefault="00552346" w:rsidP="00AA71EF">
            <w:pPr>
              <w:jc w:val="right"/>
              <w:rPr>
                <w:rFonts w:cs="Arial"/>
                <w:sz w:val="16"/>
                <w:szCs w:val="16"/>
              </w:rPr>
            </w:pPr>
            <w:r w:rsidRPr="00AA71EF">
              <w:rPr>
                <w:rFonts w:cs="Arial"/>
                <w:sz w:val="16"/>
                <w:szCs w:val="16"/>
              </w:rPr>
              <w:t>125</w:t>
            </w:r>
          </w:p>
        </w:tc>
        <w:tc>
          <w:tcPr>
            <w:tcW w:w="1559" w:type="dxa"/>
            <w:noWrap/>
            <w:vAlign w:val="center"/>
          </w:tcPr>
          <w:p w14:paraId="3A49D5E7" w14:textId="4617A50C" w:rsidR="00552346" w:rsidRPr="00AA71EF" w:rsidRDefault="00552346" w:rsidP="00AA71EF">
            <w:pPr>
              <w:jc w:val="right"/>
              <w:rPr>
                <w:rFonts w:cs="Arial"/>
                <w:sz w:val="16"/>
                <w:szCs w:val="16"/>
              </w:rPr>
            </w:pPr>
            <w:r w:rsidRPr="00AA71EF">
              <w:rPr>
                <w:rFonts w:cs="Arial"/>
                <w:sz w:val="16"/>
                <w:szCs w:val="16"/>
              </w:rPr>
              <w:t>1 047</w:t>
            </w:r>
          </w:p>
        </w:tc>
      </w:tr>
      <w:tr w:rsidR="00552346" w:rsidRPr="00361628" w14:paraId="08FF4D0B" w14:textId="77777777" w:rsidTr="00AA71EF">
        <w:trPr>
          <w:trHeight w:val="285"/>
        </w:trPr>
        <w:tc>
          <w:tcPr>
            <w:tcW w:w="567" w:type="dxa"/>
            <w:noWrap/>
            <w:vAlign w:val="center"/>
          </w:tcPr>
          <w:p w14:paraId="38009F83" w14:textId="77777777" w:rsidR="00552346" w:rsidRPr="00C65B76" w:rsidRDefault="00552346" w:rsidP="00552346">
            <w:pPr>
              <w:jc w:val="right"/>
              <w:rPr>
                <w:color w:val="000000"/>
                <w:sz w:val="16"/>
                <w:szCs w:val="16"/>
              </w:rPr>
            </w:pPr>
            <w:r w:rsidRPr="00C65B76">
              <w:rPr>
                <w:color w:val="000000"/>
                <w:sz w:val="16"/>
                <w:szCs w:val="16"/>
              </w:rPr>
              <w:t>12</w:t>
            </w:r>
          </w:p>
        </w:tc>
        <w:tc>
          <w:tcPr>
            <w:tcW w:w="7148" w:type="dxa"/>
            <w:noWrap/>
            <w:vAlign w:val="center"/>
          </w:tcPr>
          <w:p w14:paraId="0AF4360A" w14:textId="68F29222" w:rsidR="00552346" w:rsidRPr="00720307" w:rsidRDefault="00552346" w:rsidP="00552346">
            <w:pPr>
              <w:jc w:val="left"/>
              <w:rPr>
                <w:sz w:val="16"/>
                <w:szCs w:val="16"/>
              </w:rPr>
            </w:pPr>
            <w:r w:rsidRPr="00720307">
              <w:rPr>
                <w:sz w:val="16"/>
                <w:szCs w:val="16"/>
              </w:rPr>
              <w:t>zamówienia, których przedmiotem są usługi prawne, o których mowa w art. 11 ust. 1 pkt 2 ustawy</w:t>
            </w:r>
            <w:r w:rsidR="00760711">
              <w:rPr>
                <w:sz w:val="16"/>
                <w:szCs w:val="16"/>
              </w:rPr>
              <w:t xml:space="preserve"> Pzp</w:t>
            </w:r>
          </w:p>
        </w:tc>
        <w:tc>
          <w:tcPr>
            <w:tcW w:w="1216" w:type="dxa"/>
            <w:noWrap/>
            <w:vAlign w:val="center"/>
          </w:tcPr>
          <w:p w14:paraId="55C9E21E" w14:textId="1CF23567" w:rsidR="00552346" w:rsidRPr="00AA71EF" w:rsidRDefault="00552346" w:rsidP="00AA71EF">
            <w:pPr>
              <w:jc w:val="right"/>
              <w:rPr>
                <w:rFonts w:cs="Arial"/>
                <w:sz w:val="16"/>
                <w:szCs w:val="16"/>
              </w:rPr>
            </w:pPr>
            <w:r w:rsidRPr="00AA71EF">
              <w:rPr>
                <w:rFonts w:cs="Arial"/>
                <w:sz w:val="16"/>
                <w:szCs w:val="16"/>
              </w:rPr>
              <w:t>3 431</w:t>
            </w:r>
          </w:p>
        </w:tc>
        <w:tc>
          <w:tcPr>
            <w:tcW w:w="1559" w:type="dxa"/>
            <w:noWrap/>
            <w:vAlign w:val="center"/>
          </w:tcPr>
          <w:p w14:paraId="3CF4737D" w14:textId="1423A969" w:rsidR="00552346" w:rsidRPr="00AA71EF" w:rsidRDefault="00552346" w:rsidP="00AA71EF">
            <w:pPr>
              <w:jc w:val="right"/>
              <w:rPr>
                <w:rFonts w:cs="Arial"/>
                <w:sz w:val="16"/>
                <w:szCs w:val="16"/>
              </w:rPr>
            </w:pPr>
            <w:r w:rsidRPr="00AA71EF">
              <w:rPr>
                <w:rFonts w:cs="Arial"/>
                <w:sz w:val="16"/>
                <w:szCs w:val="16"/>
              </w:rPr>
              <w:t>101 113</w:t>
            </w:r>
          </w:p>
        </w:tc>
      </w:tr>
      <w:tr w:rsidR="00552346" w:rsidRPr="00361628" w14:paraId="43EC4E3F" w14:textId="77777777" w:rsidTr="00AA71EF">
        <w:trPr>
          <w:trHeight w:val="285"/>
        </w:trPr>
        <w:tc>
          <w:tcPr>
            <w:tcW w:w="567" w:type="dxa"/>
            <w:noWrap/>
            <w:vAlign w:val="center"/>
          </w:tcPr>
          <w:p w14:paraId="453B4F2D" w14:textId="77777777" w:rsidR="00552346" w:rsidRPr="00C65B76" w:rsidRDefault="00552346" w:rsidP="00552346">
            <w:pPr>
              <w:jc w:val="right"/>
              <w:rPr>
                <w:color w:val="000000"/>
                <w:sz w:val="16"/>
                <w:szCs w:val="16"/>
              </w:rPr>
            </w:pPr>
            <w:r w:rsidRPr="00C65B76">
              <w:rPr>
                <w:color w:val="000000"/>
                <w:sz w:val="16"/>
                <w:szCs w:val="16"/>
              </w:rPr>
              <w:t>13</w:t>
            </w:r>
          </w:p>
        </w:tc>
        <w:tc>
          <w:tcPr>
            <w:tcW w:w="7148" w:type="dxa"/>
            <w:noWrap/>
            <w:vAlign w:val="center"/>
          </w:tcPr>
          <w:p w14:paraId="0F594353" w14:textId="423BF20A" w:rsidR="00552346" w:rsidRPr="00720307" w:rsidRDefault="00552346" w:rsidP="00552346">
            <w:pPr>
              <w:jc w:val="left"/>
              <w:rPr>
                <w:sz w:val="16"/>
                <w:szCs w:val="16"/>
              </w:rPr>
            </w:pPr>
            <w:r w:rsidRPr="00720307">
              <w:rPr>
                <w:sz w:val="16"/>
                <w:szCs w:val="16"/>
              </w:rPr>
              <w:t>zamówienia, których przedmiotem są usługi badawcze lub rozwojowe, o których mowa w art. 11 ust. 1 pkt 3 ustawy</w:t>
            </w:r>
            <w:r w:rsidR="00760711">
              <w:rPr>
                <w:sz w:val="16"/>
                <w:szCs w:val="16"/>
              </w:rPr>
              <w:t xml:space="preserve"> Pzp</w:t>
            </w:r>
          </w:p>
        </w:tc>
        <w:tc>
          <w:tcPr>
            <w:tcW w:w="1216" w:type="dxa"/>
            <w:noWrap/>
            <w:vAlign w:val="center"/>
          </w:tcPr>
          <w:p w14:paraId="6E786FB0" w14:textId="12F77A86" w:rsidR="00552346" w:rsidRPr="00AA71EF" w:rsidRDefault="00552346" w:rsidP="00AA71EF">
            <w:pPr>
              <w:jc w:val="right"/>
              <w:rPr>
                <w:rFonts w:cs="Arial"/>
                <w:sz w:val="16"/>
                <w:szCs w:val="16"/>
              </w:rPr>
            </w:pPr>
            <w:r w:rsidRPr="00AA71EF">
              <w:rPr>
                <w:rFonts w:cs="Arial"/>
                <w:sz w:val="16"/>
                <w:szCs w:val="16"/>
              </w:rPr>
              <w:t>3 196</w:t>
            </w:r>
          </w:p>
        </w:tc>
        <w:tc>
          <w:tcPr>
            <w:tcW w:w="1559" w:type="dxa"/>
            <w:noWrap/>
            <w:vAlign w:val="center"/>
          </w:tcPr>
          <w:p w14:paraId="1D61970B" w14:textId="3726D1C6" w:rsidR="00552346" w:rsidRPr="00AA71EF" w:rsidRDefault="00552346" w:rsidP="00AA71EF">
            <w:pPr>
              <w:jc w:val="right"/>
              <w:rPr>
                <w:rFonts w:cs="Arial"/>
                <w:sz w:val="16"/>
                <w:szCs w:val="16"/>
              </w:rPr>
            </w:pPr>
            <w:r w:rsidRPr="00AA71EF">
              <w:rPr>
                <w:rFonts w:cs="Arial"/>
                <w:sz w:val="16"/>
                <w:szCs w:val="16"/>
              </w:rPr>
              <w:t>134 176</w:t>
            </w:r>
          </w:p>
        </w:tc>
      </w:tr>
      <w:tr w:rsidR="00552346" w:rsidRPr="00361628" w14:paraId="62394CD7" w14:textId="77777777" w:rsidTr="00AA71EF">
        <w:trPr>
          <w:trHeight w:val="285"/>
        </w:trPr>
        <w:tc>
          <w:tcPr>
            <w:tcW w:w="567" w:type="dxa"/>
            <w:noWrap/>
            <w:vAlign w:val="center"/>
          </w:tcPr>
          <w:p w14:paraId="5B82AB24" w14:textId="77777777" w:rsidR="00552346" w:rsidRPr="00C65B76" w:rsidRDefault="00552346" w:rsidP="00552346">
            <w:pPr>
              <w:jc w:val="right"/>
              <w:rPr>
                <w:color w:val="000000"/>
                <w:sz w:val="16"/>
                <w:szCs w:val="16"/>
              </w:rPr>
            </w:pPr>
            <w:r w:rsidRPr="00C65B76">
              <w:rPr>
                <w:color w:val="000000"/>
                <w:sz w:val="16"/>
                <w:szCs w:val="16"/>
              </w:rPr>
              <w:t>14</w:t>
            </w:r>
          </w:p>
        </w:tc>
        <w:tc>
          <w:tcPr>
            <w:tcW w:w="7148" w:type="dxa"/>
            <w:noWrap/>
            <w:vAlign w:val="center"/>
          </w:tcPr>
          <w:p w14:paraId="3EEC5F44" w14:textId="7CFB3A97" w:rsidR="00552346" w:rsidRPr="00720307" w:rsidRDefault="00552346" w:rsidP="00552346">
            <w:pPr>
              <w:jc w:val="left"/>
              <w:rPr>
                <w:sz w:val="16"/>
                <w:szCs w:val="16"/>
              </w:rPr>
            </w:pPr>
            <w:r w:rsidRPr="00720307">
              <w:rPr>
                <w:sz w:val="16"/>
                <w:szCs w:val="16"/>
              </w:rPr>
              <w:t>zamówienia, których przedmiotem jest nabycie audycji i materiałów do audycji lub ich opracowanie, produkcja lub koprodukcja, o których mowa w art. 11 ust. 1 pkt 4 ustawy</w:t>
            </w:r>
            <w:r w:rsidR="00760711">
              <w:rPr>
                <w:sz w:val="16"/>
                <w:szCs w:val="16"/>
              </w:rPr>
              <w:t xml:space="preserve"> Pzp</w:t>
            </w:r>
          </w:p>
        </w:tc>
        <w:tc>
          <w:tcPr>
            <w:tcW w:w="1216" w:type="dxa"/>
            <w:noWrap/>
            <w:vAlign w:val="center"/>
          </w:tcPr>
          <w:p w14:paraId="0D0F8FB8" w14:textId="3B2432CF" w:rsidR="00552346" w:rsidRPr="00AA71EF" w:rsidRDefault="00552346" w:rsidP="00AA71EF">
            <w:pPr>
              <w:jc w:val="right"/>
              <w:rPr>
                <w:rFonts w:cs="Arial"/>
                <w:sz w:val="16"/>
                <w:szCs w:val="16"/>
              </w:rPr>
            </w:pPr>
            <w:r w:rsidRPr="00AA71EF">
              <w:rPr>
                <w:rFonts w:cs="Arial"/>
                <w:sz w:val="16"/>
                <w:szCs w:val="16"/>
              </w:rPr>
              <w:t>29 479</w:t>
            </w:r>
          </w:p>
        </w:tc>
        <w:tc>
          <w:tcPr>
            <w:tcW w:w="1559" w:type="dxa"/>
            <w:noWrap/>
            <w:vAlign w:val="center"/>
          </w:tcPr>
          <w:p w14:paraId="29093B6B" w14:textId="674A6E59" w:rsidR="00552346" w:rsidRPr="00AA71EF" w:rsidRDefault="00552346" w:rsidP="00AA71EF">
            <w:pPr>
              <w:jc w:val="right"/>
              <w:rPr>
                <w:rFonts w:cs="Arial"/>
                <w:sz w:val="16"/>
                <w:szCs w:val="16"/>
              </w:rPr>
            </w:pPr>
            <w:r w:rsidRPr="00AA71EF">
              <w:rPr>
                <w:rFonts w:cs="Arial"/>
                <w:sz w:val="16"/>
                <w:szCs w:val="16"/>
              </w:rPr>
              <w:t>1 287 975</w:t>
            </w:r>
          </w:p>
        </w:tc>
      </w:tr>
      <w:tr w:rsidR="00552346" w:rsidRPr="00361628" w14:paraId="422B4594" w14:textId="77777777" w:rsidTr="00AA71EF">
        <w:trPr>
          <w:trHeight w:val="285"/>
        </w:trPr>
        <w:tc>
          <w:tcPr>
            <w:tcW w:w="567" w:type="dxa"/>
            <w:noWrap/>
            <w:vAlign w:val="center"/>
          </w:tcPr>
          <w:p w14:paraId="4B45AD32" w14:textId="77777777" w:rsidR="00552346" w:rsidRPr="00C65B76" w:rsidRDefault="00552346" w:rsidP="00552346">
            <w:pPr>
              <w:jc w:val="right"/>
              <w:rPr>
                <w:color w:val="000000"/>
                <w:sz w:val="16"/>
                <w:szCs w:val="16"/>
              </w:rPr>
            </w:pPr>
            <w:r w:rsidRPr="00C65B76">
              <w:rPr>
                <w:color w:val="000000"/>
                <w:sz w:val="16"/>
                <w:szCs w:val="16"/>
              </w:rPr>
              <w:t>15</w:t>
            </w:r>
          </w:p>
        </w:tc>
        <w:tc>
          <w:tcPr>
            <w:tcW w:w="7148" w:type="dxa"/>
            <w:noWrap/>
            <w:vAlign w:val="center"/>
          </w:tcPr>
          <w:p w14:paraId="4B122FE1" w14:textId="01E87203" w:rsidR="00552346" w:rsidRPr="00720307" w:rsidRDefault="00552346" w:rsidP="00552346">
            <w:pPr>
              <w:jc w:val="left"/>
              <w:rPr>
                <w:sz w:val="16"/>
                <w:szCs w:val="16"/>
              </w:rPr>
            </w:pPr>
            <w:r w:rsidRPr="00720307">
              <w:rPr>
                <w:sz w:val="16"/>
                <w:szCs w:val="16"/>
              </w:rPr>
              <w:t>zamówienia, których przedmiotem jest zakup czasu antenowego lub audycji, o których mowa w art. 11 ust. 1 pkt 5 ustawy</w:t>
            </w:r>
            <w:r w:rsidR="00760711">
              <w:rPr>
                <w:sz w:val="16"/>
                <w:szCs w:val="16"/>
              </w:rPr>
              <w:t xml:space="preserve"> Pzp</w:t>
            </w:r>
          </w:p>
        </w:tc>
        <w:tc>
          <w:tcPr>
            <w:tcW w:w="1216" w:type="dxa"/>
            <w:noWrap/>
            <w:vAlign w:val="center"/>
          </w:tcPr>
          <w:p w14:paraId="13C3A6FA" w14:textId="76BDF7A7" w:rsidR="00552346" w:rsidRPr="00AA71EF" w:rsidRDefault="00552346" w:rsidP="00AA71EF">
            <w:pPr>
              <w:jc w:val="right"/>
              <w:rPr>
                <w:rFonts w:cs="Arial"/>
                <w:sz w:val="16"/>
                <w:szCs w:val="16"/>
              </w:rPr>
            </w:pPr>
            <w:r w:rsidRPr="00AA71EF">
              <w:rPr>
                <w:rFonts w:cs="Arial"/>
                <w:sz w:val="16"/>
                <w:szCs w:val="16"/>
              </w:rPr>
              <w:t>2 479</w:t>
            </w:r>
          </w:p>
        </w:tc>
        <w:tc>
          <w:tcPr>
            <w:tcW w:w="1559" w:type="dxa"/>
            <w:noWrap/>
            <w:vAlign w:val="center"/>
          </w:tcPr>
          <w:p w14:paraId="53E98F4C" w14:textId="2D7828DF" w:rsidR="00552346" w:rsidRPr="00AA71EF" w:rsidRDefault="00552346" w:rsidP="00AA71EF">
            <w:pPr>
              <w:jc w:val="right"/>
              <w:rPr>
                <w:rFonts w:cs="Arial"/>
                <w:sz w:val="16"/>
                <w:szCs w:val="16"/>
              </w:rPr>
            </w:pPr>
            <w:r w:rsidRPr="00AA71EF">
              <w:rPr>
                <w:rFonts w:cs="Arial"/>
                <w:sz w:val="16"/>
                <w:szCs w:val="16"/>
              </w:rPr>
              <w:t>326 692</w:t>
            </w:r>
          </w:p>
        </w:tc>
      </w:tr>
      <w:tr w:rsidR="00552346" w:rsidRPr="00361628" w14:paraId="38BBF716" w14:textId="77777777" w:rsidTr="00AA71EF">
        <w:trPr>
          <w:trHeight w:val="285"/>
        </w:trPr>
        <w:tc>
          <w:tcPr>
            <w:tcW w:w="567" w:type="dxa"/>
            <w:noWrap/>
            <w:vAlign w:val="center"/>
          </w:tcPr>
          <w:p w14:paraId="111918FC" w14:textId="77777777" w:rsidR="00552346" w:rsidRPr="00C65B76" w:rsidRDefault="00552346" w:rsidP="00552346">
            <w:pPr>
              <w:jc w:val="right"/>
              <w:rPr>
                <w:color w:val="000000"/>
                <w:sz w:val="16"/>
                <w:szCs w:val="16"/>
              </w:rPr>
            </w:pPr>
            <w:r w:rsidRPr="00C65B76">
              <w:rPr>
                <w:color w:val="000000"/>
                <w:sz w:val="16"/>
                <w:szCs w:val="16"/>
              </w:rPr>
              <w:t>16</w:t>
            </w:r>
          </w:p>
        </w:tc>
        <w:tc>
          <w:tcPr>
            <w:tcW w:w="7148" w:type="dxa"/>
            <w:noWrap/>
            <w:vAlign w:val="center"/>
          </w:tcPr>
          <w:p w14:paraId="0AE02356" w14:textId="79DEDC4F" w:rsidR="00552346" w:rsidRPr="00720307" w:rsidRDefault="00552346" w:rsidP="00552346">
            <w:pPr>
              <w:jc w:val="left"/>
              <w:rPr>
                <w:sz w:val="16"/>
                <w:szCs w:val="16"/>
              </w:rPr>
            </w:pPr>
            <w:r w:rsidRPr="00720307">
              <w:rPr>
                <w:sz w:val="16"/>
                <w:szCs w:val="16"/>
              </w:rPr>
              <w:t>zamówienia, których przedmiotem jest nabycie własności lub innych praw do istniejących budynków lub nieruchomości, o których mowa w art. 11 ust. 1 pkt 6 ustawy</w:t>
            </w:r>
            <w:r w:rsidR="00760711">
              <w:rPr>
                <w:sz w:val="16"/>
                <w:szCs w:val="16"/>
              </w:rPr>
              <w:t xml:space="preserve"> Pzp</w:t>
            </w:r>
          </w:p>
        </w:tc>
        <w:tc>
          <w:tcPr>
            <w:tcW w:w="1216" w:type="dxa"/>
            <w:noWrap/>
            <w:vAlign w:val="center"/>
          </w:tcPr>
          <w:p w14:paraId="53B85F07" w14:textId="70D2B44E" w:rsidR="00552346" w:rsidRPr="00AA71EF" w:rsidRDefault="00552346" w:rsidP="00AA71EF">
            <w:pPr>
              <w:jc w:val="right"/>
              <w:rPr>
                <w:rFonts w:cs="Arial"/>
                <w:sz w:val="16"/>
                <w:szCs w:val="16"/>
              </w:rPr>
            </w:pPr>
            <w:r w:rsidRPr="00AA71EF">
              <w:rPr>
                <w:rFonts w:cs="Arial"/>
                <w:sz w:val="16"/>
                <w:szCs w:val="16"/>
              </w:rPr>
              <w:t>14 854</w:t>
            </w:r>
          </w:p>
        </w:tc>
        <w:tc>
          <w:tcPr>
            <w:tcW w:w="1559" w:type="dxa"/>
            <w:noWrap/>
            <w:vAlign w:val="center"/>
          </w:tcPr>
          <w:p w14:paraId="63225FA4" w14:textId="75C4B2FF" w:rsidR="00552346" w:rsidRPr="00AA71EF" w:rsidRDefault="00552346" w:rsidP="00AA71EF">
            <w:pPr>
              <w:jc w:val="right"/>
              <w:rPr>
                <w:rFonts w:cs="Arial"/>
                <w:sz w:val="16"/>
                <w:szCs w:val="16"/>
              </w:rPr>
            </w:pPr>
            <w:r w:rsidRPr="00AA71EF">
              <w:rPr>
                <w:rFonts w:cs="Arial"/>
                <w:sz w:val="16"/>
                <w:szCs w:val="16"/>
              </w:rPr>
              <w:t>2 584 696</w:t>
            </w:r>
          </w:p>
        </w:tc>
      </w:tr>
      <w:tr w:rsidR="00552346" w:rsidRPr="00361628" w14:paraId="27323E9C" w14:textId="77777777" w:rsidTr="00AA71EF">
        <w:trPr>
          <w:trHeight w:val="285"/>
        </w:trPr>
        <w:tc>
          <w:tcPr>
            <w:tcW w:w="567" w:type="dxa"/>
            <w:noWrap/>
            <w:vAlign w:val="center"/>
          </w:tcPr>
          <w:p w14:paraId="1E02DF09" w14:textId="77777777" w:rsidR="00552346" w:rsidRPr="00C65B76" w:rsidRDefault="00552346" w:rsidP="00552346">
            <w:pPr>
              <w:jc w:val="right"/>
              <w:rPr>
                <w:color w:val="000000"/>
                <w:sz w:val="16"/>
                <w:szCs w:val="16"/>
              </w:rPr>
            </w:pPr>
            <w:r w:rsidRPr="00C65B76">
              <w:rPr>
                <w:color w:val="000000"/>
                <w:sz w:val="16"/>
                <w:szCs w:val="16"/>
              </w:rPr>
              <w:t>17</w:t>
            </w:r>
          </w:p>
        </w:tc>
        <w:tc>
          <w:tcPr>
            <w:tcW w:w="7148" w:type="dxa"/>
            <w:noWrap/>
            <w:vAlign w:val="center"/>
          </w:tcPr>
          <w:p w14:paraId="6F332027" w14:textId="39A44EBE" w:rsidR="00552346" w:rsidRPr="00720307" w:rsidRDefault="00552346" w:rsidP="00760711">
            <w:pPr>
              <w:jc w:val="left"/>
              <w:rPr>
                <w:sz w:val="16"/>
                <w:szCs w:val="16"/>
              </w:rPr>
            </w:pPr>
            <w:r w:rsidRPr="00720307">
              <w:rPr>
                <w:sz w:val="16"/>
                <w:szCs w:val="16"/>
              </w:rPr>
              <w:t>zamówienia, których przedmiotem są usługi finansowe związane z emisją, sprzedażą, kupnem lub zbyciem papierów wartościowych lub innych instrumentów finansowych, w rozumieniu ustawy z dnia 29 lipca 2005 r. o obrocie instrumentami finansowymi (</w:t>
            </w:r>
            <w:r w:rsidR="00760711" w:rsidRPr="00760711">
              <w:rPr>
                <w:sz w:val="16"/>
                <w:szCs w:val="16"/>
              </w:rPr>
              <w:t>Dz. U. z 2023 r. poz. 646 i 825</w:t>
            </w:r>
            <w:r w:rsidRPr="00720307">
              <w:rPr>
                <w:sz w:val="16"/>
                <w:szCs w:val="16"/>
              </w:rPr>
              <w:t>) oraz operacje przeprowadzane z Europejskim Instrumentem Stabilności Finansowej i Europejskim Mechanizmem Stabilności, o których mowa w art. 11 ust. 1 pkt 7 ustawy</w:t>
            </w:r>
            <w:r w:rsidR="00760711">
              <w:rPr>
                <w:sz w:val="16"/>
                <w:szCs w:val="16"/>
              </w:rPr>
              <w:t xml:space="preserve"> Pzp</w:t>
            </w:r>
          </w:p>
        </w:tc>
        <w:tc>
          <w:tcPr>
            <w:tcW w:w="1216" w:type="dxa"/>
            <w:noWrap/>
            <w:vAlign w:val="center"/>
          </w:tcPr>
          <w:p w14:paraId="176567BD" w14:textId="5E5C113D" w:rsidR="00552346" w:rsidRPr="00AA71EF" w:rsidRDefault="00552346" w:rsidP="00AA71EF">
            <w:pPr>
              <w:jc w:val="right"/>
              <w:rPr>
                <w:rFonts w:cs="Arial"/>
                <w:sz w:val="16"/>
                <w:szCs w:val="16"/>
              </w:rPr>
            </w:pPr>
            <w:r w:rsidRPr="00AA71EF">
              <w:rPr>
                <w:rFonts w:cs="Arial"/>
                <w:sz w:val="16"/>
                <w:szCs w:val="16"/>
              </w:rPr>
              <w:t>291</w:t>
            </w:r>
          </w:p>
        </w:tc>
        <w:tc>
          <w:tcPr>
            <w:tcW w:w="1559" w:type="dxa"/>
            <w:noWrap/>
            <w:vAlign w:val="center"/>
          </w:tcPr>
          <w:p w14:paraId="284982F8" w14:textId="1613E57D" w:rsidR="00552346" w:rsidRPr="00AA71EF" w:rsidRDefault="00552346" w:rsidP="00AA71EF">
            <w:pPr>
              <w:jc w:val="right"/>
              <w:rPr>
                <w:rFonts w:cs="Arial"/>
                <w:sz w:val="16"/>
                <w:szCs w:val="16"/>
              </w:rPr>
            </w:pPr>
            <w:r w:rsidRPr="00AA71EF">
              <w:rPr>
                <w:rFonts w:cs="Arial"/>
                <w:sz w:val="16"/>
                <w:szCs w:val="16"/>
              </w:rPr>
              <w:t>7 567 907</w:t>
            </w:r>
          </w:p>
        </w:tc>
      </w:tr>
      <w:tr w:rsidR="00552346" w:rsidRPr="00361628" w14:paraId="5F68094B" w14:textId="77777777" w:rsidTr="00AA71EF">
        <w:trPr>
          <w:trHeight w:val="285"/>
        </w:trPr>
        <w:tc>
          <w:tcPr>
            <w:tcW w:w="567" w:type="dxa"/>
            <w:noWrap/>
            <w:vAlign w:val="center"/>
          </w:tcPr>
          <w:p w14:paraId="4D98AA55" w14:textId="77777777" w:rsidR="00552346" w:rsidRPr="00C65B76" w:rsidRDefault="00552346" w:rsidP="00552346">
            <w:pPr>
              <w:jc w:val="right"/>
              <w:rPr>
                <w:color w:val="000000"/>
                <w:sz w:val="16"/>
                <w:szCs w:val="16"/>
              </w:rPr>
            </w:pPr>
            <w:r w:rsidRPr="00C65B76">
              <w:rPr>
                <w:color w:val="000000"/>
                <w:sz w:val="16"/>
                <w:szCs w:val="16"/>
              </w:rPr>
              <w:t>18</w:t>
            </w:r>
          </w:p>
        </w:tc>
        <w:tc>
          <w:tcPr>
            <w:tcW w:w="7148" w:type="dxa"/>
            <w:noWrap/>
            <w:vAlign w:val="center"/>
          </w:tcPr>
          <w:p w14:paraId="74CB598A" w14:textId="5E39DA28" w:rsidR="00552346" w:rsidRPr="00720307" w:rsidRDefault="00552346" w:rsidP="00552346">
            <w:pPr>
              <w:jc w:val="left"/>
              <w:rPr>
                <w:sz w:val="16"/>
                <w:szCs w:val="16"/>
              </w:rPr>
            </w:pPr>
            <w:r w:rsidRPr="00720307">
              <w:rPr>
                <w:sz w:val="16"/>
                <w:szCs w:val="16"/>
              </w:rPr>
              <w:t>zamówienia, których przedmiotem są pożyczki lub kredyty, o których mowa w art. 11 ust. 1 pkt 8 ustawy</w:t>
            </w:r>
            <w:r w:rsidR="00760711">
              <w:rPr>
                <w:sz w:val="16"/>
                <w:szCs w:val="16"/>
              </w:rPr>
              <w:t xml:space="preserve"> Pzp</w:t>
            </w:r>
          </w:p>
        </w:tc>
        <w:tc>
          <w:tcPr>
            <w:tcW w:w="1216" w:type="dxa"/>
            <w:noWrap/>
            <w:vAlign w:val="center"/>
          </w:tcPr>
          <w:p w14:paraId="3836FB18" w14:textId="0D0E4993" w:rsidR="00552346" w:rsidRPr="00AA71EF" w:rsidRDefault="00552346" w:rsidP="00AA71EF">
            <w:pPr>
              <w:jc w:val="right"/>
              <w:rPr>
                <w:rFonts w:cs="Arial"/>
                <w:sz w:val="16"/>
                <w:szCs w:val="16"/>
              </w:rPr>
            </w:pPr>
            <w:r w:rsidRPr="00AA71EF">
              <w:rPr>
                <w:rFonts w:cs="Arial"/>
                <w:sz w:val="16"/>
                <w:szCs w:val="16"/>
              </w:rPr>
              <w:t>926</w:t>
            </w:r>
          </w:p>
        </w:tc>
        <w:tc>
          <w:tcPr>
            <w:tcW w:w="1559" w:type="dxa"/>
            <w:noWrap/>
            <w:vAlign w:val="center"/>
          </w:tcPr>
          <w:p w14:paraId="304B9A37" w14:textId="1457A1D6" w:rsidR="00552346" w:rsidRPr="00AA71EF" w:rsidRDefault="00552346" w:rsidP="00AA71EF">
            <w:pPr>
              <w:jc w:val="right"/>
              <w:rPr>
                <w:rFonts w:cs="Arial"/>
                <w:sz w:val="16"/>
                <w:szCs w:val="16"/>
              </w:rPr>
            </w:pPr>
            <w:r w:rsidRPr="00AA71EF">
              <w:rPr>
                <w:rFonts w:cs="Arial"/>
                <w:sz w:val="16"/>
                <w:szCs w:val="16"/>
              </w:rPr>
              <w:t>10 402 800</w:t>
            </w:r>
          </w:p>
        </w:tc>
      </w:tr>
      <w:tr w:rsidR="00552346" w:rsidRPr="00361628" w14:paraId="1BD64FF2" w14:textId="77777777" w:rsidTr="00AA71EF">
        <w:trPr>
          <w:trHeight w:val="285"/>
        </w:trPr>
        <w:tc>
          <w:tcPr>
            <w:tcW w:w="567" w:type="dxa"/>
            <w:noWrap/>
            <w:vAlign w:val="center"/>
          </w:tcPr>
          <w:p w14:paraId="35396FDE" w14:textId="77777777" w:rsidR="00552346" w:rsidRPr="00C65B76" w:rsidRDefault="00552346" w:rsidP="00552346">
            <w:pPr>
              <w:jc w:val="right"/>
              <w:rPr>
                <w:color w:val="000000"/>
                <w:sz w:val="16"/>
                <w:szCs w:val="16"/>
              </w:rPr>
            </w:pPr>
            <w:r w:rsidRPr="00C65B76">
              <w:rPr>
                <w:color w:val="000000"/>
                <w:sz w:val="16"/>
                <w:szCs w:val="16"/>
              </w:rPr>
              <w:t>19</w:t>
            </w:r>
          </w:p>
        </w:tc>
        <w:tc>
          <w:tcPr>
            <w:tcW w:w="7148" w:type="dxa"/>
            <w:noWrap/>
            <w:vAlign w:val="center"/>
          </w:tcPr>
          <w:p w14:paraId="77856785" w14:textId="3E9C9C31" w:rsidR="00552346" w:rsidRPr="00720307" w:rsidRDefault="00552346" w:rsidP="00552346">
            <w:pPr>
              <w:jc w:val="left"/>
              <w:rPr>
                <w:sz w:val="16"/>
                <w:szCs w:val="16"/>
              </w:rPr>
            </w:pPr>
            <w:r w:rsidRPr="00720307">
              <w:rPr>
                <w:sz w:val="16"/>
                <w:szCs w:val="16"/>
              </w:rPr>
              <w:t>zamówienia, których przedmiotem są usługi w dziedzinie obrony cywilnej, ochrony ludności i zapobiegania niebezpieczeństwom, o których mowa w art. 11 ust. 1 pkt 9 ustawy</w:t>
            </w:r>
            <w:r w:rsidR="00760711">
              <w:rPr>
                <w:sz w:val="16"/>
                <w:szCs w:val="16"/>
              </w:rPr>
              <w:t xml:space="preserve"> Pzp</w:t>
            </w:r>
          </w:p>
        </w:tc>
        <w:tc>
          <w:tcPr>
            <w:tcW w:w="1216" w:type="dxa"/>
            <w:noWrap/>
            <w:vAlign w:val="center"/>
          </w:tcPr>
          <w:p w14:paraId="53E14B48" w14:textId="78293BE7" w:rsidR="00552346" w:rsidRPr="00AA71EF" w:rsidRDefault="00552346" w:rsidP="00AA71EF">
            <w:pPr>
              <w:jc w:val="right"/>
              <w:rPr>
                <w:rFonts w:cs="Arial"/>
                <w:sz w:val="16"/>
                <w:szCs w:val="16"/>
              </w:rPr>
            </w:pPr>
            <w:r w:rsidRPr="00AA71EF">
              <w:rPr>
                <w:rFonts w:cs="Arial"/>
                <w:sz w:val="16"/>
                <w:szCs w:val="16"/>
              </w:rPr>
              <w:t>199</w:t>
            </w:r>
          </w:p>
        </w:tc>
        <w:tc>
          <w:tcPr>
            <w:tcW w:w="1559" w:type="dxa"/>
            <w:noWrap/>
            <w:vAlign w:val="center"/>
          </w:tcPr>
          <w:p w14:paraId="0511EDA4" w14:textId="00E855C7" w:rsidR="00552346" w:rsidRPr="00AA71EF" w:rsidRDefault="00552346" w:rsidP="00AA71EF">
            <w:pPr>
              <w:jc w:val="right"/>
              <w:rPr>
                <w:rFonts w:cs="Arial"/>
                <w:sz w:val="16"/>
                <w:szCs w:val="16"/>
              </w:rPr>
            </w:pPr>
            <w:r w:rsidRPr="00AA71EF">
              <w:rPr>
                <w:rFonts w:cs="Arial"/>
                <w:sz w:val="16"/>
                <w:szCs w:val="16"/>
              </w:rPr>
              <w:t>2 011</w:t>
            </w:r>
          </w:p>
        </w:tc>
      </w:tr>
      <w:tr w:rsidR="00552346" w:rsidRPr="00361628" w14:paraId="1AFEF915" w14:textId="77777777" w:rsidTr="00AA71EF">
        <w:trPr>
          <w:trHeight w:val="285"/>
        </w:trPr>
        <w:tc>
          <w:tcPr>
            <w:tcW w:w="567" w:type="dxa"/>
            <w:noWrap/>
            <w:vAlign w:val="center"/>
          </w:tcPr>
          <w:p w14:paraId="07C5C691" w14:textId="77777777" w:rsidR="00552346" w:rsidRPr="00C65B76" w:rsidRDefault="00552346" w:rsidP="00552346">
            <w:pPr>
              <w:jc w:val="right"/>
              <w:rPr>
                <w:color w:val="000000"/>
                <w:sz w:val="16"/>
                <w:szCs w:val="16"/>
              </w:rPr>
            </w:pPr>
            <w:r w:rsidRPr="00C65B76">
              <w:rPr>
                <w:color w:val="000000"/>
                <w:sz w:val="16"/>
                <w:szCs w:val="16"/>
              </w:rPr>
              <w:t>20</w:t>
            </w:r>
          </w:p>
        </w:tc>
        <w:tc>
          <w:tcPr>
            <w:tcW w:w="7148" w:type="dxa"/>
            <w:noWrap/>
            <w:vAlign w:val="center"/>
          </w:tcPr>
          <w:p w14:paraId="495F5F60" w14:textId="1796A326" w:rsidR="00552346" w:rsidRPr="00720307" w:rsidRDefault="00552346" w:rsidP="00552346">
            <w:pPr>
              <w:jc w:val="left"/>
              <w:rPr>
                <w:sz w:val="16"/>
                <w:szCs w:val="16"/>
              </w:rPr>
            </w:pPr>
            <w:r w:rsidRPr="00720307">
              <w:rPr>
                <w:sz w:val="16"/>
                <w:szCs w:val="16"/>
              </w:rPr>
              <w:t>zamówienia, których przedmiotem są usługi publiczne w zakresie transportu pasażerskiego koleją lub metrem, o których mowa w art. 11 ust. 1 pkt 10 ustawy</w:t>
            </w:r>
            <w:r w:rsidR="00760711">
              <w:rPr>
                <w:sz w:val="16"/>
                <w:szCs w:val="16"/>
              </w:rPr>
              <w:t xml:space="preserve"> Pzp</w:t>
            </w:r>
          </w:p>
        </w:tc>
        <w:tc>
          <w:tcPr>
            <w:tcW w:w="1216" w:type="dxa"/>
            <w:noWrap/>
            <w:vAlign w:val="center"/>
          </w:tcPr>
          <w:p w14:paraId="6ADAB047" w14:textId="60EC1343" w:rsidR="00552346" w:rsidRPr="00AA71EF" w:rsidRDefault="00552346" w:rsidP="00AA71EF">
            <w:pPr>
              <w:jc w:val="right"/>
              <w:rPr>
                <w:rFonts w:cs="Arial"/>
                <w:sz w:val="16"/>
                <w:szCs w:val="16"/>
              </w:rPr>
            </w:pPr>
            <w:r w:rsidRPr="00AA71EF">
              <w:rPr>
                <w:rFonts w:cs="Arial"/>
                <w:sz w:val="16"/>
                <w:szCs w:val="16"/>
              </w:rPr>
              <w:t>1 564</w:t>
            </w:r>
          </w:p>
        </w:tc>
        <w:tc>
          <w:tcPr>
            <w:tcW w:w="1559" w:type="dxa"/>
            <w:noWrap/>
            <w:vAlign w:val="center"/>
          </w:tcPr>
          <w:p w14:paraId="62A97BCB" w14:textId="6C2F6E42" w:rsidR="00552346" w:rsidRPr="00AA71EF" w:rsidRDefault="00552346" w:rsidP="00AA71EF">
            <w:pPr>
              <w:jc w:val="right"/>
              <w:rPr>
                <w:rFonts w:cs="Arial"/>
                <w:sz w:val="16"/>
                <w:szCs w:val="16"/>
              </w:rPr>
            </w:pPr>
            <w:r w:rsidRPr="00AA71EF">
              <w:rPr>
                <w:rFonts w:cs="Arial"/>
                <w:sz w:val="16"/>
                <w:szCs w:val="16"/>
              </w:rPr>
              <w:t>1 881 899</w:t>
            </w:r>
          </w:p>
        </w:tc>
      </w:tr>
      <w:tr w:rsidR="00552346" w:rsidRPr="00361628" w14:paraId="62EE3A55" w14:textId="77777777" w:rsidTr="00AA71EF">
        <w:trPr>
          <w:trHeight w:val="285"/>
        </w:trPr>
        <w:tc>
          <w:tcPr>
            <w:tcW w:w="567" w:type="dxa"/>
            <w:noWrap/>
            <w:vAlign w:val="center"/>
          </w:tcPr>
          <w:p w14:paraId="42A66868" w14:textId="77777777" w:rsidR="00552346" w:rsidRPr="00C65B76" w:rsidRDefault="00552346" w:rsidP="00552346">
            <w:pPr>
              <w:jc w:val="right"/>
              <w:rPr>
                <w:color w:val="000000"/>
                <w:sz w:val="16"/>
                <w:szCs w:val="16"/>
              </w:rPr>
            </w:pPr>
            <w:r w:rsidRPr="00C65B76">
              <w:rPr>
                <w:color w:val="000000"/>
                <w:sz w:val="16"/>
                <w:szCs w:val="16"/>
              </w:rPr>
              <w:t>21</w:t>
            </w:r>
          </w:p>
        </w:tc>
        <w:tc>
          <w:tcPr>
            <w:tcW w:w="7148" w:type="dxa"/>
            <w:noWrap/>
            <w:vAlign w:val="center"/>
          </w:tcPr>
          <w:p w14:paraId="05002617" w14:textId="00B59BE2" w:rsidR="00552346" w:rsidRPr="00720307" w:rsidRDefault="00552346" w:rsidP="00552346">
            <w:pPr>
              <w:jc w:val="left"/>
              <w:rPr>
                <w:sz w:val="16"/>
                <w:szCs w:val="16"/>
              </w:rPr>
            </w:pPr>
            <w:r w:rsidRPr="00720307">
              <w:rPr>
                <w:sz w:val="16"/>
                <w:szCs w:val="16"/>
              </w:rPr>
              <w:t>zamówienia, których przedmiotem są dostawy uprawnień do emisji do powietrza gazów cieplarnianych i innych substancji, jednostek poświadczonej redukcji emisji oraz jednostek redukcji emisji, o których mowa w art. 11 ust. 1 pkt 11 ustawy</w:t>
            </w:r>
            <w:r w:rsidR="00760711">
              <w:rPr>
                <w:sz w:val="16"/>
                <w:szCs w:val="16"/>
              </w:rPr>
              <w:t xml:space="preserve"> Pzp</w:t>
            </w:r>
          </w:p>
        </w:tc>
        <w:tc>
          <w:tcPr>
            <w:tcW w:w="1216" w:type="dxa"/>
            <w:noWrap/>
            <w:vAlign w:val="center"/>
          </w:tcPr>
          <w:p w14:paraId="71C1FEB1" w14:textId="5BABE567" w:rsidR="00552346" w:rsidRPr="00AA71EF" w:rsidRDefault="00552346" w:rsidP="00AA71EF">
            <w:pPr>
              <w:jc w:val="right"/>
              <w:rPr>
                <w:rFonts w:cs="Arial"/>
                <w:sz w:val="16"/>
                <w:szCs w:val="16"/>
              </w:rPr>
            </w:pPr>
            <w:r w:rsidRPr="00AA71EF">
              <w:rPr>
                <w:rFonts w:cs="Arial"/>
                <w:sz w:val="16"/>
                <w:szCs w:val="16"/>
              </w:rPr>
              <w:t>2 764</w:t>
            </w:r>
          </w:p>
        </w:tc>
        <w:tc>
          <w:tcPr>
            <w:tcW w:w="1559" w:type="dxa"/>
            <w:noWrap/>
            <w:vAlign w:val="center"/>
          </w:tcPr>
          <w:p w14:paraId="3A54D14D" w14:textId="72A5D84E" w:rsidR="00552346" w:rsidRPr="00AA71EF" w:rsidRDefault="00552346" w:rsidP="00AA71EF">
            <w:pPr>
              <w:jc w:val="right"/>
              <w:rPr>
                <w:rFonts w:cs="Arial"/>
                <w:sz w:val="16"/>
                <w:szCs w:val="16"/>
              </w:rPr>
            </w:pPr>
            <w:r w:rsidRPr="00AA71EF">
              <w:rPr>
                <w:rFonts w:cs="Arial"/>
                <w:sz w:val="16"/>
                <w:szCs w:val="16"/>
              </w:rPr>
              <w:t>3 579 607</w:t>
            </w:r>
          </w:p>
        </w:tc>
      </w:tr>
      <w:tr w:rsidR="00552346" w:rsidRPr="00361628" w14:paraId="5CDF1DB5" w14:textId="77777777" w:rsidTr="00AA71EF">
        <w:trPr>
          <w:trHeight w:val="285"/>
        </w:trPr>
        <w:tc>
          <w:tcPr>
            <w:tcW w:w="567" w:type="dxa"/>
            <w:noWrap/>
            <w:vAlign w:val="center"/>
          </w:tcPr>
          <w:p w14:paraId="6840B408" w14:textId="77777777" w:rsidR="00552346" w:rsidRPr="00C65B76" w:rsidRDefault="00552346" w:rsidP="00552346">
            <w:pPr>
              <w:jc w:val="right"/>
              <w:rPr>
                <w:color w:val="000000"/>
                <w:sz w:val="16"/>
                <w:szCs w:val="16"/>
              </w:rPr>
            </w:pPr>
            <w:r w:rsidRPr="00C65B76">
              <w:rPr>
                <w:color w:val="000000"/>
                <w:sz w:val="16"/>
                <w:szCs w:val="16"/>
              </w:rPr>
              <w:t>22</w:t>
            </w:r>
          </w:p>
        </w:tc>
        <w:tc>
          <w:tcPr>
            <w:tcW w:w="7148" w:type="dxa"/>
            <w:noWrap/>
            <w:vAlign w:val="center"/>
          </w:tcPr>
          <w:p w14:paraId="154778FE" w14:textId="6F6DA437" w:rsidR="00552346" w:rsidRPr="00720307" w:rsidRDefault="00552346" w:rsidP="00760711">
            <w:pPr>
              <w:jc w:val="left"/>
              <w:rPr>
                <w:sz w:val="16"/>
                <w:szCs w:val="16"/>
              </w:rPr>
            </w:pPr>
            <w:r w:rsidRPr="00720307">
              <w:rPr>
                <w:sz w:val="16"/>
                <w:szCs w:val="16"/>
              </w:rPr>
              <w:t>umowy koncesji na roboty budowlane oraz koncesji na usługi w rozumieniu ustawy z dnia 21 października 2016 r.</w:t>
            </w:r>
            <w:r>
              <w:rPr>
                <w:sz w:val="16"/>
                <w:szCs w:val="16"/>
              </w:rPr>
              <w:t xml:space="preserve"> </w:t>
            </w:r>
            <w:r w:rsidRPr="00720307">
              <w:rPr>
                <w:sz w:val="16"/>
                <w:szCs w:val="16"/>
              </w:rPr>
              <w:t>o umowie koncesji na roboty budowlane lub usługi</w:t>
            </w:r>
            <w:r>
              <w:rPr>
                <w:sz w:val="16"/>
                <w:szCs w:val="16"/>
              </w:rPr>
              <w:t xml:space="preserve"> </w:t>
            </w:r>
            <w:r w:rsidRPr="00720307">
              <w:rPr>
                <w:sz w:val="16"/>
                <w:szCs w:val="16"/>
              </w:rPr>
              <w:t>(</w:t>
            </w:r>
            <w:r w:rsidR="00760711" w:rsidRPr="00760711">
              <w:rPr>
                <w:sz w:val="16"/>
                <w:szCs w:val="16"/>
              </w:rPr>
              <w:t>Dz. U. z 2023 r. poz. 140</w:t>
            </w:r>
            <w:r w:rsidRPr="00720307">
              <w:rPr>
                <w:sz w:val="16"/>
                <w:szCs w:val="16"/>
              </w:rPr>
              <w:t>), o których mowa w art. 11 ust. 2 pkt 2 ustawy</w:t>
            </w:r>
            <w:r w:rsidR="00760711">
              <w:rPr>
                <w:sz w:val="16"/>
                <w:szCs w:val="16"/>
              </w:rPr>
              <w:t xml:space="preserve"> Pzp</w:t>
            </w:r>
          </w:p>
        </w:tc>
        <w:tc>
          <w:tcPr>
            <w:tcW w:w="1216" w:type="dxa"/>
            <w:noWrap/>
            <w:vAlign w:val="center"/>
          </w:tcPr>
          <w:p w14:paraId="71F952D4" w14:textId="6C8C881E" w:rsidR="00552346" w:rsidRPr="00AA71EF" w:rsidRDefault="00552346" w:rsidP="00AA71EF">
            <w:pPr>
              <w:jc w:val="right"/>
              <w:rPr>
                <w:rFonts w:cs="Arial"/>
                <w:sz w:val="16"/>
                <w:szCs w:val="16"/>
              </w:rPr>
            </w:pPr>
            <w:r w:rsidRPr="00AA71EF">
              <w:rPr>
                <w:rFonts w:cs="Arial"/>
                <w:sz w:val="16"/>
                <w:szCs w:val="16"/>
              </w:rPr>
              <w:t>8</w:t>
            </w:r>
          </w:p>
        </w:tc>
        <w:tc>
          <w:tcPr>
            <w:tcW w:w="1559" w:type="dxa"/>
            <w:noWrap/>
            <w:vAlign w:val="center"/>
          </w:tcPr>
          <w:p w14:paraId="04EB95D1" w14:textId="5F681727" w:rsidR="00552346" w:rsidRPr="00AA71EF" w:rsidRDefault="00552346" w:rsidP="00AA71EF">
            <w:pPr>
              <w:jc w:val="right"/>
              <w:rPr>
                <w:rFonts w:cs="Arial"/>
                <w:sz w:val="16"/>
                <w:szCs w:val="16"/>
              </w:rPr>
            </w:pPr>
            <w:r w:rsidRPr="00AA71EF">
              <w:rPr>
                <w:rFonts w:cs="Arial"/>
                <w:sz w:val="16"/>
                <w:szCs w:val="16"/>
              </w:rPr>
              <w:t>16 756</w:t>
            </w:r>
          </w:p>
        </w:tc>
      </w:tr>
      <w:tr w:rsidR="00552346" w:rsidRPr="00361628" w14:paraId="19183F1B" w14:textId="77777777" w:rsidTr="00AA71EF">
        <w:trPr>
          <w:trHeight w:val="285"/>
        </w:trPr>
        <w:tc>
          <w:tcPr>
            <w:tcW w:w="567" w:type="dxa"/>
            <w:noWrap/>
            <w:vAlign w:val="center"/>
          </w:tcPr>
          <w:p w14:paraId="76839E17" w14:textId="77777777" w:rsidR="00552346" w:rsidRPr="00C65B76" w:rsidRDefault="00552346" w:rsidP="00552346">
            <w:pPr>
              <w:jc w:val="right"/>
              <w:rPr>
                <w:color w:val="000000"/>
                <w:sz w:val="16"/>
                <w:szCs w:val="16"/>
              </w:rPr>
            </w:pPr>
            <w:r w:rsidRPr="00C65B76">
              <w:rPr>
                <w:color w:val="000000"/>
                <w:sz w:val="16"/>
                <w:szCs w:val="16"/>
              </w:rPr>
              <w:t>23</w:t>
            </w:r>
          </w:p>
        </w:tc>
        <w:tc>
          <w:tcPr>
            <w:tcW w:w="7148" w:type="dxa"/>
            <w:noWrap/>
            <w:vAlign w:val="center"/>
          </w:tcPr>
          <w:p w14:paraId="3254C36E" w14:textId="26DF8295" w:rsidR="00552346" w:rsidRPr="00720307" w:rsidRDefault="00552346" w:rsidP="00552346">
            <w:pPr>
              <w:jc w:val="left"/>
              <w:rPr>
                <w:sz w:val="16"/>
                <w:szCs w:val="16"/>
              </w:rPr>
            </w:pPr>
            <w:r w:rsidRPr="00720307">
              <w:rPr>
                <w:sz w:val="16"/>
                <w:szCs w:val="16"/>
              </w:rPr>
              <w:t>umowy, o których mowa w art. 11 ust. 2 pkt 3 ustawy</w:t>
            </w:r>
            <w:r w:rsidR="00760711">
              <w:rPr>
                <w:sz w:val="16"/>
                <w:szCs w:val="16"/>
              </w:rPr>
              <w:t xml:space="preserve"> Pzp</w:t>
            </w:r>
          </w:p>
        </w:tc>
        <w:tc>
          <w:tcPr>
            <w:tcW w:w="1216" w:type="dxa"/>
            <w:noWrap/>
            <w:vAlign w:val="center"/>
          </w:tcPr>
          <w:p w14:paraId="78DA1C2A" w14:textId="664ECFB9" w:rsidR="00552346" w:rsidRPr="00AA71EF" w:rsidRDefault="00552346" w:rsidP="00AA71EF">
            <w:pPr>
              <w:jc w:val="right"/>
              <w:rPr>
                <w:rFonts w:cs="Arial"/>
                <w:sz w:val="16"/>
                <w:szCs w:val="16"/>
              </w:rPr>
            </w:pPr>
            <w:r w:rsidRPr="00AA71EF">
              <w:rPr>
                <w:rFonts w:cs="Arial"/>
                <w:sz w:val="16"/>
                <w:szCs w:val="16"/>
              </w:rPr>
              <w:t>2</w:t>
            </w:r>
          </w:p>
        </w:tc>
        <w:tc>
          <w:tcPr>
            <w:tcW w:w="1559" w:type="dxa"/>
            <w:noWrap/>
            <w:vAlign w:val="center"/>
          </w:tcPr>
          <w:p w14:paraId="627762DA" w14:textId="374D25E2" w:rsidR="00552346" w:rsidRPr="00AA71EF" w:rsidRDefault="00552346" w:rsidP="00AA71EF">
            <w:pPr>
              <w:jc w:val="right"/>
              <w:rPr>
                <w:rFonts w:cs="Arial"/>
                <w:sz w:val="16"/>
                <w:szCs w:val="16"/>
              </w:rPr>
            </w:pPr>
            <w:r w:rsidRPr="00AA71EF">
              <w:rPr>
                <w:rFonts w:cs="Arial"/>
                <w:sz w:val="16"/>
                <w:szCs w:val="16"/>
              </w:rPr>
              <w:t>456</w:t>
            </w:r>
          </w:p>
        </w:tc>
      </w:tr>
      <w:tr w:rsidR="00552346" w:rsidRPr="00361628" w14:paraId="3B91284B" w14:textId="77777777" w:rsidTr="00AA71EF">
        <w:trPr>
          <w:trHeight w:val="285"/>
        </w:trPr>
        <w:tc>
          <w:tcPr>
            <w:tcW w:w="567" w:type="dxa"/>
            <w:noWrap/>
            <w:vAlign w:val="center"/>
          </w:tcPr>
          <w:p w14:paraId="5239B697" w14:textId="77777777" w:rsidR="00552346" w:rsidRPr="00C65B76" w:rsidRDefault="00552346" w:rsidP="00552346">
            <w:pPr>
              <w:jc w:val="right"/>
              <w:rPr>
                <w:color w:val="000000"/>
                <w:sz w:val="16"/>
                <w:szCs w:val="16"/>
              </w:rPr>
            </w:pPr>
            <w:r w:rsidRPr="00C65B76">
              <w:rPr>
                <w:color w:val="000000"/>
                <w:sz w:val="16"/>
                <w:szCs w:val="16"/>
              </w:rPr>
              <w:t>24</w:t>
            </w:r>
          </w:p>
        </w:tc>
        <w:tc>
          <w:tcPr>
            <w:tcW w:w="7148" w:type="dxa"/>
            <w:noWrap/>
            <w:vAlign w:val="center"/>
          </w:tcPr>
          <w:p w14:paraId="0B1E9926" w14:textId="29E348A8" w:rsidR="00552346" w:rsidRPr="00720307" w:rsidRDefault="00552346" w:rsidP="00552346">
            <w:pPr>
              <w:jc w:val="left"/>
              <w:rPr>
                <w:sz w:val="16"/>
                <w:szCs w:val="16"/>
              </w:rPr>
            </w:pPr>
            <w:r w:rsidRPr="00720307">
              <w:rPr>
                <w:sz w:val="16"/>
                <w:szCs w:val="16"/>
              </w:rPr>
              <w:t>zamówienia dotyczące wytwarzania blankietów dokumentów publicznych oraz ich personalizacji lub indywidualizacji, o których mowa w art. 11 ust. 4 pkt 1 ustawy</w:t>
            </w:r>
            <w:r w:rsidR="00650F71">
              <w:rPr>
                <w:sz w:val="16"/>
                <w:szCs w:val="16"/>
              </w:rPr>
              <w:t xml:space="preserve"> Pzp</w:t>
            </w:r>
          </w:p>
        </w:tc>
        <w:tc>
          <w:tcPr>
            <w:tcW w:w="1216" w:type="dxa"/>
            <w:noWrap/>
            <w:vAlign w:val="center"/>
          </w:tcPr>
          <w:p w14:paraId="2FE5F590" w14:textId="7883CA8A" w:rsidR="00552346" w:rsidRPr="00AA71EF" w:rsidRDefault="00552346" w:rsidP="00AA71EF">
            <w:pPr>
              <w:jc w:val="right"/>
              <w:rPr>
                <w:rFonts w:cs="Arial"/>
                <w:sz w:val="16"/>
                <w:szCs w:val="16"/>
              </w:rPr>
            </w:pPr>
            <w:r w:rsidRPr="00AA71EF">
              <w:rPr>
                <w:rFonts w:cs="Arial"/>
                <w:sz w:val="16"/>
                <w:szCs w:val="16"/>
              </w:rPr>
              <w:t>1 242</w:t>
            </w:r>
          </w:p>
        </w:tc>
        <w:tc>
          <w:tcPr>
            <w:tcW w:w="1559" w:type="dxa"/>
            <w:noWrap/>
            <w:vAlign w:val="center"/>
          </w:tcPr>
          <w:p w14:paraId="240A55FA" w14:textId="25B32C77" w:rsidR="00552346" w:rsidRPr="00AA71EF" w:rsidRDefault="00552346" w:rsidP="00AA71EF">
            <w:pPr>
              <w:jc w:val="right"/>
              <w:rPr>
                <w:rFonts w:cs="Arial"/>
                <w:sz w:val="16"/>
                <w:szCs w:val="16"/>
              </w:rPr>
            </w:pPr>
            <w:r w:rsidRPr="00AA71EF">
              <w:rPr>
                <w:rFonts w:cs="Arial"/>
                <w:sz w:val="16"/>
                <w:szCs w:val="16"/>
              </w:rPr>
              <w:t>249 650</w:t>
            </w:r>
          </w:p>
        </w:tc>
      </w:tr>
      <w:tr w:rsidR="00552346" w:rsidRPr="00361628" w14:paraId="732E5F27" w14:textId="77777777" w:rsidTr="00AA71EF">
        <w:trPr>
          <w:trHeight w:val="285"/>
        </w:trPr>
        <w:tc>
          <w:tcPr>
            <w:tcW w:w="567" w:type="dxa"/>
            <w:noWrap/>
            <w:vAlign w:val="center"/>
          </w:tcPr>
          <w:p w14:paraId="4AC3A23B" w14:textId="77777777" w:rsidR="00552346" w:rsidRPr="00C65B76" w:rsidRDefault="00552346" w:rsidP="00552346">
            <w:pPr>
              <w:jc w:val="right"/>
              <w:rPr>
                <w:color w:val="000000"/>
                <w:sz w:val="16"/>
                <w:szCs w:val="16"/>
              </w:rPr>
            </w:pPr>
            <w:r w:rsidRPr="00C65B76">
              <w:rPr>
                <w:color w:val="000000"/>
                <w:sz w:val="16"/>
                <w:szCs w:val="16"/>
              </w:rPr>
              <w:t>25</w:t>
            </w:r>
          </w:p>
        </w:tc>
        <w:tc>
          <w:tcPr>
            <w:tcW w:w="7148" w:type="dxa"/>
            <w:noWrap/>
            <w:vAlign w:val="center"/>
          </w:tcPr>
          <w:p w14:paraId="4E339B3B" w14:textId="6518C74D" w:rsidR="00552346" w:rsidRPr="00720307" w:rsidRDefault="00552346" w:rsidP="00552346">
            <w:pPr>
              <w:jc w:val="left"/>
              <w:rPr>
                <w:sz w:val="16"/>
                <w:szCs w:val="16"/>
              </w:rPr>
            </w:pPr>
            <w:r w:rsidRPr="00720307">
              <w:rPr>
                <w:sz w:val="16"/>
                <w:szCs w:val="16"/>
              </w:rPr>
              <w:t>zamówienia, dotyczące wytwarzania znaków akcyzy, o których mowa w art. 11 ust. 4 pkt 2 ustawy</w:t>
            </w:r>
            <w:r w:rsidR="00650F71">
              <w:rPr>
                <w:sz w:val="16"/>
                <w:szCs w:val="16"/>
              </w:rPr>
              <w:t xml:space="preserve"> Pzp</w:t>
            </w:r>
          </w:p>
        </w:tc>
        <w:tc>
          <w:tcPr>
            <w:tcW w:w="1216" w:type="dxa"/>
            <w:noWrap/>
            <w:vAlign w:val="center"/>
          </w:tcPr>
          <w:p w14:paraId="2CD7128E" w14:textId="72FE0445" w:rsidR="00552346" w:rsidRPr="00AA71EF" w:rsidRDefault="00552346" w:rsidP="00AA71EF">
            <w:pPr>
              <w:jc w:val="right"/>
              <w:rPr>
                <w:rFonts w:cs="Arial"/>
                <w:sz w:val="16"/>
                <w:szCs w:val="16"/>
              </w:rPr>
            </w:pPr>
            <w:r w:rsidRPr="00AA71EF">
              <w:rPr>
                <w:rFonts w:cs="Arial"/>
                <w:sz w:val="16"/>
                <w:szCs w:val="16"/>
              </w:rPr>
              <w:t>4</w:t>
            </w:r>
          </w:p>
        </w:tc>
        <w:tc>
          <w:tcPr>
            <w:tcW w:w="1559" w:type="dxa"/>
            <w:noWrap/>
            <w:vAlign w:val="center"/>
          </w:tcPr>
          <w:p w14:paraId="51EFAF8C" w14:textId="65BD9124" w:rsidR="00552346" w:rsidRPr="00AA71EF" w:rsidRDefault="00552346" w:rsidP="00AA71EF">
            <w:pPr>
              <w:jc w:val="right"/>
              <w:rPr>
                <w:rFonts w:cs="Arial"/>
                <w:sz w:val="16"/>
                <w:szCs w:val="16"/>
              </w:rPr>
            </w:pPr>
            <w:r w:rsidRPr="00AA71EF">
              <w:rPr>
                <w:rFonts w:cs="Arial"/>
                <w:sz w:val="16"/>
                <w:szCs w:val="16"/>
              </w:rPr>
              <w:t>2 324</w:t>
            </w:r>
          </w:p>
        </w:tc>
      </w:tr>
      <w:tr w:rsidR="00552346" w:rsidRPr="00361628" w14:paraId="44999E63" w14:textId="77777777" w:rsidTr="00AA71EF">
        <w:trPr>
          <w:trHeight w:val="285"/>
        </w:trPr>
        <w:tc>
          <w:tcPr>
            <w:tcW w:w="567" w:type="dxa"/>
            <w:noWrap/>
            <w:vAlign w:val="center"/>
          </w:tcPr>
          <w:p w14:paraId="55055E71" w14:textId="77777777" w:rsidR="00552346" w:rsidRPr="00C65B76" w:rsidRDefault="00552346" w:rsidP="00552346">
            <w:pPr>
              <w:jc w:val="right"/>
              <w:rPr>
                <w:color w:val="000000"/>
                <w:sz w:val="16"/>
                <w:szCs w:val="16"/>
              </w:rPr>
            </w:pPr>
            <w:r w:rsidRPr="00C65B76">
              <w:rPr>
                <w:color w:val="000000"/>
                <w:sz w:val="16"/>
                <w:szCs w:val="16"/>
              </w:rPr>
              <w:t>26</w:t>
            </w:r>
          </w:p>
        </w:tc>
        <w:tc>
          <w:tcPr>
            <w:tcW w:w="7148" w:type="dxa"/>
            <w:noWrap/>
            <w:vAlign w:val="center"/>
          </w:tcPr>
          <w:p w14:paraId="4A04F7E2" w14:textId="27D2F837" w:rsidR="00552346" w:rsidRPr="00720307" w:rsidRDefault="00552346" w:rsidP="00AA5778">
            <w:pPr>
              <w:jc w:val="left"/>
              <w:rPr>
                <w:sz w:val="16"/>
                <w:szCs w:val="16"/>
              </w:rPr>
            </w:pPr>
            <w:r w:rsidRPr="00720307">
              <w:rPr>
                <w:sz w:val="16"/>
                <w:szCs w:val="16"/>
              </w:rPr>
              <w:t>zamówienia, dotyczące wytwarzania znaków legalizacyjnych, o których mowa w art. 11 ust. 4 pkt 3 ustawy</w:t>
            </w:r>
            <w:r w:rsidR="00AA5778">
              <w:rPr>
                <w:sz w:val="16"/>
                <w:szCs w:val="16"/>
              </w:rPr>
              <w:t xml:space="preserve"> Pzp</w:t>
            </w:r>
          </w:p>
        </w:tc>
        <w:tc>
          <w:tcPr>
            <w:tcW w:w="1216" w:type="dxa"/>
            <w:noWrap/>
            <w:vAlign w:val="center"/>
          </w:tcPr>
          <w:p w14:paraId="3BA662FB" w14:textId="15F6B9E3" w:rsidR="00552346" w:rsidRPr="00AA71EF" w:rsidRDefault="00552346" w:rsidP="00AA71EF">
            <w:pPr>
              <w:jc w:val="right"/>
              <w:rPr>
                <w:rFonts w:cs="Arial"/>
                <w:sz w:val="16"/>
                <w:szCs w:val="16"/>
              </w:rPr>
            </w:pPr>
            <w:r w:rsidRPr="00AA71EF">
              <w:rPr>
                <w:rFonts w:cs="Arial"/>
                <w:sz w:val="16"/>
                <w:szCs w:val="16"/>
              </w:rPr>
              <w:t>165</w:t>
            </w:r>
          </w:p>
        </w:tc>
        <w:tc>
          <w:tcPr>
            <w:tcW w:w="1559" w:type="dxa"/>
            <w:noWrap/>
            <w:vAlign w:val="center"/>
          </w:tcPr>
          <w:p w14:paraId="793014C4" w14:textId="34760FF5" w:rsidR="00552346" w:rsidRPr="00AA71EF" w:rsidRDefault="00552346" w:rsidP="00AA71EF">
            <w:pPr>
              <w:jc w:val="right"/>
              <w:rPr>
                <w:rFonts w:cs="Arial"/>
                <w:sz w:val="16"/>
                <w:szCs w:val="16"/>
              </w:rPr>
            </w:pPr>
            <w:r w:rsidRPr="00AA71EF">
              <w:rPr>
                <w:rFonts w:cs="Arial"/>
                <w:sz w:val="16"/>
                <w:szCs w:val="16"/>
              </w:rPr>
              <w:t>28 142</w:t>
            </w:r>
          </w:p>
        </w:tc>
      </w:tr>
      <w:tr w:rsidR="00552346" w:rsidRPr="00361628" w14:paraId="3985198E" w14:textId="77777777" w:rsidTr="00AA71EF">
        <w:trPr>
          <w:trHeight w:val="285"/>
        </w:trPr>
        <w:tc>
          <w:tcPr>
            <w:tcW w:w="567" w:type="dxa"/>
            <w:noWrap/>
            <w:vAlign w:val="center"/>
          </w:tcPr>
          <w:p w14:paraId="545E071E" w14:textId="77777777" w:rsidR="00552346" w:rsidRPr="00C65B76" w:rsidRDefault="00552346" w:rsidP="00552346">
            <w:pPr>
              <w:jc w:val="right"/>
              <w:rPr>
                <w:color w:val="000000"/>
                <w:sz w:val="16"/>
                <w:szCs w:val="16"/>
              </w:rPr>
            </w:pPr>
            <w:r w:rsidRPr="00C65B76">
              <w:rPr>
                <w:color w:val="000000"/>
                <w:sz w:val="16"/>
                <w:szCs w:val="16"/>
              </w:rPr>
              <w:t>27</w:t>
            </w:r>
          </w:p>
        </w:tc>
        <w:tc>
          <w:tcPr>
            <w:tcW w:w="7148" w:type="dxa"/>
            <w:noWrap/>
            <w:vAlign w:val="center"/>
          </w:tcPr>
          <w:p w14:paraId="3643EADB" w14:textId="4B4A0135" w:rsidR="00552346" w:rsidRPr="00720307" w:rsidRDefault="00552346" w:rsidP="00552346">
            <w:pPr>
              <w:jc w:val="left"/>
              <w:rPr>
                <w:sz w:val="16"/>
                <w:szCs w:val="16"/>
              </w:rPr>
            </w:pPr>
            <w:r w:rsidRPr="00720307">
              <w:rPr>
                <w:sz w:val="16"/>
                <w:szCs w:val="16"/>
              </w:rPr>
              <w:t>zamówienia, dotyczące wytwarzania kart do głosowania i nakładek na karty do głosowania, o których mowa w art. 11 ust. 4 pkt 4 ustawy</w:t>
            </w:r>
            <w:r w:rsidR="00AA5778">
              <w:rPr>
                <w:sz w:val="16"/>
                <w:szCs w:val="16"/>
              </w:rPr>
              <w:t xml:space="preserve"> Pzp</w:t>
            </w:r>
          </w:p>
        </w:tc>
        <w:tc>
          <w:tcPr>
            <w:tcW w:w="1216" w:type="dxa"/>
            <w:noWrap/>
            <w:vAlign w:val="center"/>
          </w:tcPr>
          <w:p w14:paraId="6695AF0B" w14:textId="354605D1" w:rsidR="00552346" w:rsidRPr="00AA71EF" w:rsidRDefault="00552346" w:rsidP="00AA71EF">
            <w:pPr>
              <w:jc w:val="right"/>
              <w:rPr>
                <w:rFonts w:cs="Arial"/>
                <w:sz w:val="16"/>
                <w:szCs w:val="16"/>
              </w:rPr>
            </w:pPr>
            <w:r w:rsidRPr="00AA71EF">
              <w:rPr>
                <w:rFonts w:cs="Arial"/>
                <w:sz w:val="16"/>
                <w:szCs w:val="16"/>
              </w:rPr>
              <w:t>1</w:t>
            </w:r>
          </w:p>
        </w:tc>
        <w:tc>
          <w:tcPr>
            <w:tcW w:w="1559" w:type="dxa"/>
            <w:noWrap/>
            <w:vAlign w:val="center"/>
          </w:tcPr>
          <w:p w14:paraId="176930E2" w14:textId="304F09D7" w:rsidR="00552346" w:rsidRPr="00AA71EF" w:rsidRDefault="00552346" w:rsidP="00AA71EF">
            <w:pPr>
              <w:jc w:val="right"/>
              <w:rPr>
                <w:rFonts w:cs="Arial"/>
                <w:sz w:val="16"/>
                <w:szCs w:val="16"/>
              </w:rPr>
            </w:pPr>
            <w:r w:rsidRPr="00AA71EF">
              <w:rPr>
                <w:rFonts w:cs="Arial"/>
                <w:sz w:val="16"/>
                <w:szCs w:val="16"/>
              </w:rPr>
              <w:t>1</w:t>
            </w:r>
          </w:p>
        </w:tc>
      </w:tr>
      <w:tr w:rsidR="00D2318D" w:rsidRPr="00361628" w14:paraId="7112BD14" w14:textId="77777777" w:rsidTr="00AA71EF">
        <w:trPr>
          <w:trHeight w:val="285"/>
        </w:trPr>
        <w:tc>
          <w:tcPr>
            <w:tcW w:w="567" w:type="dxa"/>
            <w:noWrap/>
            <w:vAlign w:val="center"/>
          </w:tcPr>
          <w:p w14:paraId="4232330E" w14:textId="77777777" w:rsidR="00D2318D" w:rsidRPr="00C65B76" w:rsidRDefault="00D2318D" w:rsidP="003C33FD">
            <w:pPr>
              <w:jc w:val="right"/>
              <w:rPr>
                <w:color w:val="000000"/>
                <w:sz w:val="16"/>
                <w:szCs w:val="16"/>
              </w:rPr>
            </w:pPr>
            <w:r w:rsidRPr="00C65B76">
              <w:rPr>
                <w:color w:val="000000"/>
                <w:sz w:val="16"/>
                <w:szCs w:val="16"/>
              </w:rPr>
              <w:t>28</w:t>
            </w:r>
          </w:p>
        </w:tc>
        <w:tc>
          <w:tcPr>
            <w:tcW w:w="7148" w:type="dxa"/>
            <w:noWrap/>
            <w:vAlign w:val="center"/>
          </w:tcPr>
          <w:p w14:paraId="1ADD6B17" w14:textId="737A0C10" w:rsidR="00D2318D" w:rsidRPr="00720307" w:rsidRDefault="00D2318D" w:rsidP="003C33FD">
            <w:pPr>
              <w:jc w:val="left"/>
              <w:rPr>
                <w:sz w:val="16"/>
                <w:szCs w:val="16"/>
              </w:rPr>
            </w:pPr>
            <w:r w:rsidRPr="00720307">
              <w:rPr>
                <w:sz w:val="16"/>
                <w:szCs w:val="16"/>
              </w:rPr>
              <w:t>zamówienia, dotyczące wytwarzania znaków holograficznych umieszczanych na zaświadczeniach o prawie do głosowania, o których mowa w art. 11 ust. 4 pkt 5 ustawy</w:t>
            </w:r>
            <w:r w:rsidR="00AA5778">
              <w:rPr>
                <w:sz w:val="16"/>
                <w:szCs w:val="16"/>
              </w:rPr>
              <w:t xml:space="preserve"> Pzp</w:t>
            </w:r>
          </w:p>
        </w:tc>
        <w:tc>
          <w:tcPr>
            <w:tcW w:w="1216" w:type="dxa"/>
            <w:noWrap/>
            <w:vAlign w:val="center"/>
          </w:tcPr>
          <w:p w14:paraId="3B622460" w14:textId="56C79168"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3F1A5A9B" w14:textId="41222AA2" w:rsidR="00D2318D" w:rsidRPr="00AA71EF" w:rsidRDefault="00FF0A50" w:rsidP="00AA71EF">
            <w:pPr>
              <w:jc w:val="right"/>
              <w:rPr>
                <w:rFonts w:cs="Arial"/>
                <w:sz w:val="16"/>
                <w:szCs w:val="16"/>
              </w:rPr>
            </w:pPr>
            <w:r w:rsidRPr="00AA71EF">
              <w:rPr>
                <w:rFonts w:cs="Arial"/>
                <w:sz w:val="16"/>
                <w:szCs w:val="16"/>
              </w:rPr>
              <w:t>0</w:t>
            </w:r>
          </w:p>
        </w:tc>
      </w:tr>
      <w:tr w:rsidR="00552346" w:rsidRPr="00361628" w14:paraId="62554878" w14:textId="77777777" w:rsidTr="00AA71EF">
        <w:trPr>
          <w:trHeight w:val="285"/>
        </w:trPr>
        <w:tc>
          <w:tcPr>
            <w:tcW w:w="567" w:type="dxa"/>
            <w:noWrap/>
            <w:vAlign w:val="center"/>
          </w:tcPr>
          <w:p w14:paraId="76ECA11F" w14:textId="77777777" w:rsidR="00552346" w:rsidRPr="00C65B76" w:rsidRDefault="00552346" w:rsidP="00552346">
            <w:pPr>
              <w:jc w:val="right"/>
              <w:rPr>
                <w:color w:val="000000"/>
                <w:sz w:val="16"/>
                <w:szCs w:val="16"/>
              </w:rPr>
            </w:pPr>
            <w:r w:rsidRPr="00C65B76">
              <w:rPr>
                <w:color w:val="000000"/>
                <w:sz w:val="16"/>
                <w:szCs w:val="16"/>
              </w:rPr>
              <w:t>29</w:t>
            </w:r>
          </w:p>
        </w:tc>
        <w:tc>
          <w:tcPr>
            <w:tcW w:w="7148" w:type="dxa"/>
            <w:noWrap/>
            <w:vAlign w:val="center"/>
          </w:tcPr>
          <w:p w14:paraId="6EEE2203" w14:textId="0FB3FC65" w:rsidR="00552346" w:rsidRPr="00720307" w:rsidRDefault="00552346" w:rsidP="00552346">
            <w:pPr>
              <w:jc w:val="left"/>
              <w:rPr>
                <w:sz w:val="16"/>
                <w:szCs w:val="16"/>
              </w:rPr>
            </w:pPr>
            <w:r w:rsidRPr="00720307">
              <w:rPr>
                <w:sz w:val="16"/>
                <w:szCs w:val="16"/>
              </w:rPr>
              <w:t>zamówienia, dotyczące wytwarzania układu mikroprocesorowego z oprogramowaniem służącym do zarządzania dokumentami publicznymi, systemów i baz informatycznych niezbędnych do zastosowania dokumentów publicznych, o których mowa w art. 11 ust. 4 pkt 6 ustawy</w:t>
            </w:r>
            <w:r w:rsidR="00AA5778">
              <w:rPr>
                <w:sz w:val="16"/>
                <w:szCs w:val="16"/>
              </w:rPr>
              <w:t xml:space="preserve"> Pzp</w:t>
            </w:r>
          </w:p>
        </w:tc>
        <w:tc>
          <w:tcPr>
            <w:tcW w:w="1216" w:type="dxa"/>
            <w:noWrap/>
            <w:vAlign w:val="center"/>
          </w:tcPr>
          <w:p w14:paraId="409BC1C1" w14:textId="21575253" w:rsidR="00552346" w:rsidRPr="00AA71EF" w:rsidRDefault="00552346" w:rsidP="00AA71EF">
            <w:pPr>
              <w:jc w:val="right"/>
              <w:rPr>
                <w:rFonts w:cs="Arial"/>
                <w:sz w:val="16"/>
                <w:szCs w:val="16"/>
              </w:rPr>
            </w:pPr>
            <w:r w:rsidRPr="00AA71EF">
              <w:rPr>
                <w:rFonts w:cs="Arial"/>
                <w:sz w:val="16"/>
                <w:szCs w:val="16"/>
              </w:rPr>
              <w:t>2</w:t>
            </w:r>
          </w:p>
        </w:tc>
        <w:tc>
          <w:tcPr>
            <w:tcW w:w="1559" w:type="dxa"/>
            <w:noWrap/>
            <w:vAlign w:val="center"/>
          </w:tcPr>
          <w:p w14:paraId="3264DBE9" w14:textId="0BA2C6C1" w:rsidR="00552346" w:rsidRPr="00AA71EF" w:rsidRDefault="00552346" w:rsidP="00AA71EF">
            <w:pPr>
              <w:jc w:val="right"/>
              <w:rPr>
                <w:rFonts w:cs="Arial"/>
                <w:sz w:val="16"/>
                <w:szCs w:val="16"/>
              </w:rPr>
            </w:pPr>
            <w:r w:rsidRPr="00AA71EF">
              <w:rPr>
                <w:rFonts w:cs="Arial"/>
                <w:sz w:val="16"/>
                <w:szCs w:val="16"/>
              </w:rPr>
              <w:t>71</w:t>
            </w:r>
          </w:p>
        </w:tc>
      </w:tr>
      <w:tr w:rsidR="00552346" w:rsidRPr="00361628" w14:paraId="13C89736" w14:textId="77777777" w:rsidTr="00AA71EF">
        <w:trPr>
          <w:trHeight w:val="285"/>
        </w:trPr>
        <w:tc>
          <w:tcPr>
            <w:tcW w:w="567" w:type="dxa"/>
            <w:noWrap/>
            <w:vAlign w:val="center"/>
          </w:tcPr>
          <w:p w14:paraId="7CCA00BA" w14:textId="77777777" w:rsidR="00552346" w:rsidRPr="00C65B76" w:rsidRDefault="00552346" w:rsidP="00552346">
            <w:pPr>
              <w:jc w:val="right"/>
              <w:rPr>
                <w:color w:val="000000"/>
                <w:sz w:val="16"/>
                <w:szCs w:val="16"/>
              </w:rPr>
            </w:pPr>
            <w:r w:rsidRPr="00C65B76">
              <w:rPr>
                <w:color w:val="000000"/>
                <w:sz w:val="16"/>
                <w:szCs w:val="16"/>
              </w:rPr>
              <w:t>30</w:t>
            </w:r>
          </w:p>
        </w:tc>
        <w:tc>
          <w:tcPr>
            <w:tcW w:w="7148" w:type="dxa"/>
            <w:noWrap/>
            <w:vAlign w:val="center"/>
          </w:tcPr>
          <w:p w14:paraId="6C8AD74E" w14:textId="4D6A5458" w:rsidR="00552346" w:rsidRPr="00720307" w:rsidRDefault="00552346" w:rsidP="00552346">
            <w:pPr>
              <w:jc w:val="left"/>
              <w:rPr>
                <w:sz w:val="16"/>
                <w:szCs w:val="16"/>
              </w:rPr>
            </w:pPr>
            <w:r w:rsidRPr="00720307">
              <w:rPr>
                <w:sz w:val="16"/>
                <w:szCs w:val="16"/>
              </w:rPr>
              <w:t>zamówienia, których przedmiotem są dostawy lub usługi służące wyłącznie do celów prac badawczych, eksperymentalnych, naukowych lub rozwojowych, o których mowa w art. 11 ust. 5 pkt 1 ustawy</w:t>
            </w:r>
            <w:r w:rsidR="00AA5778">
              <w:rPr>
                <w:sz w:val="16"/>
                <w:szCs w:val="16"/>
              </w:rPr>
              <w:t xml:space="preserve"> Pzp</w:t>
            </w:r>
          </w:p>
        </w:tc>
        <w:tc>
          <w:tcPr>
            <w:tcW w:w="1216" w:type="dxa"/>
            <w:noWrap/>
            <w:vAlign w:val="center"/>
          </w:tcPr>
          <w:p w14:paraId="2572AF5E" w14:textId="2DFE0468" w:rsidR="00552346" w:rsidRPr="00AA71EF" w:rsidRDefault="00552346" w:rsidP="00AA71EF">
            <w:pPr>
              <w:jc w:val="right"/>
              <w:rPr>
                <w:rFonts w:cs="Arial"/>
                <w:sz w:val="16"/>
                <w:szCs w:val="16"/>
              </w:rPr>
            </w:pPr>
            <w:r w:rsidRPr="00AA71EF">
              <w:rPr>
                <w:rFonts w:cs="Arial"/>
                <w:sz w:val="16"/>
                <w:szCs w:val="16"/>
              </w:rPr>
              <w:t>36 629</w:t>
            </w:r>
          </w:p>
        </w:tc>
        <w:tc>
          <w:tcPr>
            <w:tcW w:w="1559" w:type="dxa"/>
            <w:noWrap/>
            <w:vAlign w:val="center"/>
          </w:tcPr>
          <w:p w14:paraId="3BBE6F82" w14:textId="7EAF91C8" w:rsidR="00552346" w:rsidRPr="00AA71EF" w:rsidRDefault="00552346" w:rsidP="00AA71EF">
            <w:pPr>
              <w:jc w:val="right"/>
              <w:rPr>
                <w:rFonts w:cs="Arial"/>
                <w:sz w:val="16"/>
                <w:szCs w:val="16"/>
              </w:rPr>
            </w:pPr>
            <w:r w:rsidRPr="00AA71EF">
              <w:rPr>
                <w:rFonts w:cs="Arial"/>
                <w:sz w:val="16"/>
                <w:szCs w:val="16"/>
              </w:rPr>
              <w:t>302 982</w:t>
            </w:r>
          </w:p>
        </w:tc>
      </w:tr>
      <w:tr w:rsidR="00552346" w:rsidRPr="00361628" w14:paraId="74393ACA" w14:textId="77777777" w:rsidTr="00AA71EF">
        <w:trPr>
          <w:trHeight w:val="285"/>
        </w:trPr>
        <w:tc>
          <w:tcPr>
            <w:tcW w:w="567" w:type="dxa"/>
            <w:noWrap/>
            <w:vAlign w:val="center"/>
          </w:tcPr>
          <w:p w14:paraId="115DA2F3" w14:textId="77777777" w:rsidR="00552346" w:rsidRPr="00C65B76" w:rsidRDefault="00552346" w:rsidP="00552346">
            <w:pPr>
              <w:jc w:val="right"/>
              <w:rPr>
                <w:color w:val="000000"/>
                <w:sz w:val="16"/>
                <w:szCs w:val="16"/>
              </w:rPr>
            </w:pPr>
            <w:r w:rsidRPr="00C65B76">
              <w:rPr>
                <w:color w:val="000000"/>
                <w:sz w:val="16"/>
                <w:szCs w:val="16"/>
              </w:rPr>
              <w:t>31</w:t>
            </w:r>
          </w:p>
        </w:tc>
        <w:tc>
          <w:tcPr>
            <w:tcW w:w="7148" w:type="dxa"/>
            <w:noWrap/>
            <w:vAlign w:val="center"/>
          </w:tcPr>
          <w:p w14:paraId="5040FDD2" w14:textId="445BA1E1" w:rsidR="00552346" w:rsidRPr="00720307" w:rsidRDefault="00552346" w:rsidP="00552346">
            <w:pPr>
              <w:jc w:val="left"/>
              <w:rPr>
                <w:sz w:val="16"/>
                <w:szCs w:val="16"/>
              </w:rPr>
            </w:pPr>
            <w:r w:rsidRPr="00720307">
              <w:rPr>
                <w:sz w:val="16"/>
                <w:szCs w:val="16"/>
              </w:rPr>
              <w:t>zamówienia, których przedmiotem są dostawy lub usługi z zakresu działalności kulturalnej, o których mowa w art. 11 ust. 5 pkt 2 ustawy</w:t>
            </w:r>
            <w:r w:rsidR="00AA5778">
              <w:rPr>
                <w:sz w:val="16"/>
                <w:szCs w:val="16"/>
              </w:rPr>
              <w:t xml:space="preserve"> Pzp</w:t>
            </w:r>
          </w:p>
        </w:tc>
        <w:tc>
          <w:tcPr>
            <w:tcW w:w="1216" w:type="dxa"/>
            <w:noWrap/>
            <w:vAlign w:val="center"/>
          </w:tcPr>
          <w:p w14:paraId="68564E4F" w14:textId="04FBE3D9" w:rsidR="00552346" w:rsidRPr="00AA71EF" w:rsidRDefault="00552346" w:rsidP="00AA71EF">
            <w:pPr>
              <w:jc w:val="right"/>
              <w:rPr>
                <w:rFonts w:cs="Arial"/>
                <w:sz w:val="16"/>
                <w:szCs w:val="16"/>
              </w:rPr>
            </w:pPr>
            <w:r w:rsidRPr="00AA71EF">
              <w:rPr>
                <w:rFonts w:cs="Arial"/>
                <w:sz w:val="16"/>
                <w:szCs w:val="16"/>
              </w:rPr>
              <w:t>69 512</w:t>
            </w:r>
          </w:p>
        </w:tc>
        <w:tc>
          <w:tcPr>
            <w:tcW w:w="1559" w:type="dxa"/>
            <w:noWrap/>
            <w:vAlign w:val="center"/>
          </w:tcPr>
          <w:p w14:paraId="5207118D" w14:textId="3078A449" w:rsidR="00552346" w:rsidRPr="00AA71EF" w:rsidRDefault="00552346" w:rsidP="00AA71EF">
            <w:pPr>
              <w:jc w:val="right"/>
              <w:rPr>
                <w:rFonts w:cs="Arial"/>
                <w:sz w:val="16"/>
                <w:szCs w:val="16"/>
              </w:rPr>
            </w:pPr>
            <w:r w:rsidRPr="00AA71EF">
              <w:rPr>
                <w:rFonts w:cs="Arial"/>
                <w:sz w:val="16"/>
                <w:szCs w:val="16"/>
              </w:rPr>
              <w:t>426 413</w:t>
            </w:r>
          </w:p>
        </w:tc>
      </w:tr>
      <w:tr w:rsidR="00552346" w:rsidRPr="00361628" w14:paraId="6E6F226D" w14:textId="77777777" w:rsidTr="00AA71EF">
        <w:trPr>
          <w:trHeight w:val="285"/>
        </w:trPr>
        <w:tc>
          <w:tcPr>
            <w:tcW w:w="567" w:type="dxa"/>
            <w:noWrap/>
            <w:vAlign w:val="center"/>
          </w:tcPr>
          <w:p w14:paraId="52915F27" w14:textId="77777777" w:rsidR="00552346" w:rsidRPr="00C65B76" w:rsidRDefault="00552346" w:rsidP="00552346">
            <w:pPr>
              <w:jc w:val="right"/>
              <w:rPr>
                <w:color w:val="000000"/>
                <w:sz w:val="16"/>
                <w:szCs w:val="16"/>
              </w:rPr>
            </w:pPr>
            <w:r w:rsidRPr="00C65B76">
              <w:rPr>
                <w:color w:val="000000"/>
                <w:sz w:val="16"/>
                <w:szCs w:val="16"/>
              </w:rPr>
              <w:t>32</w:t>
            </w:r>
          </w:p>
        </w:tc>
        <w:tc>
          <w:tcPr>
            <w:tcW w:w="7148" w:type="dxa"/>
            <w:noWrap/>
            <w:vAlign w:val="center"/>
          </w:tcPr>
          <w:p w14:paraId="2DFC3A1B" w14:textId="23CA9517" w:rsidR="00552346" w:rsidRPr="00720307" w:rsidRDefault="00552346" w:rsidP="00552346">
            <w:pPr>
              <w:jc w:val="left"/>
              <w:rPr>
                <w:sz w:val="16"/>
                <w:szCs w:val="16"/>
              </w:rPr>
            </w:pPr>
            <w:r w:rsidRPr="00720307">
              <w:rPr>
                <w:sz w:val="16"/>
                <w:szCs w:val="16"/>
              </w:rPr>
              <w:t>zamówienia udzielone przez inne niż określone w art. 11 ust. 1 pkt 4 podmioty, których przedmiotem działalności jest produkcja i koprodukcja audycji i materiałów do audycji lub ich opracowanie, o których mowa w art. 11 ust. 5 pkt 3 ustawy</w:t>
            </w:r>
            <w:r w:rsidR="00AA5778">
              <w:rPr>
                <w:sz w:val="16"/>
                <w:szCs w:val="16"/>
              </w:rPr>
              <w:t xml:space="preserve"> Pzp</w:t>
            </w:r>
          </w:p>
        </w:tc>
        <w:tc>
          <w:tcPr>
            <w:tcW w:w="1216" w:type="dxa"/>
            <w:noWrap/>
            <w:vAlign w:val="center"/>
          </w:tcPr>
          <w:p w14:paraId="404DD69B" w14:textId="4E60BC0C" w:rsidR="00552346" w:rsidRPr="00AA71EF" w:rsidRDefault="00552346" w:rsidP="00AA71EF">
            <w:pPr>
              <w:jc w:val="right"/>
              <w:rPr>
                <w:rFonts w:cs="Arial"/>
                <w:sz w:val="16"/>
                <w:szCs w:val="16"/>
              </w:rPr>
            </w:pPr>
            <w:r w:rsidRPr="00AA71EF">
              <w:rPr>
                <w:rFonts w:cs="Arial"/>
                <w:sz w:val="16"/>
                <w:szCs w:val="16"/>
              </w:rPr>
              <w:t>98</w:t>
            </w:r>
          </w:p>
        </w:tc>
        <w:tc>
          <w:tcPr>
            <w:tcW w:w="1559" w:type="dxa"/>
            <w:noWrap/>
            <w:vAlign w:val="center"/>
          </w:tcPr>
          <w:p w14:paraId="052EC603" w14:textId="1F435D76" w:rsidR="00552346" w:rsidRPr="00AA71EF" w:rsidRDefault="00552346" w:rsidP="00AA71EF">
            <w:pPr>
              <w:jc w:val="right"/>
              <w:rPr>
                <w:rFonts w:cs="Arial"/>
                <w:sz w:val="16"/>
                <w:szCs w:val="16"/>
              </w:rPr>
            </w:pPr>
            <w:r w:rsidRPr="00AA71EF">
              <w:rPr>
                <w:rFonts w:cs="Arial"/>
                <w:sz w:val="16"/>
                <w:szCs w:val="16"/>
              </w:rPr>
              <w:t>10 206</w:t>
            </w:r>
          </w:p>
        </w:tc>
      </w:tr>
      <w:tr w:rsidR="00552346" w:rsidRPr="00361628" w14:paraId="4E12E4E1" w14:textId="77777777" w:rsidTr="00AA71EF">
        <w:trPr>
          <w:trHeight w:val="285"/>
        </w:trPr>
        <w:tc>
          <w:tcPr>
            <w:tcW w:w="567" w:type="dxa"/>
            <w:noWrap/>
            <w:vAlign w:val="center"/>
          </w:tcPr>
          <w:p w14:paraId="3888986C" w14:textId="77777777" w:rsidR="00552346" w:rsidRPr="00C65B76" w:rsidRDefault="00552346" w:rsidP="00552346">
            <w:pPr>
              <w:jc w:val="right"/>
              <w:rPr>
                <w:color w:val="000000"/>
                <w:sz w:val="16"/>
                <w:szCs w:val="16"/>
              </w:rPr>
            </w:pPr>
            <w:r w:rsidRPr="00C65B76">
              <w:rPr>
                <w:color w:val="000000"/>
                <w:sz w:val="16"/>
                <w:szCs w:val="16"/>
              </w:rPr>
              <w:t>33</w:t>
            </w:r>
          </w:p>
        </w:tc>
        <w:tc>
          <w:tcPr>
            <w:tcW w:w="7148" w:type="dxa"/>
            <w:noWrap/>
            <w:vAlign w:val="center"/>
          </w:tcPr>
          <w:p w14:paraId="6B4C4591" w14:textId="63B22B92" w:rsidR="00552346" w:rsidRPr="00720307" w:rsidRDefault="00552346" w:rsidP="00552346">
            <w:pPr>
              <w:jc w:val="left"/>
              <w:rPr>
                <w:sz w:val="16"/>
                <w:szCs w:val="16"/>
              </w:rPr>
            </w:pPr>
            <w:r w:rsidRPr="00720307">
              <w:rPr>
                <w:sz w:val="16"/>
                <w:szCs w:val="16"/>
              </w:rPr>
              <w:t>zamówienia, których przedmiotem są dostawy lub usługi z zakresu działalności oświatowej, o których mowa w art. 11 ust. 5 pkt 4 ustawy</w:t>
            </w:r>
            <w:r w:rsidR="00AA5778">
              <w:rPr>
                <w:sz w:val="16"/>
                <w:szCs w:val="16"/>
              </w:rPr>
              <w:t xml:space="preserve"> Pzp</w:t>
            </w:r>
          </w:p>
        </w:tc>
        <w:tc>
          <w:tcPr>
            <w:tcW w:w="1216" w:type="dxa"/>
            <w:noWrap/>
            <w:vAlign w:val="center"/>
          </w:tcPr>
          <w:p w14:paraId="6815BFD0" w14:textId="701AE562" w:rsidR="00552346" w:rsidRPr="00AA71EF" w:rsidRDefault="00552346" w:rsidP="00AA71EF">
            <w:pPr>
              <w:jc w:val="right"/>
              <w:rPr>
                <w:rFonts w:cs="Arial"/>
                <w:sz w:val="16"/>
                <w:szCs w:val="16"/>
              </w:rPr>
            </w:pPr>
            <w:r w:rsidRPr="00AA71EF">
              <w:rPr>
                <w:rFonts w:cs="Arial"/>
                <w:sz w:val="16"/>
                <w:szCs w:val="16"/>
              </w:rPr>
              <w:t>11 565</w:t>
            </w:r>
          </w:p>
        </w:tc>
        <w:tc>
          <w:tcPr>
            <w:tcW w:w="1559" w:type="dxa"/>
            <w:noWrap/>
            <w:vAlign w:val="center"/>
          </w:tcPr>
          <w:p w14:paraId="256C7D62" w14:textId="766542A5" w:rsidR="00552346" w:rsidRPr="00AA71EF" w:rsidRDefault="00552346" w:rsidP="00AA71EF">
            <w:pPr>
              <w:jc w:val="right"/>
              <w:rPr>
                <w:rFonts w:cs="Arial"/>
                <w:sz w:val="16"/>
                <w:szCs w:val="16"/>
              </w:rPr>
            </w:pPr>
            <w:r w:rsidRPr="00AA71EF">
              <w:rPr>
                <w:rFonts w:cs="Arial"/>
                <w:sz w:val="16"/>
                <w:szCs w:val="16"/>
              </w:rPr>
              <w:t>31 782</w:t>
            </w:r>
          </w:p>
        </w:tc>
      </w:tr>
      <w:tr w:rsidR="00552346" w:rsidRPr="00361628" w14:paraId="587215B3" w14:textId="77777777" w:rsidTr="00AA71EF">
        <w:trPr>
          <w:trHeight w:val="285"/>
        </w:trPr>
        <w:tc>
          <w:tcPr>
            <w:tcW w:w="567" w:type="dxa"/>
            <w:noWrap/>
            <w:vAlign w:val="center"/>
          </w:tcPr>
          <w:p w14:paraId="45E36221" w14:textId="77777777" w:rsidR="00552346" w:rsidRPr="00C65B76" w:rsidRDefault="00552346" w:rsidP="00552346">
            <w:pPr>
              <w:jc w:val="right"/>
              <w:rPr>
                <w:color w:val="000000"/>
                <w:sz w:val="16"/>
                <w:szCs w:val="16"/>
              </w:rPr>
            </w:pPr>
            <w:r w:rsidRPr="00C65B76">
              <w:rPr>
                <w:color w:val="000000"/>
                <w:sz w:val="16"/>
                <w:szCs w:val="16"/>
              </w:rPr>
              <w:t>34</w:t>
            </w:r>
          </w:p>
        </w:tc>
        <w:tc>
          <w:tcPr>
            <w:tcW w:w="7148" w:type="dxa"/>
            <w:noWrap/>
            <w:vAlign w:val="center"/>
          </w:tcPr>
          <w:p w14:paraId="3F387663" w14:textId="668B768C" w:rsidR="00552346" w:rsidRPr="00720307" w:rsidRDefault="00552346" w:rsidP="00552346">
            <w:pPr>
              <w:jc w:val="left"/>
              <w:rPr>
                <w:sz w:val="16"/>
                <w:szCs w:val="16"/>
              </w:rPr>
            </w:pPr>
            <w:r w:rsidRPr="00720307">
              <w:rPr>
                <w:sz w:val="16"/>
                <w:szCs w:val="16"/>
              </w:rPr>
              <w:t>zamówienia, których przedmiotem są usługi lub roboty budowlane realizujące przedsięwzięcia rewitalizacyjne zawarte w gminnym programie rewitalizacji oraz wykonywane na obszarze Specjalnej Strefy Rewitalizacji, o których mowa w art. 11 ust. 5 pkt 5 ustawy</w:t>
            </w:r>
            <w:r w:rsidR="00AA5778">
              <w:rPr>
                <w:sz w:val="16"/>
                <w:szCs w:val="16"/>
              </w:rPr>
              <w:t xml:space="preserve"> Pzp</w:t>
            </w:r>
          </w:p>
        </w:tc>
        <w:tc>
          <w:tcPr>
            <w:tcW w:w="1216" w:type="dxa"/>
            <w:noWrap/>
            <w:vAlign w:val="center"/>
          </w:tcPr>
          <w:p w14:paraId="74228B1B" w14:textId="52DED650" w:rsidR="00552346" w:rsidRPr="00AA71EF" w:rsidRDefault="00552346" w:rsidP="00AA71EF">
            <w:pPr>
              <w:jc w:val="right"/>
              <w:rPr>
                <w:rFonts w:cs="Arial"/>
                <w:sz w:val="16"/>
                <w:szCs w:val="16"/>
              </w:rPr>
            </w:pPr>
            <w:r w:rsidRPr="00AA71EF">
              <w:rPr>
                <w:rFonts w:cs="Arial"/>
                <w:sz w:val="16"/>
                <w:szCs w:val="16"/>
              </w:rPr>
              <w:t>23</w:t>
            </w:r>
          </w:p>
        </w:tc>
        <w:tc>
          <w:tcPr>
            <w:tcW w:w="1559" w:type="dxa"/>
            <w:noWrap/>
            <w:vAlign w:val="center"/>
          </w:tcPr>
          <w:p w14:paraId="6C3F6E29" w14:textId="25BA986C" w:rsidR="00552346" w:rsidRPr="00AA71EF" w:rsidRDefault="00552346" w:rsidP="00AA71EF">
            <w:pPr>
              <w:jc w:val="right"/>
              <w:rPr>
                <w:rFonts w:cs="Arial"/>
                <w:sz w:val="16"/>
                <w:szCs w:val="16"/>
              </w:rPr>
            </w:pPr>
            <w:r w:rsidRPr="00AA71EF">
              <w:rPr>
                <w:rFonts w:cs="Arial"/>
                <w:sz w:val="16"/>
                <w:szCs w:val="16"/>
              </w:rPr>
              <w:t>815</w:t>
            </w:r>
          </w:p>
        </w:tc>
      </w:tr>
      <w:tr w:rsidR="00552346" w:rsidRPr="00361628" w14:paraId="78C16D40" w14:textId="77777777" w:rsidTr="00AA71EF">
        <w:trPr>
          <w:trHeight w:val="285"/>
        </w:trPr>
        <w:tc>
          <w:tcPr>
            <w:tcW w:w="567" w:type="dxa"/>
            <w:noWrap/>
            <w:vAlign w:val="center"/>
          </w:tcPr>
          <w:p w14:paraId="2BB76924" w14:textId="77777777" w:rsidR="00552346" w:rsidRPr="00C65B76" w:rsidRDefault="00552346" w:rsidP="00552346">
            <w:pPr>
              <w:jc w:val="right"/>
              <w:rPr>
                <w:color w:val="000000"/>
                <w:sz w:val="16"/>
                <w:szCs w:val="16"/>
              </w:rPr>
            </w:pPr>
            <w:r w:rsidRPr="00C65B76">
              <w:rPr>
                <w:color w:val="000000"/>
                <w:sz w:val="16"/>
                <w:szCs w:val="16"/>
              </w:rPr>
              <w:t>35</w:t>
            </w:r>
          </w:p>
        </w:tc>
        <w:tc>
          <w:tcPr>
            <w:tcW w:w="7148" w:type="dxa"/>
            <w:noWrap/>
            <w:vAlign w:val="center"/>
          </w:tcPr>
          <w:p w14:paraId="3649603F" w14:textId="03BD2F65" w:rsidR="00552346" w:rsidRPr="00720307" w:rsidRDefault="00552346" w:rsidP="00552346">
            <w:pPr>
              <w:jc w:val="left"/>
              <w:rPr>
                <w:sz w:val="16"/>
                <w:szCs w:val="16"/>
              </w:rPr>
            </w:pPr>
            <w:r w:rsidRPr="00720307">
              <w:rPr>
                <w:sz w:val="16"/>
                <w:szCs w:val="16"/>
              </w:rPr>
              <w:t>zamówienia, których przedmiotem są usługi z zakresu leśnictwa, o których mowa w art. 11 ust. 5 pkt 6 ustawy</w:t>
            </w:r>
            <w:r w:rsidR="00AA5778">
              <w:rPr>
                <w:sz w:val="16"/>
                <w:szCs w:val="16"/>
              </w:rPr>
              <w:t xml:space="preserve"> Pzp</w:t>
            </w:r>
          </w:p>
        </w:tc>
        <w:tc>
          <w:tcPr>
            <w:tcW w:w="1216" w:type="dxa"/>
            <w:noWrap/>
            <w:vAlign w:val="center"/>
          </w:tcPr>
          <w:p w14:paraId="37FE2661" w14:textId="49D0A2B0" w:rsidR="00552346" w:rsidRPr="00AA71EF" w:rsidRDefault="00552346" w:rsidP="00AA71EF">
            <w:pPr>
              <w:jc w:val="right"/>
              <w:rPr>
                <w:rFonts w:cs="Arial"/>
                <w:sz w:val="16"/>
                <w:szCs w:val="16"/>
              </w:rPr>
            </w:pPr>
            <w:r w:rsidRPr="00AA71EF">
              <w:rPr>
                <w:rFonts w:cs="Arial"/>
                <w:sz w:val="16"/>
                <w:szCs w:val="16"/>
              </w:rPr>
              <w:t>555</w:t>
            </w:r>
          </w:p>
        </w:tc>
        <w:tc>
          <w:tcPr>
            <w:tcW w:w="1559" w:type="dxa"/>
            <w:noWrap/>
            <w:vAlign w:val="center"/>
          </w:tcPr>
          <w:p w14:paraId="2C133ABF" w14:textId="0276310B" w:rsidR="00552346" w:rsidRPr="00AA71EF" w:rsidRDefault="00552346" w:rsidP="00AA71EF">
            <w:pPr>
              <w:jc w:val="right"/>
              <w:rPr>
                <w:rFonts w:cs="Arial"/>
                <w:sz w:val="16"/>
                <w:szCs w:val="16"/>
              </w:rPr>
            </w:pPr>
            <w:r w:rsidRPr="00AA71EF">
              <w:rPr>
                <w:rFonts w:cs="Arial"/>
                <w:sz w:val="16"/>
                <w:szCs w:val="16"/>
              </w:rPr>
              <w:t>41 959</w:t>
            </w:r>
          </w:p>
        </w:tc>
      </w:tr>
      <w:tr w:rsidR="00552346" w:rsidRPr="00361628" w14:paraId="0D048788" w14:textId="77777777" w:rsidTr="00AA71EF">
        <w:trPr>
          <w:trHeight w:val="285"/>
        </w:trPr>
        <w:tc>
          <w:tcPr>
            <w:tcW w:w="567" w:type="dxa"/>
            <w:noWrap/>
            <w:vAlign w:val="center"/>
          </w:tcPr>
          <w:p w14:paraId="2F893579" w14:textId="77777777" w:rsidR="00552346" w:rsidRPr="00C65B76" w:rsidRDefault="00552346" w:rsidP="00552346">
            <w:pPr>
              <w:jc w:val="right"/>
              <w:rPr>
                <w:color w:val="000000"/>
                <w:sz w:val="16"/>
                <w:szCs w:val="16"/>
              </w:rPr>
            </w:pPr>
            <w:r w:rsidRPr="00C65B76">
              <w:rPr>
                <w:color w:val="000000"/>
                <w:sz w:val="16"/>
                <w:szCs w:val="16"/>
              </w:rPr>
              <w:t>36</w:t>
            </w:r>
          </w:p>
        </w:tc>
        <w:tc>
          <w:tcPr>
            <w:tcW w:w="7148" w:type="dxa"/>
            <w:noWrap/>
            <w:vAlign w:val="center"/>
          </w:tcPr>
          <w:p w14:paraId="3DD53B4C" w14:textId="68EE36AB" w:rsidR="00552346" w:rsidRPr="00720307" w:rsidRDefault="00552346" w:rsidP="00552346">
            <w:pPr>
              <w:jc w:val="left"/>
              <w:rPr>
                <w:sz w:val="16"/>
                <w:szCs w:val="16"/>
              </w:rPr>
            </w:pPr>
            <w:r w:rsidRPr="00720307">
              <w:rPr>
                <w:sz w:val="16"/>
                <w:szCs w:val="16"/>
              </w:rPr>
              <w:t>zamówienia udzielone w ramach realizacji współpracy rozwojowej przez jednostki wojskowe, o których mowa w art. 11 ust. 5 pkt 7 ustawy</w:t>
            </w:r>
            <w:r w:rsidR="00AA5778">
              <w:rPr>
                <w:sz w:val="16"/>
                <w:szCs w:val="16"/>
              </w:rPr>
              <w:t xml:space="preserve"> Pzp</w:t>
            </w:r>
          </w:p>
        </w:tc>
        <w:tc>
          <w:tcPr>
            <w:tcW w:w="1216" w:type="dxa"/>
            <w:noWrap/>
            <w:vAlign w:val="center"/>
          </w:tcPr>
          <w:p w14:paraId="3850B25E" w14:textId="63FE1BCB" w:rsidR="00552346" w:rsidRPr="00AA71EF" w:rsidRDefault="00552346" w:rsidP="00AA71EF">
            <w:pPr>
              <w:jc w:val="right"/>
              <w:rPr>
                <w:rFonts w:cs="Arial"/>
                <w:sz w:val="16"/>
                <w:szCs w:val="16"/>
              </w:rPr>
            </w:pPr>
            <w:r w:rsidRPr="00AA71EF">
              <w:rPr>
                <w:rFonts w:cs="Arial"/>
                <w:sz w:val="16"/>
                <w:szCs w:val="16"/>
              </w:rPr>
              <w:t>36</w:t>
            </w:r>
          </w:p>
        </w:tc>
        <w:tc>
          <w:tcPr>
            <w:tcW w:w="1559" w:type="dxa"/>
            <w:noWrap/>
            <w:vAlign w:val="center"/>
          </w:tcPr>
          <w:p w14:paraId="0AD79F3C" w14:textId="0B442341" w:rsidR="00552346" w:rsidRPr="00AA71EF" w:rsidRDefault="00552346" w:rsidP="00AA71EF">
            <w:pPr>
              <w:jc w:val="right"/>
              <w:rPr>
                <w:rFonts w:cs="Arial"/>
                <w:sz w:val="16"/>
                <w:szCs w:val="16"/>
              </w:rPr>
            </w:pPr>
            <w:r w:rsidRPr="00AA71EF">
              <w:rPr>
                <w:rFonts w:cs="Arial"/>
                <w:sz w:val="16"/>
                <w:szCs w:val="16"/>
              </w:rPr>
              <w:t>598</w:t>
            </w:r>
          </w:p>
        </w:tc>
      </w:tr>
      <w:tr w:rsidR="00552346" w:rsidRPr="00361628" w14:paraId="2F8EA523" w14:textId="77777777" w:rsidTr="00AA71EF">
        <w:trPr>
          <w:trHeight w:val="285"/>
        </w:trPr>
        <w:tc>
          <w:tcPr>
            <w:tcW w:w="567" w:type="dxa"/>
            <w:noWrap/>
            <w:vAlign w:val="center"/>
          </w:tcPr>
          <w:p w14:paraId="01D031DE" w14:textId="77777777" w:rsidR="00552346" w:rsidRPr="00C65B76" w:rsidRDefault="00552346" w:rsidP="00552346">
            <w:pPr>
              <w:jc w:val="right"/>
              <w:rPr>
                <w:color w:val="000000"/>
                <w:sz w:val="16"/>
                <w:szCs w:val="16"/>
              </w:rPr>
            </w:pPr>
            <w:r w:rsidRPr="00C65B76">
              <w:rPr>
                <w:color w:val="000000"/>
                <w:sz w:val="16"/>
                <w:szCs w:val="16"/>
              </w:rPr>
              <w:t>37</w:t>
            </w:r>
          </w:p>
        </w:tc>
        <w:tc>
          <w:tcPr>
            <w:tcW w:w="7148" w:type="dxa"/>
            <w:noWrap/>
            <w:vAlign w:val="center"/>
          </w:tcPr>
          <w:p w14:paraId="2B15D3BD" w14:textId="15C52BB9" w:rsidR="00552346" w:rsidRPr="00720307" w:rsidRDefault="00552346" w:rsidP="00552346">
            <w:pPr>
              <w:jc w:val="left"/>
              <w:rPr>
                <w:sz w:val="16"/>
                <w:szCs w:val="16"/>
              </w:rPr>
            </w:pPr>
            <w:r w:rsidRPr="00720307">
              <w:rPr>
                <w:sz w:val="16"/>
                <w:szCs w:val="16"/>
              </w:rPr>
              <w:t>zamówienia udzielone przez Ministra Sprawiedliwości – Prokuratora Generalnego albo jednostki organizacyjne mu podległe lub przez niego nadzorowane przywięziennym zakładom pracy, prowadzonym jako przedsiębiorstwa państwowe albo instytucje gospodarki budżetowej, o których mowa w art. 11 ust. 5 pkt 8 ustawy</w:t>
            </w:r>
            <w:r w:rsidR="00AA5778">
              <w:rPr>
                <w:sz w:val="16"/>
                <w:szCs w:val="16"/>
              </w:rPr>
              <w:t xml:space="preserve"> Pzp</w:t>
            </w:r>
          </w:p>
        </w:tc>
        <w:tc>
          <w:tcPr>
            <w:tcW w:w="1216" w:type="dxa"/>
            <w:noWrap/>
            <w:vAlign w:val="center"/>
          </w:tcPr>
          <w:p w14:paraId="7F68B514" w14:textId="267D1D21" w:rsidR="00552346" w:rsidRPr="00AA71EF" w:rsidRDefault="00552346" w:rsidP="00AA71EF">
            <w:pPr>
              <w:jc w:val="right"/>
              <w:rPr>
                <w:rFonts w:cs="Arial"/>
                <w:sz w:val="16"/>
                <w:szCs w:val="16"/>
              </w:rPr>
            </w:pPr>
            <w:r w:rsidRPr="00AA71EF">
              <w:rPr>
                <w:rFonts w:cs="Arial"/>
                <w:sz w:val="16"/>
                <w:szCs w:val="16"/>
              </w:rPr>
              <w:t>1 013</w:t>
            </w:r>
          </w:p>
        </w:tc>
        <w:tc>
          <w:tcPr>
            <w:tcW w:w="1559" w:type="dxa"/>
            <w:noWrap/>
            <w:vAlign w:val="center"/>
          </w:tcPr>
          <w:p w14:paraId="6EF7B2AE" w14:textId="50092731" w:rsidR="00552346" w:rsidRPr="00AA71EF" w:rsidRDefault="00552346" w:rsidP="00AA71EF">
            <w:pPr>
              <w:jc w:val="right"/>
              <w:rPr>
                <w:rFonts w:cs="Arial"/>
                <w:sz w:val="16"/>
                <w:szCs w:val="16"/>
              </w:rPr>
            </w:pPr>
            <w:r w:rsidRPr="00AA71EF">
              <w:rPr>
                <w:rFonts w:cs="Arial"/>
                <w:sz w:val="16"/>
                <w:szCs w:val="16"/>
              </w:rPr>
              <w:t>242 086</w:t>
            </w:r>
          </w:p>
        </w:tc>
      </w:tr>
      <w:tr w:rsidR="00552346" w:rsidRPr="00361628" w14:paraId="44DB51D2" w14:textId="77777777" w:rsidTr="00AA71EF">
        <w:trPr>
          <w:trHeight w:val="285"/>
        </w:trPr>
        <w:tc>
          <w:tcPr>
            <w:tcW w:w="567" w:type="dxa"/>
            <w:noWrap/>
            <w:vAlign w:val="center"/>
          </w:tcPr>
          <w:p w14:paraId="0E620729" w14:textId="77777777" w:rsidR="00552346" w:rsidRPr="00C65B76" w:rsidRDefault="00552346" w:rsidP="00552346">
            <w:pPr>
              <w:jc w:val="right"/>
              <w:rPr>
                <w:color w:val="000000"/>
                <w:sz w:val="16"/>
                <w:szCs w:val="16"/>
              </w:rPr>
            </w:pPr>
            <w:r w:rsidRPr="00C65B76">
              <w:rPr>
                <w:color w:val="000000"/>
                <w:sz w:val="16"/>
                <w:szCs w:val="16"/>
              </w:rPr>
              <w:t>38</w:t>
            </w:r>
          </w:p>
        </w:tc>
        <w:tc>
          <w:tcPr>
            <w:tcW w:w="7148" w:type="dxa"/>
            <w:noWrap/>
            <w:vAlign w:val="center"/>
          </w:tcPr>
          <w:p w14:paraId="61B96265" w14:textId="4731443F" w:rsidR="00552346" w:rsidRPr="00720307" w:rsidRDefault="00552346" w:rsidP="00552346">
            <w:pPr>
              <w:jc w:val="left"/>
              <w:rPr>
                <w:sz w:val="16"/>
                <w:szCs w:val="16"/>
              </w:rPr>
            </w:pPr>
            <w:r w:rsidRPr="00720307">
              <w:rPr>
                <w:sz w:val="16"/>
                <w:szCs w:val="16"/>
              </w:rPr>
              <w:t>zamówienia udzielone przez zarządzającego specjalną strefą ekonomiczną, o których mowa w art. 11 ust. 5 pkt 9 ustawy</w:t>
            </w:r>
            <w:r w:rsidR="00AA5778">
              <w:rPr>
                <w:sz w:val="16"/>
                <w:szCs w:val="16"/>
              </w:rPr>
              <w:t xml:space="preserve"> Pzp</w:t>
            </w:r>
          </w:p>
        </w:tc>
        <w:tc>
          <w:tcPr>
            <w:tcW w:w="1216" w:type="dxa"/>
            <w:noWrap/>
            <w:vAlign w:val="center"/>
          </w:tcPr>
          <w:p w14:paraId="2000A6DE" w14:textId="28D3416C" w:rsidR="00552346" w:rsidRPr="00AA71EF" w:rsidRDefault="00552346" w:rsidP="00AA71EF">
            <w:pPr>
              <w:jc w:val="right"/>
              <w:rPr>
                <w:rFonts w:cs="Arial"/>
                <w:sz w:val="16"/>
                <w:szCs w:val="16"/>
              </w:rPr>
            </w:pPr>
            <w:r w:rsidRPr="00AA71EF">
              <w:rPr>
                <w:rFonts w:cs="Arial"/>
                <w:sz w:val="16"/>
                <w:szCs w:val="16"/>
              </w:rPr>
              <w:t>3 115</w:t>
            </w:r>
          </w:p>
        </w:tc>
        <w:tc>
          <w:tcPr>
            <w:tcW w:w="1559" w:type="dxa"/>
            <w:noWrap/>
            <w:vAlign w:val="center"/>
          </w:tcPr>
          <w:p w14:paraId="540E54E2" w14:textId="0A316494" w:rsidR="00552346" w:rsidRPr="00AA71EF" w:rsidRDefault="00552346" w:rsidP="00AA71EF">
            <w:pPr>
              <w:jc w:val="right"/>
              <w:rPr>
                <w:rFonts w:cs="Arial"/>
                <w:sz w:val="16"/>
                <w:szCs w:val="16"/>
              </w:rPr>
            </w:pPr>
            <w:r w:rsidRPr="00AA71EF">
              <w:rPr>
                <w:rFonts w:cs="Arial"/>
                <w:sz w:val="16"/>
                <w:szCs w:val="16"/>
              </w:rPr>
              <w:t>44 293</w:t>
            </w:r>
          </w:p>
        </w:tc>
      </w:tr>
      <w:tr w:rsidR="00552346" w:rsidRPr="00361628" w14:paraId="1FC9BFE0" w14:textId="77777777" w:rsidTr="00AA71EF">
        <w:trPr>
          <w:trHeight w:val="285"/>
        </w:trPr>
        <w:tc>
          <w:tcPr>
            <w:tcW w:w="567" w:type="dxa"/>
            <w:noWrap/>
            <w:vAlign w:val="center"/>
          </w:tcPr>
          <w:p w14:paraId="2CDEB876" w14:textId="77777777" w:rsidR="00552346" w:rsidRPr="00C65B76" w:rsidRDefault="00552346" w:rsidP="00552346">
            <w:pPr>
              <w:jc w:val="right"/>
              <w:rPr>
                <w:color w:val="000000"/>
                <w:sz w:val="16"/>
                <w:szCs w:val="16"/>
              </w:rPr>
            </w:pPr>
            <w:r w:rsidRPr="00C65B76">
              <w:rPr>
                <w:color w:val="000000"/>
                <w:sz w:val="16"/>
                <w:szCs w:val="16"/>
              </w:rPr>
              <w:t>39</w:t>
            </w:r>
          </w:p>
        </w:tc>
        <w:tc>
          <w:tcPr>
            <w:tcW w:w="7148" w:type="dxa"/>
            <w:noWrap/>
            <w:vAlign w:val="center"/>
          </w:tcPr>
          <w:p w14:paraId="7757522B" w14:textId="198F13A0" w:rsidR="00552346" w:rsidRPr="00720307" w:rsidRDefault="00552346" w:rsidP="00552346">
            <w:pPr>
              <w:jc w:val="left"/>
              <w:rPr>
                <w:sz w:val="16"/>
                <w:szCs w:val="16"/>
              </w:rPr>
            </w:pPr>
            <w:r w:rsidRPr="00720307">
              <w:rPr>
                <w:sz w:val="16"/>
                <w:szCs w:val="16"/>
              </w:rPr>
              <w:t>zamówienia, którym nadano klauzulę zgodnie z przepisami o ochronie informacji niejawnych lub którym muszą towarzyszyć, na podstawie odrębnych przepisów, szczególne środki bezpieczeństwa, o których mowa w art. 12 ust. 1 pkt 1 lit. a ustawy</w:t>
            </w:r>
            <w:r>
              <w:rPr>
                <w:sz w:val="16"/>
                <w:szCs w:val="16"/>
              </w:rPr>
              <w:t xml:space="preserve"> </w:t>
            </w:r>
            <w:r w:rsidR="00AA5778">
              <w:rPr>
                <w:sz w:val="16"/>
                <w:szCs w:val="16"/>
              </w:rPr>
              <w:t>Pzp</w:t>
            </w:r>
          </w:p>
        </w:tc>
        <w:tc>
          <w:tcPr>
            <w:tcW w:w="1216" w:type="dxa"/>
            <w:noWrap/>
            <w:vAlign w:val="center"/>
          </w:tcPr>
          <w:p w14:paraId="6BF82A83" w14:textId="4B819C2F" w:rsidR="00552346" w:rsidRPr="00AA71EF" w:rsidRDefault="00552346" w:rsidP="00AA71EF">
            <w:pPr>
              <w:jc w:val="right"/>
              <w:rPr>
                <w:rFonts w:cs="Arial"/>
                <w:sz w:val="16"/>
                <w:szCs w:val="16"/>
              </w:rPr>
            </w:pPr>
            <w:r w:rsidRPr="00AA71EF">
              <w:rPr>
                <w:rFonts w:cs="Arial"/>
                <w:sz w:val="16"/>
                <w:szCs w:val="16"/>
              </w:rPr>
              <w:t>39</w:t>
            </w:r>
          </w:p>
        </w:tc>
        <w:tc>
          <w:tcPr>
            <w:tcW w:w="1559" w:type="dxa"/>
            <w:noWrap/>
            <w:vAlign w:val="center"/>
          </w:tcPr>
          <w:p w14:paraId="2A83DD33" w14:textId="23EC2788" w:rsidR="00552346" w:rsidRPr="00AA71EF" w:rsidRDefault="00552346" w:rsidP="00AA71EF">
            <w:pPr>
              <w:jc w:val="right"/>
              <w:rPr>
                <w:rFonts w:cs="Arial"/>
                <w:sz w:val="16"/>
                <w:szCs w:val="16"/>
              </w:rPr>
            </w:pPr>
            <w:r w:rsidRPr="00AA71EF">
              <w:rPr>
                <w:rFonts w:cs="Arial"/>
                <w:sz w:val="16"/>
                <w:szCs w:val="16"/>
              </w:rPr>
              <w:t>158 841</w:t>
            </w:r>
          </w:p>
        </w:tc>
      </w:tr>
      <w:tr w:rsidR="00552346" w:rsidRPr="00361628" w14:paraId="11846C63" w14:textId="77777777" w:rsidTr="00AA71EF">
        <w:trPr>
          <w:trHeight w:val="285"/>
        </w:trPr>
        <w:tc>
          <w:tcPr>
            <w:tcW w:w="567" w:type="dxa"/>
            <w:noWrap/>
            <w:vAlign w:val="center"/>
          </w:tcPr>
          <w:p w14:paraId="19D2BFC1" w14:textId="77777777" w:rsidR="00552346" w:rsidRPr="00C65B76" w:rsidRDefault="00552346" w:rsidP="00552346">
            <w:pPr>
              <w:jc w:val="right"/>
              <w:rPr>
                <w:color w:val="000000"/>
                <w:sz w:val="16"/>
                <w:szCs w:val="16"/>
              </w:rPr>
            </w:pPr>
            <w:r w:rsidRPr="00C65B76">
              <w:rPr>
                <w:color w:val="000000"/>
                <w:sz w:val="16"/>
                <w:szCs w:val="16"/>
              </w:rPr>
              <w:t>40</w:t>
            </w:r>
          </w:p>
        </w:tc>
        <w:tc>
          <w:tcPr>
            <w:tcW w:w="7148" w:type="dxa"/>
            <w:noWrap/>
            <w:vAlign w:val="center"/>
          </w:tcPr>
          <w:p w14:paraId="45131E9D" w14:textId="50A368F4" w:rsidR="00552346" w:rsidRPr="00720307" w:rsidRDefault="00552346" w:rsidP="00552346">
            <w:pPr>
              <w:jc w:val="left"/>
              <w:rPr>
                <w:sz w:val="16"/>
                <w:szCs w:val="16"/>
              </w:rPr>
            </w:pPr>
            <w:r w:rsidRPr="00720307">
              <w:rPr>
                <w:sz w:val="16"/>
                <w:szCs w:val="16"/>
              </w:rPr>
              <w:t>zamówienia, o których mowa w art. 12 ust. 1 pkt 1 lit. b ustawy</w:t>
            </w:r>
            <w:r w:rsidR="00AA5778">
              <w:rPr>
                <w:sz w:val="16"/>
                <w:szCs w:val="16"/>
              </w:rPr>
              <w:t xml:space="preserve"> Pzp</w:t>
            </w:r>
          </w:p>
        </w:tc>
        <w:tc>
          <w:tcPr>
            <w:tcW w:w="1216" w:type="dxa"/>
            <w:noWrap/>
            <w:vAlign w:val="center"/>
          </w:tcPr>
          <w:p w14:paraId="098A3C2A" w14:textId="465189A5" w:rsidR="00552346" w:rsidRPr="00AA71EF" w:rsidRDefault="00552346" w:rsidP="00AA71EF">
            <w:pPr>
              <w:jc w:val="right"/>
              <w:rPr>
                <w:rFonts w:cs="Arial"/>
                <w:sz w:val="16"/>
                <w:szCs w:val="16"/>
              </w:rPr>
            </w:pPr>
            <w:r w:rsidRPr="00AA71EF">
              <w:rPr>
                <w:rFonts w:cs="Arial"/>
                <w:sz w:val="16"/>
                <w:szCs w:val="16"/>
              </w:rPr>
              <w:t>406</w:t>
            </w:r>
          </w:p>
        </w:tc>
        <w:tc>
          <w:tcPr>
            <w:tcW w:w="1559" w:type="dxa"/>
            <w:noWrap/>
            <w:vAlign w:val="center"/>
          </w:tcPr>
          <w:p w14:paraId="1732C38B" w14:textId="35B554DD" w:rsidR="00552346" w:rsidRPr="00AA71EF" w:rsidRDefault="00552346" w:rsidP="00AA71EF">
            <w:pPr>
              <w:jc w:val="right"/>
              <w:rPr>
                <w:rFonts w:cs="Arial"/>
                <w:sz w:val="16"/>
                <w:szCs w:val="16"/>
              </w:rPr>
            </w:pPr>
            <w:r w:rsidRPr="00AA71EF">
              <w:rPr>
                <w:rFonts w:cs="Arial"/>
                <w:sz w:val="16"/>
                <w:szCs w:val="16"/>
              </w:rPr>
              <w:t>7 866 024</w:t>
            </w:r>
          </w:p>
        </w:tc>
      </w:tr>
      <w:tr w:rsidR="00552346" w:rsidRPr="00361628" w14:paraId="306585C7" w14:textId="77777777" w:rsidTr="00AA71EF">
        <w:trPr>
          <w:trHeight w:val="285"/>
        </w:trPr>
        <w:tc>
          <w:tcPr>
            <w:tcW w:w="567" w:type="dxa"/>
            <w:noWrap/>
            <w:vAlign w:val="center"/>
          </w:tcPr>
          <w:p w14:paraId="203ED0FB" w14:textId="77777777" w:rsidR="00552346" w:rsidRPr="00C65B76" w:rsidRDefault="00552346" w:rsidP="00552346">
            <w:pPr>
              <w:jc w:val="right"/>
              <w:rPr>
                <w:color w:val="000000"/>
                <w:sz w:val="16"/>
                <w:szCs w:val="16"/>
              </w:rPr>
            </w:pPr>
            <w:r w:rsidRPr="00C65B76">
              <w:rPr>
                <w:color w:val="000000"/>
                <w:sz w:val="16"/>
                <w:szCs w:val="16"/>
              </w:rPr>
              <w:t>41</w:t>
            </w:r>
          </w:p>
        </w:tc>
        <w:tc>
          <w:tcPr>
            <w:tcW w:w="7148" w:type="dxa"/>
            <w:noWrap/>
            <w:vAlign w:val="center"/>
          </w:tcPr>
          <w:p w14:paraId="24E3FDCF" w14:textId="6E9645AF" w:rsidR="00552346" w:rsidRPr="00720307" w:rsidRDefault="00552346" w:rsidP="00552346">
            <w:pPr>
              <w:jc w:val="left"/>
              <w:rPr>
                <w:sz w:val="16"/>
                <w:szCs w:val="16"/>
              </w:rPr>
            </w:pPr>
            <w:r w:rsidRPr="00720307">
              <w:rPr>
                <w:sz w:val="16"/>
                <w:szCs w:val="16"/>
              </w:rPr>
              <w:t>zamówienia dotyczące produkcji lub handlu bronią, amunicją lub materiałami wojennymi, o których mowa w art. 12 ust. 1 pkt 2 ustawy</w:t>
            </w:r>
            <w:r>
              <w:rPr>
                <w:sz w:val="16"/>
                <w:szCs w:val="16"/>
              </w:rPr>
              <w:t xml:space="preserve"> </w:t>
            </w:r>
            <w:r w:rsidR="00AA5778">
              <w:rPr>
                <w:sz w:val="16"/>
                <w:szCs w:val="16"/>
              </w:rPr>
              <w:t>Pzp</w:t>
            </w:r>
          </w:p>
        </w:tc>
        <w:tc>
          <w:tcPr>
            <w:tcW w:w="1216" w:type="dxa"/>
            <w:noWrap/>
            <w:vAlign w:val="center"/>
          </w:tcPr>
          <w:p w14:paraId="598CB2C2" w14:textId="411A5F39" w:rsidR="00552346" w:rsidRPr="00AA71EF" w:rsidRDefault="00552346" w:rsidP="00AA71EF">
            <w:pPr>
              <w:jc w:val="right"/>
              <w:rPr>
                <w:rFonts w:cs="Arial"/>
                <w:sz w:val="16"/>
                <w:szCs w:val="16"/>
              </w:rPr>
            </w:pPr>
            <w:r w:rsidRPr="00AA71EF">
              <w:rPr>
                <w:rFonts w:cs="Arial"/>
                <w:sz w:val="16"/>
                <w:szCs w:val="16"/>
              </w:rPr>
              <w:t>27</w:t>
            </w:r>
          </w:p>
        </w:tc>
        <w:tc>
          <w:tcPr>
            <w:tcW w:w="1559" w:type="dxa"/>
            <w:noWrap/>
            <w:vAlign w:val="center"/>
          </w:tcPr>
          <w:p w14:paraId="05B29E09" w14:textId="08856E91" w:rsidR="00552346" w:rsidRPr="00AA71EF" w:rsidRDefault="00552346" w:rsidP="00AA71EF">
            <w:pPr>
              <w:jc w:val="right"/>
              <w:rPr>
                <w:rFonts w:cs="Arial"/>
                <w:sz w:val="16"/>
                <w:szCs w:val="16"/>
              </w:rPr>
            </w:pPr>
            <w:r w:rsidRPr="00AA71EF">
              <w:rPr>
                <w:rFonts w:cs="Arial"/>
                <w:sz w:val="16"/>
                <w:szCs w:val="16"/>
              </w:rPr>
              <w:t>13 610 213</w:t>
            </w:r>
          </w:p>
        </w:tc>
      </w:tr>
      <w:tr w:rsidR="00552346" w:rsidRPr="00361628" w14:paraId="7DD995CD" w14:textId="77777777" w:rsidTr="00AA71EF">
        <w:trPr>
          <w:trHeight w:val="285"/>
        </w:trPr>
        <w:tc>
          <w:tcPr>
            <w:tcW w:w="567" w:type="dxa"/>
            <w:noWrap/>
            <w:vAlign w:val="center"/>
          </w:tcPr>
          <w:p w14:paraId="41C9FA36" w14:textId="77777777" w:rsidR="00552346" w:rsidRPr="00C65B76" w:rsidRDefault="00552346" w:rsidP="00552346">
            <w:pPr>
              <w:jc w:val="right"/>
              <w:rPr>
                <w:color w:val="000000"/>
                <w:sz w:val="16"/>
                <w:szCs w:val="16"/>
              </w:rPr>
            </w:pPr>
            <w:r w:rsidRPr="00C65B76">
              <w:rPr>
                <w:color w:val="000000"/>
                <w:sz w:val="16"/>
                <w:szCs w:val="16"/>
              </w:rPr>
              <w:t>42</w:t>
            </w:r>
          </w:p>
        </w:tc>
        <w:tc>
          <w:tcPr>
            <w:tcW w:w="7148" w:type="dxa"/>
            <w:noWrap/>
            <w:vAlign w:val="center"/>
          </w:tcPr>
          <w:p w14:paraId="7C90B810" w14:textId="0D7D9C19" w:rsidR="00552346" w:rsidRPr="00720307" w:rsidRDefault="00552346" w:rsidP="00552346">
            <w:pPr>
              <w:jc w:val="left"/>
              <w:rPr>
                <w:sz w:val="16"/>
                <w:szCs w:val="16"/>
              </w:rPr>
            </w:pPr>
            <w:r w:rsidRPr="00720307">
              <w:rPr>
                <w:sz w:val="16"/>
                <w:szCs w:val="16"/>
              </w:rPr>
              <w:t>zamówienia w dziedzinach obronności i bezpieczeństwa, o których mowa w art. 13 ust. 1 pkt 2 lit. a ustawy</w:t>
            </w:r>
            <w:r w:rsidR="00AA5778">
              <w:rPr>
                <w:sz w:val="16"/>
                <w:szCs w:val="16"/>
              </w:rPr>
              <w:t xml:space="preserve"> Pzp</w:t>
            </w:r>
            <w:r w:rsidRPr="00720307">
              <w:rPr>
                <w:sz w:val="16"/>
                <w:szCs w:val="16"/>
              </w:rPr>
              <w:t>, udzielone na podstawie szczególnej procedury wynikającej z umowy międzynarodowej, której stroną jest Rzeczpospolita Polska, zawartej z jednym lub wieloma państwami niebędącymi członkami Unii Europejskiej, lub porozumienia zawieranego na szczeblu ministerialnym</w:t>
            </w:r>
          </w:p>
        </w:tc>
        <w:tc>
          <w:tcPr>
            <w:tcW w:w="1216" w:type="dxa"/>
            <w:noWrap/>
            <w:vAlign w:val="center"/>
          </w:tcPr>
          <w:p w14:paraId="56F244D5" w14:textId="2BC3F735" w:rsidR="00552346" w:rsidRPr="00AA71EF" w:rsidRDefault="00552346" w:rsidP="00AA71EF">
            <w:pPr>
              <w:jc w:val="right"/>
              <w:rPr>
                <w:rFonts w:cs="Arial"/>
                <w:sz w:val="16"/>
                <w:szCs w:val="16"/>
              </w:rPr>
            </w:pPr>
            <w:r w:rsidRPr="00AA71EF">
              <w:rPr>
                <w:rFonts w:cs="Arial"/>
                <w:sz w:val="16"/>
                <w:szCs w:val="16"/>
              </w:rPr>
              <w:t>23</w:t>
            </w:r>
          </w:p>
        </w:tc>
        <w:tc>
          <w:tcPr>
            <w:tcW w:w="1559" w:type="dxa"/>
            <w:noWrap/>
            <w:vAlign w:val="center"/>
          </w:tcPr>
          <w:p w14:paraId="27478582" w14:textId="01EF60B5" w:rsidR="00552346" w:rsidRPr="00AA71EF" w:rsidRDefault="00552346" w:rsidP="00AA71EF">
            <w:pPr>
              <w:jc w:val="right"/>
              <w:rPr>
                <w:rFonts w:cs="Arial"/>
                <w:sz w:val="16"/>
                <w:szCs w:val="16"/>
              </w:rPr>
            </w:pPr>
            <w:r w:rsidRPr="00AA71EF">
              <w:rPr>
                <w:rFonts w:cs="Arial"/>
                <w:sz w:val="16"/>
                <w:szCs w:val="16"/>
              </w:rPr>
              <w:t>221 966 579</w:t>
            </w:r>
          </w:p>
        </w:tc>
      </w:tr>
      <w:tr w:rsidR="00D2318D" w:rsidRPr="00361628" w14:paraId="0AFAC840" w14:textId="77777777" w:rsidTr="00AA71EF">
        <w:trPr>
          <w:trHeight w:val="285"/>
        </w:trPr>
        <w:tc>
          <w:tcPr>
            <w:tcW w:w="567" w:type="dxa"/>
            <w:noWrap/>
            <w:vAlign w:val="center"/>
          </w:tcPr>
          <w:p w14:paraId="1F54E7EA" w14:textId="77777777" w:rsidR="00D2318D" w:rsidRPr="00C65B76" w:rsidRDefault="00D2318D" w:rsidP="003C33FD">
            <w:pPr>
              <w:jc w:val="right"/>
              <w:rPr>
                <w:color w:val="000000"/>
                <w:sz w:val="16"/>
                <w:szCs w:val="16"/>
              </w:rPr>
            </w:pPr>
            <w:r w:rsidRPr="00C65B76">
              <w:rPr>
                <w:color w:val="000000"/>
                <w:sz w:val="16"/>
                <w:szCs w:val="16"/>
              </w:rPr>
              <w:t>43</w:t>
            </w:r>
          </w:p>
        </w:tc>
        <w:tc>
          <w:tcPr>
            <w:tcW w:w="7148" w:type="dxa"/>
            <w:noWrap/>
            <w:vAlign w:val="center"/>
          </w:tcPr>
          <w:p w14:paraId="1751BB06" w14:textId="5325F888" w:rsidR="00D2318D" w:rsidRPr="00720307" w:rsidRDefault="00D2318D" w:rsidP="003C33FD">
            <w:pPr>
              <w:jc w:val="left"/>
              <w:rPr>
                <w:sz w:val="16"/>
                <w:szCs w:val="16"/>
              </w:rPr>
            </w:pPr>
            <w:r w:rsidRPr="00720307">
              <w:rPr>
                <w:sz w:val="16"/>
                <w:szCs w:val="16"/>
              </w:rPr>
              <w:t>zamówienia w dziedzinach obronności i bezpieczeństwa, o których mowa w art. 13 ust. 1 pkt 2 lit. b ustawy</w:t>
            </w:r>
            <w:r w:rsidR="00AA5778">
              <w:rPr>
                <w:sz w:val="16"/>
                <w:szCs w:val="16"/>
              </w:rPr>
              <w:t xml:space="preserve"> Pzp</w:t>
            </w:r>
            <w:r w:rsidRPr="00720307">
              <w:rPr>
                <w:sz w:val="16"/>
                <w:szCs w:val="16"/>
              </w:rPr>
              <w:t>, udzielone na podstawie szczególnej procedury wynikającej z umowy międzynarodowej, której stroną jest Rzeczpospolita Polska, lub porozumienia zawieranego na szczeblu ministerialnym, związanych ze stacjonowaniem wojsk i dotyczących przedsiębiorców, niezależnie od ich siedziby lub miejsca zamieszkania</w:t>
            </w:r>
          </w:p>
        </w:tc>
        <w:tc>
          <w:tcPr>
            <w:tcW w:w="1216" w:type="dxa"/>
            <w:noWrap/>
            <w:vAlign w:val="center"/>
          </w:tcPr>
          <w:p w14:paraId="3580A5CE" w14:textId="56CA5940"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23659466" w14:textId="2BCEC245" w:rsidR="00D2318D" w:rsidRPr="00AA71EF" w:rsidRDefault="00FF0A50" w:rsidP="00AA71EF">
            <w:pPr>
              <w:jc w:val="right"/>
              <w:rPr>
                <w:rFonts w:cs="Arial"/>
                <w:sz w:val="16"/>
                <w:szCs w:val="16"/>
              </w:rPr>
            </w:pPr>
            <w:r w:rsidRPr="00AA71EF">
              <w:rPr>
                <w:rFonts w:cs="Arial"/>
                <w:sz w:val="16"/>
                <w:szCs w:val="16"/>
              </w:rPr>
              <w:t>0</w:t>
            </w:r>
          </w:p>
        </w:tc>
      </w:tr>
      <w:tr w:rsidR="00552346" w:rsidRPr="00361628" w14:paraId="3278FE47" w14:textId="77777777" w:rsidTr="00AA71EF">
        <w:trPr>
          <w:trHeight w:val="285"/>
        </w:trPr>
        <w:tc>
          <w:tcPr>
            <w:tcW w:w="567" w:type="dxa"/>
            <w:noWrap/>
            <w:vAlign w:val="center"/>
          </w:tcPr>
          <w:p w14:paraId="51E105C2" w14:textId="77777777" w:rsidR="00552346" w:rsidRPr="00C65B76" w:rsidRDefault="00552346" w:rsidP="00552346">
            <w:pPr>
              <w:jc w:val="right"/>
              <w:rPr>
                <w:color w:val="000000"/>
                <w:sz w:val="16"/>
                <w:szCs w:val="16"/>
              </w:rPr>
            </w:pPr>
            <w:r w:rsidRPr="00C65B76">
              <w:rPr>
                <w:color w:val="000000"/>
                <w:sz w:val="16"/>
                <w:szCs w:val="16"/>
              </w:rPr>
              <w:t>44</w:t>
            </w:r>
          </w:p>
        </w:tc>
        <w:tc>
          <w:tcPr>
            <w:tcW w:w="7148" w:type="dxa"/>
            <w:noWrap/>
            <w:vAlign w:val="center"/>
          </w:tcPr>
          <w:p w14:paraId="40A6BA65" w14:textId="21D3B076" w:rsidR="00552346" w:rsidRPr="00720307" w:rsidRDefault="00552346" w:rsidP="00552346">
            <w:pPr>
              <w:jc w:val="left"/>
              <w:rPr>
                <w:sz w:val="16"/>
                <w:szCs w:val="16"/>
              </w:rPr>
            </w:pPr>
            <w:r w:rsidRPr="00720307">
              <w:rPr>
                <w:sz w:val="16"/>
                <w:szCs w:val="16"/>
              </w:rPr>
              <w:t>zamówienia w dziedzinach obronności i bezpieczeństwa, o których mowa w art. 13 ust. 1 pkt 2 lit. c ustawy</w:t>
            </w:r>
            <w:r w:rsidR="005C347B">
              <w:rPr>
                <w:sz w:val="16"/>
                <w:szCs w:val="16"/>
              </w:rPr>
              <w:t xml:space="preserve"> Pzp</w:t>
            </w:r>
            <w:r w:rsidRPr="00720307">
              <w:rPr>
                <w:sz w:val="16"/>
                <w:szCs w:val="16"/>
              </w:rPr>
              <w:t>, udzielone na podstawie szczególnej procedury organizacji międzynarodowej</w:t>
            </w:r>
          </w:p>
        </w:tc>
        <w:tc>
          <w:tcPr>
            <w:tcW w:w="1216" w:type="dxa"/>
            <w:noWrap/>
            <w:vAlign w:val="center"/>
          </w:tcPr>
          <w:p w14:paraId="57498324" w14:textId="06DE0EB8" w:rsidR="00552346" w:rsidRPr="00AA71EF" w:rsidRDefault="00552346" w:rsidP="00AA71EF">
            <w:pPr>
              <w:jc w:val="right"/>
              <w:rPr>
                <w:rFonts w:cs="Arial"/>
                <w:sz w:val="16"/>
                <w:szCs w:val="16"/>
              </w:rPr>
            </w:pPr>
            <w:r w:rsidRPr="00AA71EF">
              <w:rPr>
                <w:rFonts w:cs="Arial"/>
                <w:sz w:val="16"/>
                <w:szCs w:val="16"/>
              </w:rPr>
              <w:t>12</w:t>
            </w:r>
          </w:p>
        </w:tc>
        <w:tc>
          <w:tcPr>
            <w:tcW w:w="1559" w:type="dxa"/>
            <w:noWrap/>
            <w:vAlign w:val="center"/>
          </w:tcPr>
          <w:p w14:paraId="3A38DCBC" w14:textId="4E559BED" w:rsidR="00552346" w:rsidRPr="00AA71EF" w:rsidRDefault="00552346" w:rsidP="00AA71EF">
            <w:pPr>
              <w:jc w:val="right"/>
              <w:rPr>
                <w:rFonts w:cs="Arial"/>
                <w:sz w:val="16"/>
                <w:szCs w:val="16"/>
              </w:rPr>
            </w:pPr>
            <w:r w:rsidRPr="00AA71EF">
              <w:rPr>
                <w:rFonts w:cs="Arial"/>
                <w:sz w:val="16"/>
                <w:szCs w:val="16"/>
              </w:rPr>
              <w:t>15 607</w:t>
            </w:r>
          </w:p>
        </w:tc>
      </w:tr>
      <w:tr w:rsidR="00552346" w:rsidRPr="00361628" w14:paraId="30A62A40" w14:textId="77777777" w:rsidTr="00AA71EF">
        <w:trPr>
          <w:trHeight w:val="285"/>
        </w:trPr>
        <w:tc>
          <w:tcPr>
            <w:tcW w:w="567" w:type="dxa"/>
            <w:noWrap/>
            <w:vAlign w:val="center"/>
          </w:tcPr>
          <w:p w14:paraId="66BFA56F" w14:textId="77777777" w:rsidR="00552346" w:rsidRPr="00C65B76" w:rsidRDefault="00552346" w:rsidP="00552346">
            <w:pPr>
              <w:jc w:val="right"/>
              <w:rPr>
                <w:color w:val="000000"/>
                <w:sz w:val="16"/>
                <w:szCs w:val="16"/>
              </w:rPr>
            </w:pPr>
            <w:r w:rsidRPr="00C65B76">
              <w:rPr>
                <w:color w:val="000000"/>
                <w:sz w:val="16"/>
                <w:szCs w:val="16"/>
              </w:rPr>
              <w:t>45</w:t>
            </w:r>
          </w:p>
        </w:tc>
        <w:tc>
          <w:tcPr>
            <w:tcW w:w="7148" w:type="dxa"/>
            <w:noWrap/>
            <w:vAlign w:val="center"/>
          </w:tcPr>
          <w:p w14:paraId="613A83A4" w14:textId="2BC31075" w:rsidR="00552346" w:rsidRPr="00720307" w:rsidRDefault="00552346" w:rsidP="00552346">
            <w:pPr>
              <w:jc w:val="left"/>
              <w:rPr>
                <w:sz w:val="16"/>
                <w:szCs w:val="16"/>
              </w:rPr>
            </w:pPr>
            <w:r w:rsidRPr="00720307">
              <w:rPr>
                <w:sz w:val="16"/>
                <w:szCs w:val="16"/>
              </w:rPr>
              <w:t>zamówienia w dziedzinach obronności i bezpieczeństwa, w przypadku których stosowanie przepisów ustawy zobowiązywałoby zamawiającego do przekazania informacji, których ujawnienie jest sprzeczne z podstawowymi interesami bezpieczeństwa państwa, o których mowa w art. 13 ust. 1 pkt 3 ustawy</w:t>
            </w:r>
            <w:r w:rsidR="005C347B">
              <w:rPr>
                <w:sz w:val="16"/>
                <w:szCs w:val="16"/>
              </w:rPr>
              <w:t xml:space="preserve"> Pzp</w:t>
            </w:r>
          </w:p>
        </w:tc>
        <w:tc>
          <w:tcPr>
            <w:tcW w:w="1216" w:type="dxa"/>
            <w:noWrap/>
            <w:vAlign w:val="center"/>
          </w:tcPr>
          <w:p w14:paraId="1CD90F22" w14:textId="0FE76E01" w:rsidR="00552346" w:rsidRPr="00AA71EF" w:rsidRDefault="00552346" w:rsidP="00AA71EF">
            <w:pPr>
              <w:jc w:val="right"/>
              <w:rPr>
                <w:rFonts w:cs="Arial"/>
                <w:sz w:val="16"/>
                <w:szCs w:val="16"/>
              </w:rPr>
            </w:pPr>
            <w:r w:rsidRPr="00AA71EF">
              <w:rPr>
                <w:rFonts w:cs="Arial"/>
                <w:sz w:val="16"/>
                <w:szCs w:val="16"/>
              </w:rPr>
              <w:t>7</w:t>
            </w:r>
          </w:p>
        </w:tc>
        <w:tc>
          <w:tcPr>
            <w:tcW w:w="1559" w:type="dxa"/>
            <w:noWrap/>
            <w:vAlign w:val="center"/>
          </w:tcPr>
          <w:p w14:paraId="4E265C0C" w14:textId="454BAE10" w:rsidR="00552346" w:rsidRPr="00AA71EF" w:rsidRDefault="00552346" w:rsidP="00AA71EF">
            <w:pPr>
              <w:jc w:val="right"/>
              <w:rPr>
                <w:rFonts w:cs="Arial"/>
                <w:sz w:val="16"/>
                <w:szCs w:val="16"/>
              </w:rPr>
            </w:pPr>
            <w:r w:rsidRPr="00AA71EF">
              <w:rPr>
                <w:rFonts w:cs="Arial"/>
                <w:sz w:val="16"/>
                <w:szCs w:val="16"/>
              </w:rPr>
              <w:t>3 823</w:t>
            </w:r>
          </w:p>
        </w:tc>
      </w:tr>
      <w:tr w:rsidR="00552346" w:rsidRPr="00361628" w14:paraId="52EBDAD7" w14:textId="77777777" w:rsidTr="00AA71EF">
        <w:trPr>
          <w:trHeight w:val="285"/>
        </w:trPr>
        <w:tc>
          <w:tcPr>
            <w:tcW w:w="567" w:type="dxa"/>
            <w:noWrap/>
            <w:vAlign w:val="center"/>
          </w:tcPr>
          <w:p w14:paraId="71AFB6AF" w14:textId="77777777" w:rsidR="00552346" w:rsidRPr="00C65B76" w:rsidRDefault="00552346" w:rsidP="00552346">
            <w:pPr>
              <w:jc w:val="right"/>
              <w:rPr>
                <w:color w:val="000000"/>
                <w:sz w:val="16"/>
                <w:szCs w:val="16"/>
              </w:rPr>
            </w:pPr>
            <w:r w:rsidRPr="00C65B76">
              <w:rPr>
                <w:color w:val="000000"/>
                <w:sz w:val="16"/>
                <w:szCs w:val="16"/>
              </w:rPr>
              <w:t>46</w:t>
            </w:r>
          </w:p>
        </w:tc>
        <w:tc>
          <w:tcPr>
            <w:tcW w:w="7148" w:type="dxa"/>
            <w:noWrap/>
            <w:vAlign w:val="center"/>
          </w:tcPr>
          <w:p w14:paraId="7D0044D1" w14:textId="38066159" w:rsidR="00552346" w:rsidRPr="00720307" w:rsidRDefault="00552346" w:rsidP="00552346">
            <w:pPr>
              <w:jc w:val="left"/>
              <w:rPr>
                <w:sz w:val="16"/>
                <w:szCs w:val="16"/>
              </w:rPr>
            </w:pPr>
            <w:r w:rsidRPr="00720307">
              <w:rPr>
                <w:sz w:val="16"/>
                <w:szCs w:val="16"/>
              </w:rPr>
              <w:t>zamówienia w dziedzinach obronności i bezpieczeństwa udzielone do celów działalności wywiadowczej lub kontrwywiadowczej, o których mowa w art. 13 ust. 1 pkt 4 ustawy</w:t>
            </w:r>
            <w:r w:rsidR="005C347B">
              <w:rPr>
                <w:sz w:val="16"/>
                <w:szCs w:val="16"/>
              </w:rPr>
              <w:t xml:space="preserve"> Pzp</w:t>
            </w:r>
          </w:p>
        </w:tc>
        <w:tc>
          <w:tcPr>
            <w:tcW w:w="1216" w:type="dxa"/>
            <w:noWrap/>
            <w:vAlign w:val="center"/>
          </w:tcPr>
          <w:p w14:paraId="0E5CFFD6" w14:textId="3C73E8F1" w:rsidR="00552346" w:rsidRPr="00AA71EF" w:rsidRDefault="00552346" w:rsidP="00AA71EF">
            <w:pPr>
              <w:jc w:val="right"/>
              <w:rPr>
                <w:rFonts w:cs="Arial"/>
                <w:sz w:val="16"/>
                <w:szCs w:val="16"/>
              </w:rPr>
            </w:pPr>
            <w:r w:rsidRPr="00AA71EF">
              <w:rPr>
                <w:rFonts w:cs="Arial"/>
                <w:sz w:val="16"/>
                <w:szCs w:val="16"/>
              </w:rPr>
              <w:t>29</w:t>
            </w:r>
          </w:p>
        </w:tc>
        <w:tc>
          <w:tcPr>
            <w:tcW w:w="1559" w:type="dxa"/>
            <w:noWrap/>
            <w:vAlign w:val="center"/>
          </w:tcPr>
          <w:p w14:paraId="20CF7C9A" w14:textId="036162EC" w:rsidR="00552346" w:rsidRPr="00AA71EF" w:rsidRDefault="00552346" w:rsidP="00AA71EF">
            <w:pPr>
              <w:jc w:val="right"/>
              <w:rPr>
                <w:rFonts w:cs="Arial"/>
                <w:sz w:val="16"/>
                <w:szCs w:val="16"/>
              </w:rPr>
            </w:pPr>
            <w:r w:rsidRPr="00AA71EF">
              <w:rPr>
                <w:rFonts w:cs="Arial"/>
                <w:sz w:val="16"/>
                <w:szCs w:val="16"/>
              </w:rPr>
              <w:t>11 590</w:t>
            </w:r>
          </w:p>
        </w:tc>
      </w:tr>
      <w:tr w:rsidR="00D2318D" w:rsidRPr="00361628" w14:paraId="6FE5DFB9" w14:textId="77777777" w:rsidTr="00AA71EF">
        <w:trPr>
          <w:trHeight w:val="285"/>
        </w:trPr>
        <w:tc>
          <w:tcPr>
            <w:tcW w:w="567" w:type="dxa"/>
            <w:noWrap/>
            <w:vAlign w:val="center"/>
          </w:tcPr>
          <w:p w14:paraId="3D373B1A" w14:textId="77777777" w:rsidR="00D2318D" w:rsidRPr="00C65B76" w:rsidRDefault="00D2318D" w:rsidP="003C33FD">
            <w:pPr>
              <w:jc w:val="right"/>
              <w:rPr>
                <w:color w:val="000000"/>
                <w:sz w:val="16"/>
                <w:szCs w:val="16"/>
              </w:rPr>
            </w:pPr>
            <w:r w:rsidRPr="00C65B76">
              <w:rPr>
                <w:color w:val="000000"/>
                <w:sz w:val="16"/>
                <w:szCs w:val="16"/>
              </w:rPr>
              <w:t>47</w:t>
            </w:r>
          </w:p>
        </w:tc>
        <w:tc>
          <w:tcPr>
            <w:tcW w:w="7148" w:type="dxa"/>
            <w:noWrap/>
            <w:vAlign w:val="center"/>
          </w:tcPr>
          <w:p w14:paraId="0AE33BDA" w14:textId="1CEF7345" w:rsidR="00D2318D" w:rsidRPr="00720307" w:rsidRDefault="00D2318D" w:rsidP="003C33FD">
            <w:pPr>
              <w:jc w:val="left"/>
              <w:rPr>
                <w:sz w:val="16"/>
                <w:szCs w:val="16"/>
              </w:rPr>
            </w:pPr>
            <w:r w:rsidRPr="00720307">
              <w:rPr>
                <w:sz w:val="16"/>
                <w:szCs w:val="16"/>
              </w:rPr>
              <w:t>zamówienia w dziedzinach obronności i bezpieczeństwa, o których mowa w art. 13 ust. 1 pkt 5 ustawy</w:t>
            </w:r>
            <w:r w:rsidR="005C347B">
              <w:rPr>
                <w:sz w:val="16"/>
                <w:szCs w:val="16"/>
              </w:rPr>
              <w:t xml:space="preserve"> Pzp</w:t>
            </w:r>
            <w:r w:rsidRPr="00720307">
              <w:rPr>
                <w:sz w:val="16"/>
                <w:szCs w:val="16"/>
              </w:rPr>
              <w:t>, udzielone w ramach programu współpracy opartego na badaniach i rozwoju, prowadzonych wspólnie przez Rzeczpospolitą Polską i co najmniej jedno państwo członkowskie Unii Europejskiej nad opracowaniem nowego produktu oraz, tam gdzie ma to zastosowanie, do późniejszych etapów całości lub części cyklu życia tego produktu</w:t>
            </w:r>
          </w:p>
        </w:tc>
        <w:tc>
          <w:tcPr>
            <w:tcW w:w="1216" w:type="dxa"/>
            <w:noWrap/>
            <w:vAlign w:val="center"/>
          </w:tcPr>
          <w:p w14:paraId="4A7BC0C8" w14:textId="35FF98A0"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089FA767" w14:textId="298EF783" w:rsidR="00D2318D" w:rsidRPr="00AA71EF" w:rsidRDefault="00FF0A50" w:rsidP="00AA71EF">
            <w:pPr>
              <w:jc w:val="right"/>
              <w:rPr>
                <w:rFonts w:cs="Arial"/>
                <w:sz w:val="16"/>
                <w:szCs w:val="16"/>
              </w:rPr>
            </w:pPr>
            <w:r w:rsidRPr="00AA71EF">
              <w:rPr>
                <w:rFonts w:cs="Arial"/>
                <w:sz w:val="16"/>
                <w:szCs w:val="16"/>
              </w:rPr>
              <w:t>0</w:t>
            </w:r>
          </w:p>
        </w:tc>
      </w:tr>
      <w:tr w:rsidR="00552346" w:rsidRPr="00361628" w14:paraId="1E0DB17C" w14:textId="77777777" w:rsidTr="00AA71EF">
        <w:trPr>
          <w:trHeight w:val="285"/>
        </w:trPr>
        <w:tc>
          <w:tcPr>
            <w:tcW w:w="567" w:type="dxa"/>
            <w:noWrap/>
            <w:vAlign w:val="center"/>
          </w:tcPr>
          <w:p w14:paraId="60C4BD15" w14:textId="77777777" w:rsidR="00552346" w:rsidRPr="00C65B76" w:rsidRDefault="00552346" w:rsidP="00552346">
            <w:pPr>
              <w:jc w:val="right"/>
              <w:rPr>
                <w:color w:val="000000"/>
                <w:sz w:val="16"/>
                <w:szCs w:val="16"/>
              </w:rPr>
            </w:pPr>
            <w:r w:rsidRPr="00C65B76">
              <w:rPr>
                <w:color w:val="000000"/>
                <w:sz w:val="16"/>
                <w:szCs w:val="16"/>
              </w:rPr>
              <w:t>48</w:t>
            </w:r>
          </w:p>
        </w:tc>
        <w:tc>
          <w:tcPr>
            <w:tcW w:w="7148" w:type="dxa"/>
            <w:noWrap/>
            <w:vAlign w:val="center"/>
          </w:tcPr>
          <w:p w14:paraId="7696B8A6" w14:textId="7DBA23D5" w:rsidR="00552346" w:rsidRPr="00720307" w:rsidRDefault="00552346" w:rsidP="00552346">
            <w:pPr>
              <w:jc w:val="left"/>
              <w:rPr>
                <w:sz w:val="16"/>
                <w:szCs w:val="16"/>
              </w:rPr>
            </w:pPr>
            <w:r w:rsidRPr="00720307">
              <w:rPr>
                <w:sz w:val="16"/>
                <w:szCs w:val="16"/>
              </w:rPr>
              <w:t>zamówienia w dziedzinach obronności i bezpieczeństwa, o których mowa w art. 13 ust. 1 pkt 6 ustawy</w:t>
            </w:r>
            <w:r w:rsidR="005C347B">
              <w:rPr>
                <w:sz w:val="16"/>
                <w:szCs w:val="16"/>
              </w:rPr>
              <w:t xml:space="preserve"> Pzp</w:t>
            </w:r>
            <w:r w:rsidRPr="00720307">
              <w:rPr>
                <w:sz w:val="16"/>
                <w:szCs w:val="16"/>
              </w:rPr>
              <w:t>, udzielone w państwie niebędącym członkiem Unii Europejskiej, w tym zamówień na dostawy sprzętu innego niż wojskowy, roboty budowlane lub usługi do celów logistycznych, realizowanych podczas rozmieszczenia sił zbrojnych, oraz sił, do których podstawowych zadań należy ochrona bezpieczeństwa, w przypadku gdy względy operacyjne wymagają ich udzielania wykonawcom usytuowanym w strefie prowadzenia działań</w:t>
            </w:r>
          </w:p>
        </w:tc>
        <w:tc>
          <w:tcPr>
            <w:tcW w:w="1216" w:type="dxa"/>
            <w:noWrap/>
            <w:vAlign w:val="center"/>
          </w:tcPr>
          <w:p w14:paraId="0F36B956" w14:textId="1877DF86" w:rsidR="00552346" w:rsidRPr="00AA71EF" w:rsidRDefault="00552346" w:rsidP="00AA71EF">
            <w:pPr>
              <w:jc w:val="right"/>
              <w:rPr>
                <w:rFonts w:cs="Arial"/>
                <w:sz w:val="16"/>
                <w:szCs w:val="16"/>
              </w:rPr>
            </w:pPr>
            <w:r w:rsidRPr="00AA71EF">
              <w:rPr>
                <w:rFonts w:cs="Arial"/>
                <w:sz w:val="16"/>
                <w:szCs w:val="16"/>
              </w:rPr>
              <w:t>189</w:t>
            </w:r>
          </w:p>
        </w:tc>
        <w:tc>
          <w:tcPr>
            <w:tcW w:w="1559" w:type="dxa"/>
            <w:noWrap/>
            <w:vAlign w:val="center"/>
          </w:tcPr>
          <w:p w14:paraId="4170C3A0" w14:textId="082D3BA0" w:rsidR="00552346" w:rsidRPr="00AA71EF" w:rsidRDefault="00552346" w:rsidP="00AA71EF">
            <w:pPr>
              <w:jc w:val="right"/>
              <w:rPr>
                <w:rFonts w:cs="Arial"/>
                <w:sz w:val="16"/>
                <w:szCs w:val="16"/>
              </w:rPr>
            </w:pPr>
            <w:r w:rsidRPr="00AA71EF">
              <w:rPr>
                <w:rFonts w:cs="Arial"/>
                <w:sz w:val="16"/>
                <w:szCs w:val="16"/>
              </w:rPr>
              <w:t>32 881</w:t>
            </w:r>
          </w:p>
        </w:tc>
      </w:tr>
      <w:tr w:rsidR="00552346" w:rsidRPr="00361628" w14:paraId="3F335C89" w14:textId="77777777" w:rsidTr="00AA71EF">
        <w:trPr>
          <w:trHeight w:val="285"/>
        </w:trPr>
        <w:tc>
          <w:tcPr>
            <w:tcW w:w="567" w:type="dxa"/>
            <w:noWrap/>
            <w:vAlign w:val="center"/>
          </w:tcPr>
          <w:p w14:paraId="0E5EAC28" w14:textId="77777777" w:rsidR="00552346" w:rsidRPr="00C65B76" w:rsidRDefault="00552346" w:rsidP="00552346">
            <w:pPr>
              <w:jc w:val="right"/>
              <w:rPr>
                <w:color w:val="000000"/>
                <w:sz w:val="16"/>
                <w:szCs w:val="16"/>
              </w:rPr>
            </w:pPr>
            <w:r w:rsidRPr="00C65B76">
              <w:rPr>
                <w:color w:val="000000"/>
                <w:sz w:val="16"/>
                <w:szCs w:val="16"/>
              </w:rPr>
              <w:t>49</w:t>
            </w:r>
          </w:p>
        </w:tc>
        <w:tc>
          <w:tcPr>
            <w:tcW w:w="7148" w:type="dxa"/>
            <w:noWrap/>
            <w:vAlign w:val="center"/>
          </w:tcPr>
          <w:p w14:paraId="60FF204B" w14:textId="193A9082" w:rsidR="00552346" w:rsidRPr="00720307" w:rsidRDefault="00552346" w:rsidP="00552346">
            <w:pPr>
              <w:jc w:val="left"/>
              <w:rPr>
                <w:sz w:val="16"/>
                <w:szCs w:val="16"/>
              </w:rPr>
            </w:pPr>
            <w:r w:rsidRPr="00720307">
              <w:rPr>
                <w:sz w:val="16"/>
                <w:szCs w:val="16"/>
              </w:rPr>
              <w:t>zamówienia w dziedzinach obronności i bezpieczeństwa, o których mowa w art. 13 ust. 1 pkt 7 lit. a ustawy</w:t>
            </w:r>
            <w:r w:rsidR="005C347B">
              <w:rPr>
                <w:sz w:val="16"/>
                <w:szCs w:val="16"/>
              </w:rPr>
              <w:t xml:space="preserve"> Pzp</w:t>
            </w:r>
            <w:r w:rsidRPr="00720307">
              <w:rPr>
                <w:sz w:val="16"/>
                <w:szCs w:val="16"/>
              </w:rPr>
              <w:t>, udzielone przez rząd Rzeczypospolitej Polskiej rządowi innego państwa związane z dostawami sprzętu wojskowego lub newralgicznego sprzętu</w:t>
            </w:r>
          </w:p>
        </w:tc>
        <w:tc>
          <w:tcPr>
            <w:tcW w:w="1216" w:type="dxa"/>
            <w:noWrap/>
            <w:vAlign w:val="center"/>
          </w:tcPr>
          <w:p w14:paraId="3686CC11" w14:textId="49C6C35D" w:rsidR="00552346" w:rsidRPr="00AA71EF" w:rsidRDefault="00552346" w:rsidP="00AA71EF">
            <w:pPr>
              <w:jc w:val="right"/>
              <w:rPr>
                <w:rFonts w:cs="Arial"/>
                <w:sz w:val="16"/>
                <w:szCs w:val="16"/>
              </w:rPr>
            </w:pPr>
            <w:r w:rsidRPr="00AA71EF">
              <w:rPr>
                <w:rFonts w:cs="Arial"/>
                <w:sz w:val="16"/>
                <w:szCs w:val="16"/>
              </w:rPr>
              <w:t>4</w:t>
            </w:r>
          </w:p>
        </w:tc>
        <w:tc>
          <w:tcPr>
            <w:tcW w:w="1559" w:type="dxa"/>
            <w:noWrap/>
            <w:vAlign w:val="center"/>
          </w:tcPr>
          <w:p w14:paraId="6C4F7473" w14:textId="4A5523B8" w:rsidR="00552346" w:rsidRPr="00AA71EF" w:rsidRDefault="00552346" w:rsidP="00AA71EF">
            <w:pPr>
              <w:jc w:val="right"/>
              <w:rPr>
                <w:rFonts w:cs="Arial"/>
                <w:sz w:val="16"/>
                <w:szCs w:val="16"/>
              </w:rPr>
            </w:pPr>
            <w:r w:rsidRPr="00AA71EF">
              <w:rPr>
                <w:rFonts w:cs="Arial"/>
                <w:sz w:val="16"/>
                <w:szCs w:val="16"/>
              </w:rPr>
              <w:t>18 013 229</w:t>
            </w:r>
          </w:p>
        </w:tc>
      </w:tr>
      <w:tr w:rsidR="00D2318D" w:rsidRPr="00361628" w14:paraId="1642F634" w14:textId="77777777" w:rsidTr="00AA71EF">
        <w:trPr>
          <w:trHeight w:val="285"/>
        </w:trPr>
        <w:tc>
          <w:tcPr>
            <w:tcW w:w="567" w:type="dxa"/>
            <w:noWrap/>
            <w:vAlign w:val="center"/>
          </w:tcPr>
          <w:p w14:paraId="3071B7E1" w14:textId="77777777" w:rsidR="00D2318D" w:rsidRPr="00C65B76" w:rsidRDefault="00D2318D" w:rsidP="003C33FD">
            <w:pPr>
              <w:jc w:val="right"/>
              <w:rPr>
                <w:color w:val="000000"/>
                <w:sz w:val="16"/>
                <w:szCs w:val="16"/>
              </w:rPr>
            </w:pPr>
            <w:r w:rsidRPr="00C65B76">
              <w:rPr>
                <w:color w:val="000000"/>
                <w:sz w:val="16"/>
                <w:szCs w:val="16"/>
              </w:rPr>
              <w:t>50</w:t>
            </w:r>
          </w:p>
        </w:tc>
        <w:tc>
          <w:tcPr>
            <w:tcW w:w="7148" w:type="dxa"/>
            <w:noWrap/>
            <w:vAlign w:val="center"/>
          </w:tcPr>
          <w:p w14:paraId="15A810DA" w14:textId="5002F288" w:rsidR="00D2318D" w:rsidRPr="00720307" w:rsidRDefault="00D2318D" w:rsidP="003C33FD">
            <w:pPr>
              <w:jc w:val="left"/>
              <w:rPr>
                <w:sz w:val="16"/>
                <w:szCs w:val="16"/>
              </w:rPr>
            </w:pPr>
            <w:r w:rsidRPr="00720307">
              <w:rPr>
                <w:sz w:val="16"/>
                <w:szCs w:val="16"/>
              </w:rPr>
              <w:t>zamówienia w dziedzinach obronności i bezpieczeństwa, o których mowa w art. 13 ust. 1 pkt 7 lit. b ustawy</w:t>
            </w:r>
            <w:r w:rsidR="005C347B">
              <w:rPr>
                <w:sz w:val="16"/>
                <w:szCs w:val="16"/>
              </w:rPr>
              <w:t xml:space="preserve"> Pzp</w:t>
            </w:r>
            <w:r w:rsidRPr="00720307">
              <w:rPr>
                <w:sz w:val="16"/>
                <w:szCs w:val="16"/>
              </w:rPr>
              <w:t>, udzielone przez rząd Rzeczypospolitej Polskiej rządowi innego państwa związane z robotami budowlanymi i usługami bezpośrednio związanymi ze sprzętem wojskowym lub newralgicznym sprzętem</w:t>
            </w:r>
          </w:p>
        </w:tc>
        <w:tc>
          <w:tcPr>
            <w:tcW w:w="1216" w:type="dxa"/>
            <w:noWrap/>
            <w:vAlign w:val="center"/>
          </w:tcPr>
          <w:p w14:paraId="6B9B3410" w14:textId="6CBA17B5"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3C2944D8" w14:textId="3EB5F933" w:rsidR="00D2318D" w:rsidRPr="00AA71EF" w:rsidRDefault="00FF0A50" w:rsidP="00AA71EF">
            <w:pPr>
              <w:jc w:val="right"/>
              <w:rPr>
                <w:rFonts w:cs="Arial"/>
                <w:sz w:val="16"/>
                <w:szCs w:val="16"/>
              </w:rPr>
            </w:pPr>
            <w:r w:rsidRPr="00AA71EF">
              <w:rPr>
                <w:rFonts w:cs="Arial"/>
                <w:sz w:val="16"/>
                <w:szCs w:val="16"/>
              </w:rPr>
              <w:t>0</w:t>
            </w:r>
          </w:p>
        </w:tc>
      </w:tr>
      <w:tr w:rsidR="00D2318D" w:rsidRPr="00361628" w14:paraId="20473DCB" w14:textId="77777777" w:rsidTr="00AA71EF">
        <w:trPr>
          <w:trHeight w:val="285"/>
        </w:trPr>
        <w:tc>
          <w:tcPr>
            <w:tcW w:w="567" w:type="dxa"/>
            <w:noWrap/>
            <w:vAlign w:val="center"/>
          </w:tcPr>
          <w:p w14:paraId="21EBD34D" w14:textId="77777777" w:rsidR="00D2318D" w:rsidRPr="00C65B76" w:rsidRDefault="00D2318D" w:rsidP="003C33FD">
            <w:pPr>
              <w:jc w:val="right"/>
              <w:rPr>
                <w:color w:val="000000"/>
                <w:sz w:val="16"/>
                <w:szCs w:val="16"/>
              </w:rPr>
            </w:pPr>
            <w:r w:rsidRPr="00C65B76">
              <w:rPr>
                <w:color w:val="000000"/>
                <w:sz w:val="16"/>
                <w:szCs w:val="16"/>
              </w:rPr>
              <w:t>51</w:t>
            </w:r>
          </w:p>
        </w:tc>
        <w:tc>
          <w:tcPr>
            <w:tcW w:w="7148" w:type="dxa"/>
            <w:noWrap/>
            <w:vAlign w:val="center"/>
          </w:tcPr>
          <w:p w14:paraId="6F160377" w14:textId="63F5DF48" w:rsidR="00D2318D" w:rsidRPr="00720307" w:rsidRDefault="00D2318D" w:rsidP="003C33FD">
            <w:pPr>
              <w:jc w:val="left"/>
              <w:rPr>
                <w:sz w:val="16"/>
                <w:szCs w:val="16"/>
              </w:rPr>
            </w:pPr>
            <w:r w:rsidRPr="00720307">
              <w:rPr>
                <w:sz w:val="16"/>
                <w:szCs w:val="16"/>
              </w:rPr>
              <w:t>zamówienia w dziedzinach obronności i bezpieczeństwa, o których mowa w art. 13 ust. 1 pkt 7 lit. c ustawy</w:t>
            </w:r>
            <w:r w:rsidR="005C347B">
              <w:rPr>
                <w:sz w:val="16"/>
                <w:szCs w:val="16"/>
              </w:rPr>
              <w:t xml:space="preserve"> Pzp</w:t>
            </w:r>
            <w:r w:rsidRPr="00720307">
              <w:rPr>
                <w:sz w:val="16"/>
                <w:szCs w:val="16"/>
              </w:rPr>
              <w:t>, udzielone przez rząd Rzeczypospolitej Polskiej rządowi innego państwa związane z robotami budowlanymi i usługami do celów wojskowych lub newralgicznymi robotami budowlanymi lub usługami</w:t>
            </w:r>
          </w:p>
        </w:tc>
        <w:tc>
          <w:tcPr>
            <w:tcW w:w="1216" w:type="dxa"/>
            <w:noWrap/>
            <w:vAlign w:val="center"/>
          </w:tcPr>
          <w:p w14:paraId="3A8FEBE9" w14:textId="3A2C60A8"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3E5A10E7" w14:textId="07681338" w:rsidR="00D2318D" w:rsidRPr="00AA71EF" w:rsidRDefault="00FF0A50" w:rsidP="00AA71EF">
            <w:pPr>
              <w:jc w:val="right"/>
              <w:rPr>
                <w:rFonts w:cs="Arial"/>
                <w:sz w:val="16"/>
                <w:szCs w:val="16"/>
              </w:rPr>
            </w:pPr>
            <w:r w:rsidRPr="00AA71EF">
              <w:rPr>
                <w:rFonts w:cs="Arial"/>
                <w:sz w:val="16"/>
                <w:szCs w:val="16"/>
              </w:rPr>
              <w:t>0</w:t>
            </w:r>
          </w:p>
        </w:tc>
      </w:tr>
      <w:tr w:rsidR="00D2318D" w:rsidRPr="00361628" w14:paraId="02C7190E" w14:textId="77777777" w:rsidTr="00AA71EF">
        <w:trPr>
          <w:trHeight w:val="285"/>
        </w:trPr>
        <w:tc>
          <w:tcPr>
            <w:tcW w:w="567" w:type="dxa"/>
            <w:noWrap/>
            <w:vAlign w:val="center"/>
          </w:tcPr>
          <w:p w14:paraId="681A6059" w14:textId="77777777" w:rsidR="00D2318D" w:rsidRPr="00C65B76" w:rsidRDefault="00D2318D" w:rsidP="003C33FD">
            <w:pPr>
              <w:jc w:val="right"/>
              <w:rPr>
                <w:color w:val="000000"/>
                <w:sz w:val="16"/>
                <w:szCs w:val="16"/>
              </w:rPr>
            </w:pPr>
            <w:r w:rsidRPr="00C65B76">
              <w:rPr>
                <w:color w:val="000000"/>
                <w:sz w:val="16"/>
                <w:szCs w:val="16"/>
              </w:rPr>
              <w:t>52</w:t>
            </w:r>
          </w:p>
        </w:tc>
        <w:tc>
          <w:tcPr>
            <w:tcW w:w="7148" w:type="dxa"/>
            <w:noWrap/>
            <w:vAlign w:val="center"/>
          </w:tcPr>
          <w:p w14:paraId="56EF1ABC" w14:textId="0C6F83CF" w:rsidR="00D2318D" w:rsidRPr="00720307" w:rsidRDefault="00D2318D" w:rsidP="003C33FD">
            <w:pPr>
              <w:jc w:val="left"/>
              <w:rPr>
                <w:sz w:val="16"/>
                <w:szCs w:val="16"/>
              </w:rPr>
            </w:pPr>
            <w:r w:rsidRPr="00720307">
              <w:rPr>
                <w:sz w:val="16"/>
                <w:szCs w:val="16"/>
              </w:rPr>
              <w:t>zamówienia w dziedzinach obronności i bezpieczeństwa, o których mowa w art. 13 ust. 1 pkt 8 ustawy</w:t>
            </w:r>
            <w:r w:rsidR="005C347B">
              <w:rPr>
                <w:sz w:val="16"/>
                <w:szCs w:val="16"/>
              </w:rPr>
              <w:t xml:space="preserve"> Pzp</w:t>
            </w:r>
            <w:r w:rsidRPr="00720307">
              <w:rPr>
                <w:sz w:val="16"/>
                <w:szCs w:val="16"/>
              </w:rPr>
              <w:t>, których przedmiotem są usługi finansowe, z wyjątkiem usług ubezpieczeniowych</w:t>
            </w:r>
          </w:p>
        </w:tc>
        <w:tc>
          <w:tcPr>
            <w:tcW w:w="1216" w:type="dxa"/>
            <w:noWrap/>
            <w:vAlign w:val="center"/>
          </w:tcPr>
          <w:p w14:paraId="2DE1876C" w14:textId="5384E811"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40150E01" w14:textId="2CC7C89E" w:rsidR="00D2318D" w:rsidRPr="00AA71EF" w:rsidRDefault="00FF0A50" w:rsidP="00AA71EF">
            <w:pPr>
              <w:jc w:val="right"/>
              <w:rPr>
                <w:rFonts w:cs="Arial"/>
                <w:sz w:val="16"/>
                <w:szCs w:val="16"/>
              </w:rPr>
            </w:pPr>
            <w:r w:rsidRPr="00AA71EF">
              <w:rPr>
                <w:rFonts w:cs="Arial"/>
                <w:sz w:val="16"/>
                <w:szCs w:val="16"/>
              </w:rPr>
              <w:t>0</w:t>
            </w:r>
          </w:p>
        </w:tc>
      </w:tr>
      <w:tr w:rsidR="00552346" w:rsidRPr="00361628" w14:paraId="6CF37DE4" w14:textId="77777777" w:rsidTr="00AA71EF">
        <w:trPr>
          <w:trHeight w:val="285"/>
        </w:trPr>
        <w:tc>
          <w:tcPr>
            <w:tcW w:w="567" w:type="dxa"/>
            <w:noWrap/>
            <w:vAlign w:val="center"/>
          </w:tcPr>
          <w:p w14:paraId="2B18D5A6" w14:textId="77777777" w:rsidR="00552346" w:rsidRPr="00C65B76" w:rsidRDefault="00552346" w:rsidP="00552346">
            <w:pPr>
              <w:jc w:val="right"/>
              <w:rPr>
                <w:color w:val="000000"/>
                <w:sz w:val="16"/>
                <w:szCs w:val="16"/>
              </w:rPr>
            </w:pPr>
            <w:r w:rsidRPr="00C65B76">
              <w:rPr>
                <w:color w:val="000000"/>
                <w:sz w:val="16"/>
                <w:szCs w:val="16"/>
              </w:rPr>
              <w:t>53</w:t>
            </w:r>
          </w:p>
        </w:tc>
        <w:tc>
          <w:tcPr>
            <w:tcW w:w="7148" w:type="dxa"/>
            <w:noWrap/>
            <w:vAlign w:val="center"/>
          </w:tcPr>
          <w:p w14:paraId="72C9178C" w14:textId="00EB90AF" w:rsidR="00552346" w:rsidRPr="00720307" w:rsidRDefault="00552346" w:rsidP="00552346">
            <w:pPr>
              <w:jc w:val="left"/>
              <w:rPr>
                <w:sz w:val="16"/>
                <w:szCs w:val="16"/>
              </w:rPr>
            </w:pPr>
            <w:r w:rsidRPr="00720307">
              <w:rPr>
                <w:sz w:val="16"/>
                <w:szCs w:val="16"/>
              </w:rPr>
              <w:t>zamówienia, których przedmiot zawiera aspekty obronności i bezpieczeństwa podlegających szczególnej procedurze na podstawie umowy międzynarodowej, której stroną jest Rzeczpospolita Polska, zawartej z jednym lub wieloma państwami niebędącymi członkami Unii Europejskiej, lub takiego porozumienia zawieranego na szczeblu ministerialnym, dotyczące robót budowlanych, dostaw lub usług przeznaczonych na potrzeby wspólnej realizacji lub eksploatacji projektu przez sygnatariuszy, o których mowa w art. 14 ust. 1 pkt 1 ustawy</w:t>
            </w:r>
            <w:r w:rsidR="005C347B">
              <w:rPr>
                <w:sz w:val="16"/>
                <w:szCs w:val="16"/>
              </w:rPr>
              <w:t xml:space="preserve"> Pzp</w:t>
            </w:r>
          </w:p>
        </w:tc>
        <w:tc>
          <w:tcPr>
            <w:tcW w:w="1216" w:type="dxa"/>
            <w:noWrap/>
            <w:vAlign w:val="center"/>
          </w:tcPr>
          <w:p w14:paraId="27994953" w14:textId="35ECA420" w:rsidR="00552346" w:rsidRPr="00AA71EF" w:rsidRDefault="00552346" w:rsidP="00AA71EF">
            <w:pPr>
              <w:jc w:val="right"/>
              <w:rPr>
                <w:rFonts w:cs="Arial"/>
                <w:sz w:val="16"/>
                <w:szCs w:val="16"/>
              </w:rPr>
            </w:pPr>
            <w:r w:rsidRPr="00AA71EF">
              <w:rPr>
                <w:rFonts w:cs="Arial"/>
                <w:sz w:val="16"/>
                <w:szCs w:val="16"/>
              </w:rPr>
              <w:t>10</w:t>
            </w:r>
          </w:p>
        </w:tc>
        <w:tc>
          <w:tcPr>
            <w:tcW w:w="1559" w:type="dxa"/>
            <w:noWrap/>
            <w:vAlign w:val="center"/>
          </w:tcPr>
          <w:p w14:paraId="3E9ECB8C" w14:textId="4B139FBC" w:rsidR="00552346" w:rsidRPr="00AA71EF" w:rsidRDefault="00552346" w:rsidP="00AA71EF">
            <w:pPr>
              <w:jc w:val="right"/>
              <w:rPr>
                <w:rFonts w:cs="Arial"/>
                <w:sz w:val="16"/>
                <w:szCs w:val="16"/>
              </w:rPr>
            </w:pPr>
            <w:r w:rsidRPr="00AA71EF">
              <w:rPr>
                <w:rFonts w:cs="Arial"/>
                <w:sz w:val="16"/>
                <w:szCs w:val="16"/>
              </w:rPr>
              <w:t>81 854</w:t>
            </w:r>
          </w:p>
        </w:tc>
      </w:tr>
      <w:tr w:rsidR="00552346" w:rsidRPr="00361628" w14:paraId="290B6826" w14:textId="77777777" w:rsidTr="00AA71EF">
        <w:trPr>
          <w:trHeight w:val="285"/>
        </w:trPr>
        <w:tc>
          <w:tcPr>
            <w:tcW w:w="567" w:type="dxa"/>
            <w:noWrap/>
            <w:vAlign w:val="center"/>
          </w:tcPr>
          <w:p w14:paraId="54319155" w14:textId="77777777" w:rsidR="00552346" w:rsidRPr="00C65B76" w:rsidRDefault="00552346" w:rsidP="00552346">
            <w:pPr>
              <w:jc w:val="right"/>
              <w:rPr>
                <w:color w:val="000000"/>
                <w:sz w:val="16"/>
                <w:szCs w:val="16"/>
              </w:rPr>
            </w:pPr>
            <w:r w:rsidRPr="00C65B76">
              <w:rPr>
                <w:color w:val="000000"/>
                <w:sz w:val="16"/>
                <w:szCs w:val="16"/>
              </w:rPr>
              <w:t>54</w:t>
            </w:r>
          </w:p>
        </w:tc>
        <w:tc>
          <w:tcPr>
            <w:tcW w:w="7148" w:type="dxa"/>
            <w:noWrap/>
            <w:vAlign w:val="center"/>
          </w:tcPr>
          <w:p w14:paraId="0CA14D50" w14:textId="33DBE823" w:rsidR="00552346" w:rsidRPr="00720307" w:rsidRDefault="00552346" w:rsidP="00552346">
            <w:pPr>
              <w:jc w:val="left"/>
              <w:rPr>
                <w:sz w:val="16"/>
                <w:szCs w:val="16"/>
              </w:rPr>
            </w:pPr>
            <w:r w:rsidRPr="00720307">
              <w:rPr>
                <w:sz w:val="16"/>
                <w:szCs w:val="16"/>
              </w:rPr>
              <w:t>zamówienia, których przedmiot zawiera aspekty obronności i bezpieczeństwa podlegających szczególnej procedurze na podstawie umowy międzynarodowej , której stroną jest Rzeczpospolita Polska, lub porozumienia zawieranego na szczeblu ministerialnym, związanych ze stacjonowaniem wojsk i dotyczących przedsiębiorców, niezależnie od ich siedziby lub miejsca zamieszkania, o których mowa w art. 14 ust. 1 pkt 2 ustawy</w:t>
            </w:r>
            <w:r w:rsidR="005C347B">
              <w:rPr>
                <w:sz w:val="16"/>
                <w:szCs w:val="16"/>
              </w:rPr>
              <w:t xml:space="preserve"> Pzp</w:t>
            </w:r>
          </w:p>
        </w:tc>
        <w:tc>
          <w:tcPr>
            <w:tcW w:w="1216" w:type="dxa"/>
            <w:noWrap/>
            <w:vAlign w:val="center"/>
          </w:tcPr>
          <w:p w14:paraId="231FAAF7" w14:textId="52612BFA" w:rsidR="00552346" w:rsidRPr="00AA71EF" w:rsidRDefault="00552346" w:rsidP="00AA71EF">
            <w:pPr>
              <w:jc w:val="right"/>
              <w:rPr>
                <w:rFonts w:cs="Arial"/>
                <w:sz w:val="16"/>
                <w:szCs w:val="16"/>
              </w:rPr>
            </w:pPr>
            <w:r w:rsidRPr="00AA71EF">
              <w:rPr>
                <w:rFonts w:cs="Arial"/>
                <w:sz w:val="16"/>
                <w:szCs w:val="16"/>
              </w:rPr>
              <w:t>2</w:t>
            </w:r>
          </w:p>
        </w:tc>
        <w:tc>
          <w:tcPr>
            <w:tcW w:w="1559" w:type="dxa"/>
            <w:noWrap/>
            <w:vAlign w:val="center"/>
          </w:tcPr>
          <w:p w14:paraId="10EE825A" w14:textId="4AE3CE75" w:rsidR="00552346" w:rsidRPr="00AA71EF" w:rsidRDefault="00552346" w:rsidP="00AA71EF">
            <w:pPr>
              <w:jc w:val="right"/>
              <w:rPr>
                <w:rFonts w:cs="Arial"/>
                <w:sz w:val="16"/>
                <w:szCs w:val="16"/>
              </w:rPr>
            </w:pPr>
            <w:r w:rsidRPr="00AA71EF">
              <w:rPr>
                <w:rFonts w:cs="Arial"/>
                <w:sz w:val="16"/>
                <w:szCs w:val="16"/>
              </w:rPr>
              <w:t>613</w:t>
            </w:r>
          </w:p>
        </w:tc>
      </w:tr>
      <w:tr w:rsidR="00D2318D" w:rsidRPr="00361628" w14:paraId="72076122" w14:textId="77777777" w:rsidTr="00AA71EF">
        <w:trPr>
          <w:trHeight w:val="285"/>
        </w:trPr>
        <w:tc>
          <w:tcPr>
            <w:tcW w:w="567" w:type="dxa"/>
            <w:noWrap/>
            <w:vAlign w:val="center"/>
          </w:tcPr>
          <w:p w14:paraId="35A74F26" w14:textId="77777777" w:rsidR="00D2318D" w:rsidRPr="00C65B76" w:rsidRDefault="00D2318D" w:rsidP="003C33FD">
            <w:pPr>
              <w:jc w:val="right"/>
              <w:rPr>
                <w:color w:val="000000"/>
                <w:sz w:val="16"/>
                <w:szCs w:val="16"/>
              </w:rPr>
            </w:pPr>
            <w:r w:rsidRPr="00C65B76">
              <w:rPr>
                <w:color w:val="000000"/>
                <w:sz w:val="16"/>
                <w:szCs w:val="16"/>
              </w:rPr>
              <w:t>55</w:t>
            </w:r>
          </w:p>
        </w:tc>
        <w:tc>
          <w:tcPr>
            <w:tcW w:w="7148" w:type="dxa"/>
            <w:noWrap/>
            <w:vAlign w:val="center"/>
          </w:tcPr>
          <w:p w14:paraId="6E943A5F" w14:textId="5BAD576F" w:rsidR="00D2318D" w:rsidRPr="00720307" w:rsidRDefault="00D2318D" w:rsidP="003C33FD">
            <w:pPr>
              <w:jc w:val="left"/>
              <w:rPr>
                <w:sz w:val="16"/>
                <w:szCs w:val="16"/>
              </w:rPr>
            </w:pPr>
            <w:r w:rsidRPr="00720307">
              <w:rPr>
                <w:sz w:val="16"/>
                <w:szCs w:val="16"/>
              </w:rPr>
              <w:t>zamówienia, których przedmiot zawiera aspekty obronności i bezpieczeństwa podlegających szczególnej procedurze stosowanej przez organizację międzynarodową, o których mowa w art. 14 ust. 1 pkt 3 ustawy</w:t>
            </w:r>
            <w:r w:rsidR="005C347B">
              <w:rPr>
                <w:sz w:val="16"/>
                <w:szCs w:val="16"/>
              </w:rPr>
              <w:t xml:space="preserve"> Pzp</w:t>
            </w:r>
          </w:p>
        </w:tc>
        <w:tc>
          <w:tcPr>
            <w:tcW w:w="1216" w:type="dxa"/>
            <w:noWrap/>
            <w:vAlign w:val="center"/>
          </w:tcPr>
          <w:p w14:paraId="479038FC" w14:textId="6625F9A9"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02E6F9BC" w14:textId="56A93F2B" w:rsidR="00D2318D" w:rsidRPr="00AA71EF" w:rsidRDefault="00FF0A50" w:rsidP="00AA71EF">
            <w:pPr>
              <w:jc w:val="right"/>
              <w:rPr>
                <w:rFonts w:cs="Arial"/>
                <w:sz w:val="16"/>
                <w:szCs w:val="16"/>
              </w:rPr>
            </w:pPr>
            <w:r w:rsidRPr="00AA71EF">
              <w:rPr>
                <w:rFonts w:cs="Arial"/>
                <w:sz w:val="16"/>
                <w:szCs w:val="16"/>
              </w:rPr>
              <w:t>0</w:t>
            </w:r>
          </w:p>
        </w:tc>
      </w:tr>
      <w:tr w:rsidR="00D2318D" w:rsidRPr="00361628" w14:paraId="5368261F" w14:textId="77777777" w:rsidTr="00AA71EF">
        <w:trPr>
          <w:trHeight w:val="285"/>
        </w:trPr>
        <w:tc>
          <w:tcPr>
            <w:tcW w:w="567" w:type="dxa"/>
            <w:noWrap/>
            <w:vAlign w:val="center"/>
          </w:tcPr>
          <w:p w14:paraId="20264C44" w14:textId="77777777" w:rsidR="00D2318D" w:rsidRPr="00C65B76" w:rsidRDefault="00D2318D" w:rsidP="003C33FD">
            <w:pPr>
              <w:jc w:val="right"/>
              <w:rPr>
                <w:color w:val="000000"/>
                <w:sz w:val="16"/>
                <w:szCs w:val="16"/>
              </w:rPr>
            </w:pPr>
            <w:r w:rsidRPr="00C65B76">
              <w:rPr>
                <w:color w:val="000000"/>
                <w:sz w:val="16"/>
                <w:szCs w:val="16"/>
              </w:rPr>
              <w:t>56</w:t>
            </w:r>
          </w:p>
        </w:tc>
        <w:tc>
          <w:tcPr>
            <w:tcW w:w="7148" w:type="dxa"/>
            <w:noWrap/>
            <w:vAlign w:val="center"/>
          </w:tcPr>
          <w:p w14:paraId="7848A14B" w14:textId="62A0D8A7" w:rsidR="00D2318D" w:rsidRPr="00720307" w:rsidRDefault="00D2318D" w:rsidP="003C33FD">
            <w:pPr>
              <w:jc w:val="left"/>
              <w:rPr>
                <w:sz w:val="16"/>
                <w:szCs w:val="16"/>
              </w:rPr>
            </w:pPr>
            <w:r w:rsidRPr="00720307">
              <w:rPr>
                <w:sz w:val="16"/>
                <w:szCs w:val="16"/>
              </w:rPr>
              <w:t>zamówienia w dziedzinach obronności i bezpieczeństwa w całości finansowane przez organizację międzynarodową lub międzynarodową instytucję finansującą, o których mowa w art. 14 ust. 2 pkt 1 ustawy</w:t>
            </w:r>
            <w:r w:rsidR="005C347B">
              <w:rPr>
                <w:sz w:val="16"/>
                <w:szCs w:val="16"/>
              </w:rPr>
              <w:t xml:space="preserve"> Pzp</w:t>
            </w:r>
          </w:p>
        </w:tc>
        <w:tc>
          <w:tcPr>
            <w:tcW w:w="1216" w:type="dxa"/>
            <w:noWrap/>
            <w:vAlign w:val="center"/>
          </w:tcPr>
          <w:p w14:paraId="1560BD39" w14:textId="59E7A3F5"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3B47FAAA" w14:textId="61C17B6F" w:rsidR="00D2318D" w:rsidRPr="00AA71EF" w:rsidRDefault="00FF0A50" w:rsidP="00AA71EF">
            <w:pPr>
              <w:jc w:val="right"/>
              <w:rPr>
                <w:rFonts w:cs="Arial"/>
                <w:sz w:val="16"/>
                <w:szCs w:val="16"/>
              </w:rPr>
            </w:pPr>
            <w:r w:rsidRPr="00AA71EF">
              <w:rPr>
                <w:rFonts w:cs="Arial"/>
                <w:sz w:val="16"/>
                <w:szCs w:val="16"/>
              </w:rPr>
              <w:t>0</w:t>
            </w:r>
          </w:p>
        </w:tc>
      </w:tr>
      <w:tr w:rsidR="00D2318D" w:rsidRPr="00361628" w14:paraId="722CF3FE" w14:textId="77777777" w:rsidTr="00AA71EF">
        <w:trPr>
          <w:trHeight w:val="285"/>
        </w:trPr>
        <w:tc>
          <w:tcPr>
            <w:tcW w:w="567" w:type="dxa"/>
            <w:noWrap/>
            <w:vAlign w:val="center"/>
          </w:tcPr>
          <w:p w14:paraId="5D8B4F59" w14:textId="77777777" w:rsidR="00D2318D" w:rsidRPr="00C65B76" w:rsidRDefault="00D2318D" w:rsidP="003C33FD">
            <w:pPr>
              <w:jc w:val="right"/>
              <w:rPr>
                <w:color w:val="000000"/>
                <w:sz w:val="16"/>
                <w:szCs w:val="16"/>
              </w:rPr>
            </w:pPr>
            <w:r w:rsidRPr="00C65B76">
              <w:rPr>
                <w:color w:val="000000"/>
                <w:sz w:val="16"/>
                <w:szCs w:val="16"/>
              </w:rPr>
              <w:t>57</w:t>
            </w:r>
          </w:p>
        </w:tc>
        <w:tc>
          <w:tcPr>
            <w:tcW w:w="7148" w:type="dxa"/>
            <w:noWrap/>
            <w:vAlign w:val="center"/>
          </w:tcPr>
          <w:p w14:paraId="446FEC3D" w14:textId="2E555CCF" w:rsidR="00D2318D" w:rsidRPr="00720307" w:rsidRDefault="00D2318D" w:rsidP="003C33FD">
            <w:pPr>
              <w:jc w:val="left"/>
              <w:rPr>
                <w:sz w:val="16"/>
                <w:szCs w:val="16"/>
              </w:rPr>
            </w:pPr>
            <w:r w:rsidRPr="00720307">
              <w:rPr>
                <w:sz w:val="16"/>
                <w:szCs w:val="16"/>
              </w:rPr>
              <w:t>zamówienia w dziedzinach obronności i bezpieczeństwa w ponad 50% finansowane przez organizację międzynarodową lub międzynarodową instytucję finansującą, o których mowa w art. 14 ust. 2 pkt 2 ustawy</w:t>
            </w:r>
            <w:r w:rsidR="005C347B">
              <w:rPr>
                <w:sz w:val="16"/>
                <w:szCs w:val="16"/>
              </w:rPr>
              <w:t xml:space="preserve"> Pzp</w:t>
            </w:r>
          </w:p>
        </w:tc>
        <w:tc>
          <w:tcPr>
            <w:tcW w:w="1216" w:type="dxa"/>
            <w:noWrap/>
            <w:vAlign w:val="center"/>
          </w:tcPr>
          <w:p w14:paraId="14C6B103" w14:textId="2689C67F" w:rsidR="00D2318D" w:rsidRPr="00AA71EF" w:rsidRDefault="00FF0A50" w:rsidP="00AA71EF">
            <w:pPr>
              <w:jc w:val="right"/>
              <w:rPr>
                <w:rFonts w:cs="Arial"/>
                <w:sz w:val="16"/>
                <w:szCs w:val="16"/>
              </w:rPr>
            </w:pPr>
            <w:r w:rsidRPr="00AA71EF">
              <w:rPr>
                <w:rFonts w:cs="Arial"/>
                <w:sz w:val="16"/>
                <w:szCs w:val="16"/>
              </w:rPr>
              <w:t>0</w:t>
            </w:r>
          </w:p>
        </w:tc>
        <w:tc>
          <w:tcPr>
            <w:tcW w:w="1559" w:type="dxa"/>
            <w:noWrap/>
            <w:vAlign w:val="center"/>
          </w:tcPr>
          <w:p w14:paraId="25817331" w14:textId="0E90BD79" w:rsidR="00D2318D" w:rsidRPr="00AA71EF" w:rsidRDefault="00FF0A50" w:rsidP="00AA71EF">
            <w:pPr>
              <w:jc w:val="right"/>
              <w:rPr>
                <w:rFonts w:cs="Arial"/>
                <w:sz w:val="16"/>
                <w:szCs w:val="16"/>
              </w:rPr>
            </w:pPr>
            <w:r w:rsidRPr="00AA71EF">
              <w:rPr>
                <w:rFonts w:cs="Arial"/>
                <w:sz w:val="16"/>
                <w:szCs w:val="16"/>
              </w:rPr>
              <w:t>0</w:t>
            </w:r>
          </w:p>
        </w:tc>
      </w:tr>
      <w:tr w:rsidR="00FF0A50" w:rsidRPr="00361628" w14:paraId="324A60A2" w14:textId="77777777" w:rsidTr="00AA71EF">
        <w:trPr>
          <w:trHeight w:val="285"/>
        </w:trPr>
        <w:tc>
          <w:tcPr>
            <w:tcW w:w="567" w:type="dxa"/>
            <w:noWrap/>
            <w:vAlign w:val="center"/>
          </w:tcPr>
          <w:p w14:paraId="41994545" w14:textId="77777777" w:rsidR="00FF0A50" w:rsidRPr="00C65B76" w:rsidRDefault="00FF0A50" w:rsidP="00FF0A50">
            <w:pPr>
              <w:jc w:val="right"/>
              <w:rPr>
                <w:color w:val="000000"/>
                <w:sz w:val="16"/>
                <w:szCs w:val="16"/>
              </w:rPr>
            </w:pPr>
            <w:r w:rsidRPr="00C65B76">
              <w:rPr>
                <w:color w:val="000000"/>
                <w:sz w:val="16"/>
                <w:szCs w:val="16"/>
              </w:rPr>
              <w:t>58</w:t>
            </w:r>
          </w:p>
        </w:tc>
        <w:tc>
          <w:tcPr>
            <w:tcW w:w="7148" w:type="dxa"/>
            <w:noWrap/>
            <w:vAlign w:val="center"/>
          </w:tcPr>
          <w:p w14:paraId="3003346B" w14:textId="0E2E9F36" w:rsidR="00FF0A50" w:rsidRPr="00720307" w:rsidRDefault="00FF0A50" w:rsidP="00FF0A50">
            <w:pPr>
              <w:jc w:val="left"/>
              <w:rPr>
                <w:sz w:val="16"/>
                <w:szCs w:val="16"/>
              </w:rPr>
            </w:pPr>
            <w:r w:rsidRPr="00720307">
              <w:rPr>
                <w:sz w:val="16"/>
                <w:szCs w:val="16"/>
              </w:rPr>
              <w:t>zamówienia sektorowe udzielane na dostawy energii oraz paliw do wytwarzania energii, o których mowa w art. 364 ust. 1 pkt 1 ustawy</w:t>
            </w:r>
            <w:r w:rsidR="005C347B">
              <w:rPr>
                <w:sz w:val="16"/>
                <w:szCs w:val="16"/>
              </w:rPr>
              <w:t xml:space="preserve"> Pzp</w:t>
            </w:r>
          </w:p>
        </w:tc>
        <w:tc>
          <w:tcPr>
            <w:tcW w:w="1216" w:type="dxa"/>
            <w:noWrap/>
            <w:vAlign w:val="center"/>
          </w:tcPr>
          <w:p w14:paraId="05FECA3C" w14:textId="4C75B232" w:rsidR="00FF0A50" w:rsidRPr="00AA71EF" w:rsidRDefault="00FF0A50" w:rsidP="00AA71EF">
            <w:pPr>
              <w:jc w:val="right"/>
              <w:rPr>
                <w:rFonts w:cs="Arial"/>
                <w:sz w:val="16"/>
                <w:szCs w:val="16"/>
              </w:rPr>
            </w:pPr>
            <w:r w:rsidRPr="00AA71EF">
              <w:rPr>
                <w:rFonts w:cs="Arial"/>
                <w:sz w:val="16"/>
                <w:szCs w:val="16"/>
              </w:rPr>
              <w:t>1 894</w:t>
            </w:r>
          </w:p>
        </w:tc>
        <w:tc>
          <w:tcPr>
            <w:tcW w:w="1559" w:type="dxa"/>
            <w:noWrap/>
            <w:vAlign w:val="center"/>
          </w:tcPr>
          <w:p w14:paraId="1AA11FB7" w14:textId="62DCF0F9" w:rsidR="00FF0A50" w:rsidRPr="00AA71EF" w:rsidRDefault="00FF0A50" w:rsidP="00AA71EF">
            <w:pPr>
              <w:jc w:val="right"/>
              <w:rPr>
                <w:rFonts w:cs="Arial"/>
                <w:sz w:val="16"/>
                <w:szCs w:val="16"/>
              </w:rPr>
            </w:pPr>
            <w:r w:rsidRPr="00AA71EF">
              <w:rPr>
                <w:rFonts w:cs="Arial"/>
                <w:sz w:val="16"/>
                <w:szCs w:val="16"/>
              </w:rPr>
              <w:t>10 699 853</w:t>
            </w:r>
          </w:p>
        </w:tc>
      </w:tr>
      <w:tr w:rsidR="00FF0A50" w:rsidRPr="00361628" w14:paraId="40096F39" w14:textId="77777777" w:rsidTr="00AA71EF">
        <w:trPr>
          <w:trHeight w:val="285"/>
        </w:trPr>
        <w:tc>
          <w:tcPr>
            <w:tcW w:w="567" w:type="dxa"/>
            <w:noWrap/>
            <w:vAlign w:val="center"/>
          </w:tcPr>
          <w:p w14:paraId="6A6A06AF" w14:textId="77777777" w:rsidR="00FF0A50" w:rsidRPr="00C65B76" w:rsidRDefault="00FF0A50" w:rsidP="00FF0A50">
            <w:pPr>
              <w:jc w:val="right"/>
              <w:rPr>
                <w:color w:val="000000"/>
                <w:sz w:val="16"/>
                <w:szCs w:val="16"/>
              </w:rPr>
            </w:pPr>
            <w:r w:rsidRPr="00C65B76">
              <w:rPr>
                <w:color w:val="000000"/>
                <w:sz w:val="16"/>
                <w:szCs w:val="16"/>
              </w:rPr>
              <w:t>59</w:t>
            </w:r>
          </w:p>
        </w:tc>
        <w:tc>
          <w:tcPr>
            <w:tcW w:w="7148" w:type="dxa"/>
            <w:noWrap/>
            <w:vAlign w:val="center"/>
          </w:tcPr>
          <w:p w14:paraId="008F4DA1" w14:textId="147DD539" w:rsidR="00FF0A50" w:rsidRPr="00720307" w:rsidRDefault="00FF0A50" w:rsidP="00FF0A50">
            <w:pPr>
              <w:jc w:val="left"/>
              <w:rPr>
                <w:sz w:val="16"/>
                <w:szCs w:val="16"/>
              </w:rPr>
            </w:pPr>
            <w:r w:rsidRPr="00720307">
              <w:rPr>
                <w:sz w:val="16"/>
                <w:szCs w:val="16"/>
              </w:rPr>
              <w:t>zamówienia sektorowe na usługi przesyłania, magazynowania, dystrybucji paliw gazowych, skraplania gazu ziemnego i regazyfikacji skroplonego gazu ziemnego, o których mowa w art. 364 ust. 1 pkt 2 ustawy</w:t>
            </w:r>
            <w:r w:rsidR="005C347B">
              <w:rPr>
                <w:sz w:val="16"/>
                <w:szCs w:val="16"/>
              </w:rPr>
              <w:t xml:space="preserve"> Pzp</w:t>
            </w:r>
          </w:p>
        </w:tc>
        <w:tc>
          <w:tcPr>
            <w:tcW w:w="1216" w:type="dxa"/>
            <w:noWrap/>
            <w:vAlign w:val="center"/>
          </w:tcPr>
          <w:p w14:paraId="14A1DC1A" w14:textId="5A42146F" w:rsidR="00FF0A50" w:rsidRPr="00AA71EF" w:rsidRDefault="00FF0A50" w:rsidP="00AA71EF">
            <w:pPr>
              <w:jc w:val="right"/>
              <w:rPr>
                <w:rFonts w:cs="Arial"/>
                <w:sz w:val="16"/>
                <w:szCs w:val="16"/>
              </w:rPr>
            </w:pPr>
            <w:r w:rsidRPr="00AA71EF">
              <w:rPr>
                <w:rFonts w:cs="Arial"/>
                <w:sz w:val="16"/>
                <w:szCs w:val="16"/>
              </w:rPr>
              <w:t>18</w:t>
            </w:r>
          </w:p>
        </w:tc>
        <w:tc>
          <w:tcPr>
            <w:tcW w:w="1559" w:type="dxa"/>
            <w:noWrap/>
            <w:vAlign w:val="center"/>
          </w:tcPr>
          <w:p w14:paraId="20859748" w14:textId="511558CC" w:rsidR="00FF0A50" w:rsidRPr="00AA71EF" w:rsidRDefault="00FF0A50" w:rsidP="00AA71EF">
            <w:pPr>
              <w:jc w:val="right"/>
              <w:rPr>
                <w:rFonts w:cs="Arial"/>
                <w:sz w:val="16"/>
                <w:szCs w:val="16"/>
              </w:rPr>
            </w:pPr>
            <w:r w:rsidRPr="00AA71EF">
              <w:rPr>
                <w:rFonts w:cs="Arial"/>
                <w:sz w:val="16"/>
                <w:szCs w:val="16"/>
              </w:rPr>
              <w:t>139 349</w:t>
            </w:r>
          </w:p>
        </w:tc>
      </w:tr>
      <w:tr w:rsidR="00FF0A50" w:rsidRPr="00361628" w14:paraId="65FF9F2B" w14:textId="77777777" w:rsidTr="00AA71EF">
        <w:trPr>
          <w:trHeight w:val="285"/>
        </w:trPr>
        <w:tc>
          <w:tcPr>
            <w:tcW w:w="567" w:type="dxa"/>
            <w:noWrap/>
            <w:vAlign w:val="center"/>
          </w:tcPr>
          <w:p w14:paraId="44FCB988" w14:textId="77777777" w:rsidR="00FF0A50" w:rsidRPr="00C65B76" w:rsidRDefault="00FF0A50" w:rsidP="00FF0A50">
            <w:pPr>
              <w:jc w:val="right"/>
              <w:rPr>
                <w:color w:val="000000"/>
                <w:sz w:val="16"/>
                <w:szCs w:val="16"/>
              </w:rPr>
            </w:pPr>
            <w:r w:rsidRPr="00C65B76">
              <w:rPr>
                <w:color w:val="000000"/>
                <w:sz w:val="16"/>
                <w:szCs w:val="16"/>
              </w:rPr>
              <w:t>60</w:t>
            </w:r>
          </w:p>
        </w:tc>
        <w:tc>
          <w:tcPr>
            <w:tcW w:w="7148" w:type="dxa"/>
            <w:noWrap/>
            <w:vAlign w:val="center"/>
          </w:tcPr>
          <w:p w14:paraId="2E667411" w14:textId="5C41BFF9" w:rsidR="00FF0A50" w:rsidRPr="00720307" w:rsidRDefault="00FF0A50" w:rsidP="00FF0A50">
            <w:pPr>
              <w:jc w:val="left"/>
              <w:rPr>
                <w:sz w:val="16"/>
                <w:szCs w:val="16"/>
              </w:rPr>
            </w:pPr>
            <w:r w:rsidRPr="00720307">
              <w:rPr>
                <w:sz w:val="16"/>
                <w:szCs w:val="16"/>
              </w:rPr>
              <w:t>zamówienia udzielane na dostawy wody, o których mowa w art. 364 ust. 2 ustawy</w:t>
            </w:r>
            <w:r w:rsidRPr="00705399">
              <w:rPr>
                <w:sz w:val="16"/>
                <w:szCs w:val="16"/>
              </w:rPr>
              <w:t xml:space="preserve"> Pzp </w:t>
            </w:r>
          </w:p>
        </w:tc>
        <w:tc>
          <w:tcPr>
            <w:tcW w:w="1216" w:type="dxa"/>
            <w:noWrap/>
            <w:vAlign w:val="center"/>
          </w:tcPr>
          <w:p w14:paraId="2B7F8BF7" w14:textId="3416D239" w:rsidR="00FF0A50" w:rsidRPr="00AA71EF" w:rsidRDefault="00FF0A50" w:rsidP="00AA71EF">
            <w:pPr>
              <w:jc w:val="right"/>
              <w:rPr>
                <w:rFonts w:cs="Arial"/>
                <w:sz w:val="16"/>
                <w:szCs w:val="16"/>
              </w:rPr>
            </w:pPr>
            <w:r w:rsidRPr="00AA71EF">
              <w:rPr>
                <w:rFonts w:cs="Arial"/>
                <w:sz w:val="16"/>
                <w:szCs w:val="16"/>
              </w:rPr>
              <w:t>1 093</w:t>
            </w:r>
          </w:p>
        </w:tc>
        <w:tc>
          <w:tcPr>
            <w:tcW w:w="1559" w:type="dxa"/>
            <w:noWrap/>
            <w:vAlign w:val="center"/>
          </w:tcPr>
          <w:p w14:paraId="572949C3" w14:textId="3AFC69DE" w:rsidR="00FF0A50" w:rsidRPr="00AA71EF" w:rsidRDefault="00FF0A50" w:rsidP="00AA71EF">
            <w:pPr>
              <w:jc w:val="right"/>
              <w:rPr>
                <w:rFonts w:cs="Arial"/>
                <w:sz w:val="16"/>
                <w:szCs w:val="16"/>
              </w:rPr>
            </w:pPr>
            <w:r w:rsidRPr="00AA71EF">
              <w:rPr>
                <w:rFonts w:cs="Arial"/>
                <w:sz w:val="16"/>
                <w:szCs w:val="16"/>
              </w:rPr>
              <w:t>33 804</w:t>
            </w:r>
          </w:p>
        </w:tc>
      </w:tr>
      <w:tr w:rsidR="00FF0A50" w:rsidRPr="00361628" w14:paraId="0C954BD0" w14:textId="77777777" w:rsidTr="00AA71EF">
        <w:trPr>
          <w:trHeight w:val="285"/>
        </w:trPr>
        <w:tc>
          <w:tcPr>
            <w:tcW w:w="567" w:type="dxa"/>
            <w:noWrap/>
            <w:vAlign w:val="center"/>
          </w:tcPr>
          <w:p w14:paraId="1A8A32F4" w14:textId="77777777" w:rsidR="00FF0A50" w:rsidRPr="00C65B76" w:rsidRDefault="00FF0A50" w:rsidP="00FF0A50">
            <w:pPr>
              <w:jc w:val="right"/>
              <w:rPr>
                <w:color w:val="000000"/>
                <w:sz w:val="16"/>
                <w:szCs w:val="16"/>
              </w:rPr>
            </w:pPr>
            <w:r w:rsidRPr="00C65B76">
              <w:rPr>
                <w:color w:val="000000"/>
                <w:sz w:val="16"/>
                <w:szCs w:val="16"/>
              </w:rPr>
              <w:t>61</w:t>
            </w:r>
          </w:p>
        </w:tc>
        <w:tc>
          <w:tcPr>
            <w:tcW w:w="7148" w:type="dxa"/>
            <w:noWrap/>
            <w:vAlign w:val="center"/>
          </w:tcPr>
          <w:p w14:paraId="42D1778F" w14:textId="616EA62C" w:rsidR="00FF0A50" w:rsidRPr="00720307" w:rsidRDefault="00FF0A50" w:rsidP="005C347B">
            <w:pPr>
              <w:jc w:val="left"/>
              <w:rPr>
                <w:sz w:val="16"/>
                <w:szCs w:val="16"/>
              </w:rPr>
            </w:pPr>
            <w:r w:rsidRPr="00720307">
              <w:rPr>
                <w:sz w:val="16"/>
                <w:szCs w:val="16"/>
              </w:rPr>
              <w:t>zamówienia sektorowe na dostawy, usługi lub roboty budowlane, udzielone podmiotom, których dane, wraz z danymi zamawiającego, objęte są rocznym skonsolidowanym sprawozdaniem finansowym w rozumieniu ustawy z dnia 29 września 1994 r. o rachunkowości (</w:t>
            </w:r>
            <w:r w:rsidR="005C347B" w:rsidRPr="005C347B">
              <w:rPr>
                <w:sz w:val="16"/>
                <w:szCs w:val="16"/>
              </w:rPr>
              <w:t>Dz. U. z 2023 r. poz. 120 i 295</w:t>
            </w:r>
            <w:r w:rsidR="005C347B">
              <w:rPr>
                <w:sz w:val="16"/>
                <w:szCs w:val="16"/>
              </w:rPr>
              <w:t>)</w:t>
            </w:r>
            <w:r w:rsidRPr="00720307">
              <w:rPr>
                <w:sz w:val="16"/>
                <w:szCs w:val="16"/>
              </w:rPr>
              <w:t>, jeżeli w okresie poprzednich 3 lat co najmniej 80 % przeciętnych przychodów tych podmiotów osiąganych ze świadczenia dostaw, usług lub wykonywania robót budowlanych na rzecz zamawiającego lub podmiotów</w:t>
            </w:r>
            <w:r w:rsidR="005B2545">
              <w:rPr>
                <w:sz w:val="16"/>
                <w:szCs w:val="16"/>
              </w:rPr>
              <w:t>,</w:t>
            </w:r>
            <w:r w:rsidRPr="00720307">
              <w:rPr>
                <w:sz w:val="16"/>
                <w:szCs w:val="16"/>
              </w:rPr>
              <w:t xml:space="preserve"> o których mowa w art. 365 ust. 1 pkt 1, ust. 2 pkt 1 i ust. 3 pkt 1 ustawy</w:t>
            </w:r>
            <w:r w:rsidR="005C347B">
              <w:rPr>
                <w:sz w:val="16"/>
                <w:szCs w:val="16"/>
              </w:rPr>
              <w:t xml:space="preserve"> Pzp</w:t>
            </w:r>
          </w:p>
        </w:tc>
        <w:tc>
          <w:tcPr>
            <w:tcW w:w="1216" w:type="dxa"/>
            <w:noWrap/>
            <w:vAlign w:val="center"/>
          </w:tcPr>
          <w:p w14:paraId="78E47646" w14:textId="6A8B9DC3" w:rsidR="00FF0A50" w:rsidRPr="00AA71EF" w:rsidRDefault="00FF0A50" w:rsidP="00AA71EF">
            <w:pPr>
              <w:jc w:val="right"/>
              <w:rPr>
                <w:rFonts w:cs="Arial"/>
                <w:sz w:val="16"/>
                <w:szCs w:val="16"/>
              </w:rPr>
            </w:pPr>
            <w:r w:rsidRPr="00AA71EF">
              <w:rPr>
                <w:rFonts w:cs="Arial"/>
                <w:sz w:val="16"/>
                <w:szCs w:val="16"/>
              </w:rPr>
              <w:t>4 116</w:t>
            </w:r>
          </w:p>
        </w:tc>
        <w:tc>
          <w:tcPr>
            <w:tcW w:w="1559" w:type="dxa"/>
            <w:noWrap/>
            <w:vAlign w:val="center"/>
          </w:tcPr>
          <w:p w14:paraId="6F9A46A6" w14:textId="007648BD" w:rsidR="00FF0A50" w:rsidRPr="00AA71EF" w:rsidRDefault="00FF0A50" w:rsidP="00AA71EF">
            <w:pPr>
              <w:jc w:val="right"/>
              <w:rPr>
                <w:rFonts w:cs="Arial"/>
                <w:sz w:val="16"/>
                <w:szCs w:val="16"/>
              </w:rPr>
            </w:pPr>
            <w:r w:rsidRPr="00AA71EF">
              <w:rPr>
                <w:rFonts w:cs="Arial"/>
                <w:sz w:val="16"/>
                <w:szCs w:val="16"/>
              </w:rPr>
              <w:t>7 050 670</w:t>
            </w:r>
          </w:p>
        </w:tc>
      </w:tr>
      <w:tr w:rsidR="00FF0A50" w:rsidRPr="00361628" w14:paraId="5FD88A17" w14:textId="77777777" w:rsidTr="00AA71EF">
        <w:trPr>
          <w:trHeight w:val="285"/>
        </w:trPr>
        <w:tc>
          <w:tcPr>
            <w:tcW w:w="567" w:type="dxa"/>
            <w:noWrap/>
            <w:vAlign w:val="center"/>
          </w:tcPr>
          <w:p w14:paraId="568A27A1" w14:textId="77777777" w:rsidR="00FF0A50" w:rsidRPr="00C65B76" w:rsidRDefault="00FF0A50" w:rsidP="00FF0A50">
            <w:pPr>
              <w:jc w:val="right"/>
              <w:rPr>
                <w:color w:val="000000"/>
                <w:sz w:val="16"/>
                <w:szCs w:val="16"/>
              </w:rPr>
            </w:pPr>
            <w:r w:rsidRPr="00C65B76">
              <w:rPr>
                <w:color w:val="000000"/>
                <w:sz w:val="16"/>
                <w:szCs w:val="16"/>
              </w:rPr>
              <w:t>62</w:t>
            </w:r>
          </w:p>
        </w:tc>
        <w:tc>
          <w:tcPr>
            <w:tcW w:w="7148" w:type="dxa"/>
            <w:noWrap/>
            <w:vAlign w:val="center"/>
          </w:tcPr>
          <w:p w14:paraId="0D1F26C1" w14:textId="45816001" w:rsidR="00FF0A50" w:rsidRPr="00720307" w:rsidRDefault="00FF0A50" w:rsidP="00FF0A50">
            <w:pPr>
              <w:jc w:val="left"/>
              <w:rPr>
                <w:sz w:val="16"/>
                <w:szCs w:val="16"/>
              </w:rPr>
            </w:pPr>
            <w:r w:rsidRPr="00720307">
              <w:rPr>
                <w:sz w:val="16"/>
                <w:szCs w:val="16"/>
              </w:rPr>
              <w:t>zamówienia sektorowe na dostawy, usługi lub roboty budowlane udzielone podmiotom w których zamawiający posiadają ponad połowę udziałów albo akcji, posiadają ponad połowę głosów wynikających z udziałów albo akcji, sprawują nadzór nad organem zarządzającym lub posiadają prawo mianowania ponad połowy składu organu nadzorczego lub zarządzającego, jeżeli w okresie poprzednich 3 lat co najmniej 80 % przeciętnych przychodów tych podmiotów osiąganych ze świadczenia dostaw, usług lub wykonywania robót budowlanych na rzecz zamawiającego lub podmiotów</w:t>
            </w:r>
            <w:r w:rsidR="005B2545">
              <w:rPr>
                <w:sz w:val="16"/>
                <w:szCs w:val="16"/>
              </w:rPr>
              <w:t>,</w:t>
            </w:r>
            <w:r w:rsidRPr="00720307">
              <w:rPr>
                <w:sz w:val="16"/>
                <w:szCs w:val="16"/>
              </w:rPr>
              <w:t xml:space="preserve"> o których mowa w art. 365 ust. 1 pkt 2, ust. 2 pkt 2 i ust. 3 pkt 2 ustawy</w:t>
            </w:r>
            <w:r w:rsidR="005C347B">
              <w:rPr>
                <w:sz w:val="16"/>
                <w:szCs w:val="16"/>
              </w:rPr>
              <w:t xml:space="preserve"> Pzp</w:t>
            </w:r>
          </w:p>
        </w:tc>
        <w:tc>
          <w:tcPr>
            <w:tcW w:w="1216" w:type="dxa"/>
            <w:noWrap/>
            <w:vAlign w:val="center"/>
          </w:tcPr>
          <w:p w14:paraId="7F1E76BA" w14:textId="09301F81" w:rsidR="00FF0A50" w:rsidRPr="00AA71EF" w:rsidRDefault="00FF0A50" w:rsidP="00AA71EF">
            <w:pPr>
              <w:jc w:val="right"/>
              <w:rPr>
                <w:rFonts w:cs="Arial"/>
                <w:sz w:val="16"/>
                <w:szCs w:val="16"/>
              </w:rPr>
            </w:pPr>
            <w:r w:rsidRPr="00AA71EF">
              <w:rPr>
                <w:rFonts w:cs="Arial"/>
                <w:sz w:val="16"/>
                <w:szCs w:val="16"/>
              </w:rPr>
              <w:t>357</w:t>
            </w:r>
          </w:p>
        </w:tc>
        <w:tc>
          <w:tcPr>
            <w:tcW w:w="1559" w:type="dxa"/>
            <w:noWrap/>
            <w:vAlign w:val="center"/>
          </w:tcPr>
          <w:p w14:paraId="4EBDBBC0" w14:textId="54D11B07" w:rsidR="00FF0A50" w:rsidRPr="00AA71EF" w:rsidRDefault="00FF0A50" w:rsidP="00AA71EF">
            <w:pPr>
              <w:jc w:val="right"/>
              <w:rPr>
                <w:rFonts w:cs="Arial"/>
                <w:sz w:val="16"/>
                <w:szCs w:val="16"/>
              </w:rPr>
            </w:pPr>
            <w:r w:rsidRPr="00AA71EF">
              <w:rPr>
                <w:rFonts w:cs="Arial"/>
                <w:sz w:val="16"/>
                <w:szCs w:val="16"/>
              </w:rPr>
              <w:t>1 682 324</w:t>
            </w:r>
          </w:p>
        </w:tc>
      </w:tr>
      <w:tr w:rsidR="00FF0A50" w:rsidRPr="00361628" w14:paraId="6B392C69" w14:textId="77777777" w:rsidTr="00AA71EF">
        <w:trPr>
          <w:trHeight w:val="285"/>
        </w:trPr>
        <w:tc>
          <w:tcPr>
            <w:tcW w:w="567" w:type="dxa"/>
            <w:noWrap/>
            <w:vAlign w:val="center"/>
          </w:tcPr>
          <w:p w14:paraId="1136904A" w14:textId="77777777" w:rsidR="00FF0A50" w:rsidRPr="00C65B76" w:rsidRDefault="00FF0A50" w:rsidP="00FF0A50">
            <w:pPr>
              <w:jc w:val="right"/>
              <w:rPr>
                <w:color w:val="000000"/>
                <w:sz w:val="16"/>
                <w:szCs w:val="16"/>
              </w:rPr>
            </w:pPr>
            <w:r w:rsidRPr="00C65B76">
              <w:rPr>
                <w:color w:val="000000"/>
                <w:sz w:val="16"/>
                <w:szCs w:val="16"/>
              </w:rPr>
              <w:t>63</w:t>
            </w:r>
          </w:p>
        </w:tc>
        <w:tc>
          <w:tcPr>
            <w:tcW w:w="7148" w:type="dxa"/>
            <w:noWrap/>
            <w:vAlign w:val="center"/>
          </w:tcPr>
          <w:p w14:paraId="754A2AFD" w14:textId="51CFE651" w:rsidR="00FF0A50" w:rsidRPr="00720307" w:rsidRDefault="00FF0A50" w:rsidP="00FF0A50">
            <w:pPr>
              <w:jc w:val="left"/>
              <w:rPr>
                <w:sz w:val="16"/>
                <w:szCs w:val="16"/>
              </w:rPr>
            </w:pPr>
            <w:r w:rsidRPr="00720307">
              <w:rPr>
                <w:sz w:val="16"/>
                <w:szCs w:val="16"/>
              </w:rPr>
              <w:t>zamówienia sektorowe na dostawy, usługi lub roboty budowlane udzielone podmiotom, które posiadają ponad połowę udziałów albo akcji zamawiającego, posiadają ponad połowę głosów wynikających z udziałów albo akcji zamawiającego, sprawują nadzór nad jego organem zarządzającym lub posiadają prawo mianowania ponad połowy składu jego organu nadzorczego lub zarządzającego, jeżeli w okresie poprzednich 3 lat co najmniej 80% przeciętnych przychodów tych podmiotów osiąganych ze świadczenia dostaw, usług lub wykonywania robót budowlanych na rzecz zamawiającego lub podmiotów</w:t>
            </w:r>
            <w:r w:rsidR="00D14CE3">
              <w:rPr>
                <w:sz w:val="16"/>
                <w:szCs w:val="16"/>
              </w:rPr>
              <w:t>,</w:t>
            </w:r>
            <w:r w:rsidRPr="00720307">
              <w:rPr>
                <w:sz w:val="16"/>
                <w:szCs w:val="16"/>
              </w:rPr>
              <w:t xml:space="preserve"> o których mowa w art. 365 ust. 1 pkt 3, ust. 2 pkt 3 i ust. 3 pkt 3 ustawy</w:t>
            </w:r>
            <w:r w:rsidR="005C347B">
              <w:rPr>
                <w:sz w:val="16"/>
                <w:szCs w:val="16"/>
              </w:rPr>
              <w:t xml:space="preserve"> Pzp</w:t>
            </w:r>
          </w:p>
        </w:tc>
        <w:tc>
          <w:tcPr>
            <w:tcW w:w="1216" w:type="dxa"/>
            <w:noWrap/>
            <w:vAlign w:val="center"/>
          </w:tcPr>
          <w:p w14:paraId="39603062" w14:textId="16354D4A" w:rsidR="00FF0A50" w:rsidRPr="00AA71EF" w:rsidRDefault="00FF0A50" w:rsidP="00AA71EF">
            <w:pPr>
              <w:jc w:val="right"/>
              <w:rPr>
                <w:rFonts w:cs="Arial"/>
                <w:sz w:val="16"/>
                <w:szCs w:val="16"/>
              </w:rPr>
            </w:pPr>
            <w:r w:rsidRPr="00AA71EF">
              <w:rPr>
                <w:rFonts w:cs="Arial"/>
                <w:sz w:val="16"/>
                <w:szCs w:val="16"/>
              </w:rPr>
              <w:t>23</w:t>
            </w:r>
          </w:p>
        </w:tc>
        <w:tc>
          <w:tcPr>
            <w:tcW w:w="1559" w:type="dxa"/>
            <w:noWrap/>
            <w:vAlign w:val="center"/>
          </w:tcPr>
          <w:p w14:paraId="3A2CFED6" w14:textId="7506C75D" w:rsidR="00FF0A50" w:rsidRPr="00AA71EF" w:rsidRDefault="00FF0A50" w:rsidP="00AA71EF">
            <w:pPr>
              <w:jc w:val="right"/>
              <w:rPr>
                <w:rFonts w:cs="Arial"/>
                <w:sz w:val="16"/>
                <w:szCs w:val="16"/>
              </w:rPr>
            </w:pPr>
            <w:r w:rsidRPr="00AA71EF">
              <w:rPr>
                <w:rFonts w:cs="Arial"/>
                <w:sz w:val="16"/>
                <w:szCs w:val="16"/>
              </w:rPr>
              <w:t>16 465 653</w:t>
            </w:r>
          </w:p>
        </w:tc>
      </w:tr>
      <w:tr w:rsidR="00FF0A50" w:rsidRPr="00361628" w14:paraId="29BA8F9B" w14:textId="77777777" w:rsidTr="00AA71EF">
        <w:trPr>
          <w:trHeight w:val="285"/>
        </w:trPr>
        <w:tc>
          <w:tcPr>
            <w:tcW w:w="567" w:type="dxa"/>
            <w:noWrap/>
            <w:vAlign w:val="center"/>
          </w:tcPr>
          <w:p w14:paraId="0B699BBA" w14:textId="77777777" w:rsidR="00FF0A50" w:rsidRPr="00C65B76" w:rsidRDefault="00FF0A50" w:rsidP="00FF0A50">
            <w:pPr>
              <w:jc w:val="right"/>
              <w:rPr>
                <w:color w:val="000000"/>
                <w:sz w:val="16"/>
                <w:szCs w:val="16"/>
              </w:rPr>
            </w:pPr>
            <w:r>
              <w:rPr>
                <w:color w:val="000000"/>
                <w:sz w:val="16"/>
                <w:szCs w:val="16"/>
              </w:rPr>
              <w:t>64</w:t>
            </w:r>
          </w:p>
        </w:tc>
        <w:tc>
          <w:tcPr>
            <w:tcW w:w="7148" w:type="dxa"/>
            <w:noWrap/>
            <w:vAlign w:val="center"/>
          </w:tcPr>
          <w:p w14:paraId="6D87F17B" w14:textId="44D05054" w:rsidR="00FF0A50" w:rsidRPr="00720307" w:rsidRDefault="00FF0A50" w:rsidP="00FF0A50">
            <w:pPr>
              <w:jc w:val="left"/>
              <w:rPr>
                <w:sz w:val="16"/>
                <w:szCs w:val="16"/>
              </w:rPr>
            </w:pPr>
            <w:r w:rsidRPr="00720307">
              <w:rPr>
                <w:sz w:val="16"/>
                <w:szCs w:val="16"/>
              </w:rPr>
              <w:t>zamówienia sektorowe na dostawy, usługi lub roboty budowlane udzielone podmiotom, które wspólnie z zamawiającym podlegają wpływowi innego przedsiębiorcy, w taki sposób, że posiada on ponad połowę udziałów albo akcji zamawiającego, ponad połowę głosów wynikających z udziałów albo akcji zamawiającego, sprawuje nadzór nad jego organem zarządzającym lub posiada prawo mianowania ponad połowy składu jego organu nadzorczego lub zarządzającego, jeżeli w okresie poprzednich 3 lat co najmniej 80 % przeciętnych przychodów tych podmiotów osiąganych ze świadczenia dostaw, usług lub wykonywania robót budowlanych na rzecz zamawiającego lub podmiotów, o których mowa w art. 365 ust. 1 pkt 4, ust. 2 pkt 4 i ust. 3 pkt 4 ustawy</w:t>
            </w:r>
            <w:r w:rsidR="005C347B">
              <w:rPr>
                <w:sz w:val="16"/>
                <w:szCs w:val="16"/>
              </w:rPr>
              <w:t xml:space="preserve"> Pzp</w:t>
            </w:r>
          </w:p>
        </w:tc>
        <w:tc>
          <w:tcPr>
            <w:tcW w:w="1216" w:type="dxa"/>
            <w:noWrap/>
            <w:vAlign w:val="center"/>
          </w:tcPr>
          <w:p w14:paraId="1347DD65" w14:textId="15E2D6EB" w:rsidR="00FF0A50" w:rsidRPr="00AA71EF" w:rsidRDefault="00FF0A50" w:rsidP="00AA71EF">
            <w:pPr>
              <w:jc w:val="right"/>
              <w:rPr>
                <w:rFonts w:cs="Arial"/>
                <w:sz w:val="16"/>
                <w:szCs w:val="16"/>
              </w:rPr>
            </w:pPr>
            <w:r w:rsidRPr="00AA71EF">
              <w:rPr>
                <w:rFonts w:cs="Arial"/>
                <w:sz w:val="16"/>
                <w:szCs w:val="16"/>
              </w:rPr>
              <w:t>1 966</w:t>
            </w:r>
          </w:p>
        </w:tc>
        <w:tc>
          <w:tcPr>
            <w:tcW w:w="1559" w:type="dxa"/>
            <w:noWrap/>
            <w:vAlign w:val="center"/>
          </w:tcPr>
          <w:p w14:paraId="470519C6" w14:textId="201B2EB4" w:rsidR="00FF0A50" w:rsidRPr="00AA71EF" w:rsidRDefault="00FF0A50" w:rsidP="00AA71EF">
            <w:pPr>
              <w:jc w:val="right"/>
              <w:rPr>
                <w:rFonts w:cs="Arial"/>
                <w:sz w:val="16"/>
                <w:szCs w:val="16"/>
              </w:rPr>
            </w:pPr>
            <w:r w:rsidRPr="00AA71EF">
              <w:rPr>
                <w:rFonts w:cs="Arial"/>
                <w:sz w:val="16"/>
                <w:szCs w:val="16"/>
              </w:rPr>
              <w:t>1 602 892</w:t>
            </w:r>
          </w:p>
        </w:tc>
      </w:tr>
      <w:tr w:rsidR="00FF0A50" w:rsidRPr="00361628" w14:paraId="1C2703CA" w14:textId="77777777" w:rsidTr="00AA71EF">
        <w:trPr>
          <w:trHeight w:val="285"/>
        </w:trPr>
        <w:tc>
          <w:tcPr>
            <w:tcW w:w="567" w:type="dxa"/>
            <w:noWrap/>
            <w:vAlign w:val="center"/>
          </w:tcPr>
          <w:p w14:paraId="7523FC81" w14:textId="77777777" w:rsidR="00FF0A50" w:rsidRPr="00C65B76" w:rsidRDefault="00FF0A50" w:rsidP="00FF0A50">
            <w:pPr>
              <w:jc w:val="right"/>
              <w:rPr>
                <w:color w:val="000000"/>
                <w:sz w:val="16"/>
                <w:szCs w:val="16"/>
              </w:rPr>
            </w:pPr>
            <w:r>
              <w:rPr>
                <w:color w:val="000000"/>
                <w:sz w:val="16"/>
                <w:szCs w:val="16"/>
              </w:rPr>
              <w:t>65</w:t>
            </w:r>
          </w:p>
        </w:tc>
        <w:tc>
          <w:tcPr>
            <w:tcW w:w="7148" w:type="dxa"/>
            <w:noWrap/>
            <w:vAlign w:val="center"/>
          </w:tcPr>
          <w:p w14:paraId="009AE0D8" w14:textId="721E78B8" w:rsidR="00FF0A50" w:rsidRPr="00720307" w:rsidRDefault="00FF0A50" w:rsidP="00FF0A50">
            <w:pPr>
              <w:jc w:val="left"/>
              <w:rPr>
                <w:sz w:val="16"/>
                <w:szCs w:val="16"/>
              </w:rPr>
            </w:pPr>
            <w:r w:rsidRPr="00720307">
              <w:rPr>
                <w:sz w:val="16"/>
                <w:szCs w:val="16"/>
              </w:rPr>
              <w:t>zamówienia sektorowe, o których mowa w art. 366 ust. 1 pkt 1 ustawy</w:t>
            </w:r>
            <w:r w:rsidR="005C347B">
              <w:rPr>
                <w:sz w:val="16"/>
                <w:szCs w:val="16"/>
              </w:rPr>
              <w:t xml:space="preserve"> Pzp</w:t>
            </w:r>
            <w:r w:rsidRPr="00720307">
              <w:rPr>
                <w:sz w:val="16"/>
                <w:szCs w:val="16"/>
              </w:rPr>
              <w:t>, udzielone przez podmiot utworzony przez zamawiających w celu wspólnego wykonywania działalności sektorowej, o której mowa w art. 5 ust. 4 ustawy</w:t>
            </w:r>
            <w:r w:rsidR="005C347B">
              <w:rPr>
                <w:sz w:val="16"/>
                <w:szCs w:val="16"/>
              </w:rPr>
              <w:t xml:space="preserve"> Pzp</w:t>
            </w:r>
            <w:r w:rsidRPr="00720307">
              <w:rPr>
                <w:sz w:val="16"/>
                <w:szCs w:val="16"/>
              </w:rPr>
              <w:t>, jednemu z tych zamawiających, pod warunkiem że podmiot ten został utworzony na okres co najmniej 3 lat, a z dokumentu, na podstawie którego został utworzony, wynika, że zamawiający pozostaną jego członkami w tym okresie</w:t>
            </w:r>
          </w:p>
        </w:tc>
        <w:tc>
          <w:tcPr>
            <w:tcW w:w="1216" w:type="dxa"/>
            <w:noWrap/>
            <w:vAlign w:val="center"/>
          </w:tcPr>
          <w:p w14:paraId="50B07B3C" w14:textId="3A5BB057" w:rsidR="00FF0A50" w:rsidRPr="00AA71EF" w:rsidRDefault="00FF0A50" w:rsidP="00AA71EF">
            <w:pPr>
              <w:jc w:val="right"/>
              <w:rPr>
                <w:rFonts w:cs="Arial"/>
                <w:sz w:val="16"/>
                <w:szCs w:val="16"/>
              </w:rPr>
            </w:pPr>
            <w:r w:rsidRPr="00AA71EF">
              <w:rPr>
                <w:rFonts w:cs="Arial"/>
                <w:sz w:val="16"/>
                <w:szCs w:val="16"/>
              </w:rPr>
              <w:t>3</w:t>
            </w:r>
          </w:p>
        </w:tc>
        <w:tc>
          <w:tcPr>
            <w:tcW w:w="1559" w:type="dxa"/>
            <w:noWrap/>
            <w:vAlign w:val="center"/>
          </w:tcPr>
          <w:p w14:paraId="1D74928E" w14:textId="4DDB62DE" w:rsidR="00FF0A50" w:rsidRPr="00AA71EF" w:rsidRDefault="00FF0A50" w:rsidP="00AA71EF">
            <w:pPr>
              <w:jc w:val="right"/>
              <w:rPr>
                <w:rFonts w:cs="Arial"/>
                <w:sz w:val="16"/>
                <w:szCs w:val="16"/>
              </w:rPr>
            </w:pPr>
            <w:r w:rsidRPr="00AA71EF">
              <w:rPr>
                <w:rFonts w:cs="Arial"/>
                <w:sz w:val="16"/>
                <w:szCs w:val="16"/>
              </w:rPr>
              <w:t>86 160</w:t>
            </w:r>
          </w:p>
        </w:tc>
      </w:tr>
      <w:tr w:rsidR="00D2318D" w:rsidRPr="00361628" w14:paraId="4748F368" w14:textId="77777777" w:rsidTr="00AA71EF">
        <w:trPr>
          <w:trHeight w:val="285"/>
        </w:trPr>
        <w:tc>
          <w:tcPr>
            <w:tcW w:w="567" w:type="dxa"/>
            <w:noWrap/>
            <w:vAlign w:val="center"/>
          </w:tcPr>
          <w:p w14:paraId="1FC92AAF" w14:textId="77777777" w:rsidR="00D2318D" w:rsidRPr="00C65B76" w:rsidRDefault="00D2318D" w:rsidP="003C33FD">
            <w:pPr>
              <w:jc w:val="right"/>
              <w:rPr>
                <w:color w:val="000000"/>
                <w:sz w:val="16"/>
                <w:szCs w:val="16"/>
              </w:rPr>
            </w:pPr>
            <w:r>
              <w:rPr>
                <w:color w:val="000000"/>
                <w:sz w:val="16"/>
                <w:szCs w:val="16"/>
              </w:rPr>
              <w:t>66</w:t>
            </w:r>
          </w:p>
        </w:tc>
        <w:tc>
          <w:tcPr>
            <w:tcW w:w="7148" w:type="dxa"/>
            <w:noWrap/>
            <w:vAlign w:val="center"/>
          </w:tcPr>
          <w:p w14:paraId="03774E4D" w14:textId="3A40BB06" w:rsidR="00D2318D" w:rsidRPr="00720307" w:rsidRDefault="00D2318D" w:rsidP="003C33FD">
            <w:pPr>
              <w:jc w:val="left"/>
              <w:rPr>
                <w:sz w:val="16"/>
                <w:szCs w:val="16"/>
              </w:rPr>
            </w:pPr>
            <w:r w:rsidRPr="00720307">
              <w:rPr>
                <w:sz w:val="16"/>
                <w:szCs w:val="16"/>
              </w:rPr>
              <w:t>zamówienia sektorowe, o których mowa w art. 366 ust. 1 pkt 2 ustawy</w:t>
            </w:r>
            <w:r w:rsidR="005C347B">
              <w:rPr>
                <w:sz w:val="16"/>
                <w:szCs w:val="16"/>
              </w:rPr>
              <w:t xml:space="preserve"> Pzp</w:t>
            </w:r>
            <w:r w:rsidRPr="00720307">
              <w:rPr>
                <w:sz w:val="16"/>
                <w:szCs w:val="16"/>
              </w:rPr>
              <w:t>, udzielone przez podmiot utworzony przez zamawiających w celu wspólnego wykonywania działalności sektorowej, o której mowa w art. 5 ust. 4 ustawy</w:t>
            </w:r>
            <w:r w:rsidR="005C347B">
              <w:rPr>
                <w:sz w:val="16"/>
                <w:szCs w:val="16"/>
              </w:rPr>
              <w:t xml:space="preserve"> Pzp</w:t>
            </w:r>
            <w:r w:rsidRPr="00720307">
              <w:rPr>
                <w:sz w:val="16"/>
                <w:szCs w:val="16"/>
              </w:rPr>
              <w:t>, podmiotowi powiązanemu z jednym z tych zamawiających w sposób określony w art. 365 ust. 1−3 ustawy</w:t>
            </w:r>
            <w:r w:rsidR="005C347B">
              <w:rPr>
                <w:sz w:val="16"/>
                <w:szCs w:val="16"/>
              </w:rPr>
              <w:t xml:space="preserve"> Pzp</w:t>
            </w:r>
            <w:r w:rsidRPr="00720307">
              <w:rPr>
                <w:sz w:val="16"/>
                <w:szCs w:val="16"/>
              </w:rPr>
              <w:t>, jeżeli w okresie poprzednich 3 lat co najmniej 80% przeciętnych przychodów tego podmiotu osiąganych ze świadczenia dostaw, świadczenia usług lub wykonywania robót budowlanych pochodziło odpowiednio ze świadczenia dostaw, świadczenia usług lub wykonywania robót budowlanych na rzecz podmiotów, z którymi jest powiązany</w:t>
            </w:r>
          </w:p>
        </w:tc>
        <w:tc>
          <w:tcPr>
            <w:tcW w:w="1216" w:type="dxa"/>
            <w:noWrap/>
            <w:vAlign w:val="center"/>
          </w:tcPr>
          <w:p w14:paraId="13038178" w14:textId="60D2B1E2" w:rsidR="00D2318D" w:rsidRPr="00AA71EF" w:rsidRDefault="00E16EFE" w:rsidP="00AA71EF">
            <w:pPr>
              <w:jc w:val="right"/>
              <w:rPr>
                <w:rFonts w:cs="Arial"/>
                <w:sz w:val="16"/>
                <w:szCs w:val="16"/>
              </w:rPr>
            </w:pPr>
            <w:r w:rsidRPr="00AA71EF">
              <w:rPr>
                <w:rFonts w:cs="Arial"/>
                <w:sz w:val="16"/>
                <w:szCs w:val="16"/>
              </w:rPr>
              <w:t>0</w:t>
            </w:r>
          </w:p>
        </w:tc>
        <w:tc>
          <w:tcPr>
            <w:tcW w:w="1559" w:type="dxa"/>
            <w:noWrap/>
            <w:vAlign w:val="center"/>
          </w:tcPr>
          <w:p w14:paraId="088A937E" w14:textId="0DFF27B6" w:rsidR="00D2318D" w:rsidRPr="00AA71EF" w:rsidRDefault="00E16EFE" w:rsidP="00AA71EF">
            <w:pPr>
              <w:jc w:val="right"/>
              <w:rPr>
                <w:rFonts w:cs="Arial"/>
                <w:sz w:val="16"/>
                <w:szCs w:val="16"/>
              </w:rPr>
            </w:pPr>
            <w:r w:rsidRPr="00AA71EF">
              <w:rPr>
                <w:rFonts w:cs="Arial"/>
                <w:sz w:val="16"/>
                <w:szCs w:val="16"/>
              </w:rPr>
              <w:t>0</w:t>
            </w:r>
          </w:p>
        </w:tc>
      </w:tr>
      <w:tr w:rsidR="00FF0A50" w:rsidRPr="00361628" w14:paraId="4989A54B" w14:textId="77777777" w:rsidTr="00AA71EF">
        <w:trPr>
          <w:trHeight w:val="285"/>
        </w:trPr>
        <w:tc>
          <w:tcPr>
            <w:tcW w:w="567" w:type="dxa"/>
            <w:noWrap/>
            <w:vAlign w:val="center"/>
          </w:tcPr>
          <w:p w14:paraId="54AEC42E" w14:textId="77777777" w:rsidR="00FF0A50" w:rsidRPr="00C65B76" w:rsidRDefault="00FF0A50" w:rsidP="00FF0A50">
            <w:pPr>
              <w:jc w:val="right"/>
              <w:rPr>
                <w:color w:val="000000"/>
                <w:sz w:val="16"/>
                <w:szCs w:val="16"/>
              </w:rPr>
            </w:pPr>
            <w:r>
              <w:rPr>
                <w:color w:val="000000"/>
                <w:sz w:val="16"/>
                <w:szCs w:val="16"/>
              </w:rPr>
              <w:t>67</w:t>
            </w:r>
          </w:p>
        </w:tc>
        <w:tc>
          <w:tcPr>
            <w:tcW w:w="7148" w:type="dxa"/>
            <w:noWrap/>
            <w:vAlign w:val="center"/>
          </w:tcPr>
          <w:p w14:paraId="4FA90C06" w14:textId="6EF777A9" w:rsidR="00FF0A50" w:rsidRPr="00720307" w:rsidRDefault="00FF0A50" w:rsidP="00FF0A50">
            <w:pPr>
              <w:jc w:val="left"/>
              <w:rPr>
                <w:sz w:val="16"/>
                <w:szCs w:val="16"/>
              </w:rPr>
            </w:pPr>
            <w:r w:rsidRPr="00720307">
              <w:rPr>
                <w:sz w:val="16"/>
                <w:szCs w:val="16"/>
              </w:rPr>
              <w:t>zamówienia sektorowe, o których mowa w art. 363 ust. 1 ustawy</w:t>
            </w:r>
            <w:r w:rsidR="005C347B">
              <w:rPr>
                <w:sz w:val="16"/>
                <w:szCs w:val="16"/>
              </w:rPr>
              <w:t xml:space="preserve"> Pzp</w:t>
            </w:r>
            <w:r w:rsidRPr="00720307">
              <w:rPr>
                <w:sz w:val="16"/>
                <w:szCs w:val="16"/>
              </w:rPr>
              <w:t>, udzielone w celu odsprzedaży, najmu lub dzierżawy przedmiotu zamówienia osobom trzecim, pod warunkiem, że zamawiający nie posiada szczególnego lub wyłącznego prawa do sprzedaży, najmu lub dzierżawy przedmiotu zamówienia, a inne podmioty mogą go bez ograniczeń sprzedawać, wynajmować lub dzierżawić na tych samych warunkach co zamawiający</w:t>
            </w:r>
          </w:p>
        </w:tc>
        <w:tc>
          <w:tcPr>
            <w:tcW w:w="1216" w:type="dxa"/>
            <w:noWrap/>
            <w:vAlign w:val="center"/>
          </w:tcPr>
          <w:p w14:paraId="233F30ED" w14:textId="46407533" w:rsidR="00FF0A50" w:rsidRPr="00AA71EF" w:rsidRDefault="00FF0A50" w:rsidP="00AA71EF">
            <w:pPr>
              <w:jc w:val="right"/>
              <w:rPr>
                <w:rFonts w:cs="Arial"/>
                <w:sz w:val="16"/>
                <w:szCs w:val="16"/>
              </w:rPr>
            </w:pPr>
            <w:r w:rsidRPr="00AA71EF">
              <w:rPr>
                <w:rFonts w:cs="Arial"/>
                <w:sz w:val="16"/>
                <w:szCs w:val="16"/>
              </w:rPr>
              <w:t>1 517</w:t>
            </w:r>
          </w:p>
        </w:tc>
        <w:tc>
          <w:tcPr>
            <w:tcW w:w="1559" w:type="dxa"/>
            <w:noWrap/>
            <w:vAlign w:val="center"/>
          </w:tcPr>
          <w:p w14:paraId="4A44B968" w14:textId="3797433C" w:rsidR="00FF0A50" w:rsidRPr="00AA71EF" w:rsidRDefault="00FF0A50" w:rsidP="00AA71EF">
            <w:pPr>
              <w:jc w:val="right"/>
              <w:rPr>
                <w:rFonts w:cs="Arial"/>
                <w:sz w:val="16"/>
                <w:szCs w:val="16"/>
              </w:rPr>
            </w:pPr>
            <w:r w:rsidRPr="00AA71EF">
              <w:rPr>
                <w:rFonts w:cs="Arial"/>
                <w:sz w:val="16"/>
                <w:szCs w:val="16"/>
              </w:rPr>
              <w:t>15 255 931</w:t>
            </w:r>
          </w:p>
        </w:tc>
      </w:tr>
      <w:tr w:rsidR="00FF0A50" w:rsidRPr="00361628" w14:paraId="555B5A3B" w14:textId="77777777" w:rsidTr="00AA71EF">
        <w:trPr>
          <w:trHeight w:val="285"/>
        </w:trPr>
        <w:tc>
          <w:tcPr>
            <w:tcW w:w="567" w:type="dxa"/>
            <w:noWrap/>
            <w:vAlign w:val="center"/>
          </w:tcPr>
          <w:p w14:paraId="40971845" w14:textId="77777777" w:rsidR="00FF0A50" w:rsidRPr="00C65B76" w:rsidRDefault="00FF0A50" w:rsidP="00FF0A50">
            <w:pPr>
              <w:jc w:val="right"/>
              <w:rPr>
                <w:color w:val="000000"/>
                <w:sz w:val="16"/>
                <w:szCs w:val="16"/>
              </w:rPr>
            </w:pPr>
            <w:r>
              <w:rPr>
                <w:color w:val="000000"/>
                <w:sz w:val="16"/>
                <w:szCs w:val="16"/>
              </w:rPr>
              <w:t>68</w:t>
            </w:r>
          </w:p>
        </w:tc>
        <w:tc>
          <w:tcPr>
            <w:tcW w:w="7148" w:type="dxa"/>
            <w:noWrap/>
            <w:vAlign w:val="center"/>
          </w:tcPr>
          <w:p w14:paraId="7F8AE9BA" w14:textId="7D4B1C57" w:rsidR="00FF0A50" w:rsidRPr="00720307" w:rsidRDefault="00FF0A50" w:rsidP="00FF0A50">
            <w:pPr>
              <w:jc w:val="left"/>
              <w:rPr>
                <w:sz w:val="16"/>
                <w:szCs w:val="16"/>
              </w:rPr>
            </w:pPr>
            <w:r w:rsidRPr="00720307">
              <w:rPr>
                <w:sz w:val="16"/>
                <w:szCs w:val="16"/>
              </w:rPr>
              <w:t>zamówienia sektorowe, o których mowa w art. 363 ust. 2 ustawy</w:t>
            </w:r>
            <w:r w:rsidR="005C347B">
              <w:rPr>
                <w:sz w:val="16"/>
                <w:szCs w:val="16"/>
              </w:rPr>
              <w:t xml:space="preserve"> Pzp</w:t>
            </w:r>
            <w:r w:rsidRPr="00720307">
              <w:rPr>
                <w:sz w:val="16"/>
                <w:szCs w:val="16"/>
              </w:rPr>
              <w:t>, udzielone w celu wykonywania działalności, o której mowa w art. 5 ust. 4 ustawy</w:t>
            </w:r>
            <w:r w:rsidR="005C347B">
              <w:rPr>
                <w:sz w:val="16"/>
                <w:szCs w:val="16"/>
              </w:rPr>
              <w:t xml:space="preserve"> Pzp</w:t>
            </w:r>
            <w:r w:rsidRPr="00720307">
              <w:rPr>
                <w:sz w:val="16"/>
                <w:szCs w:val="16"/>
              </w:rPr>
              <w:t>, poza obszarem Unii Europejskiej, jeżeli do jej wykonywania nie jest wykorzystywana sieć znajdująca się na obszarze Unii Europejskiej lub obszar Unii Europejskiej</w:t>
            </w:r>
          </w:p>
        </w:tc>
        <w:tc>
          <w:tcPr>
            <w:tcW w:w="1216" w:type="dxa"/>
            <w:noWrap/>
            <w:vAlign w:val="center"/>
          </w:tcPr>
          <w:p w14:paraId="0F357C89" w14:textId="31DCEE82" w:rsidR="00FF0A50" w:rsidRPr="00AA71EF" w:rsidRDefault="00FF0A50" w:rsidP="00AA71EF">
            <w:pPr>
              <w:jc w:val="right"/>
              <w:rPr>
                <w:rFonts w:cs="Arial"/>
                <w:sz w:val="16"/>
                <w:szCs w:val="16"/>
              </w:rPr>
            </w:pPr>
            <w:r w:rsidRPr="00AA71EF">
              <w:rPr>
                <w:rFonts w:cs="Arial"/>
                <w:sz w:val="16"/>
                <w:szCs w:val="16"/>
              </w:rPr>
              <w:t>25</w:t>
            </w:r>
          </w:p>
        </w:tc>
        <w:tc>
          <w:tcPr>
            <w:tcW w:w="1559" w:type="dxa"/>
            <w:noWrap/>
            <w:vAlign w:val="center"/>
          </w:tcPr>
          <w:p w14:paraId="11F73FE8" w14:textId="40FB251F" w:rsidR="00FF0A50" w:rsidRPr="00AA71EF" w:rsidRDefault="00FF0A50" w:rsidP="00AA71EF">
            <w:pPr>
              <w:jc w:val="right"/>
              <w:rPr>
                <w:rFonts w:cs="Arial"/>
                <w:sz w:val="16"/>
                <w:szCs w:val="16"/>
              </w:rPr>
            </w:pPr>
            <w:r w:rsidRPr="00AA71EF">
              <w:rPr>
                <w:rFonts w:cs="Arial"/>
                <w:sz w:val="16"/>
                <w:szCs w:val="16"/>
              </w:rPr>
              <w:t>103</w:t>
            </w:r>
          </w:p>
        </w:tc>
      </w:tr>
      <w:tr w:rsidR="00D2318D" w:rsidRPr="00955907" w14:paraId="4C47917F" w14:textId="77777777" w:rsidTr="00AA71EF">
        <w:trPr>
          <w:trHeight w:val="300"/>
        </w:trPr>
        <w:tc>
          <w:tcPr>
            <w:tcW w:w="7715" w:type="dxa"/>
            <w:gridSpan w:val="2"/>
            <w:noWrap/>
            <w:vAlign w:val="center"/>
            <w:hideMark/>
          </w:tcPr>
          <w:p w14:paraId="2CA1770E" w14:textId="77777777" w:rsidR="00D2318D" w:rsidRPr="009F347F" w:rsidRDefault="00D2318D" w:rsidP="003C33FD">
            <w:pPr>
              <w:shd w:val="clear" w:color="auto" w:fill="FFFFFF"/>
              <w:jc w:val="left"/>
              <w:rPr>
                <w:b/>
                <w:bCs/>
                <w:sz w:val="16"/>
                <w:szCs w:val="16"/>
              </w:rPr>
            </w:pPr>
            <w:r w:rsidRPr="00371431">
              <w:rPr>
                <w:b/>
                <w:bCs/>
                <w:sz w:val="16"/>
                <w:szCs w:val="16"/>
              </w:rPr>
              <w:t>Razem poz. 1-68:</w:t>
            </w:r>
          </w:p>
        </w:tc>
        <w:tc>
          <w:tcPr>
            <w:tcW w:w="1216" w:type="dxa"/>
            <w:noWrap/>
            <w:vAlign w:val="center"/>
          </w:tcPr>
          <w:p w14:paraId="496123F6" w14:textId="7ED4F258" w:rsidR="00D2318D" w:rsidRPr="00AA71EF" w:rsidRDefault="00FF0A50" w:rsidP="00AA71EF">
            <w:pPr>
              <w:autoSpaceDE w:val="0"/>
              <w:autoSpaceDN w:val="0"/>
              <w:adjustRightInd w:val="0"/>
              <w:jc w:val="right"/>
              <w:rPr>
                <w:rFonts w:cs="Arial"/>
                <w:b/>
                <w:bCs/>
                <w:color w:val="000000"/>
                <w:sz w:val="16"/>
                <w:szCs w:val="16"/>
              </w:rPr>
            </w:pPr>
            <w:r w:rsidRPr="00AA71EF">
              <w:rPr>
                <w:rFonts w:cs="Arial"/>
                <w:b/>
                <w:bCs/>
                <w:color w:val="000000"/>
                <w:sz w:val="16"/>
                <w:szCs w:val="16"/>
              </w:rPr>
              <w:t>207 047</w:t>
            </w:r>
          </w:p>
        </w:tc>
        <w:tc>
          <w:tcPr>
            <w:tcW w:w="1559" w:type="dxa"/>
            <w:noWrap/>
            <w:vAlign w:val="center"/>
          </w:tcPr>
          <w:p w14:paraId="2EAD5FF9" w14:textId="5C196F16" w:rsidR="00D2318D" w:rsidRPr="00AA71EF" w:rsidRDefault="00FF0A50" w:rsidP="00AA71EF">
            <w:pPr>
              <w:autoSpaceDE w:val="0"/>
              <w:autoSpaceDN w:val="0"/>
              <w:adjustRightInd w:val="0"/>
              <w:jc w:val="right"/>
              <w:rPr>
                <w:rFonts w:cs="Arial"/>
                <w:b/>
                <w:color w:val="000000"/>
                <w:sz w:val="16"/>
                <w:szCs w:val="16"/>
              </w:rPr>
            </w:pPr>
            <w:r w:rsidRPr="00AA71EF">
              <w:rPr>
                <w:rFonts w:cs="Arial"/>
                <w:b/>
                <w:color w:val="000000"/>
                <w:sz w:val="16"/>
                <w:szCs w:val="16"/>
              </w:rPr>
              <w:t>345 914 473</w:t>
            </w:r>
          </w:p>
        </w:tc>
      </w:tr>
    </w:tbl>
    <w:p w14:paraId="70A59E42" w14:textId="77777777" w:rsidR="00D2318D" w:rsidRDefault="00D2318D" w:rsidP="00D2318D">
      <w:pPr>
        <w:rPr>
          <w:szCs w:val="22"/>
        </w:rPr>
      </w:pPr>
    </w:p>
    <w:p w14:paraId="7102C301" w14:textId="77777777" w:rsidR="00D2318D" w:rsidRDefault="00D2318D" w:rsidP="00D2318D">
      <w:pPr>
        <w:rPr>
          <w:szCs w:val="22"/>
        </w:rPr>
      </w:pPr>
    </w:p>
    <w:p w14:paraId="11FFFF98" w14:textId="77777777" w:rsidR="00D2318D" w:rsidRPr="00B038A2" w:rsidRDefault="00D2318D" w:rsidP="00D2318D">
      <w:pPr>
        <w:jc w:val="center"/>
        <w:rPr>
          <w:b/>
          <w:szCs w:val="22"/>
        </w:rPr>
      </w:pPr>
      <w:r w:rsidRPr="00B038A2">
        <w:rPr>
          <w:b/>
          <w:szCs w:val="22"/>
        </w:rPr>
        <w:t>Zamówienia klasyczne o wartości mniejszej niż 130 000 złotych oraz zamówienia sektorowe i zamówienia w dziedzinach obronności i bezpieczeństwa o wartości</w:t>
      </w:r>
    </w:p>
    <w:p w14:paraId="24FD1202" w14:textId="77777777" w:rsidR="00D2318D" w:rsidRPr="00B038A2" w:rsidRDefault="00D2318D" w:rsidP="00D2318D">
      <w:pPr>
        <w:jc w:val="center"/>
        <w:rPr>
          <w:b/>
          <w:szCs w:val="22"/>
        </w:rPr>
      </w:pPr>
      <w:r w:rsidRPr="00B038A2">
        <w:rPr>
          <w:b/>
          <w:szCs w:val="22"/>
        </w:rPr>
        <w:t>mniejszej niż progi unijne</w:t>
      </w:r>
    </w:p>
    <w:p w14:paraId="2E62C0B1" w14:textId="77777777" w:rsidR="00D2318D" w:rsidRDefault="00D2318D" w:rsidP="00D2318D">
      <w:pPr>
        <w:rPr>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7625"/>
        <w:gridCol w:w="2126"/>
      </w:tblGrid>
      <w:tr w:rsidR="00D2318D" w:rsidRPr="00C65B76" w14:paraId="1C502B01" w14:textId="77777777" w:rsidTr="003C33FD">
        <w:trPr>
          <w:trHeight w:val="300"/>
        </w:trPr>
        <w:tc>
          <w:tcPr>
            <w:tcW w:w="456" w:type="dxa"/>
            <w:noWrap/>
            <w:vAlign w:val="center"/>
            <w:hideMark/>
          </w:tcPr>
          <w:p w14:paraId="1D870073" w14:textId="77777777" w:rsidR="00D2318D" w:rsidRPr="00C65B76" w:rsidRDefault="00D2318D" w:rsidP="003C33FD">
            <w:pPr>
              <w:shd w:val="clear" w:color="auto" w:fill="FFFFFF"/>
              <w:jc w:val="center"/>
              <w:rPr>
                <w:b/>
                <w:bCs/>
                <w:sz w:val="16"/>
                <w:szCs w:val="16"/>
              </w:rPr>
            </w:pPr>
            <w:r w:rsidRPr="00C65B76">
              <w:rPr>
                <w:b/>
                <w:bCs/>
                <w:sz w:val="16"/>
                <w:szCs w:val="16"/>
              </w:rPr>
              <w:t>Lp.</w:t>
            </w:r>
          </w:p>
        </w:tc>
        <w:tc>
          <w:tcPr>
            <w:tcW w:w="7625" w:type="dxa"/>
            <w:noWrap/>
            <w:vAlign w:val="center"/>
            <w:hideMark/>
          </w:tcPr>
          <w:p w14:paraId="5F28ED74" w14:textId="77777777" w:rsidR="00D2318D" w:rsidRPr="009F347F" w:rsidRDefault="00D2318D" w:rsidP="003C33FD">
            <w:pPr>
              <w:shd w:val="clear" w:color="auto" w:fill="FFFFFF"/>
              <w:jc w:val="center"/>
              <w:rPr>
                <w:b/>
                <w:bCs/>
                <w:sz w:val="16"/>
                <w:szCs w:val="16"/>
              </w:rPr>
            </w:pPr>
            <w:r w:rsidRPr="00B71AAA">
              <w:rPr>
                <w:b/>
                <w:bCs/>
                <w:sz w:val="16"/>
                <w:szCs w:val="16"/>
              </w:rPr>
              <w:t>Niestosowanie przepisów ustawy</w:t>
            </w:r>
            <w:r>
              <w:rPr>
                <w:b/>
                <w:bCs/>
                <w:sz w:val="16"/>
                <w:szCs w:val="16"/>
              </w:rPr>
              <w:t xml:space="preserve"> z uwagi na wartość zamówienia</w:t>
            </w:r>
          </w:p>
        </w:tc>
        <w:tc>
          <w:tcPr>
            <w:tcW w:w="2126" w:type="dxa"/>
            <w:noWrap/>
            <w:vAlign w:val="center"/>
            <w:hideMark/>
          </w:tcPr>
          <w:p w14:paraId="402A6564" w14:textId="77777777" w:rsidR="00D2318D" w:rsidRDefault="00D2318D" w:rsidP="003C33FD">
            <w:pPr>
              <w:shd w:val="clear" w:color="auto" w:fill="FFFFFF"/>
              <w:jc w:val="center"/>
              <w:rPr>
                <w:b/>
                <w:bCs/>
                <w:sz w:val="16"/>
                <w:szCs w:val="16"/>
              </w:rPr>
            </w:pPr>
            <w:r w:rsidRPr="00B71AAA">
              <w:rPr>
                <w:b/>
                <w:bCs/>
                <w:sz w:val="16"/>
                <w:szCs w:val="16"/>
              </w:rPr>
              <w:t>Łączna wartość udzielonych</w:t>
            </w:r>
            <w:r>
              <w:rPr>
                <w:b/>
                <w:bCs/>
                <w:sz w:val="16"/>
                <w:szCs w:val="16"/>
              </w:rPr>
              <w:t xml:space="preserve"> </w:t>
            </w:r>
            <w:r w:rsidRPr="00B71AAA">
              <w:rPr>
                <w:b/>
                <w:bCs/>
                <w:sz w:val="16"/>
                <w:szCs w:val="16"/>
              </w:rPr>
              <w:t>zamówień bez podatku od towarów</w:t>
            </w:r>
            <w:r>
              <w:rPr>
                <w:b/>
                <w:bCs/>
                <w:sz w:val="16"/>
                <w:szCs w:val="16"/>
              </w:rPr>
              <w:t xml:space="preserve"> </w:t>
            </w:r>
            <w:r w:rsidRPr="00B71AAA">
              <w:rPr>
                <w:b/>
                <w:bCs/>
                <w:sz w:val="16"/>
                <w:szCs w:val="16"/>
              </w:rPr>
              <w:t xml:space="preserve">i usług </w:t>
            </w:r>
          </w:p>
          <w:p w14:paraId="35807689" w14:textId="77777777" w:rsidR="00D2318D" w:rsidRPr="00C65B76" w:rsidRDefault="00D2318D" w:rsidP="003C33FD">
            <w:pPr>
              <w:shd w:val="clear" w:color="auto" w:fill="FFFFFF"/>
              <w:jc w:val="center"/>
              <w:rPr>
                <w:b/>
                <w:bCs/>
                <w:sz w:val="16"/>
                <w:szCs w:val="16"/>
              </w:rPr>
            </w:pPr>
            <w:r w:rsidRPr="00C65B76">
              <w:rPr>
                <w:b/>
                <w:bCs/>
                <w:sz w:val="16"/>
                <w:szCs w:val="16"/>
              </w:rPr>
              <w:t>[w tys. zł]</w:t>
            </w:r>
          </w:p>
        </w:tc>
      </w:tr>
      <w:tr w:rsidR="00677D87" w:rsidRPr="00CD42FD" w14:paraId="4A28A695" w14:textId="77777777" w:rsidTr="00677D87">
        <w:trPr>
          <w:trHeight w:val="285"/>
        </w:trPr>
        <w:tc>
          <w:tcPr>
            <w:tcW w:w="456" w:type="dxa"/>
            <w:noWrap/>
            <w:vAlign w:val="center"/>
          </w:tcPr>
          <w:p w14:paraId="4A8E98E8" w14:textId="77777777" w:rsidR="00677D87" w:rsidRPr="00C65B76" w:rsidRDefault="00677D87" w:rsidP="00677D87">
            <w:pPr>
              <w:jc w:val="right"/>
              <w:rPr>
                <w:color w:val="000000"/>
                <w:sz w:val="16"/>
                <w:szCs w:val="16"/>
              </w:rPr>
            </w:pPr>
            <w:r w:rsidRPr="00C65B76">
              <w:rPr>
                <w:color w:val="000000"/>
                <w:sz w:val="16"/>
                <w:szCs w:val="16"/>
              </w:rPr>
              <w:t>1</w:t>
            </w:r>
          </w:p>
        </w:tc>
        <w:tc>
          <w:tcPr>
            <w:tcW w:w="7625" w:type="dxa"/>
            <w:noWrap/>
            <w:vAlign w:val="center"/>
          </w:tcPr>
          <w:p w14:paraId="5B8CEA6D"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klasyczne, których wartość jest mniejsza niż 130 000 złotych</w:t>
            </w:r>
          </w:p>
        </w:tc>
        <w:tc>
          <w:tcPr>
            <w:tcW w:w="2126" w:type="dxa"/>
            <w:noWrap/>
            <w:vAlign w:val="center"/>
          </w:tcPr>
          <w:p w14:paraId="480A31E3" w14:textId="79DCCFFA" w:rsidR="00677D87" w:rsidRPr="00677D87" w:rsidRDefault="00677D87" w:rsidP="00677D87">
            <w:pPr>
              <w:autoSpaceDE w:val="0"/>
              <w:autoSpaceDN w:val="0"/>
              <w:adjustRightInd w:val="0"/>
              <w:jc w:val="right"/>
              <w:rPr>
                <w:color w:val="000000"/>
                <w:sz w:val="16"/>
                <w:szCs w:val="16"/>
              </w:rPr>
            </w:pPr>
            <w:r w:rsidRPr="00677D87">
              <w:rPr>
                <w:sz w:val="16"/>
                <w:szCs w:val="16"/>
              </w:rPr>
              <w:t>37 817 740</w:t>
            </w:r>
          </w:p>
        </w:tc>
      </w:tr>
      <w:tr w:rsidR="00677D87" w:rsidRPr="00CD42FD" w14:paraId="479F8B21" w14:textId="77777777" w:rsidTr="00677D87">
        <w:trPr>
          <w:trHeight w:val="285"/>
        </w:trPr>
        <w:tc>
          <w:tcPr>
            <w:tcW w:w="456" w:type="dxa"/>
            <w:noWrap/>
            <w:vAlign w:val="center"/>
          </w:tcPr>
          <w:p w14:paraId="148B8929" w14:textId="77777777" w:rsidR="00677D87" w:rsidRPr="00C65B76" w:rsidRDefault="00677D87" w:rsidP="00677D87">
            <w:pPr>
              <w:jc w:val="right"/>
              <w:rPr>
                <w:color w:val="000000"/>
                <w:sz w:val="16"/>
                <w:szCs w:val="16"/>
              </w:rPr>
            </w:pPr>
            <w:r w:rsidRPr="00C65B76">
              <w:rPr>
                <w:color w:val="000000"/>
                <w:sz w:val="16"/>
                <w:szCs w:val="16"/>
              </w:rPr>
              <w:t>2</w:t>
            </w:r>
          </w:p>
        </w:tc>
        <w:tc>
          <w:tcPr>
            <w:tcW w:w="7625" w:type="dxa"/>
            <w:noWrap/>
            <w:vAlign w:val="center"/>
          </w:tcPr>
          <w:p w14:paraId="48199401"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roboty budowlane</w:t>
            </w:r>
          </w:p>
        </w:tc>
        <w:tc>
          <w:tcPr>
            <w:tcW w:w="2126" w:type="dxa"/>
            <w:noWrap/>
            <w:vAlign w:val="center"/>
          </w:tcPr>
          <w:p w14:paraId="184FC75A" w14:textId="27239BB7" w:rsidR="00677D87" w:rsidRPr="00677D87" w:rsidRDefault="00677D87" w:rsidP="00677D87">
            <w:pPr>
              <w:autoSpaceDE w:val="0"/>
              <w:autoSpaceDN w:val="0"/>
              <w:adjustRightInd w:val="0"/>
              <w:jc w:val="right"/>
              <w:rPr>
                <w:color w:val="000000"/>
                <w:sz w:val="16"/>
                <w:szCs w:val="16"/>
              </w:rPr>
            </w:pPr>
            <w:r w:rsidRPr="00677D87">
              <w:rPr>
                <w:sz w:val="16"/>
                <w:szCs w:val="16"/>
              </w:rPr>
              <w:t>14 046 102</w:t>
            </w:r>
          </w:p>
        </w:tc>
      </w:tr>
      <w:tr w:rsidR="00677D87" w:rsidRPr="00CD42FD" w14:paraId="6369C337" w14:textId="77777777" w:rsidTr="00677D87">
        <w:trPr>
          <w:trHeight w:val="285"/>
        </w:trPr>
        <w:tc>
          <w:tcPr>
            <w:tcW w:w="456" w:type="dxa"/>
            <w:noWrap/>
            <w:vAlign w:val="center"/>
          </w:tcPr>
          <w:p w14:paraId="4EA95D1C" w14:textId="77777777" w:rsidR="00677D87" w:rsidRPr="00C65B76" w:rsidRDefault="00677D87" w:rsidP="00677D87">
            <w:pPr>
              <w:jc w:val="right"/>
              <w:rPr>
                <w:color w:val="000000"/>
                <w:sz w:val="16"/>
                <w:szCs w:val="16"/>
              </w:rPr>
            </w:pPr>
            <w:r w:rsidRPr="00C65B76">
              <w:rPr>
                <w:color w:val="000000"/>
                <w:sz w:val="16"/>
                <w:szCs w:val="16"/>
              </w:rPr>
              <w:t>3</w:t>
            </w:r>
          </w:p>
        </w:tc>
        <w:tc>
          <w:tcPr>
            <w:tcW w:w="7625" w:type="dxa"/>
            <w:noWrap/>
            <w:vAlign w:val="center"/>
          </w:tcPr>
          <w:p w14:paraId="5265D922"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dostawy</w:t>
            </w:r>
          </w:p>
        </w:tc>
        <w:tc>
          <w:tcPr>
            <w:tcW w:w="2126" w:type="dxa"/>
            <w:noWrap/>
            <w:vAlign w:val="center"/>
          </w:tcPr>
          <w:p w14:paraId="2847BEA7" w14:textId="1C1989A2" w:rsidR="00677D87" w:rsidRPr="00677D87" w:rsidRDefault="00677D87" w:rsidP="00677D87">
            <w:pPr>
              <w:autoSpaceDE w:val="0"/>
              <w:autoSpaceDN w:val="0"/>
              <w:adjustRightInd w:val="0"/>
              <w:jc w:val="right"/>
              <w:rPr>
                <w:color w:val="000000"/>
                <w:sz w:val="16"/>
                <w:szCs w:val="16"/>
              </w:rPr>
            </w:pPr>
            <w:r w:rsidRPr="00677D87">
              <w:rPr>
                <w:sz w:val="16"/>
                <w:szCs w:val="16"/>
              </w:rPr>
              <w:t>13 343 022</w:t>
            </w:r>
          </w:p>
        </w:tc>
      </w:tr>
      <w:tr w:rsidR="00677D87" w:rsidRPr="00CD42FD" w14:paraId="74E14DC6" w14:textId="77777777" w:rsidTr="00677D87">
        <w:trPr>
          <w:trHeight w:val="285"/>
        </w:trPr>
        <w:tc>
          <w:tcPr>
            <w:tcW w:w="456" w:type="dxa"/>
            <w:noWrap/>
            <w:vAlign w:val="center"/>
          </w:tcPr>
          <w:p w14:paraId="6B72F7CF" w14:textId="77777777" w:rsidR="00677D87" w:rsidRPr="00C65B76" w:rsidRDefault="00677D87" w:rsidP="00677D87">
            <w:pPr>
              <w:jc w:val="right"/>
              <w:rPr>
                <w:color w:val="000000"/>
                <w:sz w:val="16"/>
                <w:szCs w:val="16"/>
              </w:rPr>
            </w:pPr>
            <w:r>
              <w:rPr>
                <w:color w:val="000000"/>
                <w:sz w:val="16"/>
                <w:szCs w:val="16"/>
              </w:rPr>
              <w:t>4</w:t>
            </w:r>
          </w:p>
        </w:tc>
        <w:tc>
          <w:tcPr>
            <w:tcW w:w="7625" w:type="dxa"/>
            <w:noWrap/>
            <w:vAlign w:val="center"/>
          </w:tcPr>
          <w:p w14:paraId="3499B071"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sektorowe, których wartość jest mniejsza niż progi unijne, udzielone na usługi</w:t>
            </w:r>
          </w:p>
        </w:tc>
        <w:tc>
          <w:tcPr>
            <w:tcW w:w="2126" w:type="dxa"/>
            <w:noWrap/>
            <w:vAlign w:val="center"/>
          </w:tcPr>
          <w:p w14:paraId="0712BCCA" w14:textId="1AC1D0A3" w:rsidR="00677D87" w:rsidRPr="00677D87" w:rsidRDefault="00677D87" w:rsidP="00677D87">
            <w:pPr>
              <w:autoSpaceDE w:val="0"/>
              <w:autoSpaceDN w:val="0"/>
              <w:adjustRightInd w:val="0"/>
              <w:jc w:val="right"/>
              <w:rPr>
                <w:color w:val="000000"/>
                <w:sz w:val="16"/>
                <w:szCs w:val="16"/>
              </w:rPr>
            </w:pPr>
            <w:r w:rsidRPr="00677D87">
              <w:rPr>
                <w:sz w:val="16"/>
                <w:szCs w:val="16"/>
              </w:rPr>
              <w:t>7 172 136</w:t>
            </w:r>
          </w:p>
        </w:tc>
      </w:tr>
      <w:tr w:rsidR="00677D87" w:rsidRPr="00CD42FD" w14:paraId="5B7CA81C" w14:textId="77777777" w:rsidTr="00677D87">
        <w:trPr>
          <w:trHeight w:val="285"/>
        </w:trPr>
        <w:tc>
          <w:tcPr>
            <w:tcW w:w="456" w:type="dxa"/>
            <w:noWrap/>
            <w:vAlign w:val="center"/>
          </w:tcPr>
          <w:p w14:paraId="02718E35" w14:textId="77777777" w:rsidR="00677D87" w:rsidRPr="00C65B76" w:rsidRDefault="00677D87" w:rsidP="00677D87">
            <w:pPr>
              <w:jc w:val="right"/>
              <w:rPr>
                <w:color w:val="000000"/>
                <w:sz w:val="16"/>
                <w:szCs w:val="16"/>
              </w:rPr>
            </w:pPr>
            <w:r>
              <w:rPr>
                <w:color w:val="000000"/>
                <w:sz w:val="16"/>
                <w:szCs w:val="16"/>
              </w:rPr>
              <w:t>5</w:t>
            </w:r>
          </w:p>
        </w:tc>
        <w:tc>
          <w:tcPr>
            <w:tcW w:w="7625" w:type="dxa"/>
            <w:noWrap/>
            <w:vAlign w:val="center"/>
          </w:tcPr>
          <w:p w14:paraId="596942AC"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jest mniejsza niż progi unijne, udzielone na roboty budowlane</w:t>
            </w:r>
          </w:p>
        </w:tc>
        <w:tc>
          <w:tcPr>
            <w:tcW w:w="2126" w:type="dxa"/>
            <w:noWrap/>
            <w:vAlign w:val="center"/>
          </w:tcPr>
          <w:p w14:paraId="362F9BE6" w14:textId="186DCD51" w:rsidR="00677D87" w:rsidRPr="00677D87" w:rsidRDefault="00677D87" w:rsidP="00677D87">
            <w:pPr>
              <w:autoSpaceDE w:val="0"/>
              <w:autoSpaceDN w:val="0"/>
              <w:adjustRightInd w:val="0"/>
              <w:jc w:val="right"/>
              <w:rPr>
                <w:color w:val="000000"/>
                <w:sz w:val="16"/>
                <w:szCs w:val="16"/>
              </w:rPr>
            </w:pPr>
            <w:r w:rsidRPr="00677D87">
              <w:rPr>
                <w:sz w:val="16"/>
                <w:szCs w:val="16"/>
              </w:rPr>
              <w:t>648 914</w:t>
            </w:r>
          </w:p>
        </w:tc>
      </w:tr>
      <w:tr w:rsidR="00677D87" w:rsidRPr="00CD42FD" w14:paraId="57728B29" w14:textId="77777777" w:rsidTr="00677D87">
        <w:trPr>
          <w:trHeight w:val="285"/>
        </w:trPr>
        <w:tc>
          <w:tcPr>
            <w:tcW w:w="456" w:type="dxa"/>
            <w:noWrap/>
            <w:vAlign w:val="center"/>
          </w:tcPr>
          <w:p w14:paraId="584A270B" w14:textId="77777777" w:rsidR="00677D87" w:rsidRPr="00C65B76" w:rsidRDefault="00677D87" w:rsidP="00677D87">
            <w:pPr>
              <w:jc w:val="right"/>
              <w:rPr>
                <w:color w:val="000000"/>
                <w:sz w:val="16"/>
                <w:szCs w:val="16"/>
              </w:rPr>
            </w:pPr>
            <w:r>
              <w:rPr>
                <w:color w:val="000000"/>
                <w:sz w:val="16"/>
                <w:szCs w:val="16"/>
              </w:rPr>
              <w:t>6</w:t>
            </w:r>
          </w:p>
        </w:tc>
        <w:tc>
          <w:tcPr>
            <w:tcW w:w="7625" w:type="dxa"/>
            <w:noWrap/>
            <w:vAlign w:val="center"/>
          </w:tcPr>
          <w:p w14:paraId="2FC8A7EA"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zamówienia jest mniejsza od progów unijnych, udzielone na dostawy</w:t>
            </w:r>
          </w:p>
        </w:tc>
        <w:tc>
          <w:tcPr>
            <w:tcW w:w="2126" w:type="dxa"/>
            <w:noWrap/>
            <w:vAlign w:val="center"/>
          </w:tcPr>
          <w:p w14:paraId="3FDE8A75" w14:textId="476A5692" w:rsidR="00677D87" w:rsidRPr="00677D87" w:rsidRDefault="00677D87" w:rsidP="00677D87">
            <w:pPr>
              <w:autoSpaceDE w:val="0"/>
              <w:autoSpaceDN w:val="0"/>
              <w:adjustRightInd w:val="0"/>
              <w:jc w:val="right"/>
              <w:rPr>
                <w:color w:val="000000"/>
                <w:sz w:val="16"/>
                <w:szCs w:val="16"/>
              </w:rPr>
            </w:pPr>
            <w:r w:rsidRPr="00677D87">
              <w:rPr>
                <w:sz w:val="16"/>
                <w:szCs w:val="16"/>
              </w:rPr>
              <w:t>134 143</w:t>
            </w:r>
          </w:p>
        </w:tc>
      </w:tr>
      <w:tr w:rsidR="00677D87" w:rsidRPr="00CD42FD" w14:paraId="6A3E511E" w14:textId="77777777" w:rsidTr="00677D87">
        <w:trPr>
          <w:trHeight w:val="285"/>
        </w:trPr>
        <w:tc>
          <w:tcPr>
            <w:tcW w:w="456" w:type="dxa"/>
            <w:noWrap/>
            <w:vAlign w:val="center"/>
          </w:tcPr>
          <w:p w14:paraId="605189DF" w14:textId="77777777" w:rsidR="00677D87" w:rsidRDefault="00677D87" w:rsidP="00677D87">
            <w:pPr>
              <w:jc w:val="right"/>
              <w:rPr>
                <w:color w:val="000000"/>
                <w:sz w:val="16"/>
                <w:szCs w:val="16"/>
              </w:rPr>
            </w:pPr>
            <w:r>
              <w:rPr>
                <w:color w:val="000000"/>
                <w:sz w:val="16"/>
                <w:szCs w:val="16"/>
              </w:rPr>
              <w:t>7</w:t>
            </w:r>
          </w:p>
        </w:tc>
        <w:tc>
          <w:tcPr>
            <w:tcW w:w="7625" w:type="dxa"/>
            <w:noWrap/>
            <w:vAlign w:val="center"/>
          </w:tcPr>
          <w:p w14:paraId="33231205" w14:textId="77777777" w:rsidR="00677D87" w:rsidRPr="00B71AAA" w:rsidRDefault="00677D87" w:rsidP="00677D87">
            <w:pPr>
              <w:autoSpaceDE w:val="0"/>
              <w:autoSpaceDN w:val="0"/>
              <w:adjustRightInd w:val="0"/>
              <w:jc w:val="left"/>
              <w:rPr>
                <w:color w:val="000000"/>
                <w:sz w:val="16"/>
                <w:szCs w:val="16"/>
              </w:rPr>
            </w:pPr>
            <w:r w:rsidRPr="00B71AAA">
              <w:rPr>
                <w:color w:val="000000"/>
                <w:sz w:val="16"/>
                <w:szCs w:val="16"/>
              </w:rPr>
              <w:t>zamówienia w dziedzinach obronności i bezpieczeństwa, których wartość zamówienia jest mniejsza od progów unijnych, udzielone na usługi</w:t>
            </w:r>
          </w:p>
        </w:tc>
        <w:tc>
          <w:tcPr>
            <w:tcW w:w="2126" w:type="dxa"/>
            <w:noWrap/>
            <w:vAlign w:val="center"/>
          </w:tcPr>
          <w:p w14:paraId="637713C5" w14:textId="5587F714" w:rsidR="00677D87" w:rsidRPr="00677D87" w:rsidRDefault="00677D87" w:rsidP="00677D87">
            <w:pPr>
              <w:autoSpaceDE w:val="0"/>
              <w:autoSpaceDN w:val="0"/>
              <w:adjustRightInd w:val="0"/>
              <w:jc w:val="right"/>
              <w:rPr>
                <w:color w:val="000000"/>
                <w:sz w:val="16"/>
                <w:szCs w:val="16"/>
              </w:rPr>
            </w:pPr>
            <w:r w:rsidRPr="00677D87">
              <w:rPr>
                <w:sz w:val="16"/>
                <w:szCs w:val="16"/>
              </w:rPr>
              <w:t>168 783</w:t>
            </w:r>
          </w:p>
        </w:tc>
      </w:tr>
      <w:tr w:rsidR="00D2318D" w:rsidRPr="002C0CE9" w14:paraId="4FBEA8A0" w14:textId="77777777" w:rsidTr="003C33FD">
        <w:tblPrEx>
          <w:tblCellMar>
            <w:left w:w="70" w:type="dxa"/>
            <w:right w:w="70" w:type="dxa"/>
          </w:tblCellMar>
        </w:tblPrEx>
        <w:trPr>
          <w:trHeight w:val="300"/>
        </w:trPr>
        <w:tc>
          <w:tcPr>
            <w:tcW w:w="8081" w:type="dxa"/>
            <w:gridSpan w:val="2"/>
            <w:noWrap/>
            <w:vAlign w:val="center"/>
          </w:tcPr>
          <w:p w14:paraId="73BAE2F5" w14:textId="77777777" w:rsidR="00D2318D" w:rsidRPr="009F347F" w:rsidRDefault="00D2318D" w:rsidP="003C33FD">
            <w:pPr>
              <w:shd w:val="clear" w:color="auto" w:fill="FFFFFF"/>
              <w:jc w:val="left"/>
              <w:rPr>
                <w:b/>
                <w:bCs/>
                <w:sz w:val="16"/>
                <w:szCs w:val="16"/>
              </w:rPr>
            </w:pPr>
            <w:r w:rsidRPr="00B71AAA">
              <w:rPr>
                <w:b/>
                <w:bCs/>
                <w:sz w:val="16"/>
                <w:szCs w:val="16"/>
              </w:rPr>
              <w:t>Razem poz. 1-7:</w:t>
            </w:r>
          </w:p>
        </w:tc>
        <w:tc>
          <w:tcPr>
            <w:tcW w:w="2126" w:type="dxa"/>
            <w:noWrap/>
            <w:vAlign w:val="center"/>
          </w:tcPr>
          <w:p w14:paraId="63A1C2E5" w14:textId="44184721" w:rsidR="00D2318D" w:rsidRPr="003C0208" w:rsidRDefault="00677D87" w:rsidP="003C33FD">
            <w:pPr>
              <w:shd w:val="clear" w:color="auto" w:fill="FFFFFF"/>
              <w:jc w:val="right"/>
              <w:rPr>
                <w:b/>
                <w:bCs/>
                <w:sz w:val="16"/>
                <w:szCs w:val="16"/>
              </w:rPr>
            </w:pPr>
            <w:r w:rsidRPr="00677D87">
              <w:rPr>
                <w:b/>
                <w:bCs/>
                <w:sz w:val="16"/>
                <w:szCs w:val="16"/>
              </w:rPr>
              <w:t>73 330 840</w:t>
            </w:r>
          </w:p>
        </w:tc>
      </w:tr>
    </w:tbl>
    <w:p w14:paraId="6057EF5E" w14:textId="51D7C5CF" w:rsidR="00D2318D" w:rsidRDefault="00D2318D" w:rsidP="00D2318D">
      <w:pPr>
        <w:rPr>
          <w:szCs w:val="22"/>
        </w:rPr>
      </w:pPr>
    </w:p>
    <w:p w14:paraId="5DCC6CE4" w14:textId="1F6B807F" w:rsidR="00EE0234" w:rsidRDefault="00EE0234" w:rsidP="00D2318D">
      <w:pPr>
        <w:rPr>
          <w:szCs w:val="22"/>
        </w:rPr>
      </w:pPr>
    </w:p>
    <w:p w14:paraId="5FA07FBA" w14:textId="77777777" w:rsidR="00CC77CA" w:rsidRDefault="00CC77CA" w:rsidP="00D2318D">
      <w:pPr>
        <w:rPr>
          <w:szCs w:val="22"/>
        </w:rPr>
        <w:sectPr w:rsidR="00CC77CA" w:rsidSect="00270B63">
          <w:headerReference w:type="even" r:id="rId70"/>
          <w:headerReference w:type="default" r:id="rId71"/>
          <w:headerReference w:type="first" r:id="rId72"/>
          <w:type w:val="oddPage"/>
          <w:pgSz w:w="11906" w:h="16838"/>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936E52" w:rsidRPr="00A855CF" w14:paraId="73A842D7" w14:textId="77777777" w:rsidTr="00936E52">
        <w:tc>
          <w:tcPr>
            <w:tcW w:w="14123" w:type="dxa"/>
            <w:shd w:val="clear" w:color="auto" w:fill="auto"/>
          </w:tcPr>
          <w:p w14:paraId="1F658F7D" w14:textId="0489D0A8" w:rsidR="00936E52" w:rsidRPr="00A855CF" w:rsidRDefault="00936E52" w:rsidP="00371F95">
            <w:pPr>
              <w:spacing w:before="120" w:after="120"/>
              <w:jc w:val="right"/>
              <w:rPr>
                <w:b/>
                <w:color w:val="2E74B5"/>
                <w:sz w:val="24"/>
              </w:rPr>
            </w:pPr>
            <w:r w:rsidRPr="00A855CF">
              <w:rPr>
                <w:rFonts w:cs="Arial"/>
                <w:szCs w:val="22"/>
              </w:rPr>
              <w:br w:type="page"/>
            </w:r>
            <w:r w:rsidRPr="00A855CF">
              <w:rPr>
                <w:rFonts w:cs="Arial"/>
                <w:szCs w:val="22"/>
              </w:rPr>
              <w:br w:type="page"/>
            </w:r>
            <w:r w:rsidRPr="00A855CF">
              <w:rPr>
                <w:rFonts w:cs="Arial"/>
                <w:sz w:val="20"/>
                <w:szCs w:val="20"/>
              </w:rPr>
              <w:br w:type="page"/>
            </w:r>
            <w:bookmarkStart w:id="285" w:name="Zał_5"/>
            <w:bookmarkEnd w:id="285"/>
            <w:r w:rsidRPr="00A855CF">
              <w:rPr>
                <w:b/>
                <w:color w:val="2E74B5"/>
                <w:sz w:val="24"/>
              </w:rPr>
              <w:t xml:space="preserve">Załącznik nr </w:t>
            </w:r>
            <w:r w:rsidR="00371F95">
              <w:rPr>
                <w:b/>
                <w:color w:val="2E74B5"/>
                <w:sz w:val="24"/>
              </w:rPr>
              <w:t>5</w:t>
            </w:r>
          </w:p>
        </w:tc>
        <w:tc>
          <w:tcPr>
            <w:tcW w:w="236" w:type="dxa"/>
            <w:shd w:val="clear" w:color="auto" w:fill="2E74B5"/>
          </w:tcPr>
          <w:p w14:paraId="163E6B54" w14:textId="77777777" w:rsidR="00936E52" w:rsidRPr="00A855CF" w:rsidRDefault="00936E52" w:rsidP="00936E52">
            <w:pPr>
              <w:spacing w:before="120" w:after="120"/>
              <w:jc w:val="right"/>
              <w:rPr>
                <w:b/>
                <w:sz w:val="24"/>
              </w:rPr>
            </w:pPr>
          </w:p>
        </w:tc>
      </w:tr>
    </w:tbl>
    <w:p w14:paraId="12B893C6" w14:textId="4048E4BF" w:rsidR="00CC77CA" w:rsidRPr="00371F95" w:rsidRDefault="00CC77CA" w:rsidP="00D2318D">
      <w:pPr>
        <w:rPr>
          <w:sz w:val="16"/>
          <w:szCs w:val="16"/>
        </w:rPr>
      </w:pPr>
    </w:p>
    <w:p w14:paraId="477C4E46" w14:textId="4F40FF38" w:rsidR="00CC77CA" w:rsidRPr="00371F95" w:rsidRDefault="00371F95" w:rsidP="00371F95">
      <w:pPr>
        <w:jc w:val="center"/>
        <w:rPr>
          <w:b/>
          <w:szCs w:val="22"/>
        </w:rPr>
      </w:pPr>
      <w:r w:rsidRPr="004D21D3">
        <w:rPr>
          <w:b/>
          <w:szCs w:val="22"/>
        </w:rPr>
        <w:t>Dane dotyczące zamówień, w których zastosowano odpowiednie instrumenty prospołeczne</w:t>
      </w:r>
    </w:p>
    <w:p w14:paraId="789EE288" w14:textId="77777777" w:rsidR="00CC77CA" w:rsidRPr="00870CF3" w:rsidRDefault="00CC77CA" w:rsidP="00D2318D">
      <w:pPr>
        <w:rPr>
          <w:szCs w:val="22"/>
        </w:rPr>
      </w:pPr>
    </w:p>
    <w:p w14:paraId="322DBCD9" w14:textId="77777777" w:rsidR="00371F95" w:rsidRPr="002A72A4" w:rsidRDefault="00371F95" w:rsidP="00371F95">
      <w:pPr>
        <w:shd w:val="clear" w:color="auto" w:fill="FFFFFF"/>
        <w:jc w:val="center"/>
        <w:rPr>
          <w:rFonts w:cs="Arial"/>
          <w:b/>
        </w:rPr>
      </w:pPr>
      <w:r w:rsidRPr="004D21D3">
        <w:rPr>
          <w:rFonts w:cs="Arial"/>
          <w:b/>
        </w:rPr>
        <w:t>Liczba i wartość zamówień publicznych z danym aspektem społecznym w poszczególnych latach</w:t>
      </w:r>
      <w:r w:rsidRPr="002A72A4">
        <w:rPr>
          <w:rFonts w:cs="Arial"/>
          <w:b/>
        </w:rPr>
        <w:t xml:space="preserve"> </w:t>
      </w:r>
    </w:p>
    <w:p w14:paraId="1FB2A760" w14:textId="77777777" w:rsidR="00371F95" w:rsidRPr="00870CF3" w:rsidRDefault="00371F95" w:rsidP="00371F95">
      <w:pPr>
        <w:shd w:val="clear" w:color="auto" w:fill="FFFFFF"/>
        <w:rPr>
          <w:rFonts w:cs="Arial"/>
          <w:szCs w:val="22"/>
        </w:rPr>
      </w:pPr>
    </w:p>
    <w:tbl>
      <w:tblPr>
        <w:tblW w:w="1523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006"/>
        <w:gridCol w:w="1843"/>
        <w:gridCol w:w="2126"/>
        <w:gridCol w:w="1843"/>
        <w:gridCol w:w="2126"/>
        <w:gridCol w:w="1701"/>
        <w:gridCol w:w="2021"/>
      </w:tblGrid>
      <w:tr w:rsidR="00CA693F" w:rsidRPr="001D752F" w14:paraId="02BC6C40" w14:textId="77777777" w:rsidTr="00905292">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3CBDFD9" w14:textId="77777777" w:rsidR="00CA693F" w:rsidRPr="001D752F" w:rsidRDefault="00CA693F" w:rsidP="00CA693F">
            <w:pPr>
              <w:jc w:val="center"/>
              <w:rPr>
                <w:rFonts w:cs="Arial"/>
                <w:b/>
                <w:sz w:val="16"/>
                <w:szCs w:val="16"/>
              </w:rPr>
            </w:pPr>
            <w:r w:rsidRPr="001D752F">
              <w:rPr>
                <w:rFonts w:cs="Arial"/>
                <w:b/>
                <w:sz w:val="16"/>
                <w:szCs w:val="16"/>
              </w:rPr>
              <w:t>Lp.</w:t>
            </w:r>
          </w:p>
        </w:tc>
        <w:tc>
          <w:tcPr>
            <w:tcW w:w="300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F5756BB" w14:textId="77777777" w:rsidR="00CA693F" w:rsidRPr="001D752F" w:rsidRDefault="00CA693F" w:rsidP="00CA693F">
            <w:pPr>
              <w:jc w:val="center"/>
              <w:rPr>
                <w:rFonts w:cs="Arial"/>
                <w:b/>
                <w:sz w:val="16"/>
                <w:szCs w:val="16"/>
              </w:rPr>
            </w:pPr>
            <w:r w:rsidRPr="001D752F">
              <w:rPr>
                <w:rFonts w:cs="Arial"/>
                <w:b/>
                <w:sz w:val="16"/>
                <w:szCs w:val="16"/>
              </w:rPr>
              <w:t>Aspekt społeczny</w:t>
            </w:r>
          </w:p>
        </w:tc>
        <w:tc>
          <w:tcPr>
            <w:tcW w:w="3969" w:type="dxa"/>
            <w:gridSpan w:val="2"/>
            <w:tcBorders>
              <w:top w:val="single" w:sz="4" w:space="0" w:color="auto"/>
              <w:left w:val="single" w:sz="4" w:space="0" w:color="auto"/>
              <w:bottom w:val="single" w:sz="4" w:space="0" w:color="auto"/>
              <w:right w:val="single" w:sz="4" w:space="0" w:color="auto"/>
            </w:tcBorders>
            <w:shd w:val="clear" w:color="auto" w:fill="DEEAF6"/>
          </w:tcPr>
          <w:p w14:paraId="34A7280A" w14:textId="48E4144C" w:rsidR="00CA693F" w:rsidRPr="001D752F" w:rsidRDefault="00CA693F" w:rsidP="00CA693F">
            <w:pPr>
              <w:jc w:val="center"/>
              <w:rPr>
                <w:rFonts w:cs="Arial"/>
                <w:b/>
                <w:bCs/>
                <w:sz w:val="16"/>
                <w:szCs w:val="16"/>
              </w:rPr>
            </w:pPr>
            <w:r w:rsidRPr="001D752F">
              <w:rPr>
                <w:rFonts w:cs="Arial"/>
                <w:b/>
                <w:bCs/>
                <w:sz w:val="16"/>
                <w:szCs w:val="16"/>
              </w:rPr>
              <w:t>2020 r.</w:t>
            </w:r>
          </w:p>
        </w:tc>
        <w:tc>
          <w:tcPr>
            <w:tcW w:w="3969" w:type="dxa"/>
            <w:gridSpan w:val="2"/>
            <w:tcBorders>
              <w:top w:val="single" w:sz="4" w:space="0" w:color="auto"/>
              <w:left w:val="single" w:sz="4" w:space="0" w:color="auto"/>
              <w:bottom w:val="single" w:sz="4" w:space="0" w:color="auto"/>
              <w:right w:val="single" w:sz="4" w:space="0" w:color="auto"/>
            </w:tcBorders>
            <w:shd w:val="clear" w:color="auto" w:fill="DEEAF6"/>
          </w:tcPr>
          <w:p w14:paraId="0BB7D4E3" w14:textId="70EB9082" w:rsidR="00CA693F" w:rsidRPr="001D752F" w:rsidRDefault="00CA693F" w:rsidP="00CA693F">
            <w:pPr>
              <w:jc w:val="center"/>
              <w:rPr>
                <w:rFonts w:cs="Arial"/>
                <w:b/>
                <w:bCs/>
                <w:sz w:val="16"/>
                <w:szCs w:val="16"/>
              </w:rPr>
            </w:pPr>
            <w:r w:rsidRPr="001D752F">
              <w:rPr>
                <w:rFonts w:cs="Arial"/>
                <w:b/>
                <w:bCs/>
                <w:sz w:val="16"/>
                <w:szCs w:val="16"/>
              </w:rPr>
              <w:t>2021 r.</w:t>
            </w:r>
          </w:p>
        </w:tc>
        <w:tc>
          <w:tcPr>
            <w:tcW w:w="3722" w:type="dxa"/>
            <w:gridSpan w:val="2"/>
            <w:tcBorders>
              <w:top w:val="single" w:sz="4" w:space="0" w:color="auto"/>
              <w:left w:val="single" w:sz="4" w:space="0" w:color="auto"/>
              <w:bottom w:val="single" w:sz="4" w:space="0" w:color="auto"/>
              <w:right w:val="single" w:sz="4" w:space="0" w:color="auto"/>
            </w:tcBorders>
            <w:shd w:val="clear" w:color="auto" w:fill="DEEAF6"/>
          </w:tcPr>
          <w:p w14:paraId="266EC65C" w14:textId="00D1355E" w:rsidR="00CA693F" w:rsidRPr="001D752F" w:rsidRDefault="00CA693F" w:rsidP="00CA693F">
            <w:pPr>
              <w:tabs>
                <w:tab w:val="left" w:pos="948"/>
              </w:tabs>
              <w:jc w:val="center"/>
              <w:rPr>
                <w:rFonts w:cs="Arial"/>
                <w:b/>
                <w:bCs/>
                <w:sz w:val="16"/>
                <w:szCs w:val="16"/>
              </w:rPr>
            </w:pPr>
            <w:r w:rsidRPr="001D752F">
              <w:rPr>
                <w:rFonts w:cs="Arial"/>
                <w:b/>
                <w:bCs/>
                <w:sz w:val="16"/>
                <w:szCs w:val="16"/>
              </w:rPr>
              <w:t>2022 r.</w:t>
            </w:r>
          </w:p>
        </w:tc>
      </w:tr>
      <w:tr w:rsidR="00CA693F" w:rsidRPr="001D752F" w14:paraId="7D52C6D3" w14:textId="77777777" w:rsidTr="00905292">
        <w:trPr>
          <w:tblHeader/>
        </w:trPr>
        <w:tc>
          <w:tcPr>
            <w:tcW w:w="567" w:type="dxa"/>
            <w:tcBorders>
              <w:top w:val="single" w:sz="4" w:space="0" w:color="auto"/>
              <w:left w:val="single" w:sz="4" w:space="0" w:color="auto"/>
              <w:bottom w:val="single" w:sz="4" w:space="0" w:color="auto"/>
              <w:right w:val="single" w:sz="4" w:space="0" w:color="auto"/>
            </w:tcBorders>
            <w:shd w:val="clear" w:color="auto" w:fill="DEEAF6"/>
            <w:vAlign w:val="center"/>
          </w:tcPr>
          <w:p w14:paraId="119188E7" w14:textId="77777777" w:rsidR="00CA693F" w:rsidRPr="001D752F" w:rsidRDefault="00CA693F" w:rsidP="00CA693F">
            <w:pPr>
              <w:jc w:val="center"/>
              <w:rPr>
                <w:rFonts w:cs="Arial"/>
                <w:b/>
                <w:sz w:val="16"/>
                <w:szCs w:val="16"/>
              </w:rPr>
            </w:pPr>
          </w:p>
        </w:tc>
        <w:tc>
          <w:tcPr>
            <w:tcW w:w="3006" w:type="dxa"/>
            <w:tcBorders>
              <w:top w:val="single" w:sz="4" w:space="0" w:color="auto"/>
              <w:left w:val="single" w:sz="4" w:space="0" w:color="auto"/>
              <w:bottom w:val="single" w:sz="4" w:space="0" w:color="auto"/>
              <w:right w:val="single" w:sz="4" w:space="0" w:color="auto"/>
            </w:tcBorders>
            <w:shd w:val="clear" w:color="auto" w:fill="DEEAF6"/>
            <w:vAlign w:val="center"/>
          </w:tcPr>
          <w:p w14:paraId="173DBB7F" w14:textId="77777777" w:rsidR="00CA693F" w:rsidRPr="001D752F" w:rsidRDefault="00CA693F" w:rsidP="00CA693F">
            <w:pPr>
              <w:jc w:val="center"/>
              <w:rPr>
                <w:rFonts w:cs="Arial"/>
                <w:b/>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DEEAF6"/>
          </w:tcPr>
          <w:p w14:paraId="364EBCBF" w14:textId="77777777" w:rsidR="00CA693F" w:rsidRPr="001D752F" w:rsidRDefault="00CA693F" w:rsidP="00CA693F">
            <w:pPr>
              <w:jc w:val="center"/>
              <w:rPr>
                <w:rFonts w:cs="Arial"/>
                <w:b/>
                <w:bCs/>
                <w:sz w:val="16"/>
                <w:szCs w:val="16"/>
              </w:rPr>
            </w:pPr>
            <w:r w:rsidRPr="001D752F">
              <w:rPr>
                <w:rFonts w:cs="Arial"/>
                <w:b/>
                <w:bCs/>
                <w:sz w:val="16"/>
                <w:szCs w:val="16"/>
              </w:rPr>
              <w:t>Liczba zamówień społecznych z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DEEAF6"/>
          </w:tcPr>
          <w:p w14:paraId="05ABBB6A" w14:textId="77777777" w:rsidR="00CA693F" w:rsidRPr="001D752F" w:rsidRDefault="00CA693F" w:rsidP="00CA693F">
            <w:pPr>
              <w:jc w:val="center"/>
              <w:rPr>
                <w:rFonts w:cs="Arial"/>
                <w:b/>
                <w:bCs/>
                <w:sz w:val="16"/>
                <w:szCs w:val="16"/>
              </w:rPr>
            </w:pPr>
            <w:r w:rsidRPr="001D752F">
              <w:rPr>
                <w:rFonts w:cs="Arial"/>
                <w:b/>
                <w:bCs/>
                <w:sz w:val="16"/>
                <w:szCs w:val="16"/>
              </w:rPr>
              <w:t>Wartość zamówień społecznych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DEEAF6"/>
          </w:tcPr>
          <w:p w14:paraId="284184B0" w14:textId="77777777" w:rsidR="00CA693F" w:rsidRPr="001D752F" w:rsidRDefault="00CA693F" w:rsidP="00CA693F">
            <w:pPr>
              <w:jc w:val="center"/>
              <w:rPr>
                <w:rFonts w:cs="Arial"/>
                <w:b/>
                <w:bCs/>
                <w:sz w:val="16"/>
                <w:szCs w:val="16"/>
              </w:rPr>
            </w:pPr>
            <w:r w:rsidRPr="001D752F">
              <w:rPr>
                <w:rFonts w:cs="Arial"/>
                <w:b/>
                <w:bCs/>
                <w:sz w:val="16"/>
                <w:szCs w:val="16"/>
              </w:rPr>
              <w:t>Liczba zamówień społecznych z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DEEAF6"/>
          </w:tcPr>
          <w:p w14:paraId="748C09BC" w14:textId="77777777" w:rsidR="00CA693F" w:rsidRPr="001D752F" w:rsidRDefault="00CA693F" w:rsidP="00CA693F">
            <w:pPr>
              <w:jc w:val="center"/>
              <w:rPr>
                <w:rFonts w:cs="Arial"/>
                <w:b/>
                <w:bCs/>
                <w:sz w:val="16"/>
                <w:szCs w:val="16"/>
              </w:rPr>
            </w:pPr>
            <w:r w:rsidRPr="001D752F">
              <w:rPr>
                <w:rFonts w:cs="Arial"/>
                <w:b/>
                <w:bCs/>
                <w:sz w:val="16"/>
                <w:szCs w:val="16"/>
              </w:rPr>
              <w:t>Wartość zamówień społecznych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3B5E5B2C" w14:textId="77777777" w:rsidR="00CA693F" w:rsidRPr="001D752F" w:rsidRDefault="00CA693F" w:rsidP="00CA693F">
            <w:pPr>
              <w:jc w:val="center"/>
              <w:rPr>
                <w:rFonts w:cs="Arial"/>
                <w:b/>
                <w:bCs/>
                <w:sz w:val="16"/>
                <w:szCs w:val="16"/>
              </w:rPr>
            </w:pPr>
            <w:r w:rsidRPr="001D752F">
              <w:rPr>
                <w:rFonts w:cs="Arial"/>
                <w:b/>
                <w:bCs/>
                <w:sz w:val="16"/>
                <w:szCs w:val="16"/>
              </w:rPr>
              <w:t>Liczba zamówień społecznych z zastosowaniem danego aspektu</w:t>
            </w:r>
          </w:p>
        </w:tc>
        <w:tc>
          <w:tcPr>
            <w:tcW w:w="2021" w:type="dxa"/>
            <w:tcBorders>
              <w:top w:val="single" w:sz="4" w:space="0" w:color="auto"/>
              <w:left w:val="single" w:sz="4" w:space="0" w:color="auto"/>
              <w:bottom w:val="single" w:sz="4" w:space="0" w:color="auto"/>
              <w:right w:val="single" w:sz="4" w:space="0" w:color="auto"/>
            </w:tcBorders>
            <w:shd w:val="clear" w:color="auto" w:fill="DEEAF6"/>
          </w:tcPr>
          <w:p w14:paraId="2DDC73CA" w14:textId="77777777" w:rsidR="00CA693F" w:rsidRPr="001D752F" w:rsidRDefault="00CA693F" w:rsidP="00CA693F">
            <w:pPr>
              <w:jc w:val="center"/>
              <w:rPr>
                <w:rFonts w:cs="Arial"/>
                <w:b/>
                <w:bCs/>
                <w:sz w:val="16"/>
                <w:szCs w:val="16"/>
              </w:rPr>
            </w:pPr>
            <w:r w:rsidRPr="001D752F">
              <w:rPr>
                <w:rFonts w:cs="Arial"/>
                <w:b/>
                <w:bCs/>
                <w:sz w:val="16"/>
                <w:szCs w:val="16"/>
              </w:rPr>
              <w:t>Wartość zamówień społecznych z zastosowaniem danego aspektu</w:t>
            </w:r>
          </w:p>
        </w:tc>
      </w:tr>
      <w:tr w:rsidR="008F3078" w:rsidRPr="001D752F" w14:paraId="1C5E9EEE"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BA28090" w14:textId="77777777" w:rsidR="008F3078" w:rsidRPr="001D752F" w:rsidRDefault="008F3078" w:rsidP="008F3078">
            <w:pPr>
              <w:rPr>
                <w:rFonts w:cs="Arial"/>
                <w:sz w:val="16"/>
                <w:szCs w:val="16"/>
              </w:rPr>
            </w:pPr>
            <w:r w:rsidRPr="001D752F">
              <w:rPr>
                <w:rFonts w:cs="Arial"/>
                <w:sz w:val="16"/>
                <w:szCs w:val="16"/>
              </w:rPr>
              <w:t>1.</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542B1484" w14:textId="77777777" w:rsidR="008F3078" w:rsidRPr="001D752F" w:rsidRDefault="008F3078" w:rsidP="008F3078">
            <w:pPr>
              <w:jc w:val="center"/>
              <w:rPr>
                <w:rFonts w:cs="Arial"/>
                <w:b/>
                <w:sz w:val="16"/>
                <w:szCs w:val="16"/>
              </w:rPr>
            </w:pPr>
            <w:r w:rsidRPr="001D752F">
              <w:rPr>
                <w:rFonts w:cs="Arial"/>
                <w:b/>
                <w:sz w:val="16"/>
                <w:szCs w:val="16"/>
              </w:rPr>
              <w:t>Określenie wymagań związanych z realizacją zamówienia w zakresie zatrudnienia na podstawie stosunku pracy</w:t>
            </w:r>
          </w:p>
        </w:tc>
        <w:tc>
          <w:tcPr>
            <w:tcW w:w="1843" w:type="dxa"/>
            <w:tcBorders>
              <w:top w:val="single" w:sz="4" w:space="0" w:color="auto"/>
              <w:left w:val="single" w:sz="4" w:space="0" w:color="auto"/>
              <w:bottom w:val="single" w:sz="4" w:space="0" w:color="auto"/>
              <w:right w:val="single" w:sz="4" w:space="0" w:color="auto"/>
            </w:tcBorders>
            <w:vAlign w:val="center"/>
          </w:tcPr>
          <w:p w14:paraId="13BEDDB4" w14:textId="138DF142" w:rsidR="008F3078" w:rsidRPr="001D752F" w:rsidRDefault="008F3078" w:rsidP="008F3078">
            <w:pPr>
              <w:jc w:val="center"/>
              <w:rPr>
                <w:rFonts w:eastAsia="Calibri" w:cs="Arial"/>
                <w:sz w:val="16"/>
                <w:szCs w:val="16"/>
              </w:rPr>
            </w:pPr>
            <w:r w:rsidRPr="001D752F">
              <w:rPr>
                <w:rFonts w:eastAsia="Calibri" w:cs="Arial"/>
                <w:sz w:val="16"/>
                <w:szCs w:val="16"/>
              </w:rPr>
              <w:t>26 035</w:t>
            </w:r>
          </w:p>
        </w:tc>
        <w:tc>
          <w:tcPr>
            <w:tcW w:w="2126" w:type="dxa"/>
            <w:tcBorders>
              <w:top w:val="single" w:sz="4" w:space="0" w:color="auto"/>
              <w:left w:val="single" w:sz="4" w:space="0" w:color="auto"/>
              <w:bottom w:val="single" w:sz="4" w:space="0" w:color="auto"/>
              <w:right w:val="single" w:sz="4" w:space="0" w:color="auto"/>
            </w:tcBorders>
            <w:vAlign w:val="center"/>
          </w:tcPr>
          <w:p w14:paraId="1C4BFC63" w14:textId="476D3490" w:rsidR="008F3078" w:rsidRPr="001D752F" w:rsidRDefault="008F3078" w:rsidP="008F3078">
            <w:pPr>
              <w:jc w:val="center"/>
              <w:rPr>
                <w:rFonts w:eastAsia="Calibri" w:cs="Arial"/>
                <w:sz w:val="16"/>
                <w:szCs w:val="16"/>
              </w:rPr>
            </w:pPr>
            <w:r w:rsidRPr="001D752F">
              <w:rPr>
                <w:rFonts w:eastAsia="Calibri" w:cs="Arial"/>
                <w:sz w:val="16"/>
                <w:szCs w:val="16"/>
              </w:rPr>
              <w:t>67 292 100 853,12 zł</w:t>
            </w:r>
          </w:p>
        </w:tc>
        <w:tc>
          <w:tcPr>
            <w:tcW w:w="1843" w:type="dxa"/>
            <w:tcBorders>
              <w:top w:val="single" w:sz="4" w:space="0" w:color="auto"/>
              <w:left w:val="single" w:sz="4" w:space="0" w:color="auto"/>
              <w:bottom w:val="single" w:sz="4" w:space="0" w:color="auto"/>
              <w:right w:val="single" w:sz="4" w:space="0" w:color="auto"/>
            </w:tcBorders>
            <w:vAlign w:val="center"/>
          </w:tcPr>
          <w:p w14:paraId="2A1E2C12" w14:textId="43864C02" w:rsidR="008F3078" w:rsidRPr="001D752F" w:rsidRDefault="008F3078" w:rsidP="008F3078">
            <w:pPr>
              <w:jc w:val="center"/>
              <w:rPr>
                <w:rFonts w:eastAsia="Calibri" w:cs="Arial"/>
                <w:sz w:val="16"/>
                <w:szCs w:val="16"/>
              </w:rPr>
            </w:pPr>
            <w:r w:rsidRPr="001D752F">
              <w:rPr>
                <w:rFonts w:eastAsia="Calibri" w:cs="Arial"/>
                <w:sz w:val="16"/>
                <w:szCs w:val="16"/>
              </w:rPr>
              <w:t>29 561</w:t>
            </w:r>
          </w:p>
        </w:tc>
        <w:tc>
          <w:tcPr>
            <w:tcW w:w="2126" w:type="dxa"/>
            <w:tcBorders>
              <w:top w:val="single" w:sz="4" w:space="0" w:color="auto"/>
              <w:left w:val="single" w:sz="4" w:space="0" w:color="auto"/>
              <w:bottom w:val="single" w:sz="4" w:space="0" w:color="auto"/>
              <w:right w:val="single" w:sz="4" w:space="0" w:color="auto"/>
            </w:tcBorders>
            <w:vAlign w:val="center"/>
          </w:tcPr>
          <w:p w14:paraId="628D7AAA" w14:textId="121EBE73" w:rsidR="008F3078" w:rsidRPr="001D752F" w:rsidRDefault="008F3078" w:rsidP="008F3078">
            <w:pPr>
              <w:jc w:val="center"/>
              <w:rPr>
                <w:rFonts w:eastAsia="Calibri" w:cs="Arial"/>
                <w:sz w:val="16"/>
                <w:szCs w:val="16"/>
              </w:rPr>
            </w:pPr>
            <w:r w:rsidRPr="001D752F">
              <w:rPr>
                <w:rFonts w:eastAsia="Calibri" w:cs="Arial"/>
                <w:sz w:val="16"/>
                <w:szCs w:val="16"/>
              </w:rPr>
              <w:t>69 668 499 235,87 zł</w:t>
            </w:r>
          </w:p>
        </w:tc>
        <w:tc>
          <w:tcPr>
            <w:tcW w:w="1701" w:type="dxa"/>
            <w:tcBorders>
              <w:top w:val="single" w:sz="4" w:space="0" w:color="auto"/>
              <w:left w:val="single" w:sz="4" w:space="0" w:color="auto"/>
              <w:bottom w:val="single" w:sz="4" w:space="0" w:color="auto"/>
              <w:right w:val="single" w:sz="4" w:space="0" w:color="auto"/>
            </w:tcBorders>
            <w:vAlign w:val="center"/>
          </w:tcPr>
          <w:p w14:paraId="05AD8C0C" w14:textId="197D53B2" w:rsidR="008F3078" w:rsidRPr="001D752F" w:rsidRDefault="008F3078" w:rsidP="008F3078">
            <w:pPr>
              <w:jc w:val="center"/>
              <w:rPr>
                <w:rFonts w:eastAsia="Calibri" w:cs="Arial"/>
                <w:sz w:val="16"/>
                <w:szCs w:val="16"/>
              </w:rPr>
            </w:pPr>
            <w:r w:rsidRPr="001D752F">
              <w:rPr>
                <w:rFonts w:eastAsia="Calibri" w:cs="Arial"/>
                <w:sz w:val="16"/>
                <w:szCs w:val="16"/>
              </w:rPr>
              <w:t>35 225</w:t>
            </w:r>
          </w:p>
        </w:tc>
        <w:tc>
          <w:tcPr>
            <w:tcW w:w="2021" w:type="dxa"/>
            <w:tcBorders>
              <w:top w:val="single" w:sz="4" w:space="0" w:color="auto"/>
              <w:left w:val="single" w:sz="4" w:space="0" w:color="auto"/>
              <w:bottom w:val="single" w:sz="4" w:space="0" w:color="auto"/>
              <w:right w:val="single" w:sz="4" w:space="0" w:color="auto"/>
            </w:tcBorders>
            <w:vAlign w:val="center"/>
          </w:tcPr>
          <w:p w14:paraId="1F65B85E" w14:textId="78008424" w:rsidR="008F3078" w:rsidRPr="001D752F" w:rsidRDefault="008F3078" w:rsidP="008F3078">
            <w:pPr>
              <w:jc w:val="center"/>
              <w:rPr>
                <w:rFonts w:eastAsia="Calibri" w:cs="Arial"/>
                <w:sz w:val="16"/>
                <w:szCs w:val="16"/>
              </w:rPr>
            </w:pPr>
            <w:r w:rsidRPr="001D752F">
              <w:rPr>
                <w:rFonts w:eastAsia="Calibri" w:cs="Arial"/>
                <w:sz w:val="16"/>
                <w:szCs w:val="16"/>
              </w:rPr>
              <w:t>95 953 672 674,17 zł</w:t>
            </w:r>
          </w:p>
        </w:tc>
      </w:tr>
      <w:tr w:rsidR="008F3078" w:rsidRPr="001D752F" w14:paraId="68F2D1D2"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7503CD73" w14:textId="77777777" w:rsidR="008F3078" w:rsidRPr="001D752F" w:rsidRDefault="008F3078" w:rsidP="008F3078">
            <w:pPr>
              <w:rPr>
                <w:rFonts w:cs="Arial"/>
                <w:sz w:val="16"/>
                <w:szCs w:val="16"/>
              </w:rPr>
            </w:pPr>
            <w:r w:rsidRPr="001D752F">
              <w:rPr>
                <w:rFonts w:cs="Arial"/>
                <w:sz w:val="16"/>
                <w:szCs w:val="16"/>
              </w:rPr>
              <w:t>2.</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2DEDAF70" w14:textId="77777777" w:rsidR="008F3078" w:rsidRPr="001D752F" w:rsidRDefault="008F3078" w:rsidP="008F3078">
            <w:pPr>
              <w:jc w:val="center"/>
              <w:rPr>
                <w:rFonts w:cs="Arial"/>
                <w:b/>
                <w:sz w:val="16"/>
                <w:szCs w:val="16"/>
              </w:rPr>
            </w:pPr>
            <w:r w:rsidRPr="001D752F">
              <w:rPr>
                <w:rFonts w:cs="Arial"/>
                <w:b/>
                <w:sz w:val="16"/>
                <w:szCs w:val="16"/>
              </w:rPr>
              <w:t xml:space="preserve">Określenie w opisie przedmiotu zamówienia wymagań w zakresie dostępności dla osób niepełnosprawnych lub projektowania z przeznaczeniem dla wszystkich </w:t>
            </w:r>
          </w:p>
        </w:tc>
        <w:tc>
          <w:tcPr>
            <w:tcW w:w="1843" w:type="dxa"/>
            <w:tcBorders>
              <w:top w:val="single" w:sz="4" w:space="0" w:color="auto"/>
              <w:left w:val="single" w:sz="4" w:space="0" w:color="auto"/>
              <w:bottom w:val="single" w:sz="4" w:space="0" w:color="auto"/>
              <w:right w:val="single" w:sz="4" w:space="0" w:color="auto"/>
            </w:tcBorders>
            <w:vAlign w:val="center"/>
          </w:tcPr>
          <w:p w14:paraId="12701C81" w14:textId="407CED76" w:rsidR="008F3078" w:rsidRPr="001D752F" w:rsidRDefault="008F3078" w:rsidP="008F3078">
            <w:pPr>
              <w:jc w:val="center"/>
              <w:rPr>
                <w:rFonts w:eastAsia="Calibri" w:cs="Arial"/>
                <w:sz w:val="16"/>
                <w:szCs w:val="16"/>
              </w:rPr>
            </w:pPr>
            <w:r w:rsidRPr="001D752F">
              <w:rPr>
                <w:rFonts w:eastAsia="Calibri" w:cs="Arial"/>
                <w:sz w:val="16"/>
                <w:szCs w:val="16"/>
              </w:rPr>
              <w:t>3 572</w:t>
            </w:r>
          </w:p>
        </w:tc>
        <w:tc>
          <w:tcPr>
            <w:tcW w:w="2126" w:type="dxa"/>
            <w:tcBorders>
              <w:top w:val="single" w:sz="4" w:space="0" w:color="auto"/>
              <w:left w:val="single" w:sz="4" w:space="0" w:color="auto"/>
              <w:bottom w:val="single" w:sz="4" w:space="0" w:color="auto"/>
              <w:right w:val="single" w:sz="4" w:space="0" w:color="auto"/>
            </w:tcBorders>
            <w:vAlign w:val="center"/>
          </w:tcPr>
          <w:p w14:paraId="720238E8" w14:textId="13AE9DBD" w:rsidR="008F3078" w:rsidRPr="001D752F" w:rsidRDefault="008F3078" w:rsidP="008F3078">
            <w:pPr>
              <w:jc w:val="center"/>
              <w:rPr>
                <w:rFonts w:eastAsia="Calibri" w:cs="Arial"/>
                <w:sz w:val="16"/>
                <w:szCs w:val="16"/>
              </w:rPr>
            </w:pPr>
            <w:r w:rsidRPr="001D752F">
              <w:rPr>
                <w:rFonts w:eastAsia="Calibri" w:cs="Arial"/>
                <w:sz w:val="16"/>
                <w:szCs w:val="16"/>
              </w:rPr>
              <w:t>22 521 127 611,92 zł</w:t>
            </w:r>
          </w:p>
        </w:tc>
        <w:tc>
          <w:tcPr>
            <w:tcW w:w="1843" w:type="dxa"/>
            <w:tcBorders>
              <w:top w:val="single" w:sz="4" w:space="0" w:color="auto"/>
              <w:left w:val="single" w:sz="4" w:space="0" w:color="auto"/>
              <w:bottom w:val="single" w:sz="4" w:space="0" w:color="auto"/>
              <w:right w:val="single" w:sz="4" w:space="0" w:color="auto"/>
            </w:tcBorders>
            <w:vAlign w:val="center"/>
          </w:tcPr>
          <w:p w14:paraId="5A4E1763" w14:textId="2CE61548" w:rsidR="008F3078" w:rsidRPr="001D752F" w:rsidRDefault="008F3078" w:rsidP="008F3078">
            <w:pPr>
              <w:jc w:val="center"/>
              <w:rPr>
                <w:rFonts w:eastAsia="Calibri" w:cs="Arial"/>
                <w:sz w:val="16"/>
                <w:szCs w:val="16"/>
              </w:rPr>
            </w:pPr>
            <w:r w:rsidRPr="001D752F">
              <w:rPr>
                <w:rFonts w:eastAsia="Calibri" w:cs="Arial"/>
                <w:sz w:val="16"/>
                <w:szCs w:val="16"/>
              </w:rPr>
              <w:t>4 925</w:t>
            </w:r>
          </w:p>
        </w:tc>
        <w:tc>
          <w:tcPr>
            <w:tcW w:w="2126" w:type="dxa"/>
            <w:tcBorders>
              <w:top w:val="single" w:sz="4" w:space="0" w:color="auto"/>
              <w:left w:val="single" w:sz="4" w:space="0" w:color="auto"/>
              <w:bottom w:val="single" w:sz="4" w:space="0" w:color="auto"/>
              <w:right w:val="single" w:sz="4" w:space="0" w:color="auto"/>
            </w:tcBorders>
            <w:vAlign w:val="center"/>
          </w:tcPr>
          <w:p w14:paraId="00E41B98" w14:textId="11CB38C9" w:rsidR="008F3078" w:rsidRPr="001D752F" w:rsidRDefault="008F3078" w:rsidP="008F3078">
            <w:pPr>
              <w:jc w:val="center"/>
              <w:rPr>
                <w:rFonts w:eastAsia="Calibri" w:cs="Arial"/>
                <w:sz w:val="16"/>
                <w:szCs w:val="16"/>
              </w:rPr>
            </w:pPr>
            <w:r w:rsidRPr="001D752F">
              <w:rPr>
                <w:rFonts w:eastAsia="Calibri" w:cs="Arial"/>
                <w:sz w:val="16"/>
                <w:szCs w:val="16"/>
              </w:rPr>
              <w:t>14 962 661 385,8 zł</w:t>
            </w:r>
          </w:p>
        </w:tc>
        <w:tc>
          <w:tcPr>
            <w:tcW w:w="1701" w:type="dxa"/>
            <w:tcBorders>
              <w:top w:val="single" w:sz="4" w:space="0" w:color="auto"/>
              <w:left w:val="single" w:sz="4" w:space="0" w:color="auto"/>
              <w:bottom w:val="single" w:sz="4" w:space="0" w:color="auto"/>
              <w:right w:val="single" w:sz="4" w:space="0" w:color="auto"/>
            </w:tcBorders>
            <w:vAlign w:val="center"/>
          </w:tcPr>
          <w:p w14:paraId="7829C61F" w14:textId="46DA46EC" w:rsidR="008F3078" w:rsidRPr="001D752F" w:rsidRDefault="008F3078" w:rsidP="008F3078">
            <w:pPr>
              <w:jc w:val="center"/>
              <w:rPr>
                <w:rFonts w:eastAsia="Calibri" w:cs="Arial"/>
                <w:sz w:val="16"/>
                <w:szCs w:val="16"/>
              </w:rPr>
            </w:pPr>
            <w:r w:rsidRPr="001D752F">
              <w:rPr>
                <w:rFonts w:eastAsia="Calibri" w:cs="Arial"/>
                <w:sz w:val="16"/>
                <w:szCs w:val="16"/>
              </w:rPr>
              <w:t>7 144</w:t>
            </w:r>
          </w:p>
        </w:tc>
        <w:tc>
          <w:tcPr>
            <w:tcW w:w="2021" w:type="dxa"/>
            <w:tcBorders>
              <w:top w:val="single" w:sz="4" w:space="0" w:color="auto"/>
              <w:left w:val="single" w:sz="4" w:space="0" w:color="auto"/>
              <w:bottom w:val="single" w:sz="4" w:space="0" w:color="auto"/>
              <w:right w:val="single" w:sz="4" w:space="0" w:color="auto"/>
            </w:tcBorders>
            <w:vAlign w:val="center"/>
          </w:tcPr>
          <w:p w14:paraId="0FFFF1FB" w14:textId="3EDFB0AA" w:rsidR="008F3078" w:rsidRPr="001D752F" w:rsidRDefault="008F3078" w:rsidP="008F3078">
            <w:pPr>
              <w:jc w:val="center"/>
              <w:rPr>
                <w:rFonts w:eastAsia="Calibri" w:cs="Arial"/>
                <w:sz w:val="16"/>
                <w:szCs w:val="16"/>
              </w:rPr>
            </w:pPr>
            <w:r w:rsidRPr="001D752F">
              <w:rPr>
                <w:rFonts w:eastAsia="Calibri" w:cs="Arial"/>
                <w:sz w:val="16"/>
                <w:szCs w:val="16"/>
              </w:rPr>
              <w:t>34 304 072 107,12 zł</w:t>
            </w:r>
          </w:p>
        </w:tc>
      </w:tr>
      <w:tr w:rsidR="008F3078" w:rsidRPr="001D752F" w14:paraId="64ABB527"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46684280" w14:textId="77777777" w:rsidR="008F3078" w:rsidRPr="001D752F" w:rsidRDefault="008F3078" w:rsidP="008F3078">
            <w:pPr>
              <w:rPr>
                <w:rFonts w:cs="Arial"/>
                <w:sz w:val="16"/>
                <w:szCs w:val="16"/>
              </w:rPr>
            </w:pPr>
            <w:r w:rsidRPr="001D752F">
              <w:rPr>
                <w:rFonts w:cs="Arial"/>
                <w:sz w:val="16"/>
                <w:szCs w:val="16"/>
              </w:rPr>
              <w:t>3.</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28CC00D8" w14:textId="77777777" w:rsidR="008F3078" w:rsidRPr="001D752F" w:rsidRDefault="008F3078" w:rsidP="008F3078">
            <w:pPr>
              <w:jc w:val="center"/>
              <w:rPr>
                <w:rFonts w:cs="Arial"/>
                <w:b/>
                <w:sz w:val="16"/>
                <w:szCs w:val="16"/>
              </w:rPr>
            </w:pPr>
            <w:r w:rsidRPr="001D752F">
              <w:rPr>
                <w:rFonts w:cs="Arial"/>
                <w:b/>
                <w:sz w:val="16"/>
                <w:szCs w:val="16"/>
              </w:rPr>
              <w:t>Określenie aspektów społecznych w kryteriach oceny ofert</w:t>
            </w:r>
          </w:p>
        </w:tc>
        <w:tc>
          <w:tcPr>
            <w:tcW w:w="1843" w:type="dxa"/>
            <w:tcBorders>
              <w:top w:val="single" w:sz="4" w:space="0" w:color="auto"/>
              <w:left w:val="single" w:sz="4" w:space="0" w:color="auto"/>
              <w:bottom w:val="single" w:sz="4" w:space="0" w:color="auto"/>
              <w:right w:val="single" w:sz="4" w:space="0" w:color="auto"/>
            </w:tcBorders>
            <w:vAlign w:val="center"/>
          </w:tcPr>
          <w:p w14:paraId="354917DD" w14:textId="3C4E3164" w:rsidR="008F3078" w:rsidRPr="001D752F" w:rsidRDefault="008F3078" w:rsidP="008F3078">
            <w:pPr>
              <w:jc w:val="center"/>
              <w:rPr>
                <w:rFonts w:cs="Arial"/>
                <w:sz w:val="16"/>
                <w:szCs w:val="16"/>
              </w:rPr>
            </w:pPr>
            <w:r w:rsidRPr="001D752F">
              <w:rPr>
                <w:rFonts w:cs="Arial"/>
                <w:sz w:val="16"/>
                <w:szCs w:val="16"/>
              </w:rPr>
              <w:t>1 416</w:t>
            </w:r>
          </w:p>
        </w:tc>
        <w:tc>
          <w:tcPr>
            <w:tcW w:w="2126" w:type="dxa"/>
            <w:tcBorders>
              <w:top w:val="single" w:sz="4" w:space="0" w:color="auto"/>
              <w:left w:val="single" w:sz="4" w:space="0" w:color="auto"/>
              <w:bottom w:val="single" w:sz="4" w:space="0" w:color="auto"/>
              <w:right w:val="single" w:sz="4" w:space="0" w:color="auto"/>
            </w:tcBorders>
            <w:vAlign w:val="center"/>
          </w:tcPr>
          <w:p w14:paraId="5025585E" w14:textId="1EC98FEA" w:rsidR="008F3078" w:rsidRPr="001D752F" w:rsidRDefault="008F3078" w:rsidP="008F3078">
            <w:pPr>
              <w:jc w:val="center"/>
              <w:rPr>
                <w:rFonts w:cs="Arial"/>
                <w:sz w:val="16"/>
                <w:szCs w:val="16"/>
              </w:rPr>
            </w:pPr>
            <w:r w:rsidRPr="001D752F">
              <w:rPr>
                <w:rFonts w:cs="Arial"/>
                <w:sz w:val="16"/>
                <w:szCs w:val="16"/>
              </w:rPr>
              <w:t>1 799 757 642,37 zł</w:t>
            </w:r>
          </w:p>
        </w:tc>
        <w:tc>
          <w:tcPr>
            <w:tcW w:w="1843" w:type="dxa"/>
            <w:tcBorders>
              <w:top w:val="single" w:sz="4" w:space="0" w:color="auto"/>
              <w:left w:val="single" w:sz="4" w:space="0" w:color="auto"/>
              <w:bottom w:val="single" w:sz="4" w:space="0" w:color="auto"/>
              <w:right w:val="single" w:sz="4" w:space="0" w:color="auto"/>
            </w:tcBorders>
            <w:vAlign w:val="center"/>
          </w:tcPr>
          <w:p w14:paraId="43BBFB3E" w14:textId="35A2BB88" w:rsidR="008F3078" w:rsidRPr="001D752F" w:rsidRDefault="008F3078" w:rsidP="008F3078">
            <w:pPr>
              <w:jc w:val="center"/>
              <w:rPr>
                <w:rFonts w:cs="Arial"/>
                <w:sz w:val="16"/>
                <w:szCs w:val="16"/>
              </w:rPr>
            </w:pPr>
            <w:r w:rsidRPr="001D752F">
              <w:rPr>
                <w:rFonts w:cs="Arial"/>
                <w:sz w:val="16"/>
                <w:szCs w:val="16"/>
              </w:rPr>
              <w:t>1 602</w:t>
            </w:r>
          </w:p>
        </w:tc>
        <w:tc>
          <w:tcPr>
            <w:tcW w:w="2126" w:type="dxa"/>
            <w:tcBorders>
              <w:top w:val="single" w:sz="4" w:space="0" w:color="auto"/>
              <w:left w:val="single" w:sz="4" w:space="0" w:color="auto"/>
              <w:bottom w:val="single" w:sz="4" w:space="0" w:color="auto"/>
              <w:right w:val="single" w:sz="4" w:space="0" w:color="auto"/>
            </w:tcBorders>
            <w:vAlign w:val="center"/>
          </w:tcPr>
          <w:p w14:paraId="1DA26559" w14:textId="3F011ABC" w:rsidR="008F3078" w:rsidRPr="001D752F" w:rsidRDefault="008F3078" w:rsidP="008F3078">
            <w:pPr>
              <w:jc w:val="center"/>
              <w:rPr>
                <w:rFonts w:cs="Arial"/>
                <w:sz w:val="16"/>
                <w:szCs w:val="16"/>
              </w:rPr>
            </w:pPr>
            <w:r w:rsidRPr="001D752F">
              <w:rPr>
                <w:rFonts w:cs="Arial"/>
                <w:sz w:val="16"/>
                <w:szCs w:val="16"/>
              </w:rPr>
              <w:t>2 376 459 880,57 zł</w:t>
            </w:r>
          </w:p>
        </w:tc>
        <w:tc>
          <w:tcPr>
            <w:tcW w:w="1701" w:type="dxa"/>
            <w:tcBorders>
              <w:top w:val="single" w:sz="4" w:space="0" w:color="auto"/>
              <w:left w:val="single" w:sz="4" w:space="0" w:color="auto"/>
              <w:bottom w:val="single" w:sz="4" w:space="0" w:color="auto"/>
              <w:right w:val="single" w:sz="4" w:space="0" w:color="auto"/>
            </w:tcBorders>
            <w:vAlign w:val="center"/>
          </w:tcPr>
          <w:p w14:paraId="7A16C96A" w14:textId="268936F0" w:rsidR="008F3078" w:rsidRPr="001D752F" w:rsidRDefault="008F3078" w:rsidP="008F3078">
            <w:pPr>
              <w:jc w:val="center"/>
              <w:rPr>
                <w:rFonts w:cs="Arial"/>
                <w:sz w:val="16"/>
                <w:szCs w:val="16"/>
              </w:rPr>
            </w:pPr>
            <w:r w:rsidRPr="001D752F">
              <w:rPr>
                <w:rFonts w:cs="Arial"/>
                <w:sz w:val="16"/>
                <w:szCs w:val="16"/>
              </w:rPr>
              <w:t>1 897</w:t>
            </w:r>
          </w:p>
        </w:tc>
        <w:tc>
          <w:tcPr>
            <w:tcW w:w="2021" w:type="dxa"/>
            <w:tcBorders>
              <w:top w:val="single" w:sz="4" w:space="0" w:color="auto"/>
              <w:left w:val="single" w:sz="4" w:space="0" w:color="auto"/>
              <w:bottom w:val="single" w:sz="4" w:space="0" w:color="auto"/>
              <w:right w:val="single" w:sz="4" w:space="0" w:color="auto"/>
            </w:tcBorders>
            <w:vAlign w:val="center"/>
          </w:tcPr>
          <w:p w14:paraId="5739EFA7" w14:textId="790D4C1B" w:rsidR="008F3078" w:rsidRPr="001D752F" w:rsidRDefault="008F3078" w:rsidP="008F3078">
            <w:pPr>
              <w:jc w:val="center"/>
              <w:rPr>
                <w:rFonts w:cs="Arial"/>
                <w:sz w:val="16"/>
                <w:szCs w:val="16"/>
              </w:rPr>
            </w:pPr>
            <w:r w:rsidRPr="001D752F">
              <w:rPr>
                <w:rFonts w:cs="Arial"/>
                <w:sz w:val="16"/>
                <w:szCs w:val="16"/>
              </w:rPr>
              <w:t>6 739 611 247,90 zł</w:t>
            </w:r>
          </w:p>
        </w:tc>
      </w:tr>
      <w:tr w:rsidR="008F3078" w:rsidRPr="001D752F" w14:paraId="594FC79A"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2A51910E" w14:textId="77777777" w:rsidR="008F3078" w:rsidRPr="001D752F" w:rsidRDefault="008F3078" w:rsidP="008F3078">
            <w:pPr>
              <w:rPr>
                <w:rFonts w:cs="Arial"/>
                <w:sz w:val="16"/>
                <w:szCs w:val="16"/>
              </w:rPr>
            </w:pPr>
            <w:r w:rsidRPr="001D752F">
              <w:rPr>
                <w:rFonts w:cs="Arial"/>
                <w:sz w:val="16"/>
                <w:szCs w:val="16"/>
              </w:rPr>
              <w:t>4.</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1636918B" w14:textId="003AA99A" w:rsidR="008F3078" w:rsidRPr="001D752F" w:rsidRDefault="008F3078" w:rsidP="008F3078">
            <w:pPr>
              <w:jc w:val="center"/>
              <w:rPr>
                <w:rFonts w:cs="Arial"/>
                <w:b/>
                <w:sz w:val="16"/>
                <w:szCs w:val="16"/>
              </w:rPr>
            </w:pPr>
            <w:r w:rsidRPr="001D752F">
              <w:rPr>
                <w:rFonts w:cs="Arial"/>
                <w:b/>
                <w:sz w:val="16"/>
                <w:szCs w:val="16"/>
              </w:rPr>
              <w:t>Określenie wymagań związanych z realizacją zamówienia obejmujących aspekty społeczne związane z zatrudnieniem</w:t>
            </w:r>
          </w:p>
        </w:tc>
        <w:tc>
          <w:tcPr>
            <w:tcW w:w="1843" w:type="dxa"/>
            <w:tcBorders>
              <w:top w:val="single" w:sz="4" w:space="0" w:color="auto"/>
              <w:left w:val="single" w:sz="4" w:space="0" w:color="auto"/>
              <w:bottom w:val="single" w:sz="4" w:space="0" w:color="auto"/>
              <w:right w:val="single" w:sz="4" w:space="0" w:color="auto"/>
            </w:tcBorders>
            <w:vAlign w:val="center"/>
          </w:tcPr>
          <w:p w14:paraId="467A319A" w14:textId="286B7F55" w:rsidR="008F3078" w:rsidRPr="001D752F" w:rsidRDefault="008F3078" w:rsidP="008F3078">
            <w:pPr>
              <w:jc w:val="center"/>
              <w:rPr>
                <w:rFonts w:eastAsia="Calibri" w:cs="Arial"/>
                <w:sz w:val="16"/>
                <w:szCs w:val="16"/>
              </w:rPr>
            </w:pPr>
            <w:r w:rsidRPr="001D752F">
              <w:rPr>
                <w:rFonts w:eastAsia="Calibri" w:cs="Arial"/>
                <w:sz w:val="16"/>
                <w:szCs w:val="16"/>
              </w:rPr>
              <w:t>861</w:t>
            </w:r>
          </w:p>
        </w:tc>
        <w:tc>
          <w:tcPr>
            <w:tcW w:w="2126" w:type="dxa"/>
            <w:tcBorders>
              <w:top w:val="single" w:sz="4" w:space="0" w:color="auto"/>
              <w:left w:val="single" w:sz="4" w:space="0" w:color="auto"/>
              <w:bottom w:val="single" w:sz="4" w:space="0" w:color="auto"/>
              <w:right w:val="single" w:sz="4" w:space="0" w:color="auto"/>
            </w:tcBorders>
            <w:vAlign w:val="center"/>
          </w:tcPr>
          <w:p w14:paraId="58CDABF3" w14:textId="1FF708E3" w:rsidR="008F3078" w:rsidRPr="001D752F" w:rsidRDefault="008F3078" w:rsidP="008F3078">
            <w:pPr>
              <w:jc w:val="center"/>
              <w:rPr>
                <w:rFonts w:eastAsia="Calibri" w:cs="Arial"/>
                <w:sz w:val="16"/>
                <w:szCs w:val="16"/>
              </w:rPr>
            </w:pPr>
            <w:r w:rsidRPr="001D752F">
              <w:rPr>
                <w:rFonts w:eastAsia="Calibri" w:cs="Arial"/>
                <w:sz w:val="16"/>
                <w:szCs w:val="16"/>
              </w:rPr>
              <w:t>1 576 453 261,17</w:t>
            </w:r>
            <w:r w:rsidR="00905292">
              <w:rPr>
                <w:rFonts w:eastAsia="Calibri" w:cs="Arial"/>
                <w:sz w:val="16"/>
                <w:szCs w:val="16"/>
              </w:rPr>
              <w:t xml:space="preserve"> zł</w:t>
            </w:r>
          </w:p>
        </w:tc>
        <w:tc>
          <w:tcPr>
            <w:tcW w:w="1843" w:type="dxa"/>
            <w:tcBorders>
              <w:top w:val="single" w:sz="4" w:space="0" w:color="auto"/>
              <w:left w:val="single" w:sz="4" w:space="0" w:color="auto"/>
              <w:bottom w:val="single" w:sz="4" w:space="0" w:color="auto"/>
              <w:right w:val="single" w:sz="4" w:space="0" w:color="auto"/>
            </w:tcBorders>
            <w:vAlign w:val="center"/>
          </w:tcPr>
          <w:p w14:paraId="654A5C4C" w14:textId="156C6CDC" w:rsidR="008F3078" w:rsidRPr="001D752F" w:rsidRDefault="008F3078" w:rsidP="008F3078">
            <w:pPr>
              <w:jc w:val="center"/>
              <w:rPr>
                <w:rFonts w:eastAsia="Calibri" w:cs="Arial"/>
                <w:sz w:val="16"/>
                <w:szCs w:val="16"/>
              </w:rPr>
            </w:pPr>
            <w:r w:rsidRPr="001D752F">
              <w:rPr>
                <w:rFonts w:eastAsia="Calibri" w:cs="Arial"/>
                <w:sz w:val="16"/>
                <w:szCs w:val="16"/>
              </w:rPr>
              <w:t>1 171</w:t>
            </w:r>
          </w:p>
        </w:tc>
        <w:tc>
          <w:tcPr>
            <w:tcW w:w="2126" w:type="dxa"/>
            <w:tcBorders>
              <w:top w:val="single" w:sz="4" w:space="0" w:color="auto"/>
              <w:left w:val="single" w:sz="4" w:space="0" w:color="auto"/>
              <w:bottom w:val="single" w:sz="4" w:space="0" w:color="auto"/>
              <w:right w:val="single" w:sz="4" w:space="0" w:color="auto"/>
            </w:tcBorders>
            <w:vAlign w:val="center"/>
          </w:tcPr>
          <w:p w14:paraId="70C3B356" w14:textId="7B98FFBF" w:rsidR="008F3078" w:rsidRPr="001D752F" w:rsidRDefault="008F3078" w:rsidP="008F3078">
            <w:pPr>
              <w:jc w:val="center"/>
              <w:rPr>
                <w:rFonts w:eastAsia="Calibri" w:cs="Arial"/>
                <w:sz w:val="16"/>
                <w:szCs w:val="16"/>
              </w:rPr>
            </w:pPr>
            <w:r w:rsidRPr="001D752F">
              <w:rPr>
                <w:rFonts w:eastAsia="Calibri" w:cs="Arial"/>
                <w:sz w:val="16"/>
                <w:szCs w:val="16"/>
              </w:rPr>
              <w:t>3 647 056 014,24 zł</w:t>
            </w:r>
          </w:p>
        </w:tc>
        <w:tc>
          <w:tcPr>
            <w:tcW w:w="1701" w:type="dxa"/>
            <w:tcBorders>
              <w:top w:val="single" w:sz="4" w:space="0" w:color="auto"/>
              <w:left w:val="single" w:sz="4" w:space="0" w:color="auto"/>
              <w:bottom w:val="single" w:sz="4" w:space="0" w:color="auto"/>
              <w:right w:val="single" w:sz="4" w:space="0" w:color="auto"/>
            </w:tcBorders>
            <w:vAlign w:val="center"/>
          </w:tcPr>
          <w:p w14:paraId="27897D5B" w14:textId="09652353" w:rsidR="008F3078" w:rsidRPr="001D752F" w:rsidRDefault="008F3078" w:rsidP="008F3078">
            <w:pPr>
              <w:jc w:val="center"/>
              <w:rPr>
                <w:rFonts w:eastAsia="Calibri" w:cs="Arial"/>
                <w:sz w:val="16"/>
                <w:szCs w:val="16"/>
              </w:rPr>
            </w:pPr>
            <w:r w:rsidRPr="001D752F">
              <w:rPr>
                <w:rFonts w:eastAsia="Calibri" w:cs="Arial"/>
                <w:sz w:val="16"/>
                <w:szCs w:val="16"/>
              </w:rPr>
              <w:t>1 123</w:t>
            </w:r>
          </w:p>
        </w:tc>
        <w:tc>
          <w:tcPr>
            <w:tcW w:w="2021" w:type="dxa"/>
            <w:tcBorders>
              <w:top w:val="single" w:sz="4" w:space="0" w:color="auto"/>
              <w:left w:val="single" w:sz="4" w:space="0" w:color="auto"/>
              <w:bottom w:val="single" w:sz="4" w:space="0" w:color="auto"/>
              <w:right w:val="single" w:sz="4" w:space="0" w:color="auto"/>
            </w:tcBorders>
            <w:vAlign w:val="center"/>
          </w:tcPr>
          <w:p w14:paraId="2D6D6887" w14:textId="0808E040" w:rsidR="008F3078" w:rsidRPr="001D752F" w:rsidRDefault="008F3078" w:rsidP="008F3078">
            <w:pPr>
              <w:jc w:val="center"/>
              <w:rPr>
                <w:rFonts w:eastAsia="Calibri" w:cs="Arial"/>
                <w:sz w:val="16"/>
                <w:szCs w:val="16"/>
              </w:rPr>
            </w:pPr>
            <w:r w:rsidRPr="001D752F">
              <w:rPr>
                <w:rFonts w:eastAsia="Calibri" w:cs="Arial"/>
                <w:sz w:val="16"/>
                <w:szCs w:val="16"/>
              </w:rPr>
              <w:t>3 041 145 766,69 zł</w:t>
            </w:r>
          </w:p>
        </w:tc>
      </w:tr>
      <w:tr w:rsidR="008F3078" w:rsidRPr="001D752F" w14:paraId="419747BF"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4A94080" w14:textId="77777777" w:rsidR="008F3078" w:rsidRPr="001D752F" w:rsidRDefault="008F3078" w:rsidP="008F3078">
            <w:pPr>
              <w:rPr>
                <w:rFonts w:cs="Arial"/>
                <w:sz w:val="16"/>
                <w:szCs w:val="16"/>
              </w:rPr>
            </w:pPr>
            <w:r w:rsidRPr="001D752F">
              <w:rPr>
                <w:rFonts w:cs="Arial"/>
                <w:sz w:val="16"/>
                <w:szCs w:val="16"/>
              </w:rPr>
              <w:t>5.</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4C1C5B5F" w14:textId="77777777" w:rsidR="008F3078" w:rsidRPr="001D752F" w:rsidRDefault="008F3078" w:rsidP="008F3078">
            <w:pPr>
              <w:jc w:val="center"/>
              <w:rPr>
                <w:rFonts w:cs="Arial"/>
                <w:b/>
                <w:sz w:val="16"/>
                <w:szCs w:val="16"/>
              </w:rPr>
            </w:pPr>
            <w:r w:rsidRPr="001D752F">
              <w:rPr>
                <w:rFonts w:cs="Arial"/>
                <w:b/>
                <w:sz w:val="16"/>
                <w:szCs w:val="16"/>
              </w:rPr>
              <w:t>Zamówienia zastrzeżone na usługi zdrowotne, społeczne lub kulturalne</w:t>
            </w:r>
          </w:p>
        </w:tc>
        <w:tc>
          <w:tcPr>
            <w:tcW w:w="1843" w:type="dxa"/>
            <w:tcBorders>
              <w:top w:val="single" w:sz="4" w:space="0" w:color="auto"/>
              <w:left w:val="single" w:sz="4" w:space="0" w:color="auto"/>
              <w:bottom w:val="single" w:sz="4" w:space="0" w:color="auto"/>
              <w:right w:val="single" w:sz="4" w:space="0" w:color="auto"/>
            </w:tcBorders>
            <w:vAlign w:val="center"/>
          </w:tcPr>
          <w:p w14:paraId="76EA226D" w14:textId="3161BF27" w:rsidR="008F3078" w:rsidRPr="001D752F" w:rsidRDefault="008F3078" w:rsidP="008F3078">
            <w:pPr>
              <w:jc w:val="center"/>
              <w:rPr>
                <w:rFonts w:cs="Arial"/>
                <w:sz w:val="16"/>
                <w:szCs w:val="16"/>
              </w:rPr>
            </w:pPr>
            <w:r w:rsidRPr="001D752F">
              <w:rPr>
                <w:rFonts w:cs="Arial"/>
                <w:sz w:val="16"/>
                <w:szCs w:val="16"/>
              </w:rPr>
              <w:t>216</w:t>
            </w:r>
          </w:p>
        </w:tc>
        <w:tc>
          <w:tcPr>
            <w:tcW w:w="2126" w:type="dxa"/>
            <w:tcBorders>
              <w:top w:val="single" w:sz="4" w:space="0" w:color="auto"/>
              <w:left w:val="single" w:sz="4" w:space="0" w:color="auto"/>
              <w:bottom w:val="single" w:sz="4" w:space="0" w:color="auto"/>
              <w:right w:val="single" w:sz="4" w:space="0" w:color="auto"/>
            </w:tcBorders>
            <w:vAlign w:val="center"/>
          </w:tcPr>
          <w:p w14:paraId="0F37A46A" w14:textId="0DEF0C05" w:rsidR="008F3078" w:rsidRPr="001D752F" w:rsidRDefault="008F3078" w:rsidP="008F3078">
            <w:pPr>
              <w:jc w:val="center"/>
              <w:rPr>
                <w:rFonts w:cs="Arial"/>
                <w:sz w:val="16"/>
                <w:szCs w:val="16"/>
              </w:rPr>
            </w:pPr>
            <w:r w:rsidRPr="001D752F">
              <w:rPr>
                <w:rFonts w:cs="Arial"/>
                <w:sz w:val="16"/>
                <w:szCs w:val="16"/>
              </w:rPr>
              <w:t>92 021 201,73 zł</w:t>
            </w:r>
          </w:p>
        </w:tc>
        <w:tc>
          <w:tcPr>
            <w:tcW w:w="1843" w:type="dxa"/>
            <w:tcBorders>
              <w:top w:val="single" w:sz="4" w:space="0" w:color="auto"/>
              <w:left w:val="single" w:sz="4" w:space="0" w:color="auto"/>
              <w:bottom w:val="single" w:sz="4" w:space="0" w:color="auto"/>
              <w:right w:val="single" w:sz="4" w:space="0" w:color="auto"/>
            </w:tcBorders>
            <w:vAlign w:val="center"/>
          </w:tcPr>
          <w:p w14:paraId="64AB30E0" w14:textId="26ACCEEB" w:rsidR="008F3078" w:rsidRPr="001D752F" w:rsidRDefault="008F3078" w:rsidP="008F3078">
            <w:pPr>
              <w:jc w:val="center"/>
              <w:rPr>
                <w:rFonts w:cs="Arial"/>
                <w:sz w:val="16"/>
                <w:szCs w:val="16"/>
              </w:rPr>
            </w:pPr>
            <w:r w:rsidRPr="001D752F">
              <w:rPr>
                <w:rFonts w:cs="Arial"/>
                <w:sz w:val="16"/>
                <w:szCs w:val="16"/>
              </w:rPr>
              <w:t>339</w:t>
            </w:r>
          </w:p>
        </w:tc>
        <w:tc>
          <w:tcPr>
            <w:tcW w:w="2126" w:type="dxa"/>
            <w:tcBorders>
              <w:top w:val="single" w:sz="4" w:space="0" w:color="auto"/>
              <w:left w:val="single" w:sz="4" w:space="0" w:color="auto"/>
              <w:bottom w:val="single" w:sz="4" w:space="0" w:color="auto"/>
              <w:right w:val="single" w:sz="4" w:space="0" w:color="auto"/>
            </w:tcBorders>
            <w:vAlign w:val="center"/>
          </w:tcPr>
          <w:p w14:paraId="167EEE53" w14:textId="4E8AE290" w:rsidR="008F3078" w:rsidRPr="001D752F" w:rsidRDefault="008F3078" w:rsidP="008F3078">
            <w:pPr>
              <w:jc w:val="center"/>
              <w:rPr>
                <w:rFonts w:cs="Arial"/>
                <w:sz w:val="16"/>
                <w:szCs w:val="16"/>
              </w:rPr>
            </w:pPr>
            <w:r w:rsidRPr="001D752F">
              <w:rPr>
                <w:rFonts w:cs="Arial"/>
                <w:sz w:val="16"/>
                <w:szCs w:val="16"/>
              </w:rPr>
              <w:t>161 232 720,14 zł</w:t>
            </w:r>
          </w:p>
        </w:tc>
        <w:tc>
          <w:tcPr>
            <w:tcW w:w="1701" w:type="dxa"/>
            <w:tcBorders>
              <w:top w:val="single" w:sz="4" w:space="0" w:color="auto"/>
              <w:left w:val="single" w:sz="4" w:space="0" w:color="auto"/>
              <w:bottom w:val="single" w:sz="4" w:space="0" w:color="auto"/>
              <w:right w:val="single" w:sz="4" w:space="0" w:color="auto"/>
            </w:tcBorders>
            <w:vAlign w:val="center"/>
          </w:tcPr>
          <w:p w14:paraId="6D435F61" w14:textId="3FF11816" w:rsidR="008F3078" w:rsidRPr="001D752F" w:rsidRDefault="008F3078" w:rsidP="008F3078">
            <w:pPr>
              <w:jc w:val="center"/>
              <w:rPr>
                <w:rFonts w:cs="Arial"/>
                <w:sz w:val="16"/>
                <w:szCs w:val="16"/>
              </w:rPr>
            </w:pPr>
            <w:r w:rsidRPr="001D752F">
              <w:rPr>
                <w:rFonts w:cs="Arial"/>
                <w:sz w:val="16"/>
                <w:szCs w:val="16"/>
              </w:rPr>
              <w:t>589</w:t>
            </w:r>
          </w:p>
        </w:tc>
        <w:tc>
          <w:tcPr>
            <w:tcW w:w="2021" w:type="dxa"/>
            <w:tcBorders>
              <w:top w:val="single" w:sz="4" w:space="0" w:color="auto"/>
              <w:left w:val="single" w:sz="4" w:space="0" w:color="auto"/>
              <w:bottom w:val="single" w:sz="4" w:space="0" w:color="auto"/>
              <w:right w:val="single" w:sz="4" w:space="0" w:color="auto"/>
            </w:tcBorders>
            <w:vAlign w:val="center"/>
          </w:tcPr>
          <w:p w14:paraId="6E07F036" w14:textId="1F35C7F4" w:rsidR="008F3078" w:rsidRPr="001D752F" w:rsidRDefault="008F3078" w:rsidP="008F3078">
            <w:pPr>
              <w:jc w:val="center"/>
              <w:rPr>
                <w:rFonts w:cs="Arial"/>
                <w:sz w:val="16"/>
                <w:szCs w:val="16"/>
              </w:rPr>
            </w:pPr>
            <w:r w:rsidRPr="001D752F">
              <w:rPr>
                <w:rFonts w:cs="Arial"/>
                <w:sz w:val="16"/>
                <w:szCs w:val="16"/>
              </w:rPr>
              <w:t>310 898 463,15 zł</w:t>
            </w:r>
          </w:p>
        </w:tc>
      </w:tr>
      <w:tr w:rsidR="008F3078" w:rsidRPr="001D752F" w14:paraId="4DBCCB66" w14:textId="77777777" w:rsidTr="00905292">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63A8353D" w14:textId="77777777" w:rsidR="008F3078" w:rsidRPr="001D752F" w:rsidRDefault="008F3078" w:rsidP="008F3078">
            <w:pPr>
              <w:rPr>
                <w:rFonts w:cs="Arial"/>
                <w:sz w:val="16"/>
                <w:szCs w:val="16"/>
              </w:rPr>
            </w:pPr>
            <w:r w:rsidRPr="001D752F">
              <w:rPr>
                <w:rFonts w:cs="Arial"/>
                <w:sz w:val="16"/>
                <w:szCs w:val="16"/>
              </w:rPr>
              <w:t>6.</w:t>
            </w:r>
          </w:p>
        </w:tc>
        <w:tc>
          <w:tcPr>
            <w:tcW w:w="3006" w:type="dxa"/>
            <w:tcBorders>
              <w:top w:val="single" w:sz="4" w:space="0" w:color="auto"/>
              <w:left w:val="single" w:sz="4" w:space="0" w:color="auto"/>
              <w:bottom w:val="single" w:sz="4" w:space="0" w:color="auto"/>
              <w:right w:val="single" w:sz="4" w:space="0" w:color="auto"/>
            </w:tcBorders>
            <w:shd w:val="clear" w:color="auto" w:fill="DEEAF6"/>
            <w:hideMark/>
          </w:tcPr>
          <w:p w14:paraId="470F509B" w14:textId="77777777" w:rsidR="008F3078" w:rsidRPr="001D752F" w:rsidRDefault="008F3078" w:rsidP="008F3078">
            <w:pPr>
              <w:jc w:val="center"/>
              <w:rPr>
                <w:rFonts w:cs="Arial"/>
                <w:b/>
                <w:sz w:val="16"/>
                <w:szCs w:val="16"/>
              </w:rPr>
            </w:pPr>
            <w:r w:rsidRPr="001D752F">
              <w:rPr>
                <w:rFonts w:cs="Arial"/>
                <w:b/>
                <w:sz w:val="16"/>
                <w:szCs w:val="16"/>
              </w:rPr>
              <w:t>Zamówienie udzielone jako zamówienie zastrzeżone</w:t>
            </w:r>
          </w:p>
        </w:tc>
        <w:tc>
          <w:tcPr>
            <w:tcW w:w="1843" w:type="dxa"/>
            <w:tcBorders>
              <w:top w:val="single" w:sz="4" w:space="0" w:color="auto"/>
              <w:left w:val="single" w:sz="4" w:space="0" w:color="auto"/>
              <w:bottom w:val="single" w:sz="4" w:space="0" w:color="auto"/>
              <w:right w:val="single" w:sz="4" w:space="0" w:color="auto"/>
            </w:tcBorders>
            <w:vAlign w:val="center"/>
          </w:tcPr>
          <w:p w14:paraId="31943648" w14:textId="41229C4F" w:rsidR="008F3078" w:rsidRPr="001D752F" w:rsidRDefault="008F3078" w:rsidP="008F3078">
            <w:pPr>
              <w:jc w:val="center"/>
              <w:rPr>
                <w:rFonts w:cs="Arial"/>
                <w:sz w:val="16"/>
                <w:szCs w:val="16"/>
              </w:rPr>
            </w:pPr>
            <w:r w:rsidRPr="001D752F">
              <w:rPr>
                <w:rFonts w:cs="Arial"/>
                <w:sz w:val="16"/>
                <w:szCs w:val="16"/>
              </w:rPr>
              <w:t>183</w:t>
            </w:r>
          </w:p>
        </w:tc>
        <w:tc>
          <w:tcPr>
            <w:tcW w:w="2126" w:type="dxa"/>
            <w:tcBorders>
              <w:top w:val="single" w:sz="4" w:space="0" w:color="auto"/>
              <w:left w:val="single" w:sz="4" w:space="0" w:color="auto"/>
              <w:bottom w:val="single" w:sz="4" w:space="0" w:color="auto"/>
              <w:right w:val="single" w:sz="4" w:space="0" w:color="auto"/>
            </w:tcBorders>
            <w:vAlign w:val="center"/>
          </w:tcPr>
          <w:p w14:paraId="1DF3382F" w14:textId="67D34F0D" w:rsidR="008F3078" w:rsidRPr="001D752F" w:rsidRDefault="008F3078" w:rsidP="008F3078">
            <w:pPr>
              <w:jc w:val="center"/>
              <w:rPr>
                <w:rFonts w:cs="Arial"/>
                <w:sz w:val="16"/>
                <w:szCs w:val="16"/>
              </w:rPr>
            </w:pPr>
            <w:r w:rsidRPr="001D752F">
              <w:rPr>
                <w:rFonts w:cs="Arial"/>
                <w:sz w:val="16"/>
                <w:szCs w:val="16"/>
              </w:rPr>
              <w:t>167 913 445,12 zł</w:t>
            </w:r>
          </w:p>
        </w:tc>
        <w:tc>
          <w:tcPr>
            <w:tcW w:w="1843" w:type="dxa"/>
            <w:tcBorders>
              <w:top w:val="single" w:sz="4" w:space="0" w:color="auto"/>
              <w:left w:val="single" w:sz="4" w:space="0" w:color="auto"/>
              <w:bottom w:val="single" w:sz="4" w:space="0" w:color="auto"/>
              <w:right w:val="single" w:sz="4" w:space="0" w:color="auto"/>
            </w:tcBorders>
            <w:vAlign w:val="center"/>
          </w:tcPr>
          <w:p w14:paraId="16BF1641" w14:textId="308C8316" w:rsidR="008F3078" w:rsidRPr="001D752F" w:rsidRDefault="008F3078" w:rsidP="008F3078">
            <w:pPr>
              <w:jc w:val="center"/>
              <w:rPr>
                <w:rFonts w:cs="Arial"/>
                <w:sz w:val="16"/>
                <w:szCs w:val="16"/>
              </w:rPr>
            </w:pPr>
            <w:r w:rsidRPr="001D752F">
              <w:rPr>
                <w:rFonts w:cs="Arial"/>
                <w:sz w:val="16"/>
                <w:szCs w:val="16"/>
              </w:rPr>
              <w:t>186</w:t>
            </w:r>
          </w:p>
        </w:tc>
        <w:tc>
          <w:tcPr>
            <w:tcW w:w="2126" w:type="dxa"/>
            <w:tcBorders>
              <w:top w:val="single" w:sz="4" w:space="0" w:color="auto"/>
              <w:left w:val="single" w:sz="4" w:space="0" w:color="auto"/>
              <w:bottom w:val="single" w:sz="4" w:space="0" w:color="auto"/>
              <w:right w:val="single" w:sz="4" w:space="0" w:color="auto"/>
            </w:tcBorders>
            <w:vAlign w:val="center"/>
          </w:tcPr>
          <w:p w14:paraId="3BC5716A" w14:textId="198DA2E9" w:rsidR="008F3078" w:rsidRPr="001D752F" w:rsidRDefault="008F3078" w:rsidP="008F3078">
            <w:pPr>
              <w:jc w:val="center"/>
              <w:rPr>
                <w:rFonts w:cs="Arial"/>
                <w:sz w:val="16"/>
                <w:szCs w:val="16"/>
              </w:rPr>
            </w:pPr>
            <w:r w:rsidRPr="001D752F">
              <w:rPr>
                <w:rFonts w:cs="Arial"/>
                <w:sz w:val="16"/>
                <w:szCs w:val="16"/>
              </w:rPr>
              <w:t>198 277 464,65 zł</w:t>
            </w:r>
          </w:p>
        </w:tc>
        <w:tc>
          <w:tcPr>
            <w:tcW w:w="1701" w:type="dxa"/>
            <w:tcBorders>
              <w:top w:val="single" w:sz="4" w:space="0" w:color="auto"/>
              <w:left w:val="single" w:sz="4" w:space="0" w:color="auto"/>
              <w:bottom w:val="single" w:sz="4" w:space="0" w:color="auto"/>
              <w:right w:val="single" w:sz="4" w:space="0" w:color="auto"/>
            </w:tcBorders>
            <w:vAlign w:val="center"/>
          </w:tcPr>
          <w:p w14:paraId="368C938B" w14:textId="6D44ABD0" w:rsidR="008F3078" w:rsidRPr="001D752F" w:rsidRDefault="008F3078" w:rsidP="008F3078">
            <w:pPr>
              <w:jc w:val="center"/>
              <w:rPr>
                <w:rFonts w:cs="Arial"/>
                <w:sz w:val="16"/>
                <w:szCs w:val="16"/>
              </w:rPr>
            </w:pPr>
            <w:r w:rsidRPr="001D752F">
              <w:rPr>
                <w:rFonts w:cs="Arial"/>
                <w:sz w:val="16"/>
                <w:szCs w:val="16"/>
              </w:rPr>
              <w:t>269</w:t>
            </w:r>
          </w:p>
        </w:tc>
        <w:tc>
          <w:tcPr>
            <w:tcW w:w="2021" w:type="dxa"/>
            <w:tcBorders>
              <w:top w:val="single" w:sz="4" w:space="0" w:color="auto"/>
              <w:left w:val="single" w:sz="4" w:space="0" w:color="auto"/>
              <w:bottom w:val="single" w:sz="4" w:space="0" w:color="auto"/>
              <w:right w:val="single" w:sz="4" w:space="0" w:color="auto"/>
            </w:tcBorders>
            <w:vAlign w:val="center"/>
          </w:tcPr>
          <w:p w14:paraId="401055EA" w14:textId="7E803209" w:rsidR="008F3078" w:rsidRPr="001D752F" w:rsidRDefault="008F3078" w:rsidP="008F3078">
            <w:pPr>
              <w:jc w:val="center"/>
              <w:rPr>
                <w:rFonts w:cs="Arial"/>
                <w:sz w:val="16"/>
                <w:szCs w:val="16"/>
              </w:rPr>
            </w:pPr>
            <w:r w:rsidRPr="001D752F">
              <w:rPr>
                <w:rFonts w:cs="Arial"/>
                <w:sz w:val="16"/>
                <w:szCs w:val="16"/>
              </w:rPr>
              <w:t>728 002 624,83 zł</w:t>
            </w:r>
          </w:p>
        </w:tc>
      </w:tr>
      <w:tr w:rsidR="008F3078" w:rsidRPr="001D752F" w14:paraId="199A85C1" w14:textId="77777777" w:rsidTr="00905292">
        <w:trPr>
          <w:trHeight w:val="399"/>
        </w:trPr>
        <w:tc>
          <w:tcPr>
            <w:tcW w:w="567" w:type="dxa"/>
            <w:tcBorders>
              <w:top w:val="single" w:sz="4" w:space="0" w:color="auto"/>
              <w:left w:val="single" w:sz="4" w:space="0" w:color="auto"/>
              <w:right w:val="single" w:sz="4" w:space="0" w:color="auto"/>
            </w:tcBorders>
            <w:shd w:val="clear" w:color="auto" w:fill="DEEAF6"/>
            <w:hideMark/>
          </w:tcPr>
          <w:p w14:paraId="7FD053E8" w14:textId="28847122" w:rsidR="008F3078" w:rsidRPr="001D752F" w:rsidRDefault="008F3078" w:rsidP="008F3078">
            <w:pPr>
              <w:rPr>
                <w:rFonts w:cs="Arial"/>
                <w:sz w:val="16"/>
                <w:szCs w:val="16"/>
              </w:rPr>
            </w:pPr>
            <w:r w:rsidRPr="001D752F">
              <w:rPr>
                <w:rFonts w:cs="Arial"/>
                <w:sz w:val="16"/>
                <w:szCs w:val="16"/>
              </w:rPr>
              <w:t>7.</w:t>
            </w:r>
          </w:p>
        </w:tc>
        <w:tc>
          <w:tcPr>
            <w:tcW w:w="3006" w:type="dxa"/>
            <w:tcBorders>
              <w:top w:val="single" w:sz="4" w:space="0" w:color="auto"/>
              <w:left w:val="single" w:sz="4" w:space="0" w:color="auto"/>
              <w:right w:val="single" w:sz="4" w:space="0" w:color="auto"/>
            </w:tcBorders>
            <w:shd w:val="clear" w:color="auto" w:fill="DEEAF6"/>
            <w:hideMark/>
          </w:tcPr>
          <w:p w14:paraId="762FDD9E" w14:textId="77777777" w:rsidR="008F3078" w:rsidRPr="001D752F" w:rsidRDefault="008F3078" w:rsidP="008F3078">
            <w:pPr>
              <w:jc w:val="center"/>
              <w:rPr>
                <w:rFonts w:cs="Arial"/>
                <w:b/>
                <w:sz w:val="16"/>
                <w:szCs w:val="16"/>
              </w:rPr>
            </w:pPr>
            <w:r w:rsidRPr="001D752F">
              <w:rPr>
                <w:rFonts w:cs="Arial"/>
                <w:b/>
                <w:sz w:val="16"/>
                <w:szCs w:val="16"/>
              </w:rPr>
              <w:t>Określenie etykiety związanej z aspektami społecznymi</w:t>
            </w:r>
          </w:p>
        </w:tc>
        <w:tc>
          <w:tcPr>
            <w:tcW w:w="1843" w:type="dxa"/>
            <w:tcBorders>
              <w:top w:val="single" w:sz="4" w:space="0" w:color="auto"/>
              <w:left w:val="single" w:sz="4" w:space="0" w:color="auto"/>
              <w:right w:val="single" w:sz="4" w:space="0" w:color="auto"/>
            </w:tcBorders>
            <w:vAlign w:val="center"/>
          </w:tcPr>
          <w:p w14:paraId="2555FDCC" w14:textId="69AF75CC" w:rsidR="008F3078" w:rsidRPr="001D752F" w:rsidRDefault="008F3078" w:rsidP="008F3078">
            <w:pPr>
              <w:jc w:val="center"/>
              <w:rPr>
                <w:rFonts w:cs="Arial"/>
                <w:sz w:val="16"/>
                <w:szCs w:val="16"/>
              </w:rPr>
            </w:pPr>
            <w:r w:rsidRPr="001D752F">
              <w:rPr>
                <w:rFonts w:cs="Arial"/>
                <w:sz w:val="16"/>
                <w:szCs w:val="16"/>
              </w:rPr>
              <w:t>117</w:t>
            </w:r>
          </w:p>
        </w:tc>
        <w:tc>
          <w:tcPr>
            <w:tcW w:w="2126" w:type="dxa"/>
            <w:tcBorders>
              <w:top w:val="single" w:sz="4" w:space="0" w:color="auto"/>
              <w:left w:val="single" w:sz="4" w:space="0" w:color="auto"/>
              <w:right w:val="single" w:sz="4" w:space="0" w:color="auto"/>
            </w:tcBorders>
            <w:vAlign w:val="center"/>
          </w:tcPr>
          <w:p w14:paraId="6EF63746" w14:textId="1A42AAC9" w:rsidR="008F3078" w:rsidRPr="001D752F" w:rsidRDefault="008F3078" w:rsidP="005D70B1">
            <w:pPr>
              <w:jc w:val="center"/>
              <w:rPr>
                <w:rFonts w:cs="Arial"/>
                <w:sz w:val="16"/>
                <w:szCs w:val="16"/>
              </w:rPr>
            </w:pPr>
            <w:r w:rsidRPr="001D752F">
              <w:rPr>
                <w:rFonts w:cs="Arial"/>
                <w:sz w:val="16"/>
                <w:szCs w:val="16"/>
              </w:rPr>
              <w:t>293 067 634,26 zł</w:t>
            </w:r>
          </w:p>
        </w:tc>
        <w:tc>
          <w:tcPr>
            <w:tcW w:w="1843" w:type="dxa"/>
            <w:tcBorders>
              <w:top w:val="single" w:sz="4" w:space="0" w:color="auto"/>
              <w:left w:val="single" w:sz="4" w:space="0" w:color="auto"/>
              <w:right w:val="single" w:sz="4" w:space="0" w:color="auto"/>
            </w:tcBorders>
            <w:vAlign w:val="center"/>
          </w:tcPr>
          <w:p w14:paraId="76B37329" w14:textId="3BE2ED9B" w:rsidR="008F3078" w:rsidRPr="001D752F" w:rsidRDefault="008F3078" w:rsidP="008F3078">
            <w:pPr>
              <w:jc w:val="center"/>
              <w:rPr>
                <w:rFonts w:cs="Arial"/>
                <w:sz w:val="16"/>
                <w:szCs w:val="16"/>
              </w:rPr>
            </w:pPr>
            <w:r w:rsidRPr="001D752F">
              <w:rPr>
                <w:rFonts w:cs="Arial"/>
                <w:sz w:val="16"/>
                <w:szCs w:val="16"/>
              </w:rPr>
              <w:t>178</w:t>
            </w:r>
          </w:p>
        </w:tc>
        <w:tc>
          <w:tcPr>
            <w:tcW w:w="2126" w:type="dxa"/>
            <w:tcBorders>
              <w:top w:val="single" w:sz="4" w:space="0" w:color="auto"/>
              <w:left w:val="single" w:sz="4" w:space="0" w:color="auto"/>
              <w:right w:val="single" w:sz="4" w:space="0" w:color="auto"/>
            </w:tcBorders>
            <w:vAlign w:val="center"/>
          </w:tcPr>
          <w:p w14:paraId="5D55DA1D" w14:textId="0BC215EC" w:rsidR="008F3078" w:rsidRPr="001D752F" w:rsidRDefault="008F3078" w:rsidP="008F3078">
            <w:pPr>
              <w:jc w:val="center"/>
              <w:rPr>
                <w:rFonts w:cs="Arial"/>
                <w:sz w:val="16"/>
                <w:szCs w:val="16"/>
              </w:rPr>
            </w:pPr>
            <w:r w:rsidRPr="001D752F">
              <w:rPr>
                <w:rFonts w:cs="Arial"/>
                <w:sz w:val="16"/>
                <w:szCs w:val="16"/>
              </w:rPr>
              <w:t>218 079 590,34 zł</w:t>
            </w:r>
          </w:p>
        </w:tc>
        <w:tc>
          <w:tcPr>
            <w:tcW w:w="1701" w:type="dxa"/>
            <w:tcBorders>
              <w:top w:val="single" w:sz="4" w:space="0" w:color="auto"/>
              <w:left w:val="single" w:sz="4" w:space="0" w:color="auto"/>
              <w:right w:val="single" w:sz="4" w:space="0" w:color="auto"/>
            </w:tcBorders>
            <w:vAlign w:val="center"/>
          </w:tcPr>
          <w:p w14:paraId="4F3FFB9D" w14:textId="170C7DA1" w:rsidR="008F3078" w:rsidRPr="001D752F" w:rsidRDefault="008F3078" w:rsidP="008F3078">
            <w:pPr>
              <w:jc w:val="center"/>
              <w:rPr>
                <w:rFonts w:cs="Arial"/>
                <w:sz w:val="16"/>
                <w:szCs w:val="16"/>
              </w:rPr>
            </w:pPr>
            <w:r w:rsidRPr="001D752F">
              <w:rPr>
                <w:rFonts w:cs="Arial"/>
                <w:sz w:val="16"/>
                <w:szCs w:val="16"/>
              </w:rPr>
              <w:t>212</w:t>
            </w:r>
          </w:p>
        </w:tc>
        <w:tc>
          <w:tcPr>
            <w:tcW w:w="2021" w:type="dxa"/>
            <w:tcBorders>
              <w:top w:val="single" w:sz="4" w:space="0" w:color="auto"/>
              <w:left w:val="single" w:sz="4" w:space="0" w:color="auto"/>
              <w:right w:val="single" w:sz="4" w:space="0" w:color="auto"/>
            </w:tcBorders>
            <w:vAlign w:val="center"/>
          </w:tcPr>
          <w:p w14:paraId="64A49950" w14:textId="553C54CA" w:rsidR="008F3078" w:rsidRPr="001D752F" w:rsidRDefault="008F3078" w:rsidP="008F3078">
            <w:pPr>
              <w:jc w:val="center"/>
              <w:rPr>
                <w:rFonts w:cs="Arial"/>
                <w:sz w:val="16"/>
                <w:szCs w:val="16"/>
              </w:rPr>
            </w:pPr>
            <w:r w:rsidRPr="001D752F">
              <w:rPr>
                <w:rFonts w:cs="Arial"/>
                <w:sz w:val="16"/>
                <w:szCs w:val="16"/>
              </w:rPr>
              <w:t>306 936 276,61 zł</w:t>
            </w:r>
          </w:p>
        </w:tc>
      </w:tr>
    </w:tbl>
    <w:p w14:paraId="12FA8487" w14:textId="77777777" w:rsidR="00371F95" w:rsidRPr="00D83441" w:rsidRDefault="00371F95" w:rsidP="00371F95">
      <w:pPr>
        <w:shd w:val="clear" w:color="auto" w:fill="FFFFFF"/>
        <w:rPr>
          <w:rFonts w:cs="Arial"/>
          <w:sz w:val="16"/>
          <w:szCs w:val="16"/>
        </w:rPr>
      </w:pPr>
    </w:p>
    <w:p w14:paraId="2FBAE511" w14:textId="77777777" w:rsidR="00371F95" w:rsidRPr="00805E2A" w:rsidRDefault="00371F95" w:rsidP="00371F95">
      <w:pPr>
        <w:shd w:val="clear" w:color="auto" w:fill="FFFFFF"/>
        <w:rPr>
          <w:rFonts w:cs="Arial"/>
          <w:sz w:val="16"/>
          <w:szCs w:val="16"/>
        </w:rPr>
      </w:pPr>
      <w:r w:rsidRPr="00805E2A">
        <w:rPr>
          <w:rFonts w:cs="Arial"/>
          <w:b/>
          <w:sz w:val="16"/>
          <w:szCs w:val="16"/>
          <w:u w:val="single"/>
        </w:rPr>
        <w:t>UWAGA</w:t>
      </w:r>
      <w:r w:rsidRPr="00805E2A">
        <w:rPr>
          <w:rFonts w:cs="Arial"/>
          <w:sz w:val="16"/>
          <w:szCs w:val="16"/>
        </w:rPr>
        <w:t xml:space="preserve">: Łączna liczba i wartość zamówień publicznych z zastosowaniem poszczególnych aspektów społecznych jest większa niż łączna liczba i wartość społecznych zamówień publicznych ze względu na przypadki zastosowania więcej niż jednego aspektu społecznego w jednym zamówieniu. </w:t>
      </w:r>
    </w:p>
    <w:p w14:paraId="2BB178CF" w14:textId="136508CC" w:rsidR="00CC77CA" w:rsidRDefault="00CC77CA" w:rsidP="00D2318D">
      <w:pPr>
        <w:rPr>
          <w:szCs w:val="22"/>
        </w:rPr>
      </w:pPr>
    </w:p>
    <w:p w14:paraId="260F3801" w14:textId="0E8ACFB3" w:rsidR="0070092A" w:rsidRDefault="0070092A" w:rsidP="00D2318D">
      <w:pPr>
        <w:rPr>
          <w:szCs w:val="22"/>
        </w:rPr>
      </w:pPr>
      <w:r>
        <w:rPr>
          <w:szCs w:val="22"/>
        </w:rPr>
        <w:br w:type="page"/>
      </w:r>
    </w:p>
    <w:p w14:paraId="7E4ECAE2" w14:textId="77777777" w:rsidR="00371F95" w:rsidRDefault="00371F95" w:rsidP="00D2318D">
      <w:pPr>
        <w:rPr>
          <w:szCs w:val="22"/>
        </w:rPr>
      </w:pPr>
    </w:p>
    <w:p w14:paraId="50809540" w14:textId="77777777" w:rsidR="001C3B72" w:rsidRPr="002A72A4" w:rsidRDefault="001C3B72" w:rsidP="001C3B72">
      <w:pPr>
        <w:shd w:val="clear" w:color="auto" w:fill="FFFFFF"/>
        <w:jc w:val="center"/>
        <w:rPr>
          <w:rFonts w:cs="Arial"/>
          <w:b/>
        </w:rPr>
      </w:pPr>
      <w:r w:rsidRPr="00647E2B">
        <w:rPr>
          <w:rFonts w:cs="Arial"/>
          <w:b/>
        </w:rPr>
        <w:t>Udział zamówień z danym aspektem społecznym w ogólnej liczbie oraz w ogólnej wartości społecznych zamówień publicznych w</w:t>
      </w:r>
      <w:r w:rsidRPr="002A72A4">
        <w:rPr>
          <w:rFonts w:cs="Arial"/>
          <w:b/>
        </w:rPr>
        <w:t xml:space="preserve"> poszczególnych latach </w:t>
      </w:r>
    </w:p>
    <w:p w14:paraId="6FEA9DDA" w14:textId="77777777" w:rsidR="001C3B72" w:rsidRPr="00D83441" w:rsidRDefault="001C3B72" w:rsidP="001C3B72">
      <w:pPr>
        <w:shd w:val="clear" w:color="auto" w:fill="FFFFFF"/>
        <w:rPr>
          <w:rFonts w:cs="Arial"/>
          <w:sz w:val="16"/>
          <w:szCs w:val="16"/>
        </w:rPr>
      </w:pP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814"/>
        <w:gridCol w:w="1753"/>
        <w:gridCol w:w="1925"/>
        <w:gridCol w:w="1771"/>
        <w:gridCol w:w="1771"/>
        <w:gridCol w:w="1735"/>
        <w:gridCol w:w="1736"/>
      </w:tblGrid>
      <w:tr w:rsidR="005E564C" w:rsidRPr="00742720" w14:paraId="49487FE4" w14:textId="77777777" w:rsidTr="001C3B72">
        <w:trPr>
          <w:tblHeader/>
          <w:jc w:val="center"/>
        </w:trPr>
        <w:tc>
          <w:tcPr>
            <w:tcW w:w="487" w:type="dxa"/>
            <w:shd w:val="clear" w:color="auto" w:fill="DEEAF6"/>
            <w:vAlign w:val="center"/>
          </w:tcPr>
          <w:p w14:paraId="16B699BA" w14:textId="77777777" w:rsidR="005E564C" w:rsidRPr="00742720" w:rsidRDefault="005E564C" w:rsidP="005E564C">
            <w:pPr>
              <w:jc w:val="center"/>
              <w:rPr>
                <w:rFonts w:cs="Arial"/>
                <w:b/>
                <w:sz w:val="16"/>
                <w:szCs w:val="16"/>
              </w:rPr>
            </w:pPr>
          </w:p>
        </w:tc>
        <w:tc>
          <w:tcPr>
            <w:tcW w:w="2814" w:type="dxa"/>
            <w:shd w:val="clear" w:color="auto" w:fill="DEEAF6"/>
            <w:vAlign w:val="center"/>
          </w:tcPr>
          <w:p w14:paraId="76342CD7" w14:textId="77777777" w:rsidR="005E564C" w:rsidRPr="00742720" w:rsidRDefault="005E564C" w:rsidP="005E564C">
            <w:pPr>
              <w:jc w:val="center"/>
              <w:rPr>
                <w:rFonts w:cs="Arial"/>
                <w:b/>
                <w:sz w:val="16"/>
                <w:szCs w:val="16"/>
              </w:rPr>
            </w:pPr>
            <w:r w:rsidRPr="00742720">
              <w:rPr>
                <w:rFonts w:cs="Arial"/>
                <w:b/>
                <w:sz w:val="16"/>
                <w:szCs w:val="16"/>
              </w:rPr>
              <w:t>Rok referencyjny</w:t>
            </w:r>
          </w:p>
        </w:tc>
        <w:tc>
          <w:tcPr>
            <w:tcW w:w="3678" w:type="dxa"/>
            <w:gridSpan w:val="2"/>
            <w:shd w:val="clear" w:color="auto" w:fill="DEEAF6"/>
          </w:tcPr>
          <w:p w14:paraId="4AA91DC1" w14:textId="2ED5ED64" w:rsidR="005E564C" w:rsidRPr="00742720" w:rsidRDefault="005E564C" w:rsidP="005E564C">
            <w:pPr>
              <w:jc w:val="center"/>
              <w:rPr>
                <w:rFonts w:cs="Arial"/>
                <w:b/>
                <w:bCs/>
                <w:sz w:val="16"/>
                <w:szCs w:val="16"/>
              </w:rPr>
            </w:pPr>
            <w:r w:rsidRPr="00742720">
              <w:rPr>
                <w:rFonts w:cs="Arial"/>
                <w:b/>
                <w:bCs/>
                <w:sz w:val="16"/>
                <w:szCs w:val="16"/>
              </w:rPr>
              <w:t>2020 r.</w:t>
            </w:r>
          </w:p>
        </w:tc>
        <w:tc>
          <w:tcPr>
            <w:tcW w:w="3542" w:type="dxa"/>
            <w:gridSpan w:val="2"/>
            <w:shd w:val="clear" w:color="auto" w:fill="DEEAF6"/>
          </w:tcPr>
          <w:p w14:paraId="54E75372" w14:textId="6000E7F9" w:rsidR="005E564C" w:rsidRPr="00742720" w:rsidRDefault="005E564C" w:rsidP="005E564C">
            <w:pPr>
              <w:jc w:val="center"/>
              <w:rPr>
                <w:rFonts w:cs="Arial"/>
                <w:b/>
                <w:bCs/>
                <w:sz w:val="16"/>
                <w:szCs w:val="16"/>
              </w:rPr>
            </w:pPr>
            <w:r w:rsidRPr="00742720">
              <w:rPr>
                <w:rFonts w:cs="Arial"/>
                <w:b/>
                <w:bCs/>
                <w:sz w:val="16"/>
                <w:szCs w:val="16"/>
              </w:rPr>
              <w:t>2021 r.</w:t>
            </w:r>
          </w:p>
        </w:tc>
        <w:tc>
          <w:tcPr>
            <w:tcW w:w="3471" w:type="dxa"/>
            <w:gridSpan w:val="2"/>
            <w:shd w:val="clear" w:color="auto" w:fill="DEEAF6"/>
          </w:tcPr>
          <w:p w14:paraId="4979308D" w14:textId="26602A12" w:rsidR="005E564C" w:rsidRPr="00742720" w:rsidRDefault="00742720" w:rsidP="005E564C">
            <w:pPr>
              <w:jc w:val="center"/>
              <w:rPr>
                <w:rFonts w:cs="Arial"/>
                <w:b/>
                <w:bCs/>
                <w:sz w:val="16"/>
                <w:szCs w:val="16"/>
              </w:rPr>
            </w:pPr>
            <w:r>
              <w:rPr>
                <w:rFonts w:cs="Arial"/>
                <w:b/>
                <w:bCs/>
                <w:sz w:val="16"/>
                <w:szCs w:val="16"/>
              </w:rPr>
              <w:t>2022 r.</w:t>
            </w:r>
          </w:p>
        </w:tc>
      </w:tr>
      <w:tr w:rsidR="005E564C" w:rsidRPr="00742720" w14:paraId="64C2968B" w14:textId="77777777" w:rsidTr="001C3B72">
        <w:trPr>
          <w:tblHeader/>
          <w:jc w:val="center"/>
        </w:trPr>
        <w:tc>
          <w:tcPr>
            <w:tcW w:w="487" w:type="dxa"/>
            <w:shd w:val="clear" w:color="auto" w:fill="DEEAF6"/>
            <w:vAlign w:val="center"/>
          </w:tcPr>
          <w:p w14:paraId="7D5F3287" w14:textId="77777777" w:rsidR="005E564C" w:rsidRPr="00742720" w:rsidRDefault="005E564C" w:rsidP="005E564C">
            <w:pPr>
              <w:jc w:val="center"/>
              <w:rPr>
                <w:rFonts w:cs="Arial"/>
                <w:b/>
                <w:sz w:val="16"/>
                <w:szCs w:val="16"/>
              </w:rPr>
            </w:pPr>
            <w:r w:rsidRPr="00742720">
              <w:rPr>
                <w:rFonts w:cs="Arial"/>
                <w:b/>
                <w:sz w:val="16"/>
                <w:szCs w:val="16"/>
              </w:rPr>
              <w:t>Lp.</w:t>
            </w:r>
          </w:p>
        </w:tc>
        <w:tc>
          <w:tcPr>
            <w:tcW w:w="2814" w:type="dxa"/>
            <w:shd w:val="clear" w:color="auto" w:fill="DEEAF6"/>
            <w:vAlign w:val="center"/>
          </w:tcPr>
          <w:p w14:paraId="48226A0A" w14:textId="77777777" w:rsidR="005E564C" w:rsidRPr="00742720" w:rsidRDefault="005E564C" w:rsidP="005E564C">
            <w:pPr>
              <w:jc w:val="center"/>
              <w:rPr>
                <w:rFonts w:cs="Arial"/>
                <w:b/>
                <w:sz w:val="16"/>
                <w:szCs w:val="16"/>
              </w:rPr>
            </w:pPr>
            <w:r w:rsidRPr="00742720">
              <w:rPr>
                <w:rFonts w:cs="Arial"/>
                <w:b/>
                <w:sz w:val="16"/>
                <w:szCs w:val="16"/>
              </w:rPr>
              <w:t>Aspekt społeczny</w:t>
            </w:r>
          </w:p>
        </w:tc>
        <w:tc>
          <w:tcPr>
            <w:tcW w:w="1753" w:type="dxa"/>
            <w:shd w:val="clear" w:color="auto" w:fill="DEEAF6"/>
            <w:vAlign w:val="center"/>
          </w:tcPr>
          <w:p w14:paraId="6B4AEB5B" w14:textId="355218DB"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liczbie zamówień społecznych</w:t>
            </w:r>
          </w:p>
        </w:tc>
        <w:tc>
          <w:tcPr>
            <w:tcW w:w="1925" w:type="dxa"/>
            <w:shd w:val="clear" w:color="auto" w:fill="DEEAF6"/>
            <w:vAlign w:val="center"/>
          </w:tcPr>
          <w:p w14:paraId="3433E736" w14:textId="41114CE0"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wartości zamówień społecznych</w:t>
            </w:r>
          </w:p>
        </w:tc>
        <w:tc>
          <w:tcPr>
            <w:tcW w:w="1771" w:type="dxa"/>
            <w:shd w:val="clear" w:color="auto" w:fill="DEEAF6"/>
            <w:vAlign w:val="center"/>
          </w:tcPr>
          <w:p w14:paraId="4639E4D9" w14:textId="1F59BEBC"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liczbie zamówień społecznych</w:t>
            </w:r>
          </w:p>
        </w:tc>
        <w:tc>
          <w:tcPr>
            <w:tcW w:w="1771" w:type="dxa"/>
            <w:shd w:val="clear" w:color="auto" w:fill="DEEAF6"/>
            <w:vAlign w:val="center"/>
          </w:tcPr>
          <w:p w14:paraId="360D37B1" w14:textId="2CFBD608"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wartości zamówień społecznych</w:t>
            </w:r>
          </w:p>
        </w:tc>
        <w:tc>
          <w:tcPr>
            <w:tcW w:w="1735" w:type="dxa"/>
            <w:shd w:val="clear" w:color="auto" w:fill="DEEAF6"/>
          </w:tcPr>
          <w:p w14:paraId="341E597E" w14:textId="6B57EEFE"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liczbie zamówień społecznych</w:t>
            </w:r>
          </w:p>
        </w:tc>
        <w:tc>
          <w:tcPr>
            <w:tcW w:w="1736" w:type="dxa"/>
            <w:shd w:val="clear" w:color="auto" w:fill="DEEAF6"/>
          </w:tcPr>
          <w:p w14:paraId="0B5C0899" w14:textId="5125BD9B" w:rsidR="005E564C" w:rsidRPr="00742720" w:rsidRDefault="005E564C" w:rsidP="005E564C">
            <w:pPr>
              <w:jc w:val="center"/>
              <w:rPr>
                <w:rFonts w:cs="Arial"/>
                <w:b/>
                <w:bCs/>
                <w:sz w:val="16"/>
                <w:szCs w:val="16"/>
              </w:rPr>
            </w:pPr>
            <w:r w:rsidRPr="00742720">
              <w:rPr>
                <w:rFonts w:cs="Arial"/>
                <w:b/>
                <w:bCs/>
                <w:sz w:val="16"/>
                <w:szCs w:val="16"/>
              </w:rPr>
              <w:t>Udział zamówień z danym aspektem w ogólnej wartości zamówień społecznych</w:t>
            </w:r>
          </w:p>
        </w:tc>
      </w:tr>
      <w:tr w:rsidR="005E564C" w:rsidRPr="00742720" w14:paraId="1EECEE94" w14:textId="77777777" w:rsidTr="00100D6C">
        <w:trPr>
          <w:jc w:val="center"/>
        </w:trPr>
        <w:tc>
          <w:tcPr>
            <w:tcW w:w="487" w:type="dxa"/>
            <w:shd w:val="clear" w:color="auto" w:fill="DEEAF6"/>
          </w:tcPr>
          <w:p w14:paraId="18163ED8" w14:textId="77777777" w:rsidR="005E564C" w:rsidRPr="00742720" w:rsidRDefault="005E564C" w:rsidP="005E564C">
            <w:pPr>
              <w:rPr>
                <w:rFonts w:cs="Arial"/>
                <w:sz w:val="16"/>
                <w:szCs w:val="16"/>
              </w:rPr>
            </w:pPr>
            <w:r w:rsidRPr="00742720">
              <w:rPr>
                <w:rFonts w:cs="Arial"/>
                <w:sz w:val="16"/>
                <w:szCs w:val="16"/>
              </w:rPr>
              <w:t>1.</w:t>
            </w:r>
          </w:p>
        </w:tc>
        <w:tc>
          <w:tcPr>
            <w:tcW w:w="2814" w:type="dxa"/>
            <w:shd w:val="clear" w:color="auto" w:fill="DEEAF6"/>
          </w:tcPr>
          <w:p w14:paraId="2875B0F9" w14:textId="77777777" w:rsidR="005E564C" w:rsidRPr="00742720" w:rsidRDefault="005E564C" w:rsidP="005E564C">
            <w:pPr>
              <w:jc w:val="center"/>
              <w:rPr>
                <w:rFonts w:cs="Arial"/>
                <w:b/>
                <w:sz w:val="16"/>
                <w:szCs w:val="16"/>
              </w:rPr>
            </w:pPr>
            <w:r w:rsidRPr="00742720">
              <w:rPr>
                <w:rFonts w:cs="Arial"/>
                <w:b/>
                <w:sz w:val="16"/>
                <w:szCs w:val="16"/>
              </w:rPr>
              <w:t>Określenie wymagań związanych z realizacją zamówienia w zakresie zatrudnienia na podstawie stosunku pracy</w:t>
            </w:r>
          </w:p>
        </w:tc>
        <w:tc>
          <w:tcPr>
            <w:tcW w:w="1753" w:type="dxa"/>
            <w:vAlign w:val="center"/>
          </w:tcPr>
          <w:p w14:paraId="46130564" w14:textId="3E97804A" w:rsidR="005E564C" w:rsidRPr="00742720" w:rsidRDefault="005E564C" w:rsidP="005E564C">
            <w:pPr>
              <w:jc w:val="center"/>
              <w:rPr>
                <w:rFonts w:eastAsia="Calibri" w:cs="Arial"/>
                <w:sz w:val="16"/>
                <w:szCs w:val="16"/>
              </w:rPr>
            </w:pPr>
            <w:r w:rsidRPr="00742720">
              <w:rPr>
                <w:rFonts w:eastAsia="Calibri" w:cs="Arial"/>
                <w:sz w:val="16"/>
                <w:szCs w:val="16"/>
              </w:rPr>
              <w:t>91,35%</w:t>
            </w:r>
          </w:p>
        </w:tc>
        <w:tc>
          <w:tcPr>
            <w:tcW w:w="1925" w:type="dxa"/>
            <w:vAlign w:val="center"/>
          </w:tcPr>
          <w:p w14:paraId="62C2AB5D" w14:textId="552174C4" w:rsidR="005E564C" w:rsidRPr="00742720" w:rsidRDefault="005E564C" w:rsidP="005E564C">
            <w:pPr>
              <w:jc w:val="center"/>
              <w:rPr>
                <w:rFonts w:eastAsia="Calibri" w:cs="Arial"/>
                <w:sz w:val="16"/>
                <w:szCs w:val="16"/>
              </w:rPr>
            </w:pPr>
            <w:r w:rsidRPr="00742720">
              <w:rPr>
                <w:rFonts w:eastAsia="Calibri" w:cs="Arial"/>
                <w:sz w:val="16"/>
                <w:szCs w:val="16"/>
              </w:rPr>
              <w:t>92,87%</w:t>
            </w:r>
          </w:p>
        </w:tc>
        <w:tc>
          <w:tcPr>
            <w:tcW w:w="1771" w:type="dxa"/>
            <w:vAlign w:val="center"/>
          </w:tcPr>
          <w:p w14:paraId="6134E70D" w14:textId="7F8973E4" w:rsidR="005E564C" w:rsidRPr="00742720" w:rsidRDefault="005E564C" w:rsidP="005E564C">
            <w:pPr>
              <w:jc w:val="center"/>
              <w:rPr>
                <w:rFonts w:eastAsia="Calibri" w:cs="Arial"/>
                <w:sz w:val="16"/>
                <w:szCs w:val="16"/>
              </w:rPr>
            </w:pPr>
            <w:r w:rsidRPr="00742720">
              <w:rPr>
                <w:rFonts w:eastAsia="Calibri" w:cs="Arial"/>
                <w:sz w:val="16"/>
                <w:szCs w:val="16"/>
              </w:rPr>
              <w:t>93,1%</w:t>
            </w:r>
          </w:p>
        </w:tc>
        <w:tc>
          <w:tcPr>
            <w:tcW w:w="1771" w:type="dxa"/>
            <w:vAlign w:val="center"/>
          </w:tcPr>
          <w:p w14:paraId="4590B683" w14:textId="572FF939" w:rsidR="005E564C" w:rsidRPr="00742720" w:rsidRDefault="005E564C" w:rsidP="005E564C">
            <w:pPr>
              <w:jc w:val="center"/>
              <w:rPr>
                <w:rFonts w:eastAsia="Calibri" w:cs="Arial"/>
                <w:sz w:val="16"/>
                <w:szCs w:val="16"/>
              </w:rPr>
            </w:pPr>
            <w:r w:rsidRPr="00742720">
              <w:rPr>
                <w:rFonts w:eastAsia="Calibri" w:cs="Arial"/>
                <w:sz w:val="16"/>
                <w:szCs w:val="16"/>
              </w:rPr>
              <w:t>97,3%</w:t>
            </w:r>
          </w:p>
        </w:tc>
        <w:tc>
          <w:tcPr>
            <w:tcW w:w="1735" w:type="dxa"/>
            <w:vAlign w:val="center"/>
          </w:tcPr>
          <w:p w14:paraId="5BB6A2CB" w14:textId="6E039FC2" w:rsidR="005E564C" w:rsidRPr="00742720" w:rsidRDefault="005E564C" w:rsidP="005E564C">
            <w:pPr>
              <w:jc w:val="center"/>
              <w:rPr>
                <w:rFonts w:eastAsia="Calibri" w:cs="Arial"/>
                <w:sz w:val="16"/>
                <w:szCs w:val="16"/>
              </w:rPr>
            </w:pPr>
            <w:r w:rsidRPr="00742720">
              <w:rPr>
                <w:rFonts w:eastAsia="Calibri" w:cs="Arial"/>
                <w:sz w:val="16"/>
                <w:szCs w:val="16"/>
              </w:rPr>
              <w:t>91,4%</w:t>
            </w:r>
          </w:p>
        </w:tc>
        <w:tc>
          <w:tcPr>
            <w:tcW w:w="1736" w:type="dxa"/>
            <w:vAlign w:val="center"/>
          </w:tcPr>
          <w:p w14:paraId="08903279" w14:textId="1C14CC51" w:rsidR="005E564C" w:rsidRPr="00742720" w:rsidRDefault="005E564C" w:rsidP="005E564C">
            <w:pPr>
              <w:jc w:val="center"/>
              <w:rPr>
                <w:rFonts w:eastAsia="Calibri" w:cs="Arial"/>
                <w:sz w:val="16"/>
                <w:szCs w:val="16"/>
              </w:rPr>
            </w:pPr>
            <w:r w:rsidRPr="00742720">
              <w:rPr>
                <w:rFonts w:eastAsia="Calibri" w:cs="Arial"/>
                <w:sz w:val="16"/>
                <w:szCs w:val="16"/>
              </w:rPr>
              <w:t>94,4%</w:t>
            </w:r>
          </w:p>
        </w:tc>
      </w:tr>
      <w:tr w:rsidR="005E564C" w:rsidRPr="00742720" w14:paraId="1BE6A2D6" w14:textId="77777777" w:rsidTr="00100D6C">
        <w:trPr>
          <w:jc w:val="center"/>
        </w:trPr>
        <w:tc>
          <w:tcPr>
            <w:tcW w:w="487" w:type="dxa"/>
            <w:shd w:val="clear" w:color="auto" w:fill="DEEAF6"/>
          </w:tcPr>
          <w:p w14:paraId="02895419" w14:textId="77777777" w:rsidR="005E564C" w:rsidRPr="00742720" w:rsidRDefault="005E564C" w:rsidP="005E564C">
            <w:pPr>
              <w:rPr>
                <w:rFonts w:cs="Arial"/>
                <w:sz w:val="16"/>
                <w:szCs w:val="16"/>
              </w:rPr>
            </w:pPr>
            <w:r w:rsidRPr="00742720">
              <w:rPr>
                <w:rFonts w:cs="Arial"/>
                <w:sz w:val="16"/>
                <w:szCs w:val="16"/>
              </w:rPr>
              <w:t>2.</w:t>
            </w:r>
          </w:p>
        </w:tc>
        <w:tc>
          <w:tcPr>
            <w:tcW w:w="2814" w:type="dxa"/>
            <w:shd w:val="clear" w:color="auto" w:fill="DEEAF6"/>
          </w:tcPr>
          <w:p w14:paraId="696BFCA0" w14:textId="77777777" w:rsidR="005E564C" w:rsidRPr="00742720" w:rsidRDefault="005E564C" w:rsidP="005E564C">
            <w:pPr>
              <w:jc w:val="center"/>
              <w:rPr>
                <w:rFonts w:cs="Arial"/>
                <w:b/>
                <w:sz w:val="16"/>
                <w:szCs w:val="16"/>
              </w:rPr>
            </w:pPr>
            <w:r w:rsidRPr="00742720">
              <w:rPr>
                <w:rFonts w:cs="Arial"/>
                <w:b/>
                <w:sz w:val="16"/>
                <w:szCs w:val="16"/>
              </w:rPr>
              <w:t xml:space="preserve">Określenie w opisie przedmiotu zamówienia wymagań w zakresie dostępności dla osób niepełnosprawnych lub projektowania z przeznaczeniem dla wszystkich </w:t>
            </w:r>
          </w:p>
        </w:tc>
        <w:tc>
          <w:tcPr>
            <w:tcW w:w="1753" w:type="dxa"/>
            <w:vAlign w:val="center"/>
          </w:tcPr>
          <w:p w14:paraId="6EC77325" w14:textId="6678E23C" w:rsidR="005E564C" w:rsidRPr="00742720" w:rsidRDefault="005E564C" w:rsidP="005E564C">
            <w:pPr>
              <w:jc w:val="center"/>
              <w:rPr>
                <w:rFonts w:eastAsia="Calibri" w:cs="Arial"/>
                <w:sz w:val="16"/>
                <w:szCs w:val="16"/>
              </w:rPr>
            </w:pPr>
            <w:r w:rsidRPr="00742720">
              <w:rPr>
                <w:rFonts w:eastAsia="Calibri" w:cs="Arial"/>
                <w:sz w:val="16"/>
                <w:szCs w:val="16"/>
              </w:rPr>
              <w:t>12,53%</w:t>
            </w:r>
          </w:p>
        </w:tc>
        <w:tc>
          <w:tcPr>
            <w:tcW w:w="1925" w:type="dxa"/>
            <w:vAlign w:val="center"/>
          </w:tcPr>
          <w:p w14:paraId="74994E4C" w14:textId="468C1288" w:rsidR="005E564C" w:rsidRPr="00742720" w:rsidRDefault="005E564C" w:rsidP="005E564C">
            <w:pPr>
              <w:jc w:val="center"/>
              <w:rPr>
                <w:rFonts w:eastAsia="Calibri" w:cs="Arial"/>
                <w:sz w:val="16"/>
                <w:szCs w:val="16"/>
              </w:rPr>
            </w:pPr>
            <w:r w:rsidRPr="00742720">
              <w:rPr>
                <w:rFonts w:eastAsia="Calibri" w:cs="Arial"/>
                <w:sz w:val="16"/>
                <w:szCs w:val="16"/>
              </w:rPr>
              <w:t>31,08%</w:t>
            </w:r>
          </w:p>
        </w:tc>
        <w:tc>
          <w:tcPr>
            <w:tcW w:w="1771" w:type="dxa"/>
            <w:vAlign w:val="center"/>
          </w:tcPr>
          <w:p w14:paraId="385D9D31" w14:textId="06AFB31E" w:rsidR="005E564C" w:rsidRPr="00742720" w:rsidRDefault="005E564C" w:rsidP="005E564C">
            <w:pPr>
              <w:jc w:val="center"/>
              <w:rPr>
                <w:rFonts w:eastAsia="Calibri" w:cs="Arial"/>
                <w:sz w:val="16"/>
                <w:szCs w:val="16"/>
              </w:rPr>
            </w:pPr>
            <w:r w:rsidRPr="00742720">
              <w:rPr>
                <w:rFonts w:eastAsia="Calibri" w:cs="Arial"/>
                <w:sz w:val="16"/>
                <w:szCs w:val="16"/>
              </w:rPr>
              <w:t>15,5%</w:t>
            </w:r>
          </w:p>
        </w:tc>
        <w:tc>
          <w:tcPr>
            <w:tcW w:w="1771" w:type="dxa"/>
            <w:vAlign w:val="center"/>
          </w:tcPr>
          <w:p w14:paraId="7A6423B5" w14:textId="1D7732DC" w:rsidR="005E564C" w:rsidRPr="00742720" w:rsidRDefault="005E564C" w:rsidP="005E564C">
            <w:pPr>
              <w:jc w:val="center"/>
              <w:rPr>
                <w:rFonts w:eastAsia="Calibri" w:cs="Arial"/>
                <w:sz w:val="16"/>
                <w:szCs w:val="16"/>
              </w:rPr>
            </w:pPr>
            <w:r w:rsidRPr="00742720">
              <w:rPr>
                <w:rFonts w:eastAsia="Calibri" w:cs="Arial"/>
                <w:sz w:val="16"/>
                <w:szCs w:val="16"/>
              </w:rPr>
              <w:t>20,9%</w:t>
            </w:r>
          </w:p>
        </w:tc>
        <w:tc>
          <w:tcPr>
            <w:tcW w:w="1735" w:type="dxa"/>
            <w:vAlign w:val="center"/>
          </w:tcPr>
          <w:p w14:paraId="6EBADED2" w14:textId="64EEF632" w:rsidR="005E564C" w:rsidRPr="00742720" w:rsidRDefault="005E564C" w:rsidP="005E564C">
            <w:pPr>
              <w:jc w:val="center"/>
              <w:rPr>
                <w:rFonts w:eastAsia="Calibri" w:cs="Arial"/>
                <w:sz w:val="16"/>
                <w:szCs w:val="16"/>
              </w:rPr>
            </w:pPr>
            <w:r w:rsidRPr="00742720">
              <w:rPr>
                <w:rFonts w:eastAsia="Calibri" w:cs="Arial"/>
                <w:sz w:val="16"/>
                <w:szCs w:val="16"/>
              </w:rPr>
              <w:t>18,5%</w:t>
            </w:r>
          </w:p>
        </w:tc>
        <w:tc>
          <w:tcPr>
            <w:tcW w:w="1736" w:type="dxa"/>
            <w:vAlign w:val="center"/>
          </w:tcPr>
          <w:p w14:paraId="1203191A" w14:textId="3E67D3E6" w:rsidR="005E564C" w:rsidRPr="00742720" w:rsidRDefault="005E564C" w:rsidP="005E564C">
            <w:pPr>
              <w:jc w:val="center"/>
              <w:rPr>
                <w:rFonts w:eastAsia="Calibri" w:cs="Arial"/>
                <w:sz w:val="16"/>
                <w:szCs w:val="16"/>
              </w:rPr>
            </w:pPr>
            <w:r w:rsidRPr="00742720">
              <w:rPr>
                <w:rFonts w:eastAsia="Calibri" w:cs="Arial"/>
                <w:sz w:val="16"/>
                <w:szCs w:val="16"/>
              </w:rPr>
              <w:t>33,8%</w:t>
            </w:r>
          </w:p>
        </w:tc>
      </w:tr>
      <w:tr w:rsidR="005E564C" w:rsidRPr="00742720" w14:paraId="7B2BEAB3" w14:textId="77777777" w:rsidTr="00100D6C">
        <w:trPr>
          <w:jc w:val="center"/>
        </w:trPr>
        <w:tc>
          <w:tcPr>
            <w:tcW w:w="487" w:type="dxa"/>
            <w:shd w:val="clear" w:color="auto" w:fill="DEEAF6"/>
          </w:tcPr>
          <w:p w14:paraId="7A019B8B" w14:textId="77777777" w:rsidR="005E564C" w:rsidRPr="00742720" w:rsidRDefault="005E564C" w:rsidP="005E564C">
            <w:pPr>
              <w:rPr>
                <w:rFonts w:cs="Arial"/>
                <w:sz w:val="16"/>
                <w:szCs w:val="16"/>
              </w:rPr>
            </w:pPr>
            <w:r w:rsidRPr="00742720">
              <w:rPr>
                <w:rFonts w:cs="Arial"/>
                <w:sz w:val="16"/>
                <w:szCs w:val="16"/>
              </w:rPr>
              <w:t>3.</w:t>
            </w:r>
          </w:p>
        </w:tc>
        <w:tc>
          <w:tcPr>
            <w:tcW w:w="2814" w:type="dxa"/>
            <w:shd w:val="clear" w:color="auto" w:fill="DEEAF6"/>
          </w:tcPr>
          <w:p w14:paraId="2AB91F5B" w14:textId="77777777" w:rsidR="005E564C" w:rsidRPr="00742720" w:rsidRDefault="005E564C" w:rsidP="005E564C">
            <w:pPr>
              <w:jc w:val="center"/>
              <w:rPr>
                <w:rFonts w:cs="Arial"/>
                <w:b/>
                <w:sz w:val="16"/>
                <w:szCs w:val="16"/>
              </w:rPr>
            </w:pPr>
            <w:r w:rsidRPr="00742720">
              <w:rPr>
                <w:rFonts w:cs="Arial"/>
                <w:b/>
                <w:sz w:val="16"/>
                <w:szCs w:val="16"/>
              </w:rPr>
              <w:t>Określenie aspektów społecznych w kryteriach oceny ofert</w:t>
            </w:r>
          </w:p>
        </w:tc>
        <w:tc>
          <w:tcPr>
            <w:tcW w:w="1753" w:type="dxa"/>
            <w:vAlign w:val="center"/>
          </w:tcPr>
          <w:p w14:paraId="1AF4A347" w14:textId="00E6D4CD" w:rsidR="005E564C" w:rsidRPr="00742720" w:rsidRDefault="005E564C" w:rsidP="005E564C">
            <w:pPr>
              <w:jc w:val="center"/>
              <w:rPr>
                <w:rFonts w:cs="Arial"/>
                <w:sz w:val="16"/>
                <w:szCs w:val="16"/>
              </w:rPr>
            </w:pPr>
            <w:r w:rsidRPr="00742720">
              <w:rPr>
                <w:rFonts w:cs="Arial"/>
                <w:sz w:val="16"/>
                <w:szCs w:val="16"/>
              </w:rPr>
              <w:t>4,97%</w:t>
            </w:r>
          </w:p>
        </w:tc>
        <w:tc>
          <w:tcPr>
            <w:tcW w:w="1925" w:type="dxa"/>
            <w:vAlign w:val="center"/>
          </w:tcPr>
          <w:p w14:paraId="36289DA1" w14:textId="327E7CC3" w:rsidR="005E564C" w:rsidRPr="00742720" w:rsidRDefault="005E564C" w:rsidP="005E564C">
            <w:pPr>
              <w:jc w:val="center"/>
              <w:rPr>
                <w:rFonts w:cs="Arial"/>
                <w:sz w:val="16"/>
                <w:szCs w:val="16"/>
              </w:rPr>
            </w:pPr>
            <w:r w:rsidRPr="00742720">
              <w:rPr>
                <w:rFonts w:cs="Arial"/>
                <w:sz w:val="16"/>
                <w:szCs w:val="16"/>
              </w:rPr>
              <w:t>2,48%</w:t>
            </w:r>
          </w:p>
        </w:tc>
        <w:tc>
          <w:tcPr>
            <w:tcW w:w="1771" w:type="dxa"/>
            <w:vAlign w:val="center"/>
          </w:tcPr>
          <w:p w14:paraId="4F34043A" w14:textId="398518D6" w:rsidR="005E564C" w:rsidRPr="00742720" w:rsidRDefault="005E564C" w:rsidP="005E564C">
            <w:pPr>
              <w:jc w:val="center"/>
              <w:rPr>
                <w:rFonts w:cs="Arial"/>
                <w:sz w:val="16"/>
                <w:szCs w:val="16"/>
              </w:rPr>
            </w:pPr>
            <w:r w:rsidRPr="00742720">
              <w:rPr>
                <w:rFonts w:cs="Arial"/>
                <w:sz w:val="16"/>
                <w:szCs w:val="16"/>
              </w:rPr>
              <w:t>5,05%</w:t>
            </w:r>
          </w:p>
        </w:tc>
        <w:tc>
          <w:tcPr>
            <w:tcW w:w="1771" w:type="dxa"/>
            <w:vAlign w:val="center"/>
          </w:tcPr>
          <w:p w14:paraId="1992FDA3" w14:textId="4216A079" w:rsidR="005E564C" w:rsidRPr="00742720" w:rsidRDefault="005E564C" w:rsidP="005E564C">
            <w:pPr>
              <w:jc w:val="center"/>
              <w:rPr>
                <w:rFonts w:cs="Arial"/>
                <w:sz w:val="16"/>
                <w:szCs w:val="16"/>
              </w:rPr>
            </w:pPr>
            <w:r w:rsidRPr="00742720">
              <w:rPr>
                <w:rFonts w:cs="Arial"/>
                <w:sz w:val="16"/>
                <w:szCs w:val="16"/>
              </w:rPr>
              <w:t>3,32%</w:t>
            </w:r>
          </w:p>
        </w:tc>
        <w:tc>
          <w:tcPr>
            <w:tcW w:w="1735" w:type="dxa"/>
            <w:vAlign w:val="center"/>
          </w:tcPr>
          <w:p w14:paraId="37192484" w14:textId="3039026F" w:rsidR="005E564C" w:rsidRPr="00742720" w:rsidRDefault="005E564C" w:rsidP="005E564C">
            <w:pPr>
              <w:jc w:val="center"/>
              <w:rPr>
                <w:rFonts w:cs="Arial"/>
                <w:sz w:val="16"/>
                <w:szCs w:val="16"/>
              </w:rPr>
            </w:pPr>
            <w:r w:rsidRPr="00742720">
              <w:rPr>
                <w:rFonts w:cs="Arial"/>
                <w:sz w:val="16"/>
                <w:szCs w:val="16"/>
              </w:rPr>
              <w:t>4,9%</w:t>
            </w:r>
          </w:p>
        </w:tc>
        <w:tc>
          <w:tcPr>
            <w:tcW w:w="1736" w:type="dxa"/>
            <w:vAlign w:val="center"/>
          </w:tcPr>
          <w:p w14:paraId="5A9AAEAC" w14:textId="161F3B09" w:rsidR="005E564C" w:rsidRPr="00742720" w:rsidRDefault="005E564C" w:rsidP="005E564C">
            <w:pPr>
              <w:jc w:val="center"/>
              <w:rPr>
                <w:rFonts w:cs="Arial"/>
                <w:sz w:val="16"/>
                <w:szCs w:val="16"/>
              </w:rPr>
            </w:pPr>
            <w:r w:rsidRPr="00742720">
              <w:rPr>
                <w:rFonts w:cs="Arial"/>
                <w:sz w:val="16"/>
                <w:szCs w:val="16"/>
              </w:rPr>
              <w:t>6,6%</w:t>
            </w:r>
          </w:p>
        </w:tc>
      </w:tr>
      <w:tr w:rsidR="005E564C" w:rsidRPr="00742720" w14:paraId="7840DE5C" w14:textId="77777777" w:rsidTr="00100D6C">
        <w:trPr>
          <w:jc w:val="center"/>
        </w:trPr>
        <w:tc>
          <w:tcPr>
            <w:tcW w:w="487" w:type="dxa"/>
            <w:shd w:val="clear" w:color="auto" w:fill="DEEAF6"/>
          </w:tcPr>
          <w:p w14:paraId="5ED7DCA5" w14:textId="77777777" w:rsidR="005E564C" w:rsidRPr="00742720" w:rsidRDefault="005E564C" w:rsidP="005E564C">
            <w:pPr>
              <w:rPr>
                <w:rFonts w:cs="Arial"/>
                <w:sz w:val="16"/>
                <w:szCs w:val="16"/>
              </w:rPr>
            </w:pPr>
            <w:r w:rsidRPr="00742720">
              <w:rPr>
                <w:rFonts w:cs="Arial"/>
                <w:sz w:val="16"/>
                <w:szCs w:val="16"/>
              </w:rPr>
              <w:t>4.</w:t>
            </w:r>
          </w:p>
        </w:tc>
        <w:tc>
          <w:tcPr>
            <w:tcW w:w="2814" w:type="dxa"/>
            <w:shd w:val="clear" w:color="auto" w:fill="DEEAF6"/>
          </w:tcPr>
          <w:p w14:paraId="1A389D74" w14:textId="77777777" w:rsidR="005E564C" w:rsidRPr="00742720" w:rsidRDefault="005E564C" w:rsidP="005E564C">
            <w:pPr>
              <w:jc w:val="center"/>
              <w:rPr>
                <w:rFonts w:cs="Arial"/>
                <w:b/>
                <w:sz w:val="16"/>
                <w:szCs w:val="16"/>
              </w:rPr>
            </w:pPr>
            <w:r w:rsidRPr="00742720">
              <w:rPr>
                <w:rFonts w:cs="Arial"/>
                <w:b/>
                <w:sz w:val="16"/>
                <w:szCs w:val="16"/>
              </w:rPr>
              <w:t>Określenie wymagań związanych z realizacją zamówienia obejmujących aspekty społeczne związane z zatrudnieniem</w:t>
            </w:r>
          </w:p>
        </w:tc>
        <w:tc>
          <w:tcPr>
            <w:tcW w:w="1753" w:type="dxa"/>
            <w:vAlign w:val="center"/>
          </w:tcPr>
          <w:p w14:paraId="08FD3A1E" w14:textId="79171221" w:rsidR="005E564C" w:rsidRPr="00742720" w:rsidRDefault="005E564C" w:rsidP="005E564C">
            <w:pPr>
              <w:jc w:val="center"/>
              <w:rPr>
                <w:rFonts w:eastAsia="Calibri" w:cs="Arial"/>
                <w:sz w:val="16"/>
                <w:szCs w:val="16"/>
              </w:rPr>
            </w:pPr>
            <w:r w:rsidRPr="00742720">
              <w:rPr>
                <w:rFonts w:eastAsia="Calibri" w:cs="Arial"/>
                <w:sz w:val="16"/>
                <w:szCs w:val="16"/>
              </w:rPr>
              <w:t>3,02%</w:t>
            </w:r>
          </w:p>
        </w:tc>
        <w:tc>
          <w:tcPr>
            <w:tcW w:w="1925" w:type="dxa"/>
            <w:vAlign w:val="center"/>
          </w:tcPr>
          <w:p w14:paraId="75AB559B" w14:textId="051F6378" w:rsidR="005E564C" w:rsidRPr="00742720" w:rsidRDefault="005E564C" w:rsidP="005E564C">
            <w:pPr>
              <w:jc w:val="center"/>
              <w:rPr>
                <w:rFonts w:eastAsia="Calibri" w:cs="Arial"/>
                <w:sz w:val="16"/>
                <w:szCs w:val="16"/>
              </w:rPr>
            </w:pPr>
            <w:r w:rsidRPr="00742720">
              <w:rPr>
                <w:rFonts w:eastAsia="Calibri" w:cs="Arial"/>
                <w:sz w:val="16"/>
                <w:szCs w:val="16"/>
              </w:rPr>
              <w:t>2,18%</w:t>
            </w:r>
          </w:p>
        </w:tc>
        <w:tc>
          <w:tcPr>
            <w:tcW w:w="1771" w:type="dxa"/>
            <w:vAlign w:val="center"/>
          </w:tcPr>
          <w:p w14:paraId="49000ACD" w14:textId="2037A03A" w:rsidR="005E564C" w:rsidRPr="00742720" w:rsidRDefault="005E564C" w:rsidP="005E564C">
            <w:pPr>
              <w:jc w:val="center"/>
              <w:rPr>
                <w:rFonts w:eastAsia="Calibri" w:cs="Arial"/>
                <w:sz w:val="16"/>
                <w:szCs w:val="16"/>
              </w:rPr>
            </w:pPr>
            <w:r w:rsidRPr="00742720">
              <w:rPr>
                <w:rFonts w:eastAsia="Calibri" w:cs="Arial"/>
                <w:sz w:val="16"/>
                <w:szCs w:val="16"/>
              </w:rPr>
              <w:t>3,69%</w:t>
            </w:r>
          </w:p>
        </w:tc>
        <w:tc>
          <w:tcPr>
            <w:tcW w:w="1771" w:type="dxa"/>
            <w:vAlign w:val="center"/>
          </w:tcPr>
          <w:p w14:paraId="21AB3F1B" w14:textId="110A9C4D" w:rsidR="005E564C" w:rsidRPr="00742720" w:rsidRDefault="005E564C" w:rsidP="005E564C">
            <w:pPr>
              <w:jc w:val="center"/>
              <w:rPr>
                <w:rFonts w:eastAsia="Calibri" w:cs="Arial"/>
                <w:sz w:val="16"/>
                <w:szCs w:val="16"/>
              </w:rPr>
            </w:pPr>
            <w:r w:rsidRPr="00742720">
              <w:rPr>
                <w:rFonts w:eastAsia="Calibri" w:cs="Arial"/>
                <w:sz w:val="16"/>
                <w:szCs w:val="16"/>
              </w:rPr>
              <w:t>5,1%</w:t>
            </w:r>
          </w:p>
        </w:tc>
        <w:tc>
          <w:tcPr>
            <w:tcW w:w="1735" w:type="dxa"/>
            <w:vAlign w:val="center"/>
          </w:tcPr>
          <w:p w14:paraId="41A0A01D" w14:textId="47289286" w:rsidR="005E564C" w:rsidRPr="00742720" w:rsidRDefault="005E564C" w:rsidP="005E564C">
            <w:pPr>
              <w:jc w:val="center"/>
              <w:rPr>
                <w:rFonts w:eastAsia="Calibri" w:cs="Arial"/>
                <w:sz w:val="16"/>
                <w:szCs w:val="16"/>
              </w:rPr>
            </w:pPr>
            <w:r w:rsidRPr="00742720">
              <w:rPr>
                <w:rFonts w:eastAsia="Calibri" w:cs="Arial"/>
                <w:sz w:val="16"/>
                <w:szCs w:val="16"/>
              </w:rPr>
              <w:t>2,9%</w:t>
            </w:r>
          </w:p>
        </w:tc>
        <w:tc>
          <w:tcPr>
            <w:tcW w:w="1736" w:type="dxa"/>
            <w:vAlign w:val="center"/>
          </w:tcPr>
          <w:p w14:paraId="4A2B3FF1" w14:textId="7A89F8BE" w:rsidR="005E564C" w:rsidRPr="00742720" w:rsidRDefault="005E564C" w:rsidP="005E564C">
            <w:pPr>
              <w:jc w:val="center"/>
              <w:rPr>
                <w:rFonts w:eastAsia="Calibri" w:cs="Arial"/>
                <w:sz w:val="16"/>
                <w:szCs w:val="16"/>
              </w:rPr>
            </w:pPr>
            <w:r w:rsidRPr="00742720">
              <w:rPr>
                <w:rFonts w:eastAsia="Calibri" w:cs="Arial"/>
                <w:sz w:val="16"/>
                <w:szCs w:val="16"/>
              </w:rPr>
              <w:t>3%</w:t>
            </w:r>
          </w:p>
        </w:tc>
      </w:tr>
      <w:tr w:rsidR="005E564C" w:rsidRPr="00742720" w14:paraId="0B6619C8" w14:textId="77777777" w:rsidTr="00100D6C">
        <w:trPr>
          <w:jc w:val="center"/>
        </w:trPr>
        <w:tc>
          <w:tcPr>
            <w:tcW w:w="487" w:type="dxa"/>
            <w:shd w:val="clear" w:color="auto" w:fill="DEEAF6"/>
          </w:tcPr>
          <w:p w14:paraId="6B9F5925" w14:textId="77777777" w:rsidR="005E564C" w:rsidRPr="00742720" w:rsidRDefault="005E564C" w:rsidP="005E564C">
            <w:pPr>
              <w:rPr>
                <w:rFonts w:cs="Arial"/>
                <w:sz w:val="16"/>
                <w:szCs w:val="16"/>
              </w:rPr>
            </w:pPr>
            <w:r w:rsidRPr="00742720">
              <w:rPr>
                <w:rFonts w:cs="Arial"/>
                <w:sz w:val="16"/>
                <w:szCs w:val="16"/>
              </w:rPr>
              <w:t>5.</w:t>
            </w:r>
          </w:p>
        </w:tc>
        <w:tc>
          <w:tcPr>
            <w:tcW w:w="2814" w:type="dxa"/>
            <w:shd w:val="clear" w:color="auto" w:fill="DEEAF6"/>
          </w:tcPr>
          <w:p w14:paraId="5B2BC5AB" w14:textId="77777777" w:rsidR="005E564C" w:rsidRPr="00742720" w:rsidRDefault="005E564C" w:rsidP="005E564C">
            <w:pPr>
              <w:jc w:val="center"/>
              <w:rPr>
                <w:rFonts w:cs="Arial"/>
                <w:b/>
                <w:sz w:val="16"/>
                <w:szCs w:val="16"/>
              </w:rPr>
            </w:pPr>
            <w:r w:rsidRPr="00742720">
              <w:rPr>
                <w:rFonts w:cs="Arial"/>
                <w:b/>
                <w:sz w:val="16"/>
                <w:szCs w:val="16"/>
              </w:rPr>
              <w:t>Zamówienia zastrzeżone na usługi zdrowotne, społeczne lub kulturalne</w:t>
            </w:r>
          </w:p>
        </w:tc>
        <w:tc>
          <w:tcPr>
            <w:tcW w:w="1753" w:type="dxa"/>
            <w:vAlign w:val="center"/>
          </w:tcPr>
          <w:p w14:paraId="394B1A3F" w14:textId="5F1AF789" w:rsidR="005E564C" w:rsidRPr="00742720" w:rsidRDefault="005E564C" w:rsidP="005E564C">
            <w:pPr>
              <w:jc w:val="center"/>
              <w:rPr>
                <w:rFonts w:cs="Arial"/>
                <w:sz w:val="16"/>
                <w:szCs w:val="16"/>
              </w:rPr>
            </w:pPr>
            <w:r w:rsidRPr="00742720">
              <w:rPr>
                <w:rFonts w:cs="Arial"/>
                <w:sz w:val="16"/>
                <w:szCs w:val="16"/>
              </w:rPr>
              <w:t>0,76%</w:t>
            </w:r>
          </w:p>
        </w:tc>
        <w:tc>
          <w:tcPr>
            <w:tcW w:w="1925" w:type="dxa"/>
            <w:vAlign w:val="center"/>
          </w:tcPr>
          <w:p w14:paraId="113AB6A9" w14:textId="28971A23" w:rsidR="005E564C" w:rsidRPr="00742720" w:rsidRDefault="005E564C" w:rsidP="005E564C">
            <w:pPr>
              <w:jc w:val="center"/>
              <w:rPr>
                <w:rFonts w:cs="Arial"/>
                <w:sz w:val="16"/>
                <w:szCs w:val="16"/>
              </w:rPr>
            </w:pPr>
            <w:r w:rsidRPr="00742720">
              <w:rPr>
                <w:rFonts w:cs="Arial"/>
                <w:sz w:val="16"/>
                <w:szCs w:val="16"/>
              </w:rPr>
              <w:t>0,13%</w:t>
            </w:r>
          </w:p>
        </w:tc>
        <w:tc>
          <w:tcPr>
            <w:tcW w:w="1771" w:type="dxa"/>
            <w:vAlign w:val="center"/>
          </w:tcPr>
          <w:p w14:paraId="147E27B8" w14:textId="47D2829C" w:rsidR="005E564C" w:rsidRPr="00742720" w:rsidRDefault="005E564C" w:rsidP="005E564C">
            <w:pPr>
              <w:jc w:val="center"/>
              <w:rPr>
                <w:rFonts w:cs="Arial"/>
                <w:sz w:val="16"/>
                <w:szCs w:val="16"/>
              </w:rPr>
            </w:pPr>
            <w:r w:rsidRPr="00742720">
              <w:rPr>
                <w:rFonts w:cs="Arial"/>
                <w:sz w:val="16"/>
                <w:szCs w:val="16"/>
              </w:rPr>
              <w:t>1,07%</w:t>
            </w:r>
          </w:p>
        </w:tc>
        <w:tc>
          <w:tcPr>
            <w:tcW w:w="1771" w:type="dxa"/>
            <w:vAlign w:val="center"/>
          </w:tcPr>
          <w:p w14:paraId="46C68BC5" w14:textId="71E988F7" w:rsidR="005E564C" w:rsidRPr="00742720" w:rsidRDefault="005E564C" w:rsidP="005E564C">
            <w:pPr>
              <w:jc w:val="center"/>
              <w:rPr>
                <w:rFonts w:cs="Arial"/>
                <w:sz w:val="16"/>
                <w:szCs w:val="16"/>
              </w:rPr>
            </w:pPr>
            <w:r w:rsidRPr="00742720">
              <w:rPr>
                <w:rFonts w:cs="Arial"/>
                <w:sz w:val="16"/>
                <w:szCs w:val="16"/>
              </w:rPr>
              <w:t>0,23%</w:t>
            </w:r>
          </w:p>
        </w:tc>
        <w:tc>
          <w:tcPr>
            <w:tcW w:w="1735" w:type="dxa"/>
            <w:vAlign w:val="center"/>
          </w:tcPr>
          <w:p w14:paraId="49ECDACF" w14:textId="1A18779A" w:rsidR="005E564C" w:rsidRPr="00742720" w:rsidRDefault="005E564C" w:rsidP="005E564C">
            <w:pPr>
              <w:jc w:val="center"/>
              <w:rPr>
                <w:rFonts w:cs="Arial"/>
                <w:sz w:val="16"/>
                <w:szCs w:val="16"/>
              </w:rPr>
            </w:pPr>
            <w:r w:rsidRPr="00742720">
              <w:rPr>
                <w:rFonts w:cs="Arial"/>
                <w:sz w:val="16"/>
                <w:szCs w:val="16"/>
              </w:rPr>
              <w:t>1,5%</w:t>
            </w:r>
          </w:p>
        </w:tc>
        <w:tc>
          <w:tcPr>
            <w:tcW w:w="1736" w:type="dxa"/>
            <w:vAlign w:val="center"/>
          </w:tcPr>
          <w:p w14:paraId="1E9313AA" w14:textId="37B11C0C" w:rsidR="005E564C" w:rsidRPr="00742720" w:rsidRDefault="005E564C" w:rsidP="005E564C">
            <w:pPr>
              <w:jc w:val="center"/>
              <w:rPr>
                <w:rFonts w:cs="Arial"/>
                <w:sz w:val="16"/>
                <w:szCs w:val="16"/>
              </w:rPr>
            </w:pPr>
            <w:r w:rsidRPr="00742720">
              <w:rPr>
                <w:rFonts w:cs="Arial"/>
                <w:sz w:val="16"/>
                <w:szCs w:val="16"/>
              </w:rPr>
              <w:t>0,3%</w:t>
            </w:r>
          </w:p>
        </w:tc>
      </w:tr>
      <w:tr w:rsidR="005E564C" w:rsidRPr="00742720" w14:paraId="293C7581" w14:textId="77777777" w:rsidTr="00100D6C">
        <w:trPr>
          <w:jc w:val="center"/>
        </w:trPr>
        <w:tc>
          <w:tcPr>
            <w:tcW w:w="487" w:type="dxa"/>
            <w:shd w:val="clear" w:color="auto" w:fill="DEEAF6"/>
          </w:tcPr>
          <w:p w14:paraId="66F7C9E6" w14:textId="77777777" w:rsidR="005E564C" w:rsidRPr="00742720" w:rsidRDefault="005E564C" w:rsidP="005E564C">
            <w:pPr>
              <w:rPr>
                <w:rFonts w:cs="Arial"/>
                <w:sz w:val="16"/>
                <w:szCs w:val="16"/>
              </w:rPr>
            </w:pPr>
            <w:r w:rsidRPr="00742720">
              <w:rPr>
                <w:rFonts w:cs="Arial"/>
                <w:sz w:val="16"/>
                <w:szCs w:val="16"/>
              </w:rPr>
              <w:t>6.</w:t>
            </w:r>
          </w:p>
        </w:tc>
        <w:tc>
          <w:tcPr>
            <w:tcW w:w="2814" w:type="dxa"/>
            <w:shd w:val="clear" w:color="auto" w:fill="DEEAF6"/>
          </w:tcPr>
          <w:p w14:paraId="4B0957E4" w14:textId="77777777" w:rsidR="005E564C" w:rsidRPr="00742720" w:rsidRDefault="005E564C" w:rsidP="005E564C">
            <w:pPr>
              <w:jc w:val="center"/>
              <w:rPr>
                <w:rFonts w:cs="Arial"/>
                <w:b/>
                <w:sz w:val="16"/>
                <w:szCs w:val="16"/>
              </w:rPr>
            </w:pPr>
            <w:r w:rsidRPr="00742720">
              <w:rPr>
                <w:rFonts w:cs="Arial"/>
                <w:b/>
                <w:sz w:val="16"/>
                <w:szCs w:val="16"/>
              </w:rPr>
              <w:t>Zamówienie udzielone jako zamówienie zastrzeżone</w:t>
            </w:r>
          </w:p>
        </w:tc>
        <w:tc>
          <w:tcPr>
            <w:tcW w:w="1753" w:type="dxa"/>
            <w:vAlign w:val="center"/>
          </w:tcPr>
          <w:p w14:paraId="407DAFC7" w14:textId="273853F5" w:rsidR="005E564C" w:rsidRPr="00742720" w:rsidRDefault="005E564C" w:rsidP="005E564C">
            <w:pPr>
              <w:jc w:val="center"/>
              <w:rPr>
                <w:rFonts w:cs="Arial"/>
                <w:sz w:val="16"/>
                <w:szCs w:val="16"/>
              </w:rPr>
            </w:pPr>
            <w:r w:rsidRPr="00742720">
              <w:rPr>
                <w:rFonts w:cs="Arial"/>
                <w:sz w:val="16"/>
                <w:szCs w:val="16"/>
              </w:rPr>
              <w:t>0,64%</w:t>
            </w:r>
          </w:p>
        </w:tc>
        <w:tc>
          <w:tcPr>
            <w:tcW w:w="1925" w:type="dxa"/>
            <w:vAlign w:val="center"/>
          </w:tcPr>
          <w:p w14:paraId="30CD38FD" w14:textId="36F9AAF5" w:rsidR="005E564C" w:rsidRPr="00742720" w:rsidRDefault="005E564C" w:rsidP="005E564C">
            <w:pPr>
              <w:jc w:val="center"/>
              <w:rPr>
                <w:rFonts w:cs="Arial"/>
                <w:sz w:val="16"/>
                <w:szCs w:val="16"/>
              </w:rPr>
            </w:pPr>
            <w:r w:rsidRPr="00742720">
              <w:rPr>
                <w:rFonts w:cs="Arial"/>
                <w:sz w:val="16"/>
                <w:szCs w:val="16"/>
              </w:rPr>
              <w:t>0,23%</w:t>
            </w:r>
          </w:p>
        </w:tc>
        <w:tc>
          <w:tcPr>
            <w:tcW w:w="1771" w:type="dxa"/>
            <w:vAlign w:val="center"/>
          </w:tcPr>
          <w:p w14:paraId="4C1017A1" w14:textId="6B2F8E3E" w:rsidR="005E564C" w:rsidRPr="00742720" w:rsidRDefault="005E564C" w:rsidP="005E564C">
            <w:pPr>
              <w:jc w:val="center"/>
              <w:rPr>
                <w:rFonts w:cs="Arial"/>
                <w:sz w:val="16"/>
                <w:szCs w:val="16"/>
              </w:rPr>
            </w:pPr>
            <w:r w:rsidRPr="00742720">
              <w:rPr>
                <w:rFonts w:cs="Arial"/>
                <w:sz w:val="16"/>
                <w:szCs w:val="16"/>
              </w:rPr>
              <w:t>0,59%</w:t>
            </w:r>
          </w:p>
        </w:tc>
        <w:tc>
          <w:tcPr>
            <w:tcW w:w="1771" w:type="dxa"/>
            <w:vAlign w:val="center"/>
          </w:tcPr>
          <w:p w14:paraId="20674D89" w14:textId="7070AFF1" w:rsidR="005E564C" w:rsidRPr="00742720" w:rsidRDefault="005E564C" w:rsidP="005E564C">
            <w:pPr>
              <w:jc w:val="center"/>
              <w:rPr>
                <w:rFonts w:cs="Arial"/>
                <w:sz w:val="16"/>
                <w:szCs w:val="16"/>
              </w:rPr>
            </w:pPr>
            <w:r w:rsidRPr="00742720">
              <w:rPr>
                <w:rFonts w:cs="Arial"/>
                <w:sz w:val="16"/>
                <w:szCs w:val="16"/>
              </w:rPr>
              <w:t>0,28%</w:t>
            </w:r>
          </w:p>
        </w:tc>
        <w:tc>
          <w:tcPr>
            <w:tcW w:w="1735" w:type="dxa"/>
            <w:vAlign w:val="center"/>
          </w:tcPr>
          <w:p w14:paraId="2016F128" w14:textId="208DCEAE" w:rsidR="005E564C" w:rsidRPr="00742720" w:rsidRDefault="005E564C" w:rsidP="005E564C">
            <w:pPr>
              <w:jc w:val="center"/>
              <w:rPr>
                <w:rFonts w:cs="Arial"/>
                <w:sz w:val="16"/>
                <w:szCs w:val="16"/>
              </w:rPr>
            </w:pPr>
            <w:r w:rsidRPr="00742720">
              <w:rPr>
                <w:rFonts w:cs="Arial"/>
                <w:sz w:val="16"/>
                <w:szCs w:val="16"/>
              </w:rPr>
              <w:t>0,7%</w:t>
            </w:r>
          </w:p>
        </w:tc>
        <w:tc>
          <w:tcPr>
            <w:tcW w:w="1736" w:type="dxa"/>
            <w:vAlign w:val="center"/>
          </w:tcPr>
          <w:p w14:paraId="2B2E45E7" w14:textId="7B3EA646" w:rsidR="005E564C" w:rsidRPr="00742720" w:rsidRDefault="005E564C" w:rsidP="005E564C">
            <w:pPr>
              <w:jc w:val="center"/>
              <w:rPr>
                <w:rFonts w:cs="Arial"/>
                <w:sz w:val="16"/>
                <w:szCs w:val="16"/>
              </w:rPr>
            </w:pPr>
            <w:r w:rsidRPr="00742720">
              <w:rPr>
                <w:rFonts w:cs="Arial"/>
                <w:sz w:val="16"/>
                <w:szCs w:val="16"/>
              </w:rPr>
              <w:t>0,71%</w:t>
            </w:r>
          </w:p>
        </w:tc>
      </w:tr>
      <w:tr w:rsidR="002337AB" w:rsidRPr="00742720" w14:paraId="735293D4" w14:textId="77777777" w:rsidTr="00100D6C">
        <w:trPr>
          <w:jc w:val="center"/>
        </w:trPr>
        <w:tc>
          <w:tcPr>
            <w:tcW w:w="487" w:type="dxa"/>
            <w:shd w:val="clear" w:color="auto" w:fill="DEEAF6"/>
          </w:tcPr>
          <w:p w14:paraId="0F748D63" w14:textId="44C762A7" w:rsidR="002337AB" w:rsidRPr="00742720" w:rsidRDefault="002337AB" w:rsidP="002337AB">
            <w:pPr>
              <w:rPr>
                <w:rFonts w:cs="Arial"/>
                <w:sz w:val="16"/>
                <w:szCs w:val="16"/>
              </w:rPr>
            </w:pPr>
            <w:r>
              <w:rPr>
                <w:rFonts w:cs="Arial"/>
                <w:sz w:val="16"/>
                <w:szCs w:val="16"/>
              </w:rPr>
              <w:t>7</w:t>
            </w:r>
            <w:r w:rsidRPr="00742720">
              <w:rPr>
                <w:rFonts w:cs="Arial"/>
                <w:sz w:val="16"/>
                <w:szCs w:val="16"/>
              </w:rPr>
              <w:t>.</w:t>
            </w:r>
          </w:p>
        </w:tc>
        <w:tc>
          <w:tcPr>
            <w:tcW w:w="2814" w:type="dxa"/>
            <w:shd w:val="clear" w:color="auto" w:fill="DEEAF6"/>
          </w:tcPr>
          <w:p w14:paraId="0560D94C" w14:textId="65D97DB0" w:rsidR="002337AB" w:rsidRPr="00742720" w:rsidRDefault="002337AB" w:rsidP="002337AB">
            <w:pPr>
              <w:jc w:val="center"/>
              <w:rPr>
                <w:rFonts w:cs="Arial"/>
                <w:b/>
                <w:sz w:val="16"/>
                <w:szCs w:val="16"/>
              </w:rPr>
            </w:pPr>
            <w:r w:rsidRPr="001D752F">
              <w:rPr>
                <w:rFonts w:cs="Arial"/>
                <w:b/>
                <w:sz w:val="16"/>
                <w:szCs w:val="16"/>
              </w:rPr>
              <w:t>Określenie etykiety związanej z aspektami społecznymi</w:t>
            </w:r>
          </w:p>
        </w:tc>
        <w:tc>
          <w:tcPr>
            <w:tcW w:w="1753" w:type="dxa"/>
            <w:vAlign w:val="center"/>
          </w:tcPr>
          <w:p w14:paraId="6F7CF347" w14:textId="2E1A9A93" w:rsidR="002337AB" w:rsidRPr="00742720" w:rsidRDefault="002337AB" w:rsidP="002337AB">
            <w:pPr>
              <w:jc w:val="center"/>
              <w:rPr>
                <w:rFonts w:cs="Arial"/>
                <w:sz w:val="16"/>
                <w:szCs w:val="16"/>
                <w:highlight w:val="yellow"/>
              </w:rPr>
            </w:pPr>
            <w:r w:rsidRPr="00742720">
              <w:rPr>
                <w:rFonts w:cs="Arial"/>
                <w:sz w:val="16"/>
                <w:szCs w:val="16"/>
              </w:rPr>
              <w:t>0,41%</w:t>
            </w:r>
          </w:p>
        </w:tc>
        <w:tc>
          <w:tcPr>
            <w:tcW w:w="1925" w:type="dxa"/>
            <w:vAlign w:val="center"/>
          </w:tcPr>
          <w:p w14:paraId="278DCD40" w14:textId="4DA8D424" w:rsidR="002337AB" w:rsidRPr="00742720" w:rsidRDefault="002337AB" w:rsidP="002337AB">
            <w:pPr>
              <w:jc w:val="center"/>
              <w:rPr>
                <w:rFonts w:cs="Arial"/>
                <w:sz w:val="16"/>
                <w:szCs w:val="16"/>
                <w:highlight w:val="yellow"/>
              </w:rPr>
            </w:pPr>
            <w:r w:rsidRPr="00742720">
              <w:rPr>
                <w:rFonts w:cs="Arial"/>
                <w:sz w:val="16"/>
                <w:szCs w:val="16"/>
              </w:rPr>
              <w:t>0,40%</w:t>
            </w:r>
          </w:p>
        </w:tc>
        <w:tc>
          <w:tcPr>
            <w:tcW w:w="1771" w:type="dxa"/>
            <w:vAlign w:val="center"/>
          </w:tcPr>
          <w:p w14:paraId="0607DDCE" w14:textId="60DF41A4" w:rsidR="002337AB" w:rsidRPr="00742720" w:rsidRDefault="002337AB" w:rsidP="002337AB">
            <w:pPr>
              <w:jc w:val="center"/>
              <w:rPr>
                <w:rFonts w:cs="Arial"/>
                <w:sz w:val="16"/>
                <w:szCs w:val="16"/>
                <w:highlight w:val="yellow"/>
              </w:rPr>
            </w:pPr>
            <w:r w:rsidRPr="00742720">
              <w:rPr>
                <w:rFonts w:cs="Arial"/>
                <w:sz w:val="16"/>
                <w:szCs w:val="16"/>
              </w:rPr>
              <w:t>0,56%</w:t>
            </w:r>
          </w:p>
        </w:tc>
        <w:tc>
          <w:tcPr>
            <w:tcW w:w="1771" w:type="dxa"/>
            <w:vAlign w:val="center"/>
          </w:tcPr>
          <w:p w14:paraId="76D4DB3C" w14:textId="6FE6253D" w:rsidR="002337AB" w:rsidRPr="00742720" w:rsidRDefault="002337AB" w:rsidP="002337AB">
            <w:pPr>
              <w:jc w:val="center"/>
              <w:rPr>
                <w:rFonts w:cs="Arial"/>
                <w:sz w:val="16"/>
                <w:szCs w:val="16"/>
                <w:highlight w:val="yellow"/>
              </w:rPr>
            </w:pPr>
            <w:r w:rsidRPr="00742720">
              <w:rPr>
                <w:rFonts w:cs="Arial"/>
                <w:sz w:val="16"/>
                <w:szCs w:val="16"/>
              </w:rPr>
              <w:t>0,3%</w:t>
            </w:r>
          </w:p>
        </w:tc>
        <w:tc>
          <w:tcPr>
            <w:tcW w:w="1735" w:type="dxa"/>
            <w:vAlign w:val="center"/>
          </w:tcPr>
          <w:p w14:paraId="5EEB7DDD" w14:textId="2D7DCD0F" w:rsidR="002337AB" w:rsidRPr="00742720" w:rsidRDefault="002337AB" w:rsidP="002337AB">
            <w:pPr>
              <w:jc w:val="center"/>
              <w:rPr>
                <w:rFonts w:cs="Arial"/>
                <w:sz w:val="16"/>
                <w:szCs w:val="16"/>
              </w:rPr>
            </w:pPr>
            <w:r w:rsidRPr="00742720">
              <w:rPr>
                <w:rFonts w:cs="Arial"/>
                <w:sz w:val="16"/>
                <w:szCs w:val="16"/>
              </w:rPr>
              <w:t>0,55%</w:t>
            </w:r>
          </w:p>
        </w:tc>
        <w:tc>
          <w:tcPr>
            <w:tcW w:w="1736" w:type="dxa"/>
            <w:vAlign w:val="center"/>
          </w:tcPr>
          <w:p w14:paraId="0B4864E0" w14:textId="4E307537" w:rsidR="002337AB" w:rsidRPr="00742720" w:rsidRDefault="002337AB" w:rsidP="002337AB">
            <w:pPr>
              <w:jc w:val="center"/>
              <w:rPr>
                <w:rFonts w:cs="Arial"/>
                <w:sz w:val="16"/>
                <w:szCs w:val="16"/>
              </w:rPr>
            </w:pPr>
            <w:r w:rsidRPr="00742720">
              <w:rPr>
                <w:rFonts w:cs="Arial"/>
                <w:sz w:val="16"/>
                <w:szCs w:val="16"/>
              </w:rPr>
              <w:t>0,3%</w:t>
            </w:r>
          </w:p>
        </w:tc>
      </w:tr>
    </w:tbl>
    <w:p w14:paraId="5174D5C4" w14:textId="3ACF0FAD" w:rsidR="00371F95" w:rsidRPr="00805E2A" w:rsidRDefault="00371F95" w:rsidP="00D2318D">
      <w:pPr>
        <w:rPr>
          <w:sz w:val="16"/>
          <w:szCs w:val="16"/>
        </w:rPr>
      </w:pPr>
    </w:p>
    <w:p w14:paraId="10160438" w14:textId="0455BF1E" w:rsidR="00371F95" w:rsidRPr="00805E2A" w:rsidRDefault="001C3B72" w:rsidP="00D2318D">
      <w:pPr>
        <w:rPr>
          <w:rFonts w:cs="Arial"/>
          <w:sz w:val="16"/>
          <w:szCs w:val="16"/>
        </w:rPr>
      </w:pPr>
      <w:r w:rsidRPr="00805E2A">
        <w:rPr>
          <w:rFonts w:cs="Arial"/>
          <w:b/>
          <w:sz w:val="16"/>
          <w:szCs w:val="16"/>
          <w:u w:val="single"/>
        </w:rPr>
        <w:t>UWAGA</w:t>
      </w:r>
      <w:r w:rsidRPr="00805E2A">
        <w:rPr>
          <w:rFonts w:cs="Arial"/>
          <w:sz w:val="16"/>
          <w:szCs w:val="16"/>
        </w:rPr>
        <w:t xml:space="preserve">: </w:t>
      </w:r>
      <w:r w:rsidRPr="00805E2A">
        <w:rPr>
          <w:rFonts w:cs="Arial"/>
          <w:bCs/>
          <w:sz w:val="16"/>
          <w:szCs w:val="16"/>
        </w:rPr>
        <w:t xml:space="preserve">Suma udziałów zamówień z zastosowaniem poszczególnych aspektów społecznych w ogólnej liczbie i wartości zamówień społecznych jest większa niż łączna liczba i wartość zamówień społecznych </w:t>
      </w:r>
      <w:r w:rsidRPr="00805E2A">
        <w:rPr>
          <w:rFonts w:cs="Arial"/>
          <w:sz w:val="16"/>
          <w:szCs w:val="16"/>
        </w:rPr>
        <w:t>ze względu na przypadki zastosowania więcej niż jednego aspektu społecznego w jednym zamówieniu.</w:t>
      </w:r>
    </w:p>
    <w:p w14:paraId="6891A40F" w14:textId="77777777" w:rsidR="000A1C2D" w:rsidRDefault="000A1C2D" w:rsidP="00D2318D">
      <w:pPr>
        <w:rPr>
          <w:szCs w:val="22"/>
        </w:rPr>
      </w:pPr>
    </w:p>
    <w:p w14:paraId="04240306" w14:textId="306197E2" w:rsidR="00371F95" w:rsidRDefault="00371F95" w:rsidP="00D2318D">
      <w:pPr>
        <w:rPr>
          <w:szCs w:val="22"/>
        </w:rPr>
      </w:pPr>
    </w:p>
    <w:p w14:paraId="4B31A498" w14:textId="77777777" w:rsidR="000A1C2D" w:rsidRDefault="000A1C2D" w:rsidP="00D2318D">
      <w:pPr>
        <w:rPr>
          <w:szCs w:val="22"/>
        </w:rPr>
        <w:sectPr w:rsidR="000A1C2D"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0A1C2D" w:rsidRPr="00A855CF" w14:paraId="5E284EEC" w14:textId="77777777" w:rsidTr="00100D6C">
        <w:tc>
          <w:tcPr>
            <w:tcW w:w="14123" w:type="dxa"/>
            <w:shd w:val="clear" w:color="auto" w:fill="auto"/>
          </w:tcPr>
          <w:p w14:paraId="0D86369E" w14:textId="46F385C7" w:rsidR="000A1C2D" w:rsidRPr="00A855CF" w:rsidRDefault="000A1C2D" w:rsidP="000A1C2D">
            <w:pPr>
              <w:spacing w:before="120" w:after="120"/>
              <w:jc w:val="right"/>
              <w:rPr>
                <w:b/>
                <w:color w:val="2E74B5"/>
                <w:sz w:val="24"/>
              </w:rPr>
            </w:pPr>
            <w:r w:rsidRPr="00A855CF">
              <w:rPr>
                <w:rFonts w:cs="Arial"/>
                <w:szCs w:val="22"/>
              </w:rPr>
              <w:br w:type="page"/>
            </w:r>
            <w:r w:rsidRPr="00A855CF">
              <w:rPr>
                <w:rFonts w:cs="Arial"/>
                <w:szCs w:val="22"/>
              </w:rPr>
              <w:br w:type="page"/>
            </w:r>
            <w:r w:rsidRPr="00A855CF">
              <w:rPr>
                <w:rFonts w:cs="Arial"/>
                <w:sz w:val="20"/>
                <w:szCs w:val="20"/>
              </w:rPr>
              <w:br w:type="page"/>
            </w:r>
            <w:bookmarkStart w:id="286" w:name="Zał_6"/>
            <w:bookmarkEnd w:id="286"/>
            <w:r w:rsidRPr="00A855CF">
              <w:rPr>
                <w:b/>
                <w:color w:val="2E74B5"/>
                <w:sz w:val="24"/>
              </w:rPr>
              <w:t xml:space="preserve">Załącznik nr </w:t>
            </w:r>
            <w:r>
              <w:rPr>
                <w:b/>
                <w:color w:val="2E74B5"/>
                <w:sz w:val="24"/>
              </w:rPr>
              <w:t>6</w:t>
            </w:r>
          </w:p>
        </w:tc>
        <w:tc>
          <w:tcPr>
            <w:tcW w:w="236" w:type="dxa"/>
            <w:shd w:val="clear" w:color="auto" w:fill="2E74B5"/>
          </w:tcPr>
          <w:p w14:paraId="70EA0E02" w14:textId="77777777" w:rsidR="000A1C2D" w:rsidRPr="00A855CF" w:rsidRDefault="000A1C2D" w:rsidP="00100D6C">
            <w:pPr>
              <w:spacing w:before="120" w:after="120"/>
              <w:jc w:val="right"/>
              <w:rPr>
                <w:b/>
                <w:sz w:val="24"/>
              </w:rPr>
            </w:pPr>
          </w:p>
        </w:tc>
      </w:tr>
    </w:tbl>
    <w:p w14:paraId="2B0C9198" w14:textId="1E4EAC38" w:rsidR="000A1C2D" w:rsidRPr="00DB75BE" w:rsidRDefault="000A1C2D" w:rsidP="00D2318D">
      <w:pPr>
        <w:rPr>
          <w:sz w:val="16"/>
          <w:szCs w:val="16"/>
        </w:rPr>
      </w:pPr>
    </w:p>
    <w:p w14:paraId="4C0817D0" w14:textId="0C155E6E" w:rsidR="000A1C2D" w:rsidRPr="00DB75BE" w:rsidRDefault="00DB75BE" w:rsidP="00DB75BE">
      <w:pPr>
        <w:jc w:val="center"/>
        <w:rPr>
          <w:b/>
          <w:szCs w:val="22"/>
        </w:rPr>
      </w:pPr>
      <w:r w:rsidRPr="00DB75BE">
        <w:rPr>
          <w:b/>
          <w:szCs w:val="22"/>
        </w:rPr>
        <w:t>Dane dotyczące zamówień, w których odwołano się do odpowiednich instrumentów środowiskowych</w:t>
      </w:r>
    </w:p>
    <w:p w14:paraId="2E53FF8D" w14:textId="04BB3BFF" w:rsidR="000A1C2D" w:rsidRPr="00DB75BE" w:rsidRDefault="000A1C2D" w:rsidP="00D2318D">
      <w:pPr>
        <w:rPr>
          <w:sz w:val="16"/>
          <w:szCs w:val="16"/>
        </w:rPr>
      </w:pPr>
    </w:p>
    <w:p w14:paraId="32EB7ED2" w14:textId="34E54727" w:rsidR="00DB75BE" w:rsidRPr="00ED1A48" w:rsidRDefault="00DB75BE" w:rsidP="00DB75BE">
      <w:pPr>
        <w:jc w:val="center"/>
        <w:rPr>
          <w:rFonts w:cs="Arial"/>
          <w:b/>
          <w:color w:val="000000"/>
        </w:rPr>
      </w:pPr>
      <w:r w:rsidRPr="00ED1A48">
        <w:rPr>
          <w:rFonts w:cs="Arial"/>
          <w:b/>
          <w:color w:val="000000"/>
        </w:rPr>
        <w:t>Liczba i wartość zamówień publicznych z danym aspektem środowiskowym w poszczególnych latach</w:t>
      </w:r>
    </w:p>
    <w:p w14:paraId="0F6D0E3E" w14:textId="77777777" w:rsidR="00DB75BE" w:rsidRPr="00ED1A48" w:rsidRDefault="00DB75BE" w:rsidP="00DB75BE">
      <w:pPr>
        <w:shd w:val="clear" w:color="auto" w:fill="FFFFFF"/>
        <w:rPr>
          <w:rFonts w:cs="Arial"/>
          <w:color w:val="000000"/>
          <w:sz w:val="16"/>
          <w:szCs w:val="16"/>
        </w:rPr>
      </w:pP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5D0FA4" w:rsidRPr="00ED1A48" w14:paraId="35C707E8" w14:textId="77777777" w:rsidTr="00D50E39">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5C80CBB" w14:textId="77777777" w:rsidR="005D0FA4" w:rsidRPr="00ED1A48" w:rsidRDefault="005D0FA4" w:rsidP="005D0FA4">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469D4237" w14:textId="7B439764" w:rsidR="005D0FA4" w:rsidRPr="00ED1A48" w:rsidRDefault="005D0FA4" w:rsidP="005D0FA4">
            <w:pPr>
              <w:jc w:val="center"/>
              <w:rPr>
                <w:rFonts w:cs="Arial"/>
                <w:b/>
                <w:bCs/>
                <w:color w:val="000000"/>
                <w:sz w:val="16"/>
                <w:szCs w:val="16"/>
              </w:rPr>
            </w:pPr>
            <w:r w:rsidRPr="00ED1A48">
              <w:rPr>
                <w:rFonts w:cs="Arial"/>
                <w:b/>
                <w:bCs/>
                <w:color w:val="000000"/>
                <w:sz w:val="16"/>
                <w:szCs w:val="16"/>
              </w:rPr>
              <w:t>2020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C5E0B3"/>
          </w:tcPr>
          <w:p w14:paraId="1A02217B" w14:textId="6B13C88B" w:rsidR="005D0FA4" w:rsidRPr="00ED1A48" w:rsidRDefault="005D0FA4" w:rsidP="005D0FA4">
            <w:pPr>
              <w:jc w:val="center"/>
              <w:rPr>
                <w:rFonts w:cs="Arial"/>
                <w:b/>
                <w:bCs/>
                <w:color w:val="000000"/>
                <w:sz w:val="16"/>
                <w:szCs w:val="16"/>
              </w:rPr>
            </w:pPr>
            <w:r>
              <w:rPr>
                <w:rFonts w:cs="Arial"/>
                <w:b/>
                <w:bCs/>
                <w:color w:val="000000"/>
                <w:sz w:val="16"/>
                <w:szCs w:val="16"/>
              </w:rPr>
              <w:t>2021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tcPr>
          <w:p w14:paraId="5ECB3BEE" w14:textId="7451C97B" w:rsidR="005D0FA4" w:rsidRPr="00ED1A48" w:rsidRDefault="005D0FA4" w:rsidP="005D0FA4">
            <w:pPr>
              <w:jc w:val="center"/>
              <w:rPr>
                <w:rFonts w:cs="Arial"/>
                <w:b/>
                <w:bCs/>
                <w:color w:val="000000"/>
                <w:sz w:val="16"/>
                <w:szCs w:val="16"/>
              </w:rPr>
            </w:pPr>
            <w:r>
              <w:rPr>
                <w:rFonts w:cs="Arial"/>
                <w:b/>
                <w:bCs/>
                <w:color w:val="000000"/>
                <w:sz w:val="16"/>
                <w:szCs w:val="16"/>
              </w:rPr>
              <w:t>2022 r.</w:t>
            </w:r>
          </w:p>
        </w:tc>
      </w:tr>
      <w:tr w:rsidR="005D0FA4" w:rsidRPr="00ED1A48" w14:paraId="5B7C4BE7" w14:textId="77777777" w:rsidTr="00DB75BE">
        <w:trPr>
          <w:tblHeader/>
        </w:trPr>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2F871F15" w14:textId="77777777" w:rsidR="005D0FA4" w:rsidRPr="00ED1A48" w:rsidRDefault="005D0FA4" w:rsidP="005D0FA4">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6DC02D43" w14:textId="77777777" w:rsidR="005D0FA4" w:rsidRPr="00ED1A48" w:rsidRDefault="005D0FA4" w:rsidP="005D0FA4">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00954BDE"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7A8C461B"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726A7E6E"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E2EFD9"/>
            <w:vAlign w:val="center"/>
          </w:tcPr>
          <w:p w14:paraId="7A813AAB"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E2EFD9"/>
          </w:tcPr>
          <w:p w14:paraId="4AB4A3F0"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E2EFD9"/>
          </w:tcPr>
          <w:p w14:paraId="0F0204BC" w14:textId="77777777" w:rsidR="005D0FA4" w:rsidRPr="00ED1A48" w:rsidRDefault="005D0FA4" w:rsidP="005D0FA4">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5D0FA4" w:rsidRPr="00ED1A48" w14:paraId="07ED8172"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tcPr>
          <w:p w14:paraId="4A78D22E" w14:textId="77777777" w:rsidR="005D0FA4" w:rsidRPr="00ED1A48" w:rsidRDefault="005D0FA4" w:rsidP="005D0FA4">
            <w:pPr>
              <w:jc w:val="center"/>
              <w:rPr>
                <w:rFonts w:cs="Arial"/>
                <w:color w:val="000000"/>
                <w:sz w:val="16"/>
                <w:szCs w:val="16"/>
              </w:rPr>
            </w:pPr>
            <w:r>
              <w:rPr>
                <w:rFonts w:cs="Arial"/>
                <w:color w:val="000000"/>
                <w:sz w:val="16"/>
                <w:szCs w:val="16"/>
              </w:rPr>
              <w:t>1.</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tcPr>
          <w:p w14:paraId="182412D1" w14:textId="77777777" w:rsidR="005D0FA4" w:rsidRPr="009B49EA" w:rsidRDefault="005D0FA4" w:rsidP="005D0FA4">
            <w:pPr>
              <w:jc w:val="center"/>
              <w:rPr>
                <w:rFonts w:cs="Arial"/>
                <w:b/>
                <w:color w:val="000000"/>
                <w:sz w:val="16"/>
                <w:szCs w:val="16"/>
              </w:rPr>
            </w:pPr>
            <w:r w:rsidRPr="009B49EA">
              <w:rPr>
                <w:b/>
                <w:sz w:val="16"/>
                <w:szCs w:val="16"/>
              </w:rPr>
              <w:t>Określenie w opisie przedmiotu zamówienia wymagań środowiskowych</w:t>
            </w:r>
          </w:p>
        </w:tc>
        <w:tc>
          <w:tcPr>
            <w:tcW w:w="1701" w:type="dxa"/>
            <w:tcBorders>
              <w:top w:val="single" w:sz="4" w:space="0" w:color="auto"/>
              <w:left w:val="single" w:sz="4" w:space="0" w:color="auto"/>
              <w:bottom w:val="single" w:sz="4" w:space="0" w:color="auto"/>
              <w:right w:val="single" w:sz="4" w:space="0" w:color="auto"/>
            </w:tcBorders>
            <w:vAlign w:val="center"/>
          </w:tcPr>
          <w:p w14:paraId="3AF2A92D" w14:textId="05F11BDE" w:rsidR="005D0FA4" w:rsidRPr="00EB3FCE" w:rsidRDefault="005D0FA4" w:rsidP="005D0FA4">
            <w:pPr>
              <w:jc w:val="center"/>
              <w:rPr>
                <w:rFonts w:cs="Arial"/>
                <w:color w:val="000000"/>
                <w:sz w:val="16"/>
                <w:szCs w:val="16"/>
              </w:rPr>
            </w:pPr>
            <w:r w:rsidRPr="00EB3FCE">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0A51079B" w14:textId="0DC6D643" w:rsidR="005D0FA4" w:rsidRPr="00EB3FCE" w:rsidRDefault="005D0FA4" w:rsidP="005D0FA4">
            <w:pPr>
              <w:jc w:val="center"/>
              <w:rPr>
                <w:rFonts w:cs="Arial"/>
                <w:color w:val="000000"/>
                <w:sz w:val="16"/>
                <w:szCs w:val="16"/>
              </w:rPr>
            </w:pPr>
            <w:r w:rsidRPr="00EB3FCE">
              <w:rPr>
                <w:rFonts w:cs="Arial"/>
                <w:color w:val="000000"/>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tcPr>
          <w:p w14:paraId="619D7A22" w14:textId="20168E2D" w:rsidR="005D0FA4" w:rsidRPr="00EB3FCE" w:rsidRDefault="005D0FA4" w:rsidP="005D0FA4">
            <w:pPr>
              <w:jc w:val="center"/>
              <w:rPr>
                <w:rFonts w:cs="Arial"/>
                <w:color w:val="000000"/>
                <w:sz w:val="16"/>
                <w:szCs w:val="16"/>
              </w:rPr>
            </w:pPr>
            <w:r w:rsidRPr="00EB3FCE">
              <w:rPr>
                <w:rFonts w:cs="Arial"/>
                <w:sz w:val="16"/>
                <w:szCs w:val="16"/>
              </w:rPr>
              <w:t>858</w:t>
            </w:r>
          </w:p>
        </w:tc>
        <w:tc>
          <w:tcPr>
            <w:tcW w:w="2126" w:type="dxa"/>
            <w:tcBorders>
              <w:top w:val="single" w:sz="4" w:space="0" w:color="auto"/>
              <w:left w:val="single" w:sz="4" w:space="0" w:color="auto"/>
              <w:bottom w:val="single" w:sz="4" w:space="0" w:color="auto"/>
              <w:right w:val="single" w:sz="4" w:space="0" w:color="auto"/>
            </w:tcBorders>
            <w:vAlign w:val="center"/>
          </w:tcPr>
          <w:p w14:paraId="7163465C" w14:textId="4F749F3A" w:rsidR="005D0FA4" w:rsidRPr="005D0FA4" w:rsidRDefault="005D0FA4" w:rsidP="005D0FA4">
            <w:pPr>
              <w:jc w:val="center"/>
              <w:rPr>
                <w:rFonts w:cs="Arial"/>
                <w:sz w:val="16"/>
                <w:szCs w:val="16"/>
              </w:rPr>
            </w:pPr>
            <w:r w:rsidRPr="00EB3FCE">
              <w:rPr>
                <w:rFonts w:cs="Arial"/>
                <w:sz w:val="16"/>
                <w:szCs w:val="16"/>
              </w:rPr>
              <w:t>2 254 693 362,74 zł</w:t>
            </w:r>
          </w:p>
        </w:tc>
        <w:tc>
          <w:tcPr>
            <w:tcW w:w="1701" w:type="dxa"/>
            <w:tcBorders>
              <w:top w:val="single" w:sz="4" w:space="0" w:color="auto"/>
              <w:left w:val="single" w:sz="4" w:space="0" w:color="auto"/>
              <w:bottom w:val="single" w:sz="4" w:space="0" w:color="auto"/>
              <w:right w:val="single" w:sz="4" w:space="0" w:color="auto"/>
            </w:tcBorders>
            <w:vAlign w:val="center"/>
          </w:tcPr>
          <w:p w14:paraId="088F39BA" w14:textId="5BCD8FF2" w:rsidR="005D0FA4" w:rsidRPr="00EB3FCE" w:rsidRDefault="005D0FA4" w:rsidP="005D0FA4">
            <w:pPr>
              <w:jc w:val="center"/>
              <w:rPr>
                <w:rFonts w:cs="Arial"/>
                <w:color w:val="000000"/>
                <w:sz w:val="16"/>
                <w:szCs w:val="16"/>
              </w:rPr>
            </w:pPr>
            <w:r>
              <w:rPr>
                <w:rFonts w:cs="Arial"/>
                <w:sz w:val="16"/>
                <w:szCs w:val="16"/>
              </w:rPr>
              <w:t>1 405</w:t>
            </w:r>
          </w:p>
        </w:tc>
        <w:tc>
          <w:tcPr>
            <w:tcW w:w="2301" w:type="dxa"/>
            <w:tcBorders>
              <w:top w:val="single" w:sz="4" w:space="0" w:color="auto"/>
              <w:left w:val="single" w:sz="4" w:space="0" w:color="auto"/>
              <w:bottom w:val="single" w:sz="4" w:space="0" w:color="auto"/>
              <w:right w:val="single" w:sz="4" w:space="0" w:color="auto"/>
            </w:tcBorders>
            <w:vAlign w:val="center"/>
          </w:tcPr>
          <w:p w14:paraId="7A6ECE4E" w14:textId="78182368" w:rsidR="005D0FA4" w:rsidRPr="00EB3FCE" w:rsidRDefault="005D0FA4" w:rsidP="005D0FA4">
            <w:pPr>
              <w:jc w:val="center"/>
              <w:rPr>
                <w:rFonts w:cs="Arial"/>
                <w:color w:val="000000"/>
                <w:sz w:val="16"/>
                <w:szCs w:val="16"/>
              </w:rPr>
            </w:pPr>
            <w:r>
              <w:rPr>
                <w:rFonts w:cs="Arial"/>
                <w:sz w:val="16"/>
                <w:szCs w:val="16"/>
              </w:rPr>
              <w:t>11 849 927 278,24 zł</w:t>
            </w:r>
          </w:p>
        </w:tc>
      </w:tr>
      <w:tr w:rsidR="005D0FA4" w:rsidRPr="00ED1A48" w14:paraId="5C8D76DD"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D8BB6AD" w14:textId="77777777" w:rsidR="005D0FA4" w:rsidRPr="00ED1A48" w:rsidRDefault="005D0FA4" w:rsidP="005D0FA4">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3EBD088" w14:textId="77777777" w:rsidR="005D0FA4" w:rsidRPr="009B49EA" w:rsidRDefault="005D0FA4" w:rsidP="005D0FA4">
            <w:pPr>
              <w:jc w:val="center"/>
              <w:rPr>
                <w:rFonts w:cs="Arial"/>
                <w:b/>
                <w:color w:val="000000"/>
                <w:sz w:val="16"/>
                <w:szCs w:val="16"/>
              </w:rPr>
            </w:pPr>
            <w:r w:rsidRPr="009B49EA">
              <w:rPr>
                <w:b/>
                <w:sz w:val="16"/>
                <w:szCs w:val="16"/>
              </w:rPr>
              <w:t>Określenie wymagań zw. z realizacją zamówienia obejmujących aspekty środowiskowe</w:t>
            </w:r>
          </w:p>
        </w:tc>
        <w:tc>
          <w:tcPr>
            <w:tcW w:w="1701" w:type="dxa"/>
            <w:tcBorders>
              <w:top w:val="single" w:sz="4" w:space="0" w:color="auto"/>
              <w:left w:val="single" w:sz="4" w:space="0" w:color="auto"/>
              <w:bottom w:val="single" w:sz="4" w:space="0" w:color="auto"/>
              <w:right w:val="single" w:sz="4" w:space="0" w:color="auto"/>
            </w:tcBorders>
            <w:vAlign w:val="center"/>
          </w:tcPr>
          <w:p w14:paraId="78ABC865" w14:textId="20376830" w:rsidR="005D0FA4" w:rsidRPr="00EB3FCE" w:rsidRDefault="005D0FA4" w:rsidP="005D0FA4">
            <w:pPr>
              <w:jc w:val="center"/>
              <w:rPr>
                <w:rFonts w:cs="Arial"/>
                <w:color w:val="000000"/>
                <w:sz w:val="16"/>
                <w:szCs w:val="16"/>
              </w:rPr>
            </w:pPr>
            <w:r w:rsidRPr="00EB3FCE">
              <w:rPr>
                <w:rFonts w:cs="Arial"/>
                <w:color w:val="000000"/>
                <w:sz w:val="16"/>
                <w:szCs w:val="16"/>
              </w:rPr>
              <w:t>811</w:t>
            </w:r>
          </w:p>
        </w:tc>
        <w:tc>
          <w:tcPr>
            <w:tcW w:w="1843" w:type="dxa"/>
            <w:tcBorders>
              <w:top w:val="single" w:sz="4" w:space="0" w:color="auto"/>
              <w:left w:val="single" w:sz="4" w:space="0" w:color="auto"/>
              <w:bottom w:val="single" w:sz="4" w:space="0" w:color="auto"/>
              <w:right w:val="single" w:sz="4" w:space="0" w:color="auto"/>
            </w:tcBorders>
            <w:vAlign w:val="center"/>
          </w:tcPr>
          <w:p w14:paraId="7133C678" w14:textId="08A4B05D" w:rsidR="005D0FA4" w:rsidRPr="00EB3FCE" w:rsidRDefault="005D0FA4" w:rsidP="005D0FA4">
            <w:pPr>
              <w:jc w:val="center"/>
              <w:rPr>
                <w:rFonts w:cs="Arial"/>
                <w:color w:val="000000"/>
                <w:sz w:val="16"/>
                <w:szCs w:val="16"/>
              </w:rPr>
            </w:pPr>
            <w:r w:rsidRPr="00EB3FCE">
              <w:rPr>
                <w:rFonts w:cs="Arial"/>
                <w:color w:val="000000"/>
                <w:sz w:val="16"/>
                <w:szCs w:val="16"/>
              </w:rPr>
              <w:t>3 071 597 547,56 zł</w:t>
            </w:r>
          </w:p>
        </w:tc>
        <w:tc>
          <w:tcPr>
            <w:tcW w:w="1701" w:type="dxa"/>
            <w:tcBorders>
              <w:top w:val="single" w:sz="4" w:space="0" w:color="auto"/>
              <w:left w:val="single" w:sz="4" w:space="0" w:color="auto"/>
              <w:bottom w:val="single" w:sz="4" w:space="0" w:color="auto"/>
              <w:right w:val="single" w:sz="4" w:space="0" w:color="auto"/>
            </w:tcBorders>
            <w:vAlign w:val="center"/>
          </w:tcPr>
          <w:p w14:paraId="6A51EC7E" w14:textId="310E98BB" w:rsidR="005D0FA4" w:rsidRPr="00EB3FCE" w:rsidRDefault="005D0FA4" w:rsidP="005D0FA4">
            <w:pPr>
              <w:jc w:val="center"/>
              <w:rPr>
                <w:rFonts w:cs="Arial"/>
                <w:color w:val="000000"/>
                <w:sz w:val="16"/>
                <w:szCs w:val="16"/>
              </w:rPr>
            </w:pPr>
            <w:r w:rsidRPr="00EB3FCE">
              <w:rPr>
                <w:rFonts w:cs="Arial"/>
                <w:sz w:val="16"/>
                <w:szCs w:val="16"/>
              </w:rPr>
              <w:t>702</w:t>
            </w:r>
          </w:p>
        </w:tc>
        <w:tc>
          <w:tcPr>
            <w:tcW w:w="2126" w:type="dxa"/>
            <w:tcBorders>
              <w:top w:val="single" w:sz="4" w:space="0" w:color="auto"/>
              <w:left w:val="single" w:sz="4" w:space="0" w:color="auto"/>
              <w:bottom w:val="single" w:sz="4" w:space="0" w:color="auto"/>
              <w:right w:val="single" w:sz="4" w:space="0" w:color="auto"/>
            </w:tcBorders>
            <w:vAlign w:val="center"/>
          </w:tcPr>
          <w:p w14:paraId="63EA8433" w14:textId="42DCE505" w:rsidR="005D0FA4" w:rsidRPr="005D0FA4" w:rsidRDefault="005D0FA4" w:rsidP="005D0FA4">
            <w:pPr>
              <w:jc w:val="center"/>
              <w:rPr>
                <w:rFonts w:cs="Arial"/>
                <w:sz w:val="16"/>
                <w:szCs w:val="16"/>
              </w:rPr>
            </w:pPr>
            <w:r w:rsidRPr="00EB3FCE">
              <w:rPr>
                <w:rFonts w:cs="Arial"/>
                <w:sz w:val="16"/>
                <w:szCs w:val="16"/>
              </w:rPr>
              <w:t>4</w:t>
            </w:r>
            <w:r>
              <w:rPr>
                <w:rFonts w:cs="Arial"/>
                <w:sz w:val="16"/>
                <w:szCs w:val="16"/>
              </w:rPr>
              <w:t xml:space="preserve"> </w:t>
            </w:r>
            <w:r w:rsidRPr="00EB3FCE">
              <w:rPr>
                <w:rFonts w:cs="Arial"/>
                <w:sz w:val="16"/>
                <w:szCs w:val="16"/>
              </w:rPr>
              <w:t>407</w:t>
            </w:r>
            <w:r>
              <w:rPr>
                <w:rFonts w:cs="Arial"/>
                <w:sz w:val="16"/>
                <w:szCs w:val="16"/>
              </w:rPr>
              <w:t xml:space="preserve"> </w:t>
            </w:r>
            <w:r w:rsidRPr="00EB3FCE">
              <w:rPr>
                <w:rFonts w:cs="Arial"/>
                <w:sz w:val="16"/>
                <w:szCs w:val="16"/>
              </w:rPr>
              <w:t>391</w:t>
            </w:r>
            <w:r>
              <w:rPr>
                <w:rFonts w:cs="Arial"/>
                <w:sz w:val="16"/>
                <w:szCs w:val="16"/>
              </w:rPr>
              <w:t xml:space="preserve"> </w:t>
            </w:r>
            <w:r w:rsidRPr="00EB3FCE">
              <w:rPr>
                <w:rFonts w:cs="Arial"/>
                <w:sz w:val="16"/>
                <w:szCs w:val="16"/>
              </w:rPr>
              <w:t>654,17 zł</w:t>
            </w:r>
          </w:p>
        </w:tc>
        <w:tc>
          <w:tcPr>
            <w:tcW w:w="1701" w:type="dxa"/>
            <w:tcBorders>
              <w:top w:val="single" w:sz="4" w:space="0" w:color="auto"/>
              <w:left w:val="single" w:sz="4" w:space="0" w:color="auto"/>
              <w:bottom w:val="single" w:sz="4" w:space="0" w:color="auto"/>
              <w:right w:val="single" w:sz="4" w:space="0" w:color="auto"/>
            </w:tcBorders>
            <w:vAlign w:val="center"/>
          </w:tcPr>
          <w:p w14:paraId="36DE7DFB" w14:textId="51134D95" w:rsidR="005D0FA4" w:rsidRPr="00EB3FCE" w:rsidRDefault="005D0FA4" w:rsidP="005D0FA4">
            <w:pPr>
              <w:jc w:val="center"/>
              <w:rPr>
                <w:rFonts w:cs="Arial"/>
                <w:color w:val="000000"/>
                <w:sz w:val="16"/>
                <w:szCs w:val="16"/>
              </w:rPr>
            </w:pPr>
            <w:r>
              <w:rPr>
                <w:rFonts w:cs="Arial"/>
                <w:sz w:val="16"/>
                <w:szCs w:val="16"/>
              </w:rPr>
              <w:t>1 829</w:t>
            </w:r>
          </w:p>
        </w:tc>
        <w:tc>
          <w:tcPr>
            <w:tcW w:w="2301" w:type="dxa"/>
            <w:tcBorders>
              <w:top w:val="single" w:sz="4" w:space="0" w:color="auto"/>
              <w:left w:val="single" w:sz="4" w:space="0" w:color="auto"/>
              <w:bottom w:val="single" w:sz="4" w:space="0" w:color="auto"/>
              <w:right w:val="single" w:sz="4" w:space="0" w:color="auto"/>
            </w:tcBorders>
            <w:vAlign w:val="center"/>
          </w:tcPr>
          <w:p w14:paraId="13AFDBBC" w14:textId="6C943042" w:rsidR="005D0FA4" w:rsidRPr="00EB3FCE" w:rsidRDefault="005D0FA4" w:rsidP="005D0FA4">
            <w:pPr>
              <w:jc w:val="center"/>
              <w:rPr>
                <w:rFonts w:cs="Arial"/>
                <w:color w:val="000000"/>
                <w:sz w:val="16"/>
                <w:szCs w:val="16"/>
              </w:rPr>
            </w:pPr>
            <w:r>
              <w:rPr>
                <w:rFonts w:cs="Arial"/>
                <w:sz w:val="16"/>
                <w:szCs w:val="16"/>
              </w:rPr>
              <w:t>7 922 615 664,44 zł</w:t>
            </w:r>
          </w:p>
        </w:tc>
      </w:tr>
      <w:tr w:rsidR="005D0FA4" w:rsidRPr="00ED1A48" w14:paraId="66AF3EB3"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A15E5A3" w14:textId="77777777" w:rsidR="005D0FA4" w:rsidRPr="00ED1A48" w:rsidRDefault="005D0FA4" w:rsidP="005D0FA4">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176086" w14:textId="77777777" w:rsidR="005D0FA4" w:rsidRPr="009B49EA" w:rsidRDefault="005D0FA4" w:rsidP="005D0FA4">
            <w:pPr>
              <w:jc w:val="center"/>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1CDEEB5E" w14:textId="3D0FD580" w:rsidR="005D0FA4" w:rsidRPr="00EB3FCE" w:rsidRDefault="005D0FA4" w:rsidP="005D0FA4">
            <w:pPr>
              <w:jc w:val="center"/>
              <w:rPr>
                <w:rFonts w:cs="Arial"/>
                <w:color w:val="000000"/>
                <w:sz w:val="16"/>
                <w:szCs w:val="16"/>
              </w:rPr>
            </w:pPr>
            <w:r w:rsidRPr="00EB3FCE">
              <w:rPr>
                <w:rFonts w:cs="Arial"/>
                <w:color w:val="000000"/>
                <w:sz w:val="16"/>
                <w:szCs w:val="16"/>
              </w:rPr>
              <w:t>520</w:t>
            </w:r>
          </w:p>
        </w:tc>
        <w:tc>
          <w:tcPr>
            <w:tcW w:w="1843" w:type="dxa"/>
            <w:tcBorders>
              <w:top w:val="single" w:sz="4" w:space="0" w:color="auto"/>
              <w:left w:val="single" w:sz="4" w:space="0" w:color="auto"/>
              <w:bottom w:val="single" w:sz="4" w:space="0" w:color="auto"/>
              <w:right w:val="single" w:sz="4" w:space="0" w:color="auto"/>
            </w:tcBorders>
            <w:vAlign w:val="center"/>
          </w:tcPr>
          <w:p w14:paraId="2EF84433" w14:textId="237E52B6" w:rsidR="005D0FA4" w:rsidRPr="00EB3FCE" w:rsidRDefault="005D0FA4" w:rsidP="005D0FA4">
            <w:pPr>
              <w:jc w:val="center"/>
              <w:rPr>
                <w:rFonts w:cs="Arial"/>
                <w:color w:val="000000"/>
                <w:sz w:val="16"/>
                <w:szCs w:val="16"/>
              </w:rPr>
            </w:pPr>
            <w:r w:rsidRPr="00EB3FCE">
              <w:rPr>
                <w:rFonts w:cs="Arial"/>
                <w:color w:val="000000"/>
                <w:sz w:val="16"/>
                <w:szCs w:val="16"/>
              </w:rPr>
              <w:t>9 467 917 757,60 zł</w:t>
            </w:r>
          </w:p>
        </w:tc>
        <w:tc>
          <w:tcPr>
            <w:tcW w:w="1701" w:type="dxa"/>
            <w:tcBorders>
              <w:top w:val="single" w:sz="4" w:space="0" w:color="auto"/>
              <w:left w:val="single" w:sz="4" w:space="0" w:color="auto"/>
              <w:bottom w:val="single" w:sz="4" w:space="0" w:color="auto"/>
              <w:right w:val="single" w:sz="4" w:space="0" w:color="auto"/>
            </w:tcBorders>
            <w:vAlign w:val="center"/>
          </w:tcPr>
          <w:p w14:paraId="055D2435" w14:textId="4037E756" w:rsidR="005D0FA4" w:rsidRPr="00EB3FCE" w:rsidRDefault="005D0FA4" w:rsidP="005D0FA4">
            <w:pPr>
              <w:jc w:val="center"/>
              <w:rPr>
                <w:rFonts w:cs="Arial"/>
                <w:color w:val="000000"/>
                <w:sz w:val="16"/>
                <w:szCs w:val="16"/>
              </w:rPr>
            </w:pPr>
            <w:r w:rsidRPr="00EB3FCE">
              <w:rPr>
                <w:rFonts w:cs="Arial"/>
                <w:sz w:val="16"/>
                <w:szCs w:val="16"/>
              </w:rPr>
              <w:t>588</w:t>
            </w:r>
          </w:p>
        </w:tc>
        <w:tc>
          <w:tcPr>
            <w:tcW w:w="2126" w:type="dxa"/>
            <w:tcBorders>
              <w:top w:val="single" w:sz="4" w:space="0" w:color="auto"/>
              <w:left w:val="single" w:sz="4" w:space="0" w:color="auto"/>
              <w:bottom w:val="single" w:sz="4" w:space="0" w:color="auto"/>
              <w:right w:val="single" w:sz="4" w:space="0" w:color="auto"/>
            </w:tcBorders>
            <w:vAlign w:val="center"/>
          </w:tcPr>
          <w:p w14:paraId="6142CA43" w14:textId="3BB29234" w:rsidR="005D0FA4" w:rsidRPr="00EB3FCE" w:rsidRDefault="005D0FA4" w:rsidP="005D0FA4">
            <w:pPr>
              <w:jc w:val="center"/>
              <w:rPr>
                <w:rFonts w:cs="Arial"/>
                <w:color w:val="000000"/>
                <w:sz w:val="16"/>
                <w:szCs w:val="16"/>
              </w:rPr>
            </w:pPr>
            <w:r w:rsidRPr="00EB3FCE">
              <w:rPr>
                <w:rFonts w:cs="Arial"/>
                <w:sz w:val="16"/>
                <w:szCs w:val="16"/>
              </w:rPr>
              <w:t>2</w:t>
            </w:r>
            <w:r>
              <w:rPr>
                <w:rFonts w:cs="Arial"/>
                <w:sz w:val="16"/>
                <w:szCs w:val="16"/>
              </w:rPr>
              <w:t xml:space="preserve"> </w:t>
            </w:r>
            <w:r w:rsidRPr="00EB3FCE">
              <w:rPr>
                <w:rFonts w:cs="Arial"/>
                <w:sz w:val="16"/>
                <w:szCs w:val="16"/>
              </w:rPr>
              <w:t>089</w:t>
            </w:r>
            <w:r>
              <w:rPr>
                <w:rFonts w:cs="Arial"/>
                <w:sz w:val="16"/>
                <w:szCs w:val="16"/>
              </w:rPr>
              <w:t xml:space="preserve"> </w:t>
            </w:r>
            <w:r w:rsidRPr="00EB3FCE">
              <w:rPr>
                <w:rFonts w:cs="Arial"/>
                <w:sz w:val="16"/>
                <w:szCs w:val="16"/>
              </w:rPr>
              <w:t>953</w:t>
            </w:r>
            <w:r>
              <w:rPr>
                <w:rFonts w:cs="Arial"/>
                <w:sz w:val="16"/>
                <w:szCs w:val="16"/>
              </w:rPr>
              <w:t xml:space="preserve"> </w:t>
            </w:r>
            <w:r w:rsidRPr="00EB3FCE">
              <w:rPr>
                <w:rFonts w:cs="Arial"/>
                <w:sz w:val="16"/>
                <w:szCs w:val="16"/>
              </w:rPr>
              <w:t>270,59 zł</w:t>
            </w:r>
          </w:p>
        </w:tc>
        <w:tc>
          <w:tcPr>
            <w:tcW w:w="1701" w:type="dxa"/>
            <w:tcBorders>
              <w:top w:val="single" w:sz="4" w:space="0" w:color="auto"/>
              <w:left w:val="single" w:sz="4" w:space="0" w:color="auto"/>
              <w:bottom w:val="single" w:sz="4" w:space="0" w:color="auto"/>
              <w:right w:val="single" w:sz="4" w:space="0" w:color="auto"/>
            </w:tcBorders>
            <w:vAlign w:val="center"/>
          </w:tcPr>
          <w:p w14:paraId="5A565158" w14:textId="0C0C39BC" w:rsidR="005D0FA4" w:rsidRPr="00EB3FCE" w:rsidRDefault="005D0FA4" w:rsidP="005D0FA4">
            <w:pPr>
              <w:jc w:val="center"/>
              <w:rPr>
                <w:rFonts w:cs="Arial"/>
                <w:color w:val="000000"/>
                <w:sz w:val="16"/>
                <w:szCs w:val="16"/>
              </w:rPr>
            </w:pPr>
            <w:r>
              <w:rPr>
                <w:rFonts w:cs="Arial"/>
                <w:sz w:val="16"/>
                <w:szCs w:val="16"/>
              </w:rPr>
              <w:t>689</w:t>
            </w:r>
          </w:p>
        </w:tc>
        <w:tc>
          <w:tcPr>
            <w:tcW w:w="2301" w:type="dxa"/>
            <w:tcBorders>
              <w:top w:val="single" w:sz="4" w:space="0" w:color="auto"/>
              <w:left w:val="single" w:sz="4" w:space="0" w:color="auto"/>
              <w:bottom w:val="single" w:sz="4" w:space="0" w:color="auto"/>
              <w:right w:val="single" w:sz="4" w:space="0" w:color="auto"/>
            </w:tcBorders>
            <w:vAlign w:val="center"/>
          </w:tcPr>
          <w:p w14:paraId="3C7B711D" w14:textId="4C0F882F" w:rsidR="005D0FA4" w:rsidRPr="00EB3FCE" w:rsidRDefault="005D0FA4" w:rsidP="005D0FA4">
            <w:pPr>
              <w:jc w:val="center"/>
              <w:rPr>
                <w:rFonts w:cs="Arial"/>
                <w:color w:val="000000"/>
                <w:sz w:val="16"/>
                <w:szCs w:val="16"/>
              </w:rPr>
            </w:pPr>
            <w:r>
              <w:rPr>
                <w:rFonts w:cs="Arial"/>
                <w:sz w:val="16"/>
                <w:szCs w:val="16"/>
              </w:rPr>
              <w:t>5 674 143 668,72 zł</w:t>
            </w:r>
          </w:p>
        </w:tc>
      </w:tr>
      <w:tr w:rsidR="005D0FA4" w:rsidRPr="00ED1A48" w14:paraId="33DE4828"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0538B5" w14:textId="77777777" w:rsidR="005D0FA4" w:rsidRPr="00ED1A48" w:rsidRDefault="005D0FA4" w:rsidP="005D0FA4">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5D763C" w14:textId="77777777" w:rsidR="005D0FA4" w:rsidRPr="007B7671" w:rsidRDefault="005D0FA4" w:rsidP="005D0FA4">
            <w:pPr>
              <w:jc w:val="center"/>
              <w:rPr>
                <w:rFonts w:cs="Arial"/>
                <w:b/>
                <w:color w:val="000000"/>
                <w:sz w:val="16"/>
                <w:szCs w:val="16"/>
                <w:highlight w:val="yellow"/>
              </w:rPr>
            </w:pPr>
            <w:r w:rsidRPr="007B7671">
              <w:rPr>
                <w:b/>
                <w:sz w:val="16"/>
                <w:szCs w:val="16"/>
              </w:rPr>
              <w:t>Określenie etykiety związanej z aspektami środowiskowymi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8DA6A6" w14:textId="4C9FA510" w:rsidR="005D0FA4" w:rsidRPr="00EB3FCE" w:rsidRDefault="005D0FA4" w:rsidP="005D0FA4">
            <w:pPr>
              <w:jc w:val="center"/>
              <w:rPr>
                <w:rFonts w:cs="Arial"/>
                <w:color w:val="000000"/>
                <w:sz w:val="16"/>
                <w:szCs w:val="16"/>
                <w:highlight w:val="yellow"/>
              </w:rPr>
            </w:pPr>
            <w:r w:rsidRPr="00EB3FCE">
              <w:rPr>
                <w:sz w:val="16"/>
                <w:szCs w:val="16"/>
              </w:rPr>
              <w:t>220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3F19C0" w14:textId="238C3E4A" w:rsidR="005D0FA4" w:rsidRPr="00EB3FCE" w:rsidRDefault="005D0FA4" w:rsidP="005D0FA4">
            <w:pPr>
              <w:jc w:val="center"/>
              <w:rPr>
                <w:sz w:val="16"/>
                <w:szCs w:val="16"/>
              </w:rPr>
            </w:pPr>
            <w:r w:rsidRPr="00EB3FCE">
              <w:rPr>
                <w:sz w:val="16"/>
                <w:szCs w:val="16"/>
              </w:rPr>
              <w:t>205 585 247,46 zł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CBC6BA" w14:textId="563E70CD" w:rsidR="005D0FA4" w:rsidRPr="00EB3FCE" w:rsidRDefault="005D0FA4" w:rsidP="005D0FA4">
            <w:pPr>
              <w:jc w:val="center"/>
              <w:rPr>
                <w:rFonts w:cs="Arial"/>
                <w:color w:val="000000"/>
                <w:sz w:val="16"/>
                <w:szCs w:val="16"/>
                <w:highlight w:val="yellow"/>
              </w:rPr>
            </w:pPr>
            <w:r w:rsidRPr="00EB3FCE">
              <w:rPr>
                <w:rFonts w:cs="Arial"/>
                <w:sz w:val="16"/>
                <w:szCs w:val="16"/>
              </w:rPr>
              <w:t>178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F93773B" w14:textId="65E842B3" w:rsidR="005D0FA4" w:rsidRPr="005D0FA4" w:rsidRDefault="005D0FA4" w:rsidP="005D0FA4">
            <w:pPr>
              <w:jc w:val="center"/>
              <w:rPr>
                <w:rFonts w:cs="Arial"/>
                <w:sz w:val="16"/>
                <w:szCs w:val="16"/>
              </w:rPr>
            </w:pPr>
            <w:r w:rsidRPr="00EB3FCE">
              <w:rPr>
                <w:rFonts w:cs="Arial"/>
                <w:sz w:val="16"/>
                <w:szCs w:val="16"/>
              </w:rPr>
              <w:t>410</w:t>
            </w:r>
            <w:r>
              <w:rPr>
                <w:rFonts w:cs="Arial"/>
                <w:sz w:val="16"/>
                <w:szCs w:val="16"/>
              </w:rPr>
              <w:t xml:space="preserve"> </w:t>
            </w:r>
            <w:r w:rsidRPr="00EB3FCE">
              <w:rPr>
                <w:rFonts w:cs="Arial"/>
                <w:sz w:val="16"/>
                <w:szCs w:val="16"/>
              </w:rPr>
              <w:t>614</w:t>
            </w:r>
            <w:r>
              <w:rPr>
                <w:rFonts w:cs="Arial"/>
                <w:sz w:val="16"/>
                <w:szCs w:val="16"/>
              </w:rPr>
              <w:t xml:space="preserve"> </w:t>
            </w:r>
            <w:r w:rsidRPr="00EB3FCE">
              <w:rPr>
                <w:rFonts w:cs="Arial"/>
                <w:sz w:val="16"/>
                <w:szCs w:val="16"/>
              </w:rPr>
              <w:t>385,55 zł</w:t>
            </w:r>
          </w:p>
        </w:tc>
        <w:tc>
          <w:tcPr>
            <w:tcW w:w="1701" w:type="dxa"/>
            <w:tcBorders>
              <w:top w:val="single" w:sz="4" w:space="0" w:color="auto"/>
              <w:left w:val="single" w:sz="4" w:space="0" w:color="auto"/>
              <w:bottom w:val="single" w:sz="4" w:space="0" w:color="auto"/>
              <w:right w:val="single" w:sz="4" w:space="0" w:color="auto"/>
            </w:tcBorders>
            <w:vAlign w:val="center"/>
          </w:tcPr>
          <w:p w14:paraId="4751EBF9" w14:textId="0AE85755" w:rsidR="005D0FA4" w:rsidRPr="00EB3FCE" w:rsidRDefault="005D0FA4" w:rsidP="005D0FA4">
            <w:pPr>
              <w:jc w:val="center"/>
              <w:rPr>
                <w:rFonts w:cs="Arial"/>
                <w:color w:val="000000"/>
                <w:sz w:val="16"/>
                <w:szCs w:val="16"/>
              </w:rPr>
            </w:pPr>
            <w:r>
              <w:rPr>
                <w:rFonts w:cs="Arial"/>
                <w:sz w:val="16"/>
                <w:szCs w:val="16"/>
              </w:rPr>
              <w:t>182</w:t>
            </w:r>
          </w:p>
        </w:tc>
        <w:tc>
          <w:tcPr>
            <w:tcW w:w="2301" w:type="dxa"/>
            <w:tcBorders>
              <w:top w:val="single" w:sz="4" w:space="0" w:color="auto"/>
              <w:left w:val="single" w:sz="4" w:space="0" w:color="auto"/>
              <w:bottom w:val="single" w:sz="4" w:space="0" w:color="auto"/>
              <w:right w:val="single" w:sz="4" w:space="0" w:color="auto"/>
            </w:tcBorders>
            <w:vAlign w:val="center"/>
          </w:tcPr>
          <w:p w14:paraId="3DB71646" w14:textId="0E6B0CB5" w:rsidR="005D0FA4" w:rsidRPr="00EB3FCE" w:rsidRDefault="005D0FA4" w:rsidP="005D0FA4">
            <w:pPr>
              <w:jc w:val="center"/>
              <w:rPr>
                <w:rFonts w:cs="Arial"/>
                <w:color w:val="000000"/>
                <w:sz w:val="16"/>
                <w:szCs w:val="16"/>
              </w:rPr>
            </w:pPr>
            <w:r>
              <w:rPr>
                <w:rFonts w:cs="Arial"/>
                <w:sz w:val="16"/>
                <w:szCs w:val="16"/>
              </w:rPr>
              <w:t>465 369 903,72 zł</w:t>
            </w:r>
          </w:p>
        </w:tc>
      </w:tr>
      <w:tr w:rsidR="005D0FA4" w:rsidRPr="00ED1A48" w14:paraId="0AFAC321"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183005E" w14:textId="77777777" w:rsidR="005D0FA4" w:rsidRPr="00ED1A48" w:rsidRDefault="005D0FA4" w:rsidP="005D0FA4">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9B20E2F" w14:textId="77777777" w:rsidR="005D0FA4" w:rsidRPr="009B49EA" w:rsidRDefault="005D0FA4" w:rsidP="005D0FA4">
            <w:pPr>
              <w:jc w:val="center"/>
              <w:rPr>
                <w:rFonts w:cs="Arial"/>
                <w:b/>
                <w:color w:val="000000"/>
                <w:sz w:val="16"/>
                <w:szCs w:val="16"/>
              </w:rPr>
            </w:pPr>
            <w:r w:rsidRPr="009B49EA">
              <w:rPr>
                <w:b/>
                <w:sz w:val="16"/>
                <w:szCs w:val="16"/>
              </w:rPr>
              <w:t>Określenie wymogu spełniania wymagań odpowiednich systemów lub norm zarządzania środowiskowego</w:t>
            </w:r>
          </w:p>
        </w:tc>
        <w:tc>
          <w:tcPr>
            <w:tcW w:w="1701" w:type="dxa"/>
            <w:tcBorders>
              <w:top w:val="single" w:sz="4" w:space="0" w:color="auto"/>
              <w:left w:val="single" w:sz="4" w:space="0" w:color="auto"/>
              <w:bottom w:val="single" w:sz="4" w:space="0" w:color="auto"/>
              <w:right w:val="single" w:sz="4" w:space="0" w:color="auto"/>
            </w:tcBorders>
            <w:vAlign w:val="center"/>
          </w:tcPr>
          <w:p w14:paraId="4ED6FA9D" w14:textId="53D2ABC4" w:rsidR="005D0FA4" w:rsidRPr="00EB3FCE" w:rsidRDefault="005D0FA4" w:rsidP="005D0FA4">
            <w:pPr>
              <w:jc w:val="center"/>
              <w:rPr>
                <w:rFonts w:cs="Arial"/>
                <w:color w:val="000000"/>
                <w:sz w:val="16"/>
                <w:szCs w:val="16"/>
              </w:rPr>
            </w:pPr>
            <w:r w:rsidRPr="00EB3FCE">
              <w:rPr>
                <w:rFonts w:cs="Arial"/>
                <w:bCs/>
                <w:color w:val="000000"/>
                <w:spacing w:val="-2"/>
                <w:sz w:val="16"/>
                <w:szCs w:val="16"/>
              </w:rPr>
              <w:t>90</w:t>
            </w:r>
          </w:p>
        </w:tc>
        <w:tc>
          <w:tcPr>
            <w:tcW w:w="1843" w:type="dxa"/>
            <w:tcBorders>
              <w:top w:val="single" w:sz="4" w:space="0" w:color="auto"/>
              <w:left w:val="single" w:sz="4" w:space="0" w:color="auto"/>
              <w:bottom w:val="single" w:sz="4" w:space="0" w:color="auto"/>
              <w:right w:val="single" w:sz="4" w:space="0" w:color="auto"/>
            </w:tcBorders>
            <w:vAlign w:val="center"/>
          </w:tcPr>
          <w:p w14:paraId="28593533" w14:textId="54145532" w:rsidR="005D0FA4" w:rsidRPr="00EB3FCE" w:rsidRDefault="005D0FA4" w:rsidP="005D0FA4">
            <w:pPr>
              <w:jc w:val="center"/>
              <w:rPr>
                <w:rFonts w:cs="Arial"/>
                <w:color w:val="000000"/>
                <w:sz w:val="16"/>
                <w:szCs w:val="16"/>
              </w:rPr>
            </w:pPr>
            <w:r w:rsidRPr="00EB3FCE">
              <w:rPr>
                <w:rFonts w:cs="Arial"/>
                <w:bCs/>
                <w:color w:val="000000"/>
                <w:spacing w:val="-2"/>
                <w:sz w:val="16"/>
                <w:szCs w:val="16"/>
              </w:rPr>
              <w:t>609 683 774,80 zł</w:t>
            </w:r>
          </w:p>
        </w:tc>
        <w:tc>
          <w:tcPr>
            <w:tcW w:w="1701" w:type="dxa"/>
            <w:tcBorders>
              <w:top w:val="single" w:sz="4" w:space="0" w:color="auto"/>
              <w:left w:val="single" w:sz="4" w:space="0" w:color="auto"/>
              <w:bottom w:val="single" w:sz="4" w:space="0" w:color="auto"/>
              <w:right w:val="single" w:sz="4" w:space="0" w:color="auto"/>
            </w:tcBorders>
            <w:vAlign w:val="center"/>
          </w:tcPr>
          <w:p w14:paraId="015AA90B" w14:textId="2B153495" w:rsidR="005D0FA4" w:rsidRPr="00EB3FCE" w:rsidRDefault="005D0FA4" w:rsidP="005D0FA4">
            <w:pPr>
              <w:jc w:val="center"/>
              <w:rPr>
                <w:rFonts w:cs="Arial"/>
                <w:bCs/>
                <w:color w:val="000000"/>
                <w:spacing w:val="-2"/>
                <w:sz w:val="16"/>
                <w:szCs w:val="16"/>
              </w:rPr>
            </w:pPr>
            <w:r w:rsidRPr="00EB3FCE">
              <w:rPr>
                <w:rFonts w:cs="Arial"/>
                <w:sz w:val="16"/>
                <w:szCs w:val="16"/>
              </w:rPr>
              <w:t>223</w:t>
            </w:r>
          </w:p>
        </w:tc>
        <w:tc>
          <w:tcPr>
            <w:tcW w:w="2126" w:type="dxa"/>
            <w:tcBorders>
              <w:top w:val="single" w:sz="4" w:space="0" w:color="auto"/>
              <w:left w:val="single" w:sz="4" w:space="0" w:color="auto"/>
              <w:bottom w:val="single" w:sz="4" w:space="0" w:color="auto"/>
              <w:right w:val="single" w:sz="4" w:space="0" w:color="auto"/>
            </w:tcBorders>
            <w:vAlign w:val="center"/>
          </w:tcPr>
          <w:p w14:paraId="0E13B15D" w14:textId="16971FED" w:rsidR="005D0FA4" w:rsidRPr="005D0FA4" w:rsidRDefault="005D0FA4" w:rsidP="005D0FA4">
            <w:pPr>
              <w:jc w:val="center"/>
              <w:rPr>
                <w:rFonts w:cs="Arial"/>
                <w:sz w:val="16"/>
                <w:szCs w:val="16"/>
              </w:rPr>
            </w:pPr>
            <w:r w:rsidRPr="00EB3FCE">
              <w:rPr>
                <w:rFonts w:cs="Arial"/>
                <w:sz w:val="16"/>
                <w:szCs w:val="16"/>
              </w:rPr>
              <w:t>616</w:t>
            </w:r>
            <w:r>
              <w:rPr>
                <w:rFonts w:cs="Arial"/>
                <w:sz w:val="16"/>
                <w:szCs w:val="16"/>
              </w:rPr>
              <w:t xml:space="preserve"> </w:t>
            </w:r>
            <w:r w:rsidRPr="00EB3FCE">
              <w:rPr>
                <w:rFonts w:cs="Arial"/>
                <w:sz w:val="16"/>
                <w:szCs w:val="16"/>
              </w:rPr>
              <w:t>832</w:t>
            </w:r>
            <w:r>
              <w:rPr>
                <w:rFonts w:cs="Arial"/>
                <w:sz w:val="16"/>
                <w:szCs w:val="16"/>
              </w:rPr>
              <w:t xml:space="preserve"> </w:t>
            </w:r>
            <w:r w:rsidRPr="00EB3FCE">
              <w:rPr>
                <w:rFonts w:cs="Arial"/>
                <w:sz w:val="16"/>
                <w:szCs w:val="16"/>
              </w:rPr>
              <w:t>284,12 zł</w:t>
            </w:r>
          </w:p>
        </w:tc>
        <w:tc>
          <w:tcPr>
            <w:tcW w:w="1701" w:type="dxa"/>
            <w:tcBorders>
              <w:top w:val="single" w:sz="4" w:space="0" w:color="auto"/>
              <w:left w:val="single" w:sz="4" w:space="0" w:color="auto"/>
              <w:bottom w:val="single" w:sz="4" w:space="0" w:color="auto"/>
              <w:right w:val="single" w:sz="4" w:space="0" w:color="auto"/>
            </w:tcBorders>
            <w:vAlign w:val="center"/>
          </w:tcPr>
          <w:p w14:paraId="2487F044" w14:textId="3BD33167" w:rsidR="005D0FA4" w:rsidRPr="00EB3FCE" w:rsidRDefault="005D0FA4" w:rsidP="005D0FA4">
            <w:pPr>
              <w:jc w:val="center"/>
              <w:rPr>
                <w:rFonts w:cs="Arial"/>
                <w:bCs/>
                <w:color w:val="000000"/>
                <w:spacing w:val="-2"/>
                <w:sz w:val="16"/>
                <w:szCs w:val="16"/>
              </w:rPr>
            </w:pPr>
            <w:r>
              <w:rPr>
                <w:rFonts w:cs="Arial"/>
                <w:sz w:val="16"/>
                <w:szCs w:val="16"/>
              </w:rPr>
              <w:t>185</w:t>
            </w:r>
          </w:p>
        </w:tc>
        <w:tc>
          <w:tcPr>
            <w:tcW w:w="2301" w:type="dxa"/>
            <w:tcBorders>
              <w:top w:val="single" w:sz="4" w:space="0" w:color="auto"/>
              <w:left w:val="single" w:sz="4" w:space="0" w:color="auto"/>
              <w:bottom w:val="single" w:sz="4" w:space="0" w:color="auto"/>
              <w:right w:val="single" w:sz="4" w:space="0" w:color="auto"/>
            </w:tcBorders>
            <w:vAlign w:val="center"/>
          </w:tcPr>
          <w:p w14:paraId="73A7E4A0" w14:textId="301B185B" w:rsidR="005D0FA4" w:rsidRPr="00EB3FCE" w:rsidRDefault="005D0FA4" w:rsidP="005D0FA4">
            <w:pPr>
              <w:jc w:val="center"/>
              <w:rPr>
                <w:rFonts w:cs="Arial"/>
                <w:bCs/>
                <w:color w:val="000000"/>
                <w:spacing w:val="-2"/>
                <w:sz w:val="16"/>
                <w:szCs w:val="16"/>
              </w:rPr>
            </w:pPr>
            <w:r>
              <w:rPr>
                <w:rFonts w:cs="Arial"/>
                <w:sz w:val="16"/>
                <w:szCs w:val="16"/>
              </w:rPr>
              <w:t>1 293 028 465,25 zł</w:t>
            </w:r>
          </w:p>
        </w:tc>
      </w:tr>
      <w:tr w:rsidR="005D0FA4" w:rsidRPr="00ED1A48" w14:paraId="58F65CDF"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11C818F" w14:textId="77777777" w:rsidR="005D0FA4" w:rsidRPr="00ED1A48" w:rsidRDefault="005D0FA4" w:rsidP="005D0FA4">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A32A1C" w14:textId="77777777" w:rsidR="005D0FA4" w:rsidRPr="009B49EA" w:rsidRDefault="005D0FA4" w:rsidP="005D0FA4">
            <w:pPr>
              <w:jc w:val="center"/>
              <w:rPr>
                <w:rFonts w:cs="Arial"/>
                <w:b/>
                <w:color w:val="000000"/>
                <w:sz w:val="16"/>
                <w:szCs w:val="16"/>
              </w:rPr>
            </w:pPr>
            <w:r w:rsidRPr="009B49EA">
              <w:rPr>
                <w:b/>
                <w:sz w:val="16"/>
                <w:szCs w:val="16"/>
              </w:rPr>
              <w:t>Zastosowanie kryterium kosztu z wykorzystaniem rachunku kosztów cyklu życia</w:t>
            </w:r>
          </w:p>
        </w:tc>
        <w:tc>
          <w:tcPr>
            <w:tcW w:w="1701" w:type="dxa"/>
            <w:tcBorders>
              <w:top w:val="single" w:sz="4" w:space="0" w:color="auto"/>
              <w:left w:val="single" w:sz="4" w:space="0" w:color="auto"/>
              <w:bottom w:val="single" w:sz="4" w:space="0" w:color="auto"/>
              <w:right w:val="single" w:sz="4" w:space="0" w:color="auto"/>
            </w:tcBorders>
            <w:vAlign w:val="center"/>
          </w:tcPr>
          <w:p w14:paraId="079341E0" w14:textId="7718A41B" w:rsidR="005D0FA4" w:rsidRPr="00EB3FCE" w:rsidRDefault="005D0FA4" w:rsidP="005D0FA4">
            <w:pPr>
              <w:jc w:val="center"/>
              <w:rPr>
                <w:rFonts w:cs="Arial"/>
                <w:color w:val="000000"/>
                <w:sz w:val="16"/>
                <w:szCs w:val="16"/>
              </w:rPr>
            </w:pPr>
            <w:r w:rsidRPr="00EB3FCE">
              <w:rPr>
                <w:rFonts w:cs="Arial"/>
                <w:color w:val="000000"/>
                <w:sz w:val="16"/>
                <w:szCs w:val="16"/>
              </w:rPr>
              <w:t>21</w:t>
            </w:r>
          </w:p>
        </w:tc>
        <w:tc>
          <w:tcPr>
            <w:tcW w:w="1843" w:type="dxa"/>
            <w:tcBorders>
              <w:top w:val="single" w:sz="4" w:space="0" w:color="auto"/>
              <w:left w:val="single" w:sz="4" w:space="0" w:color="auto"/>
              <w:bottom w:val="single" w:sz="4" w:space="0" w:color="auto"/>
              <w:right w:val="single" w:sz="4" w:space="0" w:color="auto"/>
            </w:tcBorders>
            <w:vAlign w:val="center"/>
          </w:tcPr>
          <w:p w14:paraId="3752EFB7" w14:textId="075CA4A9" w:rsidR="005D0FA4" w:rsidRPr="00EB3FCE" w:rsidRDefault="005D0FA4" w:rsidP="005D0FA4">
            <w:pPr>
              <w:jc w:val="center"/>
              <w:rPr>
                <w:rFonts w:cs="Arial"/>
                <w:color w:val="000000"/>
                <w:sz w:val="16"/>
                <w:szCs w:val="16"/>
              </w:rPr>
            </w:pPr>
            <w:r w:rsidRPr="00EB3FCE">
              <w:rPr>
                <w:rFonts w:cs="Arial"/>
                <w:color w:val="000000"/>
                <w:sz w:val="16"/>
                <w:szCs w:val="16"/>
              </w:rPr>
              <w:t>91 182 949,45 zł</w:t>
            </w:r>
          </w:p>
        </w:tc>
        <w:tc>
          <w:tcPr>
            <w:tcW w:w="1701" w:type="dxa"/>
            <w:tcBorders>
              <w:top w:val="single" w:sz="4" w:space="0" w:color="auto"/>
              <w:left w:val="single" w:sz="4" w:space="0" w:color="auto"/>
              <w:bottom w:val="single" w:sz="4" w:space="0" w:color="auto"/>
              <w:right w:val="single" w:sz="4" w:space="0" w:color="auto"/>
            </w:tcBorders>
            <w:vAlign w:val="center"/>
          </w:tcPr>
          <w:p w14:paraId="03C301F2" w14:textId="08259CD2" w:rsidR="005D0FA4" w:rsidRPr="00EB3FCE" w:rsidRDefault="005D0FA4" w:rsidP="005D0FA4">
            <w:pPr>
              <w:jc w:val="center"/>
              <w:rPr>
                <w:rFonts w:cs="Arial"/>
                <w:color w:val="000000"/>
                <w:sz w:val="16"/>
                <w:szCs w:val="16"/>
              </w:rPr>
            </w:pPr>
            <w:r w:rsidRPr="00EB3FCE">
              <w:rPr>
                <w:rFonts w:cs="Arial"/>
                <w:color w:val="000000"/>
                <w:sz w:val="16"/>
                <w:szCs w:val="16"/>
              </w:rPr>
              <w:t>32</w:t>
            </w:r>
          </w:p>
        </w:tc>
        <w:tc>
          <w:tcPr>
            <w:tcW w:w="2126" w:type="dxa"/>
            <w:tcBorders>
              <w:top w:val="single" w:sz="4" w:space="0" w:color="auto"/>
              <w:left w:val="single" w:sz="4" w:space="0" w:color="auto"/>
              <w:bottom w:val="single" w:sz="4" w:space="0" w:color="auto"/>
              <w:right w:val="single" w:sz="4" w:space="0" w:color="auto"/>
            </w:tcBorders>
            <w:vAlign w:val="center"/>
          </w:tcPr>
          <w:p w14:paraId="6B2E58CF" w14:textId="154994D5" w:rsidR="005D0FA4" w:rsidRPr="005D0FA4" w:rsidRDefault="005D0FA4" w:rsidP="005D0FA4">
            <w:pPr>
              <w:jc w:val="center"/>
              <w:rPr>
                <w:rFonts w:cs="Arial"/>
                <w:sz w:val="16"/>
                <w:szCs w:val="16"/>
              </w:rPr>
            </w:pPr>
            <w:r w:rsidRPr="00EB3FCE">
              <w:rPr>
                <w:rFonts w:cs="Arial"/>
                <w:sz w:val="16"/>
                <w:szCs w:val="16"/>
              </w:rPr>
              <w:t>76</w:t>
            </w:r>
            <w:r>
              <w:rPr>
                <w:rFonts w:cs="Arial"/>
                <w:sz w:val="16"/>
                <w:szCs w:val="16"/>
              </w:rPr>
              <w:t xml:space="preserve"> </w:t>
            </w:r>
            <w:r w:rsidRPr="00EB3FCE">
              <w:rPr>
                <w:rFonts w:cs="Arial"/>
                <w:sz w:val="16"/>
                <w:szCs w:val="16"/>
              </w:rPr>
              <w:t>162</w:t>
            </w:r>
            <w:r>
              <w:rPr>
                <w:rFonts w:cs="Arial"/>
                <w:sz w:val="16"/>
                <w:szCs w:val="16"/>
              </w:rPr>
              <w:t xml:space="preserve"> </w:t>
            </w:r>
            <w:r w:rsidRPr="00EB3FCE">
              <w:rPr>
                <w:rFonts w:cs="Arial"/>
                <w:sz w:val="16"/>
                <w:szCs w:val="16"/>
              </w:rPr>
              <w:t>976,68 zł</w:t>
            </w:r>
          </w:p>
        </w:tc>
        <w:tc>
          <w:tcPr>
            <w:tcW w:w="1701" w:type="dxa"/>
            <w:tcBorders>
              <w:top w:val="single" w:sz="4" w:space="0" w:color="auto"/>
              <w:left w:val="single" w:sz="4" w:space="0" w:color="auto"/>
              <w:bottom w:val="single" w:sz="4" w:space="0" w:color="auto"/>
              <w:right w:val="single" w:sz="4" w:space="0" w:color="auto"/>
            </w:tcBorders>
            <w:vAlign w:val="center"/>
          </w:tcPr>
          <w:p w14:paraId="6C11EA5E" w14:textId="1A823008" w:rsidR="005D0FA4" w:rsidRPr="00EB3FCE" w:rsidRDefault="005D0FA4" w:rsidP="005D0FA4">
            <w:pPr>
              <w:jc w:val="center"/>
              <w:rPr>
                <w:rFonts w:cs="Arial"/>
                <w:color w:val="000000"/>
                <w:sz w:val="16"/>
                <w:szCs w:val="16"/>
              </w:rPr>
            </w:pPr>
            <w:r>
              <w:rPr>
                <w:rFonts w:cs="Arial"/>
                <w:sz w:val="16"/>
                <w:szCs w:val="16"/>
              </w:rPr>
              <w:t>29</w:t>
            </w:r>
          </w:p>
        </w:tc>
        <w:tc>
          <w:tcPr>
            <w:tcW w:w="2301" w:type="dxa"/>
            <w:tcBorders>
              <w:top w:val="single" w:sz="4" w:space="0" w:color="auto"/>
              <w:left w:val="single" w:sz="4" w:space="0" w:color="auto"/>
              <w:bottom w:val="single" w:sz="4" w:space="0" w:color="auto"/>
              <w:right w:val="single" w:sz="4" w:space="0" w:color="auto"/>
            </w:tcBorders>
            <w:vAlign w:val="center"/>
          </w:tcPr>
          <w:p w14:paraId="21085D77" w14:textId="0F7955A3" w:rsidR="005D0FA4" w:rsidRPr="00EB3FCE" w:rsidRDefault="005D0FA4" w:rsidP="005D0FA4">
            <w:pPr>
              <w:jc w:val="center"/>
              <w:rPr>
                <w:rFonts w:cs="Arial"/>
                <w:color w:val="000000"/>
                <w:sz w:val="16"/>
                <w:szCs w:val="16"/>
              </w:rPr>
            </w:pPr>
            <w:r>
              <w:rPr>
                <w:rFonts w:cs="Arial"/>
                <w:sz w:val="16"/>
                <w:szCs w:val="16"/>
              </w:rPr>
              <w:t>46 870 535,23 zł</w:t>
            </w:r>
          </w:p>
        </w:tc>
      </w:tr>
    </w:tbl>
    <w:p w14:paraId="7E55AB27" w14:textId="77777777" w:rsidR="00DB75BE" w:rsidRPr="00ED1A48" w:rsidRDefault="00DB75BE" w:rsidP="00DB75BE">
      <w:pPr>
        <w:shd w:val="clear" w:color="auto" w:fill="FFFFFF"/>
        <w:rPr>
          <w:rFonts w:cs="Arial"/>
          <w:color w:val="000000"/>
          <w:sz w:val="16"/>
          <w:szCs w:val="16"/>
        </w:rPr>
      </w:pPr>
    </w:p>
    <w:p w14:paraId="410FF030" w14:textId="77777777" w:rsidR="00DB75BE" w:rsidRPr="00576772" w:rsidRDefault="00DB75BE" w:rsidP="00DB75BE">
      <w:pPr>
        <w:shd w:val="clear" w:color="auto" w:fill="FFFFFF"/>
        <w:rPr>
          <w:rFonts w:cs="Arial"/>
          <w:color w:val="000000"/>
          <w:sz w:val="16"/>
          <w:szCs w:val="16"/>
        </w:rPr>
      </w:pPr>
      <w:r w:rsidRPr="00805E2A">
        <w:rPr>
          <w:b/>
          <w:sz w:val="16"/>
          <w:szCs w:val="16"/>
          <w:u w:val="single"/>
        </w:rPr>
        <w:t>UWAGA</w:t>
      </w:r>
      <w:r w:rsidRPr="00576772">
        <w:rPr>
          <w:sz w:val="16"/>
          <w:szCs w:val="16"/>
        </w:rPr>
        <w:t>: Łączna liczba i wartość zamówień publicznych z zastosowaniem poszczególnych aspektów środowiskowych jest większa niż łączna liczba i wartość zamówień środowiskowych i ze względu na przypadki zastosowania więcej niż jednego aspektu środowiskowego w jednym zamówieniu.</w:t>
      </w:r>
    </w:p>
    <w:p w14:paraId="1DF9616F" w14:textId="63FB0263" w:rsidR="00DB75BE" w:rsidRDefault="00DB75BE" w:rsidP="00D2318D">
      <w:pPr>
        <w:rPr>
          <w:szCs w:val="22"/>
        </w:rPr>
      </w:pPr>
    </w:p>
    <w:p w14:paraId="2F9781B5" w14:textId="37878265" w:rsidR="00DB75BE" w:rsidRDefault="00DB75BE" w:rsidP="00D2318D">
      <w:pPr>
        <w:rPr>
          <w:szCs w:val="22"/>
        </w:rPr>
      </w:pPr>
    </w:p>
    <w:p w14:paraId="03232295" w14:textId="10653ADE" w:rsidR="00DB75BE" w:rsidRPr="00ED1A48" w:rsidRDefault="00DB75BE" w:rsidP="00DB75BE">
      <w:pPr>
        <w:shd w:val="clear" w:color="auto" w:fill="FFFFFF"/>
        <w:jc w:val="center"/>
        <w:rPr>
          <w:rFonts w:cs="Arial"/>
          <w:b/>
          <w:color w:val="000000"/>
        </w:rPr>
      </w:pPr>
      <w:r w:rsidRPr="00ED1A48">
        <w:rPr>
          <w:rFonts w:cs="Arial"/>
          <w:b/>
          <w:color w:val="000000"/>
        </w:rPr>
        <w:t>Udział zamówień z danym aspektem środowiskowym w ogólnej liczbie oraz w ogólnej wartości z</w:t>
      </w:r>
      <w:r w:rsidR="00B846B8">
        <w:rPr>
          <w:rFonts w:cs="Arial"/>
          <w:b/>
          <w:color w:val="000000"/>
        </w:rPr>
        <w:t>ielonych zamówień publicznych w </w:t>
      </w:r>
      <w:r w:rsidRPr="00ED1A48">
        <w:rPr>
          <w:rFonts w:cs="Arial"/>
          <w:b/>
          <w:color w:val="000000"/>
        </w:rPr>
        <w:t xml:space="preserve">poszczególnych latach </w:t>
      </w:r>
    </w:p>
    <w:p w14:paraId="75F25EAE" w14:textId="77777777" w:rsidR="00DB75BE" w:rsidRPr="00DB75BE" w:rsidRDefault="00DB75BE" w:rsidP="00DB75BE">
      <w:pPr>
        <w:shd w:val="clear" w:color="auto" w:fill="FFFFFF"/>
        <w:rPr>
          <w:rFonts w:cs="Arial"/>
          <w:color w:val="000000"/>
          <w:szCs w:val="22"/>
        </w:rPr>
      </w:pPr>
    </w:p>
    <w:tbl>
      <w:tblPr>
        <w:tblW w:w="13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477"/>
        <w:gridCol w:w="1857"/>
        <w:gridCol w:w="1843"/>
        <w:gridCol w:w="1842"/>
        <w:gridCol w:w="1843"/>
        <w:gridCol w:w="1868"/>
        <w:gridCol w:w="1776"/>
      </w:tblGrid>
      <w:tr w:rsidR="00B846B8" w:rsidRPr="00ED1A48" w14:paraId="1C016C2A" w14:textId="77777777" w:rsidTr="006C3563">
        <w:trPr>
          <w:tblHeader/>
          <w:jc w:val="center"/>
        </w:trPr>
        <w:tc>
          <w:tcPr>
            <w:tcW w:w="2954"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6E272E06" w14:textId="77777777" w:rsidR="00B846B8" w:rsidRPr="00ED1A48" w:rsidRDefault="00B846B8" w:rsidP="00B846B8">
            <w:pPr>
              <w:jc w:val="center"/>
              <w:rPr>
                <w:rFonts w:cs="Arial"/>
                <w:b/>
                <w:color w:val="000000"/>
                <w:sz w:val="16"/>
                <w:szCs w:val="16"/>
              </w:rPr>
            </w:pPr>
            <w:r w:rsidRPr="00ED1A48">
              <w:rPr>
                <w:rFonts w:cs="Arial"/>
                <w:b/>
                <w:color w:val="000000"/>
                <w:sz w:val="16"/>
                <w:szCs w:val="16"/>
              </w:rPr>
              <w:t>Rok referencyjny</w:t>
            </w:r>
          </w:p>
        </w:tc>
        <w:tc>
          <w:tcPr>
            <w:tcW w:w="3700"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701D93D6" w14:textId="35B94F18" w:rsidR="00B846B8" w:rsidRPr="00ED1A48" w:rsidRDefault="00B846B8" w:rsidP="00B846B8">
            <w:pPr>
              <w:jc w:val="center"/>
              <w:rPr>
                <w:rFonts w:cs="Arial"/>
                <w:b/>
                <w:bCs/>
                <w:color w:val="000000"/>
                <w:sz w:val="16"/>
                <w:szCs w:val="16"/>
              </w:rPr>
            </w:pPr>
            <w:r w:rsidRPr="00ED1A48">
              <w:rPr>
                <w:rFonts w:cs="Arial"/>
                <w:b/>
                <w:bCs/>
                <w:color w:val="000000"/>
                <w:sz w:val="16"/>
                <w:szCs w:val="16"/>
              </w:rPr>
              <w:t>2020 r.</w:t>
            </w:r>
          </w:p>
        </w:tc>
        <w:tc>
          <w:tcPr>
            <w:tcW w:w="3685" w:type="dxa"/>
            <w:gridSpan w:val="2"/>
            <w:tcBorders>
              <w:top w:val="single" w:sz="4" w:space="0" w:color="auto"/>
              <w:left w:val="single" w:sz="4" w:space="0" w:color="auto"/>
              <w:bottom w:val="single" w:sz="4" w:space="0" w:color="auto"/>
              <w:right w:val="single" w:sz="4" w:space="0" w:color="auto"/>
            </w:tcBorders>
            <w:shd w:val="clear" w:color="auto" w:fill="C5E0B3"/>
          </w:tcPr>
          <w:p w14:paraId="39BD7C18" w14:textId="211C2BEE" w:rsidR="00B846B8" w:rsidRPr="00ED1A48" w:rsidRDefault="00B846B8" w:rsidP="00B846B8">
            <w:pPr>
              <w:jc w:val="center"/>
              <w:rPr>
                <w:rFonts w:cs="Arial"/>
                <w:b/>
                <w:bCs/>
                <w:color w:val="000000"/>
                <w:sz w:val="16"/>
                <w:szCs w:val="16"/>
              </w:rPr>
            </w:pPr>
            <w:r>
              <w:rPr>
                <w:rFonts w:cs="Arial"/>
                <w:b/>
                <w:bCs/>
                <w:color w:val="000000"/>
                <w:sz w:val="16"/>
                <w:szCs w:val="16"/>
              </w:rPr>
              <w:t>2021 r.</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354E683B" w14:textId="5A4714CB" w:rsidR="00B846B8" w:rsidRPr="00ED1A48" w:rsidRDefault="00F74EDD" w:rsidP="00B846B8">
            <w:pPr>
              <w:jc w:val="center"/>
              <w:rPr>
                <w:rFonts w:cs="Arial"/>
                <w:b/>
                <w:bCs/>
                <w:color w:val="000000"/>
                <w:sz w:val="16"/>
                <w:szCs w:val="16"/>
              </w:rPr>
            </w:pPr>
            <w:r>
              <w:rPr>
                <w:rFonts w:cs="Arial"/>
                <w:b/>
                <w:bCs/>
                <w:color w:val="000000"/>
                <w:sz w:val="16"/>
                <w:szCs w:val="16"/>
              </w:rPr>
              <w:t>2022 r.</w:t>
            </w:r>
          </w:p>
        </w:tc>
      </w:tr>
      <w:tr w:rsidR="00B846B8" w:rsidRPr="00ED1A48" w14:paraId="6E42D4F7" w14:textId="77777777" w:rsidTr="006C3563">
        <w:trPr>
          <w:tblHeade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7D9F3ABB" w14:textId="77777777" w:rsidR="00B846B8" w:rsidRPr="00ED1A48" w:rsidRDefault="00B846B8" w:rsidP="00B846B8">
            <w:pPr>
              <w:jc w:val="center"/>
              <w:rPr>
                <w:rFonts w:cs="Arial"/>
                <w:b/>
                <w:color w:val="000000"/>
                <w:sz w:val="16"/>
                <w:szCs w:val="16"/>
              </w:rPr>
            </w:pPr>
            <w:r w:rsidRPr="00ED1A48">
              <w:rPr>
                <w:rFonts w:cs="Arial"/>
                <w:b/>
                <w:color w:val="000000"/>
                <w:sz w:val="16"/>
                <w:szCs w:val="16"/>
              </w:rPr>
              <w:t>Lp.</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609D0FF8" w14:textId="77777777" w:rsidR="00B846B8" w:rsidRPr="00ED1A48" w:rsidRDefault="00B846B8" w:rsidP="00B846B8">
            <w:pPr>
              <w:jc w:val="center"/>
              <w:rPr>
                <w:rFonts w:cs="Arial"/>
                <w:b/>
                <w:color w:val="000000"/>
                <w:sz w:val="16"/>
                <w:szCs w:val="16"/>
              </w:rPr>
            </w:pPr>
            <w:r w:rsidRPr="00ED1A48">
              <w:rPr>
                <w:rFonts w:cs="Arial"/>
                <w:b/>
                <w:color w:val="000000"/>
                <w:sz w:val="16"/>
                <w:szCs w:val="16"/>
              </w:rPr>
              <w:t xml:space="preserve">Aspekt zielony </w:t>
            </w:r>
          </w:p>
        </w:tc>
        <w:tc>
          <w:tcPr>
            <w:tcW w:w="1857" w:type="dxa"/>
            <w:tcBorders>
              <w:top w:val="single" w:sz="4" w:space="0" w:color="auto"/>
              <w:left w:val="single" w:sz="4" w:space="0" w:color="auto"/>
              <w:bottom w:val="single" w:sz="4" w:space="0" w:color="auto"/>
              <w:right w:val="single" w:sz="4" w:space="0" w:color="auto"/>
            </w:tcBorders>
            <w:shd w:val="clear" w:color="auto" w:fill="E2EFD9"/>
            <w:vAlign w:val="center"/>
          </w:tcPr>
          <w:p w14:paraId="047A76A3" w14:textId="77777777" w:rsidR="00B846B8" w:rsidRPr="00ED1A48" w:rsidRDefault="00B846B8" w:rsidP="00B846B8">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69260103" w14:textId="6C01E1ED" w:rsidR="00B846B8" w:rsidRPr="00ED1A48" w:rsidRDefault="00B846B8" w:rsidP="00B846B8">
            <w:pPr>
              <w:jc w:val="center"/>
              <w:rPr>
                <w:rFonts w:cs="Arial"/>
                <w:b/>
                <w:bCs/>
                <w:color w:val="000000"/>
                <w:sz w:val="16"/>
                <w:szCs w:val="16"/>
              </w:rPr>
            </w:pPr>
            <w:r w:rsidRPr="00ED1A48">
              <w:rPr>
                <w:rFonts w:cs="Arial"/>
                <w:b/>
                <w:bCs/>
                <w:color w:val="000000"/>
                <w:sz w:val="16"/>
                <w:szCs w:val="16"/>
              </w:rPr>
              <w:t>Udział za</w:t>
            </w:r>
            <w:r>
              <w:rPr>
                <w:rFonts w:cs="Arial"/>
                <w:b/>
                <w:bCs/>
                <w:color w:val="000000"/>
                <w:sz w:val="16"/>
                <w:szCs w:val="16"/>
              </w:rPr>
              <w:t xml:space="preserve">mówień z danym </w:t>
            </w:r>
            <w:r w:rsidRPr="00ED1A48">
              <w:rPr>
                <w:rFonts w:cs="Arial"/>
                <w:b/>
                <w:bCs/>
                <w:color w:val="000000"/>
                <w:sz w:val="16"/>
                <w:szCs w:val="16"/>
              </w:rPr>
              <w:t xml:space="preserve">aspektem w ogólnej wartości zamówień zielonych </w:t>
            </w:r>
          </w:p>
        </w:tc>
        <w:tc>
          <w:tcPr>
            <w:tcW w:w="1842" w:type="dxa"/>
            <w:tcBorders>
              <w:top w:val="single" w:sz="4" w:space="0" w:color="auto"/>
              <w:left w:val="single" w:sz="4" w:space="0" w:color="auto"/>
              <w:bottom w:val="single" w:sz="4" w:space="0" w:color="auto"/>
              <w:right w:val="single" w:sz="4" w:space="0" w:color="auto"/>
            </w:tcBorders>
            <w:shd w:val="clear" w:color="auto" w:fill="E2EFD9"/>
            <w:vAlign w:val="center"/>
          </w:tcPr>
          <w:p w14:paraId="7201B9F6" w14:textId="77777777" w:rsidR="00B846B8" w:rsidRPr="00ED1A48" w:rsidRDefault="00B846B8" w:rsidP="00B846B8">
            <w:pPr>
              <w:jc w:val="center"/>
              <w:rPr>
                <w:rFonts w:cs="Arial"/>
                <w:b/>
                <w:bCs/>
                <w:color w:val="000000"/>
                <w:sz w:val="16"/>
                <w:szCs w:val="16"/>
              </w:rPr>
            </w:pPr>
            <w:r w:rsidRPr="00ED1A48">
              <w:rPr>
                <w:rFonts w:cs="Arial"/>
                <w:b/>
                <w:bCs/>
                <w:color w:val="000000"/>
                <w:sz w:val="16"/>
                <w:szCs w:val="16"/>
              </w:rPr>
              <w:t xml:space="preserve">Udział zamówień z danym aspektem w ogólnej liczbie zamówień zielonych </w:t>
            </w:r>
          </w:p>
        </w:tc>
        <w:tc>
          <w:tcPr>
            <w:tcW w:w="1843" w:type="dxa"/>
            <w:tcBorders>
              <w:top w:val="single" w:sz="4" w:space="0" w:color="auto"/>
              <w:left w:val="single" w:sz="4" w:space="0" w:color="auto"/>
              <w:bottom w:val="single" w:sz="4" w:space="0" w:color="auto"/>
              <w:right w:val="single" w:sz="4" w:space="0" w:color="auto"/>
            </w:tcBorders>
            <w:shd w:val="clear" w:color="auto" w:fill="E2EFD9"/>
            <w:vAlign w:val="center"/>
          </w:tcPr>
          <w:p w14:paraId="47480575" w14:textId="3CDEB034" w:rsidR="00B846B8" w:rsidRPr="00ED1A48" w:rsidRDefault="00B846B8" w:rsidP="00B846B8">
            <w:pPr>
              <w:jc w:val="center"/>
              <w:rPr>
                <w:rFonts w:cs="Arial"/>
                <w:b/>
                <w:bCs/>
                <w:color w:val="000000"/>
                <w:sz w:val="16"/>
                <w:szCs w:val="16"/>
              </w:rPr>
            </w:pPr>
            <w:r>
              <w:rPr>
                <w:rFonts w:cs="Arial"/>
                <w:b/>
                <w:bCs/>
                <w:color w:val="000000"/>
                <w:sz w:val="16"/>
                <w:szCs w:val="16"/>
              </w:rPr>
              <w:t>Udział zamówień z danym</w:t>
            </w:r>
            <w:r w:rsidRPr="00ED1A48">
              <w:rPr>
                <w:rFonts w:cs="Arial"/>
                <w:b/>
                <w:bCs/>
                <w:color w:val="000000"/>
                <w:sz w:val="16"/>
                <w:szCs w:val="16"/>
              </w:rPr>
              <w:t xml:space="preserve"> aspektem w ogólnej wartości zamówień zielonych </w:t>
            </w:r>
          </w:p>
        </w:tc>
        <w:tc>
          <w:tcPr>
            <w:tcW w:w="1868" w:type="dxa"/>
            <w:tcBorders>
              <w:top w:val="single" w:sz="4" w:space="0" w:color="auto"/>
              <w:left w:val="single" w:sz="4" w:space="0" w:color="auto"/>
              <w:bottom w:val="single" w:sz="4" w:space="0" w:color="auto"/>
              <w:right w:val="single" w:sz="4" w:space="0" w:color="auto"/>
            </w:tcBorders>
            <w:shd w:val="clear" w:color="auto" w:fill="E2EFD9"/>
          </w:tcPr>
          <w:p w14:paraId="31063358" w14:textId="77777777" w:rsidR="00B846B8" w:rsidRPr="00ED1A48" w:rsidRDefault="00B846B8" w:rsidP="00B846B8">
            <w:pPr>
              <w:jc w:val="center"/>
              <w:rPr>
                <w:rFonts w:cs="Arial"/>
                <w:b/>
                <w:bCs/>
                <w:color w:val="000000"/>
                <w:sz w:val="16"/>
                <w:szCs w:val="16"/>
              </w:rPr>
            </w:pPr>
            <w:r w:rsidRPr="00ED1A48">
              <w:rPr>
                <w:rFonts w:cs="Arial"/>
                <w:b/>
                <w:bCs/>
                <w:color w:val="000000"/>
                <w:sz w:val="16"/>
                <w:szCs w:val="16"/>
              </w:rPr>
              <w:t>Udział zamówień z danym aspektem w ogólnej liczbie zamówień zielonych</w:t>
            </w:r>
          </w:p>
        </w:tc>
        <w:tc>
          <w:tcPr>
            <w:tcW w:w="1776" w:type="dxa"/>
            <w:tcBorders>
              <w:top w:val="single" w:sz="4" w:space="0" w:color="auto"/>
              <w:left w:val="single" w:sz="4" w:space="0" w:color="auto"/>
              <w:bottom w:val="single" w:sz="4" w:space="0" w:color="auto"/>
              <w:right w:val="single" w:sz="4" w:space="0" w:color="auto"/>
            </w:tcBorders>
            <w:shd w:val="clear" w:color="auto" w:fill="E2EFD9"/>
          </w:tcPr>
          <w:p w14:paraId="55EC88A4" w14:textId="039AC930" w:rsidR="00B846B8" w:rsidRPr="00ED1A48" w:rsidRDefault="00B846B8" w:rsidP="00B846B8">
            <w:pPr>
              <w:jc w:val="center"/>
              <w:rPr>
                <w:rFonts w:cs="Arial"/>
                <w:b/>
                <w:bCs/>
                <w:color w:val="000000"/>
                <w:sz w:val="16"/>
                <w:szCs w:val="16"/>
              </w:rPr>
            </w:pPr>
            <w:r>
              <w:rPr>
                <w:rFonts w:cs="Arial"/>
                <w:b/>
                <w:bCs/>
                <w:color w:val="000000"/>
                <w:sz w:val="16"/>
                <w:szCs w:val="16"/>
              </w:rPr>
              <w:t xml:space="preserve">Udział zamówień z danym </w:t>
            </w:r>
            <w:r w:rsidRPr="00ED1A48">
              <w:rPr>
                <w:rFonts w:cs="Arial"/>
                <w:b/>
                <w:bCs/>
                <w:color w:val="000000"/>
                <w:sz w:val="16"/>
                <w:szCs w:val="16"/>
              </w:rPr>
              <w:t>aspektem w ogólnej wartości zamówień zielonych</w:t>
            </w:r>
          </w:p>
        </w:tc>
      </w:tr>
      <w:tr w:rsidR="00B846B8" w:rsidRPr="00ED1A48" w14:paraId="7BF6CCE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tcPr>
          <w:p w14:paraId="14F0FC52" w14:textId="77777777" w:rsidR="00B846B8" w:rsidRPr="00ED1A48" w:rsidRDefault="00B846B8" w:rsidP="00B846B8">
            <w:pPr>
              <w:jc w:val="center"/>
              <w:rPr>
                <w:rFonts w:cs="Arial"/>
                <w:color w:val="000000"/>
                <w:sz w:val="16"/>
                <w:szCs w:val="16"/>
              </w:rPr>
            </w:pPr>
            <w:r>
              <w:rPr>
                <w:rFonts w:cs="Arial"/>
                <w:color w:val="000000"/>
                <w:sz w:val="16"/>
                <w:szCs w:val="16"/>
              </w:rPr>
              <w:t>1.</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tcPr>
          <w:p w14:paraId="7C0CA18A" w14:textId="77777777" w:rsidR="00B846B8" w:rsidRPr="00ED1A48" w:rsidRDefault="00B846B8" w:rsidP="00B846B8">
            <w:pPr>
              <w:jc w:val="center"/>
              <w:rPr>
                <w:rFonts w:cs="Arial"/>
                <w:b/>
                <w:color w:val="000000"/>
                <w:sz w:val="16"/>
                <w:szCs w:val="16"/>
              </w:rPr>
            </w:pPr>
            <w:r w:rsidRPr="009B49EA">
              <w:rPr>
                <w:b/>
                <w:sz w:val="16"/>
                <w:szCs w:val="16"/>
              </w:rPr>
              <w:t>Określenie w opisie przedmiotu zamówienia wymagań środowiskowych</w:t>
            </w:r>
          </w:p>
        </w:tc>
        <w:tc>
          <w:tcPr>
            <w:tcW w:w="1857" w:type="dxa"/>
            <w:tcBorders>
              <w:top w:val="single" w:sz="4" w:space="0" w:color="auto"/>
              <w:left w:val="single" w:sz="4" w:space="0" w:color="auto"/>
              <w:bottom w:val="single" w:sz="4" w:space="0" w:color="auto"/>
              <w:right w:val="single" w:sz="4" w:space="0" w:color="auto"/>
            </w:tcBorders>
            <w:vAlign w:val="center"/>
          </w:tcPr>
          <w:p w14:paraId="0B9E1D7A" w14:textId="6DDB778E" w:rsidR="00B846B8" w:rsidRPr="00ED1A48" w:rsidRDefault="00B846B8" w:rsidP="00B846B8">
            <w:pPr>
              <w:jc w:val="center"/>
              <w:rPr>
                <w:rFonts w:cs="Arial"/>
                <w:color w:val="000000"/>
                <w:sz w:val="16"/>
                <w:szCs w:val="16"/>
              </w:rPr>
            </w:pPr>
            <w:r>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4BDD8BFD" w14:textId="1786748E" w:rsidR="00B846B8" w:rsidRPr="00ED1A48" w:rsidRDefault="00B846B8" w:rsidP="00B846B8">
            <w:pPr>
              <w:jc w:val="center"/>
              <w:rPr>
                <w:rFonts w:cs="Arial"/>
                <w:color w:val="000000"/>
                <w:sz w:val="16"/>
                <w:szCs w:val="16"/>
              </w:rPr>
            </w:pPr>
            <w:r>
              <w:rPr>
                <w:rFonts w:cs="Arial"/>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vAlign w:val="center"/>
          </w:tcPr>
          <w:p w14:paraId="0D504B5F" w14:textId="70AED767" w:rsidR="00B846B8" w:rsidRPr="00ED1A48" w:rsidRDefault="00C62157" w:rsidP="00B846B8">
            <w:pPr>
              <w:jc w:val="center"/>
              <w:rPr>
                <w:rFonts w:cs="Arial"/>
                <w:color w:val="000000"/>
                <w:sz w:val="16"/>
                <w:szCs w:val="16"/>
              </w:rPr>
            </w:pPr>
            <w:r>
              <w:rPr>
                <w:rFonts w:cs="Arial"/>
                <w:color w:val="000000"/>
                <w:sz w:val="16"/>
                <w:szCs w:val="16"/>
              </w:rPr>
              <w:t>44,27</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5C68228C" w14:textId="6092B8B9" w:rsidR="00B846B8" w:rsidRPr="00ED1A48" w:rsidRDefault="00C62157" w:rsidP="00B846B8">
            <w:pPr>
              <w:jc w:val="center"/>
              <w:rPr>
                <w:rFonts w:cs="Arial"/>
                <w:color w:val="000000"/>
                <w:sz w:val="16"/>
                <w:szCs w:val="16"/>
              </w:rPr>
            </w:pPr>
            <w:r>
              <w:rPr>
                <w:rFonts w:cs="Arial"/>
                <w:color w:val="000000"/>
                <w:sz w:val="16"/>
                <w:szCs w:val="16"/>
              </w:rPr>
              <w:t>29,94</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2202470D" w14:textId="7C27697D" w:rsidR="00B846B8" w:rsidRPr="00ED1A48" w:rsidRDefault="00C62157" w:rsidP="00B846B8">
            <w:pPr>
              <w:jc w:val="center"/>
              <w:rPr>
                <w:rFonts w:cs="Arial"/>
                <w:color w:val="000000"/>
                <w:sz w:val="16"/>
                <w:szCs w:val="16"/>
              </w:rPr>
            </w:pPr>
            <w:r>
              <w:rPr>
                <w:rFonts w:cs="Arial"/>
                <w:color w:val="000000"/>
                <w:sz w:val="16"/>
                <w:szCs w:val="16"/>
              </w:rPr>
              <w:t>42,29</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4C6C90AB" w14:textId="40D542F1" w:rsidR="00B846B8" w:rsidRPr="00ED1A48" w:rsidRDefault="00C62157" w:rsidP="00B846B8">
            <w:pPr>
              <w:jc w:val="center"/>
              <w:rPr>
                <w:rFonts w:cs="Arial"/>
                <w:color w:val="000000"/>
                <w:sz w:val="16"/>
                <w:szCs w:val="16"/>
              </w:rPr>
            </w:pPr>
            <w:r>
              <w:rPr>
                <w:rFonts w:cs="Arial"/>
                <w:color w:val="000000"/>
                <w:sz w:val="16"/>
                <w:szCs w:val="16"/>
              </w:rPr>
              <w:t>69,01</w:t>
            </w:r>
            <w:r w:rsidR="00B846B8">
              <w:rPr>
                <w:rFonts w:cs="Arial"/>
                <w:color w:val="000000"/>
                <w:sz w:val="16"/>
                <w:szCs w:val="16"/>
              </w:rPr>
              <w:t>%</w:t>
            </w:r>
          </w:p>
        </w:tc>
      </w:tr>
      <w:tr w:rsidR="00B846B8" w:rsidRPr="00ED1A48" w14:paraId="6B26D54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61ECEFF" w14:textId="77777777" w:rsidR="00B846B8" w:rsidRPr="00ED1A48" w:rsidRDefault="00B846B8" w:rsidP="00B846B8">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6F7DED6" w14:textId="77777777" w:rsidR="00B846B8" w:rsidRPr="00ED1A48" w:rsidRDefault="00B846B8" w:rsidP="00B846B8">
            <w:pPr>
              <w:jc w:val="center"/>
              <w:rPr>
                <w:rFonts w:cs="Arial"/>
                <w:b/>
                <w:color w:val="000000"/>
                <w:sz w:val="16"/>
                <w:szCs w:val="16"/>
              </w:rPr>
            </w:pPr>
            <w:r w:rsidRPr="009B49EA">
              <w:rPr>
                <w:b/>
                <w:sz w:val="16"/>
                <w:szCs w:val="16"/>
              </w:rPr>
              <w:t>Określenie wymagań zw. z realizacją zamówienia obejmujących aspekty środowiskowe</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E2C7530" w14:textId="4DADE7B2" w:rsidR="00B846B8" w:rsidRPr="00ED1A48" w:rsidRDefault="00C62157" w:rsidP="00B846B8">
            <w:pPr>
              <w:jc w:val="center"/>
              <w:rPr>
                <w:rFonts w:cs="Arial"/>
                <w:color w:val="000000"/>
                <w:sz w:val="16"/>
                <w:szCs w:val="16"/>
              </w:rPr>
            </w:pPr>
            <w:r>
              <w:rPr>
                <w:rFonts w:cs="Arial"/>
                <w:color w:val="000000"/>
                <w:sz w:val="16"/>
                <w:szCs w:val="16"/>
              </w:rPr>
              <w:t>57,80</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9863D0" w14:textId="1551066F" w:rsidR="00B846B8" w:rsidRPr="00ED1A48" w:rsidRDefault="00C62157" w:rsidP="00B846B8">
            <w:pPr>
              <w:jc w:val="center"/>
              <w:rPr>
                <w:rFonts w:cs="Arial"/>
                <w:color w:val="000000"/>
                <w:sz w:val="16"/>
                <w:szCs w:val="16"/>
              </w:rPr>
            </w:pPr>
            <w:r>
              <w:rPr>
                <w:rFonts w:cs="Arial"/>
                <w:color w:val="000000"/>
                <w:sz w:val="16"/>
                <w:szCs w:val="16"/>
              </w:rPr>
              <w:t>25,47</w:t>
            </w:r>
            <w:r w:rsidR="00B846B8">
              <w:rPr>
                <w:rFonts w:cs="Arial"/>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vAlign w:val="center"/>
          </w:tcPr>
          <w:p w14:paraId="233A174E" w14:textId="59D25F84" w:rsidR="00B846B8" w:rsidRPr="00ED1A48" w:rsidRDefault="00C62157" w:rsidP="00B846B8">
            <w:pPr>
              <w:jc w:val="center"/>
              <w:rPr>
                <w:rFonts w:cs="Arial"/>
                <w:color w:val="000000"/>
                <w:sz w:val="16"/>
                <w:szCs w:val="16"/>
              </w:rPr>
            </w:pPr>
            <w:r>
              <w:rPr>
                <w:rFonts w:cs="Arial"/>
                <w:color w:val="000000"/>
                <w:sz w:val="16"/>
                <w:szCs w:val="16"/>
              </w:rPr>
              <w:t>36.22</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069CBEAA" w14:textId="000CCF28" w:rsidR="00B846B8" w:rsidRPr="00ED1A48" w:rsidRDefault="00C62157" w:rsidP="00B846B8">
            <w:pPr>
              <w:jc w:val="center"/>
              <w:rPr>
                <w:rFonts w:cs="Arial"/>
                <w:color w:val="000000"/>
                <w:sz w:val="16"/>
                <w:szCs w:val="16"/>
              </w:rPr>
            </w:pPr>
            <w:r>
              <w:rPr>
                <w:rFonts w:cs="Arial"/>
                <w:color w:val="000000"/>
                <w:sz w:val="16"/>
                <w:szCs w:val="16"/>
              </w:rPr>
              <w:t>58,53</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464B437E" w14:textId="694375B2" w:rsidR="00B846B8" w:rsidRPr="00ED1A48" w:rsidRDefault="00C62157" w:rsidP="00B846B8">
            <w:pPr>
              <w:jc w:val="center"/>
              <w:rPr>
                <w:rFonts w:cs="Arial"/>
                <w:color w:val="000000"/>
                <w:sz w:val="16"/>
                <w:szCs w:val="16"/>
              </w:rPr>
            </w:pPr>
            <w:r>
              <w:rPr>
                <w:rFonts w:cs="Arial"/>
                <w:color w:val="000000"/>
                <w:sz w:val="16"/>
                <w:szCs w:val="16"/>
              </w:rPr>
              <w:t>55,06</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50691A68" w14:textId="63DBAE57" w:rsidR="00B846B8" w:rsidRPr="00ED1A48" w:rsidRDefault="00C62157" w:rsidP="00B846B8">
            <w:pPr>
              <w:jc w:val="center"/>
              <w:rPr>
                <w:rFonts w:cs="Arial"/>
                <w:color w:val="000000"/>
                <w:sz w:val="16"/>
                <w:szCs w:val="16"/>
              </w:rPr>
            </w:pPr>
            <w:r>
              <w:rPr>
                <w:rFonts w:cs="Arial"/>
                <w:color w:val="000000"/>
                <w:sz w:val="16"/>
                <w:szCs w:val="16"/>
              </w:rPr>
              <w:t>46,14</w:t>
            </w:r>
            <w:r w:rsidR="00B846B8">
              <w:rPr>
                <w:rFonts w:cs="Arial"/>
                <w:color w:val="000000"/>
                <w:sz w:val="16"/>
                <w:szCs w:val="16"/>
              </w:rPr>
              <w:t>%</w:t>
            </w:r>
          </w:p>
        </w:tc>
      </w:tr>
      <w:tr w:rsidR="00B846B8" w:rsidRPr="00ED1A48" w14:paraId="148AC9CC"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BD017C6" w14:textId="77777777" w:rsidR="00B846B8" w:rsidRPr="00ED1A48" w:rsidRDefault="00B846B8" w:rsidP="00B846B8">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2CD5D5" w14:textId="77777777" w:rsidR="00B846B8" w:rsidRPr="00ED1A48" w:rsidRDefault="00B846B8" w:rsidP="00B846B8">
            <w:pPr>
              <w:jc w:val="center"/>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18140A1F" w14:textId="6A97FD24" w:rsidR="00B846B8" w:rsidRPr="00ED1A48" w:rsidRDefault="00C62157" w:rsidP="00B846B8">
            <w:pPr>
              <w:jc w:val="center"/>
              <w:rPr>
                <w:rFonts w:cs="Arial"/>
                <w:color w:val="000000"/>
                <w:sz w:val="16"/>
                <w:szCs w:val="16"/>
              </w:rPr>
            </w:pPr>
            <w:r>
              <w:rPr>
                <w:rFonts w:cs="Arial"/>
                <w:color w:val="000000"/>
                <w:sz w:val="16"/>
                <w:szCs w:val="16"/>
              </w:rPr>
              <w:t>37,06</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D51483" w14:textId="5E70A1CC" w:rsidR="00B846B8" w:rsidRPr="00ED1A48" w:rsidRDefault="00B846B8" w:rsidP="00C62157">
            <w:pPr>
              <w:jc w:val="center"/>
              <w:rPr>
                <w:rFonts w:cs="Arial"/>
                <w:color w:val="000000"/>
                <w:sz w:val="16"/>
                <w:szCs w:val="16"/>
              </w:rPr>
            </w:pPr>
            <w:r>
              <w:rPr>
                <w:rFonts w:cs="Arial"/>
                <w:color w:val="000000"/>
                <w:sz w:val="16"/>
                <w:szCs w:val="16"/>
              </w:rPr>
              <w:t>78,51%</w:t>
            </w:r>
          </w:p>
        </w:tc>
        <w:tc>
          <w:tcPr>
            <w:tcW w:w="1842" w:type="dxa"/>
            <w:tcBorders>
              <w:top w:val="single" w:sz="4" w:space="0" w:color="auto"/>
              <w:left w:val="single" w:sz="4" w:space="0" w:color="auto"/>
              <w:bottom w:val="single" w:sz="4" w:space="0" w:color="auto"/>
              <w:right w:val="single" w:sz="4" w:space="0" w:color="auto"/>
            </w:tcBorders>
            <w:vAlign w:val="center"/>
          </w:tcPr>
          <w:p w14:paraId="3080C9D8" w14:textId="24DC60CE" w:rsidR="00B846B8" w:rsidRPr="00ED1A48" w:rsidRDefault="00B846B8" w:rsidP="00B846B8">
            <w:pPr>
              <w:jc w:val="center"/>
              <w:rPr>
                <w:rFonts w:cs="Arial"/>
                <w:color w:val="000000"/>
                <w:sz w:val="16"/>
                <w:szCs w:val="16"/>
              </w:rPr>
            </w:pPr>
            <w:r>
              <w:rPr>
                <w:rFonts w:cs="Arial"/>
                <w:color w:val="000000"/>
                <w:sz w:val="16"/>
                <w:szCs w:val="16"/>
              </w:rPr>
              <w:t>3</w:t>
            </w:r>
            <w:r w:rsidR="00C62157">
              <w:rPr>
                <w:rFonts w:cs="Arial"/>
                <w:color w:val="000000"/>
                <w:sz w:val="16"/>
                <w:szCs w:val="16"/>
              </w:rPr>
              <w:t>0,34</w:t>
            </w:r>
            <w:r>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57CC3EA8" w14:textId="32BB9822" w:rsidR="00B846B8" w:rsidRPr="00ED1A48" w:rsidRDefault="00C62157" w:rsidP="00B846B8">
            <w:pPr>
              <w:jc w:val="center"/>
              <w:rPr>
                <w:rFonts w:cs="Arial"/>
                <w:color w:val="000000"/>
                <w:sz w:val="16"/>
                <w:szCs w:val="16"/>
              </w:rPr>
            </w:pPr>
            <w:r>
              <w:rPr>
                <w:rFonts w:cs="Arial"/>
                <w:color w:val="000000"/>
                <w:sz w:val="16"/>
                <w:szCs w:val="16"/>
              </w:rPr>
              <w:t>27,76</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518C8F0B" w14:textId="00EAC3A4" w:rsidR="00B846B8" w:rsidRPr="00ED1A48" w:rsidRDefault="00C62157" w:rsidP="00B846B8">
            <w:pPr>
              <w:jc w:val="center"/>
              <w:rPr>
                <w:rFonts w:cs="Arial"/>
                <w:color w:val="000000"/>
                <w:sz w:val="16"/>
                <w:szCs w:val="16"/>
              </w:rPr>
            </w:pPr>
            <w:r>
              <w:rPr>
                <w:rFonts w:cs="Arial"/>
                <w:color w:val="000000"/>
                <w:sz w:val="16"/>
                <w:szCs w:val="16"/>
              </w:rPr>
              <w:t>20,74</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185874F0" w14:textId="1EA5D464" w:rsidR="00B846B8" w:rsidRPr="00ED1A48" w:rsidRDefault="00B846B8" w:rsidP="00B846B8">
            <w:pPr>
              <w:jc w:val="center"/>
              <w:rPr>
                <w:rFonts w:cs="Arial"/>
                <w:color w:val="000000"/>
                <w:sz w:val="16"/>
                <w:szCs w:val="16"/>
              </w:rPr>
            </w:pPr>
            <w:r>
              <w:rPr>
                <w:rFonts w:cs="Arial"/>
                <w:color w:val="000000"/>
                <w:sz w:val="16"/>
                <w:szCs w:val="16"/>
              </w:rPr>
              <w:t>3</w:t>
            </w:r>
            <w:r w:rsidR="00C62157">
              <w:rPr>
                <w:rFonts w:cs="Arial"/>
                <w:color w:val="000000"/>
                <w:sz w:val="16"/>
                <w:szCs w:val="16"/>
              </w:rPr>
              <w:t>3,04</w:t>
            </w:r>
            <w:r>
              <w:rPr>
                <w:rFonts w:cs="Arial"/>
                <w:color w:val="000000"/>
                <w:sz w:val="16"/>
                <w:szCs w:val="16"/>
              </w:rPr>
              <w:t>%</w:t>
            </w:r>
          </w:p>
        </w:tc>
      </w:tr>
      <w:tr w:rsidR="00B846B8" w:rsidRPr="00ED1A48" w14:paraId="08FF85B1"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B6C49D6" w14:textId="77777777" w:rsidR="00B846B8" w:rsidRPr="00ED1A48" w:rsidRDefault="00B846B8" w:rsidP="00B846B8">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596F74" w14:textId="77777777" w:rsidR="00B846B8" w:rsidRPr="00ED1A48" w:rsidRDefault="00B846B8" w:rsidP="00B846B8">
            <w:pPr>
              <w:jc w:val="center"/>
              <w:rPr>
                <w:rFonts w:cs="Arial"/>
                <w:b/>
                <w:color w:val="000000"/>
                <w:sz w:val="16"/>
                <w:szCs w:val="16"/>
              </w:rPr>
            </w:pPr>
            <w:r w:rsidRPr="007B7671">
              <w:rPr>
                <w:b/>
                <w:sz w:val="16"/>
                <w:szCs w:val="16"/>
              </w:rPr>
              <w:t>Określenie etykiety związanej z aspektami środowiskowymi</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615B7BE" w14:textId="577FC836" w:rsidR="00B846B8" w:rsidRPr="00ED1A48" w:rsidRDefault="00C62157" w:rsidP="00B846B8">
            <w:pPr>
              <w:jc w:val="center"/>
              <w:rPr>
                <w:rFonts w:cs="Arial"/>
                <w:color w:val="000000"/>
                <w:sz w:val="16"/>
                <w:szCs w:val="16"/>
              </w:rPr>
            </w:pPr>
            <w:r>
              <w:rPr>
                <w:rFonts w:cs="Arial"/>
                <w:color w:val="000000"/>
                <w:sz w:val="16"/>
                <w:szCs w:val="16"/>
              </w:rPr>
              <w:t>15,68</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36BE94" w14:textId="55CC8E03" w:rsidR="00B846B8" w:rsidRPr="00ED1A48" w:rsidRDefault="00C62157" w:rsidP="00B846B8">
            <w:pPr>
              <w:jc w:val="center"/>
              <w:rPr>
                <w:rFonts w:cs="Arial"/>
                <w:color w:val="000000"/>
                <w:sz w:val="16"/>
                <w:szCs w:val="16"/>
              </w:rPr>
            </w:pPr>
            <w:r>
              <w:rPr>
                <w:rFonts w:cs="Arial"/>
                <w:color w:val="000000"/>
                <w:sz w:val="16"/>
                <w:szCs w:val="16"/>
              </w:rPr>
              <w:t>1,70</w:t>
            </w:r>
            <w:r w:rsidR="00B846B8">
              <w:rPr>
                <w:rFonts w:cs="Arial"/>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13A0358" w14:textId="0380E13B" w:rsidR="00B846B8" w:rsidRPr="00ED1A48" w:rsidRDefault="00C62157" w:rsidP="00B846B8">
            <w:pPr>
              <w:jc w:val="center"/>
              <w:rPr>
                <w:rFonts w:cs="Arial"/>
                <w:color w:val="000000"/>
                <w:sz w:val="16"/>
                <w:szCs w:val="16"/>
              </w:rPr>
            </w:pPr>
            <w:r>
              <w:rPr>
                <w:rFonts w:cs="Arial"/>
                <w:color w:val="000000"/>
                <w:sz w:val="16"/>
                <w:szCs w:val="16"/>
              </w:rPr>
              <w:t>9,18</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9EF6B2" w14:textId="3461DEA1" w:rsidR="00B846B8" w:rsidRPr="00ED1A48" w:rsidRDefault="00C62157" w:rsidP="00B846B8">
            <w:pPr>
              <w:jc w:val="center"/>
              <w:rPr>
                <w:rFonts w:cs="Arial"/>
                <w:color w:val="000000"/>
                <w:sz w:val="16"/>
                <w:szCs w:val="16"/>
              </w:rPr>
            </w:pPr>
            <w:r>
              <w:rPr>
                <w:rFonts w:cs="Arial"/>
                <w:color w:val="000000"/>
                <w:sz w:val="16"/>
                <w:szCs w:val="16"/>
              </w:rPr>
              <w:t>5,45</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626AFF8D" w14:textId="3F5934DE" w:rsidR="00B846B8" w:rsidRPr="00ED1A48" w:rsidRDefault="00C62157" w:rsidP="00B846B8">
            <w:pPr>
              <w:jc w:val="center"/>
              <w:rPr>
                <w:rFonts w:cs="Arial"/>
                <w:color w:val="000000"/>
                <w:sz w:val="16"/>
                <w:szCs w:val="16"/>
              </w:rPr>
            </w:pPr>
            <w:r>
              <w:rPr>
                <w:rFonts w:cs="Arial"/>
                <w:color w:val="000000"/>
                <w:sz w:val="16"/>
                <w:szCs w:val="16"/>
              </w:rPr>
              <w:t>5,48</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3DDAABD9" w14:textId="01E30010" w:rsidR="00B846B8" w:rsidRPr="00ED1A48" w:rsidRDefault="00C62157" w:rsidP="00B846B8">
            <w:pPr>
              <w:jc w:val="center"/>
              <w:rPr>
                <w:rFonts w:cs="Arial"/>
                <w:color w:val="000000"/>
                <w:sz w:val="16"/>
                <w:szCs w:val="16"/>
              </w:rPr>
            </w:pPr>
            <w:r>
              <w:rPr>
                <w:rFonts w:cs="Arial"/>
                <w:color w:val="000000"/>
                <w:sz w:val="16"/>
                <w:szCs w:val="16"/>
              </w:rPr>
              <w:t>2,71</w:t>
            </w:r>
            <w:r w:rsidR="00B846B8">
              <w:rPr>
                <w:rFonts w:cs="Arial"/>
                <w:color w:val="000000"/>
                <w:sz w:val="16"/>
                <w:szCs w:val="16"/>
              </w:rPr>
              <w:t>%</w:t>
            </w:r>
          </w:p>
        </w:tc>
      </w:tr>
      <w:tr w:rsidR="00B846B8" w:rsidRPr="00ED1A48" w14:paraId="35C22867"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B89351" w14:textId="77777777" w:rsidR="00B846B8" w:rsidRPr="00ED1A48" w:rsidRDefault="00B846B8" w:rsidP="00B846B8">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CF87739" w14:textId="77777777" w:rsidR="00B846B8" w:rsidRPr="00ED1A48" w:rsidRDefault="00B846B8" w:rsidP="00B846B8">
            <w:pPr>
              <w:jc w:val="center"/>
              <w:rPr>
                <w:rFonts w:cs="Arial"/>
                <w:b/>
                <w:color w:val="000000"/>
                <w:sz w:val="16"/>
                <w:szCs w:val="16"/>
              </w:rPr>
            </w:pPr>
            <w:r w:rsidRPr="009B49EA">
              <w:rPr>
                <w:b/>
                <w:sz w:val="16"/>
                <w:szCs w:val="16"/>
              </w:rPr>
              <w:t>Określenie wymogu spełniania wymagań odpowiednich systemów lub norm zarządzania środowiskowego</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230295A8" w14:textId="5046DC67" w:rsidR="00B846B8" w:rsidRPr="00ED1A48" w:rsidRDefault="00C62157" w:rsidP="00B846B8">
            <w:pPr>
              <w:jc w:val="center"/>
              <w:rPr>
                <w:rFonts w:cs="Arial"/>
                <w:color w:val="000000"/>
                <w:sz w:val="16"/>
                <w:szCs w:val="16"/>
              </w:rPr>
            </w:pPr>
            <w:r>
              <w:rPr>
                <w:rFonts w:cs="Arial"/>
                <w:color w:val="000000"/>
                <w:sz w:val="16"/>
                <w:szCs w:val="16"/>
              </w:rPr>
              <w:t>6,41</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34209A" w14:textId="75119A7F" w:rsidR="00B846B8" w:rsidRPr="00ED1A48" w:rsidRDefault="00C62157" w:rsidP="00B846B8">
            <w:pPr>
              <w:jc w:val="center"/>
              <w:rPr>
                <w:rFonts w:cs="Arial"/>
                <w:color w:val="000000"/>
                <w:sz w:val="16"/>
                <w:szCs w:val="16"/>
              </w:rPr>
            </w:pPr>
            <w:r>
              <w:rPr>
                <w:rFonts w:cs="Arial"/>
                <w:color w:val="000000"/>
                <w:sz w:val="16"/>
                <w:szCs w:val="16"/>
              </w:rPr>
              <w:t>5,06</w:t>
            </w:r>
            <w:r w:rsidR="00B846B8">
              <w:rPr>
                <w:rFonts w:cs="Arial"/>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vAlign w:val="center"/>
          </w:tcPr>
          <w:p w14:paraId="2BD3943B" w14:textId="55D55AD6" w:rsidR="00B846B8" w:rsidRPr="00ED1A48" w:rsidRDefault="00C62157" w:rsidP="00B846B8">
            <w:pPr>
              <w:jc w:val="center"/>
              <w:rPr>
                <w:rFonts w:cs="Arial"/>
                <w:color w:val="000000"/>
                <w:sz w:val="16"/>
                <w:szCs w:val="16"/>
              </w:rPr>
            </w:pPr>
            <w:r>
              <w:rPr>
                <w:rFonts w:cs="Arial"/>
                <w:color w:val="000000"/>
                <w:sz w:val="16"/>
                <w:szCs w:val="16"/>
              </w:rPr>
              <w:t>11,51</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6EEA5E91" w14:textId="7007A081" w:rsidR="00B846B8" w:rsidRPr="00ED1A48" w:rsidRDefault="00C62157" w:rsidP="00B846B8">
            <w:pPr>
              <w:jc w:val="center"/>
              <w:rPr>
                <w:rFonts w:cs="Arial"/>
                <w:color w:val="000000"/>
                <w:sz w:val="16"/>
                <w:szCs w:val="16"/>
              </w:rPr>
            </w:pPr>
            <w:r>
              <w:rPr>
                <w:rFonts w:cs="Arial"/>
                <w:color w:val="000000"/>
                <w:sz w:val="16"/>
                <w:szCs w:val="16"/>
              </w:rPr>
              <w:t>8,19</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303AD74A" w14:textId="79107714" w:rsidR="00B846B8" w:rsidRPr="00ED1A48" w:rsidRDefault="00C62157" w:rsidP="00B846B8">
            <w:pPr>
              <w:jc w:val="center"/>
              <w:rPr>
                <w:rFonts w:cs="Arial"/>
                <w:color w:val="000000"/>
                <w:sz w:val="16"/>
                <w:szCs w:val="16"/>
              </w:rPr>
            </w:pPr>
            <w:r>
              <w:rPr>
                <w:rFonts w:cs="Arial"/>
                <w:color w:val="000000"/>
                <w:sz w:val="16"/>
                <w:szCs w:val="16"/>
              </w:rPr>
              <w:t>5,57</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5C61FA0A" w14:textId="584FA63A" w:rsidR="00B846B8" w:rsidRPr="00ED1A48" w:rsidRDefault="00C62157" w:rsidP="00B846B8">
            <w:pPr>
              <w:jc w:val="center"/>
              <w:rPr>
                <w:rFonts w:cs="Arial"/>
                <w:color w:val="000000"/>
                <w:sz w:val="16"/>
                <w:szCs w:val="16"/>
              </w:rPr>
            </w:pPr>
            <w:r>
              <w:rPr>
                <w:rFonts w:cs="Arial"/>
                <w:color w:val="000000"/>
                <w:sz w:val="16"/>
                <w:szCs w:val="16"/>
              </w:rPr>
              <w:t>7,53</w:t>
            </w:r>
            <w:r w:rsidR="00B846B8">
              <w:rPr>
                <w:rFonts w:cs="Arial"/>
                <w:color w:val="000000"/>
                <w:sz w:val="16"/>
                <w:szCs w:val="16"/>
              </w:rPr>
              <w:t>%</w:t>
            </w:r>
          </w:p>
        </w:tc>
      </w:tr>
      <w:tr w:rsidR="00B846B8" w:rsidRPr="00ED1A48" w14:paraId="637F8723" w14:textId="77777777" w:rsidTr="00100D6C">
        <w:trPr>
          <w:jc w:val="center"/>
        </w:trPr>
        <w:tc>
          <w:tcPr>
            <w:tcW w:w="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94B7EE" w14:textId="77777777" w:rsidR="00B846B8" w:rsidRPr="00ED1A48" w:rsidRDefault="00B846B8" w:rsidP="00B846B8">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24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610E5D" w14:textId="77777777" w:rsidR="00B846B8" w:rsidRPr="00ED1A48" w:rsidRDefault="00B846B8" w:rsidP="00B846B8">
            <w:pPr>
              <w:jc w:val="center"/>
              <w:rPr>
                <w:rFonts w:cs="Arial"/>
                <w:b/>
                <w:color w:val="000000"/>
                <w:sz w:val="16"/>
                <w:szCs w:val="16"/>
              </w:rPr>
            </w:pPr>
            <w:r w:rsidRPr="009B49EA">
              <w:rPr>
                <w:b/>
                <w:sz w:val="16"/>
                <w:szCs w:val="16"/>
              </w:rPr>
              <w:t>Zastosowanie kryterium kosztu z wykorzystaniem rachunku kosztów cyklu życia</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14:paraId="0E70C4A7" w14:textId="1D1B8D4D" w:rsidR="00B846B8" w:rsidRPr="00ED1A48" w:rsidRDefault="00C62157" w:rsidP="00B846B8">
            <w:pPr>
              <w:jc w:val="center"/>
              <w:rPr>
                <w:rFonts w:cs="Arial"/>
                <w:color w:val="000000"/>
                <w:sz w:val="16"/>
                <w:szCs w:val="16"/>
              </w:rPr>
            </w:pPr>
            <w:r>
              <w:rPr>
                <w:rFonts w:cs="Arial"/>
                <w:color w:val="000000"/>
                <w:sz w:val="16"/>
                <w:szCs w:val="16"/>
              </w:rPr>
              <w:t>1,50</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34FD5B" w14:textId="26BF7F09" w:rsidR="00B846B8" w:rsidRPr="00ED1A48" w:rsidRDefault="00C62157" w:rsidP="00B846B8">
            <w:pPr>
              <w:jc w:val="center"/>
              <w:rPr>
                <w:rFonts w:cs="Arial"/>
                <w:color w:val="000000"/>
                <w:sz w:val="16"/>
                <w:szCs w:val="16"/>
              </w:rPr>
            </w:pPr>
            <w:r>
              <w:rPr>
                <w:rFonts w:cs="Arial"/>
                <w:color w:val="000000"/>
                <w:sz w:val="16"/>
                <w:szCs w:val="16"/>
              </w:rPr>
              <w:t>0,76</w:t>
            </w:r>
            <w:r w:rsidR="00B846B8">
              <w:rPr>
                <w:rFonts w:cs="Arial"/>
                <w:color w:val="000000"/>
                <w:sz w:val="16"/>
                <w:szCs w:val="16"/>
              </w:rPr>
              <w:t>%</w:t>
            </w:r>
          </w:p>
        </w:tc>
        <w:tc>
          <w:tcPr>
            <w:tcW w:w="1842" w:type="dxa"/>
            <w:tcBorders>
              <w:top w:val="single" w:sz="4" w:space="0" w:color="auto"/>
              <w:left w:val="single" w:sz="4" w:space="0" w:color="auto"/>
              <w:bottom w:val="single" w:sz="4" w:space="0" w:color="auto"/>
              <w:right w:val="single" w:sz="4" w:space="0" w:color="auto"/>
            </w:tcBorders>
            <w:vAlign w:val="center"/>
          </w:tcPr>
          <w:p w14:paraId="66E858DC" w14:textId="510DEAC4" w:rsidR="00B846B8" w:rsidRPr="00ED1A48" w:rsidRDefault="00C62157" w:rsidP="00B846B8">
            <w:pPr>
              <w:jc w:val="center"/>
              <w:rPr>
                <w:rFonts w:cs="Arial"/>
                <w:color w:val="000000"/>
                <w:sz w:val="16"/>
                <w:szCs w:val="16"/>
              </w:rPr>
            </w:pPr>
            <w:r>
              <w:rPr>
                <w:rFonts w:cs="Arial"/>
                <w:color w:val="000000"/>
                <w:sz w:val="16"/>
                <w:szCs w:val="16"/>
              </w:rPr>
              <w:t>1,65</w:t>
            </w:r>
            <w:r w:rsidR="00B846B8">
              <w:rPr>
                <w:rFonts w:cs="Arial"/>
                <w:color w:val="000000"/>
                <w:sz w:val="16"/>
                <w:szCs w:val="16"/>
              </w:rPr>
              <w:t>%</w:t>
            </w:r>
          </w:p>
        </w:tc>
        <w:tc>
          <w:tcPr>
            <w:tcW w:w="1843" w:type="dxa"/>
            <w:tcBorders>
              <w:top w:val="single" w:sz="4" w:space="0" w:color="auto"/>
              <w:left w:val="single" w:sz="4" w:space="0" w:color="auto"/>
              <w:bottom w:val="single" w:sz="4" w:space="0" w:color="auto"/>
              <w:right w:val="single" w:sz="4" w:space="0" w:color="auto"/>
            </w:tcBorders>
            <w:vAlign w:val="center"/>
          </w:tcPr>
          <w:p w14:paraId="7AA5D0BA" w14:textId="50C9B88E" w:rsidR="00B846B8" w:rsidRPr="00ED1A48" w:rsidRDefault="00C62157" w:rsidP="00B846B8">
            <w:pPr>
              <w:jc w:val="center"/>
              <w:rPr>
                <w:rFonts w:cs="Arial"/>
                <w:color w:val="000000"/>
                <w:sz w:val="16"/>
                <w:szCs w:val="16"/>
              </w:rPr>
            </w:pPr>
            <w:r>
              <w:rPr>
                <w:rFonts w:cs="Arial"/>
                <w:color w:val="000000"/>
                <w:sz w:val="16"/>
                <w:szCs w:val="16"/>
              </w:rPr>
              <w:t>1,01</w:t>
            </w:r>
            <w:r w:rsidR="00B846B8">
              <w:rPr>
                <w:rFonts w:cs="Arial"/>
                <w:color w:val="000000"/>
                <w:sz w:val="16"/>
                <w:szCs w:val="16"/>
              </w:rPr>
              <w:t>%</w:t>
            </w:r>
          </w:p>
        </w:tc>
        <w:tc>
          <w:tcPr>
            <w:tcW w:w="1868" w:type="dxa"/>
            <w:tcBorders>
              <w:top w:val="single" w:sz="4" w:space="0" w:color="auto"/>
              <w:left w:val="single" w:sz="4" w:space="0" w:color="auto"/>
              <w:bottom w:val="single" w:sz="4" w:space="0" w:color="auto"/>
              <w:right w:val="single" w:sz="4" w:space="0" w:color="auto"/>
            </w:tcBorders>
            <w:vAlign w:val="center"/>
          </w:tcPr>
          <w:p w14:paraId="4645637C" w14:textId="2291B784" w:rsidR="00B846B8" w:rsidRPr="00ED1A48" w:rsidRDefault="00C62157" w:rsidP="00B846B8">
            <w:pPr>
              <w:jc w:val="center"/>
              <w:rPr>
                <w:rFonts w:cs="Arial"/>
                <w:color w:val="000000"/>
                <w:sz w:val="16"/>
                <w:szCs w:val="16"/>
              </w:rPr>
            </w:pPr>
            <w:r>
              <w:rPr>
                <w:rFonts w:cs="Arial"/>
                <w:color w:val="000000"/>
                <w:sz w:val="16"/>
                <w:szCs w:val="16"/>
              </w:rPr>
              <w:t>0,87</w:t>
            </w:r>
            <w:r w:rsidR="00B846B8">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6F0665E2" w14:textId="5BE406EA" w:rsidR="00B846B8" w:rsidRPr="00ED1A48" w:rsidRDefault="00C62157" w:rsidP="00B846B8">
            <w:pPr>
              <w:jc w:val="center"/>
              <w:rPr>
                <w:rFonts w:cs="Arial"/>
                <w:color w:val="000000"/>
                <w:sz w:val="16"/>
                <w:szCs w:val="16"/>
              </w:rPr>
            </w:pPr>
            <w:r>
              <w:rPr>
                <w:rFonts w:cs="Arial"/>
                <w:color w:val="000000"/>
                <w:sz w:val="16"/>
                <w:szCs w:val="16"/>
              </w:rPr>
              <w:t>0,27</w:t>
            </w:r>
            <w:r w:rsidR="00B846B8">
              <w:rPr>
                <w:rFonts w:cs="Arial"/>
                <w:color w:val="000000"/>
                <w:sz w:val="16"/>
                <w:szCs w:val="16"/>
              </w:rPr>
              <w:t>%</w:t>
            </w:r>
          </w:p>
        </w:tc>
      </w:tr>
    </w:tbl>
    <w:p w14:paraId="64A21CAE" w14:textId="57A17544" w:rsidR="00DB75BE" w:rsidRDefault="00DB75BE" w:rsidP="00D2318D">
      <w:pPr>
        <w:rPr>
          <w:szCs w:val="22"/>
        </w:rPr>
      </w:pPr>
    </w:p>
    <w:p w14:paraId="681CA4DE" w14:textId="3F0EB97F" w:rsidR="00DB75BE" w:rsidRDefault="00DB75BE" w:rsidP="00D2318D">
      <w:pPr>
        <w:rPr>
          <w:szCs w:val="22"/>
        </w:rPr>
      </w:pPr>
      <w:r w:rsidRPr="00517480">
        <w:rPr>
          <w:b/>
          <w:sz w:val="16"/>
          <w:szCs w:val="16"/>
          <w:u w:val="single"/>
        </w:rPr>
        <w:t>UWAGA</w:t>
      </w:r>
      <w:r w:rsidRPr="004C0201">
        <w:rPr>
          <w:sz w:val="16"/>
          <w:szCs w:val="16"/>
        </w:rPr>
        <w:t>: Suma udziałów zamówień z zastosowaniem poszczególnych aspektów środowiskowych w ogólnej liczbie i wartości zamówień zielonych jest większa niż łączna liczba i wartość zamówień środowiskowych ze względu na przypadki zastosowania więcej niż jednego aspektu środowiskowego w jednym zamówieniu</w:t>
      </w:r>
    </w:p>
    <w:p w14:paraId="33EA787D" w14:textId="17C9AB85" w:rsidR="00DB75BE" w:rsidRDefault="00DB75BE" w:rsidP="00D2318D">
      <w:pPr>
        <w:rPr>
          <w:szCs w:val="22"/>
        </w:rPr>
      </w:pPr>
    </w:p>
    <w:p w14:paraId="2EC5C763" w14:textId="63E5C0BA" w:rsidR="00DB75BE" w:rsidRDefault="00DB75BE" w:rsidP="00D2318D">
      <w:pPr>
        <w:rPr>
          <w:szCs w:val="22"/>
        </w:rPr>
      </w:pPr>
    </w:p>
    <w:p w14:paraId="5BE02CAD" w14:textId="77777777" w:rsidR="00E34FFA" w:rsidRDefault="00E34FFA" w:rsidP="00D2318D">
      <w:pPr>
        <w:rPr>
          <w:szCs w:val="22"/>
        </w:rPr>
        <w:sectPr w:rsidR="00E34FFA"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E34FFA" w:rsidRPr="00A855CF" w14:paraId="05A4AB1C" w14:textId="77777777" w:rsidTr="00100D6C">
        <w:tc>
          <w:tcPr>
            <w:tcW w:w="14123" w:type="dxa"/>
            <w:shd w:val="clear" w:color="auto" w:fill="auto"/>
          </w:tcPr>
          <w:p w14:paraId="6CC7FB0F" w14:textId="45E57559" w:rsidR="00E34FFA" w:rsidRPr="00A855CF" w:rsidRDefault="00E34FFA" w:rsidP="00E34FFA">
            <w:pPr>
              <w:spacing w:before="120" w:after="120"/>
              <w:jc w:val="right"/>
              <w:rPr>
                <w:b/>
                <w:color w:val="2E74B5"/>
                <w:sz w:val="24"/>
              </w:rPr>
            </w:pPr>
            <w:r w:rsidRPr="00A855CF">
              <w:rPr>
                <w:rFonts w:cs="Arial"/>
                <w:szCs w:val="22"/>
              </w:rPr>
              <w:br w:type="page"/>
            </w:r>
            <w:r w:rsidRPr="00A855CF">
              <w:rPr>
                <w:rFonts w:cs="Arial"/>
                <w:szCs w:val="22"/>
              </w:rPr>
              <w:br w:type="page"/>
            </w:r>
            <w:r w:rsidRPr="00A855CF">
              <w:rPr>
                <w:rFonts w:cs="Arial"/>
                <w:sz w:val="20"/>
                <w:szCs w:val="20"/>
              </w:rPr>
              <w:br w:type="page"/>
            </w:r>
            <w:bookmarkStart w:id="287" w:name="Zał_7"/>
            <w:bookmarkEnd w:id="287"/>
            <w:r w:rsidRPr="00A855CF">
              <w:rPr>
                <w:b/>
                <w:color w:val="2E74B5"/>
                <w:sz w:val="24"/>
              </w:rPr>
              <w:t xml:space="preserve">Załącznik nr </w:t>
            </w:r>
            <w:r>
              <w:rPr>
                <w:b/>
                <w:color w:val="2E74B5"/>
                <w:sz w:val="24"/>
              </w:rPr>
              <w:t>7</w:t>
            </w:r>
          </w:p>
        </w:tc>
        <w:tc>
          <w:tcPr>
            <w:tcW w:w="236" w:type="dxa"/>
            <w:shd w:val="clear" w:color="auto" w:fill="2E74B5"/>
          </w:tcPr>
          <w:p w14:paraId="4EF77086" w14:textId="77777777" w:rsidR="00E34FFA" w:rsidRPr="00A855CF" w:rsidRDefault="00E34FFA" w:rsidP="00100D6C">
            <w:pPr>
              <w:spacing w:before="120" w:after="120"/>
              <w:jc w:val="right"/>
              <w:rPr>
                <w:b/>
                <w:sz w:val="24"/>
              </w:rPr>
            </w:pPr>
          </w:p>
        </w:tc>
      </w:tr>
    </w:tbl>
    <w:p w14:paraId="001F97C2" w14:textId="6F526412" w:rsidR="00E34FFA" w:rsidRPr="00211C36" w:rsidRDefault="00E34FFA" w:rsidP="00D2318D">
      <w:pPr>
        <w:rPr>
          <w:sz w:val="16"/>
          <w:szCs w:val="16"/>
        </w:rPr>
      </w:pPr>
    </w:p>
    <w:p w14:paraId="46D5F3C9" w14:textId="58640AEC" w:rsidR="00E34FFA" w:rsidRPr="00E34FFA" w:rsidRDefault="00E34FFA" w:rsidP="00E34FFA">
      <w:pPr>
        <w:jc w:val="center"/>
        <w:rPr>
          <w:b/>
          <w:szCs w:val="22"/>
        </w:rPr>
      </w:pPr>
      <w:r w:rsidRPr="00E34FFA">
        <w:rPr>
          <w:b/>
          <w:szCs w:val="22"/>
        </w:rPr>
        <w:t>Dane dotyczące zamówień, w których odwołano się do odpowiednich instrumentów innowacyjnych</w:t>
      </w:r>
    </w:p>
    <w:p w14:paraId="3068A2B2" w14:textId="77777777" w:rsidR="00E34FFA" w:rsidRPr="00FF0AC2" w:rsidRDefault="00E34FFA" w:rsidP="00D2318D">
      <w:pPr>
        <w:rPr>
          <w:sz w:val="16"/>
          <w:szCs w:val="16"/>
        </w:rPr>
      </w:pPr>
    </w:p>
    <w:p w14:paraId="4B969D8A" w14:textId="34F25033" w:rsidR="00E34FFA" w:rsidRPr="00227818" w:rsidRDefault="00E34FFA" w:rsidP="000F6893">
      <w:pPr>
        <w:spacing w:after="60"/>
        <w:jc w:val="center"/>
        <w:rPr>
          <w:b/>
        </w:rPr>
      </w:pPr>
      <w:r w:rsidRPr="00227818">
        <w:rPr>
          <w:b/>
        </w:rPr>
        <w:t>Liczba i wartość zamówień publicznych z danym aspektem innowacyjnym w poszczególnych latach</w:t>
      </w: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FF0AC2" w:rsidRPr="00ED1A48" w14:paraId="7569F146" w14:textId="77777777" w:rsidTr="00B97FE8">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2029BFE5" w14:textId="77777777" w:rsidR="00FF0AC2" w:rsidRPr="00ED1A48" w:rsidRDefault="00FF0AC2" w:rsidP="00FF0AC2">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7CB38808" w14:textId="6AEAFBB4" w:rsidR="00FF0AC2" w:rsidRPr="00ED1A48" w:rsidRDefault="00FF0AC2" w:rsidP="00FF0AC2">
            <w:pPr>
              <w:jc w:val="center"/>
              <w:rPr>
                <w:rFonts w:cs="Arial"/>
                <w:b/>
                <w:bCs/>
                <w:color w:val="000000"/>
                <w:sz w:val="16"/>
                <w:szCs w:val="16"/>
              </w:rPr>
            </w:pPr>
            <w:r w:rsidRPr="00ED1A48">
              <w:rPr>
                <w:rFonts w:cs="Arial"/>
                <w:b/>
                <w:bCs/>
                <w:color w:val="000000"/>
                <w:sz w:val="16"/>
                <w:szCs w:val="16"/>
              </w:rPr>
              <w:t>2020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0E76A4ED" w14:textId="53C72824" w:rsidR="00FF0AC2" w:rsidRPr="00ED1A48" w:rsidRDefault="00FF0AC2" w:rsidP="00FF0AC2">
            <w:pPr>
              <w:jc w:val="center"/>
              <w:rPr>
                <w:rFonts w:cs="Arial"/>
                <w:b/>
                <w:bCs/>
                <w:color w:val="000000"/>
                <w:sz w:val="16"/>
                <w:szCs w:val="16"/>
              </w:rPr>
            </w:pPr>
            <w:r>
              <w:rPr>
                <w:rFonts w:cs="Arial"/>
                <w:b/>
                <w:bCs/>
                <w:color w:val="000000"/>
                <w:sz w:val="16"/>
                <w:szCs w:val="16"/>
              </w:rPr>
              <w:t>2021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78A1E20C" w14:textId="0D3D58A4" w:rsidR="00FF0AC2" w:rsidRPr="00ED1A48" w:rsidRDefault="00FF0AC2" w:rsidP="00FF0AC2">
            <w:pPr>
              <w:jc w:val="center"/>
              <w:rPr>
                <w:rFonts w:cs="Arial"/>
                <w:b/>
                <w:bCs/>
                <w:color w:val="000000"/>
                <w:sz w:val="16"/>
                <w:szCs w:val="16"/>
              </w:rPr>
            </w:pPr>
            <w:r>
              <w:rPr>
                <w:rFonts w:cs="Arial"/>
                <w:b/>
                <w:bCs/>
                <w:color w:val="000000"/>
                <w:sz w:val="16"/>
                <w:szCs w:val="16"/>
              </w:rPr>
              <w:t>2022 r.</w:t>
            </w:r>
          </w:p>
        </w:tc>
      </w:tr>
      <w:tr w:rsidR="00FF0AC2" w:rsidRPr="00ED1A48" w14:paraId="468ED9A5" w14:textId="77777777" w:rsidTr="00B97FE8">
        <w:trPr>
          <w:tblHead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7C5A01A3" w14:textId="77777777" w:rsidR="00FF0AC2" w:rsidRPr="00ED1A48" w:rsidRDefault="00FF0AC2" w:rsidP="00FF0AC2">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23FDCA1F" w14:textId="77777777" w:rsidR="00FF0AC2" w:rsidRPr="00ED1A48" w:rsidRDefault="00FF0AC2" w:rsidP="00FF0AC2">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A3FBD22"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Liczba zamówień z zastosowaniem danego aspektu</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5A47B231"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0B8BF0C6"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12A08FC8"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Wartość zamówień z zastosowaniem danego aspektu</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34B8B9CF"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 xml:space="preserve">Liczba zamówień </w:t>
            </w:r>
            <w:r>
              <w:rPr>
                <w:rFonts w:cs="Arial"/>
                <w:b/>
                <w:bCs/>
                <w:color w:val="000000"/>
                <w:sz w:val="16"/>
                <w:szCs w:val="16"/>
              </w:rPr>
              <w:t>z</w:t>
            </w:r>
            <w:r w:rsidRPr="00ED1A48">
              <w:rPr>
                <w:rFonts w:cs="Arial"/>
                <w:b/>
                <w:bCs/>
                <w:color w:val="000000"/>
                <w:sz w:val="16"/>
                <w:szCs w:val="16"/>
              </w:rPr>
              <w:t xml:space="preserve">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2DBCFEFC"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Wartość zamówień z zastosowaniem danego aspektu</w:t>
            </w:r>
          </w:p>
        </w:tc>
      </w:tr>
      <w:tr w:rsidR="00FF0AC2" w:rsidRPr="00ED1A48" w14:paraId="19DA0192"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1406F72" w14:textId="77777777" w:rsidR="00FF0AC2" w:rsidRPr="00ED1A48" w:rsidRDefault="00FF0AC2" w:rsidP="00FF0AC2">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00066D1" w14:textId="77777777" w:rsidR="00FF0AC2" w:rsidRPr="003749AE" w:rsidRDefault="00FF0AC2" w:rsidP="00FF0AC2">
            <w:pPr>
              <w:jc w:val="center"/>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vAlign w:val="center"/>
          </w:tcPr>
          <w:p w14:paraId="3A754A40" w14:textId="2A6D22FF" w:rsidR="00FF0AC2" w:rsidRPr="005E2C62" w:rsidRDefault="00FF0AC2" w:rsidP="00FF0AC2">
            <w:pPr>
              <w:jc w:val="center"/>
              <w:rPr>
                <w:rFonts w:cs="Arial"/>
                <w:color w:val="000000"/>
                <w:sz w:val="16"/>
                <w:szCs w:val="16"/>
              </w:rPr>
            </w:pPr>
            <w:r w:rsidRPr="005E2C62">
              <w:rPr>
                <w:rFonts w:cs="Arial"/>
                <w:color w:val="000000"/>
                <w:sz w:val="16"/>
                <w:szCs w:val="16"/>
              </w:rPr>
              <w:t>37</w:t>
            </w:r>
          </w:p>
        </w:tc>
        <w:tc>
          <w:tcPr>
            <w:tcW w:w="1843" w:type="dxa"/>
            <w:tcBorders>
              <w:top w:val="single" w:sz="4" w:space="0" w:color="auto"/>
              <w:left w:val="single" w:sz="4" w:space="0" w:color="auto"/>
              <w:bottom w:val="single" w:sz="4" w:space="0" w:color="auto"/>
              <w:right w:val="single" w:sz="4" w:space="0" w:color="auto"/>
            </w:tcBorders>
            <w:vAlign w:val="center"/>
          </w:tcPr>
          <w:p w14:paraId="40AE496C" w14:textId="37E45160" w:rsidR="00FF0AC2" w:rsidRPr="005E2C62" w:rsidRDefault="00FF0AC2" w:rsidP="00FF0AC2">
            <w:pPr>
              <w:jc w:val="center"/>
              <w:rPr>
                <w:rFonts w:cs="Arial"/>
                <w:color w:val="000000"/>
                <w:sz w:val="16"/>
                <w:szCs w:val="16"/>
              </w:rPr>
            </w:pPr>
            <w:r w:rsidRPr="005E2C62">
              <w:rPr>
                <w:rFonts w:cs="Arial"/>
                <w:color w:val="000000"/>
                <w:sz w:val="16"/>
                <w:szCs w:val="16"/>
              </w:rPr>
              <w:t>869 225 416,93 zł</w:t>
            </w:r>
          </w:p>
        </w:tc>
        <w:tc>
          <w:tcPr>
            <w:tcW w:w="1701" w:type="dxa"/>
            <w:tcBorders>
              <w:top w:val="single" w:sz="4" w:space="0" w:color="auto"/>
              <w:left w:val="single" w:sz="4" w:space="0" w:color="auto"/>
              <w:bottom w:val="single" w:sz="4" w:space="0" w:color="auto"/>
              <w:right w:val="single" w:sz="4" w:space="0" w:color="auto"/>
            </w:tcBorders>
            <w:vAlign w:val="center"/>
          </w:tcPr>
          <w:p w14:paraId="79439BB5" w14:textId="4D12A751" w:rsidR="00FF0AC2" w:rsidRPr="005E2C62" w:rsidRDefault="00FF0AC2" w:rsidP="00FF0AC2">
            <w:pPr>
              <w:jc w:val="center"/>
              <w:rPr>
                <w:rFonts w:cs="Arial"/>
                <w:color w:val="000000"/>
                <w:sz w:val="16"/>
                <w:szCs w:val="16"/>
              </w:rPr>
            </w:pPr>
            <w:r w:rsidRPr="005E2C62">
              <w:rPr>
                <w:rFonts w:cs="Arial"/>
                <w:color w:val="000000"/>
                <w:sz w:val="16"/>
                <w:szCs w:val="16"/>
              </w:rPr>
              <w:t>78</w:t>
            </w:r>
          </w:p>
        </w:tc>
        <w:tc>
          <w:tcPr>
            <w:tcW w:w="2126" w:type="dxa"/>
            <w:tcBorders>
              <w:top w:val="single" w:sz="4" w:space="0" w:color="auto"/>
              <w:left w:val="single" w:sz="4" w:space="0" w:color="auto"/>
              <w:bottom w:val="single" w:sz="4" w:space="0" w:color="auto"/>
              <w:right w:val="single" w:sz="4" w:space="0" w:color="auto"/>
            </w:tcBorders>
            <w:vAlign w:val="center"/>
          </w:tcPr>
          <w:p w14:paraId="31B9690A" w14:textId="2EBB5400" w:rsidR="00FF0AC2" w:rsidRPr="00FF0AC2" w:rsidRDefault="00FF0AC2" w:rsidP="00FF0AC2">
            <w:pPr>
              <w:jc w:val="center"/>
              <w:rPr>
                <w:rFonts w:cs="Arial"/>
                <w:sz w:val="16"/>
                <w:szCs w:val="16"/>
              </w:rPr>
            </w:pPr>
            <w:r w:rsidRPr="005E2C62">
              <w:rPr>
                <w:rFonts w:cs="Arial"/>
                <w:sz w:val="16"/>
                <w:szCs w:val="16"/>
              </w:rPr>
              <w:t>150</w:t>
            </w:r>
            <w:r>
              <w:rPr>
                <w:rFonts w:cs="Arial"/>
                <w:sz w:val="16"/>
                <w:szCs w:val="16"/>
              </w:rPr>
              <w:t xml:space="preserve"> </w:t>
            </w:r>
            <w:r w:rsidRPr="005E2C62">
              <w:rPr>
                <w:rFonts w:cs="Arial"/>
                <w:sz w:val="16"/>
                <w:szCs w:val="16"/>
              </w:rPr>
              <w:t>234</w:t>
            </w:r>
            <w:r>
              <w:rPr>
                <w:rFonts w:cs="Arial"/>
                <w:sz w:val="16"/>
                <w:szCs w:val="16"/>
              </w:rPr>
              <w:t xml:space="preserve"> </w:t>
            </w:r>
            <w:r w:rsidRPr="005E2C62">
              <w:rPr>
                <w:rFonts w:cs="Arial"/>
                <w:sz w:val="16"/>
                <w:szCs w:val="16"/>
              </w:rPr>
              <w:t>184,44 zł</w:t>
            </w:r>
          </w:p>
        </w:tc>
        <w:tc>
          <w:tcPr>
            <w:tcW w:w="1701" w:type="dxa"/>
            <w:tcBorders>
              <w:top w:val="single" w:sz="4" w:space="0" w:color="auto"/>
              <w:left w:val="single" w:sz="4" w:space="0" w:color="auto"/>
              <w:bottom w:val="single" w:sz="4" w:space="0" w:color="auto"/>
              <w:right w:val="single" w:sz="4" w:space="0" w:color="auto"/>
            </w:tcBorders>
            <w:vAlign w:val="center"/>
          </w:tcPr>
          <w:p w14:paraId="30FF68E5" w14:textId="7EFAACCA" w:rsidR="00FF0AC2" w:rsidRPr="005E2C62" w:rsidRDefault="00FF0AC2" w:rsidP="00FF0AC2">
            <w:pPr>
              <w:jc w:val="center"/>
              <w:rPr>
                <w:rFonts w:cs="Arial"/>
                <w:color w:val="000000"/>
                <w:sz w:val="16"/>
                <w:szCs w:val="16"/>
              </w:rPr>
            </w:pPr>
            <w:r>
              <w:rPr>
                <w:rFonts w:cs="Arial"/>
                <w:sz w:val="16"/>
                <w:szCs w:val="16"/>
              </w:rPr>
              <w:t>75</w:t>
            </w:r>
          </w:p>
        </w:tc>
        <w:tc>
          <w:tcPr>
            <w:tcW w:w="2301" w:type="dxa"/>
            <w:tcBorders>
              <w:top w:val="single" w:sz="4" w:space="0" w:color="auto"/>
              <w:left w:val="single" w:sz="4" w:space="0" w:color="auto"/>
              <w:bottom w:val="single" w:sz="4" w:space="0" w:color="auto"/>
              <w:right w:val="single" w:sz="4" w:space="0" w:color="auto"/>
            </w:tcBorders>
            <w:vAlign w:val="center"/>
          </w:tcPr>
          <w:p w14:paraId="18DE0E5F" w14:textId="71C3CFD2" w:rsidR="00FF0AC2" w:rsidRPr="005E2C62" w:rsidRDefault="00FF0AC2" w:rsidP="00FF0AC2">
            <w:pPr>
              <w:jc w:val="center"/>
              <w:rPr>
                <w:rFonts w:cs="Arial"/>
                <w:color w:val="000000"/>
                <w:sz w:val="16"/>
                <w:szCs w:val="16"/>
              </w:rPr>
            </w:pPr>
            <w:r>
              <w:rPr>
                <w:rFonts w:cs="Arial"/>
                <w:sz w:val="16"/>
                <w:szCs w:val="16"/>
              </w:rPr>
              <w:t>1 253 242 009,90 zł</w:t>
            </w:r>
          </w:p>
        </w:tc>
      </w:tr>
      <w:tr w:rsidR="00FF0AC2" w:rsidRPr="00ED1A48" w14:paraId="1218592A"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B7AF436" w14:textId="77777777" w:rsidR="00FF0AC2" w:rsidRPr="00ED1A48" w:rsidRDefault="00FF0AC2" w:rsidP="00FF0AC2">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6F7A1F9" w14:textId="77777777" w:rsidR="00FF0AC2" w:rsidRPr="003749AE" w:rsidRDefault="00FF0AC2" w:rsidP="00FF0AC2">
            <w:pPr>
              <w:jc w:val="center"/>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vAlign w:val="center"/>
          </w:tcPr>
          <w:p w14:paraId="350D8594" w14:textId="0A83AC0F" w:rsidR="00FF0AC2" w:rsidRPr="005E2C62" w:rsidRDefault="00FF0AC2" w:rsidP="00FF0AC2">
            <w:pPr>
              <w:jc w:val="center"/>
              <w:rPr>
                <w:rFonts w:cs="Arial"/>
                <w:color w:val="000000"/>
                <w:sz w:val="16"/>
                <w:szCs w:val="16"/>
              </w:rPr>
            </w:pPr>
            <w:r w:rsidRPr="005E2C62">
              <w:rPr>
                <w:rFonts w:cs="Arial"/>
                <w:color w:val="000000"/>
                <w:sz w:val="16"/>
                <w:szCs w:val="16"/>
              </w:rPr>
              <w:t>36</w:t>
            </w:r>
          </w:p>
        </w:tc>
        <w:tc>
          <w:tcPr>
            <w:tcW w:w="1843" w:type="dxa"/>
            <w:tcBorders>
              <w:top w:val="single" w:sz="4" w:space="0" w:color="auto"/>
              <w:left w:val="single" w:sz="4" w:space="0" w:color="auto"/>
              <w:bottom w:val="single" w:sz="4" w:space="0" w:color="auto"/>
              <w:right w:val="single" w:sz="4" w:space="0" w:color="auto"/>
            </w:tcBorders>
            <w:vAlign w:val="center"/>
          </w:tcPr>
          <w:p w14:paraId="62CA5A7A" w14:textId="786C7DAF" w:rsidR="00FF0AC2" w:rsidRPr="005E2C62" w:rsidRDefault="00FF0AC2" w:rsidP="00FF0AC2">
            <w:pPr>
              <w:jc w:val="center"/>
              <w:rPr>
                <w:rFonts w:cs="Arial"/>
                <w:color w:val="000000"/>
                <w:sz w:val="16"/>
                <w:szCs w:val="16"/>
              </w:rPr>
            </w:pPr>
            <w:r w:rsidRPr="005E2C62">
              <w:rPr>
                <w:rFonts w:cs="Arial"/>
                <w:color w:val="000000"/>
                <w:sz w:val="16"/>
                <w:szCs w:val="16"/>
              </w:rPr>
              <w:t>695 737 687,35 zł</w:t>
            </w:r>
          </w:p>
        </w:tc>
        <w:tc>
          <w:tcPr>
            <w:tcW w:w="1701" w:type="dxa"/>
            <w:tcBorders>
              <w:top w:val="single" w:sz="4" w:space="0" w:color="auto"/>
              <w:left w:val="single" w:sz="4" w:space="0" w:color="auto"/>
              <w:bottom w:val="single" w:sz="4" w:space="0" w:color="auto"/>
              <w:right w:val="single" w:sz="4" w:space="0" w:color="auto"/>
            </w:tcBorders>
            <w:vAlign w:val="center"/>
          </w:tcPr>
          <w:p w14:paraId="07FDE0C0" w14:textId="751E924A" w:rsidR="00FF0AC2" w:rsidRPr="005E2C62" w:rsidRDefault="00FF0AC2" w:rsidP="00FF0AC2">
            <w:pPr>
              <w:jc w:val="center"/>
              <w:rPr>
                <w:rFonts w:cs="Arial"/>
                <w:color w:val="000000"/>
                <w:sz w:val="16"/>
                <w:szCs w:val="16"/>
              </w:rPr>
            </w:pPr>
            <w:r w:rsidRPr="005E2C62">
              <w:rPr>
                <w:rFonts w:cs="Arial"/>
                <w:color w:val="000000"/>
                <w:sz w:val="16"/>
                <w:szCs w:val="16"/>
              </w:rPr>
              <w:t>39</w:t>
            </w:r>
          </w:p>
        </w:tc>
        <w:tc>
          <w:tcPr>
            <w:tcW w:w="2126" w:type="dxa"/>
            <w:tcBorders>
              <w:top w:val="single" w:sz="4" w:space="0" w:color="auto"/>
              <w:left w:val="single" w:sz="4" w:space="0" w:color="auto"/>
              <w:bottom w:val="single" w:sz="4" w:space="0" w:color="auto"/>
              <w:right w:val="single" w:sz="4" w:space="0" w:color="auto"/>
            </w:tcBorders>
            <w:vAlign w:val="center"/>
          </w:tcPr>
          <w:p w14:paraId="31A3E4D7" w14:textId="30DF1A7E" w:rsidR="00FF0AC2" w:rsidRPr="005E2C62" w:rsidRDefault="00FF0AC2" w:rsidP="00FF0AC2">
            <w:pPr>
              <w:jc w:val="center"/>
              <w:rPr>
                <w:rFonts w:cs="Arial"/>
                <w:color w:val="000000"/>
                <w:sz w:val="16"/>
                <w:szCs w:val="16"/>
              </w:rPr>
            </w:pPr>
            <w:r w:rsidRPr="005E2C62">
              <w:rPr>
                <w:rFonts w:cs="Arial"/>
                <w:sz w:val="16"/>
                <w:szCs w:val="16"/>
              </w:rPr>
              <w:t>735</w:t>
            </w:r>
            <w:r>
              <w:rPr>
                <w:rFonts w:cs="Arial"/>
                <w:sz w:val="16"/>
                <w:szCs w:val="16"/>
              </w:rPr>
              <w:t xml:space="preserve"> </w:t>
            </w:r>
            <w:r w:rsidRPr="005E2C62">
              <w:rPr>
                <w:rFonts w:cs="Arial"/>
                <w:sz w:val="16"/>
                <w:szCs w:val="16"/>
              </w:rPr>
              <w:t>124</w:t>
            </w:r>
            <w:r>
              <w:rPr>
                <w:rFonts w:cs="Arial"/>
                <w:sz w:val="16"/>
                <w:szCs w:val="16"/>
              </w:rPr>
              <w:t xml:space="preserve"> </w:t>
            </w:r>
            <w:r w:rsidRPr="005E2C62">
              <w:rPr>
                <w:rFonts w:cs="Arial"/>
                <w:sz w:val="16"/>
                <w:szCs w:val="16"/>
              </w:rPr>
              <w:t>272,91 zł</w:t>
            </w:r>
          </w:p>
        </w:tc>
        <w:tc>
          <w:tcPr>
            <w:tcW w:w="1701" w:type="dxa"/>
            <w:tcBorders>
              <w:top w:val="single" w:sz="4" w:space="0" w:color="auto"/>
              <w:left w:val="single" w:sz="4" w:space="0" w:color="auto"/>
              <w:bottom w:val="single" w:sz="4" w:space="0" w:color="auto"/>
              <w:right w:val="single" w:sz="4" w:space="0" w:color="auto"/>
            </w:tcBorders>
            <w:vAlign w:val="center"/>
          </w:tcPr>
          <w:p w14:paraId="778EE3B2" w14:textId="000890AC" w:rsidR="00FF0AC2" w:rsidRPr="005E2C62" w:rsidRDefault="00FF0AC2" w:rsidP="00FF0AC2">
            <w:pPr>
              <w:jc w:val="center"/>
              <w:rPr>
                <w:rFonts w:cs="Arial"/>
                <w:color w:val="000000"/>
                <w:sz w:val="16"/>
                <w:szCs w:val="16"/>
              </w:rPr>
            </w:pPr>
            <w:r>
              <w:rPr>
                <w:rFonts w:cs="Arial"/>
                <w:sz w:val="16"/>
                <w:szCs w:val="16"/>
              </w:rPr>
              <w:t>91</w:t>
            </w:r>
          </w:p>
        </w:tc>
        <w:tc>
          <w:tcPr>
            <w:tcW w:w="2301" w:type="dxa"/>
            <w:tcBorders>
              <w:top w:val="single" w:sz="4" w:space="0" w:color="auto"/>
              <w:left w:val="single" w:sz="4" w:space="0" w:color="auto"/>
              <w:bottom w:val="single" w:sz="4" w:space="0" w:color="auto"/>
              <w:right w:val="single" w:sz="4" w:space="0" w:color="auto"/>
            </w:tcBorders>
            <w:vAlign w:val="center"/>
          </w:tcPr>
          <w:p w14:paraId="3FC20A77" w14:textId="63A2C0D1" w:rsidR="00FF0AC2" w:rsidRPr="005E2C62" w:rsidRDefault="00FF0AC2" w:rsidP="00FF0AC2">
            <w:pPr>
              <w:jc w:val="center"/>
              <w:rPr>
                <w:rFonts w:cs="Arial"/>
                <w:color w:val="000000"/>
                <w:sz w:val="16"/>
                <w:szCs w:val="16"/>
              </w:rPr>
            </w:pPr>
            <w:r>
              <w:rPr>
                <w:rFonts w:cs="Arial"/>
                <w:sz w:val="16"/>
                <w:szCs w:val="16"/>
              </w:rPr>
              <w:t>4 576 044 559,26 zł</w:t>
            </w:r>
          </w:p>
        </w:tc>
      </w:tr>
    </w:tbl>
    <w:p w14:paraId="5AE92A32" w14:textId="77777777" w:rsidR="00E34FFA" w:rsidRPr="00576772" w:rsidRDefault="00E34FFA" w:rsidP="00FF0AC2">
      <w:pPr>
        <w:shd w:val="clear" w:color="auto" w:fill="FFFFFF"/>
        <w:spacing w:before="60"/>
        <w:rPr>
          <w:rFonts w:cs="Arial"/>
          <w:color w:val="000000"/>
          <w:sz w:val="16"/>
          <w:szCs w:val="16"/>
        </w:rPr>
      </w:pPr>
      <w:r w:rsidRPr="00517480">
        <w:rPr>
          <w:b/>
          <w:sz w:val="16"/>
          <w:szCs w:val="16"/>
          <w:u w:val="single"/>
        </w:rPr>
        <w:t>UWAGA</w:t>
      </w:r>
      <w:r w:rsidRPr="00576772">
        <w:rPr>
          <w:sz w:val="16"/>
          <w:szCs w:val="16"/>
        </w:rPr>
        <w:t xml:space="preserve">: Łączna liczba i wartość zamówień publicznych z zastosowaniem poszczególnych aspektów </w:t>
      </w:r>
      <w:r>
        <w:rPr>
          <w:sz w:val="16"/>
          <w:szCs w:val="16"/>
        </w:rPr>
        <w:t>innowacyjnych</w:t>
      </w:r>
      <w:r w:rsidRPr="00576772">
        <w:rPr>
          <w:sz w:val="16"/>
          <w:szCs w:val="16"/>
        </w:rPr>
        <w:t xml:space="preserve"> jest większa niż łączna liczba i wartość zamówień </w:t>
      </w:r>
      <w:r>
        <w:rPr>
          <w:sz w:val="16"/>
          <w:szCs w:val="16"/>
        </w:rPr>
        <w:t>innowacyjnych</w:t>
      </w:r>
      <w:r w:rsidRPr="00576772">
        <w:rPr>
          <w:sz w:val="16"/>
          <w:szCs w:val="16"/>
        </w:rPr>
        <w:t xml:space="preserve"> i ze względu na przypadki zastosowania więcej niż jednego aspektu </w:t>
      </w:r>
      <w:r>
        <w:rPr>
          <w:sz w:val="16"/>
          <w:szCs w:val="16"/>
        </w:rPr>
        <w:t>innowacyjnego</w:t>
      </w:r>
      <w:r w:rsidRPr="00576772">
        <w:rPr>
          <w:sz w:val="16"/>
          <w:szCs w:val="16"/>
        </w:rPr>
        <w:t xml:space="preserve"> w jednym zamówieniu.</w:t>
      </w:r>
    </w:p>
    <w:p w14:paraId="7BEB8137" w14:textId="77777777" w:rsidR="00E34FFA" w:rsidRPr="00FF0AC2" w:rsidRDefault="00E34FFA" w:rsidP="00E34FFA">
      <w:pPr>
        <w:rPr>
          <w:rFonts w:cs="Arial"/>
          <w:color w:val="000000"/>
          <w:sz w:val="16"/>
          <w:szCs w:val="16"/>
        </w:rPr>
      </w:pPr>
    </w:p>
    <w:p w14:paraId="55E7983E" w14:textId="78796D80" w:rsidR="00E34FFA" w:rsidRDefault="00E34FFA" w:rsidP="000F6893">
      <w:pPr>
        <w:shd w:val="clear" w:color="auto" w:fill="FFFFFF"/>
        <w:spacing w:after="60"/>
        <w:jc w:val="center"/>
        <w:rPr>
          <w:rFonts w:cs="Arial"/>
          <w:b/>
          <w:color w:val="000000"/>
        </w:rPr>
      </w:pPr>
      <w:r w:rsidRPr="00ED1A48">
        <w:rPr>
          <w:rFonts w:cs="Arial"/>
          <w:b/>
          <w:color w:val="000000"/>
        </w:rPr>
        <w:t>Udział zamówień z danym aspektem innowacyjnym w ogólnej liczbie oraz w ogólnej wartości innowacyjnych zamówień publicznych w poszczególnych latach</w:t>
      </w:r>
    </w:p>
    <w:tbl>
      <w:tblPr>
        <w:tblW w:w="13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006"/>
        <w:gridCol w:w="1701"/>
        <w:gridCol w:w="1843"/>
        <w:gridCol w:w="1701"/>
        <w:gridCol w:w="2126"/>
        <w:gridCol w:w="1701"/>
        <w:gridCol w:w="2301"/>
      </w:tblGrid>
      <w:tr w:rsidR="00FF0AC2" w:rsidRPr="00ED1A48" w14:paraId="67ED0DD3" w14:textId="77777777" w:rsidTr="008676C5">
        <w:trPr>
          <w:tblHeader/>
        </w:trPr>
        <w:tc>
          <w:tcPr>
            <w:tcW w:w="2476"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152CA3B0" w14:textId="77777777" w:rsidR="00FF0AC2" w:rsidRPr="00ED1A48" w:rsidRDefault="00FF0AC2" w:rsidP="00FF0AC2">
            <w:pPr>
              <w:jc w:val="center"/>
              <w:rPr>
                <w:rFonts w:cs="Arial"/>
                <w:b/>
                <w:color w:val="000000"/>
                <w:sz w:val="16"/>
                <w:szCs w:val="16"/>
              </w:rPr>
            </w:pPr>
            <w:r w:rsidRPr="00ED1A48">
              <w:rPr>
                <w:rFonts w:cs="Arial"/>
                <w:b/>
                <w:color w:val="000000"/>
                <w:sz w:val="16"/>
                <w:szCs w:val="16"/>
              </w:rPr>
              <w:t>Rok referencyjny</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E599"/>
            <w:vAlign w:val="center"/>
          </w:tcPr>
          <w:p w14:paraId="6C905593" w14:textId="272A2F06" w:rsidR="00FF0AC2" w:rsidRPr="00ED1A48" w:rsidRDefault="00FF0AC2" w:rsidP="00FF0AC2">
            <w:pPr>
              <w:jc w:val="center"/>
              <w:rPr>
                <w:rFonts w:cs="Arial"/>
                <w:b/>
                <w:bCs/>
                <w:color w:val="000000"/>
                <w:sz w:val="16"/>
                <w:szCs w:val="16"/>
              </w:rPr>
            </w:pPr>
            <w:r w:rsidRPr="00ED1A48">
              <w:rPr>
                <w:rFonts w:cs="Arial"/>
                <w:b/>
                <w:bCs/>
                <w:color w:val="000000"/>
                <w:sz w:val="16"/>
                <w:szCs w:val="16"/>
              </w:rPr>
              <w:t>2020 r.</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E599"/>
          </w:tcPr>
          <w:p w14:paraId="782FE2E8" w14:textId="185AC9A8" w:rsidR="00FF0AC2" w:rsidRPr="00ED1A48" w:rsidRDefault="00FF0AC2" w:rsidP="00FF0AC2">
            <w:pPr>
              <w:jc w:val="center"/>
              <w:rPr>
                <w:rFonts w:cs="Arial"/>
                <w:b/>
                <w:bCs/>
                <w:color w:val="000000"/>
                <w:sz w:val="16"/>
                <w:szCs w:val="16"/>
              </w:rPr>
            </w:pPr>
            <w:r>
              <w:rPr>
                <w:rFonts w:cs="Arial"/>
                <w:b/>
                <w:bCs/>
                <w:color w:val="000000"/>
                <w:sz w:val="16"/>
                <w:szCs w:val="16"/>
              </w:rPr>
              <w:t>2021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FFE599"/>
          </w:tcPr>
          <w:p w14:paraId="6020DDE2" w14:textId="20566F17" w:rsidR="00FF0AC2" w:rsidRPr="00ED1A48" w:rsidRDefault="00FF0AC2" w:rsidP="00FF0AC2">
            <w:pPr>
              <w:jc w:val="center"/>
              <w:rPr>
                <w:rFonts w:cs="Arial"/>
                <w:b/>
                <w:bCs/>
                <w:color w:val="000000"/>
                <w:sz w:val="16"/>
                <w:szCs w:val="16"/>
              </w:rPr>
            </w:pPr>
          </w:p>
        </w:tc>
      </w:tr>
      <w:tr w:rsidR="00FF0AC2" w:rsidRPr="00ED1A48" w14:paraId="2BC7E487" w14:textId="77777777" w:rsidTr="008676C5">
        <w:trPr>
          <w:tblHeader/>
        </w:trPr>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0C3858FB" w14:textId="77777777" w:rsidR="00FF0AC2" w:rsidRPr="00ED1A48" w:rsidRDefault="00FF0AC2" w:rsidP="00FF0AC2">
            <w:pPr>
              <w:jc w:val="center"/>
              <w:rPr>
                <w:rFonts w:cs="Arial"/>
                <w:b/>
                <w:color w:val="000000"/>
                <w:sz w:val="16"/>
                <w:szCs w:val="16"/>
              </w:rPr>
            </w:pPr>
            <w:r w:rsidRPr="00ED1A48">
              <w:rPr>
                <w:rFonts w:cs="Arial"/>
                <w:b/>
                <w:color w:val="000000"/>
                <w:sz w:val="16"/>
                <w:szCs w:val="16"/>
              </w:rPr>
              <w:t>Lp.</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tcPr>
          <w:p w14:paraId="68BA5C4A" w14:textId="77777777" w:rsidR="00FF0AC2" w:rsidRPr="00ED1A48" w:rsidRDefault="00FF0AC2" w:rsidP="00FF0AC2">
            <w:pPr>
              <w:jc w:val="center"/>
              <w:rPr>
                <w:rFonts w:cs="Arial"/>
                <w:b/>
                <w:color w:val="000000"/>
                <w:sz w:val="16"/>
                <w:szCs w:val="16"/>
              </w:rPr>
            </w:pPr>
            <w:r w:rsidRPr="00ED1A48">
              <w:rPr>
                <w:rFonts w:cs="Arial"/>
                <w:b/>
                <w:color w:val="000000"/>
                <w:sz w:val="16"/>
                <w:szCs w:val="16"/>
              </w:rPr>
              <w:t xml:space="preserve">Aspekt zielony </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50736B2F"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1843" w:type="dxa"/>
            <w:tcBorders>
              <w:top w:val="single" w:sz="4" w:space="0" w:color="auto"/>
              <w:left w:val="single" w:sz="4" w:space="0" w:color="auto"/>
              <w:bottom w:val="single" w:sz="4" w:space="0" w:color="auto"/>
              <w:right w:val="single" w:sz="4" w:space="0" w:color="auto"/>
            </w:tcBorders>
            <w:shd w:val="clear" w:color="auto" w:fill="FFF2CC"/>
            <w:vAlign w:val="center"/>
          </w:tcPr>
          <w:p w14:paraId="76E3BDEA" w14:textId="4FBF0F61" w:rsidR="00FF0AC2" w:rsidRPr="00ED1A48" w:rsidRDefault="00FF0AC2" w:rsidP="00FF0AC2">
            <w:pPr>
              <w:jc w:val="center"/>
              <w:rPr>
                <w:rFonts w:cs="Arial"/>
                <w:b/>
                <w:bCs/>
                <w:color w:val="000000"/>
                <w:sz w:val="16"/>
                <w:szCs w:val="16"/>
              </w:rPr>
            </w:pPr>
            <w:r w:rsidRPr="00ED1A48">
              <w:rPr>
                <w:rFonts w:cs="Arial"/>
                <w:b/>
                <w:bCs/>
                <w:color w:val="000000"/>
                <w:sz w:val="16"/>
                <w:szCs w:val="16"/>
              </w:rPr>
              <w:t>Udział zamówień z danym aspektem w ogólnej wartości 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vAlign w:val="center"/>
          </w:tcPr>
          <w:p w14:paraId="19F9C407"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126" w:type="dxa"/>
            <w:tcBorders>
              <w:top w:val="single" w:sz="4" w:space="0" w:color="auto"/>
              <w:left w:val="single" w:sz="4" w:space="0" w:color="auto"/>
              <w:bottom w:val="single" w:sz="4" w:space="0" w:color="auto"/>
              <w:right w:val="single" w:sz="4" w:space="0" w:color="auto"/>
            </w:tcBorders>
            <w:shd w:val="clear" w:color="auto" w:fill="FFF2CC"/>
            <w:vAlign w:val="center"/>
          </w:tcPr>
          <w:p w14:paraId="1DE20A80"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 xml:space="preserve">wartości </w:t>
            </w:r>
            <w:r w:rsidRPr="00ED1A48">
              <w:rPr>
                <w:rFonts w:cs="Arial"/>
                <w:b/>
                <w:bCs/>
                <w:color w:val="000000"/>
                <w:sz w:val="16"/>
                <w:szCs w:val="16"/>
              </w:rPr>
              <w:t>zamówień innowacyjnych</w:t>
            </w:r>
          </w:p>
        </w:tc>
        <w:tc>
          <w:tcPr>
            <w:tcW w:w="1701" w:type="dxa"/>
            <w:tcBorders>
              <w:top w:val="single" w:sz="4" w:space="0" w:color="auto"/>
              <w:left w:val="single" w:sz="4" w:space="0" w:color="auto"/>
              <w:bottom w:val="single" w:sz="4" w:space="0" w:color="auto"/>
              <w:right w:val="single" w:sz="4" w:space="0" w:color="auto"/>
            </w:tcBorders>
            <w:shd w:val="clear" w:color="auto" w:fill="FFF2CC"/>
          </w:tcPr>
          <w:p w14:paraId="03B98EB2"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p>
        </w:tc>
        <w:tc>
          <w:tcPr>
            <w:tcW w:w="2301" w:type="dxa"/>
            <w:tcBorders>
              <w:top w:val="single" w:sz="4" w:space="0" w:color="auto"/>
              <w:left w:val="single" w:sz="4" w:space="0" w:color="auto"/>
              <w:bottom w:val="single" w:sz="4" w:space="0" w:color="auto"/>
              <w:right w:val="single" w:sz="4" w:space="0" w:color="auto"/>
            </w:tcBorders>
            <w:shd w:val="clear" w:color="auto" w:fill="FFF2CC"/>
          </w:tcPr>
          <w:p w14:paraId="00A3ED01" w14:textId="77777777" w:rsidR="00FF0AC2" w:rsidRPr="00ED1A48" w:rsidRDefault="00FF0AC2" w:rsidP="00FF0AC2">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p>
        </w:tc>
      </w:tr>
      <w:tr w:rsidR="00567D71" w:rsidRPr="00ED1A48" w14:paraId="2A873551"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E96EC7B" w14:textId="77777777" w:rsidR="00567D71" w:rsidRPr="00ED1A48" w:rsidRDefault="00567D71" w:rsidP="00567D71">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EFAFD11" w14:textId="77777777" w:rsidR="00567D71" w:rsidRPr="003749AE" w:rsidRDefault="00567D71" w:rsidP="00567D71">
            <w:pPr>
              <w:jc w:val="center"/>
              <w:rPr>
                <w:rFonts w:cs="Arial"/>
                <w:b/>
                <w:color w:val="000000"/>
                <w:sz w:val="16"/>
                <w:szCs w:val="16"/>
              </w:rPr>
            </w:pPr>
            <w:r w:rsidRPr="003749AE">
              <w:rPr>
                <w:b/>
                <w:sz w:val="16"/>
                <w:szCs w:val="16"/>
              </w:rPr>
              <w:t>Określenie w kryteriach oceny ofert aspektów innowacyjnych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CB5739" w14:textId="50DAF97C" w:rsidR="00567D71" w:rsidRPr="00ED1A48" w:rsidRDefault="00567D71" w:rsidP="00C62157">
            <w:pPr>
              <w:jc w:val="center"/>
              <w:rPr>
                <w:rFonts w:cs="Arial"/>
                <w:color w:val="000000"/>
                <w:sz w:val="16"/>
                <w:szCs w:val="16"/>
              </w:rPr>
            </w:pPr>
            <w:r>
              <w:rPr>
                <w:rFonts w:cs="Arial"/>
                <w:color w:val="000000"/>
                <w:sz w:val="16"/>
                <w:szCs w:val="16"/>
              </w:rPr>
              <w:t>61,67%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DDE013" w14:textId="14E26FB7" w:rsidR="00567D71" w:rsidRPr="00ED1A48" w:rsidRDefault="00567D71" w:rsidP="00C62157">
            <w:pPr>
              <w:jc w:val="center"/>
              <w:rPr>
                <w:rFonts w:cs="Arial"/>
                <w:color w:val="000000"/>
                <w:sz w:val="16"/>
                <w:szCs w:val="16"/>
              </w:rPr>
            </w:pPr>
            <w:r>
              <w:rPr>
                <w:rFonts w:cs="Arial"/>
                <w:color w:val="000000"/>
                <w:sz w:val="16"/>
                <w:szCs w:val="16"/>
              </w:rPr>
              <w:t>97,69%</w:t>
            </w:r>
          </w:p>
        </w:tc>
        <w:tc>
          <w:tcPr>
            <w:tcW w:w="1701" w:type="dxa"/>
            <w:tcBorders>
              <w:top w:val="single" w:sz="4" w:space="0" w:color="auto"/>
              <w:left w:val="single" w:sz="4" w:space="0" w:color="auto"/>
              <w:bottom w:val="single" w:sz="4" w:space="0" w:color="auto"/>
              <w:right w:val="single" w:sz="4" w:space="0" w:color="auto"/>
            </w:tcBorders>
            <w:vAlign w:val="center"/>
          </w:tcPr>
          <w:p w14:paraId="16EA25DA" w14:textId="60E740EA" w:rsidR="00567D71" w:rsidRPr="00ED1A48" w:rsidRDefault="00567D71" w:rsidP="00C62157">
            <w:pPr>
              <w:jc w:val="center"/>
              <w:rPr>
                <w:rFonts w:cs="Arial"/>
                <w:color w:val="000000"/>
                <w:sz w:val="16"/>
                <w:szCs w:val="16"/>
              </w:rPr>
            </w:pPr>
            <w:r>
              <w:rPr>
                <w:rFonts w:cs="Arial"/>
                <w:color w:val="000000"/>
                <w:sz w:val="16"/>
                <w:szCs w:val="16"/>
              </w:rPr>
              <w:t>69,64%</w:t>
            </w:r>
          </w:p>
        </w:tc>
        <w:tc>
          <w:tcPr>
            <w:tcW w:w="2126" w:type="dxa"/>
            <w:tcBorders>
              <w:top w:val="single" w:sz="4" w:space="0" w:color="auto"/>
              <w:left w:val="single" w:sz="4" w:space="0" w:color="auto"/>
              <w:bottom w:val="single" w:sz="4" w:space="0" w:color="auto"/>
              <w:right w:val="single" w:sz="4" w:space="0" w:color="auto"/>
            </w:tcBorders>
            <w:vAlign w:val="center"/>
          </w:tcPr>
          <w:p w14:paraId="2FBAD3DE" w14:textId="1F82CCAB" w:rsidR="00567D71" w:rsidRPr="00ED1A48" w:rsidRDefault="00567D71" w:rsidP="00C62157">
            <w:pPr>
              <w:jc w:val="center"/>
              <w:rPr>
                <w:rFonts w:cs="Arial"/>
                <w:color w:val="000000"/>
                <w:sz w:val="16"/>
                <w:szCs w:val="16"/>
              </w:rPr>
            </w:pPr>
            <w:r>
              <w:rPr>
                <w:rFonts w:cs="Arial"/>
                <w:color w:val="000000"/>
                <w:sz w:val="16"/>
                <w:szCs w:val="16"/>
              </w:rPr>
              <w:t>17%</w:t>
            </w:r>
          </w:p>
        </w:tc>
        <w:tc>
          <w:tcPr>
            <w:tcW w:w="1701" w:type="dxa"/>
            <w:tcBorders>
              <w:top w:val="single" w:sz="4" w:space="0" w:color="auto"/>
              <w:left w:val="single" w:sz="4" w:space="0" w:color="auto"/>
              <w:bottom w:val="single" w:sz="4" w:space="0" w:color="auto"/>
              <w:right w:val="single" w:sz="4" w:space="0" w:color="auto"/>
            </w:tcBorders>
            <w:vAlign w:val="center"/>
          </w:tcPr>
          <w:p w14:paraId="2D5EC3EA" w14:textId="59B667C2" w:rsidR="00567D71" w:rsidRPr="00ED1A48" w:rsidRDefault="00567D71" w:rsidP="00567D71">
            <w:pPr>
              <w:jc w:val="center"/>
              <w:rPr>
                <w:rFonts w:cs="Arial"/>
                <w:color w:val="000000"/>
                <w:sz w:val="16"/>
                <w:szCs w:val="16"/>
              </w:rPr>
            </w:pPr>
            <w:r>
              <w:rPr>
                <w:rFonts w:cs="Arial"/>
                <w:color w:val="000000"/>
                <w:sz w:val="16"/>
                <w:szCs w:val="16"/>
              </w:rPr>
              <w:t>4</w:t>
            </w:r>
            <w:r w:rsidR="00C62157">
              <w:rPr>
                <w:rFonts w:cs="Arial"/>
                <w:color w:val="000000"/>
                <w:sz w:val="16"/>
                <w:szCs w:val="16"/>
              </w:rPr>
              <w:t>6,88</w:t>
            </w:r>
            <w:r>
              <w:rPr>
                <w:rFonts w:cs="Arial"/>
                <w:color w:val="000000"/>
                <w:sz w:val="16"/>
                <w:szCs w:val="16"/>
              </w:rPr>
              <w:t>%</w:t>
            </w:r>
          </w:p>
        </w:tc>
        <w:tc>
          <w:tcPr>
            <w:tcW w:w="2301" w:type="dxa"/>
            <w:tcBorders>
              <w:top w:val="single" w:sz="4" w:space="0" w:color="auto"/>
              <w:left w:val="single" w:sz="4" w:space="0" w:color="auto"/>
              <w:bottom w:val="single" w:sz="4" w:space="0" w:color="auto"/>
              <w:right w:val="single" w:sz="4" w:space="0" w:color="auto"/>
            </w:tcBorders>
            <w:vAlign w:val="center"/>
          </w:tcPr>
          <w:p w14:paraId="278EC0CD" w14:textId="4095F312" w:rsidR="00567D71" w:rsidRPr="00ED1A48" w:rsidRDefault="00C62157" w:rsidP="00567D71">
            <w:pPr>
              <w:jc w:val="center"/>
              <w:rPr>
                <w:rFonts w:cs="Arial"/>
                <w:color w:val="000000"/>
                <w:sz w:val="16"/>
                <w:szCs w:val="16"/>
              </w:rPr>
            </w:pPr>
            <w:r>
              <w:rPr>
                <w:rFonts w:cs="Arial"/>
                <w:color w:val="000000"/>
                <w:sz w:val="16"/>
                <w:szCs w:val="16"/>
              </w:rPr>
              <w:t>25,51</w:t>
            </w:r>
            <w:r w:rsidR="00567D71">
              <w:rPr>
                <w:rFonts w:cs="Arial"/>
                <w:color w:val="000000"/>
                <w:sz w:val="16"/>
                <w:szCs w:val="16"/>
              </w:rPr>
              <w:t>%</w:t>
            </w:r>
          </w:p>
        </w:tc>
      </w:tr>
      <w:tr w:rsidR="00567D71" w:rsidRPr="00ED1A48" w14:paraId="07C7BD8A" w14:textId="77777777" w:rsidTr="00100D6C">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0152AC9" w14:textId="77777777" w:rsidR="00567D71" w:rsidRPr="00ED1A48" w:rsidRDefault="00567D71" w:rsidP="00567D71">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200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71729FF" w14:textId="77777777" w:rsidR="00567D71" w:rsidRPr="003749AE" w:rsidRDefault="00567D71" w:rsidP="00567D71">
            <w:pPr>
              <w:jc w:val="center"/>
              <w:rPr>
                <w:rFonts w:cs="Arial"/>
                <w:b/>
                <w:color w:val="000000"/>
                <w:sz w:val="16"/>
                <w:szCs w:val="16"/>
              </w:rPr>
            </w:pPr>
            <w:r w:rsidRPr="003749AE">
              <w:rPr>
                <w:b/>
                <w:sz w:val="16"/>
                <w:szCs w:val="16"/>
              </w:rPr>
              <w:t>Określenie wymagań zw. z realizacją zamówienia obejmujących aspekty zw. z innowacyjnością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B318B0" w14:textId="25038369" w:rsidR="00567D71" w:rsidRPr="003B1B95" w:rsidRDefault="00567D71" w:rsidP="00C62157">
            <w:pPr>
              <w:jc w:val="center"/>
              <w:rPr>
                <w:rFonts w:cs="Arial"/>
                <w:color w:val="000000"/>
                <w:sz w:val="16"/>
                <w:szCs w:val="16"/>
              </w:rPr>
            </w:pPr>
            <w:r>
              <w:rPr>
                <w:rFonts w:cs="Arial"/>
                <w:color w:val="000000"/>
                <w:sz w:val="16"/>
                <w:szCs w:val="16"/>
              </w:rPr>
              <w:t>60%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C71E36" w14:textId="384DA418" w:rsidR="00567D71" w:rsidRPr="003B1B95" w:rsidRDefault="00567D71" w:rsidP="00567D71">
            <w:pPr>
              <w:jc w:val="center"/>
              <w:rPr>
                <w:rFonts w:cs="Arial"/>
                <w:color w:val="000000"/>
                <w:sz w:val="16"/>
                <w:szCs w:val="16"/>
              </w:rPr>
            </w:pPr>
            <w:r>
              <w:rPr>
                <w:rFonts w:cs="Arial"/>
                <w:color w:val="000000"/>
                <w:sz w:val="16"/>
                <w:szCs w:val="16"/>
              </w:rPr>
              <w:t>7</w:t>
            </w:r>
            <w:r w:rsidR="00C62157">
              <w:rPr>
                <w:rFonts w:cs="Arial"/>
                <w:color w:val="000000"/>
                <w:sz w:val="16"/>
                <w:szCs w:val="16"/>
              </w:rPr>
              <w:t>8,19</w:t>
            </w:r>
            <w:r>
              <w:rPr>
                <w:rFonts w:cs="Arial"/>
                <w:color w:val="000000"/>
                <w:sz w:val="16"/>
                <w:szCs w:val="16"/>
              </w:rPr>
              <w:t>%</w:t>
            </w:r>
          </w:p>
        </w:tc>
        <w:tc>
          <w:tcPr>
            <w:tcW w:w="1701" w:type="dxa"/>
            <w:tcBorders>
              <w:top w:val="single" w:sz="4" w:space="0" w:color="auto"/>
              <w:left w:val="single" w:sz="4" w:space="0" w:color="auto"/>
              <w:bottom w:val="single" w:sz="4" w:space="0" w:color="auto"/>
              <w:right w:val="single" w:sz="4" w:space="0" w:color="auto"/>
            </w:tcBorders>
            <w:vAlign w:val="center"/>
          </w:tcPr>
          <w:p w14:paraId="6CDEC446" w14:textId="40D2C422" w:rsidR="00567D71" w:rsidRPr="00ED1A48" w:rsidRDefault="00567D71" w:rsidP="00C62157">
            <w:pPr>
              <w:jc w:val="center"/>
              <w:rPr>
                <w:rFonts w:cs="Arial"/>
                <w:color w:val="000000"/>
                <w:sz w:val="16"/>
                <w:szCs w:val="16"/>
              </w:rPr>
            </w:pPr>
            <w:r>
              <w:rPr>
                <w:rFonts w:cs="Arial"/>
                <w:color w:val="000000"/>
                <w:sz w:val="16"/>
                <w:szCs w:val="16"/>
              </w:rPr>
              <w:t>34,82%</w:t>
            </w:r>
          </w:p>
        </w:tc>
        <w:tc>
          <w:tcPr>
            <w:tcW w:w="2126" w:type="dxa"/>
            <w:tcBorders>
              <w:top w:val="single" w:sz="4" w:space="0" w:color="auto"/>
              <w:left w:val="single" w:sz="4" w:space="0" w:color="auto"/>
              <w:bottom w:val="single" w:sz="4" w:space="0" w:color="auto"/>
              <w:right w:val="single" w:sz="4" w:space="0" w:color="auto"/>
            </w:tcBorders>
            <w:vAlign w:val="center"/>
          </w:tcPr>
          <w:p w14:paraId="391C9649" w14:textId="7E1C05C9" w:rsidR="00567D71" w:rsidRPr="00ED1A48" w:rsidRDefault="00567D71" w:rsidP="00C62157">
            <w:pPr>
              <w:jc w:val="center"/>
              <w:rPr>
                <w:rFonts w:cs="Arial"/>
                <w:color w:val="000000"/>
                <w:sz w:val="16"/>
                <w:szCs w:val="16"/>
              </w:rPr>
            </w:pPr>
            <w:r>
              <w:rPr>
                <w:rFonts w:cs="Arial"/>
                <w:color w:val="000000"/>
                <w:sz w:val="16"/>
                <w:szCs w:val="16"/>
              </w:rPr>
              <w:t>83,19%</w:t>
            </w:r>
          </w:p>
        </w:tc>
        <w:tc>
          <w:tcPr>
            <w:tcW w:w="1701" w:type="dxa"/>
            <w:tcBorders>
              <w:top w:val="single" w:sz="4" w:space="0" w:color="auto"/>
              <w:left w:val="single" w:sz="4" w:space="0" w:color="auto"/>
              <w:bottom w:val="single" w:sz="4" w:space="0" w:color="auto"/>
              <w:right w:val="single" w:sz="4" w:space="0" w:color="auto"/>
            </w:tcBorders>
            <w:vAlign w:val="center"/>
          </w:tcPr>
          <w:p w14:paraId="18BE34E1" w14:textId="2D4F17D7" w:rsidR="00567D71" w:rsidRPr="00ED1A48" w:rsidRDefault="00567D71" w:rsidP="00567D71">
            <w:pPr>
              <w:jc w:val="center"/>
              <w:rPr>
                <w:rFonts w:cs="Arial"/>
                <w:color w:val="000000"/>
                <w:sz w:val="16"/>
                <w:szCs w:val="16"/>
              </w:rPr>
            </w:pPr>
            <w:r>
              <w:rPr>
                <w:rFonts w:cs="Arial"/>
                <w:color w:val="000000"/>
                <w:sz w:val="16"/>
                <w:szCs w:val="16"/>
              </w:rPr>
              <w:t>5</w:t>
            </w:r>
            <w:r w:rsidR="00C62157">
              <w:rPr>
                <w:rFonts w:cs="Arial"/>
                <w:color w:val="000000"/>
                <w:sz w:val="16"/>
                <w:szCs w:val="16"/>
              </w:rPr>
              <w:t>6,88</w:t>
            </w:r>
            <w:r>
              <w:rPr>
                <w:rFonts w:cs="Arial"/>
                <w:color w:val="000000"/>
                <w:sz w:val="16"/>
                <w:szCs w:val="16"/>
              </w:rPr>
              <w:t>%</w:t>
            </w:r>
          </w:p>
        </w:tc>
        <w:tc>
          <w:tcPr>
            <w:tcW w:w="2301" w:type="dxa"/>
            <w:tcBorders>
              <w:top w:val="single" w:sz="4" w:space="0" w:color="auto"/>
              <w:left w:val="single" w:sz="4" w:space="0" w:color="auto"/>
              <w:bottom w:val="single" w:sz="4" w:space="0" w:color="auto"/>
              <w:right w:val="single" w:sz="4" w:space="0" w:color="auto"/>
            </w:tcBorders>
            <w:vAlign w:val="center"/>
          </w:tcPr>
          <w:p w14:paraId="53FF64B8" w14:textId="2792B1A1" w:rsidR="00567D71" w:rsidRPr="00ED1A48" w:rsidRDefault="00C62157" w:rsidP="00567D71">
            <w:pPr>
              <w:jc w:val="center"/>
              <w:rPr>
                <w:rFonts w:cs="Arial"/>
                <w:color w:val="000000"/>
                <w:sz w:val="16"/>
                <w:szCs w:val="16"/>
              </w:rPr>
            </w:pPr>
            <w:r>
              <w:rPr>
                <w:rFonts w:cs="Arial"/>
                <w:color w:val="000000"/>
                <w:sz w:val="16"/>
                <w:szCs w:val="16"/>
              </w:rPr>
              <w:t>93,16</w:t>
            </w:r>
            <w:r w:rsidR="00567D71">
              <w:rPr>
                <w:rFonts w:cs="Arial"/>
                <w:color w:val="000000"/>
                <w:sz w:val="16"/>
                <w:szCs w:val="16"/>
              </w:rPr>
              <w:t>%</w:t>
            </w:r>
          </w:p>
        </w:tc>
      </w:tr>
    </w:tbl>
    <w:p w14:paraId="27530BBE" w14:textId="77777777" w:rsidR="00E34FFA" w:rsidRDefault="00E34FFA" w:rsidP="00FF0AC2">
      <w:pPr>
        <w:shd w:val="clear" w:color="auto" w:fill="FFFFFF"/>
        <w:spacing w:before="60"/>
        <w:rPr>
          <w:rFonts w:cs="Arial"/>
          <w:b/>
        </w:rPr>
      </w:pPr>
      <w:r w:rsidRPr="00517480">
        <w:rPr>
          <w:b/>
          <w:sz w:val="16"/>
          <w:szCs w:val="16"/>
          <w:u w:val="single"/>
        </w:rPr>
        <w:t>UWAGA</w:t>
      </w:r>
      <w:r w:rsidRPr="004C0201">
        <w:rPr>
          <w:sz w:val="16"/>
          <w:szCs w:val="16"/>
        </w:rPr>
        <w:t xml:space="preserve">: Suma udziałów zamówień z zastosowaniem poszczególnych aspektów </w:t>
      </w:r>
      <w:r>
        <w:rPr>
          <w:sz w:val="16"/>
          <w:szCs w:val="16"/>
        </w:rPr>
        <w:t xml:space="preserve">innowacyjnych </w:t>
      </w:r>
      <w:r w:rsidRPr="004C0201">
        <w:rPr>
          <w:sz w:val="16"/>
          <w:szCs w:val="16"/>
        </w:rPr>
        <w:t xml:space="preserve">w ogólnej liczbie i wartości zamówień </w:t>
      </w:r>
      <w:r>
        <w:rPr>
          <w:sz w:val="16"/>
          <w:szCs w:val="16"/>
        </w:rPr>
        <w:t>innowacyjnych</w:t>
      </w:r>
      <w:r w:rsidRPr="004C0201">
        <w:rPr>
          <w:sz w:val="16"/>
          <w:szCs w:val="16"/>
        </w:rPr>
        <w:t xml:space="preserve"> jest większa niż łączna liczba i wartość zamówień </w:t>
      </w:r>
      <w:r>
        <w:rPr>
          <w:sz w:val="16"/>
          <w:szCs w:val="16"/>
        </w:rPr>
        <w:t>innowacyjnych</w:t>
      </w:r>
      <w:r w:rsidRPr="004C0201">
        <w:rPr>
          <w:sz w:val="16"/>
          <w:szCs w:val="16"/>
        </w:rPr>
        <w:t xml:space="preserve"> ze względu na przypadki zastosowania więcej niż jednego aspektu </w:t>
      </w:r>
      <w:r>
        <w:rPr>
          <w:sz w:val="16"/>
          <w:szCs w:val="16"/>
        </w:rPr>
        <w:t>innowacyjnego</w:t>
      </w:r>
      <w:r w:rsidRPr="004C0201">
        <w:rPr>
          <w:sz w:val="16"/>
          <w:szCs w:val="16"/>
        </w:rPr>
        <w:t xml:space="preserve"> w jednym zamówieniu.</w:t>
      </w:r>
    </w:p>
    <w:p w14:paraId="189B6B63" w14:textId="77777777" w:rsidR="00E34FFA" w:rsidRDefault="00E34FFA" w:rsidP="00D2318D">
      <w:pPr>
        <w:rPr>
          <w:szCs w:val="22"/>
        </w:rPr>
      </w:pPr>
    </w:p>
    <w:p w14:paraId="3AF0A118" w14:textId="77777777" w:rsidR="00735936" w:rsidRDefault="00735936" w:rsidP="00D2318D">
      <w:pPr>
        <w:rPr>
          <w:szCs w:val="22"/>
        </w:rPr>
        <w:sectPr w:rsidR="00735936" w:rsidSect="00CC77CA">
          <w:pgSz w:w="16838" w:h="11906" w:orient="landscape"/>
          <w:pgMar w:top="1418" w:right="1418" w:bottom="1418" w:left="1418" w:header="709" w:footer="709" w:gutter="0"/>
          <w:cols w:space="708"/>
          <w:docGrid w:linePitch="299"/>
        </w:sectPr>
      </w:pPr>
    </w:p>
    <w:tbl>
      <w:tblPr>
        <w:tblW w:w="14359" w:type="dxa"/>
        <w:tblLayout w:type="fixed"/>
        <w:tblLook w:val="04A0" w:firstRow="1" w:lastRow="0" w:firstColumn="1" w:lastColumn="0" w:noHBand="0" w:noVBand="1"/>
      </w:tblPr>
      <w:tblGrid>
        <w:gridCol w:w="14123"/>
        <w:gridCol w:w="236"/>
      </w:tblGrid>
      <w:tr w:rsidR="00735936" w:rsidRPr="00A855CF" w14:paraId="16A28167" w14:textId="77777777" w:rsidTr="00100D6C">
        <w:tc>
          <w:tcPr>
            <w:tcW w:w="14123" w:type="dxa"/>
            <w:shd w:val="clear" w:color="auto" w:fill="auto"/>
          </w:tcPr>
          <w:p w14:paraId="5AB519FC" w14:textId="57E7410C" w:rsidR="00735936" w:rsidRPr="00A855CF" w:rsidRDefault="00735936" w:rsidP="00735936">
            <w:pPr>
              <w:spacing w:before="120" w:after="120"/>
              <w:jc w:val="right"/>
              <w:rPr>
                <w:b/>
                <w:color w:val="2E74B5"/>
                <w:sz w:val="24"/>
              </w:rPr>
            </w:pPr>
            <w:r w:rsidRPr="00A855CF">
              <w:rPr>
                <w:rFonts w:cs="Arial"/>
                <w:szCs w:val="22"/>
              </w:rPr>
              <w:br w:type="page"/>
            </w:r>
            <w:r w:rsidRPr="00A855CF">
              <w:rPr>
                <w:rFonts w:cs="Arial"/>
                <w:szCs w:val="22"/>
              </w:rPr>
              <w:br w:type="page"/>
            </w:r>
            <w:r w:rsidRPr="00A855CF">
              <w:rPr>
                <w:rFonts w:cs="Arial"/>
                <w:sz w:val="20"/>
                <w:szCs w:val="20"/>
              </w:rPr>
              <w:br w:type="page"/>
            </w:r>
            <w:bookmarkStart w:id="288" w:name="Zał_8"/>
            <w:bookmarkEnd w:id="288"/>
            <w:r w:rsidRPr="00A855CF">
              <w:rPr>
                <w:b/>
                <w:color w:val="2E74B5"/>
                <w:sz w:val="24"/>
              </w:rPr>
              <w:t xml:space="preserve">Załącznik nr </w:t>
            </w:r>
            <w:r>
              <w:rPr>
                <w:b/>
                <w:color w:val="2E74B5"/>
                <w:sz w:val="24"/>
              </w:rPr>
              <w:t>8</w:t>
            </w:r>
          </w:p>
        </w:tc>
        <w:tc>
          <w:tcPr>
            <w:tcW w:w="236" w:type="dxa"/>
            <w:shd w:val="clear" w:color="auto" w:fill="2E74B5"/>
          </w:tcPr>
          <w:p w14:paraId="70B2CE55" w14:textId="77777777" w:rsidR="00735936" w:rsidRPr="00A855CF" w:rsidRDefault="00735936" w:rsidP="00100D6C">
            <w:pPr>
              <w:spacing w:before="120" w:after="120"/>
              <w:jc w:val="right"/>
              <w:rPr>
                <w:b/>
                <w:sz w:val="24"/>
              </w:rPr>
            </w:pPr>
          </w:p>
        </w:tc>
      </w:tr>
    </w:tbl>
    <w:p w14:paraId="5471719E" w14:textId="759D9F2E" w:rsidR="00E34FFA" w:rsidRDefault="00E34FFA" w:rsidP="00D2318D">
      <w:pPr>
        <w:rPr>
          <w:szCs w:val="22"/>
        </w:rPr>
      </w:pPr>
    </w:p>
    <w:p w14:paraId="0FA17B02" w14:textId="61530492" w:rsidR="00E34FFA" w:rsidRPr="00D72A28" w:rsidRDefault="00D72A28" w:rsidP="00D72A28">
      <w:pPr>
        <w:jc w:val="center"/>
        <w:rPr>
          <w:b/>
          <w:szCs w:val="22"/>
        </w:rPr>
      </w:pPr>
      <w:r w:rsidRPr="003654C0">
        <w:rPr>
          <w:b/>
          <w:szCs w:val="22"/>
        </w:rPr>
        <w:t>Dane dotyczące zamówień udzielonych przez jednostki administracji rządowej, w których zastosowano odpowiednie instrumenty prospołeczne</w:t>
      </w:r>
    </w:p>
    <w:p w14:paraId="76FC8D34" w14:textId="606E34A0" w:rsidR="00DB75BE" w:rsidRDefault="00DB75BE" w:rsidP="00D2318D">
      <w:pPr>
        <w:rPr>
          <w:szCs w:val="22"/>
        </w:rPr>
      </w:pPr>
    </w:p>
    <w:p w14:paraId="7EE5D495" w14:textId="6EF387F4" w:rsidR="00D72A28" w:rsidRPr="00744FE5" w:rsidRDefault="00744FE5" w:rsidP="00744FE5">
      <w:pPr>
        <w:jc w:val="center"/>
        <w:rPr>
          <w:b/>
          <w:szCs w:val="22"/>
        </w:rPr>
      </w:pPr>
      <w:r w:rsidRPr="00D50E39">
        <w:rPr>
          <w:b/>
          <w:szCs w:val="22"/>
        </w:rPr>
        <w:t>Liczba i wartość zamówień publicznych z danym aspektem prospołecznym w poszczególnych latach</w:t>
      </w:r>
    </w:p>
    <w:p w14:paraId="4839C589" w14:textId="00D08627" w:rsidR="00D72A28" w:rsidRPr="00517480" w:rsidRDefault="00D72A28" w:rsidP="00D2318D">
      <w:pPr>
        <w:rPr>
          <w:sz w:val="16"/>
          <w:szCs w:val="16"/>
        </w:rPr>
      </w:pP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9"/>
        <w:gridCol w:w="1554"/>
        <w:gridCol w:w="2126"/>
        <w:gridCol w:w="1559"/>
        <w:gridCol w:w="2127"/>
        <w:gridCol w:w="1559"/>
        <w:gridCol w:w="2268"/>
      </w:tblGrid>
      <w:tr w:rsidR="00641AC7" w:rsidRPr="00A92EB0" w14:paraId="2D0D3236" w14:textId="77777777" w:rsidTr="00A92EB0">
        <w:trPr>
          <w:trHeight w:val="354"/>
          <w:tblHeader/>
        </w:trPr>
        <w:tc>
          <w:tcPr>
            <w:tcW w:w="3261" w:type="dxa"/>
            <w:gridSpan w:val="2"/>
            <w:shd w:val="clear" w:color="auto" w:fill="DBE5F1"/>
            <w:vAlign w:val="center"/>
          </w:tcPr>
          <w:p w14:paraId="710F1431" w14:textId="77777777" w:rsidR="00641AC7" w:rsidRPr="00A92EB0" w:rsidRDefault="00641AC7" w:rsidP="00641AC7">
            <w:pPr>
              <w:jc w:val="center"/>
              <w:rPr>
                <w:rFonts w:cs="Arial"/>
                <w:b/>
                <w:sz w:val="16"/>
                <w:szCs w:val="16"/>
              </w:rPr>
            </w:pPr>
            <w:r w:rsidRPr="00A92EB0">
              <w:rPr>
                <w:rFonts w:cs="Arial"/>
                <w:b/>
                <w:sz w:val="16"/>
                <w:szCs w:val="16"/>
              </w:rPr>
              <w:t>Rok referencyjny</w:t>
            </w:r>
          </w:p>
        </w:tc>
        <w:tc>
          <w:tcPr>
            <w:tcW w:w="3680" w:type="dxa"/>
            <w:gridSpan w:val="2"/>
            <w:shd w:val="clear" w:color="auto" w:fill="DBE5F1"/>
            <w:vAlign w:val="center"/>
          </w:tcPr>
          <w:p w14:paraId="6A86994E" w14:textId="6A5C8F8E" w:rsidR="00641AC7" w:rsidRPr="00A92EB0" w:rsidRDefault="00641AC7" w:rsidP="00641AC7">
            <w:pPr>
              <w:jc w:val="center"/>
              <w:rPr>
                <w:rFonts w:cs="Arial"/>
                <w:b/>
                <w:sz w:val="16"/>
                <w:szCs w:val="16"/>
              </w:rPr>
            </w:pPr>
            <w:r w:rsidRPr="00A92EB0">
              <w:rPr>
                <w:rFonts w:cs="Arial"/>
                <w:b/>
                <w:sz w:val="16"/>
                <w:szCs w:val="16"/>
              </w:rPr>
              <w:t>2020</w:t>
            </w:r>
          </w:p>
        </w:tc>
        <w:tc>
          <w:tcPr>
            <w:tcW w:w="3686" w:type="dxa"/>
            <w:gridSpan w:val="2"/>
            <w:shd w:val="clear" w:color="auto" w:fill="DBE5F1"/>
            <w:vAlign w:val="center"/>
          </w:tcPr>
          <w:p w14:paraId="48B428C4" w14:textId="7BFC31CB" w:rsidR="00641AC7" w:rsidRPr="00A92EB0" w:rsidRDefault="00641AC7" w:rsidP="00641AC7">
            <w:pPr>
              <w:jc w:val="center"/>
              <w:rPr>
                <w:rFonts w:cs="Arial"/>
                <w:b/>
                <w:sz w:val="16"/>
                <w:szCs w:val="16"/>
              </w:rPr>
            </w:pPr>
            <w:r w:rsidRPr="00A92EB0">
              <w:rPr>
                <w:rFonts w:cs="Arial"/>
                <w:b/>
                <w:sz w:val="16"/>
                <w:szCs w:val="16"/>
              </w:rPr>
              <w:t>2021</w:t>
            </w:r>
          </w:p>
        </w:tc>
        <w:tc>
          <w:tcPr>
            <w:tcW w:w="3827" w:type="dxa"/>
            <w:gridSpan w:val="2"/>
            <w:shd w:val="clear" w:color="auto" w:fill="DBE5F1"/>
            <w:vAlign w:val="center"/>
          </w:tcPr>
          <w:p w14:paraId="428CC277" w14:textId="5163439C" w:rsidR="00641AC7" w:rsidRPr="00A92EB0" w:rsidRDefault="00A92EB0" w:rsidP="00641AC7">
            <w:pPr>
              <w:jc w:val="center"/>
              <w:rPr>
                <w:rFonts w:cs="Arial"/>
                <w:b/>
                <w:sz w:val="16"/>
                <w:szCs w:val="16"/>
              </w:rPr>
            </w:pPr>
            <w:r>
              <w:rPr>
                <w:rFonts w:cs="Arial"/>
                <w:b/>
                <w:sz w:val="16"/>
                <w:szCs w:val="16"/>
              </w:rPr>
              <w:t>2022</w:t>
            </w:r>
          </w:p>
        </w:tc>
      </w:tr>
      <w:tr w:rsidR="00641AC7" w:rsidRPr="00A92EB0" w14:paraId="6B6E8786" w14:textId="77777777" w:rsidTr="001D7742">
        <w:trPr>
          <w:tblHeader/>
        </w:trPr>
        <w:tc>
          <w:tcPr>
            <w:tcW w:w="562" w:type="dxa"/>
            <w:shd w:val="clear" w:color="auto" w:fill="DBE5F1"/>
            <w:vAlign w:val="center"/>
          </w:tcPr>
          <w:p w14:paraId="6E4C196E" w14:textId="77777777" w:rsidR="00641AC7" w:rsidRPr="00A92EB0" w:rsidRDefault="00641AC7" w:rsidP="00641AC7">
            <w:pPr>
              <w:jc w:val="center"/>
              <w:rPr>
                <w:rFonts w:cs="Arial"/>
                <w:b/>
                <w:sz w:val="16"/>
                <w:szCs w:val="16"/>
              </w:rPr>
            </w:pPr>
            <w:r w:rsidRPr="00A92EB0">
              <w:rPr>
                <w:rFonts w:cs="Arial"/>
                <w:b/>
                <w:sz w:val="16"/>
                <w:szCs w:val="16"/>
              </w:rPr>
              <w:t>Lp.</w:t>
            </w:r>
          </w:p>
        </w:tc>
        <w:tc>
          <w:tcPr>
            <w:tcW w:w="2699" w:type="dxa"/>
            <w:shd w:val="clear" w:color="auto" w:fill="DBE5F1"/>
            <w:vAlign w:val="center"/>
          </w:tcPr>
          <w:p w14:paraId="78788CAA" w14:textId="77777777" w:rsidR="00641AC7" w:rsidRPr="00A92EB0" w:rsidRDefault="00641AC7" w:rsidP="00641AC7">
            <w:pPr>
              <w:jc w:val="center"/>
              <w:rPr>
                <w:rFonts w:cs="Arial"/>
                <w:b/>
                <w:sz w:val="16"/>
                <w:szCs w:val="16"/>
              </w:rPr>
            </w:pPr>
            <w:r w:rsidRPr="00A92EB0">
              <w:rPr>
                <w:rFonts w:cs="Arial"/>
                <w:b/>
                <w:sz w:val="16"/>
                <w:szCs w:val="16"/>
              </w:rPr>
              <w:t>Aspekt społeczny</w:t>
            </w:r>
          </w:p>
        </w:tc>
        <w:tc>
          <w:tcPr>
            <w:tcW w:w="1554" w:type="dxa"/>
            <w:shd w:val="clear" w:color="auto" w:fill="DBE5F1"/>
            <w:vAlign w:val="center"/>
          </w:tcPr>
          <w:p w14:paraId="43B951C4" w14:textId="77777777" w:rsidR="00641AC7" w:rsidRPr="00A92EB0" w:rsidRDefault="00641AC7" w:rsidP="00641AC7">
            <w:pPr>
              <w:jc w:val="center"/>
              <w:rPr>
                <w:rFonts w:cs="Arial"/>
                <w:b/>
                <w:bCs/>
                <w:sz w:val="16"/>
                <w:szCs w:val="16"/>
              </w:rPr>
            </w:pPr>
            <w:r w:rsidRPr="00A92EB0">
              <w:rPr>
                <w:rFonts w:cs="Arial"/>
                <w:b/>
                <w:bCs/>
                <w:sz w:val="16"/>
                <w:szCs w:val="16"/>
              </w:rPr>
              <w:t>Liczba zamówień z zastosowaniem danego aspektu społecznego</w:t>
            </w:r>
          </w:p>
        </w:tc>
        <w:tc>
          <w:tcPr>
            <w:tcW w:w="2126" w:type="dxa"/>
            <w:shd w:val="clear" w:color="auto" w:fill="DBE5F1"/>
            <w:vAlign w:val="center"/>
          </w:tcPr>
          <w:p w14:paraId="3782975B" w14:textId="77777777" w:rsidR="00641AC7" w:rsidRPr="00A92EB0" w:rsidRDefault="00641AC7" w:rsidP="00641AC7">
            <w:pPr>
              <w:jc w:val="center"/>
              <w:rPr>
                <w:rFonts w:cs="Arial"/>
                <w:b/>
                <w:bCs/>
                <w:sz w:val="16"/>
                <w:szCs w:val="16"/>
              </w:rPr>
            </w:pPr>
            <w:r w:rsidRPr="00A92EB0">
              <w:rPr>
                <w:rFonts w:cs="Arial"/>
                <w:b/>
                <w:bCs/>
                <w:sz w:val="16"/>
                <w:szCs w:val="16"/>
              </w:rPr>
              <w:t>Wartość zamówień z zastosowaniem danego aspektu społecznego</w:t>
            </w:r>
          </w:p>
        </w:tc>
        <w:tc>
          <w:tcPr>
            <w:tcW w:w="1559" w:type="dxa"/>
            <w:shd w:val="clear" w:color="auto" w:fill="DBE5F1"/>
            <w:vAlign w:val="center"/>
          </w:tcPr>
          <w:p w14:paraId="27F55F05" w14:textId="77777777" w:rsidR="00641AC7" w:rsidRPr="00A92EB0" w:rsidRDefault="00641AC7" w:rsidP="00641AC7">
            <w:pPr>
              <w:jc w:val="center"/>
              <w:rPr>
                <w:rFonts w:cs="Arial"/>
                <w:b/>
                <w:bCs/>
                <w:sz w:val="16"/>
                <w:szCs w:val="16"/>
              </w:rPr>
            </w:pPr>
            <w:r w:rsidRPr="00A92EB0">
              <w:rPr>
                <w:rFonts w:cs="Arial"/>
                <w:b/>
                <w:bCs/>
                <w:sz w:val="16"/>
                <w:szCs w:val="16"/>
              </w:rPr>
              <w:t>Liczba zamówień z zastosowaniem danego aspektu społecznego</w:t>
            </w:r>
          </w:p>
        </w:tc>
        <w:tc>
          <w:tcPr>
            <w:tcW w:w="2127" w:type="dxa"/>
            <w:shd w:val="clear" w:color="auto" w:fill="DBE5F1"/>
            <w:vAlign w:val="center"/>
          </w:tcPr>
          <w:p w14:paraId="0B4AF7F2" w14:textId="77777777" w:rsidR="00641AC7" w:rsidRPr="00A92EB0" w:rsidRDefault="00641AC7" w:rsidP="00641AC7">
            <w:pPr>
              <w:jc w:val="center"/>
              <w:rPr>
                <w:rFonts w:cs="Arial"/>
                <w:b/>
                <w:bCs/>
                <w:sz w:val="16"/>
                <w:szCs w:val="16"/>
              </w:rPr>
            </w:pPr>
            <w:r w:rsidRPr="00A92EB0">
              <w:rPr>
                <w:rFonts w:cs="Arial"/>
                <w:b/>
                <w:bCs/>
                <w:sz w:val="16"/>
                <w:szCs w:val="16"/>
              </w:rPr>
              <w:t>Wartość zamówień z zastosowaniem danego aspektu społecznego</w:t>
            </w:r>
          </w:p>
        </w:tc>
        <w:tc>
          <w:tcPr>
            <w:tcW w:w="1559" w:type="dxa"/>
            <w:shd w:val="clear" w:color="auto" w:fill="DBE5F1"/>
            <w:vAlign w:val="center"/>
          </w:tcPr>
          <w:p w14:paraId="5616AA12" w14:textId="77777777" w:rsidR="00641AC7" w:rsidRPr="00A92EB0" w:rsidRDefault="00641AC7" w:rsidP="00A92EB0">
            <w:pPr>
              <w:jc w:val="center"/>
              <w:rPr>
                <w:rFonts w:cs="Arial"/>
                <w:b/>
                <w:bCs/>
                <w:sz w:val="16"/>
                <w:szCs w:val="16"/>
              </w:rPr>
            </w:pPr>
            <w:r w:rsidRPr="00A92EB0">
              <w:rPr>
                <w:rFonts w:cs="Arial"/>
                <w:b/>
                <w:bCs/>
                <w:sz w:val="16"/>
                <w:szCs w:val="16"/>
              </w:rPr>
              <w:t>Liczba zamówień z zastosowaniem danego aspektu społecznego</w:t>
            </w:r>
          </w:p>
        </w:tc>
        <w:tc>
          <w:tcPr>
            <w:tcW w:w="2268" w:type="dxa"/>
            <w:shd w:val="clear" w:color="auto" w:fill="DBE5F1"/>
            <w:vAlign w:val="center"/>
          </w:tcPr>
          <w:p w14:paraId="3E87665B" w14:textId="77777777" w:rsidR="00641AC7" w:rsidRPr="00A92EB0" w:rsidRDefault="00641AC7" w:rsidP="00A92EB0">
            <w:pPr>
              <w:jc w:val="center"/>
              <w:rPr>
                <w:rFonts w:cs="Arial"/>
                <w:b/>
                <w:bCs/>
                <w:sz w:val="16"/>
                <w:szCs w:val="16"/>
              </w:rPr>
            </w:pPr>
            <w:r w:rsidRPr="00A92EB0">
              <w:rPr>
                <w:rFonts w:cs="Arial"/>
                <w:b/>
                <w:bCs/>
                <w:sz w:val="16"/>
                <w:szCs w:val="16"/>
              </w:rPr>
              <w:t>Wartość zamówień z zastosowaniem danego aspektu społecznego</w:t>
            </w:r>
          </w:p>
        </w:tc>
      </w:tr>
      <w:tr w:rsidR="001B4A13" w:rsidRPr="00A92EB0" w14:paraId="274C9A15" w14:textId="77777777" w:rsidTr="001D7742">
        <w:tc>
          <w:tcPr>
            <w:tcW w:w="562" w:type="dxa"/>
            <w:shd w:val="clear" w:color="auto" w:fill="DBE5F1"/>
            <w:vAlign w:val="center"/>
          </w:tcPr>
          <w:p w14:paraId="0A52110D" w14:textId="77777777" w:rsidR="001B4A13" w:rsidRPr="00A92EB0" w:rsidRDefault="001B4A13" w:rsidP="001B4A13">
            <w:pPr>
              <w:jc w:val="center"/>
              <w:rPr>
                <w:rFonts w:cs="Arial"/>
                <w:b/>
                <w:sz w:val="16"/>
                <w:szCs w:val="16"/>
              </w:rPr>
            </w:pPr>
            <w:r w:rsidRPr="00A92EB0">
              <w:rPr>
                <w:rFonts w:cs="Arial"/>
                <w:b/>
                <w:sz w:val="16"/>
                <w:szCs w:val="16"/>
              </w:rPr>
              <w:t>1.</w:t>
            </w:r>
          </w:p>
        </w:tc>
        <w:tc>
          <w:tcPr>
            <w:tcW w:w="2699" w:type="dxa"/>
            <w:shd w:val="clear" w:color="auto" w:fill="DBE5F1"/>
            <w:vAlign w:val="center"/>
          </w:tcPr>
          <w:p w14:paraId="0964CC75" w14:textId="77777777" w:rsidR="001B4A13" w:rsidRPr="00A92EB0" w:rsidRDefault="001B4A13" w:rsidP="001B4A13">
            <w:pPr>
              <w:jc w:val="center"/>
              <w:rPr>
                <w:rFonts w:cs="Arial"/>
                <w:b/>
                <w:sz w:val="16"/>
                <w:szCs w:val="16"/>
              </w:rPr>
            </w:pPr>
            <w:r w:rsidRPr="00A92EB0">
              <w:rPr>
                <w:rFonts w:cs="Arial"/>
                <w:b/>
                <w:sz w:val="16"/>
                <w:szCs w:val="16"/>
              </w:rPr>
              <w:t>Określenie wymagań związanych z realizacją zamówienia w zakresie zatrudnienia na podstawie stosunku pracy</w:t>
            </w:r>
          </w:p>
        </w:tc>
        <w:tc>
          <w:tcPr>
            <w:tcW w:w="1554" w:type="dxa"/>
            <w:shd w:val="clear" w:color="auto" w:fill="auto"/>
            <w:vAlign w:val="center"/>
          </w:tcPr>
          <w:p w14:paraId="7B0468D6" w14:textId="5A00D706" w:rsidR="001B4A13" w:rsidRPr="00A92EB0" w:rsidRDefault="001B4A13" w:rsidP="001B4A13">
            <w:pPr>
              <w:jc w:val="center"/>
              <w:rPr>
                <w:rFonts w:cs="Arial"/>
                <w:bCs/>
                <w:sz w:val="16"/>
                <w:szCs w:val="16"/>
              </w:rPr>
            </w:pPr>
            <w:r w:rsidRPr="00A92EB0">
              <w:rPr>
                <w:rFonts w:cs="Arial"/>
                <w:bCs/>
                <w:sz w:val="16"/>
                <w:szCs w:val="16"/>
              </w:rPr>
              <w:t>5 069</w:t>
            </w:r>
          </w:p>
        </w:tc>
        <w:tc>
          <w:tcPr>
            <w:tcW w:w="2126" w:type="dxa"/>
            <w:shd w:val="clear" w:color="auto" w:fill="auto"/>
            <w:vAlign w:val="center"/>
          </w:tcPr>
          <w:p w14:paraId="7336CCC1" w14:textId="5AA55033" w:rsidR="001B4A13" w:rsidRPr="00A92EB0" w:rsidRDefault="001B4A13" w:rsidP="001B4A13">
            <w:pPr>
              <w:jc w:val="center"/>
              <w:rPr>
                <w:rFonts w:cs="Arial"/>
                <w:bCs/>
                <w:sz w:val="16"/>
                <w:szCs w:val="16"/>
              </w:rPr>
            </w:pPr>
            <w:r w:rsidRPr="00A92EB0">
              <w:rPr>
                <w:rFonts w:cs="Arial"/>
                <w:bCs/>
                <w:sz w:val="16"/>
                <w:szCs w:val="16"/>
              </w:rPr>
              <w:t>19 653 849 864,29 zł</w:t>
            </w:r>
          </w:p>
        </w:tc>
        <w:tc>
          <w:tcPr>
            <w:tcW w:w="1559" w:type="dxa"/>
            <w:shd w:val="clear" w:color="auto" w:fill="auto"/>
            <w:vAlign w:val="center"/>
          </w:tcPr>
          <w:p w14:paraId="185A016D" w14:textId="6D45EA60" w:rsidR="001B4A13" w:rsidRPr="00A92EB0" w:rsidRDefault="001B4A13" w:rsidP="001B4A13">
            <w:pPr>
              <w:jc w:val="center"/>
              <w:rPr>
                <w:rFonts w:cs="Arial"/>
                <w:bCs/>
                <w:sz w:val="16"/>
                <w:szCs w:val="16"/>
              </w:rPr>
            </w:pPr>
            <w:r w:rsidRPr="00A92EB0">
              <w:rPr>
                <w:rFonts w:cs="Arial"/>
                <w:bCs/>
                <w:sz w:val="16"/>
                <w:szCs w:val="16"/>
              </w:rPr>
              <w:t>3 832</w:t>
            </w:r>
          </w:p>
        </w:tc>
        <w:tc>
          <w:tcPr>
            <w:tcW w:w="2127" w:type="dxa"/>
            <w:shd w:val="clear" w:color="auto" w:fill="auto"/>
            <w:vAlign w:val="center"/>
          </w:tcPr>
          <w:p w14:paraId="4FF56912" w14:textId="657E0DE9" w:rsidR="001B4A13" w:rsidRPr="00A92EB0" w:rsidRDefault="001B4A13" w:rsidP="001B4A13">
            <w:pPr>
              <w:jc w:val="center"/>
              <w:rPr>
                <w:rFonts w:cs="Arial"/>
                <w:bCs/>
                <w:sz w:val="16"/>
                <w:szCs w:val="16"/>
              </w:rPr>
            </w:pPr>
            <w:r w:rsidRPr="00A92EB0">
              <w:rPr>
                <w:rFonts w:cs="Arial"/>
                <w:bCs/>
                <w:sz w:val="16"/>
                <w:szCs w:val="16"/>
              </w:rPr>
              <w:t>7 453 965 870,05 zł</w:t>
            </w:r>
          </w:p>
        </w:tc>
        <w:tc>
          <w:tcPr>
            <w:tcW w:w="1559" w:type="dxa"/>
            <w:vAlign w:val="center"/>
          </w:tcPr>
          <w:p w14:paraId="14CCB367" w14:textId="109AF02F" w:rsidR="001B4A13" w:rsidRPr="001B4A13" w:rsidRDefault="001B4A13" w:rsidP="001B4A13">
            <w:pPr>
              <w:jc w:val="center"/>
              <w:rPr>
                <w:rFonts w:cs="Arial"/>
                <w:bCs/>
                <w:sz w:val="16"/>
                <w:szCs w:val="16"/>
              </w:rPr>
            </w:pPr>
            <w:r w:rsidRPr="001B4A13">
              <w:rPr>
                <w:rFonts w:cs="Arial"/>
                <w:bCs/>
                <w:sz w:val="16"/>
                <w:szCs w:val="16"/>
              </w:rPr>
              <w:t>6</w:t>
            </w:r>
            <w:r w:rsidR="00E64216">
              <w:rPr>
                <w:rFonts w:cs="Arial"/>
                <w:bCs/>
                <w:sz w:val="16"/>
                <w:szCs w:val="16"/>
              </w:rPr>
              <w:t xml:space="preserve"> </w:t>
            </w:r>
            <w:r w:rsidRPr="001B4A13">
              <w:rPr>
                <w:rFonts w:cs="Arial"/>
                <w:bCs/>
                <w:sz w:val="16"/>
                <w:szCs w:val="16"/>
              </w:rPr>
              <w:t>131</w:t>
            </w:r>
          </w:p>
        </w:tc>
        <w:tc>
          <w:tcPr>
            <w:tcW w:w="2268" w:type="dxa"/>
            <w:vAlign w:val="center"/>
          </w:tcPr>
          <w:p w14:paraId="0C0B446C" w14:textId="15C9989D" w:rsidR="001B4A13" w:rsidRPr="001B4A13" w:rsidRDefault="001B4A13" w:rsidP="001B4A13">
            <w:pPr>
              <w:jc w:val="center"/>
              <w:rPr>
                <w:rFonts w:cs="Arial"/>
                <w:bCs/>
                <w:sz w:val="16"/>
                <w:szCs w:val="16"/>
              </w:rPr>
            </w:pPr>
            <w:r w:rsidRPr="001B4A13">
              <w:rPr>
                <w:rFonts w:cs="Arial"/>
                <w:bCs/>
                <w:sz w:val="16"/>
                <w:szCs w:val="16"/>
              </w:rPr>
              <w:t>25 838 311 342,73 zł</w:t>
            </w:r>
          </w:p>
        </w:tc>
      </w:tr>
      <w:tr w:rsidR="001B4A13" w:rsidRPr="00A92EB0" w14:paraId="31413D24" w14:textId="77777777" w:rsidTr="001D7742">
        <w:tc>
          <w:tcPr>
            <w:tcW w:w="562" w:type="dxa"/>
            <w:shd w:val="clear" w:color="auto" w:fill="DBE5F1"/>
            <w:vAlign w:val="center"/>
          </w:tcPr>
          <w:p w14:paraId="40BFEFF8" w14:textId="77777777" w:rsidR="001B4A13" w:rsidRPr="00A92EB0" w:rsidRDefault="001B4A13" w:rsidP="001B4A13">
            <w:pPr>
              <w:jc w:val="center"/>
              <w:rPr>
                <w:rFonts w:cs="Arial"/>
                <w:b/>
                <w:sz w:val="16"/>
                <w:szCs w:val="16"/>
              </w:rPr>
            </w:pPr>
            <w:r w:rsidRPr="00A92EB0">
              <w:rPr>
                <w:rFonts w:cs="Arial"/>
                <w:b/>
                <w:sz w:val="16"/>
                <w:szCs w:val="16"/>
              </w:rPr>
              <w:t>2.</w:t>
            </w:r>
          </w:p>
        </w:tc>
        <w:tc>
          <w:tcPr>
            <w:tcW w:w="2699" w:type="dxa"/>
            <w:shd w:val="clear" w:color="auto" w:fill="DBE5F1"/>
            <w:vAlign w:val="center"/>
          </w:tcPr>
          <w:p w14:paraId="1E65DCDB" w14:textId="77777777" w:rsidR="001B4A13" w:rsidRPr="00A92EB0" w:rsidRDefault="001B4A13" w:rsidP="001B4A13">
            <w:pPr>
              <w:jc w:val="center"/>
              <w:rPr>
                <w:rFonts w:cs="Arial"/>
                <w:b/>
                <w:sz w:val="16"/>
                <w:szCs w:val="16"/>
              </w:rPr>
            </w:pPr>
            <w:r w:rsidRPr="00A92EB0">
              <w:rPr>
                <w:rFonts w:cs="Arial"/>
                <w:b/>
                <w:sz w:val="16"/>
                <w:szCs w:val="16"/>
              </w:rPr>
              <w:t>Zamówienie udzielone jako zamówienie zastrzeżone</w:t>
            </w:r>
          </w:p>
        </w:tc>
        <w:tc>
          <w:tcPr>
            <w:tcW w:w="1554" w:type="dxa"/>
            <w:shd w:val="clear" w:color="auto" w:fill="auto"/>
            <w:vAlign w:val="center"/>
          </w:tcPr>
          <w:p w14:paraId="44D67648" w14:textId="2FE89B3B" w:rsidR="001B4A13" w:rsidRPr="00A92EB0" w:rsidRDefault="001B4A13" w:rsidP="001B4A13">
            <w:pPr>
              <w:jc w:val="center"/>
              <w:rPr>
                <w:rFonts w:cs="Arial"/>
                <w:bCs/>
                <w:sz w:val="16"/>
                <w:szCs w:val="16"/>
              </w:rPr>
            </w:pPr>
            <w:r w:rsidRPr="00A92EB0">
              <w:rPr>
                <w:rFonts w:cs="Arial"/>
                <w:bCs/>
                <w:sz w:val="16"/>
                <w:szCs w:val="16"/>
              </w:rPr>
              <w:t>37</w:t>
            </w:r>
          </w:p>
        </w:tc>
        <w:tc>
          <w:tcPr>
            <w:tcW w:w="2126" w:type="dxa"/>
            <w:shd w:val="clear" w:color="auto" w:fill="auto"/>
            <w:vAlign w:val="center"/>
          </w:tcPr>
          <w:p w14:paraId="72846EE3" w14:textId="0997FC61" w:rsidR="001B4A13" w:rsidRPr="00A92EB0" w:rsidRDefault="001B4A13" w:rsidP="001B4A13">
            <w:pPr>
              <w:jc w:val="center"/>
              <w:rPr>
                <w:rFonts w:cs="Arial"/>
                <w:bCs/>
                <w:sz w:val="16"/>
                <w:szCs w:val="16"/>
              </w:rPr>
            </w:pPr>
            <w:r w:rsidRPr="00A92EB0">
              <w:rPr>
                <w:rFonts w:cs="Arial"/>
                <w:bCs/>
                <w:sz w:val="16"/>
                <w:szCs w:val="16"/>
              </w:rPr>
              <w:t>23 345 428,23 zł</w:t>
            </w:r>
          </w:p>
        </w:tc>
        <w:tc>
          <w:tcPr>
            <w:tcW w:w="1559" w:type="dxa"/>
            <w:shd w:val="clear" w:color="auto" w:fill="auto"/>
            <w:vAlign w:val="center"/>
          </w:tcPr>
          <w:p w14:paraId="5D9EE649" w14:textId="26B9D5D4" w:rsidR="001B4A13" w:rsidRPr="00A92EB0" w:rsidRDefault="001B4A13" w:rsidP="001B4A13">
            <w:pPr>
              <w:jc w:val="center"/>
              <w:rPr>
                <w:rFonts w:cs="Arial"/>
                <w:bCs/>
                <w:sz w:val="16"/>
                <w:szCs w:val="16"/>
              </w:rPr>
            </w:pPr>
            <w:r w:rsidRPr="00A92EB0">
              <w:rPr>
                <w:rFonts w:cs="Arial"/>
                <w:bCs/>
                <w:sz w:val="16"/>
                <w:szCs w:val="16"/>
              </w:rPr>
              <w:t>27</w:t>
            </w:r>
          </w:p>
        </w:tc>
        <w:tc>
          <w:tcPr>
            <w:tcW w:w="2127" w:type="dxa"/>
            <w:shd w:val="clear" w:color="auto" w:fill="auto"/>
            <w:vAlign w:val="center"/>
          </w:tcPr>
          <w:p w14:paraId="33F5670C" w14:textId="424CEF85" w:rsidR="001B4A13" w:rsidRPr="00A92EB0" w:rsidRDefault="001B4A13" w:rsidP="001B4A13">
            <w:pPr>
              <w:jc w:val="center"/>
              <w:rPr>
                <w:rFonts w:cs="Arial"/>
                <w:bCs/>
                <w:sz w:val="16"/>
                <w:szCs w:val="16"/>
              </w:rPr>
            </w:pPr>
            <w:r w:rsidRPr="00A92EB0">
              <w:rPr>
                <w:rFonts w:cs="Arial"/>
                <w:bCs/>
                <w:sz w:val="16"/>
                <w:szCs w:val="16"/>
              </w:rPr>
              <w:t>38 518 354,66 zł</w:t>
            </w:r>
          </w:p>
        </w:tc>
        <w:tc>
          <w:tcPr>
            <w:tcW w:w="1559" w:type="dxa"/>
            <w:vAlign w:val="center"/>
          </w:tcPr>
          <w:p w14:paraId="687EF9BE" w14:textId="71F08AA3" w:rsidR="001B4A13" w:rsidRPr="001B4A13" w:rsidRDefault="001B4A13" w:rsidP="001B4A13">
            <w:pPr>
              <w:jc w:val="center"/>
              <w:rPr>
                <w:rFonts w:cs="Arial"/>
                <w:bCs/>
                <w:sz w:val="16"/>
                <w:szCs w:val="16"/>
              </w:rPr>
            </w:pPr>
            <w:r w:rsidRPr="001B4A13">
              <w:rPr>
                <w:rFonts w:cs="Arial"/>
                <w:bCs/>
                <w:sz w:val="16"/>
                <w:szCs w:val="16"/>
              </w:rPr>
              <w:t>28</w:t>
            </w:r>
          </w:p>
        </w:tc>
        <w:tc>
          <w:tcPr>
            <w:tcW w:w="2268" w:type="dxa"/>
            <w:vAlign w:val="center"/>
          </w:tcPr>
          <w:p w14:paraId="6A3FEBAD" w14:textId="3403739F" w:rsidR="001B4A13" w:rsidRPr="001B4A13" w:rsidRDefault="001B4A13" w:rsidP="001B4A13">
            <w:pPr>
              <w:jc w:val="center"/>
              <w:rPr>
                <w:rFonts w:cs="Arial"/>
                <w:bCs/>
                <w:sz w:val="16"/>
                <w:szCs w:val="16"/>
              </w:rPr>
            </w:pPr>
            <w:r w:rsidRPr="001B4A13">
              <w:rPr>
                <w:rFonts w:cs="Arial"/>
                <w:bCs/>
                <w:sz w:val="16"/>
                <w:szCs w:val="16"/>
              </w:rPr>
              <w:t>186 251 900,68 zł</w:t>
            </w:r>
          </w:p>
        </w:tc>
      </w:tr>
      <w:tr w:rsidR="001B4A13" w:rsidRPr="00A92EB0" w14:paraId="1C017F53" w14:textId="77777777" w:rsidTr="001D7742">
        <w:tc>
          <w:tcPr>
            <w:tcW w:w="562" w:type="dxa"/>
            <w:shd w:val="clear" w:color="auto" w:fill="DBE5F1"/>
            <w:vAlign w:val="center"/>
          </w:tcPr>
          <w:p w14:paraId="2ED35A22" w14:textId="77777777" w:rsidR="001B4A13" w:rsidRPr="00A92EB0" w:rsidRDefault="001B4A13" w:rsidP="001B4A13">
            <w:pPr>
              <w:jc w:val="center"/>
              <w:rPr>
                <w:rFonts w:cs="Arial"/>
                <w:b/>
                <w:sz w:val="16"/>
                <w:szCs w:val="16"/>
              </w:rPr>
            </w:pPr>
            <w:r w:rsidRPr="00A92EB0">
              <w:rPr>
                <w:rFonts w:cs="Arial"/>
                <w:b/>
                <w:sz w:val="16"/>
                <w:szCs w:val="16"/>
              </w:rPr>
              <w:t>3.</w:t>
            </w:r>
          </w:p>
        </w:tc>
        <w:tc>
          <w:tcPr>
            <w:tcW w:w="2699" w:type="dxa"/>
            <w:shd w:val="clear" w:color="auto" w:fill="DBE5F1"/>
            <w:vAlign w:val="center"/>
          </w:tcPr>
          <w:p w14:paraId="7D358BD6" w14:textId="77777777" w:rsidR="001B4A13" w:rsidRPr="00A92EB0" w:rsidRDefault="001B4A13" w:rsidP="001B4A13">
            <w:pPr>
              <w:jc w:val="center"/>
              <w:rPr>
                <w:rFonts w:cs="Arial"/>
                <w:b/>
                <w:sz w:val="16"/>
                <w:szCs w:val="16"/>
              </w:rPr>
            </w:pPr>
            <w:r w:rsidRPr="00A92EB0">
              <w:rPr>
                <w:rFonts w:cs="Arial"/>
                <w:b/>
                <w:sz w:val="16"/>
                <w:szCs w:val="16"/>
              </w:rPr>
              <w:t>Określenie wymagań związanych z realizacją zamówienia obejmujących aspekty społeczne związane z zatrudnieniem</w:t>
            </w:r>
          </w:p>
        </w:tc>
        <w:tc>
          <w:tcPr>
            <w:tcW w:w="1554" w:type="dxa"/>
            <w:shd w:val="clear" w:color="auto" w:fill="auto"/>
            <w:vAlign w:val="center"/>
          </w:tcPr>
          <w:p w14:paraId="0A428782" w14:textId="1C8DA26D" w:rsidR="001B4A13" w:rsidRPr="00A92EB0" w:rsidRDefault="001B4A13" w:rsidP="001B4A13">
            <w:pPr>
              <w:jc w:val="center"/>
              <w:rPr>
                <w:rFonts w:cs="Arial"/>
                <w:bCs/>
                <w:sz w:val="16"/>
                <w:szCs w:val="16"/>
              </w:rPr>
            </w:pPr>
            <w:r w:rsidRPr="00A92EB0">
              <w:rPr>
                <w:rFonts w:cs="Arial"/>
                <w:bCs/>
                <w:sz w:val="16"/>
                <w:szCs w:val="16"/>
              </w:rPr>
              <w:t>314</w:t>
            </w:r>
          </w:p>
        </w:tc>
        <w:tc>
          <w:tcPr>
            <w:tcW w:w="2126" w:type="dxa"/>
            <w:shd w:val="clear" w:color="auto" w:fill="auto"/>
            <w:vAlign w:val="center"/>
          </w:tcPr>
          <w:p w14:paraId="355535F5" w14:textId="009CF2AA" w:rsidR="001B4A13" w:rsidRPr="00A92EB0" w:rsidRDefault="001B4A13" w:rsidP="001B4A13">
            <w:pPr>
              <w:jc w:val="center"/>
              <w:rPr>
                <w:rFonts w:cs="Arial"/>
                <w:bCs/>
                <w:sz w:val="16"/>
                <w:szCs w:val="16"/>
              </w:rPr>
            </w:pPr>
            <w:r w:rsidRPr="00A92EB0">
              <w:rPr>
                <w:rFonts w:cs="Arial"/>
                <w:bCs/>
                <w:sz w:val="16"/>
                <w:szCs w:val="16"/>
              </w:rPr>
              <w:t>645 952 528,50zł</w:t>
            </w:r>
          </w:p>
        </w:tc>
        <w:tc>
          <w:tcPr>
            <w:tcW w:w="1559" w:type="dxa"/>
            <w:shd w:val="clear" w:color="auto" w:fill="auto"/>
            <w:vAlign w:val="center"/>
          </w:tcPr>
          <w:p w14:paraId="2103C688" w14:textId="201606AD" w:rsidR="001B4A13" w:rsidRPr="00A92EB0" w:rsidRDefault="001B4A13" w:rsidP="001B4A13">
            <w:pPr>
              <w:jc w:val="center"/>
              <w:rPr>
                <w:rFonts w:cs="Arial"/>
                <w:bCs/>
                <w:sz w:val="16"/>
                <w:szCs w:val="16"/>
              </w:rPr>
            </w:pPr>
            <w:r w:rsidRPr="00A92EB0">
              <w:rPr>
                <w:rFonts w:cs="Arial"/>
                <w:bCs/>
                <w:sz w:val="16"/>
                <w:szCs w:val="16"/>
              </w:rPr>
              <w:t>278</w:t>
            </w:r>
          </w:p>
        </w:tc>
        <w:tc>
          <w:tcPr>
            <w:tcW w:w="2127" w:type="dxa"/>
            <w:shd w:val="clear" w:color="auto" w:fill="auto"/>
            <w:vAlign w:val="center"/>
          </w:tcPr>
          <w:p w14:paraId="28E410AC" w14:textId="080AE70E" w:rsidR="001B4A13" w:rsidRPr="00A92EB0" w:rsidRDefault="001B4A13" w:rsidP="001B4A13">
            <w:pPr>
              <w:jc w:val="center"/>
              <w:rPr>
                <w:rFonts w:cs="Arial"/>
                <w:bCs/>
                <w:sz w:val="16"/>
                <w:szCs w:val="16"/>
              </w:rPr>
            </w:pPr>
            <w:r w:rsidRPr="00A92EB0">
              <w:rPr>
                <w:rFonts w:cs="Arial"/>
                <w:bCs/>
                <w:sz w:val="16"/>
                <w:szCs w:val="16"/>
              </w:rPr>
              <w:t>661 205 612,87 zł</w:t>
            </w:r>
          </w:p>
        </w:tc>
        <w:tc>
          <w:tcPr>
            <w:tcW w:w="1559" w:type="dxa"/>
            <w:vAlign w:val="center"/>
          </w:tcPr>
          <w:p w14:paraId="506051FA" w14:textId="03775D87" w:rsidR="001B4A13" w:rsidRPr="001B4A13" w:rsidRDefault="001B4A13" w:rsidP="001B4A13">
            <w:pPr>
              <w:jc w:val="center"/>
              <w:rPr>
                <w:rFonts w:cs="Arial"/>
                <w:bCs/>
                <w:sz w:val="16"/>
                <w:szCs w:val="16"/>
              </w:rPr>
            </w:pPr>
            <w:r w:rsidRPr="001B4A13">
              <w:rPr>
                <w:rFonts w:cs="Arial"/>
                <w:bCs/>
                <w:sz w:val="16"/>
                <w:szCs w:val="16"/>
              </w:rPr>
              <w:t>319</w:t>
            </w:r>
          </w:p>
        </w:tc>
        <w:tc>
          <w:tcPr>
            <w:tcW w:w="2268" w:type="dxa"/>
            <w:vAlign w:val="center"/>
          </w:tcPr>
          <w:p w14:paraId="1A35C634" w14:textId="154BB174" w:rsidR="001B4A13" w:rsidRPr="001B4A13" w:rsidRDefault="001B4A13" w:rsidP="001B4A13">
            <w:pPr>
              <w:jc w:val="center"/>
              <w:rPr>
                <w:rFonts w:cs="Arial"/>
                <w:bCs/>
                <w:sz w:val="16"/>
                <w:szCs w:val="16"/>
              </w:rPr>
            </w:pPr>
            <w:r w:rsidRPr="001B4A13">
              <w:rPr>
                <w:rFonts w:cs="Arial"/>
                <w:bCs/>
                <w:sz w:val="16"/>
                <w:szCs w:val="16"/>
              </w:rPr>
              <w:t>570 436 635,62 zł</w:t>
            </w:r>
          </w:p>
        </w:tc>
      </w:tr>
      <w:tr w:rsidR="001B4A13" w:rsidRPr="00A92EB0" w14:paraId="4919809B" w14:textId="77777777" w:rsidTr="001D7742">
        <w:tc>
          <w:tcPr>
            <w:tcW w:w="562" w:type="dxa"/>
            <w:shd w:val="clear" w:color="auto" w:fill="DBE5F1"/>
            <w:vAlign w:val="center"/>
          </w:tcPr>
          <w:p w14:paraId="007E631B" w14:textId="77777777" w:rsidR="001B4A13" w:rsidRPr="00743123" w:rsidRDefault="001B4A13" w:rsidP="001B4A13">
            <w:pPr>
              <w:jc w:val="center"/>
              <w:rPr>
                <w:rFonts w:cs="Arial"/>
                <w:b/>
                <w:sz w:val="16"/>
                <w:szCs w:val="16"/>
              </w:rPr>
            </w:pPr>
            <w:r w:rsidRPr="00743123">
              <w:rPr>
                <w:rFonts w:cs="Arial"/>
                <w:b/>
                <w:sz w:val="16"/>
                <w:szCs w:val="16"/>
              </w:rPr>
              <w:t>4.</w:t>
            </w:r>
          </w:p>
        </w:tc>
        <w:tc>
          <w:tcPr>
            <w:tcW w:w="2699" w:type="dxa"/>
            <w:shd w:val="clear" w:color="auto" w:fill="DBE5F1"/>
            <w:vAlign w:val="center"/>
          </w:tcPr>
          <w:p w14:paraId="0BACAF05" w14:textId="77777777" w:rsidR="001B4A13" w:rsidRPr="00A92EB0" w:rsidRDefault="001B4A13" w:rsidP="001B4A13">
            <w:pPr>
              <w:jc w:val="center"/>
              <w:rPr>
                <w:rFonts w:cs="Arial"/>
                <w:b/>
                <w:sz w:val="16"/>
                <w:szCs w:val="16"/>
              </w:rPr>
            </w:pPr>
            <w:r w:rsidRPr="00A92EB0">
              <w:rPr>
                <w:rFonts w:cs="Arial"/>
                <w:b/>
                <w:sz w:val="16"/>
                <w:szCs w:val="16"/>
              </w:rPr>
              <w:t>Określenie aspektów społecznych w kryteriach oceny ofert</w:t>
            </w:r>
          </w:p>
        </w:tc>
        <w:tc>
          <w:tcPr>
            <w:tcW w:w="1554" w:type="dxa"/>
            <w:vAlign w:val="center"/>
          </w:tcPr>
          <w:p w14:paraId="7AC30CBC" w14:textId="254EB8A6" w:rsidR="001B4A13" w:rsidRPr="00A92EB0" w:rsidRDefault="001B4A13" w:rsidP="001B4A13">
            <w:pPr>
              <w:jc w:val="center"/>
              <w:rPr>
                <w:rFonts w:cs="Arial"/>
                <w:sz w:val="16"/>
                <w:szCs w:val="16"/>
              </w:rPr>
            </w:pPr>
            <w:r w:rsidRPr="00A92EB0">
              <w:rPr>
                <w:rFonts w:cs="Arial"/>
                <w:sz w:val="16"/>
                <w:szCs w:val="16"/>
              </w:rPr>
              <w:t>654</w:t>
            </w:r>
          </w:p>
        </w:tc>
        <w:tc>
          <w:tcPr>
            <w:tcW w:w="2126" w:type="dxa"/>
            <w:vAlign w:val="center"/>
          </w:tcPr>
          <w:p w14:paraId="27CC7D4D" w14:textId="580E8F1C" w:rsidR="001B4A13" w:rsidRPr="00A92EB0" w:rsidRDefault="001B4A13" w:rsidP="001B4A13">
            <w:pPr>
              <w:jc w:val="center"/>
              <w:rPr>
                <w:rFonts w:cs="Arial"/>
                <w:sz w:val="16"/>
                <w:szCs w:val="16"/>
              </w:rPr>
            </w:pPr>
            <w:r w:rsidRPr="00A92EB0">
              <w:rPr>
                <w:rFonts w:cs="Arial"/>
                <w:sz w:val="16"/>
                <w:szCs w:val="16"/>
              </w:rPr>
              <w:t>839 085 814,39 zł</w:t>
            </w:r>
          </w:p>
        </w:tc>
        <w:tc>
          <w:tcPr>
            <w:tcW w:w="1559" w:type="dxa"/>
            <w:vAlign w:val="center"/>
          </w:tcPr>
          <w:p w14:paraId="6AEFAB8B" w14:textId="4194FC5A" w:rsidR="001B4A13" w:rsidRPr="00A92EB0" w:rsidRDefault="001B4A13" w:rsidP="001B4A13">
            <w:pPr>
              <w:jc w:val="center"/>
              <w:rPr>
                <w:rFonts w:cs="Arial"/>
                <w:sz w:val="16"/>
                <w:szCs w:val="16"/>
              </w:rPr>
            </w:pPr>
            <w:r w:rsidRPr="00A92EB0">
              <w:rPr>
                <w:rFonts w:cs="Arial"/>
                <w:sz w:val="16"/>
                <w:szCs w:val="16"/>
              </w:rPr>
              <w:t>384</w:t>
            </w:r>
          </w:p>
        </w:tc>
        <w:tc>
          <w:tcPr>
            <w:tcW w:w="2127" w:type="dxa"/>
            <w:vAlign w:val="center"/>
          </w:tcPr>
          <w:p w14:paraId="0794D2A9" w14:textId="0BA1DC52" w:rsidR="001B4A13" w:rsidRPr="00A92EB0" w:rsidRDefault="001B4A13" w:rsidP="001B4A13">
            <w:pPr>
              <w:jc w:val="center"/>
              <w:rPr>
                <w:rFonts w:cs="Arial"/>
                <w:sz w:val="16"/>
                <w:szCs w:val="16"/>
              </w:rPr>
            </w:pPr>
            <w:r w:rsidRPr="00A92EB0">
              <w:rPr>
                <w:rFonts w:cs="Arial"/>
                <w:sz w:val="16"/>
                <w:szCs w:val="16"/>
              </w:rPr>
              <w:t>620 263 915,96 zł</w:t>
            </w:r>
          </w:p>
        </w:tc>
        <w:tc>
          <w:tcPr>
            <w:tcW w:w="1559" w:type="dxa"/>
            <w:vAlign w:val="center"/>
          </w:tcPr>
          <w:p w14:paraId="736244E1" w14:textId="13E36577" w:rsidR="001B4A13" w:rsidRPr="001B4A13" w:rsidRDefault="001B4A13" w:rsidP="001B4A13">
            <w:pPr>
              <w:jc w:val="center"/>
              <w:rPr>
                <w:rFonts w:cs="Arial"/>
                <w:sz w:val="16"/>
                <w:szCs w:val="16"/>
              </w:rPr>
            </w:pPr>
            <w:r w:rsidRPr="001B4A13">
              <w:rPr>
                <w:rFonts w:cs="Arial"/>
                <w:sz w:val="16"/>
                <w:szCs w:val="16"/>
              </w:rPr>
              <w:t>467</w:t>
            </w:r>
          </w:p>
        </w:tc>
        <w:tc>
          <w:tcPr>
            <w:tcW w:w="2268" w:type="dxa"/>
            <w:vAlign w:val="center"/>
          </w:tcPr>
          <w:p w14:paraId="1BF96161" w14:textId="15B85429" w:rsidR="001B4A13" w:rsidRPr="001B4A13" w:rsidRDefault="001B4A13" w:rsidP="001B4A13">
            <w:pPr>
              <w:jc w:val="center"/>
              <w:rPr>
                <w:rFonts w:cs="Arial"/>
                <w:sz w:val="16"/>
                <w:szCs w:val="16"/>
              </w:rPr>
            </w:pPr>
            <w:r w:rsidRPr="001B4A13">
              <w:rPr>
                <w:rFonts w:cs="Arial"/>
                <w:sz w:val="16"/>
                <w:szCs w:val="16"/>
              </w:rPr>
              <w:t>2 265 257 739,45 zł</w:t>
            </w:r>
          </w:p>
        </w:tc>
      </w:tr>
      <w:tr w:rsidR="001B4A13" w:rsidRPr="00A92EB0" w14:paraId="2102A6ED" w14:textId="77777777" w:rsidTr="001D7742">
        <w:tc>
          <w:tcPr>
            <w:tcW w:w="562" w:type="dxa"/>
            <w:shd w:val="clear" w:color="auto" w:fill="DBE5F1"/>
            <w:vAlign w:val="center"/>
          </w:tcPr>
          <w:p w14:paraId="7267A740" w14:textId="77777777" w:rsidR="001B4A13" w:rsidRPr="00743123" w:rsidRDefault="001B4A13" w:rsidP="001B4A13">
            <w:pPr>
              <w:jc w:val="center"/>
              <w:rPr>
                <w:rFonts w:cs="Arial"/>
                <w:b/>
                <w:sz w:val="16"/>
                <w:szCs w:val="16"/>
              </w:rPr>
            </w:pPr>
            <w:r w:rsidRPr="00743123">
              <w:rPr>
                <w:rFonts w:cs="Arial"/>
                <w:b/>
                <w:sz w:val="16"/>
                <w:szCs w:val="16"/>
              </w:rPr>
              <w:t>5.</w:t>
            </w:r>
          </w:p>
        </w:tc>
        <w:tc>
          <w:tcPr>
            <w:tcW w:w="2699" w:type="dxa"/>
            <w:shd w:val="clear" w:color="auto" w:fill="DBE5F1"/>
            <w:vAlign w:val="center"/>
          </w:tcPr>
          <w:p w14:paraId="0D884680" w14:textId="77777777" w:rsidR="001B4A13" w:rsidRPr="00A92EB0" w:rsidRDefault="001B4A13" w:rsidP="001B4A13">
            <w:pPr>
              <w:jc w:val="center"/>
              <w:rPr>
                <w:rFonts w:cs="Arial"/>
                <w:b/>
                <w:sz w:val="16"/>
                <w:szCs w:val="16"/>
              </w:rPr>
            </w:pPr>
            <w:r w:rsidRPr="00A92EB0">
              <w:rPr>
                <w:rFonts w:cs="Arial"/>
                <w:b/>
                <w:sz w:val="16"/>
                <w:szCs w:val="16"/>
              </w:rPr>
              <w:t>Określenie w opisie przedmiotu zamówienia wymagań w zakresie dostępności dla osób niepełnosprawnych lub projektowania z przeznaczeniem dla wszystkich</w:t>
            </w:r>
          </w:p>
        </w:tc>
        <w:tc>
          <w:tcPr>
            <w:tcW w:w="1554" w:type="dxa"/>
            <w:vAlign w:val="center"/>
          </w:tcPr>
          <w:p w14:paraId="400566E7" w14:textId="5B8DDE2D" w:rsidR="001B4A13" w:rsidRPr="00A92EB0" w:rsidRDefault="001B4A13" w:rsidP="001B4A13">
            <w:pPr>
              <w:jc w:val="center"/>
              <w:rPr>
                <w:rFonts w:cs="Arial"/>
                <w:sz w:val="16"/>
                <w:szCs w:val="16"/>
              </w:rPr>
            </w:pPr>
            <w:r w:rsidRPr="00A92EB0">
              <w:rPr>
                <w:rFonts w:cs="Arial"/>
                <w:sz w:val="16"/>
                <w:szCs w:val="16"/>
              </w:rPr>
              <w:t>344</w:t>
            </w:r>
          </w:p>
        </w:tc>
        <w:tc>
          <w:tcPr>
            <w:tcW w:w="2126" w:type="dxa"/>
            <w:vAlign w:val="center"/>
          </w:tcPr>
          <w:p w14:paraId="2A4993EC" w14:textId="6C913A83" w:rsidR="001B4A13" w:rsidRPr="00A92EB0" w:rsidRDefault="001B4A13" w:rsidP="001B4A13">
            <w:pPr>
              <w:jc w:val="center"/>
              <w:rPr>
                <w:rFonts w:cs="Arial"/>
                <w:sz w:val="16"/>
                <w:szCs w:val="16"/>
              </w:rPr>
            </w:pPr>
            <w:r w:rsidRPr="00A92EB0">
              <w:rPr>
                <w:rFonts w:cs="Arial"/>
                <w:sz w:val="16"/>
                <w:szCs w:val="16"/>
              </w:rPr>
              <w:t>5 349 335 501,31 zł</w:t>
            </w:r>
          </w:p>
        </w:tc>
        <w:tc>
          <w:tcPr>
            <w:tcW w:w="1559" w:type="dxa"/>
            <w:vAlign w:val="center"/>
          </w:tcPr>
          <w:p w14:paraId="63BC7CB4" w14:textId="1A7EAF73" w:rsidR="001B4A13" w:rsidRPr="00A92EB0" w:rsidRDefault="001B4A13" w:rsidP="001B4A13">
            <w:pPr>
              <w:jc w:val="center"/>
              <w:rPr>
                <w:rFonts w:cs="Arial"/>
                <w:sz w:val="16"/>
                <w:szCs w:val="16"/>
              </w:rPr>
            </w:pPr>
            <w:r w:rsidRPr="00A92EB0">
              <w:rPr>
                <w:rFonts w:cs="Arial"/>
                <w:sz w:val="16"/>
                <w:szCs w:val="16"/>
              </w:rPr>
              <w:t>250</w:t>
            </w:r>
          </w:p>
        </w:tc>
        <w:tc>
          <w:tcPr>
            <w:tcW w:w="2127" w:type="dxa"/>
            <w:vAlign w:val="center"/>
          </w:tcPr>
          <w:p w14:paraId="5108F987" w14:textId="091D8BFF" w:rsidR="001B4A13" w:rsidRPr="00A92EB0" w:rsidRDefault="001B4A13" w:rsidP="001B4A13">
            <w:pPr>
              <w:jc w:val="center"/>
              <w:rPr>
                <w:rFonts w:cs="Arial"/>
                <w:sz w:val="16"/>
                <w:szCs w:val="16"/>
              </w:rPr>
            </w:pPr>
            <w:r w:rsidRPr="00A92EB0">
              <w:rPr>
                <w:rFonts w:cs="Arial"/>
                <w:sz w:val="16"/>
                <w:szCs w:val="16"/>
              </w:rPr>
              <w:t>706 795 197,48 zł</w:t>
            </w:r>
          </w:p>
        </w:tc>
        <w:tc>
          <w:tcPr>
            <w:tcW w:w="1559" w:type="dxa"/>
            <w:vAlign w:val="center"/>
          </w:tcPr>
          <w:p w14:paraId="60599EB6" w14:textId="5B8158C6" w:rsidR="001B4A13" w:rsidRPr="001B4A13" w:rsidRDefault="001B4A13" w:rsidP="001B4A13">
            <w:pPr>
              <w:jc w:val="center"/>
              <w:rPr>
                <w:rFonts w:cs="Arial"/>
                <w:sz w:val="16"/>
                <w:szCs w:val="16"/>
              </w:rPr>
            </w:pPr>
            <w:r w:rsidRPr="001B4A13">
              <w:rPr>
                <w:rFonts w:cs="Arial"/>
                <w:sz w:val="16"/>
                <w:szCs w:val="16"/>
              </w:rPr>
              <w:t>580</w:t>
            </w:r>
          </w:p>
        </w:tc>
        <w:tc>
          <w:tcPr>
            <w:tcW w:w="2268" w:type="dxa"/>
            <w:vAlign w:val="center"/>
          </w:tcPr>
          <w:p w14:paraId="692A90D2" w14:textId="0C378065" w:rsidR="001B4A13" w:rsidRPr="001B4A13" w:rsidRDefault="001B4A13" w:rsidP="001B4A13">
            <w:pPr>
              <w:jc w:val="center"/>
              <w:rPr>
                <w:rFonts w:cs="Arial"/>
                <w:sz w:val="16"/>
                <w:szCs w:val="16"/>
              </w:rPr>
            </w:pPr>
            <w:r w:rsidRPr="001B4A13">
              <w:rPr>
                <w:rFonts w:cs="Arial"/>
                <w:sz w:val="16"/>
                <w:szCs w:val="16"/>
              </w:rPr>
              <w:t>7 833 709 350,03 zł</w:t>
            </w:r>
          </w:p>
        </w:tc>
      </w:tr>
      <w:tr w:rsidR="001B4A13" w:rsidRPr="00A92EB0" w14:paraId="146AC928" w14:textId="77777777" w:rsidTr="001D7742">
        <w:tc>
          <w:tcPr>
            <w:tcW w:w="562" w:type="dxa"/>
            <w:shd w:val="clear" w:color="auto" w:fill="DBE5F1"/>
            <w:vAlign w:val="center"/>
          </w:tcPr>
          <w:p w14:paraId="7DCA9561" w14:textId="77777777" w:rsidR="001B4A13" w:rsidRPr="00743123" w:rsidRDefault="001B4A13" w:rsidP="001B4A13">
            <w:pPr>
              <w:jc w:val="center"/>
              <w:rPr>
                <w:rFonts w:cs="Arial"/>
                <w:b/>
                <w:sz w:val="16"/>
                <w:szCs w:val="16"/>
              </w:rPr>
            </w:pPr>
            <w:r w:rsidRPr="00743123">
              <w:rPr>
                <w:rFonts w:cs="Arial"/>
                <w:b/>
                <w:sz w:val="16"/>
                <w:szCs w:val="16"/>
              </w:rPr>
              <w:t>6.</w:t>
            </w:r>
          </w:p>
        </w:tc>
        <w:tc>
          <w:tcPr>
            <w:tcW w:w="2699" w:type="dxa"/>
            <w:shd w:val="clear" w:color="auto" w:fill="DBE5F1"/>
            <w:vAlign w:val="center"/>
          </w:tcPr>
          <w:p w14:paraId="5FD1AEC9" w14:textId="77777777" w:rsidR="001B4A13" w:rsidRPr="00A92EB0" w:rsidRDefault="001B4A13" w:rsidP="001B4A13">
            <w:pPr>
              <w:jc w:val="center"/>
              <w:rPr>
                <w:rFonts w:cs="Arial"/>
                <w:b/>
                <w:sz w:val="16"/>
                <w:szCs w:val="16"/>
              </w:rPr>
            </w:pPr>
            <w:r w:rsidRPr="00A92EB0">
              <w:rPr>
                <w:rFonts w:cs="Arial"/>
                <w:b/>
                <w:sz w:val="16"/>
                <w:szCs w:val="16"/>
              </w:rPr>
              <w:t>Zamówienia zastrzeżone na usługi zdrowotne, społeczne lub kulturalne</w:t>
            </w:r>
          </w:p>
        </w:tc>
        <w:tc>
          <w:tcPr>
            <w:tcW w:w="1554" w:type="dxa"/>
            <w:vAlign w:val="center"/>
          </w:tcPr>
          <w:p w14:paraId="0A2B3B4D" w14:textId="07263DE9" w:rsidR="001B4A13" w:rsidRPr="00A92EB0" w:rsidRDefault="001B4A13" w:rsidP="001B4A13">
            <w:pPr>
              <w:jc w:val="center"/>
              <w:rPr>
                <w:rFonts w:cs="Arial"/>
                <w:sz w:val="16"/>
                <w:szCs w:val="16"/>
              </w:rPr>
            </w:pPr>
            <w:r w:rsidRPr="00A92EB0">
              <w:rPr>
                <w:rFonts w:cs="Arial"/>
                <w:sz w:val="16"/>
                <w:szCs w:val="16"/>
              </w:rPr>
              <w:t>31</w:t>
            </w:r>
          </w:p>
        </w:tc>
        <w:tc>
          <w:tcPr>
            <w:tcW w:w="2126" w:type="dxa"/>
            <w:vAlign w:val="center"/>
          </w:tcPr>
          <w:p w14:paraId="378EAA20" w14:textId="6121C518" w:rsidR="001B4A13" w:rsidRPr="00A92EB0" w:rsidRDefault="001B4A13" w:rsidP="001B4A13">
            <w:pPr>
              <w:jc w:val="center"/>
              <w:rPr>
                <w:rFonts w:cs="Arial"/>
                <w:sz w:val="16"/>
                <w:szCs w:val="16"/>
              </w:rPr>
            </w:pPr>
            <w:r w:rsidRPr="00A92EB0">
              <w:rPr>
                <w:rFonts w:cs="Arial"/>
                <w:sz w:val="16"/>
                <w:szCs w:val="16"/>
              </w:rPr>
              <w:t>16 318 226,38 zł</w:t>
            </w:r>
          </w:p>
        </w:tc>
        <w:tc>
          <w:tcPr>
            <w:tcW w:w="1559" w:type="dxa"/>
            <w:vAlign w:val="center"/>
          </w:tcPr>
          <w:p w14:paraId="77216D75" w14:textId="6793256C" w:rsidR="001B4A13" w:rsidRPr="00A92EB0" w:rsidRDefault="001B4A13" w:rsidP="001B4A13">
            <w:pPr>
              <w:jc w:val="center"/>
              <w:rPr>
                <w:rFonts w:cs="Arial"/>
                <w:sz w:val="16"/>
                <w:szCs w:val="16"/>
              </w:rPr>
            </w:pPr>
            <w:r w:rsidRPr="00A92EB0">
              <w:rPr>
                <w:rFonts w:cs="Arial"/>
                <w:sz w:val="16"/>
                <w:szCs w:val="16"/>
              </w:rPr>
              <w:t>70</w:t>
            </w:r>
          </w:p>
        </w:tc>
        <w:tc>
          <w:tcPr>
            <w:tcW w:w="2127" w:type="dxa"/>
            <w:vAlign w:val="center"/>
          </w:tcPr>
          <w:p w14:paraId="5871078E" w14:textId="130F9C2B" w:rsidR="001B4A13" w:rsidRPr="00A92EB0" w:rsidRDefault="001B4A13" w:rsidP="001B4A13">
            <w:pPr>
              <w:jc w:val="center"/>
              <w:rPr>
                <w:rFonts w:cs="Arial"/>
                <w:sz w:val="16"/>
                <w:szCs w:val="16"/>
              </w:rPr>
            </w:pPr>
            <w:r w:rsidRPr="00A92EB0">
              <w:rPr>
                <w:rFonts w:cs="Arial"/>
                <w:sz w:val="16"/>
                <w:szCs w:val="16"/>
              </w:rPr>
              <w:t>45 646 276,90 zł</w:t>
            </w:r>
          </w:p>
        </w:tc>
        <w:tc>
          <w:tcPr>
            <w:tcW w:w="1559" w:type="dxa"/>
            <w:vAlign w:val="center"/>
          </w:tcPr>
          <w:p w14:paraId="033BBBB7" w14:textId="48455BB6" w:rsidR="001B4A13" w:rsidRPr="001B4A13" w:rsidRDefault="001B4A13" w:rsidP="001B4A13">
            <w:pPr>
              <w:jc w:val="center"/>
              <w:rPr>
                <w:rFonts w:cs="Arial"/>
                <w:sz w:val="16"/>
                <w:szCs w:val="16"/>
              </w:rPr>
            </w:pPr>
            <w:r w:rsidRPr="001B4A13">
              <w:rPr>
                <w:rFonts w:cs="Arial"/>
                <w:sz w:val="16"/>
                <w:szCs w:val="16"/>
              </w:rPr>
              <w:t>126</w:t>
            </w:r>
          </w:p>
        </w:tc>
        <w:tc>
          <w:tcPr>
            <w:tcW w:w="2268" w:type="dxa"/>
            <w:vAlign w:val="center"/>
          </w:tcPr>
          <w:p w14:paraId="259D08E4" w14:textId="27DC37BA" w:rsidR="001B4A13" w:rsidRPr="001B4A13" w:rsidRDefault="001B4A13" w:rsidP="001B4A13">
            <w:pPr>
              <w:jc w:val="center"/>
              <w:rPr>
                <w:rFonts w:cs="Arial"/>
                <w:sz w:val="16"/>
                <w:szCs w:val="16"/>
              </w:rPr>
            </w:pPr>
            <w:r w:rsidRPr="001B4A13">
              <w:rPr>
                <w:rFonts w:cs="Arial"/>
                <w:sz w:val="16"/>
                <w:szCs w:val="16"/>
              </w:rPr>
              <w:t>68 026 478,81 zł</w:t>
            </w:r>
          </w:p>
        </w:tc>
      </w:tr>
      <w:tr w:rsidR="001B4A13" w:rsidRPr="00A92EB0" w14:paraId="257420DB" w14:textId="77777777" w:rsidTr="001D7742">
        <w:tc>
          <w:tcPr>
            <w:tcW w:w="562" w:type="dxa"/>
            <w:shd w:val="clear" w:color="auto" w:fill="DBE5F1"/>
            <w:vAlign w:val="center"/>
          </w:tcPr>
          <w:p w14:paraId="5FB3C218" w14:textId="77777777" w:rsidR="001B4A13" w:rsidRPr="00743123" w:rsidRDefault="001B4A13" w:rsidP="001B4A13">
            <w:pPr>
              <w:jc w:val="center"/>
              <w:rPr>
                <w:rFonts w:cs="Arial"/>
                <w:b/>
                <w:sz w:val="16"/>
                <w:szCs w:val="16"/>
              </w:rPr>
            </w:pPr>
            <w:r w:rsidRPr="00743123">
              <w:rPr>
                <w:rFonts w:cs="Arial"/>
                <w:b/>
                <w:sz w:val="16"/>
                <w:szCs w:val="16"/>
              </w:rPr>
              <w:t>7.</w:t>
            </w:r>
          </w:p>
        </w:tc>
        <w:tc>
          <w:tcPr>
            <w:tcW w:w="2699" w:type="dxa"/>
            <w:shd w:val="clear" w:color="auto" w:fill="DBE5F1"/>
            <w:vAlign w:val="center"/>
          </w:tcPr>
          <w:p w14:paraId="0E2A0643" w14:textId="77777777" w:rsidR="001B4A13" w:rsidRPr="00A92EB0" w:rsidRDefault="001B4A13" w:rsidP="001B4A13">
            <w:pPr>
              <w:jc w:val="center"/>
              <w:rPr>
                <w:rFonts w:cs="Arial"/>
                <w:b/>
                <w:sz w:val="16"/>
                <w:szCs w:val="16"/>
              </w:rPr>
            </w:pPr>
            <w:r w:rsidRPr="00A92EB0">
              <w:rPr>
                <w:rFonts w:cs="Arial"/>
                <w:b/>
                <w:sz w:val="16"/>
                <w:szCs w:val="16"/>
              </w:rPr>
              <w:t xml:space="preserve">Określenie etykiety związanej z aspektami społecznymi </w:t>
            </w:r>
          </w:p>
        </w:tc>
        <w:tc>
          <w:tcPr>
            <w:tcW w:w="1554" w:type="dxa"/>
            <w:vAlign w:val="center"/>
          </w:tcPr>
          <w:p w14:paraId="7D3EEF42" w14:textId="58E6E1BB" w:rsidR="001B4A13" w:rsidRPr="00A92EB0" w:rsidRDefault="001B4A13" w:rsidP="001B4A13">
            <w:pPr>
              <w:jc w:val="center"/>
              <w:rPr>
                <w:rFonts w:cs="Arial"/>
                <w:sz w:val="16"/>
                <w:szCs w:val="16"/>
              </w:rPr>
            </w:pPr>
            <w:r w:rsidRPr="00A92EB0">
              <w:rPr>
                <w:rFonts w:cs="Arial"/>
                <w:sz w:val="16"/>
                <w:szCs w:val="16"/>
              </w:rPr>
              <w:t>28</w:t>
            </w:r>
          </w:p>
        </w:tc>
        <w:tc>
          <w:tcPr>
            <w:tcW w:w="2126" w:type="dxa"/>
            <w:vAlign w:val="center"/>
          </w:tcPr>
          <w:p w14:paraId="726DBCA5" w14:textId="2C6EA10C" w:rsidR="001B4A13" w:rsidRPr="00A92EB0" w:rsidRDefault="001B4A13" w:rsidP="001B4A13">
            <w:pPr>
              <w:jc w:val="center"/>
              <w:rPr>
                <w:rFonts w:cs="Arial"/>
                <w:sz w:val="16"/>
                <w:szCs w:val="16"/>
              </w:rPr>
            </w:pPr>
            <w:r w:rsidRPr="00A92EB0">
              <w:rPr>
                <w:rFonts w:cs="Arial"/>
                <w:sz w:val="16"/>
                <w:szCs w:val="16"/>
              </w:rPr>
              <w:t>20 785 840,30 zł</w:t>
            </w:r>
          </w:p>
        </w:tc>
        <w:tc>
          <w:tcPr>
            <w:tcW w:w="1559" w:type="dxa"/>
            <w:vAlign w:val="center"/>
          </w:tcPr>
          <w:p w14:paraId="76EB07F0" w14:textId="2B25023B" w:rsidR="001B4A13" w:rsidRPr="00A92EB0" w:rsidRDefault="001B4A13" w:rsidP="001B4A13">
            <w:pPr>
              <w:jc w:val="center"/>
              <w:rPr>
                <w:rFonts w:cs="Arial"/>
                <w:sz w:val="16"/>
                <w:szCs w:val="16"/>
              </w:rPr>
            </w:pPr>
            <w:r w:rsidRPr="00A92EB0">
              <w:rPr>
                <w:rFonts w:cs="Arial"/>
                <w:sz w:val="16"/>
                <w:szCs w:val="16"/>
              </w:rPr>
              <w:t>46</w:t>
            </w:r>
          </w:p>
        </w:tc>
        <w:tc>
          <w:tcPr>
            <w:tcW w:w="2127" w:type="dxa"/>
            <w:vAlign w:val="center"/>
          </w:tcPr>
          <w:p w14:paraId="319C8816" w14:textId="45D3661A" w:rsidR="001B4A13" w:rsidRPr="00A92EB0" w:rsidRDefault="001B4A13" w:rsidP="001B4A13">
            <w:pPr>
              <w:jc w:val="center"/>
              <w:rPr>
                <w:rFonts w:cs="Arial"/>
                <w:sz w:val="16"/>
                <w:szCs w:val="16"/>
              </w:rPr>
            </w:pPr>
            <w:r w:rsidRPr="00A92EB0">
              <w:rPr>
                <w:rFonts w:cs="Arial"/>
                <w:sz w:val="16"/>
                <w:szCs w:val="16"/>
              </w:rPr>
              <w:t>28 758 270,34 zł</w:t>
            </w:r>
          </w:p>
        </w:tc>
        <w:tc>
          <w:tcPr>
            <w:tcW w:w="1559" w:type="dxa"/>
            <w:vAlign w:val="center"/>
          </w:tcPr>
          <w:p w14:paraId="5D1D7E3F" w14:textId="46528F8B" w:rsidR="001B4A13" w:rsidRPr="001B4A13" w:rsidRDefault="001B4A13" w:rsidP="001B4A13">
            <w:pPr>
              <w:jc w:val="center"/>
              <w:rPr>
                <w:rFonts w:cs="Arial"/>
                <w:sz w:val="16"/>
                <w:szCs w:val="16"/>
              </w:rPr>
            </w:pPr>
            <w:r w:rsidRPr="001B4A13">
              <w:rPr>
                <w:rFonts w:cs="Arial"/>
                <w:sz w:val="16"/>
                <w:szCs w:val="16"/>
              </w:rPr>
              <w:t>52</w:t>
            </w:r>
          </w:p>
        </w:tc>
        <w:tc>
          <w:tcPr>
            <w:tcW w:w="2268" w:type="dxa"/>
            <w:vAlign w:val="center"/>
          </w:tcPr>
          <w:p w14:paraId="4F8110F3" w14:textId="6859B171" w:rsidR="001B4A13" w:rsidRPr="001B4A13" w:rsidRDefault="001B4A13" w:rsidP="001B4A13">
            <w:pPr>
              <w:jc w:val="center"/>
              <w:rPr>
                <w:rFonts w:cs="Arial"/>
                <w:sz w:val="16"/>
                <w:szCs w:val="16"/>
              </w:rPr>
            </w:pPr>
            <w:r w:rsidRPr="001B4A13">
              <w:rPr>
                <w:rFonts w:cs="Arial"/>
                <w:sz w:val="16"/>
                <w:szCs w:val="16"/>
              </w:rPr>
              <w:t>55 127 041,29 zł</w:t>
            </w:r>
          </w:p>
        </w:tc>
      </w:tr>
    </w:tbl>
    <w:p w14:paraId="5AB73F1D" w14:textId="77777777" w:rsidR="007E53CC" w:rsidRPr="001D7742" w:rsidRDefault="007E53CC" w:rsidP="00D2318D">
      <w:pPr>
        <w:rPr>
          <w:sz w:val="16"/>
          <w:szCs w:val="16"/>
        </w:rPr>
      </w:pPr>
    </w:p>
    <w:p w14:paraId="149F034C" w14:textId="77777777" w:rsidR="007E53CC" w:rsidRPr="00296FE3" w:rsidRDefault="007E53CC" w:rsidP="007E53CC">
      <w:pPr>
        <w:rPr>
          <w:sz w:val="16"/>
          <w:szCs w:val="16"/>
        </w:rPr>
      </w:pPr>
      <w:r w:rsidRPr="00296FE3">
        <w:rPr>
          <w:rFonts w:cs="Arial"/>
          <w:b/>
          <w:sz w:val="16"/>
          <w:szCs w:val="16"/>
          <w:u w:val="single"/>
        </w:rPr>
        <w:t>UWAGA:</w:t>
      </w:r>
      <w:r w:rsidRPr="00296FE3">
        <w:rPr>
          <w:rFonts w:cs="Arial"/>
          <w:sz w:val="16"/>
          <w:szCs w:val="16"/>
        </w:rPr>
        <w:t xml:space="preserve"> Liczba zamówień publicznych z zastosowanymi aspektami społecznymi jest większa niż łączna liczba społecznych zamówień publicznych ze względu na przypadki zastosowania więcej niż jednego aspektu społecznego w jednym zamówieniu.</w:t>
      </w:r>
    </w:p>
    <w:p w14:paraId="1B7E5340" w14:textId="61ECABC0" w:rsidR="007E53CC" w:rsidRDefault="007E53CC" w:rsidP="00D2318D">
      <w:pPr>
        <w:rPr>
          <w:szCs w:val="22"/>
        </w:rPr>
      </w:pPr>
    </w:p>
    <w:p w14:paraId="5C6C5D58" w14:textId="77777777" w:rsidR="00735A32" w:rsidRDefault="00735A32" w:rsidP="00D2318D">
      <w:pPr>
        <w:rPr>
          <w:szCs w:val="22"/>
        </w:rPr>
        <w:sectPr w:rsidR="00735A32" w:rsidSect="00CC77CA">
          <w:pgSz w:w="16838" w:h="11906" w:orient="landscape"/>
          <w:pgMar w:top="1418" w:right="1418" w:bottom="1418" w:left="1418" w:header="709" w:footer="709" w:gutter="0"/>
          <w:cols w:space="708"/>
          <w:docGrid w:linePitch="299"/>
        </w:sectPr>
      </w:pPr>
    </w:p>
    <w:tbl>
      <w:tblPr>
        <w:tblW w:w="14317" w:type="dxa"/>
        <w:tblLayout w:type="fixed"/>
        <w:tblLook w:val="04A0" w:firstRow="1" w:lastRow="0" w:firstColumn="1" w:lastColumn="0" w:noHBand="0" w:noVBand="1"/>
      </w:tblPr>
      <w:tblGrid>
        <w:gridCol w:w="14034"/>
        <w:gridCol w:w="283"/>
      </w:tblGrid>
      <w:tr w:rsidR="002A1EF3" w:rsidRPr="00A855CF" w14:paraId="21C97F63" w14:textId="77777777" w:rsidTr="00D50E39">
        <w:tc>
          <w:tcPr>
            <w:tcW w:w="14034" w:type="dxa"/>
            <w:shd w:val="clear" w:color="auto" w:fill="auto"/>
          </w:tcPr>
          <w:p w14:paraId="0EB369DD" w14:textId="5FB416B7" w:rsidR="002A1EF3" w:rsidRPr="00D2016D" w:rsidRDefault="002A1EF3" w:rsidP="002A1EF3">
            <w:pPr>
              <w:spacing w:before="120" w:after="120"/>
              <w:jc w:val="right"/>
              <w:rPr>
                <w:b/>
                <w:color w:val="0070C0"/>
              </w:rPr>
            </w:pPr>
            <w:r w:rsidRPr="00D2016D">
              <w:rPr>
                <w:color w:val="0070C0"/>
                <w:szCs w:val="22"/>
              </w:rPr>
              <w:br w:type="page"/>
            </w:r>
            <w:r w:rsidRPr="00D2016D">
              <w:rPr>
                <w:color w:val="0070C0"/>
                <w:szCs w:val="22"/>
              </w:rPr>
              <w:br w:type="page"/>
            </w:r>
            <w:r w:rsidRPr="00D2016D">
              <w:rPr>
                <w:color w:val="0070C0"/>
                <w:sz w:val="20"/>
                <w:szCs w:val="20"/>
              </w:rPr>
              <w:br w:type="page"/>
            </w:r>
            <w:bookmarkStart w:id="289" w:name="Zał_9"/>
            <w:bookmarkEnd w:id="289"/>
            <w:r w:rsidRPr="00D2016D">
              <w:rPr>
                <w:b/>
                <w:color w:val="0070C0"/>
              </w:rPr>
              <w:t xml:space="preserve">Załącznik nr </w:t>
            </w:r>
            <w:r>
              <w:rPr>
                <w:b/>
                <w:color w:val="0070C0"/>
              </w:rPr>
              <w:t>9</w:t>
            </w:r>
          </w:p>
        </w:tc>
        <w:tc>
          <w:tcPr>
            <w:tcW w:w="283" w:type="dxa"/>
            <w:shd w:val="clear" w:color="auto" w:fill="2E74B5"/>
          </w:tcPr>
          <w:p w14:paraId="13F10E97" w14:textId="77777777" w:rsidR="002A1EF3" w:rsidRPr="00A855CF" w:rsidRDefault="002A1EF3" w:rsidP="00100D6C">
            <w:pPr>
              <w:spacing w:before="120" w:after="120"/>
              <w:jc w:val="right"/>
              <w:rPr>
                <w:b/>
              </w:rPr>
            </w:pPr>
          </w:p>
        </w:tc>
      </w:tr>
    </w:tbl>
    <w:p w14:paraId="4D1194AD" w14:textId="77777777" w:rsidR="002A1EF3" w:rsidRPr="009B50F8" w:rsidRDefault="002A1EF3" w:rsidP="00D2318D">
      <w:pPr>
        <w:rPr>
          <w:sz w:val="16"/>
          <w:szCs w:val="16"/>
        </w:rPr>
      </w:pPr>
    </w:p>
    <w:p w14:paraId="75D020AC" w14:textId="5377D301" w:rsidR="007E53CC" w:rsidRPr="00735A32" w:rsidRDefault="00735A32" w:rsidP="00735A32">
      <w:pPr>
        <w:jc w:val="center"/>
        <w:rPr>
          <w:b/>
          <w:szCs w:val="22"/>
        </w:rPr>
      </w:pPr>
      <w:r w:rsidRPr="00735A32">
        <w:rPr>
          <w:b/>
          <w:szCs w:val="22"/>
        </w:rPr>
        <w:t>Dane dotyczące zamówień udzielonych przez jednostki administracji rządowej, w których odwołano się do odpowiednich instrumentów środowiskowych</w:t>
      </w:r>
    </w:p>
    <w:p w14:paraId="57E9CE44" w14:textId="4D24A434" w:rsidR="00100D6C" w:rsidRDefault="00100D6C" w:rsidP="00D2318D">
      <w:pPr>
        <w:rPr>
          <w:szCs w:val="22"/>
        </w:rPr>
      </w:pPr>
    </w:p>
    <w:p w14:paraId="11BC36A3" w14:textId="77777777" w:rsidR="00E37A4E" w:rsidRPr="00100D6C" w:rsidRDefault="00E37A4E" w:rsidP="00D2318D">
      <w:pPr>
        <w:rPr>
          <w:szCs w:val="22"/>
        </w:rPr>
      </w:pPr>
    </w:p>
    <w:p w14:paraId="6326EEC9" w14:textId="77777777" w:rsidR="009B50F8" w:rsidRPr="009B50F8" w:rsidRDefault="009B50F8" w:rsidP="009B50F8">
      <w:pPr>
        <w:jc w:val="center"/>
        <w:rPr>
          <w:b/>
        </w:rPr>
      </w:pPr>
      <w:r w:rsidRPr="009B50F8">
        <w:rPr>
          <w:b/>
        </w:rPr>
        <w:t>Liczba i wartość zamówień publicznych z danym aspektem środowiskowym udzielonych przez jednostki administracji rządowej</w:t>
      </w:r>
    </w:p>
    <w:p w14:paraId="67A39286" w14:textId="77777777" w:rsidR="009B50F8" w:rsidRPr="00100D6C" w:rsidRDefault="009B50F8" w:rsidP="009B50F8">
      <w:pPr>
        <w:shd w:val="clear" w:color="auto" w:fill="FFFFFF"/>
        <w:rPr>
          <w:rFonts w:cs="Arial"/>
          <w:color w:val="000000"/>
          <w:szCs w:val="22"/>
        </w:rPr>
      </w:pPr>
    </w:p>
    <w:tbl>
      <w:tblPr>
        <w:tblW w:w="11776" w:type="dxa"/>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2719"/>
        <w:gridCol w:w="1701"/>
        <w:gridCol w:w="2301"/>
        <w:gridCol w:w="2001"/>
        <w:gridCol w:w="2001"/>
      </w:tblGrid>
      <w:tr w:rsidR="000E36EB" w:rsidRPr="004A760E" w14:paraId="5C33666A" w14:textId="139C299D" w:rsidTr="000E36EB">
        <w:trPr>
          <w:tblHeader/>
        </w:trPr>
        <w:tc>
          <w:tcPr>
            <w:tcW w:w="3772"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0939020A" w14:textId="77777777" w:rsidR="000E36EB" w:rsidRPr="004A760E" w:rsidRDefault="000E36EB" w:rsidP="00100D6C">
            <w:pPr>
              <w:jc w:val="center"/>
              <w:rPr>
                <w:rFonts w:cs="Arial"/>
                <w:b/>
                <w:sz w:val="16"/>
                <w:szCs w:val="16"/>
              </w:rPr>
            </w:pPr>
            <w:r w:rsidRPr="004A760E">
              <w:rPr>
                <w:rFonts w:cs="Arial"/>
                <w:b/>
                <w:sz w:val="16"/>
                <w:szCs w:val="16"/>
              </w:rPr>
              <w:t>Rok referencyjny</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vAlign w:val="center"/>
          </w:tcPr>
          <w:p w14:paraId="6B0FE790" w14:textId="77777777" w:rsidR="000E36EB" w:rsidRPr="004A760E" w:rsidRDefault="000E36EB" w:rsidP="00100D6C">
            <w:pPr>
              <w:jc w:val="center"/>
              <w:rPr>
                <w:rFonts w:cs="Arial"/>
                <w:b/>
                <w:bCs/>
                <w:sz w:val="16"/>
                <w:szCs w:val="16"/>
              </w:rPr>
            </w:pPr>
            <w:r w:rsidRPr="004A760E">
              <w:rPr>
                <w:rFonts w:cs="Arial"/>
                <w:b/>
                <w:bCs/>
                <w:sz w:val="16"/>
                <w:szCs w:val="16"/>
              </w:rPr>
              <w:t>2021 r.</w:t>
            </w:r>
          </w:p>
        </w:tc>
        <w:tc>
          <w:tcPr>
            <w:tcW w:w="4002" w:type="dxa"/>
            <w:gridSpan w:val="2"/>
            <w:tcBorders>
              <w:top w:val="single" w:sz="4" w:space="0" w:color="auto"/>
              <w:left w:val="single" w:sz="4" w:space="0" w:color="auto"/>
              <w:bottom w:val="single" w:sz="4" w:space="0" w:color="auto"/>
              <w:right w:val="single" w:sz="4" w:space="0" w:color="auto"/>
            </w:tcBorders>
            <w:shd w:val="clear" w:color="auto" w:fill="C5E0B3"/>
          </w:tcPr>
          <w:p w14:paraId="68F53696" w14:textId="10A81A6B" w:rsidR="000E36EB" w:rsidRPr="004A760E" w:rsidRDefault="000E36EB" w:rsidP="00100D6C">
            <w:pPr>
              <w:jc w:val="center"/>
              <w:rPr>
                <w:rFonts w:cs="Arial"/>
                <w:b/>
                <w:bCs/>
                <w:sz w:val="16"/>
                <w:szCs w:val="16"/>
              </w:rPr>
            </w:pPr>
            <w:r>
              <w:rPr>
                <w:rFonts w:cs="Arial"/>
                <w:b/>
                <w:bCs/>
                <w:sz w:val="16"/>
                <w:szCs w:val="16"/>
              </w:rPr>
              <w:t>2022 r.</w:t>
            </w:r>
          </w:p>
        </w:tc>
      </w:tr>
      <w:tr w:rsidR="000E36EB" w:rsidRPr="004A760E" w14:paraId="7C94648C" w14:textId="223C0E6E" w:rsidTr="000E36EB">
        <w:trPr>
          <w:tblHeader/>
        </w:trPr>
        <w:tc>
          <w:tcPr>
            <w:tcW w:w="1053" w:type="dxa"/>
            <w:tcBorders>
              <w:top w:val="single" w:sz="4" w:space="0" w:color="auto"/>
              <w:left w:val="single" w:sz="4" w:space="0" w:color="auto"/>
              <w:bottom w:val="single" w:sz="4" w:space="0" w:color="auto"/>
              <w:right w:val="single" w:sz="4" w:space="0" w:color="auto"/>
            </w:tcBorders>
            <w:shd w:val="clear" w:color="auto" w:fill="E2EFD9"/>
            <w:vAlign w:val="center"/>
          </w:tcPr>
          <w:p w14:paraId="3AECC7F3" w14:textId="77777777" w:rsidR="000E36EB" w:rsidRPr="004A760E" w:rsidRDefault="000E36EB" w:rsidP="000E36EB">
            <w:pPr>
              <w:jc w:val="center"/>
              <w:rPr>
                <w:rFonts w:cs="Arial"/>
                <w:b/>
                <w:sz w:val="16"/>
                <w:szCs w:val="16"/>
              </w:rPr>
            </w:pPr>
            <w:r w:rsidRPr="004A760E">
              <w:rPr>
                <w:rFonts w:cs="Arial"/>
                <w:b/>
                <w:sz w:val="16"/>
                <w:szCs w:val="16"/>
              </w:rPr>
              <w:t>Lp.</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tcPr>
          <w:p w14:paraId="28BF8E25" w14:textId="77777777" w:rsidR="000E36EB" w:rsidRPr="004A760E" w:rsidRDefault="000E36EB" w:rsidP="000E36EB">
            <w:pPr>
              <w:jc w:val="center"/>
              <w:rPr>
                <w:rFonts w:cs="Arial"/>
                <w:b/>
                <w:sz w:val="16"/>
                <w:szCs w:val="16"/>
              </w:rPr>
            </w:pPr>
            <w:r w:rsidRPr="004A760E">
              <w:rPr>
                <w:rFonts w:cs="Arial"/>
                <w:b/>
                <w:sz w:val="16"/>
                <w:szCs w:val="16"/>
              </w:rPr>
              <w:t>Aspekt zielony</w:t>
            </w:r>
          </w:p>
        </w:tc>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57BCE540" w14:textId="77777777" w:rsidR="000E36EB" w:rsidRPr="004A760E" w:rsidRDefault="000E36EB" w:rsidP="000E36EB">
            <w:pPr>
              <w:jc w:val="center"/>
              <w:rPr>
                <w:rFonts w:cs="Arial"/>
                <w:b/>
                <w:bCs/>
                <w:sz w:val="16"/>
                <w:szCs w:val="16"/>
              </w:rPr>
            </w:pPr>
            <w:r w:rsidRPr="004A760E">
              <w:rPr>
                <w:rFonts w:cs="Arial"/>
                <w:b/>
                <w:bCs/>
                <w:sz w:val="16"/>
                <w:szCs w:val="16"/>
              </w:rPr>
              <w:t>Liczba zamówień z zastosowaniem danego aspektu</w:t>
            </w:r>
          </w:p>
        </w:tc>
        <w:tc>
          <w:tcPr>
            <w:tcW w:w="2301" w:type="dxa"/>
            <w:tcBorders>
              <w:top w:val="single" w:sz="4" w:space="0" w:color="auto"/>
              <w:left w:val="single" w:sz="4" w:space="0" w:color="auto"/>
              <w:bottom w:val="single" w:sz="4" w:space="0" w:color="auto"/>
              <w:right w:val="single" w:sz="4" w:space="0" w:color="auto"/>
            </w:tcBorders>
            <w:shd w:val="clear" w:color="auto" w:fill="E2EFD9"/>
            <w:vAlign w:val="center"/>
          </w:tcPr>
          <w:p w14:paraId="04B3B0DB" w14:textId="77777777" w:rsidR="000E36EB" w:rsidRPr="004A760E" w:rsidRDefault="000E36EB" w:rsidP="000E36EB">
            <w:pPr>
              <w:jc w:val="center"/>
              <w:rPr>
                <w:rFonts w:cs="Arial"/>
                <w:b/>
                <w:bCs/>
                <w:sz w:val="16"/>
                <w:szCs w:val="16"/>
              </w:rPr>
            </w:pPr>
            <w:r w:rsidRPr="004A760E">
              <w:rPr>
                <w:rFonts w:cs="Arial"/>
                <w:b/>
                <w:bCs/>
                <w:sz w:val="16"/>
                <w:szCs w:val="16"/>
              </w:rPr>
              <w:t>Wartość zamówień z zastosowaniem danego aspektu</w:t>
            </w:r>
          </w:p>
        </w:tc>
        <w:tc>
          <w:tcPr>
            <w:tcW w:w="2001" w:type="dxa"/>
            <w:tcBorders>
              <w:top w:val="single" w:sz="4" w:space="0" w:color="auto"/>
              <w:left w:val="single" w:sz="4" w:space="0" w:color="auto"/>
              <w:bottom w:val="single" w:sz="4" w:space="0" w:color="auto"/>
              <w:right w:val="single" w:sz="4" w:space="0" w:color="auto"/>
            </w:tcBorders>
            <w:shd w:val="clear" w:color="auto" w:fill="E2EFD9"/>
            <w:vAlign w:val="center"/>
          </w:tcPr>
          <w:p w14:paraId="00D018F2" w14:textId="5B428797" w:rsidR="000E36EB" w:rsidRPr="004A760E" w:rsidRDefault="000E36EB" w:rsidP="000E36EB">
            <w:pPr>
              <w:jc w:val="center"/>
              <w:rPr>
                <w:rFonts w:cs="Arial"/>
                <w:b/>
                <w:bCs/>
                <w:sz w:val="16"/>
                <w:szCs w:val="16"/>
              </w:rPr>
            </w:pPr>
            <w:r w:rsidRPr="004A760E">
              <w:rPr>
                <w:rFonts w:cs="Arial"/>
                <w:b/>
                <w:bCs/>
                <w:sz w:val="16"/>
                <w:szCs w:val="16"/>
              </w:rPr>
              <w:t>Liczba zamówień z zastosowaniem danego aspektu</w:t>
            </w:r>
          </w:p>
        </w:tc>
        <w:tc>
          <w:tcPr>
            <w:tcW w:w="2001" w:type="dxa"/>
            <w:tcBorders>
              <w:top w:val="single" w:sz="4" w:space="0" w:color="auto"/>
              <w:left w:val="single" w:sz="4" w:space="0" w:color="auto"/>
              <w:bottom w:val="single" w:sz="4" w:space="0" w:color="auto"/>
              <w:right w:val="single" w:sz="4" w:space="0" w:color="auto"/>
            </w:tcBorders>
            <w:shd w:val="clear" w:color="auto" w:fill="E2EFD9"/>
            <w:vAlign w:val="center"/>
          </w:tcPr>
          <w:p w14:paraId="7502680D" w14:textId="22589CC6" w:rsidR="000E36EB" w:rsidRPr="004A760E" w:rsidRDefault="000E36EB" w:rsidP="000E36EB">
            <w:pPr>
              <w:jc w:val="center"/>
              <w:rPr>
                <w:rFonts w:cs="Arial"/>
                <w:b/>
                <w:bCs/>
                <w:sz w:val="16"/>
                <w:szCs w:val="16"/>
              </w:rPr>
            </w:pPr>
            <w:r w:rsidRPr="004A760E">
              <w:rPr>
                <w:rFonts w:cs="Arial"/>
                <w:b/>
                <w:bCs/>
                <w:sz w:val="16"/>
                <w:szCs w:val="16"/>
              </w:rPr>
              <w:t>Wartość zamówień z zastosowaniem danego aspektu</w:t>
            </w:r>
          </w:p>
        </w:tc>
      </w:tr>
      <w:tr w:rsidR="000E36EB" w:rsidRPr="004A760E" w14:paraId="131026AB" w14:textId="785EAF9C"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tcPr>
          <w:p w14:paraId="63E24864" w14:textId="77777777" w:rsidR="000E36EB" w:rsidRPr="004A760E" w:rsidRDefault="000E36EB" w:rsidP="000E36EB">
            <w:pPr>
              <w:jc w:val="center"/>
              <w:rPr>
                <w:rFonts w:cs="Arial"/>
                <w:sz w:val="16"/>
                <w:szCs w:val="16"/>
              </w:rPr>
            </w:pPr>
            <w:r w:rsidRPr="004A760E">
              <w:rPr>
                <w:rFonts w:cs="Arial"/>
                <w:sz w:val="16"/>
                <w:szCs w:val="16"/>
              </w:rPr>
              <w:t>1.</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tcPr>
          <w:p w14:paraId="7B001624" w14:textId="77777777" w:rsidR="000E36EB" w:rsidRPr="004A760E" w:rsidRDefault="000E36EB" w:rsidP="000E36EB">
            <w:pPr>
              <w:jc w:val="center"/>
              <w:rPr>
                <w:rFonts w:cs="Arial"/>
                <w:b/>
                <w:sz w:val="16"/>
                <w:szCs w:val="16"/>
              </w:rPr>
            </w:pPr>
            <w:r w:rsidRPr="004A760E">
              <w:rPr>
                <w:b/>
                <w:sz w:val="16"/>
                <w:szCs w:val="16"/>
              </w:rPr>
              <w:t>Określenie w opisie przedmiotu zamówienia wymagań środowiskowych</w:t>
            </w:r>
          </w:p>
        </w:tc>
        <w:tc>
          <w:tcPr>
            <w:tcW w:w="1701" w:type="dxa"/>
            <w:tcBorders>
              <w:top w:val="single" w:sz="4" w:space="0" w:color="auto"/>
              <w:left w:val="single" w:sz="4" w:space="0" w:color="auto"/>
              <w:bottom w:val="single" w:sz="4" w:space="0" w:color="auto"/>
              <w:right w:val="single" w:sz="4" w:space="0" w:color="auto"/>
            </w:tcBorders>
            <w:vAlign w:val="center"/>
          </w:tcPr>
          <w:p w14:paraId="4D5E5FE8" w14:textId="77777777" w:rsidR="000E36EB" w:rsidRPr="004A760E" w:rsidRDefault="000E36EB" w:rsidP="000E36EB">
            <w:pPr>
              <w:jc w:val="center"/>
              <w:rPr>
                <w:rFonts w:cs="Arial"/>
                <w:sz w:val="16"/>
                <w:szCs w:val="16"/>
              </w:rPr>
            </w:pPr>
            <w:r w:rsidRPr="004A760E">
              <w:rPr>
                <w:rFonts w:cs="Arial"/>
                <w:sz w:val="16"/>
                <w:szCs w:val="16"/>
              </w:rPr>
              <w:t>252</w:t>
            </w:r>
          </w:p>
        </w:tc>
        <w:tc>
          <w:tcPr>
            <w:tcW w:w="2301" w:type="dxa"/>
            <w:tcBorders>
              <w:top w:val="single" w:sz="4" w:space="0" w:color="auto"/>
              <w:left w:val="single" w:sz="4" w:space="0" w:color="auto"/>
              <w:bottom w:val="single" w:sz="4" w:space="0" w:color="auto"/>
              <w:right w:val="single" w:sz="4" w:space="0" w:color="auto"/>
            </w:tcBorders>
            <w:vAlign w:val="center"/>
          </w:tcPr>
          <w:p w14:paraId="5C99CB11" w14:textId="3BF1D655" w:rsidR="000E36EB" w:rsidRPr="004A760E" w:rsidRDefault="000E36EB" w:rsidP="000E36EB">
            <w:pPr>
              <w:jc w:val="center"/>
              <w:rPr>
                <w:rFonts w:cs="Arial"/>
                <w:sz w:val="16"/>
                <w:szCs w:val="16"/>
              </w:rPr>
            </w:pPr>
            <w:r w:rsidRPr="004A760E">
              <w:rPr>
                <w:rFonts w:cs="Arial"/>
                <w:sz w:val="16"/>
                <w:szCs w:val="16"/>
              </w:rPr>
              <w:t>268 593 594,27 zł</w:t>
            </w:r>
          </w:p>
        </w:tc>
        <w:tc>
          <w:tcPr>
            <w:tcW w:w="2001" w:type="dxa"/>
            <w:tcBorders>
              <w:top w:val="single" w:sz="4" w:space="0" w:color="auto"/>
              <w:left w:val="single" w:sz="4" w:space="0" w:color="auto"/>
              <w:bottom w:val="single" w:sz="4" w:space="0" w:color="auto"/>
              <w:right w:val="single" w:sz="4" w:space="0" w:color="auto"/>
            </w:tcBorders>
            <w:vAlign w:val="center"/>
          </w:tcPr>
          <w:p w14:paraId="35608FC2" w14:textId="6E4ED4E5" w:rsidR="000E36EB" w:rsidRPr="004A760E" w:rsidRDefault="000E36EB" w:rsidP="000E36EB">
            <w:pPr>
              <w:jc w:val="center"/>
              <w:rPr>
                <w:rFonts w:cs="Arial"/>
                <w:sz w:val="16"/>
                <w:szCs w:val="16"/>
              </w:rPr>
            </w:pPr>
            <w:r>
              <w:rPr>
                <w:rFonts w:cs="Arial"/>
                <w:sz w:val="16"/>
                <w:szCs w:val="16"/>
              </w:rPr>
              <w:t>400</w:t>
            </w:r>
          </w:p>
        </w:tc>
        <w:tc>
          <w:tcPr>
            <w:tcW w:w="2001" w:type="dxa"/>
            <w:tcBorders>
              <w:top w:val="single" w:sz="4" w:space="0" w:color="auto"/>
              <w:left w:val="single" w:sz="4" w:space="0" w:color="auto"/>
              <w:bottom w:val="single" w:sz="4" w:space="0" w:color="auto"/>
              <w:right w:val="single" w:sz="4" w:space="0" w:color="auto"/>
            </w:tcBorders>
            <w:vAlign w:val="center"/>
          </w:tcPr>
          <w:p w14:paraId="6383DB4C" w14:textId="614A359F" w:rsidR="000E36EB" w:rsidRPr="004A760E" w:rsidRDefault="000E36EB" w:rsidP="000E36EB">
            <w:pPr>
              <w:jc w:val="center"/>
              <w:rPr>
                <w:rFonts w:cs="Arial"/>
                <w:sz w:val="16"/>
                <w:szCs w:val="16"/>
              </w:rPr>
            </w:pPr>
            <w:r>
              <w:rPr>
                <w:rFonts w:cs="Arial"/>
                <w:color w:val="000000"/>
                <w:sz w:val="16"/>
                <w:szCs w:val="16"/>
              </w:rPr>
              <w:t>4 577 349 452,60 zł</w:t>
            </w:r>
          </w:p>
        </w:tc>
      </w:tr>
      <w:tr w:rsidR="000E36EB" w:rsidRPr="004A760E" w14:paraId="28A2B93D" w14:textId="5480D48A"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DA81947" w14:textId="77777777" w:rsidR="000E36EB" w:rsidRPr="004A760E" w:rsidRDefault="000E36EB" w:rsidP="000E36EB">
            <w:pPr>
              <w:jc w:val="center"/>
              <w:rPr>
                <w:rFonts w:cs="Arial"/>
                <w:sz w:val="16"/>
                <w:szCs w:val="16"/>
              </w:rPr>
            </w:pPr>
            <w:r>
              <w:rPr>
                <w:rFonts w:cs="Arial"/>
                <w:sz w:val="16"/>
                <w:szCs w:val="16"/>
              </w:rPr>
              <w:t>2</w:t>
            </w:r>
            <w:r w:rsidRPr="004A760E">
              <w:rPr>
                <w:rFonts w:cs="Arial"/>
                <w:sz w:val="16"/>
                <w:szCs w:val="16"/>
              </w:rPr>
              <w:t>.</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DEAA9B" w14:textId="77777777" w:rsidR="000E36EB" w:rsidRPr="004A760E" w:rsidRDefault="000E36EB" w:rsidP="000E36EB">
            <w:pPr>
              <w:jc w:val="center"/>
              <w:rPr>
                <w:rFonts w:cs="Arial"/>
                <w:b/>
                <w:sz w:val="16"/>
                <w:szCs w:val="16"/>
              </w:rPr>
            </w:pPr>
            <w:r w:rsidRPr="004A760E">
              <w:rPr>
                <w:b/>
                <w:sz w:val="16"/>
                <w:szCs w:val="16"/>
              </w:rPr>
              <w:t>Określenie w kryteriach oceny ofert aspektów środowiskowych, w tym efektywności energetycznej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4D43F937" w14:textId="77777777" w:rsidR="000E36EB" w:rsidRPr="004A760E" w:rsidRDefault="000E36EB" w:rsidP="000E36EB">
            <w:pPr>
              <w:jc w:val="center"/>
              <w:rPr>
                <w:rFonts w:cs="Arial"/>
                <w:sz w:val="16"/>
                <w:szCs w:val="16"/>
              </w:rPr>
            </w:pPr>
            <w:r w:rsidRPr="004A760E">
              <w:rPr>
                <w:rFonts w:cs="Arial"/>
                <w:sz w:val="16"/>
                <w:szCs w:val="16"/>
              </w:rPr>
              <w:t>155</w:t>
            </w:r>
          </w:p>
        </w:tc>
        <w:tc>
          <w:tcPr>
            <w:tcW w:w="2301" w:type="dxa"/>
            <w:tcBorders>
              <w:top w:val="single" w:sz="4" w:space="0" w:color="auto"/>
              <w:left w:val="single" w:sz="4" w:space="0" w:color="auto"/>
              <w:bottom w:val="single" w:sz="4" w:space="0" w:color="auto"/>
              <w:right w:val="single" w:sz="4" w:space="0" w:color="auto"/>
            </w:tcBorders>
            <w:vAlign w:val="center"/>
          </w:tcPr>
          <w:p w14:paraId="3245538B" w14:textId="7770E25F" w:rsidR="000E36EB" w:rsidRPr="004A760E" w:rsidRDefault="000E36EB" w:rsidP="000E36EB">
            <w:pPr>
              <w:jc w:val="center"/>
              <w:rPr>
                <w:rFonts w:cs="Arial"/>
                <w:sz w:val="16"/>
                <w:szCs w:val="16"/>
              </w:rPr>
            </w:pPr>
            <w:r w:rsidRPr="004A760E">
              <w:rPr>
                <w:rFonts w:cs="Arial"/>
                <w:sz w:val="16"/>
                <w:szCs w:val="16"/>
              </w:rPr>
              <w:t>233</w:t>
            </w:r>
            <w:r>
              <w:rPr>
                <w:rFonts w:cs="Arial"/>
                <w:sz w:val="16"/>
                <w:szCs w:val="16"/>
              </w:rPr>
              <w:t xml:space="preserve"> </w:t>
            </w:r>
            <w:r w:rsidRPr="004A760E">
              <w:rPr>
                <w:rFonts w:cs="Arial"/>
                <w:sz w:val="16"/>
                <w:szCs w:val="16"/>
              </w:rPr>
              <w:t>893</w:t>
            </w:r>
            <w:r>
              <w:rPr>
                <w:rFonts w:cs="Arial"/>
                <w:sz w:val="16"/>
                <w:szCs w:val="16"/>
              </w:rPr>
              <w:t xml:space="preserve"> </w:t>
            </w:r>
            <w:r w:rsidRPr="004A760E">
              <w:rPr>
                <w:rFonts w:cs="Arial"/>
                <w:sz w:val="16"/>
                <w:szCs w:val="16"/>
              </w:rPr>
              <w:t>360,2</w:t>
            </w:r>
            <w:r>
              <w:rPr>
                <w:rFonts w:cs="Arial"/>
                <w:sz w:val="16"/>
                <w:szCs w:val="16"/>
              </w:rPr>
              <w:t>0</w:t>
            </w:r>
            <w:r w:rsidRPr="004A760E">
              <w:rPr>
                <w:rFonts w:cs="Arial"/>
                <w:sz w:val="16"/>
                <w:szCs w:val="16"/>
              </w:rPr>
              <w:t xml:space="preserve"> zł</w:t>
            </w:r>
          </w:p>
        </w:tc>
        <w:tc>
          <w:tcPr>
            <w:tcW w:w="2001" w:type="dxa"/>
            <w:tcBorders>
              <w:top w:val="single" w:sz="4" w:space="0" w:color="auto"/>
              <w:left w:val="single" w:sz="4" w:space="0" w:color="auto"/>
              <w:bottom w:val="single" w:sz="4" w:space="0" w:color="auto"/>
              <w:right w:val="single" w:sz="4" w:space="0" w:color="auto"/>
            </w:tcBorders>
            <w:vAlign w:val="center"/>
          </w:tcPr>
          <w:p w14:paraId="7A23BE48" w14:textId="76F80C45" w:rsidR="000E36EB" w:rsidRPr="004A760E" w:rsidRDefault="000E36EB" w:rsidP="000E36EB">
            <w:pPr>
              <w:jc w:val="center"/>
              <w:rPr>
                <w:rFonts w:cs="Arial"/>
                <w:sz w:val="16"/>
                <w:szCs w:val="16"/>
              </w:rPr>
            </w:pPr>
            <w:r>
              <w:rPr>
                <w:rFonts w:cs="Arial"/>
                <w:sz w:val="16"/>
                <w:szCs w:val="16"/>
              </w:rPr>
              <w:t>265</w:t>
            </w:r>
          </w:p>
        </w:tc>
        <w:tc>
          <w:tcPr>
            <w:tcW w:w="2001" w:type="dxa"/>
            <w:tcBorders>
              <w:top w:val="single" w:sz="4" w:space="0" w:color="auto"/>
              <w:left w:val="single" w:sz="4" w:space="0" w:color="auto"/>
              <w:bottom w:val="single" w:sz="4" w:space="0" w:color="auto"/>
              <w:right w:val="single" w:sz="4" w:space="0" w:color="auto"/>
            </w:tcBorders>
            <w:vAlign w:val="center"/>
          </w:tcPr>
          <w:p w14:paraId="6D669B7B" w14:textId="24FBA868" w:rsidR="000E36EB" w:rsidRPr="004A760E" w:rsidRDefault="000E36EB" w:rsidP="000E36EB">
            <w:pPr>
              <w:jc w:val="center"/>
              <w:rPr>
                <w:rFonts w:cs="Arial"/>
                <w:sz w:val="16"/>
                <w:szCs w:val="16"/>
              </w:rPr>
            </w:pPr>
            <w:r>
              <w:rPr>
                <w:rFonts w:cs="Arial"/>
                <w:color w:val="000000"/>
                <w:sz w:val="16"/>
                <w:szCs w:val="16"/>
              </w:rPr>
              <w:t>722 564 359,33 zł</w:t>
            </w:r>
          </w:p>
        </w:tc>
      </w:tr>
      <w:tr w:rsidR="000E36EB" w:rsidRPr="004A760E" w14:paraId="035843BA" w14:textId="1467A65D"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5A9266A" w14:textId="77777777" w:rsidR="000E36EB" w:rsidRPr="004A760E" w:rsidRDefault="000E36EB" w:rsidP="000E36EB">
            <w:pPr>
              <w:jc w:val="center"/>
              <w:rPr>
                <w:rFonts w:cs="Arial"/>
                <w:sz w:val="16"/>
                <w:szCs w:val="16"/>
              </w:rPr>
            </w:pPr>
            <w:r>
              <w:rPr>
                <w:rFonts w:cs="Arial"/>
                <w:sz w:val="16"/>
                <w:szCs w:val="16"/>
              </w:rPr>
              <w:t>3</w:t>
            </w:r>
            <w:r w:rsidRPr="004A760E">
              <w:rPr>
                <w:rFonts w:cs="Arial"/>
                <w:sz w:val="16"/>
                <w:szCs w:val="16"/>
              </w:rPr>
              <w:t>.</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5336E66" w14:textId="77777777" w:rsidR="000E36EB" w:rsidRPr="004A760E" w:rsidRDefault="000E36EB" w:rsidP="000E36EB">
            <w:pPr>
              <w:jc w:val="center"/>
              <w:rPr>
                <w:rFonts w:cs="Arial"/>
                <w:b/>
                <w:sz w:val="16"/>
                <w:szCs w:val="16"/>
              </w:rPr>
            </w:pPr>
            <w:r w:rsidRPr="004A760E">
              <w:rPr>
                <w:b/>
                <w:sz w:val="16"/>
                <w:szCs w:val="16"/>
              </w:rPr>
              <w:t>Określenie wymagań zw. z realizacją zamówienia obejmujących aspekty środowiskowe</w:t>
            </w:r>
          </w:p>
        </w:tc>
        <w:tc>
          <w:tcPr>
            <w:tcW w:w="1701" w:type="dxa"/>
            <w:tcBorders>
              <w:top w:val="single" w:sz="4" w:space="0" w:color="auto"/>
              <w:left w:val="single" w:sz="4" w:space="0" w:color="auto"/>
              <w:bottom w:val="single" w:sz="4" w:space="0" w:color="auto"/>
              <w:right w:val="single" w:sz="4" w:space="0" w:color="auto"/>
            </w:tcBorders>
            <w:vAlign w:val="center"/>
          </w:tcPr>
          <w:p w14:paraId="611F1A3E" w14:textId="77777777" w:rsidR="000E36EB" w:rsidRPr="004A760E" w:rsidRDefault="000E36EB" w:rsidP="000E36EB">
            <w:pPr>
              <w:jc w:val="center"/>
              <w:rPr>
                <w:rFonts w:cs="Arial"/>
                <w:sz w:val="16"/>
                <w:szCs w:val="16"/>
              </w:rPr>
            </w:pPr>
            <w:r w:rsidRPr="004A760E">
              <w:rPr>
                <w:rFonts w:cs="Arial"/>
                <w:sz w:val="16"/>
                <w:szCs w:val="16"/>
              </w:rPr>
              <w:t>140</w:t>
            </w:r>
          </w:p>
        </w:tc>
        <w:tc>
          <w:tcPr>
            <w:tcW w:w="2301" w:type="dxa"/>
            <w:tcBorders>
              <w:top w:val="single" w:sz="4" w:space="0" w:color="auto"/>
              <w:left w:val="single" w:sz="4" w:space="0" w:color="auto"/>
              <w:bottom w:val="single" w:sz="4" w:space="0" w:color="auto"/>
              <w:right w:val="single" w:sz="4" w:space="0" w:color="auto"/>
            </w:tcBorders>
            <w:vAlign w:val="center"/>
          </w:tcPr>
          <w:p w14:paraId="596E9BB5" w14:textId="3E7CEDDF" w:rsidR="000E36EB" w:rsidRPr="004A760E" w:rsidRDefault="000E36EB" w:rsidP="000E36EB">
            <w:pPr>
              <w:jc w:val="center"/>
              <w:rPr>
                <w:rFonts w:cs="Arial"/>
                <w:sz w:val="16"/>
                <w:szCs w:val="16"/>
              </w:rPr>
            </w:pPr>
            <w:r w:rsidRPr="004A760E">
              <w:rPr>
                <w:rFonts w:cs="Arial"/>
                <w:sz w:val="16"/>
                <w:szCs w:val="16"/>
              </w:rPr>
              <w:t>203</w:t>
            </w:r>
            <w:r>
              <w:rPr>
                <w:rFonts w:cs="Arial"/>
                <w:sz w:val="16"/>
                <w:szCs w:val="16"/>
              </w:rPr>
              <w:t xml:space="preserve"> </w:t>
            </w:r>
            <w:r w:rsidRPr="004A760E">
              <w:rPr>
                <w:rFonts w:cs="Arial"/>
                <w:sz w:val="16"/>
                <w:szCs w:val="16"/>
              </w:rPr>
              <w:t>507</w:t>
            </w:r>
            <w:r>
              <w:rPr>
                <w:rFonts w:cs="Arial"/>
                <w:sz w:val="16"/>
                <w:szCs w:val="16"/>
              </w:rPr>
              <w:t xml:space="preserve"> </w:t>
            </w:r>
            <w:r w:rsidRPr="004A760E">
              <w:rPr>
                <w:rFonts w:cs="Arial"/>
                <w:sz w:val="16"/>
                <w:szCs w:val="16"/>
              </w:rPr>
              <w:t>797,17 zł</w:t>
            </w:r>
          </w:p>
        </w:tc>
        <w:tc>
          <w:tcPr>
            <w:tcW w:w="2001" w:type="dxa"/>
            <w:tcBorders>
              <w:top w:val="single" w:sz="4" w:space="0" w:color="auto"/>
              <w:left w:val="single" w:sz="4" w:space="0" w:color="auto"/>
              <w:bottom w:val="single" w:sz="4" w:space="0" w:color="auto"/>
              <w:right w:val="single" w:sz="4" w:space="0" w:color="auto"/>
            </w:tcBorders>
            <w:vAlign w:val="center"/>
          </w:tcPr>
          <w:p w14:paraId="3CFC0334" w14:textId="657862A3" w:rsidR="000E36EB" w:rsidRPr="004A760E" w:rsidRDefault="000E36EB" w:rsidP="000E36EB">
            <w:pPr>
              <w:jc w:val="center"/>
              <w:rPr>
                <w:rFonts w:cs="Arial"/>
                <w:sz w:val="16"/>
                <w:szCs w:val="16"/>
              </w:rPr>
            </w:pPr>
            <w:r>
              <w:rPr>
                <w:rFonts w:cs="Arial"/>
                <w:sz w:val="16"/>
                <w:szCs w:val="16"/>
              </w:rPr>
              <w:t>196</w:t>
            </w:r>
          </w:p>
        </w:tc>
        <w:tc>
          <w:tcPr>
            <w:tcW w:w="2001" w:type="dxa"/>
            <w:tcBorders>
              <w:top w:val="single" w:sz="4" w:space="0" w:color="auto"/>
              <w:left w:val="single" w:sz="4" w:space="0" w:color="auto"/>
              <w:bottom w:val="single" w:sz="4" w:space="0" w:color="auto"/>
              <w:right w:val="single" w:sz="4" w:space="0" w:color="auto"/>
            </w:tcBorders>
            <w:vAlign w:val="center"/>
          </w:tcPr>
          <w:p w14:paraId="6765E7D1" w14:textId="566D04A5" w:rsidR="000E36EB" w:rsidRPr="004A760E" w:rsidRDefault="000E36EB" w:rsidP="000E36EB">
            <w:pPr>
              <w:jc w:val="center"/>
              <w:rPr>
                <w:rFonts w:cs="Arial"/>
                <w:sz w:val="16"/>
                <w:szCs w:val="16"/>
              </w:rPr>
            </w:pPr>
            <w:r>
              <w:rPr>
                <w:rFonts w:cs="Arial"/>
                <w:color w:val="000000"/>
                <w:sz w:val="16"/>
                <w:szCs w:val="16"/>
              </w:rPr>
              <w:t>3 365 719 935,49 zł</w:t>
            </w:r>
          </w:p>
        </w:tc>
      </w:tr>
      <w:tr w:rsidR="000E36EB" w:rsidRPr="004A760E" w14:paraId="198B21F1" w14:textId="4B7B394E"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2AF4C2" w14:textId="77777777" w:rsidR="000E36EB" w:rsidRPr="004A760E" w:rsidRDefault="000E36EB" w:rsidP="000E36EB">
            <w:pPr>
              <w:jc w:val="center"/>
              <w:rPr>
                <w:rFonts w:cs="Arial"/>
                <w:sz w:val="16"/>
                <w:szCs w:val="16"/>
              </w:rPr>
            </w:pPr>
            <w:r w:rsidRPr="004A760E">
              <w:rPr>
                <w:rFonts w:cs="Arial"/>
                <w:sz w:val="16"/>
                <w:szCs w:val="16"/>
              </w:rPr>
              <w:t>4.</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6FCAD8A" w14:textId="77777777" w:rsidR="000E36EB" w:rsidRPr="004A760E" w:rsidRDefault="000E36EB" w:rsidP="000E36EB">
            <w:pPr>
              <w:jc w:val="center"/>
              <w:rPr>
                <w:rFonts w:cs="Arial"/>
                <w:b/>
                <w:sz w:val="16"/>
                <w:szCs w:val="16"/>
                <w:highlight w:val="yellow"/>
              </w:rPr>
            </w:pPr>
            <w:r w:rsidRPr="004A760E">
              <w:rPr>
                <w:b/>
                <w:sz w:val="16"/>
                <w:szCs w:val="16"/>
              </w:rPr>
              <w:t>Określenie etykiety związanej z aspektami środowiskowymi</w:t>
            </w:r>
          </w:p>
        </w:tc>
        <w:tc>
          <w:tcPr>
            <w:tcW w:w="1701" w:type="dxa"/>
            <w:tcBorders>
              <w:top w:val="single" w:sz="4" w:space="0" w:color="auto"/>
              <w:left w:val="single" w:sz="4" w:space="0" w:color="auto"/>
              <w:bottom w:val="single" w:sz="4" w:space="0" w:color="auto"/>
              <w:right w:val="single" w:sz="4" w:space="0" w:color="auto"/>
            </w:tcBorders>
            <w:vAlign w:val="center"/>
          </w:tcPr>
          <w:p w14:paraId="669A52BC" w14:textId="77777777" w:rsidR="000E36EB" w:rsidRPr="004A760E" w:rsidRDefault="000E36EB" w:rsidP="000E36EB">
            <w:pPr>
              <w:jc w:val="center"/>
              <w:rPr>
                <w:rFonts w:cs="Arial"/>
                <w:sz w:val="16"/>
                <w:szCs w:val="16"/>
              </w:rPr>
            </w:pPr>
            <w:r w:rsidRPr="004A760E">
              <w:rPr>
                <w:rFonts w:cs="Arial"/>
                <w:sz w:val="16"/>
                <w:szCs w:val="16"/>
              </w:rPr>
              <w:t>94</w:t>
            </w:r>
          </w:p>
        </w:tc>
        <w:tc>
          <w:tcPr>
            <w:tcW w:w="2301" w:type="dxa"/>
            <w:tcBorders>
              <w:top w:val="single" w:sz="4" w:space="0" w:color="auto"/>
              <w:left w:val="single" w:sz="4" w:space="0" w:color="auto"/>
              <w:bottom w:val="single" w:sz="4" w:space="0" w:color="auto"/>
              <w:right w:val="single" w:sz="4" w:space="0" w:color="auto"/>
            </w:tcBorders>
            <w:vAlign w:val="center"/>
          </w:tcPr>
          <w:p w14:paraId="3D26EE27" w14:textId="77838DA6" w:rsidR="000E36EB" w:rsidRPr="004A760E" w:rsidRDefault="000E36EB" w:rsidP="000E36EB">
            <w:pPr>
              <w:jc w:val="center"/>
              <w:rPr>
                <w:rFonts w:cs="Arial"/>
                <w:sz w:val="16"/>
                <w:szCs w:val="16"/>
              </w:rPr>
            </w:pPr>
            <w:r w:rsidRPr="004A760E">
              <w:rPr>
                <w:rFonts w:cs="Arial"/>
                <w:sz w:val="16"/>
                <w:szCs w:val="16"/>
              </w:rPr>
              <w:t>144</w:t>
            </w:r>
            <w:r>
              <w:rPr>
                <w:rFonts w:cs="Arial"/>
                <w:sz w:val="16"/>
                <w:szCs w:val="16"/>
              </w:rPr>
              <w:t xml:space="preserve"> </w:t>
            </w:r>
            <w:r w:rsidRPr="004A760E">
              <w:rPr>
                <w:rFonts w:cs="Arial"/>
                <w:sz w:val="16"/>
                <w:szCs w:val="16"/>
              </w:rPr>
              <w:t>683</w:t>
            </w:r>
            <w:r>
              <w:rPr>
                <w:rFonts w:cs="Arial"/>
                <w:sz w:val="16"/>
                <w:szCs w:val="16"/>
              </w:rPr>
              <w:t xml:space="preserve"> </w:t>
            </w:r>
            <w:r w:rsidRPr="004A760E">
              <w:rPr>
                <w:rFonts w:cs="Arial"/>
                <w:sz w:val="16"/>
                <w:szCs w:val="16"/>
              </w:rPr>
              <w:t>675,92 zł</w:t>
            </w:r>
          </w:p>
        </w:tc>
        <w:tc>
          <w:tcPr>
            <w:tcW w:w="2001" w:type="dxa"/>
            <w:tcBorders>
              <w:top w:val="single" w:sz="4" w:space="0" w:color="auto"/>
              <w:left w:val="single" w:sz="4" w:space="0" w:color="auto"/>
              <w:bottom w:val="single" w:sz="4" w:space="0" w:color="auto"/>
              <w:right w:val="single" w:sz="4" w:space="0" w:color="auto"/>
            </w:tcBorders>
            <w:vAlign w:val="center"/>
          </w:tcPr>
          <w:p w14:paraId="130E49CB" w14:textId="2F580A54" w:rsidR="000E36EB" w:rsidRPr="004A760E" w:rsidRDefault="000E36EB" w:rsidP="000E36EB">
            <w:pPr>
              <w:jc w:val="center"/>
              <w:rPr>
                <w:rFonts w:cs="Arial"/>
                <w:sz w:val="16"/>
                <w:szCs w:val="16"/>
              </w:rPr>
            </w:pPr>
            <w:r>
              <w:rPr>
                <w:rFonts w:cs="Arial"/>
                <w:sz w:val="16"/>
                <w:szCs w:val="16"/>
              </w:rPr>
              <w:t>77</w:t>
            </w:r>
          </w:p>
        </w:tc>
        <w:tc>
          <w:tcPr>
            <w:tcW w:w="2001" w:type="dxa"/>
            <w:tcBorders>
              <w:top w:val="single" w:sz="4" w:space="0" w:color="auto"/>
              <w:left w:val="single" w:sz="4" w:space="0" w:color="auto"/>
              <w:bottom w:val="single" w:sz="4" w:space="0" w:color="auto"/>
              <w:right w:val="single" w:sz="4" w:space="0" w:color="auto"/>
            </w:tcBorders>
            <w:vAlign w:val="center"/>
          </w:tcPr>
          <w:p w14:paraId="51525341" w14:textId="5F9110EE" w:rsidR="000E36EB" w:rsidRPr="004A760E" w:rsidRDefault="000E36EB" w:rsidP="000E36EB">
            <w:pPr>
              <w:jc w:val="center"/>
              <w:rPr>
                <w:rFonts w:cs="Arial"/>
                <w:sz w:val="16"/>
                <w:szCs w:val="16"/>
              </w:rPr>
            </w:pPr>
            <w:r>
              <w:rPr>
                <w:rFonts w:cs="Arial"/>
                <w:color w:val="000000"/>
                <w:sz w:val="16"/>
                <w:szCs w:val="16"/>
              </w:rPr>
              <w:t>42 653 321,25 zł</w:t>
            </w:r>
          </w:p>
        </w:tc>
      </w:tr>
      <w:tr w:rsidR="000E36EB" w:rsidRPr="004A760E" w14:paraId="2A64C3EE" w14:textId="5E50D05C"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A1D0E1" w14:textId="77777777" w:rsidR="000E36EB" w:rsidRPr="004A760E" w:rsidRDefault="000E36EB" w:rsidP="000E36EB">
            <w:pPr>
              <w:jc w:val="center"/>
              <w:rPr>
                <w:rFonts w:cs="Arial"/>
                <w:sz w:val="16"/>
                <w:szCs w:val="16"/>
              </w:rPr>
            </w:pPr>
            <w:r w:rsidRPr="004A760E">
              <w:rPr>
                <w:rFonts w:cs="Arial"/>
                <w:sz w:val="16"/>
                <w:szCs w:val="16"/>
              </w:rPr>
              <w:t>5.</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D6EF4D" w14:textId="77777777" w:rsidR="000E36EB" w:rsidRPr="004A760E" w:rsidRDefault="000E36EB" w:rsidP="000E36EB">
            <w:pPr>
              <w:jc w:val="center"/>
              <w:rPr>
                <w:rFonts w:cs="Arial"/>
                <w:b/>
                <w:sz w:val="16"/>
                <w:szCs w:val="16"/>
              </w:rPr>
            </w:pPr>
            <w:r w:rsidRPr="004A760E">
              <w:rPr>
                <w:b/>
                <w:sz w:val="16"/>
                <w:szCs w:val="16"/>
              </w:rPr>
              <w:t>Określenie wymogu spełniania wymagań odpowiednich systemów lub norm zarządzania środowiskowego</w:t>
            </w:r>
          </w:p>
        </w:tc>
        <w:tc>
          <w:tcPr>
            <w:tcW w:w="1701" w:type="dxa"/>
            <w:tcBorders>
              <w:top w:val="single" w:sz="4" w:space="0" w:color="auto"/>
              <w:left w:val="single" w:sz="4" w:space="0" w:color="auto"/>
              <w:bottom w:val="single" w:sz="4" w:space="0" w:color="auto"/>
              <w:right w:val="single" w:sz="4" w:space="0" w:color="auto"/>
            </w:tcBorders>
            <w:vAlign w:val="center"/>
          </w:tcPr>
          <w:p w14:paraId="13A73338" w14:textId="77777777" w:rsidR="000E36EB" w:rsidRPr="004A760E" w:rsidRDefault="000E36EB" w:rsidP="000E36EB">
            <w:pPr>
              <w:jc w:val="center"/>
              <w:rPr>
                <w:rFonts w:cs="Arial"/>
                <w:bCs/>
                <w:spacing w:val="-2"/>
                <w:sz w:val="16"/>
                <w:szCs w:val="16"/>
              </w:rPr>
            </w:pPr>
            <w:r w:rsidRPr="004A760E">
              <w:rPr>
                <w:rFonts w:cs="Arial"/>
                <w:sz w:val="16"/>
                <w:szCs w:val="16"/>
              </w:rPr>
              <w:t>23</w:t>
            </w:r>
          </w:p>
        </w:tc>
        <w:tc>
          <w:tcPr>
            <w:tcW w:w="2301" w:type="dxa"/>
            <w:tcBorders>
              <w:top w:val="single" w:sz="4" w:space="0" w:color="auto"/>
              <w:left w:val="single" w:sz="4" w:space="0" w:color="auto"/>
              <w:bottom w:val="single" w:sz="4" w:space="0" w:color="auto"/>
              <w:right w:val="single" w:sz="4" w:space="0" w:color="auto"/>
            </w:tcBorders>
            <w:vAlign w:val="center"/>
          </w:tcPr>
          <w:p w14:paraId="7F924B6E" w14:textId="0624A229" w:rsidR="000E36EB" w:rsidRPr="000E36EB" w:rsidRDefault="000E36EB" w:rsidP="000E36EB">
            <w:pPr>
              <w:jc w:val="center"/>
              <w:rPr>
                <w:rFonts w:cs="Arial"/>
                <w:sz w:val="16"/>
                <w:szCs w:val="16"/>
              </w:rPr>
            </w:pPr>
            <w:r w:rsidRPr="004A760E">
              <w:rPr>
                <w:rFonts w:cs="Arial"/>
                <w:sz w:val="16"/>
                <w:szCs w:val="16"/>
              </w:rPr>
              <w:t>41</w:t>
            </w:r>
            <w:r>
              <w:rPr>
                <w:rFonts w:cs="Arial"/>
                <w:sz w:val="16"/>
                <w:szCs w:val="16"/>
              </w:rPr>
              <w:t xml:space="preserve"> </w:t>
            </w:r>
            <w:r w:rsidRPr="004A760E">
              <w:rPr>
                <w:rFonts w:cs="Arial"/>
                <w:sz w:val="16"/>
                <w:szCs w:val="16"/>
              </w:rPr>
              <w:t>545</w:t>
            </w:r>
            <w:r>
              <w:rPr>
                <w:rFonts w:cs="Arial"/>
                <w:sz w:val="16"/>
                <w:szCs w:val="16"/>
              </w:rPr>
              <w:t xml:space="preserve"> </w:t>
            </w:r>
            <w:r w:rsidRPr="004A760E">
              <w:rPr>
                <w:rFonts w:cs="Arial"/>
                <w:sz w:val="16"/>
                <w:szCs w:val="16"/>
              </w:rPr>
              <w:t>044,11 zł</w:t>
            </w:r>
          </w:p>
        </w:tc>
        <w:tc>
          <w:tcPr>
            <w:tcW w:w="2001" w:type="dxa"/>
            <w:tcBorders>
              <w:top w:val="single" w:sz="4" w:space="0" w:color="auto"/>
              <w:left w:val="single" w:sz="4" w:space="0" w:color="auto"/>
              <w:bottom w:val="single" w:sz="4" w:space="0" w:color="auto"/>
              <w:right w:val="single" w:sz="4" w:space="0" w:color="auto"/>
            </w:tcBorders>
            <w:vAlign w:val="center"/>
          </w:tcPr>
          <w:p w14:paraId="23E37049" w14:textId="5B436130" w:rsidR="000E36EB" w:rsidRPr="004A760E" w:rsidRDefault="000E36EB" w:rsidP="000E36EB">
            <w:pPr>
              <w:jc w:val="center"/>
              <w:rPr>
                <w:rFonts w:cs="Arial"/>
                <w:sz w:val="16"/>
                <w:szCs w:val="16"/>
              </w:rPr>
            </w:pPr>
            <w:r>
              <w:rPr>
                <w:rFonts w:cs="Arial"/>
                <w:sz w:val="16"/>
                <w:szCs w:val="16"/>
              </w:rPr>
              <w:t>23</w:t>
            </w:r>
          </w:p>
        </w:tc>
        <w:tc>
          <w:tcPr>
            <w:tcW w:w="2001" w:type="dxa"/>
            <w:tcBorders>
              <w:top w:val="single" w:sz="4" w:space="0" w:color="auto"/>
              <w:left w:val="single" w:sz="4" w:space="0" w:color="auto"/>
              <w:bottom w:val="single" w:sz="4" w:space="0" w:color="auto"/>
              <w:right w:val="single" w:sz="4" w:space="0" w:color="auto"/>
            </w:tcBorders>
            <w:vAlign w:val="center"/>
          </w:tcPr>
          <w:p w14:paraId="5D563AE7" w14:textId="42F44967" w:rsidR="000E36EB" w:rsidRPr="004A760E" w:rsidRDefault="000E36EB" w:rsidP="000E36EB">
            <w:pPr>
              <w:jc w:val="center"/>
              <w:rPr>
                <w:rFonts w:cs="Arial"/>
                <w:sz w:val="16"/>
                <w:szCs w:val="16"/>
              </w:rPr>
            </w:pPr>
            <w:r>
              <w:rPr>
                <w:rFonts w:cs="Arial"/>
                <w:color w:val="000000"/>
                <w:sz w:val="16"/>
                <w:szCs w:val="16"/>
              </w:rPr>
              <w:t>16 000 151,66 zł</w:t>
            </w:r>
          </w:p>
        </w:tc>
      </w:tr>
      <w:tr w:rsidR="000E36EB" w:rsidRPr="004A760E" w14:paraId="23A1E1D4" w14:textId="501E95D2" w:rsidTr="00A603D8">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6BD5CCC" w14:textId="77777777" w:rsidR="000E36EB" w:rsidRPr="004A760E" w:rsidRDefault="000E36EB" w:rsidP="000E36EB">
            <w:pPr>
              <w:jc w:val="center"/>
              <w:rPr>
                <w:rFonts w:cs="Arial"/>
                <w:sz w:val="16"/>
                <w:szCs w:val="16"/>
              </w:rPr>
            </w:pPr>
            <w:r w:rsidRPr="004A760E">
              <w:rPr>
                <w:rFonts w:cs="Arial"/>
                <w:sz w:val="16"/>
                <w:szCs w:val="16"/>
              </w:rPr>
              <w:t>6.</w:t>
            </w:r>
          </w:p>
        </w:tc>
        <w:tc>
          <w:tcPr>
            <w:tcW w:w="271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99DE80F" w14:textId="77777777" w:rsidR="000E36EB" w:rsidRPr="004A760E" w:rsidRDefault="000E36EB" w:rsidP="000E36EB">
            <w:pPr>
              <w:jc w:val="center"/>
              <w:rPr>
                <w:rFonts w:cs="Arial"/>
                <w:b/>
                <w:sz w:val="16"/>
                <w:szCs w:val="16"/>
              </w:rPr>
            </w:pPr>
            <w:r w:rsidRPr="004A760E">
              <w:rPr>
                <w:b/>
                <w:sz w:val="16"/>
                <w:szCs w:val="16"/>
              </w:rPr>
              <w:t>Zastosowanie kryterium kosztu z wykorzystaniem rachunku kosztów cyklu życia</w:t>
            </w:r>
          </w:p>
        </w:tc>
        <w:tc>
          <w:tcPr>
            <w:tcW w:w="1701" w:type="dxa"/>
            <w:tcBorders>
              <w:top w:val="single" w:sz="4" w:space="0" w:color="auto"/>
              <w:left w:val="single" w:sz="4" w:space="0" w:color="auto"/>
              <w:bottom w:val="single" w:sz="4" w:space="0" w:color="auto"/>
              <w:right w:val="single" w:sz="4" w:space="0" w:color="auto"/>
            </w:tcBorders>
            <w:vAlign w:val="center"/>
          </w:tcPr>
          <w:p w14:paraId="19DC5B4C" w14:textId="77777777" w:rsidR="000E36EB" w:rsidRPr="004A760E" w:rsidRDefault="000E36EB" w:rsidP="000E36EB">
            <w:pPr>
              <w:jc w:val="center"/>
              <w:rPr>
                <w:rFonts w:cs="Arial"/>
                <w:sz w:val="16"/>
                <w:szCs w:val="16"/>
              </w:rPr>
            </w:pPr>
            <w:r w:rsidRPr="004A760E">
              <w:rPr>
                <w:rFonts w:cs="Arial"/>
                <w:sz w:val="16"/>
                <w:szCs w:val="16"/>
              </w:rPr>
              <w:t>4</w:t>
            </w:r>
          </w:p>
        </w:tc>
        <w:tc>
          <w:tcPr>
            <w:tcW w:w="2301" w:type="dxa"/>
            <w:tcBorders>
              <w:top w:val="single" w:sz="4" w:space="0" w:color="auto"/>
              <w:left w:val="single" w:sz="4" w:space="0" w:color="auto"/>
              <w:bottom w:val="single" w:sz="4" w:space="0" w:color="auto"/>
              <w:right w:val="single" w:sz="4" w:space="0" w:color="auto"/>
            </w:tcBorders>
            <w:vAlign w:val="center"/>
          </w:tcPr>
          <w:p w14:paraId="69E57AB8" w14:textId="3E815AF3" w:rsidR="000E36EB" w:rsidRPr="004A760E" w:rsidRDefault="000E36EB" w:rsidP="000E36EB">
            <w:pPr>
              <w:jc w:val="center"/>
              <w:rPr>
                <w:rFonts w:cs="Arial"/>
                <w:sz w:val="16"/>
                <w:szCs w:val="16"/>
              </w:rPr>
            </w:pPr>
            <w:r w:rsidRPr="004A760E">
              <w:rPr>
                <w:rFonts w:cs="Arial"/>
                <w:sz w:val="16"/>
                <w:szCs w:val="16"/>
              </w:rPr>
              <w:t>763 285,25 zł</w:t>
            </w:r>
          </w:p>
        </w:tc>
        <w:tc>
          <w:tcPr>
            <w:tcW w:w="2001" w:type="dxa"/>
            <w:tcBorders>
              <w:top w:val="single" w:sz="4" w:space="0" w:color="auto"/>
              <w:left w:val="single" w:sz="4" w:space="0" w:color="auto"/>
              <w:bottom w:val="single" w:sz="4" w:space="0" w:color="auto"/>
              <w:right w:val="single" w:sz="4" w:space="0" w:color="auto"/>
            </w:tcBorders>
            <w:vAlign w:val="center"/>
          </w:tcPr>
          <w:p w14:paraId="64309DE8" w14:textId="30B0BB87" w:rsidR="000E36EB" w:rsidRPr="004A760E" w:rsidRDefault="000E36EB" w:rsidP="000E36EB">
            <w:pPr>
              <w:jc w:val="center"/>
              <w:rPr>
                <w:rFonts w:cs="Arial"/>
                <w:sz w:val="16"/>
                <w:szCs w:val="16"/>
              </w:rPr>
            </w:pPr>
            <w:r>
              <w:rPr>
                <w:rFonts w:cs="Arial"/>
                <w:sz w:val="16"/>
                <w:szCs w:val="16"/>
              </w:rPr>
              <w:t>7</w:t>
            </w:r>
          </w:p>
        </w:tc>
        <w:tc>
          <w:tcPr>
            <w:tcW w:w="2001" w:type="dxa"/>
            <w:tcBorders>
              <w:top w:val="single" w:sz="4" w:space="0" w:color="auto"/>
              <w:left w:val="single" w:sz="4" w:space="0" w:color="auto"/>
              <w:bottom w:val="single" w:sz="4" w:space="0" w:color="auto"/>
              <w:right w:val="single" w:sz="4" w:space="0" w:color="auto"/>
            </w:tcBorders>
            <w:vAlign w:val="center"/>
          </w:tcPr>
          <w:p w14:paraId="40667454" w14:textId="0716EBFC" w:rsidR="000E36EB" w:rsidRPr="004A760E" w:rsidRDefault="000E36EB" w:rsidP="000E36EB">
            <w:pPr>
              <w:jc w:val="center"/>
              <w:rPr>
                <w:rFonts w:cs="Arial"/>
                <w:sz w:val="16"/>
                <w:szCs w:val="16"/>
              </w:rPr>
            </w:pPr>
            <w:r>
              <w:rPr>
                <w:rFonts w:cs="Arial"/>
                <w:color w:val="000000"/>
                <w:sz w:val="16"/>
                <w:szCs w:val="16"/>
              </w:rPr>
              <w:t>8 994 183,30 zł</w:t>
            </w:r>
          </w:p>
        </w:tc>
      </w:tr>
    </w:tbl>
    <w:p w14:paraId="14613498" w14:textId="77777777" w:rsidR="009B50F8" w:rsidRDefault="009B50F8" w:rsidP="009B50F8">
      <w:pPr>
        <w:shd w:val="clear" w:color="auto" w:fill="FFFFFF"/>
        <w:rPr>
          <w:rFonts w:cs="Arial"/>
          <w:color w:val="000000"/>
          <w:sz w:val="18"/>
          <w:szCs w:val="18"/>
        </w:rPr>
      </w:pPr>
    </w:p>
    <w:p w14:paraId="702B75FF" w14:textId="77777777" w:rsidR="009B50F8" w:rsidRPr="00576772" w:rsidRDefault="009B50F8" w:rsidP="009B50F8">
      <w:pPr>
        <w:shd w:val="clear" w:color="auto" w:fill="FFFFFF"/>
        <w:rPr>
          <w:rFonts w:cs="Arial"/>
          <w:color w:val="000000"/>
          <w:sz w:val="16"/>
          <w:szCs w:val="16"/>
        </w:rPr>
      </w:pPr>
      <w:r w:rsidRPr="00305876">
        <w:rPr>
          <w:b/>
          <w:sz w:val="16"/>
          <w:szCs w:val="16"/>
          <w:u w:val="single"/>
        </w:rPr>
        <w:t>UWAGA</w:t>
      </w:r>
      <w:r w:rsidRPr="00576772">
        <w:rPr>
          <w:sz w:val="16"/>
          <w:szCs w:val="16"/>
        </w:rPr>
        <w:t>: Łączna liczba i wartość zamówień publicznych z zastosowaniem poszczególnych aspektów środowiskowych</w:t>
      </w:r>
      <w:r>
        <w:rPr>
          <w:sz w:val="16"/>
          <w:szCs w:val="16"/>
        </w:rPr>
        <w:t xml:space="preserve"> udzielonych przez jednostki administracji rządowej </w:t>
      </w:r>
      <w:r w:rsidRPr="00576772">
        <w:rPr>
          <w:sz w:val="16"/>
          <w:szCs w:val="16"/>
        </w:rPr>
        <w:t xml:space="preserve">jest większa niż łączna liczba i wartość </w:t>
      </w:r>
      <w:r>
        <w:rPr>
          <w:sz w:val="16"/>
          <w:szCs w:val="16"/>
        </w:rPr>
        <w:t xml:space="preserve">tych </w:t>
      </w:r>
      <w:r w:rsidRPr="00576772">
        <w:rPr>
          <w:sz w:val="16"/>
          <w:szCs w:val="16"/>
        </w:rPr>
        <w:t>zamówień środowiskowych ze względu na przypadki zastosowania więcej niż jednego aspektu środowiskowego w jednym zamówieniu.</w:t>
      </w:r>
    </w:p>
    <w:p w14:paraId="2D768EF6" w14:textId="7C88B339" w:rsidR="00100D6C" w:rsidRDefault="00100D6C" w:rsidP="009B50F8">
      <w:pPr>
        <w:shd w:val="clear" w:color="auto" w:fill="FFFFFF"/>
        <w:rPr>
          <w:rFonts w:cs="Arial"/>
          <w:color w:val="000000"/>
          <w:szCs w:val="22"/>
        </w:rPr>
      </w:pPr>
    </w:p>
    <w:p w14:paraId="235091C3" w14:textId="2A9A047E" w:rsidR="00F40C99" w:rsidRDefault="00F40C99" w:rsidP="009B50F8">
      <w:pPr>
        <w:shd w:val="clear" w:color="auto" w:fill="FFFFFF"/>
        <w:rPr>
          <w:rFonts w:cs="Arial"/>
          <w:color w:val="000000"/>
          <w:szCs w:val="22"/>
        </w:rPr>
      </w:pPr>
      <w:r>
        <w:rPr>
          <w:rFonts w:cs="Arial"/>
          <w:color w:val="000000"/>
          <w:szCs w:val="22"/>
        </w:rPr>
        <w:br w:type="page"/>
      </w:r>
    </w:p>
    <w:p w14:paraId="71AB1AEE" w14:textId="77777777" w:rsidR="00E37A4E" w:rsidRDefault="00E37A4E" w:rsidP="009B50F8">
      <w:pPr>
        <w:shd w:val="clear" w:color="auto" w:fill="FFFFFF"/>
        <w:rPr>
          <w:rFonts w:cs="Arial"/>
          <w:color w:val="000000"/>
          <w:szCs w:val="22"/>
        </w:rPr>
      </w:pPr>
    </w:p>
    <w:p w14:paraId="191D2DE8" w14:textId="77777777" w:rsidR="00E37A4E" w:rsidRPr="00100D6C" w:rsidRDefault="00E37A4E" w:rsidP="009B50F8">
      <w:pPr>
        <w:shd w:val="clear" w:color="auto" w:fill="FFFFFF"/>
        <w:rPr>
          <w:rFonts w:cs="Arial"/>
          <w:color w:val="000000"/>
          <w:szCs w:val="22"/>
        </w:rPr>
      </w:pPr>
    </w:p>
    <w:p w14:paraId="01C249AC" w14:textId="38C02684" w:rsidR="009B50F8" w:rsidRPr="00ED1A48" w:rsidRDefault="009B50F8" w:rsidP="009B50F8">
      <w:pPr>
        <w:shd w:val="clear" w:color="auto" w:fill="FFFFFF"/>
        <w:jc w:val="center"/>
        <w:rPr>
          <w:rFonts w:cs="Arial"/>
          <w:b/>
          <w:color w:val="000000"/>
        </w:rPr>
      </w:pPr>
      <w:r w:rsidRPr="00ED1A48">
        <w:rPr>
          <w:rFonts w:cs="Arial"/>
          <w:b/>
          <w:color w:val="000000"/>
        </w:rPr>
        <w:t xml:space="preserve">Udział zamówień z danym aspektem środowiskowym </w:t>
      </w:r>
      <w:r>
        <w:rPr>
          <w:rFonts w:cs="Arial"/>
          <w:b/>
          <w:color w:val="000000"/>
        </w:rPr>
        <w:t xml:space="preserve">udzielonych przez jednostki administracji rządowej </w:t>
      </w:r>
      <w:r w:rsidR="00116598">
        <w:rPr>
          <w:rFonts w:cs="Arial"/>
          <w:b/>
          <w:color w:val="000000"/>
        </w:rPr>
        <w:t>w ogólnej liczbie oraz w </w:t>
      </w:r>
      <w:r w:rsidRPr="00ED1A48">
        <w:rPr>
          <w:rFonts w:cs="Arial"/>
          <w:b/>
          <w:color w:val="000000"/>
        </w:rPr>
        <w:t xml:space="preserve">ogólnej wartości zielonych zamówień publicznych </w:t>
      </w:r>
      <w:r>
        <w:rPr>
          <w:rFonts w:cs="Arial"/>
          <w:b/>
          <w:color w:val="000000"/>
        </w:rPr>
        <w:t>udzielonych przez jednostki administracji rządowej</w:t>
      </w:r>
    </w:p>
    <w:p w14:paraId="1590EFE7" w14:textId="77777777" w:rsidR="009B50F8" w:rsidRPr="00100D6C" w:rsidRDefault="009B50F8" w:rsidP="009B50F8">
      <w:pPr>
        <w:shd w:val="clear" w:color="auto" w:fill="FFFFFF"/>
        <w:rPr>
          <w:rFonts w:cs="Arial"/>
          <w:color w:val="000000"/>
          <w:szCs w:val="22"/>
        </w:rPr>
      </w:pPr>
    </w:p>
    <w:tbl>
      <w:tblPr>
        <w:tblW w:w="11904"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887"/>
        <w:gridCol w:w="1868"/>
        <w:gridCol w:w="1776"/>
        <w:gridCol w:w="1822"/>
        <w:gridCol w:w="1822"/>
      </w:tblGrid>
      <w:tr w:rsidR="00DE7AB4" w:rsidRPr="00ED1A48" w14:paraId="227BE606" w14:textId="7400111A" w:rsidTr="00DE7AB4">
        <w:tc>
          <w:tcPr>
            <w:tcW w:w="4616" w:type="dxa"/>
            <w:gridSpan w:val="2"/>
            <w:tcBorders>
              <w:top w:val="single" w:sz="4" w:space="0" w:color="auto"/>
              <w:left w:val="single" w:sz="4" w:space="0" w:color="auto"/>
              <w:bottom w:val="single" w:sz="4" w:space="0" w:color="auto"/>
              <w:right w:val="single" w:sz="4" w:space="0" w:color="auto"/>
            </w:tcBorders>
            <w:shd w:val="clear" w:color="auto" w:fill="C5E0B3"/>
            <w:vAlign w:val="center"/>
            <w:hideMark/>
          </w:tcPr>
          <w:p w14:paraId="74502F08" w14:textId="77777777" w:rsidR="00DE7AB4" w:rsidRPr="00ED1A48" w:rsidRDefault="00DE7AB4" w:rsidP="00100D6C">
            <w:pPr>
              <w:jc w:val="center"/>
              <w:rPr>
                <w:rFonts w:cs="Arial"/>
                <w:b/>
                <w:color w:val="000000"/>
                <w:sz w:val="16"/>
                <w:szCs w:val="16"/>
              </w:rPr>
            </w:pPr>
            <w:r w:rsidRPr="00ED1A48">
              <w:rPr>
                <w:rFonts w:cs="Arial"/>
                <w:b/>
                <w:color w:val="000000"/>
                <w:sz w:val="16"/>
                <w:szCs w:val="16"/>
              </w:rPr>
              <w:t>Rok referencyjny</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43294D01" w14:textId="77777777" w:rsidR="00DE7AB4" w:rsidRPr="00ED1A48" w:rsidRDefault="00DE7AB4" w:rsidP="00100D6C">
            <w:pPr>
              <w:jc w:val="center"/>
              <w:rPr>
                <w:rFonts w:cs="Arial"/>
                <w:b/>
                <w:bCs/>
                <w:color w:val="000000"/>
                <w:sz w:val="16"/>
                <w:szCs w:val="16"/>
              </w:rPr>
            </w:pPr>
            <w:r>
              <w:rPr>
                <w:rFonts w:cs="Arial"/>
                <w:b/>
                <w:bCs/>
                <w:color w:val="000000"/>
                <w:sz w:val="16"/>
                <w:szCs w:val="16"/>
              </w:rPr>
              <w:t>2021 r.</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5E0B3"/>
          </w:tcPr>
          <w:p w14:paraId="419D05C3" w14:textId="5B7E9575" w:rsidR="00DE7AB4" w:rsidRDefault="00DE7AB4" w:rsidP="00100D6C">
            <w:pPr>
              <w:jc w:val="center"/>
              <w:rPr>
                <w:rFonts w:cs="Arial"/>
                <w:b/>
                <w:bCs/>
                <w:color w:val="000000"/>
                <w:sz w:val="16"/>
                <w:szCs w:val="16"/>
              </w:rPr>
            </w:pPr>
            <w:r>
              <w:rPr>
                <w:rFonts w:cs="Arial"/>
                <w:b/>
                <w:bCs/>
                <w:color w:val="000000"/>
                <w:sz w:val="16"/>
                <w:szCs w:val="16"/>
              </w:rPr>
              <w:t>2022 r.</w:t>
            </w:r>
          </w:p>
        </w:tc>
      </w:tr>
      <w:tr w:rsidR="00DE7AB4" w:rsidRPr="00ED1A48" w14:paraId="0438F21A" w14:textId="3FF2D24C"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tcPr>
          <w:p w14:paraId="063432AC" w14:textId="77777777" w:rsidR="00DE7AB4" w:rsidRPr="00ED1A48" w:rsidRDefault="00DE7AB4" w:rsidP="00DE7AB4">
            <w:pPr>
              <w:jc w:val="center"/>
              <w:rPr>
                <w:rFonts w:cs="Arial"/>
                <w:b/>
                <w:color w:val="000000"/>
                <w:sz w:val="16"/>
                <w:szCs w:val="16"/>
              </w:rPr>
            </w:pPr>
            <w:r w:rsidRPr="00ED1A48">
              <w:rPr>
                <w:rFonts w:cs="Arial"/>
                <w:b/>
                <w:color w:val="000000"/>
                <w:sz w:val="16"/>
                <w:szCs w:val="16"/>
              </w:rPr>
              <w:t>Lp.</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tcPr>
          <w:p w14:paraId="1B88B6B2" w14:textId="77777777" w:rsidR="00DE7AB4" w:rsidRPr="00ED1A48" w:rsidRDefault="00DE7AB4" w:rsidP="00DE7AB4">
            <w:pPr>
              <w:jc w:val="center"/>
              <w:rPr>
                <w:rFonts w:cs="Arial"/>
                <w:b/>
                <w:color w:val="000000"/>
                <w:sz w:val="16"/>
                <w:szCs w:val="16"/>
              </w:rPr>
            </w:pPr>
            <w:r w:rsidRPr="00ED1A48">
              <w:rPr>
                <w:rFonts w:cs="Arial"/>
                <w:b/>
                <w:color w:val="000000"/>
                <w:sz w:val="16"/>
                <w:szCs w:val="16"/>
              </w:rPr>
              <w:t xml:space="preserve">Aspekt zielony </w:t>
            </w:r>
          </w:p>
        </w:tc>
        <w:tc>
          <w:tcPr>
            <w:tcW w:w="1868" w:type="dxa"/>
            <w:tcBorders>
              <w:top w:val="single" w:sz="4" w:space="0" w:color="auto"/>
              <w:left w:val="single" w:sz="4" w:space="0" w:color="auto"/>
              <w:bottom w:val="single" w:sz="4" w:space="0" w:color="auto"/>
              <w:right w:val="single" w:sz="4" w:space="0" w:color="auto"/>
            </w:tcBorders>
            <w:shd w:val="clear" w:color="auto" w:fill="E2EFD9"/>
          </w:tcPr>
          <w:p w14:paraId="66D585B5" w14:textId="77777777" w:rsidR="00DE7AB4" w:rsidRPr="00ED1A48" w:rsidRDefault="00DE7AB4" w:rsidP="00DE7AB4">
            <w:pPr>
              <w:jc w:val="center"/>
              <w:rPr>
                <w:rFonts w:cs="Arial"/>
                <w:b/>
                <w:bCs/>
                <w:color w:val="000000"/>
                <w:sz w:val="16"/>
                <w:szCs w:val="16"/>
              </w:rPr>
            </w:pPr>
            <w:r w:rsidRPr="00ED1A48">
              <w:rPr>
                <w:rFonts w:cs="Arial"/>
                <w:b/>
                <w:bCs/>
                <w:color w:val="000000"/>
                <w:sz w:val="16"/>
                <w:szCs w:val="16"/>
              </w:rPr>
              <w:t xml:space="preserve">Udział zamówień z danym aspektem </w:t>
            </w:r>
            <w:r>
              <w:rPr>
                <w:rFonts w:cs="Arial"/>
                <w:b/>
                <w:bCs/>
                <w:color w:val="000000"/>
                <w:sz w:val="16"/>
                <w:szCs w:val="16"/>
              </w:rPr>
              <w:t xml:space="preserve">udzielonych przez jedn. adm. rz. </w:t>
            </w:r>
            <w:r w:rsidRPr="00ED1A48">
              <w:rPr>
                <w:rFonts w:cs="Arial"/>
                <w:b/>
                <w:bCs/>
                <w:color w:val="000000"/>
                <w:sz w:val="16"/>
                <w:szCs w:val="16"/>
              </w:rPr>
              <w:t>w ogólnej liczbie zamówień zielonych</w:t>
            </w:r>
          </w:p>
        </w:tc>
        <w:tc>
          <w:tcPr>
            <w:tcW w:w="1776" w:type="dxa"/>
            <w:tcBorders>
              <w:top w:val="single" w:sz="4" w:space="0" w:color="auto"/>
              <w:left w:val="single" w:sz="4" w:space="0" w:color="auto"/>
              <w:bottom w:val="single" w:sz="4" w:space="0" w:color="auto"/>
              <w:right w:val="single" w:sz="4" w:space="0" w:color="auto"/>
            </w:tcBorders>
            <w:shd w:val="clear" w:color="auto" w:fill="E2EFD9"/>
          </w:tcPr>
          <w:p w14:paraId="28774FB1" w14:textId="78B855F5" w:rsidR="00DE7AB4" w:rsidRPr="00ED1A48" w:rsidRDefault="00DE7AB4" w:rsidP="00DE7AB4">
            <w:pPr>
              <w:jc w:val="center"/>
              <w:rPr>
                <w:rFonts w:cs="Arial"/>
                <w:b/>
                <w:bCs/>
                <w:color w:val="000000"/>
                <w:sz w:val="16"/>
                <w:szCs w:val="16"/>
              </w:rPr>
            </w:pPr>
            <w:r>
              <w:rPr>
                <w:rFonts w:cs="Arial"/>
                <w:b/>
                <w:bCs/>
                <w:color w:val="000000"/>
                <w:sz w:val="16"/>
                <w:szCs w:val="16"/>
              </w:rPr>
              <w:t xml:space="preserve">Udział zamówień z danym </w:t>
            </w:r>
            <w:r w:rsidRPr="00ED1A48">
              <w:rPr>
                <w:rFonts w:cs="Arial"/>
                <w:b/>
                <w:bCs/>
                <w:color w:val="000000"/>
                <w:sz w:val="16"/>
                <w:szCs w:val="16"/>
              </w:rPr>
              <w:t xml:space="preserve">aspektem </w:t>
            </w:r>
            <w:r>
              <w:rPr>
                <w:rFonts w:cs="Arial"/>
                <w:b/>
                <w:bCs/>
                <w:color w:val="000000"/>
                <w:sz w:val="16"/>
                <w:szCs w:val="16"/>
              </w:rPr>
              <w:t xml:space="preserve">udzielonych przez jedn. adm. rz. </w:t>
            </w:r>
            <w:r w:rsidRPr="00ED1A48">
              <w:rPr>
                <w:rFonts w:cs="Arial"/>
                <w:b/>
                <w:bCs/>
                <w:color w:val="000000"/>
                <w:sz w:val="16"/>
                <w:szCs w:val="16"/>
              </w:rPr>
              <w:t>w ogólnej wartości zamówień zielonych</w:t>
            </w:r>
          </w:p>
        </w:tc>
        <w:tc>
          <w:tcPr>
            <w:tcW w:w="1822" w:type="dxa"/>
            <w:tcBorders>
              <w:top w:val="single" w:sz="4" w:space="0" w:color="auto"/>
              <w:left w:val="single" w:sz="4" w:space="0" w:color="auto"/>
              <w:bottom w:val="single" w:sz="4" w:space="0" w:color="auto"/>
              <w:right w:val="single" w:sz="4" w:space="0" w:color="auto"/>
            </w:tcBorders>
            <w:shd w:val="clear" w:color="auto" w:fill="E2EFD9"/>
          </w:tcPr>
          <w:p w14:paraId="47C844B8" w14:textId="22D3AB23" w:rsidR="00DE7AB4" w:rsidRDefault="00DE7AB4" w:rsidP="00DE7AB4">
            <w:pPr>
              <w:jc w:val="center"/>
              <w:rPr>
                <w:rFonts w:cs="Arial"/>
                <w:b/>
                <w:bCs/>
                <w:color w:val="000000"/>
                <w:sz w:val="16"/>
                <w:szCs w:val="16"/>
              </w:rPr>
            </w:pPr>
            <w:r w:rsidRPr="00ED1A48">
              <w:rPr>
                <w:rFonts w:cs="Arial"/>
                <w:b/>
                <w:bCs/>
                <w:color w:val="000000"/>
                <w:sz w:val="16"/>
                <w:szCs w:val="16"/>
              </w:rPr>
              <w:t xml:space="preserve">Udział zamówień z danym aspektem </w:t>
            </w:r>
            <w:r>
              <w:rPr>
                <w:rFonts w:cs="Arial"/>
                <w:b/>
                <w:bCs/>
                <w:color w:val="000000"/>
                <w:sz w:val="16"/>
                <w:szCs w:val="16"/>
              </w:rPr>
              <w:t xml:space="preserve">udzielonych przez jedn. adm. rz. </w:t>
            </w:r>
            <w:r w:rsidRPr="00ED1A48">
              <w:rPr>
                <w:rFonts w:cs="Arial"/>
                <w:b/>
                <w:bCs/>
                <w:color w:val="000000"/>
                <w:sz w:val="16"/>
                <w:szCs w:val="16"/>
              </w:rPr>
              <w:t>w ogólnej liczbie zamówień zielonych</w:t>
            </w:r>
          </w:p>
        </w:tc>
        <w:tc>
          <w:tcPr>
            <w:tcW w:w="1822" w:type="dxa"/>
            <w:tcBorders>
              <w:top w:val="single" w:sz="4" w:space="0" w:color="auto"/>
              <w:left w:val="single" w:sz="4" w:space="0" w:color="auto"/>
              <w:bottom w:val="single" w:sz="4" w:space="0" w:color="auto"/>
              <w:right w:val="single" w:sz="4" w:space="0" w:color="auto"/>
            </w:tcBorders>
            <w:shd w:val="clear" w:color="auto" w:fill="E2EFD9"/>
          </w:tcPr>
          <w:p w14:paraId="617A79E2" w14:textId="2D592D84" w:rsidR="00DE7AB4" w:rsidRDefault="00DE7AB4" w:rsidP="00DE7AB4">
            <w:pPr>
              <w:jc w:val="center"/>
              <w:rPr>
                <w:rFonts w:cs="Arial"/>
                <w:b/>
                <w:bCs/>
                <w:color w:val="000000"/>
                <w:sz w:val="16"/>
                <w:szCs w:val="16"/>
              </w:rPr>
            </w:pPr>
            <w:r>
              <w:rPr>
                <w:rFonts w:cs="Arial"/>
                <w:b/>
                <w:bCs/>
                <w:color w:val="000000"/>
                <w:sz w:val="16"/>
                <w:szCs w:val="16"/>
              </w:rPr>
              <w:t xml:space="preserve">Udział zamówień z danym </w:t>
            </w:r>
            <w:r w:rsidRPr="00ED1A48">
              <w:rPr>
                <w:rFonts w:cs="Arial"/>
                <w:b/>
                <w:bCs/>
                <w:color w:val="000000"/>
                <w:sz w:val="16"/>
                <w:szCs w:val="16"/>
              </w:rPr>
              <w:t xml:space="preserve">aspektem </w:t>
            </w:r>
            <w:r>
              <w:rPr>
                <w:rFonts w:cs="Arial"/>
                <w:b/>
                <w:bCs/>
                <w:color w:val="000000"/>
                <w:sz w:val="16"/>
                <w:szCs w:val="16"/>
              </w:rPr>
              <w:t xml:space="preserve">udzielonych przez jedn. adm. rz. </w:t>
            </w:r>
            <w:r w:rsidRPr="00ED1A48">
              <w:rPr>
                <w:rFonts w:cs="Arial"/>
                <w:b/>
                <w:bCs/>
                <w:color w:val="000000"/>
                <w:sz w:val="16"/>
                <w:szCs w:val="16"/>
              </w:rPr>
              <w:t>w ogólnej wartości zamówień zielonych</w:t>
            </w:r>
          </w:p>
        </w:tc>
      </w:tr>
      <w:tr w:rsidR="00DE7AB4" w:rsidRPr="00ED1A48" w14:paraId="1E8FDB98" w14:textId="32A2CFDC"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tcPr>
          <w:p w14:paraId="17AC76C9" w14:textId="77777777" w:rsidR="00DE7AB4" w:rsidRPr="00ED1A48" w:rsidRDefault="00DE7AB4" w:rsidP="00DE7AB4">
            <w:pPr>
              <w:jc w:val="center"/>
              <w:rPr>
                <w:rFonts w:cs="Arial"/>
                <w:color w:val="000000"/>
                <w:sz w:val="16"/>
                <w:szCs w:val="16"/>
              </w:rPr>
            </w:pPr>
            <w:r>
              <w:rPr>
                <w:rFonts w:cs="Arial"/>
                <w:color w:val="000000"/>
                <w:sz w:val="16"/>
                <w:szCs w:val="16"/>
              </w:rPr>
              <w:t>1.</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tcPr>
          <w:p w14:paraId="4E55BE5B" w14:textId="77777777" w:rsidR="00DE7AB4" w:rsidRPr="00ED1A48" w:rsidRDefault="00DE7AB4" w:rsidP="00DE7AB4">
            <w:pPr>
              <w:jc w:val="center"/>
              <w:rPr>
                <w:rFonts w:cs="Arial"/>
                <w:b/>
                <w:color w:val="000000"/>
                <w:sz w:val="16"/>
                <w:szCs w:val="16"/>
              </w:rPr>
            </w:pPr>
            <w:r w:rsidRPr="009B49EA">
              <w:rPr>
                <w:b/>
                <w:sz w:val="16"/>
                <w:szCs w:val="16"/>
              </w:rPr>
              <w:t>Określenie w opisie przedmiotu zamówienia wymagań środowiskowych</w:t>
            </w:r>
          </w:p>
        </w:tc>
        <w:tc>
          <w:tcPr>
            <w:tcW w:w="1868" w:type="dxa"/>
            <w:tcBorders>
              <w:top w:val="single" w:sz="4" w:space="0" w:color="auto"/>
              <w:left w:val="single" w:sz="4" w:space="0" w:color="auto"/>
              <w:bottom w:val="single" w:sz="4" w:space="0" w:color="auto"/>
              <w:right w:val="single" w:sz="4" w:space="0" w:color="auto"/>
            </w:tcBorders>
            <w:vAlign w:val="center"/>
          </w:tcPr>
          <w:p w14:paraId="4A7491E2" w14:textId="18E52326" w:rsidR="00DE7AB4" w:rsidRPr="00ED1A48" w:rsidRDefault="00F01450" w:rsidP="00DE7AB4">
            <w:pPr>
              <w:jc w:val="center"/>
              <w:rPr>
                <w:rFonts w:cs="Arial"/>
                <w:color w:val="000000"/>
                <w:sz w:val="16"/>
                <w:szCs w:val="16"/>
              </w:rPr>
            </w:pPr>
            <w:r>
              <w:rPr>
                <w:rFonts w:cs="Arial"/>
                <w:color w:val="000000"/>
                <w:sz w:val="16"/>
                <w:szCs w:val="16"/>
              </w:rPr>
              <w:t>54,66</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750D695C" w14:textId="5ED301A1" w:rsidR="00DE7AB4" w:rsidRPr="00ED1A48" w:rsidRDefault="00F01450" w:rsidP="00DE7AB4">
            <w:pPr>
              <w:jc w:val="center"/>
              <w:rPr>
                <w:rFonts w:cs="Arial"/>
                <w:color w:val="000000"/>
                <w:sz w:val="16"/>
                <w:szCs w:val="16"/>
              </w:rPr>
            </w:pPr>
            <w:r>
              <w:rPr>
                <w:rFonts w:cs="Arial"/>
                <w:color w:val="000000"/>
                <w:sz w:val="16"/>
                <w:szCs w:val="16"/>
              </w:rPr>
              <w:t>41,56</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51168724" w14:textId="3FA3E0D9" w:rsidR="00DE7AB4" w:rsidRDefault="00F01450" w:rsidP="00DE7AB4">
            <w:pPr>
              <w:jc w:val="center"/>
              <w:rPr>
                <w:rFonts w:cs="Arial"/>
                <w:color w:val="000000"/>
                <w:sz w:val="16"/>
                <w:szCs w:val="16"/>
              </w:rPr>
            </w:pPr>
            <w:r>
              <w:rPr>
                <w:rFonts w:cs="Arial"/>
                <w:color w:val="000000"/>
                <w:sz w:val="16"/>
                <w:szCs w:val="16"/>
              </w:rPr>
              <w:t>56,90</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2B0CEEF5" w14:textId="2374FB77" w:rsidR="00DE7AB4" w:rsidRDefault="00DE7AB4" w:rsidP="00F01450">
            <w:pPr>
              <w:jc w:val="center"/>
              <w:rPr>
                <w:rFonts w:cs="Arial"/>
                <w:color w:val="000000"/>
                <w:sz w:val="16"/>
                <w:szCs w:val="16"/>
              </w:rPr>
            </w:pPr>
            <w:r>
              <w:rPr>
                <w:rFonts w:cs="Arial"/>
                <w:color w:val="000000"/>
                <w:sz w:val="16"/>
                <w:szCs w:val="16"/>
              </w:rPr>
              <w:t>87,79%</w:t>
            </w:r>
          </w:p>
        </w:tc>
      </w:tr>
      <w:tr w:rsidR="00DE7AB4" w:rsidRPr="00ED1A48" w14:paraId="5DC3D443" w14:textId="2A380426"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FE822B9" w14:textId="77777777" w:rsidR="00DE7AB4" w:rsidRPr="00ED1A48" w:rsidRDefault="00DE7AB4" w:rsidP="00DE7AB4">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788D824" w14:textId="77777777" w:rsidR="00DE7AB4" w:rsidRPr="00ED1A48" w:rsidRDefault="00DE7AB4" w:rsidP="00DE7AB4">
            <w:pPr>
              <w:jc w:val="center"/>
              <w:rPr>
                <w:rFonts w:cs="Arial"/>
                <w:b/>
                <w:color w:val="000000"/>
                <w:sz w:val="16"/>
                <w:szCs w:val="16"/>
              </w:rPr>
            </w:pPr>
            <w:r w:rsidRPr="009B49EA">
              <w:rPr>
                <w:b/>
                <w:sz w:val="16"/>
                <w:szCs w:val="16"/>
              </w:rPr>
              <w:t>Określenie wymagań zw. z realizacją zamówienia obejmujących aspekty środowiskowe</w:t>
            </w:r>
          </w:p>
        </w:tc>
        <w:tc>
          <w:tcPr>
            <w:tcW w:w="1868" w:type="dxa"/>
            <w:tcBorders>
              <w:top w:val="single" w:sz="4" w:space="0" w:color="auto"/>
              <w:left w:val="single" w:sz="4" w:space="0" w:color="auto"/>
              <w:bottom w:val="single" w:sz="4" w:space="0" w:color="auto"/>
              <w:right w:val="single" w:sz="4" w:space="0" w:color="auto"/>
            </w:tcBorders>
            <w:vAlign w:val="center"/>
          </w:tcPr>
          <w:p w14:paraId="37D8BB1D" w14:textId="0DAD5954" w:rsidR="00DE7AB4" w:rsidRPr="00ED1A48" w:rsidRDefault="00F01450" w:rsidP="00DE7AB4">
            <w:pPr>
              <w:jc w:val="center"/>
              <w:rPr>
                <w:rFonts w:cs="Arial"/>
                <w:color w:val="000000"/>
                <w:sz w:val="16"/>
                <w:szCs w:val="16"/>
              </w:rPr>
            </w:pPr>
            <w:r>
              <w:rPr>
                <w:rFonts w:cs="Arial"/>
                <w:color w:val="000000"/>
                <w:sz w:val="16"/>
                <w:szCs w:val="16"/>
              </w:rPr>
              <w:t>33,62</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108F1FCE" w14:textId="2AEF26C9" w:rsidR="00DE7AB4" w:rsidRPr="00ED1A48" w:rsidRDefault="00F01450" w:rsidP="00DE7AB4">
            <w:pPr>
              <w:jc w:val="center"/>
              <w:rPr>
                <w:rFonts w:cs="Arial"/>
                <w:color w:val="000000"/>
                <w:sz w:val="16"/>
                <w:szCs w:val="16"/>
              </w:rPr>
            </w:pPr>
            <w:r>
              <w:rPr>
                <w:rFonts w:cs="Arial"/>
                <w:color w:val="000000"/>
                <w:sz w:val="16"/>
                <w:szCs w:val="16"/>
              </w:rPr>
              <w:t>36,19</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5FEA8DE6" w14:textId="1F1399D4" w:rsidR="00DE7AB4" w:rsidRDefault="00F01450" w:rsidP="00DE7AB4">
            <w:pPr>
              <w:jc w:val="center"/>
              <w:rPr>
                <w:rFonts w:cs="Arial"/>
                <w:color w:val="000000"/>
                <w:sz w:val="16"/>
                <w:szCs w:val="16"/>
              </w:rPr>
            </w:pPr>
            <w:r>
              <w:rPr>
                <w:rFonts w:cs="Arial"/>
                <w:color w:val="000000"/>
                <w:sz w:val="16"/>
                <w:szCs w:val="16"/>
              </w:rPr>
              <w:t>37,70</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4203E2CC" w14:textId="106D72FC" w:rsidR="00DE7AB4" w:rsidRDefault="00DE7AB4" w:rsidP="00F01450">
            <w:pPr>
              <w:jc w:val="center"/>
              <w:rPr>
                <w:rFonts w:cs="Arial"/>
                <w:color w:val="000000"/>
                <w:sz w:val="16"/>
                <w:szCs w:val="16"/>
              </w:rPr>
            </w:pPr>
            <w:r>
              <w:rPr>
                <w:rFonts w:cs="Arial"/>
                <w:color w:val="000000"/>
                <w:sz w:val="16"/>
                <w:szCs w:val="16"/>
              </w:rPr>
              <w:t>13,86%</w:t>
            </w:r>
          </w:p>
        </w:tc>
      </w:tr>
      <w:tr w:rsidR="00DE7AB4" w:rsidRPr="00ED1A48" w14:paraId="53178760" w14:textId="2A208068"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CB2F18C" w14:textId="77777777" w:rsidR="00DE7AB4" w:rsidRPr="00ED1A48" w:rsidRDefault="00DE7AB4" w:rsidP="00DE7AB4">
            <w:pPr>
              <w:jc w:val="center"/>
              <w:rPr>
                <w:rFonts w:cs="Arial"/>
                <w:color w:val="000000"/>
                <w:sz w:val="16"/>
                <w:szCs w:val="16"/>
              </w:rPr>
            </w:pPr>
            <w:r>
              <w:rPr>
                <w:rFonts w:cs="Arial"/>
                <w:color w:val="000000"/>
                <w:sz w:val="16"/>
                <w:szCs w:val="16"/>
              </w:rPr>
              <w:t>3</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7E94E38" w14:textId="77777777" w:rsidR="00DE7AB4" w:rsidRPr="00ED1A48" w:rsidRDefault="00DE7AB4" w:rsidP="00DE7AB4">
            <w:pPr>
              <w:jc w:val="center"/>
              <w:rPr>
                <w:rFonts w:cs="Arial"/>
                <w:b/>
                <w:color w:val="000000"/>
                <w:sz w:val="16"/>
                <w:szCs w:val="16"/>
              </w:rPr>
            </w:pPr>
            <w:r w:rsidRPr="009B49EA">
              <w:rPr>
                <w:b/>
                <w:sz w:val="16"/>
                <w:szCs w:val="16"/>
              </w:rPr>
              <w:t>Określenie w kryteriach oceny ofert aspektów środowiskowych, w tym efektywności energetycznej przedmiotu zamówienia</w:t>
            </w:r>
          </w:p>
        </w:tc>
        <w:tc>
          <w:tcPr>
            <w:tcW w:w="1868" w:type="dxa"/>
            <w:tcBorders>
              <w:top w:val="single" w:sz="4" w:space="0" w:color="auto"/>
              <w:left w:val="single" w:sz="4" w:space="0" w:color="auto"/>
              <w:bottom w:val="single" w:sz="4" w:space="0" w:color="auto"/>
              <w:right w:val="single" w:sz="4" w:space="0" w:color="auto"/>
            </w:tcBorders>
            <w:vAlign w:val="center"/>
          </w:tcPr>
          <w:p w14:paraId="0C6A8354" w14:textId="61C22A86" w:rsidR="00DE7AB4" w:rsidRPr="00ED1A48" w:rsidRDefault="00F01450" w:rsidP="00DE7AB4">
            <w:pPr>
              <w:jc w:val="center"/>
              <w:rPr>
                <w:rFonts w:cs="Arial"/>
                <w:color w:val="000000"/>
                <w:sz w:val="16"/>
                <w:szCs w:val="16"/>
              </w:rPr>
            </w:pPr>
            <w:r>
              <w:rPr>
                <w:rFonts w:cs="Arial"/>
                <w:color w:val="000000"/>
                <w:sz w:val="16"/>
                <w:szCs w:val="16"/>
              </w:rPr>
              <w:t>30,37</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6D3CDDD8" w14:textId="17B4BB7F" w:rsidR="00DE7AB4" w:rsidRPr="00ED1A48" w:rsidRDefault="00F01450" w:rsidP="00DE7AB4">
            <w:pPr>
              <w:jc w:val="center"/>
              <w:rPr>
                <w:rFonts w:cs="Arial"/>
                <w:color w:val="000000"/>
                <w:sz w:val="16"/>
                <w:szCs w:val="16"/>
              </w:rPr>
            </w:pPr>
            <w:r>
              <w:rPr>
                <w:rFonts w:cs="Arial"/>
                <w:color w:val="000000"/>
                <w:sz w:val="16"/>
                <w:szCs w:val="16"/>
              </w:rPr>
              <w:t>31,49</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6AAA1201" w14:textId="0F02398F" w:rsidR="00DE7AB4" w:rsidRDefault="00F01450" w:rsidP="00DE7AB4">
            <w:pPr>
              <w:jc w:val="center"/>
              <w:rPr>
                <w:rFonts w:cs="Arial"/>
                <w:color w:val="000000"/>
                <w:sz w:val="16"/>
                <w:szCs w:val="16"/>
              </w:rPr>
            </w:pPr>
            <w:r>
              <w:rPr>
                <w:rFonts w:cs="Arial"/>
                <w:color w:val="000000"/>
                <w:sz w:val="16"/>
                <w:szCs w:val="16"/>
              </w:rPr>
              <w:t>27,88</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3BEAD685" w14:textId="6AC116FA" w:rsidR="00DE7AB4" w:rsidRDefault="00DE7AB4" w:rsidP="00F01450">
            <w:pPr>
              <w:jc w:val="center"/>
              <w:rPr>
                <w:rFonts w:cs="Arial"/>
                <w:color w:val="000000"/>
                <w:sz w:val="16"/>
                <w:szCs w:val="16"/>
              </w:rPr>
            </w:pPr>
            <w:r>
              <w:rPr>
                <w:rFonts w:cs="Arial"/>
                <w:color w:val="000000"/>
                <w:sz w:val="16"/>
                <w:szCs w:val="16"/>
              </w:rPr>
              <w:t>64,55%</w:t>
            </w:r>
          </w:p>
        </w:tc>
      </w:tr>
      <w:tr w:rsidR="00DE7AB4" w:rsidRPr="00ED1A48" w14:paraId="6821DA90" w14:textId="3B3483C2"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8B15AE5" w14:textId="77777777" w:rsidR="00DE7AB4" w:rsidRPr="00ED1A48" w:rsidRDefault="00DE7AB4" w:rsidP="00DE7AB4">
            <w:pPr>
              <w:jc w:val="center"/>
              <w:rPr>
                <w:rFonts w:cs="Arial"/>
                <w:color w:val="000000"/>
                <w:sz w:val="16"/>
                <w:szCs w:val="16"/>
              </w:rPr>
            </w:pPr>
            <w:r>
              <w:rPr>
                <w:rFonts w:cs="Arial"/>
                <w:color w:val="000000"/>
                <w:sz w:val="16"/>
                <w:szCs w:val="16"/>
              </w:rPr>
              <w:t>4</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F8E80B" w14:textId="77777777" w:rsidR="00DE7AB4" w:rsidRPr="00ED1A48" w:rsidRDefault="00DE7AB4" w:rsidP="00DE7AB4">
            <w:pPr>
              <w:jc w:val="center"/>
              <w:rPr>
                <w:rFonts w:cs="Arial"/>
                <w:b/>
                <w:color w:val="000000"/>
                <w:sz w:val="16"/>
                <w:szCs w:val="16"/>
              </w:rPr>
            </w:pPr>
            <w:r w:rsidRPr="007B7671">
              <w:rPr>
                <w:b/>
                <w:sz w:val="16"/>
                <w:szCs w:val="16"/>
              </w:rPr>
              <w:t>Określenie etykiety związanej z aspektami środowiskowymi</w:t>
            </w:r>
          </w:p>
        </w:tc>
        <w:tc>
          <w:tcPr>
            <w:tcW w:w="1868" w:type="dxa"/>
            <w:tcBorders>
              <w:top w:val="single" w:sz="4" w:space="0" w:color="auto"/>
              <w:left w:val="single" w:sz="4" w:space="0" w:color="auto"/>
              <w:bottom w:val="single" w:sz="4" w:space="0" w:color="auto"/>
              <w:right w:val="single" w:sz="4" w:space="0" w:color="auto"/>
            </w:tcBorders>
            <w:vAlign w:val="center"/>
          </w:tcPr>
          <w:p w14:paraId="25EADA92" w14:textId="107E3B80" w:rsidR="00DE7AB4" w:rsidRPr="00ED1A48" w:rsidRDefault="00F01450" w:rsidP="00DE7AB4">
            <w:pPr>
              <w:jc w:val="center"/>
              <w:rPr>
                <w:rFonts w:cs="Arial"/>
                <w:color w:val="000000"/>
                <w:sz w:val="16"/>
                <w:szCs w:val="16"/>
              </w:rPr>
            </w:pPr>
            <w:r>
              <w:rPr>
                <w:rFonts w:cs="Arial"/>
                <w:color w:val="000000"/>
                <w:sz w:val="16"/>
                <w:szCs w:val="16"/>
              </w:rPr>
              <w:t>20,39</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3DCFCE15" w14:textId="41A3FFDB" w:rsidR="00DE7AB4" w:rsidRPr="00ED1A48" w:rsidRDefault="00F01450" w:rsidP="00DE7AB4">
            <w:pPr>
              <w:jc w:val="center"/>
              <w:rPr>
                <w:rFonts w:cs="Arial"/>
                <w:color w:val="000000"/>
                <w:sz w:val="16"/>
                <w:szCs w:val="16"/>
              </w:rPr>
            </w:pPr>
            <w:r>
              <w:rPr>
                <w:rFonts w:cs="Arial"/>
                <w:color w:val="000000"/>
                <w:sz w:val="16"/>
                <w:szCs w:val="16"/>
              </w:rPr>
              <w:t>22,39</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0168EDE0" w14:textId="0121A46E" w:rsidR="00DE7AB4" w:rsidRDefault="00F01450" w:rsidP="00DE7AB4">
            <w:pPr>
              <w:jc w:val="center"/>
              <w:rPr>
                <w:rFonts w:cs="Arial"/>
                <w:color w:val="000000"/>
                <w:sz w:val="16"/>
                <w:szCs w:val="16"/>
              </w:rPr>
            </w:pPr>
            <w:r>
              <w:rPr>
                <w:rFonts w:cs="Arial"/>
                <w:color w:val="000000"/>
                <w:sz w:val="16"/>
                <w:szCs w:val="16"/>
              </w:rPr>
              <w:t>10,95</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68AF8257" w14:textId="16F92147" w:rsidR="00DE7AB4" w:rsidRDefault="00DE7AB4" w:rsidP="00F01450">
            <w:pPr>
              <w:jc w:val="center"/>
              <w:rPr>
                <w:rFonts w:cs="Arial"/>
                <w:color w:val="000000"/>
                <w:sz w:val="16"/>
                <w:szCs w:val="16"/>
              </w:rPr>
            </w:pPr>
            <w:r>
              <w:rPr>
                <w:rFonts w:cs="Arial"/>
                <w:color w:val="000000"/>
                <w:sz w:val="16"/>
                <w:szCs w:val="16"/>
              </w:rPr>
              <w:t>0,82%</w:t>
            </w:r>
          </w:p>
        </w:tc>
      </w:tr>
      <w:tr w:rsidR="00DE7AB4" w:rsidRPr="00ED1A48" w14:paraId="5675C47F" w14:textId="30282DC8"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5CAA578" w14:textId="77777777" w:rsidR="00DE7AB4" w:rsidRPr="00ED1A48" w:rsidRDefault="00DE7AB4" w:rsidP="00DE7AB4">
            <w:pPr>
              <w:jc w:val="center"/>
              <w:rPr>
                <w:rFonts w:cs="Arial"/>
                <w:color w:val="000000"/>
                <w:sz w:val="16"/>
                <w:szCs w:val="16"/>
              </w:rPr>
            </w:pPr>
            <w:r>
              <w:rPr>
                <w:rFonts w:cs="Arial"/>
                <w:color w:val="000000"/>
                <w:sz w:val="16"/>
                <w:szCs w:val="16"/>
              </w:rPr>
              <w:t>5</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A3AE0A8" w14:textId="77777777" w:rsidR="00DE7AB4" w:rsidRPr="00ED1A48" w:rsidRDefault="00DE7AB4" w:rsidP="00DE7AB4">
            <w:pPr>
              <w:jc w:val="center"/>
              <w:rPr>
                <w:rFonts w:cs="Arial"/>
                <w:b/>
                <w:color w:val="000000"/>
                <w:sz w:val="16"/>
                <w:szCs w:val="16"/>
              </w:rPr>
            </w:pPr>
            <w:r w:rsidRPr="009B49EA">
              <w:rPr>
                <w:b/>
                <w:sz w:val="16"/>
                <w:szCs w:val="16"/>
              </w:rPr>
              <w:t>Określenie wymogu spełniania wymagań odpowiednich systemów lub norm zarządzania środowiskowego</w:t>
            </w:r>
          </w:p>
        </w:tc>
        <w:tc>
          <w:tcPr>
            <w:tcW w:w="1868" w:type="dxa"/>
            <w:tcBorders>
              <w:top w:val="single" w:sz="4" w:space="0" w:color="auto"/>
              <w:left w:val="single" w:sz="4" w:space="0" w:color="auto"/>
              <w:bottom w:val="single" w:sz="4" w:space="0" w:color="auto"/>
              <w:right w:val="single" w:sz="4" w:space="0" w:color="auto"/>
            </w:tcBorders>
            <w:vAlign w:val="center"/>
          </w:tcPr>
          <w:p w14:paraId="3FC974CF" w14:textId="7D09752A" w:rsidR="00DE7AB4" w:rsidRPr="00ED1A48" w:rsidRDefault="00F01450" w:rsidP="00DE7AB4">
            <w:pPr>
              <w:jc w:val="center"/>
              <w:rPr>
                <w:rFonts w:cs="Arial"/>
                <w:color w:val="000000"/>
                <w:sz w:val="16"/>
                <w:szCs w:val="16"/>
              </w:rPr>
            </w:pPr>
            <w:r>
              <w:rPr>
                <w:rFonts w:cs="Arial"/>
                <w:color w:val="000000"/>
                <w:sz w:val="16"/>
                <w:szCs w:val="16"/>
              </w:rPr>
              <w:t>4,99</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2E92F2B5" w14:textId="3E5EF852" w:rsidR="00DE7AB4" w:rsidRPr="00ED1A48" w:rsidRDefault="00F01450" w:rsidP="00DE7AB4">
            <w:pPr>
              <w:jc w:val="center"/>
              <w:rPr>
                <w:rFonts w:cs="Arial"/>
                <w:color w:val="000000"/>
                <w:sz w:val="16"/>
                <w:szCs w:val="16"/>
              </w:rPr>
            </w:pPr>
            <w:r>
              <w:rPr>
                <w:rFonts w:cs="Arial"/>
                <w:color w:val="000000"/>
                <w:sz w:val="16"/>
                <w:szCs w:val="16"/>
              </w:rPr>
              <w:t>6,43</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2FAAA44B" w14:textId="1FDA6D8D" w:rsidR="00DE7AB4" w:rsidRDefault="00F01450" w:rsidP="00DE7AB4">
            <w:pPr>
              <w:jc w:val="center"/>
              <w:rPr>
                <w:rFonts w:cs="Arial"/>
                <w:color w:val="000000"/>
                <w:sz w:val="16"/>
                <w:szCs w:val="16"/>
              </w:rPr>
            </w:pPr>
            <w:r>
              <w:rPr>
                <w:rFonts w:cs="Arial"/>
                <w:color w:val="000000"/>
                <w:sz w:val="16"/>
                <w:szCs w:val="16"/>
              </w:rPr>
              <w:t>3,27</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107113E5" w14:textId="288A49C8" w:rsidR="00DE7AB4" w:rsidRDefault="00DE7AB4" w:rsidP="00F01450">
            <w:pPr>
              <w:jc w:val="center"/>
              <w:rPr>
                <w:rFonts w:cs="Arial"/>
                <w:color w:val="000000"/>
                <w:sz w:val="16"/>
                <w:szCs w:val="16"/>
              </w:rPr>
            </w:pPr>
            <w:r>
              <w:rPr>
                <w:rFonts w:cs="Arial"/>
                <w:color w:val="000000"/>
                <w:sz w:val="16"/>
                <w:szCs w:val="16"/>
              </w:rPr>
              <w:t>0,31%</w:t>
            </w:r>
          </w:p>
        </w:tc>
      </w:tr>
      <w:tr w:rsidR="00DE7AB4" w:rsidRPr="00ED1A48" w14:paraId="43B9A67B" w14:textId="5D15018B" w:rsidTr="00A603D8">
        <w:tc>
          <w:tcPr>
            <w:tcW w:w="72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F00258F" w14:textId="77777777" w:rsidR="00DE7AB4" w:rsidRPr="00ED1A48" w:rsidRDefault="00DE7AB4" w:rsidP="00DE7AB4">
            <w:pPr>
              <w:jc w:val="center"/>
              <w:rPr>
                <w:rFonts w:cs="Arial"/>
                <w:color w:val="000000"/>
                <w:sz w:val="16"/>
                <w:szCs w:val="16"/>
              </w:rPr>
            </w:pPr>
            <w:r>
              <w:rPr>
                <w:rFonts w:cs="Arial"/>
                <w:color w:val="000000"/>
                <w:sz w:val="16"/>
                <w:szCs w:val="16"/>
              </w:rPr>
              <w:t>6</w:t>
            </w:r>
            <w:r w:rsidRPr="00ED1A48">
              <w:rPr>
                <w:rFonts w:cs="Arial"/>
                <w:color w:val="000000"/>
                <w:sz w:val="16"/>
                <w:szCs w:val="16"/>
              </w:rPr>
              <w:t>.</w:t>
            </w:r>
          </w:p>
        </w:tc>
        <w:tc>
          <w:tcPr>
            <w:tcW w:w="388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ADCE98" w14:textId="77777777" w:rsidR="00DE7AB4" w:rsidRPr="00ED1A48" w:rsidRDefault="00DE7AB4" w:rsidP="00DE7AB4">
            <w:pPr>
              <w:jc w:val="center"/>
              <w:rPr>
                <w:rFonts w:cs="Arial"/>
                <w:b/>
                <w:color w:val="000000"/>
                <w:sz w:val="16"/>
                <w:szCs w:val="16"/>
              </w:rPr>
            </w:pPr>
            <w:r w:rsidRPr="009B49EA">
              <w:rPr>
                <w:b/>
                <w:sz w:val="16"/>
                <w:szCs w:val="16"/>
              </w:rPr>
              <w:t>Zastosowanie kryterium kosztu z wykorzystaniem rachunku kosztów cyklu życia</w:t>
            </w:r>
          </w:p>
        </w:tc>
        <w:tc>
          <w:tcPr>
            <w:tcW w:w="1868" w:type="dxa"/>
            <w:tcBorders>
              <w:top w:val="single" w:sz="4" w:space="0" w:color="auto"/>
              <w:left w:val="single" w:sz="4" w:space="0" w:color="auto"/>
              <w:bottom w:val="single" w:sz="4" w:space="0" w:color="auto"/>
              <w:right w:val="single" w:sz="4" w:space="0" w:color="auto"/>
            </w:tcBorders>
            <w:vAlign w:val="center"/>
          </w:tcPr>
          <w:p w14:paraId="7DDB6991" w14:textId="35891A56" w:rsidR="00DE7AB4" w:rsidRPr="00ED1A48" w:rsidRDefault="00F01450" w:rsidP="00DE7AB4">
            <w:pPr>
              <w:jc w:val="center"/>
              <w:rPr>
                <w:rFonts w:cs="Arial"/>
                <w:color w:val="000000"/>
                <w:sz w:val="16"/>
                <w:szCs w:val="16"/>
              </w:rPr>
            </w:pPr>
            <w:r>
              <w:rPr>
                <w:rFonts w:cs="Arial"/>
                <w:color w:val="000000"/>
                <w:sz w:val="16"/>
                <w:szCs w:val="16"/>
              </w:rPr>
              <w:t>0,87</w:t>
            </w:r>
            <w:r w:rsidR="00DE7AB4">
              <w:rPr>
                <w:rFonts w:cs="Arial"/>
                <w:color w:val="000000"/>
                <w:sz w:val="16"/>
                <w:szCs w:val="16"/>
              </w:rPr>
              <w:t>%</w:t>
            </w:r>
          </w:p>
        </w:tc>
        <w:tc>
          <w:tcPr>
            <w:tcW w:w="1776" w:type="dxa"/>
            <w:tcBorders>
              <w:top w:val="single" w:sz="4" w:space="0" w:color="auto"/>
              <w:left w:val="single" w:sz="4" w:space="0" w:color="auto"/>
              <w:bottom w:val="single" w:sz="4" w:space="0" w:color="auto"/>
              <w:right w:val="single" w:sz="4" w:space="0" w:color="auto"/>
            </w:tcBorders>
            <w:vAlign w:val="center"/>
          </w:tcPr>
          <w:p w14:paraId="656DE366" w14:textId="7E7A45EC" w:rsidR="00DE7AB4" w:rsidRPr="00ED1A48" w:rsidRDefault="00F01450" w:rsidP="00DE7AB4">
            <w:pPr>
              <w:jc w:val="center"/>
              <w:rPr>
                <w:rFonts w:cs="Arial"/>
                <w:color w:val="000000"/>
                <w:sz w:val="16"/>
                <w:szCs w:val="16"/>
              </w:rPr>
            </w:pPr>
            <w:r>
              <w:rPr>
                <w:rFonts w:cs="Arial"/>
                <w:color w:val="000000"/>
                <w:sz w:val="16"/>
                <w:szCs w:val="16"/>
              </w:rPr>
              <w:t>0,19</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7AA3E312" w14:textId="3E5D3A73" w:rsidR="00DE7AB4" w:rsidRDefault="00F01450" w:rsidP="00DE7AB4">
            <w:pPr>
              <w:jc w:val="center"/>
              <w:rPr>
                <w:rFonts w:cs="Arial"/>
                <w:color w:val="000000"/>
                <w:sz w:val="16"/>
                <w:szCs w:val="16"/>
              </w:rPr>
            </w:pPr>
            <w:r>
              <w:rPr>
                <w:rFonts w:cs="Arial"/>
                <w:color w:val="000000"/>
                <w:sz w:val="16"/>
                <w:szCs w:val="16"/>
              </w:rPr>
              <w:t>1</w:t>
            </w:r>
            <w:r w:rsidR="00DE7AB4">
              <w:rPr>
                <w:rFonts w:cs="Arial"/>
                <w:color w:val="000000"/>
                <w:sz w:val="16"/>
                <w:szCs w:val="16"/>
              </w:rPr>
              <w:t>%</w:t>
            </w:r>
          </w:p>
        </w:tc>
        <w:tc>
          <w:tcPr>
            <w:tcW w:w="1822" w:type="dxa"/>
            <w:tcBorders>
              <w:top w:val="single" w:sz="4" w:space="0" w:color="auto"/>
              <w:left w:val="single" w:sz="4" w:space="0" w:color="auto"/>
              <w:bottom w:val="single" w:sz="4" w:space="0" w:color="auto"/>
              <w:right w:val="single" w:sz="4" w:space="0" w:color="auto"/>
            </w:tcBorders>
            <w:vAlign w:val="center"/>
          </w:tcPr>
          <w:p w14:paraId="09E92B09" w14:textId="52D834E0" w:rsidR="00DE7AB4" w:rsidRDefault="00DE7AB4" w:rsidP="00F01450">
            <w:pPr>
              <w:jc w:val="center"/>
              <w:rPr>
                <w:rFonts w:cs="Arial"/>
                <w:color w:val="000000"/>
                <w:sz w:val="16"/>
                <w:szCs w:val="16"/>
              </w:rPr>
            </w:pPr>
            <w:r>
              <w:rPr>
                <w:rFonts w:cs="Arial"/>
                <w:color w:val="000000"/>
                <w:sz w:val="16"/>
                <w:szCs w:val="16"/>
              </w:rPr>
              <w:t>0,17%</w:t>
            </w:r>
          </w:p>
        </w:tc>
      </w:tr>
    </w:tbl>
    <w:p w14:paraId="4434A223" w14:textId="77777777" w:rsidR="009B50F8" w:rsidRPr="009B50F8" w:rsidRDefault="009B50F8" w:rsidP="009B50F8">
      <w:pPr>
        <w:shd w:val="clear" w:color="auto" w:fill="FFFFFF"/>
        <w:rPr>
          <w:rFonts w:cs="Arial"/>
          <w:b/>
          <w:color w:val="000000"/>
          <w:sz w:val="16"/>
          <w:szCs w:val="16"/>
        </w:rPr>
      </w:pPr>
    </w:p>
    <w:p w14:paraId="323CF04F" w14:textId="6FBDEC8E" w:rsidR="009B50F8" w:rsidRDefault="009B50F8" w:rsidP="009B50F8">
      <w:pPr>
        <w:shd w:val="clear" w:color="auto" w:fill="FFFFFF"/>
        <w:rPr>
          <w:rFonts w:cs="Arial"/>
          <w:b/>
          <w:color w:val="000000"/>
        </w:rPr>
      </w:pPr>
      <w:r w:rsidRPr="00305876">
        <w:rPr>
          <w:b/>
          <w:sz w:val="16"/>
          <w:szCs w:val="16"/>
          <w:u w:val="single"/>
        </w:rPr>
        <w:t>UWAGA</w:t>
      </w:r>
      <w:r w:rsidRPr="004C0201">
        <w:rPr>
          <w:sz w:val="16"/>
          <w:szCs w:val="16"/>
        </w:rPr>
        <w:t>: Suma udziałów zamówień z zastosowaniem poszczególnych aspektów środowiskowych</w:t>
      </w:r>
      <w:r>
        <w:rPr>
          <w:sz w:val="16"/>
          <w:szCs w:val="16"/>
        </w:rPr>
        <w:t xml:space="preserve"> udzielonych przez jednostki administracji rządowej</w:t>
      </w:r>
      <w:r w:rsidRPr="004C0201">
        <w:rPr>
          <w:sz w:val="16"/>
          <w:szCs w:val="16"/>
        </w:rPr>
        <w:t xml:space="preserve"> w ogólnej liczbie i wartości zamówień zielonych </w:t>
      </w:r>
      <w:r>
        <w:rPr>
          <w:sz w:val="16"/>
          <w:szCs w:val="16"/>
        </w:rPr>
        <w:t xml:space="preserve">udzielonych przez jednostki administracji rządowej </w:t>
      </w:r>
      <w:r w:rsidRPr="004C0201">
        <w:rPr>
          <w:sz w:val="16"/>
          <w:szCs w:val="16"/>
        </w:rPr>
        <w:t xml:space="preserve">jest większa niż łączna liczba i wartość zamówień środowiskowych </w:t>
      </w:r>
      <w:r>
        <w:rPr>
          <w:sz w:val="16"/>
          <w:szCs w:val="16"/>
        </w:rPr>
        <w:t xml:space="preserve">udzielonych przez jednostki administracji rządowej </w:t>
      </w:r>
      <w:r w:rsidRPr="004C0201">
        <w:rPr>
          <w:sz w:val="16"/>
          <w:szCs w:val="16"/>
        </w:rPr>
        <w:t>ze względu na przypadki zastosowania więcej niż jednego aspektu środowiskowego w jednym zamówieniu.</w:t>
      </w:r>
    </w:p>
    <w:p w14:paraId="43D155D7" w14:textId="04480612" w:rsidR="00100D6C" w:rsidRDefault="00100D6C" w:rsidP="00D2318D">
      <w:pPr>
        <w:rPr>
          <w:szCs w:val="22"/>
        </w:rPr>
      </w:pPr>
    </w:p>
    <w:p w14:paraId="5A1D99B5" w14:textId="2084C999" w:rsidR="003F3F83" w:rsidRDefault="003F3F83" w:rsidP="00D2318D">
      <w:pPr>
        <w:rPr>
          <w:szCs w:val="22"/>
        </w:rPr>
      </w:pPr>
    </w:p>
    <w:p w14:paraId="2136C887" w14:textId="7E3DBF8F" w:rsidR="003F3F83" w:rsidRDefault="003F3F83" w:rsidP="00D2318D">
      <w:pPr>
        <w:rPr>
          <w:szCs w:val="22"/>
        </w:rPr>
      </w:pPr>
      <w:r>
        <w:rPr>
          <w:szCs w:val="22"/>
        </w:rPr>
        <w:br w:type="page"/>
      </w:r>
    </w:p>
    <w:tbl>
      <w:tblPr>
        <w:tblW w:w="14317" w:type="dxa"/>
        <w:tblLayout w:type="fixed"/>
        <w:tblLook w:val="04A0" w:firstRow="1" w:lastRow="0" w:firstColumn="1" w:lastColumn="0" w:noHBand="0" w:noVBand="1"/>
      </w:tblPr>
      <w:tblGrid>
        <w:gridCol w:w="14034"/>
        <w:gridCol w:w="283"/>
      </w:tblGrid>
      <w:tr w:rsidR="003F3F83" w:rsidRPr="00A855CF" w14:paraId="78155D9C" w14:textId="77777777" w:rsidTr="00AD1DF5">
        <w:tc>
          <w:tcPr>
            <w:tcW w:w="14034" w:type="dxa"/>
            <w:shd w:val="clear" w:color="auto" w:fill="auto"/>
          </w:tcPr>
          <w:p w14:paraId="4AFC3EBE" w14:textId="77777777" w:rsidR="003F3F83" w:rsidRPr="00D2016D" w:rsidRDefault="003F3F83" w:rsidP="00AD1DF5">
            <w:pPr>
              <w:spacing w:before="120" w:after="120"/>
              <w:jc w:val="right"/>
              <w:rPr>
                <w:b/>
                <w:color w:val="0070C0"/>
              </w:rPr>
            </w:pPr>
            <w:r w:rsidRPr="00D2016D">
              <w:rPr>
                <w:color w:val="0070C0"/>
                <w:szCs w:val="22"/>
              </w:rPr>
              <w:br w:type="page"/>
            </w:r>
            <w:r w:rsidRPr="00D2016D">
              <w:rPr>
                <w:color w:val="0070C0"/>
                <w:szCs w:val="22"/>
              </w:rPr>
              <w:br w:type="page"/>
            </w:r>
            <w:r w:rsidRPr="00D2016D">
              <w:rPr>
                <w:color w:val="0070C0"/>
                <w:sz w:val="20"/>
                <w:szCs w:val="20"/>
              </w:rPr>
              <w:br w:type="page"/>
            </w:r>
            <w:bookmarkStart w:id="290" w:name="Zał_10"/>
            <w:bookmarkEnd w:id="290"/>
            <w:r w:rsidRPr="00D2016D">
              <w:rPr>
                <w:b/>
                <w:color w:val="0070C0"/>
              </w:rPr>
              <w:t xml:space="preserve">Załącznik nr </w:t>
            </w:r>
            <w:r>
              <w:rPr>
                <w:b/>
                <w:color w:val="0070C0"/>
              </w:rPr>
              <w:t>10</w:t>
            </w:r>
          </w:p>
        </w:tc>
        <w:tc>
          <w:tcPr>
            <w:tcW w:w="283" w:type="dxa"/>
            <w:shd w:val="clear" w:color="auto" w:fill="2E74B5"/>
          </w:tcPr>
          <w:p w14:paraId="49FFDEDB" w14:textId="77777777" w:rsidR="003F3F83" w:rsidRPr="00A855CF" w:rsidRDefault="003F3F83" w:rsidP="00AD1DF5">
            <w:pPr>
              <w:spacing w:before="120" w:after="120"/>
              <w:jc w:val="right"/>
              <w:rPr>
                <w:b/>
              </w:rPr>
            </w:pPr>
          </w:p>
        </w:tc>
      </w:tr>
    </w:tbl>
    <w:p w14:paraId="66B512A5" w14:textId="77777777" w:rsidR="003F3F83" w:rsidRPr="009B121C" w:rsidRDefault="003F3F83" w:rsidP="003F3F83">
      <w:pPr>
        <w:rPr>
          <w:sz w:val="16"/>
          <w:szCs w:val="16"/>
        </w:rPr>
      </w:pPr>
    </w:p>
    <w:p w14:paraId="4B993036" w14:textId="77777777" w:rsidR="003F3F83" w:rsidRPr="00750970" w:rsidRDefault="003F3F83" w:rsidP="003F3F83">
      <w:pPr>
        <w:jc w:val="center"/>
        <w:rPr>
          <w:b/>
          <w:szCs w:val="22"/>
        </w:rPr>
      </w:pPr>
      <w:r w:rsidRPr="00750970">
        <w:rPr>
          <w:b/>
          <w:szCs w:val="22"/>
        </w:rPr>
        <w:t>Dane dotyczące zamówień udzielonych przez jednostki administracji rządowej, w których odwołano się do odpowiednich instrumentów innowacyjnych</w:t>
      </w:r>
    </w:p>
    <w:p w14:paraId="4EDB7383" w14:textId="77777777" w:rsidR="003F3F83" w:rsidRDefault="003F3F83" w:rsidP="003F3F83">
      <w:pPr>
        <w:rPr>
          <w:szCs w:val="22"/>
        </w:rPr>
      </w:pPr>
    </w:p>
    <w:p w14:paraId="53EB5802" w14:textId="77777777" w:rsidR="003F3F83" w:rsidRDefault="003F3F83" w:rsidP="003F3F83">
      <w:pPr>
        <w:jc w:val="center"/>
        <w:rPr>
          <w:b/>
        </w:rPr>
      </w:pPr>
      <w:r w:rsidRPr="00B332A7">
        <w:rPr>
          <w:b/>
        </w:rPr>
        <w:t>Liczba i wartość zamówień publicznych z danym aspektem innowacyjnym udzielonych przez jednostki administracji rządowej</w:t>
      </w:r>
    </w:p>
    <w:p w14:paraId="069C2264" w14:textId="77777777" w:rsidR="003F3F83" w:rsidRPr="005F2757" w:rsidRDefault="003F3F83" w:rsidP="003F3F83"/>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3358"/>
        <w:gridCol w:w="2551"/>
        <w:gridCol w:w="2552"/>
        <w:gridCol w:w="2551"/>
        <w:gridCol w:w="2552"/>
      </w:tblGrid>
      <w:tr w:rsidR="003F3F83" w:rsidRPr="00ED1A48" w14:paraId="5AC081E5" w14:textId="77777777" w:rsidTr="00AD1DF5">
        <w:tc>
          <w:tcPr>
            <w:tcW w:w="3828"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2EE00BC1" w14:textId="77777777" w:rsidR="003F3F83" w:rsidRPr="00ED1A48" w:rsidRDefault="003F3F83" w:rsidP="00AD1DF5">
            <w:pPr>
              <w:jc w:val="center"/>
              <w:rPr>
                <w:rFonts w:cs="Arial"/>
                <w:b/>
                <w:color w:val="000000"/>
                <w:sz w:val="16"/>
                <w:szCs w:val="16"/>
              </w:rPr>
            </w:pPr>
            <w:r w:rsidRPr="00ED1A48">
              <w:rPr>
                <w:rFonts w:cs="Arial"/>
                <w:b/>
                <w:color w:val="000000"/>
                <w:sz w:val="16"/>
                <w:szCs w:val="16"/>
              </w:rPr>
              <w:t>Rok referencyjny</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E599"/>
          </w:tcPr>
          <w:p w14:paraId="642FB225" w14:textId="77777777" w:rsidR="003F3F83" w:rsidRPr="00ED1A48" w:rsidRDefault="003F3F83" w:rsidP="00AD1DF5">
            <w:pPr>
              <w:jc w:val="center"/>
              <w:rPr>
                <w:rFonts w:cs="Arial"/>
                <w:b/>
                <w:bCs/>
                <w:color w:val="000000"/>
                <w:sz w:val="16"/>
                <w:szCs w:val="16"/>
              </w:rPr>
            </w:pPr>
            <w:r>
              <w:rPr>
                <w:rFonts w:cs="Arial"/>
                <w:b/>
                <w:bCs/>
                <w:color w:val="000000"/>
                <w:sz w:val="16"/>
                <w:szCs w:val="16"/>
              </w:rPr>
              <w:t>2021 r.</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E599"/>
          </w:tcPr>
          <w:p w14:paraId="14D216C7" w14:textId="77777777" w:rsidR="003F3F83" w:rsidRDefault="003F3F83" w:rsidP="00AD1DF5">
            <w:pPr>
              <w:jc w:val="center"/>
              <w:rPr>
                <w:rFonts w:cs="Arial"/>
                <w:b/>
                <w:bCs/>
                <w:color w:val="000000"/>
                <w:sz w:val="16"/>
                <w:szCs w:val="16"/>
              </w:rPr>
            </w:pPr>
            <w:r>
              <w:rPr>
                <w:rFonts w:cs="Arial"/>
                <w:b/>
                <w:bCs/>
                <w:color w:val="000000"/>
                <w:sz w:val="16"/>
                <w:szCs w:val="16"/>
              </w:rPr>
              <w:t>2022 r.</w:t>
            </w:r>
          </w:p>
        </w:tc>
      </w:tr>
      <w:tr w:rsidR="003F3F83" w:rsidRPr="00ED1A48" w14:paraId="4F5CE47D"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26441179" w14:textId="77777777" w:rsidR="003F3F83" w:rsidRPr="00ED1A48" w:rsidRDefault="003F3F83" w:rsidP="00AD1DF5">
            <w:pPr>
              <w:jc w:val="center"/>
              <w:rPr>
                <w:rFonts w:cs="Arial"/>
                <w:b/>
                <w:color w:val="000000"/>
                <w:sz w:val="16"/>
                <w:szCs w:val="16"/>
              </w:rPr>
            </w:pPr>
            <w:r w:rsidRPr="00ED1A48">
              <w:rPr>
                <w:rFonts w:cs="Arial"/>
                <w:b/>
                <w:color w:val="000000"/>
                <w:sz w:val="16"/>
                <w:szCs w:val="16"/>
              </w:rPr>
              <w:t>Lp.</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tcPr>
          <w:p w14:paraId="1C5F1C49" w14:textId="77777777" w:rsidR="003F3F83" w:rsidRPr="00FE1CDF" w:rsidRDefault="003F3F83" w:rsidP="00AD1DF5">
            <w:pPr>
              <w:jc w:val="center"/>
              <w:rPr>
                <w:rFonts w:cs="Arial"/>
                <w:b/>
                <w:sz w:val="16"/>
                <w:szCs w:val="16"/>
              </w:rPr>
            </w:pPr>
            <w:r w:rsidRPr="00FE1CDF">
              <w:rPr>
                <w:rFonts w:cs="Arial"/>
                <w:b/>
                <w:sz w:val="16"/>
                <w:szCs w:val="16"/>
              </w:rPr>
              <w:t>Aspekt innowacyjny</w:t>
            </w:r>
          </w:p>
        </w:tc>
        <w:tc>
          <w:tcPr>
            <w:tcW w:w="2551" w:type="dxa"/>
            <w:tcBorders>
              <w:top w:val="single" w:sz="4" w:space="0" w:color="auto"/>
              <w:left w:val="single" w:sz="4" w:space="0" w:color="auto"/>
              <w:bottom w:val="single" w:sz="4" w:space="0" w:color="auto"/>
              <w:right w:val="single" w:sz="4" w:space="0" w:color="auto"/>
            </w:tcBorders>
            <w:shd w:val="clear" w:color="auto" w:fill="FFF2CC"/>
            <w:vAlign w:val="center"/>
          </w:tcPr>
          <w:p w14:paraId="07CCE162" w14:textId="77777777" w:rsidR="003F3F83" w:rsidRPr="00FE1CDF" w:rsidRDefault="003F3F83" w:rsidP="00AD1DF5">
            <w:pPr>
              <w:jc w:val="center"/>
              <w:rPr>
                <w:rFonts w:cs="Arial"/>
                <w:b/>
                <w:bCs/>
                <w:sz w:val="16"/>
                <w:szCs w:val="16"/>
              </w:rPr>
            </w:pPr>
            <w:r w:rsidRPr="00FE1CDF">
              <w:rPr>
                <w:rFonts w:cs="Arial"/>
                <w:b/>
                <w:bCs/>
                <w:sz w:val="16"/>
                <w:szCs w:val="16"/>
              </w:rPr>
              <w:t xml:space="preserve">Liczba zamówień </w:t>
            </w:r>
            <w:r>
              <w:rPr>
                <w:rFonts w:cs="Arial"/>
                <w:b/>
                <w:bCs/>
                <w:color w:val="000000"/>
                <w:sz w:val="16"/>
                <w:szCs w:val="16"/>
              </w:rPr>
              <w:t xml:space="preserve">udzielonych przez jedn. adm. rz. </w:t>
            </w:r>
            <w:r w:rsidRPr="00FE1CDF">
              <w:rPr>
                <w:rFonts w:cs="Arial"/>
                <w:b/>
                <w:bCs/>
                <w:sz w:val="16"/>
                <w:szCs w:val="16"/>
              </w:rPr>
              <w:t>z zastosowaniem danego aspektu</w:t>
            </w:r>
          </w:p>
        </w:tc>
        <w:tc>
          <w:tcPr>
            <w:tcW w:w="2552" w:type="dxa"/>
            <w:tcBorders>
              <w:top w:val="single" w:sz="4" w:space="0" w:color="auto"/>
              <w:left w:val="single" w:sz="4" w:space="0" w:color="auto"/>
              <w:bottom w:val="single" w:sz="4" w:space="0" w:color="auto"/>
              <w:right w:val="single" w:sz="4" w:space="0" w:color="auto"/>
            </w:tcBorders>
            <w:shd w:val="clear" w:color="auto" w:fill="FFF2CC"/>
            <w:vAlign w:val="center"/>
          </w:tcPr>
          <w:p w14:paraId="59EF1D4E" w14:textId="77777777" w:rsidR="003F3F83" w:rsidRPr="00FE1CDF" w:rsidRDefault="003F3F83" w:rsidP="00AD1DF5">
            <w:pPr>
              <w:jc w:val="center"/>
              <w:rPr>
                <w:rFonts w:cs="Arial"/>
                <w:b/>
                <w:bCs/>
                <w:sz w:val="16"/>
                <w:szCs w:val="16"/>
              </w:rPr>
            </w:pPr>
            <w:r w:rsidRPr="00FE1CDF">
              <w:rPr>
                <w:rFonts w:cs="Arial"/>
                <w:b/>
                <w:bCs/>
                <w:sz w:val="16"/>
                <w:szCs w:val="16"/>
              </w:rPr>
              <w:t xml:space="preserve">Wartość zamówień </w:t>
            </w:r>
            <w:r>
              <w:rPr>
                <w:rFonts w:cs="Arial"/>
                <w:b/>
                <w:bCs/>
                <w:color w:val="000000"/>
                <w:sz w:val="16"/>
                <w:szCs w:val="16"/>
              </w:rPr>
              <w:t xml:space="preserve">udzielonych przez jedn. adm. rz. </w:t>
            </w:r>
            <w:r w:rsidRPr="00FE1CDF">
              <w:rPr>
                <w:rFonts w:cs="Arial"/>
                <w:b/>
                <w:bCs/>
                <w:sz w:val="16"/>
                <w:szCs w:val="16"/>
              </w:rPr>
              <w:t>z zastosowaniem danego aspektu</w:t>
            </w:r>
          </w:p>
        </w:tc>
        <w:tc>
          <w:tcPr>
            <w:tcW w:w="2551" w:type="dxa"/>
            <w:tcBorders>
              <w:top w:val="single" w:sz="4" w:space="0" w:color="auto"/>
              <w:left w:val="single" w:sz="4" w:space="0" w:color="auto"/>
              <w:bottom w:val="single" w:sz="4" w:space="0" w:color="auto"/>
              <w:right w:val="single" w:sz="4" w:space="0" w:color="auto"/>
            </w:tcBorders>
            <w:shd w:val="clear" w:color="auto" w:fill="FFF2CC"/>
            <w:vAlign w:val="center"/>
          </w:tcPr>
          <w:p w14:paraId="454415B9" w14:textId="77777777" w:rsidR="003F3F83" w:rsidRPr="00FE1CDF" w:rsidRDefault="003F3F83" w:rsidP="00AD1DF5">
            <w:pPr>
              <w:jc w:val="center"/>
              <w:rPr>
                <w:rFonts w:cs="Arial"/>
                <w:b/>
                <w:bCs/>
                <w:sz w:val="16"/>
                <w:szCs w:val="16"/>
              </w:rPr>
            </w:pPr>
            <w:r w:rsidRPr="00FE1CDF">
              <w:rPr>
                <w:rFonts w:cs="Arial"/>
                <w:b/>
                <w:bCs/>
                <w:sz w:val="16"/>
                <w:szCs w:val="16"/>
              </w:rPr>
              <w:t xml:space="preserve">Liczba zamówień </w:t>
            </w:r>
            <w:r>
              <w:rPr>
                <w:rFonts w:cs="Arial"/>
                <w:b/>
                <w:bCs/>
                <w:color w:val="000000"/>
                <w:sz w:val="16"/>
                <w:szCs w:val="16"/>
              </w:rPr>
              <w:t xml:space="preserve">udzielonych przez jedn. adm. rz. </w:t>
            </w:r>
            <w:r w:rsidRPr="00FE1CDF">
              <w:rPr>
                <w:rFonts w:cs="Arial"/>
                <w:b/>
                <w:bCs/>
                <w:sz w:val="16"/>
                <w:szCs w:val="16"/>
              </w:rPr>
              <w:t>z zastosowaniem danego aspektu</w:t>
            </w:r>
          </w:p>
        </w:tc>
        <w:tc>
          <w:tcPr>
            <w:tcW w:w="2552" w:type="dxa"/>
            <w:tcBorders>
              <w:top w:val="single" w:sz="4" w:space="0" w:color="auto"/>
              <w:left w:val="single" w:sz="4" w:space="0" w:color="auto"/>
              <w:bottom w:val="single" w:sz="4" w:space="0" w:color="auto"/>
              <w:right w:val="single" w:sz="4" w:space="0" w:color="auto"/>
            </w:tcBorders>
            <w:shd w:val="clear" w:color="auto" w:fill="FFF2CC"/>
            <w:vAlign w:val="center"/>
          </w:tcPr>
          <w:p w14:paraId="6002329F" w14:textId="77777777" w:rsidR="003F3F83" w:rsidRPr="00FE1CDF" w:rsidRDefault="003F3F83" w:rsidP="00AD1DF5">
            <w:pPr>
              <w:jc w:val="center"/>
              <w:rPr>
                <w:rFonts w:cs="Arial"/>
                <w:b/>
                <w:bCs/>
                <w:sz w:val="16"/>
                <w:szCs w:val="16"/>
              </w:rPr>
            </w:pPr>
            <w:r w:rsidRPr="00FE1CDF">
              <w:rPr>
                <w:rFonts w:cs="Arial"/>
                <w:b/>
                <w:bCs/>
                <w:sz w:val="16"/>
                <w:szCs w:val="16"/>
              </w:rPr>
              <w:t xml:space="preserve">Wartość zamówień </w:t>
            </w:r>
            <w:r>
              <w:rPr>
                <w:rFonts w:cs="Arial"/>
                <w:b/>
                <w:bCs/>
                <w:color w:val="000000"/>
                <w:sz w:val="16"/>
                <w:szCs w:val="16"/>
              </w:rPr>
              <w:t xml:space="preserve">udzielonych przez jedn. adm. rz. </w:t>
            </w:r>
            <w:r w:rsidRPr="00FE1CDF">
              <w:rPr>
                <w:rFonts w:cs="Arial"/>
                <w:b/>
                <w:bCs/>
                <w:sz w:val="16"/>
                <w:szCs w:val="16"/>
              </w:rPr>
              <w:t>z zastosowaniem danego aspektu</w:t>
            </w:r>
          </w:p>
        </w:tc>
      </w:tr>
      <w:tr w:rsidR="003F3F83" w:rsidRPr="00ED1A48" w14:paraId="689E91CF"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9B66A60" w14:textId="77777777" w:rsidR="003F3F83" w:rsidRPr="00ED1A48" w:rsidRDefault="003F3F83" w:rsidP="00AD1DF5">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61BABFC" w14:textId="77777777" w:rsidR="003F3F83" w:rsidRPr="00FE1CDF" w:rsidRDefault="003F3F83" w:rsidP="00AD1DF5">
            <w:pPr>
              <w:jc w:val="center"/>
              <w:rPr>
                <w:rFonts w:cs="Arial"/>
                <w:b/>
                <w:sz w:val="16"/>
                <w:szCs w:val="16"/>
              </w:rPr>
            </w:pPr>
            <w:r w:rsidRPr="00FE1CDF">
              <w:rPr>
                <w:b/>
                <w:sz w:val="16"/>
                <w:szCs w:val="16"/>
              </w:rPr>
              <w:t>Określenie w kryteriach oceny ofert aspektów innowacyjnych</w:t>
            </w:r>
          </w:p>
        </w:tc>
        <w:tc>
          <w:tcPr>
            <w:tcW w:w="2551" w:type="dxa"/>
            <w:tcBorders>
              <w:top w:val="single" w:sz="4" w:space="0" w:color="auto"/>
              <w:left w:val="single" w:sz="4" w:space="0" w:color="auto"/>
              <w:bottom w:val="single" w:sz="4" w:space="0" w:color="auto"/>
              <w:right w:val="single" w:sz="4" w:space="0" w:color="auto"/>
            </w:tcBorders>
            <w:vAlign w:val="center"/>
          </w:tcPr>
          <w:p w14:paraId="0EA1A47D" w14:textId="77777777" w:rsidR="003F3F83" w:rsidRPr="00FE1CDF" w:rsidRDefault="003F3F83" w:rsidP="00AD1DF5">
            <w:pPr>
              <w:jc w:val="center"/>
              <w:rPr>
                <w:rFonts w:cs="Arial"/>
                <w:sz w:val="16"/>
                <w:szCs w:val="16"/>
              </w:rPr>
            </w:pPr>
            <w:r w:rsidRPr="00FE1CDF">
              <w:rPr>
                <w:rFonts w:cs="Arial"/>
                <w:sz w:val="16"/>
                <w:szCs w:val="16"/>
              </w:rPr>
              <w:t>6</w:t>
            </w:r>
          </w:p>
        </w:tc>
        <w:tc>
          <w:tcPr>
            <w:tcW w:w="2552" w:type="dxa"/>
            <w:tcBorders>
              <w:top w:val="single" w:sz="4" w:space="0" w:color="auto"/>
              <w:left w:val="single" w:sz="4" w:space="0" w:color="auto"/>
              <w:bottom w:val="single" w:sz="4" w:space="0" w:color="auto"/>
              <w:right w:val="single" w:sz="4" w:space="0" w:color="auto"/>
            </w:tcBorders>
            <w:vAlign w:val="center"/>
          </w:tcPr>
          <w:p w14:paraId="6A2FFCE4" w14:textId="77777777" w:rsidR="003F3F83" w:rsidRPr="00FE1CDF" w:rsidRDefault="003F3F83" w:rsidP="00AD1DF5">
            <w:pPr>
              <w:jc w:val="center"/>
              <w:rPr>
                <w:rFonts w:cs="Arial"/>
                <w:sz w:val="16"/>
                <w:szCs w:val="16"/>
              </w:rPr>
            </w:pPr>
            <w:r w:rsidRPr="00FE1CDF">
              <w:rPr>
                <w:rFonts w:cs="Arial"/>
                <w:sz w:val="16"/>
                <w:szCs w:val="16"/>
              </w:rPr>
              <w:t>2 533 170,39 zł</w:t>
            </w:r>
          </w:p>
        </w:tc>
        <w:tc>
          <w:tcPr>
            <w:tcW w:w="2551" w:type="dxa"/>
            <w:tcBorders>
              <w:top w:val="single" w:sz="4" w:space="0" w:color="auto"/>
              <w:left w:val="single" w:sz="4" w:space="0" w:color="auto"/>
              <w:bottom w:val="single" w:sz="4" w:space="0" w:color="auto"/>
              <w:right w:val="single" w:sz="4" w:space="0" w:color="auto"/>
            </w:tcBorders>
            <w:vAlign w:val="center"/>
          </w:tcPr>
          <w:p w14:paraId="4E059A7B" w14:textId="77777777" w:rsidR="003F3F83" w:rsidRPr="00FE1CDF" w:rsidRDefault="003F3F83" w:rsidP="00AD1DF5">
            <w:pPr>
              <w:jc w:val="center"/>
              <w:rPr>
                <w:rFonts w:cs="Arial"/>
                <w:sz w:val="16"/>
                <w:szCs w:val="16"/>
              </w:rPr>
            </w:pPr>
            <w:r>
              <w:rPr>
                <w:rFonts w:cs="Arial"/>
                <w:sz w:val="16"/>
                <w:szCs w:val="16"/>
              </w:rPr>
              <w:t>5</w:t>
            </w:r>
          </w:p>
        </w:tc>
        <w:tc>
          <w:tcPr>
            <w:tcW w:w="2552" w:type="dxa"/>
            <w:tcBorders>
              <w:top w:val="single" w:sz="4" w:space="0" w:color="auto"/>
              <w:left w:val="single" w:sz="4" w:space="0" w:color="auto"/>
              <w:bottom w:val="single" w:sz="4" w:space="0" w:color="auto"/>
              <w:right w:val="single" w:sz="4" w:space="0" w:color="auto"/>
            </w:tcBorders>
            <w:vAlign w:val="center"/>
          </w:tcPr>
          <w:p w14:paraId="480450DA" w14:textId="77777777" w:rsidR="003F3F83" w:rsidRPr="00FE1CDF" w:rsidRDefault="003F3F83" w:rsidP="00AD1DF5">
            <w:pPr>
              <w:jc w:val="center"/>
              <w:rPr>
                <w:rFonts w:cs="Arial"/>
                <w:sz w:val="16"/>
                <w:szCs w:val="16"/>
              </w:rPr>
            </w:pPr>
            <w:r>
              <w:rPr>
                <w:rFonts w:cs="Arial"/>
                <w:color w:val="000000"/>
                <w:sz w:val="16"/>
                <w:szCs w:val="16"/>
              </w:rPr>
              <w:t>52 668 531,48 zł</w:t>
            </w:r>
          </w:p>
        </w:tc>
      </w:tr>
      <w:tr w:rsidR="003F3F83" w:rsidRPr="00ED1A48" w14:paraId="38CE2274"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64CB181" w14:textId="77777777" w:rsidR="003F3F83" w:rsidRPr="00ED1A48" w:rsidRDefault="003F3F83" w:rsidP="00AD1DF5">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7426CA4" w14:textId="77777777" w:rsidR="003F3F83" w:rsidRPr="00FE1CDF" w:rsidRDefault="003F3F83" w:rsidP="00AD1DF5">
            <w:pPr>
              <w:jc w:val="center"/>
              <w:rPr>
                <w:rFonts w:cs="Arial"/>
                <w:b/>
                <w:sz w:val="16"/>
                <w:szCs w:val="16"/>
              </w:rPr>
            </w:pPr>
            <w:r w:rsidRPr="00FE1CDF">
              <w:rPr>
                <w:b/>
                <w:sz w:val="16"/>
                <w:szCs w:val="16"/>
              </w:rPr>
              <w:t>Określenie wymagań zw. z realizacją zamówienia obejmujących aspekty zw. z innowacyjnością</w:t>
            </w:r>
          </w:p>
        </w:tc>
        <w:tc>
          <w:tcPr>
            <w:tcW w:w="2551" w:type="dxa"/>
            <w:tcBorders>
              <w:top w:val="single" w:sz="4" w:space="0" w:color="auto"/>
              <w:left w:val="single" w:sz="4" w:space="0" w:color="auto"/>
              <w:bottom w:val="single" w:sz="4" w:space="0" w:color="auto"/>
              <w:right w:val="single" w:sz="4" w:space="0" w:color="auto"/>
            </w:tcBorders>
            <w:vAlign w:val="center"/>
          </w:tcPr>
          <w:p w14:paraId="7A4EB40E" w14:textId="77777777" w:rsidR="003F3F83" w:rsidRPr="00FE1CDF" w:rsidRDefault="003F3F83" w:rsidP="00AD1DF5">
            <w:pPr>
              <w:jc w:val="center"/>
              <w:rPr>
                <w:rFonts w:cs="Arial"/>
                <w:sz w:val="16"/>
                <w:szCs w:val="16"/>
              </w:rPr>
            </w:pPr>
            <w:r w:rsidRPr="00FE1CDF">
              <w:rPr>
                <w:rFonts w:cs="Arial"/>
                <w:sz w:val="16"/>
                <w:szCs w:val="16"/>
              </w:rPr>
              <w:t>8</w:t>
            </w:r>
          </w:p>
        </w:tc>
        <w:tc>
          <w:tcPr>
            <w:tcW w:w="2552" w:type="dxa"/>
            <w:tcBorders>
              <w:top w:val="single" w:sz="4" w:space="0" w:color="auto"/>
              <w:left w:val="single" w:sz="4" w:space="0" w:color="auto"/>
              <w:bottom w:val="single" w:sz="4" w:space="0" w:color="auto"/>
              <w:right w:val="single" w:sz="4" w:space="0" w:color="auto"/>
            </w:tcBorders>
            <w:vAlign w:val="center"/>
          </w:tcPr>
          <w:p w14:paraId="385E6D2E" w14:textId="77777777" w:rsidR="003F3F83" w:rsidRPr="00FE1CDF" w:rsidRDefault="003F3F83" w:rsidP="00AD1DF5">
            <w:pPr>
              <w:jc w:val="center"/>
              <w:rPr>
                <w:rFonts w:cs="Arial"/>
                <w:sz w:val="16"/>
                <w:szCs w:val="16"/>
              </w:rPr>
            </w:pPr>
            <w:r w:rsidRPr="00FE1CDF">
              <w:rPr>
                <w:rFonts w:cs="Arial"/>
                <w:sz w:val="16"/>
                <w:szCs w:val="16"/>
              </w:rPr>
              <w:t>30 634 335,23 zł</w:t>
            </w:r>
          </w:p>
        </w:tc>
        <w:tc>
          <w:tcPr>
            <w:tcW w:w="2551" w:type="dxa"/>
            <w:tcBorders>
              <w:top w:val="single" w:sz="4" w:space="0" w:color="auto"/>
              <w:left w:val="single" w:sz="4" w:space="0" w:color="auto"/>
              <w:bottom w:val="single" w:sz="4" w:space="0" w:color="auto"/>
              <w:right w:val="single" w:sz="4" w:space="0" w:color="auto"/>
            </w:tcBorders>
            <w:vAlign w:val="center"/>
          </w:tcPr>
          <w:p w14:paraId="198F4D5D" w14:textId="77777777" w:rsidR="003F3F83" w:rsidRPr="00FE1CDF" w:rsidRDefault="003F3F83" w:rsidP="00AD1DF5">
            <w:pPr>
              <w:jc w:val="center"/>
              <w:rPr>
                <w:rFonts w:cs="Arial"/>
                <w:sz w:val="16"/>
                <w:szCs w:val="16"/>
              </w:rPr>
            </w:pPr>
            <w:r>
              <w:rPr>
                <w:rFonts w:cs="Arial"/>
                <w:sz w:val="16"/>
                <w:szCs w:val="16"/>
              </w:rPr>
              <w:t>8</w:t>
            </w:r>
          </w:p>
        </w:tc>
        <w:tc>
          <w:tcPr>
            <w:tcW w:w="2552" w:type="dxa"/>
            <w:tcBorders>
              <w:top w:val="single" w:sz="4" w:space="0" w:color="auto"/>
              <w:left w:val="single" w:sz="4" w:space="0" w:color="auto"/>
              <w:bottom w:val="single" w:sz="4" w:space="0" w:color="auto"/>
              <w:right w:val="single" w:sz="4" w:space="0" w:color="auto"/>
            </w:tcBorders>
            <w:vAlign w:val="center"/>
          </w:tcPr>
          <w:p w14:paraId="29979F7C" w14:textId="77777777" w:rsidR="003F3F83" w:rsidRPr="00FE1CDF" w:rsidRDefault="003F3F83" w:rsidP="00AD1DF5">
            <w:pPr>
              <w:jc w:val="center"/>
              <w:rPr>
                <w:rFonts w:cs="Arial"/>
                <w:sz w:val="16"/>
                <w:szCs w:val="16"/>
              </w:rPr>
            </w:pPr>
            <w:r>
              <w:rPr>
                <w:rFonts w:cs="Arial"/>
                <w:color w:val="000000"/>
                <w:sz w:val="16"/>
                <w:szCs w:val="16"/>
              </w:rPr>
              <w:t>3 415 709 063,50 zł</w:t>
            </w:r>
          </w:p>
        </w:tc>
      </w:tr>
    </w:tbl>
    <w:p w14:paraId="570C7DC7" w14:textId="77777777" w:rsidR="003F3F83" w:rsidRDefault="003F3F83" w:rsidP="003F3F83">
      <w:pPr>
        <w:shd w:val="clear" w:color="auto" w:fill="FFFFFF"/>
        <w:rPr>
          <w:sz w:val="16"/>
          <w:szCs w:val="16"/>
        </w:rPr>
      </w:pPr>
    </w:p>
    <w:p w14:paraId="154219A1" w14:textId="77777777" w:rsidR="003F3F83" w:rsidRPr="00576772" w:rsidRDefault="003F3F83" w:rsidP="003F3F83">
      <w:pPr>
        <w:shd w:val="clear" w:color="auto" w:fill="FFFFFF"/>
        <w:rPr>
          <w:rFonts w:cs="Arial"/>
          <w:color w:val="000000"/>
          <w:sz w:val="16"/>
          <w:szCs w:val="16"/>
        </w:rPr>
      </w:pPr>
      <w:r w:rsidRPr="00576772">
        <w:rPr>
          <w:sz w:val="16"/>
          <w:szCs w:val="16"/>
        </w:rPr>
        <w:t xml:space="preserve">UWAGA: Łączna liczba i wartość zamówień publicznych z zastosowaniem poszczególnych aspektów </w:t>
      </w:r>
      <w:r>
        <w:rPr>
          <w:sz w:val="16"/>
          <w:szCs w:val="16"/>
        </w:rPr>
        <w:t xml:space="preserve">innowacyjnych udzielonych przez jednostki administracji rządowej </w:t>
      </w:r>
      <w:r w:rsidRPr="00576772">
        <w:rPr>
          <w:sz w:val="16"/>
          <w:szCs w:val="16"/>
        </w:rPr>
        <w:t xml:space="preserve">jest większa niż łączna liczba i wartość </w:t>
      </w:r>
      <w:r>
        <w:rPr>
          <w:sz w:val="16"/>
          <w:szCs w:val="16"/>
        </w:rPr>
        <w:t xml:space="preserve">tych </w:t>
      </w:r>
      <w:r w:rsidRPr="00576772">
        <w:rPr>
          <w:sz w:val="16"/>
          <w:szCs w:val="16"/>
        </w:rPr>
        <w:t xml:space="preserve">zamówień </w:t>
      </w:r>
      <w:r>
        <w:rPr>
          <w:sz w:val="16"/>
          <w:szCs w:val="16"/>
        </w:rPr>
        <w:t>innowacyjnych</w:t>
      </w:r>
      <w:r w:rsidRPr="00576772">
        <w:rPr>
          <w:sz w:val="16"/>
          <w:szCs w:val="16"/>
        </w:rPr>
        <w:t xml:space="preserve"> ze względu na przypadki zastosowania więcej niż jednego aspektu </w:t>
      </w:r>
      <w:r>
        <w:rPr>
          <w:sz w:val="16"/>
          <w:szCs w:val="16"/>
        </w:rPr>
        <w:t>zw. z innowacją</w:t>
      </w:r>
      <w:r w:rsidRPr="00576772">
        <w:rPr>
          <w:sz w:val="16"/>
          <w:szCs w:val="16"/>
        </w:rPr>
        <w:t xml:space="preserve"> w jednym zamówieniu.</w:t>
      </w:r>
    </w:p>
    <w:p w14:paraId="23DE0344" w14:textId="77777777" w:rsidR="003F3F83" w:rsidRPr="009B121C" w:rsidRDefault="003F3F83" w:rsidP="003F3F83">
      <w:pPr>
        <w:shd w:val="clear" w:color="auto" w:fill="FFFFFF"/>
        <w:rPr>
          <w:rFonts w:cs="Arial"/>
          <w:color w:val="000000"/>
        </w:rPr>
      </w:pPr>
    </w:p>
    <w:p w14:paraId="17301003" w14:textId="77777777" w:rsidR="003F3F83" w:rsidRDefault="003F3F83" w:rsidP="003F3F83">
      <w:pPr>
        <w:shd w:val="clear" w:color="auto" w:fill="FFFFFF"/>
        <w:jc w:val="center"/>
        <w:rPr>
          <w:rFonts w:cs="Arial"/>
          <w:b/>
          <w:color w:val="000000"/>
        </w:rPr>
      </w:pPr>
      <w:r w:rsidRPr="00ED1A48">
        <w:rPr>
          <w:rFonts w:cs="Arial"/>
          <w:b/>
          <w:color w:val="000000"/>
        </w:rPr>
        <w:t xml:space="preserve">Udział zamówień z danym aspektem innowacyjnym </w:t>
      </w:r>
      <w:r>
        <w:rPr>
          <w:rFonts w:cs="Arial"/>
          <w:b/>
          <w:color w:val="000000"/>
        </w:rPr>
        <w:t xml:space="preserve">udzielonych przez jednostki administracji rządowej </w:t>
      </w:r>
      <w:r w:rsidRPr="00ED1A48">
        <w:rPr>
          <w:rFonts w:cs="Arial"/>
          <w:b/>
          <w:color w:val="000000"/>
        </w:rPr>
        <w:t xml:space="preserve">w ogólnej liczbie oraz w ogólnej wartości innowacyjnych zamówień publicznych </w:t>
      </w:r>
      <w:r>
        <w:rPr>
          <w:rFonts w:cs="Arial"/>
          <w:b/>
          <w:color w:val="000000"/>
        </w:rPr>
        <w:t>udzielonych przez jednostki administracji rządowej</w:t>
      </w:r>
    </w:p>
    <w:p w14:paraId="29E3016F" w14:textId="77777777" w:rsidR="003F3F83" w:rsidRPr="009B121C" w:rsidRDefault="003F3F83" w:rsidP="003F3F83">
      <w:pPr>
        <w:shd w:val="clear" w:color="auto" w:fill="FFFFFF"/>
        <w:rPr>
          <w:rFonts w:cs="Arial"/>
          <w:color w:val="000000"/>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3358"/>
        <w:gridCol w:w="2551"/>
        <w:gridCol w:w="2552"/>
        <w:gridCol w:w="2551"/>
        <w:gridCol w:w="2552"/>
      </w:tblGrid>
      <w:tr w:rsidR="003F3F83" w:rsidRPr="00ED1A48" w14:paraId="178DEE95" w14:textId="77777777" w:rsidTr="00AD1DF5">
        <w:tc>
          <w:tcPr>
            <w:tcW w:w="3828" w:type="dxa"/>
            <w:gridSpan w:val="2"/>
            <w:tcBorders>
              <w:top w:val="single" w:sz="4" w:space="0" w:color="auto"/>
              <w:left w:val="single" w:sz="4" w:space="0" w:color="auto"/>
              <w:bottom w:val="single" w:sz="4" w:space="0" w:color="auto"/>
              <w:right w:val="single" w:sz="4" w:space="0" w:color="auto"/>
            </w:tcBorders>
            <w:shd w:val="clear" w:color="auto" w:fill="FFE599"/>
            <w:vAlign w:val="center"/>
            <w:hideMark/>
          </w:tcPr>
          <w:p w14:paraId="04BAB799" w14:textId="77777777" w:rsidR="003F3F83" w:rsidRPr="00ED1A48" w:rsidRDefault="003F3F83" w:rsidP="00AD1DF5">
            <w:pPr>
              <w:jc w:val="center"/>
              <w:rPr>
                <w:rFonts w:cs="Arial"/>
                <w:b/>
                <w:color w:val="000000"/>
                <w:sz w:val="16"/>
                <w:szCs w:val="16"/>
              </w:rPr>
            </w:pPr>
            <w:r w:rsidRPr="00ED1A48">
              <w:rPr>
                <w:rFonts w:cs="Arial"/>
                <w:b/>
                <w:color w:val="000000"/>
                <w:sz w:val="16"/>
                <w:szCs w:val="16"/>
              </w:rPr>
              <w:t>Rok referencyjny</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E599"/>
          </w:tcPr>
          <w:p w14:paraId="0A222BDF" w14:textId="77777777" w:rsidR="003F3F83" w:rsidRPr="00ED1A48" w:rsidRDefault="003F3F83" w:rsidP="00AD1DF5">
            <w:pPr>
              <w:jc w:val="center"/>
              <w:rPr>
                <w:rFonts w:cs="Arial"/>
                <w:b/>
                <w:bCs/>
                <w:color w:val="000000"/>
                <w:sz w:val="16"/>
                <w:szCs w:val="16"/>
              </w:rPr>
            </w:pPr>
            <w:r>
              <w:rPr>
                <w:rFonts w:cs="Arial"/>
                <w:b/>
                <w:bCs/>
                <w:color w:val="000000"/>
                <w:sz w:val="16"/>
                <w:szCs w:val="16"/>
              </w:rPr>
              <w:t>2021 r.</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E599"/>
          </w:tcPr>
          <w:p w14:paraId="5BF9C1D5" w14:textId="77777777" w:rsidR="003F3F83" w:rsidRDefault="003F3F83" w:rsidP="00AD1DF5">
            <w:pPr>
              <w:jc w:val="center"/>
              <w:rPr>
                <w:rFonts w:cs="Arial"/>
                <w:b/>
                <w:bCs/>
                <w:color w:val="000000"/>
                <w:sz w:val="16"/>
                <w:szCs w:val="16"/>
              </w:rPr>
            </w:pPr>
            <w:r>
              <w:rPr>
                <w:rFonts w:cs="Arial"/>
                <w:b/>
                <w:bCs/>
                <w:color w:val="000000"/>
                <w:sz w:val="16"/>
                <w:szCs w:val="16"/>
              </w:rPr>
              <w:t>2022 r.</w:t>
            </w:r>
          </w:p>
        </w:tc>
      </w:tr>
      <w:tr w:rsidR="003F3F83" w:rsidRPr="00ED1A48" w14:paraId="067D7851"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tcPr>
          <w:p w14:paraId="3B069AAD" w14:textId="77777777" w:rsidR="003F3F83" w:rsidRPr="00ED1A48" w:rsidRDefault="003F3F83" w:rsidP="00AD1DF5">
            <w:pPr>
              <w:jc w:val="center"/>
              <w:rPr>
                <w:rFonts w:cs="Arial"/>
                <w:b/>
                <w:color w:val="000000"/>
                <w:sz w:val="16"/>
                <w:szCs w:val="16"/>
              </w:rPr>
            </w:pPr>
            <w:r w:rsidRPr="00ED1A48">
              <w:rPr>
                <w:rFonts w:cs="Arial"/>
                <w:b/>
                <w:color w:val="000000"/>
                <w:sz w:val="16"/>
                <w:szCs w:val="16"/>
              </w:rPr>
              <w:t>Lp.</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tcPr>
          <w:p w14:paraId="0768C2CE" w14:textId="77777777" w:rsidR="003F3F83" w:rsidRPr="00ED1A48" w:rsidRDefault="003F3F83" w:rsidP="00AD1DF5">
            <w:pPr>
              <w:jc w:val="center"/>
              <w:rPr>
                <w:rFonts w:cs="Arial"/>
                <w:b/>
                <w:color w:val="000000"/>
                <w:sz w:val="16"/>
                <w:szCs w:val="16"/>
              </w:rPr>
            </w:pPr>
            <w:r w:rsidRPr="00ED1A48">
              <w:rPr>
                <w:rFonts w:cs="Arial"/>
                <w:b/>
                <w:color w:val="000000"/>
                <w:sz w:val="16"/>
                <w:szCs w:val="16"/>
              </w:rPr>
              <w:t xml:space="preserve">Aspekt </w:t>
            </w:r>
            <w:r>
              <w:rPr>
                <w:rFonts w:cs="Arial"/>
                <w:b/>
                <w:color w:val="000000"/>
                <w:sz w:val="16"/>
                <w:szCs w:val="16"/>
              </w:rPr>
              <w:t>innowacyjny</w:t>
            </w:r>
          </w:p>
        </w:tc>
        <w:tc>
          <w:tcPr>
            <w:tcW w:w="2551" w:type="dxa"/>
            <w:tcBorders>
              <w:top w:val="single" w:sz="4" w:space="0" w:color="auto"/>
              <w:left w:val="single" w:sz="4" w:space="0" w:color="auto"/>
              <w:bottom w:val="single" w:sz="4" w:space="0" w:color="auto"/>
              <w:right w:val="single" w:sz="4" w:space="0" w:color="auto"/>
            </w:tcBorders>
            <w:shd w:val="clear" w:color="auto" w:fill="FFF2CC"/>
          </w:tcPr>
          <w:p w14:paraId="59061826" w14:textId="77777777" w:rsidR="003F3F83" w:rsidRPr="00ED1A48" w:rsidRDefault="003F3F83" w:rsidP="00AD1DF5">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r>
              <w:rPr>
                <w:rFonts w:cs="Arial"/>
                <w:b/>
                <w:bCs/>
                <w:color w:val="000000"/>
                <w:sz w:val="16"/>
                <w:szCs w:val="16"/>
              </w:rPr>
              <w:t xml:space="preserve"> udzielonych przez jedn. adm. rz.</w:t>
            </w:r>
          </w:p>
        </w:tc>
        <w:tc>
          <w:tcPr>
            <w:tcW w:w="2552" w:type="dxa"/>
            <w:tcBorders>
              <w:top w:val="single" w:sz="4" w:space="0" w:color="auto"/>
              <w:left w:val="single" w:sz="4" w:space="0" w:color="auto"/>
              <w:bottom w:val="single" w:sz="4" w:space="0" w:color="auto"/>
              <w:right w:val="single" w:sz="4" w:space="0" w:color="auto"/>
            </w:tcBorders>
            <w:shd w:val="clear" w:color="auto" w:fill="FFF2CC"/>
          </w:tcPr>
          <w:p w14:paraId="59D9564D" w14:textId="77777777" w:rsidR="003F3F83" w:rsidRPr="00ED1A48" w:rsidRDefault="003F3F83" w:rsidP="00AD1DF5">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r>
              <w:rPr>
                <w:rFonts w:cs="Arial"/>
                <w:b/>
                <w:bCs/>
                <w:color w:val="000000"/>
                <w:sz w:val="16"/>
                <w:szCs w:val="16"/>
              </w:rPr>
              <w:t xml:space="preserve"> udzielonych przez jedn. adm. rz.</w:t>
            </w:r>
          </w:p>
        </w:tc>
        <w:tc>
          <w:tcPr>
            <w:tcW w:w="2551" w:type="dxa"/>
            <w:tcBorders>
              <w:top w:val="single" w:sz="4" w:space="0" w:color="auto"/>
              <w:left w:val="single" w:sz="4" w:space="0" w:color="auto"/>
              <w:bottom w:val="single" w:sz="4" w:space="0" w:color="auto"/>
              <w:right w:val="single" w:sz="4" w:space="0" w:color="auto"/>
            </w:tcBorders>
            <w:shd w:val="clear" w:color="auto" w:fill="FFF2CC"/>
          </w:tcPr>
          <w:p w14:paraId="01D0A26A" w14:textId="77777777" w:rsidR="003F3F83" w:rsidRPr="00ED1A48" w:rsidRDefault="003F3F83" w:rsidP="00AD1DF5">
            <w:pPr>
              <w:jc w:val="center"/>
              <w:rPr>
                <w:rFonts w:cs="Arial"/>
                <w:b/>
                <w:bCs/>
                <w:color w:val="000000"/>
                <w:sz w:val="16"/>
                <w:szCs w:val="16"/>
              </w:rPr>
            </w:pPr>
            <w:r w:rsidRPr="00ED1A48">
              <w:rPr>
                <w:rFonts w:cs="Arial"/>
                <w:b/>
                <w:bCs/>
                <w:color w:val="000000"/>
                <w:sz w:val="16"/>
                <w:szCs w:val="16"/>
              </w:rPr>
              <w:t>Udział zamówień z danym aspektem w ogólnej liczbie zamówień innowacyjnych</w:t>
            </w:r>
            <w:r>
              <w:rPr>
                <w:rFonts w:cs="Arial"/>
                <w:b/>
                <w:bCs/>
                <w:color w:val="000000"/>
                <w:sz w:val="16"/>
                <w:szCs w:val="16"/>
              </w:rPr>
              <w:t xml:space="preserve"> udzielonych przez jedn. adm. rz.</w:t>
            </w:r>
          </w:p>
        </w:tc>
        <w:tc>
          <w:tcPr>
            <w:tcW w:w="2552" w:type="dxa"/>
            <w:tcBorders>
              <w:top w:val="single" w:sz="4" w:space="0" w:color="auto"/>
              <w:left w:val="single" w:sz="4" w:space="0" w:color="auto"/>
              <w:bottom w:val="single" w:sz="4" w:space="0" w:color="auto"/>
              <w:right w:val="single" w:sz="4" w:space="0" w:color="auto"/>
            </w:tcBorders>
            <w:shd w:val="clear" w:color="auto" w:fill="FFF2CC"/>
          </w:tcPr>
          <w:p w14:paraId="3BF37933" w14:textId="77777777" w:rsidR="003F3F83" w:rsidRPr="00ED1A48" w:rsidRDefault="003F3F83" w:rsidP="00AD1DF5">
            <w:pPr>
              <w:jc w:val="center"/>
              <w:rPr>
                <w:rFonts w:cs="Arial"/>
                <w:b/>
                <w:bCs/>
                <w:color w:val="000000"/>
                <w:sz w:val="16"/>
                <w:szCs w:val="16"/>
              </w:rPr>
            </w:pPr>
            <w:r w:rsidRPr="00ED1A48">
              <w:rPr>
                <w:rFonts w:cs="Arial"/>
                <w:b/>
                <w:bCs/>
                <w:color w:val="000000"/>
                <w:sz w:val="16"/>
                <w:szCs w:val="16"/>
              </w:rPr>
              <w:t xml:space="preserve">Udział zamówień z danym aspektem w ogólnej </w:t>
            </w:r>
            <w:r>
              <w:rPr>
                <w:rFonts w:cs="Arial"/>
                <w:b/>
                <w:bCs/>
                <w:color w:val="000000"/>
                <w:sz w:val="16"/>
                <w:szCs w:val="16"/>
              </w:rPr>
              <w:t>wartości</w:t>
            </w:r>
            <w:r w:rsidRPr="00ED1A48">
              <w:rPr>
                <w:rFonts w:cs="Arial"/>
                <w:b/>
                <w:bCs/>
                <w:color w:val="000000"/>
                <w:sz w:val="16"/>
                <w:szCs w:val="16"/>
              </w:rPr>
              <w:t xml:space="preserve"> zamówień innowacyjnych</w:t>
            </w:r>
            <w:r>
              <w:rPr>
                <w:rFonts w:cs="Arial"/>
                <w:b/>
                <w:bCs/>
                <w:color w:val="000000"/>
                <w:sz w:val="16"/>
                <w:szCs w:val="16"/>
              </w:rPr>
              <w:t xml:space="preserve"> udzielonych przez jedn. adm. rz.</w:t>
            </w:r>
          </w:p>
        </w:tc>
      </w:tr>
      <w:tr w:rsidR="003F3F83" w:rsidRPr="00ED1A48" w14:paraId="49C48A55"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67D7D4A" w14:textId="77777777" w:rsidR="003F3F83" w:rsidRPr="00ED1A48" w:rsidRDefault="003F3F83" w:rsidP="00AD1DF5">
            <w:pPr>
              <w:jc w:val="center"/>
              <w:rPr>
                <w:rFonts w:cs="Arial"/>
                <w:color w:val="000000"/>
                <w:sz w:val="16"/>
                <w:szCs w:val="16"/>
              </w:rPr>
            </w:pPr>
            <w:r>
              <w:rPr>
                <w:rFonts w:cs="Arial"/>
                <w:color w:val="000000"/>
                <w:sz w:val="16"/>
                <w:szCs w:val="16"/>
              </w:rPr>
              <w:t>1</w:t>
            </w:r>
            <w:r w:rsidRPr="00ED1A48">
              <w:rPr>
                <w:rFonts w:cs="Arial"/>
                <w:color w:val="000000"/>
                <w:sz w:val="16"/>
                <w:szCs w:val="16"/>
              </w:rPr>
              <w:t>.</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73C4CC2" w14:textId="77777777" w:rsidR="003F3F83" w:rsidRPr="003749AE" w:rsidRDefault="003F3F83" w:rsidP="00AD1DF5">
            <w:pPr>
              <w:jc w:val="center"/>
              <w:rPr>
                <w:rFonts w:cs="Arial"/>
                <w:b/>
                <w:color w:val="000000"/>
                <w:sz w:val="16"/>
                <w:szCs w:val="16"/>
              </w:rPr>
            </w:pPr>
            <w:r w:rsidRPr="003749AE">
              <w:rPr>
                <w:b/>
                <w:sz w:val="16"/>
                <w:szCs w:val="16"/>
              </w:rPr>
              <w:t>Określenie w kryteriach oceny ofert aspektów innowacyjnych</w:t>
            </w:r>
          </w:p>
        </w:tc>
        <w:tc>
          <w:tcPr>
            <w:tcW w:w="2551" w:type="dxa"/>
            <w:tcBorders>
              <w:top w:val="single" w:sz="4" w:space="0" w:color="auto"/>
              <w:left w:val="single" w:sz="4" w:space="0" w:color="auto"/>
              <w:bottom w:val="single" w:sz="4" w:space="0" w:color="auto"/>
              <w:right w:val="single" w:sz="4" w:space="0" w:color="auto"/>
            </w:tcBorders>
            <w:vAlign w:val="center"/>
          </w:tcPr>
          <w:p w14:paraId="0F599641" w14:textId="77777777" w:rsidR="003F3F83" w:rsidRPr="00ED1A48" w:rsidRDefault="003F3F83" w:rsidP="00AD1DF5">
            <w:pPr>
              <w:jc w:val="center"/>
              <w:rPr>
                <w:rFonts w:cs="Arial"/>
                <w:color w:val="000000"/>
                <w:sz w:val="16"/>
                <w:szCs w:val="16"/>
              </w:rPr>
            </w:pPr>
            <w:r>
              <w:rPr>
                <w:rFonts w:cs="Arial"/>
                <w:color w:val="000000"/>
                <w:sz w:val="16"/>
                <w:szCs w:val="16"/>
              </w:rPr>
              <w:t>69,64%</w:t>
            </w:r>
          </w:p>
        </w:tc>
        <w:tc>
          <w:tcPr>
            <w:tcW w:w="2552" w:type="dxa"/>
            <w:tcBorders>
              <w:top w:val="single" w:sz="4" w:space="0" w:color="auto"/>
              <w:left w:val="single" w:sz="4" w:space="0" w:color="auto"/>
              <w:bottom w:val="single" w:sz="4" w:space="0" w:color="auto"/>
              <w:right w:val="single" w:sz="4" w:space="0" w:color="auto"/>
            </w:tcBorders>
            <w:vAlign w:val="center"/>
          </w:tcPr>
          <w:p w14:paraId="7AE6050A" w14:textId="77777777" w:rsidR="003F3F83" w:rsidRPr="00ED1A48" w:rsidRDefault="003F3F83" w:rsidP="00AD1DF5">
            <w:pPr>
              <w:jc w:val="center"/>
              <w:rPr>
                <w:rFonts w:cs="Arial"/>
                <w:color w:val="000000"/>
                <w:sz w:val="16"/>
                <w:szCs w:val="16"/>
              </w:rPr>
            </w:pPr>
            <w:r>
              <w:rPr>
                <w:rFonts w:cs="Arial"/>
                <w:color w:val="000000"/>
                <w:sz w:val="16"/>
                <w:szCs w:val="16"/>
              </w:rPr>
              <w:t>17%</w:t>
            </w:r>
          </w:p>
        </w:tc>
        <w:tc>
          <w:tcPr>
            <w:tcW w:w="2551" w:type="dxa"/>
            <w:tcBorders>
              <w:top w:val="single" w:sz="4" w:space="0" w:color="auto"/>
              <w:left w:val="single" w:sz="4" w:space="0" w:color="auto"/>
              <w:bottom w:val="single" w:sz="4" w:space="0" w:color="auto"/>
              <w:right w:val="single" w:sz="4" w:space="0" w:color="auto"/>
            </w:tcBorders>
            <w:vAlign w:val="center"/>
          </w:tcPr>
          <w:p w14:paraId="655C5122" w14:textId="77777777" w:rsidR="003F3F83" w:rsidRDefault="003F3F83" w:rsidP="00AD1DF5">
            <w:pPr>
              <w:jc w:val="center"/>
              <w:rPr>
                <w:rFonts w:cs="Arial"/>
                <w:color w:val="000000"/>
                <w:sz w:val="16"/>
                <w:szCs w:val="16"/>
              </w:rPr>
            </w:pPr>
            <w:r>
              <w:rPr>
                <w:rFonts w:cs="Arial"/>
                <w:color w:val="000000"/>
                <w:sz w:val="16"/>
                <w:szCs w:val="16"/>
              </w:rPr>
              <w:t>41,67%</w:t>
            </w:r>
          </w:p>
        </w:tc>
        <w:tc>
          <w:tcPr>
            <w:tcW w:w="2552" w:type="dxa"/>
            <w:tcBorders>
              <w:top w:val="single" w:sz="4" w:space="0" w:color="auto"/>
              <w:left w:val="single" w:sz="4" w:space="0" w:color="auto"/>
              <w:bottom w:val="single" w:sz="4" w:space="0" w:color="auto"/>
              <w:right w:val="single" w:sz="4" w:space="0" w:color="auto"/>
            </w:tcBorders>
            <w:vAlign w:val="center"/>
          </w:tcPr>
          <w:p w14:paraId="21A172F9" w14:textId="77777777" w:rsidR="003F3F83" w:rsidRDefault="003F3F83" w:rsidP="00AD1DF5">
            <w:pPr>
              <w:jc w:val="center"/>
              <w:rPr>
                <w:rFonts w:cs="Arial"/>
                <w:color w:val="000000"/>
                <w:sz w:val="16"/>
                <w:szCs w:val="16"/>
              </w:rPr>
            </w:pPr>
            <w:r>
              <w:rPr>
                <w:rFonts w:cs="Arial"/>
                <w:color w:val="000000"/>
                <w:sz w:val="16"/>
                <w:szCs w:val="16"/>
              </w:rPr>
              <w:t>1,54%</w:t>
            </w:r>
          </w:p>
        </w:tc>
      </w:tr>
      <w:tr w:rsidR="003F3F83" w:rsidRPr="00ED1A48" w14:paraId="403BC8CD" w14:textId="77777777" w:rsidTr="00AD1DF5">
        <w:tc>
          <w:tcPr>
            <w:tcW w:w="47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3FBAA7C" w14:textId="77777777" w:rsidR="003F3F83" w:rsidRPr="00ED1A48" w:rsidRDefault="003F3F83" w:rsidP="00AD1DF5">
            <w:pPr>
              <w:jc w:val="center"/>
              <w:rPr>
                <w:rFonts w:cs="Arial"/>
                <w:color w:val="000000"/>
                <w:sz w:val="16"/>
                <w:szCs w:val="16"/>
              </w:rPr>
            </w:pPr>
            <w:r>
              <w:rPr>
                <w:rFonts w:cs="Arial"/>
                <w:color w:val="000000"/>
                <w:sz w:val="16"/>
                <w:szCs w:val="16"/>
              </w:rPr>
              <w:t>2</w:t>
            </w:r>
            <w:r w:rsidRPr="00ED1A48">
              <w:rPr>
                <w:rFonts w:cs="Arial"/>
                <w:color w:val="000000"/>
                <w:sz w:val="16"/>
                <w:szCs w:val="16"/>
              </w:rPr>
              <w:t>.</w:t>
            </w:r>
          </w:p>
        </w:tc>
        <w:tc>
          <w:tcPr>
            <w:tcW w:w="335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8C81517" w14:textId="77777777" w:rsidR="003F3F83" w:rsidRPr="003749AE" w:rsidRDefault="003F3F83" w:rsidP="00AD1DF5">
            <w:pPr>
              <w:jc w:val="center"/>
              <w:rPr>
                <w:rFonts w:cs="Arial"/>
                <w:b/>
                <w:color w:val="000000"/>
                <w:sz w:val="16"/>
                <w:szCs w:val="16"/>
              </w:rPr>
            </w:pPr>
            <w:r w:rsidRPr="003749AE">
              <w:rPr>
                <w:b/>
                <w:sz w:val="16"/>
                <w:szCs w:val="16"/>
              </w:rPr>
              <w:t>Określenie wymagań zw. z realizacją zamówienia obejmujących aspekty zw. z innowacyjnością</w:t>
            </w:r>
          </w:p>
        </w:tc>
        <w:tc>
          <w:tcPr>
            <w:tcW w:w="2551" w:type="dxa"/>
            <w:tcBorders>
              <w:top w:val="single" w:sz="4" w:space="0" w:color="auto"/>
              <w:left w:val="single" w:sz="4" w:space="0" w:color="auto"/>
              <w:bottom w:val="single" w:sz="4" w:space="0" w:color="auto"/>
              <w:right w:val="single" w:sz="4" w:space="0" w:color="auto"/>
            </w:tcBorders>
            <w:vAlign w:val="center"/>
          </w:tcPr>
          <w:p w14:paraId="6EDDD61D" w14:textId="77777777" w:rsidR="003F3F83" w:rsidRPr="00ED1A48" w:rsidRDefault="003F3F83" w:rsidP="00AD1DF5">
            <w:pPr>
              <w:jc w:val="center"/>
              <w:rPr>
                <w:rFonts w:cs="Arial"/>
                <w:color w:val="000000"/>
                <w:sz w:val="16"/>
                <w:szCs w:val="16"/>
              </w:rPr>
            </w:pPr>
            <w:r>
              <w:rPr>
                <w:rFonts w:cs="Arial"/>
                <w:color w:val="000000"/>
                <w:sz w:val="16"/>
                <w:szCs w:val="16"/>
              </w:rPr>
              <w:t>34,82%</w:t>
            </w:r>
          </w:p>
        </w:tc>
        <w:tc>
          <w:tcPr>
            <w:tcW w:w="2552" w:type="dxa"/>
            <w:tcBorders>
              <w:top w:val="single" w:sz="4" w:space="0" w:color="auto"/>
              <w:left w:val="single" w:sz="4" w:space="0" w:color="auto"/>
              <w:bottom w:val="single" w:sz="4" w:space="0" w:color="auto"/>
              <w:right w:val="single" w:sz="4" w:space="0" w:color="auto"/>
            </w:tcBorders>
            <w:vAlign w:val="center"/>
          </w:tcPr>
          <w:p w14:paraId="4F6C10AB" w14:textId="77777777" w:rsidR="003F3F83" w:rsidRPr="00ED1A48" w:rsidRDefault="003F3F83" w:rsidP="00AD1DF5">
            <w:pPr>
              <w:jc w:val="center"/>
              <w:rPr>
                <w:rFonts w:cs="Arial"/>
                <w:color w:val="000000"/>
                <w:sz w:val="16"/>
                <w:szCs w:val="16"/>
              </w:rPr>
            </w:pPr>
            <w:r>
              <w:rPr>
                <w:rFonts w:cs="Arial"/>
                <w:color w:val="000000"/>
                <w:sz w:val="16"/>
                <w:szCs w:val="16"/>
              </w:rPr>
              <w:t>83,19%</w:t>
            </w:r>
          </w:p>
        </w:tc>
        <w:tc>
          <w:tcPr>
            <w:tcW w:w="2551" w:type="dxa"/>
            <w:tcBorders>
              <w:top w:val="single" w:sz="4" w:space="0" w:color="auto"/>
              <w:left w:val="single" w:sz="4" w:space="0" w:color="auto"/>
              <w:bottom w:val="single" w:sz="4" w:space="0" w:color="auto"/>
              <w:right w:val="single" w:sz="4" w:space="0" w:color="auto"/>
            </w:tcBorders>
            <w:vAlign w:val="center"/>
          </w:tcPr>
          <w:p w14:paraId="7FC84CF4" w14:textId="77777777" w:rsidR="003F3F83" w:rsidRDefault="003F3F83" w:rsidP="00AD1DF5">
            <w:pPr>
              <w:jc w:val="center"/>
              <w:rPr>
                <w:rFonts w:cs="Arial"/>
                <w:color w:val="000000"/>
                <w:sz w:val="16"/>
                <w:szCs w:val="16"/>
              </w:rPr>
            </w:pPr>
            <w:r>
              <w:rPr>
                <w:rFonts w:cs="Arial"/>
                <w:color w:val="000000"/>
                <w:sz w:val="16"/>
                <w:szCs w:val="16"/>
              </w:rPr>
              <w:t>66,67%</w:t>
            </w:r>
          </w:p>
        </w:tc>
        <w:tc>
          <w:tcPr>
            <w:tcW w:w="2552" w:type="dxa"/>
            <w:tcBorders>
              <w:top w:val="single" w:sz="4" w:space="0" w:color="auto"/>
              <w:left w:val="single" w:sz="4" w:space="0" w:color="auto"/>
              <w:bottom w:val="single" w:sz="4" w:space="0" w:color="auto"/>
              <w:right w:val="single" w:sz="4" w:space="0" w:color="auto"/>
            </w:tcBorders>
            <w:vAlign w:val="center"/>
          </w:tcPr>
          <w:p w14:paraId="423D2EDE" w14:textId="77777777" w:rsidR="003F3F83" w:rsidRDefault="003F3F83" w:rsidP="00AD1DF5">
            <w:pPr>
              <w:jc w:val="center"/>
              <w:rPr>
                <w:rFonts w:cs="Arial"/>
                <w:color w:val="000000"/>
                <w:sz w:val="16"/>
                <w:szCs w:val="16"/>
              </w:rPr>
            </w:pPr>
            <w:r>
              <w:rPr>
                <w:rFonts w:cs="Arial"/>
                <w:color w:val="000000"/>
                <w:sz w:val="16"/>
                <w:szCs w:val="16"/>
              </w:rPr>
              <w:t>99,96%</w:t>
            </w:r>
          </w:p>
        </w:tc>
      </w:tr>
    </w:tbl>
    <w:p w14:paraId="50932542" w14:textId="77777777" w:rsidR="003F3F83" w:rsidRDefault="003F3F83" w:rsidP="003F3F83">
      <w:pPr>
        <w:rPr>
          <w:rFonts w:cs="Arial"/>
          <w:color w:val="000000"/>
          <w:sz w:val="18"/>
          <w:szCs w:val="18"/>
        </w:rPr>
      </w:pPr>
    </w:p>
    <w:p w14:paraId="38092513" w14:textId="77777777" w:rsidR="003F3F83" w:rsidRDefault="003F3F83" w:rsidP="003F3F83">
      <w:pPr>
        <w:shd w:val="clear" w:color="auto" w:fill="FFFFFF"/>
        <w:rPr>
          <w:rFonts w:cs="Arial"/>
          <w:b/>
          <w:color w:val="000000"/>
        </w:rPr>
      </w:pPr>
      <w:r w:rsidRPr="004C0201">
        <w:rPr>
          <w:sz w:val="16"/>
          <w:szCs w:val="16"/>
        </w:rPr>
        <w:t xml:space="preserve">UWAGA: Suma udziałów zamówień z zastosowaniem poszczególnych aspektów </w:t>
      </w:r>
      <w:r>
        <w:rPr>
          <w:sz w:val="16"/>
          <w:szCs w:val="16"/>
        </w:rPr>
        <w:t xml:space="preserve">innowacyjnych udzielonych przez jednostki administracji rządowej </w:t>
      </w:r>
      <w:r w:rsidRPr="004C0201">
        <w:rPr>
          <w:sz w:val="16"/>
          <w:szCs w:val="16"/>
        </w:rPr>
        <w:t xml:space="preserve">w ogólnej liczbie i wartości </w:t>
      </w:r>
      <w:r>
        <w:rPr>
          <w:sz w:val="16"/>
          <w:szCs w:val="16"/>
        </w:rPr>
        <w:t xml:space="preserve">innowacyjnych </w:t>
      </w:r>
      <w:r w:rsidRPr="004C0201">
        <w:rPr>
          <w:sz w:val="16"/>
          <w:szCs w:val="16"/>
        </w:rPr>
        <w:t xml:space="preserve">zamówień </w:t>
      </w:r>
      <w:r>
        <w:rPr>
          <w:sz w:val="16"/>
          <w:szCs w:val="16"/>
        </w:rPr>
        <w:t xml:space="preserve">udzielonych przez jednostki administracji rządowej </w:t>
      </w:r>
      <w:r w:rsidRPr="004C0201">
        <w:rPr>
          <w:sz w:val="16"/>
          <w:szCs w:val="16"/>
        </w:rPr>
        <w:t xml:space="preserve">jest większa niż łączna liczba i wartość zamówień </w:t>
      </w:r>
      <w:r>
        <w:rPr>
          <w:sz w:val="16"/>
          <w:szCs w:val="16"/>
        </w:rPr>
        <w:t>innowacyjnych</w:t>
      </w:r>
      <w:r w:rsidRPr="004C0201">
        <w:rPr>
          <w:sz w:val="16"/>
          <w:szCs w:val="16"/>
        </w:rPr>
        <w:t xml:space="preserve"> </w:t>
      </w:r>
      <w:r>
        <w:rPr>
          <w:sz w:val="16"/>
          <w:szCs w:val="16"/>
        </w:rPr>
        <w:t xml:space="preserve">udzielonych przez jednostki administracji rządowej </w:t>
      </w:r>
      <w:r w:rsidRPr="004C0201">
        <w:rPr>
          <w:sz w:val="16"/>
          <w:szCs w:val="16"/>
        </w:rPr>
        <w:t xml:space="preserve">ze względu na przypadki zastosowania więcej niż jednego aspektu </w:t>
      </w:r>
      <w:r>
        <w:rPr>
          <w:sz w:val="16"/>
          <w:szCs w:val="16"/>
        </w:rPr>
        <w:t>innowacyjnego</w:t>
      </w:r>
      <w:r w:rsidRPr="004C0201">
        <w:rPr>
          <w:sz w:val="16"/>
          <w:szCs w:val="16"/>
        </w:rPr>
        <w:t xml:space="preserve"> w jednym zamówieniu.</w:t>
      </w:r>
    </w:p>
    <w:p w14:paraId="03B77A19" w14:textId="77777777" w:rsidR="003F3F83" w:rsidRDefault="003F3F83" w:rsidP="00D2318D">
      <w:pPr>
        <w:rPr>
          <w:szCs w:val="22"/>
        </w:rPr>
      </w:pPr>
    </w:p>
    <w:p w14:paraId="73D875CE" w14:textId="013C21F3" w:rsidR="002A1EF3" w:rsidRDefault="002A1EF3" w:rsidP="00D2318D">
      <w:pPr>
        <w:rPr>
          <w:szCs w:val="22"/>
        </w:rPr>
      </w:pPr>
    </w:p>
    <w:p w14:paraId="436AF2E6" w14:textId="77777777" w:rsidR="00100D6C" w:rsidRDefault="00100D6C" w:rsidP="00D2318D">
      <w:pPr>
        <w:rPr>
          <w:szCs w:val="22"/>
        </w:rPr>
        <w:sectPr w:rsidR="00100D6C" w:rsidSect="00D50E39">
          <w:pgSz w:w="16838" w:h="11906" w:orient="landscape"/>
          <w:pgMar w:top="1418" w:right="1418" w:bottom="1418" w:left="1418" w:header="709" w:footer="709" w:gutter="0"/>
          <w:cols w:space="708"/>
          <w:docGrid w:linePitch="299"/>
        </w:sectPr>
      </w:pPr>
    </w:p>
    <w:p w14:paraId="0A1C0C7E" w14:textId="77777777" w:rsidR="00C8528E" w:rsidRDefault="00C8528E" w:rsidP="00AF6A2E">
      <w:pPr>
        <w:shd w:val="clear" w:color="auto" w:fill="FFFFFF"/>
        <w:rPr>
          <w:rFonts w:cs="Arial"/>
        </w:rPr>
      </w:pPr>
    </w:p>
    <w:sectPr w:rsidR="00C8528E" w:rsidSect="005F2757">
      <w:headerReference w:type="default" r:id="rId73"/>
      <w:footerReference w:type="default" r:id="rId74"/>
      <w:type w:val="oddPage"/>
      <w:pgSz w:w="16838" w:h="11906" w:orient="landscape"/>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9F80B" w14:textId="77777777" w:rsidR="00560BC7" w:rsidRDefault="00560BC7">
      <w:r>
        <w:separator/>
      </w:r>
    </w:p>
    <w:p w14:paraId="7EAD9BA7" w14:textId="77777777" w:rsidR="00560BC7" w:rsidRDefault="00560BC7"/>
  </w:endnote>
  <w:endnote w:type="continuationSeparator" w:id="0">
    <w:p w14:paraId="63EADA65" w14:textId="77777777" w:rsidR="00560BC7" w:rsidRDefault="00560BC7">
      <w:r>
        <w:continuationSeparator/>
      </w:r>
    </w:p>
    <w:p w14:paraId="43C93CFE" w14:textId="77777777" w:rsidR="00560BC7" w:rsidRDefault="00560B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325119815"/>
      <w:docPartObj>
        <w:docPartGallery w:val="Page Numbers (Bottom of Page)"/>
        <w:docPartUnique/>
      </w:docPartObj>
    </w:sdtPr>
    <w:sdtEndPr/>
    <w:sdtContent>
      <w:p w14:paraId="63C7F248" w14:textId="376FC327" w:rsidR="00AD7320" w:rsidRPr="00960C6C" w:rsidRDefault="00BE2079" w:rsidP="00960C6C">
        <w:pPr>
          <w:pStyle w:val="Stopka"/>
          <w:jc w:val="center"/>
          <w:rPr>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433261"/>
      <w:docPartObj>
        <w:docPartGallery w:val="Page Numbers (Bottom of Page)"/>
        <w:docPartUnique/>
      </w:docPartObj>
    </w:sdtPr>
    <w:sdtEndPr/>
    <w:sdtContent>
      <w:p w14:paraId="63AFC42E" w14:textId="7F9AE624" w:rsidR="00AD7320" w:rsidRPr="00281E03" w:rsidRDefault="00AD7320" w:rsidP="001F7556">
        <w:pPr>
          <w:pStyle w:val="Stopka"/>
          <w:jc w:val="center"/>
        </w:pPr>
        <w:r>
          <w:fldChar w:fldCharType="begin"/>
        </w:r>
        <w:r>
          <w:instrText>PAGE   \* MERGEFORMAT</w:instrText>
        </w:r>
        <w:r>
          <w:fldChar w:fldCharType="separate"/>
        </w:r>
        <w:r w:rsidR="00A43C68">
          <w:rPr>
            <w:noProof/>
          </w:rPr>
          <w:t>167</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945884"/>
      <w:docPartObj>
        <w:docPartGallery w:val="Page Numbers (Bottom of Page)"/>
        <w:docPartUnique/>
      </w:docPartObj>
    </w:sdtPr>
    <w:sdtEndPr/>
    <w:sdtContent>
      <w:p w14:paraId="6BC31E56" w14:textId="6CE519FE" w:rsidR="00AD7320" w:rsidRPr="00281E03" w:rsidRDefault="00AD7320" w:rsidP="004C0B02">
        <w:pPr>
          <w:pStyle w:val="Stopka"/>
          <w:jc w:val="center"/>
        </w:pPr>
        <w:r>
          <w:fldChar w:fldCharType="begin"/>
        </w:r>
        <w:r>
          <w:instrText>PAGE   \* MERGEFORMAT</w:instrText>
        </w:r>
        <w:r>
          <w:fldChar w:fldCharType="separate"/>
        </w:r>
        <w:r w:rsidR="00560BC7">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89459" w14:textId="2E440305" w:rsidR="001F7556" w:rsidRDefault="001F755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4BADA" w14:textId="77777777" w:rsidR="00560BC7" w:rsidRDefault="00560BC7">
      <w:r>
        <w:separator/>
      </w:r>
    </w:p>
  </w:footnote>
  <w:footnote w:type="continuationSeparator" w:id="0">
    <w:p w14:paraId="2575945F" w14:textId="77777777" w:rsidR="00560BC7" w:rsidRDefault="00560BC7">
      <w:r>
        <w:continuationSeparator/>
      </w:r>
    </w:p>
    <w:p w14:paraId="2AC9C945" w14:textId="77777777" w:rsidR="00560BC7" w:rsidRDefault="00560BC7"/>
  </w:footnote>
  <w:footnote w:type="continuationNotice" w:id="1">
    <w:p w14:paraId="68F52077" w14:textId="77777777" w:rsidR="00560BC7" w:rsidRDefault="00560BC7"/>
  </w:footnote>
  <w:footnote w:id="2">
    <w:p w14:paraId="242C7ED7" w14:textId="77777777" w:rsidR="00AD7320" w:rsidRDefault="00AD7320" w:rsidP="00E77BAE">
      <w:pPr>
        <w:pStyle w:val="Tekstprzypisudolnego"/>
      </w:pPr>
      <w:r>
        <w:rPr>
          <w:rStyle w:val="Odwoanieprzypisudolnego"/>
        </w:rPr>
        <w:footnoteRef/>
      </w:r>
      <w:r>
        <w:t xml:space="preserve"> </w:t>
      </w:r>
      <w:r w:rsidRPr="00ED14F9">
        <w:t>Dane ustalone w oparciu o siedziby przedsiębiorstw, nie badano struktury właścicielskiej i kapitału przedsiębiorców.</w:t>
      </w:r>
    </w:p>
  </w:footnote>
  <w:footnote w:id="3">
    <w:p w14:paraId="06647397" w14:textId="77777777" w:rsidR="00AD7320" w:rsidRDefault="00AD7320" w:rsidP="00444422">
      <w:pPr>
        <w:pStyle w:val="Tekstprzypisudolnego"/>
      </w:pPr>
      <w:r>
        <w:rPr>
          <w:rStyle w:val="Odwoanieprzypisudolnego"/>
        </w:rPr>
        <w:footnoteRef/>
      </w:r>
      <w:r>
        <w:t xml:space="preserve"> </w:t>
      </w:r>
      <w:r w:rsidRPr="00FB2303">
        <w:t>Dyrektywa Parlamentu Europejskiego i Rady 2009/33/WE z dnia 23 kwietnia 2009 r. w sprawie promowania ekologicznie czystych pojazdów transportu drogowego w celu wsparcia mobilności niskoemisyjnej (Dz. Urz. UE L 120 z 15.05.2009, str. 5) – w brzmieniu nadanym dyrektywą 2019/1161/UE.</w:t>
      </w:r>
    </w:p>
  </w:footnote>
  <w:footnote w:id="4">
    <w:p w14:paraId="5FCB7635" w14:textId="61FD79E2" w:rsidR="00AD7320" w:rsidRDefault="00AD7320" w:rsidP="009775F9">
      <w:pPr>
        <w:pStyle w:val="Tekstprzypisudolnego"/>
        <w:rPr>
          <w:bCs/>
          <w:iCs/>
        </w:rPr>
      </w:pPr>
      <w:r>
        <w:rPr>
          <w:rStyle w:val="Odwoanieprzypisudolnego"/>
        </w:rPr>
        <w:footnoteRef/>
      </w:r>
      <w:r>
        <w:t xml:space="preserve"> </w:t>
      </w:r>
      <w:r w:rsidRPr="00EF3BB2">
        <w:rPr>
          <w:bCs/>
          <w:iCs/>
        </w:rPr>
        <w:t xml:space="preserve">Tekst konkluzji: </w:t>
      </w:r>
      <w:hyperlink r:id="rId1" w:history="1">
        <w:r w:rsidRPr="00F06CBE">
          <w:rPr>
            <w:rStyle w:val="Hipercze"/>
            <w:bCs/>
            <w:iCs/>
          </w:rPr>
          <w:t>https://eur-lex.europa.eu/legal-content/PL/TXT/PDF/?uri=CELEX:52022XG0620(01)&amp;from=PL</w:t>
        </w:r>
      </w:hyperlink>
    </w:p>
    <w:p w14:paraId="302112F4" w14:textId="4B24D9FC" w:rsidR="00AD7320" w:rsidRDefault="00AD7320" w:rsidP="009775F9">
      <w:pPr>
        <w:pStyle w:val="Tekstprzypisudolnego"/>
        <w:rPr>
          <w:bCs/>
          <w:iCs/>
        </w:rPr>
      </w:pPr>
      <w:r w:rsidRPr="00EF3BB2">
        <w:rPr>
          <w:bCs/>
          <w:iCs/>
        </w:rPr>
        <w:t>oraz sprostowanie dotyczące tytułu konkluzji:</w:t>
      </w:r>
    </w:p>
    <w:p w14:paraId="14A6DDF8" w14:textId="5439BE06" w:rsidR="00AD7320" w:rsidRDefault="00BE2079" w:rsidP="009775F9">
      <w:pPr>
        <w:pStyle w:val="Tekstprzypisudolnego"/>
      </w:pPr>
      <w:hyperlink r:id="rId2" w:history="1">
        <w:r w:rsidR="00AD7320" w:rsidRPr="00EF3BB2">
          <w:rPr>
            <w:rStyle w:val="Hipercze"/>
            <w:bCs/>
            <w:iCs/>
          </w:rPr>
          <w:t>https://eur-lex.europa.eu/legal-content/PL/TXT/PDF/?uri=CELEX:52022XG0620(01)R(01)&amp;from=PL</w:t>
        </w:r>
      </w:hyperlink>
    </w:p>
  </w:footnote>
  <w:footnote w:id="5">
    <w:p w14:paraId="7686A8AE" w14:textId="10F9F110" w:rsidR="00AD7320" w:rsidRDefault="00AD7320" w:rsidP="00050611">
      <w:pPr>
        <w:pStyle w:val="Tekstprzypisudolnego"/>
      </w:pPr>
      <w:r>
        <w:rPr>
          <w:rStyle w:val="Odwoanieprzypisudolnego"/>
        </w:rPr>
        <w:footnoteRef/>
      </w:r>
      <w:r>
        <w:t xml:space="preserve"> </w:t>
      </w:r>
      <w:r w:rsidRPr="007B75EE">
        <w:t>Według szacunków GUS produkt krajowy brutto (PKB) w 202</w:t>
      </w:r>
      <w:r>
        <w:t>2</w:t>
      </w:r>
      <w:r w:rsidRPr="007B75EE">
        <w:t xml:space="preserve"> r</w:t>
      </w:r>
      <w:r>
        <w:t>. kształtował się na poziomie 3 078,3</w:t>
      </w:r>
      <w:r w:rsidRPr="007B75EE">
        <w:t xml:space="preserve"> mld zł (Biuletyn Statystyczny Nr </w:t>
      </w:r>
      <w:r>
        <w:t>4</w:t>
      </w:r>
      <w:r w:rsidRPr="007B75EE">
        <w:t>/202</w:t>
      </w:r>
      <w:r>
        <w:t>3</w:t>
      </w:r>
      <w:r w:rsidRPr="007B75EE">
        <w:t>).</w:t>
      </w:r>
    </w:p>
  </w:footnote>
  <w:footnote w:id="6">
    <w:p w14:paraId="73F49604" w14:textId="10EFE8C5" w:rsidR="00AD7320" w:rsidRDefault="00AD7320">
      <w:pPr>
        <w:pStyle w:val="Tekstprzypisudolnego"/>
      </w:pPr>
      <w:r>
        <w:rPr>
          <w:rStyle w:val="Odwoanieprzypisudolnego"/>
        </w:rPr>
        <w:footnoteRef/>
      </w:r>
      <w:r>
        <w:t xml:space="preserve"> Dane </w:t>
      </w:r>
      <w:r>
        <w:rPr>
          <w:szCs w:val="22"/>
        </w:rPr>
        <w:t>ze sprawozdań rocznych za 2022 r.</w:t>
      </w:r>
    </w:p>
  </w:footnote>
  <w:footnote w:id="7">
    <w:p w14:paraId="0EA1E04E" w14:textId="77777777" w:rsidR="00AD7320" w:rsidRDefault="00AD7320" w:rsidP="005D3F2C">
      <w:pPr>
        <w:pStyle w:val="Tekstprzypisudolnego"/>
      </w:pPr>
      <w:r>
        <w:rPr>
          <w:rStyle w:val="Odwoanieprzypisudolnego"/>
        </w:rPr>
        <w:footnoteRef/>
      </w:r>
      <w:r>
        <w:t xml:space="preserve"> </w:t>
      </w:r>
      <w:r w:rsidRPr="00AE5F86">
        <w:t>Ustawa z dnia 2 marca 2020 r. o szczególnych rozwiązaniach związanych z zapobieganiem, przeciwdziałaniem i zwalczaniem COVID-19, innych chorób zakaźnych oraz wywołanych nimi sytuacji kryzysowych (Dz. U. z 2021 r. poz. 2095, z późn. zm.)</w:t>
      </w:r>
      <w:r>
        <w:t xml:space="preserve"> oraz </w:t>
      </w:r>
      <w:r w:rsidRPr="00AE5F86">
        <w:t>ustawa z dnia 28 października 2020 r. o zmianie niektórych ustaw w związku z przeciwdziałaniem sytuacjom kryzysowym związanym z wystąpieniem COVID-19 (Dz. U. poz. 2112, z późn. zm.)</w:t>
      </w:r>
      <w:r>
        <w:t>.</w:t>
      </w:r>
    </w:p>
  </w:footnote>
  <w:footnote w:id="8">
    <w:p w14:paraId="6161B17E" w14:textId="393B56E1" w:rsidR="00AD7320" w:rsidRDefault="00AD7320">
      <w:pPr>
        <w:pStyle w:val="Tekstprzypisudolnego"/>
      </w:pPr>
      <w:r>
        <w:rPr>
          <w:rStyle w:val="Odwoanieprzypisudolnego"/>
        </w:rPr>
        <w:footnoteRef/>
      </w:r>
      <w:r>
        <w:t xml:space="preserve"> </w:t>
      </w:r>
      <w:r w:rsidRPr="00574938">
        <w:t xml:space="preserve">Jak wynika z rocznych sprawozdań o udzielonych zamówieniach, w 2022 r. zamówień o wartościach poniżej progów unijnych udzielonych na podstawie przepisów ustawy Pzp z 2004 r. było kilkanaście i nie miały one wpływu na strukturę trybów </w:t>
      </w:r>
      <w:r>
        <w:t xml:space="preserve">udzielenia </w:t>
      </w:r>
      <w:r w:rsidRPr="00574938">
        <w:t>zamówień.</w:t>
      </w:r>
    </w:p>
  </w:footnote>
  <w:footnote w:id="9">
    <w:p w14:paraId="34F0509B" w14:textId="63360F4F" w:rsidR="00AD7320" w:rsidRPr="006A11C1" w:rsidRDefault="00AD7320" w:rsidP="00281915">
      <w:pPr>
        <w:pStyle w:val="Tekstprzypisudolnego"/>
        <w:rPr>
          <w:szCs w:val="18"/>
        </w:rPr>
      </w:pPr>
      <w:r w:rsidRPr="006A11C1">
        <w:rPr>
          <w:rStyle w:val="Odwoanieprzypisudolnego"/>
          <w:szCs w:val="18"/>
        </w:rPr>
        <w:footnoteRef/>
      </w:r>
      <w:r w:rsidRPr="006A11C1">
        <w:rPr>
          <w:szCs w:val="18"/>
        </w:rPr>
        <w:t xml:space="preserve"> Średni czas liczon</w:t>
      </w:r>
      <w:r>
        <w:rPr>
          <w:szCs w:val="18"/>
        </w:rPr>
        <w:t>y</w:t>
      </w:r>
      <w:r w:rsidRPr="006A11C1">
        <w:rPr>
          <w:szCs w:val="18"/>
        </w:rPr>
        <w:t xml:space="preserve"> jest od daty publikacji ogłoszenia o zamówieniu do daty zawarcia umowy wskazanej w</w:t>
      </w:r>
      <w:r>
        <w:rPr>
          <w:szCs w:val="18"/>
        </w:rPr>
        <w:t> </w:t>
      </w:r>
      <w:r w:rsidRPr="006A11C1">
        <w:rPr>
          <w:szCs w:val="18"/>
        </w:rPr>
        <w:t>ogłoszeniu o wyniku postępowania, a więc dotyczy zamówień udzielanych w trybie podstawowym oraz w trybie partnerstwa innowacyjnego.</w:t>
      </w:r>
      <w:r>
        <w:rPr>
          <w:szCs w:val="18"/>
        </w:rPr>
        <w:t xml:space="preserve"> </w:t>
      </w:r>
      <w:r w:rsidRPr="006A11C1">
        <w:rPr>
          <w:szCs w:val="18"/>
        </w:rPr>
        <w:t>W przypadku postępowań</w:t>
      </w:r>
      <w:r>
        <w:rPr>
          <w:szCs w:val="18"/>
        </w:rPr>
        <w:t xml:space="preserve">, w których dopuszczono składanie ofert częściowych dane dotyczą </w:t>
      </w:r>
      <w:r w:rsidRPr="006A11C1">
        <w:rPr>
          <w:szCs w:val="18"/>
        </w:rPr>
        <w:t>poszczególnych części</w:t>
      </w:r>
      <w:r>
        <w:rPr>
          <w:szCs w:val="18"/>
        </w:rPr>
        <w:t xml:space="preserve"> zamówienia</w:t>
      </w:r>
      <w:r w:rsidRPr="006A11C1">
        <w:rPr>
          <w:szCs w:val="18"/>
        </w:rPr>
        <w:t>.</w:t>
      </w:r>
    </w:p>
  </w:footnote>
  <w:footnote w:id="10">
    <w:p w14:paraId="39AF9E07" w14:textId="204C8500" w:rsidR="00AD7320" w:rsidRDefault="00AD7320">
      <w:pPr>
        <w:pStyle w:val="Tekstprzypisudolnego"/>
      </w:pPr>
      <w:r>
        <w:rPr>
          <w:rStyle w:val="Odwoanieprzypisudolnego"/>
        </w:rPr>
        <w:footnoteRef/>
      </w:r>
      <w:r>
        <w:t xml:space="preserve"> </w:t>
      </w:r>
      <w:r w:rsidRPr="001A1C9D">
        <w:t xml:space="preserve">Średni czas liczony jest od daty publikacji ogłoszenia o zamówieniu do daty zawarcia umowy wskazanej w ogłoszeniu o </w:t>
      </w:r>
      <w:r>
        <w:t>udzieleniu zamówienia</w:t>
      </w:r>
      <w:r w:rsidRPr="001A1C9D">
        <w:t>, a więc dotyczy zamówień udzielanych w tryb</w:t>
      </w:r>
      <w:r>
        <w:t xml:space="preserve">ach, w których istnieje obowiązek publikacji ogłoszenia o zamówieniu. </w:t>
      </w:r>
      <w:r w:rsidRPr="00B41B4C">
        <w:t>W przypadku postępowań, w których dopuszczono składanie ofert częściowych dane dotyczą poszczególnych części zamówienia.</w:t>
      </w:r>
    </w:p>
  </w:footnote>
  <w:footnote w:id="11">
    <w:p w14:paraId="7FF28139" w14:textId="45A23857" w:rsidR="00AD7320" w:rsidRPr="006A11C1" w:rsidRDefault="00AD7320" w:rsidP="005D0407">
      <w:pPr>
        <w:pStyle w:val="Tekstprzypisudolnego"/>
        <w:rPr>
          <w:szCs w:val="18"/>
        </w:rPr>
      </w:pPr>
      <w:r w:rsidRPr="006A11C1">
        <w:rPr>
          <w:rStyle w:val="Odwoanieprzypisudolnego"/>
          <w:szCs w:val="18"/>
        </w:rPr>
        <w:footnoteRef/>
      </w:r>
      <w:r w:rsidRPr="006A11C1">
        <w:rPr>
          <w:szCs w:val="18"/>
        </w:rPr>
        <w:t xml:space="preserve"> Dane dotyczące liczby ofert nie obejmują postępowań o udzielenie zamówienia publicznego w trybie negocjacji bez ogłoszenia. W przypadku postępowań</w:t>
      </w:r>
      <w:r>
        <w:rPr>
          <w:szCs w:val="18"/>
        </w:rPr>
        <w:t xml:space="preserve">, w których dopuszczono składanie ofert częściowych dane dotyczą </w:t>
      </w:r>
      <w:r w:rsidRPr="006A11C1">
        <w:rPr>
          <w:szCs w:val="18"/>
        </w:rPr>
        <w:t>poszczególnych części</w:t>
      </w:r>
      <w:r>
        <w:rPr>
          <w:szCs w:val="18"/>
        </w:rPr>
        <w:t xml:space="preserve"> zamówienia</w:t>
      </w:r>
      <w:r w:rsidRPr="006A11C1">
        <w:rPr>
          <w:szCs w:val="18"/>
        </w:rPr>
        <w:t>.</w:t>
      </w:r>
    </w:p>
  </w:footnote>
  <w:footnote w:id="12">
    <w:p w14:paraId="3349B6CC" w14:textId="29E2FEFF" w:rsidR="00AD7320" w:rsidRPr="006A11C1" w:rsidRDefault="00AD7320" w:rsidP="0076367F">
      <w:pPr>
        <w:pStyle w:val="Tekstprzypisudolnego"/>
        <w:rPr>
          <w:szCs w:val="18"/>
        </w:rPr>
      </w:pPr>
      <w:r w:rsidRPr="006A11C1">
        <w:rPr>
          <w:rStyle w:val="Odwoanieprzypisudolnego"/>
          <w:szCs w:val="18"/>
        </w:rPr>
        <w:footnoteRef/>
      </w:r>
      <w:r w:rsidRPr="006A11C1">
        <w:rPr>
          <w:szCs w:val="18"/>
        </w:rPr>
        <w:t xml:space="preserve"> Dane dotyczące liczby ofert nie obejmują postępowań o udzielenie zamówienia publicznego w trybie negocjacji bez ogłoszenia</w:t>
      </w:r>
      <w:r>
        <w:rPr>
          <w:szCs w:val="18"/>
        </w:rPr>
        <w:t xml:space="preserve"> i zamówienia z wolnej ręki</w:t>
      </w:r>
      <w:r w:rsidRPr="006A11C1">
        <w:rPr>
          <w:szCs w:val="18"/>
        </w:rPr>
        <w:t>. W przypadku postępowań</w:t>
      </w:r>
      <w:r>
        <w:rPr>
          <w:szCs w:val="18"/>
        </w:rPr>
        <w:t xml:space="preserve">, w których dopuszczono składanie ofert częściowych dane dotyczą </w:t>
      </w:r>
      <w:r w:rsidRPr="006A11C1">
        <w:rPr>
          <w:szCs w:val="18"/>
        </w:rPr>
        <w:t>poszczególnych części</w:t>
      </w:r>
      <w:r>
        <w:rPr>
          <w:szCs w:val="18"/>
        </w:rPr>
        <w:t xml:space="preserve"> zamówienia</w:t>
      </w:r>
      <w:r w:rsidRPr="006A11C1">
        <w:rPr>
          <w:szCs w:val="18"/>
        </w:rPr>
        <w:t>.</w:t>
      </w:r>
    </w:p>
  </w:footnote>
  <w:footnote w:id="13">
    <w:p w14:paraId="14EE1151" w14:textId="77777777" w:rsidR="00AD7320" w:rsidRDefault="00AD7320" w:rsidP="004F4275">
      <w:pPr>
        <w:pStyle w:val="Tekstprzypisudolnego"/>
      </w:pPr>
      <w:r>
        <w:rPr>
          <w:rStyle w:val="Odwoanieprzypisudolnego"/>
        </w:rPr>
        <w:footnoteRef/>
      </w:r>
      <w:r>
        <w:t xml:space="preserve"> Kraj </w:t>
      </w:r>
      <w:r w:rsidRPr="009E7527">
        <w:t>podmiot</w:t>
      </w:r>
      <w:r>
        <w:t>u</w:t>
      </w:r>
      <w:r w:rsidRPr="009E7527">
        <w:t xml:space="preserve"> identyfikowany jest wyłącznie poprzez miejsce zamieszkania lub siedzibę</w:t>
      </w:r>
      <w:r>
        <w:t xml:space="preserve"> podane w treści ogłoszenia o udzieleniu zamówienia.</w:t>
      </w:r>
      <w:r w:rsidRPr="009E7527">
        <w:t xml:space="preserve"> </w:t>
      </w:r>
      <w:r>
        <w:t>N</w:t>
      </w:r>
      <w:r w:rsidRPr="009E7527">
        <w:t>ie jest badana struktura własnościowa przedsiębiorców z uwagi na brak informacji w tym zakresie w publikowanych ogłoszeniach</w:t>
      </w:r>
      <w:r>
        <w:t>.</w:t>
      </w:r>
    </w:p>
  </w:footnote>
  <w:footnote w:id="14">
    <w:p w14:paraId="0E176F61" w14:textId="352BBC73" w:rsidR="00AD7320" w:rsidRDefault="00AD7320">
      <w:pPr>
        <w:pStyle w:val="Tekstprzypisudolnego"/>
      </w:pPr>
      <w:r>
        <w:rPr>
          <w:rStyle w:val="Odwoanieprzypisudolnego"/>
        </w:rPr>
        <w:footnoteRef/>
      </w:r>
      <w:r>
        <w:t xml:space="preserve"> Dane z ogłoszeń</w:t>
      </w:r>
      <w:r w:rsidRPr="005B1254">
        <w:t xml:space="preserve"> o ud</w:t>
      </w:r>
      <w:r>
        <w:t>zieleniu zamówienia opublikowanych</w:t>
      </w:r>
      <w:r w:rsidRPr="005B1254">
        <w:t xml:space="preserve"> w</w:t>
      </w:r>
      <w:r>
        <w:t xml:space="preserve"> 2022 r. w</w:t>
      </w:r>
      <w:r w:rsidRPr="005B1254">
        <w:t xml:space="preserve"> Dzienniku Urzędowym UE</w:t>
      </w:r>
      <w:r>
        <w:t>.</w:t>
      </w:r>
    </w:p>
  </w:footnote>
  <w:footnote w:id="15">
    <w:p w14:paraId="63ADE875" w14:textId="77777777" w:rsidR="00AD7320" w:rsidRDefault="00AD7320" w:rsidP="009A56F2">
      <w:pPr>
        <w:pStyle w:val="Tekstprzypisudolnego"/>
      </w:pPr>
      <w:r>
        <w:rPr>
          <w:rStyle w:val="Odwoanieprzypisudolnego"/>
        </w:rPr>
        <w:footnoteRef/>
      </w:r>
      <w:r>
        <w:t xml:space="preserve"> </w:t>
      </w:r>
      <w:r w:rsidRPr="005B1254">
        <w:t xml:space="preserve">W opracowaniu nie uwzględniono zamówień o </w:t>
      </w:r>
      <w:r>
        <w:t>wartościach poniżej progów unijnych</w:t>
      </w:r>
      <w:r w:rsidRPr="005B1254">
        <w:t>, udzielanych polskim przedsiębiorcom na rynku europejskim</w:t>
      </w:r>
      <w:r>
        <w:t>,</w:t>
      </w:r>
      <w:r w:rsidRPr="005B1254">
        <w:t xml:space="preserve"> z uwagi na brak publikacji tego rodzaju ogłoszeń w Dzienniku Urzędowym UE.</w:t>
      </w:r>
    </w:p>
  </w:footnote>
  <w:footnote w:id="16">
    <w:p w14:paraId="5B138850" w14:textId="77777777" w:rsidR="00AD7320" w:rsidRDefault="00AD7320" w:rsidP="00216CF0">
      <w:pPr>
        <w:shd w:val="clear" w:color="auto" w:fill="FFFFFF"/>
      </w:pPr>
      <w:r>
        <w:rPr>
          <w:rStyle w:val="Odwoanieprzypisudolnego"/>
        </w:rPr>
        <w:footnoteRef/>
      </w:r>
      <w:r>
        <w:t xml:space="preserve"> </w:t>
      </w:r>
      <w:r w:rsidRPr="00F95FE9">
        <w:rPr>
          <w:iCs/>
          <w:sz w:val="18"/>
          <w:szCs w:val="18"/>
        </w:rPr>
        <w:t>Wskazana wartość może być zaniżona w stosunku do faktycznej z uwagi na brak w części ogłoszeń informacji na temat wartości udzielonego zamówienia.</w:t>
      </w:r>
    </w:p>
  </w:footnote>
  <w:footnote w:id="17">
    <w:p w14:paraId="66121BA4" w14:textId="77777777" w:rsidR="00AD7320" w:rsidRDefault="00AD7320" w:rsidP="003E1D45">
      <w:pPr>
        <w:pStyle w:val="Tekstprzypisudolnego"/>
      </w:pPr>
      <w:r>
        <w:rPr>
          <w:rStyle w:val="Odwoanieprzypisudolnego"/>
        </w:rPr>
        <w:footnoteRef/>
      </w:r>
      <w:r>
        <w:t xml:space="preserve"> </w:t>
      </w:r>
      <w:r w:rsidRPr="00001C22">
        <w:t>Kraj podmiotu identyfikowany jest wyłącznie poprzez miejsce zamieszkania lub siedzibę podane w treści ogłoszenia o udzieleniu zamówienia. Nie jest badana struktura własnościowa przedsiębiorców z uwagi na brak informacji w tym zakresie w publikowanych ogłoszeniach.</w:t>
      </w:r>
    </w:p>
  </w:footnote>
  <w:footnote w:id="18">
    <w:p w14:paraId="0774C819" w14:textId="60B70436" w:rsidR="00AD7320" w:rsidRPr="00A41025" w:rsidRDefault="00AD7320">
      <w:pPr>
        <w:pStyle w:val="Tekstprzypisudolnego"/>
        <w:rPr>
          <w:bCs/>
        </w:rPr>
      </w:pPr>
      <w:r w:rsidRPr="00A41025">
        <w:rPr>
          <w:rStyle w:val="Odwoanieprzypisudolnego"/>
        </w:rPr>
        <w:footnoteRef/>
      </w:r>
      <w:r w:rsidRPr="00A41025">
        <w:t xml:space="preserve"> Łączna liczba zamawiających, którzy udzielili społecznych zamówień publicznych jest mniejsza niż suma liczby zamawiających, którzy w udzielonych zamówieniach uwzględnili aspekty społeczne (na podst. art. 94 ust. 1, art. 100 ust. 1, art. 242 ust. 2, art. 95 ust. 1, art. 96 ust. 1, art. 104 ustawy Pzp) oraz liczby zamawiających, którzy udzielili zamówień zastrzeżonych na usługi zdrowotne, społeczne lub kulturalne, o których mowa w art. 361 ust. 1 lub art. 392 ust. 3 ustawy Pzp </w:t>
      </w:r>
      <w:r w:rsidRPr="00A41025">
        <w:rPr>
          <w:bCs/>
        </w:rPr>
        <w:t>ze względu na przypadki występowania w obu zestawieniach tych samych jednostek.</w:t>
      </w:r>
    </w:p>
  </w:footnote>
  <w:footnote w:id="19">
    <w:p w14:paraId="14A14733" w14:textId="77777777" w:rsidR="00AD7320" w:rsidRDefault="00AD7320" w:rsidP="00283D0B">
      <w:pPr>
        <w:pStyle w:val="Tekstprzypisudolnego"/>
      </w:pPr>
      <w:r>
        <w:rPr>
          <w:rStyle w:val="Odwoanieprzypisudolnego"/>
        </w:rPr>
        <w:footnoteRef/>
      </w:r>
      <w:r>
        <w:t xml:space="preserve"> 8 grudnia 2022 r. Rada Ministrów przyjęła nowe „</w:t>
      </w:r>
      <w:r w:rsidRPr="00B22CB6">
        <w:t>Zalecenia w sprawie uwzględniania przez administrację rządową aspektów społecznych w zamówieniach publicznych</w:t>
      </w:r>
      <w:r>
        <w:t>”</w:t>
      </w:r>
      <w:r w:rsidRPr="00B22CB6">
        <w:t>.</w:t>
      </w:r>
    </w:p>
  </w:footnote>
  <w:footnote w:id="20">
    <w:p w14:paraId="57022332" w14:textId="3959D1C8" w:rsidR="00AD7320" w:rsidRDefault="00AD7320">
      <w:pPr>
        <w:pStyle w:val="Tekstprzypisudolnego"/>
      </w:pPr>
      <w:r>
        <w:rPr>
          <w:rStyle w:val="Odwoanieprzypisudolnego"/>
        </w:rPr>
        <w:footnoteRef/>
      </w:r>
      <w:r>
        <w:t xml:space="preserve"> </w:t>
      </w:r>
      <w:r w:rsidRPr="007C0B8D">
        <w:t>Łączna liczba zamawiających, którzy udzielili społecznych zamówień publicznych jest mniejsza niż suma liczby zamawiających, którzy w udzielonych zamówieniach uwzględnili aspekty społeczne (na podst. art. 94 ust. 1, art. 100 ust. 1, art. 242 ust. 2, art. 95 ust. 1, art. 96 ust. 1, art. 104 ustawy Pzp) oraz liczby zamawiających, którzy udzielili zamówień zastrzeżonych na usługi zdrowotne, społeczne lub kulturalne, o których mowa w art. 361 ust. 1 lub art. 392 ust. 3 ustawy Pzp ze względu na przypadki występowania w obu zestawieniach tych samych jednostek.</w:t>
      </w:r>
    </w:p>
  </w:footnote>
  <w:footnote w:id="21">
    <w:p w14:paraId="18960CFE" w14:textId="77777777" w:rsidR="00AD7320" w:rsidRDefault="00AD7320" w:rsidP="006920F8">
      <w:pPr>
        <w:pStyle w:val="Tekstprzypisudolnego"/>
      </w:pPr>
      <w:r>
        <w:rPr>
          <w:rStyle w:val="Odwoanieprzypisudolnego"/>
        </w:rPr>
        <w:footnoteRef/>
      </w:r>
      <w:r>
        <w:t xml:space="preserve"> </w:t>
      </w:r>
      <w:r w:rsidRPr="00654B7C">
        <w:rPr>
          <w:szCs w:val="18"/>
        </w:rPr>
        <w:t>Z uwagi na brak części informacji w upublicznianej przez Komisję Europejską w bazie danych dotyczącej ogłoszeń publikowanych w TED, nie jest możliwe uwzględnienie danych z ogłoszeń publikowanych w Dz. Urz. UE.</w:t>
      </w:r>
    </w:p>
  </w:footnote>
  <w:footnote w:id="22">
    <w:p w14:paraId="399A38C4" w14:textId="77777777" w:rsidR="00AD7320" w:rsidRPr="00654B7C" w:rsidRDefault="00AD7320" w:rsidP="007B6296">
      <w:pPr>
        <w:pStyle w:val="Tekstprzypisudolnego"/>
        <w:rPr>
          <w:szCs w:val="18"/>
        </w:rPr>
      </w:pPr>
      <w:r w:rsidRPr="00654B7C">
        <w:rPr>
          <w:rStyle w:val="Odwoanieprzypisudolnego"/>
          <w:szCs w:val="18"/>
        </w:rPr>
        <w:footnoteRef/>
      </w:r>
      <w:r w:rsidRPr="00654B7C">
        <w:rPr>
          <w:szCs w:val="18"/>
        </w:rPr>
        <w:t xml:space="preserve"> Z uwagi na brak części informacji w upublicznianej przez Komisję Europejską w bazie danych dotyczącej ogłoszeń publikowanych w TED, nie jest możliwe uwzględnienie danych z ogłoszeń publikowanych w Dz. Urz. UE.</w:t>
      </w:r>
    </w:p>
  </w:footnote>
  <w:footnote w:id="23">
    <w:p w14:paraId="4A315C47" w14:textId="77777777" w:rsidR="00AD7320" w:rsidRDefault="00AD7320" w:rsidP="00A019F0">
      <w:pPr>
        <w:pStyle w:val="Tekstprzypisudolnego"/>
      </w:pPr>
      <w:r>
        <w:rPr>
          <w:rStyle w:val="Odwoanieprzypisudolnego"/>
        </w:rPr>
        <w:footnoteRef/>
      </w:r>
      <w:r>
        <w:t xml:space="preserve"> </w:t>
      </w:r>
      <w:r w:rsidRPr="00654B7C">
        <w:rPr>
          <w:szCs w:val="18"/>
        </w:rPr>
        <w:t>Z uwagi na brak części informacji w upublicznianej przez Komisję Europejską w bazie danych dotyczącej ogłoszeń publikowanych w TED, nie jest możliwe uwzględnienie danych z ogłoszeń publikowanych w Dz. Urz. UE.</w:t>
      </w:r>
    </w:p>
  </w:footnote>
  <w:footnote w:id="24">
    <w:p w14:paraId="46FDB8FA" w14:textId="77777777" w:rsidR="00AD7320" w:rsidRPr="003655A5" w:rsidRDefault="00AD7320" w:rsidP="002F7601">
      <w:pPr>
        <w:pStyle w:val="Tekstprzypisudolnego"/>
        <w:rPr>
          <w:szCs w:val="18"/>
        </w:rPr>
      </w:pPr>
      <w:r>
        <w:rPr>
          <w:rStyle w:val="Odwoanieprzypisudolnego"/>
        </w:rPr>
        <w:footnoteRef/>
      </w:r>
      <w:r>
        <w:t xml:space="preserve"> </w:t>
      </w:r>
      <w:r w:rsidRPr="00654B7C">
        <w:rPr>
          <w:szCs w:val="18"/>
        </w:rPr>
        <w:t>Z uwagi na brak części informacji w upublicznianej przez Komisję Europejską w bazie danych dotyczącej ogłoszeń publikowanych w TED, nie jest możliwe uwzględnienie danych z ogłoszeń publikowanych w Dz. Urz. UE.</w:t>
      </w:r>
    </w:p>
  </w:footnote>
  <w:footnote w:id="25">
    <w:p w14:paraId="5B2ACA3F" w14:textId="15F94A9A" w:rsidR="00AD7320" w:rsidRPr="00AA64E8" w:rsidRDefault="00AD7320" w:rsidP="009C6860">
      <w:pPr>
        <w:pStyle w:val="Tekstprzypisudolnego"/>
        <w:rPr>
          <w:rFonts w:cs="Arial"/>
        </w:rPr>
      </w:pPr>
      <w:r w:rsidRPr="00AA64E8">
        <w:rPr>
          <w:rStyle w:val="Odwoanieprzypisudolnego"/>
          <w:rFonts w:cs="Arial"/>
        </w:rPr>
        <w:footnoteRef/>
      </w:r>
      <w:r w:rsidRPr="00AA64E8">
        <w:rPr>
          <w:rFonts w:cs="Arial"/>
        </w:rPr>
        <w:t xml:space="preserve"> dyrektywa Parlamentu Europejskiego i Rady 2014/24/UE z dnia 26 lutego 2014 r. w sprawie zamówień publicznych, uchylająca dyrektywę 2004/18/WE (Dz. Urz. UE L 94 z 28.</w:t>
      </w:r>
      <w:r>
        <w:rPr>
          <w:rFonts w:cs="Arial"/>
        </w:rPr>
        <w:t>0</w:t>
      </w:r>
      <w:r w:rsidRPr="00AA64E8">
        <w:rPr>
          <w:rFonts w:cs="Arial"/>
        </w:rPr>
        <w:t>3.2014, str. 65, z</w:t>
      </w:r>
      <w:r>
        <w:rPr>
          <w:rFonts w:cs="Arial"/>
        </w:rPr>
        <w:t xml:space="preserve"> późn.</w:t>
      </w:r>
      <w:r w:rsidRPr="00AA64E8">
        <w:rPr>
          <w:rFonts w:cs="Arial"/>
        </w:rPr>
        <w:t xml:space="preserve"> zm.), dalej jako „dyrektywa 2014/24/UE”</w:t>
      </w:r>
    </w:p>
  </w:footnote>
  <w:footnote w:id="26">
    <w:p w14:paraId="139DA8E8" w14:textId="4611BA42" w:rsidR="00AD7320" w:rsidRDefault="00AD7320" w:rsidP="009C6860">
      <w:pPr>
        <w:pStyle w:val="Tekstprzypisudolnego"/>
      </w:pPr>
      <w:r w:rsidRPr="00F26ED3">
        <w:rPr>
          <w:rStyle w:val="Odwoanieprzypisudolnego"/>
        </w:rPr>
        <w:footnoteRef/>
      </w:r>
      <w:r w:rsidRPr="00F26ED3">
        <w:t xml:space="preserve"> </w:t>
      </w:r>
      <w:r w:rsidRPr="00693515">
        <w:rPr>
          <w:rFonts w:cs="Arial"/>
        </w:rPr>
        <w:t>dyrektywa Rady 92/13/EWG z dnia 25 lutego 1992 r. koordynująca przepisy ustawowe, wykonawcze i administracyjne odnoszące się do stosowania przepisów wspólnotowych w procedurach zamówień publicznych podmiotów działających w sektorach gospodarki wodnej, energetyki, transportu i telekomunikacji (Dz. Urz. WE L 76 z 23.</w:t>
      </w:r>
      <w:r>
        <w:rPr>
          <w:rFonts w:cs="Arial"/>
        </w:rPr>
        <w:t>0</w:t>
      </w:r>
      <w:r w:rsidRPr="00693515">
        <w:rPr>
          <w:rFonts w:cs="Arial"/>
        </w:rPr>
        <w:t>3.1992, str. 14, z późn. zm.; Dz. Urz. UE Polskie wydanie specjalne, rozdz. 6, t. 1, str. 315) zmieniona dyrektywą</w:t>
      </w:r>
      <w:r w:rsidRPr="00693515">
        <w:rPr>
          <w:rFonts w:cs="Arial"/>
          <w:b/>
          <w:bCs/>
        </w:rPr>
        <w:t xml:space="preserve"> </w:t>
      </w:r>
      <w:r w:rsidRPr="00693515">
        <w:rPr>
          <w:rFonts w:cs="Arial"/>
        </w:rPr>
        <w:t>Parlamentu Europejskiego i Rady 2014/23/UE z dnia 26 lutego 2014 r.</w:t>
      </w:r>
    </w:p>
  </w:footnote>
  <w:footnote w:id="27">
    <w:p w14:paraId="226593D7" w14:textId="77777777" w:rsidR="00AD7320" w:rsidRPr="00693515" w:rsidRDefault="00AD7320" w:rsidP="009C6860">
      <w:pPr>
        <w:pStyle w:val="Tekstprzypisudolnego"/>
        <w:rPr>
          <w:rFonts w:cs="Arial"/>
        </w:rPr>
      </w:pPr>
      <w:r w:rsidRPr="00693515">
        <w:rPr>
          <w:rStyle w:val="Odwoanieprzypisudolnego"/>
          <w:rFonts w:cs="Arial"/>
        </w:rPr>
        <w:footnoteRef/>
      </w:r>
      <w:r w:rsidRPr="00693515">
        <w:rPr>
          <w:rFonts w:cs="Arial"/>
        </w:rPr>
        <w:t xml:space="preserve"> dyrektywa Rady 89/665/EWG z dnia 21 grudnia 1989 r. w sprawie koordynacji przepisów ustawowych, wykonawczych i administracyjnych odnoszących się do stosowania procedur odwoławczych w zakresie udzielania zamówień publicznych na dostawy i roboty budowlane (Dz. Urz. WE L 395 z 30.12.1989, str. 33, z późn. zm.; Dz. Urz. UE Polskie wydanie specjalne, rozdz. 6, t. 1, str. 246) zmieniona dyrektywą 2007/66/WE Parlamentu Europejskiego i Rady z dnia 11 grudnia 2007 r. zmieniającą dyrektywy Rady 89/665/EWG i 92/13/EWG w zakresie poprawy skuteczności procedur odwoławczych w dziedzinie udzielania zamówień publicznych (Dz. Urz. WE L 335 z 20.12.2007, str. 31), dalej jako „dyrektywa 89/665/EWG”</w:t>
      </w:r>
    </w:p>
  </w:footnote>
  <w:footnote w:id="28">
    <w:p w14:paraId="2DE5647E" w14:textId="574CC154" w:rsidR="00AD7320" w:rsidRPr="00856CEF" w:rsidRDefault="00AD7320" w:rsidP="009C6860">
      <w:pPr>
        <w:pStyle w:val="Tekstprzypisudolnego"/>
        <w:rPr>
          <w:rFonts w:cs="Arial"/>
        </w:rPr>
      </w:pPr>
      <w:r w:rsidRPr="00856CEF">
        <w:rPr>
          <w:rStyle w:val="Odwoanieprzypisudolnego"/>
          <w:rFonts w:cs="Arial"/>
        </w:rPr>
        <w:footnoteRef/>
      </w:r>
      <w:r w:rsidRPr="00856CEF">
        <w:rPr>
          <w:rFonts w:cs="Arial"/>
        </w:rPr>
        <w:t xml:space="preserve"> dyrektywa Parlamentu Europejskiego i Rady 2014/23/UE z dnia 26 lutego 2014 r. w sprawie udzielania koncesji (Dz. Urz. UE L 94 z 28.</w:t>
      </w:r>
      <w:r>
        <w:rPr>
          <w:rFonts w:cs="Arial"/>
        </w:rPr>
        <w:t>0</w:t>
      </w:r>
      <w:r w:rsidRPr="00856CEF">
        <w:rPr>
          <w:rFonts w:cs="Arial"/>
        </w:rPr>
        <w:t>3.2014, str. 1, z</w:t>
      </w:r>
      <w:r>
        <w:rPr>
          <w:rFonts w:cs="Arial"/>
        </w:rPr>
        <w:t xml:space="preserve"> późn.</w:t>
      </w:r>
      <w:r w:rsidRPr="00856CEF">
        <w:rPr>
          <w:rFonts w:cs="Arial"/>
        </w:rPr>
        <w:t xml:space="preserve"> zm.) dalej jako „dyrektywa 2014/23/UE”</w:t>
      </w:r>
    </w:p>
  </w:footnote>
  <w:footnote w:id="29">
    <w:p w14:paraId="544CF0E4" w14:textId="418EA2C1" w:rsidR="00AD7320" w:rsidRDefault="00AD7320" w:rsidP="009C6860">
      <w:pPr>
        <w:pStyle w:val="Tekstprzypisudolnego"/>
      </w:pPr>
      <w:r w:rsidRPr="00856CEF">
        <w:rPr>
          <w:rStyle w:val="Odwoanieprzypisudolnego"/>
          <w:rFonts w:cs="Arial"/>
        </w:rPr>
        <w:footnoteRef/>
      </w:r>
      <w:r w:rsidRPr="00856CEF">
        <w:rPr>
          <w:rFonts w:cs="Arial"/>
        </w:rPr>
        <w:t xml:space="preserve"> dyrektywa Parlamentu Europejskiego i Rady 2009/81/WE z dnia 13 lipca 2009 r. w sprawie koordynacji procedur udzielania niektórych zamówień na roboty budowlane, dostawy i usługi przez instytucje lub podmioty zamawiające w dziedzinach obronności i bezpieczeństwa i zmieniająca dyrektywy 2004/17/WE i 2004/18/WE (Dz. Urz. UE L 216 z 20.</w:t>
      </w:r>
      <w:r>
        <w:rPr>
          <w:rFonts w:cs="Arial"/>
        </w:rPr>
        <w:t>0</w:t>
      </w:r>
      <w:r w:rsidRPr="00856CEF">
        <w:rPr>
          <w:rFonts w:cs="Arial"/>
        </w:rPr>
        <w:t>8.2009, str. 76, z</w:t>
      </w:r>
      <w:r>
        <w:rPr>
          <w:rFonts w:cs="Arial"/>
        </w:rPr>
        <w:t xml:space="preserve"> późn.</w:t>
      </w:r>
      <w:r w:rsidRPr="00856CEF">
        <w:rPr>
          <w:rFonts w:cs="Arial"/>
        </w:rPr>
        <w:t xml:space="preserve"> zm.), dalej jako „dyrektywa 2009/18/WE”</w:t>
      </w:r>
      <w:r>
        <w:t xml:space="preserve"> </w:t>
      </w:r>
    </w:p>
  </w:footnote>
  <w:footnote w:id="30">
    <w:p w14:paraId="26C240BC" w14:textId="4553E24C" w:rsidR="00AD7320" w:rsidRDefault="00AD7320" w:rsidP="009C6860">
      <w:pPr>
        <w:pStyle w:val="Tekstprzypisudolnego"/>
      </w:pPr>
      <w:r>
        <w:rPr>
          <w:rStyle w:val="Odwoanieprzypisudolnego"/>
        </w:rPr>
        <w:footnoteRef/>
      </w:r>
      <w:r>
        <w:t xml:space="preserve"> dyrektywa Parlamentu Europejskiego i Rady 2014/25/UE z dnia 26 lutego 2014 r. w sprawie udzielania zamówień przez podmioty działające w sektorach gospodarki wodnej, energetyki, transportu i usług pocztowych, uchylająca dyrektywę 2004/17/WE (Dz. Urz. UE L 94 z 28.03.2014, str. 243,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DFFC" w14:textId="77777777" w:rsidR="00AD7320" w:rsidRPr="0045523F" w:rsidRDefault="00AD7320" w:rsidP="0045523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3795" w14:textId="77777777" w:rsidR="00AD7320" w:rsidRPr="0045523F" w:rsidRDefault="00AD7320" w:rsidP="0045523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008FD" w14:textId="77777777" w:rsidR="00AD7320" w:rsidRPr="00F51D34" w:rsidRDefault="00AD7320" w:rsidP="00AE658B">
    <w:pPr>
      <w:pStyle w:val="Nagwek"/>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F4B2D" w14:textId="0D66FF6A" w:rsidR="00AD7320" w:rsidRPr="0045523F" w:rsidRDefault="00AD7320" w:rsidP="0045523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5"/>
    <w:lvl w:ilvl="0">
      <w:start w:val="1"/>
      <w:numFmt w:val="bullet"/>
      <w:lvlText w:val=""/>
      <w:lvlJc w:val="left"/>
      <w:pPr>
        <w:tabs>
          <w:tab w:val="num" w:pos="1069"/>
        </w:tabs>
        <w:ind w:left="1069" w:hanging="360"/>
      </w:pPr>
      <w:rPr>
        <w:rFonts w:ascii="Symbol" w:hAnsi="Symbol"/>
      </w:rPr>
    </w:lvl>
  </w:abstractNum>
  <w:abstractNum w:abstractNumId="1" w15:restartNumberingAfterBreak="0">
    <w:nsid w:val="00000002"/>
    <w:multiLevelType w:val="singleLevel"/>
    <w:tmpl w:val="00000002"/>
    <w:name w:val="WW8Num10"/>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singleLevel"/>
    <w:tmpl w:val="00000005"/>
    <w:name w:val="WW8Num1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singleLevel"/>
    <w:tmpl w:val="00000007"/>
    <w:name w:val="WW8Num19"/>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singleLevel"/>
    <w:tmpl w:val="00000008"/>
    <w:name w:val="WW8Num24"/>
    <w:lvl w:ilvl="0">
      <w:start w:val="1"/>
      <w:numFmt w:val="bullet"/>
      <w:lvlText w:val=""/>
      <w:lvlJc w:val="left"/>
      <w:pPr>
        <w:tabs>
          <w:tab w:val="num" w:pos="720"/>
        </w:tabs>
        <w:ind w:left="720" w:hanging="360"/>
      </w:pPr>
      <w:rPr>
        <w:rFonts w:ascii="Symbol" w:hAnsi="Symbol"/>
      </w:rPr>
    </w:lvl>
  </w:abstractNum>
  <w:abstractNum w:abstractNumId="8" w15:restartNumberingAfterBreak="0">
    <w:nsid w:val="0219302E"/>
    <w:multiLevelType w:val="hybridMultilevel"/>
    <w:tmpl w:val="349008D2"/>
    <w:lvl w:ilvl="0" w:tplc="622A4002">
      <w:start w:val="1"/>
      <w:numFmt w:val="bullet"/>
      <w:lvlText w:val=""/>
      <w:lvlJc w:val="left"/>
      <w:pPr>
        <w:ind w:left="360" w:hanging="360"/>
      </w:pPr>
      <w:rPr>
        <w:rFonts w:ascii="Wingdings" w:hAnsi="Wingdings" w:hint="default"/>
        <w:b/>
        <w:color w:val="2E74B5" w:themeColor="accent1" w:themeShade="BF"/>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6661A53"/>
    <w:multiLevelType w:val="hybridMultilevel"/>
    <w:tmpl w:val="8F64846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9B0E46"/>
    <w:multiLevelType w:val="hybridMultilevel"/>
    <w:tmpl w:val="38C093EA"/>
    <w:lvl w:ilvl="0" w:tplc="B14C2EC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81A74A1"/>
    <w:multiLevelType w:val="hybridMultilevel"/>
    <w:tmpl w:val="0BAC3AC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8972EB2"/>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9C749AC"/>
    <w:multiLevelType w:val="hybridMultilevel"/>
    <w:tmpl w:val="E422A50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BE15767"/>
    <w:multiLevelType w:val="hybridMultilevel"/>
    <w:tmpl w:val="863C4D3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CCB00E2"/>
    <w:multiLevelType w:val="hybridMultilevel"/>
    <w:tmpl w:val="F4C264C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0CE613E8"/>
    <w:multiLevelType w:val="hybridMultilevel"/>
    <w:tmpl w:val="BBA2CDE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E812725"/>
    <w:multiLevelType w:val="hybridMultilevel"/>
    <w:tmpl w:val="05C23DEC"/>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0BC302F"/>
    <w:multiLevelType w:val="hybridMultilevel"/>
    <w:tmpl w:val="0ED4514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1A51985"/>
    <w:multiLevelType w:val="hybridMultilevel"/>
    <w:tmpl w:val="38C093EA"/>
    <w:lvl w:ilvl="0" w:tplc="B14C2EC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2447B35"/>
    <w:multiLevelType w:val="hybridMultilevel"/>
    <w:tmpl w:val="0C22EFF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3E32845"/>
    <w:multiLevelType w:val="hybridMultilevel"/>
    <w:tmpl w:val="4C26C20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41E0958"/>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68407B1"/>
    <w:multiLevelType w:val="hybridMultilevel"/>
    <w:tmpl w:val="6270E65C"/>
    <w:lvl w:ilvl="0" w:tplc="622A4002">
      <w:start w:val="1"/>
      <w:numFmt w:val="bullet"/>
      <w:lvlText w:val=""/>
      <w:lvlJc w:val="left"/>
      <w:pPr>
        <w:tabs>
          <w:tab w:val="num" w:pos="720"/>
        </w:tabs>
        <w:ind w:left="720" w:hanging="360"/>
      </w:pPr>
      <w:rPr>
        <w:rFonts w:ascii="Wingdings" w:hAnsi="Wingdings" w:hint="default"/>
        <w:b/>
        <w:color w:val="2E74B5" w:themeColor="accent1" w:themeShade="BF"/>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2508E7"/>
    <w:multiLevelType w:val="hybridMultilevel"/>
    <w:tmpl w:val="4FA600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7862F8B"/>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8023143"/>
    <w:multiLevelType w:val="hybridMultilevel"/>
    <w:tmpl w:val="14A07C66"/>
    <w:lvl w:ilvl="0" w:tplc="C68220CA">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A317E4B"/>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A99087C"/>
    <w:multiLevelType w:val="hybridMultilevel"/>
    <w:tmpl w:val="745C5DDC"/>
    <w:lvl w:ilvl="0" w:tplc="0415000F">
      <w:start w:val="1"/>
      <w:numFmt w:val="decimal"/>
      <w:lvlText w:val="%1."/>
      <w:lvlJc w:val="left"/>
      <w:pPr>
        <w:ind w:left="360" w:hanging="360"/>
      </w:pPr>
    </w:lvl>
    <w:lvl w:ilvl="1" w:tplc="350C6D7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1AAC7728"/>
    <w:multiLevelType w:val="hybridMultilevel"/>
    <w:tmpl w:val="30E4074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1BF0097E"/>
    <w:multiLevelType w:val="hybridMultilevel"/>
    <w:tmpl w:val="AE884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C727778"/>
    <w:multiLevelType w:val="multilevel"/>
    <w:tmpl w:val="305A6106"/>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b/>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E0F4BB1"/>
    <w:multiLevelType w:val="hybridMultilevel"/>
    <w:tmpl w:val="0ED4514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1061C64"/>
    <w:multiLevelType w:val="hybridMultilevel"/>
    <w:tmpl w:val="34C61976"/>
    <w:lvl w:ilvl="0" w:tplc="23640834">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1D21C98"/>
    <w:multiLevelType w:val="hybridMultilevel"/>
    <w:tmpl w:val="041AB500"/>
    <w:lvl w:ilvl="0" w:tplc="04150011">
      <w:start w:val="1"/>
      <w:numFmt w:val="decimal"/>
      <w:lvlText w:val="%1)"/>
      <w:lvlJc w:val="left"/>
      <w:pPr>
        <w:ind w:left="360" w:hanging="360"/>
      </w:pPr>
    </w:lvl>
    <w:lvl w:ilvl="1" w:tplc="350C6D7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2F53FD3"/>
    <w:multiLevelType w:val="hybridMultilevel"/>
    <w:tmpl w:val="67A6A2CC"/>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3FC2679"/>
    <w:multiLevelType w:val="hybridMultilevel"/>
    <w:tmpl w:val="733C2198"/>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49A5A09"/>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5D649C0"/>
    <w:multiLevelType w:val="hybridMultilevel"/>
    <w:tmpl w:val="16C8604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6931E32"/>
    <w:multiLevelType w:val="hybridMultilevel"/>
    <w:tmpl w:val="2DAA43F0"/>
    <w:lvl w:ilvl="0" w:tplc="D4E4D3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6A8478C"/>
    <w:multiLevelType w:val="hybridMultilevel"/>
    <w:tmpl w:val="365AA43C"/>
    <w:lvl w:ilvl="0" w:tplc="2AD6CD84">
      <w:start w:val="1"/>
      <w:numFmt w:val="decimal"/>
      <w:lvlText w:val="%1."/>
      <w:lvlJc w:val="left"/>
      <w:pPr>
        <w:ind w:left="360" w:hanging="360"/>
      </w:pPr>
      <w:rPr>
        <w:i w:val="0"/>
      </w:rPr>
    </w:lvl>
    <w:lvl w:ilvl="1" w:tplc="350C6D7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8382D79"/>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94B4EE3"/>
    <w:multiLevelType w:val="hybridMultilevel"/>
    <w:tmpl w:val="4FE8FED2"/>
    <w:lvl w:ilvl="0" w:tplc="436CE3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A43151C"/>
    <w:multiLevelType w:val="hybridMultilevel"/>
    <w:tmpl w:val="F0A6C1D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B267D8E"/>
    <w:multiLevelType w:val="hybridMultilevel"/>
    <w:tmpl w:val="17AA4D34"/>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EBB024E"/>
    <w:multiLevelType w:val="hybridMultilevel"/>
    <w:tmpl w:val="303AA712"/>
    <w:lvl w:ilvl="0" w:tplc="D3D63502">
      <w:start w:val="1"/>
      <w:numFmt w:val="decimal"/>
      <w:lvlText w:val="%1."/>
      <w:lvlJc w:val="left"/>
      <w:pPr>
        <w:ind w:left="360" w:hanging="360"/>
      </w:pPr>
      <w:rPr>
        <w:b w:val="0"/>
        <w:bCs w:val="0"/>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2FD06FDC"/>
    <w:multiLevelType w:val="hybridMultilevel"/>
    <w:tmpl w:val="55E248F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2FE76ED5"/>
    <w:multiLevelType w:val="hybridMultilevel"/>
    <w:tmpl w:val="836C5B4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0CB0BC8"/>
    <w:multiLevelType w:val="hybridMultilevel"/>
    <w:tmpl w:val="4A24A2C0"/>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0F60AFD"/>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3B02245"/>
    <w:multiLevelType w:val="hybridMultilevel"/>
    <w:tmpl w:val="C0AE5BFC"/>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7237F1B"/>
    <w:multiLevelType w:val="hybridMultilevel"/>
    <w:tmpl w:val="11F667A2"/>
    <w:lvl w:ilvl="0" w:tplc="29EEF2C0">
      <w:start w:val="1"/>
      <w:numFmt w:val="decimal"/>
      <w:lvlText w:val="%1."/>
      <w:lvlJc w:val="left"/>
      <w:pPr>
        <w:ind w:left="708" w:hanging="708"/>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72A1641"/>
    <w:multiLevelType w:val="hybridMultilevel"/>
    <w:tmpl w:val="4FA600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37E634BF"/>
    <w:multiLevelType w:val="hybridMultilevel"/>
    <w:tmpl w:val="6DFCE2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3A8B38F0"/>
    <w:multiLevelType w:val="hybridMultilevel"/>
    <w:tmpl w:val="38C093EA"/>
    <w:lvl w:ilvl="0" w:tplc="B14C2EC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3BF4489B"/>
    <w:multiLevelType w:val="hybridMultilevel"/>
    <w:tmpl w:val="9A6A6B2E"/>
    <w:lvl w:ilvl="0" w:tplc="622A4002">
      <w:start w:val="1"/>
      <w:numFmt w:val="bullet"/>
      <w:lvlText w:val=""/>
      <w:lvlJc w:val="left"/>
      <w:pPr>
        <w:ind w:left="720" w:hanging="360"/>
      </w:pPr>
      <w:rPr>
        <w:rFonts w:ascii="Wingdings" w:hAnsi="Wingdings" w:hint="default"/>
        <w:b/>
        <w:color w:val="2E74B5" w:themeColor="accent1"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C375225"/>
    <w:multiLevelType w:val="hybridMultilevel"/>
    <w:tmpl w:val="44FCEE58"/>
    <w:lvl w:ilvl="0" w:tplc="B6684BE4">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3C5C563E"/>
    <w:multiLevelType w:val="hybridMultilevel"/>
    <w:tmpl w:val="8656F0F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3D617874"/>
    <w:multiLevelType w:val="multilevel"/>
    <w:tmpl w:val="305A6106"/>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b/>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EE062BD"/>
    <w:multiLevelType w:val="hybridMultilevel"/>
    <w:tmpl w:val="78D276DA"/>
    <w:lvl w:ilvl="0" w:tplc="D4E4D3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56C0CB6"/>
    <w:multiLevelType w:val="hybridMultilevel"/>
    <w:tmpl w:val="E6E210BC"/>
    <w:lvl w:ilvl="0" w:tplc="6902D804">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47223627"/>
    <w:multiLevelType w:val="hybridMultilevel"/>
    <w:tmpl w:val="87B8419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48CF6AAC"/>
    <w:multiLevelType w:val="hybridMultilevel"/>
    <w:tmpl w:val="F694552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B1E0BAE"/>
    <w:multiLevelType w:val="hybridMultilevel"/>
    <w:tmpl w:val="9CA6223C"/>
    <w:lvl w:ilvl="0" w:tplc="8384CA7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4C063620"/>
    <w:multiLevelType w:val="hybridMultilevel"/>
    <w:tmpl w:val="58AE6C48"/>
    <w:lvl w:ilvl="0" w:tplc="622A4002">
      <w:start w:val="1"/>
      <w:numFmt w:val="bullet"/>
      <w:lvlText w:val=""/>
      <w:lvlJc w:val="left"/>
      <w:pPr>
        <w:ind w:left="360" w:hanging="360"/>
      </w:pPr>
      <w:rPr>
        <w:rFonts w:ascii="Wingdings" w:hAnsi="Wingdings" w:hint="default"/>
        <w:b/>
        <w:color w:val="2E74B5" w:themeColor="accent1" w:themeShade="BF"/>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4D3C4C51"/>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E485B7F"/>
    <w:multiLevelType w:val="hybridMultilevel"/>
    <w:tmpl w:val="733C2198"/>
    <w:lvl w:ilvl="0" w:tplc="0415000F">
      <w:start w:val="1"/>
      <w:numFmt w:val="decimal"/>
      <w:lvlText w:val="%1."/>
      <w:lvlJc w:val="left"/>
      <w:pPr>
        <w:ind w:left="360" w:hanging="360"/>
      </w:pPr>
      <w:rPr>
        <w:rFonts w:hint="default"/>
      </w:rPr>
    </w:lvl>
    <w:lvl w:ilvl="1" w:tplc="1FF45940">
      <w:start w:val="6"/>
      <w:numFmt w:val="bullet"/>
      <w:lvlText w:val=""/>
      <w:lvlJc w:val="left"/>
      <w:pPr>
        <w:ind w:left="1428" w:hanging="708"/>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54DE1FED"/>
    <w:multiLevelType w:val="hybridMultilevel"/>
    <w:tmpl w:val="EA6E1C5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60015AA8"/>
    <w:multiLevelType w:val="hybridMultilevel"/>
    <w:tmpl w:val="6284D320"/>
    <w:lvl w:ilvl="0" w:tplc="622A4002">
      <w:start w:val="1"/>
      <w:numFmt w:val="bullet"/>
      <w:lvlText w:val=""/>
      <w:lvlJc w:val="left"/>
      <w:pPr>
        <w:ind w:left="720" w:hanging="360"/>
      </w:pPr>
      <w:rPr>
        <w:rFonts w:ascii="Wingdings" w:hAnsi="Wingdings" w:hint="default"/>
        <w:b/>
        <w:color w:val="2E74B5" w:themeColor="accent1" w:themeShade="BF"/>
      </w:rPr>
    </w:lvl>
    <w:lvl w:ilvl="1" w:tplc="04150003">
      <w:start w:val="1"/>
      <w:numFmt w:val="decimal"/>
      <w:lvlText w:val="%2."/>
      <w:lvlJc w:val="left"/>
      <w:pPr>
        <w:tabs>
          <w:tab w:val="num" w:pos="1800"/>
        </w:tabs>
        <w:ind w:left="1800" w:hanging="360"/>
      </w:pPr>
      <w:rPr>
        <w:rFonts w:cs="Times New Roman"/>
      </w:rPr>
    </w:lvl>
    <w:lvl w:ilvl="2" w:tplc="04150005">
      <w:start w:val="1"/>
      <w:numFmt w:val="decimal"/>
      <w:lvlText w:val="%3."/>
      <w:lvlJc w:val="left"/>
      <w:pPr>
        <w:tabs>
          <w:tab w:val="num" w:pos="2520"/>
        </w:tabs>
        <w:ind w:left="2520" w:hanging="360"/>
      </w:pPr>
      <w:rPr>
        <w:rFonts w:cs="Times New Roman"/>
      </w:rPr>
    </w:lvl>
    <w:lvl w:ilvl="3" w:tplc="04150001">
      <w:start w:val="1"/>
      <w:numFmt w:val="decimal"/>
      <w:lvlText w:val="%4."/>
      <w:lvlJc w:val="left"/>
      <w:pPr>
        <w:tabs>
          <w:tab w:val="num" w:pos="3240"/>
        </w:tabs>
        <w:ind w:left="3240" w:hanging="360"/>
      </w:pPr>
      <w:rPr>
        <w:rFonts w:cs="Times New Roman"/>
      </w:rPr>
    </w:lvl>
    <w:lvl w:ilvl="4" w:tplc="04150003">
      <w:start w:val="1"/>
      <w:numFmt w:val="decimal"/>
      <w:lvlText w:val="%5."/>
      <w:lvlJc w:val="left"/>
      <w:pPr>
        <w:tabs>
          <w:tab w:val="num" w:pos="3960"/>
        </w:tabs>
        <w:ind w:left="3960" w:hanging="360"/>
      </w:pPr>
      <w:rPr>
        <w:rFonts w:cs="Times New Roman"/>
      </w:rPr>
    </w:lvl>
    <w:lvl w:ilvl="5" w:tplc="04150005">
      <w:start w:val="1"/>
      <w:numFmt w:val="decimal"/>
      <w:lvlText w:val="%6."/>
      <w:lvlJc w:val="left"/>
      <w:pPr>
        <w:tabs>
          <w:tab w:val="num" w:pos="4680"/>
        </w:tabs>
        <w:ind w:left="4680" w:hanging="360"/>
      </w:pPr>
      <w:rPr>
        <w:rFonts w:cs="Times New Roman"/>
      </w:rPr>
    </w:lvl>
    <w:lvl w:ilvl="6" w:tplc="04150001">
      <w:start w:val="1"/>
      <w:numFmt w:val="decimal"/>
      <w:lvlText w:val="%7."/>
      <w:lvlJc w:val="left"/>
      <w:pPr>
        <w:tabs>
          <w:tab w:val="num" w:pos="5400"/>
        </w:tabs>
        <w:ind w:left="5400" w:hanging="360"/>
      </w:pPr>
      <w:rPr>
        <w:rFonts w:cs="Times New Roman"/>
      </w:rPr>
    </w:lvl>
    <w:lvl w:ilvl="7" w:tplc="04150003">
      <w:start w:val="1"/>
      <w:numFmt w:val="decimal"/>
      <w:lvlText w:val="%8."/>
      <w:lvlJc w:val="left"/>
      <w:pPr>
        <w:tabs>
          <w:tab w:val="num" w:pos="6120"/>
        </w:tabs>
        <w:ind w:left="6120" w:hanging="360"/>
      </w:pPr>
      <w:rPr>
        <w:rFonts w:cs="Times New Roman"/>
      </w:rPr>
    </w:lvl>
    <w:lvl w:ilvl="8" w:tplc="04150005">
      <w:start w:val="1"/>
      <w:numFmt w:val="decimal"/>
      <w:lvlText w:val="%9."/>
      <w:lvlJc w:val="left"/>
      <w:pPr>
        <w:tabs>
          <w:tab w:val="num" w:pos="6840"/>
        </w:tabs>
        <w:ind w:left="6840" w:hanging="360"/>
      </w:pPr>
      <w:rPr>
        <w:rFonts w:cs="Times New Roman"/>
      </w:rPr>
    </w:lvl>
  </w:abstractNum>
  <w:abstractNum w:abstractNumId="69" w15:restartNumberingAfterBreak="0">
    <w:nsid w:val="615A7B95"/>
    <w:multiLevelType w:val="hybridMultilevel"/>
    <w:tmpl w:val="8C588C56"/>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1BA6DBF"/>
    <w:multiLevelType w:val="hybridMultilevel"/>
    <w:tmpl w:val="218ECE1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626A394B"/>
    <w:multiLevelType w:val="hybridMultilevel"/>
    <w:tmpl w:val="38C093EA"/>
    <w:lvl w:ilvl="0" w:tplc="B14C2EC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63FA33AB"/>
    <w:multiLevelType w:val="hybridMultilevel"/>
    <w:tmpl w:val="B7B8BCF4"/>
    <w:lvl w:ilvl="0" w:tplc="622A4002">
      <w:start w:val="1"/>
      <w:numFmt w:val="bullet"/>
      <w:lvlText w:val=""/>
      <w:lvlJc w:val="left"/>
      <w:pPr>
        <w:ind w:left="360" w:hanging="360"/>
      </w:pPr>
      <w:rPr>
        <w:rFonts w:ascii="Wingdings" w:hAnsi="Wingdings" w:hint="default"/>
        <w:b/>
        <w:color w:val="2E74B5" w:themeColor="accent1" w:themeShade="BF"/>
      </w:rPr>
    </w:lvl>
    <w:lvl w:ilvl="1" w:tplc="0415000B">
      <w:start w:val="1"/>
      <w:numFmt w:val="bullet"/>
      <w:lvlText w:val=""/>
      <w:lvlJc w:val="left"/>
      <w:pPr>
        <w:ind w:left="360" w:hanging="360"/>
      </w:pPr>
      <w:rPr>
        <w:rFonts w:ascii="Wingdings" w:hAnsi="Wingding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64317CCF"/>
    <w:multiLevelType w:val="hybridMultilevel"/>
    <w:tmpl w:val="EA3CB55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65E54FA9"/>
    <w:multiLevelType w:val="hybridMultilevel"/>
    <w:tmpl w:val="3CFA9682"/>
    <w:lvl w:ilvl="0" w:tplc="73D414D4">
      <w:start w:val="1"/>
      <w:numFmt w:val="decimal"/>
      <w:lvlText w:val="%1."/>
      <w:lvlJc w:val="left"/>
      <w:pPr>
        <w:ind w:left="360" w:hanging="360"/>
      </w:pPr>
      <w:rPr>
        <w:rFonts w:hint="default"/>
        <w:b/>
        <w:bCs/>
        <w:i w:val="0"/>
        <w:iCs w:val="0"/>
      </w:rPr>
    </w:lvl>
    <w:lvl w:ilvl="1" w:tplc="A3DA705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68A71867"/>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D91128A"/>
    <w:multiLevelType w:val="hybridMultilevel"/>
    <w:tmpl w:val="C3BA355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6DCC74E7"/>
    <w:multiLevelType w:val="hybridMultilevel"/>
    <w:tmpl w:val="0B1CB612"/>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6E126B72"/>
    <w:multiLevelType w:val="hybridMultilevel"/>
    <w:tmpl w:val="F9DE6C18"/>
    <w:lvl w:ilvl="0" w:tplc="622A4002">
      <w:start w:val="1"/>
      <w:numFmt w:val="bullet"/>
      <w:lvlText w:val=""/>
      <w:lvlJc w:val="left"/>
      <w:pPr>
        <w:ind w:left="720" w:hanging="360"/>
      </w:pPr>
      <w:rPr>
        <w:rFonts w:ascii="Wingdings" w:hAnsi="Wingdings" w:hint="default"/>
        <w:b/>
        <w:color w:val="2E74B5"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0565A2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4C57B5A"/>
    <w:multiLevelType w:val="multilevel"/>
    <w:tmpl w:val="A6801F84"/>
    <w:lvl w:ilvl="0">
      <w:start w:val="1"/>
      <w:numFmt w:val="decimal"/>
      <w:lvlText w:val="%1."/>
      <w:lvlJc w:val="left"/>
      <w:pPr>
        <w:ind w:left="360" w:hanging="360"/>
      </w:pPr>
      <w:rPr>
        <w:rFonts w:hint="default"/>
        <w:color w:val="0070C0"/>
      </w:rPr>
    </w:lvl>
    <w:lvl w:ilvl="1">
      <w:start w:val="1"/>
      <w:numFmt w:val="decimal"/>
      <w:lvlText w:val="%1.%2."/>
      <w:lvlJc w:val="left"/>
      <w:pPr>
        <w:ind w:left="792" w:hanging="432"/>
      </w:pPr>
      <w:rPr>
        <w:rFonts w:hint="default"/>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515747E"/>
    <w:multiLevelType w:val="hybridMultilevel"/>
    <w:tmpl w:val="8612F5F2"/>
    <w:lvl w:ilvl="0" w:tplc="622A4002">
      <w:start w:val="1"/>
      <w:numFmt w:val="bullet"/>
      <w:lvlText w:val=""/>
      <w:lvlJc w:val="left"/>
      <w:pPr>
        <w:ind w:left="360" w:hanging="360"/>
      </w:pPr>
      <w:rPr>
        <w:rFonts w:ascii="Wingdings" w:hAnsi="Wingdings" w:hint="default"/>
        <w:b/>
        <w:color w:val="2E74B5" w:themeColor="accent1" w:themeShade="BF"/>
      </w:rPr>
    </w:lvl>
    <w:lvl w:ilvl="1" w:tplc="0586650E">
      <w:numFmt w:val="bullet"/>
      <w:lvlText w:val="•"/>
      <w:lvlJc w:val="left"/>
      <w:pPr>
        <w:ind w:left="1428" w:hanging="708"/>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77C80E19"/>
    <w:multiLevelType w:val="hybridMultilevel"/>
    <w:tmpl w:val="2632C28C"/>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78146BF4"/>
    <w:multiLevelType w:val="hybridMultilevel"/>
    <w:tmpl w:val="93640074"/>
    <w:lvl w:ilvl="0" w:tplc="622A4002">
      <w:start w:val="1"/>
      <w:numFmt w:val="bullet"/>
      <w:lvlText w:val=""/>
      <w:lvlJc w:val="left"/>
      <w:pPr>
        <w:ind w:left="1429" w:hanging="360"/>
      </w:pPr>
      <w:rPr>
        <w:rFonts w:ascii="Wingdings" w:hAnsi="Wingdings" w:hint="default"/>
        <w:b/>
        <w:color w:val="2E74B5" w:themeColor="accent1" w:themeShade="BF"/>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4" w15:restartNumberingAfterBreak="0">
    <w:nsid w:val="78831462"/>
    <w:multiLevelType w:val="hybridMultilevel"/>
    <w:tmpl w:val="67467754"/>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7A9B5F13"/>
    <w:multiLevelType w:val="hybridMultilevel"/>
    <w:tmpl w:val="5ACA8706"/>
    <w:lvl w:ilvl="0" w:tplc="622A4002">
      <w:start w:val="1"/>
      <w:numFmt w:val="bullet"/>
      <w:lvlText w:val=""/>
      <w:lvlJc w:val="left"/>
      <w:pPr>
        <w:ind w:left="360" w:hanging="360"/>
      </w:pPr>
      <w:rPr>
        <w:rFonts w:ascii="Wingdings" w:hAnsi="Wingdings" w:hint="default"/>
        <w:b/>
        <w:color w:val="2E74B5" w:themeColor="accent1" w:themeShade="BF"/>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6" w15:restartNumberingAfterBreak="0">
    <w:nsid w:val="7EED1361"/>
    <w:multiLevelType w:val="hybridMultilevel"/>
    <w:tmpl w:val="49FEE288"/>
    <w:lvl w:ilvl="0" w:tplc="622A4002">
      <w:start w:val="1"/>
      <w:numFmt w:val="bullet"/>
      <w:lvlText w:val=""/>
      <w:lvlJc w:val="left"/>
      <w:pPr>
        <w:ind w:left="360" w:hanging="360"/>
      </w:pPr>
      <w:rPr>
        <w:rFonts w:ascii="Wingdings" w:hAnsi="Wingdings" w:hint="default"/>
        <w:b/>
        <w:color w:val="2E74B5" w:themeColor="accent1" w:themeShade="BF"/>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453741046">
    <w:abstractNumId w:val="33"/>
  </w:num>
  <w:num w:numId="2" w16cid:durableId="107361280">
    <w:abstractNumId w:val="81"/>
  </w:num>
  <w:num w:numId="3" w16cid:durableId="755708450">
    <w:abstractNumId w:val="24"/>
  </w:num>
  <w:num w:numId="4" w16cid:durableId="585655198">
    <w:abstractNumId w:val="65"/>
  </w:num>
  <w:num w:numId="5" w16cid:durableId="1043481480">
    <w:abstractNumId w:val="66"/>
  </w:num>
  <w:num w:numId="6" w16cid:durableId="460340285">
    <w:abstractNumId w:val="79"/>
  </w:num>
  <w:num w:numId="7" w16cid:durableId="1655839871">
    <w:abstractNumId w:val="49"/>
  </w:num>
  <w:num w:numId="8" w16cid:durableId="14767789">
    <w:abstractNumId w:val="36"/>
  </w:num>
  <w:num w:numId="9" w16cid:durableId="333267893">
    <w:abstractNumId w:val="22"/>
  </w:num>
  <w:num w:numId="10" w16cid:durableId="1919627695">
    <w:abstractNumId w:val="75"/>
  </w:num>
  <w:num w:numId="11" w16cid:durableId="1013190566">
    <w:abstractNumId w:val="58"/>
  </w:num>
  <w:num w:numId="12" w16cid:durableId="2116170079">
    <w:abstractNumId w:val="12"/>
  </w:num>
  <w:num w:numId="13" w16cid:durableId="1423799820">
    <w:abstractNumId w:val="25"/>
  </w:num>
  <w:num w:numId="14" w16cid:durableId="940800766">
    <w:abstractNumId w:val="8"/>
  </w:num>
  <w:num w:numId="15" w16cid:durableId="1430006189">
    <w:abstractNumId w:val="51"/>
  </w:num>
  <w:num w:numId="16" w16cid:durableId="1235969379">
    <w:abstractNumId w:val="31"/>
  </w:num>
  <w:num w:numId="17" w16cid:durableId="1443186008">
    <w:abstractNumId w:val="52"/>
  </w:num>
  <w:num w:numId="18" w16cid:durableId="1833257365">
    <w:abstractNumId w:val="9"/>
  </w:num>
  <w:num w:numId="19" w16cid:durableId="330528697">
    <w:abstractNumId w:val="71"/>
  </w:num>
  <w:num w:numId="20" w16cid:durableId="2050688935">
    <w:abstractNumId w:val="77"/>
  </w:num>
  <w:num w:numId="21" w16cid:durableId="1145463710">
    <w:abstractNumId w:val="19"/>
  </w:num>
  <w:num w:numId="22" w16cid:durableId="1131511067">
    <w:abstractNumId w:val="69"/>
  </w:num>
  <w:num w:numId="23" w16cid:durableId="745877438">
    <w:abstractNumId w:val="27"/>
  </w:num>
  <w:num w:numId="24" w16cid:durableId="920797192">
    <w:abstractNumId w:val="15"/>
  </w:num>
  <w:num w:numId="25" w16cid:durableId="50926070">
    <w:abstractNumId w:val="16"/>
  </w:num>
  <w:num w:numId="26" w16cid:durableId="1397126632">
    <w:abstractNumId w:val="37"/>
  </w:num>
  <w:num w:numId="27" w16cid:durableId="585043576">
    <w:abstractNumId w:val="38"/>
  </w:num>
  <w:num w:numId="28" w16cid:durableId="588008463">
    <w:abstractNumId w:val="70"/>
  </w:num>
  <w:num w:numId="29" w16cid:durableId="1026101313">
    <w:abstractNumId w:val="86"/>
  </w:num>
  <w:num w:numId="30" w16cid:durableId="312372901">
    <w:abstractNumId w:val="34"/>
  </w:num>
  <w:num w:numId="31" w16cid:durableId="1523399318">
    <w:abstractNumId w:val="32"/>
  </w:num>
  <w:num w:numId="32" w16cid:durableId="705063425">
    <w:abstractNumId w:val="18"/>
  </w:num>
  <w:num w:numId="33" w16cid:durableId="1825586694">
    <w:abstractNumId w:val="74"/>
  </w:num>
  <w:num w:numId="34" w16cid:durableId="983392669">
    <w:abstractNumId w:val="14"/>
  </w:num>
  <w:num w:numId="35" w16cid:durableId="1433088666">
    <w:abstractNumId w:val="84"/>
  </w:num>
  <w:num w:numId="36" w16cid:durableId="345522258">
    <w:abstractNumId w:val="45"/>
  </w:num>
  <w:num w:numId="37" w16cid:durableId="601105493">
    <w:abstractNumId w:val="10"/>
  </w:num>
  <w:num w:numId="38" w16cid:durableId="391006317">
    <w:abstractNumId w:val="28"/>
  </w:num>
  <w:num w:numId="39" w16cid:durableId="598605901">
    <w:abstractNumId w:val="40"/>
  </w:num>
  <w:num w:numId="40" w16cid:durableId="281814429">
    <w:abstractNumId w:val="60"/>
  </w:num>
  <w:num w:numId="41" w16cid:durableId="3828186">
    <w:abstractNumId w:val="20"/>
  </w:num>
  <w:num w:numId="42" w16cid:durableId="892499998">
    <w:abstractNumId w:val="53"/>
  </w:num>
  <w:num w:numId="43" w16cid:durableId="570769313">
    <w:abstractNumId w:val="73"/>
  </w:num>
  <w:num w:numId="44" w16cid:durableId="873081646">
    <w:abstractNumId w:val="39"/>
  </w:num>
  <w:num w:numId="45" w16cid:durableId="1900893307">
    <w:abstractNumId w:val="59"/>
  </w:num>
  <w:num w:numId="46" w16cid:durableId="307905044">
    <w:abstractNumId w:val="30"/>
  </w:num>
  <w:num w:numId="47" w16cid:durableId="799956441">
    <w:abstractNumId w:val="76"/>
  </w:num>
  <w:num w:numId="48" w16cid:durableId="530266674">
    <w:abstractNumId w:val="63"/>
  </w:num>
  <w:num w:numId="49" w16cid:durableId="2082868559">
    <w:abstractNumId w:val="85"/>
  </w:num>
  <w:num w:numId="50" w16cid:durableId="1861384126">
    <w:abstractNumId w:val="82"/>
  </w:num>
  <w:num w:numId="51" w16cid:durableId="1883251445">
    <w:abstractNumId w:val="72"/>
  </w:num>
  <w:num w:numId="52" w16cid:durableId="4334423">
    <w:abstractNumId w:val="17"/>
  </w:num>
  <w:num w:numId="53" w16cid:durableId="488400261">
    <w:abstractNumId w:val="67"/>
  </w:num>
  <w:num w:numId="54" w16cid:durableId="1178469242">
    <w:abstractNumId w:val="54"/>
  </w:num>
  <w:num w:numId="55" w16cid:durableId="1406225976">
    <w:abstractNumId w:val="23"/>
  </w:num>
  <w:num w:numId="56" w16cid:durableId="2040885370">
    <w:abstractNumId w:val="26"/>
  </w:num>
  <w:num w:numId="57" w16cid:durableId="1624845289">
    <w:abstractNumId w:val="44"/>
  </w:num>
  <w:num w:numId="58" w16cid:durableId="768156345">
    <w:abstractNumId w:val="83"/>
  </w:num>
  <w:num w:numId="59" w16cid:durableId="1038428479">
    <w:abstractNumId w:val="68"/>
  </w:num>
  <w:num w:numId="60" w16cid:durableId="1702897830">
    <w:abstractNumId w:val="57"/>
  </w:num>
  <w:num w:numId="61" w16cid:durableId="585387686">
    <w:abstractNumId w:val="35"/>
  </w:num>
  <w:num w:numId="62" w16cid:durableId="1511875909">
    <w:abstractNumId w:val="21"/>
  </w:num>
  <w:num w:numId="63" w16cid:durableId="1693451576">
    <w:abstractNumId w:val="48"/>
  </w:num>
  <w:num w:numId="64" w16cid:durableId="691803859">
    <w:abstractNumId w:val="29"/>
  </w:num>
  <w:num w:numId="65" w16cid:durableId="1332754348">
    <w:abstractNumId w:val="47"/>
  </w:num>
  <w:num w:numId="66" w16cid:durableId="1485467723">
    <w:abstractNumId w:val="61"/>
  </w:num>
  <w:num w:numId="67" w16cid:durableId="781651283">
    <w:abstractNumId w:val="80"/>
  </w:num>
  <w:num w:numId="68" w16cid:durableId="585576249">
    <w:abstractNumId w:val="50"/>
  </w:num>
  <w:num w:numId="69" w16cid:durableId="795291345">
    <w:abstractNumId w:val="46"/>
  </w:num>
  <w:num w:numId="70" w16cid:durableId="192688956">
    <w:abstractNumId w:val="41"/>
  </w:num>
  <w:num w:numId="71" w16cid:durableId="440270873">
    <w:abstractNumId w:val="55"/>
  </w:num>
  <w:num w:numId="72" w16cid:durableId="435759640">
    <w:abstractNumId w:val="78"/>
  </w:num>
  <w:num w:numId="73" w16cid:durableId="1301378847">
    <w:abstractNumId w:val="56"/>
  </w:num>
  <w:num w:numId="74" w16cid:durableId="1504052676">
    <w:abstractNumId w:val="62"/>
  </w:num>
  <w:num w:numId="75" w16cid:durableId="1815292108">
    <w:abstractNumId w:val="64"/>
  </w:num>
  <w:num w:numId="76" w16cid:durableId="1624115760">
    <w:abstractNumId w:val="42"/>
  </w:num>
  <w:num w:numId="77" w16cid:durableId="3363668">
    <w:abstractNumId w:val="11"/>
  </w:num>
  <w:num w:numId="78" w16cid:durableId="738602992">
    <w:abstractNumId w:val="43"/>
  </w:num>
  <w:num w:numId="79" w16cid:durableId="1001851212">
    <w:abstractNumId w:val="1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activeWritingStyle w:appName="MSWord" w:lang="en-US" w:vendorID="64" w:dllVersion="6" w:nlCheck="1" w:checkStyle="1"/>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101"/>
    <w:rsid w:val="00000128"/>
    <w:rsid w:val="00000263"/>
    <w:rsid w:val="000002BD"/>
    <w:rsid w:val="000002C2"/>
    <w:rsid w:val="00000533"/>
    <w:rsid w:val="00000726"/>
    <w:rsid w:val="000007F5"/>
    <w:rsid w:val="00000833"/>
    <w:rsid w:val="000008D4"/>
    <w:rsid w:val="00000908"/>
    <w:rsid w:val="00000970"/>
    <w:rsid w:val="00000A7D"/>
    <w:rsid w:val="00000B1F"/>
    <w:rsid w:val="00000B6C"/>
    <w:rsid w:val="00000FA4"/>
    <w:rsid w:val="00001078"/>
    <w:rsid w:val="00001298"/>
    <w:rsid w:val="00001715"/>
    <w:rsid w:val="0000172D"/>
    <w:rsid w:val="0000185C"/>
    <w:rsid w:val="000018B4"/>
    <w:rsid w:val="000019AC"/>
    <w:rsid w:val="00001AD7"/>
    <w:rsid w:val="00001BA9"/>
    <w:rsid w:val="00001BD9"/>
    <w:rsid w:val="00001BE6"/>
    <w:rsid w:val="00001C22"/>
    <w:rsid w:val="00001C70"/>
    <w:rsid w:val="00001CFA"/>
    <w:rsid w:val="00001CFE"/>
    <w:rsid w:val="00001DE8"/>
    <w:rsid w:val="00001E57"/>
    <w:rsid w:val="000020F9"/>
    <w:rsid w:val="000021E8"/>
    <w:rsid w:val="000022C2"/>
    <w:rsid w:val="000022E7"/>
    <w:rsid w:val="00002360"/>
    <w:rsid w:val="0000258B"/>
    <w:rsid w:val="000027C8"/>
    <w:rsid w:val="000028F1"/>
    <w:rsid w:val="0000291B"/>
    <w:rsid w:val="00002A05"/>
    <w:rsid w:val="00002EC5"/>
    <w:rsid w:val="000031C3"/>
    <w:rsid w:val="00003432"/>
    <w:rsid w:val="00003516"/>
    <w:rsid w:val="000036FD"/>
    <w:rsid w:val="00003731"/>
    <w:rsid w:val="00003CC2"/>
    <w:rsid w:val="00003D4E"/>
    <w:rsid w:val="00003DDF"/>
    <w:rsid w:val="00003EFD"/>
    <w:rsid w:val="000042A9"/>
    <w:rsid w:val="000042C0"/>
    <w:rsid w:val="00004378"/>
    <w:rsid w:val="000043E6"/>
    <w:rsid w:val="00004563"/>
    <w:rsid w:val="000045AB"/>
    <w:rsid w:val="000048E1"/>
    <w:rsid w:val="00004A62"/>
    <w:rsid w:val="00004B80"/>
    <w:rsid w:val="00004E5D"/>
    <w:rsid w:val="00004FF4"/>
    <w:rsid w:val="00005099"/>
    <w:rsid w:val="00005256"/>
    <w:rsid w:val="0000562E"/>
    <w:rsid w:val="00005868"/>
    <w:rsid w:val="00005980"/>
    <w:rsid w:val="0000598C"/>
    <w:rsid w:val="000059E3"/>
    <w:rsid w:val="00005AAC"/>
    <w:rsid w:val="00005B75"/>
    <w:rsid w:val="00005B8C"/>
    <w:rsid w:val="00005BA2"/>
    <w:rsid w:val="00005C67"/>
    <w:rsid w:val="00005D5A"/>
    <w:rsid w:val="0000644F"/>
    <w:rsid w:val="00006468"/>
    <w:rsid w:val="000065DF"/>
    <w:rsid w:val="00006720"/>
    <w:rsid w:val="0000698F"/>
    <w:rsid w:val="00006FE9"/>
    <w:rsid w:val="00007035"/>
    <w:rsid w:val="00007081"/>
    <w:rsid w:val="000072B5"/>
    <w:rsid w:val="0000783B"/>
    <w:rsid w:val="0000798A"/>
    <w:rsid w:val="00007A00"/>
    <w:rsid w:val="00007B10"/>
    <w:rsid w:val="00007B80"/>
    <w:rsid w:val="00007F1A"/>
    <w:rsid w:val="00010067"/>
    <w:rsid w:val="00010301"/>
    <w:rsid w:val="00010377"/>
    <w:rsid w:val="000103B0"/>
    <w:rsid w:val="00010509"/>
    <w:rsid w:val="00010591"/>
    <w:rsid w:val="00010760"/>
    <w:rsid w:val="00010A62"/>
    <w:rsid w:val="00010D0D"/>
    <w:rsid w:val="00010D0F"/>
    <w:rsid w:val="00010DC6"/>
    <w:rsid w:val="00010E12"/>
    <w:rsid w:val="00010FCE"/>
    <w:rsid w:val="00010FDF"/>
    <w:rsid w:val="00011000"/>
    <w:rsid w:val="00011060"/>
    <w:rsid w:val="000110B6"/>
    <w:rsid w:val="0001114C"/>
    <w:rsid w:val="0001118B"/>
    <w:rsid w:val="00011195"/>
    <w:rsid w:val="000113C3"/>
    <w:rsid w:val="00011464"/>
    <w:rsid w:val="00011889"/>
    <w:rsid w:val="00011958"/>
    <w:rsid w:val="00011AAD"/>
    <w:rsid w:val="00011DD0"/>
    <w:rsid w:val="00011DFE"/>
    <w:rsid w:val="00011F45"/>
    <w:rsid w:val="00012033"/>
    <w:rsid w:val="00012153"/>
    <w:rsid w:val="00012186"/>
    <w:rsid w:val="00012222"/>
    <w:rsid w:val="0001252E"/>
    <w:rsid w:val="00012570"/>
    <w:rsid w:val="000125C4"/>
    <w:rsid w:val="000125FB"/>
    <w:rsid w:val="00012846"/>
    <w:rsid w:val="000129DD"/>
    <w:rsid w:val="00012BC5"/>
    <w:rsid w:val="00012C86"/>
    <w:rsid w:val="00012DCF"/>
    <w:rsid w:val="00012E8D"/>
    <w:rsid w:val="0001308D"/>
    <w:rsid w:val="000130EE"/>
    <w:rsid w:val="0001327F"/>
    <w:rsid w:val="000132E0"/>
    <w:rsid w:val="000133B8"/>
    <w:rsid w:val="000134C2"/>
    <w:rsid w:val="000135FE"/>
    <w:rsid w:val="000138A7"/>
    <w:rsid w:val="00013938"/>
    <w:rsid w:val="00013AD7"/>
    <w:rsid w:val="00013E29"/>
    <w:rsid w:val="00013EE4"/>
    <w:rsid w:val="00013F03"/>
    <w:rsid w:val="00013FA3"/>
    <w:rsid w:val="00014183"/>
    <w:rsid w:val="0001433B"/>
    <w:rsid w:val="00014A57"/>
    <w:rsid w:val="00014D62"/>
    <w:rsid w:val="00014F5E"/>
    <w:rsid w:val="00014F84"/>
    <w:rsid w:val="00014FC9"/>
    <w:rsid w:val="0001502A"/>
    <w:rsid w:val="0001505E"/>
    <w:rsid w:val="0001506F"/>
    <w:rsid w:val="000150CC"/>
    <w:rsid w:val="000151C0"/>
    <w:rsid w:val="000153D6"/>
    <w:rsid w:val="000153DF"/>
    <w:rsid w:val="00015492"/>
    <w:rsid w:val="00015532"/>
    <w:rsid w:val="0001558F"/>
    <w:rsid w:val="0001573A"/>
    <w:rsid w:val="00015AB9"/>
    <w:rsid w:val="00015AC0"/>
    <w:rsid w:val="00015F45"/>
    <w:rsid w:val="00015FE1"/>
    <w:rsid w:val="0001608D"/>
    <w:rsid w:val="00016901"/>
    <w:rsid w:val="0001695F"/>
    <w:rsid w:val="00016B26"/>
    <w:rsid w:val="00016B98"/>
    <w:rsid w:val="00016BF3"/>
    <w:rsid w:val="00016D34"/>
    <w:rsid w:val="00016D35"/>
    <w:rsid w:val="00016DD0"/>
    <w:rsid w:val="000170BC"/>
    <w:rsid w:val="000170CA"/>
    <w:rsid w:val="00017156"/>
    <w:rsid w:val="00017185"/>
    <w:rsid w:val="000171DF"/>
    <w:rsid w:val="000172D8"/>
    <w:rsid w:val="000173DB"/>
    <w:rsid w:val="00017592"/>
    <w:rsid w:val="00017D29"/>
    <w:rsid w:val="00020255"/>
    <w:rsid w:val="0002062D"/>
    <w:rsid w:val="00020698"/>
    <w:rsid w:val="00020843"/>
    <w:rsid w:val="000208DC"/>
    <w:rsid w:val="00020AE9"/>
    <w:rsid w:val="00020CB3"/>
    <w:rsid w:val="00020D59"/>
    <w:rsid w:val="00020D9F"/>
    <w:rsid w:val="00020FB4"/>
    <w:rsid w:val="000210AA"/>
    <w:rsid w:val="000210CB"/>
    <w:rsid w:val="0002118F"/>
    <w:rsid w:val="00021218"/>
    <w:rsid w:val="0002125E"/>
    <w:rsid w:val="000215EC"/>
    <w:rsid w:val="00021634"/>
    <w:rsid w:val="0002184B"/>
    <w:rsid w:val="00021D88"/>
    <w:rsid w:val="000220DC"/>
    <w:rsid w:val="00022204"/>
    <w:rsid w:val="00022460"/>
    <w:rsid w:val="0002257D"/>
    <w:rsid w:val="00022735"/>
    <w:rsid w:val="00022949"/>
    <w:rsid w:val="000229F6"/>
    <w:rsid w:val="00022A09"/>
    <w:rsid w:val="00022A5C"/>
    <w:rsid w:val="00022A90"/>
    <w:rsid w:val="00022CB5"/>
    <w:rsid w:val="00022D1C"/>
    <w:rsid w:val="00022DF4"/>
    <w:rsid w:val="00022E16"/>
    <w:rsid w:val="00022FD5"/>
    <w:rsid w:val="0002306B"/>
    <w:rsid w:val="00023236"/>
    <w:rsid w:val="00023683"/>
    <w:rsid w:val="0002368D"/>
    <w:rsid w:val="00023A73"/>
    <w:rsid w:val="00023BCD"/>
    <w:rsid w:val="00023C53"/>
    <w:rsid w:val="00023DA9"/>
    <w:rsid w:val="00023E49"/>
    <w:rsid w:val="00023E83"/>
    <w:rsid w:val="00023F4F"/>
    <w:rsid w:val="000245F2"/>
    <w:rsid w:val="00024795"/>
    <w:rsid w:val="00024807"/>
    <w:rsid w:val="00024B86"/>
    <w:rsid w:val="00024BEC"/>
    <w:rsid w:val="00024DAB"/>
    <w:rsid w:val="00024F63"/>
    <w:rsid w:val="00025255"/>
    <w:rsid w:val="0002537F"/>
    <w:rsid w:val="00025470"/>
    <w:rsid w:val="0002589A"/>
    <w:rsid w:val="00025A8F"/>
    <w:rsid w:val="00025B58"/>
    <w:rsid w:val="00025B71"/>
    <w:rsid w:val="00025C8F"/>
    <w:rsid w:val="00025D26"/>
    <w:rsid w:val="00025D6F"/>
    <w:rsid w:val="00025E85"/>
    <w:rsid w:val="00025ED5"/>
    <w:rsid w:val="0002619F"/>
    <w:rsid w:val="000261F9"/>
    <w:rsid w:val="0002679D"/>
    <w:rsid w:val="000267DE"/>
    <w:rsid w:val="00026805"/>
    <w:rsid w:val="0002689B"/>
    <w:rsid w:val="00026945"/>
    <w:rsid w:val="00026A23"/>
    <w:rsid w:val="00026E58"/>
    <w:rsid w:val="00026ED4"/>
    <w:rsid w:val="00026F33"/>
    <w:rsid w:val="00026F91"/>
    <w:rsid w:val="0002715D"/>
    <w:rsid w:val="000272F4"/>
    <w:rsid w:val="00027327"/>
    <w:rsid w:val="0002749A"/>
    <w:rsid w:val="00027846"/>
    <w:rsid w:val="00027862"/>
    <w:rsid w:val="0002786A"/>
    <w:rsid w:val="0002789E"/>
    <w:rsid w:val="00027A97"/>
    <w:rsid w:val="00027B63"/>
    <w:rsid w:val="00027BD4"/>
    <w:rsid w:val="00027C2E"/>
    <w:rsid w:val="00027C87"/>
    <w:rsid w:val="00027D09"/>
    <w:rsid w:val="00027D67"/>
    <w:rsid w:val="00027FE4"/>
    <w:rsid w:val="00030043"/>
    <w:rsid w:val="000303DA"/>
    <w:rsid w:val="0003062A"/>
    <w:rsid w:val="00030690"/>
    <w:rsid w:val="00030889"/>
    <w:rsid w:val="00030C7D"/>
    <w:rsid w:val="00030CA1"/>
    <w:rsid w:val="00030E41"/>
    <w:rsid w:val="00031143"/>
    <w:rsid w:val="0003119B"/>
    <w:rsid w:val="000312AA"/>
    <w:rsid w:val="000312D6"/>
    <w:rsid w:val="00031319"/>
    <w:rsid w:val="000315F9"/>
    <w:rsid w:val="00031644"/>
    <w:rsid w:val="0003169A"/>
    <w:rsid w:val="00031719"/>
    <w:rsid w:val="00031B7E"/>
    <w:rsid w:val="00031D92"/>
    <w:rsid w:val="0003212E"/>
    <w:rsid w:val="0003220B"/>
    <w:rsid w:val="00032315"/>
    <w:rsid w:val="000326F5"/>
    <w:rsid w:val="00032807"/>
    <w:rsid w:val="00032877"/>
    <w:rsid w:val="00032941"/>
    <w:rsid w:val="00032AF8"/>
    <w:rsid w:val="00032B27"/>
    <w:rsid w:val="00032B48"/>
    <w:rsid w:val="00032D04"/>
    <w:rsid w:val="00032D1E"/>
    <w:rsid w:val="00032F44"/>
    <w:rsid w:val="0003309B"/>
    <w:rsid w:val="000330F7"/>
    <w:rsid w:val="00033391"/>
    <w:rsid w:val="000333EA"/>
    <w:rsid w:val="000338CC"/>
    <w:rsid w:val="000338D6"/>
    <w:rsid w:val="00033923"/>
    <w:rsid w:val="00033A2B"/>
    <w:rsid w:val="00033C0B"/>
    <w:rsid w:val="00033CC3"/>
    <w:rsid w:val="00033D34"/>
    <w:rsid w:val="00033EFC"/>
    <w:rsid w:val="00033F20"/>
    <w:rsid w:val="0003416D"/>
    <w:rsid w:val="00034255"/>
    <w:rsid w:val="0003442F"/>
    <w:rsid w:val="0003448E"/>
    <w:rsid w:val="000347E4"/>
    <w:rsid w:val="0003481E"/>
    <w:rsid w:val="00034C98"/>
    <w:rsid w:val="00034CDE"/>
    <w:rsid w:val="00034E11"/>
    <w:rsid w:val="00034E8D"/>
    <w:rsid w:val="00034F72"/>
    <w:rsid w:val="00034FA4"/>
    <w:rsid w:val="000352B5"/>
    <w:rsid w:val="00035370"/>
    <w:rsid w:val="000356C9"/>
    <w:rsid w:val="00035773"/>
    <w:rsid w:val="000357DB"/>
    <w:rsid w:val="00035848"/>
    <w:rsid w:val="00035908"/>
    <w:rsid w:val="00035B66"/>
    <w:rsid w:val="00035C05"/>
    <w:rsid w:val="00035C26"/>
    <w:rsid w:val="00035ECE"/>
    <w:rsid w:val="0003616A"/>
    <w:rsid w:val="00036352"/>
    <w:rsid w:val="00036672"/>
    <w:rsid w:val="00036791"/>
    <w:rsid w:val="00036B76"/>
    <w:rsid w:val="00036BD4"/>
    <w:rsid w:val="00036DA3"/>
    <w:rsid w:val="00036DAF"/>
    <w:rsid w:val="00036E2C"/>
    <w:rsid w:val="000370FD"/>
    <w:rsid w:val="0003723A"/>
    <w:rsid w:val="000373AD"/>
    <w:rsid w:val="000373E5"/>
    <w:rsid w:val="0003758E"/>
    <w:rsid w:val="000376CB"/>
    <w:rsid w:val="000378E8"/>
    <w:rsid w:val="00037B06"/>
    <w:rsid w:val="00037B9B"/>
    <w:rsid w:val="00037BA7"/>
    <w:rsid w:val="00037C07"/>
    <w:rsid w:val="00037C6E"/>
    <w:rsid w:val="00040408"/>
    <w:rsid w:val="00040521"/>
    <w:rsid w:val="00040656"/>
    <w:rsid w:val="000407FB"/>
    <w:rsid w:val="00040908"/>
    <w:rsid w:val="0004098D"/>
    <w:rsid w:val="00040C4B"/>
    <w:rsid w:val="00040CB5"/>
    <w:rsid w:val="00040CEF"/>
    <w:rsid w:val="00040E13"/>
    <w:rsid w:val="00040FEF"/>
    <w:rsid w:val="0004148C"/>
    <w:rsid w:val="00041636"/>
    <w:rsid w:val="00041647"/>
    <w:rsid w:val="00041775"/>
    <w:rsid w:val="000418BB"/>
    <w:rsid w:val="00041B49"/>
    <w:rsid w:val="00041B7E"/>
    <w:rsid w:val="00041E29"/>
    <w:rsid w:val="00041F66"/>
    <w:rsid w:val="00042049"/>
    <w:rsid w:val="00042359"/>
    <w:rsid w:val="00042673"/>
    <w:rsid w:val="00042840"/>
    <w:rsid w:val="000428AB"/>
    <w:rsid w:val="0004291B"/>
    <w:rsid w:val="00042D1D"/>
    <w:rsid w:val="00042FD6"/>
    <w:rsid w:val="00043054"/>
    <w:rsid w:val="00043105"/>
    <w:rsid w:val="0004314A"/>
    <w:rsid w:val="0004348E"/>
    <w:rsid w:val="000438EE"/>
    <w:rsid w:val="00043A68"/>
    <w:rsid w:val="00043DDD"/>
    <w:rsid w:val="00043EE4"/>
    <w:rsid w:val="00043EFA"/>
    <w:rsid w:val="00043F4F"/>
    <w:rsid w:val="000440CB"/>
    <w:rsid w:val="00044113"/>
    <w:rsid w:val="000442D3"/>
    <w:rsid w:val="000443C5"/>
    <w:rsid w:val="00044662"/>
    <w:rsid w:val="00044704"/>
    <w:rsid w:val="0004484B"/>
    <w:rsid w:val="00044A8D"/>
    <w:rsid w:val="00044BD1"/>
    <w:rsid w:val="00044F95"/>
    <w:rsid w:val="00044FA2"/>
    <w:rsid w:val="00045010"/>
    <w:rsid w:val="0004506B"/>
    <w:rsid w:val="00045123"/>
    <w:rsid w:val="00045991"/>
    <w:rsid w:val="000459D8"/>
    <w:rsid w:val="00045A24"/>
    <w:rsid w:val="00045BE6"/>
    <w:rsid w:val="00045D4C"/>
    <w:rsid w:val="00045F65"/>
    <w:rsid w:val="00045FCA"/>
    <w:rsid w:val="000461E2"/>
    <w:rsid w:val="0004632A"/>
    <w:rsid w:val="0004637F"/>
    <w:rsid w:val="00046468"/>
    <w:rsid w:val="00046633"/>
    <w:rsid w:val="00046B62"/>
    <w:rsid w:val="00046B72"/>
    <w:rsid w:val="00046BDE"/>
    <w:rsid w:val="00046C0A"/>
    <w:rsid w:val="000472DE"/>
    <w:rsid w:val="000474E0"/>
    <w:rsid w:val="000474EB"/>
    <w:rsid w:val="0004751E"/>
    <w:rsid w:val="00047687"/>
    <w:rsid w:val="00047980"/>
    <w:rsid w:val="00047B39"/>
    <w:rsid w:val="00047B5F"/>
    <w:rsid w:val="00047BB9"/>
    <w:rsid w:val="00047F71"/>
    <w:rsid w:val="00050055"/>
    <w:rsid w:val="00050314"/>
    <w:rsid w:val="00050611"/>
    <w:rsid w:val="0005062A"/>
    <w:rsid w:val="00050992"/>
    <w:rsid w:val="00050BEE"/>
    <w:rsid w:val="00050C48"/>
    <w:rsid w:val="00050C7F"/>
    <w:rsid w:val="00050F0D"/>
    <w:rsid w:val="00050F14"/>
    <w:rsid w:val="00050F4F"/>
    <w:rsid w:val="00051026"/>
    <w:rsid w:val="0005112B"/>
    <w:rsid w:val="00051289"/>
    <w:rsid w:val="000513A6"/>
    <w:rsid w:val="0005145F"/>
    <w:rsid w:val="000514BD"/>
    <w:rsid w:val="00051632"/>
    <w:rsid w:val="0005199C"/>
    <w:rsid w:val="00051AA9"/>
    <w:rsid w:val="00051B36"/>
    <w:rsid w:val="00051CBC"/>
    <w:rsid w:val="00051EC6"/>
    <w:rsid w:val="00051F63"/>
    <w:rsid w:val="0005206B"/>
    <w:rsid w:val="00052078"/>
    <w:rsid w:val="000521F8"/>
    <w:rsid w:val="00052283"/>
    <w:rsid w:val="0005238D"/>
    <w:rsid w:val="00052497"/>
    <w:rsid w:val="000525EA"/>
    <w:rsid w:val="000529E8"/>
    <w:rsid w:val="00052E0A"/>
    <w:rsid w:val="00052F64"/>
    <w:rsid w:val="00052F6B"/>
    <w:rsid w:val="000530CE"/>
    <w:rsid w:val="0005314E"/>
    <w:rsid w:val="00053369"/>
    <w:rsid w:val="00053426"/>
    <w:rsid w:val="000534C5"/>
    <w:rsid w:val="000534DF"/>
    <w:rsid w:val="0005354E"/>
    <w:rsid w:val="00053703"/>
    <w:rsid w:val="000537DC"/>
    <w:rsid w:val="0005389F"/>
    <w:rsid w:val="000538E5"/>
    <w:rsid w:val="00053A6A"/>
    <w:rsid w:val="00053B2C"/>
    <w:rsid w:val="00053B8E"/>
    <w:rsid w:val="00053C89"/>
    <w:rsid w:val="00053DEB"/>
    <w:rsid w:val="00053E49"/>
    <w:rsid w:val="00053F05"/>
    <w:rsid w:val="000542F7"/>
    <w:rsid w:val="0005473C"/>
    <w:rsid w:val="00054828"/>
    <w:rsid w:val="00054A17"/>
    <w:rsid w:val="00054A22"/>
    <w:rsid w:val="00055027"/>
    <w:rsid w:val="00055573"/>
    <w:rsid w:val="00055AD2"/>
    <w:rsid w:val="00055AE3"/>
    <w:rsid w:val="00055B98"/>
    <w:rsid w:val="00055F79"/>
    <w:rsid w:val="000560EA"/>
    <w:rsid w:val="000561AB"/>
    <w:rsid w:val="00056676"/>
    <w:rsid w:val="0005670B"/>
    <w:rsid w:val="0005686A"/>
    <w:rsid w:val="000568AB"/>
    <w:rsid w:val="000568B6"/>
    <w:rsid w:val="00056AE2"/>
    <w:rsid w:val="00056C38"/>
    <w:rsid w:val="00056C7C"/>
    <w:rsid w:val="00056C8E"/>
    <w:rsid w:val="00056D42"/>
    <w:rsid w:val="00056FE3"/>
    <w:rsid w:val="00057113"/>
    <w:rsid w:val="00057349"/>
    <w:rsid w:val="0005734E"/>
    <w:rsid w:val="00057628"/>
    <w:rsid w:val="0005777E"/>
    <w:rsid w:val="0005777F"/>
    <w:rsid w:val="00057A6B"/>
    <w:rsid w:val="00057AB8"/>
    <w:rsid w:val="00057ACD"/>
    <w:rsid w:val="00057C94"/>
    <w:rsid w:val="00057D46"/>
    <w:rsid w:val="00057F03"/>
    <w:rsid w:val="00057FDA"/>
    <w:rsid w:val="00060146"/>
    <w:rsid w:val="00060565"/>
    <w:rsid w:val="00060588"/>
    <w:rsid w:val="000605B8"/>
    <w:rsid w:val="00060693"/>
    <w:rsid w:val="0006073F"/>
    <w:rsid w:val="000607C3"/>
    <w:rsid w:val="00060B20"/>
    <w:rsid w:val="00060BD3"/>
    <w:rsid w:val="00060BEF"/>
    <w:rsid w:val="00060E64"/>
    <w:rsid w:val="00060E79"/>
    <w:rsid w:val="00060FF7"/>
    <w:rsid w:val="000611B0"/>
    <w:rsid w:val="000613C7"/>
    <w:rsid w:val="00061AA2"/>
    <w:rsid w:val="00061BB1"/>
    <w:rsid w:val="00061D32"/>
    <w:rsid w:val="0006210A"/>
    <w:rsid w:val="0006210E"/>
    <w:rsid w:val="00062197"/>
    <w:rsid w:val="0006225D"/>
    <w:rsid w:val="0006229C"/>
    <w:rsid w:val="000622CD"/>
    <w:rsid w:val="0006256A"/>
    <w:rsid w:val="00062585"/>
    <w:rsid w:val="000625EC"/>
    <w:rsid w:val="000626C5"/>
    <w:rsid w:val="00062BB1"/>
    <w:rsid w:val="00062C7E"/>
    <w:rsid w:val="00062DEB"/>
    <w:rsid w:val="00062E53"/>
    <w:rsid w:val="00063419"/>
    <w:rsid w:val="000634DE"/>
    <w:rsid w:val="00063717"/>
    <w:rsid w:val="0006375D"/>
    <w:rsid w:val="000637F3"/>
    <w:rsid w:val="00063962"/>
    <w:rsid w:val="000639EE"/>
    <w:rsid w:val="00063E46"/>
    <w:rsid w:val="00063E94"/>
    <w:rsid w:val="00063FE1"/>
    <w:rsid w:val="00063FFB"/>
    <w:rsid w:val="0006401E"/>
    <w:rsid w:val="000640F1"/>
    <w:rsid w:val="00064158"/>
    <w:rsid w:val="0006428D"/>
    <w:rsid w:val="000642CC"/>
    <w:rsid w:val="000642EA"/>
    <w:rsid w:val="00064393"/>
    <w:rsid w:val="000643FA"/>
    <w:rsid w:val="00064752"/>
    <w:rsid w:val="00064978"/>
    <w:rsid w:val="00064A14"/>
    <w:rsid w:val="00064B6F"/>
    <w:rsid w:val="00064DBD"/>
    <w:rsid w:val="00064F76"/>
    <w:rsid w:val="00065180"/>
    <w:rsid w:val="00065272"/>
    <w:rsid w:val="000654C5"/>
    <w:rsid w:val="0006564B"/>
    <w:rsid w:val="00065919"/>
    <w:rsid w:val="00065CED"/>
    <w:rsid w:val="00065EBD"/>
    <w:rsid w:val="00065EF8"/>
    <w:rsid w:val="00065EFE"/>
    <w:rsid w:val="00065F80"/>
    <w:rsid w:val="00065F9A"/>
    <w:rsid w:val="000660A4"/>
    <w:rsid w:val="00066712"/>
    <w:rsid w:val="00066B05"/>
    <w:rsid w:val="00066C5B"/>
    <w:rsid w:val="00066D4B"/>
    <w:rsid w:val="0006732D"/>
    <w:rsid w:val="00067404"/>
    <w:rsid w:val="000674F6"/>
    <w:rsid w:val="0006796E"/>
    <w:rsid w:val="00067A30"/>
    <w:rsid w:val="00067E2C"/>
    <w:rsid w:val="00067E44"/>
    <w:rsid w:val="00067E5B"/>
    <w:rsid w:val="00067FF5"/>
    <w:rsid w:val="0007015B"/>
    <w:rsid w:val="000701E1"/>
    <w:rsid w:val="00070365"/>
    <w:rsid w:val="000703AB"/>
    <w:rsid w:val="0007046E"/>
    <w:rsid w:val="000705C5"/>
    <w:rsid w:val="000705D8"/>
    <w:rsid w:val="0007068A"/>
    <w:rsid w:val="0007096F"/>
    <w:rsid w:val="00070991"/>
    <w:rsid w:val="000709CD"/>
    <w:rsid w:val="00070B77"/>
    <w:rsid w:val="00070DF0"/>
    <w:rsid w:val="00070FB6"/>
    <w:rsid w:val="00071035"/>
    <w:rsid w:val="000710E4"/>
    <w:rsid w:val="00071109"/>
    <w:rsid w:val="00071342"/>
    <w:rsid w:val="0007152A"/>
    <w:rsid w:val="00071674"/>
    <w:rsid w:val="000717BF"/>
    <w:rsid w:val="000718AC"/>
    <w:rsid w:val="000718EF"/>
    <w:rsid w:val="00071975"/>
    <w:rsid w:val="000719EC"/>
    <w:rsid w:val="00071BE8"/>
    <w:rsid w:val="00071BF5"/>
    <w:rsid w:val="00071CF3"/>
    <w:rsid w:val="000720DE"/>
    <w:rsid w:val="00072278"/>
    <w:rsid w:val="0007229C"/>
    <w:rsid w:val="000722FD"/>
    <w:rsid w:val="000723D6"/>
    <w:rsid w:val="000725EE"/>
    <w:rsid w:val="000728B6"/>
    <w:rsid w:val="00072A2E"/>
    <w:rsid w:val="00072BB7"/>
    <w:rsid w:val="00072C18"/>
    <w:rsid w:val="00072C52"/>
    <w:rsid w:val="00072D29"/>
    <w:rsid w:val="00072F93"/>
    <w:rsid w:val="000730F1"/>
    <w:rsid w:val="00073176"/>
    <w:rsid w:val="00073378"/>
    <w:rsid w:val="000733EE"/>
    <w:rsid w:val="00073583"/>
    <w:rsid w:val="0007358D"/>
    <w:rsid w:val="000737BE"/>
    <w:rsid w:val="00073883"/>
    <w:rsid w:val="00073886"/>
    <w:rsid w:val="000738FE"/>
    <w:rsid w:val="00073B56"/>
    <w:rsid w:val="00073D25"/>
    <w:rsid w:val="00073D9E"/>
    <w:rsid w:val="00073EF4"/>
    <w:rsid w:val="00074288"/>
    <w:rsid w:val="000743CE"/>
    <w:rsid w:val="00074618"/>
    <w:rsid w:val="000747BB"/>
    <w:rsid w:val="00074909"/>
    <w:rsid w:val="00074930"/>
    <w:rsid w:val="00074B37"/>
    <w:rsid w:val="00074DDD"/>
    <w:rsid w:val="00075093"/>
    <w:rsid w:val="00075112"/>
    <w:rsid w:val="0007513F"/>
    <w:rsid w:val="00075274"/>
    <w:rsid w:val="00075303"/>
    <w:rsid w:val="00075460"/>
    <w:rsid w:val="00075498"/>
    <w:rsid w:val="00075635"/>
    <w:rsid w:val="0007566F"/>
    <w:rsid w:val="000758AA"/>
    <w:rsid w:val="000758FA"/>
    <w:rsid w:val="00075961"/>
    <w:rsid w:val="00075A09"/>
    <w:rsid w:val="00075A59"/>
    <w:rsid w:val="00075AD0"/>
    <w:rsid w:val="00075CA8"/>
    <w:rsid w:val="00075D4D"/>
    <w:rsid w:val="00075E31"/>
    <w:rsid w:val="00076322"/>
    <w:rsid w:val="0007632D"/>
    <w:rsid w:val="000764A2"/>
    <w:rsid w:val="000764C7"/>
    <w:rsid w:val="000766D0"/>
    <w:rsid w:val="000766D9"/>
    <w:rsid w:val="0007670E"/>
    <w:rsid w:val="000767C0"/>
    <w:rsid w:val="000768EF"/>
    <w:rsid w:val="00076A00"/>
    <w:rsid w:val="00076C3B"/>
    <w:rsid w:val="00076F8D"/>
    <w:rsid w:val="00076F94"/>
    <w:rsid w:val="0007718D"/>
    <w:rsid w:val="000771C9"/>
    <w:rsid w:val="00077235"/>
    <w:rsid w:val="00077643"/>
    <w:rsid w:val="00077BF3"/>
    <w:rsid w:val="00080237"/>
    <w:rsid w:val="000803D0"/>
    <w:rsid w:val="000806EE"/>
    <w:rsid w:val="00081481"/>
    <w:rsid w:val="00081530"/>
    <w:rsid w:val="000816B3"/>
    <w:rsid w:val="0008177F"/>
    <w:rsid w:val="0008179A"/>
    <w:rsid w:val="000818BD"/>
    <w:rsid w:val="00081AE1"/>
    <w:rsid w:val="00081E98"/>
    <w:rsid w:val="0008218C"/>
    <w:rsid w:val="000822EE"/>
    <w:rsid w:val="0008244F"/>
    <w:rsid w:val="0008247A"/>
    <w:rsid w:val="000824C0"/>
    <w:rsid w:val="00082551"/>
    <w:rsid w:val="0008272B"/>
    <w:rsid w:val="00082A2E"/>
    <w:rsid w:val="00082D26"/>
    <w:rsid w:val="00082FB8"/>
    <w:rsid w:val="0008308B"/>
    <w:rsid w:val="0008310F"/>
    <w:rsid w:val="000832D1"/>
    <w:rsid w:val="000832E1"/>
    <w:rsid w:val="0008331B"/>
    <w:rsid w:val="00083370"/>
    <w:rsid w:val="00083723"/>
    <w:rsid w:val="000837C5"/>
    <w:rsid w:val="000839DD"/>
    <w:rsid w:val="00083AAB"/>
    <w:rsid w:val="00083C15"/>
    <w:rsid w:val="00083C5B"/>
    <w:rsid w:val="00083DF8"/>
    <w:rsid w:val="0008400F"/>
    <w:rsid w:val="0008402E"/>
    <w:rsid w:val="00084117"/>
    <w:rsid w:val="0008411E"/>
    <w:rsid w:val="0008428A"/>
    <w:rsid w:val="0008432E"/>
    <w:rsid w:val="000844CF"/>
    <w:rsid w:val="000845A5"/>
    <w:rsid w:val="000846A9"/>
    <w:rsid w:val="000846B7"/>
    <w:rsid w:val="00084709"/>
    <w:rsid w:val="0008481A"/>
    <w:rsid w:val="00084844"/>
    <w:rsid w:val="0008484F"/>
    <w:rsid w:val="00084941"/>
    <w:rsid w:val="000849C6"/>
    <w:rsid w:val="00084ACB"/>
    <w:rsid w:val="00084ACF"/>
    <w:rsid w:val="00084B4D"/>
    <w:rsid w:val="00084D1C"/>
    <w:rsid w:val="00084FEB"/>
    <w:rsid w:val="000851C2"/>
    <w:rsid w:val="000852D1"/>
    <w:rsid w:val="000853BC"/>
    <w:rsid w:val="000853C4"/>
    <w:rsid w:val="00085460"/>
    <w:rsid w:val="0008578F"/>
    <w:rsid w:val="00085808"/>
    <w:rsid w:val="00085889"/>
    <w:rsid w:val="000858C7"/>
    <w:rsid w:val="00085AF1"/>
    <w:rsid w:val="00085C88"/>
    <w:rsid w:val="00085D9B"/>
    <w:rsid w:val="00085EB9"/>
    <w:rsid w:val="00085F50"/>
    <w:rsid w:val="00086059"/>
    <w:rsid w:val="0008609F"/>
    <w:rsid w:val="0008635F"/>
    <w:rsid w:val="00086428"/>
    <w:rsid w:val="00086429"/>
    <w:rsid w:val="000865A6"/>
    <w:rsid w:val="0008663A"/>
    <w:rsid w:val="00086788"/>
    <w:rsid w:val="0008689C"/>
    <w:rsid w:val="00086E03"/>
    <w:rsid w:val="00086E16"/>
    <w:rsid w:val="00086EC3"/>
    <w:rsid w:val="00086F57"/>
    <w:rsid w:val="000870E0"/>
    <w:rsid w:val="00087117"/>
    <w:rsid w:val="000873BD"/>
    <w:rsid w:val="00087558"/>
    <w:rsid w:val="00087723"/>
    <w:rsid w:val="00087B5C"/>
    <w:rsid w:val="00087EDE"/>
    <w:rsid w:val="000901A1"/>
    <w:rsid w:val="00090328"/>
    <w:rsid w:val="0009033A"/>
    <w:rsid w:val="00090375"/>
    <w:rsid w:val="00090898"/>
    <w:rsid w:val="0009089C"/>
    <w:rsid w:val="00090A33"/>
    <w:rsid w:val="00090E7D"/>
    <w:rsid w:val="0009112E"/>
    <w:rsid w:val="00091461"/>
    <w:rsid w:val="000914A0"/>
    <w:rsid w:val="000914FE"/>
    <w:rsid w:val="0009153C"/>
    <w:rsid w:val="000916B9"/>
    <w:rsid w:val="0009176B"/>
    <w:rsid w:val="00091918"/>
    <w:rsid w:val="00091C96"/>
    <w:rsid w:val="00091CCF"/>
    <w:rsid w:val="00091E3D"/>
    <w:rsid w:val="00091F4E"/>
    <w:rsid w:val="00092062"/>
    <w:rsid w:val="000920A8"/>
    <w:rsid w:val="000920DD"/>
    <w:rsid w:val="000922ED"/>
    <w:rsid w:val="000924CC"/>
    <w:rsid w:val="0009276B"/>
    <w:rsid w:val="00092A5D"/>
    <w:rsid w:val="00092B1C"/>
    <w:rsid w:val="00092BB7"/>
    <w:rsid w:val="00092C74"/>
    <w:rsid w:val="00092E32"/>
    <w:rsid w:val="00092ED1"/>
    <w:rsid w:val="00093051"/>
    <w:rsid w:val="000934DF"/>
    <w:rsid w:val="00093540"/>
    <w:rsid w:val="00093598"/>
    <w:rsid w:val="000938DC"/>
    <w:rsid w:val="000939F9"/>
    <w:rsid w:val="00093A40"/>
    <w:rsid w:val="00093A90"/>
    <w:rsid w:val="00093A9B"/>
    <w:rsid w:val="0009400A"/>
    <w:rsid w:val="000940EC"/>
    <w:rsid w:val="000941FB"/>
    <w:rsid w:val="00094412"/>
    <w:rsid w:val="00094482"/>
    <w:rsid w:val="0009490D"/>
    <w:rsid w:val="000949A6"/>
    <w:rsid w:val="00094A2D"/>
    <w:rsid w:val="00094BC7"/>
    <w:rsid w:val="00094CDD"/>
    <w:rsid w:val="00094E18"/>
    <w:rsid w:val="00094E5B"/>
    <w:rsid w:val="00094EBB"/>
    <w:rsid w:val="00095004"/>
    <w:rsid w:val="000951B5"/>
    <w:rsid w:val="000952E1"/>
    <w:rsid w:val="0009532B"/>
    <w:rsid w:val="0009533F"/>
    <w:rsid w:val="000953A0"/>
    <w:rsid w:val="00095446"/>
    <w:rsid w:val="00095456"/>
    <w:rsid w:val="000955E8"/>
    <w:rsid w:val="00095C83"/>
    <w:rsid w:val="00095DD0"/>
    <w:rsid w:val="00095DF0"/>
    <w:rsid w:val="00095E8B"/>
    <w:rsid w:val="00095ED5"/>
    <w:rsid w:val="00095F2F"/>
    <w:rsid w:val="00096037"/>
    <w:rsid w:val="00096137"/>
    <w:rsid w:val="000961EC"/>
    <w:rsid w:val="00096234"/>
    <w:rsid w:val="00096963"/>
    <w:rsid w:val="000969F9"/>
    <w:rsid w:val="00096A8F"/>
    <w:rsid w:val="00096C5C"/>
    <w:rsid w:val="00096E01"/>
    <w:rsid w:val="00096F06"/>
    <w:rsid w:val="000971A0"/>
    <w:rsid w:val="000971D5"/>
    <w:rsid w:val="000971EC"/>
    <w:rsid w:val="00097202"/>
    <w:rsid w:val="00097213"/>
    <w:rsid w:val="00097565"/>
    <w:rsid w:val="000976E9"/>
    <w:rsid w:val="00097703"/>
    <w:rsid w:val="000977B2"/>
    <w:rsid w:val="00097920"/>
    <w:rsid w:val="00097A57"/>
    <w:rsid w:val="00097BD5"/>
    <w:rsid w:val="00097E32"/>
    <w:rsid w:val="00097E6C"/>
    <w:rsid w:val="000A02D5"/>
    <w:rsid w:val="000A0424"/>
    <w:rsid w:val="000A0441"/>
    <w:rsid w:val="000A06ED"/>
    <w:rsid w:val="000A080B"/>
    <w:rsid w:val="000A0B60"/>
    <w:rsid w:val="000A0B9A"/>
    <w:rsid w:val="000A0CEE"/>
    <w:rsid w:val="000A0D51"/>
    <w:rsid w:val="000A0DCC"/>
    <w:rsid w:val="000A0F4D"/>
    <w:rsid w:val="000A0F53"/>
    <w:rsid w:val="000A1253"/>
    <w:rsid w:val="000A12FA"/>
    <w:rsid w:val="000A1301"/>
    <w:rsid w:val="000A1377"/>
    <w:rsid w:val="000A1650"/>
    <w:rsid w:val="000A171D"/>
    <w:rsid w:val="000A17C6"/>
    <w:rsid w:val="000A17FA"/>
    <w:rsid w:val="000A1884"/>
    <w:rsid w:val="000A18D6"/>
    <w:rsid w:val="000A18F1"/>
    <w:rsid w:val="000A1988"/>
    <w:rsid w:val="000A1A83"/>
    <w:rsid w:val="000A1C2D"/>
    <w:rsid w:val="000A1D59"/>
    <w:rsid w:val="000A2348"/>
    <w:rsid w:val="000A2373"/>
    <w:rsid w:val="000A251C"/>
    <w:rsid w:val="000A285B"/>
    <w:rsid w:val="000A2AA0"/>
    <w:rsid w:val="000A2BE0"/>
    <w:rsid w:val="000A2C91"/>
    <w:rsid w:val="000A2F8B"/>
    <w:rsid w:val="000A2FC0"/>
    <w:rsid w:val="000A328E"/>
    <w:rsid w:val="000A32F4"/>
    <w:rsid w:val="000A33DF"/>
    <w:rsid w:val="000A396D"/>
    <w:rsid w:val="000A3B56"/>
    <w:rsid w:val="000A3C13"/>
    <w:rsid w:val="000A3C20"/>
    <w:rsid w:val="000A3E69"/>
    <w:rsid w:val="000A3EAE"/>
    <w:rsid w:val="000A3ECC"/>
    <w:rsid w:val="000A4026"/>
    <w:rsid w:val="000A4075"/>
    <w:rsid w:val="000A40F6"/>
    <w:rsid w:val="000A4127"/>
    <w:rsid w:val="000A41DC"/>
    <w:rsid w:val="000A42EF"/>
    <w:rsid w:val="000A4ACF"/>
    <w:rsid w:val="000A4B0B"/>
    <w:rsid w:val="000A501A"/>
    <w:rsid w:val="000A5341"/>
    <w:rsid w:val="000A551F"/>
    <w:rsid w:val="000A5523"/>
    <w:rsid w:val="000A5835"/>
    <w:rsid w:val="000A58D6"/>
    <w:rsid w:val="000A5A0A"/>
    <w:rsid w:val="000A5A96"/>
    <w:rsid w:val="000A5AB9"/>
    <w:rsid w:val="000A5ABE"/>
    <w:rsid w:val="000A5B4F"/>
    <w:rsid w:val="000A5CC8"/>
    <w:rsid w:val="000A5E27"/>
    <w:rsid w:val="000A5EE7"/>
    <w:rsid w:val="000A5FBA"/>
    <w:rsid w:val="000A60F8"/>
    <w:rsid w:val="000A641A"/>
    <w:rsid w:val="000A641B"/>
    <w:rsid w:val="000A654B"/>
    <w:rsid w:val="000A679E"/>
    <w:rsid w:val="000A67DF"/>
    <w:rsid w:val="000A6869"/>
    <w:rsid w:val="000A6989"/>
    <w:rsid w:val="000A6CE4"/>
    <w:rsid w:val="000A76F6"/>
    <w:rsid w:val="000A76FC"/>
    <w:rsid w:val="000A7790"/>
    <w:rsid w:val="000A7B71"/>
    <w:rsid w:val="000A7F21"/>
    <w:rsid w:val="000A7FE3"/>
    <w:rsid w:val="000B02EC"/>
    <w:rsid w:val="000B093F"/>
    <w:rsid w:val="000B0997"/>
    <w:rsid w:val="000B0B2C"/>
    <w:rsid w:val="000B0B9A"/>
    <w:rsid w:val="000B0C41"/>
    <w:rsid w:val="000B0E54"/>
    <w:rsid w:val="000B1088"/>
    <w:rsid w:val="000B1410"/>
    <w:rsid w:val="000B1509"/>
    <w:rsid w:val="000B1714"/>
    <w:rsid w:val="000B1724"/>
    <w:rsid w:val="000B1866"/>
    <w:rsid w:val="000B192F"/>
    <w:rsid w:val="000B1B6E"/>
    <w:rsid w:val="000B1C47"/>
    <w:rsid w:val="000B204E"/>
    <w:rsid w:val="000B2134"/>
    <w:rsid w:val="000B2305"/>
    <w:rsid w:val="000B243A"/>
    <w:rsid w:val="000B25D4"/>
    <w:rsid w:val="000B26C0"/>
    <w:rsid w:val="000B2724"/>
    <w:rsid w:val="000B2771"/>
    <w:rsid w:val="000B29B4"/>
    <w:rsid w:val="000B2A6A"/>
    <w:rsid w:val="000B2B0D"/>
    <w:rsid w:val="000B2B98"/>
    <w:rsid w:val="000B2C9A"/>
    <w:rsid w:val="000B2CBA"/>
    <w:rsid w:val="000B2D33"/>
    <w:rsid w:val="000B2D73"/>
    <w:rsid w:val="000B2EE5"/>
    <w:rsid w:val="000B2F35"/>
    <w:rsid w:val="000B2FBA"/>
    <w:rsid w:val="000B2FE9"/>
    <w:rsid w:val="000B3163"/>
    <w:rsid w:val="000B3180"/>
    <w:rsid w:val="000B32FA"/>
    <w:rsid w:val="000B391C"/>
    <w:rsid w:val="000B3A61"/>
    <w:rsid w:val="000B3C8D"/>
    <w:rsid w:val="000B3D01"/>
    <w:rsid w:val="000B3E29"/>
    <w:rsid w:val="000B3FBB"/>
    <w:rsid w:val="000B406A"/>
    <w:rsid w:val="000B412C"/>
    <w:rsid w:val="000B420B"/>
    <w:rsid w:val="000B421D"/>
    <w:rsid w:val="000B4230"/>
    <w:rsid w:val="000B4260"/>
    <w:rsid w:val="000B42BB"/>
    <w:rsid w:val="000B444D"/>
    <w:rsid w:val="000B44F1"/>
    <w:rsid w:val="000B45B7"/>
    <w:rsid w:val="000B4736"/>
    <w:rsid w:val="000B492B"/>
    <w:rsid w:val="000B4C38"/>
    <w:rsid w:val="000B53CC"/>
    <w:rsid w:val="000B566B"/>
    <w:rsid w:val="000B57FC"/>
    <w:rsid w:val="000B582A"/>
    <w:rsid w:val="000B59E1"/>
    <w:rsid w:val="000B5A94"/>
    <w:rsid w:val="000B5C49"/>
    <w:rsid w:val="000B5C8C"/>
    <w:rsid w:val="000B6236"/>
    <w:rsid w:val="000B6243"/>
    <w:rsid w:val="000B62AA"/>
    <w:rsid w:val="000B62F9"/>
    <w:rsid w:val="000B6414"/>
    <w:rsid w:val="000B645B"/>
    <w:rsid w:val="000B6542"/>
    <w:rsid w:val="000B66C8"/>
    <w:rsid w:val="000B6877"/>
    <w:rsid w:val="000B6A1B"/>
    <w:rsid w:val="000B6AF8"/>
    <w:rsid w:val="000B6EA8"/>
    <w:rsid w:val="000B6EBF"/>
    <w:rsid w:val="000B6F0C"/>
    <w:rsid w:val="000B6FD2"/>
    <w:rsid w:val="000B7149"/>
    <w:rsid w:val="000B73A3"/>
    <w:rsid w:val="000B75D5"/>
    <w:rsid w:val="000B76AF"/>
    <w:rsid w:val="000B788F"/>
    <w:rsid w:val="000B78BA"/>
    <w:rsid w:val="000B7AB3"/>
    <w:rsid w:val="000B7B65"/>
    <w:rsid w:val="000B7C48"/>
    <w:rsid w:val="000B7CD7"/>
    <w:rsid w:val="000B7F1D"/>
    <w:rsid w:val="000C0267"/>
    <w:rsid w:val="000C0271"/>
    <w:rsid w:val="000C0430"/>
    <w:rsid w:val="000C04A5"/>
    <w:rsid w:val="000C0580"/>
    <w:rsid w:val="000C0B15"/>
    <w:rsid w:val="000C0B1D"/>
    <w:rsid w:val="000C0B9D"/>
    <w:rsid w:val="000C0E7F"/>
    <w:rsid w:val="000C0EB2"/>
    <w:rsid w:val="000C0EF3"/>
    <w:rsid w:val="000C0F2F"/>
    <w:rsid w:val="000C0F8A"/>
    <w:rsid w:val="000C10F0"/>
    <w:rsid w:val="000C12B5"/>
    <w:rsid w:val="000C1428"/>
    <w:rsid w:val="000C1522"/>
    <w:rsid w:val="000C164E"/>
    <w:rsid w:val="000C1669"/>
    <w:rsid w:val="000C1691"/>
    <w:rsid w:val="000C1816"/>
    <w:rsid w:val="000C1871"/>
    <w:rsid w:val="000C187A"/>
    <w:rsid w:val="000C1A6B"/>
    <w:rsid w:val="000C1B71"/>
    <w:rsid w:val="000C1B75"/>
    <w:rsid w:val="000C1D22"/>
    <w:rsid w:val="000C1DA1"/>
    <w:rsid w:val="000C212B"/>
    <w:rsid w:val="000C2139"/>
    <w:rsid w:val="000C2483"/>
    <w:rsid w:val="000C2942"/>
    <w:rsid w:val="000C2974"/>
    <w:rsid w:val="000C2E32"/>
    <w:rsid w:val="000C2ED0"/>
    <w:rsid w:val="000C32B9"/>
    <w:rsid w:val="000C32BE"/>
    <w:rsid w:val="000C356D"/>
    <w:rsid w:val="000C3673"/>
    <w:rsid w:val="000C36AA"/>
    <w:rsid w:val="000C3B78"/>
    <w:rsid w:val="000C3BA8"/>
    <w:rsid w:val="000C3F59"/>
    <w:rsid w:val="000C417C"/>
    <w:rsid w:val="000C4380"/>
    <w:rsid w:val="000C4561"/>
    <w:rsid w:val="000C4562"/>
    <w:rsid w:val="000C4580"/>
    <w:rsid w:val="000C4764"/>
    <w:rsid w:val="000C4787"/>
    <w:rsid w:val="000C481A"/>
    <w:rsid w:val="000C4AC8"/>
    <w:rsid w:val="000C4CAC"/>
    <w:rsid w:val="000C4EAC"/>
    <w:rsid w:val="000C5220"/>
    <w:rsid w:val="000C524D"/>
    <w:rsid w:val="000C5297"/>
    <w:rsid w:val="000C5408"/>
    <w:rsid w:val="000C59B4"/>
    <w:rsid w:val="000C5D27"/>
    <w:rsid w:val="000C5E05"/>
    <w:rsid w:val="000C5EEA"/>
    <w:rsid w:val="000C6164"/>
    <w:rsid w:val="000C616C"/>
    <w:rsid w:val="000C63AC"/>
    <w:rsid w:val="000C6700"/>
    <w:rsid w:val="000C6985"/>
    <w:rsid w:val="000C6A61"/>
    <w:rsid w:val="000C6DE3"/>
    <w:rsid w:val="000C72FD"/>
    <w:rsid w:val="000C7328"/>
    <w:rsid w:val="000C7383"/>
    <w:rsid w:val="000C74D0"/>
    <w:rsid w:val="000C753F"/>
    <w:rsid w:val="000C763F"/>
    <w:rsid w:val="000C772B"/>
    <w:rsid w:val="000C785F"/>
    <w:rsid w:val="000C78EB"/>
    <w:rsid w:val="000C79EA"/>
    <w:rsid w:val="000C7F30"/>
    <w:rsid w:val="000C7F57"/>
    <w:rsid w:val="000C7F61"/>
    <w:rsid w:val="000D00F9"/>
    <w:rsid w:val="000D017A"/>
    <w:rsid w:val="000D03E2"/>
    <w:rsid w:val="000D06F8"/>
    <w:rsid w:val="000D0857"/>
    <w:rsid w:val="000D087A"/>
    <w:rsid w:val="000D08F2"/>
    <w:rsid w:val="000D0A60"/>
    <w:rsid w:val="000D0D87"/>
    <w:rsid w:val="000D0DEF"/>
    <w:rsid w:val="000D0EFE"/>
    <w:rsid w:val="000D1203"/>
    <w:rsid w:val="000D1443"/>
    <w:rsid w:val="000D14A4"/>
    <w:rsid w:val="000D157B"/>
    <w:rsid w:val="000D15A1"/>
    <w:rsid w:val="000D15DB"/>
    <w:rsid w:val="000D18A2"/>
    <w:rsid w:val="000D193D"/>
    <w:rsid w:val="000D1BB8"/>
    <w:rsid w:val="000D1BC9"/>
    <w:rsid w:val="000D1CB6"/>
    <w:rsid w:val="000D1ECA"/>
    <w:rsid w:val="000D1FCC"/>
    <w:rsid w:val="000D2114"/>
    <w:rsid w:val="000D23E4"/>
    <w:rsid w:val="000D24F7"/>
    <w:rsid w:val="000D251D"/>
    <w:rsid w:val="000D2677"/>
    <w:rsid w:val="000D2767"/>
    <w:rsid w:val="000D276A"/>
    <w:rsid w:val="000D28B9"/>
    <w:rsid w:val="000D295A"/>
    <w:rsid w:val="000D29C0"/>
    <w:rsid w:val="000D29C4"/>
    <w:rsid w:val="000D2A90"/>
    <w:rsid w:val="000D2BCE"/>
    <w:rsid w:val="000D2C70"/>
    <w:rsid w:val="000D301F"/>
    <w:rsid w:val="000D317A"/>
    <w:rsid w:val="000D31BE"/>
    <w:rsid w:val="000D31E1"/>
    <w:rsid w:val="000D3261"/>
    <w:rsid w:val="000D32E2"/>
    <w:rsid w:val="000D332B"/>
    <w:rsid w:val="000D34BC"/>
    <w:rsid w:val="000D3580"/>
    <w:rsid w:val="000D3760"/>
    <w:rsid w:val="000D37D7"/>
    <w:rsid w:val="000D3848"/>
    <w:rsid w:val="000D3A79"/>
    <w:rsid w:val="000D3A93"/>
    <w:rsid w:val="000D3E66"/>
    <w:rsid w:val="000D41F9"/>
    <w:rsid w:val="000D43F7"/>
    <w:rsid w:val="000D459F"/>
    <w:rsid w:val="000D4813"/>
    <w:rsid w:val="000D483C"/>
    <w:rsid w:val="000D4A15"/>
    <w:rsid w:val="000D4DD0"/>
    <w:rsid w:val="000D4FAB"/>
    <w:rsid w:val="000D52AF"/>
    <w:rsid w:val="000D54A5"/>
    <w:rsid w:val="000D5650"/>
    <w:rsid w:val="000D56D2"/>
    <w:rsid w:val="000D5CC7"/>
    <w:rsid w:val="000D5F0C"/>
    <w:rsid w:val="000D5FC4"/>
    <w:rsid w:val="000D5FCE"/>
    <w:rsid w:val="000D609D"/>
    <w:rsid w:val="000D62DB"/>
    <w:rsid w:val="000D6473"/>
    <w:rsid w:val="000D6720"/>
    <w:rsid w:val="000D6CD2"/>
    <w:rsid w:val="000D6E08"/>
    <w:rsid w:val="000D6E5C"/>
    <w:rsid w:val="000D6F31"/>
    <w:rsid w:val="000D7543"/>
    <w:rsid w:val="000D784F"/>
    <w:rsid w:val="000D786B"/>
    <w:rsid w:val="000D78E1"/>
    <w:rsid w:val="000D7AC2"/>
    <w:rsid w:val="000D7C68"/>
    <w:rsid w:val="000D7DE3"/>
    <w:rsid w:val="000E00B7"/>
    <w:rsid w:val="000E01E7"/>
    <w:rsid w:val="000E025A"/>
    <w:rsid w:val="000E0280"/>
    <w:rsid w:val="000E02A7"/>
    <w:rsid w:val="000E03FF"/>
    <w:rsid w:val="000E049A"/>
    <w:rsid w:val="000E0604"/>
    <w:rsid w:val="000E0A16"/>
    <w:rsid w:val="000E0A62"/>
    <w:rsid w:val="000E0AEC"/>
    <w:rsid w:val="000E0E30"/>
    <w:rsid w:val="000E108B"/>
    <w:rsid w:val="000E10B1"/>
    <w:rsid w:val="000E111A"/>
    <w:rsid w:val="000E120D"/>
    <w:rsid w:val="000E17FB"/>
    <w:rsid w:val="000E18E0"/>
    <w:rsid w:val="000E1B8A"/>
    <w:rsid w:val="000E1E3B"/>
    <w:rsid w:val="000E1F39"/>
    <w:rsid w:val="000E211C"/>
    <w:rsid w:val="000E2307"/>
    <w:rsid w:val="000E25D7"/>
    <w:rsid w:val="000E2695"/>
    <w:rsid w:val="000E2CD3"/>
    <w:rsid w:val="000E2DFE"/>
    <w:rsid w:val="000E2E18"/>
    <w:rsid w:val="000E2EE7"/>
    <w:rsid w:val="000E2F6C"/>
    <w:rsid w:val="000E3125"/>
    <w:rsid w:val="000E325A"/>
    <w:rsid w:val="000E3263"/>
    <w:rsid w:val="000E34CF"/>
    <w:rsid w:val="000E36B0"/>
    <w:rsid w:val="000E36EB"/>
    <w:rsid w:val="000E390A"/>
    <w:rsid w:val="000E3A5B"/>
    <w:rsid w:val="000E3AAB"/>
    <w:rsid w:val="000E3C14"/>
    <w:rsid w:val="000E3E11"/>
    <w:rsid w:val="000E3F09"/>
    <w:rsid w:val="000E3F67"/>
    <w:rsid w:val="000E3FA1"/>
    <w:rsid w:val="000E402B"/>
    <w:rsid w:val="000E4269"/>
    <w:rsid w:val="000E42A9"/>
    <w:rsid w:val="000E4334"/>
    <w:rsid w:val="000E466F"/>
    <w:rsid w:val="000E46BA"/>
    <w:rsid w:val="000E483D"/>
    <w:rsid w:val="000E4850"/>
    <w:rsid w:val="000E491F"/>
    <w:rsid w:val="000E4D7E"/>
    <w:rsid w:val="000E4EB3"/>
    <w:rsid w:val="000E4F49"/>
    <w:rsid w:val="000E501C"/>
    <w:rsid w:val="000E504C"/>
    <w:rsid w:val="000E5199"/>
    <w:rsid w:val="000E5331"/>
    <w:rsid w:val="000E53A6"/>
    <w:rsid w:val="000E57A5"/>
    <w:rsid w:val="000E580D"/>
    <w:rsid w:val="000E5A03"/>
    <w:rsid w:val="000E5A0D"/>
    <w:rsid w:val="000E5B21"/>
    <w:rsid w:val="000E5B4B"/>
    <w:rsid w:val="000E5BEC"/>
    <w:rsid w:val="000E5C83"/>
    <w:rsid w:val="000E5CFC"/>
    <w:rsid w:val="000E5D08"/>
    <w:rsid w:val="000E5D09"/>
    <w:rsid w:val="000E5EB0"/>
    <w:rsid w:val="000E5F28"/>
    <w:rsid w:val="000E5F59"/>
    <w:rsid w:val="000E5F5C"/>
    <w:rsid w:val="000E6044"/>
    <w:rsid w:val="000E6300"/>
    <w:rsid w:val="000E6565"/>
    <w:rsid w:val="000E684A"/>
    <w:rsid w:val="000E6917"/>
    <w:rsid w:val="000E6975"/>
    <w:rsid w:val="000E6B4C"/>
    <w:rsid w:val="000E6CD1"/>
    <w:rsid w:val="000E6FC1"/>
    <w:rsid w:val="000E7203"/>
    <w:rsid w:val="000E7457"/>
    <w:rsid w:val="000E7555"/>
    <w:rsid w:val="000E784E"/>
    <w:rsid w:val="000E7B55"/>
    <w:rsid w:val="000E7BFC"/>
    <w:rsid w:val="000E7C24"/>
    <w:rsid w:val="000E7C6C"/>
    <w:rsid w:val="000E7D02"/>
    <w:rsid w:val="000E7D39"/>
    <w:rsid w:val="000E7E15"/>
    <w:rsid w:val="000E7FED"/>
    <w:rsid w:val="000F0299"/>
    <w:rsid w:val="000F039F"/>
    <w:rsid w:val="000F04B9"/>
    <w:rsid w:val="000F0794"/>
    <w:rsid w:val="000F0A01"/>
    <w:rsid w:val="000F0B45"/>
    <w:rsid w:val="000F0F45"/>
    <w:rsid w:val="000F0F7B"/>
    <w:rsid w:val="000F0F8B"/>
    <w:rsid w:val="000F0FCA"/>
    <w:rsid w:val="000F1575"/>
    <w:rsid w:val="000F1580"/>
    <w:rsid w:val="000F15AF"/>
    <w:rsid w:val="000F1666"/>
    <w:rsid w:val="000F16FA"/>
    <w:rsid w:val="000F1742"/>
    <w:rsid w:val="000F18B5"/>
    <w:rsid w:val="000F18FF"/>
    <w:rsid w:val="000F1C3A"/>
    <w:rsid w:val="000F1CD1"/>
    <w:rsid w:val="000F1D09"/>
    <w:rsid w:val="000F1E2E"/>
    <w:rsid w:val="000F1EEC"/>
    <w:rsid w:val="000F1FD7"/>
    <w:rsid w:val="000F2144"/>
    <w:rsid w:val="000F216D"/>
    <w:rsid w:val="000F21F8"/>
    <w:rsid w:val="000F233B"/>
    <w:rsid w:val="000F2575"/>
    <w:rsid w:val="000F25FF"/>
    <w:rsid w:val="000F277F"/>
    <w:rsid w:val="000F285F"/>
    <w:rsid w:val="000F2891"/>
    <w:rsid w:val="000F2936"/>
    <w:rsid w:val="000F29A6"/>
    <w:rsid w:val="000F2D32"/>
    <w:rsid w:val="000F2E5C"/>
    <w:rsid w:val="000F31C2"/>
    <w:rsid w:val="000F3555"/>
    <w:rsid w:val="000F35A6"/>
    <w:rsid w:val="000F361F"/>
    <w:rsid w:val="000F372B"/>
    <w:rsid w:val="000F38A4"/>
    <w:rsid w:val="000F38D6"/>
    <w:rsid w:val="000F392A"/>
    <w:rsid w:val="000F3A83"/>
    <w:rsid w:val="000F3AFF"/>
    <w:rsid w:val="000F3CA3"/>
    <w:rsid w:val="000F3D1E"/>
    <w:rsid w:val="000F3DC5"/>
    <w:rsid w:val="000F3E21"/>
    <w:rsid w:val="000F4102"/>
    <w:rsid w:val="000F419C"/>
    <w:rsid w:val="000F4259"/>
    <w:rsid w:val="000F4396"/>
    <w:rsid w:val="000F462E"/>
    <w:rsid w:val="000F4783"/>
    <w:rsid w:val="000F47A9"/>
    <w:rsid w:val="000F4B05"/>
    <w:rsid w:val="000F4C20"/>
    <w:rsid w:val="000F4D37"/>
    <w:rsid w:val="000F4D7D"/>
    <w:rsid w:val="000F5051"/>
    <w:rsid w:val="000F50C9"/>
    <w:rsid w:val="000F51D1"/>
    <w:rsid w:val="000F5312"/>
    <w:rsid w:val="000F5A58"/>
    <w:rsid w:val="000F5AAE"/>
    <w:rsid w:val="000F5C72"/>
    <w:rsid w:val="000F5D17"/>
    <w:rsid w:val="000F5F94"/>
    <w:rsid w:val="000F608D"/>
    <w:rsid w:val="000F6198"/>
    <w:rsid w:val="000F61C4"/>
    <w:rsid w:val="000F62C6"/>
    <w:rsid w:val="000F6893"/>
    <w:rsid w:val="000F6ADC"/>
    <w:rsid w:val="000F6D39"/>
    <w:rsid w:val="000F6DC5"/>
    <w:rsid w:val="000F6F84"/>
    <w:rsid w:val="000F701B"/>
    <w:rsid w:val="000F792D"/>
    <w:rsid w:val="000F7989"/>
    <w:rsid w:val="000F7ADE"/>
    <w:rsid w:val="000F7C24"/>
    <w:rsid w:val="000F7C79"/>
    <w:rsid w:val="000F7DB2"/>
    <w:rsid w:val="000F7EC7"/>
    <w:rsid w:val="001001A5"/>
    <w:rsid w:val="0010040F"/>
    <w:rsid w:val="0010041F"/>
    <w:rsid w:val="00100457"/>
    <w:rsid w:val="001005FE"/>
    <w:rsid w:val="0010087F"/>
    <w:rsid w:val="001009D9"/>
    <w:rsid w:val="00100A3A"/>
    <w:rsid w:val="00100B1F"/>
    <w:rsid w:val="00100CFA"/>
    <w:rsid w:val="00100D6C"/>
    <w:rsid w:val="00100E2B"/>
    <w:rsid w:val="001010ED"/>
    <w:rsid w:val="00101120"/>
    <w:rsid w:val="00101473"/>
    <w:rsid w:val="001018AB"/>
    <w:rsid w:val="00101B51"/>
    <w:rsid w:val="00101B54"/>
    <w:rsid w:val="00101BC1"/>
    <w:rsid w:val="00101BC4"/>
    <w:rsid w:val="00101D6A"/>
    <w:rsid w:val="00101D79"/>
    <w:rsid w:val="00101F5F"/>
    <w:rsid w:val="001020E7"/>
    <w:rsid w:val="00102773"/>
    <w:rsid w:val="001027DF"/>
    <w:rsid w:val="00102920"/>
    <w:rsid w:val="00102972"/>
    <w:rsid w:val="001029A7"/>
    <w:rsid w:val="00102E85"/>
    <w:rsid w:val="001033C7"/>
    <w:rsid w:val="001034FA"/>
    <w:rsid w:val="00103579"/>
    <w:rsid w:val="001036CE"/>
    <w:rsid w:val="00103768"/>
    <w:rsid w:val="00103ABD"/>
    <w:rsid w:val="00103B53"/>
    <w:rsid w:val="00103D8D"/>
    <w:rsid w:val="00103DB4"/>
    <w:rsid w:val="00103EAB"/>
    <w:rsid w:val="00103FE1"/>
    <w:rsid w:val="00104055"/>
    <w:rsid w:val="001043BA"/>
    <w:rsid w:val="001043FC"/>
    <w:rsid w:val="001045C2"/>
    <w:rsid w:val="0010462F"/>
    <w:rsid w:val="0010476D"/>
    <w:rsid w:val="00104874"/>
    <w:rsid w:val="00104FA3"/>
    <w:rsid w:val="00105012"/>
    <w:rsid w:val="0010538B"/>
    <w:rsid w:val="001053EB"/>
    <w:rsid w:val="00105422"/>
    <w:rsid w:val="0010559B"/>
    <w:rsid w:val="00105E36"/>
    <w:rsid w:val="00105E5B"/>
    <w:rsid w:val="001060A0"/>
    <w:rsid w:val="001062A0"/>
    <w:rsid w:val="0010642F"/>
    <w:rsid w:val="0010645D"/>
    <w:rsid w:val="00106668"/>
    <w:rsid w:val="00106794"/>
    <w:rsid w:val="001067D0"/>
    <w:rsid w:val="00106904"/>
    <w:rsid w:val="0010694F"/>
    <w:rsid w:val="0010696B"/>
    <w:rsid w:val="00106B1A"/>
    <w:rsid w:val="00106C47"/>
    <w:rsid w:val="00106CA6"/>
    <w:rsid w:val="00106E4E"/>
    <w:rsid w:val="00106ED8"/>
    <w:rsid w:val="001070C8"/>
    <w:rsid w:val="001070E4"/>
    <w:rsid w:val="001073B0"/>
    <w:rsid w:val="00107486"/>
    <w:rsid w:val="001074E2"/>
    <w:rsid w:val="0010751B"/>
    <w:rsid w:val="0010754E"/>
    <w:rsid w:val="0010767D"/>
    <w:rsid w:val="0010769B"/>
    <w:rsid w:val="00107705"/>
    <w:rsid w:val="0010797B"/>
    <w:rsid w:val="001079E1"/>
    <w:rsid w:val="001079FA"/>
    <w:rsid w:val="00107B03"/>
    <w:rsid w:val="00107C1F"/>
    <w:rsid w:val="00107C9B"/>
    <w:rsid w:val="00107E45"/>
    <w:rsid w:val="00107F5B"/>
    <w:rsid w:val="0011002E"/>
    <w:rsid w:val="00110096"/>
    <w:rsid w:val="00110343"/>
    <w:rsid w:val="001105D2"/>
    <w:rsid w:val="001106E8"/>
    <w:rsid w:val="0011073B"/>
    <w:rsid w:val="00110816"/>
    <w:rsid w:val="00110934"/>
    <w:rsid w:val="00110941"/>
    <w:rsid w:val="00110947"/>
    <w:rsid w:val="00110C18"/>
    <w:rsid w:val="00110C5A"/>
    <w:rsid w:val="00110C92"/>
    <w:rsid w:val="00110D05"/>
    <w:rsid w:val="00110D8D"/>
    <w:rsid w:val="00111015"/>
    <w:rsid w:val="0011105A"/>
    <w:rsid w:val="001110BE"/>
    <w:rsid w:val="00111131"/>
    <w:rsid w:val="00111221"/>
    <w:rsid w:val="001113AA"/>
    <w:rsid w:val="001113EC"/>
    <w:rsid w:val="0011142A"/>
    <w:rsid w:val="00111739"/>
    <w:rsid w:val="001118F6"/>
    <w:rsid w:val="00111947"/>
    <w:rsid w:val="0011199C"/>
    <w:rsid w:val="00111A58"/>
    <w:rsid w:val="00111B33"/>
    <w:rsid w:val="00111B5D"/>
    <w:rsid w:val="00111BFF"/>
    <w:rsid w:val="00111C8E"/>
    <w:rsid w:val="00111F8B"/>
    <w:rsid w:val="00112072"/>
    <w:rsid w:val="0011216E"/>
    <w:rsid w:val="0011231F"/>
    <w:rsid w:val="0011241A"/>
    <w:rsid w:val="001124D3"/>
    <w:rsid w:val="00112601"/>
    <w:rsid w:val="001126D2"/>
    <w:rsid w:val="00112891"/>
    <w:rsid w:val="00112B0D"/>
    <w:rsid w:val="00112C80"/>
    <w:rsid w:val="00112DB1"/>
    <w:rsid w:val="00112F32"/>
    <w:rsid w:val="00113011"/>
    <w:rsid w:val="001130A5"/>
    <w:rsid w:val="001133A0"/>
    <w:rsid w:val="001133DB"/>
    <w:rsid w:val="00113836"/>
    <w:rsid w:val="00113E0F"/>
    <w:rsid w:val="001140BD"/>
    <w:rsid w:val="00114131"/>
    <w:rsid w:val="0011428D"/>
    <w:rsid w:val="00114291"/>
    <w:rsid w:val="00114348"/>
    <w:rsid w:val="00114564"/>
    <w:rsid w:val="001146E2"/>
    <w:rsid w:val="00114743"/>
    <w:rsid w:val="00114852"/>
    <w:rsid w:val="0011495F"/>
    <w:rsid w:val="00114981"/>
    <w:rsid w:val="001149CA"/>
    <w:rsid w:val="00114C09"/>
    <w:rsid w:val="00114CB5"/>
    <w:rsid w:val="00114CE1"/>
    <w:rsid w:val="00114CE6"/>
    <w:rsid w:val="00114DAE"/>
    <w:rsid w:val="00114E4A"/>
    <w:rsid w:val="00114F79"/>
    <w:rsid w:val="00115197"/>
    <w:rsid w:val="00115208"/>
    <w:rsid w:val="00115337"/>
    <w:rsid w:val="00115500"/>
    <w:rsid w:val="00115741"/>
    <w:rsid w:val="001157B1"/>
    <w:rsid w:val="001158DD"/>
    <w:rsid w:val="00115A1F"/>
    <w:rsid w:val="00115CC8"/>
    <w:rsid w:val="00115F65"/>
    <w:rsid w:val="00115FEB"/>
    <w:rsid w:val="0011609B"/>
    <w:rsid w:val="001162AE"/>
    <w:rsid w:val="0011637B"/>
    <w:rsid w:val="001163EF"/>
    <w:rsid w:val="00116598"/>
    <w:rsid w:val="00116B0A"/>
    <w:rsid w:val="00116BF5"/>
    <w:rsid w:val="00116E08"/>
    <w:rsid w:val="0011727C"/>
    <w:rsid w:val="00117502"/>
    <w:rsid w:val="001177FD"/>
    <w:rsid w:val="00117977"/>
    <w:rsid w:val="00117AB0"/>
    <w:rsid w:val="00117AB2"/>
    <w:rsid w:val="00117AED"/>
    <w:rsid w:val="00117B74"/>
    <w:rsid w:val="00117D7B"/>
    <w:rsid w:val="00117FF2"/>
    <w:rsid w:val="001200D8"/>
    <w:rsid w:val="00120223"/>
    <w:rsid w:val="00120342"/>
    <w:rsid w:val="00120397"/>
    <w:rsid w:val="00120571"/>
    <w:rsid w:val="00120721"/>
    <w:rsid w:val="00120849"/>
    <w:rsid w:val="001208AA"/>
    <w:rsid w:val="00120911"/>
    <w:rsid w:val="00120A11"/>
    <w:rsid w:val="00120B85"/>
    <w:rsid w:val="00120D8E"/>
    <w:rsid w:val="0012107C"/>
    <w:rsid w:val="00121332"/>
    <w:rsid w:val="001215A2"/>
    <w:rsid w:val="00121852"/>
    <w:rsid w:val="00121AFB"/>
    <w:rsid w:val="00121C09"/>
    <w:rsid w:val="00122334"/>
    <w:rsid w:val="0012246A"/>
    <w:rsid w:val="0012251F"/>
    <w:rsid w:val="00122624"/>
    <w:rsid w:val="00122656"/>
    <w:rsid w:val="0012288F"/>
    <w:rsid w:val="00122C5B"/>
    <w:rsid w:val="00122DAD"/>
    <w:rsid w:val="00122F91"/>
    <w:rsid w:val="00122FBF"/>
    <w:rsid w:val="001232E0"/>
    <w:rsid w:val="001233B2"/>
    <w:rsid w:val="001234F4"/>
    <w:rsid w:val="00123563"/>
    <w:rsid w:val="0012364B"/>
    <w:rsid w:val="00123704"/>
    <w:rsid w:val="00123712"/>
    <w:rsid w:val="00123790"/>
    <w:rsid w:val="00123920"/>
    <w:rsid w:val="00123B4D"/>
    <w:rsid w:val="0012429B"/>
    <w:rsid w:val="001242CC"/>
    <w:rsid w:val="00124538"/>
    <w:rsid w:val="001249D4"/>
    <w:rsid w:val="00124B5D"/>
    <w:rsid w:val="00124C46"/>
    <w:rsid w:val="00124C97"/>
    <w:rsid w:val="00124CBA"/>
    <w:rsid w:val="00124E23"/>
    <w:rsid w:val="0012500E"/>
    <w:rsid w:val="0012509E"/>
    <w:rsid w:val="00125372"/>
    <w:rsid w:val="00125522"/>
    <w:rsid w:val="001255CD"/>
    <w:rsid w:val="0012573A"/>
    <w:rsid w:val="00125847"/>
    <w:rsid w:val="00125877"/>
    <w:rsid w:val="00125A0A"/>
    <w:rsid w:val="00125B10"/>
    <w:rsid w:val="00125D7F"/>
    <w:rsid w:val="00125FCB"/>
    <w:rsid w:val="001260C7"/>
    <w:rsid w:val="0012626B"/>
    <w:rsid w:val="0012626D"/>
    <w:rsid w:val="001262F0"/>
    <w:rsid w:val="001264C7"/>
    <w:rsid w:val="00126539"/>
    <w:rsid w:val="00126662"/>
    <w:rsid w:val="001267BE"/>
    <w:rsid w:val="001269E0"/>
    <w:rsid w:val="00126C48"/>
    <w:rsid w:val="00126F9B"/>
    <w:rsid w:val="00127186"/>
    <w:rsid w:val="001271CA"/>
    <w:rsid w:val="00127202"/>
    <w:rsid w:val="0012733B"/>
    <w:rsid w:val="001273C6"/>
    <w:rsid w:val="00127524"/>
    <w:rsid w:val="001276B6"/>
    <w:rsid w:val="001276E7"/>
    <w:rsid w:val="00127C40"/>
    <w:rsid w:val="00127D2F"/>
    <w:rsid w:val="00127DE8"/>
    <w:rsid w:val="00127E40"/>
    <w:rsid w:val="00130029"/>
    <w:rsid w:val="0013016E"/>
    <w:rsid w:val="001301B2"/>
    <w:rsid w:val="00130209"/>
    <w:rsid w:val="001302D8"/>
    <w:rsid w:val="00130320"/>
    <w:rsid w:val="00130357"/>
    <w:rsid w:val="0013070F"/>
    <w:rsid w:val="00130726"/>
    <w:rsid w:val="00130920"/>
    <w:rsid w:val="00130B28"/>
    <w:rsid w:val="00130B2D"/>
    <w:rsid w:val="00130B7C"/>
    <w:rsid w:val="00130BB1"/>
    <w:rsid w:val="00130DA9"/>
    <w:rsid w:val="00130F55"/>
    <w:rsid w:val="0013109C"/>
    <w:rsid w:val="00131159"/>
    <w:rsid w:val="001311C0"/>
    <w:rsid w:val="001314A8"/>
    <w:rsid w:val="001314B8"/>
    <w:rsid w:val="00131560"/>
    <w:rsid w:val="001315AA"/>
    <w:rsid w:val="00131647"/>
    <w:rsid w:val="00131676"/>
    <w:rsid w:val="00131726"/>
    <w:rsid w:val="00131883"/>
    <w:rsid w:val="001319BF"/>
    <w:rsid w:val="00131AEE"/>
    <w:rsid w:val="00131AF3"/>
    <w:rsid w:val="00131B6E"/>
    <w:rsid w:val="00131BF8"/>
    <w:rsid w:val="00131D07"/>
    <w:rsid w:val="0013201D"/>
    <w:rsid w:val="00132197"/>
    <w:rsid w:val="001323EE"/>
    <w:rsid w:val="00132496"/>
    <w:rsid w:val="0013249C"/>
    <w:rsid w:val="001324CE"/>
    <w:rsid w:val="00132595"/>
    <w:rsid w:val="00132888"/>
    <w:rsid w:val="00132955"/>
    <w:rsid w:val="00132E93"/>
    <w:rsid w:val="00133059"/>
    <w:rsid w:val="00133261"/>
    <w:rsid w:val="0013365A"/>
    <w:rsid w:val="00133801"/>
    <w:rsid w:val="0013398E"/>
    <w:rsid w:val="00133A94"/>
    <w:rsid w:val="00133B41"/>
    <w:rsid w:val="00134096"/>
    <w:rsid w:val="001343D6"/>
    <w:rsid w:val="001344F3"/>
    <w:rsid w:val="00134806"/>
    <w:rsid w:val="00134901"/>
    <w:rsid w:val="00134D97"/>
    <w:rsid w:val="00134EEA"/>
    <w:rsid w:val="0013500F"/>
    <w:rsid w:val="00135183"/>
    <w:rsid w:val="00135486"/>
    <w:rsid w:val="00135534"/>
    <w:rsid w:val="00135629"/>
    <w:rsid w:val="00135705"/>
    <w:rsid w:val="00135802"/>
    <w:rsid w:val="0013582C"/>
    <w:rsid w:val="001358B2"/>
    <w:rsid w:val="0013591E"/>
    <w:rsid w:val="00135BCA"/>
    <w:rsid w:val="00135C73"/>
    <w:rsid w:val="00135DD6"/>
    <w:rsid w:val="00135F10"/>
    <w:rsid w:val="00135F86"/>
    <w:rsid w:val="00136132"/>
    <w:rsid w:val="00136728"/>
    <w:rsid w:val="0013672C"/>
    <w:rsid w:val="0013680F"/>
    <w:rsid w:val="001368C9"/>
    <w:rsid w:val="001369B2"/>
    <w:rsid w:val="00136A86"/>
    <w:rsid w:val="00136BC9"/>
    <w:rsid w:val="00136D81"/>
    <w:rsid w:val="00136E69"/>
    <w:rsid w:val="00136F4E"/>
    <w:rsid w:val="00136F81"/>
    <w:rsid w:val="001371F1"/>
    <w:rsid w:val="001374E9"/>
    <w:rsid w:val="00137504"/>
    <w:rsid w:val="00137693"/>
    <w:rsid w:val="001378DB"/>
    <w:rsid w:val="001379CD"/>
    <w:rsid w:val="00137A0B"/>
    <w:rsid w:val="00137BB8"/>
    <w:rsid w:val="00137CF2"/>
    <w:rsid w:val="00137D41"/>
    <w:rsid w:val="00137D76"/>
    <w:rsid w:val="00137FB4"/>
    <w:rsid w:val="001400F2"/>
    <w:rsid w:val="00140169"/>
    <w:rsid w:val="001402E6"/>
    <w:rsid w:val="0014031D"/>
    <w:rsid w:val="001403BC"/>
    <w:rsid w:val="001404E6"/>
    <w:rsid w:val="00140558"/>
    <w:rsid w:val="0014064C"/>
    <w:rsid w:val="00140A8F"/>
    <w:rsid w:val="00140C7C"/>
    <w:rsid w:val="00140D31"/>
    <w:rsid w:val="00140F40"/>
    <w:rsid w:val="00141468"/>
    <w:rsid w:val="00141745"/>
    <w:rsid w:val="0014192F"/>
    <w:rsid w:val="00141A68"/>
    <w:rsid w:val="00141A8E"/>
    <w:rsid w:val="00141D41"/>
    <w:rsid w:val="00141DB9"/>
    <w:rsid w:val="00141E9E"/>
    <w:rsid w:val="00141F41"/>
    <w:rsid w:val="0014226C"/>
    <w:rsid w:val="00142386"/>
    <w:rsid w:val="001424AA"/>
    <w:rsid w:val="001428B0"/>
    <w:rsid w:val="00143110"/>
    <w:rsid w:val="001431E9"/>
    <w:rsid w:val="0014321A"/>
    <w:rsid w:val="0014329D"/>
    <w:rsid w:val="00143395"/>
    <w:rsid w:val="001433B0"/>
    <w:rsid w:val="001433B1"/>
    <w:rsid w:val="001435EA"/>
    <w:rsid w:val="0014388A"/>
    <w:rsid w:val="00143A6A"/>
    <w:rsid w:val="00143D5E"/>
    <w:rsid w:val="00143E21"/>
    <w:rsid w:val="001440E4"/>
    <w:rsid w:val="00144107"/>
    <w:rsid w:val="001442AB"/>
    <w:rsid w:val="0014436C"/>
    <w:rsid w:val="00144600"/>
    <w:rsid w:val="001446BB"/>
    <w:rsid w:val="00144814"/>
    <w:rsid w:val="001449F5"/>
    <w:rsid w:val="00144A3E"/>
    <w:rsid w:val="00144AD4"/>
    <w:rsid w:val="00144C3E"/>
    <w:rsid w:val="00144E45"/>
    <w:rsid w:val="00144E85"/>
    <w:rsid w:val="00145195"/>
    <w:rsid w:val="00145244"/>
    <w:rsid w:val="0014531C"/>
    <w:rsid w:val="0014555E"/>
    <w:rsid w:val="0014567A"/>
    <w:rsid w:val="0014572C"/>
    <w:rsid w:val="00145819"/>
    <w:rsid w:val="001458FF"/>
    <w:rsid w:val="001459BF"/>
    <w:rsid w:val="00145A53"/>
    <w:rsid w:val="00145B1F"/>
    <w:rsid w:val="00145B4A"/>
    <w:rsid w:val="00145B54"/>
    <w:rsid w:val="00145C22"/>
    <w:rsid w:val="00145CA0"/>
    <w:rsid w:val="00145F2F"/>
    <w:rsid w:val="00145F40"/>
    <w:rsid w:val="0014618A"/>
    <w:rsid w:val="001463C9"/>
    <w:rsid w:val="00146490"/>
    <w:rsid w:val="001464C3"/>
    <w:rsid w:val="001464F3"/>
    <w:rsid w:val="00146603"/>
    <w:rsid w:val="00146B73"/>
    <w:rsid w:val="00146BEF"/>
    <w:rsid w:val="00146C10"/>
    <w:rsid w:val="00146E39"/>
    <w:rsid w:val="00146E64"/>
    <w:rsid w:val="00147213"/>
    <w:rsid w:val="00147584"/>
    <w:rsid w:val="00147AD6"/>
    <w:rsid w:val="00147CFE"/>
    <w:rsid w:val="00147EF0"/>
    <w:rsid w:val="001501DC"/>
    <w:rsid w:val="001502D2"/>
    <w:rsid w:val="00150404"/>
    <w:rsid w:val="001504C8"/>
    <w:rsid w:val="0015051D"/>
    <w:rsid w:val="0015066E"/>
    <w:rsid w:val="00150C12"/>
    <w:rsid w:val="00150C67"/>
    <w:rsid w:val="00150E4A"/>
    <w:rsid w:val="00150EC0"/>
    <w:rsid w:val="00151023"/>
    <w:rsid w:val="00151195"/>
    <w:rsid w:val="0015139D"/>
    <w:rsid w:val="00151594"/>
    <w:rsid w:val="001516B0"/>
    <w:rsid w:val="001517F2"/>
    <w:rsid w:val="001518E7"/>
    <w:rsid w:val="001519FA"/>
    <w:rsid w:val="00151B5B"/>
    <w:rsid w:val="00151BBC"/>
    <w:rsid w:val="00151D54"/>
    <w:rsid w:val="00151DDD"/>
    <w:rsid w:val="00151F7C"/>
    <w:rsid w:val="00152021"/>
    <w:rsid w:val="001522CD"/>
    <w:rsid w:val="00152432"/>
    <w:rsid w:val="001525B3"/>
    <w:rsid w:val="00152678"/>
    <w:rsid w:val="001526A0"/>
    <w:rsid w:val="00152881"/>
    <w:rsid w:val="001528EC"/>
    <w:rsid w:val="00152C8A"/>
    <w:rsid w:val="00152D2C"/>
    <w:rsid w:val="00152F24"/>
    <w:rsid w:val="00152FAF"/>
    <w:rsid w:val="0015311E"/>
    <w:rsid w:val="0015313A"/>
    <w:rsid w:val="001531DE"/>
    <w:rsid w:val="0015329B"/>
    <w:rsid w:val="001533D3"/>
    <w:rsid w:val="00153717"/>
    <w:rsid w:val="00153A37"/>
    <w:rsid w:val="00153AD5"/>
    <w:rsid w:val="00154018"/>
    <w:rsid w:val="0015414C"/>
    <w:rsid w:val="0015425F"/>
    <w:rsid w:val="001542C0"/>
    <w:rsid w:val="00154377"/>
    <w:rsid w:val="00154438"/>
    <w:rsid w:val="001544B7"/>
    <w:rsid w:val="00154578"/>
    <w:rsid w:val="001546A7"/>
    <w:rsid w:val="00154783"/>
    <w:rsid w:val="0015481F"/>
    <w:rsid w:val="0015497C"/>
    <w:rsid w:val="00154BBD"/>
    <w:rsid w:val="00154C06"/>
    <w:rsid w:val="00154EDA"/>
    <w:rsid w:val="00154EDE"/>
    <w:rsid w:val="00154F47"/>
    <w:rsid w:val="001551B2"/>
    <w:rsid w:val="001552A0"/>
    <w:rsid w:val="00155337"/>
    <w:rsid w:val="00155587"/>
    <w:rsid w:val="001555DC"/>
    <w:rsid w:val="001559C9"/>
    <w:rsid w:val="00155A14"/>
    <w:rsid w:val="00155CEF"/>
    <w:rsid w:val="0015601C"/>
    <w:rsid w:val="0015611B"/>
    <w:rsid w:val="0015631C"/>
    <w:rsid w:val="001563B7"/>
    <w:rsid w:val="00156454"/>
    <w:rsid w:val="0015675E"/>
    <w:rsid w:val="001567F6"/>
    <w:rsid w:val="001568B2"/>
    <w:rsid w:val="001568CB"/>
    <w:rsid w:val="0015694D"/>
    <w:rsid w:val="00156985"/>
    <w:rsid w:val="00156A4B"/>
    <w:rsid w:val="00156AC1"/>
    <w:rsid w:val="00156CA0"/>
    <w:rsid w:val="0015715D"/>
    <w:rsid w:val="0015722E"/>
    <w:rsid w:val="0015733C"/>
    <w:rsid w:val="00157346"/>
    <w:rsid w:val="00157590"/>
    <w:rsid w:val="001575B5"/>
    <w:rsid w:val="001577BB"/>
    <w:rsid w:val="0015786F"/>
    <w:rsid w:val="00157BA7"/>
    <w:rsid w:val="00157D20"/>
    <w:rsid w:val="00157EDE"/>
    <w:rsid w:val="00157F70"/>
    <w:rsid w:val="00160061"/>
    <w:rsid w:val="001601C0"/>
    <w:rsid w:val="001604A0"/>
    <w:rsid w:val="0016082B"/>
    <w:rsid w:val="00160971"/>
    <w:rsid w:val="00160E39"/>
    <w:rsid w:val="00160E54"/>
    <w:rsid w:val="001610D6"/>
    <w:rsid w:val="001612F1"/>
    <w:rsid w:val="00161316"/>
    <w:rsid w:val="00161353"/>
    <w:rsid w:val="001614EB"/>
    <w:rsid w:val="00161625"/>
    <w:rsid w:val="00161627"/>
    <w:rsid w:val="001618A2"/>
    <w:rsid w:val="001618CE"/>
    <w:rsid w:val="00161960"/>
    <w:rsid w:val="00161CA2"/>
    <w:rsid w:val="00161CA4"/>
    <w:rsid w:val="00161D1A"/>
    <w:rsid w:val="00161DF6"/>
    <w:rsid w:val="00161EC5"/>
    <w:rsid w:val="0016201C"/>
    <w:rsid w:val="00162102"/>
    <w:rsid w:val="00162116"/>
    <w:rsid w:val="00162242"/>
    <w:rsid w:val="001622B7"/>
    <w:rsid w:val="0016252E"/>
    <w:rsid w:val="00162582"/>
    <w:rsid w:val="00162652"/>
    <w:rsid w:val="001626D7"/>
    <w:rsid w:val="001627B0"/>
    <w:rsid w:val="00162D11"/>
    <w:rsid w:val="001631CF"/>
    <w:rsid w:val="00163256"/>
    <w:rsid w:val="0016328B"/>
    <w:rsid w:val="001634FE"/>
    <w:rsid w:val="0016352F"/>
    <w:rsid w:val="00163796"/>
    <w:rsid w:val="001637C9"/>
    <w:rsid w:val="001637F7"/>
    <w:rsid w:val="0016384E"/>
    <w:rsid w:val="00163936"/>
    <w:rsid w:val="00163A72"/>
    <w:rsid w:val="00163AB8"/>
    <w:rsid w:val="00163B6D"/>
    <w:rsid w:val="00163E7E"/>
    <w:rsid w:val="0016418F"/>
    <w:rsid w:val="001641FC"/>
    <w:rsid w:val="00164549"/>
    <w:rsid w:val="001647DB"/>
    <w:rsid w:val="00164954"/>
    <w:rsid w:val="001649DB"/>
    <w:rsid w:val="00164A46"/>
    <w:rsid w:val="00164C0B"/>
    <w:rsid w:val="00164D98"/>
    <w:rsid w:val="00164E0F"/>
    <w:rsid w:val="001650B2"/>
    <w:rsid w:val="0016557D"/>
    <w:rsid w:val="00165D1E"/>
    <w:rsid w:val="00166064"/>
    <w:rsid w:val="00166128"/>
    <w:rsid w:val="0016626E"/>
    <w:rsid w:val="001665A9"/>
    <w:rsid w:val="0016668D"/>
    <w:rsid w:val="00166747"/>
    <w:rsid w:val="0016689E"/>
    <w:rsid w:val="001670A6"/>
    <w:rsid w:val="001670EA"/>
    <w:rsid w:val="00167136"/>
    <w:rsid w:val="001673DA"/>
    <w:rsid w:val="00167555"/>
    <w:rsid w:val="001675A6"/>
    <w:rsid w:val="00167704"/>
    <w:rsid w:val="00167883"/>
    <w:rsid w:val="00167985"/>
    <w:rsid w:val="00167A65"/>
    <w:rsid w:val="00167C46"/>
    <w:rsid w:val="00167F4C"/>
    <w:rsid w:val="00170157"/>
    <w:rsid w:val="0017024F"/>
    <w:rsid w:val="0017030A"/>
    <w:rsid w:val="001703F7"/>
    <w:rsid w:val="0017046D"/>
    <w:rsid w:val="0017063E"/>
    <w:rsid w:val="001706E9"/>
    <w:rsid w:val="0017078D"/>
    <w:rsid w:val="00170815"/>
    <w:rsid w:val="001709E2"/>
    <w:rsid w:val="00170BBD"/>
    <w:rsid w:val="00170C75"/>
    <w:rsid w:val="001710AE"/>
    <w:rsid w:val="001710D4"/>
    <w:rsid w:val="00171734"/>
    <w:rsid w:val="00171783"/>
    <w:rsid w:val="001718EE"/>
    <w:rsid w:val="001719C2"/>
    <w:rsid w:val="001719D8"/>
    <w:rsid w:val="001719D9"/>
    <w:rsid w:val="00171A4E"/>
    <w:rsid w:val="00171CA6"/>
    <w:rsid w:val="00171F13"/>
    <w:rsid w:val="00171FCE"/>
    <w:rsid w:val="00172058"/>
    <w:rsid w:val="00172239"/>
    <w:rsid w:val="00172303"/>
    <w:rsid w:val="001725AC"/>
    <w:rsid w:val="001725D5"/>
    <w:rsid w:val="001727E2"/>
    <w:rsid w:val="0017283C"/>
    <w:rsid w:val="00172AB0"/>
    <w:rsid w:val="00172E29"/>
    <w:rsid w:val="001732FF"/>
    <w:rsid w:val="00173422"/>
    <w:rsid w:val="00173494"/>
    <w:rsid w:val="00173647"/>
    <w:rsid w:val="0017366F"/>
    <w:rsid w:val="001736FF"/>
    <w:rsid w:val="00173808"/>
    <w:rsid w:val="00173C7F"/>
    <w:rsid w:val="00173ECD"/>
    <w:rsid w:val="00173F27"/>
    <w:rsid w:val="00174081"/>
    <w:rsid w:val="001740E4"/>
    <w:rsid w:val="0017445D"/>
    <w:rsid w:val="00174565"/>
    <w:rsid w:val="001745A0"/>
    <w:rsid w:val="00174612"/>
    <w:rsid w:val="001747D7"/>
    <w:rsid w:val="001749F1"/>
    <w:rsid w:val="00174A1D"/>
    <w:rsid w:val="00174A53"/>
    <w:rsid w:val="00174AEA"/>
    <w:rsid w:val="00174C72"/>
    <w:rsid w:val="00174FBC"/>
    <w:rsid w:val="00175056"/>
    <w:rsid w:val="001750D0"/>
    <w:rsid w:val="00175275"/>
    <w:rsid w:val="00175654"/>
    <w:rsid w:val="0017575C"/>
    <w:rsid w:val="00175869"/>
    <w:rsid w:val="001759C0"/>
    <w:rsid w:val="001759C8"/>
    <w:rsid w:val="00175A41"/>
    <w:rsid w:val="00175B23"/>
    <w:rsid w:val="00175BF4"/>
    <w:rsid w:val="00175ECE"/>
    <w:rsid w:val="00175FD4"/>
    <w:rsid w:val="0017603C"/>
    <w:rsid w:val="0017605E"/>
    <w:rsid w:val="001760F6"/>
    <w:rsid w:val="001762B9"/>
    <w:rsid w:val="00176372"/>
    <w:rsid w:val="0017644A"/>
    <w:rsid w:val="00176584"/>
    <w:rsid w:val="00176868"/>
    <w:rsid w:val="00176893"/>
    <w:rsid w:val="00176A10"/>
    <w:rsid w:val="001770DD"/>
    <w:rsid w:val="00177124"/>
    <w:rsid w:val="00177391"/>
    <w:rsid w:val="00177692"/>
    <w:rsid w:val="0017772F"/>
    <w:rsid w:val="00177CB5"/>
    <w:rsid w:val="00177D7F"/>
    <w:rsid w:val="00177FEA"/>
    <w:rsid w:val="001800E2"/>
    <w:rsid w:val="001800FC"/>
    <w:rsid w:val="0018010E"/>
    <w:rsid w:val="001802CC"/>
    <w:rsid w:val="001805C0"/>
    <w:rsid w:val="0018090A"/>
    <w:rsid w:val="00180AC9"/>
    <w:rsid w:val="00180CBB"/>
    <w:rsid w:val="00180CC0"/>
    <w:rsid w:val="00180EB9"/>
    <w:rsid w:val="0018129E"/>
    <w:rsid w:val="0018132C"/>
    <w:rsid w:val="0018132E"/>
    <w:rsid w:val="001813F1"/>
    <w:rsid w:val="001818D8"/>
    <w:rsid w:val="001819E5"/>
    <w:rsid w:val="00181A2A"/>
    <w:rsid w:val="00181E01"/>
    <w:rsid w:val="00182114"/>
    <w:rsid w:val="0018216C"/>
    <w:rsid w:val="001821FB"/>
    <w:rsid w:val="0018229D"/>
    <w:rsid w:val="001822AC"/>
    <w:rsid w:val="0018256E"/>
    <w:rsid w:val="0018269E"/>
    <w:rsid w:val="001827D1"/>
    <w:rsid w:val="00182804"/>
    <w:rsid w:val="0018298A"/>
    <w:rsid w:val="00182C01"/>
    <w:rsid w:val="00182D11"/>
    <w:rsid w:val="00182D35"/>
    <w:rsid w:val="00182FBB"/>
    <w:rsid w:val="00183270"/>
    <w:rsid w:val="00183476"/>
    <w:rsid w:val="00183561"/>
    <w:rsid w:val="00183613"/>
    <w:rsid w:val="001838F6"/>
    <w:rsid w:val="00183AB5"/>
    <w:rsid w:val="00183BC1"/>
    <w:rsid w:val="00183DF6"/>
    <w:rsid w:val="0018455E"/>
    <w:rsid w:val="00184607"/>
    <w:rsid w:val="0018461C"/>
    <w:rsid w:val="001846D5"/>
    <w:rsid w:val="0018487E"/>
    <w:rsid w:val="00184BF8"/>
    <w:rsid w:val="00185348"/>
    <w:rsid w:val="001854C8"/>
    <w:rsid w:val="00185658"/>
    <w:rsid w:val="00185772"/>
    <w:rsid w:val="001859E4"/>
    <w:rsid w:val="00185A8C"/>
    <w:rsid w:val="00185AB7"/>
    <w:rsid w:val="00185C45"/>
    <w:rsid w:val="00185DA4"/>
    <w:rsid w:val="00185E21"/>
    <w:rsid w:val="00186032"/>
    <w:rsid w:val="001861B3"/>
    <w:rsid w:val="00186232"/>
    <w:rsid w:val="00186239"/>
    <w:rsid w:val="0018631B"/>
    <w:rsid w:val="0018638A"/>
    <w:rsid w:val="00186530"/>
    <w:rsid w:val="001865DB"/>
    <w:rsid w:val="001866BC"/>
    <w:rsid w:val="00186B25"/>
    <w:rsid w:val="00186E6C"/>
    <w:rsid w:val="00186EBD"/>
    <w:rsid w:val="001872DA"/>
    <w:rsid w:val="0018746B"/>
    <w:rsid w:val="001874AC"/>
    <w:rsid w:val="00187664"/>
    <w:rsid w:val="0018778E"/>
    <w:rsid w:val="001878AA"/>
    <w:rsid w:val="001879D1"/>
    <w:rsid w:val="00187A24"/>
    <w:rsid w:val="00187A7B"/>
    <w:rsid w:val="00187B7C"/>
    <w:rsid w:val="00187CFA"/>
    <w:rsid w:val="001902A2"/>
    <w:rsid w:val="0019049A"/>
    <w:rsid w:val="001906CF"/>
    <w:rsid w:val="00190775"/>
    <w:rsid w:val="00190784"/>
    <w:rsid w:val="00190B97"/>
    <w:rsid w:val="00190D57"/>
    <w:rsid w:val="00190D9D"/>
    <w:rsid w:val="00190F31"/>
    <w:rsid w:val="001910FA"/>
    <w:rsid w:val="0019130F"/>
    <w:rsid w:val="0019148A"/>
    <w:rsid w:val="001914DB"/>
    <w:rsid w:val="001915AE"/>
    <w:rsid w:val="00191916"/>
    <w:rsid w:val="00191A24"/>
    <w:rsid w:val="00191A2A"/>
    <w:rsid w:val="00191AEF"/>
    <w:rsid w:val="00191AFD"/>
    <w:rsid w:val="00191C90"/>
    <w:rsid w:val="00191D75"/>
    <w:rsid w:val="00191DEC"/>
    <w:rsid w:val="00191E8D"/>
    <w:rsid w:val="00191EB7"/>
    <w:rsid w:val="001920A5"/>
    <w:rsid w:val="0019218C"/>
    <w:rsid w:val="00192226"/>
    <w:rsid w:val="0019231B"/>
    <w:rsid w:val="00192368"/>
    <w:rsid w:val="00192405"/>
    <w:rsid w:val="00192454"/>
    <w:rsid w:val="00192594"/>
    <w:rsid w:val="00192695"/>
    <w:rsid w:val="00192BB8"/>
    <w:rsid w:val="00192D72"/>
    <w:rsid w:val="00192EC7"/>
    <w:rsid w:val="00192FBD"/>
    <w:rsid w:val="00193028"/>
    <w:rsid w:val="00193093"/>
    <w:rsid w:val="0019329E"/>
    <w:rsid w:val="00193412"/>
    <w:rsid w:val="00193444"/>
    <w:rsid w:val="00193594"/>
    <w:rsid w:val="00193A47"/>
    <w:rsid w:val="00193C77"/>
    <w:rsid w:val="001943DE"/>
    <w:rsid w:val="001945B1"/>
    <w:rsid w:val="0019472E"/>
    <w:rsid w:val="00194AB6"/>
    <w:rsid w:val="00194AFA"/>
    <w:rsid w:val="00194C00"/>
    <w:rsid w:val="00194C4A"/>
    <w:rsid w:val="00194E93"/>
    <w:rsid w:val="001950F7"/>
    <w:rsid w:val="00195283"/>
    <w:rsid w:val="001953A5"/>
    <w:rsid w:val="001953B0"/>
    <w:rsid w:val="001953CB"/>
    <w:rsid w:val="001953F9"/>
    <w:rsid w:val="00195448"/>
    <w:rsid w:val="0019547C"/>
    <w:rsid w:val="001956A5"/>
    <w:rsid w:val="0019578E"/>
    <w:rsid w:val="0019583C"/>
    <w:rsid w:val="001959C7"/>
    <w:rsid w:val="00195A12"/>
    <w:rsid w:val="00195A5C"/>
    <w:rsid w:val="00195ACA"/>
    <w:rsid w:val="00195C48"/>
    <w:rsid w:val="00195C98"/>
    <w:rsid w:val="00196524"/>
    <w:rsid w:val="001966EE"/>
    <w:rsid w:val="00196845"/>
    <w:rsid w:val="001968A9"/>
    <w:rsid w:val="00196D37"/>
    <w:rsid w:val="00196D93"/>
    <w:rsid w:val="00196F16"/>
    <w:rsid w:val="00196FBE"/>
    <w:rsid w:val="00197169"/>
    <w:rsid w:val="001971ED"/>
    <w:rsid w:val="0019739C"/>
    <w:rsid w:val="0019749B"/>
    <w:rsid w:val="00197797"/>
    <w:rsid w:val="00197AD7"/>
    <w:rsid w:val="00197BEE"/>
    <w:rsid w:val="00197C9A"/>
    <w:rsid w:val="00197F15"/>
    <w:rsid w:val="001A01EC"/>
    <w:rsid w:val="001A0373"/>
    <w:rsid w:val="001A0711"/>
    <w:rsid w:val="001A0A55"/>
    <w:rsid w:val="001A0F78"/>
    <w:rsid w:val="001A0FFE"/>
    <w:rsid w:val="001A10AC"/>
    <w:rsid w:val="001A116F"/>
    <w:rsid w:val="001A12C7"/>
    <w:rsid w:val="001A12EB"/>
    <w:rsid w:val="001A133A"/>
    <w:rsid w:val="001A143D"/>
    <w:rsid w:val="001A160E"/>
    <w:rsid w:val="001A1828"/>
    <w:rsid w:val="001A18DA"/>
    <w:rsid w:val="001A19E0"/>
    <w:rsid w:val="001A1AAE"/>
    <w:rsid w:val="001A1C9D"/>
    <w:rsid w:val="001A1E05"/>
    <w:rsid w:val="001A1F7A"/>
    <w:rsid w:val="001A201E"/>
    <w:rsid w:val="001A20AF"/>
    <w:rsid w:val="001A231D"/>
    <w:rsid w:val="001A2679"/>
    <w:rsid w:val="001A277E"/>
    <w:rsid w:val="001A295B"/>
    <w:rsid w:val="001A2AB1"/>
    <w:rsid w:val="001A2C55"/>
    <w:rsid w:val="001A2CE0"/>
    <w:rsid w:val="001A2EF8"/>
    <w:rsid w:val="001A2FFC"/>
    <w:rsid w:val="001A301B"/>
    <w:rsid w:val="001A3115"/>
    <w:rsid w:val="001A349B"/>
    <w:rsid w:val="001A34A2"/>
    <w:rsid w:val="001A35FF"/>
    <w:rsid w:val="001A36BA"/>
    <w:rsid w:val="001A374C"/>
    <w:rsid w:val="001A38F2"/>
    <w:rsid w:val="001A3AAA"/>
    <w:rsid w:val="001A3D2E"/>
    <w:rsid w:val="001A401F"/>
    <w:rsid w:val="001A41DE"/>
    <w:rsid w:val="001A420E"/>
    <w:rsid w:val="001A426A"/>
    <w:rsid w:val="001A43BE"/>
    <w:rsid w:val="001A43C4"/>
    <w:rsid w:val="001A4514"/>
    <w:rsid w:val="001A4849"/>
    <w:rsid w:val="001A48E0"/>
    <w:rsid w:val="001A4905"/>
    <w:rsid w:val="001A496A"/>
    <w:rsid w:val="001A4BEA"/>
    <w:rsid w:val="001A4C40"/>
    <w:rsid w:val="001A4C7B"/>
    <w:rsid w:val="001A4D19"/>
    <w:rsid w:val="001A4E03"/>
    <w:rsid w:val="001A4E04"/>
    <w:rsid w:val="001A4E95"/>
    <w:rsid w:val="001A5171"/>
    <w:rsid w:val="001A517E"/>
    <w:rsid w:val="001A51BF"/>
    <w:rsid w:val="001A5699"/>
    <w:rsid w:val="001A577D"/>
    <w:rsid w:val="001A5800"/>
    <w:rsid w:val="001A5977"/>
    <w:rsid w:val="001A5A1F"/>
    <w:rsid w:val="001A5AEE"/>
    <w:rsid w:val="001A5BAC"/>
    <w:rsid w:val="001A5BBB"/>
    <w:rsid w:val="001A5BE8"/>
    <w:rsid w:val="001A5D4E"/>
    <w:rsid w:val="001A5E07"/>
    <w:rsid w:val="001A5E85"/>
    <w:rsid w:val="001A612C"/>
    <w:rsid w:val="001A61EB"/>
    <w:rsid w:val="001A6357"/>
    <w:rsid w:val="001A64A7"/>
    <w:rsid w:val="001A64C7"/>
    <w:rsid w:val="001A64DD"/>
    <w:rsid w:val="001A6683"/>
    <w:rsid w:val="001A6776"/>
    <w:rsid w:val="001A68E4"/>
    <w:rsid w:val="001A6900"/>
    <w:rsid w:val="001A6B07"/>
    <w:rsid w:val="001A6E0F"/>
    <w:rsid w:val="001A6F72"/>
    <w:rsid w:val="001A7027"/>
    <w:rsid w:val="001A7053"/>
    <w:rsid w:val="001A71C8"/>
    <w:rsid w:val="001A7261"/>
    <w:rsid w:val="001A738E"/>
    <w:rsid w:val="001A7432"/>
    <w:rsid w:val="001A7661"/>
    <w:rsid w:val="001A76F3"/>
    <w:rsid w:val="001A774F"/>
    <w:rsid w:val="001A7A4C"/>
    <w:rsid w:val="001A7CCD"/>
    <w:rsid w:val="001B051E"/>
    <w:rsid w:val="001B0746"/>
    <w:rsid w:val="001B08F3"/>
    <w:rsid w:val="001B09FC"/>
    <w:rsid w:val="001B0AD3"/>
    <w:rsid w:val="001B0D58"/>
    <w:rsid w:val="001B0E2A"/>
    <w:rsid w:val="001B0FDB"/>
    <w:rsid w:val="001B102E"/>
    <w:rsid w:val="001B10FA"/>
    <w:rsid w:val="001B1314"/>
    <w:rsid w:val="001B138F"/>
    <w:rsid w:val="001B1627"/>
    <w:rsid w:val="001B16B0"/>
    <w:rsid w:val="001B188E"/>
    <w:rsid w:val="001B1BAC"/>
    <w:rsid w:val="001B1CE5"/>
    <w:rsid w:val="001B1D90"/>
    <w:rsid w:val="001B2013"/>
    <w:rsid w:val="001B2045"/>
    <w:rsid w:val="001B216C"/>
    <w:rsid w:val="001B2188"/>
    <w:rsid w:val="001B2257"/>
    <w:rsid w:val="001B2586"/>
    <w:rsid w:val="001B25A0"/>
    <w:rsid w:val="001B25BD"/>
    <w:rsid w:val="001B26FE"/>
    <w:rsid w:val="001B295A"/>
    <w:rsid w:val="001B29A1"/>
    <w:rsid w:val="001B29D2"/>
    <w:rsid w:val="001B2A07"/>
    <w:rsid w:val="001B2B9F"/>
    <w:rsid w:val="001B3066"/>
    <w:rsid w:val="001B3164"/>
    <w:rsid w:val="001B3178"/>
    <w:rsid w:val="001B3209"/>
    <w:rsid w:val="001B330E"/>
    <w:rsid w:val="001B365B"/>
    <w:rsid w:val="001B36F9"/>
    <w:rsid w:val="001B3710"/>
    <w:rsid w:val="001B37CD"/>
    <w:rsid w:val="001B37F4"/>
    <w:rsid w:val="001B3AF6"/>
    <w:rsid w:val="001B3B18"/>
    <w:rsid w:val="001B3B1F"/>
    <w:rsid w:val="001B3BCC"/>
    <w:rsid w:val="001B3EB0"/>
    <w:rsid w:val="001B3FC4"/>
    <w:rsid w:val="001B4219"/>
    <w:rsid w:val="001B42BA"/>
    <w:rsid w:val="001B42F0"/>
    <w:rsid w:val="001B4836"/>
    <w:rsid w:val="001B4863"/>
    <w:rsid w:val="001B49C8"/>
    <w:rsid w:val="001B49EC"/>
    <w:rsid w:val="001B4A13"/>
    <w:rsid w:val="001B4A58"/>
    <w:rsid w:val="001B4A81"/>
    <w:rsid w:val="001B4B75"/>
    <w:rsid w:val="001B4D31"/>
    <w:rsid w:val="001B4D4A"/>
    <w:rsid w:val="001B4D7D"/>
    <w:rsid w:val="001B4E41"/>
    <w:rsid w:val="001B50AF"/>
    <w:rsid w:val="001B5154"/>
    <w:rsid w:val="001B5696"/>
    <w:rsid w:val="001B57E2"/>
    <w:rsid w:val="001B5870"/>
    <w:rsid w:val="001B597B"/>
    <w:rsid w:val="001B5AAD"/>
    <w:rsid w:val="001B5B23"/>
    <w:rsid w:val="001B5CF7"/>
    <w:rsid w:val="001B5F9F"/>
    <w:rsid w:val="001B6031"/>
    <w:rsid w:val="001B60CA"/>
    <w:rsid w:val="001B61F0"/>
    <w:rsid w:val="001B62A6"/>
    <w:rsid w:val="001B63A2"/>
    <w:rsid w:val="001B6489"/>
    <w:rsid w:val="001B6719"/>
    <w:rsid w:val="001B6900"/>
    <w:rsid w:val="001B6951"/>
    <w:rsid w:val="001B6E04"/>
    <w:rsid w:val="001B7033"/>
    <w:rsid w:val="001B73CF"/>
    <w:rsid w:val="001B75E0"/>
    <w:rsid w:val="001B76BC"/>
    <w:rsid w:val="001B76D1"/>
    <w:rsid w:val="001B7A7B"/>
    <w:rsid w:val="001B7B8F"/>
    <w:rsid w:val="001B7C53"/>
    <w:rsid w:val="001B7F72"/>
    <w:rsid w:val="001C0217"/>
    <w:rsid w:val="001C0248"/>
    <w:rsid w:val="001C059D"/>
    <w:rsid w:val="001C0673"/>
    <w:rsid w:val="001C0795"/>
    <w:rsid w:val="001C081E"/>
    <w:rsid w:val="001C08CE"/>
    <w:rsid w:val="001C092F"/>
    <w:rsid w:val="001C0B7A"/>
    <w:rsid w:val="001C0CE1"/>
    <w:rsid w:val="001C0E27"/>
    <w:rsid w:val="001C0F70"/>
    <w:rsid w:val="001C0FD6"/>
    <w:rsid w:val="001C105D"/>
    <w:rsid w:val="001C128F"/>
    <w:rsid w:val="001C132F"/>
    <w:rsid w:val="001C1517"/>
    <w:rsid w:val="001C1557"/>
    <w:rsid w:val="001C1690"/>
    <w:rsid w:val="001C1788"/>
    <w:rsid w:val="001C1A23"/>
    <w:rsid w:val="001C1DB8"/>
    <w:rsid w:val="001C1FB4"/>
    <w:rsid w:val="001C1FE9"/>
    <w:rsid w:val="001C1FF1"/>
    <w:rsid w:val="001C2009"/>
    <w:rsid w:val="001C208E"/>
    <w:rsid w:val="001C231B"/>
    <w:rsid w:val="001C2320"/>
    <w:rsid w:val="001C236B"/>
    <w:rsid w:val="001C2419"/>
    <w:rsid w:val="001C2558"/>
    <w:rsid w:val="001C267B"/>
    <w:rsid w:val="001C2808"/>
    <w:rsid w:val="001C292A"/>
    <w:rsid w:val="001C2A8A"/>
    <w:rsid w:val="001C2B16"/>
    <w:rsid w:val="001C2B8A"/>
    <w:rsid w:val="001C2BB6"/>
    <w:rsid w:val="001C2C62"/>
    <w:rsid w:val="001C2D01"/>
    <w:rsid w:val="001C2E7C"/>
    <w:rsid w:val="001C2F67"/>
    <w:rsid w:val="001C354D"/>
    <w:rsid w:val="001C3823"/>
    <w:rsid w:val="001C386A"/>
    <w:rsid w:val="001C396E"/>
    <w:rsid w:val="001C3A25"/>
    <w:rsid w:val="001C3B3B"/>
    <w:rsid w:val="001C3B72"/>
    <w:rsid w:val="001C3C6D"/>
    <w:rsid w:val="001C3CB3"/>
    <w:rsid w:val="001C3F2A"/>
    <w:rsid w:val="001C411F"/>
    <w:rsid w:val="001C41F2"/>
    <w:rsid w:val="001C44D4"/>
    <w:rsid w:val="001C4523"/>
    <w:rsid w:val="001C45AB"/>
    <w:rsid w:val="001C4872"/>
    <w:rsid w:val="001C4D50"/>
    <w:rsid w:val="001C4E45"/>
    <w:rsid w:val="001C4EF4"/>
    <w:rsid w:val="001C50F7"/>
    <w:rsid w:val="001C54C7"/>
    <w:rsid w:val="001C5568"/>
    <w:rsid w:val="001C55C0"/>
    <w:rsid w:val="001C55D6"/>
    <w:rsid w:val="001C5631"/>
    <w:rsid w:val="001C5A00"/>
    <w:rsid w:val="001C5B9C"/>
    <w:rsid w:val="001C5C4B"/>
    <w:rsid w:val="001C5C90"/>
    <w:rsid w:val="001C5CD5"/>
    <w:rsid w:val="001C5E64"/>
    <w:rsid w:val="001C5F36"/>
    <w:rsid w:val="001C5F7E"/>
    <w:rsid w:val="001C5FBA"/>
    <w:rsid w:val="001C5FE9"/>
    <w:rsid w:val="001C6074"/>
    <w:rsid w:val="001C657A"/>
    <w:rsid w:val="001C658A"/>
    <w:rsid w:val="001C6595"/>
    <w:rsid w:val="001C65B0"/>
    <w:rsid w:val="001C6E39"/>
    <w:rsid w:val="001C6F02"/>
    <w:rsid w:val="001C6F8E"/>
    <w:rsid w:val="001C74FE"/>
    <w:rsid w:val="001C75D7"/>
    <w:rsid w:val="001C788E"/>
    <w:rsid w:val="001C7AD5"/>
    <w:rsid w:val="001C7BE9"/>
    <w:rsid w:val="001C7C33"/>
    <w:rsid w:val="001C7CBC"/>
    <w:rsid w:val="001C7EF8"/>
    <w:rsid w:val="001D02A3"/>
    <w:rsid w:val="001D02DB"/>
    <w:rsid w:val="001D03CA"/>
    <w:rsid w:val="001D0764"/>
    <w:rsid w:val="001D07BE"/>
    <w:rsid w:val="001D0950"/>
    <w:rsid w:val="001D09C9"/>
    <w:rsid w:val="001D0A2F"/>
    <w:rsid w:val="001D0A43"/>
    <w:rsid w:val="001D0ADB"/>
    <w:rsid w:val="001D0BB0"/>
    <w:rsid w:val="001D0C4E"/>
    <w:rsid w:val="001D0CB7"/>
    <w:rsid w:val="001D0CCE"/>
    <w:rsid w:val="001D0DD0"/>
    <w:rsid w:val="001D0FF7"/>
    <w:rsid w:val="001D12A9"/>
    <w:rsid w:val="001D1325"/>
    <w:rsid w:val="001D1466"/>
    <w:rsid w:val="001D1545"/>
    <w:rsid w:val="001D160C"/>
    <w:rsid w:val="001D16A9"/>
    <w:rsid w:val="001D1BE7"/>
    <w:rsid w:val="001D1C02"/>
    <w:rsid w:val="001D1D39"/>
    <w:rsid w:val="001D1D56"/>
    <w:rsid w:val="001D1E7A"/>
    <w:rsid w:val="001D1E7E"/>
    <w:rsid w:val="001D210C"/>
    <w:rsid w:val="001D2123"/>
    <w:rsid w:val="001D22E9"/>
    <w:rsid w:val="001D2325"/>
    <w:rsid w:val="001D245F"/>
    <w:rsid w:val="001D2558"/>
    <w:rsid w:val="001D257D"/>
    <w:rsid w:val="001D258B"/>
    <w:rsid w:val="001D25AF"/>
    <w:rsid w:val="001D26BB"/>
    <w:rsid w:val="001D26FC"/>
    <w:rsid w:val="001D28CE"/>
    <w:rsid w:val="001D293C"/>
    <w:rsid w:val="001D29F7"/>
    <w:rsid w:val="001D2BE6"/>
    <w:rsid w:val="001D2EE3"/>
    <w:rsid w:val="001D2F2E"/>
    <w:rsid w:val="001D312E"/>
    <w:rsid w:val="001D32E4"/>
    <w:rsid w:val="001D3428"/>
    <w:rsid w:val="001D388D"/>
    <w:rsid w:val="001D38AF"/>
    <w:rsid w:val="001D3A39"/>
    <w:rsid w:val="001D3B52"/>
    <w:rsid w:val="001D3BEA"/>
    <w:rsid w:val="001D3DC2"/>
    <w:rsid w:val="001D3E36"/>
    <w:rsid w:val="001D42E8"/>
    <w:rsid w:val="001D4656"/>
    <w:rsid w:val="001D48D0"/>
    <w:rsid w:val="001D4924"/>
    <w:rsid w:val="001D4CF4"/>
    <w:rsid w:val="001D4E37"/>
    <w:rsid w:val="001D50F3"/>
    <w:rsid w:val="001D510B"/>
    <w:rsid w:val="001D5147"/>
    <w:rsid w:val="001D5195"/>
    <w:rsid w:val="001D532B"/>
    <w:rsid w:val="001D540F"/>
    <w:rsid w:val="001D54FD"/>
    <w:rsid w:val="001D5517"/>
    <w:rsid w:val="001D553F"/>
    <w:rsid w:val="001D5563"/>
    <w:rsid w:val="001D560C"/>
    <w:rsid w:val="001D58E4"/>
    <w:rsid w:val="001D5917"/>
    <w:rsid w:val="001D5A63"/>
    <w:rsid w:val="001D5C8E"/>
    <w:rsid w:val="001D5DAC"/>
    <w:rsid w:val="001D60D8"/>
    <w:rsid w:val="001D6171"/>
    <w:rsid w:val="001D6186"/>
    <w:rsid w:val="001D6268"/>
    <w:rsid w:val="001D63ED"/>
    <w:rsid w:val="001D6569"/>
    <w:rsid w:val="001D6981"/>
    <w:rsid w:val="001D69AE"/>
    <w:rsid w:val="001D69C0"/>
    <w:rsid w:val="001D6D1F"/>
    <w:rsid w:val="001D6E0F"/>
    <w:rsid w:val="001D6E1D"/>
    <w:rsid w:val="001D6EB3"/>
    <w:rsid w:val="001D6F34"/>
    <w:rsid w:val="001D6FAE"/>
    <w:rsid w:val="001D71BC"/>
    <w:rsid w:val="001D7258"/>
    <w:rsid w:val="001D72D0"/>
    <w:rsid w:val="001D752F"/>
    <w:rsid w:val="001D7742"/>
    <w:rsid w:val="001D7811"/>
    <w:rsid w:val="001D79C1"/>
    <w:rsid w:val="001D79C7"/>
    <w:rsid w:val="001D7AE0"/>
    <w:rsid w:val="001D7B05"/>
    <w:rsid w:val="001D7BB2"/>
    <w:rsid w:val="001D7C9E"/>
    <w:rsid w:val="001D7CD2"/>
    <w:rsid w:val="001D7D05"/>
    <w:rsid w:val="001D7D36"/>
    <w:rsid w:val="001D7D70"/>
    <w:rsid w:val="001D7F2A"/>
    <w:rsid w:val="001E01D6"/>
    <w:rsid w:val="001E027C"/>
    <w:rsid w:val="001E03D6"/>
    <w:rsid w:val="001E06B6"/>
    <w:rsid w:val="001E0875"/>
    <w:rsid w:val="001E0A8A"/>
    <w:rsid w:val="001E0B21"/>
    <w:rsid w:val="001E0C2A"/>
    <w:rsid w:val="001E0C6E"/>
    <w:rsid w:val="001E104E"/>
    <w:rsid w:val="001E13A5"/>
    <w:rsid w:val="001E1426"/>
    <w:rsid w:val="001E146B"/>
    <w:rsid w:val="001E1487"/>
    <w:rsid w:val="001E1705"/>
    <w:rsid w:val="001E17EB"/>
    <w:rsid w:val="001E1A5F"/>
    <w:rsid w:val="001E1B27"/>
    <w:rsid w:val="001E1D57"/>
    <w:rsid w:val="001E20A5"/>
    <w:rsid w:val="001E20C5"/>
    <w:rsid w:val="001E20E4"/>
    <w:rsid w:val="001E2246"/>
    <w:rsid w:val="001E2381"/>
    <w:rsid w:val="001E239A"/>
    <w:rsid w:val="001E23FD"/>
    <w:rsid w:val="001E26C4"/>
    <w:rsid w:val="001E26F3"/>
    <w:rsid w:val="001E2727"/>
    <w:rsid w:val="001E2798"/>
    <w:rsid w:val="001E282B"/>
    <w:rsid w:val="001E29AF"/>
    <w:rsid w:val="001E2B1D"/>
    <w:rsid w:val="001E2B26"/>
    <w:rsid w:val="001E2B66"/>
    <w:rsid w:val="001E3202"/>
    <w:rsid w:val="001E329D"/>
    <w:rsid w:val="001E32C1"/>
    <w:rsid w:val="001E32FD"/>
    <w:rsid w:val="001E336D"/>
    <w:rsid w:val="001E339D"/>
    <w:rsid w:val="001E33C1"/>
    <w:rsid w:val="001E34D7"/>
    <w:rsid w:val="001E34E7"/>
    <w:rsid w:val="001E3552"/>
    <w:rsid w:val="001E370C"/>
    <w:rsid w:val="001E3D39"/>
    <w:rsid w:val="001E3DA3"/>
    <w:rsid w:val="001E3F82"/>
    <w:rsid w:val="001E40DE"/>
    <w:rsid w:val="001E4253"/>
    <w:rsid w:val="001E42DE"/>
    <w:rsid w:val="001E4490"/>
    <w:rsid w:val="001E4684"/>
    <w:rsid w:val="001E46C6"/>
    <w:rsid w:val="001E46CC"/>
    <w:rsid w:val="001E4735"/>
    <w:rsid w:val="001E4740"/>
    <w:rsid w:val="001E48DC"/>
    <w:rsid w:val="001E49A3"/>
    <w:rsid w:val="001E4AF9"/>
    <w:rsid w:val="001E4B3B"/>
    <w:rsid w:val="001E4BED"/>
    <w:rsid w:val="001E4C5F"/>
    <w:rsid w:val="001E51BA"/>
    <w:rsid w:val="001E527E"/>
    <w:rsid w:val="001E5298"/>
    <w:rsid w:val="001E54FB"/>
    <w:rsid w:val="001E557A"/>
    <w:rsid w:val="001E55AC"/>
    <w:rsid w:val="001E57C6"/>
    <w:rsid w:val="001E5B03"/>
    <w:rsid w:val="001E5B81"/>
    <w:rsid w:val="001E5D8C"/>
    <w:rsid w:val="001E6197"/>
    <w:rsid w:val="001E6376"/>
    <w:rsid w:val="001E6380"/>
    <w:rsid w:val="001E64D2"/>
    <w:rsid w:val="001E65C1"/>
    <w:rsid w:val="001E66B7"/>
    <w:rsid w:val="001E68D7"/>
    <w:rsid w:val="001E6B17"/>
    <w:rsid w:val="001E6B2D"/>
    <w:rsid w:val="001E6B6D"/>
    <w:rsid w:val="001E6C16"/>
    <w:rsid w:val="001E6D4C"/>
    <w:rsid w:val="001E6FAD"/>
    <w:rsid w:val="001E70D5"/>
    <w:rsid w:val="001E70FC"/>
    <w:rsid w:val="001E72C5"/>
    <w:rsid w:val="001E72F3"/>
    <w:rsid w:val="001E741C"/>
    <w:rsid w:val="001E74B6"/>
    <w:rsid w:val="001E756B"/>
    <w:rsid w:val="001E75E1"/>
    <w:rsid w:val="001E78E3"/>
    <w:rsid w:val="001E792D"/>
    <w:rsid w:val="001E7BF1"/>
    <w:rsid w:val="001E7C39"/>
    <w:rsid w:val="001E7D51"/>
    <w:rsid w:val="001E7D7C"/>
    <w:rsid w:val="001E7F61"/>
    <w:rsid w:val="001E7FCD"/>
    <w:rsid w:val="001F0130"/>
    <w:rsid w:val="001F02F6"/>
    <w:rsid w:val="001F0446"/>
    <w:rsid w:val="001F0845"/>
    <w:rsid w:val="001F0F88"/>
    <w:rsid w:val="001F11D8"/>
    <w:rsid w:val="001F122B"/>
    <w:rsid w:val="001F12EF"/>
    <w:rsid w:val="001F13C0"/>
    <w:rsid w:val="001F1558"/>
    <w:rsid w:val="001F1655"/>
    <w:rsid w:val="001F16C3"/>
    <w:rsid w:val="001F18C9"/>
    <w:rsid w:val="001F1A43"/>
    <w:rsid w:val="001F1B1D"/>
    <w:rsid w:val="001F1BAF"/>
    <w:rsid w:val="001F1C3C"/>
    <w:rsid w:val="001F1C9F"/>
    <w:rsid w:val="001F205C"/>
    <w:rsid w:val="001F2134"/>
    <w:rsid w:val="001F21EC"/>
    <w:rsid w:val="001F23EA"/>
    <w:rsid w:val="001F2405"/>
    <w:rsid w:val="001F2612"/>
    <w:rsid w:val="001F267C"/>
    <w:rsid w:val="001F281E"/>
    <w:rsid w:val="001F29B2"/>
    <w:rsid w:val="001F2D2A"/>
    <w:rsid w:val="001F2E32"/>
    <w:rsid w:val="001F2EE3"/>
    <w:rsid w:val="001F2F7A"/>
    <w:rsid w:val="001F3015"/>
    <w:rsid w:val="001F30B6"/>
    <w:rsid w:val="001F333F"/>
    <w:rsid w:val="001F33F2"/>
    <w:rsid w:val="001F359F"/>
    <w:rsid w:val="001F3742"/>
    <w:rsid w:val="001F37FC"/>
    <w:rsid w:val="001F3881"/>
    <w:rsid w:val="001F39A0"/>
    <w:rsid w:val="001F39B8"/>
    <w:rsid w:val="001F3C58"/>
    <w:rsid w:val="001F3C5E"/>
    <w:rsid w:val="001F3C83"/>
    <w:rsid w:val="001F3E2E"/>
    <w:rsid w:val="001F400F"/>
    <w:rsid w:val="001F42C1"/>
    <w:rsid w:val="001F44CC"/>
    <w:rsid w:val="001F4645"/>
    <w:rsid w:val="001F48A0"/>
    <w:rsid w:val="001F4946"/>
    <w:rsid w:val="001F4B18"/>
    <w:rsid w:val="001F4EC6"/>
    <w:rsid w:val="001F4F42"/>
    <w:rsid w:val="001F533A"/>
    <w:rsid w:val="001F54F3"/>
    <w:rsid w:val="001F56B8"/>
    <w:rsid w:val="001F56E1"/>
    <w:rsid w:val="001F5792"/>
    <w:rsid w:val="001F5835"/>
    <w:rsid w:val="001F584D"/>
    <w:rsid w:val="001F5932"/>
    <w:rsid w:val="001F5977"/>
    <w:rsid w:val="001F5BF1"/>
    <w:rsid w:val="001F5CEA"/>
    <w:rsid w:val="001F5FE6"/>
    <w:rsid w:val="001F6007"/>
    <w:rsid w:val="001F617E"/>
    <w:rsid w:val="001F6204"/>
    <w:rsid w:val="001F6397"/>
    <w:rsid w:val="001F643F"/>
    <w:rsid w:val="001F65E8"/>
    <w:rsid w:val="001F66E0"/>
    <w:rsid w:val="001F6896"/>
    <w:rsid w:val="001F68E4"/>
    <w:rsid w:val="001F6BAD"/>
    <w:rsid w:val="001F6DE7"/>
    <w:rsid w:val="001F6EC1"/>
    <w:rsid w:val="001F7380"/>
    <w:rsid w:val="001F7418"/>
    <w:rsid w:val="001F74F5"/>
    <w:rsid w:val="001F7543"/>
    <w:rsid w:val="001F7556"/>
    <w:rsid w:val="001F762C"/>
    <w:rsid w:val="001F7871"/>
    <w:rsid w:val="001F79C0"/>
    <w:rsid w:val="001F7A51"/>
    <w:rsid w:val="001F7AEB"/>
    <w:rsid w:val="001F7DA0"/>
    <w:rsid w:val="001F7DF1"/>
    <w:rsid w:val="001F7E56"/>
    <w:rsid w:val="001F7F23"/>
    <w:rsid w:val="001F7FF0"/>
    <w:rsid w:val="00200024"/>
    <w:rsid w:val="0020005E"/>
    <w:rsid w:val="0020017E"/>
    <w:rsid w:val="002005A1"/>
    <w:rsid w:val="002005FF"/>
    <w:rsid w:val="0020060E"/>
    <w:rsid w:val="00200A09"/>
    <w:rsid w:val="00200ABA"/>
    <w:rsid w:val="00200D5A"/>
    <w:rsid w:val="00200D86"/>
    <w:rsid w:val="00200E73"/>
    <w:rsid w:val="00200EF3"/>
    <w:rsid w:val="00200F15"/>
    <w:rsid w:val="00200F69"/>
    <w:rsid w:val="00201048"/>
    <w:rsid w:val="00201403"/>
    <w:rsid w:val="0020147F"/>
    <w:rsid w:val="002015EA"/>
    <w:rsid w:val="00201930"/>
    <w:rsid w:val="00201EC9"/>
    <w:rsid w:val="00201F54"/>
    <w:rsid w:val="00202140"/>
    <w:rsid w:val="00202295"/>
    <w:rsid w:val="00202670"/>
    <w:rsid w:val="002026BB"/>
    <w:rsid w:val="002027D8"/>
    <w:rsid w:val="00202983"/>
    <w:rsid w:val="00202A95"/>
    <w:rsid w:val="00202BC2"/>
    <w:rsid w:val="00202BF0"/>
    <w:rsid w:val="00202C13"/>
    <w:rsid w:val="00202D2B"/>
    <w:rsid w:val="00202D44"/>
    <w:rsid w:val="00202E6C"/>
    <w:rsid w:val="00202EF4"/>
    <w:rsid w:val="00202F64"/>
    <w:rsid w:val="00203157"/>
    <w:rsid w:val="00203211"/>
    <w:rsid w:val="002032DD"/>
    <w:rsid w:val="002034D2"/>
    <w:rsid w:val="0020354F"/>
    <w:rsid w:val="0020373F"/>
    <w:rsid w:val="00203866"/>
    <w:rsid w:val="00203B43"/>
    <w:rsid w:val="00203BAE"/>
    <w:rsid w:val="00203D20"/>
    <w:rsid w:val="00204590"/>
    <w:rsid w:val="002048EC"/>
    <w:rsid w:val="00204950"/>
    <w:rsid w:val="002049A1"/>
    <w:rsid w:val="00204B14"/>
    <w:rsid w:val="00204DE0"/>
    <w:rsid w:val="00204EF6"/>
    <w:rsid w:val="00204EF8"/>
    <w:rsid w:val="0020504E"/>
    <w:rsid w:val="00205241"/>
    <w:rsid w:val="002054BC"/>
    <w:rsid w:val="002057CC"/>
    <w:rsid w:val="002058CD"/>
    <w:rsid w:val="00205C50"/>
    <w:rsid w:val="00205DC6"/>
    <w:rsid w:val="00205F9A"/>
    <w:rsid w:val="00206121"/>
    <w:rsid w:val="0020636A"/>
    <w:rsid w:val="002064D6"/>
    <w:rsid w:val="002064DE"/>
    <w:rsid w:val="00206582"/>
    <w:rsid w:val="0020665A"/>
    <w:rsid w:val="002066F1"/>
    <w:rsid w:val="0020694C"/>
    <w:rsid w:val="002069F0"/>
    <w:rsid w:val="00206B87"/>
    <w:rsid w:val="00206C32"/>
    <w:rsid w:val="00206CA9"/>
    <w:rsid w:val="00206FEA"/>
    <w:rsid w:val="002070E9"/>
    <w:rsid w:val="0020745B"/>
    <w:rsid w:val="00207528"/>
    <w:rsid w:val="002077FD"/>
    <w:rsid w:val="00207872"/>
    <w:rsid w:val="00207908"/>
    <w:rsid w:val="00207B11"/>
    <w:rsid w:val="00207B73"/>
    <w:rsid w:val="00207BB8"/>
    <w:rsid w:val="00207C08"/>
    <w:rsid w:val="00207E03"/>
    <w:rsid w:val="00207E58"/>
    <w:rsid w:val="00207E7C"/>
    <w:rsid w:val="00207F5F"/>
    <w:rsid w:val="0021003B"/>
    <w:rsid w:val="00210094"/>
    <w:rsid w:val="00210101"/>
    <w:rsid w:val="002102BB"/>
    <w:rsid w:val="0021057B"/>
    <w:rsid w:val="00210898"/>
    <w:rsid w:val="00210920"/>
    <w:rsid w:val="002109D5"/>
    <w:rsid w:val="00210C01"/>
    <w:rsid w:val="00210C25"/>
    <w:rsid w:val="00210DA5"/>
    <w:rsid w:val="00210DFE"/>
    <w:rsid w:val="00210EB7"/>
    <w:rsid w:val="0021100E"/>
    <w:rsid w:val="00211101"/>
    <w:rsid w:val="00211450"/>
    <w:rsid w:val="00211596"/>
    <w:rsid w:val="002115F4"/>
    <w:rsid w:val="00211B45"/>
    <w:rsid w:val="00211B7D"/>
    <w:rsid w:val="00211C36"/>
    <w:rsid w:val="00211E42"/>
    <w:rsid w:val="00211FB4"/>
    <w:rsid w:val="002121C3"/>
    <w:rsid w:val="00212272"/>
    <w:rsid w:val="00212352"/>
    <w:rsid w:val="00212433"/>
    <w:rsid w:val="00212675"/>
    <w:rsid w:val="0021268C"/>
    <w:rsid w:val="0021281F"/>
    <w:rsid w:val="0021295F"/>
    <w:rsid w:val="00212A4D"/>
    <w:rsid w:val="00212AB9"/>
    <w:rsid w:val="00212B78"/>
    <w:rsid w:val="00212CC0"/>
    <w:rsid w:val="0021345D"/>
    <w:rsid w:val="002136BD"/>
    <w:rsid w:val="002137B0"/>
    <w:rsid w:val="00213925"/>
    <w:rsid w:val="00213B92"/>
    <w:rsid w:val="00213C87"/>
    <w:rsid w:val="00213DA6"/>
    <w:rsid w:val="0021409A"/>
    <w:rsid w:val="002140A7"/>
    <w:rsid w:val="00214189"/>
    <w:rsid w:val="002142ED"/>
    <w:rsid w:val="0021434F"/>
    <w:rsid w:val="002143C7"/>
    <w:rsid w:val="002144C1"/>
    <w:rsid w:val="002144D4"/>
    <w:rsid w:val="002144FE"/>
    <w:rsid w:val="002146E3"/>
    <w:rsid w:val="00214922"/>
    <w:rsid w:val="00214993"/>
    <w:rsid w:val="00214B0D"/>
    <w:rsid w:val="00214B69"/>
    <w:rsid w:val="00214C6F"/>
    <w:rsid w:val="002150BD"/>
    <w:rsid w:val="00215168"/>
    <w:rsid w:val="002152FA"/>
    <w:rsid w:val="0021546F"/>
    <w:rsid w:val="002158AB"/>
    <w:rsid w:val="00215963"/>
    <w:rsid w:val="002159D3"/>
    <w:rsid w:val="00215B05"/>
    <w:rsid w:val="00215BB9"/>
    <w:rsid w:val="00215BBF"/>
    <w:rsid w:val="00215D40"/>
    <w:rsid w:val="00215DCD"/>
    <w:rsid w:val="00215F12"/>
    <w:rsid w:val="00215F30"/>
    <w:rsid w:val="002160A6"/>
    <w:rsid w:val="002162D4"/>
    <w:rsid w:val="0021632D"/>
    <w:rsid w:val="00216382"/>
    <w:rsid w:val="00216651"/>
    <w:rsid w:val="00216909"/>
    <w:rsid w:val="00216AD7"/>
    <w:rsid w:val="00216C36"/>
    <w:rsid w:val="00216CAF"/>
    <w:rsid w:val="00216CD5"/>
    <w:rsid w:val="00216CF0"/>
    <w:rsid w:val="00216F41"/>
    <w:rsid w:val="00216FCD"/>
    <w:rsid w:val="00217041"/>
    <w:rsid w:val="00217060"/>
    <w:rsid w:val="002171BC"/>
    <w:rsid w:val="00217429"/>
    <w:rsid w:val="002174D0"/>
    <w:rsid w:val="002176EC"/>
    <w:rsid w:val="002176F0"/>
    <w:rsid w:val="00217815"/>
    <w:rsid w:val="0021790E"/>
    <w:rsid w:val="00217AD4"/>
    <w:rsid w:val="00217BFC"/>
    <w:rsid w:val="00217E7C"/>
    <w:rsid w:val="00217F9B"/>
    <w:rsid w:val="00220119"/>
    <w:rsid w:val="00220272"/>
    <w:rsid w:val="00220276"/>
    <w:rsid w:val="00220354"/>
    <w:rsid w:val="002204FB"/>
    <w:rsid w:val="00220531"/>
    <w:rsid w:val="002206B9"/>
    <w:rsid w:val="002206F2"/>
    <w:rsid w:val="0022070A"/>
    <w:rsid w:val="0022073D"/>
    <w:rsid w:val="00220789"/>
    <w:rsid w:val="002209E3"/>
    <w:rsid w:val="00220A96"/>
    <w:rsid w:val="00220BC8"/>
    <w:rsid w:val="00220C58"/>
    <w:rsid w:val="00220E53"/>
    <w:rsid w:val="00220FC2"/>
    <w:rsid w:val="0022105E"/>
    <w:rsid w:val="002211CC"/>
    <w:rsid w:val="0022152C"/>
    <w:rsid w:val="00221665"/>
    <w:rsid w:val="002216F1"/>
    <w:rsid w:val="002218C6"/>
    <w:rsid w:val="00221AD9"/>
    <w:rsid w:val="00221C84"/>
    <w:rsid w:val="00221E03"/>
    <w:rsid w:val="00222140"/>
    <w:rsid w:val="002224E4"/>
    <w:rsid w:val="00222578"/>
    <w:rsid w:val="0022287C"/>
    <w:rsid w:val="00222B4E"/>
    <w:rsid w:val="00222F2E"/>
    <w:rsid w:val="0022310D"/>
    <w:rsid w:val="00223370"/>
    <w:rsid w:val="0022340D"/>
    <w:rsid w:val="00223555"/>
    <w:rsid w:val="00223AF7"/>
    <w:rsid w:val="00223B67"/>
    <w:rsid w:val="00223C2A"/>
    <w:rsid w:val="00223D84"/>
    <w:rsid w:val="00223DE9"/>
    <w:rsid w:val="00224061"/>
    <w:rsid w:val="002240AF"/>
    <w:rsid w:val="002241D2"/>
    <w:rsid w:val="002242AB"/>
    <w:rsid w:val="00224584"/>
    <w:rsid w:val="00224701"/>
    <w:rsid w:val="002249E5"/>
    <w:rsid w:val="00224ABB"/>
    <w:rsid w:val="00224D3D"/>
    <w:rsid w:val="00224EE9"/>
    <w:rsid w:val="0022516A"/>
    <w:rsid w:val="0022517A"/>
    <w:rsid w:val="002252B0"/>
    <w:rsid w:val="00225561"/>
    <w:rsid w:val="0022569E"/>
    <w:rsid w:val="002256D1"/>
    <w:rsid w:val="00225BDE"/>
    <w:rsid w:val="00225C96"/>
    <w:rsid w:val="00225FFC"/>
    <w:rsid w:val="00226131"/>
    <w:rsid w:val="002261B0"/>
    <w:rsid w:val="002261BC"/>
    <w:rsid w:val="002262EB"/>
    <w:rsid w:val="002263C5"/>
    <w:rsid w:val="00226506"/>
    <w:rsid w:val="0022652E"/>
    <w:rsid w:val="00226661"/>
    <w:rsid w:val="002267B6"/>
    <w:rsid w:val="00226AF4"/>
    <w:rsid w:val="00226DFA"/>
    <w:rsid w:val="00226F65"/>
    <w:rsid w:val="002271F3"/>
    <w:rsid w:val="00227320"/>
    <w:rsid w:val="00227365"/>
    <w:rsid w:val="0022755F"/>
    <w:rsid w:val="00227732"/>
    <w:rsid w:val="00227818"/>
    <w:rsid w:val="002278A5"/>
    <w:rsid w:val="002278BF"/>
    <w:rsid w:val="002279FB"/>
    <w:rsid w:val="00227B01"/>
    <w:rsid w:val="00227EE5"/>
    <w:rsid w:val="00230423"/>
    <w:rsid w:val="002305EA"/>
    <w:rsid w:val="00230938"/>
    <w:rsid w:val="00230941"/>
    <w:rsid w:val="00230B5F"/>
    <w:rsid w:val="00230BED"/>
    <w:rsid w:val="00230D83"/>
    <w:rsid w:val="00230FE7"/>
    <w:rsid w:val="002311A7"/>
    <w:rsid w:val="0023123A"/>
    <w:rsid w:val="0023136A"/>
    <w:rsid w:val="002315B3"/>
    <w:rsid w:val="002317B3"/>
    <w:rsid w:val="00231837"/>
    <w:rsid w:val="00231854"/>
    <w:rsid w:val="00231867"/>
    <w:rsid w:val="0023190E"/>
    <w:rsid w:val="00231A41"/>
    <w:rsid w:val="00231AC3"/>
    <w:rsid w:val="00231D39"/>
    <w:rsid w:val="00231F47"/>
    <w:rsid w:val="00232428"/>
    <w:rsid w:val="00232597"/>
    <w:rsid w:val="002325C6"/>
    <w:rsid w:val="002326D3"/>
    <w:rsid w:val="00232715"/>
    <w:rsid w:val="0023288B"/>
    <w:rsid w:val="00232B11"/>
    <w:rsid w:val="00232C72"/>
    <w:rsid w:val="00232CAE"/>
    <w:rsid w:val="00232D69"/>
    <w:rsid w:val="00232D74"/>
    <w:rsid w:val="00232EB9"/>
    <w:rsid w:val="00232F60"/>
    <w:rsid w:val="002331DF"/>
    <w:rsid w:val="00233299"/>
    <w:rsid w:val="00233490"/>
    <w:rsid w:val="002334BF"/>
    <w:rsid w:val="002334D3"/>
    <w:rsid w:val="002334EA"/>
    <w:rsid w:val="00233622"/>
    <w:rsid w:val="00233634"/>
    <w:rsid w:val="0023371B"/>
    <w:rsid w:val="002337AB"/>
    <w:rsid w:val="00233807"/>
    <w:rsid w:val="0023386D"/>
    <w:rsid w:val="00233911"/>
    <w:rsid w:val="002339A8"/>
    <w:rsid w:val="00233C33"/>
    <w:rsid w:val="00233D1B"/>
    <w:rsid w:val="00233F30"/>
    <w:rsid w:val="00234007"/>
    <w:rsid w:val="00234258"/>
    <w:rsid w:val="00234372"/>
    <w:rsid w:val="0023440E"/>
    <w:rsid w:val="002344F5"/>
    <w:rsid w:val="0023470A"/>
    <w:rsid w:val="002348C9"/>
    <w:rsid w:val="002349CB"/>
    <w:rsid w:val="00234D42"/>
    <w:rsid w:val="00234E37"/>
    <w:rsid w:val="00234EA1"/>
    <w:rsid w:val="00234FC2"/>
    <w:rsid w:val="00234FFA"/>
    <w:rsid w:val="0023504A"/>
    <w:rsid w:val="002350B9"/>
    <w:rsid w:val="002350F4"/>
    <w:rsid w:val="002352EE"/>
    <w:rsid w:val="00235320"/>
    <w:rsid w:val="00235358"/>
    <w:rsid w:val="002353C1"/>
    <w:rsid w:val="0023547E"/>
    <w:rsid w:val="002354AB"/>
    <w:rsid w:val="00235676"/>
    <w:rsid w:val="0023568F"/>
    <w:rsid w:val="00235818"/>
    <w:rsid w:val="002358CE"/>
    <w:rsid w:val="00235953"/>
    <w:rsid w:val="00235963"/>
    <w:rsid w:val="00235AD4"/>
    <w:rsid w:val="00235BA0"/>
    <w:rsid w:val="00235C04"/>
    <w:rsid w:val="00235EDF"/>
    <w:rsid w:val="00235FE5"/>
    <w:rsid w:val="00235FF8"/>
    <w:rsid w:val="0023621F"/>
    <w:rsid w:val="0023622D"/>
    <w:rsid w:val="00236354"/>
    <w:rsid w:val="0023654F"/>
    <w:rsid w:val="0023663B"/>
    <w:rsid w:val="00236C3D"/>
    <w:rsid w:val="00236DEC"/>
    <w:rsid w:val="00236E40"/>
    <w:rsid w:val="0023716A"/>
    <w:rsid w:val="0023717F"/>
    <w:rsid w:val="002372CC"/>
    <w:rsid w:val="002372DE"/>
    <w:rsid w:val="00237416"/>
    <w:rsid w:val="0023746C"/>
    <w:rsid w:val="002376C1"/>
    <w:rsid w:val="00237714"/>
    <w:rsid w:val="00237759"/>
    <w:rsid w:val="0023780E"/>
    <w:rsid w:val="0023783D"/>
    <w:rsid w:val="0023797F"/>
    <w:rsid w:val="00237C56"/>
    <w:rsid w:val="00237F14"/>
    <w:rsid w:val="00240442"/>
    <w:rsid w:val="0024060E"/>
    <w:rsid w:val="0024082F"/>
    <w:rsid w:val="00240848"/>
    <w:rsid w:val="002408A3"/>
    <w:rsid w:val="00240B46"/>
    <w:rsid w:val="00240B64"/>
    <w:rsid w:val="00240D8C"/>
    <w:rsid w:val="00240F5F"/>
    <w:rsid w:val="00240FBD"/>
    <w:rsid w:val="00240FC4"/>
    <w:rsid w:val="0024104B"/>
    <w:rsid w:val="00241164"/>
    <w:rsid w:val="0024170A"/>
    <w:rsid w:val="002417EB"/>
    <w:rsid w:val="0024184A"/>
    <w:rsid w:val="00241C60"/>
    <w:rsid w:val="00241CD6"/>
    <w:rsid w:val="00241F00"/>
    <w:rsid w:val="00242165"/>
    <w:rsid w:val="0024244D"/>
    <w:rsid w:val="0024257E"/>
    <w:rsid w:val="00242897"/>
    <w:rsid w:val="00242912"/>
    <w:rsid w:val="00242D0F"/>
    <w:rsid w:val="00242DDF"/>
    <w:rsid w:val="00242E7B"/>
    <w:rsid w:val="00243077"/>
    <w:rsid w:val="00243142"/>
    <w:rsid w:val="002431A0"/>
    <w:rsid w:val="002431DD"/>
    <w:rsid w:val="00243252"/>
    <w:rsid w:val="00243267"/>
    <w:rsid w:val="0024329F"/>
    <w:rsid w:val="002432B6"/>
    <w:rsid w:val="002432E8"/>
    <w:rsid w:val="002433F8"/>
    <w:rsid w:val="0024352E"/>
    <w:rsid w:val="002435CD"/>
    <w:rsid w:val="002436C0"/>
    <w:rsid w:val="0024373E"/>
    <w:rsid w:val="00243755"/>
    <w:rsid w:val="0024378A"/>
    <w:rsid w:val="002437EF"/>
    <w:rsid w:val="002439B1"/>
    <w:rsid w:val="00243A1D"/>
    <w:rsid w:val="00243AEA"/>
    <w:rsid w:val="00243C2C"/>
    <w:rsid w:val="00243D81"/>
    <w:rsid w:val="00243E3B"/>
    <w:rsid w:val="00243FF7"/>
    <w:rsid w:val="0024403D"/>
    <w:rsid w:val="0024406A"/>
    <w:rsid w:val="0024470D"/>
    <w:rsid w:val="00244750"/>
    <w:rsid w:val="00244753"/>
    <w:rsid w:val="002447BC"/>
    <w:rsid w:val="002449A9"/>
    <w:rsid w:val="00244A7E"/>
    <w:rsid w:val="00244AAB"/>
    <w:rsid w:val="00244BEE"/>
    <w:rsid w:val="00244DCC"/>
    <w:rsid w:val="00244F9D"/>
    <w:rsid w:val="00245035"/>
    <w:rsid w:val="002453B5"/>
    <w:rsid w:val="0024541F"/>
    <w:rsid w:val="0024578B"/>
    <w:rsid w:val="00245B1C"/>
    <w:rsid w:val="00245B26"/>
    <w:rsid w:val="00245C11"/>
    <w:rsid w:val="00245CDC"/>
    <w:rsid w:val="00245DE0"/>
    <w:rsid w:val="00245E51"/>
    <w:rsid w:val="00245F8B"/>
    <w:rsid w:val="00246007"/>
    <w:rsid w:val="002460E0"/>
    <w:rsid w:val="00246218"/>
    <w:rsid w:val="002462E9"/>
    <w:rsid w:val="00246335"/>
    <w:rsid w:val="0024643C"/>
    <w:rsid w:val="00246479"/>
    <w:rsid w:val="0024665C"/>
    <w:rsid w:val="00246849"/>
    <w:rsid w:val="00246926"/>
    <w:rsid w:val="0024693E"/>
    <w:rsid w:val="002469B7"/>
    <w:rsid w:val="00246AB0"/>
    <w:rsid w:val="00246BAC"/>
    <w:rsid w:val="00246C45"/>
    <w:rsid w:val="00246EAD"/>
    <w:rsid w:val="00246EDA"/>
    <w:rsid w:val="0024703B"/>
    <w:rsid w:val="00247243"/>
    <w:rsid w:val="0024725B"/>
    <w:rsid w:val="00247333"/>
    <w:rsid w:val="00247574"/>
    <w:rsid w:val="00247602"/>
    <w:rsid w:val="00247772"/>
    <w:rsid w:val="00247D79"/>
    <w:rsid w:val="00250097"/>
    <w:rsid w:val="002503E4"/>
    <w:rsid w:val="00250445"/>
    <w:rsid w:val="002504A7"/>
    <w:rsid w:val="002504AB"/>
    <w:rsid w:val="002507FC"/>
    <w:rsid w:val="002508BC"/>
    <w:rsid w:val="00250AEA"/>
    <w:rsid w:val="00250C46"/>
    <w:rsid w:val="00250C63"/>
    <w:rsid w:val="00250EDC"/>
    <w:rsid w:val="00250FB5"/>
    <w:rsid w:val="00251100"/>
    <w:rsid w:val="00251191"/>
    <w:rsid w:val="002511B9"/>
    <w:rsid w:val="0025133E"/>
    <w:rsid w:val="002516B1"/>
    <w:rsid w:val="00251771"/>
    <w:rsid w:val="00251880"/>
    <w:rsid w:val="00251991"/>
    <w:rsid w:val="00251BE0"/>
    <w:rsid w:val="0025202F"/>
    <w:rsid w:val="00252110"/>
    <w:rsid w:val="00252358"/>
    <w:rsid w:val="00252566"/>
    <w:rsid w:val="00252870"/>
    <w:rsid w:val="0025289C"/>
    <w:rsid w:val="002528EA"/>
    <w:rsid w:val="002528F5"/>
    <w:rsid w:val="00252B4C"/>
    <w:rsid w:val="00252CAB"/>
    <w:rsid w:val="00252CBB"/>
    <w:rsid w:val="00252DC0"/>
    <w:rsid w:val="00253116"/>
    <w:rsid w:val="002531A0"/>
    <w:rsid w:val="002532E7"/>
    <w:rsid w:val="002533F4"/>
    <w:rsid w:val="00253672"/>
    <w:rsid w:val="00253BAA"/>
    <w:rsid w:val="00253D0E"/>
    <w:rsid w:val="00253ECD"/>
    <w:rsid w:val="00253F85"/>
    <w:rsid w:val="00254033"/>
    <w:rsid w:val="00254055"/>
    <w:rsid w:val="002540E9"/>
    <w:rsid w:val="002541E0"/>
    <w:rsid w:val="00254412"/>
    <w:rsid w:val="002544B7"/>
    <w:rsid w:val="002544E7"/>
    <w:rsid w:val="00254632"/>
    <w:rsid w:val="002547A0"/>
    <w:rsid w:val="0025484A"/>
    <w:rsid w:val="00254877"/>
    <w:rsid w:val="00254AE3"/>
    <w:rsid w:val="00254B64"/>
    <w:rsid w:val="00254C77"/>
    <w:rsid w:val="00254E9F"/>
    <w:rsid w:val="00254F44"/>
    <w:rsid w:val="00254FAB"/>
    <w:rsid w:val="002550CD"/>
    <w:rsid w:val="002550CE"/>
    <w:rsid w:val="002552DD"/>
    <w:rsid w:val="002553A8"/>
    <w:rsid w:val="0025540C"/>
    <w:rsid w:val="00255557"/>
    <w:rsid w:val="002555B1"/>
    <w:rsid w:val="002559A0"/>
    <w:rsid w:val="00255B7C"/>
    <w:rsid w:val="00255BC7"/>
    <w:rsid w:val="00255CB1"/>
    <w:rsid w:val="00255EBE"/>
    <w:rsid w:val="00255FDE"/>
    <w:rsid w:val="00256169"/>
    <w:rsid w:val="00256207"/>
    <w:rsid w:val="0025661B"/>
    <w:rsid w:val="00256651"/>
    <w:rsid w:val="00256B89"/>
    <w:rsid w:val="00256BE0"/>
    <w:rsid w:val="00256CAD"/>
    <w:rsid w:val="00256CDE"/>
    <w:rsid w:val="00256F87"/>
    <w:rsid w:val="002571F7"/>
    <w:rsid w:val="0025728A"/>
    <w:rsid w:val="0025730B"/>
    <w:rsid w:val="002574B2"/>
    <w:rsid w:val="00257603"/>
    <w:rsid w:val="002578AF"/>
    <w:rsid w:val="002579E8"/>
    <w:rsid w:val="00257A6F"/>
    <w:rsid w:val="00257B69"/>
    <w:rsid w:val="00257BDC"/>
    <w:rsid w:val="00257D0D"/>
    <w:rsid w:val="00257F3E"/>
    <w:rsid w:val="00257F4F"/>
    <w:rsid w:val="00257FAB"/>
    <w:rsid w:val="002600B0"/>
    <w:rsid w:val="00260268"/>
    <w:rsid w:val="002603B8"/>
    <w:rsid w:val="002603E0"/>
    <w:rsid w:val="00260509"/>
    <w:rsid w:val="0026079B"/>
    <w:rsid w:val="002607B6"/>
    <w:rsid w:val="00260821"/>
    <w:rsid w:val="00260EB8"/>
    <w:rsid w:val="00260F56"/>
    <w:rsid w:val="002610D4"/>
    <w:rsid w:val="00261132"/>
    <w:rsid w:val="00261172"/>
    <w:rsid w:val="0026118E"/>
    <w:rsid w:val="002611D1"/>
    <w:rsid w:val="002611FA"/>
    <w:rsid w:val="00261367"/>
    <w:rsid w:val="002615B8"/>
    <w:rsid w:val="002618E9"/>
    <w:rsid w:val="00261A39"/>
    <w:rsid w:val="00261FCE"/>
    <w:rsid w:val="0026201E"/>
    <w:rsid w:val="00262258"/>
    <w:rsid w:val="0026227E"/>
    <w:rsid w:val="0026253B"/>
    <w:rsid w:val="0026278C"/>
    <w:rsid w:val="002628CC"/>
    <w:rsid w:val="00262B55"/>
    <w:rsid w:val="00262E5E"/>
    <w:rsid w:val="00262F83"/>
    <w:rsid w:val="0026306C"/>
    <w:rsid w:val="002631BB"/>
    <w:rsid w:val="0026340A"/>
    <w:rsid w:val="00263436"/>
    <w:rsid w:val="002634AB"/>
    <w:rsid w:val="00263528"/>
    <w:rsid w:val="0026360A"/>
    <w:rsid w:val="0026367D"/>
    <w:rsid w:val="00263857"/>
    <w:rsid w:val="00263A8F"/>
    <w:rsid w:val="00263ABA"/>
    <w:rsid w:val="00263ACB"/>
    <w:rsid w:val="00263B16"/>
    <w:rsid w:val="00263CE5"/>
    <w:rsid w:val="00263E5B"/>
    <w:rsid w:val="00263F87"/>
    <w:rsid w:val="0026413C"/>
    <w:rsid w:val="002641DB"/>
    <w:rsid w:val="00264323"/>
    <w:rsid w:val="002644E3"/>
    <w:rsid w:val="00264508"/>
    <w:rsid w:val="002645DA"/>
    <w:rsid w:val="002645F6"/>
    <w:rsid w:val="00264610"/>
    <w:rsid w:val="00264860"/>
    <w:rsid w:val="00264B03"/>
    <w:rsid w:val="00264DBF"/>
    <w:rsid w:val="00265144"/>
    <w:rsid w:val="00265168"/>
    <w:rsid w:val="002652CB"/>
    <w:rsid w:val="0026590A"/>
    <w:rsid w:val="002659A0"/>
    <w:rsid w:val="002659AA"/>
    <w:rsid w:val="00265BDF"/>
    <w:rsid w:val="00265C66"/>
    <w:rsid w:val="00265F0C"/>
    <w:rsid w:val="002660C6"/>
    <w:rsid w:val="0026622F"/>
    <w:rsid w:val="0026645C"/>
    <w:rsid w:val="002664F2"/>
    <w:rsid w:val="002668E2"/>
    <w:rsid w:val="002669DF"/>
    <w:rsid w:val="00266B61"/>
    <w:rsid w:val="00266E38"/>
    <w:rsid w:val="00267079"/>
    <w:rsid w:val="00267149"/>
    <w:rsid w:val="00267227"/>
    <w:rsid w:val="002672C6"/>
    <w:rsid w:val="00267386"/>
    <w:rsid w:val="0026738D"/>
    <w:rsid w:val="00267420"/>
    <w:rsid w:val="002674B7"/>
    <w:rsid w:val="00267D12"/>
    <w:rsid w:val="00270138"/>
    <w:rsid w:val="00270547"/>
    <w:rsid w:val="002705DC"/>
    <w:rsid w:val="00270683"/>
    <w:rsid w:val="00270755"/>
    <w:rsid w:val="00270826"/>
    <w:rsid w:val="0027088C"/>
    <w:rsid w:val="00270971"/>
    <w:rsid w:val="00270B63"/>
    <w:rsid w:val="00270DB0"/>
    <w:rsid w:val="00270E6F"/>
    <w:rsid w:val="00270FF8"/>
    <w:rsid w:val="002710DB"/>
    <w:rsid w:val="002711D6"/>
    <w:rsid w:val="0027129A"/>
    <w:rsid w:val="002713FE"/>
    <w:rsid w:val="00271493"/>
    <w:rsid w:val="002717BA"/>
    <w:rsid w:val="002717E3"/>
    <w:rsid w:val="002718D1"/>
    <w:rsid w:val="00271943"/>
    <w:rsid w:val="00271B33"/>
    <w:rsid w:val="00271C82"/>
    <w:rsid w:val="00272081"/>
    <w:rsid w:val="0027218F"/>
    <w:rsid w:val="00272339"/>
    <w:rsid w:val="002726A3"/>
    <w:rsid w:val="002727D7"/>
    <w:rsid w:val="00272889"/>
    <w:rsid w:val="002728F1"/>
    <w:rsid w:val="002728F9"/>
    <w:rsid w:val="0027292F"/>
    <w:rsid w:val="002729EF"/>
    <w:rsid w:val="00272A0A"/>
    <w:rsid w:val="00272AF0"/>
    <w:rsid w:val="00272B05"/>
    <w:rsid w:val="00272D12"/>
    <w:rsid w:val="00272DDF"/>
    <w:rsid w:val="00272E61"/>
    <w:rsid w:val="00272F5F"/>
    <w:rsid w:val="00273343"/>
    <w:rsid w:val="0027348D"/>
    <w:rsid w:val="002737C1"/>
    <w:rsid w:val="0027393F"/>
    <w:rsid w:val="002739F2"/>
    <w:rsid w:val="00273D5C"/>
    <w:rsid w:val="00273EB4"/>
    <w:rsid w:val="00273FF3"/>
    <w:rsid w:val="0027420A"/>
    <w:rsid w:val="00274459"/>
    <w:rsid w:val="002744A9"/>
    <w:rsid w:val="002744FD"/>
    <w:rsid w:val="00274705"/>
    <w:rsid w:val="00274B85"/>
    <w:rsid w:val="00274EB1"/>
    <w:rsid w:val="002750A5"/>
    <w:rsid w:val="00275142"/>
    <w:rsid w:val="00275169"/>
    <w:rsid w:val="00275218"/>
    <w:rsid w:val="002752B0"/>
    <w:rsid w:val="002752C0"/>
    <w:rsid w:val="00275324"/>
    <w:rsid w:val="002753E7"/>
    <w:rsid w:val="00275534"/>
    <w:rsid w:val="00275578"/>
    <w:rsid w:val="002756ED"/>
    <w:rsid w:val="002757A8"/>
    <w:rsid w:val="002757C7"/>
    <w:rsid w:val="00275AA6"/>
    <w:rsid w:val="00275B77"/>
    <w:rsid w:val="00275DEB"/>
    <w:rsid w:val="00275E6D"/>
    <w:rsid w:val="00275F24"/>
    <w:rsid w:val="002762F3"/>
    <w:rsid w:val="002762FC"/>
    <w:rsid w:val="00276341"/>
    <w:rsid w:val="002763D6"/>
    <w:rsid w:val="0027658F"/>
    <w:rsid w:val="0027684F"/>
    <w:rsid w:val="002768D9"/>
    <w:rsid w:val="00276A82"/>
    <w:rsid w:val="00276B5A"/>
    <w:rsid w:val="00276DBC"/>
    <w:rsid w:val="00276FC0"/>
    <w:rsid w:val="00277188"/>
    <w:rsid w:val="002775C4"/>
    <w:rsid w:val="00277B47"/>
    <w:rsid w:val="00277BE2"/>
    <w:rsid w:val="00277DB9"/>
    <w:rsid w:val="00277F7A"/>
    <w:rsid w:val="0028041A"/>
    <w:rsid w:val="00280960"/>
    <w:rsid w:val="00280A09"/>
    <w:rsid w:val="00280A9B"/>
    <w:rsid w:val="00280DE7"/>
    <w:rsid w:val="00280DFD"/>
    <w:rsid w:val="00280E9A"/>
    <w:rsid w:val="00280F7A"/>
    <w:rsid w:val="00280FBA"/>
    <w:rsid w:val="00281014"/>
    <w:rsid w:val="002810EF"/>
    <w:rsid w:val="002811E1"/>
    <w:rsid w:val="002812A0"/>
    <w:rsid w:val="00281329"/>
    <w:rsid w:val="00281349"/>
    <w:rsid w:val="00281762"/>
    <w:rsid w:val="0028189A"/>
    <w:rsid w:val="002818D5"/>
    <w:rsid w:val="002818E4"/>
    <w:rsid w:val="00281915"/>
    <w:rsid w:val="002819AB"/>
    <w:rsid w:val="00281C58"/>
    <w:rsid w:val="00281D1B"/>
    <w:rsid w:val="00281DB9"/>
    <w:rsid w:val="00281E03"/>
    <w:rsid w:val="00281E22"/>
    <w:rsid w:val="00281F80"/>
    <w:rsid w:val="00282022"/>
    <w:rsid w:val="00282163"/>
    <w:rsid w:val="002822D4"/>
    <w:rsid w:val="0028247D"/>
    <w:rsid w:val="00282492"/>
    <w:rsid w:val="002824D6"/>
    <w:rsid w:val="0028288E"/>
    <w:rsid w:val="00282A85"/>
    <w:rsid w:val="00282D80"/>
    <w:rsid w:val="00282E48"/>
    <w:rsid w:val="002830F7"/>
    <w:rsid w:val="00283239"/>
    <w:rsid w:val="0028357B"/>
    <w:rsid w:val="002837F1"/>
    <w:rsid w:val="002838F1"/>
    <w:rsid w:val="002839E3"/>
    <w:rsid w:val="00283A9E"/>
    <w:rsid w:val="00283B70"/>
    <w:rsid w:val="00283C9F"/>
    <w:rsid w:val="00283CB0"/>
    <w:rsid w:val="00283D0B"/>
    <w:rsid w:val="00283D55"/>
    <w:rsid w:val="00283ED3"/>
    <w:rsid w:val="00284100"/>
    <w:rsid w:val="00284303"/>
    <w:rsid w:val="002843AA"/>
    <w:rsid w:val="0028444C"/>
    <w:rsid w:val="00284465"/>
    <w:rsid w:val="00284549"/>
    <w:rsid w:val="002846A7"/>
    <w:rsid w:val="00284803"/>
    <w:rsid w:val="002848D7"/>
    <w:rsid w:val="002848E0"/>
    <w:rsid w:val="00284914"/>
    <w:rsid w:val="00284AF6"/>
    <w:rsid w:val="00284D96"/>
    <w:rsid w:val="00284E86"/>
    <w:rsid w:val="00285113"/>
    <w:rsid w:val="00285170"/>
    <w:rsid w:val="00285324"/>
    <w:rsid w:val="0028545E"/>
    <w:rsid w:val="00285609"/>
    <w:rsid w:val="002859A1"/>
    <w:rsid w:val="00285B63"/>
    <w:rsid w:val="00285C7D"/>
    <w:rsid w:val="00285C9F"/>
    <w:rsid w:val="00285FB2"/>
    <w:rsid w:val="00285FBC"/>
    <w:rsid w:val="00286247"/>
    <w:rsid w:val="0028642A"/>
    <w:rsid w:val="0028646B"/>
    <w:rsid w:val="002864C0"/>
    <w:rsid w:val="0028656C"/>
    <w:rsid w:val="0028659F"/>
    <w:rsid w:val="00286629"/>
    <w:rsid w:val="002869E9"/>
    <w:rsid w:val="00286F67"/>
    <w:rsid w:val="0028702B"/>
    <w:rsid w:val="00287287"/>
    <w:rsid w:val="00287324"/>
    <w:rsid w:val="00287426"/>
    <w:rsid w:val="002875A6"/>
    <w:rsid w:val="002875AA"/>
    <w:rsid w:val="00287851"/>
    <w:rsid w:val="00287C29"/>
    <w:rsid w:val="00287C73"/>
    <w:rsid w:val="00287CC2"/>
    <w:rsid w:val="00290085"/>
    <w:rsid w:val="002900BF"/>
    <w:rsid w:val="0029022D"/>
    <w:rsid w:val="002902B2"/>
    <w:rsid w:val="002903BD"/>
    <w:rsid w:val="00290435"/>
    <w:rsid w:val="00290487"/>
    <w:rsid w:val="002904CD"/>
    <w:rsid w:val="002906A2"/>
    <w:rsid w:val="002906A5"/>
    <w:rsid w:val="0029074A"/>
    <w:rsid w:val="002907E8"/>
    <w:rsid w:val="0029087D"/>
    <w:rsid w:val="0029091E"/>
    <w:rsid w:val="00290AF3"/>
    <w:rsid w:val="00290F59"/>
    <w:rsid w:val="00290F5D"/>
    <w:rsid w:val="00290F99"/>
    <w:rsid w:val="00290FDF"/>
    <w:rsid w:val="00291212"/>
    <w:rsid w:val="00291307"/>
    <w:rsid w:val="002913C6"/>
    <w:rsid w:val="00291653"/>
    <w:rsid w:val="00291689"/>
    <w:rsid w:val="00291B26"/>
    <w:rsid w:val="00291F19"/>
    <w:rsid w:val="002923CA"/>
    <w:rsid w:val="00292419"/>
    <w:rsid w:val="00292679"/>
    <w:rsid w:val="002926E0"/>
    <w:rsid w:val="00292816"/>
    <w:rsid w:val="00292A45"/>
    <w:rsid w:val="00292C87"/>
    <w:rsid w:val="00292EE8"/>
    <w:rsid w:val="00293021"/>
    <w:rsid w:val="002931F9"/>
    <w:rsid w:val="00293592"/>
    <w:rsid w:val="002938A3"/>
    <w:rsid w:val="0029390A"/>
    <w:rsid w:val="002939E4"/>
    <w:rsid w:val="00293A33"/>
    <w:rsid w:val="00293E53"/>
    <w:rsid w:val="00293E95"/>
    <w:rsid w:val="00293EFC"/>
    <w:rsid w:val="00294074"/>
    <w:rsid w:val="00294090"/>
    <w:rsid w:val="00294292"/>
    <w:rsid w:val="0029492E"/>
    <w:rsid w:val="00294AC9"/>
    <w:rsid w:val="00294C5B"/>
    <w:rsid w:val="00294C98"/>
    <w:rsid w:val="00294EF9"/>
    <w:rsid w:val="00294F01"/>
    <w:rsid w:val="0029507E"/>
    <w:rsid w:val="00295151"/>
    <w:rsid w:val="0029542E"/>
    <w:rsid w:val="002955FC"/>
    <w:rsid w:val="00295684"/>
    <w:rsid w:val="00295854"/>
    <w:rsid w:val="002959B7"/>
    <w:rsid w:val="00295C66"/>
    <w:rsid w:val="00295D0F"/>
    <w:rsid w:val="00295F2E"/>
    <w:rsid w:val="00296539"/>
    <w:rsid w:val="002966A8"/>
    <w:rsid w:val="00296863"/>
    <w:rsid w:val="00296965"/>
    <w:rsid w:val="00296C8C"/>
    <w:rsid w:val="00296D5B"/>
    <w:rsid w:val="00296DD9"/>
    <w:rsid w:val="00296EF0"/>
    <w:rsid w:val="00296FCA"/>
    <w:rsid w:val="0029704E"/>
    <w:rsid w:val="002971C1"/>
    <w:rsid w:val="00297319"/>
    <w:rsid w:val="002975CA"/>
    <w:rsid w:val="00297724"/>
    <w:rsid w:val="002977E0"/>
    <w:rsid w:val="0029781D"/>
    <w:rsid w:val="00297975"/>
    <w:rsid w:val="00297DD6"/>
    <w:rsid w:val="00297E16"/>
    <w:rsid w:val="00297E87"/>
    <w:rsid w:val="00297FBD"/>
    <w:rsid w:val="002A0090"/>
    <w:rsid w:val="002A0170"/>
    <w:rsid w:val="002A02A0"/>
    <w:rsid w:val="002A0475"/>
    <w:rsid w:val="002A0481"/>
    <w:rsid w:val="002A04A2"/>
    <w:rsid w:val="002A04F5"/>
    <w:rsid w:val="002A06BC"/>
    <w:rsid w:val="002A0894"/>
    <w:rsid w:val="002A0943"/>
    <w:rsid w:val="002A0A92"/>
    <w:rsid w:val="002A0B6A"/>
    <w:rsid w:val="002A0C03"/>
    <w:rsid w:val="002A0C61"/>
    <w:rsid w:val="002A0EA9"/>
    <w:rsid w:val="002A112C"/>
    <w:rsid w:val="002A1388"/>
    <w:rsid w:val="002A13A7"/>
    <w:rsid w:val="002A18B5"/>
    <w:rsid w:val="002A19BB"/>
    <w:rsid w:val="002A1B2A"/>
    <w:rsid w:val="002A1BF4"/>
    <w:rsid w:val="002A1EA1"/>
    <w:rsid w:val="002A1EF3"/>
    <w:rsid w:val="002A200F"/>
    <w:rsid w:val="002A226B"/>
    <w:rsid w:val="002A2387"/>
    <w:rsid w:val="002A24BB"/>
    <w:rsid w:val="002A2525"/>
    <w:rsid w:val="002A2754"/>
    <w:rsid w:val="002A28EA"/>
    <w:rsid w:val="002A298C"/>
    <w:rsid w:val="002A2BAA"/>
    <w:rsid w:val="002A2DD6"/>
    <w:rsid w:val="002A3088"/>
    <w:rsid w:val="002A30E7"/>
    <w:rsid w:val="002A3158"/>
    <w:rsid w:val="002A3324"/>
    <w:rsid w:val="002A36C0"/>
    <w:rsid w:val="002A3D76"/>
    <w:rsid w:val="002A3D7F"/>
    <w:rsid w:val="002A3DF8"/>
    <w:rsid w:val="002A3E32"/>
    <w:rsid w:val="002A3E8F"/>
    <w:rsid w:val="002A3EA5"/>
    <w:rsid w:val="002A4102"/>
    <w:rsid w:val="002A425C"/>
    <w:rsid w:val="002A4582"/>
    <w:rsid w:val="002A468C"/>
    <w:rsid w:val="002A47DE"/>
    <w:rsid w:val="002A4A24"/>
    <w:rsid w:val="002A4BB6"/>
    <w:rsid w:val="002A5027"/>
    <w:rsid w:val="002A5123"/>
    <w:rsid w:val="002A5141"/>
    <w:rsid w:val="002A53CD"/>
    <w:rsid w:val="002A5446"/>
    <w:rsid w:val="002A544A"/>
    <w:rsid w:val="002A5499"/>
    <w:rsid w:val="002A558A"/>
    <w:rsid w:val="002A5727"/>
    <w:rsid w:val="002A5737"/>
    <w:rsid w:val="002A57DD"/>
    <w:rsid w:val="002A592D"/>
    <w:rsid w:val="002A59F8"/>
    <w:rsid w:val="002A5A05"/>
    <w:rsid w:val="002A5CC5"/>
    <w:rsid w:val="002A5D95"/>
    <w:rsid w:val="002A6031"/>
    <w:rsid w:val="002A60F2"/>
    <w:rsid w:val="002A617D"/>
    <w:rsid w:val="002A61BC"/>
    <w:rsid w:val="002A6299"/>
    <w:rsid w:val="002A6448"/>
    <w:rsid w:val="002A653A"/>
    <w:rsid w:val="002A6775"/>
    <w:rsid w:val="002A687F"/>
    <w:rsid w:val="002A69F9"/>
    <w:rsid w:val="002A6A46"/>
    <w:rsid w:val="002A6B04"/>
    <w:rsid w:val="002A6CD6"/>
    <w:rsid w:val="002A6CE0"/>
    <w:rsid w:val="002A7029"/>
    <w:rsid w:val="002A716E"/>
    <w:rsid w:val="002A721C"/>
    <w:rsid w:val="002A7432"/>
    <w:rsid w:val="002A7626"/>
    <w:rsid w:val="002A7762"/>
    <w:rsid w:val="002A77C6"/>
    <w:rsid w:val="002A7904"/>
    <w:rsid w:val="002A7C48"/>
    <w:rsid w:val="002A7D25"/>
    <w:rsid w:val="002A7DD7"/>
    <w:rsid w:val="002A7E2B"/>
    <w:rsid w:val="002A7F8C"/>
    <w:rsid w:val="002B002E"/>
    <w:rsid w:val="002B00B3"/>
    <w:rsid w:val="002B0269"/>
    <w:rsid w:val="002B02A7"/>
    <w:rsid w:val="002B03B0"/>
    <w:rsid w:val="002B03F1"/>
    <w:rsid w:val="002B05DE"/>
    <w:rsid w:val="002B05DF"/>
    <w:rsid w:val="002B07CC"/>
    <w:rsid w:val="002B0821"/>
    <w:rsid w:val="002B09BA"/>
    <w:rsid w:val="002B0D98"/>
    <w:rsid w:val="002B0E00"/>
    <w:rsid w:val="002B0EEB"/>
    <w:rsid w:val="002B10C3"/>
    <w:rsid w:val="002B13F4"/>
    <w:rsid w:val="002B142C"/>
    <w:rsid w:val="002B15A2"/>
    <w:rsid w:val="002B1749"/>
    <w:rsid w:val="002B17BC"/>
    <w:rsid w:val="002B17C8"/>
    <w:rsid w:val="002B199C"/>
    <w:rsid w:val="002B1BE5"/>
    <w:rsid w:val="002B1C82"/>
    <w:rsid w:val="002B1CC7"/>
    <w:rsid w:val="002B1DDA"/>
    <w:rsid w:val="002B201F"/>
    <w:rsid w:val="002B22EC"/>
    <w:rsid w:val="002B23CC"/>
    <w:rsid w:val="002B248B"/>
    <w:rsid w:val="002B2509"/>
    <w:rsid w:val="002B26B3"/>
    <w:rsid w:val="002B279F"/>
    <w:rsid w:val="002B2905"/>
    <w:rsid w:val="002B2978"/>
    <w:rsid w:val="002B29FD"/>
    <w:rsid w:val="002B2AD5"/>
    <w:rsid w:val="002B2B9F"/>
    <w:rsid w:val="002B2CD6"/>
    <w:rsid w:val="002B2D05"/>
    <w:rsid w:val="002B2D1F"/>
    <w:rsid w:val="002B2E3C"/>
    <w:rsid w:val="002B328A"/>
    <w:rsid w:val="002B3379"/>
    <w:rsid w:val="002B36DD"/>
    <w:rsid w:val="002B3AB6"/>
    <w:rsid w:val="002B3B3B"/>
    <w:rsid w:val="002B3C6E"/>
    <w:rsid w:val="002B3EA2"/>
    <w:rsid w:val="002B4194"/>
    <w:rsid w:val="002B44FA"/>
    <w:rsid w:val="002B45B5"/>
    <w:rsid w:val="002B46FA"/>
    <w:rsid w:val="002B491B"/>
    <w:rsid w:val="002B49F9"/>
    <w:rsid w:val="002B4A10"/>
    <w:rsid w:val="002B4CFE"/>
    <w:rsid w:val="002B4DB2"/>
    <w:rsid w:val="002B4EE8"/>
    <w:rsid w:val="002B4F03"/>
    <w:rsid w:val="002B525A"/>
    <w:rsid w:val="002B535E"/>
    <w:rsid w:val="002B53D3"/>
    <w:rsid w:val="002B540A"/>
    <w:rsid w:val="002B5591"/>
    <w:rsid w:val="002B5627"/>
    <w:rsid w:val="002B563A"/>
    <w:rsid w:val="002B5A03"/>
    <w:rsid w:val="002B5B41"/>
    <w:rsid w:val="002B5BEC"/>
    <w:rsid w:val="002B5C6A"/>
    <w:rsid w:val="002B5C97"/>
    <w:rsid w:val="002B5D0E"/>
    <w:rsid w:val="002B5E03"/>
    <w:rsid w:val="002B5EDC"/>
    <w:rsid w:val="002B60A9"/>
    <w:rsid w:val="002B60BD"/>
    <w:rsid w:val="002B61B4"/>
    <w:rsid w:val="002B63BE"/>
    <w:rsid w:val="002B63CF"/>
    <w:rsid w:val="002B6495"/>
    <w:rsid w:val="002B64A0"/>
    <w:rsid w:val="002B652D"/>
    <w:rsid w:val="002B67B5"/>
    <w:rsid w:val="002B69F6"/>
    <w:rsid w:val="002B6ACC"/>
    <w:rsid w:val="002B6AD0"/>
    <w:rsid w:val="002B6BC4"/>
    <w:rsid w:val="002B6CB8"/>
    <w:rsid w:val="002B6D25"/>
    <w:rsid w:val="002B6F67"/>
    <w:rsid w:val="002B731D"/>
    <w:rsid w:val="002B757F"/>
    <w:rsid w:val="002B7760"/>
    <w:rsid w:val="002B78C3"/>
    <w:rsid w:val="002B7944"/>
    <w:rsid w:val="002B7A6E"/>
    <w:rsid w:val="002B7ABF"/>
    <w:rsid w:val="002B7B40"/>
    <w:rsid w:val="002B7E04"/>
    <w:rsid w:val="002B7EBF"/>
    <w:rsid w:val="002C0074"/>
    <w:rsid w:val="002C011B"/>
    <w:rsid w:val="002C030D"/>
    <w:rsid w:val="002C0475"/>
    <w:rsid w:val="002C0479"/>
    <w:rsid w:val="002C06AA"/>
    <w:rsid w:val="002C08FF"/>
    <w:rsid w:val="002C090E"/>
    <w:rsid w:val="002C0A12"/>
    <w:rsid w:val="002C0CBB"/>
    <w:rsid w:val="002C0CE9"/>
    <w:rsid w:val="002C0D1E"/>
    <w:rsid w:val="002C0ED6"/>
    <w:rsid w:val="002C0F3B"/>
    <w:rsid w:val="002C10D9"/>
    <w:rsid w:val="002C1180"/>
    <w:rsid w:val="002C12DD"/>
    <w:rsid w:val="002C12E1"/>
    <w:rsid w:val="002C181C"/>
    <w:rsid w:val="002C197A"/>
    <w:rsid w:val="002C1A87"/>
    <w:rsid w:val="002C1B28"/>
    <w:rsid w:val="002C1E24"/>
    <w:rsid w:val="002C211E"/>
    <w:rsid w:val="002C21F1"/>
    <w:rsid w:val="002C22CE"/>
    <w:rsid w:val="002C2315"/>
    <w:rsid w:val="002C23B1"/>
    <w:rsid w:val="002C246B"/>
    <w:rsid w:val="002C24AA"/>
    <w:rsid w:val="002C25D8"/>
    <w:rsid w:val="002C2778"/>
    <w:rsid w:val="002C2852"/>
    <w:rsid w:val="002C29CB"/>
    <w:rsid w:val="002C2A3F"/>
    <w:rsid w:val="002C2FBB"/>
    <w:rsid w:val="002C3110"/>
    <w:rsid w:val="002C3307"/>
    <w:rsid w:val="002C35FC"/>
    <w:rsid w:val="002C3799"/>
    <w:rsid w:val="002C389B"/>
    <w:rsid w:val="002C393C"/>
    <w:rsid w:val="002C3A82"/>
    <w:rsid w:val="002C3AFB"/>
    <w:rsid w:val="002C3B3D"/>
    <w:rsid w:val="002C3B47"/>
    <w:rsid w:val="002C3B62"/>
    <w:rsid w:val="002C3B9D"/>
    <w:rsid w:val="002C3F03"/>
    <w:rsid w:val="002C4114"/>
    <w:rsid w:val="002C4768"/>
    <w:rsid w:val="002C498E"/>
    <w:rsid w:val="002C4BD4"/>
    <w:rsid w:val="002C4D52"/>
    <w:rsid w:val="002C4D9C"/>
    <w:rsid w:val="002C4E61"/>
    <w:rsid w:val="002C515F"/>
    <w:rsid w:val="002C522E"/>
    <w:rsid w:val="002C5264"/>
    <w:rsid w:val="002C5272"/>
    <w:rsid w:val="002C5416"/>
    <w:rsid w:val="002C54F7"/>
    <w:rsid w:val="002C5527"/>
    <w:rsid w:val="002C578C"/>
    <w:rsid w:val="002C58D5"/>
    <w:rsid w:val="002C5A13"/>
    <w:rsid w:val="002C5AC0"/>
    <w:rsid w:val="002C5BC2"/>
    <w:rsid w:val="002C606D"/>
    <w:rsid w:val="002C64B4"/>
    <w:rsid w:val="002C6540"/>
    <w:rsid w:val="002C65A4"/>
    <w:rsid w:val="002C687B"/>
    <w:rsid w:val="002C68B9"/>
    <w:rsid w:val="002C6919"/>
    <w:rsid w:val="002C6A0C"/>
    <w:rsid w:val="002C6BC2"/>
    <w:rsid w:val="002C6C0B"/>
    <w:rsid w:val="002C70AC"/>
    <w:rsid w:val="002C7215"/>
    <w:rsid w:val="002C73B3"/>
    <w:rsid w:val="002C73C0"/>
    <w:rsid w:val="002C7449"/>
    <w:rsid w:val="002C77B2"/>
    <w:rsid w:val="002C7A30"/>
    <w:rsid w:val="002C7B2F"/>
    <w:rsid w:val="002D0266"/>
    <w:rsid w:val="002D0302"/>
    <w:rsid w:val="002D0329"/>
    <w:rsid w:val="002D059B"/>
    <w:rsid w:val="002D0BCF"/>
    <w:rsid w:val="002D0E8B"/>
    <w:rsid w:val="002D0F77"/>
    <w:rsid w:val="002D104D"/>
    <w:rsid w:val="002D105C"/>
    <w:rsid w:val="002D111E"/>
    <w:rsid w:val="002D1291"/>
    <w:rsid w:val="002D12E6"/>
    <w:rsid w:val="002D14A3"/>
    <w:rsid w:val="002D1677"/>
    <w:rsid w:val="002D17D8"/>
    <w:rsid w:val="002D189D"/>
    <w:rsid w:val="002D1920"/>
    <w:rsid w:val="002D1922"/>
    <w:rsid w:val="002D196E"/>
    <w:rsid w:val="002D1A7A"/>
    <w:rsid w:val="002D1B1A"/>
    <w:rsid w:val="002D1D62"/>
    <w:rsid w:val="002D1DB9"/>
    <w:rsid w:val="002D1EA6"/>
    <w:rsid w:val="002D2146"/>
    <w:rsid w:val="002D2167"/>
    <w:rsid w:val="002D21D7"/>
    <w:rsid w:val="002D2213"/>
    <w:rsid w:val="002D234C"/>
    <w:rsid w:val="002D2419"/>
    <w:rsid w:val="002D2575"/>
    <w:rsid w:val="002D26F9"/>
    <w:rsid w:val="002D2820"/>
    <w:rsid w:val="002D2B54"/>
    <w:rsid w:val="002D2CF5"/>
    <w:rsid w:val="002D2E9D"/>
    <w:rsid w:val="002D2F47"/>
    <w:rsid w:val="002D3016"/>
    <w:rsid w:val="002D30C0"/>
    <w:rsid w:val="002D3195"/>
    <w:rsid w:val="002D3206"/>
    <w:rsid w:val="002D3245"/>
    <w:rsid w:val="002D32EE"/>
    <w:rsid w:val="002D355F"/>
    <w:rsid w:val="002D366D"/>
    <w:rsid w:val="002D389A"/>
    <w:rsid w:val="002D38D4"/>
    <w:rsid w:val="002D39DF"/>
    <w:rsid w:val="002D3B52"/>
    <w:rsid w:val="002D3B97"/>
    <w:rsid w:val="002D3CF9"/>
    <w:rsid w:val="002D3E4E"/>
    <w:rsid w:val="002D3EB3"/>
    <w:rsid w:val="002D3EBA"/>
    <w:rsid w:val="002D4041"/>
    <w:rsid w:val="002D4097"/>
    <w:rsid w:val="002D43BD"/>
    <w:rsid w:val="002D4486"/>
    <w:rsid w:val="002D4498"/>
    <w:rsid w:val="002D454B"/>
    <w:rsid w:val="002D4589"/>
    <w:rsid w:val="002D4679"/>
    <w:rsid w:val="002D49B7"/>
    <w:rsid w:val="002D49D8"/>
    <w:rsid w:val="002D4A3F"/>
    <w:rsid w:val="002D4A84"/>
    <w:rsid w:val="002D4AD8"/>
    <w:rsid w:val="002D4B52"/>
    <w:rsid w:val="002D4B71"/>
    <w:rsid w:val="002D4E92"/>
    <w:rsid w:val="002D5180"/>
    <w:rsid w:val="002D53B7"/>
    <w:rsid w:val="002D5900"/>
    <w:rsid w:val="002D5C2A"/>
    <w:rsid w:val="002D5CED"/>
    <w:rsid w:val="002D5EC5"/>
    <w:rsid w:val="002D6044"/>
    <w:rsid w:val="002D6087"/>
    <w:rsid w:val="002D62B3"/>
    <w:rsid w:val="002D6451"/>
    <w:rsid w:val="002D679D"/>
    <w:rsid w:val="002D67D2"/>
    <w:rsid w:val="002D6911"/>
    <w:rsid w:val="002D6CDA"/>
    <w:rsid w:val="002D6D47"/>
    <w:rsid w:val="002D6D5D"/>
    <w:rsid w:val="002D6D84"/>
    <w:rsid w:val="002D6DE4"/>
    <w:rsid w:val="002D7049"/>
    <w:rsid w:val="002D7096"/>
    <w:rsid w:val="002D7382"/>
    <w:rsid w:val="002D745A"/>
    <w:rsid w:val="002D74FD"/>
    <w:rsid w:val="002D7615"/>
    <w:rsid w:val="002D781E"/>
    <w:rsid w:val="002D7A0A"/>
    <w:rsid w:val="002D7ABD"/>
    <w:rsid w:val="002D7AF9"/>
    <w:rsid w:val="002D7BDC"/>
    <w:rsid w:val="002D7E18"/>
    <w:rsid w:val="002E0023"/>
    <w:rsid w:val="002E01DF"/>
    <w:rsid w:val="002E03C7"/>
    <w:rsid w:val="002E06F1"/>
    <w:rsid w:val="002E07CE"/>
    <w:rsid w:val="002E0A32"/>
    <w:rsid w:val="002E0BD5"/>
    <w:rsid w:val="002E0BED"/>
    <w:rsid w:val="002E0D2C"/>
    <w:rsid w:val="002E0E4B"/>
    <w:rsid w:val="002E0E80"/>
    <w:rsid w:val="002E0F22"/>
    <w:rsid w:val="002E1346"/>
    <w:rsid w:val="002E15A3"/>
    <w:rsid w:val="002E1B81"/>
    <w:rsid w:val="002E1C77"/>
    <w:rsid w:val="002E1DAC"/>
    <w:rsid w:val="002E2235"/>
    <w:rsid w:val="002E2764"/>
    <w:rsid w:val="002E2803"/>
    <w:rsid w:val="002E2862"/>
    <w:rsid w:val="002E2BAE"/>
    <w:rsid w:val="002E2CDA"/>
    <w:rsid w:val="002E2E9E"/>
    <w:rsid w:val="002E302C"/>
    <w:rsid w:val="002E30B0"/>
    <w:rsid w:val="002E3463"/>
    <w:rsid w:val="002E37FF"/>
    <w:rsid w:val="002E393A"/>
    <w:rsid w:val="002E3AC7"/>
    <w:rsid w:val="002E3CD9"/>
    <w:rsid w:val="002E3D25"/>
    <w:rsid w:val="002E3EA3"/>
    <w:rsid w:val="002E4142"/>
    <w:rsid w:val="002E4277"/>
    <w:rsid w:val="002E4318"/>
    <w:rsid w:val="002E4394"/>
    <w:rsid w:val="002E43E1"/>
    <w:rsid w:val="002E441E"/>
    <w:rsid w:val="002E469D"/>
    <w:rsid w:val="002E4709"/>
    <w:rsid w:val="002E48F4"/>
    <w:rsid w:val="002E49F9"/>
    <w:rsid w:val="002E4B1E"/>
    <w:rsid w:val="002E4C0D"/>
    <w:rsid w:val="002E4E80"/>
    <w:rsid w:val="002E4F30"/>
    <w:rsid w:val="002E4FAC"/>
    <w:rsid w:val="002E509F"/>
    <w:rsid w:val="002E5580"/>
    <w:rsid w:val="002E5818"/>
    <w:rsid w:val="002E590A"/>
    <w:rsid w:val="002E5A9B"/>
    <w:rsid w:val="002E5B73"/>
    <w:rsid w:val="002E5D95"/>
    <w:rsid w:val="002E5DD3"/>
    <w:rsid w:val="002E6009"/>
    <w:rsid w:val="002E60CE"/>
    <w:rsid w:val="002E649A"/>
    <w:rsid w:val="002E67C5"/>
    <w:rsid w:val="002E68C1"/>
    <w:rsid w:val="002E6C8D"/>
    <w:rsid w:val="002E6F16"/>
    <w:rsid w:val="002E738E"/>
    <w:rsid w:val="002E7419"/>
    <w:rsid w:val="002E76CD"/>
    <w:rsid w:val="002E78EE"/>
    <w:rsid w:val="002E79C5"/>
    <w:rsid w:val="002E7B01"/>
    <w:rsid w:val="002E7DDA"/>
    <w:rsid w:val="002E7F42"/>
    <w:rsid w:val="002F001D"/>
    <w:rsid w:val="002F00CE"/>
    <w:rsid w:val="002F02D2"/>
    <w:rsid w:val="002F0408"/>
    <w:rsid w:val="002F040A"/>
    <w:rsid w:val="002F042F"/>
    <w:rsid w:val="002F0530"/>
    <w:rsid w:val="002F0798"/>
    <w:rsid w:val="002F08FB"/>
    <w:rsid w:val="002F0914"/>
    <w:rsid w:val="002F0980"/>
    <w:rsid w:val="002F09F9"/>
    <w:rsid w:val="002F0D09"/>
    <w:rsid w:val="002F10C8"/>
    <w:rsid w:val="002F1152"/>
    <w:rsid w:val="002F116B"/>
    <w:rsid w:val="002F11B3"/>
    <w:rsid w:val="002F12F8"/>
    <w:rsid w:val="002F139A"/>
    <w:rsid w:val="002F1A0F"/>
    <w:rsid w:val="002F1CC4"/>
    <w:rsid w:val="002F1D1A"/>
    <w:rsid w:val="002F1E50"/>
    <w:rsid w:val="002F1F6A"/>
    <w:rsid w:val="002F1F7E"/>
    <w:rsid w:val="002F2253"/>
    <w:rsid w:val="002F2361"/>
    <w:rsid w:val="002F23CE"/>
    <w:rsid w:val="002F2559"/>
    <w:rsid w:val="002F2575"/>
    <w:rsid w:val="002F260D"/>
    <w:rsid w:val="002F2648"/>
    <w:rsid w:val="002F2730"/>
    <w:rsid w:val="002F284D"/>
    <w:rsid w:val="002F2A7A"/>
    <w:rsid w:val="002F2ABE"/>
    <w:rsid w:val="002F2BA4"/>
    <w:rsid w:val="002F2E10"/>
    <w:rsid w:val="002F2F14"/>
    <w:rsid w:val="002F3220"/>
    <w:rsid w:val="002F32A1"/>
    <w:rsid w:val="002F3506"/>
    <w:rsid w:val="002F3750"/>
    <w:rsid w:val="002F3858"/>
    <w:rsid w:val="002F3A54"/>
    <w:rsid w:val="002F3ACE"/>
    <w:rsid w:val="002F3C92"/>
    <w:rsid w:val="002F3CA6"/>
    <w:rsid w:val="002F3D21"/>
    <w:rsid w:val="002F3D33"/>
    <w:rsid w:val="002F3D64"/>
    <w:rsid w:val="002F405A"/>
    <w:rsid w:val="002F4111"/>
    <w:rsid w:val="002F415A"/>
    <w:rsid w:val="002F41A1"/>
    <w:rsid w:val="002F4267"/>
    <w:rsid w:val="002F42B0"/>
    <w:rsid w:val="002F43F0"/>
    <w:rsid w:val="002F4472"/>
    <w:rsid w:val="002F4488"/>
    <w:rsid w:val="002F456C"/>
    <w:rsid w:val="002F45BC"/>
    <w:rsid w:val="002F45C3"/>
    <w:rsid w:val="002F463A"/>
    <w:rsid w:val="002F4794"/>
    <w:rsid w:val="002F47C1"/>
    <w:rsid w:val="002F48D1"/>
    <w:rsid w:val="002F4A4D"/>
    <w:rsid w:val="002F4A5D"/>
    <w:rsid w:val="002F4AA8"/>
    <w:rsid w:val="002F4B83"/>
    <w:rsid w:val="002F4C15"/>
    <w:rsid w:val="002F4C2D"/>
    <w:rsid w:val="002F4C9F"/>
    <w:rsid w:val="002F4F31"/>
    <w:rsid w:val="002F5124"/>
    <w:rsid w:val="002F51AB"/>
    <w:rsid w:val="002F52C2"/>
    <w:rsid w:val="002F52D2"/>
    <w:rsid w:val="002F5742"/>
    <w:rsid w:val="002F5965"/>
    <w:rsid w:val="002F5B4C"/>
    <w:rsid w:val="002F5C00"/>
    <w:rsid w:val="002F5C8B"/>
    <w:rsid w:val="002F5D9B"/>
    <w:rsid w:val="002F5DCD"/>
    <w:rsid w:val="002F5F57"/>
    <w:rsid w:val="002F606B"/>
    <w:rsid w:val="002F609B"/>
    <w:rsid w:val="002F62AF"/>
    <w:rsid w:val="002F649F"/>
    <w:rsid w:val="002F6550"/>
    <w:rsid w:val="002F65E9"/>
    <w:rsid w:val="002F665E"/>
    <w:rsid w:val="002F6A6F"/>
    <w:rsid w:val="002F6BCC"/>
    <w:rsid w:val="002F6C6B"/>
    <w:rsid w:val="002F6D0A"/>
    <w:rsid w:val="002F7048"/>
    <w:rsid w:val="002F7056"/>
    <w:rsid w:val="002F73DE"/>
    <w:rsid w:val="002F75FD"/>
    <w:rsid w:val="002F7601"/>
    <w:rsid w:val="002F772E"/>
    <w:rsid w:val="002F792D"/>
    <w:rsid w:val="00300041"/>
    <w:rsid w:val="00300082"/>
    <w:rsid w:val="003000D8"/>
    <w:rsid w:val="0030036C"/>
    <w:rsid w:val="003004AD"/>
    <w:rsid w:val="003008CF"/>
    <w:rsid w:val="00300A65"/>
    <w:rsid w:val="00300A6E"/>
    <w:rsid w:val="00300B28"/>
    <w:rsid w:val="00300C36"/>
    <w:rsid w:val="00300C6D"/>
    <w:rsid w:val="00300EBB"/>
    <w:rsid w:val="00300ED4"/>
    <w:rsid w:val="00300F0F"/>
    <w:rsid w:val="00300FE5"/>
    <w:rsid w:val="0030100F"/>
    <w:rsid w:val="0030117C"/>
    <w:rsid w:val="00301327"/>
    <w:rsid w:val="00301373"/>
    <w:rsid w:val="00301641"/>
    <w:rsid w:val="00301681"/>
    <w:rsid w:val="003017B8"/>
    <w:rsid w:val="003017C7"/>
    <w:rsid w:val="0030189A"/>
    <w:rsid w:val="003018F7"/>
    <w:rsid w:val="0030192E"/>
    <w:rsid w:val="003019ED"/>
    <w:rsid w:val="00301B35"/>
    <w:rsid w:val="00301C6D"/>
    <w:rsid w:val="00301DD2"/>
    <w:rsid w:val="00301DEF"/>
    <w:rsid w:val="00301E16"/>
    <w:rsid w:val="00301EC6"/>
    <w:rsid w:val="00301EC9"/>
    <w:rsid w:val="00301FAE"/>
    <w:rsid w:val="00302072"/>
    <w:rsid w:val="0030217C"/>
    <w:rsid w:val="0030222A"/>
    <w:rsid w:val="003022CC"/>
    <w:rsid w:val="00302386"/>
    <w:rsid w:val="0030256D"/>
    <w:rsid w:val="00302798"/>
    <w:rsid w:val="00302930"/>
    <w:rsid w:val="0030294A"/>
    <w:rsid w:val="0030298C"/>
    <w:rsid w:val="00302A4D"/>
    <w:rsid w:val="00302BA1"/>
    <w:rsid w:val="00302BA7"/>
    <w:rsid w:val="00302D52"/>
    <w:rsid w:val="00302DD7"/>
    <w:rsid w:val="00302F61"/>
    <w:rsid w:val="00302FD7"/>
    <w:rsid w:val="00303103"/>
    <w:rsid w:val="00303149"/>
    <w:rsid w:val="00303200"/>
    <w:rsid w:val="003032BF"/>
    <w:rsid w:val="00303339"/>
    <w:rsid w:val="0030378D"/>
    <w:rsid w:val="00303ABD"/>
    <w:rsid w:val="00303B2C"/>
    <w:rsid w:val="00303E8F"/>
    <w:rsid w:val="00303F1E"/>
    <w:rsid w:val="00304056"/>
    <w:rsid w:val="00304284"/>
    <w:rsid w:val="00304417"/>
    <w:rsid w:val="003044BD"/>
    <w:rsid w:val="00304503"/>
    <w:rsid w:val="00304573"/>
    <w:rsid w:val="00304C97"/>
    <w:rsid w:val="00304CF8"/>
    <w:rsid w:val="00304D46"/>
    <w:rsid w:val="003053E8"/>
    <w:rsid w:val="003053F1"/>
    <w:rsid w:val="0030542B"/>
    <w:rsid w:val="00305876"/>
    <w:rsid w:val="00305928"/>
    <w:rsid w:val="00305D48"/>
    <w:rsid w:val="00305EE5"/>
    <w:rsid w:val="00305F61"/>
    <w:rsid w:val="00305FA6"/>
    <w:rsid w:val="003060B2"/>
    <w:rsid w:val="003065E7"/>
    <w:rsid w:val="003066D2"/>
    <w:rsid w:val="00306869"/>
    <w:rsid w:val="003068BA"/>
    <w:rsid w:val="00306AE8"/>
    <w:rsid w:val="00306CF0"/>
    <w:rsid w:val="00306E1F"/>
    <w:rsid w:val="00307047"/>
    <w:rsid w:val="0030722C"/>
    <w:rsid w:val="003072FC"/>
    <w:rsid w:val="003073E2"/>
    <w:rsid w:val="003074B6"/>
    <w:rsid w:val="0030783E"/>
    <w:rsid w:val="00307A66"/>
    <w:rsid w:val="00307ADD"/>
    <w:rsid w:val="00307B8F"/>
    <w:rsid w:val="003101A4"/>
    <w:rsid w:val="003101E5"/>
    <w:rsid w:val="00310202"/>
    <w:rsid w:val="0031039A"/>
    <w:rsid w:val="00310468"/>
    <w:rsid w:val="003104D7"/>
    <w:rsid w:val="0031050C"/>
    <w:rsid w:val="00310557"/>
    <w:rsid w:val="00310625"/>
    <w:rsid w:val="00310688"/>
    <w:rsid w:val="00310909"/>
    <w:rsid w:val="00310B80"/>
    <w:rsid w:val="00310DBA"/>
    <w:rsid w:val="00310F08"/>
    <w:rsid w:val="003112F3"/>
    <w:rsid w:val="0031136D"/>
    <w:rsid w:val="00311511"/>
    <w:rsid w:val="00311562"/>
    <w:rsid w:val="00311AFD"/>
    <w:rsid w:val="00311B47"/>
    <w:rsid w:val="00311C45"/>
    <w:rsid w:val="00311C7F"/>
    <w:rsid w:val="00311D47"/>
    <w:rsid w:val="00312118"/>
    <w:rsid w:val="003123E9"/>
    <w:rsid w:val="0031260C"/>
    <w:rsid w:val="003126F9"/>
    <w:rsid w:val="003128A2"/>
    <w:rsid w:val="00312A57"/>
    <w:rsid w:val="00312BD4"/>
    <w:rsid w:val="00312DAB"/>
    <w:rsid w:val="00312DD9"/>
    <w:rsid w:val="0031312D"/>
    <w:rsid w:val="00313224"/>
    <w:rsid w:val="003134EE"/>
    <w:rsid w:val="00313553"/>
    <w:rsid w:val="00313723"/>
    <w:rsid w:val="003137C4"/>
    <w:rsid w:val="003145C4"/>
    <w:rsid w:val="003147C3"/>
    <w:rsid w:val="003148CF"/>
    <w:rsid w:val="00314DEE"/>
    <w:rsid w:val="00314EA6"/>
    <w:rsid w:val="00314F9C"/>
    <w:rsid w:val="00314FC7"/>
    <w:rsid w:val="003151C6"/>
    <w:rsid w:val="00315278"/>
    <w:rsid w:val="00315334"/>
    <w:rsid w:val="003153D1"/>
    <w:rsid w:val="003154D9"/>
    <w:rsid w:val="00315E2C"/>
    <w:rsid w:val="0031601D"/>
    <w:rsid w:val="003160DB"/>
    <w:rsid w:val="003160E3"/>
    <w:rsid w:val="00316134"/>
    <w:rsid w:val="00316176"/>
    <w:rsid w:val="003161A1"/>
    <w:rsid w:val="00316220"/>
    <w:rsid w:val="00316293"/>
    <w:rsid w:val="003163CC"/>
    <w:rsid w:val="003164F7"/>
    <w:rsid w:val="0031669F"/>
    <w:rsid w:val="003168B2"/>
    <w:rsid w:val="00316980"/>
    <w:rsid w:val="003169E6"/>
    <w:rsid w:val="00316A51"/>
    <w:rsid w:val="00316AD3"/>
    <w:rsid w:val="00316C35"/>
    <w:rsid w:val="00316E21"/>
    <w:rsid w:val="00316E24"/>
    <w:rsid w:val="00316F51"/>
    <w:rsid w:val="00317090"/>
    <w:rsid w:val="00317091"/>
    <w:rsid w:val="003171A7"/>
    <w:rsid w:val="0031722B"/>
    <w:rsid w:val="00317308"/>
    <w:rsid w:val="0031732F"/>
    <w:rsid w:val="0031737D"/>
    <w:rsid w:val="003174F5"/>
    <w:rsid w:val="0031794E"/>
    <w:rsid w:val="00317D2B"/>
    <w:rsid w:val="00317D59"/>
    <w:rsid w:val="00317DCC"/>
    <w:rsid w:val="00320094"/>
    <w:rsid w:val="003200F7"/>
    <w:rsid w:val="00320158"/>
    <w:rsid w:val="003206BC"/>
    <w:rsid w:val="00320A6E"/>
    <w:rsid w:val="00320AE2"/>
    <w:rsid w:val="00320DA1"/>
    <w:rsid w:val="00320EBB"/>
    <w:rsid w:val="00320FA7"/>
    <w:rsid w:val="0032114A"/>
    <w:rsid w:val="00321383"/>
    <w:rsid w:val="00321429"/>
    <w:rsid w:val="00321804"/>
    <w:rsid w:val="0032192E"/>
    <w:rsid w:val="00321CCA"/>
    <w:rsid w:val="00321D22"/>
    <w:rsid w:val="00321E45"/>
    <w:rsid w:val="00321ED1"/>
    <w:rsid w:val="00321F52"/>
    <w:rsid w:val="00322052"/>
    <w:rsid w:val="003221A7"/>
    <w:rsid w:val="00322553"/>
    <w:rsid w:val="00322722"/>
    <w:rsid w:val="00322894"/>
    <w:rsid w:val="003228A2"/>
    <w:rsid w:val="00322B04"/>
    <w:rsid w:val="00322B57"/>
    <w:rsid w:val="00322C3D"/>
    <w:rsid w:val="00322CE5"/>
    <w:rsid w:val="00322D18"/>
    <w:rsid w:val="00322D63"/>
    <w:rsid w:val="00322D67"/>
    <w:rsid w:val="00322D86"/>
    <w:rsid w:val="00322DA8"/>
    <w:rsid w:val="00322E05"/>
    <w:rsid w:val="00322E8B"/>
    <w:rsid w:val="00323050"/>
    <w:rsid w:val="0032320D"/>
    <w:rsid w:val="003232D0"/>
    <w:rsid w:val="0032382B"/>
    <w:rsid w:val="00323B8D"/>
    <w:rsid w:val="00323BE3"/>
    <w:rsid w:val="00323E44"/>
    <w:rsid w:val="0032401E"/>
    <w:rsid w:val="003242F1"/>
    <w:rsid w:val="00324627"/>
    <w:rsid w:val="003246FA"/>
    <w:rsid w:val="00324942"/>
    <w:rsid w:val="00324960"/>
    <w:rsid w:val="00324A1E"/>
    <w:rsid w:val="00324BC0"/>
    <w:rsid w:val="00324DF3"/>
    <w:rsid w:val="00324E69"/>
    <w:rsid w:val="00324FDD"/>
    <w:rsid w:val="0032514C"/>
    <w:rsid w:val="003252E4"/>
    <w:rsid w:val="003253CE"/>
    <w:rsid w:val="00325534"/>
    <w:rsid w:val="003255BA"/>
    <w:rsid w:val="003256F2"/>
    <w:rsid w:val="003258AD"/>
    <w:rsid w:val="00325D60"/>
    <w:rsid w:val="00325E33"/>
    <w:rsid w:val="00325F46"/>
    <w:rsid w:val="00326021"/>
    <w:rsid w:val="00326203"/>
    <w:rsid w:val="00326571"/>
    <w:rsid w:val="003268FB"/>
    <w:rsid w:val="00326968"/>
    <w:rsid w:val="00326D1E"/>
    <w:rsid w:val="00326DD5"/>
    <w:rsid w:val="00326EB1"/>
    <w:rsid w:val="00326F27"/>
    <w:rsid w:val="0032718F"/>
    <w:rsid w:val="0032741C"/>
    <w:rsid w:val="0032742A"/>
    <w:rsid w:val="00327525"/>
    <w:rsid w:val="0032758A"/>
    <w:rsid w:val="003277A9"/>
    <w:rsid w:val="00327939"/>
    <w:rsid w:val="00327961"/>
    <w:rsid w:val="00327AF6"/>
    <w:rsid w:val="00327C27"/>
    <w:rsid w:val="00327F5B"/>
    <w:rsid w:val="00327F9A"/>
    <w:rsid w:val="00327FA3"/>
    <w:rsid w:val="00327FD0"/>
    <w:rsid w:val="00330001"/>
    <w:rsid w:val="00330091"/>
    <w:rsid w:val="003300E3"/>
    <w:rsid w:val="00330239"/>
    <w:rsid w:val="003302C3"/>
    <w:rsid w:val="003302E7"/>
    <w:rsid w:val="00330497"/>
    <w:rsid w:val="003305ED"/>
    <w:rsid w:val="003305F4"/>
    <w:rsid w:val="00330C17"/>
    <w:rsid w:val="00330F23"/>
    <w:rsid w:val="0033115D"/>
    <w:rsid w:val="00331230"/>
    <w:rsid w:val="0033175A"/>
    <w:rsid w:val="00331887"/>
    <w:rsid w:val="00331A31"/>
    <w:rsid w:val="00331A8C"/>
    <w:rsid w:val="00331B39"/>
    <w:rsid w:val="00331E70"/>
    <w:rsid w:val="00331EA9"/>
    <w:rsid w:val="00331ED0"/>
    <w:rsid w:val="00331EF1"/>
    <w:rsid w:val="00331F52"/>
    <w:rsid w:val="00331F6E"/>
    <w:rsid w:val="00332108"/>
    <w:rsid w:val="003321B9"/>
    <w:rsid w:val="00332233"/>
    <w:rsid w:val="003329E1"/>
    <w:rsid w:val="00332CBC"/>
    <w:rsid w:val="00332CDC"/>
    <w:rsid w:val="00332D6A"/>
    <w:rsid w:val="00332D97"/>
    <w:rsid w:val="00333096"/>
    <w:rsid w:val="003330B2"/>
    <w:rsid w:val="003330F7"/>
    <w:rsid w:val="00333312"/>
    <w:rsid w:val="0033352A"/>
    <w:rsid w:val="00333812"/>
    <w:rsid w:val="00333AC9"/>
    <w:rsid w:val="00333E16"/>
    <w:rsid w:val="00333F5B"/>
    <w:rsid w:val="00334218"/>
    <w:rsid w:val="003345A5"/>
    <w:rsid w:val="003345C6"/>
    <w:rsid w:val="00334727"/>
    <w:rsid w:val="00334747"/>
    <w:rsid w:val="00334760"/>
    <w:rsid w:val="00334773"/>
    <w:rsid w:val="00334917"/>
    <w:rsid w:val="00334B29"/>
    <w:rsid w:val="00334CA9"/>
    <w:rsid w:val="00334F1A"/>
    <w:rsid w:val="00334F5B"/>
    <w:rsid w:val="00335057"/>
    <w:rsid w:val="0033535E"/>
    <w:rsid w:val="003354DA"/>
    <w:rsid w:val="003357AE"/>
    <w:rsid w:val="0033584A"/>
    <w:rsid w:val="003358AB"/>
    <w:rsid w:val="00335916"/>
    <w:rsid w:val="003359BE"/>
    <w:rsid w:val="00335B72"/>
    <w:rsid w:val="00335C48"/>
    <w:rsid w:val="003360CC"/>
    <w:rsid w:val="00336457"/>
    <w:rsid w:val="00336555"/>
    <w:rsid w:val="003365C3"/>
    <w:rsid w:val="0033665C"/>
    <w:rsid w:val="00336EF4"/>
    <w:rsid w:val="00336F87"/>
    <w:rsid w:val="00337249"/>
    <w:rsid w:val="003373A2"/>
    <w:rsid w:val="00337A7A"/>
    <w:rsid w:val="00337D7C"/>
    <w:rsid w:val="00340057"/>
    <w:rsid w:val="0034042B"/>
    <w:rsid w:val="003404F1"/>
    <w:rsid w:val="003407C1"/>
    <w:rsid w:val="003408E5"/>
    <w:rsid w:val="003408FB"/>
    <w:rsid w:val="003409C4"/>
    <w:rsid w:val="00340AC8"/>
    <w:rsid w:val="00340D14"/>
    <w:rsid w:val="00341025"/>
    <w:rsid w:val="0034119C"/>
    <w:rsid w:val="003413C7"/>
    <w:rsid w:val="0034142A"/>
    <w:rsid w:val="00341AE5"/>
    <w:rsid w:val="00341F33"/>
    <w:rsid w:val="003420B9"/>
    <w:rsid w:val="0034221E"/>
    <w:rsid w:val="003424D7"/>
    <w:rsid w:val="00342557"/>
    <w:rsid w:val="003426C8"/>
    <w:rsid w:val="003427CC"/>
    <w:rsid w:val="00342874"/>
    <w:rsid w:val="0034287A"/>
    <w:rsid w:val="00342B9C"/>
    <w:rsid w:val="00342C6B"/>
    <w:rsid w:val="00342CED"/>
    <w:rsid w:val="00342D23"/>
    <w:rsid w:val="00342D5B"/>
    <w:rsid w:val="00342E94"/>
    <w:rsid w:val="00342F2E"/>
    <w:rsid w:val="00343139"/>
    <w:rsid w:val="0034335A"/>
    <w:rsid w:val="00343764"/>
    <w:rsid w:val="0034399A"/>
    <w:rsid w:val="00343AD2"/>
    <w:rsid w:val="00343B4D"/>
    <w:rsid w:val="00343D53"/>
    <w:rsid w:val="00343E79"/>
    <w:rsid w:val="0034405C"/>
    <w:rsid w:val="003440C9"/>
    <w:rsid w:val="0034430A"/>
    <w:rsid w:val="00344364"/>
    <w:rsid w:val="0034477A"/>
    <w:rsid w:val="00344897"/>
    <w:rsid w:val="00344AB5"/>
    <w:rsid w:val="00344EBF"/>
    <w:rsid w:val="00345112"/>
    <w:rsid w:val="00345131"/>
    <w:rsid w:val="00345253"/>
    <w:rsid w:val="003454F6"/>
    <w:rsid w:val="003457F6"/>
    <w:rsid w:val="003458B4"/>
    <w:rsid w:val="003459B7"/>
    <w:rsid w:val="003459DA"/>
    <w:rsid w:val="00345A5C"/>
    <w:rsid w:val="00345B13"/>
    <w:rsid w:val="00345B6E"/>
    <w:rsid w:val="00345C24"/>
    <w:rsid w:val="00345D79"/>
    <w:rsid w:val="00345F85"/>
    <w:rsid w:val="00345FEB"/>
    <w:rsid w:val="003461C5"/>
    <w:rsid w:val="003463FE"/>
    <w:rsid w:val="0034651F"/>
    <w:rsid w:val="003465EA"/>
    <w:rsid w:val="0034676A"/>
    <w:rsid w:val="00346848"/>
    <w:rsid w:val="003469E0"/>
    <w:rsid w:val="00346C08"/>
    <w:rsid w:val="00346C13"/>
    <w:rsid w:val="00346ECF"/>
    <w:rsid w:val="00346F03"/>
    <w:rsid w:val="00346FA7"/>
    <w:rsid w:val="00346FC2"/>
    <w:rsid w:val="003471A7"/>
    <w:rsid w:val="003471D7"/>
    <w:rsid w:val="00347219"/>
    <w:rsid w:val="003473ED"/>
    <w:rsid w:val="0034746C"/>
    <w:rsid w:val="00347478"/>
    <w:rsid w:val="003474D3"/>
    <w:rsid w:val="003475B8"/>
    <w:rsid w:val="003477CD"/>
    <w:rsid w:val="00347AEB"/>
    <w:rsid w:val="00347BCE"/>
    <w:rsid w:val="00347CBF"/>
    <w:rsid w:val="00347CCC"/>
    <w:rsid w:val="00347CDC"/>
    <w:rsid w:val="00347E69"/>
    <w:rsid w:val="00347F93"/>
    <w:rsid w:val="0035001F"/>
    <w:rsid w:val="00350108"/>
    <w:rsid w:val="003501B7"/>
    <w:rsid w:val="003502AF"/>
    <w:rsid w:val="003502BA"/>
    <w:rsid w:val="00350402"/>
    <w:rsid w:val="00350433"/>
    <w:rsid w:val="003506DF"/>
    <w:rsid w:val="0035093A"/>
    <w:rsid w:val="00350A9B"/>
    <w:rsid w:val="00350D70"/>
    <w:rsid w:val="00350DAC"/>
    <w:rsid w:val="00350F93"/>
    <w:rsid w:val="00350FAC"/>
    <w:rsid w:val="00351242"/>
    <w:rsid w:val="0035140E"/>
    <w:rsid w:val="0035158B"/>
    <w:rsid w:val="003515E9"/>
    <w:rsid w:val="00351B72"/>
    <w:rsid w:val="00351C2D"/>
    <w:rsid w:val="00351C8E"/>
    <w:rsid w:val="00351CE8"/>
    <w:rsid w:val="00351E81"/>
    <w:rsid w:val="00351ED7"/>
    <w:rsid w:val="00351FBD"/>
    <w:rsid w:val="003520E5"/>
    <w:rsid w:val="0035213F"/>
    <w:rsid w:val="003521A8"/>
    <w:rsid w:val="00352395"/>
    <w:rsid w:val="003525F2"/>
    <w:rsid w:val="003526F9"/>
    <w:rsid w:val="0035294B"/>
    <w:rsid w:val="00352971"/>
    <w:rsid w:val="00352E06"/>
    <w:rsid w:val="0035305F"/>
    <w:rsid w:val="00353416"/>
    <w:rsid w:val="0035359F"/>
    <w:rsid w:val="00353691"/>
    <w:rsid w:val="003539F5"/>
    <w:rsid w:val="00353A4A"/>
    <w:rsid w:val="00353C16"/>
    <w:rsid w:val="00353CE4"/>
    <w:rsid w:val="00353D5A"/>
    <w:rsid w:val="00353D6B"/>
    <w:rsid w:val="00354072"/>
    <w:rsid w:val="00354324"/>
    <w:rsid w:val="00354375"/>
    <w:rsid w:val="003546A3"/>
    <w:rsid w:val="003547F2"/>
    <w:rsid w:val="003548B4"/>
    <w:rsid w:val="003549B0"/>
    <w:rsid w:val="00354A07"/>
    <w:rsid w:val="00354B14"/>
    <w:rsid w:val="00354D73"/>
    <w:rsid w:val="00354E3B"/>
    <w:rsid w:val="00354F3F"/>
    <w:rsid w:val="00354F5B"/>
    <w:rsid w:val="0035504D"/>
    <w:rsid w:val="00355253"/>
    <w:rsid w:val="0035559D"/>
    <w:rsid w:val="003555C2"/>
    <w:rsid w:val="00355601"/>
    <w:rsid w:val="00355643"/>
    <w:rsid w:val="00355A00"/>
    <w:rsid w:val="00355A03"/>
    <w:rsid w:val="00355CAB"/>
    <w:rsid w:val="00355CE2"/>
    <w:rsid w:val="00355EC8"/>
    <w:rsid w:val="003560D9"/>
    <w:rsid w:val="00356322"/>
    <w:rsid w:val="00356381"/>
    <w:rsid w:val="003563EF"/>
    <w:rsid w:val="00356488"/>
    <w:rsid w:val="00356811"/>
    <w:rsid w:val="00356D2D"/>
    <w:rsid w:val="00357048"/>
    <w:rsid w:val="003570DA"/>
    <w:rsid w:val="0035735A"/>
    <w:rsid w:val="0035755A"/>
    <w:rsid w:val="00357768"/>
    <w:rsid w:val="0035785C"/>
    <w:rsid w:val="003578DD"/>
    <w:rsid w:val="00360224"/>
    <w:rsid w:val="00360257"/>
    <w:rsid w:val="00360267"/>
    <w:rsid w:val="0036050D"/>
    <w:rsid w:val="00360633"/>
    <w:rsid w:val="003607A9"/>
    <w:rsid w:val="00360AF0"/>
    <w:rsid w:val="00360C55"/>
    <w:rsid w:val="00360E46"/>
    <w:rsid w:val="00360FB1"/>
    <w:rsid w:val="00361072"/>
    <w:rsid w:val="0036122D"/>
    <w:rsid w:val="00361484"/>
    <w:rsid w:val="003614CB"/>
    <w:rsid w:val="003615C3"/>
    <w:rsid w:val="00361613"/>
    <w:rsid w:val="00361C51"/>
    <w:rsid w:val="003620D1"/>
    <w:rsid w:val="003620E0"/>
    <w:rsid w:val="003621E3"/>
    <w:rsid w:val="0036241A"/>
    <w:rsid w:val="00362427"/>
    <w:rsid w:val="003624AB"/>
    <w:rsid w:val="0036256E"/>
    <w:rsid w:val="0036263D"/>
    <w:rsid w:val="003626FA"/>
    <w:rsid w:val="003628C3"/>
    <w:rsid w:val="003628C6"/>
    <w:rsid w:val="00362A9E"/>
    <w:rsid w:val="00362B4B"/>
    <w:rsid w:val="00362B8D"/>
    <w:rsid w:val="00362E38"/>
    <w:rsid w:val="003630C8"/>
    <w:rsid w:val="003630EA"/>
    <w:rsid w:val="0036372A"/>
    <w:rsid w:val="003637AF"/>
    <w:rsid w:val="00363837"/>
    <w:rsid w:val="00363856"/>
    <w:rsid w:val="00363984"/>
    <w:rsid w:val="00363A62"/>
    <w:rsid w:val="00363AB5"/>
    <w:rsid w:val="00363C4E"/>
    <w:rsid w:val="00363CDF"/>
    <w:rsid w:val="00363D2F"/>
    <w:rsid w:val="00363D7B"/>
    <w:rsid w:val="00363F43"/>
    <w:rsid w:val="003640C3"/>
    <w:rsid w:val="00364118"/>
    <w:rsid w:val="003641A2"/>
    <w:rsid w:val="0036443E"/>
    <w:rsid w:val="00364535"/>
    <w:rsid w:val="00364882"/>
    <w:rsid w:val="0036496B"/>
    <w:rsid w:val="00364E76"/>
    <w:rsid w:val="003650CB"/>
    <w:rsid w:val="003654C0"/>
    <w:rsid w:val="003655A3"/>
    <w:rsid w:val="003658E4"/>
    <w:rsid w:val="003658F9"/>
    <w:rsid w:val="00365908"/>
    <w:rsid w:val="00365AED"/>
    <w:rsid w:val="00365B2F"/>
    <w:rsid w:val="00365D45"/>
    <w:rsid w:val="00366303"/>
    <w:rsid w:val="00366329"/>
    <w:rsid w:val="003663CC"/>
    <w:rsid w:val="00366470"/>
    <w:rsid w:val="0036647E"/>
    <w:rsid w:val="00366535"/>
    <w:rsid w:val="003667B2"/>
    <w:rsid w:val="00366858"/>
    <w:rsid w:val="003669DB"/>
    <w:rsid w:val="00366A0A"/>
    <w:rsid w:val="00366AB9"/>
    <w:rsid w:val="00366B0E"/>
    <w:rsid w:val="00366C6E"/>
    <w:rsid w:val="00366D82"/>
    <w:rsid w:val="00366DA9"/>
    <w:rsid w:val="00366F7B"/>
    <w:rsid w:val="00367028"/>
    <w:rsid w:val="0036721E"/>
    <w:rsid w:val="003673ED"/>
    <w:rsid w:val="003673F3"/>
    <w:rsid w:val="00367448"/>
    <w:rsid w:val="003675F5"/>
    <w:rsid w:val="00367A13"/>
    <w:rsid w:val="00367C06"/>
    <w:rsid w:val="00367D08"/>
    <w:rsid w:val="00367DC7"/>
    <w:rsid w:val="0037038D"/>
    <w:rsid w:val="003703E4"/>
    <w:rsid w:val="0037049B"/>
    <w:rsid w:val="003704D1"/>
    <w:rsid w:val="00370A96"/>
    <w:rsid w:val="00370BF4"/>
    <w:rsid w:val="00370E7F"/>
    <w:rsid w:val="00371083"/>
    <w:rsid w:val="00371190"/>
    <w:rsid w:val="00371535"/>
    <w:rsid w:val="00371557"/>
    <w:rsid w:val="003715E7"/>
    <w:rsid w:val="003716AC"/>
    <w:rsid w:val="003716FA"/>
    <w:rsid w:val="00371861"/>
    <w:rsid w:val="00371AA4"/>
    <w:rsid w:val="00371D2E"/>
    <w:rsid w:val="00371D41"/>
    <w:rsid w:val="00371EA4"/>
    <w:rsid w:val="00371EF0"/>
    <w:rsid w:val="00371F95"/>
    <w:rsid w:val="003720EB"/>
    <w:rsid w:val="003721A1"/>
    <w:rsid w:val="0037222E"/>
    <w:rsid w:val="003722C0"/>
    <w:rsid w:val="003723C6"/>
    <w:rsid w:val="0037250F"/>
    <w:rsid w:val="00372701"/>
    <w:rsid w:val="00372722"/>
    <w:rsid w:val="003727A1"/>
    <w:rsid w:val="003727B8"/>
    <w:rsid w:val="0037280E"/>
    <w:rsid w:val="003728F5"/>
    <w:rsid w:val="003729D9"/>
    <w:rsid w:val="00372A0C"/>
    <w:rsid w:val="00372B45"/>
    <w:rsid w:val="00372C05"/>
    <w:rsid w:val="00372D6D"/>
    <w:rsid w:val="0037302B"/>
    <w:rsid w:val="0037309C"/>
    <w:rsid w:val="003732A7"/>
    <w:rsid w:val="00373768"/>
    <w:rsid w:val="00373E39"/>
    <w:rsid w:val="00374040"/>
    <w:rsid w:val="00374252"/>
    <w:rsid w:val="003742AF"/>
    <w:rsid w:val="0037450C"/>
    <w:rsid w:val="00374879"/>
    <w:rsid w:val="003749F1"/>
    <w:rsid w:val="00374A10"/>
    <w:rsid w:val="00374B73"/>
    <w:rsid w:val="00374E57"/>
    <w:rsid w:val="00374F8D"/>
    <w:rsid w:val="00375012"/>
    <w:rsid w:val="0037506F"/>
    <w:rsid w:val="003752B7"/>
    <w:rsid w:val="0037530A"/>
    <w:rsid w:val="003756A2"/>
    <w:rsid w:val="003757E4"/>
    <w:rsid w:val="003758B8"/>
    <w:rsid w:val="003758E6"/>
    <w:rsid w:val="00375973"/>
    <w:rsid w:val="003759AF"/>
    <w:rsid w:val="003759D6"/>
    <w:rsid w:val="00375A46"/>
    <w:rsid w:val="00375C38"/>
    <w:rsid w:val="00375CFE"/>
    <w:rsid w:val="00375D3B"/>
    <w:rsid w:val="00375E7B"/>
    <w:rsid w:val="00376132"/>
    <w:rsid w:val="003761A5"/>
    <w:rsid w:val="003761B5"/>
    <w:rsid w:val="00376329"/>
    <w:rsid w:val="00376523"/>
    <w:rsid w:val="003765D2"/>
    <w:rsid w:val="00376780"/>
    <w:rsid w:val="003769C7"/>
    <w:rsid w:val="0037719D"/>
    <w:rsid w:val="003771F0"/>
    <w:rsid w:val="00377314"/>
    <w:rsid w:val="00377352"/>
    <w:rsid w:val="0037740B"/>
    <w:rsid w:val="00377757"/>
    <w:rsid w:val="00377765"/>
    <w:rsid w:val="0037777A"/>
    <w:rsid w:val="003777B3"/>
    <w:rsid w:val="003777BE"/>
    <w:rsid w:val="00377B56"/>
    <w:rsid w:val="00377E67"/>
    <w:rsid w:val="0038010F"/>
    <w:rsid w:val="00380178"/>
    <w:rsid w:val="00380328"/>
    <w:rsid w:val="003803E1"/>
    <w:rsid w:val="00380522"/>
    <w:rsid w:val="00380686"/>
    <w:rsid w:val="00380822"/>
    <w:rsid w:val="003808F2"/>
    <w:rsid w:val="00380A06"/>
    <w:rsid w:val="00380AD6"/>
    <w:rsid w:val="00380DAA"/>
    <w:rsid w:val="00380DC0"/>
    <w:rsid w:val="00380F04"/>
    <w:rsid w:val="00381055"/>
    <w:rsid w:val="00381084"/>
    <w:rsid w:val="0038109A"/>
    <w:rsid w:val="0038116A"/>
    <w:rsid w:val="003812B5"/>
    <w:rsid w:val="003812C2"/>
    <w:rsid w:val="00381645"/>
    <w:rsid w:val="00381844"/>
    <w:rsid w:val="0038184B"/>
    <w:rsid w:val="00381A20"/>
    <w:rsid w:val="00381E1A"/>
    <w:rsid w:val="00381E7C"/>
    <w:rsid w:val="0038225C"/>
    <w:rsid w:val="00382291"/>
    <w:rsid w:val="00382563"/>
    <w:rsid w:val="00382922"/>
    <w:rsid w:val="00382948"/>
    <w:rsid w:val="00382D07"/>
    <w:rsid w:val="00382E64"/>
    <w:rsid w:val="003831A2"/>
    <w:rsid w:val="003835DA"/>
    <w:rsid w:val="003837F1"/>
    <w:rsid w:val="00383D89"/>
    <w:rsid w:val="00383EF0"/>
    <w:rsid w:val="00383F4F"/>
    <w:rsid w:val="00383F7E"/>
    <w:rsid w:val="003841B6"/>
    <w:rsid w:val="003841DF"/>
    <w:rsid w:val="0038429A"/>
    <w:rsid w:val="003844AA"/>
    <w:rsid w:val="003844B6"/>
    <w:rsid w:val="0038474F"/>
    <w:rsid w:val="00384828"/>
    <w:rsid w:val="003848BA"/>
    <w:rsid w:val="00384980"/>
    <w:rsid w:val="00384D06"/>
    <w:rsid w:val="00385198"/>
    <w:rsid w:val="00385540"/>
    <w:rsid w:val="00385676"/>
    <w:rsid w:val="003856BF"/>
    <w:rsid w:val="003856F2"/>
    <w:rsid w:val="0038575B"/>
    <w:rsid w:val="003857AE"/>
    <w:rsid w:val="00385A37"/>
    <w:rsid w:val="00385B06"/>
    <w:rsid w:val="00385E02"/>
    <w:rsid w:val="00385E4A"/>
    <w:rsid w:val="00385EAE"/>
    <w:rsid w:val="00385FB8"/>
    <w:rsid w:val="003860DC"/>
    <w:rsid w:val="0038612F"/>
    <w:rsid w:val="0038615C"/>
    <w:rsid w:val="00386237"/>
    <w:rsid w:val="00386481"/>
    <w:rsid w:val="0038655A"/>
    <w:rsid w:val="0038672F"/>
    <w:rsid w:val="0038679D"/>
    <w:rsid w:val="003867A7"/>
    <w:rsid w:val="003867D2"/>
    <w:rsid w:val="00386849"/>
    <w:rsid w:val="00386884"/>
    <w:rsid w:val="00386ADD"/>
    <w:rsid w:val="00386C20"/>
    <w:rsid w:val="00386C2E"/>
    <w:rsid w:val="00386CB5"/>
    <w:rsid w:val="00386FD9"/>
    <w:rsid w:val="003871C8"/>
    <w:rsid w:val="003872F3"/>
    <w:rsid w:val="0038730E"/>
    <w:rsid w:val="00387632"/>
    <w:rsid w:val="0038794D"/>
    <w:rsid w:val="00387A3D"/>
    <w:rsid w:val="00387B65"/>
    <w:rsid w:val="00387D47"/>
    <w:rsid w:val="00387FA5"/>
    <w:rsid w:val="0039005D"/>
    <w:rsid w:val="0039024F"/>
    <w:rsid w:val="0039067E"/>
    <w:rsid w:val="00390710"/>
    <w:rsid w:val="0039076E"/>
    <w:rsid w:val="0039078C"/>
    <w:rsid w:val="00390800"/>
    <w:rsid w:val="003908D2"/>
    <w:rsid w:val="00390979"/>
    <w:rsid w:val="00390AA3"/>
    <w:rsid w:val="00390AB1"/>
    <w:rsid w:val="00390BC3"/>
    <w:rsid w:val="00390D38"/>
    <w:rsid w:val="00390E66"/>
    <w:rsid w:val="00390F60"/>
    <w:rsid w:val="00390F90"/>
    <w:rsid w:val="00390FB1"/>
    <w:rsid w:val="00391115"/>
    <w:rsid w:val="0039114B"/>
    <w:rsid w:val="00391451"/>
    <w:rsid w:val="003914E6"/>
    <w:rsid w:val="0039153E"/>
    <w:rsid w:val="003915A3"/>
    <w:rsid w:val="003915F6"/>
    <w:rsid w:val="0039160F"/>
    <w:rsid w:val="00391645"/>
    <w:rsid w:val="003916B5"/>
    <w:rsid w:val="003916E4"/>
    <w:rsid w:val="00391932"/>
    <w:rsid w:val="003919DF"/>
    <w:rsid w:val="00391B5E"/>
    <w:rsid w:val="00392141"/>
    <w:rsid w:val="003921F9"/>
    <w:rsid w:val="00392302"/>
    <w:rsid w:val="003925DB"/>
    <w:rsid w:val="00392735"/>
    <w:rsid w:val="003928C5"/>
    <w:rsid w:val="00392B3D"/>
    <w:rsid w:val="00392C0D"/>
    <w:rsid w:val="00392CA0"/>
    <w:rsid w:val="00392F6E"/>
    <w:rsid w:val="00392FE9"/>
    <w:rsid w:val="003930E2"/>
    <w:rsid w:val="00393128"/>
    <w:rsid w:val="0039325B"/>
    <w:rsid w:val="003933B8"/>
    <w:rsid w:val="0039380B"/>
    <w:rsid w:val="00393AAC"/>
    <w:rsid w:val="00393DF3"/>
    <w:rsid w:val="00393DFF"/>
    <w:rsid w:val="00394441"/>
    <w:rsid w:val="0039445A"/>
    <w:rsid w:val="0039478C"/>
    <w:rsid w:val="003947E3"/>
    <w:rsid w:val="00394937"/>
    <w:rsid w:val="00394B94"/>
    <w:rsid w:val="00394E06"/>
    <w:rsid w:val="0039508B"/>
    <w:rsid w:val="0039514C"/>
    <w:rsid w:val="00395250"/>
    <w:rsid w:val="0039529C"/>
    <w:rsid w:val="003956F6"/>
    <w:rsid w:val="00395715"/>
    <w:rsid w:val="00395C50"/>
    <w:rsid w:val="00395FA7"/>
    <w:rsid w:val="00396040"/>
    <w:rsid w:val="003966BC"/>
    <w:rsid w:val="003967A2"/>
    <w:rsid w:val="00396899"/>
    <w:rsid w:val="00396BA3"/>
    <w:rsid w:val="00396C8C"/>
    <w:rsid w:val="00396CC2"/>
    <w:rsid w:val="003970BF"/>
    <w:rsid w:val="0039712C"/>
    <w:rsid w:val="00397268"/>
    <w:rsid w:val="0039728D"/>
    <w:rsid w:val="00397319"/>
    <w:rsid w:val="00397378"/>
    <w:rsid w:val="00397438"/>
    <w:rsid w:val="0039743A"/>
    <w:rsid w:val="0039772A"/>
    <w:rsid w:val="00397742"/>
    <w:rsid w:val="003978A0"/>
    <w:rsid w:val="003979B8"/>
    <w:rsid w:val="00397CDB"/>
    <w:rsid w:val="00397FAF"/>
    <w:rsid w:val="003A0240"/>
    <w:rsid w:val="003A036F"/>
    <w:rsid w:val="003A063C"/>
    <w:rsid w:val="003A0844"/>
    <w:rsid w:val="003A08D4"/>
    <w:rsid w:val="003A09F9"/>
    <w:rsid w:val="003A0A22"/>
    <w:rsid w:val="003A0A79"/>
    <w:rsid w:val="003A0BBE"/>
    <w:rsid w:val="003A0D3D"/>
    <w:rsid w:val="003A0DB7"/>
    <w:rsid w:val="003A1136"/>
    <w:rsid w:val="003A114A"/>
    <w:rsid w:val="003A11F6"/>
    <w:rsid w:val="003A1277"/>
    <w:rsid w:val="003A1278"/>
    <w:rsid w:val="003A1353"/>
    <w:rsid w:val="003A19E3"/>
    <w:rsid w:val="003A1A00"/>
    <w:rsid w:val="003A1AF5"/>
    <w:rsid w:val="003A1B76"/>
    <w:rsid w:val="003A1BC0"/>
    <w:rsid w:val="003A1C49"/>
    <w:rsid w:val="003A1DBC"/>
    <w:rsid w:val="003A1E57"/>
    <w:rsid w:val="003A1ECA"/>
    <w:rsid w:val="003A2137"/>
    <w:rsid w:val="003A2158"/>
    <w:rsid w:val="003A2623"/>
    <w:rsid w:val="003A281A"/>
    <w:rsid w:val="003A28DB"/>
    <w:rsid w:val="003A293B"/>
    <w:rsid w:val="003A29C8"/>
    <w:rsid w:val="003A2A1D"/>
    <w:rsid w:val="003A2AB1"/>
    <w:rsid w:val="003A2C48"/>
    <w:rsid w:val="003A2C60"/>
    <w:rsid w:val="003A2D0C"/>
    <w:rsid w:val="003A2E41"/>
    <w:rsid w:val="003A2EC1"/>
    <w:rsid w:val="003A3067"/>
    <w:rsid w:val="003A3072"/>
    <w:rsid w:val="003A3127"/>
    <w:rsid w:val="003A324A"/>
    <w:rsid w:val="003A32B8"/>
    <w:rsid w:val="003A3347"/>
    <w:rsid w:val="003A33C0"/>
    <w:rsid w:val="003A3798"/>
    <w:rsid w:val="003A382F"/>
    <w:rsid w:val="003A3966"/>
    <w:rsid w:val="003A3AA9"/>
    <w:rsid w:val="003A3AAF"/>
    <w:rsid w:val="003A3B20"/>
    <w:rsid w:val="003A3B44"/>
    <w:rsid w:val="003A3B98"/>
    <w:rsid w:val="003A3BB1"/>
    <w:rsid w:val="003A3C9D"/>
    <w:rsid w:val="003A3CFB"/>
    <w:rsid w:val="003A3D49"/>
    <w:rsid w:val="003A3DA2"/>
    <w:rsid w:val="003A3FD7"/>
    <w:rsid w:val="003A4020"/>
    <w:rsid w:val="003A420F"/>
    <w:rsid w:val="003A42B3"/>
    <w:rsid w:val="003A434C"/>
    <w:rsid w:val="003A43CC"/>
    <w:rsid w:val="003A44E8"/>
    <w:rsid w:val="003A458B"/>
    <w:rsid w:val="003A4693"/>
    <w:rsid w:val="003A4AB6"/>
    <w:rsid w:val="003A4AF3"/>
    <w:rsid w:val="003A4B0C"/>
    <w:rsid w:val="003A4B3A"/>
    <w:rsid w:val="003A4E8A"/>
    <w:rsid w:val="003A4F62"/>
    <w:rsid w:val="003A4FB0"/>
    <w:rsid w:val="003A4FCA"/>
    <w:rsid w:val="003A4FE3"/>
    <w:rsid w:val="003A5077"/>
    <w:rsid w:val="003A5132"/>
    <w:rsid w:val="003A54D8"/>
    <w:rsid w:val="003A5835"/>
    <w:rsid w:val="003A58FB"/>
    <w:rsid w:val="003A5BF2"/>
    <w:rsid w:val="003A5C3E"/>
    <w:rsid w:val="003A5D49"/>
    <w:rsid w:val="003A5E15"/>
    <w:rsid w:val="003A5E4F"/>
    <w:rsid w:val="003A60F9"/>
    <w:rsid w:val="003A6213"/>
    <w:rsid w:val="003A6396"/>
    <w:rsid w:val="003A6543"/>
    <w:rsid w:val="003A677A"/>
    <w:rsid w:val="003A6886"/>
    <w:rsid w:val="003A6BE9"/>
    <w:rsid w:val="003A6D25"/>
    <w:rsid w:val="003A6DE3"/>
    <w:rsid w:val="003A6E1B"/>
    <w:rsid w:val="003A6ED3"/>
    <w:rsid w:val="003A70D2"/>
    <w:rsid w:val="003A722C"/>
    <w:rsid w:val="003A765B"/>
    <w:rsid w:val="003A776E"/>
    <w:rsid w:val="003A7899"/>
    <w:rsid w:val="003A79BB"/>
    <w:rsid w:val="003A7AA0"/>
    <w:rsid w:val="003A7D0B"/>
    <w:rsid w:val="003A7E89"/>
    <w:rsid w:val="003A7EB7"/>
    <w:rsid w:val="003A7FB9"/>
    <w:rsid w:val="003B026A"/>
    <w:rsid w:val="003B034C"/>
    <w:rsid w:val="003B0726"/>
    <w:rsid w:val="003B0821"/>
    <w:rsid w:val="003B09F1"/>
    <w:rsid w:val="003B0A0F"/>
    <w:rsid w:val="003B0FBB"/>
    <w:rsid w:val="003B0FD7"/>
    <w:rsid w:val="003B112C"/>
    <w:rsid w:val="003B12EA"/>
    <w:rsid w:val="003B13E7"/>
    <w:rsid w:val="003B153E"/>
    <w:rsid w:val="003B154E"/>
    <w:rsid w:val="003B1689"/>
    <w:rsid w:val="003B177C"/>
    <w:rsid w:val="003B1941"/>
    <w:rsid w:val="003B1A94"/>
    <w:rsid w:val="003B1CA9"/>
    <w:rsid w:val="003B1D43"/>
    <w:rsid w:val="003B1EA7"/>
    <w:rsid w:val="003B1FA3"/>
    <w:rsid w:val="003B2017"/>
    <w:rsid w:val="003B221B"/>
    <w:rsid w:val="003B223E"/>
    <w:rsid w:val="003B22F0"/>
    <w:rsid w:val="003B23A4"/>
    <w:rsid w:val="003B2504"/>
    <w:rsid w:val="003B2521"/>
    <w:rsid w:val="003B2531"/>
    <w:rsid w:val="003B2683"/>
    <w:rsid w:val="003B29AB"/>
    <w:rsid w:val="003B2BCC"/>
    <w:rsid w:val="003B2C44"/>
    <w:rsid w:val="003B2E19"/>
    <w:rsid w:val="003B309C"/>
    <w:rsid w:val="003B3405"/>
    <w:rsid w:val="003B3889"/>
    <w:rsid w:val="003B393A"/>
    <w:rsid w:val="003B39B9"/>
    <w:rsid w:val="003B39F8"/>
    <w:rsid w:val="003B3ED7"/>
    <w:rsid w:val="003B422A"/>
    <w:rsid w:val="003B4576"/>
    <w:rsid w:val="003B45A3"/>
    <w:rsid w:val="003B4821"/>
    <w:rsid w:val="003B4958"/>
    <w:rsid w:val="003B499C"/>
    <w:rsid w:val="003B4B42"/>
    <w:rsid w:val="003B4C88"/>
    <w:rsid w:val="003B4C91"/>
    <w:rsid w:val="003B4CDF"/>
    <w:rsid w:val="003B4D59"/>
    <w:rsid w:val="003B4E13"/>
    <w:rsid w:val="003B4EDF"/>
    <w:rsid w:val="003B4F46"/>
    <w:rsid w:val="003B4F6C"/>
    <w:rsid w:val="003B4FC0"/>
    <w:rsid w:val="003B5375"/>
    <w:rsid w:val="003B5436"/>
    <w:rsid w:val="003B55AB"/>
    <w:rsid w:val="003B5BCB"/>
    <w:rsid w:val="003B614F"/>
    <w:rsid w:val="003B61D8"/>
    <w:rsid w:val="003B646E"/>
    <w:rsid w:val="003B67C4"/>
    <w:rsid w:val="003B688E"/>
    <w:rsid w:val="003B6A12"/>
    <w:rsid w:val="003B6A2E"/>
    <w:rsid w:val="003B6A9A"/>
    <w:rsid w:val="003B6AAA"/>
    <w:rsid w:val="003B6CAD"/>
    <w:rsid w:val="003B6F76"/>
    <w:rsid w:val="003B7593"/>
    <w:rsid w:val="003B75BE"/>
    <w:rsid w:val="003B765C"/>
    <w:rsid w:val="003B7BBB"/>
    <w:rsid w:val="003B7BDA"/>
    <w:rsid w:val="003B7C4B"/>
    <w:rsid w:val="003B7CA1"/>
    <w:rsid w:val="003B7E9D"/>
    <w:rsid w:val="003B7ED8"/>
    <w:rsid w:val="003B7F02"/>
    <w:rsid w:val="003C04C9"/>
    <w:rsid w:val="003C057C"/>
    <w:rsid w:val="003C0984"/>
    <w:rsid w:val="003C09BE"/>
    <w:rsid w:val="003C0B5F"/>
    <w:rsid w:val="003C0C1B"/>
    <w:rsid w:val="003C0CFF"/>
    <w:rsid w:val="003C1179"/>
    <w:rsid w:val="003C117C"/>
    <w:rsid w:val="003C1183"/>
    <w:rsid w:val="003C12C2"/>
    <w:rsid w:val="003C1344"/>
    <w:rsid w:val="003C13B8"/>
    <w:rsid w:val="003C18DB"/>
    <w:rsid w:val="003C1926"/>
    <w:rsid w:val="003C1942"/>
    <w:rsid w:val="003C1A44"/>
    <w:rsid w:val="003C1BF4"/>
    <w:rsid w:val="003C1C1F"/>
    <w:rsid w:val="003C1CD5"/>
    <w:rsid w:val="003C1D70"/>
    <w:rsid w:val="003C1D8A"/>
    <w:rsid w:val="003C1EC3"/>
    <w:rsid w:val="003C1EFB"/>
    <w:rsid w:val="003C20B0"/>
    <w:rsid w:val="003C21EC"/>
    <w:rsid w:val="003C2266"/>
    <w:rsid w:val="003C22FE"/>
    <w:rsid w:val="003C25CA"/>
    <w:rsid w:val="003C2651"/>
    <w:rsid w:val="003C27B2"/>
    <w:rsid w:val="003C2825"/>
    <w:rsid w:val="003C2CB2"/>
    <w:rsid w:val="003C2D37"/>
    <w:rsid w:val="003C2D48"/>
    <w:rsid w:val="003C303B"/>
    <w:rsid w:val="003C3362"/>
    <w:rsid w:val="003C33C4"/>
    <w:rsid w:val="003C33FD"/>
    <w:rsid w:val="003C3518"/>
    <w:rsid w:val="003C3526"/>
    <w:rsid w:val="003C3666"/>
    <w:rsid w:val="003C377F"/>
    <w:rsid w:val="003C3856"/>
    <w:rsid w:val="003C38AA"/>
    <w:rsid w:val="003C390A"/>
    <w:rsid w:val="003C3B73"/>
    <w:rsid w:val="003C3BD7"/>
    <w:rsid w:val="003C3DAC"/>
    <w:rsid w:val="003C3F22"/>
    <w:rsid w:val="003C4198"/>
    <w:rsid w:val="003C450F"/>
    <w:rsid w:val="003C456A"/>
    <w:rsid w:val="003C465F"/>
    <w:rsid w:val="003C471A"/>
    <w:rsid w:val="003C4806"/>
    <w:rsid w:val="003C4833"/>
    <w:rsid w:val="003C4AD1"/>
    <w:rsid w:val="003C4CCD"/>
    <w:rsid w:val="003C4D6B"/>
    <w:rsid w:val="003C4E7C"/>
    <w:rsid w:val="003C4E7D"/>
    <w:rsid w:val="003C4F10"/>
    <w:rsid w:val="003C4F47"/>
    <w:rsid w:val="003C4FA8"/>
    <w:rsid w:val="003C524D"/>
    <w:rsid w:val="003C5521"/>
    <w:rsid w:val="003C55C9"/>
    <w:rsid w:val="003C5E26"/>
    <w:rsid w:val="003C5EA1"/>
    <w:rsid w:val="003C60E1"/>
    <w:rsid w:val="003C612D"/>
    <w:rsid w:val="003C6136"/>
    <w:rsid w:val="003C6581"/>
    <w:rsid w:val="003C6647"/>
    <w:rsid w:val="003C673E"/>
    <w:rsid w:val="003C699C"/>
    <w:rsid w:val="003C6D32"/>
    <w:rsid w:val="003C718A"/>
    <w:rsid w:val="003C71EB"/>
    <w:rsid w:val="003C722F"/>
    <w:rsid w:val="003C77DF"/>
    <w:rsid w:val="003C782A"/>
    <w:rsid w:val="003C792C"/>
    <w:rsid w:val="003C7954"/>
    <w:rsid w:val="003C7CD3"/>
    <w:rsid w:val="003C7E02"/>
    <w:rsid w:val="003C7E6F"/>
    <w:rsid w:val="003C7F41"/>
    <w:rsid w:val="003C7F77"/>
    <w:rsid w:val="003C7F90"/>
    <w:rsid w:val="003D01A5"/>
    <w:rsid w:val="003D01F5"/>
    <w:rsid w:val="003D02E9"/>
    <w:rsid w:val="003D0391"/>
    <w:rsid w:val="003D0687"/>
    <w:rsid w:val="003D0770"/>
    <w:rsid w:val="003D0918"/>
    <w:rsid w:val="003D0A28"/>
    <w:rsid w:val="003D0AE9"/>
    <w:rsid w:val="003D0B01"/>
    <w:rsid w:val="003D0B41"/>
    <w:rsid w:val="003D100A"/>
    <w:rsid w:val="003D10EE"/>
    <w:rsid w:val="003D1367"/>
    <w:rsid w:val="003D13FC"/>
    <w:rsid w:val="003D1460"/>
    <w:rsid w:val="003D1666"/>
    <w:rsid w:val="003D17DD"/>
    <w:rsid w:val="003D17FF"/>
    <w:rsid w:val="003D1A2E"/>
    <w:rsid w:val="003D1E4A"/>
    <w:rsid w:val="003D1F1B"/>
    <w:rsid w:val="003D1F6B"/>
    <w:rsid w:val="003D2102"/>
    <w:rsid w:val="003D23DF"/>
    <w:rsid w:val="003D25F8"/>
    <w:rsid w:val="003D264B"/>
    <w:rsid w:val="003D2771"/>
    <w:rsid w:val="003D2961"/>
    <w:rsid w:val="003D2AA4"/>
    <w:rsid w:val="003D2B0C"/>
    <w:rsid w:val="003D2B47"/>
    <w:rsid w:val="003D2BCA"/>
    <w:rsid w:val="003D2CF1"/>
    <w:rsid w:val="003D2E93"/>
    <w:rsid w:val="003D2FBF"/>
    <w:rsid w:val="003D32B4"/>
    <w:rsid w:val="003D385E"/>
    <w:rsid w:val="003D3886"/>
    <w:rsid w:val="003D3B84"/>
    <w:rsid w:val="003D3BCD"/>
    <w:rsid w:val="003D3F05"/>
    <w:rsid w:val="003D4012"/>
    <w:rsid w:val="003D4573"/>
    <w:rsid w:val="003D47FB"/>
    <w:rsid w:val="003D488A"/>
    <w:rsid w:val="003D4A64"/>
    <w:rsid w:val="003D4B01"/>
    <w:rsid w:val="003D4B3F"/>
    <w:rsid w:val="003D4D2A"/>
    <w:rsid w:val="003D4E4F"/>
    <w:rsid w:val="003D4F47"/>
    <w:rsid w:val="003D4FB1"/>
    <w:rsid w:val="003D4FD9"/>
    <w:rsid w:val="003D5105"/>
    <w:rsid w:val="003D5127"/>
    <w:rsid w:val="003D5143"/>
    <w:rsid w:val="003D53B7"/>
    <w:rsid w:val="003D5464"/>
    <w:rsid w:val="003D54AE"/>
    <w:rsid w:val="003D55EC"/>
    <w:rsid w:val="003D5691"/>
    <w:rsid w:val="003D5764"/>
    <w:rsid w:val="003D5885"/>
    <w:rsid w:val="003D5BD2"/>
    <w:rsid w:val="003D5DC5"/>
    <w:rsid w:val="003D62A7"/>
    <w:rsid w:val="003D6337"/>
    <w:rsid w:val="003D641E"/>
    <w:rsid w:val="003D64E6"/>
    <w:rsid w:val="003D65C8"/>
    <w:rsid w:val="003D65DB"/>
    <w:rsid w:val="003D6654"/>
    <w:rsid w:val="003D6672"/>
    <w:rsid w:val="003D6970"/>
    <w:rsid w:val="003D6C7E"/>
    <w:rsid w:val="003D6F99"/>
    <w:rsid w:val="003D6FFA"/>
    <w:rsid w:val="003D72F1"/>
    <w:rsid w:val="003D73FA"/>
    <w:rsid w:val="003D7495"/>
    <w:rsid w:val="003D75D8"/>
    <w:rsid w:val="003D7842"/>
    <w:rsid w:val="003D79E6"/>
    <w:rsid w:val="003D7BEE"/>
    <w:rsid w:val="003D7C0C"/>
    <w:rsid w:val="003D7D01"/>
    <w:rsid w:val="003D7D25"/>
    <w:rsid w:val="003D7F5A"/>
    <w:rsid w:val="003E0025"/>
    <w:rsid w:val="003E0043"/>
    <w:rsid w:val="003E005A"/>
    <w:rsid w:val="003E0378"/>
    <w:rsid w:val="003E0402"/>
    <w:rsid w:val="003E0451"/>
    <w:rsid w:val="003E05B0"/>
    <w:rsid w:val="003E05E3"/>
    <w:rsid w:val="003E06B0"/>
    <w:rsid w:val="003E07F3"/>
    <w:rsid w:val="003E093C"/>
    <w:rsid w:val="003E098E"/>
    <w:rsid w:val="003E0B73"/>
    <w:rsid w:val="003E0B86"/>
    <w:rsid w:val="003E0BCD"/>
    <w:rsid w:val="003E0C08"/>
    <w:rsid w:val="003E0C26"/>
    <w:rsid w:val="003E0F14"/>
    <w:rsid w:val="003E12FC"/>
    <w:rsid w:val="003E1783"/>
    <w:rsid w:val="003E18F0"/>
    <w:rsid w:val="003E1902"/>
    <w:rsid w:val="003E19D7"/>
    <w:rsid w:val="003E19F0"/>
    <w:rsid w:val="003E1C0B"/>
    <w:rsid w:val="003E1D45"/>
    <w:rsid w:val="003E1E79"/>
    <w:rsid w:val="003E1EA5"/>
    <w:rsid w:val="003E2041"/>
    <w:rsid w:val="003E236E"/>
    <w:rsid w:val="003E238D"/>
    <w:rsid w:val="003E24CE"/>
    <w:rsid w:val="003E2A9F"/>
    <w:rsid w:val="003E2ACF"/>
    <w:rsid w:val="003E2EB6"/>
    <w:rsid w:val="003E2EFC"/>
    <w:rsid w:val="003E2FB7"/>
    <w:rsid w:val="003E30DA"/>
    <w:rsid w:val="003E3373"/>
    <w:rsid w:val="003E3451"/>
    <w:rsid w:val="003E35A0"/>
    <w:rsid w:val="003E365B"/>
    <w:rsid w:val="003E37F5"/>
    <w:rsid w:val="003E39D7"/>
    <w:rsid w:val="003E3B42"/>
    <w:rsid w:val="003E3B45"/>
    <w:rsid w:val="003E40C9"/>
    <w:rsid w:val="003E4136"/>
    <w:rsid w:val="003E41D1"/>
    <w:rsid w:val="003E41D4"/>
    <w:rsid w:val="003E4517"/>
    <w:rsid w:val="003E454A"/>
    <w:rsid w:val="003E476D"/>
    <w:rsid w:val="003E4783"/>
    <w:rsid w:val="003E48E5"/>
    <w:rsid w:val="003E493D"/>
    <w:rsid w:val="003E4A56"/>
    <w:rsid w:val="003E4E0F"/>
    <w:rsid w:val="003E4E49"/>
    <w:rsid w:val="003E5086"/>
    <w:rsid w:val="003E50B8"/>
    <w:rsid w:val="003E5167"/>
    <w:rsid w:val="003E5237"/>
    <w:rsid w:val="003E5389"/>
    <w:rsid w:val="003E5391"/>
    <w:rsid w:val="003E55E9"/>
    <w:rsid w:val="003E55FF"/>
    <w:rsid w:val="003E5A22"/>
    <w:rsid w:val="003E5DA5"/>
    <w:rsid w:val="003E5E4A"/>
    <w:rsid w:val="003E5F0B"/>
    <w:rsid w:val="003E60B9"/>
    <w:rsid w:val="003E634D"/>
    <w:rsid w:val="003E6556"/>
    <w:rsid w:val="003E6673"/>
    <w:rsid w:val="003E66E8"/>
    <w:rsid w:val="003E687B"/>
    <w:rsid w:val="003E6A31"/>
    <w:rsid w:val="003E6D28"/>
    <w:rsid w:val="003E6D93"/>
    <w:rsid w:val="003E6E7B"/>
    <w:rsid w:val="003E7179"/>
    <w:rsid w:val="003E71D9"/>
    <w:rsid w:val="003E73BF"/>
    <w:rsid w:val="003E747D"/>
    <w:rsid w:val="003E7597"/>
    <w:rsid w:val="003E75B2"/>
    <w:rsid w:val="003E7683"/>
    <w:rsid w:val="003E76B2"/>
    <w:rsid w:val="003E79A8"/>
    <w:rsid w:val="003E7A58"/>
    <w:rsid w:val="003E7BF0"/>
    <w:rsid w:val="003E7C41"/>
    <w:rsid w:val="003E7C83"/>
    <w:rsid w:val="003E7DEC"/>
    <w:rsid w:val="003F00D2"/>
    <w:rsid w:val="003F052C"/>
    <w:rsid w:val="003F057A"/>
    <w:rsid w:val="003F06FD"/>
    <w:rsid w:val="003F09B7"/>
    <w:rsid w:val="003F0ABB"/>
    <w:rsid w:val="003F0BF2"/>
    <w:rsid w:val="003F0D13"/>
    <w:rsid w:val="003F0D28"/>
    <w:rsid w:val="003F0E03"/>
    <w:rsid w:val="003F0E3F"/>
    <w:rsid w:val="003F0EEC"/>
    <w:rsid w:val="003F0FFA"/>
    <w:rsid w:val="003F104F"/>
    <w:rsid w:val="003F13DE"/>
    <w:rsid w:val="003F13FC"/>
    <w:rsid w:val="003F15A4"/>
    <w:rsid w:val="003F17AD"/>
    <w:rsid w:val="003F1890"/>
    <w:rsid w:val="003F193E"/>
    <w:rsid w:val="003F1B3C"/>
    <w:rsid w:val="003F1B8D"/>
    <w:rsid w:val="003F1BDD"/>
    <w:rsid w:val="003F2100"/>
    <w:rsid w:val="003F284A"/>
    <w:rsid w:val="003F292D"/>
    <w:rsid w:val="003F2936"/>
    <w:rsid w:val="003F2969"/>
    <w:rsid w:val="003F29CE"/>
    <w:rsid w:val="003F2A16"/>
    <w:rsid w:val="003F2A9C"/>
    <w:rsid w:val="003F2DFE"/>
    <w:rsid w:val="003F2FA6"/>
    <w:rsid w:val="003F30AF"/>
    <w:rsid w:val="003F3123"/>
    <w:rsid w:val="003F34B9"/>
    <w:rsid w:val="003F39F5"/>
    <w:rsid w:val="003F3A84"/>
    <w:rsid w:val="003F3B3B"/>
    <w:rsid w:val="003F3BD7"/>
    <w:rsid w:val="003F3BDA"/>
    <w:rsid w:val="003F3CB9"/>
    <w:rsid w:val="003F3CEE"/>
    <w:rsid w:val="003F3D09"/>
    <w:rsid w:val="003F3D54"/>
    <w:rsid w:val="003F3F1A"/>
    <w:rsid w:val="003F3F41"/>
    <w:rsid w:val="003F3F83"/>
    <w:rsid w:val="003F414B"/>
    <w:rsid w:val="003F415D"/>
    <w:rsid w:val="003F41FE"/>
    <w:rsid w:val="003F4258"/>
    <w:rsid w:val="003F44C6"/>
    <w:rsid w:val="003F4545"/>
    <w:rsid w:val="003F4585"/>
    <w:rsid w:val="003F4600"/>
    <w:rsid w:val="003F464F"/>
    <w:rsid w:val="003F4C4D"/>
    <w:rsid w:val="003F4E86"/>
    <w:rsid w:val="003F5564"/>
    <w:rsid w:val="003F5805"/>
    <w:rsid w:val="003F5825"/>
    <w:rsid w:val="003F59BD"/>
    <w:rsid w:val="003F5B44"/>
    <w:rsid w:val="003F5B74"/>
    <w:rsid w:val="003F5B77"/>
    <w:rsid w:val="003F5F84"/>
    <w:rsid w:val="003F6077"/>
    <w:rsid w:val="003F6424"/>
    <w:rsid w:val="003F6769"/>
    <w:rsid w:val="003F6940"/>
    <w:rsid w:val="003F6B67"/>
    <w:rsid w:val="003F6F5A"/>
    <w:rsid w:val="003F7157"/>
    <w:rsid w:val="003F72C9"/>
    <w:rsid w:val="003F752D"/>
    <w:rsid w:val="003F76D8"/>
    <w:rsid w:val="003F7A6D"/>
    <w:rsid w:val="003F7D59"/>
    <w:rsid w:val="003F7ED6"/>
    <w:rsid w:val="004002A6"/>
    <w:rsid w:val="0040053B"/>
    <w:rsid w:val="00400628"/>
    <w:rsid w:val="004006E2"/>
    <w:rsid w:val="00400843"/>
    <w:rsid w:val="00400871"/>
    <w:rsid w:val="0040096D"/>
    <w:rsid w:val="00400C12"/>
    <w:rsid w:val="00400CA3"/>
    <w:rsid w:val="00400CAB"/>
    <w:rsid w:val="00400CD1"/>
    <w:rsid w:val="00400E47"/>
    <w:rsid w:val="00400E9B"/>
    <w:rsid w:val="004010A6"/>
    <w:rsid w:val="0040111B"/>
    <w:rsid w:val="004011C3"/>
    <w:rsid w:val="004011F1"/>
    <w:rsid w:val="004012F3"/>
    <w:rsid w:val="0040157A"/>
    <w:rsid w:val="0040169D"/>
    <w:rsid w:val="0040170E"/>
    <w:rsid w:val="004017BC"/>
    <w:rsid w:val="00401ACF"/>
    <w:rsid w:val="00401AD1"/>
    <w:rsid w:val="00401CDC"/>
    <w:rsid w:val="00401CF3"/>
    <w:rsid w:val="00401DBC"/>
    <w:rsid w:val="00401F11"/>
    <w:rsid w:val="0040210E"/>
    <w:rsid w:val="004021C1"/>
    <w:rsid w:val="00402419"/>
    <w:rsid w:val="004024C0"/>
    <w:rsid w:val="004024CA"/>
    <w:rsid w:val="00402A3D"/>
    <w:rsid w:val="00402A4E"/>
    <w:rsid w:val="00402ACD"/>
    <w:rsid w:val="00402B11"/>
    <w:rsid w:val="00402D01"/>
    <w:rsid w:val="00402E2D"/>
    <w:rsid w:val="00403149"/>
    <w:rsid w:val="00403190"/>
    <w:rsid w:val="0040320E"/>
    <w:rsid w:val="0040358A"/>
    <w:rsid w:val="004035A3"/>
    <w:rsid w:val="004035D1"/>
    <w:rsid w:val="00403777"/>
    <w:rsid w:val="0040377B"/>
    <w:rsid w:val="004038C0"/>
    <w:rsid w:val="00403A29"/>
    <w:rsid w:val="00403A53"/>
    <w:rsid w:val="00403B19"/>
    <w:rsid w:val="00403BBE"/>
    <w:rsid w:val="00403BD7"/>
    <w:rsid w:val="00403E89"/>
    <w:rsid w:val="004040BC"/>
    <w:rsid w:val="004041F2"/>
    <w:rsid w:val="004042F0"/>
    <w:rsid w:val="004046BD"/>
    <w:rsid w:val="004047AA"/>
    <w:rsid w:val="00404955"/>
    <w:rsid w:val="004049C4"/>
    <w:rsid w:val="00404AB0"/>
    <w:rsid w:val="00404BE2"/>
    <w:rsid w:val="00404C2D"/>
    <w:rsid w:val="00405003"/>
    <w:rsid w:val="004050D0"/>
    <w:rsid w:val="00405408"/>
    <w:rsid w:val="0040547A"/>
    <w:rsid w:val="00405590"/>
    <w:rsid w:val="004056CE"/>
    <w:rsid w:val="00405B90"/>
    <w:rsid w:val="00405BD4"/>
    <w:rsid w:val="00405E12"/>
    <w:rsid w:val="00405E72"/>
    <w:rsid w:val="0040609B"/>
    <w:rsid w:val="0040621C"/>
    <w:rsid w:val="00406244"/>
    <w:rsid w:val="00406582"/>
    <w:rsid w:val="0040670E"/>
    <w:rsid w:val="00406A67"/>
    <w:rsid w:val="00406DA1"/>
    <w:rsid w:val="00406F48"/>
    <w:rsid w:val="004071B2"/>
    <w:rsid w:val="004076BB"/>
    <w:rsid w:val="00407741"/>
    <w:rsid w:val="0040788E"/>
    <w:rsid w:val="00407899"/>
    <w:rsid w:val="0040789A"/>
    <w:rsid w:val="00407B24"/>
    <w:rsid w:val="00407D18"/>
    <w:rsid w:val="00407FFC"/>
    <w:rsid w:val="00410241"/>
    <w:rsid w:val="00410393"/>
    <w:rsid w:val="00410643"/>
    <w:rsid w:val="004106E0"/>
    <w:rsid w:val="0041084F"/>
    <w:rsid w:val="00410C67"/>
    <w:rsid w:val="00410CAB"/>
    <w:rsid w:val="00410CB7"/>
    <w:rsid w:val="00410DAD"/>
    <w:rsid w:val="00410ED6"/>
    <w:rsid w:val="00411101"/>
    <w:rsid w:val="004111FB"/>
    <w:rsid w:val="004112C1"/>
    <w:rsid w:val="00411394"/>
    <w:rsid w:val="004113E5"/>
    <w:rsid w:val="004113F9"/>
    <w:rsid w:val="00411523"/>
    <w:rsid w:val="00411528"/>
    <w:rsid w:val="00411842"/>
    <w:rsid w:val="0041191E"/>
    <w:rsid w:val="00411C48"/>
    <w:rsid w:val="00411C68"/>
    <w:rsid w:val="00411CD7"/>
    <w:rsid w:val="00411E38"/>
    <w:rsid w:val="0041202C"/>
    <w:rsid w:val="00412252"/>
    <w:rsid w:val="00412639"/>
    <w:rsid w:val="004126D8"/>
    <w:rsid w:val="0041273A"/>
    <w:rsid w:val="00412798"/>
    <w:rsid w:val="00412814"/>
    <w:rsid w:val="00412862"/>
    <w:rsid w:val="0041288A"/>
    <w:rsid w:val="0041289B"/>
    <w:rsid w:val="00412A7F"/>
    <w:rsid w:val="0041309F"/>
    <w:rsid w:val="00413465"/>
    <w:rsid w:val="0041348C"/>
    <w:rsid w:val="00413593"/>
    <w:rsid w:val="00413774"/>
    <w:rsid w:val="004139CB"/>
    <w:rsid w:val="00413A19"/>
    <w:rsid w:val="00413AE9"/>
    <w:rsid w:val="00413B6B"/>
    <w:rsid w:val="00413BDE"/>
    <w:rsid w:val="00413C5F"/>
    <w:rsid w:val="00413E5D"/>
    <w:rsid w:val="00413E99"/>
    <w:rsid w:val="00413FA4"/>
    <w:rsid w:val="00414026"/>
    <w:rsid w:val="004140DA"/>
    <w:rsid w:val="00414295"/>
    <w:rsid w:val="0041441E"/>
    <w:rsid w:val="004144CA"/>
    <w:rsid w:val="004145BF"/>
    <w:rsid w:val="004145E9"/>
    <w:rsid w:val="00414642"/>
    <w:rsid w:val="0041470A"/>
    <w:rsid w:val="0041481C"/>
    <w:rsid w:val="00414870"/>
    <w:rsid w:val="00414892"/>
    <w:rsid w:val="004148A8"/>
    <w:rsid w:val="00414CA4"/>
    <w:rsid w:val="00414FD6"/>
    <w:rsid w:val="004151B4"/>
    <w:rsid w:val="0041558A"/>
    <w:rsid w:val="004156D3"/>
    <w:rsid w:val="0041573D"/>
    <w:rsid w:val="0041576A"/>
    <w:rsid w:val="00415984"/>
    <w:rsid w:val="004159A2"/>
    <w:rsid w:val="004159C2"/>
    <w:rsid w:val="00415A37"/>
    <w:rsid w:val="00415D77"/>
    <w:rsid w:val="00415ECA"/>
    <w:rsid w:val="004161C9"/>
    <w:rsid w:val="0041646C"/>
    <w:rsid w:val="0041666D"/>
    <w:rsid w:val="00416892"/>
    <w:rsid w:val="00416C38"/>
    <w:rsid w:val="00416C57"/>
    <w:rsid w:val="00416C63"/>
    <w:rsid w:val="00416C9E"/>
    <w:rsid w:val="00416D88"/>
    <w:rsid w:val="00416F32"/>
    <w:rsid w:val="00417098"/>
    <w:rsid w:val="00417149"/>
    <w:rsid w:val="00417206"/>
    <w:rsid w:val="00417660"/>
    <w:rsid w:val="004176C2"/>
    <w:rsid w:val="00417835"/>
    <w:rsid w:val="00417D8F"/>
    <w:rsid w:val="00417D9B"/>
    <w:rsid w:val="00417EED"/>
    <w:rsid w:val="004201B8"/>
    <w:rsid w:val="00420458"/>
    <w:rsid w:val="00420680"/>
    <w:rsid w:val="004206AA"/>
    <w:rsid w:val="00420A0D"/>
    <w:rsid w:val="00420C4E"/>
    <w:rsid w:val="00420E87"/>
    <w:rsid w:val="00420FB6"/>
    <w:rsid w:val="00421330"/>
    <w:rsid w:val="00421392"/>
    <w:rsid w:val="004214E0"/>
    <w:rsid w:val="00421818"/>
    <w:rsid w:val="004218A7"/>
    <w:rsid w:val="00421C5B"/>
    <w:rsid w:val="00421E08"/>
    <w:rsid w:val="00421F64"/>
    <w:rsid w:val="00422269"/>
    <w:rsid w:val="004223AC"/>
    <w:rsid w:val="0042241A"/>
    <w:rsid w:val="00422436"/>
    <w:rsid w:val="00422446"/>
    <w:rsid w:val="004226E5"/>
    <w:rsid w:val="004227CC"/>
    <w:rsid w:val="004229A6"/>
    <w:rsid w:val="00422A88"/>
    <w:rsid w:val="00422CB4"/>
    <w:rsid w:val="00422D16"/>
    <w:rsid w:val="00422D1A"/>
    <w:rsid w:val="00422E92"/>
    <w:rsid w:val="00422EAE"/>
    <w:rsid w:val="00423011"/>
    <w:rsid w:val="004230FB"/>
    <w:rsid w:val="00423134"/>
    <w:rsid w:val="0042393D"/>
    <w:rsid w:val="00423A12"/>
    <w:rsid w:val="00423B73"/>
    <w:rsid w:val="00424023"/>
    <w:rsid w:val="00424085"/>
    <w:rsid w:val="004240BC"/>
    <w:rsid w:val="004244ED"/>
    <w:rsid w:val="004245CC"/>
    <w:rsid w:val="00424636"/>
    <w:rsid w:val="00424C93"/>
    <w:rsid w:val="00424C9A"/>
    <w:rsid w:val="00424CC2"/>
    <w:rsid w:val="00424EE4"/>
    <w:rsid w:val="00425098"/>
    <w:rsid w:val="0042526C"/>
    <w:rsid w:val="0042548E"/>
    <w:rsid w:val="004255C6"/>
    <w:rsid w:val="004256B8"/>
    <w:rsid w:val="004258D4"/>
    <w:rsid w:val="00425946"/>
    <w:rsid w:val="004259ED"/>
    <w:rsid w:val="00425BBB"/>
    <w:rsid w:val="00425BC6"/>
    <w:rsid w:val="00425F09"/>
    <w:rsid w:val="004262F8"/>
    <w:rsid w:val="00426326"/>
    <w:rsid w:val="004267D4"/>
    <w:rsid w:val="00426906"/>
    <w:rsid w:val="00426A39"/>
    <w:rsid w:val="00426A77"/>
    <w:rsid w:val="00426AFF"/>
    <w:rsid w:val="00426CA0"/>
    <w:rsid w:val="00426D44"/>
    <w:rsid w:val="0042702C"/>
    <w:rsid w:val="0042706A"/>
    <w:rsid w:val="004271F2"/>
    <w:rsid w:val="004275A3"/>
    <w:rsid w:val="004275FB"/>
    <w:rsid w:val="00427888"/>
    <w:rsid w:val="00427A56"/>
    <w:rsid w:val="00427BF7"/>
    <w:rsid w:val="00427C21"/>
    <w:rsid w:val="00427C61"/>
    <w:rsid w:val="00427F47"/>
    <w:rsid w:val="00427F94"/>
    <w:rsid w:val="0043023F"/>
    <w:rsid w:val="00430260"/>
    <w:rsid w:val="004302B8"/>
    <w:rsid w:val="004302C7"/>
    <w:rsid w:val="0043049F"/>
    <w:rsid w:val="00430540"/>
    <w:rsid w:val="004305BC"/>
    <w:rsid w:val="00430924"/>
    <w:rsid w:val="00430929"/>
    <w:rsid w:val="00430975"/>
    <w:rsid w:val="00430983"/>
    <w:rsid w:val="00430C5A"/>
    <w:rsid w:val="00430E47"/>
    <w:rsid w:val="00430EC9"/>
    <w:rsid w:val="00430F3F"/>
    <w:rsid w:val="00430F88"/>
    <w:rsid w:val="00430FB4"/>
    <w:rsid w:val="004311C1"/>
    <w:rsid w:val="00431262"/>
    <w:rsid w:val="00431342"/>
    <w:rsid w:val="00431551"/>
    <w:rsid w:val="004315C8"/>
    <w:rsid w:val="00431640"/>
    <w:rsid w:val="00431750"/>
    <w:rsid w:val="004317D1"/>
    <w:rsid w:val="00431A4D"/>
    <w:rsid w:val="00431B9F"/>
    <w:rsid w:val="00431C4F"/>
    <w:rsid w:val="00431D9C"/>
    <w:rsid w:val="00431F9D"/>
    <w:rsid w:val="00431FB9"/>
    <w:rsid w:val="004323B1"/>
    <w:rsid w:val="00432447"/>
    <w:rsid w:val="00432493"/>
    <w:rsid w:val="0043253C"/>
    <w:rsid w:val="00432934"/>
    <w:rsid w:val="0043296A"/>
    <w:rsid w:val="00432C3E"/>
    <w:rsid w:val="00432CB2"/>
    <w:rsid w:val="00432D5C"/>
    <w:rsid w:val="00432F3D"/>
    <w:rsid w:val="0043304A"/>
    <w:rsid w:val="004335DC"/>
    <w:rsid w:val="00433660"/>
    <w:rsid w:val="004337DF"/>
    <w:rsid w:val="004339A5"/>
    <w:rsid w:val="00433B2C"/>
    <w:rsid w:val="00433C9D"/>
    <w:rsid w:val="00434340"/>
    <w:rsid w:val="00434458"/>
    <w:rsid w:val="00434A07"/>
    <w:rsid w:val="00434CB1"/>
    <w:rsid w:val="00435181"/>
    <w:rsid w:val="004351F2"/>
    <w:rsid w:val="00435504"/>
    <w:rsid w:val="0043551C"/>
    <w:rsid w:val="0043553C"/>
    <w:rsid w:val="004359EA"/>
    <w:rsid w:val="00436023"/>
    <w:rsid w:val="00436324"/>
    <w:rsid w:val="00436381"/>
    <w:rsid w:val="00436689"/>
    <w:rsid w:val="004366D2"/>
    <w:rsid w:val="00436724"/>
    <w:rsid w:val="00436739"/>
    <w:rsid w:val="0043683B"/>
    <w:rsid w:val="00436B55"/>
    <w:rsid w:val="00436E74"/>
    <w:rsid w:val="00436ED2"/>
    <w:rsid w:val="004372BE"/>
    <w:rsid w:val="0043754A"/>
    <w:rsid w:val="0043785D"/>
    <w:rsid w:val="00437BB5"/>
    <w:rsid w:val="00437C46"/>
    <w:rsid w:val="00437ED8"/>
    <w:rsid w:val="00440053"/>
    <w:rsid w:val="00440177"/>
    <w:rsid w:val="004402C0"/>
    <w:rsid w:val="0044031E"/>
    <w:rsid w:val="00440348"/>
    <w:rsid w:val="00440451"/>
    <w:rsid w:val="00440455"/>
    <w:rsid w:val="0044049E"/>
    <w:rsid w:val="004404D5"/>
    <w:rsid w:val="004406E6"/>
    <w:rsid w:val="00440840"/>
    <w:rsid w:val="004408B7"/>
    <w:rsid w:val="00440931"/>
    <w:rsid w:val="004409E7"/>
    <w:rsid w:val="00440A30"/>
    <w:rsid w:val="00440AE7"/>
    <w:rsid w:val="00440AF2"/>
    <w:rsid w:val="00440D6B"/>
    <w:rsid w:val="00440E9F"/>
    <w:rsid w:val="00440FD2"/>
    <w:rsid w:val="0044104E"/>
    <w:rsid w:val="004414D3"/>
    <w:rsid w:val="0044152E"/>
    <w:rsid w:val="00441626"/>
    <w:rsid w:val="00441931"/>
    <w:rsid w:val="00441A52"/>
    <w:rsid w:val="00441CB4"/>
    <w:rsid w:val="00441DD4"/>
    <w:rsid w:val="00441E0F"/>
    <w:rsid w:val="00441F07"/>
    <w:rsid w:val="00442089"/>
    <w:rsid w:val="004420BD"/>
    <w:rsid w:val="00442162"/>
    <w:rsid w:val="004421E4"/>
    <w:rsid w:val="004421EA"/>
    <w:rsid w:val="004422C7"/>
    <w:rsid w:val="004425DF"/>
    <w:rsid w:val="00442A28"/>
    <w:rsid w:val="00442B54"/>
    <w:rsid w:val="00442D90"/>
    <w:rsid w:val="00443061"/>
    <w:rsid w:val="004430B3"/>
    <w:rsid w:val="00443194"/>
    <w:rsid w:val="0044342C"/>
    <w:rsid w:val="00443510"/>
    <w:rsid w:val="00443D23"/>
    <w:rsid w:val="00443DC3"/>
    <w:rsid w:val="004440AC"/>
    <w:rsid w:val="004442C4"/>
    <w:rsid w:val="00444422"/>
    <w:rsid w:val="004445A1"/>
    <w:rsid w:val="00444693"/>
    <w:rsid w:val="00444801"/>
    <w:rsid w:val="00444AC5"/>
    <w:rsid w:val="00444AD5"/>
    <w:rsid w:val="00444B34"/>
    <w:rsid w:val="00444F6E"/>
    <w:rsid w:val="00445146"/>
    <w:rsid w:val="004457A1"/>
    <w:rsid w:val="004458B2"/>
    <w:rsid w:val="00445B52"/>
    <w:rsid w:val="00445B85"/>
    <w:rsid w:val="00445CAC"/>
    <w:rsid w:val="00445E0F"/>
    <w:rsid w:val="00445E6E"/>
    <w:rsid w:val="00445F0E"/>
    <w:rsid w:val="00445FC8"/>
    <w:rsid w:val="00446098"/>
    <w:rsid w:val="0044613B"/>
    <w:rsid w:val="00446184"/>
    <w:rsid w:val="00446368"/>
    <w:rsid w:val="004463FB"/>
    <w:rsid w:val="00446423"/>
    <w:rsid w:val="0044642F"/>
    <w:rsid w:val="004464C2"/>
    <w:rsid w:val="0044673F"/>
    <w:rsid w:val="00446814"/>
    <w:rsid w:val="0044696B"/>
    <w:rsid w:val="00446AB0"/>
    <w:rsid w:val="00446EA4"/>
    <w:rsid w:val="00446EBB"/>
    <w:rsid w:val="0044711A"/>
    <w:rsid w:val="00447177"/>
    <w:rsid w:val="0044733C"/>
    <w:rsid w:val="0044749B"/>
    <w:rsid w:val="004474D4"/>
    <w:rsid w:val="004475B8"/>
    <w:rsid w:val="00447628"/>
    <w:rsid w:val="00447953"/>
    <w:rsid w:val="00447D35"/>
    <w:rsid w:val="00447DF9"/>
    <w:rsid w:val="00447E0D"/>
    <w:rsid w:val="00447E56"/>
    <w:rsid w:val="00447FBC"/>
    <w:rsid w:val="004503D3"/>
    <w:rsid w:val="004504CC"/>
    <w:rsid w:val="00450509"/>
    <w:rsid w:val="00450746"/>
    <w:rsid w:val="004507FB"/>
    <w:rsid w:val="004508C2"/>
    <w:rsid w:val="00450929"/>
    <w:rsid w:val="004509F1"/>
    <w:rsid w:val="00450B7D"/>
    <w:rsid w:val="00450F9C"/>
    <w:rsid w:val="004514B4"/>
    <w:rsid w:val="00451695"/>
    <w:rsid w:val="004517F1"/>
    <w:rsid w:val="0045190B"/>
    <w:rsid w:val="00451A68"/>
    <w:rsid w:val="00451A91"/>
    <w:rsid w:val="00451FCE"/>
    <w:rsid w:val="0045206A"/>
    <w:rsid w:val="00452390"/>
    <w:rsid w:val="00452556"/>
    <w:rsid w:val="0045280B"/>
    <w:rsid w:val="00452A7A"/>
    <w:rsid w:val="00452BAD"/>
    <w:rsid w:val="00452D7A"/>
    <w:rsid w:val="00453008"/>
    <w:rsid w:val="00453294"/>
    <w:rsid w:val="004532D2"/>
    <w:rsid w:val="0045363F"/>
    <w:rsid w:val="004536C3"/>
    <w:rsid w:val="00453725"/>
    <w:rsid w:val="004538CE"/>
    <w:rsid w:val="004538E0"/>
    <w:rsid w:val="004539E5"/>
    <w:rsid w:val="00453B2B"/>
    <w:rsid w:val="00453BA6"/>
    <w:rsid w:val="00453BD4"/>
    <w:rsid w:val="00453BE4"/>
    <w:rsid w:val="00453D82"/>
    <w:rsid w:val="0045414B"/>
    <w:rsid w:val="004541EC"/>
    <w:rsid w:val="004544AE"/>
    <w:rsid w:val="004544C7"/>
    <w:rsid w:val="004544D9"/>
    <w:rsid w:val="0045476F"/>
    <w:rsid w:val="004548BB"/>
    <w:rsid w:val="00454938"/>
    <w:rsid w:val="004549A7"/>
    <w:rsid w:val="004549C0"/>
    <w:rsid w:val="00454BD1"/>
    <w:rsid w:val="00454C1F"/>
    <w:rsid w:val="00454C58"/>
    <w:rsid w:val="00454D0E"/>
    <w:rsid w:val="00454DE1"/>
    <w:rsid w:val="00454F96"/>
    <w:rsid w:val="0045523F"/>
    <w:rsid w:val="00455346"/>
    <w:rsid w:val="00455368"/>
    <w:rsid w:val="00455DB7"/>
    <w:rsid w:val="00456332"/>
    <w:rsid w:val="0045655F"/>
    <w:rsid w:val="004568D6"/>
    <w:rsid w:val="0045698C"/>
    <w:rsid w:val="00456A03"/>
    <w:rsid w:val="00456C04"/>
    <w:rsid w:val="00456DD4"/>
    <w:rsid w:val="00456F68"/>
    <w:rsid w:val="004570A0"/>
    <w:rsid w:val="00457184"/>
    <w:rsid w:val="0045748F"/>
    <w:rsid w:val="004574C0"/>
    <w:rsid w:val="00457548"/>
    <w:rsid w:val="0045783C"/>
    <w:rsid w:val="004579D3"/>
    <w:rsid w:val="00457AE2"/>
    <w:rsid w:val="00457FAD"/>
    <w:rsid w:val="00460116"/>
    <w:rsid w:val="00460194"/>
    <w:rsid w:val="004602ED"/>
    <w:rsid w:val="004604A2"/>
    <w:rsid w:val="00460671"/>
    <w:rsid w:val="004608EB"/>
    <w:rsid w:val="00460A4F"/>
    <w:rsid w:val="00460D37"/>
    <w:rsid w:val="00460D3A"/>
    <w:rsid w:val="00460D9B"/>
    <w:rsid w:val="00460F10"/>
    <w:rsid w:val="00461186"/>
    <w:rsid w:val="00461321"/>
    <w:rsid w:val="004613AA"/>
    <w:rsid w:val="004613DD"/>
    <w:rsid w:val="00461578"/>
    <w:rsid w:val="0046157A"/>
    <w:rsid w:val="0046158F"/>
    <w:rsid w:val="004617BD"/>
    <w:rsid w:val="004619C8"/>
    <w:rsid w:val="00461C58"/>
    <w:rsid w:val="00461CEA"/>
    <w:rsid w:val="00461D2A"/>
    <w:rsid w:val="00461F44"/>
    <w:rsid w:val="0046219B"/>
    <w:rsid w:val="0046221D"/>
    <w:rsid w:val="004622EB"/>
    <w:rsid w:val="004622FC"/>
    <w:rsid w:val="00462323"/>
    <w:rsid w:val="0046240C"/>
    <w:rsid w:val="0046244E"/>
    <w:rsid w:val="004626A5"/>
    <w:rsid w:val="0046274F"/>
    <w:rsid w:val="00462820"/>
    <w:rsid w:val="00462990"/>
    <w:rsid w:val="00462A0D"/>
    <w:rsid w:val="00462B2A"/>
    <w:rsid w:val="00462B71"/>
    <w:rsid w:val="00462BE4"/>
    <w:rsid w:val="00462C65"/>
    <w:rsid w:val="0046306B"/>
    <w:rsid w:val="004631DE"/>
    <w:rsid w:val="004632F5"/>
    <w:rsid w:val="004632FD"/>
    <w:rsid w:val="004633AB"/>
    <w:rsid w:val="004633CB"/>
    <w:rsid w:val="00463614"/>
    <w:rsid w:val="00463717"/>
    <w:rsid w:val="00463843"/>
    <w:rsid w:val="00463C36"/>
    <w:rsid w:val="00463E8A"/>
    <w:rsid w:val="00463F60"/>
    <w:rsid w:val="00463F62"/>
    <w:rsid w:val="0046408E"/>
    <w:rsid w:val="004640F4"/>
    <w:rsid w:val="00464105"/>
    <w:rsid w:val="0046431D"/>
    <w:rsid w:val="00464331"/>
    <w:rsid w:val="004645C5"/>
    <w:rsid w:val="0046464E"/>
    <w:rsid w:val="004646C4"/>
    <w:rsid w:val="0046478F"/>
    <w:rsid w:val="00464BA2"/>
    <w:rsid w:val="00464D53"/>
    <w:rsid w:val="00464E22"/>
    <w:rsid w:val="004650F8"/>
    <w:rsid w:val="00465200"/>
    <w:rsid w:val="00465302"/>
    <w:rsid w:val="00465353"/>
    <w:rsid w:val="00465685"/>
    <w:rsid w:val="00465ABE"/>
    <w:rsid w:val="004661E6"/>
    <w:rsid w:val="004662F6"/>
    <w:rsid w:val="004665C6"/>
    <w:rsid w:val="00466757"/>
    <w:rsid w:val="0046682E"/>
    <w:rsid w:val="00466830"/>
    <w:rsid w:val="00466A5E"/>
    <w:rsid w:val="00466B0A"/>
    <w:rsid w:val="00466B4B"/>
    <w:rsid w:val="00466B9D"/>
    <w:rsid w:val="00466C60"/>
    <w:rsid w:val="00466D0F"/>
    <w:rsid w:val="00466E05"/>
    <w:rsid w:val="00466E60"/>
    <w:rsid w:val="00466F96"/>
    <w:rsid w:val="004670A4"/>
    <w:rsid w:val="00467151"/>
    <w:rsid w:val="004671F7"/>
    <w:rsid w:val="004672BA"/>
    <w:rsid w:val="004672D1"/>
    <w:rsid w:val="00467360"/>
    <w:rsid w:val="0046739E"/>
    <w:rsid w:val="004673EE"/>
    <w:rsid w:val="004674B6"/>
    <w:rsid w:val="0046751E"/>
    <w:rsid w:val="0046767F"/>
    <w:rsid w:val="0046769A"/>
    <w:rsid w:val="004678C5"/>
    <w:rsid w:val="00467908"/>
    <w:rsid w:val="00467A90"/>
    <w:rsid w:val="00467C4B"/>
    <w:rsid w:val="00467CFC"/>
    <w:rsid w:val="00467D01"/>
    <w:rsid w:val="00467DEA"/>
    <w:rsid w:val="00467E68"/>
    <w:rsid w:val="00467E83"/>
    <w:rsid w:val="00467FDE"/>
    <w:rsid w:val="004704AE"/>
    <w:rsid w:val="00470558"/>
    <w:rsid w:val="00470569"/>
    <w:rsid w:val="004705E4"/>
    <w:rsid w:val="00470686"/>
    <w:rsid w:val="004706CF"/>
    <w:rsid w:val="0047095A"/>
    <w:rsid w:val="00470AF7"/>
    <w:rsid w:val="00470C51"/>
    <w:rsid w:val="00470E5C"/>
    <w:rsid w:val="00470EE9"/>
    <w:rsid w:val="00470F26"/>
    <w:rsid w:val="004710A0"/>
    <w:rsid w:val="004710A9"/>
    <w:rsid w:val="0047125C"/>
    <w:rsid w:val="004713CD"/>
    <w:rsid w:val="00471523"/>
    <w:rsid w:val="00471891"/>
    <w:rsid w:val="00471902"/>
    <w:rsid w:val="00471962"/>
    <w:rsid w:val="00471AB5"/>
    <w:rsid w:val="00471B90"/>
    <w:rsid w:val="00471FA0"/>
    <w:rsid w:val="00471FB5"/>
    <w:rsid w:val="00472224"/>
    <w:rsid w:val="0047228A"/>
    <w:rsid w:val="00472456"/>
    <w:rsid w:val="00472737"/>
    <w:rsid w:val="0047273E"/>
    <w:rsid w:val="00472839"/>
    <w:rsid w:val="00472A52"/>
    <w:rsid w:val="00472AFE"/>
    <w:rsid w:val="00472C63"/>
    <w:rsid w:val="00472CB6"/>
    <w:rsid w:val="00472CF5"/>
    <w:rsid w:val="00472D8B"/>
    <w:rsid w:val="00472F3A"/>
    <w:rsid w:val="004732E0"/>
    <w:rsid w:val="004732E6"/>
    <w:rsid w:val="004733A2"/>
    <w:rsid w:val="004736D0"/>
    <w:rsid w:val="004737F3"/>
    <w:rsid w:val="004737F4"/>
    <w:rsid w:val="00473950"/>
    <w:rsid w:val="00473A4A"/>
    <w:rsid w:val="00473CC9"/>
    <w:rsid w:val="00473D7F"/>
    <w:rsid w:val="00474343"/>
    <w:rsid w:val="0047435B"/>
    <w:rsid w:val="004743B1"/>
    <w:rsid w:val="0047449A"/>
    <w:rsid w:val="00474719"/>
    <w:rsid w:val="00474793"/>
    <w:rsid w:val="0047482E"/>
    <w:rsid w:val="00474868"/>
    <w:rsid w:val="00474C08"/>
    <w:rsid w:val="00474F57"/>
    <w:rsid w:val="00474FAD"/>
    <w:rsid w:val="0047502D"/>
    <w:rsid w:val="004751AF"/>
    <w:rsid w:val="0047523A"/>
    <w:rsid w:val="004753FF"/>
    <w:rsid w:val="00475498"/>
    <w:rsid w:val="00475574"/>
    <w:rsid w:val="00475578"/>
    <w:rsid w:val="004755D7"/>
    <w:rsid w:val="00475632"/>
    <w:rsid w:val="00475772"/>
    <w:rsid w:val="004757BE"/>
    <w:rsid w:val="004758AD"/>
    <w:rsid w:val="00475AB5"/>
    <w:rsid w:val="00475F49"/>
    <w:rsid w:val="00475F68"/>
    <w:rsid w:val="00476230"/>
    <w:rsid w:val="00476629"/>
    <w:rsid w:val="0047666B"/>
    <w:rsid w:val="00476671"/>
    <w:rsid w:val="004768BC"/>
    <w:rsid w:val="00476BDC"/>
    <w:rsid w:val="00476E83"/>
    <w:rsid w:val="004771C5"/>
    <w:rsid w:val="004773A7"/>
    <w:rsid w:val="0047776A"/>
    <w:rsid w:val="004778DC"/>
    <w:rsid w:val="0047795F"/>
    <w:rsid w:val="00477CF9"/>
    <w:rsid w:val="00477F18"/>
    <w:rsid w:val="0048007C"/>
    <w:rsid w:val="00480200"/>
    <w:rsid w:val="0048029D"/>
    <w:rsid w:val="0048038A"/>
    <w:rsid w:val="004805F8"/>
    <w:rsid w:val="004807DF"/>
    <w:rsid w:val="0048080F"/>
    <w:rsid w:val="004808FD"/>
    <w:rsid w:val="00480AD8"/>
    <w:rsid w:val="00480B68"/>
    <w:rsid w:val="00480BB2"/>
    <w:rsid w:val="00480C83"/>
    <w:rsid w:val="00480C89"/>
    <w:rsid w:val="00480D11"/>
    <w:rsid w:val="00480D6A"/>
    <w:rsid w:val="00480E57"/>
    <w:rsid w:val="004810AD"/>
    <w:rsid w:val="00481368"/>
    <w:rsid w:val="004814F3"/>
    <w:rsid w:val="004816B1"/>
    <w:rsid w:val="0048172F"/>
    <w:rsid w:val="0048188E"/>
    <w:rsid w:val="004819E9"/>
    <w:rsid w:val="00481A44"/>
    <w:rsid w:val="00481BB1"/>
    <w:rsid w:val="00481E79"/>
    <w:rsid w:val="00481EB0"/>
    <w:rsid w:val="004821C6"/>
    <w:rsid w:val="00482294"/>
    <w:rsid w:val="004822E3"/>
    <w:rsid w:val="00482398"/>
    <w:rsid w:val="00482423"/>
    <w:rsid w:val="00482737"/>
    <w:rsid w:val="00483124"/>
    <w:rsid w:val="0048325C"/>
    <w:rsid w:val="0048332F"/>
    <w:rsid w:val="004835C1"/>
    <w:rsid w:val="00483876"/>
    <w:rsid w:val="004838DE"/>
    <w:rsid w:val="00483926"/>
    <w:rsid w:val="00483943"/>
    <w:rsid w:val="004839E3"/>
    <w:rsid w:val="00483AA4"/>
    <w:rsid w:val="00483AA6"/>
    <w:rsid w:val="00483C31"/>
    <w:rsid w:val="00483CE9"/>
    <w:rsid w:val="00483F11"/>
    <w:rsid w:val="00483FD4"/>
    <w:rsid w:val="00484051"/>
    <w:rsid w:val="00484342"/>
    <w:rsid w:val="004843E2"/>
    <w:rsid w:val="00484541"/>
    <w:rsid w:val="004845A4"/>
    <w:rsid w:val="004845F0"/>
    <w:rsid w:val="00484868"/>
    <w:rsid w:val="00484894"/>
    <w:rsid w:val="0048493F"/>
    <w:rsid w:val="00484C16"/>
    <w:rsid w:val="00484C8F"/>
    <w:rsid w:val="0048516E"/>
    <w:rsid w:val="004851A6"/>
    <w:rsid w:val="004854A7"/>
    <w:rsid w:val="004854CF"/>
    <w:rsid w:val="004854F0"/>
    <w:rsid w:val="004855C4"/>
    <w:rsid w:val="004855D6"/>
    <w:rsid w:val="00485672"/>
    <w:rsid w:val="0048568B"/>
    <w:rsid w:val="00485748"/>
    <w:rsid w:val="004857C9"/>
    <w:rsid w:val="004858A9"/>
    <w:rsid w:val="00485B62"/>
    <w:rsid w:val="00485C07"/>
    <w:rsid w:val="00485C1D"/>
    <w:rsid w:val="00485CD4"/>
    <w:rsid w:val="0048600C"/>
    <w:rsid w:val="0048632A"/>
    <w:rsid w:val="00486673"/>
    <w:rsid w:val="004866B0"/>
    <w:rsid w:val="004867C4"/>
    <w:rsid w:val="004867F8"/>
    <w:rsid w:val="004867FF"/>
    <w:rsid w:val="004868C3"/>
    <w:rsid w:val="00486AF0"/>
    <w:rsid w:val="00486CB2"/>
    <w:rsid w:val="00486D76"/>
    <w:rsid w:val="00486E07"/>
    <w:rsid w:val="00486E18"/>
    <w:rsid w:val="00486E49"/>
    <w:rsid w:val="00486E69"/>
    <w:rsid w:val="00486E6F"/>
    <w:rsid w:val="00486FE4"/>
    <w:rsid w:val="00487249"/>
    <w:rsid w:val="004874FF"/>
    <w:rsid w:val="0048795F"/>
    <w:rsid w:val="00487993"/>
    <w:rsid w:val="004879EA"/>
    <w:rsid w:val="00487A85"/>
    <w:rsid w:val="00487EA5"/>
    <w:rsid w:val="00487F2A"/>
    <w:rsid w:val="004900FE"/>
    <w:rsid w:val="004902EE"/>
    <w:rsid w:val="004903DF"/>
    <w:rsid w:val="0049040E"/>
    <w:rsid w:val="004904D3"/>
    <w:rsid w:val="004905E0"/>
    <w:rsid w:val="004909F4"/>
    <w:rsid w:val="00490A5E"/>
    <w:rsid w:val="00490D93"/>
    <w:rsid w:val="00490DC3"/>
    <w:rsid w:val="00490DC7"/>
    <w:rsid w:val="00490FE9"/>
    <w:rsid w:val="00491155"/>
    <w:rsid w:val="004912B2"/>
    <w:rsid w:val="00491324"/>
    <w:rsid w:val="004913E4"/>
    <w:rsid w:val="00491490"/>
    <w:rsid w:val="004914E5"/>
    <w:rsid w:val="00491539"/>
    <w:rsid w:val="004916AC"/>
    <w:rsid w:val="0049180A"/>
    <w:rsid w:val="00491997"/>
    <w:rsid w:val="00491A02"/>
    <w:rsid w:val="00491D78"/>
    <w:rsid w:val="00491F83"/>
    <w:rsid w:val="004923D4"/>
    <w:rsid w:val="00492467"/>
    <w:rsid w:val="00492602"/>
    <w:rsid w:val="004926F6"/>
    <w:rsid w:val="00492A0B"/>
    <w:rsid w:val="00492F02"/>
    <w:rsid w:val="00492FFD"/>
    <w:rsid w:val="0049310B"/>
    <w:rsid w:val="00493455"/>
    <w:rsid w:val="0049353A"/>
    <w:rsid w:val="00493715"/>
    <w:rsid w:val="004937A5"/>
    <w:rsid w:val="004938A9"/>
    <w:rsid w:val="004939D0"/>
    <w:rsid w:val="00493B10"/>
    <w:rsid w:val="00493B4C"/>
    <w:rsid w:val="00493BC0"/>
    <w:rsid w:val="00493CDB"/>
    <w:rsid w:val="00493E9F"/>
    <w:rsid w:val="00493F89"/>
    <w:rsid w:val="004940A1"/>
    <w:rsid w:val="00494146"/>
    <w:rsid w:val="00494B5F"/>
    <w:rsid w:val="00494B7C"/>
    <w:rsid w:val="00495048"/>
    <w:rsid w:val="004951D7"/>
    <w:rsid w:val="004952D7"/>
    <w:rsid w:val="0049573D"/>
    <w:rsid w:val="0049592F"/>
    <w:rsid w:val="00495983"/>
    <w:rsid w:val="00495AE0"/>
    <w:rsid w:val="00495E91"/>
    <w:rsid w:val="004960F9"/>
    <w:rsid w:val="00496137"/>
    <w:rsid w:val="00496425"/>
    <w:rsid w:val="004968C9"/>
    <w:rsid w:val="004968D3"/>
    <w:rsid w:val="00496A58"/>
    <w:rsid w:val="00496BE5"/>
    <w:rsid w:val="00496E18"/>
    <w:rsid w:val="00496E9D"/>
    <w:rsid w:val="00496F3A"/>
    <w:rsid w:val="00496F4D"/>
    <w:rsid w:val="004974A3"/>
    <w:rsid w:val="0049757D"/>
    <w:rsid w:val="00497637"/>
    <w:rsid w:val="004976A1"/>
    <w:rsid w:val="004976B8"/>
    <w:rsid w:val="00497836"/>
    <w:rsid w:val="00497957"/>
    <w:rsid w:val="00497A1A"/>
    <w:rsid w:val="00497CE8"/>
    <w:rsid w:val="00497D1B"/>
    <w:rsid w:val="00497DEB"/>
    <w:rsid w:val="004A00C4"/>
    <w:rsid w:val="004A00D5"/>
    <w:rsid w:val="004A016D"/>
    <w:rsid w:val="004A0177"/>
    <w:rsid w:val="004A01B2"/>
    <w:rsid w:val="004A01DB"/>
    <w:rsid w:val="004A022E"/>
    <w:rsid w:val="004A03A5"/>
    <w:rsid w:val="004A04A2"/>
    <w:rsid w:val="004A05A3"/>
    <w:rsid w:val="004A063B"/>
    <w:rsid w:val="004A0678"/>
    <w:rsid w:val="004A0699"/>
    <w:rsid w:val="004A097C"/>
    <w:rsid w:val="004A0B08"/>
    <w:rsid w:val="004A0B51"/>
    <w:rsid w:val="004A0F0D"/>
    <w:rsid w:val="004A1349"/>
    <w:rsid w:val="004A14EC"/>
    <w:rsid w:val="004A1513"/>
    <w:rsid w:val="004A1702"/>
    <w:rsid w:val="004A1985"/>
    <w:rsid w:val="004A1D0C"/>
    <w:rsid w:val="004A1E7C"/>
    <w:rsid w:val="004A1E84"/>
    <w:rsid w:val="004A1F94"/>
    <w:rsid w:val="004A23E0"/>
    <w:rsid w:val="004A252A"/>
    <w:rsid w:val="004A279C"/>
    <w:rsid w:val="004A28C4"/>
    <w:rsid w:val="004A28DD"/>
    <w:rsid w:val="004A2A08"/>
    <w:rsid w:val="004A2A3D"/>
    <w:rsid w:val="004A2B57"/>
    <w:rsid w:val="004A2CE5"/>
    <w:rsid w:val="004A2F05"/>
    <w:rsid w:val="004A2F2E"/>
    <w:rsid w:val="004A3116"/>
    <w:rsid w:val="004A32A6"/>
    <w:rsid w:val="004A345B"/>
    <w:rsid w:val="004A3488"/>
    <w:rsid w:val="004A34CE"/>
    <w:rsid w:val="004A37A5"/>
    <w:rsid w:val="004A3A1D"/>
    <w:rsid w:val="004A3B27"/>
    <w:rsid w:val="004A3CC7"/>
    <w:rsid w:val="004A4173"/>
    <w:rsid w:val="004A419A"/>
    <w:rsid w:val="004A4269"/>
    <w:rsid w:val="004A4309"/>
    <w:rsid w:val="004A451F"/>
    <w:rsid w:val="004A45FF"/>
    <w:rsid w:val="004A47F3"/>
    <w:rsid w:val="004A48A4"/>
    <w:rsid w:val="004A4A49"/>
    <w:rsid w:val="004A4AB8"/>
    <w:rsid w:val="004A4BC4"/>
    <w:rsid w:val="004A4CE4"/>
    <w:rsid w:val="004A4E9E"/>
    <w:rsid w:val="004A4EBA"/>
    <w:rsid w:val="004A5343"/>
    <w:rsid w:val="004A55D6"/>
    <w:rsid w:val="004A56A8"/>
    <w:rsid w:val="004A57D9"/>
    <w:rsid w:val="004A5A1D"/>
    <w:rsid w:val="004A5BC4"/>
    <w:rsid w:val="004A5D85"/>
    <w:rsid w:val="004A5DA5"/>
    <w:rsid w:val="004A6131"/>
    <w:rsid w:val="004A6658"/>
    <w:rsid w:val="004A667A"/>
    <w:rsid w:val="004A683D"/>
    <w:rsid w:val="004A691B"/>
    <w:rsid w:val="004A69EF"/>
    <w:rsid w:val="004A6A18"/>
    <w:rsid w:val="004A6C70"/>
    <w:rsid w:val="004A7169"/>
    <w:rsid w:val="004A71A8"/>
    <w:rsid w:val="004A7319"/>
    <w:rsid w:val="004A78F8"/>
    <w:rsid w:val="004A7FDB"/>
    <w:rsid w:val="004B00D3"/>
    <w:rsid w:val="004B01BB"/>
    <w:rsid w:val="004B027E"/>
    <w:rsid w:val="004B0466"/>
    <w:rsid w:val="004B056D"/>
    <w:rsid w:val="004B0780"/>
    <w:rsid w:val="004B09CC"/>
    <w:rsid w:val="004B0D10"/>
    <w:rsid w:val="004B1332"/>
    <w:rsid w:val="004B1354"/>
    <w:rsid w:val="004B17CD"/>
    <w:rsid w:val="004B1AD9"/>
    <w:rsid w:val="004B1B95"/>
    <w:rsid w:val="004B1F5F"/>
    <w:rsid w:val="004B2058"/>
    <w:rsid w:val="004B205A"/>
    <w:rsid w:val="004B2085"/>
    <w:rsid w:val="004B218D"/>
    <w:rsid w:val="004B2646"/>
    <w:rsid w:val="004B26BC"/>
    <w:rsid w:val="004B272C"/>
    <w:rsid w:val="004B27F2"/>
    <w:rsid w:val="004B2BA4"/>
    <w:rsid w:val="004B2CC5"/>
    <w:rsid w:val="004B2FF4"/>
    <w:rsid w:val="004B3087"/>
    <w:rsid w:val="004B30D8"/>
    <w:rsid w:val="004B3437"/>
    <w:rsid w:val="004B35B1"/>
    <w:rsid w:val="004B370A"/>
    <w:rsid w:val="004B3815"/>
    <w:rsid w:val="004B382D"/>
    <w:rsid w:val="004B3894"/>
    <w:rsid w:val="004B3951"/>
    <w:rsid w:val="004B3969"/>
    <w:rsid w:val="004B3A5C"/>
    <w:rsid w:val="004B3AAD"/>
    <w:rsid w:val="004B3AF2"/>
    <w:rsid w:val="004B3C0C"/>
    <w:rsid w:val="004B3D27"/>
    <w:rsid w:val="004B3F05"/>
    <w:rsid w:val="004B420A"/>
    <w:rsid w:val="004B4294"/>
    <w:rsid w:val="004B438B"/>
    <w:rsid w:val="004B46C9"/>
    <w:rsid w:val="004B47BF"/>
    <w:rsid w:val="004B490E"/>
    <w:rsid w:val="004B4A94"/>
    <w:rsid w:val="004B4D9A"/>
    <w:rsid w:val="004B4F21"/>
    <w:rsid w:val="004B54EB"/>
    <w:rsid w:val="004B55F8"/>
    <w:rsid w:val="004B55FB"/>
    <w:rsid w:val="004B571B"/>
    <w:rsid w:val="004B5765"/>
    <w:rsid w:val="004B5854"/>
    <w:rsid w:val="004B59C4"/>
    <w:rsid w:val="004B5AD0"/>
    <w:rsid w:val="004B5AEA"/>
    <w:rsid w:val="004B5BDF"/>
    <w:rsid w:val="004B5C2D"/>
    <w:rsid w:val="004B5D54"/>
    <w:rsid w:val="004B5EB1"/>
    <w:rsid w:val="004B5FB3"/>
    <w:rsid w:val="004B5FEE"/>
    <w:rsid w:val="004B6014"/>
    <w:rsid w:val="004B6135"/>
    <w:rsid w:val="004B62F1"/>
    <w:rsid w:val="004B65FA"/>
    <w:rsid w:val="004B69E2"/>
    <w:rsid w:val="004B6D47"/>
    <w:rsid w:val="004B6DC0"/>
    <w:rsid w:val="004B6E42"/>
    <w:rsid w:val="004B6EFE"/>
    <w:rsid w:val="004B7134"/>
    <w:rsid w:val="004B71E3"/>
    <w:rsid w:val="004B722D"/>
    <w:rsid w:val="004B7304"/>
    <w:rsid w:val="004B73E2"/>
    <w:rsid w:val="004B7492"/>
    <w:rsid w:val="004B74AC"/>
    <w:rsid w:val="004B75C2"/>
    <w:rsid w:val="004B7900"/>
    <w:rsid w:val="004B792C"/>
    <w:rsid w:val="004B7C21"/>
    <w:rsid w:val="004B7CA8"/>
    <w:rsid w:val="004B7E38"/>
    <w:rsid w:val="004B7EF6"/>
    <w:rsid w:val="004B7F69"/>
    <w:rsid w:val="004B7FC6"/>
    <w:rsid w:val="004C04E0"/>
    <w:rsid w:val="004C052C"/>
    <w:rsid w:val="004C05CD"/>
    <w:rsid w:val="004C08D5"/>
    <w:rsid w:val="004C09B8"/>
    <w:rsid w:val="004C09F3"/>
    <w:rsid w:val="004C0B02"/>
    <w:rsid w:val="004C0BA2"/>
    <w:rsid w:val="004C0E6D"/>
    <w:rsid w:val="004C0F93"/>
    <w:rsid w:val="004C100F"/>
    <w:rsid w:val="004C11E2"/>
    <w:rsid w:val="004C1220"/>
    <w:rsid w:val="004C127A"/>
    <w:rsid w:val="004C15F8"/>
    <w:rsid w:val="004C1712"/>
    <w:rsid w:val="004C176A"/>
    <w:rsid w:val="004C1AB9"/>
    <w:rsid w:val="004C1C4F"/>
    <w:rsid w:val="004C1E49"/>
    <w:rsid w:val="004C208B"/>
    <w:rsid w:val="004C24FD"/>
    <w:rsid w:val="004C267F"/>
    <w:rsid w:val="004C2817"/>
    <w:rsid w:val="004C2852"/>
    <w:rsid w:val="004C2BFE"/>
    <w:rsid w:val="004C315B"/>
    <w:rsid w:val="004C31F7"/>
    <w:rsid w:val="004C32A8"/>
    <w:rsid w:val="004C33C9"/>
    <w:rsid w:val="004C340A"/>
    <w:rsid w:val="004C35F2"/>
    <w:rsid w:val="004C3793"/>
    <w:rsid w:val="004C3835"/>
    <w:rsid w:val="004C38C0"/>
    <w:rsid w:val="004C39DF"/>
    <w:rsid w:val="004C3A9E"/>
    <w:rsid w:val="004C3B36"/>
    <w:rsid w:val="004C3B48"/>
    <w:rsid w:val="004C3C70"/>
    <w:rsid w:val="004C3E69"/>
    <w:rsid w:val="004C3F17"/>
    <w:rsid w:val="004C43C4"/>
    <w:rsid w:val="004C4598"/>
    <w:rsid w:val="004C46CE"/>
    <w:rsid w:val="004C47FF"/>
    <w:rsid w:val="004C4859"/>
    <w:rsid w:val="004C487A"/>
    <w:rsid w:val="004C4AB8"/>
    <w:rsid w:val="004C4BDC"/>
    <w:rsid w:val="004C4C9C"/>
    <w:rsid w:val="004C4D1B"/>
    <w:rsid w:val="004C4D9F"/>
    <w:rsid w:val="004C4FDC"/>
    <w:rsid w:val="004C5171"/>
    <w:rsid w:val="004C5228"/>
    <w:rsid w:val="004C546A"/>
    <w:rsid w:val="004C57A0"/>
    <w:rsid w:val="004C587E"/>
    <w:rsid w:val="004C5B20"/>
    <w:rsid w:val="004C5B74"/>
    <w:rsid w:val="004C5E4D"/>
    <w:rsid w:val="004C60F2"/>
    <w:rsid w:val="004C60FD"/>
    <w:rsid w:val="004C636D"/>
    <w:rsid w:val="004C66F0"/>
    <w:rsid w:val="004C6799"/>
    <w:rsid w:val="004C697C"/>
    <w:rsid w:val="004C6B91"/>
    <w:rsid w:val="004C6C2E"/>
    <w:rsid w:val="004C6F75"/>
    <w:rsid w:val="004C7089"/>
    <w:rsid w:val="004C7383"/>
    <w:rsid w:val="004C73C7"/>
    <w:rsid w:val="004C7468"/>
    <w:rsid w:val="004C7477"/>
    <w:rsid w:val="004C758B"/>
    <w:rsid w:val="004C760F"/>
    <w:rsid w:val="004C76D6"/>
    <w:rsid w:val="004C77A6"/>
    <w:rsid w:val="004C795F"/>
    <w:rsid w:val="004C799E"/>
    <w:rsid w:val="004C799F"/>
    <w:rsid w:val="004C79FB"/>
    <w:rsid w:val="004C7AFA"/>
    <w:rsid w:val="004C7D0B"/>
    <w:rsid w:val="004C7E3F"/>
    <w:rsid w:val="004C7EDB"/>
    <w:rsid w:val="004C7FE2"/>
    <w:rsid w:val="004D0129"/>
    <w:rsid w:val="004D01CB"/>
    <w:rsid w:val="004D0334"/>
    <w:rsid w:val="004D036E"/>
    <w:rsid w:val="004D0766"/>
    <w:rsid w:val="004D0B02"/>
    <w:rsid w:val="004D0BB7"/>
    <w:rsid w:val="004D0C8C"/>
    <w:rsid w:val="004D0E48"/>
    <w:rsid w:val="004D1067"/>
    <w:rsid w:val="004D107F"/>
    <w:rsid w:val="004D10FF"/>
    <w:rsid w:val="004D1700"/>
    <w:rsid w:val="004D1839"/>
    <w:rsid w:val="004D1910"/>
    <w:rsid w:val="004D1AED"/>
    <w:rsid w:val="004D1BB2"/>
    <w:rsid w:val="004D1C0B"/>
    <w:rsid w:val="004D1C1A"/>
    <w:rsid w:val="004D2002"/>
    <w:rsid w:val="004D20A7"/>
    <w:rsid w:val="004D21C0"/>
    <w:rsid w:val="004D21D3"/>
    <w:rsid w:val="004D2271"/>
    <w:rsid w:val="004D2603"/>
    <w:rsid w:val="004D2766"/>
    <w:rsid w:val="004D27FF"/>
    <w:rsid w:val="004D2891"/>
    <w:rsid w:val="004D28D9"/>
    <w:rsid w:val="004D2C99"/>
    <w:rsid w:val="004D2CDB"/>
    <w:rsid w:val="004D2D3B"/>
    <w:rsid w:val="004D2D9A"/>
    <w:rsid w:val="004D31AD"/>
    <w:rsid w:val="004D32FF"/>
    <w:rsid w:val="004D3469"/>
    <w:rsid w:val="004D346E"/>
    <w:rsid w:val="004D34E9"/>
    <w:rsid w:val="004D3818"/>
    <w:rsid w:val="004D381B"/>
    <w:rsid w:val="004D38D9"/>
    <w:rsid w:val="004D3917"/>
    <w:rsid w:val="004D3927"/>
    <w:rsid w:val="004D3AC2"/>
    <w:rsid w:val="004D3B3D"/>
    <w:rsid w:val="004D3D71"/>
    <w:rsid w:val="004D4025"/>
    <w:rsid w:val="004D42B7"/>
    <w:rsid w:val="004D43AB"/>
    <w:rsid w:val="004D4769"/>
    <w:rsid w:val="004D4985"/>
    <w:rsid w:val="004D4A07"/>
    <w:rsid w:val="004D4FB6"/>
    <w:rsid w:val="004D542A"/>
    <w:rsid w:val="004D5539"/>
    <w:rsid w:val="004D55B1"/>
    <w:rsid w:val="004D57AB"/>
    <w:rsid w:val="004D585D"/>
    <w:rsid w:val="004D59F1"/>
    <w:rsid w:val="004D5AFC"/>
    <w:rsid w:val="004D5B66"/>
    <w:rsid w:val="004D5C35"/>
    <w:rsid w:val="004D5C6D"/>
    <w:rsid w:val="004D5C8F"/>
    <w:rsid w:val="004D5D0B"/>
    <w:rsid w:val="004D6013"/>
    <w:rsid w:val="004D61DE"/>
    <w:rsid w:val="004D6295"/>
    <w:rsid w:val="004D6387"/>
    <w:rsid w:val="004D660D"/>
    <w:rsid w:val="004D6619"/>
    <w:rsid w:val="004D67A2"/>
    <w:rsid w:val="004D68D3"/>
    <w:rsid w:val="004D6AAF"/>
    <w:rsid w:val="004D6B24"/>
    <w:rsid w:val="004D6C8C"/>
    <w:rsid w:val="004D6D2D"/>
    <w:rsid w:val="004D6F2B"/>
    <w:rsid w:val="004D7096"/>
    <w:rsid w:val="004D70A1"/>
    <w:rsid w:val="004D7221"/>
    <w:rsid w:val="004D7360"/>
    <w:rsid w:val="004D73E6"/>
    <w:rsid w:val="004D748C"/>
    <w:rsid w:val="004D77A5"/>
    <w:rsid w:val="004D7A05"/>
    <w:rsid w:val="004D7B99"/>
    <w:rsid w:val="004D7D50"/>
    <w:rsid w:val="004D7EEF"/>
    <w:rsid w:val="004D7F26"/>
    <w:rsid w:val="004E0122"/>
    <w:rsid w:val="004E0140"/>
    <w:rsid w:val="004E0375"/>
    <w:rsid w:val="004E03D2"/>
    <w:rsid w:val="004E050D"/>
    <w:rsid w:val="004E0797"/>
    <w:rsid w:val="004E0905"/>
    <w:rsid w:val="004E0936"/>
    <w:rsid w:val="004E09C0"/>
    <w:rsid w:val="004E0A38"/>
    <w:rsid w:val="004E0A8B"/>
    <w:rsid w:val="004E0A96"/>
    <w:rsid w:val="004E0C6D"/>
    <w:rsid w:val="004E0CFD"/>
    <w:rsid w:val="004E0DD0"/>
    <w:rsid w:val="004E0DE2"/>
    <w:rsid w:val="004E105E"/>
    <w:rsid w:val="004E1124"/>
    <w:rsid w:val="004E166A"/>
    <w:rsid w:val="004E174D"/>
    <w:rsid w:val="004E1784"/>
    <w:rsid w:val="004E1858"/>
    <w:rsid w:val="004E18C7"/>
    <w:rsid w:val="004E191C"/>
    <w:rsid w:val="004E1B0E"/>
    <w:rsid w:val="004E1CEA"/>
    <w:rsid w:val="004E1D75"/>
    <w:rsid w:val="004E1DE7"/>
    <w:rsid w:val="004E1FEB"/>
    <w:rsid w:val="004E2154"/>
    <w:rsid w:val="004E2329"/>
    <w:rsid w:val="004E255D"/>
    <w:rsid w:val="004E2569"/>
    <w:rsid w:val="004E27BB"/>
    <w:rsid w:val="004E291B"/>
    <w:rsid w:val="004E2ACF"/>
    <w:rsid w:val="004E2C86"/>
    <w:rsid w:val="004E2DD6"/>
    <w:rsid w:val="004E3032"/>
    <w:rsid w:val="004E3048"/>
    <w:rsid w:val="004E304C"/>
    <w:rsid w:val="004E306C"/>
    <w:rsid w:val="004E31EC"/>
    <w:rsid w:val="004E3217"/>
    <w:rsid w:val="004E331C"/>
    <w:rsid w:val="004E33D4"/>
    <w:rsid w:val="004E3500"/>
    <w:rsid w:val="004E3669"/>
    <w:rsid w:val="004E3716"/>
    <w:rsid w:val="004E37D3"/>
    <w:rsid w:val="004E3837"/>
    <w:rsid w:val="004E3B70"/>
    <w:rsid w:val="004E3BED"/>
    <w:rsid w:val="004E3BFE"/>
    <w:rsid w:val="004E3F39"/>
    <w:rsid w:val="004E4087"/>
    <w:rsid w:val="004E44FA"/>
    <w:rsid w:val="004E4533"/>
    <w:rsid w:val="004E4618"/>
    <w:rsid w:val="004E48BA"/>
    <w:rsid w:val="004E490E"/>
    <w:rsid w:val="004E49DD"/>
    <w:rsid w:val="004E49E6"/>
    <w:rsid w:val="004E4B6C"/>
    <w:rsid w:val="004E4DCE"/>
    <w:rsid w:val="004E5438"/>
    <w:rsid w:val="004E58A3"/>
    <w:rsid w:val="004E58F8"/>
    <w:rsid w:val="004E59C8"/>
    <w:rsid w:val="004E5B13"/>
    <w:rsid w:val="004E5B7A"/>
    <w:rsid w:val="004E5C11"/>
    <w:rsid w:val="004E5E29"/>
    <w:rsid w:val="004E5F96"/>
    <w:rsid w:val="004E60AE"/>
    <w:rsid w:val="004E60C5"/>
    <w:rsid w:val="004E6519"/>
    <w:rsid w:val="004E6548"/>
    <w:rsid w:val="004E6613"/>
    <w:rsid w:val="004E661E"/>
    <w:rsid w:val="004E66FB"/>
    <w:rsid w:val="004E6782"/>
    <w:rsid w:val="004E6877"/>
    <w:rsid w:val="004E6AF9"/>
    <w:rsid w:val="004E6E49"/>
    <w:rsid w:val="004E6E61"/>
    <w:rsid w:val="004E6EAD"/>
    <w:rsid w:val="004E6EB5"/>
    <w:rsid w:val="004E72BC"/>
    <w:rsid w:val="004E7429"/>
    <w:rsid w:val="004E7653"/>
    <w:rsid w:val="004E76F8"/>
    <w:rsid w:val="004E7DD6"/>
    <w:rsid w:val="004E7E2A"/>
    <w:rsid w:val="004E7FB9"/>
    <w:rsid w:val="004F00D1"/>
    <w:rsid w:val="004F01DE"/>
    <w:rsid w:val="004F0370"/>
    <w:rsid w:val="004F0747"/>
    <w:rsid w:val="004F07D7"/>
    <w:rsid w:val="004F0878"/>
    <w:rsid w:val="004F08A9"/>
    <w:rsid w:val="004F0985"/>
    <w:rsid w:val="004F0BDA"/>
    <w:rsid w:val="004F0E4B"/>
    <w:rsid w:val="004F0F74"/>
    <w:rsid w:val="004F0F7B"/>
    <w:rsid w:val="004F0FCC"/>
    <w:rsid w:val="004F1093"/>
    <w:rsid w:val="004F1213"/>
    <w:rsid w:val="004F13DA"/>
    <w:rsid w:val="004F148B"/>
    <w:rsid w:val="004F1624"/>
    <w:rsid w:val="004F1681"/>
    <w:rsid w:val="004F171D"/>
    <w:rsid w:val="004F178B"/>
    <w:rsid w:val="004F18B9"/>
    <w:rsid w:val="004F19FA"/>
    <w:rsid w:val="004F1BBC"/>
    <w:rsid w:val="004F1CA8"/>
    <w:rsid w:val="004F200C"/>
    <w:rsid w:val="004F206A"/>
    <w:rsid w:val="004F2124"/>
    <w:rsid w:val="004F2453"/>
    <w:rsid w:val="004F247E"/>
    <w:rsid w:val="004F24C8"/>
    <w:rsid w:val="004F2741"/>
    <w:rsid w:val="004F2760"/>
    <w:rsid w:val="004F2787"/>
    <w:rsid w:val="004F2897"/>
    <w:rsid w:val="004F28B2"/>
    <w:rsid w:val="004F28EF"/>
    <w:rsid w:val="004F2968"/>
    <w:rsid w:val="004F29EF"/>
    <w:rsid w:val="004F2A3B"/>
    <w:rsid w:val="004F2BE6"/>
    <w:rsid w:val="004F2C20"/>
    <w:rsid w:val="004F2DC4"/>
    <w:rsid w:val="004F2FD6"/>
    <w:rsid w:val="004F31A2"/>
    <w:rsid w:val="004F31C8"/>
    <w:rsid w:val="004F32D0"/>
    <w:rsid w:val="004F35FE"/>
    <w:rsid w:val="004F370A"/>
    <w:rsid w:val="004F372E"/>
    <w:rsid w:val="004F3742"/>
    <w:rsid w:val="004F39FF"/>
    <w:rsid w:val="004F3A6C"/>
    <w:rsid w:val="004F3AD1"/>
    <w:rsid w:val="004F3CD7"/>
    <w:rsid w:val="004F3D77"/>
    <w:rsid w:val="004F3F21"/>
    <w:rsid w:val="004F4074"/>
    <w:rsid w:val="004F4206"/>
    <w:rsid w:val="004F4275"/>
    <w:rsid w:val="004F427C"/>
    <w:rsid w:val="004F4482"/>
    <w:rsid w:val="004F4610"/>
    <w:rsid w:val="004F4651"/>
    <w:rsid w:val="004F4725"/>
    <w:rsid w:val="004F48F4"/>
    <w:rsid w:val="004F4AA6"/>
    <w:rsid w:val="004F4E4F"/>
    <w:rsid w:val="004F4FAB"/>
    <w:rsid w:val="004F5069"/>
    <w:rsid w:val="004F509A"/>
    <w:rsid w:val="004F516E"/>
    <w:rsid w:val="004F5205"/>
    <w:rsid w:val="004F536C"/>
    <w:rsid w:val="004F5385"/>
    <w:rsid w:val="004F53D1"/>
    <w:rsid w:val="004F547B"/>
    <w:rsid w:val="004F54D1"/>
    <w:rsid w:val="004F5613"/>
    <w:rsid w:val="004F57F8"/>
    <w:rsid w:val="004F5875"/>
    <w:rsid w:val="004F58B9"/>
    <w:rsid w:val="004F5913"/>
    <w:rsid w:val="004F5939"/>
    <w:rsid w:val="004F5A21"/>
    <w:rsid w:val="004F5B2E"/>
    <w:rsid w:val="004F5CF0"/>
    <w:rsid w:val="004F5D99"/>
    <w:rsid w:val="004F61BF"/>
    <w:rsid w:val="004F61C1"/>
    <w:rsid w:val="004F6437"/>
    <w:rsid w:val="004F64C0"/>
    <w:rsid w:val="004F68D1"/>
    <w:rsid w:val="004F69B7"/>
    <w:rsid w:val="004F6A6D"/>
    <w:rsid w:val="004F6B39"/>
    <w:rsid w:val="004F6DA8"/>
    <w:rsid w:val="004F6DED"/>
    <w:rsid w:val="004F6E94"/>
    <w:rsid w:val="004F7574"/>
    <w:rsid w:val="004F76E5"/>
    <w:rsid w:val="004F7731"/>
    <w:rsid w:val="004F7A77"/>
    <w:rsid w:val="004F7A88"/>
    <w:rsid w:val="004F7AB8"/>
    <w:rsid w:val="004F7AFD"/>
    <w:rsid w:val="004F7C18"/>
    <w:rsid w:val="004F7C49"/>
    <w:rsid w:val="004F7E6F"/>
    <w:rsid w:val="00500503"/>
    <w:rsid w:val="005007EF"/>
    <w:rsid w:val="00500AB7"/>
    <w:rsid w:val="00500AC8"/>
    <w:rsid w:val="00500BFC"/>
    <w:rsid w:val="00501042"/>
    <w:rsid w:val="005010E2"/>
    <w:rsid w:val="00501174"/>
    <w:rsid w:val="00501222"/>
    <w:rsid w:val="0050130D"/>
    <w:rsid w:val="0050141D"/>
    <w:rsid w:val="005018D5"/>
    <w:rsid w:val="005019FA"/>
    <w:rsid w:val="005020AC"/>
    <w:rsid w:val="0050214F"/>
    <w:rsid w:val="00502280"/>
    <w:rsid w:val="0050239D"/>
    <w:rsid w:val="0050240D"/>
    <w:rsid w:val="005025C3"/>
    <w:rsid w:val="0050260A"/>
    <w:rsid w:val="005027ED"/>
    <w:rsid w:val="005028B0"/>
    <w:rsid w:val="0050290A"/>
    <w:rsid w:val="00502A27"/>
    <w:rsid w:val="00502BFE"/>
    <w:rsid w:val="00502C02"/>
    <w:rsid w:val="00502C0E"/>
    <w:rsid w:val="00502D18"/>
    <w:rsid w:val="0050302F"/>
    <w:rsid w:val="005034ED"/>
    <w:rsid w:val="00503779"/>
    <w:rsid w:val="0050393E"/>
    <w:rsid w:val="00503D07"/>
    <w:rsid w:val="00503D1F"/>
    <w:rsid w:val="00503E85"/>
    <w:rsid w:val="00503F6B"/>
    <w:rsid w:val="00503F91"/>
    <w:rsid w:val="00503F9A"/>
    <w:rsid w:val="00504147"/>
    <w:rsid w:val="00504156"/>
    <w:rsid w:val="00504223"/>
    <w:rsid w:val="00504557"/>
    <w:rsid w:val="005045DB"/>
    <w:rsid w:val="005045F0"/>
    <w:rsid w:val="00504601"/>
    <w:rsid w:val="005047A4"/>
    <w:rsid w:val="005047F8"/>
    <w:rsid w:val="00504A7E"/>
    <w:rsid w:val="00504C2C"/>
    <w:rsid w:val="00504DE0"/>
    <w:rsid w:val="00505336"/>
    <w:rsid w:val="005057C2"/>
    <w:rsid w:val="00505C5A"/>
    <w:rsid w:val="00505CAB"/>
    <w:rsid w:val="00505CAF"/>
    <w:rsid w:val="00505EF5"/>
    <w:rsid w:val="00505F46"/>
    <w:rsid w:val="00506162"/>
    <w:rsid w:val="00506212"/>
    <w:rsid w:val="00506633"/>
    <w:rsid w:val="005068F4"/>
    <w:rsid w:val="00506A3B"/>
    <w:rsid w:val="00506BC1"/>
    <w:rsid w:val="00506C5B"/>
    <w:rsid w:val="00507080"/>
    <w:rsid w:val="00507100"/>
    <w:rsid w:val="005071B4"/>
    <w:rsid w:val="005071CA"/>
    <w:rsid w:val="00507215"/>
    <w:rsid w:val="005072DF"/>
    <w:rsid w:val="00507335"/>
    <w:rsid w:val="00507940"/>
    <w:rsid w:val="005079B6"/>
    <w:rsid w:val="00507A1E"/>
    <w:rsid w:val="00507BDF"/>
    <w:rsid w:val="00507CB9"/>
    <w:rsid w:val="00507D3F"/>
    <w:rsid w:val="00507D5C"/>
    <w:rsid w:val="00507DFD"/>
    <w:rsid w:val="00507F75"/>
    <w:rsid w:val="00510244"/>
    <w:rsid w:val="00510349"/>
    <w:rsid w:val="0051037C"/>
    <w:rsid w:val="0051044C"/>
    <w:rsid w:val="00510669"/>
    <w:rsid w:val="00510767"/>
    <w:rsid w:val="00510956"/>
    <w:rsid w:val="00510A7A"/>
    <w:rsid w:val="00510C5E"/>
    <w:rsid w:val="00510DF1"/>
    <w:rsid w:val="005110E8"/>
    <w:rsid w:val="00511392"/>
    <w:rsid w:val="00511506"/>
    <w:rsid w:val="00511574"/>
    <w:rsid w:val="0051164A"/>
    <w:rsid w:val="005116BD"/>
    <w:rsid w:val="005116DC"/>
    <w:rsid w:val="00511ECF"/>
    <w:rsid w:val="00512025"/>
    <w:rsid w:val="0051209B"/>
    <w:rsid w:val="005120E4"/>
    <w:rsid w:val="00512176"/>
    <w:rsid w:val="005121D4"/>
    <w:rsid w:val="00512471"/>
    <w:rsid w:val="005124F0"/>
    <w:rsid w:val="0051273A"/>
    <w:rsid w:val="005127A7"/>
    <w:rsid w:val="00512A91"/>
    <w:rsid w:val="00512ACB"/>
    <w:rsid w:val="00512B96"/>
    <w:rsid w:val="00512CCC"/>
    <w:rsid w:val="005132B5"/>
    <w:rsid w:val="005132DE"/>
    <w:rsid w:val="005135E3"/>
    <w:rsid w:val="00513687"/>
    <w:rsid w:val="005137A7"/>
    <w:rsid w:val="005138B0"/>
    <w:rsid w:val="005139F9"/>
    <w:rsid w:val="00513BDD"/>
    <w:rsid w:val="00513C1C"/>
    <w:rsid w:val="00513CAA"/>
    <w:rsid w:val="00513E06"/>
    <w:rsid w:val="00513F1B"/>
    <w:rsid w:val="0051406C"/>
    <w:rsid w:val="00514084"/>
    <w:rsid w:val="00514176"/>
    <w:rsid w:val="00514474"/>
    <w:rsid w:val="005147E3"/>
    <w:rsid w:val="005148EF"/>
    <w:rsid w:val="00514910"/>
    <w:rsid w:val="00514920"/>
    <w:rsid w:val="00514A81"/>
    <w:rsid w:val="00514B02"/>
    <w:rsid w:val="00514CA2"/>
    <w:rsid w:val="00514DC7"/>
    <w:rsid w:val="00515171"/>
    <w:rsid w:val="005153B7"/>
    <w:rsid w:val="005156F6"/>
    <w:rsid w:val="00515757"/>
    <w:rsid w:val="005157AB"/>
    <w:rsid w:val="005157FD"/>
    <w:rsid w:val="0051586F"/>
    <w:rsid w:val="00515883"/>
    <w:rsid w:val="00515905"/>
    <w:rsid w:val="00515953"/>
    <w:rsid w:val="00515B7B"/>
    <w:rsid w:val="00515C64"/>
    <w:rsid w:val="00515CFF"/>
    <w:rsid w:val="00515E67"/>
    <w:rsid w:val="00515F71"/>
    <w:rsid w:val="0051612B"/>
    <w:rsid w:val="00516200"/>
    <w:rsid w:val="005166B6"/>
    <w:rsid w:val="0051678A"/>
    <w:rsid w:val="00516809"/>
    <w:rsid w:val="00516927"/>
    <w:rsid w:val="005169AA"/>
    <w:rsid w:val="005172F0"/>
    <w:rsid w:val="005173A7"/>
    <w:rsid w:val="005173AE"/>
    <w:rsid w:val="00517480"/>
    <w:rsid w:val="00517558"/>
    <w:rsid w:val="00517821"/>
    <w:rsid w:val="00517A4B"/>
    <w:rsid w:val="00517AB0"/>
    <w:rsid w:val="00517ABE"/>
    <w:rsid w:val="00517D5A"/>
    <w:rsid w:val="00517F01"/>
    <w:rsid w:val="0052012E"/>
    <w:rsid w:val="005201FD"/>
    <w:rsid w:val="0052025F"/>
    <w:rsid w:val="0052087B"/>
    <w:rsid w:val="0052089F"/>
    <w:rsid w:val="00520A66"/>
    <w:rsid w:val="00520F2B"/>
    <w:rsid w:val="0052106F"/>
    <w:rsid w:val="0052136A"/>
    <w:rsid w:val="00521494"/>
    <w:rsid w:val="005216DF"/>
    <w:rsid w:val="005218A3"/>
    <w:rsid w:val="00521AE4"/>
    <w:rsid w:val="00521D7D"/>
    <w:rsid w:val="0052203E"/>
    <w:rsid w:val="005224AD"/>
    <w:rsid w:val="00522905"/>
    <w:rsid w:val="00522A38"/>
    <w:rsid w:val="00522BF6"/>
    <w:rsid w:val="00522D56"/>
    <w:rsid w:val="00522EE3"/>
    <w:rsid w:val="00522F63"/>
    <w:rsid w:val="00522FDB"/>
    <w:rsid w:val="0052319F"/>
    <w:rsid w:val="005232AA"/>
    <w:rsid w:val="005232B3"/>
    <w:rsid w:val="00523503"/>
    <w:rsid w:val="0052357E"/>
    <w:rsid w:val="005235CC"/>
    <w:rsid w:val="00523730"/>
    <w:rsid w:val="00523A7A"/>
    <w:rsid w:val="00523B5C"/>
    <w:rsid w:val="00523D72"/>
    <w:rsid w:val="00523E0D"/>
    <w:rsid w:val="00523F5A"/>
    <w:rsid w:val="00523FB7"/>
    <w:rsid w:val="005242CB"/>
    <w:rsid w:val="0052436F"/>
    <w:rsid w:val="0052439E"/>
    <w:rsid w:val="005243BD"/>
    <w:rsid w:val="0052478F"/>
    <w:rsid w:val="005247B8"/>
    <w:rsid w:val="00524A15"/>
    <w:rsid w:val="00524A2B"/>
    <w:rsid w:val="00524AD6"/>
    <w:rsid w:val="00524AD8"/>
    <w:rsid w:val="00524D41"/>
    <w:rsid w:val="00524F2B"/>
    <w:rsid w:val="00524F52"/>
    <w:rsid w:val="0052530E"/>
    <w:rsid w:val="0052538A"/>
    <w:rsid w:val="0052588F"/>
    <w:rsid w:val="00525897"/>
    <w:rsid w:val="005258CB"/>
    <w:rsid w:val="005258F8"/>
    <w:rsid w:val="00525A34"/>
    <w:rsid w:val="00525EE1"/>
    <w:rsid w:val="00525F06"/>
    <w:rsid w:val="0052607C"/>
    <w:rsid w:val="005261E8"/>
    <w:rsid w:val="00526283"/>
    <w:rsid w:val="00526308"/>
    <w:rsid w:val="0052634A"/>
    <w:rsid w:val="00526415"/>
    <w:rsid w:val="00526468"/>
    <w:rsid w:val="005265F5"/>
    <w:rsid w:val="00526679"/>
    <w:rsid w:val="0052673B"/>
    <w:rsid w:val="0052674A"/>
    <w:rsid w:val="0052681B"/>
    <w:rsid w:val="00526A30"/>
    <w:rsid w:val="00526A67"/>
    <w:rsid w:val="00526B05"/>
    <w:rsid w:val="00526B85"/>
    <w:rsid w:val="00526CA6"/>
    <w:rsid w:val="00526CF0"/>
    <w:rsid w:val="00526DA1"/>
    <w:rsid w:val="00527160"/>
    <w:rsid w:val="005271C1"/>
    <w:rsid w:val="005271E7"/>
    <w:rsid w:val="005271FB"/>
    <w:rsid w:val="00527200"/>
    <w:rsid w:val="005272B7"/>
    <w:rsid w:val="005275CC"/>
    <w:rsid w:val="0052792B"/>
    <w:rsid w:val="00527A16"/>
    <w:rsid w:val="00527A22"/>
    <w:rsid w:val="00527A9D"/>
    <w:rsid w:val="00527E82"/>
    <w:rsid w:val="00527F87"/>
    <w:rsid w:val="00530034"/>
    <w:rsid w:val="0053009F"/>
    <w:rsid w:val="00530141"/>
    <w:rsid w:val="00530285"/>
    <w:rsid w:val="005302C1"/>
    <w:rsid w:val="00530373"/>
    <w:rsid w:val="005303C2"/>
    <w:rsid w:val="00530414"/>
    <w:rsid w:val="00530931"/>
    <w:rsid w:val="00530B46"/>
    <w:rsid w:val="00530BE8"/>
    <w:rsid w:val="00530C1B"/>
    <w:rsid w:val="00530F20"/>
    <w:rsid w:val="005313EB"/>
    <w:rsid w:val="0053146F"/>
    <w:rsid w:val="005314C7"/>
    <w:rsid w:val="00531514"/>
    <w:rsid w:val="005317EF"/>
    <w:rsid w:val="00531AD5"/>
    <w:rsid w:val="00531B69"/>
    <w:rsid w:val="00531BAF"/>
    <w:rsid w:val="00531BB6"/>
    <w:rsid w:val="00531CE9"/>
    <w:rsid w:val="00531D28"/>
    <w:rsid w:val="00531EDB"/>
    <w:rsid w:val="00531F61"/>
    <w:rsid w:val="00532106"/>
    <w:rsid w:val="005321EE"/>
    <w:rsid w:val="0053251F"/>
    <w:rsid w:val="005325E2"/>
    <w:rsid w:val="0053268B"/>
    <w:rsid w:val="005327D1"/>
    <w:rsid w:val="005327F8"/>
    <w:rsid w:val="005328D8"/>
    <w:rsid w:val="005329C6"/>
    <w:rsid w:val="00532DBB"/>
    <w:rsid w:val="00532DC0"/>
    <w:rsid w:val="00532DE4"/>
    <w:rsid w:val="00532ED1"/>
    <w:rsid w:val="00532FEF"/>
    <w:rsid w:val="00533270"/>
    <w:rsid w:val="005333AA"/>
    <w:rsid w:val="00533553"/>
    <w:rsid w:val="00533671"/>
    <w:rsid w:val="0053380B"/>
    <w:rsid w:val="005338D2"/>
    <w:rsid w:val="00533955"/>
    <w:rsid w:val="00533C49"/>
    <w:rsid w:val="00533C4B"/>
    <w:rsid w:val="00533CA5"/>
    <w:rsid w:val="00533E78"/>
    <w:rsid w:val="00534004"/>
    <w:rsid w:val="0053407C"/>
    <w:rsid w:val="0053439F"/>
    <w:rsid w:val="005344C5"/>
    <w:rsid w:val="005346B8"/>
    <w:rsid w:val="00534763"/>
    <w:rsid w:val="00534B5A"/>
    <w:rsid w:val="00534BE9"/>
    <w:rsid w:val="00534EC3"/>
    <w:rsid w:val="00534EE1"/>
    <w:rsid w:val="00534F77"/>
    <w:rsid w:val="00534F93"/>
    <w:rsid w:val="005350F6"/>
    <w:rsid w:val="0053510A"/>
    <w:rsid w:val="00535165"/>
    <w:rsid w:val="0053519E"/>
    <w:rsid w:val="005351B6"/>
    <w:rsid w:val="0053539E"/>
    <w:rsid w:val="0053541B"/>
    <w:rsid w:val="0053551D"/>
    <w:rsid w:val="00535655"/>
    <w:rsid w:val="0053571F"/>
    <w:rsid w:val="00535B67"/>
    <w:rsid w:val="00535E62"/>
    <w:rsid w:val="00535EFB"/>
    <w:rsid w:val="00535F97"/>
    <w:rsid w:val="0053608F"/>
    <w:rsid w:val="005361B9"/>
    <w:rsid w:val="00536231"/>
    <w:rsid w:val="005366C5"/>
    <w:rsid w:val="00536811"/>
    <w:rsid w:val="0053690E"/>
    <w:rsid w:val="00536BB8"/>
    <w:rsid w:val="00536D9D"/>
    <w:rsid w:val="00536FD5"/>
    <w:rsid w:val="00537239"/>
    <w:rsid w:val="0053729D"/>
    <w:rsid w:val="0053731D"/>
    <w:rsid w:val="005373BB"/>
    <w:rsid w:val="0053759F"/>
    <w:rsid w:val="005376F2"/>
    <w:rsid w:val="00537706"/>
    <w:rsid w:val="00537738"/>
    <w:rsid w:val="00537796"/>
    <w:rsid w:val="005377C0"/>
    <w:rsid w:val="00537998"/>
    <w:rsid w:val="005379A9"/>
    <w:rsid w:val="005379F2"/>
    <w:rsid w:val="00537A6A"/>
    <w:rsid w:val="00537BCF"/>
    <w:rsid w:val="00537DB9"/>
    <w:rsid w:val="00537E15"/>
    <w:rsid w:val="00537F6A"/>
    <w:rsid w:val="0054004E"/>
    <w:rsid w:val="00540127"/>
    <w:rsid w:val="005401A9"/>
    <w:rsid w:val="005401DC"/>
    <w:rsid w:val="00540287"/>
    <w:rsid w:val="00540294"/>
    <w:rsid w:val="005403AB"/>
    <w:rsid w:val="005403B3"/>
    <w:rsid w:val="005403C5"/>
    <w:rsid w:val="005405DB"/>
    <w:rsid w:val="00540892"/>
    <w:rsid w:val="00540A2E"/>
    <w:rsid w:val="00540A8D"/>
    <w:rsid w:val="00540C0F"/>
    <w:rsid w:val="00540D97"/>
    <w:rsid w:val="00540D9B"/>
    <w:rsid w:val="00540EF4"/>
    <w:rsid w:val="00541861"/>
    <w:rsid w:val="00541967"/>
    <w:rsid w:val="005419A8"/>
    <w:rsid w:val="00541ADB"/>
    <w:rsid w:val="00541BA3"/>
    <w:rsid w:val="00541D0E"/>
    <w:rsid w:val="00541FBB"/>
    <w:rsid w:val="00542041"/>
    <w:rsid w:val="00542305"/>
    <w:rsid w:val="00542335"/>
    <w:rsid w:val="00542383"/>
    <w:rsid w:val="0054238E"/>
    <w:rsid w:val="005423F2"/>
    <w:rsid w:val="00542568"/>
    <w:rsid w:val="0054263C"/>
    <w:rsid w:val="0054264A"/>
    <w:rsid w:val="00542838"/>
    <w:rsid w:val="0054284D"/>
    <w:rsid w:val="00542B49"/>
    <w:rsid w:val="00542C3A"/>
    <w:rsid w:val="00542F54"/>
    <w:rsid w:val="00543265"/>
    <w:rsid w:val="005432AD"/>
    <w:rsid w:val="005432C7"/>
    <w:rsid w:val="005437EC"/>
    <w:rsid w:val="00543939"/>
    <w:rsid w:val="0054396B"/>
    <w:rsid w:val="00543B68"/>
    <w:rsid w:val="00543B9B"/>
    <w:rsid w:val="00544029"/>
    <w:rsid w:val="0054406E"/>
    <w:rsid w:val="00544157"/>
    <w:rsid w:val="00544187"/>
    <w:rsid w:val="00544534"/>
    <w:rsid w:val="005446FA"/>
    <w:rsid w:val="005447FD"/>
    <w:rsid w:val="00544933"/>
    <w:rsid w:val="0054499A"/>
    <w:rsid w:val="005449C3"/>
    <w:rsid w:val="005449D9"/>
    <w:rsid w:val="00544A43"/>
    <w:rsid w:val="00544A61"/>
    <w:rsid w:val="00544ABC"/>
    <w:rsid w:val="00544B6D"/>
    <w:rsid w:val="005450C2"/>
    <w:rsid w:val="0054519E"/>
    <w:rsid w:val="00545522"/>
    <w:rsid w:val="00545606"/>
    <w:rsid w:val="00545633"/>
    <w:rsid w:val="005456EA"/>
    <w:rsid w:val="005457B6"/>
    <w:rsid w:val="005458F6"/>
    <w:rsid w:val="00545A51"/>
    <w:rsid w:val="00545AC2"/>
    <w:rsid w:val="00545D39"/>
    <w:rsid w:val="00545DB3"/>
    <w:rsid w:val="00545E6B"/>
    <w:rsid w:val="00546038"/>
    <w:rsid w:val="005466E0"/>
    <w:rsid w:val="00546ACC"/>
    <w:rsid w:val="00546B9A"/>
    <w:rsid w:val="00546BFF"/>
    <w:rsid w:val="00546C46"/>
    <w:rsid w:val="00546D0A"/>
    <w:rsid w:val="00546D4D"/>
    <w:rsid w:val="00546DEF"/>
    <w:rsid w:val="00546E75"/>
    <w:rsid w:val="00546E7E"/>
    <w:rsid w:val="00546EED"/>
    <w:rsid w:val="00546FC3"/>
    <w:rsid w:val="00547054"/>
    <w:rsid w:val="005472DE"/>
    <w:rsid w:val="005473B5"/>
    <w:rsid w:val="00547424"/>
    <w:rsid w:val="0054748B"/>
    <w:rsid w:val="0054757C"/>
    <w:rsid w:val="0054777B"/>
    <w:rsid w:val="00547795"/>
    <w:rsid w:val="0054788A"/>
    <w:rsid w:val="00547AA6"/>
    <w:rsid w:val="00547CD3"/>
    <w:rsid w:val="00547D82"/>
    <w:rsid w:val="00547DA5"/>
    <w:rsid w:val="00547E00"/>
    <w:rsid w:val="00547EC7"/>
    <w:rsid w:val="00550264"/>
    <w:rsid w:val="005502CA"/>
    <w:rsid w:val="00550433"/>
    <w:rsid w:val="00550495"/>
    <w:rsid w:val="00550522"/>
    <w:rsid w:val="005505BA"/>
    <w:rsid w:val="00550659"/>
    <w:rsid w:val="0055083E"/>
    <w:rsid w:val="00550869"/>
    <w:rsid w:val="005508A0"/>
    <w:rsid w:val="00550ADA"/>
    <w:rsid w:val="00550B35"/>
    <w:rsid w:val="00550DAC"/>
    <w:rsid w:val="00550F2A"/>
    <w:rsid w:val="00550F5A"/>
    <w:rsid w:val="00550FB3"/>
    <w:rsid w:val="00551208"/>
    <w:rsid w:val="0055146A"/>
    <w:rsid w:val="0055161F"/>
    <w:rsid w:val="0055198C"/>
    <w:rsid w:val="00551A1F"/>
    <w:rsid w:val="00551AD8"/>
    <w:rsid w:val="00551BB9"/>
    <w:rsid w:val="00551CF0"/>
    <w:rsid w:val="00551D79"/>
    <w:rsid w:val="00551FCA"/>
    <w:rsid w:val="00552002"/>
    <w:rsid w:val="00552074"/>
    <w:rsid w:val="00552346"/>
    <w:rsid w:val="00552386"/>
    <w:rsid w:val="0055249F"/>
    <w:rsid w:val="00552786"/>
    <w:rsid w:val="0055281D"/>
    <w:rsid w:val="005528E3"/>
    <w:rsid w:val="00552D91"/>
    <w:rsid w:val="00552E06"/>
    <w:rsid w:val="00552E30"/>
    <w:rsid w:val="00552E9B"/>
    <w:rsid w:val="00553069"/>
    <w:rsid w:val="0055306B"/>
    <w:rsid w:val="00553209"/>
    <w:rsid w:val="00553353"/>
    <w:rsid w:val="005534E9"/>
    <w:rsid w:val="00553572"/>
    <w:rsid w:val="005535A7"/>
    <w:rsid w:val="005535D1"/>
    <w:rsid w:val="0055373A"/>
    <w:rsid w:val="005537B9"/>
    <w:rsid w:val="005539E1"/>
    <w:rsid w:val="00553A56"/>
    <w:rsid w:val="00553E73"/>
    <w:rsid w:val="00553F04"/>
    <w:rsid w:val="00553F25"/>
    <w:rsid w:val="00554106"/>
    <w:rsid w:val="005541AE"/>
    <w:rsid w:val="00554238"/>
    <w:rsid w:val="00554277"/>
    <w:rsid w:val="00554636"/>
    <w:rsid w:val="00554760"/>
    <w:rsid w:val="00554C6F"/>
    <w:rsid w:val="00554DAE"/>
    <w:rsid w:val="00554FF5"/>
    <w:rsid w:val="00555044"/>
    <w:rsid w:val="00555337"/>
    <w:rsid w:val="0055547D"/>
    <w:rsid w:val="00555546"/>
    <w:rsid w:val="0055583D"/>
    <w:rsid w:val="00555857"/>
    <w:rsid w:val="00555BB8"/>
    <w:rsid w:val="00555EAF"/>
    <w:rsid w:val="00555FDF"/>
    <w:rsid w:val="0055612E"/>
    <w:rsid w:val="0055636E"/>
    <w:rsid w:val="00556651"/>
    <w:rsid w:val="005567D1"/>
    <w:rsid w:val="00556AA1"/>
    <w:rsid w:val="00556B82"/>
    <w:rsid w:val="00556C48"/>
    <w:rsid w:val="00556DE9"/>
    <w:rsid w:val="00556EF3"/>
    <w:rsid w:val="00556F65"/>
    <w:rsid w:val="00556F80"/>
    <w:rsid w:val="0055710B"/>
    <w:rsid w:val="00557110"/>
    <w:rsid w:val="005572A9"/>
    <w:rsid w:val="00557338"/>
    <w:rsid w:val="00557510"/>
    <w:rsid w:val="00557605"/>
    <w:rsid w:val="005577EC"/>
    <w:rsid w:val="00557902"/>
    <w:rsid w:val="00557984"/>
    <w:rsid w:val="00557BB7"/>
    <w:rsid w:val="00557C7A"/>
    <w:rsid w:val="00557C82"/>
    <w:rsid w:val="00557D40"/>
    <w:rsid w:val="00557FE2"/>
    <w:rsid w:val="00560045"/>
    <w:rsid w:val="005606DD"/>
    <w:rsid w:val="0056079C"/>
    <w:rsid w:val="00560A00"/>
    <w:rsid w:val="00560BC7"/>
    <w:rsid w:val="0056131E"/>
    <w:rsid w:val="0056144B"/>
    <w:rsid w:val="005614EF"/>
    <w:rsid w:val="00561541"/>
    <w:rsid w:val="0056166F"/>
    <w:rsid w:val="0056176B"/>
    <w:rsid w:val="00561B41"/>
    <w:rsid w:val="00561B5E"/>
    <w:rsid w:val="00561C8F"/>
    <w:rsid w:val="00561DC3"/>
    <w:rsid w:val="00561E19"/>
    <w:rsid w:val="00561E45"/>
    <w:rsid w:val="00561E7A"/>
    <w:rsid w:val="00561EA6"/>
    <w:rsid w:val="00561FA3"/>
    <w:rsid w:val="00562286"/>
    <w:rsid w:val="005622A9"/>
    <w:rsid w:val="00562314"/>
    <w:rsid w:val="0056236A"/>
    <w:rsid w:val="005623E9"/>
    <w:rsid w:val="00562578"/>
    <w:rsid w:val="005625BD"/>
    <w:rsid w:val="0056262A"/>
    <w:rsid w:val="005626AF"/>
    <w:rsid w:val="005627FD"/>
    <w:rsid w:val="0056283E"/>
    <w:rsid w:val="00562858"/>
    <w:rsid w:val="005628FE"/>
    <w:rsid w:val="005629BE"/>
    <w:rsid w:val="00562AA6"/>
    <w:rsid w:val="00562AAE"/>
    <w:rsid w:val="00562AC3"/>
    <w:rsid w:val="00562F0A"/>
    <w:rsid w:val="005631E1"/>
    <w:rsid w:val="005633FF"/>
    <w:rsid w:val="0056343E"/>
    <w:rsid w:val="00563447"/>
    <w:rsid w:val="00563592"/>
    <w:rsid w:val="00563605"/>
    <w:rsid w:val="0056362B"/>
    <w:rsid w:val="005638B4"/>
    <w:rsid w:val="0056396D"/>
    <w:rsid w:val="00563A39"/>
    <w:rsid w:val="00563B7F"/>
    <w:rsid w:val="00563CED"/>
    <w:rsid w:val="00563E12"/>
    <w:rsid w:val="00563E94"/>
    <w:rsid w:val="00564064"/>
    <w:rsid w:val="0056428B"/>
    <w:rsid w:val="005643BF"/>
    <w:rsid w:val="005644E0"/>
    <w:rsid w:val="00564552"/>
    <w:rsid w:val="00564672"/>
    <w:rsid w:val="005646E1"/>
    <w:rsid w:val="005646EC"/>
    <w:rsid w:val="0056495D"/>
    <w:rsid w:val="00564A18"/>
    <w:rsid w:val="00564A41"/>
    <w:rsid w:val="00564BCC"/>
    <w:rsid w:val="00564D72"/>
    <w:rsid w:val="00564D7A"/>
    <w:rsid w:val="00565056"/>
    <w:rsid w:val="00565125"/>
    <w:rsid w:val="00565214"/>
    <w:rsid w:val="00565221"/>
    <w:rsid w:val="0056539E"/>
    <w:rsid w:val="00565407"/>
    <w:rsid w:val="00565411"/>
    <w:rsid w:val="00565701"/>
    <w:rsid w:val="0056581B"/>
    <w:rsid w:val="00565846"/>
    <w:rsid w:val="00565945"/>
    <w:rsid w:val="00565C8D"/>
    <w:rsid w:val="00566241"/>
    <w:rsid w:val="0056624C"/>
    <w:rsid w:val="00566418"/>
    <w:rsid w:val="0056647B"/>
    <w:rsid w:val="005667DD"/>
    <w:rsid w:val="00566892"/>
    <w:rsid w:val="00566A55"/>
    <w:rsid w:val="00566AA7"/>
    <w:rsid w:val="00566B05"/>
    <w:rsid w:val="00566BF1"/>
    <w:rsid w:val="00566CA5"/>
    <w:rsid w:val="00566EAB"/>
    <w:rsid w:val="00566EC4"/>
    <w:rsid w:val="00566F4C"/>
    <w:rsid w:val="0056700F"/>
    <w:rsid w:val="0056702B"/>
    <w:rsid w:val="00567348"/>
    <w:rsid w:val="005673D6"/>
    <w:rsid w:val="00567419"/>
    <w:rsid w:val="0056762B"/>
    <w:rsid w:val="0056773F"/>
    <w:rsid w:val="005677FA"/>
    <w:rsid w:val="00567867"/>
    <w:rsid w:val="00567A76"/>
    <w:rsid w:val="00567CD8"/>
    <w:rsid w:val="00567D0B"/>
    <w:rsid w:val="00567D71"/>
    <w:rsid w:val="00567EC8"/>
    <w:rsid w:val="00567FEE"/>
    <w:rsid w:val="00570084"/>
    <w:rsid w:val="005700D7"/>
    <w:rsid w:val="005700E0"/>
    <w:rsid w:val="00570104"/>
    <w:rsid w:val="005701F3"/>
    <w:rsid w:val="005703BD"/>
    <w:rsid w:val="0057047E"/>
    <w:rsid w:val="005707AB"/>
    <w:rsid w:val="00570966"/>
    <w:rsid w:val="005709BC"/>
    <w:rsid w:val="00570C41"/>
    <w:rsid w:val="00570CEC"/>
    <w:rsid w:val="00570ED8"/>
    <w:rsid w:val="00570F70"/>
    <w:rsid w:val="00570F81"/>
    <w:rsid w:val="005710BA"/>
    <w:rsid w:val="00571257"/>
    <w:rsid w:val="005712D5"/>
    <w:rsid w:val="00571518"/>
    <w:rsid w:val="005718EC"/>
    <w:rsid w:val="00571982"/>
    <w:rsid w:val="00571A7B"/>
    <w:rsid w:val="00571B1E"/>
    <w:rsid w:val="00571D19"/>
    <w:rsid w:val="00571DFE"/>
    <w:rsid w:val="00571FE7"/>
    <w:rsid w:val="00571FF6"/>
    <w:rsid w:val="0057218D"/>
    <w:rsid w:val="005721A1"/>
    <w:rsid w:val="00572299"/>
    <w:rsid w:val="00572434"/>
    <w:rsid w:val="00572574"/>
    <w:rsid w:val="00572616"/>
    <w:rsid w:val="00572748"/>
    <w:rsid w:val="0057274E"/>
    <w:rsid w:val="005727DF"/>
    <w:rsid w:val="00572BFB"/>
    <w:rsid w:val="00572D71"/>
    <w:rsid w:val="00572E4F"/>
    <w:rsid w:val="00572EA7"/>
    <w:rsid w:val="00572EA8"/>
    <w:rsid w:val="00572EAC"/>
    <w:rsid w:val="00572EC2"/>
    <w:rsid w:val="0057329E"/>
    <w:rsid w:val="005733EF"/>
    <w:rsid w:val="00573417"/>
    <w:rsid w:val="005737D5"/>
    <w:rsid w:val="005737D6"/>
    <w:rsid w:val="00573834"/>
    <w:rsid w:val="0057391A"/>
    <w:rsid w:val="00573950"/>
    <w:rsid w:val="00573994"/>
    <w:rsid w:val="00573AD2"/>
    <w:rsid w:val="00573B77"/>
    <w:rsid w:val="00573E38"/>
    <w:rsid w:val="00573F4C"/>
    <w:rsid w:val="00573FC9"/>
    <w:rsid w:val="00574162"/>
    <w:rsid w:val="005743D9"/>
    <w:rsid w:val="0057443D"/>
    <w:rsid w:val="005744D7"/>
    <w:rsid w:val="00574862"/>
    <w:rsid w:val="00574938"/>
    <w:rsid w:val="00574945"/>
    <w:rsid w:val="00574A74"/>
    <w:rsid w:val="00574AC9"/>
    <w:rsid w:val="00574B30"/>
    <w:rsid w:val="00574B6D"/>
    <w:rsid w:val="00574C71"/>
    <w:rsid w:val="00574D21"/>
    <w:rsid w:val="00574E03"/>
    <w:rsid w:val="005751C0"/>
    <w:rsid w:val="00575237"/>
    <w:rsid w:val="0057568C"/>
    <w:rsid w:val="00575C24"/>
    <w:rsid w:val="00575E5B"/>
    <w:rsid w:val="00575EB0"/>
    <w:rsid w:val="00575F20"/>
    <w:rsid w:val="005761C9"/>
    <w:rsid w:val="005763BD"/>
    <w:rsid w:val="005763E9"/>
    <w:rsid w:val="00576592"/>
    <w:rsid w:val="0057694A"/>
    <w:rsid w:val="00576D22"/>
    <w:rsid w:val="00576F59"/>
    <w:rsid w:val="005772BD"/>
    <w:rsid w:val="00577646"/>
    <w:rsid w:val="00577776"/>
    <w:rsid w:val="00577AE5"/>
    <w:rsid w:val="00577B8A"/>
    <w:rsid w:val="00577B97"/>
    <w:rsid w:val="0058006A"/>
    <w:rsid w:val="005802ED"/>
    <w:rsid w:val="00580727"/>
    <w:rsid w:val="00580734"/>
    <w:rsid w:val="0058093E"/>
    <w:rsid w:val="00580B59"/>
    <w:rsid w:val="00580CA8"/>
    <w:rsid w:val="00580CED"/>
    <w:rsid w:val="00580D60"/>
    <w:rsid w:val="00580E97"/>
    <w:rsid w:val="00580F36"/>
    <w:rsid w:val="00580F68"/>
    <w:rsid w:val="00581036"/>
    <w:rsid w:val="00581293"/>
    <w:rsid w:val="005812D7"/>
    <w:rsid w:val="00581329"/>
    <w:rsid w:val="005813C9"/>
    <w:rsid w:val="00581C1B"/>
    <w:rsid w:val="00581D5E"/>
    <w:rsid w:val="00581D99"/>
    <w:rsid w:val="00581DCD"/>
    <w:rsid w:val="00581DE6"/>
    <w:rsid w:val="00581F7F"/>
    <w:rsid w:val="005821A5"/>
    <w:rsid w:val="005821E4"/>
    <w:rsid w:val="0058233A"/>
    <w:rsid w:val="0058265D"/>
    <w:rsid w:val="0058269D"/>
    <w:rsid w:val="0058274A"/>
    <w:rsid w:val="00582CA8"/>
    <w:rsid w:val="00582D43"/>
    <w:rsid w:val="00582D93"/>
    <w:rsid w:val="00583128"/>
    <w:rsid w:val="005831BC"/>
    <w:rsid w:val="00583402"/>
    <w:rsid w:val="00583611"/>
    <w:rsid w:val="00583703"/>
    <w:rsid w:val="0058372A"/>
    <w:rsid w:val="0058382B"/>
    <w:rsid w:val="0058389E"/>
    <w:rsid w:val="00583A04"/>
    <w:rsid w:val="00583A34"/>
    <w:rsid w:val="00583A57"/>
    <w:rsid w:val="00583A9E"/>
    <w:rsid w:val="00583C64"/>
    <w:rsid w:val="00583CD3"/>
    <w:rsid w:val="00583DE2"/>
    <w:rsid w:val="00583E7F"/>
    <w:rsid w:val="0058414E"/>
    <w:rsid w:val="0058419C"/>
    <w:rsid w:val="00584334"/>
    <w:rsid w:val="00584476"/>
    <w:rsid w:val="00584691"/>
    <w:rsid w:val="00584996"/>
    <w:rsid w:val="005849F2"/>
    <w:rsid w:val="00584BE4"/>
    <w:rsid w:val="00584C7D"/>
    <w:rsid w:val="00584DAF"/>
    <w:rsid w:val="005850C2"/>
    <w:rsid w:val="00585436"/>
    <w:rsid w:val="005855C8"/>
    <w:rsid w:val="00585621"/>
    <w:rsid w:val="00585697"/>
    <w:rsid w:val="00585706"/>
    <w:rsid w:val="005857E2"/>
    <w:rsid w:val="00585863"/>
    <w:rsid w:val="005858DA"/>
    <w:rsid w:val="00585B91"/>
    <w:rsid w:val="00585BCC"/>
    <w:rsid w:val="00585C5D"/>
    <w:rsid w:val="00585DB0"/>
    <w:rsid w:val="00585E28"/>
    <w:rsid w:val="00585FE8"/>
    <w:rsid w:val="00586281"/>
    <w:rsid w:val="00586423"/>
    <w:rsid w:val="005864DC"/>
    <w:rsid w:val="005864F7"/>
    <w:rsid w:val="00586554"/>
    <w:rsid w:val="00586576"/>
    <w:rsid w:val="0058659C"/>
    <w:rsid w:val="00586689"/>
    <w:rsid w:val="00586744"/>
    <w:rsid w:val="00586831"/>
    <w:rsid w:val="0058683E"/>
    <w:rsid w:val="00586C6D"/>
    <w:rsid w:val="00586D8E"/>
    <w:rsid w:val="00586E01"/>
    <w:rsid w:val="005870C7"/>
    <w:rsid w:val="0058711F"/>
    <w:rsid w:val="0058729B"/>
    <w:rsid w:val="0058735C"/>
    <w:rsid w:val="00587362"/>
    <w:rsid w:val="0058737F"/>
    <w:rsid w:val="0058740B"/>
    <w:rsid w:val="005874D2"/>
    <w:rsid w:val="00587828"/>
    <w:rsid w:val="00587837"/>
    <w:rsid w:val="005878C3"/>
    <w:rsid w:val="0058790D"/>
    <w:rsid w:val="005879E4"/>
    <w:rsid w:val="00587A90"/>
    <w:rsid w:val="00587CED"/>
    <w:rsid w:val="00587D7C"/>
    <w:rsid w:val="00590106"/>
    <w:rsid w:val="00590185"/>
    <w:rsid w:val="00590265"/>
    <w:rsid w:val="005902FB"/>
    <w:rsid w:val="00590529"/>
    <w:rsid w:val="005905DE"/>
    <w:rsid w:val="00590626"/>
    <w:rsid w:val="00590691"/>
    <w:rsid w:val="0059087C"/>
    <w:rsid w:val="0059097F"/>
    <w:rsid w:val="00590BE6"/>
    <w:rsid w:val="00590C94"/>
    <w:rsid w:val="00590DC3"/>
    <w:rsid w:val="00590DF1"/>
    <w:rsid w:val="00590F92"/>
    <w:rsid w:val="0059102B"/>
    <w:rsid w:val="00591119"/>
    <w:rsid w:val="00591290"/>
    <w:rsid w:val="0059132F"/>
    <w:rsid w:val="005913C4"/>
    <w:rsid w:val="00591471"/>
    <w:rsid w:val="00591531"/>
    <w:rsid w:val="005916FF"/>
    <w:rsid w:val="005919C9"/>
    <w:rsid w:val="00591CCB"/>
    <w:rsid w:val="00591D17"/>
    <w:rsid w:val="00591D49"/>
    <w:rsid w:val="00591E89"/>
    <w:rsid w:val="00591F12"/>
    <w:rsid w:val="005920FB"/>
    <w:rsid w:val="0059211F"/>
    <w:rsid w:val="0059215B"/>
    <w:rsid w:val="005922F2"/>
    <w:rsid w:val="00592398"/>
    <w:rsid w:val="00592469"/>
    <w:rsid w:val="0059273C"/>
    <w:rsid w:val="0059273D"/>
    <w:rsid w:val="0059274B"/>
    <w:rsid w:val="00592889"/>
    <w:rsid w:val="00592909"/>
    <w:rsid w:val="00592B84"/>
    <w:rsid w:val="00592CCC"/>
    <w:rsid w:val="00592DBA"/>
    <w:rsid w:val="00592DF6"/>
    <w:rsid w:val="00592E71"/>
    <w:rsid w:val="0059308F"/>
    <w:rsid w:val="005933EB"/>
    <w:rsid w:val="00593508"/>
    <w:rsid w:val="00593691"/>
    <w:rsid w:val="00593768"/>
    <w:rsid w:val="00593847"/>
    <w:rsid w:val="005939D0"/>
    <w:rsid w:val="00593B37"/>
    <w:rsid w:val="005942CF"/>
    <w:rsid w:val="005946E5"/>
    <w:rsid w:val="005947D3"/>
    <w:rsid w:val="0059480E"/>
    <w:rsid w:val="005948AE"/>
    <w:rsid w:val="005948B3"/>
    <w:rsid w:val="00594AB6"/>
    <w:rsid w:val="00594CFC"/>
    <w:rsid w:val="00594E0A"/>
    <w:rsid w:val="00594EB3"/>
    <w:rsid w:val="00594F5D"/>
    <w:rsid w:val="00594F96"/>
    <w:rsid w:val="00594FE1"/>
    <w:rsid w:val="0059505B"/>
    <w:rsid w:val="005950D7"/>
    <w:rsid w:val="00595228"/>
    <w:rsid w:val="00595322"/>
    <w:rsid w:val="0059532F"/>
    <w:rsid w:val="0059554B"/>
    <w:rsid w:val="005957EA"/>
    <w:rsid w:val="00595B02"/>
    <w:rsid w:val="00595E03"/>
    <w:rsid w:val="00595E83"/>
    <w:rsid w:val="00596108"/>
    <w:rsid w:val="0059614B"/>
    <w:rsid w:val="00596208"/>
    <w:rsid w:val="0059622A"/>
    <w:rsid w:val="00596380"/>
    <w:rsid w:val="005963B1"/>
    <w:rsid w:val="005963F3"/>
    <w:rsid w:val="005966F9"/>
    <w:rsid w:val="005968B4"/>
    <w:rsid w:val="00596959"/>
    <w:rsid w:val="00596AF2"/>
    <w:rsid w:val="00596C3F"/>
    <w:rsid w:val="00596CD8"/>
    <w:rsid w:val="005970CB"/>
    <w:rsid w:val="005971F5"/>
    <w:rsid w:val="005975A1"/>
    <w:rsid w:val="00597681"/>
    <w:rsid w:val="005976B3"/>
    <w:rsid w:val="0059773D"/>
    <w:rsid w:val="00597A75"/>
    <w:rsid w:val="00597AA1"/>
    <w:rsid w:val="00597B5C"/>
    <w:rsid w:val="00597F2A"/>
    <w:rsid w:val="00597F63"/>
    <w:rsid w:val="005A00BF"/>
    <w:rsid w:val="005A03A7"/>
    <w:rsid w:val="005A06BC"/>
    <w:rsid w:val="005A092E"/>
    <w:rsid w:val="005A094D"/>
    <w:rsid w:val="005A0A17"/>
    <w:rsid w:val="005A0C35"/>
    <w:rsid w:val="005A0C8C"/>
    <w:rsid w:val="005A0DC0"/>
    <w:rsid w:val="005A0E0E"/>
    <w:rsid w:val="005A0EF4"/>
    <w:rsid w:val="005A0F52"/>
    <w:rsid w:val="005A1121"/>
    <w:rsid w:val="005A11E7"/>
    <w:rsid w:val="005A1325"/>
    <w:rsid w:val="005A140D"/>
    <w:rsid w:val="005A14EE"/>
    <w:rsid w:val="005A1583"/>
    <w:rsid w:val="005A1607"/>
    <w:rsid w:val="005A1875"/>
    <w:rsid w:val="005A18EB"/>
    <w:rsid w:val="005A1A14"/>
    <w:rsid w:val="005A1A8E"/>
    <w:rsid w:val="005A1B74"/>
    <w:rsid w:val="005A1C30"/>
    <w:rsid w:val="005A1CD0"/>
    <w:rsid w:val="005A1D1E"/>
    <w:rsid w:val="005A1D41"/>
    <w:rsid w:val="005A1D62"/>
    <w:rsid w:val="005A1D89"/>
    <w:rsid w:val="005A1E59"/>
    <w:rsid w:val="005A1FC0"/>
    <w:rsid w:val="005A205C"/>
    <w:rsid w:val="005A20A2"/>
    <w:rsid w:val="005A20A7"/>
    <w:rsid w:val="005A23A1"/>
    <w:rsid w:val="005A2541"/>
    <w:rsid w:val="005A2616"/>
    <w:rsid w:val="005A2934"/>
    <w:rsid w:val="005A2972"/>
    <w:rsid w:val="005A29AC"/>
    <w:rsid w:val="005A29CF"/>
    <w:rsid w:val="005A2D1F"/>
    <w:rsid w:val="005A2D78"/>
    <w:rsid w:val="005A2DA2"/>
    <w:rsid w:val="005A2EE6"/>
    <w:rsid w:val="005A2EFC"/>
    <w:rsid w:val="005A2F0E"/>
    <w:rsid w:val="005A2FB8"/>
    <w:rsid w:val="005A30EE"/>
    <w:rsid w:val="005A3284"/>
    <w:rsid w:val="005A352E"/>
    <w:rsid w:val="005A35E7"/>
    <w:rsid w:val="005A369A"/>
    <w:rsid w:val="005A3A94"/>
    <w:rsid w:val="005A3BDC"/>
    <w:rsid w:val="005A3D6A"/>
    <w:rsid w:val="005A3D9B"/>
    <w:rsid w:val="005A3ECB"/>
    <w:rsid w:val="005A3FD1"/>
    <w:rsid w:val="005A4147"/>
    <w:rsid w:val="005A41E1"/>
    <w:rsid w:val="005A46BF"/>
    <w:rsid w:val="005A4705"/>
    <w:rsid w:val="005A476D"/>
    <w:rsid w:val="005A484B"/>
    <w:rsid w:val="005A48D3"/>
    <w:rsid w:val="005A4990"/>
    <w:rsid w:val="005A5210"/>
    <w:rsid w:val="005A541C"/>
    <w:rsid w:val="005A551B"/>
    <w:rsid w:val="005A55A8"/>
    <w:rsid w:val="005A5688"/>
    <w:rsid w:val="005A574A"/>
    <w:rsid w:val="005A575B"/>
    <w:rsid w:val="005A58A5"/>
    <w:rsid w:val="005A5FC1"/>
    <w:rsid w:val="005A6128"/>
    <w:rsid w:val="005A6211"/>
    <w:rsid w:val="005A650D"/>
    <w:rsid w:val="005A651D"/>
    <w:rsid w:val="005A6531"/>
    <w:rsid w:val="005A65D2"/>
    <w:rsid w:val="005A6BFE"/>
    <w:rsid w:val="005A6F36"/>
    <w:rsid w:val="005A7161"/>
    <w:rsid w:val="005A7336"/>
    <w:rsid w:val="005A7697"/>
    <w:rsid w:val="005A769D"/>
    <w:rsid w:val="005A76C1"/>
    <w:rsid w:val="005A772C"/>
    <w:rsid w:val="005A78B8"/>
    <w:rsid w:val="005A78F8"/>
    <w:rsid w:val="005A7A50"/>
    <w:rsid w:val="005A7B73"/>
    <w:rsid w:val="005A7C70"/>
    <w:rsid w:val="005A7C87"/>
    <w:rsid w:val="005A7DD0"/>
    <w:rsid w:val="005A7F3B"/>
    <w:rsid w:val="005A7FB2"/>
    <w:rsid w:val="005B0017"/>
    <w:rsid w:val="005B0322"/>
    <w:rsid w:val="005B0409"/>
    <w:rsid w:val="005B06D0"/>
    <w:rsid w:val="005B0843"/>
    <w:rsid w:val="005B0C21"/>
    <w:rsid w:val="005B11EA"/>
    <w:rsid w:val="005B1254"/>
    <w:rsid w:val="005B15E0"/>
    <w:rsid w:val="005B18D4"/>
    <w:rsid w:val="005B2143"/>
    <w:rsid w:val="005B21A3"/>
    <w:rsid w:val="005B2302"/>
    <w:rsid w:val="005B2333"/>
    <w:rsid w:val="005B23A6"/>
    <w:rsid w:val="005B2473"/>
    <w:rsid w:val="005B2501"/>
    <w:rsid w:val="005B2545"/>
    <w:rsid w:val="005B257E"/>
    <w:rsid w:val="005B26BF"/>
    <w:rsid w:val="005B27FE"/>
    <w:rsid w:val="005B2B3E"/>
    <w:rsid w:val="005B2D03"/>
    <w:rsid w:val="005B2F1F"/>
    <w:rsid w:val="005B30C7"/>
    <w:rsid w:val="005B31EE"/>
    <w:rsid w:val="005B32C8"/>
    <w:rsid w:val="005B32DB"/>
    <w:rsid w:val="005B3306"/>
    <w:rsid w:val="005B3792"/>
    <w:rsid w:val="005B39BF"/>
    <w:rsid w:val="005B3AD1"/>
    <w:rsid w:val="005B3B50"/>
    <w:rsid w:val="005B3D88"/>
    <w:rsid w:val="005B3DDE"/>
    <w:rsid w:val="005B3F94"/>
    <w:rsid w:val="005B40E7"/>
    <w:rsid w:val="005B4210"/>
    <w:rsid w:val="005B466F"/>
    <w:rsid w:val="005B48BE"/>
    <w:rsid w:val="005B4BB8"/>
    <w:rsid w:val="005B4C65"/>
    <w:rsid w:val="005B4E24"/>
    <w:rsid w:val="005B4EBA"/>
    <w:rsid w:val="005B4EDC"/>
    <w:rsid w:val="005B4EF0"/>
    <w:rsid w:val="005B4F13"/>
    <w:rsid w:val="005B50CD"/>
    <w:rsid w:val="005B50E1"/>
    <w:rsid w:val="005B51B7"/>
    <w:rsid w:val="005B528E"/>
    <w:rsid w:val="005B533F"/>
    <w:rsid w:val="005B54B0"/>
    <w:rsid w:val="005B5756"/>
    <w:rsid w:val="005B5933"/>
    <w:rsid w:val="005B598F"/>
    <w:rsid w:val="005B59A7"/>
    <w:rsid w:val="005B5AC5"/>
    <w:rsid w:val="005B5B8F"/>
    <w:rsid w:val="005B5B9C"/>
    <w:rsid w:val="005B5BB1"/>
    <w:rsid w:val="005B5C32"/>
    <w:rsid w:val="005B5D60"/>
    <w:rsid w:val="005B5DB5"/>
    <w:rsid w:val="005B5F56"/>
    <w:rsid w:val="005B6070"/>
    <w:rsid w:val="005B60AD"/>
    <w:rsid w:val="005B6193"/>
    <w:rsid w:val="005B61B9"/>
    <w:rsid w:val="005B623D"/>
    <w:rsid w:val="005B6617"/>
    <w:rsid w:val="005B66A4"/>
    <w:rsid w:val="005B683B"/>
    <w:rsid w:val="005B684F"/>
    <w:rsid w:val="005B6921"/>
    <w:rsid w:val="005B6C9E"/>
    <w:rsid w:val="005B6FD1"/>
    <w:rsid w:val="005B7181"/>
    <w:rsid w:val="005B734F"/>
    <w:rsid w:val="005B740C"/>
    <w:rsid w:val="005B7BE3"/>
    <w:rsid w:val="005B7C0F"/>
    <w:rsid w:val="005B7CC5"/>
    <w:rsid w:val="005B7CDD"/>
    <w:rsid w:val="005B7CEF"/>
    <w:rsid w:val="005B7D38"/>
    <w:rsid w:val="005B7F0A"/>
    <w:rsid w:val="005C0057"/>
    <w:rsid w:val="005C00D1"/>
    <w:rsid w:val="005C012C"/>
    <w:rsid w:val="005C03B1"/>
    <w:rsid w:val="005C04FC"/>
    <w:rsid w:val="005C0561"/>
    <w:rsid w:val="005C091F"/>
    <w:rsid w:val="005C0B8F"/>
    <w:rsid w:val="005C0D6D"/>
    <w:rsid w:val="005C0F18"/>
    <w:rsid w:val="005C1156"/>
    <w:rsid w:val="005C133E"/>
    <w:rsid w:val="005C143F"/>
    <w:rsid w:val="005C1458"/>
    <w:rsid w:val="005C151A"/>
    <w:rsid w:val="005C1627"/>
    <w:rsid w:val="005C1633"/>
    <w:rsid w:val="005C16E2"/>
    <w:rsid w:val="005C18F5"/>
    <w:rsid w:val="005C19D3"/>
    <w:rsid w:val="005C19F6"/>
    <w:rsid w:val="005C1A4A"/>
    <w:rsid w:val="005C1A74"/>
    <w:rsid w:val="005C1B13"/>
    <w:rsid w:val="005C1D0A"/>
    <w:rsid w:val="005C1EA3"/>
    <w:rsid w:val="005C1F2D"/>
    <w:rsid w:val="005C2071"/>
    <w:rsid w:val="005C2159"/>
    <w:rsid w:val="005C2166"/>
    <w:rsid w:val="005C2187"/>
    <w:rsid w:val="005C221E"/>
    <w:rsid w:val="005C23BA"/>
    <w:rsid w:val="005C23ED"/>
    <w:rsid w:val="005C246E"/>
    <w:rsid w:val="005C253A"/>
    <w:rsid w:val="005C2543"/>
    <w:rsid w:val="005C2600"/>
    <w:rsid w:val="005C273A"/>
    <w:rsid w:val="005C27FA"/>
    <w:rsid w:val="005C281A"/>
    <w:rsid w:val="005C29ED"/>
    <w:rsid w:val="005C2A03"/>
    <w:rsid w:val="005C2B13"/>
    <w:rsid w:val="005C2B61"/>
    <w:rsid w:val="005C2E1E"/>
    <w:rsid w:val="005C2E96"/>
    <w:rsid w:val="005C3150"/>
    <w:rsid w:val="005C329D"/>
    <w:rsid w:val="005C347B"/>
    <w:rsid w:val="005C34C2"/>
    <w:rsid w:val="005C34DC"/>
    <w:rsid w:val="005C3550"/>
    <w:rsid w:val="005C3558"/>
    <w:rsid w:val="005C359D"/>
    <w:rsid w:val="005C3653"/>
    <w:rsid w:val="005C37BA"/>
    <w:rsid w:val="005C398C"/>
    <w:rsid w:val="005C39BB"/>
    <w:rsid w:val="005C3A0C"/>
    <w:rsid w:val="005C3A5F"/>
    <w:rsid w:val="005C3C22"/>
    <w:rsid w:val="005C4018"/>
    <w:rsid w:val="005C405E"/>
    <w:rsid w:val="005C413C"/>
    <w:rsid w:val="005C43C2"/>
    <w:rsid w:val="005C4513"/>
    <w:rsid w:val="005C46EB"/>
    <w:rsid w:val="005C4806"/>
    <w:rsid w:val="005C4853"/>
    <w:rsid w:val="005C489D"/>
    <w:rsid w:val="005C492B"/>
    <w:rsid w:val="005C4D2D"/>
    <w:rsid w:val="005C4F9A"/>
    <w:rsid w:val="005C52CA"/>
    <w:rsid w:val="005C5363"/>
    <w:rsid w:val="005C553A"/>
    <w:rsid w:val="005C579E"/>
    <w:rsid w:val="005C5850"/>
    <w:rsid w:val="005C5BD6"/>
    <w:rsid w:val="005C5C3C"/>
    <w:rsid w:val="005C6568"/>
    <w:rsid w:val="005C6799"/>
    <w:rsid w:val="005C67AA"/>
    <w:rsid w:val="005C688B"/>
    <w:rsid w:val="005C6998"/>
    <w:rsid w:val="005C6B31"/>
    <w:rsid w:val="005C6B57"/>
    <w:rsid w:val="005C6BFC"/>
    <w:rsid w:val="005C6F88"/>
    <w:rsid w:val="005C700F"/>
    <w:rsid w:val="005C701F"/>
    <w:rsid w:val="005C70FA"/>
    <w:rsid w:val="005C724A"/>
    <w:rsid w:val="005C72F9"/>
    <w:rsid w:val="005C77A7"/>
    <w:rsid w:val="005C783C"/>
    <w:rsid w:val="005C787E"/>
    <w:rsid w:val="005C78E7"/>
    <w:rsid w:val="005C7A77"/>
    <w:rsid w:val="005C7B8B"/>
    <w:rsid w:val="005C7DD7"/>
    <w:rsid w:val="005C7DF9"/>
    <w:rsid w:val="005C7E3A"/>
    <w:rsid w:val="005C7F88"/>
    <w:rsid w:val="005D019E"/>
    <w:rsid w:val="005D02CE"/>
    <w:rsid w:val="005D03E2"/>
    <w:rsid w:val="005D0407"/>
    <w:rsid w:val="005D07FA"/>
    <w:rsid w:val="005D0A68"/>
    <w:rsid w:val="005D0BF0"/>
    <w:rsid w:val="005D0CA5"/>
    <w:rsid w:val="005D0DBB"/>
    <w:rsid w:val="005D0DF9"/>
    <w:rsid w:val="005D0E10"/>
    <w:rsid w:val="005D0F03"/>
    <w:rsid w:val="005D0FA4"/>
    <w:rsid w:val="005D0FC5"/>
    <w:rsid w:val="005D1041"/>
    <w:rsid w:val="005D185B"/>
    <w:rsid w:val="005D18ED"/>
    <w:rsid w:val="005D1901"/>
    <w:rsid w:val="005D19E9"/>
    <w:rsid w:val="005D1A0F"/>
    <w:rsid w:val="005D1CB2"/>
    <w:rsid w:val="005D1CEB"/>
    <w:rsid w:val="005D1EDB"/>
    <w:rsid w:val="005D205B"/>
    <w:rsid w:val="005D23FF"/>
    <w:rsid w:val="005D246E"/>
    <w:rsid w:val="005D2BDF"/>
    <w:rsid w:val="005D2CE1"/>
    <w:rsid w:val="005D2D20"/>
    <w:rsid w:val="005D2E18"/>
    <w:rsid w:val="005D2E5E"/>
    <w:rsid w:val="005D2EFA"/>
    <w:rsid w:val="005D2FA7"/>
    <w:rsid w:val="005D314D"/>
    <w:rsid w:val="005D31C7"/>
    <w:rsid w:val="005D355D"/>
    <w:rsid w:val="005D3872"/>
    <w:rsid w:val="005D3A2C"/>
    <w:rsid w:val="005D3B41"/>
    <w:rsid w:val="005D3D7D"/>
    <w:rsid w:val="005D3F2C"/>
    <w:rsid w:val="005D41C1"/>
    <w:rsid w:val="005D441F"/>
    <w:rsid w:val="005D4568"/>
    <w:rsid w:val="005D459B"/>
    <w:rsid w:val="005D45FC"/>
    <w:rsid w:val="005D49F5"/>
    <w:rsid w:val="005D4AF5"/>
    <w:rsid w:val="005D4C35"/>
    <w:rsid w:val="005D4DE4"/>
    <w:rsid w:val="005D4FA2"/>
    <w:rsid w:val="005D53DC"/>
    <w:rsid w:val="005D54BA"/>
    <w:rsid w:val="005D5603"/>
    <w:rsid w:val="005D565F"/>
    <w:rsid w:val="005D5723"/>
    <w:rsid w:val="005D5744"/>
    <w:rsid w:val="005D5B3D"/>
    <w:rsid w:val="005D5BDF"/>
    <w:rsid w:val="005D5C02"/>
    <w:rsid w:val="005D5C0A"/>
    <w:rsid w:val="005D5E0D"/>
    <w:rsid w:val="005D6032"/>
    <w:rsid w:val="005D61A0"/>
    <w:rsid w:val="005D63A9"/>
    <w:rsid w:val="005D63DE"/>
    <w:rsid w:val="005D644F"/>
    <w:rsid w:val="005D65DC"/>
    <w:rsid w:val="005D6B0A"/>
    <w:rsid w:val="005D6BF2"/>
    <w:rsid w:val="005D6D24"/>
    <w:rsid w:val="005D6D89"/>
    <w:rsid w:val="005D7026"/>
    <w:rsid w:val="005D70B1"/>
    <w:rsid w:val="005D70EC"/>
    <w:rsid w:val="005D7131"/>
    <w:rsid w:val="005D732E"/>
    <w:rsid w:val="005D7341"/>
    <w:rsid w:val="005D74B6"/>
    <w:rsid w:val="005D75A1"/>
    <w:rsid w:val="005D7913"/>
    <w:rsid w:val="005D7A6D"/>
    <w:rsid w:val="005D7C8B"/>
    <w:rsid w:val="005D7E2D"/>
    <w:rsid w:val="005E0108"/>
    <w:rsid w:val="005E010E"/>
    <w:rsid w:val="005E04FD"/>
    <w:rsid w:val="005E0612"/>
    <w:rsid w:val="005E0760"/>
    <w:rsid w:val="005E095C"/>
    <w:rsid w:val="005E09B0"/>
    <w:rsid w:val="005E0B57"/>
    <w:rsid w:val="005E0B5C"/>
    <w:rsid w:val="005E0E67"/>
    <w:rsid w:val="005E0E78"/>
    <w:rsid w:val="005E0F05"/>
    <w:rsid w:val="005E0FA4"/>
    <w:rsid w:val="005E1112"/>
    <w:rsid w:val="005E13B9"/>
    <w:rsid w:val="005E13F8"/>
    <w:rsid w:val="005E141F"/>
    <w:rsid w:val="005E155A"/>
    <w:rsid w:val="005E1846"/>
    <w:rsid w:val="005E18F6"/>
    <w:rsid w:val="005E1AD6"/>
    <w:rsid w:val="005E1BC7"/>
    <w:rsid w:val="005E1F36"/>
    <w:rsid w:val="005E1FCF"/>
    <w:rsid w:val="005E2031"/>
    <w:rsid w:val="005E205D"/>
    <w:rsid w:val="005E20B7"/>
    <w:rsid w:val="005E22CE"/>
    <w:rsid w:val="005E2425"/>
    <w:rsid w:val="005E24C0"/>
    <w:rsid w:val="005E2520"/>
    <w:rsid w:val="005E2693"/>
    <w:rsid w:val="005E27A1"/>
    <w:rsid w:val="005E27D1"/>
    <w:rsid w:val="005E27D6"/>
    <w:rsid w:val="005E290A"/>
    <w:rsid w:val="005E2B1D"/>
    <w:rsid w:val="005E2B56"/>
    <w:rsid w:val="005E2C02"/>
    <w:rsid w:val="005E2C05"/>
    <w:rsid w:val="005E2E47"/>
    <w:rsid w:val="005E2ED2"/>
    <w:rsid w:val="005E2FC6"/>
    <w:rsid w:val="005E32D3"/>
    <w:rsid w:val="005E3397"/>
    <w:rsid w:val="005E33E6"/>
    <w:rsid w:val="005E34B9"/>
    <w:rsid w:val="005E359F"/>
    <w:rsid w:val="005E37AA"/>
    <w:rsid w:val="005E3ABB"/>
    <w:rsid w:val="005E3FF8"/>
    <w:rsid w:val="005E4212"/>
    <w:rsid w:val="005E431A"/>
    <w:rsid w:val="005E46C7"/>
    <w:rsid w:val="005E476E"/>
    <w:rsid w:val="005E4AB6"/>
    <w:rsid w:val="005E4BBD"/>
    <w:rsid w:val="005E4D5A"/>
    <w:rsid w:val="005E4E98"/>
    <w:rsid w:val="005E4E9D"/>
    <w:rsid w:val="005E4EA4"/>
    <w:rsid w:val="005E4F7E"/>
    <w:rsid w:val="005E5160"/>
    <w:rsid w:val="005E5175"/>
    <w:rsid w:val="005E51BA"/>
    <w:rsid w:val="005E52E9"/>
    <w:rsid w:val="005E55DC"/>
    <w:rsid w:val="005E564C"/>
    <w:rsid w:val="005E56E1"/>
    <w:rsid w:val="005E5848"/>
    <w:rsid w:val="005E599A"/>
    <w:rsid w:val="005E5A3B"/>
    <w:rsid w:val="005E5BA9"/>
    <w:rsid w:val="005E5C56"/>
    <w:rsid w:val="005E5DCB"/>
    <w:rsid w:val="005E5DFF"/>
    <w:rsid w:val="005E5EBC"/>
    <w:rsid w:val="005E6269"/>
    <w:rsid w:val="005E62CF"/>
    <w:rsid w:val="005E62D7"/>
    <w:rsid w:val="005E6416"/>
    <w:rsid w:val="005E6753"/>
    <w:rsid w:val="005E69FA"/>
    <w:rsid w:val="005E6C7F"/>
    <w:rsid w:val="005E6D86"/>
    <w:rsid w:val="005E707E"/>
    <w:rsid w:val="005E70E4"/>
    <w:rsid w:val="005E740A"/>
    <w:rsid w:val="005E7531"/>
    <w:rsid w:val="005E76EC"/>
    <w:rsid w:val="005E77C0"/>
    <w:rsid w:val="005E77EB"/>
    <w:rsid w:val="005E7928"/>
    <w:rsid w:val="005E7D06"/>
    <w:rsid w:val="005E7E95"/>
    <w:rsid w:val="005F016D"/>
    <w:rsid w:val="005F01E3"/>
    <w:rsid w:val="005F0246"/>
    <w:rsid w:val="005F03D7"/>
    <w:rsid w:val="005F078E"/>
    <w:rsid w:val="005F0875"/>
    <w:rsid w:val="005F0D75"/>
    <w:rsid w:val="005F0E42"/>
    <w:rsid w:val="005F0FE4"/>
    <w:rsid w:val="005F1040"/>
    <w:rsid w:val="005F119A"/>
    <w:rsid w:val="005F1219"/>
    <w:rsid w:val="005F139C"/>
    <w:rsid w:val="005F19C6"/>
    <w:rsid w:val="005F1A06"/>
    <w:rsid w:val="005F1A5E"/>
    <w:rsid w:val="005F1B1A"/>
    <w:rsid w:val="005F1C9E"/>
    <w:rsid w:val="005F1D6B"/>
    <w:rsid w:val="005F2038"/>
    <w:rsid w:val="005F2046"/>
    <w:rsid w:val="005F2211"/>
    <w:rsid w:val="005F2405"/>
    <w:rsid w:val="005F2757"/>
    <w:rsid w:val="005F29F2"/>
    <w:rsid w:val="005F29F5"/>
    <w:rsid w:val="005F2A4D"/>
    <w:rsid w:val="005F2B49"/>
    <w:rsid w:val="005F2D2B"/>
    <w:rsid w:val="005F2E31"/>
    <w:rsid w:val="005F317F"/>
    <w:rsid w:val="005F326F"/>
    <w:rsid w:val="005F337D"/>
    <w:rsid w:val="005F3429"/>
    <w:rsid w:val="005F3484"/>
    <w:rsid w:val="005F3709"/>
    <w:rsid w:val="005F39A7"/>
    <w:rsid w:val="005F39EA"/>
    <w:rsid w:val="005F3AB3"/>
    <w:rsid w:val="005F3B07"/>
    <w:rsid w:val="005F3BA4"/>
    <w:rsid w:val="005F3BC1"/>
    <w:rsid w:val="005F3C4D"/>
    <w:rsid w:val="005F4198"/>
    <w:rsid w:val="005F421E"/>
    <w:rsid w:val="005F443A"/>
    <w:rsid w:val="005F44A6"/>
    <w:rsid w:val="005F462D"/>
    <w:rsid w:val="005F47C8"/>
    <w:rsid w:val="005F493A"/>
    <w:rsid w:val="005F4A73"/>
    <w:rsid w:val="005F4BEA"/>
    <w:rsid w:val="005F4C66"/>
    <w:rsid w:val="005F4C75"/>
    <w:rsid w:val="005F4DC5"/>
    <w:rsid w:val="005F4DD4"/>
    <w:rsid w:val="005F4E95"/>
    <w:rsid w:val="005F4F34"/>
    <w:rsid w:val="005F51DA"/>
    <w:rsid w:val="005F52E9"/>
    <w:rsid w:val="005F53D0"/>
    <w:rsid w:val="005F5517"/>
    <w:rsid w:val="005F56F4"/>
    <w:rsid w:val="005F5875"/>
    <w:rsid w:val="005F5934"/>
    <w:rsid w:val="005F5A27"/>
    <w:rsid w:val="005F5AD7"/>
    <w:rsid w:val="005F5BA7"/>
    <w:rsid w:val="005F5CE5"/>
    <w:rsid w:val="005F5E41"/>
    <w:rsid w:val="005F5EC7"/>
    <w:rsid w:val="005F5F71"/>
    <w:rsid w:val="005F6216"/>
    <w:rsid w:val="005F6228"/>
    <w:rsid w:val="005F67AB"/>
    <w:rsid w:val="005F67FB"/>
    <w:rsid w:val="005F6808"/>
    <w:rsid w:val="005F691E"/>
    <w:rsid w:val="005F6A7F"/>
    <w:rsid w:val="005F6AB9"/>
    <w:rsid w:val="005F6BF1"/>
    <w:rsid w:val="005F6C2D"/>
    <w:rsid w:val="005F6DF6"/>
    <w:rsid w:val="005F6FA7"/>
    <w:rsid w:val="005F7670"/>
    <w:rsid w:val="005F7715"/>
    <w:rsid w:val="005F78B0"/>
    <w:rsid w:val="005F7975"/>
    <w:rsid w:val="005F7CE7"/>
    <w:rsid w:val="006002D1"/>
    <w:rsid w:val="0060058D"/>
    <w:rsid w:val="006007BC"/>
    <w:rsid w:val="00600A37"/>
    <w:rsid w:val="00600C10"/>
    <w:rsid w:val="00600C9F"/>
    <w:rsid w:val="00600E74"/>
    <w:rsid w:val="006012CA"/>
    <w:rsid w:val="006013A0"/>
    <w:rsid w:val="00601558"/>
    <w:rsid w:val="00601691"/>
    <w:rsid w:val="0060199C"/>
    <w:rsid w:val="00601AA7"/>
    <w:rsid w:val="00601CCF"/>
    <w:rsid w:val="00601D0B"/>
    <w:rsid w:val="00601D6D"/>
    <w:rsid w:val="00601ECC"/>
    <w:rsid w:val="00601FA2"/>
    <w:rsid w:val="006020B2"/>
    <w:rsid w:val="006020C4"/>
    <w:rsid w:val="0060247A"/>
    <w:rsid w:val="0060248E"/>
    <w:rsid w:val="00602632"/>
    <w:rsid w:val="0060283F"/>
    <w:rsid w:val="00602A8D"/>
    <w:rsid w:val="00602B30"/>
    <w:rsid w:val="00602C73"/>
    <w:rsid w:val="00602D0B"/>
    <w:rsid w:val="00602D30"/>
    <w:rsid w:val="00602F2C"/>
    <w:rsid w:val="00602F9C"/>
    <w:rsid w:val="0060318F"/>
    <w:rsid w:val="0060320F"/>
    <w:rsid w:val="006032C0"/>
    <w:rsid w:val="006033FE"/>
    <w:rsid w:val="0060342A"/>
    <w:rsid w:val="00603576"/>
    <w:rsid w:val="00603739"/>
    <w:rsid w:val="006037C6"/>
    <w:rsid w:val="006038B8"/>
    <w:rsid w:val="0060393A"/>
    <w:rsid w:val="00603952"/>
    <w:rsid w:val="00603967"/>
    <w:rsid w:val="006039BD"/>
    <w:rsid w:val="00603FD6"/>
    <w:rsid w:val="00604015"/>
    <w:rsid w:val="00604271"/>
    <w:rsid w:val="0060438C"/>
    <w:rsid w:val="00604534"/>
    <w:rsid w:val="00604A19"/>
    <w:rsid w:val="00604CD8"/>
    <w:rsid w:val="00604D58"/>
    <w:rsid w:val="00604F40"/>
    <w:rsid w:val="00605062"/>
    <w:rsid w:val="00605123"/>
    <w:rsid w:val="006052CD"/>
    <w:rsid w:val="006053B4"/>
    <w:rsid w:val="006053EB"/>
    <w:rsid w:val="00605495"/>
    <w:rsid w:val="00605741"/>
    <w:rsid w:val="006057DD"/>
    <w:rsid w:val="006058C9"/>
    <w:rsid w:val="00605A4C"/>
    <w:rsid w:val="00605CD4"/>
    <w:rsid w:val="00605D7A"/>
    <w:rsid w:val="00605E0D"/>
    <w:rsid w:val="0060614E"/>
    <w:rsid w:val="00606379"/>
    <w:rsid w:val="00606EBF"/>
    <w:rsid w:val="00606FD5"/>
    <w:rsid w:val="00606FDA"/>
    <w:rsid w:val="0060700C"/>
    <w:rsid w:val="006074DE"/>
    <w:rsid w:val="00607681"/>
    <w:rsid w:val="0060782B"/>
    <w:rsid w:val="00607A04"/>
    <w:rsid w:val="00607E6F"/>
    <w:rsid w:val="00607F5D"/>
    <w:rsid w:val="00607F5E"/>
    <w:rsid w:val="00610095"/>
    <w:rsid w:val="006100E6"/>
    <w:rsid w:val="00610158"/>
    <w:rsid w:val="00610180"/>
    <w:rsid w:val="0061039E"/>
    <w:rsid w:val="006103A7"/>
    <w:rsid w:val="00610712"/>
    <w:rsid w:val="006107AE"/>
    <w:rsid w:val="00610B5B"/>
    <w:rsid w:val="00610ECB"/>
    <w:rsid w:val="006110F8"/>
    <w:rsid w:val="006113A8"/>
    <w:rsid w:val="00611598"/>
    <w:rsid w:val="006115E1"/>
    <w:rsid w:val="00611629"/>
    <w:rsid w:val="0061175C"/>
    <w:rsid w:val="0061182F"/>
    <w:rsid w:val="0061197A"/>
    <w:rsid w:val="006119C0"/>
    <w:rsid w:val="00611AA9"/>
    <w:rsid w:val="00611C49"/>
    <w:rsid w:val="00611C70"/>
    <w:rsid w:val="00611E6D"/>
    <w:rsid w:val="00611F16"/>
    <w:rsid w:val="00611F7A"/>
    <w:rsid w:val="00611FCC"/>
    <w:rsid w:val="00612209"/>
    <w:rsid w:val="006123D4"/>
    <w:rsid w:val="00612461"/>
    <w:rsid w:val="0061249E"/>
    <w:rsid w:val="0061258D"/>
    <w:rsid w:val="006126CD"/>
    <w:rsid w:val="006127EB"/>
    <w:rsid w:val="0061283A"/>
    <w:rsid w:val="0061287F"/>
    <w:rsid w:val="00612954"/>
    <w:rsid w:val="0061295E"/>
    <w:rsid w:val="00612A05"/>
    <w:rsid w:val="00612CDC"/>
    <w:rsid w:val="00612D34"/>
    <w:rsid w:val="00612E1F"/>
    <w:rsid w:val="00612E68"/>
    <w:rsid w:val="00612EA9"/>
    <w:rsid w:val="0061309B"/>
    <w:rsid w:val="006130A9"/>
    <w:rsid w:val="00613284"/>
    <w:rsid w:val="006132D5"/>
    <w:rsid w:val="00613522"/>
    <w:rsid w:val="00613664"/>
    <w:rsid w:val="006136C9"/>
    <w:rsid w:val="0061373F"/>
    <w:rsid w:val="00613851"/>
    <w:rsid w:val="006138D7"/>
    <w:rsid w:val="00613C06"/>
    <w:rsid w:val="00613C90"/>
    <w:rsid w:val="00613DB5"/>
    <w:rsid w:val="00613F54"/>
    <w:rsid w:val="00613F8E"/>
    <w:rsid w:val="00614261"/>
    <w:rsid w:val="00614328"/>
    <w:rsid w:val="00614461"/>
    <w:rsid w:val="0061451E"/>
    <w:rsid w:val="00614563"/>
    <w:rsid w:val="006145D9"/>
    <w:rsid w:val="006146DA"/>
    <w:rsid w:val="00614824"/>
    <w:rsid w:val="00614AF7"/>
    <w:rsid w:val="00614B02"/>
    <w:rsid w:val="00614BAC"/>
    <w:rsid w:val="00614D13"/>
    <w:rsid w:val="00614D95"/>
    <w:rsid w:val="00614DF8"/>
    <w:rsid w:val="00614FA4"/>
    <w:rsid w:val="00615418"/>
    <w:rsid w:val="006154B0"/>
    <w:rsid w:val="006155F6"/>
    <w:rsid w:val="006155FE"/>
    <w:rsid w:val="006157F5"/>
    <w:rsid w:val="00615888"/>
    <w:rsid w:val="00615A7D"/>
    <w:rsid w:val="00615A95"/>
    <w:rsid w:val="00615B75"/>
    <w:rsid w:val="00615CDE"/>
    <w:rsid w:val="00615DDC"/>
    <w:rsid w:val="00615EDE"/>
    <w:rsid w:val="0061605A"/>
    <w:rsid w:val="00616264"/>
    <w:rsid w:val="006162C3"/>
    <w:rsid w:val="00616406"/>
    <w:rsid w:val="00616464"/>
    <w:rsid w:val="00616A31"/>
    <w:rsid w:val="00616A52"/>
    <w:rsid w:val="00616F76"/>
    <w:rsid w:val="00616FDD"/>
    <w:rsid w:val="006170FE"/>
    <w:rsid w:val="006171BC"/>
    <w:rsid w:val="006172A5"/>
    <w:rsid w:val="006173BC"/>
    <w:rsid w:val="006175F9"/>
    <w:rsid w:val="0061779A"/>
    <w:rsid w:val="00617804"/>
    <w:rsid w:val="00617895"/>
    <w:rsid w:val="006178FB"/>
    <w:rsid w:val="00617C27"/>
    <w:rsid w:val="00617E10"/>
    <w:rsid w:val="0062007B"/>
    <w:rsid w:val="006202F9"/>
    <w:rsid w:val="00620457"/>
    <w:rsid w:val="0062057C"/>
    <w:rsid w:val="006205BE"/>
    <w:rsid w:val="006206DA"/>
    <w:rsid w:val="00620715"/>
    <w:rsid w:val="00620BF7"/>
    <w:rsid w:val="00620C11"/>
    <w:rsid w:val="00620CE5"/>
    <w:rsid w:val="00620E36"/>
    <w:rsid w:val="00620E8B"/>
    <w:rsid w:val="00621125"/>
    <w:rsid w:val="006212AC"/>
    <w:rsid w:val="0062134F"/>
    <w:rsid w:val="00621437"/>
    <w:rsid w:val="0062168F"/>
    <w:rsid w:val="006216F8"/>
    <w:rsid w:val="00621AC2"/>
    <w:rsid w:val="00621C07"/>
    <w:rsid w:val="00621C5C"/>
    <w:rsid w:val="00621D9B"/>
    <w:rsid w:val="00621DE8"/>
    <w:rsid w:val="00621E29"/>
    <w:rsid w:val="00622353"/>
    <w:rsid w:val="006225CD"/>
    <w:rsid w:val="00622785"/>
    <w:rsid w:val="00622922"/>
    <w:rsid w:val="006229E6"/>
    <w:rsid w:val="00622ADC"/>
    <w:rsid w:val="00622BFC"/>
    <w:rsid w:val="00622C81"/>
    <w:rsid w:val="00622CC4"/>
    <w:rsid w:val="00622E65"/>
    <w:rsid w:val="00622F2F"/>
    <w:rsid w:val="0062303F"/>
    <w:rsid w:val="00623061"/>
    <w:rsid w:val="006231D2"/>
    <w:rsid w:val="006236E1"/>
    <w:rsid w:val="00623980"/>
    <w:rsid w:val="006239E5"/>
    <w:rsid w:val="00623AD2"/>
    <w:rsid w:val="00623B51"/>
    <w:rsid w:val="00623C0B"/>
    <w:rsid w:val="00623C9B"/>
    <w:rsid w:val="00623E45"/>
    <w:rsid w:val="00623E7C"/>
    <w:rsid w:val="00623EB5"/>
    <w:rsid w:val="00623F5B"/>
    <w:rsid w:val="00623FC1"/>
    <w:rsid w:val="006242BA"/>
    <w:rsid w:val="006243B9"/>
    <w:rsid w:val="00624653"/>
    <w:rsid w:val="00624657"/>
    <w:rsid w:val="00624831"/>
    <w:rsid w:val="00624B96"/>
    <w:rsid w:val="00624BD0"/>
    <w:rsid w:val="00624C33"/>
    <w:rsid w:val="00624C9E"/>
    <w:rsid w:val="00624D92"/>
    <w:rsid w:val="0062526B"/>
    <w:rsid w:val="0062532D"/>
    <w:rsid w:val="00625330"/>
    <w:rsid w:val="006253A2"/>
    <w:rsid w:val="006254D7"/>
    <w:rsid w:val="006254E0"/>
    <w:rsid w:val="00625716"/>
    <w:rsid w:val="006258CA"/>
    <w:rsid w:val="006259B1"/>
    <w:rsid w:val="00625ECE"/>
    <w:rsid w:val="00625F13"/>
    <w:rsid w:val="00625F58"/>
    <w:rsid w:val="00625FCC"/>
    <w:rsid w:val="00626363"/>
    <w:rsid w:val="00626386"/>
    <w:rsid w:val="00626437"/>
    <w:rsid w:val="006264E0"/>
    <w:rsid w:val="006265FD"/>
    <w:rsid w:val="0062663F"/>
    <w:rsid w:val="006267F0"/>
    <w:rsid w:val="00626826"/>
    <w:rsid w:val="00626AE3"/>
    <w:rsid w:val="00626B15"/>
    <w:rsid w:val="00626BAD"/>
    <w:rsid w:val="00626BC3"/>
    <w:rsid w:val="00626C6B"/>
    <w:rsid w:val="00626DF5"/>
    <w:rsid w:val="00626E16"/>
    <w:rsid w:val="00626FB7"/>
    <w:rsid w:val="00626FBC"/>
    <w:rsid w:val="00626FE1"/>
    <w:rsid w:val="0062708B"/>
    <w:rsid w:val="006272B9"/>
    <w:rsid w:val="00627A02"/>
    <w:rsid w:val="00627CE8"/>
    <w:rsid w:val="00627DA4"/>
    <w:rsid w:val="00627ECC"/>
    <w:rsid w:val="006301A5"/>
    <w:rsid w:val="006303AD"/>
    <w:rsid w:val="006304FC"/>
    <w:rsid w:val="006305E8"/>
    <w:rsid w:val="006306B5"/>
    <w:rsid w:val="0063087D"/>
    <w:rsid w:val="006308D1"/>
    <w:rsid w:val="00630935"/>
    <w:rsid w:val="00630AAF"/>
    <w:rsid w:val="00630B6E"/>
    <w:rsid w:val="00630BBC"/>
    <w:rsid w:val="00630C71"/>
    <w:rsid w:val="00630D1A"/>
    <w:rsid w:val="00630D81"/>
    <w:rsid w:val="00630DAD"/>
    <w:rsid w:val="00630F48"/>
    <w:rsid w:val="006310C4"/>
    <w:rsid w:val="00631122"/>
    <w:rsid w:val="006311D7"/>
    <w:rsid w:val="00631256"/>
    <w:rsid w:val="00631297"/>
    <w:rsid w:val="0063136C"/>
    <w:rsid w:val="006314F4"/>
    <w:rsid w:val="00631637"/>
    <w:rsid w:val="006316E7"/>
    <w:rsid w:val="006317B1"/>
    <w:rsid w:val="0063182D"/>
    <w:rsid w:val="00631893"/>
    <w:rsid w:val="00631FEF"/>
    <w:rsid w:val="00631FF2"/>
    <w:rsid w:val="0063237D"/>
    <w:rsid w:val="0063248A"/>
    <w:rsid w:val="00632716"/>
    <w:rsid w:val="006329C9"/>
    <w:rsid w:val="00632A74"/>
    <w:rsid w:val="00632A92"/>
    <w:rsid w:val="00632E4F"/>
    <w:rsid w:val="00632ECD"/>
    <w:rsid w:val="006331CC"/>
    <w:rsid w:val="006333D1"/>
    <w:rsid w:val="0063344A"/>
    <w:rsid w:val="00633630"/>
    <w:rsid w:val="00633683"/>
    <w:rsid w:val="006336B6"/>
    <w:rsid w:val="00633AC8"/>
    <w:rsid w:val="00633AF7"/>
    <w:rsid w:val="00633CD6"/>
    <w:rsid w:val="0063425B"/>
    <w:rsid w:val="00634298"/>
    <w:rsid w:val="006344B6"/>
    <w:rsid w:val="0063451D"/>
    <w:rsid w:val="00634720"/>
    <w:rsid w:val="00634723"/>
    <w:rsid w:val="00634789"/>
    <w:rsid w:val="00634AF3"/>
    <w:rsid w:val="00634D3F"/>
    <w:rsid w:val="00634DBA"/>
    <w:rsid w:val="00634E41"/>
    <w:rsid w:val="006352C6"/>
    <w:rsid w:val="006352EA"/>
    <w:rsid w:val="006355F7"/>
    <w:rsid w:val="00635753"/>
    <w:rsid w:val="00635757"/>
    <w:rsid w:val="006358C1"/>
    <w:rsid w:val="00635D29"/>
    <w:rsid w:val="00635D32"/>
    <w:rsid w:val="00635E29"/>
    <w:rsid w:val="00635F98"/>
    <w:rsid w:val="00635FC1"/>
    <w:rsid w:val="00636189"/>
    <w:rsid w:val="0063629F"/>
    <w:rsid w:val="0063631F"/>
    <w:rsid w:val="0063635F"/>
    <w:rsid w:val="006364F2"/>
    <w:rsid w:val="00636547"/>
    <w:rsid w:val="00636712"/>
    <w:rsid w:val="006368BA"/>
    <w:rsid w:val="00636A3B"/>
    <w:rsid w:val="00636F7A"/>
    <w:rsid w:val="0063718B"/>
    <w:rsid w:val="0063725C"/>
    <w:rsid w:val="00637481"/>
    <w:rsid w:val="006379C1"/>
    <w:rsid w:val="00637FB9"/>
    <w:rsid w:val="0064005B"/>
    <w:rsid w:val="0064089B"/>
    <w:rsid w:val="0064091C"/>
    <w:rsid w:val="00640992"/>
    <w:rsid w:val="006409B9"/>
    <w:rsid w:val="006409BB"/>
    <w:rsid w:val="00640FCC"/>
    <w:rsid w:val="0064118A"/>
    <w:rsid w:val="006411B9"/>
    <w:rsid w:val="006411E3"/>
    <w:rsid w:val="00641337"/>
    <w:rsid w:val="00641806"/>
    <w:rsid w:val="0064182B"/>
    <w:rsid w:val="006419E6"/>
    <w:rsid w:val="00641A67"/>
    <w:rsid w:val="00641AC7"/>
    <w:rsid w:val="00641B68"/>
    <w:rsid w:val="00641CAF"/>
    <w:rsid w:val="00641E4F"/>
    <w:rsid w:val="0064206D"/>
    <w:rsid w:val="006420BB"/>
    <w:rsid w:val="006421F0"/>
    <w:rsid w:val="0064220B"/>
    <w:rsid w:val="006422D4"/>
    <w:rsid w:val="00642427"/>
    <w:rsid w:val="00642647"/>
    <w:rsid w:val="00642792"/>
    <w:rsid w:val="006427E3"/>
    <w:rsid w:val="00642905"/>
    <w:rsid w:val="00642946"/>
    <w:rsid w:val="006429FE"/>
    <w:rsid w:val="00642B5A"/>
    <w:rsid w:val="00642C02"/>
    <w:rsid w:val="00642EFA"/>
    <w:rsid w:val="00643094"/>
    <w:rsid w:val="0064309A"/>
    <w:rsid w:val="006432C5"/>
    <w:rsid w:val="00643488"/>
    <w:rsid w:val="00643590"/>
    <w:rsid w:val="00643729"/>
    <w:rsid w:val="00643A4C"/>
    <w:rsid w:val="00643B62"/>
    <w:rsid w:val="00643BA7"/>
    <w:rsid w:val="00643CB8"/>
    <w:rsid w:val="00643DFF"/>
    <w:rsid w:val="006441B5"/>
    <w:rsid w:val="00644228"/>
    <w:rsid w:val="006443B8"/>
    <w:rsid w:val="00644591"/>
    <w:rsid w:val="006445A2"/>
    <w:rsid w:val="00644BAF"/>
    <w:rsid w:val="00644BB5"/>
    <w:rsid w:val="00644C55"/>
    <w:rsid w:val="00644EE7"/>
    <w:rsid w:val="00645050"/>
    <w:rsid w:val="0064513F"/>
    <w:rsid w:val="006453C6"/>
    <w:rsid w:val="0064549F"/>
    <w:rsid w:val="006455A3"/>
    <w:rsid w:val="006455E6"/>
    <w:rsid w:val="00645C27"/>
    <w:rsid w:val="00645E10"/>
    <w:rsid w:val="006460C3"/>
    <w:rsid w:val="006460C4"/>
    <w:rsid w:val="006461B0"/>
    <w:rsid w:val="00646392"/>
    <w:rsid w:val="006463A3"/>
    <w:rsid w:val="006465B0"/>
    <w:rsid w:val="0064690B"/>
    <w:rsid w:val="00646A1C"/>
    <w:rsid w:val="00646B33"/>
    <w:rsid w:val="00646CAE"/>
    <w:rsid w:val="00646D67"/>
    <w:rsid w:val="00646DE2"/>
    <w:rsid w:val="00646EDD"/>
    <w:rsid w:val="00646F32"/>
    <w:rsid w:val="006470ED"/>
    <w:rsid w:val="00647535"/>
    <w:rsid w:val="0064757A"/>
    <w:rsid w:val="00647586"/>
    <w:rsid w:val="0064784D"/>
    <w:rsid w:val="00647C95"/>
    <w:rsid w:val="00647E2B"/>
    <w:rsid w:val="00647E95"/>
    <w:rsid w:val="00647F56"/>
    <w:rsid w:val="00647FD0"/>
    <w:rsid w:val="00650096"/>
    <w:rsid w:val="00650226"/>
    <w:rsid w:val="006503BF"/>
    <w:rsid w:val="006503E8"/>
    <w:rsid w:val="0065049B"/>
    <w:rsid w:val="006504C7"/>
    <w:rsid w:val="0065054F"/>
    <w:rsid w:val="00650820"/>
    <w:rsid w:val="0065090B"/>
    <w:rsid w:val="00650985"/>
    <w:rsid w:val="00650CF4"/>
    <w:rsid w:val="00650D1F"/>
    <w:rsid w:val="00650ED0"/>
    <w:rsid w:val="00650F66"/>
    <w:rsid w:val="00650F71"/>
    <w:rsid w:val="00651001"/>
    <w:rsid w:val="006510E4"/>
    <w:rsid w:val="00651184"/>
    <w:rsid w:val="00651358"/>
    <w:rsid w:val="006515BF"/>
    <w:rsid w:val="006516BB"/>
    <w:rsid w:val="006518B4"/>
    <w:rsid w:val="00651A7C"/>
    <w:rsid w:val="00651B25"/>
    <w:rsid w:val="00651C7F"/>
    <w:rsid w:val="00651D20"/>
    <w:rsid w:val="00651D21"/>
    <w:rsid w:val="00651E2A"/>
    <w:rsid w:val="0065200D"/>
    <w:rsid w:val="006522F2"/>
    <w:rsid w:val="006526F2"/>
    <w:rsid w:val="006527C2"/>
    <w:rsid w:val="00652861"/>
    <w:rsid w:val="006528DD"/>
    <w:rsid w:val="00652DE0"/>
    <w:rsid w:val="00652EC2"/>
    <w:rsid w:val="006530DE"/>
    <w:rsid w:val="00653116"/>
    <w:rsid w:val="0065347D"/>
    <w:rsid w:val="0065351D"/>
    <w:rsid w:val="006535E6"/>
    <w:rsid w:val="006538E9"/>
    <w:rsid w:val="00653AD7"/>
    <w:rsid w:val="00653B02"/>
    <w:rsid w:val="00653BE7"/>
    <w:rsid w:val="00653FBF"/>
    <w:rsid w:val="00654091"/>
    <w:rsid w:val="006540F1"/>
    <w:rsid w:val="0065438B"/>
    <w:rsid w:val="00654421"/>
    <w:rsid w:val="006545CD"/>
    <w:rsid w:val="0065464C"/>
    <w:rsid w:val="0065467B"/>
    <w:rsid w:val="006547C4"/>
    <w:rsid w:val="00654830"/>
    <w:rsid w:val="00654933"/>
    <w:rsid w:val="00654ACF"/>
    <w:rsid w:val="00654BEB"/>
    <w:rsid w:val="00654C1C"/>
    <w:rsid w:val="00654C83"/>
    <w:rsid w:val="00654D14"/>
    <w:rsid w:val="00654D53"/>
    <w:rsid w:val="00654D9D"/>
    <w:rsid w:val="00654DC0"/>
    <w:rsid w:val="00654ECE"/>
    <w:rsid w:val="00654F54"/>
    <w:rsid w:val="0065515F"/>
    <w:rsid w:val="00655269"/>
    <w:rsid w:val="006558EE"/>
    <w:rsid w:val="00655A14"/>
    <w:rsid w:val="00655AB1"/>
    <w:rsid w:val="00655C2D"/>
    <w:rsid w:val="00655CAA"/>
    <w:rsid w:val="00655E15"/>
    <w:rsid w:val="00656001"/>
    <w:rsid w:val="0065616B"/>
    <w:rsid w:val="0065616D"/>
    <w:rsid w:val="00656286"/>
    <w:rsid w:val="00656298"/>
    <w:rsid w:val="006563BC"/>
    <w:rsid w:val="0065647B"/>
    <w:rsid w:val="00656815"/>
    <w:rsid w:val="00656916"/>
    <w:rsid w:val="00656AA6"/>
    <w:rsid w:val="00656E0A"/>
    <w:rsid w:val="006570B3"/>
    <w:rsid w:val="006570B9"/>
    <w:rsid w:val="0065712B"/>
    <w:rsid w:val="006573A7"/>
    <w:rsid w:val="00657453"/>
    <w:rsid w:val="00657773"/>
    <w:rsid w:val="00657DA8"/>
    <w:rsid w:val="00657E31"/>
    <w:rsid w:val="00657F1D"/>
    <w:rsid w:val="00657F62"/>
    <w:rsid w:val="00657F9B"/>
    <w:rsid w:val="006600C8"/>
    <w:rsid w:val="0066017E"/>
    <w:rsid w:val="0066037C"/>
    <w:rsid w:val="006603B9"/>
    <w:rsid w:val="006606CC"/>
    <w:rsid w:val="0066080E"/>
    <w:rsid w:val="006608CC"/>
    <w:rsid w:val="0066090A"/>
    <w:rsid w:val="00660931"/>
    <w:rsid w:val="00660D69"/>
    <w:rsid w:val="00660ECB"/>
    <w:rsid w:val="00660EFA"/>
    <w:rsid w:val="00661048"/>
    <w:rsid w:val="0066110D"/>
    <w:rsid w:val="006611C3"/>
    <w:rsid w:val="00661254"/>
    <w:rsid w:val="00661536"/>
    <w:rsid w:val="0066153E"/>
    <w:rsid w:val="00661591"/>
    <w:rsid w:val="00661667"/>
    <w:rsid w:val="00661762"/>
    <w:rsid w:val="00661815"/>
    <w:rsid w:val="00661955"/>
    <w:rsid w:val="0066199B"/>
    <w:rsid w:val="00661B51"/>
    <w:rsid w:val="00661C16"/>
    <w:rsid w:val="00661E1D"/>
    <w:rsid w:val="00662241"/>
    <w:rsid w:val="006624F2"/>
    <w:rsid w:val="006626B4"/>
    <w:rsid w:val="006626BA"/>
    <w:rsid w:val="0066272D"/>
    <w:rsid w:val="006627C1"/>
    <w:rsid w:val="006627FF"/>
    <w:rsid w:val="00662870"/>
    <w:rsid w:val="00662B56"/>
    <w:rsid w:val="00662C5D"/>
    <w:rsid w:val="00662E86"/>
    <w:rsid w:val="00662F2B"/>
    <w:rsid w:val="00663072"/>
    <w:rsid w:val="006630D1"/>
    <w:rsid w:val="006632A8"/>
    <w:rsid w:val="006633EA"/>
    <w:rsid w:val="00663410"/>
    <w:rsid w:val="00663583"/>
    <w:rsid w:val="006638EC"/>
    <w:rsid w:val="00663A48"/>
    <w:rsid w:val="00663BC2"/>
    <w:rsid w:val="00663C05"/>
    <w:rsid w:val="00663CDF"/>
    <w:rsid w:val="00663CE3"/>
    <w:rsid w:val="00663D51"/>
    <w:rsid w:val="0066407A"/>
    <w:rsid w:val="006641B0"/>
    <w:rsid w:val="006642DA"/>
    <w:rsid w:val="00664408"/>
    <w:rsid w:val="00664576"/>
    <w:rsid w:val="00664641"/>
    <w:rsid w:val="00664656"/>
    <w:rsid w:val="00664947"/>
    <w:rsid w:val="00664B8B"/>
    <w:rsid w:val="00664DF9"/>
    <w:rsid w:val="00665230"/>
    <w:rsid w:val="006654C5"/>
    <w:rsid w:val="0066573B"/>
    <w:rsid w:val="00665801"/>
    <w:rsid w:val="00665822"/>
    <w:rsid w:val="00665B40"/>
    <w:rsid w:val="00665BBF"/>
    <w:rsid w:val="006662C8"/>
    <w:rsid w:val="006663E7"/>
    <w:rsid w:val="00666469"/>
    <w:rsid w:val="0066647C"/>
    <w:rsid w:val="006665F3"/>
    <w:rsid w:val="00666623"/>
    <w:rsid w:val="006667FA"/>
    <w:rsid w:val="00666899"/>
    <w:rsid w:val="006668DF"/>
    <w:rsid w:val="00666A03"/>
    <w:rsid w:val="00666B70"/>
    <w:rsid w:val="00666C21"/>
    <w:rsid w:val="00666C52"/>
    <w:rsid w:val="00666D24"/>
    <w:rsid w:val="00666E4F"/>
    <w:rsid w:val="00666E97"/>
    <w:rsid w:val="00667085"/>
    <w:rsid w:val="00667140"/>
    <w:rsid w:val="006672A4"/>
    <w:rsid w:val="0066743E"/>
    <w:rsid w:val="00667485"/>
    <w:rsid w:val="0066751E"/>
    <w:rsid w:val="00667562"/>
    <w:rsid w:val="006675B8"/>
    <w:rsid w:val="006677AF"/>
    <w:rsid w:val="0066780F"/>
    <w:rsid w:val="006678AD"/>
    <w:rsid w:val="0066793E"/>
    <w:rsid w:val="00667955"/>
    <w:rsid w:val="00667A37"/>
    <w:rsid w:val="00667A9B"/>
    <w:rsid w:val="00667AA9"/>
    <w:rsid w:val="00667B22"/>
    <w:rsid w:val="00667B45"/>
    <w:rsid w:val="00667F47"/>
    <w:rsid w:val="00667F8A"/>
    <w:rsid w:val="0067001F"/>
    <w:rsid w:val="00670215"/>
    <w:rsid w:val="0067034E"/>
    <w:rsid w:val="00670431"/>
    <w:rsid w:val="00670464"/>
    <w:rsid w:val="00670522"/>
    <w:rsid w:val="0067059B"/>
    <w:rsid w:val="006709B4"/>
    <w:rsid w:val="00670A3B"/>
    <w:rsid w:val="00670CBA"/>
    <w:rsid w:val="00670EAA"/>
    <w:rsid w:val="006710CA"/>
    <w:rsid w:val="00671200"/>
    <w:rsid w:val="006712A3"/>
    <w:rsid w:val="00671322"/>
    <w:rsid w:val="0067149B"/>
    <w:rsid w:val="00671A94"/>
    <w:rsid w:val="00671B51"/>
    <w:rsid w:val="00671D3D"/>
    <w:rsid w:val="00671F86"/>
    <w:rsid w:val="00672184"/>
    <w:rsid w:val="006721CE"/>
    <w:rsid w:val="006722A3"/>
    <w:rsid w:val="006726AD"/>
    <w:rsid w:val="006726B3"/>
    <w:rsid w:val="006726F8"/>
    <w:rsid w:val="00672827"/>
    <w:rsid w:val="00672988"/>
    <w:rsid w:val="006729D6"/>
    <w:rsid w:val="00672AB6"/>
    <w:rsid w:val="00672B5A"/>
    <w:rsid w:val="00672C49"/>
    <w:rsid w:val="00672E5F"/>
    <w:rsid w:val="00672F62"/>
    <w:rsid w:val="00672F65"/>
    <w:rsid w:val="00672FC6"/>
    <w:rsid w:val="006730BA"/>
    <w:rsid w:val="006731D2"/>
    <w:rsid w:val="00673284"/>
    <w:rsid w:val="006733CF"/>
    <w:rsid w:val="00673574"/>
    <w:rsid w:val="0067377E"/>
    <w:rsid w:val="00673CDE"/>
    <w:rsid w:val="00673D89"/>
    <w:rsid w:val="00673DB1"/>
    <w:rsid w:val="00674194"/>
    <w:rsid w:val="00674370"/>
    <w:rsid w:val="00674408"/>
    <w:rsid w:val="0067448F"/>
    <w:rsid w:val="0067473C"/>
    <w:rsid w:val="00674780"/>
    <w:rsid w:val="006747BA"/>
    <w:rsid w:val="00674805"/>
    <w:rsid w:val="00674AD4"/>
    <w:rsid w:val="00674F0B"/>
    <w:rsid w:val="00674F53"/>
    <w:rsid w:val="00675357"/>
    <w:rsid w:val="0067565A"/>
    <w:rsid w:val="00675703"/>
    <w:rsid w:val="006757EF"/>
    <w:rsid w:val="00675A8E"/>
    <w:rsid w:val="00675D19"/>
    <w:rsid w:val="00675DCB"/>
    <w:rsid w:val="00675EBA"/>
    <w:rsid w:val="00675FCC"/>
    <w:rsid w:val="006764B4"/>
    <w:rsid w:val="0067697F"/>
    <w:rsid w:val="00676AD8"/>
    <w:rsid w:val="00676D51"/>
    <w:rsid w:val="00676D7B"/>
    <w:rsid w:val="006771B6"/>
    <w:rsid w:val="0067724C"/>
    <w:rsid w:val="00677315"/>
    <w:rsid w:val="0067741D"/>
    <w:rsid w:val="0067759A"/>
    <w:rsid w:val="00677690"/>
    <w:rsid w:val="006776C6"/>
    <w:rsid w:val="00677813"/>
    <w:rsid w:val="006778BB"/>
    <w:rsid w:val="00677914"/>
    <w:rsid w:val="00677A81"/>
    <w:rsid w:val="00677D86"/>
    <w:rsid w:val="00677D87"/>
    <w:rsid w:val="00677EE5"/>
    <w:rsid w:val="00677F26"/>
    <w:rsid w:val="0068007F"/>
    <w:rsid w:val="006801B3"/>
    <w:rsid w:val="006803C0"/>
    <w:rsid w:val="00680535"/>
    <w:rsid w:val="0068071F"/>
    <w:rsid w:val="00680836"/>
    <w:rsid w:val="0068083C"/>
    <w:rsid w:val="006808AE"/>
    <w:rsid w:val="006809CB"/>
    <w:rsid w:val="006809E8"/>
    <w:rsid w:val="00680AE7"/>
    <w:rsid w:val="00680B62"/>
    <w:rsid w:val="00680CAE"/>
    <w:rsid w:val="00680D2B"/>
    <w:rsid w:val="00680E36"/>
    <w:rsid w:val="00680F64"/>
    <w:rsid w:val="0068140E"/>
    <w:rsid w:val="00681564"/>
    <w:rsid w:val="00681793"/>
    <w:rsid w:val="006817DB"/>
    <w:rsid w:val="006818EF"/>
    <w:rsid w:val="00681AA7"/>
    <w:rsid w:val="00681BA6"/>
    <w:rsid w:val="00681DF8"/>
    <w:rsid w:val="00681EF1"/>
    <w:rsid w:val="00682148"/>
    <w:rsid w:val="006826B4"/>
    <w:rsid w:val="00682C3A"/>
    <w:rsid w:val="00682C47"/>
    <w:rsid w:val="00682C7C"/>
    <w:rsid w:val="00682E88"/>
    <w:rsid w:val="00682EA3"/>
    <w:rsid w:val="00683237"/>
    <w:rsid w:val="00683260"/>
    <w:rsid w:val="006832BC"/>
    <w:rsid w:val="00683370"/>
    <w:rsid w:val="006834A4"/>
    <w:rsid w:val="006836D9"/>
    <w:rsid w:val="00683763"/>
    <w:rsid w:val="006837F3"/>
    <w:rsid w:val="00683992"/>
    <w:rsid w:val="00683BA0"/>
    <w:rsid w:val="00683C44"/>
    <w:rsid w:val="00683C4A"/>
    <w:rsid w:val="0068406A"/>
    <w:rsid w:val="0068421C"/>
    <w:rsid w:val="006842D2"/>
    <w:rsid w:val="0068439B"/>
    <w:rsid w:val="00684709"/>
    <w:rsid w:val="00684A83"/>
    <w:rsid w:val="00684B9D"/>
    <w:rsid w:val="00684D35"/>
    <w:rsid w:val="00684F6C"/>
    <w:rsid w:val="0068511D"/>
    <w:rsid w:val="00685175"/>
    <w:rsid w:val="006853C0"/>
    <w:rsid w:val="00685501"/>
    <w:rsid w:val="00685598"/>
    <w:rsid w:val="006855A2"/>
    <w:rsid w:val="00685600"/>
    <w:rsid w:val="00685689"/>
    <w:rsid w:val="00685691"/>
    <w:rsid w:val="006857AD"/>
    <w:rsid w:val="0068582E"/>
    <w:rsid w:val="00685D66"/>
    <w:rsid w:val="00685F1D"/>
    <w:rsid w:val="0068601F"/>
    <w:rsid w:val="00686036"/>
    <w:rsid w:val="00686149"/>
    <w:rsid w:val="00686571"/>
    <w:rsid w:val="00686864"/>
    <w:rsid w:val="00686F08"/>
    <w:rsid w:val="00686FBE"/>
    <w:rsid w:val="00686FFE"/>
    <w:rsid w:val="00687085"/>
    <w:rsid w:val="006870A4"/>
    <w:rsid w:val="00687131"/>
    <w:rsid w:val="00687372"/>
    <w:rsid w:val="0068739F"/>
    <w:rsid w:val="00687456"/>
    <w:rsid w:val="006874F6"/>
    <w:rsid w:val="00687A59"/>
    <w:rsid w:val="00687B30"/>
    <w:rsid w:val="00687D62"/>
    <w:rsid w:val="00687DCB"/>
    <w:rsid w:val="00687E2A"/>
    <w:rsid w:val="00687E50"/>
    <w:rsid w:val="006900FF"/>
    <w:rsid w:val="0069018F"/>
    <w:rsid w:val="0069022B"/>
    <w:rsid w:val="00690543"/>
    <w:rsid w:val="006907D9"/>
    <w:rsid w:val="006908B4"/>
    <w:rsid w:val="006909F9"/>
    <w:rsid w:val="00690A35"/>
    <w:rsid w:val="00690EC6"/>
    <w:rsid w:val="00690FE1"/>
    <w:rsid w:val="00691099"/>
    <w:rsid w:val="006910E1"/>
    <w:rsid w:val="006912F6"/>
    <w:rsid w:val="006913AF"/>
    <w:rsid w:val="0069154F"/>
    <w:rsid w:val="006917FC"/>
    <w:rsid w:val="0069188D"/>
    <w:rsid w:val="00691C29"/>
    <w:rsid w:val="00692032"/>
    <w:rsid w:val="006920A5"/>
    <w:rsid w:val="006920F8"/>
    <w:rsid w:val="006921AB"/>
    <w:rsid w:val="006922F9"/>
    <w:rsid w:val="006924F3"/>
    <w:rsid w:val="0069252B"/>
    <w:rsid w:val="006925D5"/>
    <w:rsid w:val="0069293D"/>
    <w:rsid w:val="00692947"/>
    <w:rsid w:val="00692B56"/>
    <w:rsid w:val="00692BDC"/>
    <w:rsid w:val="00692BE8"/>
    <w:rsid w:val="00692CCC"/>
    <w:rsid w:val="00692D1A"/>
    <w:rsid w:val="00692D22"/>
    <w:rsid w:val="00692D33"/>
    <w:rsid w:val="00692E40"/>
    <w:rsid w:val="00692EF3"/>
    <w:rsid w:val="00693237"/>
    <w:rsid w:val="00693324"/>
    <w:rsid w:val="00693408"/>
    <w:rsid w:val="00693526"/>
    <w:rsid w:val="0069395D"/>
    <w:rsid w:val="00693A0D"/>
    <w:rsid w:val="00693A63"/>
    <w:rsid w:val="00693AD2"/>
    <w:rsid w:val="00693B5E"/>
    <w:rsid w:val="00693C77"/>
    <w:rsid w:val="00693CDB"/>
    <w:rsid w:val="006943DB"/>
    <w:rsid w:val="00694456"/>
    <w:rsid w:val="006945A9"/>
    <w:rsid w:val="006947AA"/>
    <w:rsid w:val="00694AF6"/>
    <w:rsid w:val="00694BC0"/>
    <w:rsid w:val="00694E05"/>
    <w:rsid w:val="00694F68"/>
    <w:rsid w:val="006950B7"/>
    <w:rsid w:val="00695236"/>
    <w:rsid w:val="00695633"/>
    <w:rsid w:val="00695942"/>
    <w:rsid w:val="00695AF3"/>
    <w:rsid w:val="00695BC2"/>
    <w:rsid w:val="00695CE1"/>
    <w:rsid w:val="00695DFF"/>
    <w:rsid w:val="0069612A"/>
    <w:rsid w:val="006962CA"/>
    <w:rsid w:val="0069640C"/>
    <w:rsid w:val="00696757"/>
    <w:rsid w:val="00696B39"/>
    <w:rsid w:val="00696D69"/>
    <w:rsid w:val="00697049"/>
    <w:rsid w:val="00697239"/>
    <w:rsid w:val="0069741D"/>
    <w:rsid w:val="00697482"/>
    <w:rsid w:val="00697A5C"/>
    <w:rsid w:val="00697A67"/>
    <w:rsid w:val="00697C9B"/>
    <w:rsid w:val="00697CD6"/>
    <w:rsid w:val="00697CF4"/>
    <w:rsid w:val="00697E0B"/>
    <w:rsid w:val="00697F69"/>
    <w:rsid w:val="006A00B0"/>
    <w:rsid w:val="006A012E"/>
    <w:rsid w:val="006A027E"/>
    <w:rsid w:val="006A03BD"/>
    <w:rsid w:val="006A0A1B"/>
    <w:rsid w:val="006A0ABF"/>
    <w:rsid w:val="006A0C3E"/>
    <w:rsid w:val="006A0C4E"/>
    <w:rsid w:val="006A0CC2"/>
    <w:rsid w:val="006A0D16"/>
    <w:rsid w:val="006A0DD9"/>
    <w:rsid w:val="006A0ECE"/>
    <w:rsid w:val="006A10A7"/>
    <w:rsid w:val="006A11AD"/>
    <w:rsid w:val="006A1893"/>
    <w:rsid w:val="006A1A02"/>
    <w:rsid w:val="006A1AD4"/>
    <w:rsid w:val="006A1AE2"/>
    <w:rsid w:val="006A1BEB"/>
    <w:rsid w:val="006A1C5B"/>
    <w:rsid w:val="006A1DCB"/>
    <w:rsid w:val="006A1E37"/>
    <w:rsid w:val="006A1E80"/>
    <w:rsid w:val="006A1EA9"/>
    <w:rsid w:val="006A2162"/>
    <w:rsid w:val="006A2653"/>
    <w:rsid w:val="006A26BE"/>
    <w:rsid w:val="006A2716"/>
    <w:rsid w:val="006A299E"/>
    <w:rsid w:val="006A29E0"/>
    <w:rsid w:val="006A2BB6"/>
    <w:rsid w:val="006A2DA8"/>
    <w:rsid w:val="006A2E28"/>
    <w:rsid w:val="006A33B5"/>
    <w:rsid w:val="006A3788"/>
    <w:rsid w:val="006A3927"/>
    <w:rsid w:val="006A3C80"/>
    <w:rsid w:val="006A3EE9"/>
    <w:rsid w:val="006A3F03"/>
    <w:rsid w:val="006A403A"/>
    <w:rsid w:val="006A416D"/>
    <w:rsid w:val="006A41C6"/>
    <w:rsid w:val="006A4493"/>
    <w:rsid w:val="006A458A"/>
    <w:rsid w:val="006A45CF"/>
    <w:rsid w:val="006A468B"/>
    <w:rsid w:val="006A46B1"/>
    <w:rsid w:val="006A46ED"/>
    <w:rsid w:val="006A4C60"/>
    <w:rsid w:val="006A4E38"/>
    <w:rsid w:val="006A4E62"/>
    <w:rsid w:val="006A4E6C"/>
    <w:rsid w:val="006A4FFA"/>
    <w:rsid w:val="006A500E"/>
    <w:rsid w:val="006A50C9"/>
    <w:rsid w:val="006A5200"/>
    <w:rsid w:val="006A55E0"/>
    <w:rsid w:val="006A5686"/>
    <w:rsid w:val="006A56E5"/>
    <w:rsid w:val="006A57F1"/>
    <w:rsid w:val="006A587A"/>
    <w:rsid w:val="006A5A0B"/>
    <w:rsid w:val="006A5D90"/>
    <w:rsid w:val="006A5E20"/>
    <w:rsid w:val="006A5EE1"/>
    <w:rsid w:val="006A60F9"/>
    <w:rsid w:val="006A611E"/>
    <w:rsid w:val="006A6453"/>
    <w:rsid w:val="006A6477"/>
    <w:rsid w:val="006A64CF"/>
    <w:rsid w:val="006A67E1"/>
    <w:rsid w:val="006A6865"/>
    <w:rsid w:val="006A69DF"/>
    <w:rsid w:val="006A6C18"/>
    <w:rsid w:val="006A6C83"/>
    <w:rsid w:val="006A6D93"/>
    <w:rsid w:val="006A72EB"/>
    <w:rsid w:val="006A7793"/>
    <w:rsid w:val="006A78A5"/>
    <w:rsid w:val="006A7949"/>
    <w:rsid w:val="006A7973"/>
    <w:rsid w:val="006A79FD"/>
    <w:rsid w:val="006A7A9D"/>
    <w:rsid w:val="006A7B28"/>
    <w:rsid w:val="006A7CEC"/>
    <w:rsid w:val="006A7DC0"/>
    <w:rsid w:val="006A7E9F"/>
    <w:rsid w:val="006A7F3E"/>
    <w:rsid w:val="006B0107"/>
    <w:rsid w:val="006B022D"/>
    <w:rsid w:val="006B0250"/>
    <w:rsid w:val="006B0542"/>
    <w:rsid w:val="006B0592"/>
    <w:rsid w:val="006B06C7"/>
    <w:rsid w:val="006B0828"/>
    <w:rsid w:val="006B09BF"/>
    <w:rsid w:val="006B0C42"/>
    <w:rsid w:val="006B0C53"/>
    <w:rsid w:val="006B0FC3"/>
    <w:rsid w:val="006B15FE"/>
    <w:rsid w:val="006B164B"/>
    <w:rsid w:val="006B1794"/>
    <w:rsid w:val="006B1971"/>
    <w:rsid w:val="006B1A0A"/>
    <w:rsid w:val="006B1B50"/>
    <w:rsid w:val="006B1CB7"/>
    <w:rsid w:val="006B1D0E"/>
    <w:rsid w:val="006B1DA6"/>
    <w:rsid w:val="006B1F3A"/>
    <w:rsid w:val="006B1FCC"/>
    <w:rsid w:val="006B20A9"/>
    <w:rsid w:val="006B24AC"/>
    <w:rsid w:val="006B2589"/>
    <w:rsid w:val="006B260F"/>
    <w:rsid w:val="006B2655"/>
    <w:rsid w:val="006B2955"/>
    <w:rsid w:val="006B2AA4"/>
    <w:rsid w:val="006B2AD1"/>
    <w:rsid w:val="006B2B42"/>
    <w:rsid w:val="006B2C75"/>
    <w:rsid w:val="006B2F10"/>
    <w:rsid w:val="006B2FA8"/>
    <w:rsid w:val="006B303B"/>
    <w:rsid w:val="006B30DD"/>
    <w:rsid w:val="006B3162"/>
    <w:rsid w:val="006B318B"/>
    <w:rsid w:val="006B3193"/>
    <w:rsid w:val="006B3375"/>
    <w:rsid w:val="006B3386"/>
    <w:rsid w:val="006B3760"/>
    <w:rsid w:val="006B3A36"/>
    <w:rsid w:val="006B3A9F"/>
    <w:rsid w:val="006B3BCC"/>
    <w:rsid w:val="006B3BD1"/>
    <w:rsid w:val="006B3F07"/>
    <w:rsid w:val="006B402E"/>
    <w:rsid w:val="006B40D2"/>
    <w:rsid w:val="006B4285"/>
    <w:rsid w:val="006B43BA"/>
    <w:rsid w:val="006B43F9"/>
    <w:rsid w:val="006B4511"/>
    <w:rsid w:val="006B4539"/>
    <w:rsid w:val="006B4715"/>
    <w:rsid w:val="006B4973"/>
    <w:rsid w:val="006B4B42"/>
    <w:rsid w:val="006B4F26"/>
    <w:rsid w:val="006B502C"/>
    <w:rsid w:val="006B50F5"/>
    <w:rsid w:val="006B5162"/>
    <w:rsid w:val="006B53A1"/>
    <w:rsid w:val="006B5430"/>
    <w:rsid w:val="006B58E7"/>
    <w:rsid w:val="006B5A55"/>
    <w:rsid w:val="006B5B6D"/>
    <w:rsid w:val="006B5BB5"/>
    <w:rsid w:val="006B5CF5"/>
    <w:rsid w:val="006B5D47"/>
    <w:rsid w:val="006B5D6D"/>
    <w:rsid w:val="006B5E53"/>
    <w:rsid w:val="006B5F2D"/>
    <w:rsid w:val="006B6092"/>
    <w:rsid w:val="006B69C3"/>
    <w:rsid w:val="006B6A94"/>
    <w:rsid w:val="006B6EED"/>
    <w:rsid w:val="006B73B3"/>
    <w:rsid w:val="006B74C0"/>
    <w:rsid w:val="006B75D2"/>
    <w:rsid w:val="006B75DF"/>
    <w:rsid w:val="006B762D"/>
    <w:rsid w:val="006B76C1"/>
    <w:rsid w:val="006B7793"/>
    <w:rsid w:val="006B7849"/>
    <w:rsid w:val="006B7EF1"/>
    <w:rsid w:val="006C004C"/>
    <w:rsid w:val="006C06EE"/>
    <w:rsid w:val="006C06F2"/>
    <w:rsid w:val="006C079C"/>
    <w:rsid w:val="006C0CE9"/>
    <w:rsid w:val="006C0E70"/>
    <w:rsid w:val="006C0F10"/>
    <w:rsid w:val="006C1404"/>
    <w:rsid w:val="006C1967"/>
    <w:rsid w:val="006C19FC"/>
    <w:rsid w:val="006C1ADB"/>
    <w:rsid w:val="006C1B8A"/>
    <w:rsid w:val="006C1C7E"/>
    <w:rsid w:val="006C1E72"/>
    <w:rsid w:val="006C1EBB"/>
    <w:rsid w:val="006C1FCB"/>
    <w:rsid w:val="006C2097"/>
    <w:rsid w:val="006C20C9"/>
    <w:rsid w:val="006C20D8"/>
    <w:rsid w:val="006C21C1"/>
    <w:rsid w:val="006C2327"/>
    <w:rsid w:val="006C249F"/>
    <w:rsid w:val="006C2623"/>
    <w:rsid w:val="006C26E1"/>
    <w:rsid w:val="006C28EC"/>
    <w:rsid w:val="006C2B96"/>
    <w:rsid w:val="006C2E4A"/>
    <w:rsid w:val="006C31D4"/>
    <w:rsid w:val="006C3287"/>
    <w:rsid w:val="006C3335"/>
    <w:rsid w:val="006C3413"/>
    <w:rsid w:val="006C345E"/>
    <w:rsid w:val="006C353A"/>
    <w:rsid w:val="006C3563"/>
    <w:rsid w:val="006C358B"/>
    <w:rsid w:val="006C35B0"/>
    <w:rsid w:val="006C3666"/>
    <w:rsid w:val="006C3741"/>
    <w:rsid w:val="006C3773"/>
    <w:rsid w:val="006C387C"/>
    <w:rsid w:val="006C390C"/>
    <w:rsid w:val="006C3A9E"/>
    <w:rsid w:val="006C3BC0"/>
    <w:rsid w:val="006C3EF6"/>
    <w:rsid w:val="006C3F55"/>
    <w:rsid w:val="006C401F"/>
    <w:rsid w:val="006C40E7"/>
    <w:rsid w:val="006C4252"/>
    <w:rsid w:val="006C4325"/>
    <w:rsid w:val="006C432B"/>
    <w:rsid w:val="006C4479"/>
    <w:rsid w:val="006C4691"/>
    <w:rsid w:val="006C47CB"/>
    <w:rsid w:val="006C48D0"/>
    <w:rsid w:val="006C48E1"/>
    <w:rsid w:val="006C4C38"/>
    <w:rsid w:val="006C4CD1"/>
    <w:rsid w:val="006C4E7C"/>
    <w:rsid w:val="006C5076"/>
    <w:rsid w:val="006C50ED"/>
    <w:rsid w:val="006C50F6"/>
    <w:rsid w:val="006C5183"/>
    <w:rsid w:val="006C51EB"/>
    <w:rsid w:val="006C5362"/>
    <w:rsid w:val="006C5402"/>
    <w:rsid w:val="006C55C7"/>
    <w:rsid w:val="006C55F1"/>
    <w:rsid w:val="006C57E4"/>
    <w:rsid w:val="006C58CA"/>
    <w:rsid w:val="006C5A33"/>
    <w:rsid w:val="006C5B14"/>
    <w:rsid w:val="006C5CAF"/>
    <w:rsid w:val="006C5DA6"/>
    <w:rsid w:val="006C5E39"/>
    <w:rsid w:val="006C61C6"/>
    <w:rsid w:val="006C6499"/>
    <w:rsid w:val="006C65F6"/>
    <w:rsid w:val="006C666E"/>
    <w:rsid w:val="006C6703"/>
    <w:rsid w:val="006C6AED"/>
    <w:rsid w:val="006C6DC1"/>
    <w:rsid w:val="006C6E21"/>
    <w:rsid w:val="006C72C3"/>
    <w:rsid w:val="006C76AF"/>
    <w:rsid w:val="006C7727"/>
    <w:rsid w:val="006C776E"/>
    <w:rsid w:val="006C77B3"/>
    <w:rsid w:val="006C7D18"/>
    <w:rsid w:val="006C7D28"/>
    <w:rsid w:val="006C7D8D"/>
    <w:rsid w:val="006C7DA2"/>
    <w:rsid w:val="006C7E5B"/>
    <w:rsid w:val="006D025A"/>
    <w:rsid w:val="006D026E"/>
    <w:rsid w:val="006D0387"/>
    <w:rsid w:val="006D03EE"/>
    <w:rsid w:val="006D0519"/>
    <w:rsid w:val="006D0704"/>
    <w:rsid w:val="006D0E41"/>
    <w:rsid w:val="006D0EB4"/>
    <w:rsid w:val="006D121E"/>
    <w:rsid w:val="006D13EE"/>
    <w:rsid w:val="006D144D"/>
    <w:rsid w:val="006D1552"/>
    <w:rsid w:val="006D158F"/>
    <w:rsid w:val="006D15D9"/>
    <w:rsid w:val="006D16D8"/>
    <w:rsid w:val="006D1813"/>
    <w:rsid w:val="006D1837"/>
    <w:rsid w:val="006D1B57"/>
    <w:rsid w:val="006D21B6"/>
    <w:rsid w:val="006D2262"/>
    <w:rsid w:val="006D23CD"/>
    <w:rsid w:val="006D2522"/>
    <w:rsid w:val="006D265B"/>
    <w:rsid w:val="006D2739"/>
    <w:rsid w:val="006D27BA"/>
    <w:rsid w:val="006D2823"/>
    <w:rsid w:val="006D2875"/>
    <w:rsid w:val="006D2AB5"/>
    <w:rsid w:val="006D2B19"/>
    <w:rsid w:val="006D2C0A"/>
    <w:rsid w:val="006D2C15"/>
    <w:rsid w:val="006D2D8D"/>
    <w:rsid w:val="006D2E52"/>
    <w:rsid w:val="006D3015"/>
    <w:rsid w:val="006D31E0"/>
    <w:rsid w:val="006D3215"/>
    <w:rsid w:val="006D3552"/>
    <w:rsid w:val="006D35E3"/>
    <w:rsid w:val="006D35F9"/>
    <w:rsid w:val="006D36FA"/>
    <w:rsid w:val="006D379B"/>
    <w:rsid w:val="006D3837"/>
    <w:rsid w:val="006D39AE"/>
    <w:rsid w:val="006D3A69"/>
    <w:rsid w:val="006D3C99"/>
    <w:rsid w:val="006D4112"/>
    <w:rsid w:val="006D42B9"/>
    <w:rsid w:val="006D4374"/>
    <w:rsid w:val="006D45A1"/>
    <w:rsid w:val="006D474B"/>
    <w:rsid w:val="006D4A90"/>
    <w:rsid w:val="006D4B9A"/>
    <w:rsid w:val="006D4BB7"/>
    <w:rsid w:val="006D4ED4"/>
    <w:rsid w:val="006D505C"/>
    <w:rsid w:val="006D51DE"/>
    <w:rsid w:val="006D51E0"/>
    <w:rsid w:val="006D530D"/>
    <w:rsid w:val="006D5310"/>
    <w:rsid w:val="006D554B"/>
    <w:rsid w:val="006D5739"/>
    <w:rsid w:val="006D580E"/>
    <w:rsid w:val="006D5982"/>
    <w:rsid w:val="006D5A31"/>
    <w:rsid w:val="006D5BFE"/>
    <w:rsid w:val="006D5C8E"/>
    <w:rsid w:val="006D5C9E"/>
    <w:rsid w:val="006D5CF8"/>
    <w:rsid w:val="006D5EAD"/>
    <w:rsid w:val="006D6012"/>
    <w:rsid w:val="006D60A6"/>
    <w:rsid w:val="006D60DB"/>
    <w:rsid w:val="006D634A"/>
    <w:rsid w:val="006D63DF"/>
    <w:rsid w:val="006D6602"/>
    <w:rsid w:val="006D6723"/>
    <w:rsid w:val="006D6733"/>
    <w:rsid w:val="006D693D"/>
    <w:rsid w:val="006D6BBD"/>
    <w:rsid w:val="006D6CC9"/>
    <w:rsid w:val="006D6D93"/>
    <w:rsid w:val="006D6FE0"/>
    <w:rsid w:val="006D735A"/>
    <w:rsid w:val="006D736D"/>
    <w:rsid w:val="006D7496"/>
    <w:rsid w:val="006D76E5"/>
    <w:rsid w:val="006D7882"/>
    <w:rsid w:val="006D78C7"/>
    <w:rsid w:val="006D794E"/>
    <w:rsid w:val="006D7CA3"/>
    <w:rsid w:val="006D7CC6"/>
    <w:rsid w:val="006D7E7C"/>
    <w:rsid w:val="006D7E7D"/>
    <w:rsid w:val="006D7F02"/>
    <w:rsid w:val="006E016B"/>
    <w:rsid w:val="006E0426"/>
    <w:rsid w:val="006E0459"/>
    <w:rsid w:val="006E099D"/>
    <w:rsid w:val="006E0D66"/>
    <w:rsid w:val="006E0E6C"/>
    <w:rsid w:val="006E1019"/>
    <w:rsid w:val="006E1291"/>
    <w:rsid w:val="006E13C2"/>
    <w:rsid w:val="006E13CD"/>
    <w:rsid w:val="006E1571"/>
    <w:rsid w:val="006E15E3"/>
    <w:rsid w:val="006E160D"/>
    <w:rsid w:val="006E199C"/>
    <w:rsid w:val="006E1A8A"/>
    <w:rsid w:val="006E1AEC"/>
    <w:rsid w:val="006E1BBB"/>
    <w:rsid w:val="006E1CDD"/>
    <w:rsid w:val="006E1D7A"/>
    <w:rsid w:val="006E1E0C"/>
    <w:rsid w:val="006E21E8"/>
    <w:rsid w:val="006E2222"/>
    <w:rsid w:val="006E240C"/>
    <w:rsid w:val="006E2545"/>
    <w:rsid w:val="006E273A"/>
    <w:rsid w:val="006E2781"/>
    <w:rsid w:val="006E29FA"/>
    <w:rsid w:val="006E2A11"/>
    <w:rsid w:val="006E2BA2"/>
    <w:rsid w:val="006E2CFE"/>
    <w:rsid w:val="006E30D9"/>
    <w:rsid w:val="006E310A"/>
    <w:rsid w:val="006E315E"/>
    <w:rsid w:val="006E3244"/>
    <w:rsid w:val="006E32C3"/>
    <w:rsid w:val="006E34E7"/>
    <w:rsid w:val="006E360C"/>
    <w:rsid w:val="006E36B6"/>
    <w:rsid w:val="006E38BF"/>
    <w:rsid w:val="006E3B45"/>
    <w:rsid w:val="006E3C98"/>
    <w:rsid w:val="006E3F68"/>
    <w:rsid w:val="006E3FF7"/>
    <w:rsid w:val="006E3FFC"/>
    <w:rsid w:val="006E4079"/>
    <w:rsid w:val="006E416C"/>
    <w:rsid w:val="006E426A"/>
    <w:rsid w:val="006E4270"/>
    <w:rsid w:val="006E429B"/>
    <w:rsid w:val="006E471A"/>
    <w:rsid w:val="006E472A"/>
    <w:rsid w:val="006E4877"/>
    <w:rsid w:val="006E48AA"/>
    <w:rsid w:val="006E4BE7"/>
    <w:rsid w:val="006E4DE2"/>
    <w:rsid w:val="006E5131"/>
    <w:rsid w:val="006E5301"/>
    <w:rsid w:val="006E55BF"/>
    <w:rsid w:val="006E56E9"/>
    <w:rsid w:val="006E57B2"/>
    <w:rsid w:val="006E5871"/>
    <w:rsid w:val="006E5BAB"/>
    <w:rsid w:val="006E5EC0"/>
    <w:rsid w:val="006E612D"/>
    <w:rsid w:val="006E636D"/>
    <w:rsid w:val="006E6894"/>
    <w:rsid w:val="006E68D3"/>
    <w:rsid w:val="006E6925"/>
    <w:rsid w:val="006E6BA1"/>
    <w:rsid w:val="006E6F98"/>
    <w:rsid w:val="006E726B"/>
    <w:rsid w:val="006E7331"/>
    <w:rsid w:val="006E740B"/>
    <w:rsid w:val="006E774B"/>
    <w:rsid w:val="006E7755"/>
    <w:rsid w:val="006E77F5"/>
    <w:rsid w:val="006E7830"/>
    <w:rsid w:val="006E7922"/>
    <w:rsid w:val="006E792F"/>
    <w:rsid w:val="006E79BB"/>
    <w:rsid w:val="006E79C8"/>
    <w:rsid w:val="006E7AC9"/>
    <w:rsid w:val="006E7B5B"/>
    <w:rsid w:val="006E7BB3"/>
    <w:rsid w:val="006E7D27"/>
    <w:rsid w:val="006E7DE3"/>
    <w:rsid w:val="006E7EB2"/>
    <w:rsid w:val="006F00BD"/>
    <w:rsid w:val="006F00C9"/>
    <w:rsid w:val="006F057E"/>
    <w:rsid w:val="006F0584"/>
    <w:rsid w:val="006F0688"/>
    <w:rsid w:val="006F06A3"/>
    <w:rsid w:val="006F0727"/>
    <w:rsid w:val="006F081E"/>
    <w:rsid w:val="006F0ED7"/>
    <w:rsid w:val="006F0F67"/>
    <w:rsid w:val="006F10B3"/>
    <w:rsid w:val="006F10CC"/>
    <w:rsid w:val="006F116A"/>
    <w:rsid w:val="006F136A"/>
    <w:rsid w:val="006F1396"/>
    <w:rsid w:val="006F15AC"/>
    <w:rsid w:val="006F1629"/>
    <w:rsid w:val="006F164A"/>
    <w:rsid w:val="006F16A0"/>
    <w:rsid w:val="006F17DC"/>
    <w:rsid w:val="006F1A8E"/>
    <w:rsid w:val="006F1B1E"/>
    <w:rsid w:val="006F1BB9"/>
    <w:rsid w:val="006F1CCF"/>
    <w:rsid w:val="006F1E17"/>
    <w:rsid w:val="006F1E58"/>
    <w:rsid w:val="006F1ED4"/>
    <w:rsid w:val="006F2043"/>
    <w:rsid w:val="006F20E4"/>
    <w:rsid w:val="006F20FB"/>
    <w:rsid w:val="006F2153"/>
    <w:rsid w:val="006F2593"/>
    <w:rsid w:val="006F297E"/>
    <w:rsid w:val="006F2A0B"/>
    <w:rsid w:val="006F2CBA"/>
    <w:rsid w:val="006F2FD5"/>
    <w:rsid w:val="006F302D"/>
    <w:rsid w:val="006F31FD"/>
    <w:rsid w:val="006F3625"/>
    <w:rsid w:val="006F38B5"/>
    <w:rsid w:val="006F3A66"/>
    <w:rsid w:val="006F3B66"/>
    <w:rsid w:val="006F3CF2"/>
    <w:rsid w:val="006F3E52"/>
    <w:rsid w:val="006F3EC2"/>
    <w:rsid w:val="006F3EF8"/>
    <w:rsid w:val="006F3F7D"/>
    <w:rsid w:val="006F3FFF"/>
    <w:rsid w:val="006F4116"/>
    <w:rsid w:val="006F418F"/>
    <w:rsid w:val="006F4259"/>
    <w:rsid w:val="006F425D"/>
    <w:rsid w:val="006F427F"/>
    <w:rsid w:val="006F42E9"/>
    <w:rsid w:val="006F45B5"/>
    <w:rsid w:val="006F4880"/>
    <w:rsid w:val="006F494F"/>
    <w:rsid w:val="006F4AB9"/>
    <w:rsid w:val="006F4AD4"/>
    <w:rsid w:val="006F4BDB"/>
    <w:rsid w:val="006F4C4D"/>
    <w:rsid w:val="006F4FBF"/>
    <w:rsid w:val="006F4FE3"/>
    <w:rsid w:val="006F5071"/>
    <w:rsid w:val="006F53BE"/>
    <w:rsid w:val="006F53CA"/>
    <w:rsid w:val="006F551A"/>
    <w:rsid w:val="006F55B5"/>
    <w:rsid w:val="006F56ED"/>
    <w:rsid w:val="006F57CD"/>
    <w:rsid w:val="006F580A"/>
    <w:rsid w:val="006F5858"/>
    <w:rsid w:val="006F5A2E"/>
    <w:rsid w:val="006F5A9C"/>
    <w:rsid w:val="006F5EFE"/>
    <w:rsid w:val="006F5F8C"/>
    <w:rsid w:val="006F603D"/>
    <w:rsid w:val="006F61A7"/>
    <w:rsid w:val="006F6316"/>
    <w:rsid w:val="006F652F"/>
    <w:rsid w:val="006F6557"/>
    <w:rsid w:val="006F6BCE"/>
    <w:rsid w:val="006F6EF1"/>
    <w:rsid w:val="006F6F10"/>
    <w:rsid w:val="006F7137"/>
    <w:rsid w:val="006F7258"/>
    <w:rsid w:val="006F72C0"/>
    <w:rsid w:val="006F766A"/>
    <w:rsid w:val="006F789E"/>
    <w:rsid w:val="006F78A4"/>
    <w:rsid w:val="006F7916"/>
    <w:rsid w:val="006F7961"/>
    <w:rsid w:val="006F7A15"/>
    <w:rsid w:val="0070003E"/>
    <w:rsid w:val="007002E9"/>
    <w:rsid w:val="0070039D"/>
    <w:rsid w:val="00700430"/>
    <w:rsid w:val="007004CE"/>
    <w:rsid w:val="0070091E"/>
    <w:rsid w:val="0070092A"/>
    <w:rsid w:val="00700B66"/>
    <w:rsid w:val="00700C8E"/>
    <w:rsid w:val="00700D0C"/>
    <w:rsid w:val="0070136E"/>
    <w:rsid w:val="0070142D"/>
    <w:rsid w:val="007015F0"/>
    <w:rsid w:val="007016B2"/>
    <w:rsid w:val="00701777"/>
    <w:rsid w:val="00701902"/>
    <w:rsid w:val="00701A2A"/>
    <w:rsid w:val="00701B63"/>
    <w:rsid w:val="00701CAC"/>
    <w:rsid w:val="00701E4F"/>
    <w:rsid w:val="00701FC3"/>
    <w:rsid w:val="00702196"/>
    <w:rsid w:val="00702206"/>
    <w:rsid w:val="007022A6"/>
    <w:rsid w:val="007023CA"/>
    <w:rsid w:val="0070244F"/>
    <w:rsid w:val="00702451"/>
    <w:rsid w:val="007028FA"/>
    <w:rsid w:val="00702B70"/>
    <w:rsid w:val="00702C2B"/>
    <w:rsid w:val="00702CE3"/>
    <w:rsid w:val="00702D54"/>
    <w:rsid w:val="00702D84"/>
    <w:rsid w:val="00702DCF"/>
    <w:rsid w:val="00702EEC"/>
    <w:rsid w:val="0070323D"/>
    <w:rsid w:val="0070328C"/>
    <w:rsid w:val="0070358B"/>
    <w:rsid w:val="007035BC"/>
    <w:rsid w:val="0070365E"/>
    <w:rsid w:val="00703720"/>
    <w:rsid w:val="00703852"/>
    <w:rsid w:val="00703CD8"/>
    <w:rsid w:val="00703F79"/>
    <w:rsid w:val="00703F94"/>
    <w:rsid w:val="00704079"/>
    <w:rsid w:val="0070409F"/>
    <w:rsid w:val="007040C9"/>
    <w:rsid w:val="00704339"/>
    <w:rsid w:val="007043B5"/>
    <w:rsid w:val="00704587"/>
    <w:rsid w:val="007046C9"/>
    <w:rsid w:val="00704DEC"/>
    <w:rsid w:val="0070516E"/>
    <w:rsid w:val="00705399"/>
    <w:rsid w:val="007053B0"/>
    <w:rsid w:val="00705660"/>
    <w:rsid w:val="007056FF"/>
    <w:rsid w:val="007057F1"/>
    <w:rsid w:val="00705A3E"/>
    <w:rsid w:val="00705B87"/>
    <w:rsid w:val="0070604E"/>
    <w:rsid w:val="007060E3"/>
    <w:rsid w:val="0070633D"/>
    <w:rsid w:val="00706345"/>
    <w:rsid w:val="007068B0"/>
    <w:rsid w:val="0070696A"/>
    <w:rsid w:val="00706ACB"/>
    <w:rsid w:val="00706F3E"/>
    <w:rsid w:val="00706F4A"/>
    <w:rsid w:val="00707115"/>
    <w:rsid w:val="007072EB"/>
    <w:rsid w:val="00707599"/>
    <w:rsid w:val="00707627"/>
    <w:rsid w:val="0070772E"/>
    <w:rsid w:val="0070773F"/>
    <w:rsid w:val="007077B7"/>
    <w:rsid w:val="00707827"/>
    <w:rsid w:val="007079D9"/>
    <w:rsid w:val="00707AEF"/>
    <w:rsid w:val="00707CD6"/>
    <w:rsid w:val="007100A3"/>
    <w:rsid w:val="00710202"/>
    <w:rsid w:val="00710286"/>
    <w:rsid w:val="00710353"/>
    <w:rsid w:val="00710387"/>
    <w:rsid w:val="00710586"/>
    <w:rsid w:val="007107DA"/>
    <w:rsid w:val="00710916"/>
    <w:rsid w:val="0071099C"/>
    <w:rsid w:val="00710A6F"/>
    <w:rsid w:val="00710A81"/>
    <w:rsid w:val="00710B18"/>
    <w:rsid w:val="00710B82"/>
    <w:rsid w:val="00710CBE"/>
    <w:rsid w:val="00710E4F"/>
    <w:rsid w:val="00711010"/>
    <w:rsid w:val="00711032"/>
    <w:rsid w:val="007110C9"/>
    <w:rsid w:val="0071110A"/>
    <w:rsid w:val="00711129"/>
    <w:rsid w:val="0071112A"/>
    <w:rsid w:val="0071112F"/>
    <w:rsid w:val="00711227"/>
    <w:rsid w:val="00711574"/>
    <w:rsid w:val="00711767"/>
    <w:rsid w:val="0071193B"/>
    <w:rsid w:val="00711A4F"/>
    <w:rsid w:val="00711A84"/>
    <w:rsid w:val="00711C72"/>
    <w:rsid w:val="00711D1C"/>
    <w:rsid w:val="00711DA9"/>
    <w:rsid w:val="00711EF6"/>
    <w:rsid w:val="00711F42"/>
    <w:rsid w:val="00712015"/>
    <w:rsid w:val="007120AC"/>
    <w:rsid w:val="007120BA"/>
    <w:rsid w:val="0071228C"/>
    <w:rsid w:val="007124F0"/>
    <w:rsid w:val="0071252B"/>
    <w:rsid w:val="00712622"/>
    <w:rsid w:val="007126B5"/>
    <w:rsid w:val="007126E0"/>
    <w:rsid w:val="0071296E"/>
    <w:rsid w:val="007129D3"/>
    <w:rsid w:val="00712AC1"/>
    <w:rsid w:val="00712E6D"/>
    <w:rsid w:val="00712EB1"/>
    <w:rsid w:val="00712EF5"/>
    <w:rsid w:val="00713388"/>
    <w:rsid w:val="007133E9"/>
    <w:rsid w:val="0071344F"/>
    <w:rsid w:val="00713526"/>
    <w:rsid w:val="0071368E"/>
    <w:rsid w:val="00713877"/>
    <w:rsid w:val="0071397E"/>
    <w:rsid w:val="00713C58"/>
    <w:rsid w:val="00713EF7"/>
    <w:rsid w:val="00713EFD"/>
    <w:rsid w:val="007140DE"/>
    <w:rsid w:val="00714646"/>
    <w:rsid w:val="007146D1"/>
    <w:rsid w:val="007147CB"/>
    <w:rsid w:val="00714827"/>
    <w:rsid w:val="00714B35"/>
    <w:rsid w:val="00714C54"/>
    <w:rsid w:val="00714ECD"/>
    <w:rsid w:val="00714EEC"/>
    <w:rsid w:val="00714F67"/>
    <w:rsid w:val="0071509A"/>
    <w:rsid w:val="007155DD"/>
    <w:rsid w:val="00715629"/>
    <w:rsid w:val="007157EB"/>
    <w:rsid w:val="007159F7"/>
    <w:rsid w:val="00715A8E"/>
    <w:rsid w:val="00715C71"/>
    <w:rsid w:val="00715E59"/>
    <w:rsid w:val="00716039"/>
    <w:rsid w:val="00716114"/>
    <w:rsid w:val="007163B6"/>
    <w:rsid w:val="00716498"/>
    <w:rsid w:val="00716518"/>
    <w:rsid w:val="00716522"/>
    <w:rsid w:val="00716529"/>
    <w:rsid w:val="00716936"/>
    <w:rsid w:val="00716C2A"/>
    <w:rsid w:val="00716C6D"/>
    <w:rsid w:val="00716D6C"/>
    <w:rsid w:val="00716DAB"/>
    <w:rsid w:val="0071704B"/>
    <w:rsid w:val="00717437"/>
    <w:rsid w:val="00717600"/>
    <w:rsid w:val="00717724"/>
    <w:rsid w:val="00717D19"/>
    <w:rsid w:val="00717E89"/>
    <w:rsid w:val="00717EBA"/>
    <w:rsid w:val="00720035"/>
    <w:rsid w:val="007200AE"/>
    <w:rsid w:val="00720499"/>
    <w:rsid w:val="007204C9"/>
    <w:rsid w:val="00720665"/>
    <w:rsid w:val="0072089B"/>
    <w:rsid w:val="00720995"/>
    <w:rsid w:val="00720A79"/>
    <w:rsid w:val="00720AEC"/>
    <w:rsid w:val="00720BC6"/>
    <w:rsid w:val="00720D1B"/>
    <w:rsid w:val="00720DB6"/>
    <w:rsid w:val="00720F55"/>
    <w:rsid w:val="00720F99"/>
    <w:rsid w:val="00721086"/>
    <w:rsid w:val="00721323"/>
    <w:rsid w:val="00721389"/>
    <w:rsid w:val="0072138C"/>
    <w:rsid w:val="007215B1"/>
    <w:rsid w:val="0072179B"/>
    <w:rsid w:val="00721813"/>
    <w:rsid w:val="00721903"/>
    <w:rsid w:val="007219A0"/>
    <w:rsid w:val="00721AA1"/>
    <w:rsid w:val="00721CFF"/>
    <w:rsid w:val="00721DBB"/>
    <w:rsid w:val="00721EC4"/>
    <w:rsid w:val="00721EE9"/>
    <w:rsid w:val="00721F86"/>
    <w:rsid w:val="00721FF8"/>
    <w:rsid w:val="0072239D"/>
    <w:rsid w:val="0072247E"/>
    <w:rsid w:val="007224C3"/>
    <w:rsid w:val="007224D3"/>
    <w:rsid w:val="00722506"/>
    <w:rsid w:val="00722510"/>
    <w:rsid w:val="00722765"/>
    <w:rsid w:val="007229C0"/>
    <w:rsid w:val="00722AB0"/>
    <w:rsid w:val="00722B65"/>
    <w:rsid w:val="00722BC5"/>
    <w:rsid w:val="00722C96"/>
    <w:rsid w:val="00722CCB"/>
    <w:rsid w:val="00722D5A"/>
    <w:rsid w:val="00723003"/>
    <w:rsid w:val="00723016"/>
    <w:rsid w:val="0072311D"/>
    <w:rsid w:val="00723812"/>
    <w:rsid w:val="007238C3"/>
    <w:rsid w:val="00723DB0"/>
    <w:rsid w:val="00723E28"/>
    <w:rsid w:val="00723E4B"/>
    <w:rsid w:val="0072428A"/>
    <w:rsid w:val="00724293"/>
    <w:rsid w:val="00724350"/>
    <w:rsid w:val="007247D7"/>
    <w:rsid w:val="00724A41"/>
    <w:rsid w:val="00724F01"/>
    <w:rsid w:val="00724F1C"/>
    <w:rsid w:val="00724F2A"/>
    <w:rsid w:val="00724F85"/>
    <w:rsid w:val="00725249"/>
    <w:rsid w:val="007252A7"/>
    <w:rsid w:val="007253C2"/>
    <w:rsid w:val="00725523"/>
    <w:rsid w:val="007256C7"/>
    <w:rsid w:val="007259DF"/>
    <w:rsid w:val="00725D9F"/>
    <w:rsid w:val="00725E5B"/>
    <w:rsid w:val="00725EE0"/>
    <w:rsid w:val="00726123"/>
    <w:rsid w:val="0072626D"/>
    <w:rsid w:val="0072629B"/>
    <w:rsid w:val="007262CD"/>
    <w:rsid w:val="007262D2"/>
    <w:rsid w:val="00726397"/>
    <w:rsid w:val="00726423"/>
    <w:rsid w:val="00726501"/>
    <w:rsid w:val="00726587"/>
    <w:rsid w:val="007266B6"/>
    <w:rsid w:val="007267C5"/>
    <w:rsid w:val="00726B7E"/>
    <w:rsid w:val="00727712"/>
    <w:rsid w:val="00727809"/>
    <w:rsid w:val="00727B06"/>
    <w:rsid w:val="007300E1"/>
    <w:rsid w:val="00730134"/>
    <w:rsid w:val="007302B2"/>
    <w:rsid w:val="0073048C"/>
    <w:rsid w:val="007304ED"/>
    <w:rsid w:val="007305DF"/>
    <w:rsid w:val="007306BD"/>
    <w:rsid w:val="0073070D"/>
    <w:rsid w:val="00730823"/>
    <w:rsid w:val="00730A33"/>
    <w:rsid w:val="00730AC0"/>
    <w:rsid w:val="00730D08"/>
    <w:rsid w:val="00730E99"/>
    <w:rsid w:val="0073106A"/>
    <w:rsid w:val="007310B4"/>
    <w:rsid w:val="007312AB"/>
    <w:rsid w:val="0073146F"/>
    <w:rsid w:val="0073151D"/>
    <w:rsid w:val="00731888"/>
    <w:rsid w:val="007319EE"/>
    <w:rsid w:val="00731CDB"/>
    <w:rsid w:val="00731D30"/>
    <w:rsid w:val="00731D79"/>
    <w:rsid w:val="00731DEB"/>
    <w:rsid w:val="00731E07"/>
    <w:rsid w:val="00731F79"/>
    <w:rsid w:val="007320AB"/>
    <w:rsid w:val="00732234"/>
    <w:rsid w:val="0073229F"/>
    <w:rsid w:val="00732501"/>
    <w:rsid w:val="007325EE"/>
    <w:rsid w:val="0073280F"/>
    <w:rsid w:val="00732A91"/>
    <w:rsid w:val="00732ACD"/>
    <w:rsid w:val="00732C24"/>
    <w:rsid w:val="00732C9A"/>
    <w:rsid w:val="00732D38"/>
    <w:rsid w:val="00732E37"/>
    <w:rsid w:val="00732EF9"/>
    <w:rsid w:val="00732FB9"/>
    <w:rsid w:val="007331E4"/>
    <w:rsid w:val="00733601"/>
    <w:rsid w:val="007337C3"/>
    <w:rsid w:val="00733884"/>
    <w:rsid w:val="007338DB"/>
    <w:rsid w:val="00733A37"/>
    <w:rsid w:val="00733CAC"/>
    <w:rsid w:val="0073402E"/>
    <w:rsid w:val="00734315"/>
    <w:rsid w:val="0073460E"/>
    <w:rsid w:val="00734975"/>
    <w:rsid w:val="00734B59"/>
    <w:rsid w:val="00735023"/>
    <w:rsid w:val="007350AD"/>
    <w:rsid w:val="007351A7"/>
    <w:rsid w:val="00735271"/>
    <w:rsid w:val="00735367"/>
    <w:rsid w:val="00735645"/>
    <w:rsid w:val="0073575D"/>
    <w:rsid w:val="00735936"/>
    <w:rsid w:val="00735A12"/>
    <w:rsid w:val="00735A29"/>
    <w:rsid w:val="00735A32"/>
    <w:rsid w:val="00735A6B"/>
    <w:rsid w:val="00735B30"/>
    <w:rsid w:val="00735B7D"/>
    <w:rsid w:val="00735BE3"/>
    <w:rsid w:val="00735C56"/>
    <w:rsid w:val="00735FEA"/>
    <w:rsid w:val="00736101"/>
    <w:rsid w:val="0073610E"/>
    <w:rsid w:val="00736217"/>
    <w:rsid w:val="0073644C"/>
    <w:rsid w:val="007365AC"/>
    <w:rsid w:val="00736656"/>
    <w:rsid w:val="0073689F"/>
    <w:rsid w:val="00736A40"/>
    <w:rsid w:val="00736A8C"/>
    <w:rsid w:val="00736B0F"/>
    <w:rsid w:val="00736B81"/>
    <w:rsid w:val="00736F19"/>
    <w:rsid w:val="00737028"/>
    <w:rsid w:val="007371C0"/>
    <w:rsid w:val="00737304"/>
    <w:rsid w:val="0073732C"/>
    <w:rsid w:val="00737609"/>
    <w:rsid w:val="007376E4"/>
    <w:rsid w:val="007377DF"/>
    <w:rsid w:val="00737A5E"/>
    <w:rsid w:val="00737C6D"/>
    <w:rsid w:val="00737C81"/>
    <w:rsid w:val="00737C8C"/>
    <w:rsid w:val="00737D9A"/>
    <w:rsid w:val="007401B0"/>
    <w:rsid w:val="007405C7"/>
    <w:rsid w:val="007405D2"/>
    <w:rsid w:val="00740680"/>
    <w:rsid w:val="007409B9"/>
    <w:rsid w:val="00740AB9"/>
    <w:rsid w:val="00740E07"/>
    <w:rsid w:val="00741068"/>
    <w:rsid w:val="007410C4"/>
    <w:rsid w:val="0074110D"/>
    <w:rsid w:val="00741271"/>
    <w:rsid w:val="007412C8"/>
    <w:rsid w:val="00741342"/>
    <w:rsid w:val="0074145C"/>
    <w:rsid w:val="00741469"/>
    <w:rsid w:val="0074167A"/>
    <w:rsid w:val="00741860"/>
    <w:rsid w:val="007418A1"/>
    <w:rsid w:val="007418CA"/>
    <w:rsid w:val="00741A2D"/>
    <w:rsid w:val="00741AC3"/>
    <w:rsid w:val="00741B72"/>
    <w:rsid w:val="00741BA5"/>
    <w:rsid w:val="00741DC3"/>
    <w:rsid w:val="007420BE"/>
    <w:rsid w:val="007422E3"/>
    <w:rsid w:val="0074256F"/>
    <w:rsid w:val="0074269A"/>
    <w:rsid w:val="007426E3"/>
    <w:rsid w:val="00742720"/>
    <w:rsid w:val="0074288D"/>
    <w:rsid w:val="00742E01"/>
    <w:rsid w:val="00742F44"/>
    <w:rsid w:val="00742FD1"/>
    <w:rsid w:val="0074306E"/>
    <w:rsid w:val="00743093"/>
    <w:rsid w:val="00743123"/>
    <w:rsid w:val="00743313"/>
    <w:rsid w:val="00743546"/>
    <w:rsid w:val="00743C40"/>
    <w:rsid w:val="00743EE8"/>
    <w:rsid w:val="007440BB"/>
    <w:rsid w:val="00744182"/>
    <w:rsid w:val="007442A4"/>
    <w:rsid w:val="0074463F"/>
    <w:rsid w:val="00744658"/>
    <w:rsid w:val="00744668"/>
    <w:rsid w:val="00744822"/>
    <w:rsid w:val="00744A01"/>
    <w:rsid w:val="00744AB3"/>
    <w:rsid w:val="00744AE7"/>
    <w:rsid w:val="00744B8C"/>
    <w:rsid w:val="00744D04"/>
    <w:rsid w:val="00744D52"/>
    <w:rsid w:val="00744F35"/>
    <w:rsid w:val="00744F69"/>
    <w:rsid w:val="00744FE5"/>
    <w:rsid w:val="00745549"/>
    <w:rsid w:val="007457CA"/>
    <w:rsid w:val="00745CF6"/>
    <w:rsid w:val="00745FA2"/>
    <w:rsid w:val="00745FC5"/>
    <w:rsid w:val="007460EE"/>
    <w:rsid w:val="0074655E"/>
    <w:rsid w:val="00746891"/>
    <w:rsid w:val="00746B2E"/>
    <w:rsid w:val="00746C08"/>
    <w:rsid w:val="00746E63"/>
    <w:rsid w:val="007471F0"/>
    <w:rsid w:val="0074722B"/>
    <w:rsid w:val="0074739B"/>
    <w:rsid w:val="00747530"/>
    <w:rsid w:val="007475E1"/>
    <w:rsid w:val="00747874"/>
    <w:rsid w:val="00747A80"/>
    <w:rsid w:val="00747AEF"/>
    <w:rsid w:val="00747DF6"/>
    <w:rsid w:val="00747E13"/>
    <w:rsid w:val="00747F85"/>
    <w:rsid w:val="00747FE4"/>
    <w:rsid w:val="00750349"/>
    <w:rsid w:val="00750643"/>
    <w:rsid w:val="00750661"/>
    <w:rsid w:val="0075069E"/>
    <w:rsid w:val="00750783"/>
    <w:rsid w:val="00750970"/>
    <w:rsid w:val="0075098E"/>
    <w:rsid w:val="00750B05"/>
    <w:rsid w:val="00750DAF"/>
    <w:rsid w:val="00750E65"/>
    <w:rsid w:val="007510B8"/>
    <w:rsid w:val="00751299"/>
    <w:rsid w:val="00751480"/>
    <w:rsid w:val="0075150B"/>
    <w:rsid w:val="00751547"/>
    <w:rsid w:val="007515CA"/>
    <w:rsid w:val="007517EC"/>
    <w:rsid w:val="00751A40"/>
    <w:rsid w:val="00751C51"/>
    <w:rsid w:val="00751D11"/>
    <w:rsid w:val="00751D30"/>
    <w:rsid w:val="00751EB8"/>
    <w:rsid w:val="007522B8"/>
    <w:rsid w:val="007522E1"/>
    <w:rsid w:val="00752666"/>
    <w:rsid w:val="00752705"/>
    <w:rsid w:val="0075273A"/>
    <w:rsid w:val="00752745"/>
    <w:rsid w:val="007527BA"/>
    <w:rsid w:val="0075295B"/>
    <w:rsid w:val="00752993"/>
    <w:rsid w:val="00752A3C"/>
    <w:rsid w:val="00752BC5"/>
    <w:rsid w:val="00752BD4"/>
    <w:rsid w:val="00752C54"/>
    <w:rsid w:val="00752CCD"/>
    <w:rsid w:val="00752D2A"/>
    <w:rsid w:val="00752DCC"/>
    <w:rsid w:val="00752EF7"/>
    <w:rsid w:val="00752F5B"/>
    <w:rsid w:val="0075327C"/>
    <w:rsid w:val="007532FC"/>
    <w:rsid w:val="0075333D"/>
    <w:rsid w:val="007533AF"/>
    <w:rsid w:val="00753406"/>
    <w:rsid w:val="00753547"/>
    <w:rsid w:val="007535D1"/>
    <w:rsid w:val="007537BD"/>
    <w:rsid w:val="0075388F"/>
    <w:rsid w:val="007539AA"/>
    <w:rsid w:val="00753B60"/>
    <w:rsid w:val="00753C05"/>
    <w:rsid w:val="00753C54"/>
    <w:rsid w:val="00753D53"/>
    <w:rsid w:val="00753D56"/>
    <w:rsid w:val="00753EC0"/>
    <w:rsid w:val="007540CA"/>
    <w:rsid w:val="00754348"/>
    <w:rsid w:val="00754397"/>
    <w:rsid w:val="00754A52"/>
    <w:rsid w:val="00754AD3"/>
    <w:rsid w:val="00754C4F"/>
    <w:rsid w:val="00754D62"/>
    <w:rsid w:val="00754E0E"/>
    <w:rsid w:val="00754E30"/>
    <w:rsid w:val="007553F6"/>
    <w:rsid w:val="0075589A"/>
    <w:rsid w:val="00755A75"/>
    <w:rsid w:val="00755BE3"/>
    <w:rsid w:val="00755C0E"/>
    <w:rsid w:val="00755FC5"/>
    <w:rsid w:val="00756106"/>
    <w:rsid w:val="0075638B"/>
    <w:rsid w:val="00756426"/>
    <w:rsid w:val="00756464"/>
    <w:rsid w:val="00756583"/>
    <w:rsid w:val="00756639"/>
    <w:rsid w:val="0075673D"/>
    <w:rsid w:val="00756ACA"/>
    <w:rsid w:val="00756AF0"/>
    <w:rsid w:val="00756B1D"/>
    <w:rsid w:val="00756B81"/>
    <w:rsid w:val="00756F49"/>
    <w:rsid w:val="00756FF9"/>
    <w:rsid w:val="00757002"/>
    <w:rsid w:val="00757071"/>
    <w:rsid w:val="0075726E"/>
    <w:rsid w:val="00757829"/>
    <w:rsid w:val="00757A64"/>
    <w:rsid w:val="00757B17"/>
    <w:rsid w:val="00757D06"/>
    <w:rsid w:val="00757D68"/>
    <w:rsid w:val="00757E58"/>
    <w:rsid w:val="00757E87"/>
    <w:rsid w:val="0076013D"/>
    <w:rsid w:val="00760442"/>
    <w:rsid w:val="007605FC"/>
    <w:rsid w:val="00760644"/>
    <w:rsid w:val="00760711"/>
    <w:rsid w:val="00760764"/>
    <w:rsid w:val="007607AB"/>
    <w:rsid w:val="007609F2"/>
    <w:rsid w:val="00760AFA"/>
    <w:rsid w:val="00760D01"/>
    <w:rsid w:val="00760D5C"/>
    <w:rsid w:val="00760EA7"/>
    <w:rsid w:val="00760F82"/>
    <w:rsid w:val="00761081"/>
    <w:rsid w:val="007613AB"/>
    <w:rsid w:val="0076148E"/>
    <w:rsid w:val="0076157E"/>
    <w:rsid w:val="00761691"/>
    <w:rsid w:val="007618DE"/>
    <w:rsid w:val="0076195B"/>
    <w:rsid w:val="00761A8C"/>
    <w:rsid w:val="00761C97"/>
    <w:rsid w:val="00761F5C"/>
    <w:rsid w:val="00761F74"/>
    <w:rsid w:val="007620A5"/>
    <w:rsid w:val="007622B3"/>
    <w:rsid w:val="00762328"/>
    <w:rsid w:val="0076245C"/>
    <w:rsid w:val="00762607"/>
    <w:rsid w:val="00762762"/>
    <w:rsid w:val="00762792"/>
    <w:rsid w:val="007628DE"/>
    <w:rsid w:val="007628E0"/>
    <w:rsid w:val="007628F2"/>
    <w:rsid w:val="00762AA6"/>
    <w:rsid w:val="00762EDD"/>
    <w:rsid w:val="00762EE0"/>
    <w:rsid w:val="007631C8"/>
    <w:rsid w:val="0076320E"/>
    <w:rsid w:val="007635FB"/>
    <w:rsid w:val="00763638"/>
    <w:rsid w:val="0076367F"/>
    <w:rsid w:val="00763700"/>
    <w:rsid w:val="00763C8B"/>
    <w:rsid w:val="00763E4F"/>
    <w:rsid w:val="00763FAF"/>
    <w:rsid w:val="00764008"/>
    <w:rsid w:val="00764158"/>
    <w:rsid w:val="007641D4"/>
    <w:rsid w:val="00764683"/>
    <w:rsid w:val="00764BBD"/>
    <w:rsid w:val="00764BE4"/>
    <w:rsid w:val="00764C5C"/>
    <w:rsid w:val="00764DAF"/>
    <w:rsid w:val="00764F55"/>
    <w:rsid w:val="00764FD0"/>
    <w:rsid w:val="00765133"/>
    <w:rsid w:val="00765225"/>
    <w:rsid w:val="00765252"/>
    <w:rsid w:val="00765633"/>
    <w:rsid w:val="00765707"/>
    <w:rsid w:val="00765730"/>
    <w:rsid w:val="00765AD0"/>
    <w:rsid w:val="00765C6F"/>
    <w:rsid w:val="0076602A"/>
    <w:rsid w:val="007661F4"/>
    <w:rsid w:val="0076623C"/>
    <w:rsid w:val="0076632F"/>
    <w:rsid w:val="007663A4"/>
    <w:rsid w:val="007668F4"/>
    <w:rsid w:val="00766A37"/>
    <w:rsid w:val="00766A60"/>
    <w:rsid w:val="00766AD5"/>
    <w:rsid w:val="00766B1E"/>
    <w:rsid w:val="00766F7B"/>
    <w:rsid w:val="00767046"/>
    <w:rsid w:val="007671EC"/>
    <w:rsid w:val="0076729C"/>
    <w:rsid w:val="00767554"/>
    <w:rsid w:val="0076762C"/>
    <w:rsid w:val="007676EF"/>
    <w:rsid w:val="0076777F"/>
    <w:rsid w:val="007677BF"/>
    <w:rsid w:val="00767A10"/>
    <w:rsid w:val="00767C76"/>
    <w:rsid w:val="00767D7F"/>
    <w:rsid w:val="00767DCE"/>
    <w:rsid w:val="00767EFA"/>
    <w:rsid w:val="00767FBC"/>
    <w:rsid w:val="00767FD1"/>
    <w:rsid w:val="007700C5"/>
    <w:rsid w:val="007701FC"/>
    <w:rsid w:val="00770261"/>
    <w:rsid w:val="00770483"/>
    <w:rsid w:val="007705FA"/>
    <w:rsid w:val="00770791"/>
    <w:rsid w:val="007707BC"/>
    <w:rsid w:val="00770E01"/>
    <w:rsid w:val="0077129F"/>
    <w:rsid w:val="00771684"/>
    <w:rsid w:val="0077180C"/>
    <w:rsid w:val="00771C98"/>
    <w:rsid w:val="00771D93"/>
    <w:rsid w:val="00771FC3"/>
    <w:rsid w:val="0077203E"/>
    <w:rsid w:val="007722D4"/>
    <w:rsid w:val="007722F7"/>
    <w:rsid w:val="00772319"/>
    <w:rsid w:val="00772325"/>
    <w:rsid w:val="007724C9"/>
    <w:rsid w:val="0077251F"/>
    <w:rsid w:val="00772634"/>
    <w:rsid w:val="00772687"/>
    <w:rsid w:val="007726F6"/>
    <w:rsid w:val="0077299D"/>
    <w:rsid w:val="00772CD1"/>
    <w:rsid w:val="00772E3F"/>
    <w:rsid w:val="00772F5B"/>
    <w:rsid w:val="0077315E"/>
    <w:rsid w:val="0077343D"/>
    <w:rsid w:val="0077347F"/>
    <w:rsid w:val="00773904"/>
    <w:rsid w:val="00773C49"/>
    <w:rsid w:val="00773D49"/>
    <w:rsid w:val="00774213"/>
    <w:rsid w:val="00774324"/>
    <w:rsid w:val="007744E2"/>
    <w:rsid w:val="00774720"/>
    <w:rsid w:val="00774776"/>
    <w:rsid w:val="00774BB3"/>
    <w:rsid w:val="00774BD3"/>
    <w:rsid w:val="00774C30"/>
    <w:rsid w:val="00774D51"/>
    <w:rsid w:val="007752E5"/>
    <w:rsid w:val="00775548"/>
    <w:rsid w:val="007755A4"/>
    <w:rsid w:val="00775672"/>
    <w:rsid w:val="0077568D"/>
    <w:rsid w:val="00775C24"/>
    <w:rsid w:val="00775F65"/>
    <w:rsid w:val="00775FB5"/>
    <w:rsid w:val="00775FF9"/>
    <w:rsid w:val="007760B7"/>
    <w:rsid w:val="00776210"/>
    <w:rsid w:val="00776243"/>
    <w:rsid w:val="007764E8"/>
    <w:rsid w:val="00776536"/>
    <w:rsid w:val="0077655E"/>
    <w:rsid w:val="00776586"/>
    <w:rsid w:val="00776807"/>
    <w:rsid w:val="007768E4"/>
    <w:rsid w:val="00776A7B"/>
    <w:rsid w:val="00776AB3"/>
    <w:rsid w:val="00776C53"/>
    <w:rsid w:val="00776C56"/>
    <w:rsid w:val="00776D47"/>
    <w:rsid w:val="00776DE3"/>
    <w:rsid w:val="00776E82"/>
    <w:rsid w:val="00777035"/>
    <w:rsid w:val="0077706B"/>
    <w:rsid w:val="00777304"/>
    <w:rsid w:val="00777391"/>
    <w:rsid w:val="00777488"/>
    <w:rsid w:val="007775DE"/>
    <w:rsid w:val="00777804"/>
    <w:rsid w:val="0077790C"/>
    <w:rsid w:val="00777968"/>
    <w:rsid w:val="00777984"/>
    <w:rsid w:val="007779F3"/>
    <w:rsid w:val="00777A77"/>
    <w:rsid w:val="00777AF4"/>
    <w:rsid w:val="00777C19"/>
    <w:rsid w:val="00777CAC"/>
    <w:rsid w:val="00777DD6"/>
    <w:rsid w:val="00777E96"/>
    <w:rsid w:val="00777FF6"/>
    <w:rsid w:val="0078010E"/>
    <w:rsid w:val="00780201"/>
    <w:rsid w:val="0078025F"/>
    <w:rsid w:val="00780901"/>
    <w:rsid w:val="00780BDD"/>
    <w:rsid w:val="00780C5F"/>
    <w:rsid w:val="00780CBF"/>
    <w:rsid w:val="00780DBD"/>
    <w:rsid w:val="00780F5E"/>
    <w:rsid w:val="007810F9"/>
    <w:rsid w:val="0078163D"/>
    <w:rsid w:val="007816E6"/>
    <w:rsid w:val="007817E9"/>
    <w:rsid w:val="00781942"/>
    <w:rsid w:val="0078194E"/>
    <w:rsid w:val="007819E5"/>
    <w:rsid w:val="007819F8"/>
    <w:rsid w:val="00781AB0"/>
    <w:rsid w:val="00781ADC"/>
    <w:rsid w:val="00781AE3"/>
    <w:rsid w:val="00781E4D"/>
    <w:rsid w:val="00781E85"/>
    <w:rsid w:val="00782027"/>
    <w:rsid w:val="00782046"/>
    <w:rsid w:val="007820EF"/>
    <w:rsid w:val="007823E7"/>
    <w:rsid w:val="00782483"/>
    <w:rsid w:val="00782712"/>
    <w:rsid w:val="007828F0"/>
    <w:rsid w:val="00782B91"/>
    <w:rsid w:val="00782D3E"/>
    <w:rsid w:val="00782E85"/>
    <w:rsid w:val="00782EE4"/>
    <w:rsid w:val="00783086"/>
    <w:rsid w:val="007830FB"/>
    <w:rsid w:val="0078326E"/>
    <w:rsid w:val="007833C0"/>
    <w:rsid w:val="00783485"/>
    <w:rsid w:val="007835CF"/>
    <w:rsid w:val="007836B2"/>
    <w:rsid w:val="007836D8"/>
    <w:rsid w:val="00783C4B"/>
    <w:rsid w:val="00783D19"/>
    <w:rsid w:val="00783D3F"/>
    <w:rsid w:val="00783E54"/>
    <w:rsid w:val="00783EC8"/>
    <w:rsid w:val="00783FF7"/>
    <w:rsid w:val="00784082"/>
    <w:rsid w:val="00784165"/>
    <w:rsid w:val="007841A5"/>
    <w:rsid w:val="007841ED"/>
    <w:rsid w:val="0078452A"/>
    <w:rsid w:val="007845CE"/>
    <w:rsid w:val="007845FB"/>
    <w:rsid w:val="007846DF"/>
    <w:rsid w:val="00784737"/>
    <w:rsid w:val="00784E00"/>
    <w:rsid w:val="00784EBE"/>
    <w:rsid w:val="00785170"/>
    <w:rsid w:val="00785389"/>
    <w:rsid w:val="007855AF"/>
    <w:rsid w:val="00785747"/>
    <w:rsid w:val="007859E6"/>
    <w:rsid w:val="00785D87"/>
    <w:rsid w:val="00785DA0"/>
    <w:rsid w:val="00785FC8"/>
    <w:rsid w:val="0078601E"/>
    <w:rsid w:val="007861CB"/>
    <w:rsid w:val="007863B0"/>
    <w:rsid w:val="0078671F"/>
    <w:rsid w:val="00786AAA"/>
    <w:rsid w:val="00786ACA"/>
    <w:rsid w:val="00786C0C"/>
    <w:rsid w:val="00786D2B"/>
    <w:rsid w:val="00787146"/>
    <w:rsid w:val="0078715B"/>
    <w:rsid w:val="007874BF"/>
    <w:rsid w:val="00787602"/>
    <w:rsid w:val="00787611"/>
    <w:rsid w:val="007876FC"/>
    <w:rsid w:val="0078772D"/>
    <w:rsid w:val="007877A3"/>
    <w:rsid w:val="007877D4"/>
    <w:rsid w:val="007879BD"/>
    <w:rsid w:val="00787A7C"/>
    <w:rsid w:val="00787E9E"/>
    <w:rsid w:val="00787F92"/>
    <w:rsid w:val="007902D8"/>
    <w:rsid w:val="007902DC"/>
    <w:rsid w:val="00790388"/>
    <w:rsid w:val="007903E5"/>
    <w:rsid w:val="007905E6"/>
    <w:rsid w:val="007906D4"/>
    <w:rsid w:val="007906E7"/>
    <w:rsid w:val="0079082D"/>
    <w:rsid w:val="0079084E"/>
    <w:rsid w:val="00790857"/>
    <w:rsid w:val="007909E7"/>
    <w:rsid w:val="00790B4C"/>
    <w:rsid w:val="00790CFC"/>
    <w:rsid w:val="00790EA9"/>
    <w:rsid w:val="007911BA"/>
    <w:rsid w:val="0079132F"/>
    <w:rsid w:val="00791490"/>
    <w:rsid w:val="007916BA"/>
    <w:rsid w:val="00791A7E"/>
    <w:rsid w:val="00791AA4"/>
    <w:rsid w:val="00791DA5"/>
    <w:rsid w:val="007922BA"/>
    <w:rsid w:val="0079258B"/>
    <w:rsid w:val="007927BA"/>
    <w:rsid w:val="0079283B"/>
    <w:rsid w:val="00792904"/>
    <w:rsid w:val="00792A98"/>
    <w:rsid w:val="00792B11"/>
    <w:rsid w:val="00792B2C"/>
    <w:rsid w:val="00792C05"/>
    <w:rsid w:val="00793200"/>
    <w:rsid w:val="00793506"/>
    <w:rsid w:val="0079362B"/>
    <w:rsid w:val="00793643"/>
    <w:rsid w:val="0079375D"/>
    <w:rsid w:val="0079389D"/>
    <w:rsid w:val="00793A2D"/>
    <w:rsid w:val="00793CC7"/>
    <w:rsid w:val="00793EF0"/>
    <w:rsid w:val="00793F0C"/>
    <w:rsid w:val="007940C6"/>
    <w:rsid w:val="007941F0"/>
    <w:rsid w:val="0079446F"/>
    <w:rsid w:val="00794644"/>
    <w:rsid w:val="0079486B"/>
    <w:rsid w:val="00794B2C"/>
    <w:rsid w:val="00794C1D"/>
    <w:rsid w:val="00794C94"/>
    <w:rsid w:val="00794F90"/>
    <w:rsid w:val="00794FCB"/>
    <w:rsid w:val="007950F5"/>
    <w:rsid w:val="007951DC"/>
    <w:rsid w:val="007953FA"/>
    <w:rsid w:val="007954B7"/>
    <w:rsid w:val="007954C5"/>
    <w:rsid w:val="007957AB"/>
    <w:rsid w:val="007958F2"/>
    <w:rsid w:val="00795929"/>
    <w:rsid w:val="00795945"/>
    <w:rsid w:val="00795A86"/>
    <w:rsid w:val="00795B4C"/>
    <w:rsid w:val="00795C20"/>
    <w:rsid w:val="00795CF2"/>
    <w:rsid w:val="00795DAD"/>
    <w:rsid w:val="00795F4F"/>
    <w:rsid w:val="00795F60"/>
    <w:rsid w:val="00796145"/>
    <w:rsid w:val="00796192"/>
    <w:rsid w:val="00796525"/>
    <w:rsid w:val="0079655F"/>
    <w:rsid w:val="00796A20"/>
    <w:rsid w:val="00796C7D"/>
    <w:rsid w:val="00796F39"/>
    <w:rsid w:val="00796FBA"/>
    <w:rsid w:val="0079739C"/>
    <w:rsid w:val="0079758D"/>
    <w:rsid w:val="00797996"/>
    <w:rsid w:val="00797A00"/>
    <w:rsid w:val="00797C91"/>
    <w:rsid w:val="00797D93"/>
    <w:rsid w:val="00797E1B"/>
    <w:rsid w:val="00797E66"/>
    <w:rsid w:val="00797FA2"/>
    <w:rsid w:val="00797FD2"/>
    <w:rsid w:val="007A0006"/>
    <w:rsid w:val="007A00C4"/>
    <w:rsid w:val="007A013F"/>
    <w:rsid w:val="007A0192"/>
    <w:rsid w:val="007A01B1"/>
    <w:rsid w:val="007A0508"/>
    <w:rsid w:val="007A05FE"/>
    <w:rsid w:val="007A064E"/>
    <w:rsid w:val="007A0734"/>
    <w:rsid w:val="007A07A2"/>
    <w:rsid w:val="007A0BBD"/>
    <w:rsid w:val="007A0C02"/>
    <w:rsid w:val="007A0C6C"/>
    <w:rsid w:val="007A0E1D"/>
    <w:rsid w:val="007A0F49"/>
    <w:rsid w:val="007A100D"/>
    <w:rsid w:val="007A102A"/>
    <w:rsid w:val="007A11B6"/>
    <w:rsid w:val="007A12D6"/>
    <w:rsid w:val="007A1336"/>
    <w:rsid w:val="007A1516"/>
    <w:rsid w:val="007A15A1"/>
    <w:rsid w:val="007A15BD"/>
    <w:rsid w:val="007A15CC"/>
    <w:rsid w:val="007A15ED"/>
    <w:rsid w:val="007A179F"/>
    <w:rsid w:val="007A185A"/>
    <w:rsid w:val="007A1913"/>
    <w:rsid w:val="007A1B90"/>
    <w:rsid w:val="007A1C2D"/>
    <w:rsid w:val="007A1D71"/>
    <w:rsid w:val="007A1FBA"/>
    <w:rsid w:val="007A20DE"/>
    <w:rsid w:val="007A23CE"/>
    <w:rsid w:val="007A2814"/>
    <w:rsid w:val="007A2817"/>
    <w:rsid w:val="007A2AFD"/>
    <w:rsid w:val="007A2BC3"/>
    <w:rsid w:val="007A2C96"/>
    <w:rsid w:val="007A2E97"/>
    <w:rsid w:val="007A2F64"/>
    <w:rsid w:val="007A2F85"/>
    <w:rsid w:val="007A3083"/>
    <w:rsid w:val="007A35B8"/>
    <w:rsid w:val="007A361C"/>
    <w:rsid w:val="007A3A77"/>
    <w:rsid w:val="007A3C29"/>
    <w:rsid w:val="007A3F40"/>
    <w:rsid w:val="007A411E"/>
    <w:rsid w:val="007A4183"/>
    <w:rsid w:val="007A41B4"/>
    <w:rsid w:val="007A4699"/>
    <w:rsid w:val="007A46FE"/>
    <w:rsid w:val="007A4A95"/>
    <w:rsid w:val="007A4AC0"/>
    <w:rsid w:val="007A4C04"/>
    <w:rsid w:val="007A4C18"/>
    <w:rsid w:val="007A4FFF"/>
    <w:rsid w:val="007A5009"/>
    <w:rsid w:val="007A5231"/>
    <w:rsid w:val="007A5430"/>
    <w:rsid w:val="007A5602"/>
    <w:rsid w:val="007A564C"/>
    <w:rsid w:val="007A57BE"/>
    <w:rsid w:val="007A594D"/>
    <w:rsid w:val="007A5B60"/>
    <w:rsid w:val="007A5C39"/>
    <w:rsid w:val="007A5E4B"/>
    <w:rsid w:val="007A5EF1"/>
    <w:rsid w:val="007A5F3F"/>
    <w:rsid w:val="007A6039"/>
    <w:rsid w:val="007A6077"/>
    <w:rsid w:val="007A6225"/>
    <w:rsid w:val="007A626E"/>
    <w:rsid w:val="007A6652"/>
    <w:rsid w:val="007A6693"/>
    <w:rsid w:val="007A673E"/>
    <w:rsid w:val="007A678A"/>
    <w:rsid w:val="007A6830"/>
    <w:rsid w:val="007A6878"/>
    <w:rsid w:val="007A6DF0"/>
    <w:rsid w:val="007A6F16"/>
    <w:rsid w:val="007A6F70"/>
    <w:rsid w:val="007A6F94"/>
    <w:rsid w:val="007A70C1"/>
    <w:rsid w:val="007A716E"/>
    <w:rsid w:val="007A7527"/>
    <w:rsid w:val="007A7682"/>
    <w:rsid w:val="007A79A0"/>
    <w:rsid w:val="007A7B3C"/>
    <w:rsid w:val="007A7DBB"/>
    <w:rsid w:val="007B014A"/>
    <w:rsid w:val="007B022F"/>
    <w:rsid w:val="007B0673"/>
    <w:rsid w:val="007B06EC"/>
    <w:rsid w:val="007B0700"/>
    <w:rsid w:val="007B0B0B"/>
    <w:rsid w:val="007B0B40"/>
    <w:rsid w:val="007B0DC7"/>
    <w:rsid w:val="007B0DF2"/>
    <w:rsid w:val="007B11A2"/>
    <w:rsid w:val="007B1253"/>
    <w:rsid w:val="007B131D"/>
    <w:rsid w:val="007B1692"/>
    <w:rsid w:val="007B182C"/>
    <w:rsid w:val="007B1896"/>
    <w:rsid w:val="007B18EC"/>
    <w:rsid w:val="007B1CD7"/>
    <w:rsid w:val="007B1E9A"/>
    <w:rsid w:val="007B2164"/>
    <w:rsid w:val="007B21B4"/>
    <w:rsid w:val="007B21D3"/>
    <w:rsid w:val="007B227B"/>
    <w:rsid w:val="007B2302"/>
    <w:rsid w:val="007B2303"/>
    <w:rsid w:val="007B2359"/>
    <w:rsid w:val="007B2547"/>
    <w:rsid w:val="007B25AB"/>
    <w:rsid w:val="007B2652"/>
    <w:rsid w:val="007B2956"/>
    <w:rsid w:val="007B298C"/>
    <w:rsid w:val="007B2B0E"/>
    <w:rsid w:val="007B2BB1"/>
    <w:rsid w:val="007B2BB8"/>
    <w:rsid w:val="007B2D2A"/>
    <w:rsid w:val="007B2D56"/>
    <w:rsid w:val="007B2E1C"/>
    <w:rsid w:val="007B338A"/>
    <w:rsid w:val="007B3553"/>
    <w:rsid w:val="007B35F2"/>
    <w:rsid w:val="007B3704"/>
    <w:rsid w:val="007B3896"/>
    <w:rsid w:val="007B3BC3"/>
    <w:rsid w:val="007B3DEE"/>
    <w:rsid w:val="007B3F88"/>
    <w:rsid w:val="007B3FE2"/>
    <w:rsid w:val="007B40AC"/>
    <w:rsid w:val="007B419F"/>
    <w:rsid w:val="007B4637"/>
    <w:rsid w:val="007B4B03"/>
    <w:rsid w:val="007B4B15"/>
    <w:rsid w:val="007B4CA9"/>
    <w:rsid w:val="007B4DA0"/>
    <w:rsid w:val="007B544E"/>
    <w:rsid w:val="007B55DB"/>
    <w:rsid w:val="007B5750"/>
    <w:rsid w:val="007B575A"/>
    <w:rsid w:val="007B5819"/>
    <w:rsid w:val="007B584F"/>
    <w:rsid w:val="007B5A3C"/>
    <w:rsid w:val="007B5AE7"/>
    <w:rsid w:val="007B5C5F"/>
    <w:rsid w:val="007B5E03"/>
    <w:rsid w:val="007B5E0E"/>
    <w:rsid w:val="007B5E20"/>
    <w:rsid w:val="007B5E4F"/>
    <w:rsid w:val="007B5ECD"/>
    <w:rsid w:val="007B5FCB"/>
    <w:rsid w:val="007B6221"/>
    <w:rsid w:val="007B6296"/>
    <w:rsid w:val="007B62DC"/>
    <w:rsid w:val="007B634E"/>
    <w:rsid w:val="007B636A"/>
    <w:rsid w:val="007B660B"/>
    <w:rsid w:val="007B682D"/>
    <w:rsid w:val="007B68CF"/>
    <w:rsid w:val="007B6A4C"/>
    <w:rsid w:val="007B6C49"/>
    <w:rsid w:val="007B6C95"/>
    <w:rsid w:val="007B6FC5"/>
    <w:rsid w:val="007B70EB"/>
    <w:rsid w:val="007B71E2"/>
    <w:rsid w:val="007B738A"/>
    <w:rsid w:val="007B73CD"/>
    <w:rsid w:val="007B75CA"/>
    <w:rsid w:val="007B7785"/>
    <w:rsid w:val="007B77B4"/>
    <w:rsid w:val="007B77F7"/>
    <w:rsid w:val="007B7822"/>
    <w:rsid w:val="007B78D7"/>
    <w:rsid w:val="007B7B34"/>
    <w:rsid w:val="007C002E"/>
    <w:rsid w:val="007C01CD"/>
    <w:rsid w:val="007C03AC"/>
    <w:rsid w:val="007C04D5"/>
    <w:rsid w:val="007C051C"/>
    <w:rsid w:val="007C0532"/>
    <w:rsid w:val="007C0738"/>
    <w:rsid w:val="007C074D"/>
    <w:rsid w:val="007C0B8D"/>
    <w:rsid w:val="007C0D16"/>
    <w:rsid w:val="007C0D89"/>
    <w:rsid w:val="007C0E0F"/>
    <w:rsid w:val="007C0E27"/>
    <w:rsid w:val="007C116C"/>
    <w:rsid w:val="007C11C8"/>
    <w:rsid w:val="007C12F0"/>
    <w:rsid w:val="007C1367"/>
    <w:rsid w:val="007C1614"/>
    <w:rsid w:val="007C1689"/>
    <w:rsid w:val="007C1746"/>
    <w:rsid w:val="007C17F1"/>
    <w:rsid w:val="007C1894"/>
    <w:rsid w:val="007C19D6"/>
    <w:rsid w:val="007C1B60"/>
    <w:rsid w:val="007C1C48"/>
    <w:rsid w:val="007C1D39"/>
    <w:rsid w:val="007C1E84"/>
    <w:rsid w:val="007C1EF1"/>
    <w:rsid w:val="007C1FEA"/>
    <w:rsid w:val="007C2097"/>
    <w:rsid w:val="007C2120"/>
    <w:rsid w:val="007C2153"/>
    <w:rsid w:val="007C225C"/>
    <w:rsid w:val="007C22A1"/>
    <w:rsid w:val="007C2A4C"/>
    <w:rsid w:val="007C2A59"/>
    <w:rsid w:val="007C2B12"/>
    <w:rsid w:val="007C2C7B"/>
    <w:rsid w:val="007C2CAD"/>
    <w:rsid w:val="007C2D1B"/>
    <w:rsid w:val="007C2E47"/>
    <w:rsid w:val="007C2E58"/>
    <w:rsid w:val="007C2EF7"/>
    <w:rsid w:val="007C2F06"/>
    <w:rsid w:val="007C2F5D"/>
    <w:rsid w:val="007C31A2"/>
    <w:rsid w:val="007C3275"/>
    <w:rsid w:val="007C37BF"/>
    <w:rsid w:val="007C388B"/>
    <w:rsid w:val="007C3991"/>
    <w:rsid w:val="007C3A11"/>
    <w:rsid w:val="007C3C17"/>
    <w:rsid w:val="007C402C"/>
    <w:rsid w:val="007C411A"/>
    <w:rsid w:val="007C4319"/>
    <w:rsid w:val="007C4359"/>
    <w:rsid w:val="007C43C1"/>
    <w:rsid w:val="007C447F"/>
    <w:rsid w:val="007C4636"/>
    <w:rsid w:val="007C4B47"/>
    <w:rsid w:val="007C4BCB"/>
    <w:rsid w:val="007C4CCF"/>
    <w:rsid w:val="007C4D92"/>
    <w:rsid w:val="007C50EB"/>
    <w:rsid w:val="007C5199"/>
    <w:rsid w:val="007C52C6"/>
    <w:rsid w:val="007C54E7"/>
    <w:rsid w:val="007C5537"/>
    <w:rsid w:val="007C55BD"/>
    <w:rsid w:val="007C5733"/>
    <w:rsid w:val="007C57A8"/>
    <w:rsid w:val="007C57B5"/>
    <w:rsid w:val="007C5991"/>
    <w:rsid w:val="007C5AA6"/>
    <w:rsid w:val="007C5F43"/>
    <w:rsid w:val="007C624B"/>
    <w:rsid w:val="007C641F"/>
    <w:rsid w:val="007C64DA"/>
    <w:rsid w:val="007C6D9C"/>
    <w:rsid w:val="007C6E0E"/>
    <w:rsid w:val="007C6F44"/>
    <w:rsid w:val="007C6FD5"/>
    <w:rsid w:val="007C7030"/>
    <w:rsid w:val="007C7266"/>
    <w:rsid w:val="007C743D"/>
    <w:rsid w:val="007C7659"/>
    <w:rsid w:val="007C77C8"/>
    <w:rsid w:val="007C7B02"/>
    <w:rsid w:val="007C7D37"/>
    <w:rsid w:val="007C7EA9"/>
    <w:rsid w:val="007C7EEA"/>
    <w:rsid w:val="007C7F61"/>
    <w:rsid w:val="007D001B"/>
    <w:rsid w:val="007D01BA"/>
    <w:rsid w:val="007D0240"/>
    <w:rsid w:val="007D026A"/>
    <w:rsid w:val="007D034E"/>
    <w:rsid w:val="007D0434"/>
    <w:rsid w:val="007D0625"/>
    <w:rsid w:val="007D0692"/>
    <w:rsid w:val="007D0714"/>
    <w:rsid w:val="007D08A6"/>
    <w:rsid w:val="007D091C"/>
    <w:rsid w:val="007D0B51"/>
    <w:rsid w:val="007D0D21"/>
    <w:rsid w:val="007D0E1B"/>
    <w:rsid w:val="007D1269"/>
    <w:rsid w:val="007D12A5"/>
    <w:rsid w:val="007D12A6"/>
    <w:rsid w:val="007D1492"/>
    <w:rsid w:val="007D1845"/>
    <w:rsid w:val="007D1B1A"/>
    <w:rsid w:val="007D1B4A"/>
    <w:rsid w:val="007D1C40"/>
    <w:rsid w:val="007D1D6E"/>
    <w:rsid w:val="007D1FD8"/>
    <w:rsid w:val="007D229F"/>
    <w:rsid w:val="007D236E"/>
    <w:rsid w:val="007D2428"/>
    <w:rsid w:val="007D25A4"/>
    <w:rsid w:val="007D2AB9"/>
    <w:rsid w:val="007D2C05"/>
    <w:rsid w:val="007D2C31"/>
    <w:rsid w:val="007D2C7D"/>
    <w:rsid w:val="007D2E26"/>
    <w:rsid w:val="007D2E74"/>
    <w:rsid w:val="007D32D6"/>
    <w:rsid w:val="007D3593"/>
    <w:rsid w:val="007D3720"/>
    <w:rsid w:val="007D3BB1"/>
    <w:rsid w:val="007D3C6E"/>
    <w:rsid w:val="007D3EF4"/>
    <w:rsid w:val="007D3F31"/>
    <w:rsid w:val="007D40E3"/>
    <w:rsid w:val="007D41E3"/>
    <w:rsid w:val="007D4562"/>
    <w:rsid w:val="007D4572"/>
    <w:rsid w:val="007D4584"/>
    <w:rsid w:val="007D46E0"/>
    <w:rsid w:val="007D4DEB"/>
    <w:rsid w:val="007D51D8"/>
    <w:rsid w:val="007D57FD"/>
    <w:rsid w:val="007D58ED"/>
    <w:rsid w:val="007D5996"/>
    <w:rsid w:val="007D5BF4"/>
    <w:rsid w:val="007D60FD"/>
    <w:rsid w:val="007D623B"/>
    <w:rsid w:val="007D638F"/>
    <w:rsid w:val="007D6450"/>
    <w:rsid w:val="007D6BA2"/>
    <w:rsid w:val="007D6C55"/>
    <w:rsid w:val="007D72BD"/>
    <w:rsid w:val="007D73B0"/>
    <w:rsid w:val="007D7631"/>
    <w:rsid w:val="007D769F"/>
    <w:rsid w:val="007D76CF"/>
    <w:rsid w:val="007D7757"/>
    <w:rsid w:val="007D78E8"/>
    <w:rsid w:val="007D78FA"/>
    <w:rsid w:val="007D7E18"/>
    <w:rsid w:val="007E018E"/>
    <w:rsid w:val="007E0215"/>
    <w:rsid w:val="007E0234"/>
    <w:rsid w:val="007E0250"/>
    <w:rsid w:val="007E041F"/>
    <w:rsid w:val="007E052E"/>
    <w:rsid w:val="007E0570"/>
    <w:rsid w:val="007E05C0"/>
    <w:rsid w:val="007E07AB"/>
    <w:rsid w:val="007E0AEF"/>
    <w:rsid w:val="007E0B53"/>
    <w:rsid w:val="007E0BCC"/>
    <w:rsid w:val="007E0EEB"/>
    <w:rsid w:val="007E0F11"/>
    <w:rsid w:val="007E0F2A"/>
    <w:rsid w:val="007E1011"/>
    <w:rsid w:val="007E1083"/>
    <w:rsid w:val="007E11DF"/>
    <w:rsid w:val="007E12F8"/>
    <w:rsid w:val="007E13A2"/>
    <w:rsid w:val="007E1559"/>
    <w:rsid w:val="007E171C"/>
    <w:rsid w:val="007E1825"/>
    <w:rsid w:val="007E191A"/>
    <w:rsid w:val="007E1C21"/>
    <w:rsid w:val="007E1CB2"/>
    <w:rsid w:val="007E1CB3"/>
    <w:rsid w:val="007E1CBF"/>
    <w:rsid w:val="007E1E07"/>
    <w:rsid w:val="007E20A7"/>
    <w:rsid w:val="007E2797"/>
    <w:rsid w:val="007E27E9"/>
    <w:rsid w:val="007E2993"/>
    <w:rsid w:val="007E29BE"/>
    <w:rsid w:val="007E2BCB"/>
    <w:rsid w:val="007E2C0D"/>
    <w:rsid w:val="007E339E"/>
    <w:rsid w:val="007E33B7"/>
    <w:rsid w:val="007E3412"/>
    <w:rsid w:val="007E344C"/>
    <w:rsid w:val="007E35EB"/>
    <w:rsid w:val="007E375D"/>
    <w:rsid w:val="007E37DD"/>
    <w:rsid w:val="007E37F3"/>
    <w:rsid w:val="007E3B6D"/>
    <w:rsid w:val="007E3C3E"/>
    <w:rsid w:val="007E3C92"/>
    <w:rsid w:val="007E3E42"/>
    <w:rsid w:val="007E480C"/>
    <w:rsid w:val="007E4995"/>
    <w:rsid w:val="007E4B72"/>
    <w:rsid w:val="007E4C43"/>
    <w:rsid w:val="007E4EF6"/>
    <w:rsid w:val="007E519C"/>
    <w:rsid w:val="007E5326"/>
    <w:rsid w:val="007E5367"/>
    <w:rsid w:val="007E53CC"/>
    <w:rsid w:val="007E54A0"/>
    <w:rsid w:val="007E5834"/>
    <w:rsid w:val="007E592D"/>
    <w:rsid w:val="007E5B09"/>
    <w:rsid w:val="007E5BA4"/>
    <w:rsid w:val="007E5DF8"/>
    <w:rsid w:val="007E5F77"/>
    <w:rsid w:val="007E6032"/>
    <w:rsid w:val="007E60BC"/>
    <w:rsid w:val="007E60C5"/>
    <w:rsid w:val="007E61AF"/>
    <w:rsid w:val="007E6343"/>
    <w:rsid w:val="007E65C5"/>
    <w:rsid w:val="007E68AD"/>
    <w:rsid w:val="007E68E6"/>
    <w:rsid w:val="007E6B09"/>
    <w:rsid w:val="007E6BE3"/>
    <w:rsid w:val="007E6D7D"/>
    <w:rsid w:val="007E71D7"/>
    <w:rsid w:val="007E7865"/>
    <w:rsid w:val="007E7AB3"/>
    <w:rsid w:val="007E7BB1"/>
    <w:rsid w:val="007E7D36"/>
    <w:rsid w:val="007E7DCE"/>
    <w:rsid w:val="007E7DD9"/>
    <w:rsid w:val="007E7E6D"/>
    <w:rsid w:val="007E7E90"/>
    <w:rsid w:val="007F014F"/>
    <w:rsid w:val="007F0191"/>
    <w:rsid w:val="007F0273"/>
    <w:rsid w:val="007F02D2"/>
    <w:rsid w:val="007F04BC"/>
    <w:rsid w:val="007F056A"/>
    <w:rsid w:val="007F0635"/>
    <w:rsid w:val="007F06D6"/>
    <w:rsid w:val="007F08C8"/>
    <w:rsid w:val="007F095B"/>
    <w:rsid w:val="007F0E3E"/>
    <w:rsid w:val="007F1082"/>
    <w:rsid w:val="007F10D7"/>
    <w:rsid w:val="007F1103"/>
    <w:rsid w:val="007F1213"/>
    <w:rsid w:val="007F1299"/>
    <w:rsid w:val="007F12F9"/>
    <w:rsid w:val="007F133B"/>
    <w:rsid w:val="007F14E1"/>
    <w:rsid w:val="007F160F"/>
    <w:rsid w:val="007F16F3"/>
    <w:rsid w:val="007F190A"/>
    <w:rsid w:val="007F1B31"/>
    <w:rsid w:val="007F1B43"/>
    <w:rsid w:val="007F1B57"/>
    <w:rsid w:val="007F1C63"/>
    <w:rsid w:val="007F20B2"/>
    <w:rsid w:val="007F21C4"/>
    <w:rsid w:val="007F248A"/>
    <w:rsid w:val="007F27EC"/>
    <w:rsid w:val="007F29C5"/>
    <w:rsid w:val="007F2A3D"/>
    <w:rsid w:val="007F2B08"/>
    <w:rsid w:val="007F2BFD"/>
    <w:rsid w:val="007F2D00"/>
    <w:rsid w:val="007F2D84"/>
    <w:rsid w:val="007F2D9F"/>
    <w:rsid w:val="007F2F84"/>
    <w:rsid w:val="007F3183"/>
    <w:rsid w:val="007F326C"/>
    <w:rsid w:val="007F3285"/>
    <w:rsid w:val="007F3382"/>
    <w:rsid w:val="007F33C2"/>
    <w:rsid w:val="007F35DA"/>
    <w:rsid w:val="007F3633"/>
    <w:rsid w:val="007F386F"/>
    <w:rsid w:val="007F38AE"/>
    <w:rsid w:val="007F3916"/>
    <w:rsid w:val="007F39E5"/>
    <w:rsid w:val="007F3ACF"/>
    <w:rsid w:val="007F3B29"/>
    <w:rsid w:val="007F3C02"/>
    <w:rsid w:val="007F3C09"/>
    <w:rsid w:val="007F3E0D"/>
    <w:rsid w:val="007F3FFE"/>
    <w:rsid w:val="007F426A"/>
    <w:rsid w:val="007F427C"/>
    <w:rsid w:val="007F4811"/>
    <w:rsid w:val="007F4823"/>
    <w:rsid w:val="007F4AB2"/>
    <w:rsid w:val="007F4C59"/>
    <w:rsid w:val="007F4D40"/>
    <w:rsid w:val="007F4F7A"/>
    <w:rsid w:val="007F4FB0"/>
    <w:rsid w:val="007F511F"/>
    <w:rsid w:val="007F5340"/>
    <w:rsid w:val="007F53CE"/>
    <w:rsid w:val="007F55AB"/>
    <w:rsid w:val="007F568B"/>
    <w:rsid w:val="007F56EE"/>
    <w:rsid w:val="007F5989"/>
    <w:rsid w:val="007F59DB"/>
    <w:rsid w:val="007F5B01"/>
    <w:rsid w:val="007F5B71"/>
    <w:rsid w:val="007F5CC8"/>
    <w:rsid w:val="007F5DB1"/>
    <w:rsid w:val="007F5E3E"/>
    <w:rsid w:val="007F61A3"/>
    <w:rsid w:val="007F6992"/>
    <w:rsid w:val="007F6A72"/>
    <w:rsid w:val="007F6AB9"/>
    <w:rsid w:val="007F6D0E"/>
    <w:rsid w:val="007F6F49"/>
    <w:rsid w:val="007F70A5"/>
    <w:rsid w:val="007F771C"/>
    <w:rsid w:val="007F782C"/>
    <w:rsid w:val="007F79A2"/>
    <w:rsid w:val="007F7B4D"/>
    <w:rsid w:val="007F7C0A"/>
    <w:rsid w:val="007F7DBB"/>
    <w:rsid w:val="00800264"/>
    <w:rsid w:val="00800364"/>
    <w:rsid w:val="0080042E"/>
    <w:rsid w:val="00800560"/>
    <w:rsid w:val="00800581"/>
    <w:rsid w:val="008007D6"/>
    <w:rsid w:val="008007DB"/>
    <w:rsid w:val="008009AA"/>
    <w:rsid w:val="00800B64"/>
    <w:rsid w:val="00800B69"/>
    <w:rsid w:val="00800B96"/>
    <w:rsid w:val="00800C9B"/>
    <w:rsid w:val="00800DD5"/>
    <w:rsid w:val="008013B0"/>
    <w:rsid w:val="008014B2"/>
    <w:rsid w:val="008015F4"/>
    <w:rsid w:val="0080164B"/>
    <w:rsid w:val="008017D8"/>
    <w:rsid w:val="008017FC"/>
    <w:rsid w:val="00801A76"/>
    <w:rsid w:val="00801AB8"/>
    <w:rsid w:val="00801C8F"/>
    <w:rsid w:val="0080223B"/>
    <w:rsid w:val="00802360"/>
    <w:rsid w:val="0080258D"/>
    <w:rsid w:val="008026B9"/>
    <w:rsid w:val="00802AC4"/>
    <w:rsid w:val="00802E43"/>
    <w:rsid w:val="00802E44"/>
    <w:rsid w:val="008030BD"/>
    <w:rsid w:val="0080355F"/>
    <w:rsid w:val="008036AD"/>
    <w:rsid w:val="008037ED"/>
    <w:rsid w:val="00803937"/>
    <w:rsid w:val="008039B4"/>
    <w:rsid w:val="00803A27"/>
    <w:rsid w:val="00803AFC"/>
    <w:rsid w:val="00803D89"/>
    <w:rsid w:val="00803DA5"/>
    <w:rsid w:val="00803DF6"/>
    <w:rsid w:val="00803DF7"/>
    <w:rsid w:val="00803EFE"/>
    <w:rsid w:val="008041E4"/>
    <w:rsid w:val="0080422D"/>
    <w:rsid w:val="008042EA"/>
    <w:rsid w:val="00804374"/>
    <w:rsid w:val="00804481"/>
    <w:rsid w:val="008048C9"/>
    <w:rsid w:val="0080491F"/>
    <w:rsid w:val="0080494E"/>
    <w:rsid w:val="00804B45"/>
    <w:rsid w:val="00804DF8"/>
    <w:rsid w:val="00804F7F"/>
    <w:rsid w:val="00804FDE"/>
    <w:rsid w:val="00805014"/>
    <w:rsid w:val="0080523A"/>
    <w:rsid w:val="00805291"/>
    <w:rsid w:val="008052A0"/>
    <w:rsid w:val="00805305"/>
    <w:rsid w:val="00805515"/>
    <w:rsid w:val="008055E4"/>
    <w:rsid w:val="008056D9"/>
    <w:rsid w:val="008057F1"/>
    <w:rsid w:val="0080585D"/>
    <w:rsid w:val="008059C9"/>
    <w:rsid w:val="00805A19"/>
    <w:rsid w:val="00805BC0"/>
    <w:rsid w:val="00805DD5"/>
    <w:rsid w:val="00805E2A"/>
    <w:rsid w:val="00805F68"/>
    <w:rsid w:val="0080606F"/>
    <w:rsid w:val="0080636E"/>
    <w:rsid w:val="008065D0"/>
    <w:rsid w:val="00806699"/>
    <w:rsid w:val="008066C4"/>
    <w:rsid w:val="008066C6"/>
    <w:rsid w:val="008066CD"/>
    <w:rsid w:val="0080670B"/>
    <w:rsid w:val="008069A8"/>
    <w:rsid w:val="00806B68"/>
    <w:rsid w:val="00806D14"/>
    <w:rsid w:val="00806DE4"/>
    <w:rsid w:val="00806ECF"/>
    <w:rsid w:val="00807010"/>
    <w:rsid w:val="0080709C"/>
    <w:rsid w:val="008072A3"/>
    <w:rsid w:val="008073A0"/>
    <w:rsid w:val="008075C8"/>
    <w:rsid w:val="0080762C"/>
    <w:rsid w:val="00807727"/>
    <w:rsid w:val="00807851"/>
    <w:rsid w:val="0080787F"/>
    <w:rsid w:val="0080794B"/>
    <w:rsid w:val="00807AA7"/>
    <w:rsid w:val="00807B3B"/>
    <w:rsid w:val="00807C98"/>
    <w:rsid w:val="00807D91"/>
    <w:rsid w:val="00807E97"/>
    <w:rsid w:val="0081026F"/>
    <w:rsid w:val="008102FD"/>
    <w:rsid w:val="008103B9"/>
    <w:rsid w:val="0081048E"/>
    <w:rsid w:val="00810575"/>
    <w:rsid w:val="008105B0"/>
    <w:rsid w:val="008105EC"/>
    <w:rsid w:val="0081064C"/>
    <w:rsid w:val="008106AB"/>
    <w:rsid w:val="008106E4"/>
    <w:rsid w:val="00810B4F"/>
    <w:rsid w:val="00810B5C"/>
    <w:rsid w:val="00810B8B"/>
    <w:rsid w:val="00810C44"/>
    <w:rsid w:val="00810DEC"/>
    <w:rsid w:val="00810E23"/>
    <w:rsid w:val="008112DF"/>
    <w:rsid w:val="008113FE"/>
    <w:rsid w:val="0081156E"/>
    <w:rsid w:val="00811709"/>
    <w:rsid w:val="0081176F"/>
    <w:rsid w:val="008119AD"/>
    <w:rsid w:val="00811A6A"/>
    <w:rsid w:val="00811BB8"/>
    <w:rsid w:val="00811D77"/>
    <w:rsid w:val="00811E49"/>
    <w:rsid w:val="00811FE0"/>
    <w:rsid w:val="00812152"/>
    <w:rsid w:val="0081215E"/>
    <w:rsid w:val="008121AB"/>
    <w:rsid w:val="0081225E"/>
    <w:rsid w:val="0081229F"/>
    <w:rsid w:val="0081231C"/>
    <w:rsid w:val="00812344"/>
    <w:rsid w:val="008123D6"/>
    <w:rsid w:val="0081268B"/>
    <w:rsid w:val="008128C5"/>
    <w:rsid w:val="00812936"/>
    <w:rsid w:val="00812AAA"/>
    <w:rsid w:val="00812AB4"/>
    <w:rsid w:val="00812B60"/>
    <w:rsid w:val="00812C66"/>
    <w:rsid w:val="008131E2"/>
    <w:rsid w:val="00813204"/>
    <w:rsid w:val="008132DD"/>
    <w:rsid w:val="008134DB"/>
    <w:rsid w:val="00813978"/>
    <w:rsid w:val="00813A9C"/>
    <w:rsid w:val="00813F05"/>
    <w:rsid w:val="008142ED"/>
    <w:rsid w:val="008143D9"/>
    <w:rsid w:val="00814841"/>
    <w:rsid w:val="0081493F"/>
    <w:rsid w:val="008149A3"/>
    <w:rsid w:val="00814AA7"/>
    <w:rsid w:val="00814BEB"/>
    <w:rsid w:val="00814C9E"/>
    <w:rsid w:val="00814CDB"/>
    <w:rsid w:val="00814CE5"/>
    <w:rsid w:val="0081508A"/>
    <w:rsid w:val="008153E4"/>
    <w:rsid w:val="0081550F"/>
    <w:rsid w:val="00815516"/>
    <w:rsid w:val="008157D0"/>
    <w:rsid w:val="008157FC"/>
    <w:rsid w:val="00815968"/>
    <w:rsid w:val="008159E0"/>
    <w:rsid w:val="00815A35"/>
    <w:rsid w:val="00815AA4"/>
    <w:rsid w:val="00815AEC"/>
    <w:rsid w:val="00815C45"/>
    <w:rsid w:val="00815EAD"/>
    <w:rsid w:val="00816240"/>
    <w:rsid w:val="00816254"/>
    <w:rsid w:val="008162D3"/>
    <w:rsid w:val="0081630B"/>
    <w:rsid w:val="00816415"/>
    <w:rsid w:val="008164BC"/>
    <w:rsid w:val="00816515"/>
    <w:rsid w:val="00816612"/>
    <w:rsid w:val="0081665D"/>
    <w:rsid w:val="008166DB"/>
    <w:rsid w:val="008166FD"/>
    <w:rsid w:val="0081682F"/>
    <w:rsid w:val="00816833"/>
    <w:rsid w:val="00816849"/>
    <w:rsid w:val="0081684A"/>
    <w:rsid w:val="00816850"/>
    <w:rsid w:val="008169A4"/>
    <w:rsid w:val="00816A19"/>
    <w:rsid w:val="00816ADD"/>
    <w:rsid w:val="00816AE7"/>
    <w:rsid w:val="00816C61"/>
    <w:rsid w:val="008175E1"/>
    <w:rsid w:val="0081774D"/>
    <w:rsid w:val="00817923"/>
    <w:rsid w:val="008179C0"/>
    <w:rsid w:val="00817A0B"/>
    <w:rsid w:val="00817A51"/>
    <w:rsid w:val="00817AD0"/>
    <w:rsid w:val="00817C07"/>
    <w:rsid w:val="0082000B"/>
    <w:rsid w:val="008200E7"/>
    <w:rsid w:val="00820538"/>
    <w:rsid w:val="00820593"/>
    <w:rsid w:val="008207C6"/>
    <w:rsid w:val="00820929"/>
    <w:rsid w:val="00820CEE"/>
    <w:rsid w:val="00820D71"/>
    <w:rsid w:val="00820DA0"/>
    <w:rsid w:val="00821073"/>
    <w:rsid w:val="00821407"/>
    <w:rsid w:val="008214C5"/>
    <w:rsid w:val="00821599"/>
    <w:rsid w:val="0082165B"/>
    <w:rsid w:val="00821B7F"/>
    <w:rsid w:val="00821BB1"/>
    <w:rsid w:val="00821C16"/>
    <w:rsid w:val="00821CC8"/>
    <w:rsid w:val="00821CE7"/>
    <w:rsid w:val="00821D20"/>
    <w:rsid w:val="00821D7B"/>
    <w:rsid w:val="00821FD7"/>
    <w:rsid w:val="00821FFE"/>
    <w:rsid w:val="008221BD"/>
    <w:rsid w:val="008224BA"/>
    <w:rsid w:val="00822750"/>
    <w:rsid w:val="00822834"/>
    <w:rsid w:val="008228C5"/>
    <w:rsid w:val="00822979"/>
    <w:rsid w:val="008229D1"/>
    <w:rsid w:val="00822A28"/>
    <w:rsid w:val="00822A79"/>
    <w:rsid w:val="00822A96"/>
    <w:rsid w:val="00822AAB"/>
    <w:rsid w:val="00822F0A"/>
    <w:rsid w:val="00822F34"/>
    <w:rsid w:val="0082306E"/>
    <w:rsid w:val="00823275"/>
    <w:rsid w:val="00823352"/>
    <w:rsid w:val="008237D4"/>
    <w:rsid w:val="00823D3F"/>
    <w:rsid w:val="00823D4C"/>
    <w:rsid w:val="00824025"/>
    <w:rsid w:val="0082403B"/>
    <w:rsid w:val="00824157"/>
    <w:rsid w:val="008242DD"/>
    <w:rsid w:val="008242FE"/>
    <w:rsid w:val="00824966"/>
    <w:rsid w:val="008249C6"/>
    <w:rsid w:val="00824B6F"/>
    <w:rsid w:val="00824C0D"/>
    <w:rsid w:val="00824D51"/>
    <w:rsid w:val="00824E07"/>
    <w:rsid w:val="0082500F"/>
    <w:rsid w:val="008250CA"/>
    <w:rsid w:val="008252AC"/>
    <w:rsid w:val="0082530E"/>
    <w:rsid w:val="008253BB"/>
    <w:rsid w:val="008253D5"/>
    <w:rsid w:val="00825459"/>
    <w:rsid w:val="0082551F"/>
    <w:rsid w:val="00825539"/>
    <w:rsid w:val="00825551"/>
    <w:rsid w:val="008255D5"/>
    <w:rsid w:val="0082563D"/>
    <w:rsid w:val="0082566F"/>
    <w:rsid w:val="00825771"/>
    <w:rsid w:val="00825832"/>
    <w:rsid w:val="00825B56"/>
    <w:rsid w:val="00825DEA"/>
    <w:rsid w:val="00825E07"/>
    <w:rsid w:val="00826073"/>
    <w:rsid w:val="008261B4"/>
    <w:rsid w:val="00826235"/>
    <w:rsid w:val="00826327"/>
    <w:rsid w:val="0082639C"/>
    <w:rsid w:val="008265CD"/>
    <w:rsid w:val="00826872"/>
    <w:rsid w:val="008268B6"/>
    <w:rsid w:val="00826934"/>
    <w:rsid w:val="00826B2D"/>
    <w:rsid w:val="00826C28"/>
    <w:rsid w:val="00826F16"/>
    <w:rsid w:val="00826F25"/>
    <w:rsid w:val="008271DE"/>
    <w:rsid w:val="0082731F"/>
    <w:rsid w:val="00827687"/>
    <w:rsid w:val="00827729"/>
    <w:rsid w:val="00827EA6"/>
    <w:rsid w:val="00827F9B"/>
    <w:rsid w:val="00830005"/>
    <w:rsid w:val="00830129"/>
    <w:rsid w:val="00830307"/>
    <w:rsid w:val="0083043B"/>
    <w:rsid w:val="008304BD"/>
    <w:rsid w:val="008306B2"/>
    <w:rsid w:val="008309BA"/>
    <w:rsid w:val="008309BD"/>
    <w:rsid w:val="00830AFB"/>
    <w:rsid w:val="00830C57"/>
    <w:rsid w:val="00830DD5"/>
    <w:rsid w:val="00830DF3"/>
    <w:rsid w:val="008315CB"/>
    <w:rsid w:val="008315D4"/>
    <w:rsid w:val="00831962"/>
    <w:rsid w:val="008319F5"/>
    <w:rsid w:val="00831A19"/>
    <w:rsid w:val="00831A27"/>
    <w:rsid w:val="00831AB9"/>
    <w:rsid w:val="00831B80"/>
    <w:rsid w:val="00831C85"/>
    <w:rsid w:val="00831CA3"/>
    <w:rsid w:val="00831CD1"/>
    <w:rsid w:val="00831D19"/>
    <w:rsid w:val="00831DB0"/>
    <w:rsid w:val="00832285"/>
    <w:rsid w:val="00832305"/>
    <w:rsid w:val="00832390"/>
    <w:rsid w:val="008325AD"/>
    <w:rsid w:val="00832630"/>
    <w:rsid w:val="00832C45"/>
    <w:rsid w:val="00832C78"/>
    <w:rsid w:val="00832D6C"/>
    <w:rsid w:val="00832E34"/>
    <w:rsid w:val="00832EB2"/>
    <w:rsid w:val="00832F08"/>
    <w:rsid w:val="00832F2E"/>
    <w:rsid w:val="00832FAE"/>
    <w:rsid w:val="0083308A"/>
    <w:rsid w:val="0083309C"/>
    <w:rsid w:val="0083320D"/>
    <w:rsid w:val="0083331B"/>
    <w:rsid w:val="00833786"/>
    <w:rsid w:val="00833B95"/>
    <w:rsid w:val="008343DB"/>
    <w:rsid w:val="00834511"/>
    <w:rsid w:val="00834535"/>
    <w:rsid w:val="008346DF"/>
    <w:rsid w:val="00834A0B"/>
    <w:rsid w:val="00834B6C"/>
    <w:rsid w:val="00834CD8"/>
    <w:rsid w:val="00834CDA"/>
    <w:rsid w:val="00834EC0"/>
    <w:rsid w:val="00834F37"/>
    <w:rsid w:val="00835031"/>
    <w:rsid w:val="00835072"/>
    <w:rsid w:val="00835127"/>
    <w:rsid w:val="008351A8"/>
    <w:rsid w:val="008352CF"/>
    <w:rsid w:val="008354C7"/>
    <w:rsid w:val="008355F5"/>
    <w:rsid w:val="00835615"/>
    <w:rsid w:val="008356CE"/>
    <w:rsid w:val="0083582D"/>
    <w:rsid w:val="008358A3"/>
    <w:rsid w:val="008358CA"/>
    <w:rsid w:val="0083593D"/>
    <w:rsid w:val="00835C7E"/>
    <w:rsid w:val="00835F44"/>
    <w:rsid w:val="0083614B"/>
    <w:rsid w:val="00836183"/>
    <w:rsid w:val="00836204"/>
    <w:rsid w:val="00836A3C"/>
    <w:rsid w:val="00836B1E"/>
    <w:rsid w:val="00836B74"/>
    <w:rsid w:val="00837101"/>
    <w:rsid w:val="00837311"/>
    <w:rsid w:val="00837319"/>
    <w:rsid w:val="00837833"/>
    <w:rsid w:val="00837865"/>
    <w:rsid w:val="0083797E"/>
    <w:rsid w:val="00837A2A"/>
    <w:rsid w:val="00837B37"/>
    <w:rsid w:val="00837DA8"/>
    <w:rsid w:val="00837E30"/>
    <w:rsid w:val="00837E93"/>
    <w:rsid w:val="00837F9E"/>
    <w:rsid w:val="00837FCD"/>
    <w:rsid w:val="00837FE0"/>
    <w:rsid w:val="00840085"/>
    <w:rsid w:val="008401E1"/>
    <w:rsid w:val="008402B0"/>
    <w:rsid w:val="00840410"/>
    <w:rsid w:val="008404D8"/>
    <w:rsid w:val="0084058E"/>
    <w:rsid w:val="00840A1F"/>
    <w:rsid w:val="00840E22"/>
    <w:rsid w:val="008410A6"/>
    <w:rsid w:val="008410FE"/>
    <w:rsid w:val="0084125B"/>
    <w:rsid w:val="008414FF"/>
    <w:rsid w:val="00841507"/>
    <w:rsid w:val="00841562"/>
    <w:rsid w:val="008417AC"/>
    <w:rsid w:val="008418AC"/>
    <w:rsid w:val="00841E44"/>
    <w:rsid w:val="00841EB1"/>
    <w:rsid w:val="00841F2C"/>
    <w:rsid w:val="00841FB5"/>
    <w:rsid w:val="00841FCE"/>
    <w:rsid w:val="0084209E"/>
    <w:rsid w:val="008421CB"/>
    <w:rsid w:val="0084250D"/>
    <w:rsid w:val="008425BC"/>
    <w:rsid w:val="0084283C"/>
    <w:rsid w:val="0084283F"/>
    <w:rsid w:val="008429E6"/>
    <w:rsid w:val="00842A11"/>
    <w:rsid w:val="00842A2B"/>
    <w:rsid w:val="00842ADE"/>
    <w:rsid w:val="00842C04"/>
    <w:rsid w:val="00842C90"/>
    <w:rsid w:val="00842F3C"/>
    <w:rsid w:val="0084305C"/>
    <w:rsid w:val="00843101"/>
    <w:rsid w:val="00843286"/>
    <w:rsid w:val="00843593"/>
    <w:rsid w:val="00843614"/>
    <w:rsid w:val="0084368F"/>
    <w:rsid w:val="00843718"/>
    <w:rsid w:val="0084393B"/>
    <w:rsid w:val="00843A12"/>
    <w:rsid w:val="00843AB8"/>
    <w:rsid w:val="00843C3D"/>
    <w:rsid w:val="00843E20"/>
    <w:rsid w:val="00843E7E"/>
    <w:rsid w:val="00843FAE"/>
    <w:rsid w:val="00844403"/>
    <w:rsid w:val="0084440D"/>
    <w:rsid w:val="0084442B"/>
    <w:rsid w:val="008444BC"/>
    <w:rsid w:val="008445C5"/>
    <w:rsid w:val="00844625"/>
    <w:rsid w:val="00844647"/>
    <w:rsid w:val="00844728"/>
    <w:rsid w:val="008447F5"/>
    <w:rsid w:val="008448A8"/>
    <w:rsid w:val="0084491E"/>
    <w:rsid w:val="00844CAC"/>
    <w:rsid w:val="00844DA8"/>
    <w:rsid w:val="00844E8E"/>
    <w:rsid w:val="00844F61"/>
    <w:rsid w:val="00844F88"/>
    <w:rsid w:val="00845020"/>
    <w:rsid w:val="0084503A"/>
    <w:rsid w:val="00845202"/>
    <w:rsid w:val="00845605"/>
    <w:rsid w:val="00845713"/>
    <w:rsid w:val="0084571D"/>
    <w:rsid w:val="008457B8"/>
    <w:rsid w:val="008458DD"/>
    <w:rsid w:val="008458E7"/>
    <w:rsid w:val="0084594B"/>
    <w:rsid w:val="00845A6E"/>
    <w:rsid w:val="00845F03"/>
    <w:rsid w:val="00846352"/>
    <w:rsid w:val="00846382"/>
    <w:rsid w:val="00846488"/>
    <w:rsid w:val="00846C40"/>
    <w:rsid w:val="00846C87"/>
    <w:rsid w:val="00846CD1"/>
    <w:rsid w:val="00846D33"/>
    <w:rsid w:val="00846EB9"/>
    <w:rsid w:val="008470CE"/>
    <w:rsid w:val="00847186"/>
    <w:rsid w:val="0084719C"/>
    <w:rsid w:val="00847355"/>
    <w:rsid w:val="008473E5"/>
    <w:rsid w:val="00847616"/>
    <w:rsid w:val="0084784A"/>
    <w:rsid w:val="00847871"/>
    <w:rsid w:val="00847934"/>
    <w:rsid w:val="00847A67"/>
    <w:rsid w:val="00847B20"/>
    <w:rsid w:val="00847B38"/>
    <w:rsid w:val="00847BF6"/>
    <w:rsid w:val="00847CD0"/>
    <w:rsid w:val="00847D08"/>
    <w:rsid w:val="00847E3D"/>
    <w:rsid w:val="00847EC4"/>
    <w:rsid w:val="00847ECB"/>
    <w:rsid w:val="00847ED4"/>
    <w:rsid w:val="00847FA1"/>
    <w:rsid w:val="00850093"/>
    <w:rsid w:val="00850172"/>
    <w:rsid w:val="008503F5"/>
    <w:rsid w:val="00850447"/>
    <w:rsid w:val="00850736"/>
    <w:rsid w:val="00850888"/>
    <w:rsid w:val="00850CFD"/>
    <w:rsid w:val="00850ED0"/>
    <w:rsid w:val="00851131"/>
    <w:rsid w:val="008512BA"/>
    <w:rsid w:val="008513CD"/>
    <w:rsid w:val="008514E5"/>
    <w:rsid w:val="00851670"/>
    <w:rsid w:val="008517FF"/>
    <w:rsid w:val="008518BD"/>
    <w:rsid w:val="00851990"/>
    <w:rsid w:val="00851A07"/>
    <w:rsid w:val="00851AC7"/>
    <w:rsid w:val="00851B1A"/>
    <w:rsid w:val="00851B5F"/>
    <w:rsid w:val="00851CC6"/>
    <w:rsid w:val="00851D8D"/>
    <w:rsid w:val="00851DFB"/>
    <w:rsid w:val="00851F60"/>
    <w:rsid w:val="00851F79"/>
    <w:rsid w:val="00852137"/>
    <w:rsid w:val="008522C3"/>
    <w:rsid w:val="008523F5"/>
    <w:rsid w:val="008525DA"/>
    <w:rsid w:val="00852774"/>
    <w:rsid w:val="008528A7"/>
    <w:rsid w:val="00852A79"/>
    <w:rsid w:val="00852B5F"/>
    <w:rsid w:val="00852BDC"/>
    <w:rsid w:val="00852C2C"/>
    <w:rsid w:val="00852C2F"/>
    <w:rsid w:val="00852CDA"/>
    <w:rsid w:val="00852D0C"/>
    <w:rsid w:val="008530F6"/>
    <w:rsid w:val="00853314"/>
    <w:rsid w:val="008533CD"/>
    <w:rsid w:val="008534FB"/>
    <w:rsid w:val="00853553"/>
    <w:rsid w:val="00853788"/>
    <w:rsid w:val="008537C8"/>
    <w:rsid w:val="008538BA"/>
    <w:rsid w:val="008538CC"/>
    <w:rsid w:val="00853F0E"/>
    <w:rsid w:val="00853FB6"/>
    <w:rsid w:val="00854323"/>
    <w:rsid w:val="0085482A"/>
    <w:rsid w:val="008548EC"/>
    <w:rsid w:val="00854950"/>
    <w:rsid w:val="0085499B"/>
    <w:rsid w:val="00854B1C"/>
    <w:rsid w:val="00854B1F"/>
    <w:rsid w:val="00854CE7"/>
    <w:rsid w:val="00854D23"/>
    <w:rsid w:val="00854E6C"/>
    <w:rsid w:val="00854F8C"/>
    <w:rsid w:val="0085509D"/>
    <w:rsid w:val="0085535B"/>
    <w:rsid w:val="00855381"/>
    <w:rsid w:val="008553F6"/>
    <w:rsid w:val="00855403"/>
    <w:rsid w:val="0085553C"/>
    <w:rsid w:val="0085572B"/>
    <w:rsid w:val="0085574D"/>
    <w:rsid w:val="0085578C"/>
    <w:rsid w:val="0085592C"/>
    <w:rsid w:val="008559F0"/>
    <w:rsid w:val="00855A14"/>
    <w:rsid w:val="00855A9C"/>
    <w:rsid w:val="00855C12"/>
    <w:rsid w:val="008561D4"/>
    <w:rsid w:val="00856201"/>
    <w:rsid w:val="00856235"/>
    <w:rsid w:val="0085635E"/>
    <w:rsid w:val="00856604"/>
    <w:rsid w:val="0085666A"/>
    <w:rsid w:val="0085676F"/>
    <w:rsid w:val="00856875"/>
    <w:rsid w:val="00856AD0"/>
    <w:rsid w:val="00856BB9"/>
    <w:rsid w:val="00856E72"/>
    <w:rsid w:val="00856FF1"/>
    <w:rsid w:val="0085737D"/>
    <w:rsid w:val="00857423"/>
    <w:rsid w:val="0085746C"/>
    <w:rsid w:val="0085749B"/>
    <w:rsid w:val="00857687"/>
    <w:rsid w:val="008576DF"/>
    <w:rsid w:val="00857805"/>
    <w:rsid w:val="008578CE"/>
    <w:rsid w:val="00857A34"/>
    <w:rsid w:val="00857AB5"/>
    <w:rsid w:val="00860339"/>
    <w:rsid w:val="0086041D"/>
    <w:rsid w:val="008606AF"/>
    <w:rsid w:val="008609F7"/>
    <w:rsid w:val="00860C67"/>
    <w:rsid w:val="00860C94"/>
    <w:rsid w:val="00860D06"/>
    <w:rsid w:val="00860DF8"/>
    <w:rsid w:val="008610C6"/>
    <w:rsid w:val="008611D9"/>
    <w:rsid w:val="008611EE"/>
    <w:rsid w:val="008613C6"/>
    <w:rsid w:val="00861438"/>
    <w:rsid w:val="008614D9"/>
    <w:rsid w:val="00861626"/>
    <w:rsid w:val="008616E4"/>
    <w:rsid w:val="0086190D"/>
    <w:rsid w:val="0086192B"/>
    <w:rsid w:val="008619BA"/>
    <w:rsid w:val="00861D14"/>
    <w:rsid w:val="00861D6A"/>
    <w:rsid w:val="00861F5E"/>
    <w:rsid w:val="0086221D"/>
    <w:rsid w:val="0086223C"/>
    <w:rsid w:val="00862594"/>
    <w:rsid w:val="00862600"/>
    <w:rsid w:val="008626F4"/>
    <w:rsid w:val="0086270F"/>
    <w:rsid w:val="008627BD"/>
    <w:rsid w:val="008628BD"/>
    <w:rsid w:val="00862D36"/>
    <w:rsid w:val="00862D3B"/>
    <w:rsid w:val="00862F8C"/>
    <w:rsid w:val="0086317A"/>
    <w:rsid w:val="00863488"/>
    <w:rsid w:val="0086358B"/>
    <w:rsid w:val="0086360A"/>
    <w:rsid w:val="00863822"/>
    <w:rsid w:val="00863899"/>
    <w:rsid w:val="00863955"/>
    <w:rsid w:val="00863A34"/>
    <w:rsid w:val="00863A3C"/>
    <w:rsid w:val="00863D4A"/>
    <w:rsid w:val="00863D83"/>
    <w:rsid w:val="00863FA8"/>
    <w:rsid w:val="00863FB5"/>
    <w:rsid w:val="00864133"/>
    <w:rsid w:val="008641E7"/>
    <w:rsid w:val="008645E3"/>
    <w:rsid w:val="00864923"/>
    <w:rsid w:val="00864A3F"/>
    <w:rsid w:val="00864BF0"/>
    <w:rsid w:val="00864E35"/>
    <w:rsid w:val="00865267"/>
    <w:rsid w:val="008652C3"/>
    <w:rsid w:val="00865313"/>
    <w:rsid w:val="0086543C"/>
    <w:rsid w:val="008654C5"/>
    <w:rsid w:val="0086565A"/>
    <w:rsid w:val="008657FB"/>
    <w:rsid w:val="0086594E"/>
    <w:rsid w:val="0086595A"/>
    <w:rsid w:val="00865BB0"/>
    <w:rsid w:val="00866025"/>
    <w:rsid w:val="008661FC"/>
    <w:rsid w:val="00866422"/>
    <w:rsid w:val="00866475"/>
    <w:rsid w:val="008664F8"/>
    <w:rsid w:val="0086667B"/>
    <w:rsid w:val="00866980"/>
    <w:rsid w:val="008669CC"/>
    <w:rsid w:val="00866AA4"/>
    <w:rsid w:val="00866B83"/>
    <w:rsid w:val="00866C37"/>
    <w:rsid w:val="00866C53"/>
    <w:rsid w:val="00866D86"/>
    <w:rsid w:val="00866DA8"/>
    <w:rsid w:val="00866FA6"/>
    <w:rsid w:val="008671AF"/>
    <w:rsid w:val="008673B0"/>
    <w:rsid w:val="0086745A"/>
    <w:rsid w:val="00867507"/>
    <w:rsid w:val="008676C5"/>
    <w:rsid w:val="0086775B"/>
    <w:rsid w:val="00867A70"/>
    <w:rsid w:val="008701FA"/>
    <w:rsid w:val="0087020F"/>
    <w:rsid w:val="00870373"/>
    <w:rsid w:val="0087046B"/>
    <w:rsid w:val="00870614"/>
    <w:rsid w:val="00870630"/>
    <w:rsid w:val="00870883"/>
    <w:rsid w:val="00870921"/>
    <w:rsid w:val="00870A10"/>
    <w:rsid w:val="00870BC5"/>
    <w:rsid w:val="00870CBB"/>
    <w:rsid w:val="00870CF3"/>
    <w:rsid w:val="00870D82"/>
    <w:rsid w:val="0087102B"/>
    <w:rsid w:val="008710B3"/>
    <w:rsid w:val="0087114B"/>
    <w:rsid w:val="00871358"/>
    <w:rsid w:val="008713DD"/>
    <w:rsid w:val="008714B3"/>
    <w:rsid w:val="00871655"/>
    <w:rsid w:val="008716E4"/>
    <w:rsid w:val="00871D70"/>
    <w:rsid w:val="00871E6E"/>
    <w:rsid w:val="00871F6C"/>
    <w:rsid w:val="00871FDE"/>
    <w:rsid w:val="00871FF0"/>
    <w:rsid w:val="008720E4"/>
    <w:rsid w:val="00872213"/>
    <w:rsid w:val="0087222C"/>
    <w:rsid w:val="00872235"/>
    <w:rsid w:val="00872517"/>
    <w:rsid w:val="008725FA"/>
    <w:rsid w:val="008726F0"/>
    <w:rsid w:val="00872C11"/>
    <w:rsid w:val="00872C78"/>
    <w:rsid w:val="00872E7E"/>
    <w:rsid w:val="00872F52"/>
    <w:rsid w:val="00872FA7"/>
    <w:rsid w:val="0087304D"/>
    <w:rsid w:val="008730A3"/>
    <w:rsid w:val="008730B6"/>
    <w:rsid w:val="008731DA"/>
    <w:rsid w:val="00873345"/>
    <w:rsid w:val="008734D5"/>
    <w:rsid w:val="0087367A"/>
    <w:rsid w:val="00873A56"/>
    <w:rsid w:val="00873BAF"/>
    <w:rsid w:val="00873EC1"/>
    <w:rsid w:val="00873FA0"/>
    <w:rsid w:val="0087410A"/>
    <w:rsid w:val="008741D9"/>
    <w:rsid w:val="00874355"/>
    <w:rsid w:val="008743EB"/>
    <w:rsid w:val="008744CF"/>
    <w:rsid w:val="008745BF"/>
    <w:rsid w:val="00874647"/>
    <w:rsid w:val="00874882"/>
    <w:rsid w:val="00874D9B"/>
    <w:rsid w:val="00874DDC"/>
    <w:rsid w:val="00874DE1"/>
    <w:rsid w:val="00874E88"/>
    <w:rsid w:val="00874F60"/>
    <w:rsid w:val="0087502C"/>
    <w:rsid w:val="00875068"/>
    <w:rsid w:val="008751B0"/>
    <w:rsid w:val="0087545D"/>
    <w:rsid w:val="00875660"/>
    <w:rsid w:val="00875712"/>
    <w:rsid w:val="008757C8"/>
    <w:rsid w:val="00875A20"/>
    <w:rsid w:val="00875B55"/>
    <w:rsid w:val="00875C66"/>
    <w:rsid w:val="00875CF9"/>
    <w:rsid w:val="00876075"/>
    <w:rsid w:val="008760D3"/>
    <w:rsid w:val="0087639D"/>
    <w:rsid w:val="0087664E"/>
    <w:rsid w:val="00876654"/>
    <w:rsid w:val="00876766"/>
    <w:rsid w:val="008769C0"/>
    <w:rsid w:val="00876A87"/>
    <w:rsid w:val="00876B17"/>
    <w:rsid w:val="00876CA9"/>
    <w:rsid w:val="00876CDE"/>
    <w:rsid w:val="00876D20"/>
    <w:rsid w:val="00876D4F"/>
    <w:rsid w:val="00876D8F"/>
    <w:rsid w:val="00876DFC"/>
    <w:rsid w:val="00877097"/>
    <w:rsid w:val="0087714D"/>
    <w:rsid w:val="008772FF"/>
    <w:rsid w:val="0087731E"/>
    <w:rsid w:val="0087743D"/>
    <w:rsid w:val="008775ED"/>
    <w:rsid w:val="008775FC"/>
    <w:rsid w:val="00877C1C"/>
    <w:rsid w:val="00877C4B"/>
    <w:rsid w:val="00877D29"/>
    <w:rsid w:val="00877DAE"/>
    <w:rsid w:val="00877E27"/>
    <w:rsid w:val="00877E3D"/>
    <w:rsid w:val="00877E92"/>
    <w:rsid w:val="00877EA4"/>
    <w:rsid w:val="00877EBC"/>
    <w:rsid w:val="00877F7E"/>
    <w:rsid w:val="0088002D"/>
    <w:rsid w:val="0088015D"/>
    <w:rsid w:val="008802C5"/>
    <w:rsid w:val="00880369"/>
    <w:rsid w:val="0088048B"/>
    <w:rsid w:val="008805A7"/>
    <w:rsid w:val="0088060E"/>
    <w:rsid w:val="0088063D"/>
    <w:rsid w:val="00880697"/>
    <w:rsid w:val="00880721"/>
    <w:rsid w:val="008807A7"/>
    <w:rsid w:val="008807EF"/>
    <w:rsid w:val="00880937"/>
    <w:rsid w:val="00880B38"/>
    <w:rsid w:val="00880C86"/>
    <w:rsid w:val="00880EF4"/>
    <w:rsid w:val="008810B8"/>
    <w:rsid w:val="008815F5"/>
    <w:rsid w:val="00881685"/>
    <w:rsid w:val="008817F5"/>
    <w:rsid w:val="0088183C"/>
    <w:rsid w:val="00881A9A"/>
    <w:rsid w:val="00881B76"/>
    <w:rsid w:val="00881BBD"/>
    <w:rsid w:val="00881FE6"/>
    <w:rsid w:val="0088201A"/>
    <w:rsid w:val="0088220F"/>
    <w:rsid w:val="008823D5"/>
    <w:rsid w:val="0088259D"/>
    <w:rsid w:val="00882676"/>
    <w:rsid w:val="0088270F"/>
    <w:rsid w:val="00882F37"/>
    <w:rsid w:val="00883099"/>
    <w:rsid w:val="00883272"/>
    <w:rsid w:val="008832ED"/>
    <w:rsid w:val="0088343F"/>
    <w:rsid w:val="008834A1"/>
    <w:rsid w:val="0088365E"/>
    <w:rsid w:val="00883896"/>
    <w:rsid w:val="00883D1A"/>
    <w:rsid w:val="00883E74"/>
    <w:rsid w:val="00883FC4"/>
    <w:rsid w:val="00884522"/>
    <w:rsid w:val="008847F0"/>
    <w:rsid w:val="00884BC7"/>
    <w:rsid w:val="00884E65"/>
    <w:rsid w:val="00884EA5"/>
    <w:rsid w:val="00884FAC"/>
    <w:rsid w:val="00884FF9"/>
    <w:rsid w:val="008851F0"/>
    <w:rsid w:val="00885204"/>
    <w:rsid w:val="00885292"/>
    <w:rsid w:val="008852E3"/>
    <w:rsid w:val="00885533"/>
    <w:rsid w:val="0088555C"/>
    <w:rsid w:val="0088559D"/>
    <w:rsid w:val="00885706"/>
    <w:rsid w:val="00885A0D"/>
    <w:rsid w:val="00885A9F"/>
    <w:rsid w:val="00885ADA"/>
    <w:rsid w:val="00885F3C"/>
    <w:rsid w:val="00886230"/>
    <w:rsid w:val="008863CD"/>
    <w:rsid w:val="008864C4"/>
    <w:rsid w:val="0088658F"/>
    <w:rsid w:val="00886632"/>
    <w:rsid w:val="00886657"/>
    <w:rsid w:val="008867C6"/>
    <w:rsid w:val="00886A8A"/>
    <w:rsid w:val="00886AED"/>
    <w:rsid w:val="00886BD6"/>
    <w:rsid w:val="00886D63"/>
    <w:rsid w:val="00886D92"/>
    <w:rsid w:val="00886DC3"/>
    <w:rsid w:val="00886F31"/>
    <w:rsid w:val="00887101"/>
    <w:rsid w:val="008871C5"/>
    <w:rsid w:val="00887317"/>
    <w:rsid w:val="00887328"/>
    <w:rsid w:val="0088746B"/>
    <w:rsid w:val="0088755B"/>
    <w:rsid w:val="008876A4"/>
    <w:rsid w:val="0088780C"/>
    <w:rsid w:val="00887829"/>
    <w:rsid w:val="00887A26"/>
    <w:rsid w:val="00887ACC"/>
    <w:rsid w:val="00887B9F"/>
    <w:rsid w:val="00887C51"/>
    <w:rsid w:val="00887CD6"/>
    <w:rsid w:val="00887E6B"/>
    <w:rsid w:val="008900D1"/>
    <w:rsid w:val="0089014C"/>
    <w:rsid w:val="00890364"/>
    <w:rsid w:val="008905E4"/>
    <w:rsid w:val="00890674"/>
    <w:rsid w:val="008906CC"/>
    <w:rsid w:val="00890734"/>
    <w:rsid w:val="0089073C"/>
    <w:rsid w:val="00890785"/>
    <w:rsid w:val="00890A12"/>
    <w:rsid w:val="00890BB3"/>
    <w:rsid w:val="00890C98"/>
    <w:rsid w:val="00890CCE"/>
    <w:rsid w:val="00890DAA"/>
    <w:rsid w:val="00890EF9"/>
    <w:rsid w:val="00890F69"/>
    <w:rsid w:val="0089110D"/>
    <w:rsid w:val="00891113"/>
    <w:rsid w:val="008912DA"/>
    <w:rsid w:val="00891314"/>
    <w:rsid w:val="0089143C"/>
    <w:rsid w:val="0089145E"/>
    <w:rsid w:val="00891557"/>
    <w:rsid w:val="008916B0"/>
    <w:rsid w:val="0089176E"/>
    <w:rsid w:val="00891907"/>
    <w:rsid w:val="008919D5"/>
    <w:rsid w:val="00891B47"/>
    <w:rsid w:val="00891CCA"/>
    <w:rsid w:val="00891DFA"/>
    <w:rsid w:val="00891E0E"/>
    <w:rsid w:val="00891FDD"/>
    <w:rsid w:val="00892269"/>
    <w:rsid w:val="0089233D"/>
    <w:rsid w:val="00892344"/>
    <w:rsid w:val="0089244F"/>
    <w:rsid w:val="00892471"/>
    <w:rsid w:val="00892669"/>
    <w:rsid w:val="00892748"/>
    <w:rsid w:val="00892756"/>
    <w:rsid w:val="0089282F"/>
    <w:rsid w:val="008929EE"/>
    <w:rsid w:val="00892AB8"/>
    <w:rsid w:val="00892B2C"/>
    <w:rsid w:val="00893017"/>
    <w:rsid w:val="00893590"/>
    <w:rsid w:val="008935C7"/>
    <w:rsid w:val="00893714"/>
    <w:rsid w:val="008937BB"/>
    <w:rsid w:val="0089386B"/>
    <w:rsid w:val="008938FB"/>
    <w:rsid w:val="008939F9"/>
    <w:rsid w:val="00893C2E"/>
    <w:rsid w:val="00893C39"/>
    <w:rsid w:val="00893D52"/>
    <w:rsid w:val="00893F02"/>
    <w:rsid w:val="008940F7"/>
    <w:rsid w:val="0089436E"/>
    <w:rsid w:val="00894530"/>
    <w:rsid w:val="008946FC"/>
    <w:rsid w:val="00894768"/>
    <w:rsid w:val="00894857"/>
    <w:rsid w:val="00894862"/>
    <w:rsid w:val="00894A12"/>
    <w:rsid w:val="00894C87"/>
    <w:rsid w:val="00894E3C"/>
    <w:rsid w:val="00894E89"/>
    <w:rsid w:val="00895144"/>
    <w:rsid w:val="0089535A"/>
    <w:rsid w:val="008953C0"/>
    <w:rsid w:val="00895511"/>
    <w:rsid w:val="00895594"/>
    <w:rsid w:val="008955A2"/>
    <w:rsid w:val="0089567A"/>
    <w:rsid w:val="0089569D"/>
    <w:rsid w:val="0089578B"/>
    <w:rsid w:val="00895979"/>
    <w:rsid w:val="008959B2"/>
    <w:rsid w:val="00895B16"/>
    <w:rsid w:val="00895D34"/>
    <w:rsid w:val="00895E4C"/>
    <w:rsid w:val="008960C4"/>
    <w:rsid w:val="00896139"/>
    <w:rsid w:val="00896140"/>
    <w:rsid w:val="00896709"/>
    <w:rsid w:val="008967E7"/>
    <w:rsid w:val="00896C3D"/>
    <w:rsid w:val="00896D8D"/>
    <w:rsid w:val="00896FAE"/>
    <w:rsid w:val="0089710C"/>
    <w:rsid w:val="008973A4"/>
    <w:rsid w:val="00897490"/>
    <w:rsid w:val="00897540"/>
    <w:rsid w:val="0089764D"/>
    <w:rsid w:val="0089785D"/>
    <w:rsid w:val="008978C0"/>
    <w:rsid w:val="00897C95"/>
    <w:rsid w:val="00897F3F"/>
    <w:rsid w:val="00897F44"/>
    <w:rsid w:val="008A011C"/>
    <w:rsid w:val="008A0402"/>
    <w:rsid w:val="008A0413"/>
    <w:rsid w:val="008A04B6"/>
    <w:rsid w:val="008A0C30"/>
    <w:rsid w:val="008A0C96"/>
    <w:rsid w:val="008A0D4A"/>
    <w:rsid w:val="008A0F39"/>
    <w:rsid w:val="008A0F96"/>
    <w:rsid w:val="008A11F7"/>
    <w:rsid w:val="008A1221"/>
    <w:rsid w:val="008A1494"/>
    <w:rsid w:val="008A1500"/>
    <w:rsid w:val="008A1596"/>
    <w:rsid w:val="008A1605"/>
    <w:rsid w:val="008A1620"/>
    <w:rsid w:val="008A1703"/>
    <w:rsid w:val="008A175F"/>
    <w:rsid w:val="008A1DA3"/>
    <w:rsid w:val="008A1E8A"/>
    <w:rsid w:val="008A20D6"/>
    <w:rsid w:val="008A2228"/>
    <w:rsid w:val="008A223E"/>
    <w:rsid w:val="008A23A7"/>
    <w:rsid w:val="008A273B"/>
    <w:rsid w:val="008A279E"/>
    <w:rsid w:val="008A2B2C"/>
    <w:rsid w:val="008A2E03"/>
    <w:rsid w:val="008A3138"/>
    <w:rsid w:val="008A326E"/>
    <w:rsid w:val="008A334D"/>
    <w:rsid w:val="008A3561"/>
    <w:rsid w:val="008A35BF"/>
    <w:rsid w:val="008A38C8"/>
    <w:rsid w:val="008A3A09"/>
    <w:rsid w:val="008A3A3A"/>
    <w:rsid w:val="008A3A62"/>
    <w:rsid w:val="008A3ADC"/>
    <w:rsid w:val="008A3F96"/>
    <w:rsid w:val="008A40D1"/>
    <w:rsid w:val="008A425C"/>
    <w:rsid w:val="008A46F3"/>
    <w:rsid w:val="008A46F5"/>
    <w:rsid w:val="008A47F2"/>
    <w:rsid w:val="008A4849"/>
    <w:rsid w:val="008A491F"/>
    <w:rsid w:val="008A4A88"/>
    <w:rsid w:val="008A4AD3"/>
    <w:rsid w:val="008A4E67"/>
    <w:rsid w:val="008A4FB9"/>
    <w:rsid w:val="008A5076"/>
    <w:rsid w:val="008A5154"/>
    <w:rsid w:val="008A54AF"/>
    <w:rsid w:val="008A5638"/>
    <w:rsid w:val="008A577A"/>
    <w:rsid w:val="008A58F6"/>
    <w:rsid w:val="008A58FF"/>
    <w:rsid w:val="008A590C"/>
    <w:rsid w:val="008A5928"/>
    <w:rsid w:val="008A5956"/>
    <w:rsid w:val="008A5CCC"/>
    <w:rsid w:val="008A5D5A"/>
    <w:rsid w:val="008A5E14"/>
    <w:rsid w:val="008A5EEF"/>
    <w:rsid w:val="008A5F0F"/>
    <w:rsid w:val="008A6201"/>
    <w:rsid w:val="008A63BF"/>
    <w:rsid w:val="008A64FC"/>
    <w:rsid w:val="008A6548"/>
    <w:rsid w:val="008A658D"/>
    <w:rsid w:val="008A6783"/>
    <w:rsid w:val="008A681A"/>
    <w:rsid w:val="008A6945"/>
    <w:rsid w:val="008A69C9"/>
    <w:rsid w:val="008A6ABF"/>
    <w:rsid w:val="008A6B06"/>
    <w:rsid w:val="008A6C3C"/>
    <w:rsid w:val="008A6CEC"/>
    <w:rsid w:val="008A70BA"/>
    <w:rsid w:val="008A74E0"/>
    <w:rsid w:val="008A7A7C"/>
    <w:rsid w:val="008A7C4D"/>
    <w:rsid w:val="008A7CBE"/>
    <w:rsid w:val="008A7E35"/>
    <w:rsid w:val="008B00BA"/>
    <w:rsid w:val="008B0357"/>
    <w:rsid w:val="008B03F1"/>
    <w:rsid w:val="008B03F8"/>
    <w:rsid w:val="008B0499"/>
    <w:rsid w:val="008B05F4"/>
    <w:rsid w:val="008B066C"/>
    <w:rsid w:val="008B07BA"/>
    <w:rsid w:val="008B0999"/>
    <w:rsid w:val="008B099C"/>
    <w:rsid w:val="008B09FD"/>
    <w:rsid w:val="008B0A27"/>
    <w:rsid w:val="008B0CF0"/>
    <w:rsid w:val="008B0D18"/>
    <w:rsid w:val="008B117A"/>
    <w:rsid w:val="008B1422"/>
    <w:rsid w:val="008B19CD"/>
    <w:rsid w:val="008B1A4D"/>
    <w:rsid w:val="008B1ADE"/>
    <w:rsid w:val="008B1F07"/>
    <w:rsid w:val="008B1F18"/>
    <w:rsid w:val="008B1FB4"/>
    <w:rsid w:val="008B2037"/>
    <w:rsid w:val="008B2058"/>
    <w:rsid w:val="008B20B4"/>
    <w:rsid w:val="008B20C6"/>
    <w:rsid w:val="008B228E"/>
    <w:rsid w:val="008B22A9"/>
    <w:rsid w:val="008B23C0"/>
    <w:rsid w:val="008B241D"/>
    <w:rsid w:val="008B25F7"/>
    <w:rsid w:val="008B2A5D"/>
    <w:rsid w:val="008B2A6C"/>
    <w:rsid w:val="008B2B05"/>
    <w:rsid w:val="008B2B4B"/>
    <w:rsid w:val="008B2BC6"/>
    <w:rsid w:val="008B2C2D"/>
    <w:rsid w:val="008B2DA1"/>
    <w:rsid w:val="008B2F6F"/>
    <w:rsid w:val="008B300D"/>
    <w:rsid w:val="008B30E0"/>
    <w:rsid w:val="008B31ED"/>
    <w:rsid w:val="008B3294"/>
    <w:rsid w:val="008B3298"/>
    <w:rsid w:val="008B345F"/>
    <w:rsid w:val="008B3569"/>
    <w:rsid w:val="008B35D8"/>
    <w:rsid w:val="008B3624"/>
    <w:rsid w:val="008B3C78"/>
    <w:rsid w:val="008B3E2E"/>
    <w:rsid w:val="008B3EB1"/>
    <w:rsid w:val="008B3F65"/>
    <w:rsid w:val="008B41D5"/>
    <w:rsid w:val="008B436D"/>
    <w:rsid w:val="008B4426"/>
    <w:rsid w:val="008B4442"/>
    <w:rsid w:val="008B44B3"/>
    <w:rsid w:val="008B4806"/>
    <w:rsid w:val="008B49BB"/>
    <w:rsid w:val="008B4A68"/>
    <w:rsid w:val="008B4BA3"/>
    <w:rsid w:val="008B4DCF"/>
    <w:rsid w:val="008B5085"/>
    <w:rsid w:val="008B50DA"/>
    <w:rsid w:val="008B5249"/>
    <w:rsid w:val="008B525B"/>
    <w:rsid w:val="008B5544"/>
    <w:rsid w:val="008B55CB"/>
    <w:rsid w:val="008B566A"/>
    <w:rsid w:val="008B5929"/>
    <w:rsid w:val="008B59B0"/>
    <w:rsid w:val="008B5A73"/>
    <w:rsid w:val="008B5ABD"/>
    <w:rsid w:val="008B5BFE"/>
    <w:rsid w:val="008B5CDE"/>
    <w:rsid w:val="008B5CE2"/>
    <w:rsid w:val="008B5EB5"/>
    <w:rsid w:val="008B5F72"/>
    <w:rsid w:val="008B60F0"/>
    <w:rsid w:val="008B618E"/>
    <w:rsid w:val="008B6366"/>
    <w:rsid w:val="008B6603"/>
    <w:rsid w:val="008B66A6"/>
    <w:rsid w:val="008B66E8"/>
    <w:rsid w:val="008B67F4"/>
    <w:rsid w:val="008B69A9"/>
    <w:rsid w:val="008B6A06"/>
    <w:rsid w:val="008B6C48"/>
    <w:rsid w:val="008B6D91"/>
    <w:rsid w:val="008B6F01"/>
    <w:rsid w:val="008B71DF"/>
    <w:rsid w:val="008B73A6"/>
    <w:rsid w:val="008B7493"/>
    <w:rsid w:val="008B76FD"/>
    <w:rsid w:val="008B7B97"/>
    <w:rsid w:val="008B7E75"/>
    <w:rsid w:val="008C00A7"/>
    <w:rsid w:val="008C031D"/>
    <w:rsid w:val="008C0540"/>
    <w:rsid w:val="008C08B0"/>
    <w:rsid w:val="008C0AD1"/>
    <w:rsid w:val="008C0BE3"/>
    <w:rsid w:val="008C0C5F"/>
    <w:rsid w:val="008C0D25"/>
    <w:rsid w:val="008C0DD5"/>
    <w:rsid w:val="008C0DD7"/>
    <w:rsid w:val="008C1010"/>
    <w:rsid w:val="008C10B5"/>
    <w:rsid w:val="008C10D3"/>
    <w:rsid w:val="008C11D2"/>
    <w:rsid w:val="008C13E0"/>
    <w:rsid w:val="008C1420"/>
    <w:rsid w:val="008C1569"/>
    <w:rsid w:val="008C1598"/>
    <w:rsid w:val="008C1708"/>
    <w:rsid w:val="008C1742"/>
    <w:rsid w:val="008C1782"/>
    <w:rsid w:val="008C1A56"/>
    <w:rsid w:val="008C1AB4"/>
    <w:rsid w:val="008C1B65"/>
    <w:rsid w:val="008C1C97"/>
    <w:rsid w:val="008C1DF4"/>
    <w:rsid w:val="008C1E94"/>
    <w:rsid w:val="008C1EFD"/>
    <w:rsid w:val="008C216B"/>
    <w:rsid w:val="008C2195"/>
    <w:rsid w:val="008C223B"/>
    <w:rsid w:val="008C231D"/>
    <w:rsid w:val="008C2437"/>
    <w:rsid w:val="008C2713"/>
    <w:rsid w:val="008C27D0"/>
    <w:rsid w:val="008C28C8"/>
    <w:rsid w:val="008C2ADE"/>
    <w:rsid w:val="008C2BED"/>
    <w:rsid w:val="008C2C64"/>
    <w:rsid w:val="008C2D8D"/>
    <w:rsid w:val="008C2DDD"/>
    <w:rsid w:val="008C30BD"/>
    <w:rsid w:val="008C311E"/>
    <w:rsid w:val="008C35A1"/>
    <w:rsid w:val="008C36D6"/>
    <w:rsid w:val="008C376B"/>
    <w:rsid w:val="008C379E"/>
    <w:rsid w:val="008C3936"/>
    <w:rsid w:val="008C3B34"/>
    <w:rsid w:val="008C3B47"/>
    <w:rsid w:val="008C3E66"/>
    <w:rsid w:val="008C3F61"/>
    <w:rsid w:val="008C4148"/>
    <w:rsid w:val="008C4428"/>
    <w:rsid w:val="008C489B"/>
    <w:rsid w:val="008C48F2"/>
    <w:rsid w:val="008C4A64"/>
    <w:rsid w:val="008C4A9B"/>
    <w:rsid w:val="008C4AB0"/>
    <w:rsid w:val="008C4C8E"/>
    <w:rsid w:val="008C4D8B"/>
    <w:rsid w:val="008C52CD"/>
    <w:rsid w:val="008C5455"/>
    <w:rsid w:val="008C5558"/>
    <w:rsid w:val="008C555B"/>
    <w:rsid w:val="008C55C2"/>
    <w:rsid w:val="008C5621"/>
    <w:rsid w:val="008C5690"/>
    <w:rsid w:val="008C56DC"/>
    <w:rsid w:val="008C584A"/>
    <w:rsid w:val="008C5888"/>
    <w:rsid w:val="008C5AA5"/>
    <w:rsid w:val="008C5C80"/>
    <w:rsid w:val="008C5F5F"/>
    <w:rsid w:val="008C5FF2"/>
    <w:rsid w:val="008C601D"/>
    <w:rsid w:val="008C6106"/>
    <w:rsid w:val="008C618B"/>
    <w:rsid w:val="008C6366"/>
    <w:rsid w:val="008C637C"/>
    <w:rsid w:val="008C6404"/>
    <w:rsid w:val="008C64C2"/>
    <w:rsid w:val="008C664B"/>
    <w:rsid w:val="008C6739"/>
    <w:rsid w:val="008C678F"/>
    <w:rsid w:val="008C67E8"/>
    <w:rsid w:val="008C6AF0"/>
    <w:rsid w:val="008C6B3A"/>
    <w:rsid w:val="008C6B71"/>
    <w:rsid w:val="008C6DF4"/>
    <w:rsid w:val="008C6F9D"/>
    <w:rsid w:val="008C6F9E"/>
    <w:rsid w:val="008C6FEE"/>
    <w:rsid w:val="008C718C"/>
    <w:rsid w:val="008C733C"/>
    <w:rsid w:val="008C747C"/>
    <w:rsid w:val="008C75B9"/>
    <w:rsid w:val="008C7A3F"/>
    <w:rsid w:val="008C7BE0"/>
    <w:rsid w:val="008C7DD7"/>
    <w:rsid w:val="008D027F"/>
    <w:rsid w:val="008D0283"/>
    <w:rsid w:val="008D0491"/>
    <w:rsid w:val="008D06BB"/>
    <w:rsid w:val="008D073B"/>
    <w:rsid w:val="008D087D"/>
    <w:rsid w:val="008D093A"/>
    <w:rsid w:val="008D0CEA"/>
    <w:rsid w:val="008D0CFD"/>
    <w:rsid w:val="008D0D59"/>
    <w:rsid w:val="008D0FA4"/>
    <w:rsid w:val="008D12DD"/>
    <w:rsid w:val="008D14F1"/>
    <w:rsid w:val="008D183C"/>
    <w:rsid w:val="008D1852"/>
    <w:rsid w:val="008D1A90"/>
    <w:rsid w:val="008D1A9B"/>
    <w:rsid w:val="008D1A9D"/>
    <w:rsid w:val="008D1BF5"/>
    <w:rsid w:val="008D1CC2"/>
    <w:rsid w:val="008D1D57"/>
    <w:rsid w:val="008D1EA7"/>
    <w:rsid w:val="008D2075"/>
    <w:rsid w:val="008D215F"/>
    <w:rsid w:val="008D219A"/>
    <w:rsid w:val="008D24D8"/>
    <w:rsid w:val="008D26AC"/>
    <w:rsid w:val="008D2724"/>
    <w:rsid w:val="008D2763"/>
    <w:rsid w:val="008D291C"/>
    <w:rsid w:val="008D2A1E"/>
    <w:rsid w:val="008D2A46"/>
    <w:rsid w:val="008D2A52"/>
    <w:rsid w:val="008D2ADC"/>
    <w:rsid w:val="008D2B14"/>
    <w:rsid w:val="008D2B95"/>
    <w:rsid w:val="008D2BD7"/>
    <w:rsid w:val="008D2DD0"/>
    <w:rsid w:val="008D30DA"/>
    <w:rsid w:val="008D3328"/>
    <w:rsid w:val="008D33C2"/>
    <w:rsid w:val="008D3403"/>
    <w:rsid w:val="008D34CA"/>
    <w:rsid w:val="008D3560"/>
    <w:rsid w:val="008D3904"/>
    <w:rsid w:val="008D3911"/>
    <w:rsid w:val="008D3A03"/>
    <w:rsid w:val="008D3CBE"/>
    <w:rsid w:val="008D3D08"/>
    <w:rsid w:val="008D3D30"/>
    <w:rsid w:val="008D3FA8"/>
    <w:rsid w:val="008D41BA"/>
    <w:rsid w:val="008D4297"/>
    <w:rsid w:val="008D4305"/>
    <w:rsid w:val="008D4317"/>
    <w:rsid w:val="008D4432"/>
    <w:rsid w:val="008D4502"/>
    <w:rsid w:val="008D4547"/>
    <w:rsid w:val="008D4665"/>
    <w:rsid w:val="008D4828"/>
    <w:rsid w:val="008D4924"/>
    <w:rsid w:val="008D4958"/>
    <w:rsid w:val="008D4AA7"/>
    <w:rsid w:val="008D4AE1"/>
    <w:rsid w:val="008D4BCF"/>
    <w:rsid w:val="008D4BD3"/>
    <w:rsid w:val="008D4CC3"/>
    <w:rsid w:val="008D4EB3"/>
    <w:rsid w:val="008D506D"/>
    <w:rsid w:val="008D50B5"/>
    <w:rsid w:val="008D5534"/>
    <w:rsid w:val="008D5637"/>
    <w:rsid w:val="008D5B05"/>
    <w:rsid w:val="008D5E6A"/>
    <w:rsid w:val="008D5E9E"/>
    <w:rsid w:val="008D6145"/>
    <w:rsid w:val="008D63A8"/>
    <w:rsid w:val="008D6436"/>
    <w:rsid w:val="008D660D"/>
    <w:rsid w:val="008D67D0"/>
    <w:rsid w:val="008D684A"/>
    <w:rsid w:val="008D6886"/>
    <w:rsid w:val="008D68FF"/>
    <w:rsid w:val="008D69DF"/>
    <w:rsid w:val="008D6AB4"/>
    <w:rsid w:val="008D6B7C"/>
    <w:rsid w:val="008D70CE"/>
    <w:rsid w:val="008D7212"/>
    <w:rsid w:val="008D727C"/>
    <w:rsid w:val="008D752B"/>
    <w:rsid w:val="008D75C5"/>
    <w:rsid w:val="008D7667"/>
    <w:rsid w:val="008D7749"/>
    <w:rsid w:val="008D7846"/>
    <w:rsid w:val="008D78D3"/>
    <w:rsid w:val="008D79AC"/>
    <w:rsid w:val="008D7A8A"/>
    <w:rsid w:val="008D7F04"/>
    <w:rsid w:val="008E0020"/>
    <w:rsid w:val="008E0074"/>
    <w:rsid w:val="008E007A"/>
    <w:rsid w:val="008E0221"/>
    <w:rsid w:val="008E0244"/>
    <w:rsid w:val="008E02C1"/>
    <w:rsid w:val="008E03BE"/>
    <w:rsid w:val="008E083E"/>
    <w:rsid w:val="008E0922"/>
    <w:rsid w:val="008E0B1F"/>
    <w:rsid w:val="008E0DDD"/>
    <w:rsid w:val="008E117A"/>
    <w:rsid w:val="008E12EF"/>
    <w:rsid w:val="008E1434"/>
    <w:rsid w:val="008E1560"/>
    <w:rsid w:val="008E1693"/>
    <w:rsid w:val="008E1794"/>
    <w:rsid w:val="008E1C09"/>
    <w:rsid w:val="008E1C20"/>
    <w:rsid w:val="008E1CD2"/>
    <w:rsid w:val="008E1ECF"/>
    <w:rsid w:val="008E1F23"/>
    <w:rsid w:val="008E1FD0"/>
    <w:rsid w:val="008E233B"/>
    <w:rsid w:val="008E2541"/>
    <w:rsid w:val="008E2574"/>
    <w:rsid w:val="008E25FB"/>
    <w:rsid w:val="008E2624"/>
    <w:rsid w:val="008E2754"/>
    <w:rsid w:val="008E2802"/>
    <w:rsid w:val="008E2930"/>
    <w:rsid w:val="008E2A92"/>
    <w:rsid w:val="008E2AC5"/>
    <w:rsid w:val="008E2B48"/>
    <w:rsid w:val="008E2C7F"/>
    <w:rsid w:val="008E2D8F"/>
    <w:rsid w:val="008E2DF3"/>
    <w:rsid w:val="008E2E42"/>
    <w:rsid w:val="008E2F8B"/>
    <w:rsid w:val="008E3001"/>
    <w:rsid w:val="008E31D5"/>
    <w:rsid w:val="008E321F"/>
    <w:rsid w:val="008E3220"/>
    <w:rsid w:val="008E32AF"/>
    <w:rsid w:val="008E33A1"/>
    <w:rsid w:val="008E3532"/>
    <w:rsid w:val="008E37C4"/>
    <w:rsid w:val="008E3882"/>
    <w:rsid w:val="008E3962"/>
    <w:rsid w:val="008E3AD7"/>
    <w:rsid w:val="008E3D80"/>
    <w:rsid w:val="008E3E98"/>
    <w:rsid w:val="008E3EE4"/>
    <w:rsid w:val="008E415D"/>
    <w:rsid w:val="008E46A9"/>
    <w:rsid w:val="008E46E0"/>
    <w:rsid w:val="008E49B2"/>
    <w:rsid w:val="008E4B3E"/>
    <w:rsid w:val="008E4CA6"/>
    <w:rsid w:val="008E4CEF"/>
    <w:rsid w:val="008E4D52"/>
    <w:rsid w:val="008E4DBD"/>
    <w:rsid w:val="008E4DCE"/>
    <w:rsid w:val="008E4F11"/>
    <w:rsid w:val="008E4FEF"/>
    <w:rsid w:val="008E5002"/>
    <w:rsid w:val="008E5240"/>
    <w:rsid w:val="008E5552"/>
    <w:rsid w:val="008E5555"/>
    <w:rsid w:val="008E59D6"/>
    <w:rsid w:val="008E5C2F"/>
    <w:rsid w:val="008E5C46"/>
    <w:rsid w:val="008E5C97"/>
    <w:rsid w:val="008E5EDE"/>
    <w:rsid w:val="008E5EE8"/>
    <w:rsid w:val="008E6090"/>
    <w:rsid w:val="008E62ED"/>
    <w:rsid w:val="008E64DC"/>
    <w:rsid w:val="008E6682"/>
    <w:rsid w:val="008E668D"/>
    <w:rsid w:val="008E6810"/>
    <w:rsid w:val="008E69D4"/>
    <w:rsid w:val="008E6A16"/>
    <w:rsid w:val="008E6EBC"/>
    <w:rsid w:val="008E71E0"/>
    <w:rsid w:val="008E7349"/>
    <w:rsid w:val="008E73E8"/>
    <w:rsid w:val="008E744D"/>
    <w:rsid w:val="008E747F"/>
    <w:rsid w:val="008E7709"/>
    <w:rsid w:val="008E78D7"/>
    <w:rsid w:val="008E79B9"/>
    <w:rsid w:val="008E79D9"/>
    <w:rsid w:val="008E7BC5"/>
    <w:rsid w:val="008E7DAB"/>
    <w:rsid w:val="008E7F4E"/>
    <w:rsid w:val="008E7F69"/>
    <w:rsid w:val="008F0286"/>
    <w:rsid w:val="008F039A"/>
    <w:rsid w:val="008F0704"/>
    <w:rsid w:val="008F07F2"/>
    <w:rsid w:val="008F0946"/>
    <w:rsid w:val="008F0B0C"/>
    <w:rsid w:val="008F0B62"/>
    <w:rsid w:val="008F0C2D"/>
    <w:rsid w:val="008F1085"/>
    <w:rsid w:val="008F1212"/>
    <w:rsid w:val="008F134A"/>
    <w:rsid w:val="008F140D"/>
    <w:rsid w:val="008F162C"/>
    <w:rsid w:val="008F176E"/>
    <w:rsid w:val="008F17DF"/>
    <w:rsid w:val="008F17F8"/>
    <w:rsid w:val="008F1A57"/>
    <w:rsid w:val="008F1C12"/>
    <w:rsid w:val="008F1D60"/>
    <w:rsid w:val="008F1FCE"/>
    <w:rsid w:val="008F2459"/>
    <w:rsid w:val="008F260C"/>
    <w:rsid w:val="008F2836"/>
    <w:rsid w:val="008F28E0"/>
    <w:rsid w:val="008F2E58"/>
    <w:rsid w:val="008F2F1F"/>
    <w:rsid w:val="008F2FC3"/>
    <w:rsid w:val="008F3078"/>
    <w:rsid w:val="008F309A"/>
    <w:rsid w:val="008F317D"/>
    <w:rsid w:val="008F373B"/>
    <w:rsid w:val="008F389F"/>
    <w:rsid w:val="008F3AC4"/>
    <w:rsid w:val="008F3C6B"/>
    <w:rsid w:val="008F3D44"/>
    <w:rsid w:val="008F3E4C"/>
    <w:rsid w:val="008F3F35"/>
    <w:rsid w:val="008F3F57"/>
    <w:rsid w:val="008F4057"/>
    <w:rsid w:val="008F4285"/>
    <w:rsid w:val="008F42EC"/>
    <w:rsid w:val="008F43F7"/>
    <w:rsid w:val="008F4458"/>
    <w:rsid w:val="008F4BD2"/>
    <w:rsid w:val="008F4C38"/>
    <w:rsid w:val="008F4DF3"/>
    <w:rsid w:val="008F4E93"/>
    <w:rsid w:val="008F4E9A"/>
    <w:rsid w:val="008F501C"/>
    <w:rsid w:val="008F50C9"/>
    <w:rsid w:val="008F5271"/>
    <w:rsid w:val="008F53D8"/>
    <w:rsid w:val="008F55B9"/>
    <w:rsid w:val="008F562A"/>
    <w:rsid w:val="008F5B42"/>
    <w:rsid w:val="008F5C1F"/>
    <w:rsid w:val="008F5E81"/>
    <w:rsid w:val="008F5F3A"/>
    <w:rsid w:val="008F5FF3"/>
    <w:rsid w:val="008F615E"/>
    <w:rsid w:val="008F629D"/>
    <w:rsid w:val="008F657F"/>
    <w:rsid w:val="008F6592"/>
    <w:rsid w:val="008F673D"/>
    <w:rsid w:val="008F6785"/>
    <w:rsid w:val="008F67D2"/>
    <w:rsid w:val="008F6904"/>
    <w:rsid w:val="008F6CDF"/>
    <w:rsid w:val="008F6CE4"/>
    <w:rsid w:val="008F7036"/>
    <w:rsid w:val="008F70F4"/>
    <w:rsid w:val="008F71F0"/>
    <w:rsid w:val="008F7258"/>
    <w:rsid w:val="008F79F6"/>
    <w:rsid w:val="008F7BE2"/>
    <w:rsid w:val="008F7D4B"/>
    <w:rsid w:val="008F7E4C"/>
    <w:rsid w:val="008F7E58"/>
    <w:rsid w:val="008F7E7F"/>
    <w:rsid w:val="008F7FA7"/>
    <w:rsid w:val="008F7FC1"/>
    <w:rsid w:val="0090004E"/>
    <w:rsid w:val="009000B6"/>
    <w:rsid w:val="009002B1"/>
    <w:rsid w:val="00900353"/>
    <w:rsid w:val="009006AE"/>
    <w:rsid w:val="009007E0"/>
    <w:rsid w:val="0090083E"/>
    <w:rsid w:val="00900A17"/>
    <w:rsid w:val="00900A5D"/>
    <w:rsid w:val="00900B36"/>
    <w:rsid w:val="00900BF4"/>
    <w:rsid w:val="00900C4D"/>
    <w:rsid w:val="00900C65"/>
    <w:rsid w:val="00900CE9"/>
    <w:rsid w:val="00900DB9"/>
    <w:rsid w:val="00900E72"/>
    <w:rsid w:val="00900F72"/>
    <w:rsid w:val="00900FE0"/>
    <w:rsid w:val="0090114E"/>
    <w:rsid w:val="009012EB"/>
    <w:rsid w:val="00901371"/>
    <w:rsid w:val="009013CA"/>
    <w:rsid w:val="009014DF"/>
    <w:rsid w:val="0090155B"/>
    <w:rsid w:val="009018BE"/>
    <w:rsid w:val="00901974"/>
    <w:rsid w:val="0090197F"/>
    <w:rsid w:val="0090198B"/>
    <w:rsid w:val="00901EA1"/>
    <w:rsid w:val="00901F1B"/>
    <w:rsid w:val="00901FC7"/>
    <w:rsid w:val="00902054"/>
    <w:rsid w:val="009021D7"/>
    <w:rsid w:val="009021F1"/>
    <w:rsid w:val="00902683"/>
    <w:rsid w:val="009026B7"/>
    <w:rsid w:val="00902709"/>
    <w:rsid w:val="009028D1"/>
    <w:rsid w:val="009029B8"/>
    <w:rsid w:val="00902A74"/>
    <w:rsid w:val="00902CA7"/>
    <w:rsid w:val="00902DCE"/>
    <w:rsid w:val="00902F31"/>
    <w:rsid w:val="00902FAA"/>
    <w:rsid w:val="00903173"/>
    <w:rsid w:val="009032ED"/>
    <w:rsid w:val="00903451"/>
    <w:rsid w:val="009034A1"/>
    <w:rsid w:val="00903780"/>
    <w:rsid w:val="00903938"/>
    <w:rsid w:val="0090398E"/>
    <w:rsid w:val="00903BFB"/>
    <w:rsid w:val="00903F59"/>
    <w:rsid w:val="00904078"/>
    <w:rsid w:val="009040FE"/>
    <w:rsid w:val="0090439B"/>
    <w:rsid w:val="009044E9"/>
    <w:rsid w:val="0090461B"/>
    <w:rsid w:val="00904802"/>
    <w:rsid w:val="00904862"/>
    <w:rsid w:val="009049B2"/>
    <w:rsid w:val="00904A3E"/>
    <w:rsid w:val="00904D1F"/>
    <w:rsid w:val="00904E01"/>
    <w:rsid w:val="00904E9B"/>
    <w:rsid w:val="00905292"/>
    <w:rsid w:val="009052B2"/>
    <w:rsid w:val="009054C7"/>
    <w:rsid w:val="0090550A"/>
    <w:rsid w:val="0090557C"/>
    <w:rsid w:val="0090587B"/>
    <w:rsid w:val="009058F8"/>
    <w:rsid w:val="00905925"/>
    <w:rsid w:val="00905AC3"/>
    <w:rsid w:val="00905B6E"/>
    <w:rsid w:val="00905C13"/>
    <w:rsid w:val="00905C97"/>
    <w:rsid w:val="00906288"/>
    <w:rsid w:val="009063A6"/>
    <w:rsid w:val="009066FC"/>
    <w:rsid w:val="009067B6"/>
    <w:rsid w:val="00906BCA"/>
    <w:rsid w:val="00906CE6"/>
    <w:rsid w:val="00906D08"/>
    <w:rsid w:val="00906DDE"/>
    <w:rsid w:val="00906E67"/>
    <w:rsid w:val="00906F68"/>
    <w:rsid w:val="009070CC"/>
    <w:rsid w:val="00907264"/>
    <w:rsid w:val="0090741D"/>
    <w:rsid w:val="00907431"/>
    <w:rsid w:val="0090784C"/>
    <w:rsid w:val="00907BF3"/>
    <w:rsid w:val="00907D11"/>
    <w:rsid w:val="00907DFC"/>
    <w:rsid w:val="00907E3E"/>
    <w:rsid w:val="00907EC0"/>
    <w:rsid w:val="00907F17"/>
    <w:rsid w:val="0091018D"/>
    <w:rsid w:val="009101C2"/>
    <w:rsid w:val="00910756"/>
    <w:rsid w:val="009109FA"/>
    <w:rsid w:val="00910A03"/>
    <w:rsid w:val="00911198"/>
    <w:rsid w:val="009111ED"/>
    <w:rsid w:val="00911241"/>
    <w:rsid w:val="0091131A"/>
    <w:rsid w:val="009113C0"/>
    <w:rsid w:val="009116AF"/>
    <w:rsid w:val="009118C0"/>
    <w:rsid w:val="00911AD6"/>
    <w:rsid w:val="0091204E"/>
    <w:rsid w:val="0091212D"/>
    <w:rsid w:val="009121DF"/>
    <w:rsid w:val="00912243"/>
    <w:rsid w:val="00912297"/>
    <w:rsid w:val="00912691"/>
    <w:rsid w:val="00912850"/>
    <w:rsid w:val="0091286B"/>
    <w:rsid w:val="0091291E"/>
    <w:rsid w:val="00912948"/>
    <w:rsid w:val="00912991"/>
    <w:rsid w:val="00912A73"/>
    <w:rsid w:val="00912C05"/>
    <w:rsid w:val="00912C25"/>
    <w:rsid w:val="00912D96"/>
    <w:rsid w:val="00912E88"/>
    <w:rsid w:val="00912F24"/>
    <w:rsid w:val="00912F4A"/>
    <w:rsid w:val="009130DD"/>
    <w:rsid w:val="00913374"/>
    <w:rsid w:val="009133C8"/>
    <w:rsid w:val="0091362F"/>
    <w:rsid w:val="0091365F"/>
    <w:rsid w:val="009136BC"/>
    <w:rsid w:val="0091377A"/>
    <w:rsid w:val="0091378B"/>
    <w:rsid w:val="00913B5A"/>
    <w:rsid w:val="00913D18"/>
    <w:rsid w:val="00913E2E"/>
    <w:rsid w:val="00913E51"/>
    <w:rsid w:val="00913E84"/>
    <w:rsid w:val="00913EC1"/>
    <w:rsid w:val="00913F42"/>
    <w:rsid w:val="00913F8F"/>
    <w:rsid w:val="009144D5"/>
    <w:rsid w:val="009145D0"/>
    <w:rsid w:val="00914657"/>
    <w:rsid w:val="009149E9"/>
    <w:rsid w:val="00914A45"/>
    <w:rsid w:val="00914BDD"/>
    <w:rsid w:val="00914CD6"/>
    <w:rsid w:val="00914F8C"/>
    <w:rsid w:val="009151AA"/>
    <w:rsid w:val="00915301"/>
    <w:rsid w:val="0091530B"/>
    <w:rsid w:val="009153BA"/>
    <w:rsid w:val="00915520"/>
    <w:rsid w:val="0091553B"/>
    <w:rsid w:val="009155DA"/>
    <w:rsid w:val="00915764"/>
    <w:rsid w:val="009159E2"/>
    <w:rsid w:val="00915AC6"/>
    <w:rsid w:val="00915BBA"/>
    <w:rsid w:val="00915C4D"/>
    <w:rsid w:val="00915CF9"/>
    <w:rsid w:val="00915F1E"/>
    <w:rsid w:val="00915F7F"/>
    <w:rsid w:val="009162B2"/>
    <w:rsid w:val="0091635B"/>
    <w:rsid w:val="0091639A"/>
    <w:rsid w:val="00916410"/>
    <w:rsid w:val="00916438"/>
    <w:rsid w:val="009166FA"/>
    <w:rsid w:val="0091679F"/>
    <w:rsid w:val="00916BC8"/>
    <w:rsid w:val="00916C21"/>
    <w:rsid w:val="00916C3B"/>
    <w:rsid w:val="00916D63"/>
    <w:rsid w:val="00916DD6"/>
    <w:rsid w:val="00917019"/>
    <w:rsid w:val="00917026"/>
    <w:rsid w:val="0091702A"/>
    <w:rsid w:val="0091718A"/>
    <w:rsid w:val="0091733B"/>
    <w:rsid w:val="00917419"/>
    <w:rsid w:val="009174D8"/>
    <w:rsid w:val="00917607"/>
    <w:rsid w:val="00917641"/>
    <w:rsid w:val="00917907"/>
    <w:rsid w:val="00917B2F"/>
    <w:rsid w:val="00917C7A"/>
    <w:rsid w:val="009205C3"/>
    <w:rsid w:val="00920799"/>
    <w:rsid w:val="009208A1"/>
    <w:rsid w:val="009209E4"/>
    <w:rsid w:val="00920B83"/>
    <w:rsid w:val="00920CB4"/>
    <w:rsid w:val="00920D29"/>
    <w:rsid w:val="00920DB4"/>
    <w:rsid w:val="00920ED9"/>
    <w:rsid w:val="009211D3"/>
    <w:rsid w:val="00921281"/>
    <w:rsid w:val="009213A1"/>
    <w:rsid w:val="009213D5"/>
    <w:rsid w:val="0092150B"/>
    <w:rsid w:val="009216D3"/>
    <w:rsid w:val="00921974"/>
    <w:rsid w:val="00921C6C"/>
    <w:rsid w:val="009220FD"/>
    <w:rsid w:val="009223DD"/>
    <w:rsid w:val="00922425"/>
    <w:rsid w:val="009227B3"/>
    <w:rsid w:val="009228B6"/>
    <w:rsid w:val="0092295C"/>
    <w:rsid w:val="00922AC0"/>
    <w:rsid w:val="00922AC4"/>
    <w:rsid w:val="00922BA9"/>
    <w:rsid w:val="00923012"/>
    <w:rsid w:val="0092317E"/>
    <w:rsid w:val="0092376F"/>
    <w:rsid w:val="009238FF"/>
    <w:rsid w:val="00923974"/>
    <w:rsid w:val="009239B6"/>
    <w:rsid w:val="00923D20"/>
    <w:rsid w:val="009243D4"/>
    <w:rsid w:val="009247EA"/>
    <w:rsid w:val="00924901"/>
    <w:rsid w:val="00924B7D"/>
    <w:rsid w:val="00924CE1"/>
    <w:rsid w:val="00924D78"/>
    <w:rsid w:val="00924E16"/>
    <w:rsid w:val="00924E31"/>
    <w:rsid w:val="00924F03"/>
    <w:rsid w:val="00925340"/>
    <w:rsid w:val="0092534E"/>
    <w:rsid w:val="00925448"/>
    <w:rsid w:val="009256E4"/>
    <w:rsid w:val="009257B8"/>
    <w:rsid w:val="00925888"/>
    <w:rsid w:val="00925A94"/>
    <w:rsid w:val="00925DD3"/>
    <w:rsid w:val="00925FAF"/>
    <w:rsid w:val="00925FD2"/>
    <w:rsid w:val="00926374"/>
    <w:rsid w:val="00926375"/>
    <w:rsid w:val="00926484"/>
    <w:rsid w:val="00926526"/>
    <w:rsid w:val="00926694"/>
    <w:rsid w:val="009267E9"/>
    <w:rsid w:val="00926A15"/>
    <w:rsid w:val="00926BEC"/>
    <w:rsid w:val="00926C5D"/>
    <w:rsid w:val="00926CFC"/>
    <w:rsid w:val="0092703D"/>
    <w:rsid w:val="009272EB"/>
    <w:rsid w:val="00927404"/>
    <w:rsid w:val="0092768D"/>
    <w:rsid w:val="00927701"/>
    <w:rsid w:val="00927713"/>
    <w:rsid w:val="0092781F"/>
    <w:rsid w:val="00927896"/>
    <w:rsid w:val="00927BC6"/>
    <w:rsid w:val="00927EDF"/>
    <w:rsid w:val="0093015F"/>
    <w:rsid w:val="009301C0"/>
    <w:rsid w:val="0093049C"/>
    <w:rsid w:val="0093057A"/>
    <w:rsid w:val="009305C3"/>
    <w:rsid w:val="009305D9"/>
    <w:rsid w:val="00930785"/>
    <w:rsid w:val="00930C72"/>
    <w:rsid w:val="00930CDA"/>
    <w:rsid w:val="00930E1E"/>
    <w:rsid w:val="00930EAD"/>
    <w:rsid w:val="009310F3"/>
    <w:rsid w:val="009310F8"/>
    <w:rsid w:val="00931149"/>
    <w:rsid w:val="0093116A"/>
    <w:rsid w:val="0093120E"/>
    <w:rsid w:val="00931231"/>
    <w:rsid w:val="009312B9"/>
    <w:rsid w:val="009313DF"/>
    <w:rsid w:val="0093157D"/>
    <w:rsid w:val="009315D3"/>
    <w:rsid w:val="00931714"/>
    <w:rsid w:val="00931849"/>
    <w:rsid w:val="0093184A"/>
    <w:rsid w:val="0093185A"/>
    <w:rsid w:val="009318B9"/>
    <w:rsid w:val="00931ABE"/>
    <w:rsid w:val="00931BC7"/>
    <w:rsid w:val="00932160"/>
    <w:rsid w:val="00932196"/>
    <w:rsid w:val="009321C2"/>
    <w:rsid w:val="00932427"/>
    <w:rsid w:val="00932464"/>
    <w:rsid w:val="00932522"/>
    <w:rsid w:val="009326D9"/>
    <w:rsid w:val="00932814"/>
    <w:rsid w:val="00932971"/>
    <w:rsid w:val="0093298E"/>
    <w:rsid w:val="00932D03"/>
    <w:rsid w:val="00932D83"/>
    <w:rsid w:val="00932DE2"/>
    <w:rsid w:val="00932ED9"/>
    <w:rsid w:val="0093332E"/>
    <w:rsid w:val="009333B9"/>
    <w:rsid w:val="009334F7"/>
    <w:rsid w:val="00933566"/>
    <w:rsid w:val="009336C7"/>
    <w:rsid w:val="009338E8"/>
    <w:rsid w:val="00933999"/>
    <w:rsid w:val="009339BE"/>
    <w:rsid w:val="00933B82"/>
    <w:rsid w:val="00933E39"/>
    <w:rsid w:val="00933EBE"/>
    <w:rsid w:val="00933FD2"/>
    <w:rsid w:val="009342D1"/>
    <w:rsid w:val="009343A1"/>
    <w:rsid w:val="009343E9"/>
    <w:rsid w:val="00934635"/>
    <w:rsid w:val="00934763"/>
    <w:rsid w:val="0093480B"/>
    <w:rsid w:val="00934812"/>
    <w:rsid w:val="00934883"/>
    <w:rsid w:val="00934C7E"/>
    <w:rsid w:val="00934E1C"/>
    <w:rsid w:val="00934EF9"/>
    <w:rsid w:val="00934F77"/>
    <w:rsid w:val="00935024"/>
    <w:rsid w:val="0093502C"/>
    <w:rsid w:val="0093550D"/>
    <w:rsid w:val="00935557"/>
    <w:rsid w:val="0093555A"/>
    <w:rsid w:val="009359D9"/>
    <w:rsid w:val="00935DF0"/>
    <w:rsid w:val="00936056"/>
    <w:rsid w:val="00936208"/>
    <w:rsid w:val="0093623F"/>
    <w:rsid w:val="0093637F"/>
    <w:rsid w:val="009363B7"/>
    <w:rsid w:val="00936446"/>
    <w:rsid w:val="0093647E"/>
    <w:rsid w:val="00936560"/>
    <w:rsid w:val="0093658E"/>
    <w:rsid w:val="00936886"/>
    <w:rsid w:val="00936A17"/>
    <w:rsid w:val="00936BBF"/>
    <w:rsid w:val="00936C47"/>
    <w:rsid w:val="00936CFD"/>
    <w:rsid w:val="00936DCA"/>
    <w:rsid w:val="00936E52"/>
    <w:rsid w:val="00936E87"/>
    <w:rsid w:val="00936EEA"/>
    <w:rsid w:val="00936F09"/>
    <w:rsid w:val="00937159"/>
    <w:rsid w:val="0093764B"/>
    <w:rsid w:val="00937742"/>
    <w:rsid w:val="00937A22"/>
    <w:rsid w:val="00937BEB"/>
    <w:rsid w:val="00937C72"/>
    <w:rsid w:val="00937D94"/>
    <w:rsid w:val="00937DF2"/>
    <w:rsid w:val="009400E7"/>
    <w:rsid w:val="009405F2"/>
    <w:rsid w:val="009408D9"/>
    <w:rsid w:val="0094097E"/>
    <w:rsid w:val="00940A8A"/>
    <w:rsid w:val="00940B54"/>
    <w:rsid w:val="00940CBF"/>
    <w:rsid w:val="00940E48"/>
    <w:rsid w:val="00940E54"/>
    <w:rsid w:val="00940FB1"/>
    <w:rsid w:val="009410CE"/>
    <w:rsid w:val="009410DB"/>
    <w:rsid w:val="00941158"/>
    <w:rsid w:val="009413B8"/>
    <w:rsid w:val="009418DD"/>
    <w:rsid w:val="009419D5"/>
    <w:rsid w:val="009419E2"/>
    <w:rsid w:val="00941A97"/>
    <w:rsid w:val="00941DCB"/>
    <w:rsid w:val="00941ED2"/>
    <w:rsid w:val="009421DE"/>
    <w:rsid w:val="009423C5"/>
    <w:rsid w:val="00942452"/>
    <w:rsid w:val="00942612"/>
    <w:rsid w:val="009426AF"/>
    <w:rsid w:val="0094270A"/>
    <w:rsid w:val="00942727"/>
    <w:rsid w:val="009427DD"/>
    <w:rsid w:val="00942830"/>
    <w:rsid w:val="0094284F"/>
    <w:rsid w:val="00942898"/>
    <w:rsid w:val="00942AE8"/>
    <w:rsid w:val="00942C93"/>
    <w:rsid w:val="00942E80"/>
    <w:rsid w:val="0094349E"/>
    <w:rsid w:val="0094375C"/>
    <w:rsid w:val="009437BE"/>
    <w:rsid w:val="009438A3"/>
    <w:rsid w:val="009438DD"/>
    <w:rsid w:val="00943A06"/>
    <w:rsid w:val="00943A7C"/>
    <w:rsid w:val="00943AF8"/>
    <w:rsid w:val="00943B3F"/>
    <w:rsid w:val="00943B8B"/>
    <w:rsid w:val="00943D62"/>
    <w:rsid w:val="00943DCD"/>
    <w:rsid w:val="00943EB0"/>
    <w:rsid w:val="00943F4A"/>
    <w:rsid w:val="0094413C"/>
    <w:rsid w:val="0094456C"/>
    <w:rsid w:val="0094459D"/>
    <w:rsid w:val="00944882"/>
    <w:rsid w:val="009448AC"/>
    <w:rsid w:val="0094499A"/>
    <w:rsid w:val="0094499B"/>
    <w:rsid w:val="00944A88"/>
    <w:rsid w:val="00944C73"/>
    <w:rsid w:val="00944EBA"/>
    <w:rsid w:val="00945082"/>
    <w:rsid w:val="00945353"/>
    <w:rsid w:val="00945688"/>
    <w:rsid w:val="00945696"/>
    <w:rsid w:val="009457B7"/>
    <w:rsid w:val="009459B4"/>
    <w:rsid w:val="00945AAC"/>
    <w:rsid w:val="00945BBE"/>
    <w:rsid w:val="00945CB5"/>
    <w:rsid w:val="00945E6A"/>
    <w:rsid w:val="009460A3"/>
    <w:rsid w:val="00946148"/>
    <w:rsid w:val="009461CC"/>
    <w:rsid w:val="009462DF"/>
    <w:rsid w:val="00946350"/>
    <w:rsid w:val="0094649E"/>
    <w:rsid w:val="00946725"/>
    <w:rsid w:val="0094676F"/>
    <w:rsid w:val="0094682A"/>
    <w:rsid w:val="0094699F"/>
    <w:rsid w:val="00946EEC"/>
    <w:rsid w:val="00946FD8"/>
    <w:rsid w:val="0094738B"/>
    <w:rsid w:val="00947507"/>
    <w:rsid w:val="0094753B"/>
    <w:rsid w:val="00947647"/>
    <w:rsid w:val="0094765D"/>
    <w:rsid w:val="0094776D"/>
    <w:rsid w:val="009477E4"/>
    <w:rsid w:val="0094788D"/>
    <w:rsid w:val="0094791C"/>
    <w:rsid w:val="0094794C"/>
    <w:rsid w:val="00947B3D"/>
    <w:rsid w:val="00947F4F"/>
    <w:rsid w:val="00950318"/>
    <w:rsid w:val="0095042D"/>
    <w:rsid w:val="009504E3"/>
    <w:rsid w:val="009507DE"/>
    <w:rsid w:val="00950C4A"/>
    <w:rsid w:val="00950C91"/>
    <w:rsid w:val="00950EBD"/>
    <w:rsid w:val="00950F81"/>
    <w:rsid w:val="009511E0"/>
    <w:rsid w:val="00951280"/>
    <w:rsid w:val="009512A6"/>
    <w:rsid w:val="00951345"/>
    <w:rsid w:val="00951570"/>
    <w:rsid w:val="00951CC8"/>
    <w:rsid w:val="00951EE3"/>
    <w:rsid w:val="00951F59"/>
    <w:rsid w:val="00952004"/>
    <w:rsid w:val="00952037"/>
    <w:rsid w:val="00952336"/>
    <w:rsid w:val="009523F1"/>
    <w:rsid w:val="00952D12"/>
    <w:rsid w:val="00952E3A"/>
    <w:rsid w:val="00952E90"/>
    <w:rsid w:val="00952FCC"/>
    <w:rsid w:val="0095342B"/>
    <w:rsid w:val="00953570"/>
    <w:rsid w:val="009535CC"/>
    <w:rsid w:val="00953857"/>
    <w:rsid w:val="009538AA"/>
    <w:rsid w:val="009538B9"/>
    <w:rsid w:val="00953B23"/>
    <w:rsid w:val="00953B5F"/>
    <w:rsid w:val="00953D08"/>
    <w:rsid w:val="00953E6B"/>
    <w:rsid w:val="00953F26"/>
    <w:rsid w:val="00953F41"/>
    <w:rsid w:val="009540C5"/>
    <w:rsid w:val="00954244"/>
    <w:rsid w:val="00954385"/>
    <w:rsid w:val="009543F5"/>
    <w:rsid w:val="00954462"/>
    <w:rsid w:val="0095475F"/>
    <w:rsid w:val="00954917"/>
    <w:rsid w:val="009549A0"/>
    <w:rsid w:val="00954D10"/>
    <w:rsid w:val="00954D18"/>
    <w:rsid w:val="00954F0F"/>
    <w:rsid w:val="00955065"/>
    <w:rsid w:val="009550BD"/>
    <w:rsid w:val="009551AF"/>
    <w:rsid w:val="0095520A"/>
    <w:rsid w:val="00955484"/>
    <w:rsid w:val="0095567F"/>
    <w:rsid w:val="00955717"/>
    <w:rsid w:val="0095574F"/>
    <w:rsid w:val="009557A2"/>
    <w:rsid w:val="0095587F"/>
    <w:rsid w:val="0095589B"/>
    <w:rsid w:val="00955907"/>
    <w:rsid w:val="00955AEB"/>
    <w:rsid w:val="00955BBE"/>
    <w:rsid w:val="00955E57"/>
    <w:rsid w:val="00955ED3"/>
    <w:rsid w:val="00956068"/>
    <w:rsid w:val="00956071"/>
    <w:rsid w:val="009561AE"/>
    <w:rsid w:val="00956283"/>
    <w:rsid w:val="009563DD"/>
    <w:rsid w:val="009563E9"/>
    <w:rsid w:val="00956464"/>
    <w:rsid w:val="00956796"/>
    <w:rsid w:val="00956978"/>
    <w:rsid w:val="00956AF0"/>
    <w:rsid w:val="00956C21"/>
    <w:rsid w:val="00956CDF"/>
    <w:rsid w:val="00956EB6"/>
    <w:rsid w:val="00956EDB"/>
    <w:rsid w:val="00956F4F"/>
    <w:rsid w:val="00956FA5"/>
    <w:rsid w:val="009571C1"/>
    <w:rsid w:val="00957210"/>
    <w:rsid w:val="00957229"/>
    <w:rsid w:val="00957251"/>
    <w:rsid w:val="009575E5"/>
    <w:rsid w:val="00957677"/>
    <w:rsid w:val="00957684"/>
    <w:rsid w:val="009577D9"/>
    <w:rsid w:val="00957D1E"/>
    <w:rsid w:val="00957D21"/>
    <w:rsid w:val="00957F87"/>
    <w:rsid w:val="00960233"/>
    <w:rsid w:val="009604A3"/>
    <w:rsid w:val="0096059F"/>
    <w:rsid w:val="009606F3"/>
    <w:rsid w:val="00960738"/>
    <w:rsid w:val="00960818"/>
    <w:rsid w:val="00960887"/>
    <w:rsid w:val="00960AEA"/>
    <w:rsid w:val="00960B88"/>
    <w:rsid w:val="00960C6C"/>
    <w:rsid w:val="00960D2E"/>
    <w:rsid w:val="00960D5B"/>
    <w:rsid w:val="00960DA8"/>
    <w:rsid w:val="00960F28"/>
    <w:rsid w:val="00960F50"/>
    <w:rsid w:val="00960F6E"/>
    <w:rsid w:val="00960FFE"/>
    <w:rsid w:val="009610EB"/>
    <w:rsid w:val="00961246"/>
    <w:rsid w:val="00961270"/>
    <w:rsid w:val="00961280"/>
    <w:rsid w:val="00961294"/>
    <w:rsid w:val="00961910"/>
    <w:rsid w:val="00961B5C"/>
    <w:rsid w:val="00961B66"/>
    <w:rsid w:val="00961C99"/>
    <w:rsid w:val="00961DC3"/>
    <w:rsid w:val="00961FDF"/>
    <w:rsid w:val="0096214D"/>
    <w:rsid w:val="009621C6"/>
    <w:rsid w:val="009622D9"/>
    <w:rsid w:val="0096245C"/>
    <w:rsid w:val="0096256F"/>
    <w:rsid w:val="00962572"/>
    <w:rsid w:val="009625BE"/>
    <w:rsid w:val="00962635"/>
    <w:rsid w:val="00962761"/>
    <w:rsid w:val="009628EE"/>
    <w:rsid w:val="009629F1"/>
    <w:rsid w:val="00962A35"/>
    <w:rsid w:val="00962A93"/>
    <w:rsid w:val="00962B84"/>
    <w:rsid w:val="00962E49"/>
    <w:rsid w:val="00962E80"/>
    <w:rsid w:val="009632FA"/>
    <w:rsid w:val="00963332"/>
    <w:rsid w:val="00963517"/>
    <w:rsid w:val="00963678"/>
    <w:rsid w:val="00963723"/>
    <w:rsid w:val="0096379E"/>
    <w:rsid w:val="009637A7"/>
    <w:rsid w:val="00963912"/>
    <w:rsid w:val="00963981"/>
    <w:rsid w:val="00963B3F"/>
    <w:rsid w:val="00963B5D"/>
    <w:rsid w:val="00963E39"/>
    <w:rsid w:val="00964042"/>
    <w:rsid w:val="009641B6"/>
    <w:rsid w:val="00964528"/>
    <w:rsid w:val="009646A7"/>
    <w:rsid w:val="009647DE"/>
    <w:rsid w:val="00964A0A"/>
    <w:rsid w:val="00964B12"/>
    <w:rsid w:val="00964CBC"/>
    <w:rsid w:val="00964DE1"/>
    <w:rsid w:val="00965205"/>
    <w:rsid w:val="0096520A"/>
    <w:rsid w:val="0096525B"/>
    <w:rsid w:val="009652DC"/>
    <w:rsid w:val="009652E0"/>
    <w:rsid w:val="00965390"/>
    <w:rsid w:val="009655A1"/>
    <w:rsid w:val="0096576C"/>
    <w:rsid w:val="00965A5C"/>
    <w:rsid w:val="00965D47"/>
    <w:rsid w:val="00965FDE"/>
    <w:rsid w:val="0096602E"/>
    <w:rsid w:val="009660E1"/>
    <w:rsid w:val="0096621E"/>
    <w:rsid w:val="00966438"/>
    <w:rsid w:val="0096644B"/>
    <w:rsid w:val="009664A8"/>
    <w:rsid w:val="00966733"/>
    <w:rsid w:val="0096677C"/>
    <w:rsid w:val="009667AE"/>
    <w:rsid w:val="00966975"/>
    <w:rsid w:val="00966A27"/>
    <w:rsid w:val="00966AD1"/>
    <w:rsid w:val="00966C4B"/>
    <w:rsid w:val="00966D6B"/>
    <w:rsid w:val="00966E01"/>
    <w:rsid w:val="00966E8A"/>
    <w:rsid w:val="00966FBA"/>
    <w:rsid w:val="009671E5"/>
    <w:rsid w:val="009671ED"/>
    <w:rsid w:val="00967325"/>
    <w:rsid w:val="0096744E"/>
    <w:rsid w:val="009676B7"/>
    <w:rsid w:val="0096775A"/>
    <w:rsid w:val="00967820"/>
    <w:rsid w:val="0096790C"/>
    <w:rsid w:val="00967912"/>
    <w:rsid w:val="00967ABB"/>
    <w:rsid w:val="00967BD0"/>
    <w:rsid w:val="00967D3C"/>
    <w:rsid w:val="00967D79"/>
    <w:rsid w:val="00967E31"/>
    <w:rsid w:val="0097022E"/>
    <w:rsid w:val="00970267"/>
    <w:rsid w:val="00970387"/>
    <w:rsid w:val="0097047E"/>
    <w:rsid w:val="00970632"/>
    <w:rsid w:val="0097069C"/>
    <w:rsid w:val="00970771"/>
    <w:rsid w:val="009707BF"/>
    <w:rsid w:val="00970908"/>
    <w:rsid w:val="009709D3"/>
    <w:rsid w:val="00970A89"/>
    <w:rsid w:val="00970D82"/>
    <w:rsid w:val="00970E42"/>
    <w:rsid w:val="009712BF"/>
    <w:rsid w:val="0097145E"/>
    <w:rsid w:val="00971571"/>
    <w:rsid w:val="009716FF"/>
    <w:rsid w:val="00971819"/>
    <w:rsid w:val="009718B9"/>
    <w:rsid w:val="009718FF"/>
    <w:rsid w:val="00971BF7"/>
    <w:rsid w:val="009721E4"/>
    <w:rsid w:val="00972208"/>
    <w:rsid w:val="00972260"/>
    <w:rsid w:val="00972280"/>
    <w:rsid w:val="00972363"/>
    <w:rsid w:val="009723DD"/>
    <w:rsid w:val="009723F0"/>
    <w:rsid w:val="009725E2"/>
    <w:rsid w:val="0097285E"/>
    <w:rsid w:val="00972A71"/>
    <w:rsid w:val="00972AD2"/>
    <w:rsid w:val="00972DB1"/>
    <w:rsid w:val="00972E1B"/>
    <w:rsid w:val="00972FC0"/>
    <w:rsid w:val="00973130"/>
    <w:rsid w:val="00973292"/>
    <w:rsid w:val="009735C4"/>
    <w:rsid w:val="009735CA"/>
    <w:rsid w:val="009737A0"/>
    <w:rsid w:val="00973992"/>
    <w:rsid w:val="00973B2E"/>
    <w:rsid w:val="00973DF8"/>
    <w:rsid w:val="00973E63"/>
    <w:rsid w:val="00973EED"/>
    <w:rsid w:val="0097414F"/>
    <w:rsid w:val="0097443B"/>
    <w:rsid w:val="00974679"/>
    <w:rsid w:val="00974713"/>
    <w:rsid w:val="009747BE"/>
    <w:rsid w:val="009747ED"/>
    <w:rsid w:val="00974801"/>
    <w:rsid w:val="0097484F"/>
    <w:rsid w:val="00974879"/>
    <w:rsid w:val="009749F3"/>
    <w:rsid w:val="00974A83"/>
    <w:rsid w:val="00974B10"/>
    <w:rsid w:val="00974B9A"/>
    <w:rsid w:val="00974BCC"/>
    <w:rsid w:val="00974D5D"/>
    <w:rsid w:val="009750E7"/>
    <w:rsid w:val="009753EF"/>
    <w:rsid w:val="009754F4"/>
    <w:rsid w:val="009755D6"/>
    <w:rsid w:val="00975697"/>
    <w:rsid w:val="009759A1"/>
    <w:rsid w:val="00975DD3"/>
    <w:rsid w:val="0097607C"/>
    <w:rsid w:val="0097609F"/>
    <w:rsid w:val="0097630C"/>
    <w:rsid w:val="009763F8"/>
    <w:rsid w:val="00976402"/>
    <w:rsid w:val="009764CC"/>
    <w:rsid w:val="009766A3"/>
    <w:rsid w:val="00976A6B"/>
    <w:rsid w:val="00976D49"/>
    <w:rsid w:val="00976DBF"/>
    <w:rsid w:val="00976E35"/>
    <w:rsid w:val="00976ECE"/>
    <w:rsid w:val="00976F5D"/>
    <w:rsid w:val="00977200"/>
    <w:rsid w:val="00977437"/>
    <w:rsid w:val="00977514"/>
    <w:rsid w:val="0097753B"/>
    <w:rsid w:val="009775F9"/>
    <w:rsid w:val="009776E2"/>
    <w:rsid w:val="009777EA"/>
    <w:rsid w:val="00977A0C"/>
    <w:rsid w:val="00977AC0"/>
    <w:rsid w:val="00977DE8"/>
    <w:rsid w:val="00977E9E"/>
    <w:rsid w:val="00977F78"/>
    <w:rsid w:val="009800FD"/>
    <w:rsid w:val="0098013A"/>
    <w:rsid w:val="009801B1"/>
    <w:rsid w:val="009801FF"/>
    <w:rsid w:val="009802F8"/>
    <w:rsid w:val="0098032C"/>
    <w:rsid w:val="0098060C"/>
    <w:rsid w:val="009806AE"/>
    <w:rsid w:val="00980887"/>
    <w:rsid w:val="009809E9"/>
    <w:rsid w:val="00980A8F"/>
    <w:rsid w:val="00980DC1"/>
    <w:rsid w:val="00980E27"/>
    <w:rsid w:val="00980E9F"/>
    <w:rsid w:val="00980F86"/>
    <w:rsid w:val="0098102F"/>
    <w:rsid w:val="00981425"/>
    <w:rsid w:val="00981684"/>
    <w:rsid w:val="009816B0"/>
    <w:rsid w:val="0098172A"/>
    <w:rsid w:val="009817FC"/>
    <w:rsid w:val="0098194B"/>
    <w:rsid w:val="00981963"/>
    <w:rsid w:val="00981993"/>
    <w:rsid w:val="00981A33"/>
    <w:rsid w:val="00981A40"/>
    <w:rsid w:val="00981BF0"/>
    <w:rsid w:val="00981E22"/>
    <w:rsid w:val="00981EE6"/>
    <w:rsid w:val="00981F73"/>
    <w:rsid w:val="00981FF4"/>
    <w:rsid w:val="00982003"/>
    <w:rsid w:val="009822EA"/>
    <w:rsid w:val="009823A0"/>
    <w:rsid w:val="0098245B"/>
    <w:rsid w:val="00982720"/>
    <w:rsid w:val="00982788"/>
    <w:rsid w:val="0098285C"/>
    <w:rsid w:val="009829D2"/>
    <w:rsid w:val="00982BBD"/>
    <w:rsid w:val="00982EDA"/>
    <w:rsid w:val="00983172"/>
    <w:rsid w:val="00983412"/>
    <w:rsid w:val="00983767"/>
    <w:rsid w:val="0098377D"/>
    <w:rsid w:val="00983939"/>
    <w:rsid w:val="00983BD5"/>
    <w:rsid w:val="00983C52"/>
    <w:rsid w:val="00983D86"/>
    <w:rsid w:val="00984021"/>
    <w:rsid w:val="0098447A"/>
    <w:rsid w:val="0098451B"/>
    <w:rsid w:val="0098453C"/>
    <w:rsid w:val="00984658"/>
    <w:rsid w:val="0098474F"/>
    <w:rsid w:val="00984872"/>
    <w:rsid w:val="00984C24"/>
    <w:rsid w:val="00984F74"/>
    <w:rsid w:val="009850C6"/>
    <w:rsid w:val="00985247"/>
    <w:rsid w:val="00985606"/>
    <w:rsid w:val="009856CC"/>
    <w:rsid w:val="009857A0"/>
    <w:rsid w:val="009857BF"/>
    <w:rsid w:val="00985836"/>
    <w:rsid w:val="00985918"/>
    <w:rsid w:val="00985A26"/>
    <w:rsid w:val="00985A70"/>
    <w:rsid w:val="00985E2C"/>
    <w:rsid w:val="00985E40"/>
    <w:rsid w:val="00985EC0"/>
    <w:rsid w:val="00985ED0"/>
    <w:rsid w:val="00986037"/>
    <w:rsid w:val="00986038"/>
    <w:rsid w:val="009860B2"/>
    <w:rsid w:val="00986497"/>
    <w:rsid w:val="009864D6"/>
    <w:rsid w:val="00986516"/>
    <w:rsid w:val="00986783"/>
    <w:rsid w:val="00986A85"/>
    <w:rsid w:val="00986A95"/>
    <w:rsid w:val="00986B22"/>
    <w:rsid w:val="00986B5B"/>
    <w:rsid w:val="00986BD8"/>
    <w:rsid w:val="00986CF6"/>
    <w:rsid w:val="00986DAA"/>
    <w:rsid w:val="00987087"/>
    <w:rsid w:val="009871AC"/>
    <w:rsid w:val="0098727B"/>
    <w:rsid w:val="009872F0"/>
    <w:rsid w:val="0098744E"/>
    <w:rsid w:val="0098765A"/>
    <w:rsid w:val="00987914"/>
    <w:rsid w:val="009879A3"/>
    <w:rsid w:val="00987C20"/>
    <w:rsid w:val="00987C49"/>
    <w:rsid w:val="00987C83"/>
    <w:rsid w:val="00987D7A"/>
    <w:rsid w:val="00987DCA"/>
    <w:rsid w:val="00987E21"/>
    <w:rsid w:val="00987ECC"/>
    <w:rsid w:val="00990036"/>
    <w:rsid w:val="00990355"/>
    <w:rsid w:val="009903B1"/>
    <w:rsid w:val="009904FB"/>
    <w:rsid w:val="0099059A"/>
    <w:rsid w:val="009905AF"/>
    <w:rsid w:val="00990621"/>
    <w:rsid w:val="00990B3E"/>
    <w:rsid w:val="00990B67"/>
    <w:rsid w:val="00990BDC"/>
    <w:rsid w:val="009911B0"/>
    <w:rsid w:val="0099127B"/>
    <w:rsid w:val="0099130E"/>
    <w:rsid w:val="0099134E"/>
    <w:rsid w:val="0099137B"/>
    <w:rsid w:val="009919F6"/>
    <w:rsid w:val="00991C6C"/>
    <w:rsid w:val="00991CB6"/>
    <w:rsid w:val="00991D22"/>
    <w:rsid w:val="00991EA3"/>
    <w:rsid w:val="00991EC0"/>
    <w:rsid w:val="009927E5"/>
    <w:rsid w:val="00992B8E"/>
    <w:rsid w:val="00992D88"/>
    <w:rsid w:val="00993044"/>
    <w:rsid w:val="0099326F"/>
    <w:rsid w:val="009932BB"/>
    <w:rsid w:val="0099337D"/>
    <w:rsid w:val="0099338C"/>
    <w:rsid w:val="00993420"/>
    <w:rsid w:val="009935A5"/>
    <w:rsid w:val="009937A9"/>
    <w:rsid w:val="00993931"/>
    <w:rsid w:val="00993B70"/>
    <w:rsid w:val="00993C45"/>
    <w:rsid w:val="00993D5C"/>
    <w:rsid w:val="00993D9D"/>
    <w:rsid w:val="009940AC"/>
    <w:rsid w:val="00994191"/>
    <w:rsid w:val="009942DB"/>
    <w:rsid w:val="009943F2"/>
    <w:rsid w:val="009944A0"/>
    <w:rsid w:val="00994568"/>
    <w:rsid w:val="009947DE"/>
    <w:rsid w:val="00994848"/>
    <w:rsid w:val="00994942"/>
    <w:rsid w:val="00994CCE"/>
    <w:rsid w:val="00994D00"/>
    <w:rsid w:val="00994F62"/>
    <w:rsid w:val="00994FA5"/>
    <w:rsid w:val="009950A4"/>
    <w:rsid w:val="009952ED"/>
    <w:rsid w:val="009959DC"/>
    <w:rsid w:val="00995A30"/>
    <w:rsid w:val="00995A68"/>
    <w:rsid w:val="00995BB1"/>
    <w:rsid w:val="00995BC9"/>
    <w:rsid w:val="00995D38"/>
    <w:rsid w:val="0099609C"/>
    <w:rsid w:val="009960F7"/>
    <w:rsid w:val="009960FE"/>
    <w:rsid w:val="009967BB"/>
    <w:rsid w:val="00996855"/>
    <w:rsid w:val="00996986"/>
    <w:rsid w:val="00996A92"/>
    <w:rsid w:val="00996B87"/>
    <w:rsid w:val="00996ED3"/>
    <w:rsid w:val="00996FE3"/>
    <w:rsid w:val="0099709F"/>
    <w:rsid w:val="0099717F"/>
    <w:rsid w:val="009972D7"/>
    <w:rsid w:val="009972E9"/>
    <w:rsid w:val="0099749C"/>
    <w:rsid w:val="00997646"/>
    <w:rsid w:val="00997BDB"/>
    <w:rsid w:val="00997DAE"/>
    <w:rsid w:val="00997DFC"/>
    <w:rsid w:val="009A018B"/>
    <w:rsid w:val="009A0224"/>
    <w:rsid w:val="009A02C1"/>
    <w:rsid w:val="009A04C1"/>
    <w:rsid w:val="009A0641"/>
    <w:rsid w:val="009A068C"/>
    <w:rsid w:val="009A06CF"/>
    <w:rsid w:val="009A07F1"/>
    <w:rsid w:val="009A07FA"/>
    <w:rsid w:val="009A0A01"/>
    <w:rsid w:val="009A1099"/>
    <w:rsid w:val="009A136E"/>
    <w:rsid w:val="009A144B"/>
    <w:rsid w:val="009A1813"/>
    <w:rsid w:val="009A1824"/>
    <w:rsid w:val="009A183C"/>
    <w:rsid w:val="009A1B72"/>
    <w:rsid w:val="009A1D1F"/>
    <w:rsid w:val="009A1D6F"/>
    <w:rsid w:val="009A1E7B"/>
    <w:rsid w:val="009A1EEC"/>
    <w:rsid w:val="009A21C0"/>
    <w:rsid w:val="009A26BF"/>
    <w:rsid w:val="009A2711"/>
    <w:rsid w:val="009A276D"/>
    <w:rsid w:val="009A280A"/>
    <w:rsid w:val="009A2820"/>
    <w:rsid w:val="009A2A2F"/>
    <w:rsid w:val="009A2A41"/>
    <w:rsid w:val="009A2ACD"/>
    <w:rsid w:val="009A2B63"/>
    <w:rsid w:val="009A2CEB"/>
    <w:rsid w:val="009A2DB1"/>
    <w:rsid w:val="009A3127"/>
    <w:rsid w:val="009A32AE"/>
    <w:rsid w:val="009A3308"/>
    <w:rsid w:val="009A3605"/>
    <w:rsid w:val="009A3627"/>
    <w:rsid w:val="009A36F2"/>
    <w:rsid w:val="009A3766"/>
    <w:rsid w:val="009A3775"/>
    <w:rsid w:val="009A39D1"/>
    <w:rsid w:val="009A3B21"/>
    <w:rsid w:val="009A3B2D"/>
    <w:rsid w:val="009A3C5F"/>
    <w:rsid w:val="009A3C63"/>
    <w:rsid w:val="009A3D7C"/>
    <w:rsid w:val="009A3E3F"/>
    <w:rsid w:val="009A3E58"/>
    <w:rsid w:val="009A3EBC"/>
    <w:rsid w:val="009A3FEA"/>
    <w:rsid w:val="009A410A"/>
    <w:rsid w:val="009A449B"/>
    <w:rsid w:val="009A44E9"/>
    <w:rsid w:val="009A4716"/>
    <w:rsid w:val="009A47D2"/>
    <w:rsid w:val="009A4874"/>
    <w:rsid w:val="009A4956"/>
    <w:rsid w:val="009A4B18"/>
    <w:rsid w:val="009A4BB4"/>
    <w:rsid w:val="009A4C07"/>
    <w:rsid w:val="009A4CE0"/>
    <w:rsid w:val="009A4F35"/>
    <w:rsid w:val="009A516E"/>
    <w:rsid w:val="009A51F4"/>
    <w:rsid w:val="009A5241"/>
    <w:rsid w:val="009A544A"/>
    <w:rsid w:val="009A54AD"/>
    <w:rsid w:val="009A56F2"/>
    <w:rsid w:val="009A5714"/>
    <w:rsid w:val="009A58D1"/>
    <w:rsid w:val="009A58FF"/>
    <w:rsid w:val="009A5954"/>
    <w:rsid w:val="009A5B81"/>
    <w:rsid w:val="009A5D81"/>
    <w:rsid w:val="009A640D"/>
    <w:rsid w:val="009A646E"/>
    <w:rsid w:val="009A673C"/>
    <w:rsid w:val="009A6940"/>
    <w:rsid w:val="009A6AA0"/>
    <w:rsid w:val="009A6B05"/>
    <w:rsid w:val="009A6CEE"/>
    <w:rsid w:val="009A6E5E"/>
    <w:rsid w:val="009A6ED8"/>
    <w:rsid w:val="009A6F24"/>
    <w:rsid w:val="009A6F64"/>
    <w:rsid w:val="009A7034"/>
    <w:rsid w:val="009A7157"/>
    <w:rsid w:val="009A71F4"/>
    <w:rsid w:val="009A775B"/>
    <w:rsid w:val="009A778B"/>
    <w:rsid w:val="009A7940"/>
    <w:rsid w:val="009A7A2C"/>
    <w:rsid w:val="009A7B09"/>
    <w:rsid w:val="009A7BBD"/>
    <w:rsid w:val="009A7CFB"/>
    <w:rsid w:val="009A7EDA"/>
    <w:rsid w:val="009A7F08"/>
    <w:rsid w:val="009B013A"/>
    <w:rsid w:val="009B03B0"/>
    <w:rsid w:val="009B044C"/>
    <w:rsid w:val="009B0469"/>
    <w:rsid w:val="009B068B"/>
    <w:rsid w:val="009B0893"/>
    <w:rsid w:val="009B0977"/>
    <w:rsid w:val="009B09FC"/>
    <w:rsid w:val="009B0AA4"/>
    <w:rsid w:val="009B0B19"/>
    <w:rsid w:val="009B0D7E"/>
    <w:rsid w:val="009B0E93"/>
    <w:rsid w:val="009B1065"/>
    <w:rsid w:val="009B121C"/>
    <w:rsid w:val="009B1315"/>
    <w:rsid w:val="009B1367"/>
    <w:rsid w:val="009B14A9"/>
    <w:rsid w:val="009B14FF"/>
    <w:rsid w:val="009B1669"/>
    <w:rsid w:val="009B1BDE"/>
    <w:rsid w:val="009B20EB"/>
    <w:rsid w:val="009B21C9"/>
    <w:rsid w:val="009B222C"/>
    <w:rsid w:val="009B2249"/>
    <w:rsid w:val="009B22F7"/>
    <w:rsid w:val="009B2390"/>
    <w:rsid w:val="009B23A1"/>
    <w:rsid w:val="009B23AE"/>
    <w:rsid w:val="009B2488"/>
    <w:rsid w:val="009B277D"/>
    <w:rsid w:val="009B2879"/>
    <w:rsid w:val="009B2958"/>
    <w:rsid w:val="009B2ADD"/>
    <w:rsid w:val="009B2D55"/>
    <w:rsid w:val="009B2DD1"/>
    <w:rsid w:val="009B3136"/>
    <w:rsid w:val="009B322B"/>
    <w:rsid w:val="009B36CB"/>
    <w:rsid w:val="009B3991"/>
    <w:rsid w:val="009B3A91"/>
    <w:rsid w:val="009B3AD3"/>
    <w:rsid w:val="009B3B2F"/>
    <w:rsid w:val="009B3E01"/>
    <w:rsid w:val="009B45F3"/>
    <w:rsid w:val="009B4779"/>
    <w:rsid w:val="009B481A"/>
    <w:rsid w:val="009B484E"/>
    <w:rsid w:val="009B4A50"/>
    <w:rsid w:val="009B4ABA"/>
    <w:rsid w:val="009B4B5C"/>
    <w:rsid w:val="009B4BFA"/>
    <w:rsid w:val="009B4C74"/>
    <w:rsid w:val="009B4DE9"/>
    <w:rsid w:val="009B4E9B"/>
    <w:rsid w:val="009B4EB7"/>
    <w:rsid w:val="009B4FAA"/>
    <w:rsid w:val="009B4FFD"/>
    <w:rsid w:val="009B50F8"/>
    <w:rsid w:val="009B527F"/>
    <w:rsid w:val="009B5687"/>
    <w:rsid w:val="009B59EE"/>
    <w:rsid w:val="009B5A16"/>
    <w:rsid w:val="009B5A5F"/>
    <w:rsid w:val="009B5DF5"/>
    <w:rsid w:val="009B5E50"/>
    <w:rsid w:val="009B6025"/>
    <w:rsid w:val="009B6143"/>
    <w:rsid w:val="009B6179"/>
    <w:rsid w:val="009B6280"/>
    <w:rsid w:val="009B650D"/>
    <w:rsid w:val="009B659F"/>
    <w:rsid w:val="009B6749"/>
    <w:rsid w:val="009B68E1"/>
    <w:rsid w:val="009B6A7B"/>
    <w:rsid w:val="009B6AB9"/>
    <w:rsid w:val="009B6B4D"/>
    <w:rsid w:val="009B6F54"/>
    <w:rsid w:val="009B7218"/>
    <w:rsid w:val="009B7369"/>
    <w:rsid w:val="009B795A"/>
    <w:rsid w:val="009B7A24"/>
    <w:rsid w:val="009B7B6C"/>
    <w:rsid w:val="009B7CF4"/>
    <w:rsid w:val="009B7DEB"/>
    <w:rsid w:val="009C0006"/>
    <w:rsid w:val="009C02F0"/>
    <w:rsid w:val="009C03CB"/>
    <w:rsid w:val="009C05C3"/>
    <w:rsid w:val="009C06DD"/>
    <w:rsid w:val="009C07A5"/>
    <w:rsid w:val="009C0923"/>
    <w:rsid w:val="009C09D7"/>
    <w:rsid w:val="009C0C2F"/>
    <w:rsid w:val="009C1089"/>
    <w:rsid w:val="009C1586"/>
    <w:rsid w:val="009C1837"/>
    <w:rsid w:val="009C1B1D"/>
    <w:rsid w:val="009C1B88"/>
    <w:rsid w:val="009C1C5A"/>
    <w:rsid w:val="009C1E3B"/>
    <w:rsid w:val="009C1E6B"/>
    <w:rsid w:val="009C1F34"/>
    <w:rsid w:val="009C2029"/>
    <w:rsid w:val="009C25C8"/>
    <w:rsid w:val="009C2669"/>
    <w:rsid w:val="009C2C01"/>
    <w:rsid w:val="009C2C35"/>
    <w:rsid w:val="009C2C56"/>
    <w:rsid w:val="009C2CF5"/>
    <w:rsid w:val="009C2D67"/>
    <w:rsid w:val="009C3294"/>
    <w:rsid w:val="009C3828"/>
    <w:rsid w:val="009C3836"/>
    <w:rsid w:val="009C3A09"/>
    <w:rsid w:val="009C3C76"/>
    <w:rsid w:val="009C3DB9"/>
    <w:rsid w:val="009C3EB8"/>
    <w:rsid w:val="009C3F1D"/>
    <w:rsid w:val="009C3FA1"/>
    <w:rsid w:val="009C426B"/>
    <w:rsid w:val="009C42A1"/>
    <w:rsid w:val="009C4472"/>
    <w:rsid w:val="009C4593"/>
    <w:rsid w:val="009C4B09"/>
    <w:rsid w:val="009C4B36"/>
    <w:rsid w:val="009C4D47"/>
    <w:rsid w:val="009C4E24"/>
    <w:rsid w:val="009C4E88"/>
    <w:rsid w:val="009C507B"/>
    <w:rsid w:val="009C5105"/>
    <w:rsid w:val="009C5106"/>
    <w:rsid w:val="009C5154"/>
    <w:rsid w:val="009C51B6"/>
    <w:rsid w:val="009C5211"/>
    <w:rsid w:val="009C5362"/>
    <w:rsid w:val="009C53AF"/>
    <w:rsid w:val="009C5548"/>
    <w:rsid w:val="009C5716"/>
    <w:rsid w:val="009C581B"/>
    <w:rsid w:val="009C5AF3"/>
    <w:rsid w:val="009C5F55"/>
    <w:rsid w:val="009C62A0"/>
    <w:rsid w:val="009C63CA"/>
    <w:rsid w:val="009C6425"/>
    <w:rsid w:val="009C6860"/>
    <w:rsid w:val="009C6A21"/>
    <w:rsid w:val="009C6D5F"/>
    <w:rsid w:val="009C74E3"/>
    <w:rsid w:val="009C7596"/>
    <w:rsid w:val="009C77CD"/>
    <w:rsid w:val="009C791F"/>
    <w:rsid w:val="009C796F"/>
    <w:rsid w:val="009C7BE4"/>
    <w:rsid w:val="009C7D04"/>
    <w:rsid w:val="009D006D"/>
    <w:rsid w:val="009D03F4"/>
    <w:rsid w:val="009D0650"/>
    <w:rsid w:val="009D0695"/>
    <w:rsid w:val="009D06BC"/>
    <w:rsid w:val="009D0AEF"/>
    <w:rsid w:val="009D0B8B"/>
    <w:rsid w:val="009D0C21"/>
    <w:rsid w:val="009D0CFC"/>
    <w:rsid w:val="009D0D03"/>
    <w:rsid w:val="009D0E06"/>
    <w:rsid w:val="009D0E86"/>
    <w:rsid w:val="009D0EE3"/>
    <w:rsid w:val="009D102B"/>
    <w:rsid w:val="009D140B"/>
    <w:rsid w:val="009D15F7"/>
    <w:rsid w:val="009D1602"/>
    <w:rsid w:val="009D180E"/>
    <w:rsid w:val="009D1983"/>
    <w:rsid w:val="009D1E4B"/>
    <w:rsid w:val="009D21A1"/>
    <w:rsid w:val="009D229E"/>
    <w:rsid w:val="009D22BD"/>
    <w:rsid w:val="009D25AD"/>
    <w:rsid w:val="009D27CD"/>
    <w:rsid w:val="009D2C08"/>
    <w:rsid w:val="009D2D53"/>
    <w:rsid w:val="009D2E50"/>
    <w:rsid w:val="009D2EE5"/>
    <w:rsid w:val="009D2F0A"/>
    <w:rsid w:val="009D30D7"/>
    <w:rsid w:val="009D3122"/>
    <w:rsid w:val="009D3799"/>
    <w:rsid w:val="009D37CE"/>
    <w:rsid w:val="009D3811"/>
    <w:rsid w:val="009D3922"/>
    <w:rsid w:val="009D39C5"/>
    <w:rsid w:val="009D3A79"/>
    <w:rsid w:val="009D3AB8"/>
    <w:rsid w:val="009D3ADA"/>
    <w:rsid w:val="009D3D0A"/>
    <w:rsid w:val="009D3DB6"/>
    <w:rsid w:val="009D4014"/>
    <w:rsid w:val="009D4111"/>
    <w:rsid w:val="009D4142"/>
    <w:rsid w:val="009D42BA"/>
    <w:rsid w:val="009D440D"/>
    <w:rsid w:val="009D4516"/>
    <w:rsid w:val="009D488A"/>
    <w:rsid w:val="009D498D"/>
    <w:rsid w:val="009D4A51"/>
    <w:rsid w:val="009D4C73"/>
    <w:rsid w:val="009D5032"/>
    <w:rsid w:val="009D51A9"/>
    <w:rsid w:val="009D5684"/>
    <w:rsid w:val="009D585C"/>
    <w:rsid w:val="009D589A"/>
    <w:rsid w:val="009D5B36"/>
    <w:rsid w:val="009D5CE2"/>
    <w:rsid w:val="009D5E1A"/>
    <w:rsid w:val="009D5F53"/>
    <w:rsid w:val="009D6032"/>
    <w:rsid w:val="009D6128"/>
    <w:rsid w:val="009D6164"/>
    <w:rsid w:val="009D6180"/>
    <w:rsid w:val="009D622F"/>
    <w:rsid w:val="009D64F9"/>
    <w:rsid w:val="009D67F3"/>
    <w:rsid w:val="009D6BC0"/>
    <w:rsid w:val="009D6CF7"/>
    <w:rsid w:val="009D6D14"/>
    <w:rsid w:val="009D6DDD"/>
    <w:rsid w:val="009D6DF1"/>
    <w:rsid w:val="009D6E5D"/>
    <w:rsid w:val="009D7216"/>
    <w:rsid w:val="009D738B"/>
    <w:rsid w:val="009D748A"/>
    <w:rsid w:val="009D7696"/>
    <w:rsid w:val="009D7809"/>
    <w:rsid w:val="009D7AA1"/>
    <w:rsid w:val="009D7BB2"/>
    <w:rsid w:val="009D7BB4"/>
    <w:rsid w:val="009D7BF6"/>
    <w:rsid w:val="009D7D18"/>
    <w:rsid w:val="009D7DD5"/>
    <w:rsid w:val="009D7E26"/>
    <w:rsid w:val="009D7E96"/>
    <w:rsid w:val="009D7F73"/>
    <w:rsid w:val="009D7FC1"/>
    <w:rsid w:val="009E0039"/>
    <w:rsid w:val="009E0232"/>
    <w:rsid w:val="009E0301"/>
    <w:rsid w:val="009E0758"/>
    <w:rsid w:val="009E07C4"/>
    <w:rsid w:val="009E080A"/>
    <w:rsid w:val="009E085A"/>
    <w:rsid w:val="009E08D2"/>
    <w:rsid w:val="009E0A0B"/>
    <w:rsid w:val="009E0B17"/>
    <w:rsid w:val="009E0CD2"/>
    <w:rsid w:val="009E0DEF"/>
    <w:rsid w:val="009E0EF0"/>
    <w:rsid w:val="009E1176"/>
    <w:rsid w:val="009E11AC"/>
    <w:rsid w:val="009E145F"/>
    <w:rsid w:val="009E1648"/>
    <w:rsid w:val="009E16CA"/>
    <w:rsid w:val="009E18A0"/>
    <w:rsid w:val="009E192F"/>
    <w:rsid w:val="009E1953"/>
    <w:rsid w:val="009E19D8"/>
    <w:rsid w:val="009E1DC6"/>
    <w:rsid w:val="009E1E0A"/>
    <w:rsid w:val="009E21EE"/>
    <w:rsid w:val="009E2205"/>
    <w:rsid w:val="009E2399"/>
    <w:rsid w:val="009E23F8"/>
    <w:rsid w:val="009E2433"/>
    <w:rsid w:val="009E2477"/>
    <w:rsid w:val="009E2508"/>
    <w:rsid w:val="009E26B5"/>
    <w:rsid w:val="009E26DC"/>
    <w:rsid w:val="009E27D2"/>
    <w:rsid w:val="009E2808"/>
    <w:rsid w:val="009E298E"/>
    <w:rsid w:val="009E2DDC"/>
    <w:rsid w:val="009E2E74"/>
    <w:rsid w:val="009E2E85"/>
    <w:rsid w:val="009E305D"/>
    <w:rsid w:val="009E30ED"/>
    <w:rsid w:val="009E333C"/>
    <w:rsid w:val="009E344A"/>
    <w:rsid w:val="009E34B6"/>
    <w:rsid w:val="009E35B0"/>
    <w:rsid w:val="009E3719"/>
    <w:rsid w:val="009E3881"/>
    <w:rsid w:val="009E38CC"/>
    <w:rsid w:val="009E3AE2"/>
    <w:rsid w:val="009E3B55"/>
    <w:rsid w:val="009E3C25"/>
    <w:rsid w:val="009E3D2F"/>
    <w:rsid w:val="009E3F20"/>
    <w:rsid w:val="009E405A"/>
    <w:rsid w:val="009E4081"/>
    <w:rsid w:val="009E4158"/>
    <w:rsid w:val="009E4190"/>
    <w:rsid w:val="009E41FF"/>
    <w:rsid w:val="009E420B"/>
    <w:rsid w:val="009E4A6E"/>
    <w:rsid w:val="009E4B1C"/>
    <w:rsid w:val="009E4E59"/>
    <w:rsid w:val="009E4F9D"/>
    <w:rsid w:val="009E5076"/>
    <w:rsid w:val="009E510F"/>
    <w:rsid w:val="009E513B"/>
    <w:rsid w:val="009E5199"/>
    <w:rsid w:val="009E55BA"/>
    <w:rsid w:val="009E55F9"/>
    <w:rsid w:val="009E5B37"/>
    <w:rsid w:val="009E5C2F"/>
    <w:rsid w:val="009E5FBD"/>
    <w:rsid w:val="009E607B"/>
    <w:rsid w:val="009E6388"/>
    <w:rsid w:val="009E647A"/>
    <w:rsid w:val="009E6498"/>
    <w:rsid w:val="009E660C"/>
    <w:rsid w:val="009E669F"/>
    <w:rsid w:val="009E692B"/>
    <w:rsid w:val="009E69C8"/>
    <w:rsid w:val="009E6A61"/>
    <w:rsid w:val="009E6C1B"/>
    <w:rsid w:val="009E6C7C"/>
    <w:rsid w:val="009E6CAA"/>
    <w:rsid w:val="009E6D41"/>
    <w:rsid w:val="009E6E0E"/>
    <w:rsid w:val="009E716C"/>
    <w:rsid w:val="009E7222"/>
    <w:rsid w:val="009E7236"/>
    <w:rsid w:val="009E7527"/>
    <w:rsid w:val="009E767B"/>
    <w:rsid w:val="009E774B"/>
    <w:rsid w:val="009E7987"/>
    <w:rsid w:val="009E7AEA"/>
    <w:rsid w:val="009E7B6C"/>
    <w:rsid w:val="009E7C9A"/>
    <w:rsid w:val="009E7D74"/>
    <w:rsid w:val="009F0037"/>
    <w:rsid w:val="009F00DC"/>
    <w:rsid w:val="009F0239"/>
    <w:rsid w:val="009F037F"/>
    <w:rsid w:val="009F050D"/>
    <w:rsid w:val="009F06BF"/>
    <w:rsid w:val="009F07D4"/>
    <w:rsid w:val="009F094C"/>
    <w:rsid w:val="009F0E02"/>
    <w:rsid w:val="009F13A5"/>
    <w:rsid w:val="009F13F0"/>
    <w:rsid w:val="009F14E9"/>
    <w:rsid w:val="009F15A9"/>
    <w:rsid w:val="009F168C"/>
    <w:rsid w:val="009F169A"/>
    <w:rsid w:val="009F16AC"/>
    <w:rsid w:val="009F16E1"/>
    <w:rsid w:val="009F1908"/>
    <w:rsid w:val="009F1B6E"/>
    <w:rsid w:val="009F1EFC"/>
    <w:rsid w:val="009F1FB3"/>
    <w:rsid w:val="009F1FDC"/>
    <w:rsid w:val="009F2045"/>
    <w:rsid w:val="009F20A2"/>
    <w:rsid w:val="009F215B"/>
    <w:rsid w:val="009F21C3"/>
    <w:rsid w:val="009F2370"/>
    <w:rsid w:val="009F25A9"/>
    <w:rsid w:val="009F25AD"/>
    <w:rsid w:val="009F269C"/>
    <w:rsid w:val="009F27E3"/>
    <w:rsid w:val="009F28C2"/>
    <w:rsid w:val="009F2ADD"/>
    <w:rsid w:val="009F2EFB"/>
    <w:rsid w:val="009F2F61"/>
    <w:rsid w:val="009F300A"/>
    <w:rsid w:val="009F3048"/>
    <w:rsid w:val="009F3236"/>
    <w:rsid w:val="009F3247"/>
    <w:rsid w:val="009F3306"/>
    <w:rsid w:val="009F347F"/>
    <w:rsid w:val="009F3609"/>
    <w:rsid w:val="009F362B"/>
    <w:rsid w:val="009F3B2C"/>
    <w:rsid w:val="009F3C45"/>
    <w:rsid w:val="009F3D68"/>
    <w:rsid w:val="009F3D7F"/>
    <w:rsid w:val="009F3DB3"/>
    <w:rsid w:val="009F3EB8"/>
    <w:rsid w:val="009F3EF5"/>
    <w:rsid w:val="009F4030"/>
    <w:rsid w:val="009F4124"/>
    <w:rsid w:val="009F41F1"/>
    <w:rsid w:val="009F46E4"/>
    <w:rsid w:val="009F489B"/>
    <w:rsid w:val="009F496B"/>
    <w:rsid w:val="009F49DC"/>
    <w:rsid w:val="009F4B38"/>
    <w:rsid w:val="009F4D59"/>
    <w:rsid w:val="009F4DEE"/>
    <w:rsid w:val="009F4E6A"/>
    <w:rsid w:val="009F4F4D"/>
    <w:rsid w:val="009F50F7"/>
    <w:rsid w:val="009F55CC"/>
    <w:rsid w:val="009F564E"/>
    <w:rsid w:val="009F572E"/>
    <w:rsid w:val="009F58C1"/>
    <w:rsid w:val="009F5996"/>
    <w:rsid w:val="009F59D7"/>
    <w:rsid w:val="009F5ADD"/>
    <w:rsid w:val="009F5B6F"/>
    <w:rsid w:val="009F5B7C"/>
    <w:rsid w:val="009F5C51"/>
    <w:rsid w:val="009F5D0C"/>
    <w:rsid w:val="009F5EB1"/>
    <w:rsid w:val="009F5EC0"/>
    <w:rsid w:val="009F5FB2"/>
    <w:rsid w:val="009F60B3"/>
    <w:rsid w:val="009F6334"/>
    <w:rsid w:val="009F636A"/>
    <w:rsid w:val="009F650A"/>
    <w:rsid w:val="009F656E"/>
    <w:rsid w:val="009F668E"/>
    <w:rsid w:val="009F66D6"/>
    <w:rsid w:val="009F6903"/>
    <w:rsid w:val="009F693B"/>
    <w:rsid w:val="009F69F9"/>
    <w:rsid w:val="009F6BB0"/>
    <w:rsid w:val="009F6D1D"/>
    <w:rsid w:val="009F6D79"/>
    <w:rsid w:val="009F6FC0"/>
    <w:rsid w:val="009F7173"/>
    <w:rsid w:val="009F731A"/>
    <w:rsid w:val="009F75B2"/>
    <w:rsid w:val="009F7823"/>
    <w:rsid w:val="009F7AD4"/>
    <w:rsid w:val="009F7B47"/>
    <w:rsid w:val="009F7C6B"/>
    <w:rsid w:val="009F7DAA"/>
    <w:rsid w:val="009F7DD0"/>
    <w:rsid w:val="009F7F5C"/>
    <w:rsid w:val="00A0045E"/>
    <w:rsid w:val="00A00783"/>
    <w:rsid w:val="00A00837"/>
    <w:rsid w:val="00A009B3"/>
    <w:rsid w:val="00A00B08"/>
    <w:rsid w:val="00A00C5E"/>
    <w:rsid w:val="00A00E32"/>
    <w:rsid w:val="00A00FAC"/>
    <w:rsid w:val="00A01023"/>
    <w:rsid w:val="00A01113"/>
    <w:rsid w:val="00A0129B"/>
    <w:rsid w:val="00A01608"/>
    <w:rsid w:val="00A01985"/>
    <w:rsid w:val="00A019F0"/>
    <w:rsid w:val="00A01A47"/>
    <w:rsid w:val="00A01C8A"/>
    <w:rsid w:val="00A01CDD"/>
    <w:rsid w:val="00A01D49"/>
    <w:rsid w:val="00A01FBA"/>
    <w:rsid w:val="00A01FD5"/>
    <w:rsid w:val="00A02138"/>
    <w:rsid w:val="00A021B0"/>
    <w:rsid w:val="00A021C1"/>
    <w:rsid w:val="00A02297"/>
    <w:rsid w:val="00A02351"/>
    <w:rsid w:val="00A023BB"/>
    <w:rsid w:val="00A0254A"/>
    <w:rsid w:val="00A025A8"/>
    <w:rsid w:val="00A025E1"/>
    <w:rsid w:val="00A02846"/>
    <w:rsid w:val="00A02902"/>
    <w:rsid w:val="00A029F9"/>
    <w:rsid w:val="00A02B2D"/>
    <w:rsid w:val="00A02C85"/>
    <w:rsid w:val="00A02CCF"/>
    <w:rsid w:val="00A02EF4"/>
    <w:rsid w:val="00A03174"/>
    <w:rsid w:val="00A0319D"/>
    <w:rsid w:val="00A033B6"/>
    <w:rsid w:val="00A0375F"/>
    <w:rsid w:val="00A0379B"/>
    <w:rsid w:val="00A0386F"/>
    <w:rsid w:val="00A03B40"/>
    <w:rsid w:val="00A03BD5"/>
    <w:rsid w:val="00A03F52"/>
    <w:rsid w:val="00A0420A"/>
    <w:rsid w:val="00A04229"/>
    <w:rsid w:val="00A042B1"/>
    <w:rsid w:val="00A044A8"/>
    <w:rsid w:val="00A044B5"/>
    <w:rsid w:val="00A0450B"/>
    <w:rsid w:val="00A046E8"/>
    <w:rsid w:val="00A04780"/>
    <w:rsid w:val="00A04794"/>
    <w:rsid w:val="00A0479B"/>
    <w:rsid w:val="00A048E2"/>
    <w:rsid w:val="00A04955"/>
    <w:rsid w:val="00A0497D"/>
    <w:rsid w:val="00A04B00"/>
    <w:rsid w:val="00A04B92"/>
    <w:rsid w:val="00A04CFD"/>
    <w:rsid w:val="00A0501E"/>
    <w:rsid w:val="00A050A1"/>
    <w:rsid w:val="00A05273"/>
    <w:rsid w:val="00A05385"/>
    <w:rsid w:val="00A05542"/>
    <w:rsid w:val="00A0569B"/>
    <w:rsid w:val="00A056CB"/>
    <w:rsid w:val="00A05788"/>
    <w:rsid w:val="00A05796"/>
    <w:rsid w:val="00A05941"/>
    <w:rsid w:val="00A05982"/>
    <w:rsid w:val="00A05AA1"/>
    <w:rsid w:val="00A05B0A"/>
    <w:rsid w:val="00A05C04"/>
    <w:rsid w:val="00A05C0E"/>
    <w:rsid w:val="00A05E4F"/>
    <w:rsid w:val="00A0607E"/>
    <w:rsid w:val="00A0615B"/>
    <w:rsid w:val="00A066C9"/>
    <w:rsid w:val="00A067E0"/>
    <w:rsid w:val="00A06909"/>
    <w:rsid w:val="00A06925"/>
    <w:rsid w:val="00A06A00"/>
    <w:rsid w:val="00A06A2E"/>
    <w:rsid w:val="00A07569"/>
    <w:rsid w:val="00A07620"/>
    <w:rsid w:val="00A07874"/>
    <w:rsid w:val="00A078F7"/>
    <w:rsid w:val="00A07D5D"/>
    <w:rsid w:val="00A07DF7"/>
    <w:rsid w:val="00A07E89"/>
    <w:rsid w:val="00A07F63"/>
    <w:rsid w:val="00A103BD"/>
    <w:rsid w:val="00A1054C"/>
    <w:rsid w:val="00A10810"/>
    <w:rsid w:val="00A10842"/>
    <w:rsid w:val="00A1085F"/>
    <w:rsid w:val="00A108C4"/>
    <w:rsid w:val="00A10ABC"/>
    <w:rsid w:val="00A10BF6"/>
    <w:rsid w:val="00A10CF3"/>
    <w:rsid w:val="00A10EFC"/>
    <w:rsid w:val="00A11001"/>
    <w:rsid w:val="00A111C7"/>
    <w:rsid w:val="00A11244"/>
    <w:rsid w:val="00A11383"/>
    <w:rsid w:val="00A11691"/>
    <w:rsid w:val="00A11790"/>
    <w:rsid w:val="00A1181A"/>
    <w:rsid w:val="00A11902"/>
    <w:rsid w:val="00A11994"/>
    <w:rsid w:val="00A119AB"/>
    <w:rsid w:val="00A11DCA"/>
    <w:rsid w:val="00A11DE8"/>
    <w:rsid w:val="00A11E9F"/>
    <w:rsid w:val="00A11EA4"/>
    <w:rsid w:val="00A11F01"/>
    <w:rsid w:val="00A12076"/>
    <w:rsid w:val="00A122EC"/>
    <w:rsid w:val="00A12318"/>
    <w:rsid w:val="00A1235E"/>
    <w:rsid w:val="00A1254E"/>
    <w:rsid w:val="00A125F1"/>
    <w:rsid w:val="00A1266F"/>
    <w:rsid w:val="00A126CB"/>
    <w:rsid w:val="00A12725"/>
    <w:rsid w:val="00A12AA5"/>
    <w:rsid w:val="00A12B99"/>
    <w:rsid w:val="00A12CBD"/>
    <w:rsid w:val="00A12E18"/>
    <w:rsid w:val="00A130FE"/>
    <w:rsid w:val="00A13262"/>
    <w:rsid w:val="00A132DC"/>
    <w:rsid w:val="00A1330C"/>
    <w:rsid w:val="00A133CB"/>
    <w:rsid w:val="00A1344F"/>
    <w:rsid w:val="00A135E0"/>
    <w:rsid w:val="00A13719"/>
    <w:rsid w:val="00A1372E"/>
    <w:rsid w:val="00A137EA"/>
    <w:rsid w:val="00A138E8"/>
    <w:rsid w:val="00A1395A"/>
    <w:rsid w:val="00A13B86"/>
    <w:rsid w:val="00A13C1A"/>
    <w:rsid w:val="00A13CA1"/>
    <w:rsid w:val="00A13D63"/>
    <w:rsid w:val="00A13DD9"/>
    <w:rsid w:val="00A13E3D"/>
    <w:rsid w:val="00A1422A"/>
    <w:rsid w:val="00A14249"/>
    <w:rsid w:val="00A14393"/>
    <w:rsid w:val="00A14618"/>
    <w:rsid w:val="00A146E8"/>
    <w:rsid w:val="00A14774"/>
    <w:rsid w:val="00A147DF"/>
    <w:rsid w:val="00A14812"/>
    <w:rsid w:val="00A14BD8"/>
    <w:rsid w:val="00A15092"/>
    <w:rsid w:val="00A151CA"/>
    <w:rsid w:val="00A157BF"/>
    <w:rsid w:val="00A15B57"/>
    <w:rsid w:val="00A15BEC"/>
    <w:rsid w:val="00A15D9B"/>
    <w:rsid w:val="00A15D9E"/>
    <w:rsid w:val="00A15DA5"/>
    <w:rsid w:val="00A16241"/>
    <w:rsid w:val="00A162E3"/>
    <w:rsid w:val="00A163D8"/>
    <w:rsid w:val="00A168A8"/>
    <w:rsid w:val="00A16B38"/>
    <w:rsid w:val="00A16D98"/>
    <w:rsid w:val="00A16E1A"/>
    <w:rsid w:val="00A170A9"/>
    <w:rsid w:val="00A17164"/>
    <w:rsid w:val="00A1720F"/>
    <w:rsid w:val="00A174D6"/>
    <w:rsid w:val="00A1758C"/>
    <w:rsid w:val="00A17695"/>
    <w:rsid w:val="00A17DD9"/>
    <w:rsid w:val="00A2012A"/>
    <w:rsid w:val="00A20416"/>
    <w:rsid w:val="00A20640"/>
    <w:rsid w:val="00A20738"/>
    <w:rsid w:val="00A20795"/>
    <w:rsid w:val="00A208FB"/>
    <w:rsid w:val="00A20C08"/>
    <w:rsid w:val="00A20F4D"/>
    <w:rsid w:val="00A20FB1"/>
    <w:rsid w:val="00A21038"/>
    <w:rsid w:val="00A21513"/>
    <w:rsid w:val="00A2154A"/>
    <w:rsid w:val="00A217EA"/>
    <w:rsid w:val="00A21A8B"/>
    <w:rsid w:val="00A21AA2"/>
    <w:rsid w:val="00A21C33"/>
    <w:rsid w:val="00A21EE0"/>
    <w:rsid w:val="00A21F37"/>
    <w:rsid w:val="00A22335"/>
    <w:rsid w:val="00A2256E"/>
    <w:rsid w:val="00A22609"/>
    <w:rsid w:val="00A2263F"/>
    <w:rsid w:val="00A22647"/>
    <w:rsid w:val="00A22705"/>
    <w:rsid w:val="00A22735"/>
    <w:rsid w:val="00A228AC"/>
    <w:rsid w:val="00A228FD"/>
    <w:rsid w:val="00A22AD6"/>
    <w:rsid w:val="00A22D2C"/>
    <w:rsid w:val="00A22D5F"/>
    <w:rsid w:val="00A22DFF"/>
    <w:rsid w:val="00A22E72"/>
    <w:rsid w:val="00A22FBA"/>
    <w:rsid w:val="00A230A2"/>
    <w:rsid w:val="00A230C2"/>
    <w:rsid w:val="00A23183"/>
    <w:rsid w:val="00A23365"/>
    <w:rsid w:val="00A23419"/>
    <w:rsid w:val="00A23548"/>
    <w:rsid w:val="00A23971"/>
    <w:rsid w:val="00A23AC1"/>
    <w:rsid w:val="00A23DCA"/>
    <w:rsid w:val="00A23E7E"/>
    <w:rsid w:val="00A23EC5"/>
    <w:rsid w:val="00A23EEA"/>
    <w:rsid w:val="00A23F02"/>
    <w:rsid w:val="00A24128"/>
    <w:rsid w:val="00A241B3"/>
    <w:rsid w:val="00A2431F"/>
    <w:rsid w:val="00A246DC"/>
    <w:rsid w:val="00A247B4"/>
    <w:rsid w:val="00A24957"/>
    <w:rsid w:val="00A24BE0"/>
    <w:rsid w:val="00A24E9B"/>
    <w:rsid w:val="00A24FC8"/>
    <w:rsid w:val="00A252D8"/>
    <w:rsid w:val="00A256F8"/>
    <w:rsid w:val="00A2579B"/>
    <w:rsid w:val="00A25902"/>
    <w:rsid w:val="00A25994"/>
    <w:rsid w:val="00A25D17"/>
    <w:rsid w:val="00A25DEC"/>
    <w:rsid w:val="00A25F2C"/>
    <w:rsid w:val="00A25F33"/>
    <w:rsid w:val="00A26188"/>
    <w:rsid w:val="00A261A8"/>
    <w:rsid w:val="00A263C6"/>
    <w:rsid w:val="00A264DF"/>
    <w:rsid w:val="00A26659"/>
    <w:rsid w:val="00A266C8"/>
    <w:rsid w:val="00A267BF"/>
    <w:rsid w:val="00A26A38"/>
    <w:rsid w:val="00A26AC7"/>
    <w:rsid w:val="00A26AF0"/>
    <w:rsid w:val="00A26C59"/>
    <w:rsid w:val="00A26D46"/>
    <w:rsid w:val="00A26DC6"/>
    <w:rsid w:val="00A26DF8"/>
    <w:rsid w:val="00A2736D"/>
    <w:rsid w:val="00A2747A"/>
    <w:rsid w:val="00A2752C"/>
    <w:rsid w:val="00A2755B"/>
    <w:rsid w:val="00A275C6"/>
    <w:rsid w:val="00A2799D"/>
    <w:rsid w:val="00A27B59"/>
    <w:rsid w:val="00A27C54"/>
    <w:rsid w:val="00A27C66"/>
    <w:rsid w:val="00A27C9A"/>
    <w:rsid w:val="00A27E1E"/>
    <w:rsid w:val="00A27E91"/>
    <w:rsid w:val="00A27EEF"/>
    <w:rsid w:val="00A27F11"/>
    <w:rsid w:val="00A27FD2"/>
    <w:rsid w:val="00A30075"/>
    <w:rsid w:val="00A30204"/>
    <w:rsid w:val="00A3029D"/>
    <w:rsid w:val="00A30327"/>
    <w:rsid w:val="00A30431"/>
    <w:rsid w:val="00A304F0"/>
    <w:rsid w:val="00A30587"/>
    <w:rsid w:val="00A305C6"/>
    <w:rsid w:val="00A30754"/>
    <w:rsid w:val="00A308E2"/>
    <w:rsid w:val="00A30954"/>
    <w:rsid w:val="00A30B0B"/>
    <w:rsid w:val="00A30E1E"/>
    <w:rsid w:val="00A30F46"/>
    <w:rsid w:val="00A30FBF"/>
    <w:rsid w:val="00A31147"/>
    <w:rsid w:val="00A311FA"/>
    <w:rsid w:val="00A315D3"/>
    <w:rsid w:val="00A315EC"/>
    <w:rsid w:val="00A3173D"/>
    <w:rsid w:val="00A31784"/>
    <w:rsid w:val="00A317DF"/>
    <w:rsid w:val="00A31803"/>
    <w:rsid w:val="00A3184A"/>
    <w:rsid w:val="00A3198F"/>
    <w:rsid w:val="00A31AEB"/>
    <w:rsid w:val="00A31AF8"/>
    <w:rsid w:val="00A31B1F"/>
    <w:rsid w:val="00A31CDD"/>
    <w:rsid w:val="00A31E85"/>
    <w:rsid w:val="00A31E99"/>
    <w:rsid w:val="00A31EA4"/>
    <w:rsid w:val="00A320C1"/>
    <w:rsid w:val="00A320D1"/>
    <w:rsid w:val="00A32237"/>
    <w:rsid w:val="00A32421"/>
    <w:rsid w:val="00A32470"/>
    <w:rsid w:val="00A3247C"/>
    <w:rsid w:val="00A326E8"/>
    <w:rsid w:val="00A32A35"/>
    <w:rsid w:val="00A32CCB"/>
    <w:rsid w:val="00A32DFD"/>
    <w:rsid w:val="00A33035"/>
    <w:rsid w:val="00A33209"/>
    <w:rsid w:val="00A332A8"/>
    <w:rsid w:val="00A33711"/>
    <w:rsid w:val="00A3391A"/>
    <w:rsid w:val="00A33A99"/>
    <w:rsid w:val="00A33AA4"/>
    <w:rsid w:val="00A33BAC"/>
    <w:rsid w:val="00A33CF9"/>
    <w:rsid w:val="00A33FB1"/>
    <w:rsid w:val="00A3445A"/>
    <w:rsid w:val="00A34644"/>
    <w:rsid w:val="00A346E4"/>
    <w:rsid w:val="00A351F2"/>
    <w:rsid w:val="00A353B5"/>
    <w:rsid w:val="00A35462"/>
    <w:rsid w:val="00A3568A"/>
    <w:rsid w:val="00A3577C"/>
    <w:rsid w:val="00A3597D"/>
    <w:rsid w:val="00A35C62"/>
    <w:rsid w:val="00A35C72"/>
    <w:rsid w:val="00A35CCE"/>
    <w:rsid w:val="00A35D44"/>
    <w:rsid w:val="00A35D79"/>
    <w:rsid w:val="00A35D83"/>
    <w:rsid w:val="00A35E3B"/>
    <w:rsid w:val="00A35EC6"/>
    <w:rsid w:val="00A35ECC"/>
    <w:rsid w:val="00A35F7C"/>
    <w:rsid w:val="00A35FF1"/>
    <w:rsid w:val="00A361B0"/>
    <w:rsid w:val="00A36365"/>
    <w:rsid w:val="00A363B3"/>
    <w:rsid w:val="00A3642E"/>
    <w:rsid w:val="00A36430"/>
    <w:rsid w:val="00A364B3"/>
    <w:rsid w:val="00A36564"/>
    <w:rsid w:val="00A36586"/>
    <w:rsid w:val="00A36598"/>
    <w:rsid w:val="00A365E0"/>
    <w:rsid w:val="00A365F9"/>
    <w:rsid w:val="00A368A2"/>
    <w:rsid w:val="00A36BA8"/>
    <w:rsid w:val="00A36C73"/>
    <w:rsid w:val="00A36FDD"/>
    <w:rsid w:val="00A37005"/>
    <w:rsid w:val="00A37097"/>
    <w:rsid w:val="00A37248"/>
    <w:rsid w:val="00A37296"/>
    <w:rsid w:val="00A37353"/>
    <w:rsid w:val="00A377F0"/>
    <w:rsid w:val="00A37873"/>
    <w:rsid w:val="00A379B0"/>
    <w:rsid w:val="00A37DF9"/>
    <w:rsid w:val="00A37F9C"/>
    <w:rsid w:val="00A40298"/>
    <w:rsid w:val="00A402FD"/>
    <w:rsid w:val="00A406E9"/>
    <w:rsid w:val="00A4080C"/>
    <w:rsid w:val="00A40813"/>
    <w:rsid w:val="00A40885"/>
    <w:rsid w:val="00A4094D"/>
    <w:rsid w:val="00A40C5C"/>
    <w:rsid w:val="00A41025"/>
    <w:rsid w:val="00A412E8"/>
    <w:rsid w:val="00A41343"/>
    <w:rsid w:val="00A4138D"/>
    <w:rsid w:val="00A41508"/>
    <w:rsid w:val="00A4176C"/>
    <w:rsid w:val="00A417C7"/>
    <w:rsid w:val="00A4195D"/>
    <w:rsid w:val="00A41AC8"/>
    <w:rsid w:val="00A41C63"/>
    <w:rsid w:val="00A42176"/>
    <w:rsid w:val="00A4238A"/>
    <w:rsid w:val="00A425FC"/>
    <w:rsid w:val="00A4268C"/>
    <w:rsid w:val="00A4285D"/>
    <w:rsid w:val="00A42989"/>
    <w:rsid w:val="00A429F0"/>
    <w:rsid w:val="00A42A22"/>
    <w:rsid w:val="00A42D8F"/>
    <w:rsid w:val="00A42FE3"/>
    <w:rsid w:val="00A4306A"/>
    <w:rsid w:val="00A43238"/>
    <w:rsid w:val="00A435DD"/>
    <w:rsid w:val="00A436B3"/>
    <w:rsid w:val="00A43764"/>
    <w:rsid w:val="00A43C68"/>
    <w:rsid w:val="00A43E49"/>
    <w:rsid w:val="00A43E4D"/>
    <w:rsid w:val="00A43E6A"/>
    <w:rsid w:val="00A43E6B"/>
    <w:rsid w:val="00A43F08"/>
    <w:rsid w:val="00A43F86"/>
    <w:rsid w:val="00A44028"/>
    <w:rsid w:val="00A44249"/>
    <w:rsid w:val="00A442F8"/>
    <w:rsid w:val="00A44B70"/>
    <w:rsid w:val="00A44CA8"/>
    <w:rsid w:val="00A44F4B"/>
    <w:rsid w:val="00A451C6"/>
    <w:rsid w:val="00A45395"/>
    <w:rsid w:val="00A45531"/>
    <w:rsid w:val="00A45683"/>
    <w:rsid w:val="00A457DF"/>
    <w:rsid w:val="00A45816"/>
    <w:rsid w:val="00A45A3D"/>
    <w:rsid w:val="00A45C55"/>
    <w:rsid w:val="00A45CF8"/>
    <w:rsid w:val="00A45DD0"/>
    <w:rsid w:val="00A45FDB"/>
    <w:rsid w:val="00A46124"/>
    <w:rsid w:val="00A46312"/>
    <w:rsid w:val="00A46B73"/>
    <w:rsid w:val="00A46B7D"/>
    <w:rsid w:val="00A46D4C"/>
    <w:rsid w:val="00A47061"/>
    <w:rsid w:val="00A47114"/>
    <w:rsid w:val="00A472F4"/>
    <w:rsid w:val="00A472FF"/>
    <w:rsid w:val="00A473E0"/>
    <w:rsid w:val="00A47437"/>
    <w:rsid w:val="00A476B2"/>
    <w:rsid w:val="00A47730"/>
    <w:rsid w:val="00A47757"/>
    <w:rsid w:val="00A477DD"/>
    <w:rsid w:val="00A478D1"/>
    <w:rsid w:val="00A4797D"/>
    <w:rsid w:val="00A47C32"/>
    <w:rsid w:val="00A47D30"/>
    <w:rsid w:val="00A47EAE"/>
    <w:rsid w:val="00A50101"/>
    <w:rsid w:val="00A501F4"/>
    <w:rsid w:val="00A5022E"/>
    <w:rsid w:val="00A50311"/>
    <w:rsid w:val="00A504A3"/>
    <w:rsid w:val="00A504D7"/>
    <w:rsid w:val="00A508CF"/>
    <w:rsid w:val="00A50A2C"/>
    <w:rsid w:val="00A50C92"/>
    <w:rsid w:val="00A50F38"/>
    <w:rsid w:val="00A50FDC"/>
    <w:rsid w:val="00A51396"/>
    <w:rsid w:val="00A5146C"/>
    <w:rsid w:val="00A51577"/>
    <w:rsid w:val="00A517A4"/>
    <w:rsid w:val="00A5199B"/>
    <w:rsid w:val="00A51B94"/>
    <w:rsid w:val="00A521FE"/>
    <w:rsid w:val="00A522F3"/>
    <w:rsid w:val="00A5239B"/>
    <w:rsid w:val="00A524DD"/>
    <w:rsid w:val="00A524EF"/>
    <w:rsid w:val="00A526A9"/>
    <w:rsid w:val="00A526F6"/>
    <w:rsid w:val="00A526FB"/>
    <w:rsid w:val="00A52751"/>
    <w:rsid w:val="00A5275C"/>
    <w:rsid w:val="00A52834"/>
    <w:rsid w:val="00A52873"/>
    <w:rsid w:val="00A528B1"/>
    <w:rsid w:val="00A528F9"/>
    <w:rsid w:val="00A52919"/>
    <w:rsid w:val="00A5297F"/>
    <w:rsid w:val="00A529E8"/>
    <w:rsid w:val="00A52A1D"/>
    <w:rsid w:val="00A52C43"/>
    <w:rsid w:val="00A52F12"/>
    <w:rsid w:val="00A52F65"/>
    <w:rsid w:val="00A52FAC"/>
    <w:rsid w:val="00A530B7"/>
    <w:rsid w:val="00A5359B"/>
    <w:rsid w:val="00A535FC"/>
    <w:rsid w:val="00A53865"/>
    <w:rsid w:val="00A5398E"/>
    <w:rsid w:val="00A53AC2"/>
    <w:rsid w:val="00A53AC9"/>
    <w:rsid w:val="00A53B78"/>
    <w:rsid w:val="00A53CAA"/>
    <w:rsid w:val="00A53DDC"/>
    <w:rsid w:val="00A54073"/>
    <w:rsid w:val="00A54104"/>
    <w:rsid w:val="00A5413D"/>
    <w:rsid w:val="00A541A8"/>
    <w:rsid w:val="00A541E2"/>
    <w:rsid w:val="00A54260"/>
    <w:rsid w:val="00A54297"/>
    <w:rsid w:val="00A54314"/>
    <w:rsid w:val="00A54600"/>
    <w:rsid w:val="00A54713"/>
    <w:rsid w:val="00A54891"/>
    <w:rsid w:val="00A54957"/>
    <w:rsid w:val="00A54B9B"/>
    <w:rsid w:val="00A54C24"/>
    <w:rsid w:val="00A54C4C"/>
    <w:rsid w:val="00A54C53"/>
    <w:rsid w:val="00A54E3E"/>
    <w:rsid w:val="00A54E4C"/>
    <w:rsid w:val="00A55050"/>
    <w:rsid w:val="00A55189"/>
    <w:rsid w:val="00A5521A"/>
    <w:rsid w:val="00A553C3"/>
    <w:rsid w:val="00A553DB"/>
    <w:rsid w:val="00A55429"/>
    <w:rsid w:val="00A55508"/>
    <w:rsid w:val="00A5555C"/>
    <w:rsid w:val="00A5589E"/>
    <w:rsid w:val="00A5590C"/>
    <w:rsid w:val="00A5598F"/>
    <w:rsid w:val="00A55D68"/>
    <w:rsid w:val="00A55E03"/>
    <w:rsid w:val="00A55F27"/>
    <w:rsid w:val="00A5609A"/>
    <w:rsid w:val="00A56221"/>
    <w:rsid w:val="00A5633F"/>
    <w:rsid w:val="00A56450"/>
    <w:rsid w:val="00A5664C"/>
    <w:rsid w:val="00A566F7"/>
    <w:rsid w:val="00A56735"/>
    <w:rsid w:val="00A56736"/>
    <w:rsid w:val="00A568F7"/>
    <w:rsid w:val="00A5692A"/>
    <w:rsid w:val="00A56933"/>
    <w:rsid w:val="00A5705C"/>
    <w:rsid w:val="00A570A4"/>
    <w:rsid w:val="00A57140"/>
    <w:rsid w:val="00A57512"/>
    <w:rsid w:val="00A57588"/>
    <w:rsid w:val="00A57660"/>
    <w:rsid w:val="00A57922"/>
    <w:rsid w:val="00A57CC5"/>
    <w:rsid w:val="00A57E6F"/>
    <w:rsid w:val="00A57EEA"/>
    <w:rsid w:val="00A60001"/>
    <w:rsid w:val="00A603D8"/>
    <w:rsid w:val="00A60B32"/>
    <w:rsid w:val="00A60C9A"/>
    <w:rsid w:val="00A60D0C"/>
    <w:rsid w:val="00A60DE0"/>
    <w:rsid w:val="00A60EAA"/>
    <w:rsid w:val="00A60EB6"/>
    <w:rsid w:val="00A60FE6"/>
    <w:rsid w:val="00A6104A"/>
    <w:rsid w:val="00A61099"/>
    <w:rsid w:val="00A610A2"/>
    <w:rsid w:val="00A611EF"/>
    <w:rsid w:val="00A6141D"/>
    <w:rsid w:val="00A614F0"/>
    <w:rsid w:val="00A615E9"/>
    <w:rsid w:val="00A61796"/>
    <w:rsid w:val="00A6179E"/>
    <w:rsid w:val="00A61C1B"/>
    <w:rsid w:val="00A61D8D"/>
    <w:rsid w:val="00A61ED8"/>
    <w:rsid w:val="00A6215D"/>
    <w:rsid w:val="00A62364"/>
    <w:rsid w:val="00A62373"/>
    <w:rsid w:val="00A62403"/>
    <w:rsid w:val="00A624FE"/>
    <w:rsid w:val="00A62555"/>
    <w:rsid w:val="00A626AF"/>
    <w:rsid w:val="00A62728"/>
    <w:rsid w:val="00A62750"/>
    <w:rsid w:val="00A6292A"/>
    <w:rsid w:val="00A6299E"/>
    <w:rsid w:val="00A629EA"/>
    <w:rsid w:val="00A629F7"/>
    <w:rsid w:val="00A62C3C"/>
    <w:rsid w:val="00A62DB7"/>
    <w:rsid w:val="00A62F9E"/>
    <w:rsid w:val="00A6304D"/>
    <w:rsid w:val="00A63129"/>
    <w:rsid w:val="00A63230"/>
    <w:rsid w:val="00A632F3"/>
    <w:rsid w:val="00A63355"/>
    <w:rsid w:val="00A634D2"/>
    <w:rsid w:val="00A635E6"/>
    <w:rsid w:val="00A636EB"/>
    <w:rsid w:val="00A6375B"/>
    <w:rsid w:val="00A6391F"/>
    <w:rsid w:val="00A6397B"/>
    <w:rsid w:val="00A639B5"/>
    <w:rsid w:val="00A63AA2"/>
    <w:rsid w:val="00A63BBC"/>
    <w:rsid w:val="00A64136"/>
    <w:rsid w:val="00A641A0"/>
    <w:rsid w:val="00A641EE"/>
    <w:rsid w:val="00A644F4"/>
    <w:rsid w:val="00A6458D"/>
    <w:rsid w:val="00A645F0"/>
    <w:rsid w:val="00A64715"/>
    <w:rsid w:val="00A64748"/>
    <w:rsid w:val="00A647D8"/>
    <w:rsid w:val="00A64A6C"/>
    <w:rsid w:val="00A64AB8"/>
    <w:rsid w:val="00A64C6A"/>
    <w:rsid w:val="00A64C87"/>
    <w:rsid w:val="00A64CC7"/>
    <w:rsid w:val="00A64CF3"/>
    <w:rsid w:val="00A64D5F"/>
    <w:rsid w:val="00A64E4C"/>
    <w:rsid w:val="00A65022"/>
    <w:rsid w:val="00A650EF"/>
    <w:rsid w:val="00A65108"/>
    <w:rsid w:val="00A6544E"/>
    <w:rsid w:val="00A6558E"/>
    <w:rsid w:val="00A65840"/>
    <w:rsid w:val="00A658E6"/>
    <w:rsid w:val="00A65947"/>
    <w:rsid w:val="00A6597A"/>
    <w:rsid w:val="00A659B0"/>
    <w:rsid w:val="00A65CB4"/>
    <w:rsid w:val="00A65E1F"/>
    <w:rsid w:val="00A66084"/>
    <w:rsid w:val="00A66148"/>
    <w:rsid w:val="00A661B4"/>
    <w:rsid w:val="00A663AA"/>
    <w:rsid w:val="00A66405"/>
    <w:rsid w:val="00A6648D"/>
    <w:rsid w:val="00A664AA"/>
    <w:rsid w:val="00A665FA"/>
    <w:rsid w:val="00A66645"/>
    <w:rsid w:val="00A66908"/>
    <w:rsid w:val="00A66910"/>
    <w:rsid w:val="00A66A44"/>
    <w:rsid w:val="00A66A80"/>
    <w:rsid w:val="00A66A9F"/>
    <w:rsid w:val="00A66DBE"/>
    <w:rsid w:val="00A66E23"/>
    <w:rsid w:val="00A6704A"/>
    <w:rsid w:val="00A671AD"/>
    <w:rsid w:val="00A672BD"/>
    <w:rsid w:val="00A673D7"/>
    <w:rsid w:val="00A6785D"/>
    <w:rsid w:val="00A67CAE"/>
    <w:rsid w:val="00A67E0F"/>
    <w:rsid w:val="00A700D8"/>
    <w:rsid w:val="00A703B9"/>
    <w:rsid w:val="00A705BF"/>
    <w:rsid w:val="00A70642"/>
    <w:rsid w:val="00A70728"/>
    <w:rsid w:val="00A707C9"/>
    <w:rsid w:val="00A7095A"/>
    <w:rsid w:val="00A7099F"/>
    <w:rsid w:val="00A70BED"/>
    <w:rsid w:val="00A70E34"/>
    <w:rsid w:val="00A71005"/>
    <w:rsid w:val="00A7112E"/>
    <w:rsid w:val="00A711B2"/>
    <w:rsid w:val="00A71457"/>
    <w:rsid w:val="00A716B1"/>
    <w:rsid w:val="00A716F2"/>
    <w:rsid w:val="00A71848"/>
    <w:rsid w:val="00A718EA"/>
    <w:rsid w:val="00A71A6A"/>
    <w:rsid w:val="00A71CE3"/>
    <w:rsid w:val="00A71F98"/>
    <w:rsid w:val="00A71FAD"/>
    <w:rsid w:val="00A7214C"/>
    <w:rsid w:val="00A724D9"/>
    <w:rsid w:val="00A726CE"/>
    <w:rsid w:val="00A72827"/>
    <w:rsid w:val="00A72A17"/>
    <w:rsid w:val="00A72A3B"/>
    <w:rsid w:val="00A72AB4"/>
    <w:rsid w:val="00A72C29"/>
    <w:rsid w:val="00A72CA5"/>
    <w:rsid w:val="00A72E37"/>
    <w:rsid w:val="00A72FE9"/>
    <w:rsid w:val="00A73106"/>
    <w:rsid w:val="00A7327D"/>
    <w:rsid w:val="00A7336E"/>
    <w:rsid w:val="00A7371C"/>
    <w:rsid w:val="00A73BBF"/>
    <w:rsid w:val="00A73D5E"/>
    <w:rsid w:val="00A73EB2"/>
    <w:rsid w:val="00A74089"/>
    <w:rsid w:val="00A74092"/>
    <w:rsid w:val="00A744E9"/>
    <w:rsid w:val="00A74572"/>
    <w:rsid w:val="00A745F3"/>
    <w:rsid w:val="00A74745"/>
    <w:rsid w:val="00A74849"/>
    <w:rsid w:val="00A74AB3"/>
    <w:rsid w:val="00A74C2E"/>
    <w:rsid w:val="00A74C49"/>
    <w:rsid w:val="00A74DD8"/>
    <w:rsid w:val="00A74F17"/>
    <w:rsid w:val="00A75043"/>
    <w:rsid w:val="00A750EC"/>
    <w:rsid w:val="00A7510E"/>
    <w:rsid w:val="00A751CD"/>
    <w:rsid w:val="00A7536E"/>
    <w:rsid w:val="00A754B2"/>
    <w:rsid w:val="00A75517"/>
    <w:rsid w:val="00A7566B"/>
    <w:rsid w:val="00A759B2"/>
    <w:rsid w:val="00A759D3"/>
    <w:rsid w:val="00A75BCC"/>
    <w:rsid w:val="00A75DC7"/>
    <w:rsid w:val="00A75EE9"/>
    <w:rsid w:val="00A7619C"/>
    <w:rsid w:val="00A76441"/>
    <w:rsid w:val="00A76569"/>
    <w:rsid w:val="00A7698F"/>
    <w:rsid w:val="00A76B26"/>
    <w:rsid w:val="00A76BF5"/>
    <w:rsid w:val="00A76D92"/>
    <w:rsid w:val="00A76E81"/>
    <w:rsid w:val="00A76ED4"/>
    <w:rsid w:val="00A76F30"/>
    <w:rsid w:val="00A7704A"/>
    <w:rsid w:val="00A77126"/>
    <w:rsid w:val="00A772BE"/>
    <w:rsid w:val="00A773EB"/>
    <w:rsid w:val="00A77400"/>
    <w:rsid w:val="00A7745C"/>
    <w:rsid w:val="00A7753E"/>
    <w:rsid w:val="00A775C4"/>
    <w:rsid w:val="00A77622"/>
    <w:rsid w:val="00A7784D"/>
    <w:rsid w:val="00A77A47"/>
    <w:rsid w:val="00A77FA7"/>
    <w:rsid w:val="00A80159"/>
    <w:rsid w:val="00A80290"/>
    <w:rsid w:val="00A8080C"/>
    <w:rsid w:val="00A80921"/>
    <w:rsid w:val="00A80A5A"/>
    <w:rsid w:val="00A80A5B"/>
    <w:rsid w:val="00A80B1E"/>
    <w:rsid w:val="00A80C22"/>
    <w:rsid w:val="00A80C3F"/>
    <w:rsid w:val="00A80CA9"/>
    <w:rsid w:val="00A80F6B"/>
    <w:rsid w:val="00A81087"/>
    <w:rsid w:val="00A810C3"/>
    <w:rsid w:val="00A81338"/>
    <w:rsid w:val="00A81502"/>
    <w:rsid w:val="00A81516"/>
    <w:rsid w:val="00A81768"/>
    <w:rsid w:val="00A81A1A"/>
    <w:rsid w:val="00A81A34"/>
    <w:rsid w:val="00A81B24"/>
    <w:rsid w:val="00A81B25"/>
    <w:rsid w:val="00A81B8E"/>
    <w:rsid w:val="00A81BDE"/>
    <w:rsid w:val="00A81C37"/>
    <w:rsid w:val="00A81CEE"/>
    <w:rsid w:val="00A81F2D"/>
    <w:rsid w:val="00A824C9"/>
    <w:rsid w:val="00A8269F"/>
    <w:rsid w:val="00A82736"/>
    <w:rsid w:val="00A82789"/>
    <w:rsid w:val="00A829F2"/>
    <w:rsid w:val="00A82D0B"/>
    <w:rsid w:val="00A82F26"/>
    <w:rsid w:val="00A83318"/>
    <w:rsid w:val="00A83414"/>
    <w:rsid w:val="00A839CC"/>
    <w:rsid w:val="00A83A9D"/>
    <w:rsid w:val="00A83B6C"/>
    <w:rsid w:val="00A83F27"/>
    <w:rsid w:val="00A83F7F"/>
    <w:rsid w:val="00A83FA0"/>
    <w:rsid w:val="00A83FBD"/>
    <w:rsid w:val="00A8409D"/>
    <w:rsid w:val="00A841BC"/>
    <w:rsid w:val="00A84264"/>
    <w:rsid w:val="00A84298"/>
    <w:rsid w:val="00A84301"/>
    <w:rsid w:val="00A8481F"/>
    <w:rsid w:val="00A84872"/>
    <w:rsid w:val="00A848B6"/>
    <w:rsid w:val="00A8495C"/>
    <w:rsid w:val="00A8499D"/>
    <w:rsid w:val="00A84AC4"/>
    <w:rsid w:val="00A84B08"/>
    <w:rsid w:val="00A84EBD"/>
    <w:rsid w:val="00A84FE5"/>
    <w:rsid w:val="00A85039"/>
    <w:rsid w:val="00A85177"/>
    <w:rsid w:val="00A85318"/>
    <w:rsid w:val="00A85319"/>
    <w:rsid w:val="00A854E6"/>
    <w:rsid w:val="00A855CF"/>
    <w:rsid w:val="00A8580C"/>
    <w:rsid w:val="00A8581C"/>
    <w:rsid w:val="00A85846"/>
    <w:rsid w:val="00A85927"/>
    <w:rsid w:val="00A85940"/>
    <w:rsid w:val="00A85CCE"/>
    <w:rsid w:val="00A85DFB"/>
    <w:rsid w:val="00A85E8B"/>
    <w:rsid w:val="00A86044"/>
    <w:rsid w:val="00A86201"/>
    <w:rsid w:val="00A86332"/>
    <w:rsid w:val="00A86511"/>
    <w:rsid w:val="00A865DF"/>
    <w:rsid w:val="00A86670"/>
    <w:rsid w:val="00A86AC5"/>
    <w:rsid w:val="00A86BA4"/>
    <w:rsid w:val="00A86CF7"/>
    <w:rsid w:val="00A872C8"/>
    <w:rsid w:val="00A87617"/>
    <w:rsid w:val="00A8795F"/>
    <w:rsid w:val="00A87AD5"/>
    <w:rsid w:val="00A87DAE"/>
    <w:rsid w:val="00A87E43"/>
    <w:rsid w:val="00A9003D"/>
    <w:rsid w:val="00A902D0"/>
    <w:rsid w:val="00A903D0"/>
    <w:rsid w:val="00A904DA"/>
    <w:rsid w:val="00A90523"/>
    <w:rsid w:val="00A90774"/>
    <w:rsid w:val="00A9080C"/>
    <w:rsid w:val="00A908B5"/>
    <w:rsid w:val="00A908C2"/>
    <w:rsid w:val="00A9092B"/>
    <w:rsid w:val="00A90BFF"/>
    <w:rsid w:val="00A90CD6"/>
    <w:rsid w:val="00A90E66"/>
    <w:rsid w:val="00A90E70"/>
    <w:rsid w:val="00A90E95"/>
    <w:rsid w:val="00A90F00"/>
    <w:rsid w:val="00A91034"/>
    <w:rsid w:val="00A913E9"/>
    <w:rsid w:val="00A91424"/>
    <w:rsid w:val="00A9161D"/>
    <w:rsid w:val="00A91B31"/>
    <w:rsid w:val="00A91C16"/>
    <w:rsid w:val="00A91C47"/>
    <w:rsid w:val="00A91CA0"/>
    <w:rsid w:val="00A91DED"/>
    <w:rsid w:val="00A91E5A"/>
    <w:rsid w:val="00A923EC"/>
    <w:rsid w:val="00A9283C"/>
    <w:rsid w:val="00A92D33"/>
    <w:rsid w:val="00A92E3A"/>
    <w:rsid w:val="00A92E7C"/>
    <w:rsid w:val="00A92EB0"/>
    <w:rsid w:val="00A93079"/>
    <w:rsid w:val="00A931A4"/>
    <w:rsid w:val="00A932BD"/>
    <w:rsid w:val="00A93686"/>
    <w:rsid w:val="00A93A0D"/>
    <w:rsid w:val="00A93A23"/>
    <w:rsid w:val="00A93BC7"/>
    <w:rsid w:val="00A93C02"/>
    <w:rsid w:val="00A93C3B"/>
    <w:rsid w:val="00A93C4E"/>
    <w:rsid w:val="00A93C82"/>
    <w:rsid w:val="00A93E6C"/>
    <w:rsid w:val="00A940F5"/>
    <w:rsid w:val="00A9410C"/>
    <w:rsid w:val="00A94116"/>
    <w:rsid w:val="00A94134"/>
    <w:rsid w:val="00A94168"/>
    <w:rsid w:val="00A9441F"/>
    <w:rsid w:val="00A9471E"/>
    <w:rsid w:val="00A94793"/>
    <w:rsid w:val="00A94796"/>
    <w:rsid w:val="00A94A2A"/>
    <w:rsid w:val="00A94A2E"/>
    <w:rsid w:val="00A94B02"/>
    <w:rsid w:val="00A94B05"/>
    <w:rsid w:val="00A94B82"/>
    <w:rsid w:val="00A94C0F"/>
    <w:rsid w:val="00A94F64"/>
    <w:rsid w:val="00A94F9E"/>
    <w:rsid w:val="00A94FE3"/>
    <w:rsid w:val="00A9505C"/>
    <w:rsid w:val="00A952ED"/>
    <w:rsid w:val="00A95826"/>
    <w:rsid w:val="00A95A90"/>
    <w:rsid w:val="00A95AB8"/>
    <w:rsid w:val="00A95B1E"/>
    <w:rsid w:val="00A95C2C"/>
    <w:rsid w:val="00A95E05"/>
    <w:rsid w:val="00A95E12"/>
    <w:rsid w:val="00A95F19"/>
    <w:rsid w:val="00A96065"/>
    <w:rsid w:val="00A9624D"/>
    <w:rsid w:val="00A963BD"/>
    <w:rsid w:val="00A964CD"/>
    <w:rsid w:val="00A969CA"/>
    <w:rsid w:val="00A969E3"/>
    <w:rsid w:val="00A96CAA"/>
    <w:rsid w:val="00A96D7C"/>
    <w:rsid w:val="00A96DB4"/>
    <w:rsid w:val="00A96DED"/>
    <w:rsid w:val="00A972D0"/>
    <w:rsid w:val="00A97410"/>
    <w:rsid w:val="00A974F3"/>
    <w:rsid w:val="00A9776D"/>
    <w:rsid w:val="00A9785D"/>
    <w:rsid w:val="00A97864"/>
    <w:rsid w:val="00A97DC7"/>
    <w:rsid w:val="00A97E9E"/>
    <w:rsid w:val="00A97EC6"/>
    <w:rsid w:val="00A97FA5"/>
    <w:rsid w:val="00A97FF2"/>
    <w:rsid w:val="00AA05C3"/>
    <w:rsid w:val="00AA05DC"/>
    <w:rsid w:val="00AA0967"/>
    <w:rsid w:val="00AA09C4"/>
    <w:rsid w:val="00AA0B7A"/>
    <w:rsid w:val="00AA0C4F"/>
    <w:rsid w:val="00AA0C62"/>
    <w:rsid w:val="00AA0C93"/>
    <w:rsid w:val="00AA0EEF"/>
    <w:rsid w:val="00AA0F1B"/>
    <w:rsid w:val="00AA108B"/>
    <w:rsid w:val="00AA11D3"/>
    <w:rsid w:val="00AA12F4"/>
    <w:rsid w:val="00AA1327"/>
    <w:rsid w:val="00AA16A7"/>
    <w:rsid w:val="00AA1739"/>
    <w:rsid w:val="00AA18A5"/>
    <w:rsid w:val="00AA18E1"/>
    <w:rsid w:val="00AA1A75"/>
    <w:rsid w:val="00AA1C6C"/>
    <w:rsid w:val="00AA1E3F"/>
    <w:rsid w:val="00AA2146"/>
    <w:rsid w:val="00AA21F8"/>
    <w:rsid w:val="00AA2340"/>
    <w:rsid w:val="00AA28E9"/>
    <w:rsid w:val="00AA28F8"/>
    <w:rsid w:val="00AA2B0E"/>
    <w:rsid w:val="00AA2BE3"/>
    <w:rsid w:val="00AA2C78"/>
    <w:rsid w:val="00AA2CDA"/>
    <w:rsid w:val="00AA2DC8"/>
    <w:rsid w:val="00AA2DCB"/>
    <w:rsid w:val="00AA2DD4"/>
    <w:rsid w:val="00AA2DDD"/>
    <w:rsid w:val="00AA2E7E"/>
    <w:rsid w:val="00AA2EF6"/>
    <w:rsid w:val="00AA2F70"/>
    <w:rsid w:val="00AA2F92"/>
    <w:rsid w:val="00AA311B"/>
    <w:rsid w:val="00AA3423"/>
    <w:rsid w:val="00AA34DF"/>
    <w:rsid w:val="00AA35A3"/>
    <w:rsid w:val="00AA370B"/>
    <w:rsid w:val="00AA377A"/>
    <w:rsid w:val="00AA3800"/>
    <w:rsid w:val="00AA3924"/>
    <w:rsid w:val="00AA3955"/>
    <w:rsid w:val="00AA3C2D"/>
    <w:rsid w:val="00AA3C59"/>
    <w:rsid w:val="00AA3DE5"/>
    <w:rsid w:val="00AA3E18"/>
    <w:rsid w:val="00AA3F53"/>
    <w:rsid w:val="00AA4131"/>
    <w:rsid w:val="00AA4239"/>
    <w:rsid w:val="00AA4318"/>
    <w:rsid w:val="00AA4619"/>
    <w:rsid w:val="00AA4888"/>
    <w:rsid w:val="00AA4D6D"/>
    <w:rsid w:val="00AA4D9F"/>
    <w:rsid w:val="00AA4E53"/>
    <w:rsid w:val="00AA506C"/>
    <w:rsid w:val="00AA5164"/>
    <w:rsid w:val="00AA5284"/>
    <w:rsid w:val="00AA52FF"/>
    <w:rsid w:val="00AA538B"/>
    <w:rsid w:val="00AA575F"/>
    <w:rsid w:val="00AA5778"/>
    <w:rsid w:val="00AA605B"/>
    <w:rsid w:val="00AA60C7"/>
    <w:rsid w:val="00AA616F"/>
    <w:rsid w:val="00AA6450"/>
    <w:rsid w:val="00AA650A"/>
    <w:rsid w:val="00AA6568"/>
    <w:rsid w:val="00AA6674"/>
    <w:rsid w:val="00AA6681"/>
    <w:rsid w:val="00AA687A"/>
    <w:rsid w:val="00AA6A23"/>
    <w:rsid w:val="00AA6AAE"/>
    <w:rsid w:val="00AA6C18"/>
    <w:rsid w:val="00AA6DC3"/>
    <w:rsid w:val="00AA6E92"/>
    <w:rsid w:val="00AA6E9E"/>
    <w:rsid w:val="00AA6F79"/>
    <w:rsid w:val="00AA7068"/>
    <w:rsid w:val="00AA709C"/>
    <w:rsid w:val="00AA7194"/>
    <w:rsid w:val="00AA71CD"/>
    <w:rsid w:val="00AA71EF"/>
    <w:rsid w:val="00AA725B"/>
    <w:rsid w:val="00AA72F3"/>
    <w:rsid w:val="00AA778C"/>
    <w:rsid w:val="00AA77EF"/>
    <w:rsid w:val="00AA783C"/>
    <w:rsid w:val="00AA7B11"/>
    <w:rsid w:val="00AA7F53"/>
    <w:rsid w:val="00AB0FAD"/>
    <w:rsid w:val="00AB1126"/>
    <w:rsid w:val="00AB1169"/>
    <w:rsid w:val="00AB17FA"/>
    <w:rsid w:val="00AB19DA"/>
    <w:rsid w:val="00AB1BCE"/>
    <w:rsid w:val="00AB1DA7"/>
    <w:rsid w:val="00AB1DF1"/>
    <w:rsid w:val="00AB20AD"/>
    <w:rsid w:val="00AB2318"/>
    <w:rsid w:val="00AB234A"/>
    <w:rsid w:val="00AB26B1"/>
    <w:rsid w:val="00AB26DF"/>
    <w:rsid w:val="00AB27F3"/>
    <w:rsid w:val="00AB27FD"/>
    <w:rsid w:val="00AB297A"/>
    <w:rsid w:val="00AB29A1"/>
    <w:rsid w:val="00AB2B30"/>
    <w:rsid w:val="00AB2C22"/>
    <w:rsid w:val="00AB2CD3"/>
    <w:rsid w:val="00AB2E62"/>
    <w:rsid w:val="00AB2F83"/>
    <w:rsid w:val="00AB2FB9"/>
    <w:rsid w:val="00AB3093"/>
    <w:rsid w:val="00AB32DA"/>
    <w:rsid w:val="00AB32DB"/>
    <w:rsid w:val="00AB3304"/>
    <w:rsid w:val="00AB3438"/>
    <w:rsid w:val="00AB345B"/>
    <w:rsid w:val="00AB34D1"/>
    <w:rsid w:val="00AB35CA"/>
    <w:rsid w:val="00AB3699"/>
    <w:rsid w:val="00AB36DD"/>
    <w:rsid w:val="00AB3850"/>
    <w:rsid w:val="00AB3B4B"/>
    <w:rsid w:val="00AB3CC4"/>
    <w:rsid w:val="00AB3E9E"/>
    <w:rsid w:val="00AB41B3"/>
    <w:rsid w:val="00AB425A"/>
    <w:rsid w:val="00AB42D0"/>
    <w:rsid w:val="00AB44D8"/>
    <w:rsid w:val="00AB4560"/>
    <w:rsid w:val="00AB45DB"/>
    <w:rsid w:val="00AB46AF"/>
    <w:rsid w:val="00AB46C7"/>
    <w:rsid w:val="00AB49BF"/>
    <w:rsid w:val="00AB49F1"/>
    <w:rsid w:val="00AB4A78"/>
    <w:rsid w:val="00AB4CDC"/>
    <w:rsid w:val="00AB4ED8"/>
    <w:rsid w:val="00AB4F67"/>
    <w:rsid w:val="00AB4F86"/>
    <w:rsid w:val="00AB5197"/>
    <w:rsid w:val="00AB52F0"/>
    <w:rsid w:val="00AB5334"/>
    <w:rsid w:val="00AB579E"/>
    <w:rsid w:val="00AB5833"/>
    <w:rsid w:val="00AB5A9F"/>
    <w:rsid w:val="00AB5ABC"/>
    <w:rsid w:val="00AB5ADC"/>
    <w:rsid w:val="00AB5BCC"/>
    <w:rsid w:val="00AB5BDB"/>
    <w:rsid w:val="00AB5D5C"/>
    <w:rsid w:val="00AB5FB1"/>
    <w:rsid w:val="00AB5FB4"/>
    <w:rsid w:val="00AB60B6"/>
    <w:rsid w:val="00AB6155"/>
    <w:rsid w:val="00AB6441"/>
    <w:rsid w:val="00AB645A"/>
    <w:rsid w:val="00AB645C"/>
    <w:rsid w:val="00AB64FB"/>
    <w:rsid w:val="00AB6529"/>
    <w:rsid w:val="00AB6668"/>
    <w:rsid w:val="00AB684C"/>
    <w:rsid w:val="00AB6909"/>
    <w:rsid w:val="00AB6A72"/>
    <w:rsid w:val="00AB6AC4"/>
    <w:rsid w:val="00AB6C79"/>
    <w:rsid w:val="00AB6CD6"/>
    <w:rsid w:val="00AB6D53"/>
    <w:rsid w:val="00AB7298"/>
    <w:rsid w:val="00AB7390"/>
    <w:rsid w:val="00AB74F7"/>
    <w:rsid w:val="00AB7B62"/>
    <w:rsid w:val="00AB7C53"/>
    <w:rsid w:val="00AB7C68"/>
    <w:rsid w:val="00AB7E4A"/>
    <w:rsid w:val="00AB7E4C"/>
    <w:rsid w:val="00AB7EAB"/>
    <w:rsid w:val="00AB7EBF"/>
    <w:rsid w:val="00AB7EE5"/>
    <w:rsid w:val="00AC0037"/>
    <w:rsid w:val="00AC00BD"/>
    <w:rsid w:val="00AC02C1"/>
    <w:rsid w:val="00AC0375"/>
    <w:rsid w:val="00AC058B"/>
    <w:rsid w:val="00AC0707"/>
    <w:rsid w:val="00AC0AE7"/>
    <w:rsid w:val="00AC0B26"/>
    <w:rsid w:val="00AC0B36"/>
    <w:rsid w:val="00AC0D1B"/>
    <w:rsid w:val="00AC0DBF"/>
    <w:rsid w:val="00AC0F8D"/>
    <w:rsid w:val="00AC1092"/>
    <w:rsid w:val="00AC1099"/>
    <w:rsid w:val="00AC12E1"/>
    <w:rsid w:val="00AC1677"/>
    <w:rsid w:val="00AC16D5"/>
    <w:rsid w:val="00AC1727"/>
    <w:rsid w:val="00AC18E8"/>
    <w:rsid w:val="00AC1921"/>
    <w:rsid w:val="00AC1D7E"/>
    <w:rsid w:val="00AC1DBB"/>
    <w:rsid w:val="00AC20C5"/>
    <w:rsid w:val="00AC2138"/>
    <w:rsid w:val="00AC23C7"/>
    <w:rsid w:val="00AC242F"/>
    <w:rsid w:val="00AC2705"/>
    <w:rsid w:val="00AC2849"/>
    <w:rsid w:val="00AC2B58"/>
    <w:rsid w:val="00AC2B8A"/>
    <w:rsid w:val="00AC2C33"/>
    <w:rsid w:val="00AC2E4C"/>
    <w:rsid w:val="00AC2E9A"/>
    <w:rsid w:val="00AC30A2"/>
    <w:rsid w:val="00AC30E1"/>
    <w:rsid w:val="00AC30E9"/>
    <w:rsid w:val="00AC3224"/>
    <w:rsid w:val="00AC366B"/>
    <w:rsid w:val="00AC37CA"/>
    <w:rsid w:val="00AC3A46"/>
    <w:rsid w:val="00AC3C61"/>
    <w:rsid w:val="00AC3F56"/>
    <w:rsid w:val="00AC4095"/>
    <w:rsid w:val="00AC410B"/>
    <w:rsid w:val="00AC4256"/>
    <w:rsid w:val="00AC4495"/>
    <w:rsid w:val="00AC44B3"/>
    <w:rsid w:val="00AC44B6"/>
    <w:rsid w:val="00AC468D"/>
    <w:rsid w:val="00AC49CF"/>
    <w:rsid w:val="00AC49D9"/>
    <w:rsid w:val="00AC4DF2"/>
    <w:rsid w:val="00AC4E1E"/>
    <w:rsid w:val="00AC50E1"/>
    <w:rsid w:val="00AC52A8"/>
    <w:rsid w:val="00AC536F"/>
    <w:rsid w:val="00AC5514"/>
    <w:rsid w:val="00AC5549"/>
    <w:rsid w:val="00AC5636"/>
    <w:rsid w:val="00AC5811"/>
    <w:rsid w:val="00AC5852"/>
    <w:rsid w:val="00AC585E"/>
    <w:rsid w:val="00AC5862"/>
    <w:rsid w:val="00AC58FA"/>
    <w:rsid w:val="00AC591D"/>
    <w:rsid w:val="00AC59B9"/>
    <w:rsid w:val="00AC5E21"/>
    <w:rsid w:val="00AC5F78"/>
    <w:rsid w:val="00AC60F9"/>
    <w:rsid w:val="00AC6195"/>
    <w:rsid w:val="00AC6225"/>
    <w:rsid w:val="00AC6231"/>
    <w:rsid w:val="00AC6379"/>
    <w:rsid w:val="00AC6404"/>
    <w:rsid w:val="00AC6753"/>
    <w:rsid w:val="00AC6C0D"/>
    <w:rsid w:val="00AC6DA6"/>
    <w:rsid w:val="00AC6F04"/>
    <w:rsid w:val="00AC70AE"/>
    <w:rsid w:val="00AC729A"/>
    <w:rsid w:val="00AC749D"/>
    <w:rsid w:val="00AC7632"/>
    <w:rsid w:val="00AC767D"/>
    <w:rsid w:val="00AC7879"/>
    <w:rsid w:val="00AC7A98"/>
    <w:rsid w:val="00AC7AA3"/>
    <w:rsid w:val="00AC7AA4"/>
    <w:rsid w:val="00AC7DB1"/>
    <w:rsid w:val="00AD0169"/>
    <w:rsid w:val="00AD053E"/>
    <w:rsid w:val="00AD05D0"/>
    <w:rsid w:val="00AD07BC"/>
    <w:rsid w:val="00AD0870"/>
    <w:rsid w:val="00AD0B54"/>
    <w:rsid w:val="00AD0DB3"/>
    <w:rsid w:val="00AD0DFF"/>
    <w:rsid w:val="00AD0F4F"/>
    <w:rsid w:val="00AD0FAF"/>
    <w:rsid w:val="00AD11D2"/>
    <w:rsid w:val="00AD11F3"/>
    <w:rsid w:val="00AD1240"/>
    <w:rsid w:val="00AD149F"/>
    <w:rsid w:val="00AD14DB"/>
    <w:rsid w:val="00AD1856"/>
    <w:rsid w:val="00AD19DC"/>
    <w:rsid w:val="00AD1B2C"/>
    <w:rsid w:val="00AD1BDF"/>
    <w:rsid w:val="00AD1CC3"/>
    <w:rsid w:val="00AD1D18"/>
    <w:rsid w:val="00AD1DF5"/>
    <w:rsid w:val="00AD1FA1"/>
    <w:rsid w:val="00AD2091"/>
    <w:rsid w:val="00AD20E1"/>
    <w:rsid w:val="00AD2202"/>
    <w:rsid w:val="00AD221E"/>
    <w:rsid w:val="00AD23FF"/>
    <w:rsid w:val="00AD2590"/>
    <w:rsid w:val="00AD27A7"/>
    <w:rsid w:val="00AD2A84"/>
    <w:rsid w:val="00AD2BAF"/>
    <w:rsid w:val="00AD2BD0"/>
    <w:rsid w:val="00AD2BD6"/>
    <w:rsid w:val="00AD2D7C"/>
    <w:rsid w:val="00AD2E6A"/>
    <w:rsid w:val="00AD2EBD"/>
    <w:rsid w:val="00AD3116"/>
    <w:rsid w:val="00AD31C9"/>
    <w:rsid w:val="00AD31E3"/>
    <w:rsid w:val="00AD36BA"/>
    <w:rsid w:val="00AD389A"/>
    <w:rsid w:val="00AD3D45"/>
    <w:rsid w:val="00AD3D6E"/>
    <w:rsid w:val="00AD3FF5"/>
    <w:rsid w:val="00AD40B2"/>
    <w:rsid w:val="00AD4216"/>
    <w:rsid w:val="00AD4344"/>
    <w:rsid w:val="00AD4351"/>
    <w:rsid w:val="00AD44F8"/>
    <w:rsid w:val="00AD4505"/>
    <w:rsid w:val="00AD45D3"/>
    <w:rsid w:val="00AD48F2"/>
    <w:rsid w:val="00AD49C1"/>
    <w:rsid w:val="00AD49CC"/>
    <w:rsid w:val="00AD4A79"/>
    <w:rsid w:val="00AD4BBD"/>
    <w:rsid w:val="00AD50A1"/>
    <w:rsid w:val="00AD50F8"/>
    <w:rsid w:val="00AD512E"/>
    <w:rsid w:val="00AD5175"/>
    <w:rsid w:val="00AD5185"/>
    <w:rsid w:val="00AD521C"/>
    <w:rsid w:val="00AD5387"/>
    <w:rsid w:val="00AD545D"/>
    <w:rsid w:val="00AD5505"/>
    <w:rsid w:val="00AD57E1"/>
    <w:rsid w:val="00AD5A74"/>
    <w:rsid w:val="00AD5C55"/>
    <w:rsid w:val="00AD5EFF"/>
    <w:rsid w:val="00AD5FE5"/>
    <w:rsid w:val="00AD63A5"/>
    <w:rsid w:val="00AD6431"/>
    <w:rsid w:val="00AD66F1"/>
    <w:rsid w:val="00AD67B1"/>
    <w:rsid w:val="00AD6990"/>
    <w:rsid w:val="00AD69E6"/>
    <w:rsid w:val="00AD6A4A"/>
    <w:rsid w:val="00AD71BE"/>
    <w:rsid w:val="00AD7320"/>
    <w:rsid w:val="00AD7352"/>
    <w:rsid w:val="00AD7496"/>
    <w:rsid w:val="00AD76E8"/>
    <w:rsid w:val="00AD7900"/>
    <w:rsid w:val="00AD7925"/>
    <w:rsid w:val="00AD7CFE"/>
    <w:rsid w:val="00AD7D6B"/>
    <w:rsid w:val="00AD7FA1"/>
    <w:rsid w:val="00AE00EC"/>
    <w:rsid w:val="00AE01EC"/>
    <w:rsid w:val="00AE0262"/>
    <w:rsid w:val="00AE0325"/>
    <w:rsid w:val="00AE0334"/>
    <w:rsid w:val="00AE0605"/>
    <w:rsid w:val="00AE072D"/>
    <w:rsid w:val="00AE07B7"/>
    <w:rsid w:val="00AE0A25"/>
    <w:rsid w:val="00AE0C6D"/>
    <w:rsid w:val="00AE0D20"/>
    <w:rsid w:val="00AE0F28"/>
    <w:rsid w:val="00AE1155"/>
    <w:rsid w:val="00AE1369"/>
    <w:rsid w:val="00AE14E0"/>
    <w:rsid w:val="00AE1631"/>
    <w:rsid w:val="00AE19EE"/>
    <w:rsid w:val="00AE1B03"/>
    <w:rsid w:val="00AE1DF0"/>
    <w:rsid w:val="00AE21F2"/>
    <w:rsid w:val="00AE2244"/>
    <w:rsid w:val="00AE22D5"/>
    <w:rsid w:val="00AE25EC"/>
    <w:rsid w:val="00AE26D7"/>
    <w:rsid w:val="00AE28E2"/>
    <w:rsid w:val="00AE2973"/>
    <w:rsid w:val="00AE29D6"/>
    <w:rsid w:val="00AE2DD1"/>
    <w:rsid w:val="00AE2E5C"/>
    <w:rsid w:val="00AE2EBD"/>
    <w:rsid w:val="00AE2ED6"/>
    <w:rsid w:val="00AE2EFF"/>
    <w:rsid w:val="00AE2FA3"/>
    <w:rsid w:val="00AE2FE6"/>
    <w:rsid w:val="00AE302D"/>
    <w:rsid w:val="00AE3036"/>
    <w:rsid w:val="00AE31A1"/>
    <w:rsid w:val="00AE32DC"/>
    <w:rsid w:val="00AE34EC"/>
    <w:rsid w:val="00AE3785"/>
    <w:rsid w:val="00AE39E0"/>
    <w:rsid w:val="00AE3C51"/>
    <w:rsid w:val="00AE3E92"/>
    <w:rsid w:val="00AE3EF4"/>
    <w:rsid w:val="00AE3F13"/>
    <w:rsid w:val="00AE3F28"/>
    <w:rsid w:val="00AE4128"/>
    <w:rsid w:val="00AE413D"/>
    <w:rsid w:val="00AE42DB"/>
    <w:rsid w:val="00AE42E9"/>
    <w:rsid w:val="00AE45AB"/>
    <w:rsid w:val="00AE45B5"/>
    <w:rsid w:val="00AE470C"/>
    <w:rsid w:val="00AE477C"/>
    <w:rsid w:val="00AE4A85"/>
    <w:rsid w:val="00AE4BA6"/>
    <w:rsid w:val="00AE4EA7"/>
    <w:rsid w:val="00AE514C"/>
    <w:rsid w:val="00AE51DF"/>
    <w:rsid w:val="00AE5286"/>
    <w:rsid w:val="00AE53E7"/>
    <w:rsid w:val="00AE53F9"/>
    <w:rsid w:val="00AE56BB"/>
    <w:rsid w:val="00AE574C"/>
    <w:rsid w:val="00AE5827"/>
    <w:rsid w:val="00AE5E23"/>
    <w:rsid w:val="00AE5E27"/>
    <w:rsid w:val="00AE5F86"/>
    <w:rsid w:val="00AE5F92"/>
    <w:rsid w:val="00AE5FB2"/>
    <w:rsid w:val="00AE5FD7"/>
    <w:rsid w:val="00AE5FE9"/>
    <w:rsid w:val="00AE60AA"/>
    <w:rsid w:val="00AE60D1"/>
    <w:rsid w:val="00AE6178"/>
    <w:rsid w:val="00AE6283"/>
    <w:rsid w:val="00AE64D1"/>
    <w:rsid w:val="00AE6568"/>
    <w:rsid w:val="00AE658B"/>
    <w:rsid w:val="00AE65CE"/>
    <w:rsid w:val="00AE66EF"/>
    <w:rsid w:val="00AE6936"/>
    <w:rsid w:val="00AE6CD3"/>
    <w:rsid w:val="00AE6CD8"/>
    <w:rsid w:val="00AE6EEA"/>
    <w:rsid w:val="00AE7081"/>
    <w:rsid w:val="00AE7466"/>
    <w:rsid w:val="00AE77C1"/>
    <w:rsid w:val="00AE781C"/>
    <w:rsid w:val="00AE7A45"/>
    <w:rsid w:val="00AE7E80"/>
    <w:rsid w:val="00AE7F46"/>
    <w:rsid w:val="00AE7F99"/>
    <w:rsid w:val="00AF00FD"/>
    <w:rsid w:val="00AF010B"/>
    <w:rsid w:val="00AF0173"/>
    <w:rsid w:val="00AF0243"/>
    <w:rsid w:val="00AF02F7"/>
    <w:rsid w:val="00AF033A"/>
    <w:rsid w:val="00AF0705"/>
    <w:rsid w:val="00AF0725"/>
    <w:rsid w:val="00AF0881"/>
    <w:rsid w:val="00AF08E4"/>
    <w:rsid w:val="00AF0A3F"/>
    <w:rsid w:val="00AF0BED"/>
    <w:rsid w:val="00AF1054"/>
    <w:rsid w:val="00AF1092"/>
    <w:rsid w:val="00AF1332"/>
    <w:rsid w:val="00AF1350"/>
    <w:rsid w:val="00AF14A9"/>
    <w:rsid w:val="00AF1662"/>
    <w:rsid w:val="00AF16DF"/>
    <w:rsid w:val="00AF18F1"/>
    <w:rsid w:val="00AF19EA"/>
    <w:rsid w:val="00AF1AE0"/>
    <w:rsid w:val="00AF1CE2"/>
    <w:rsid w:val="00AF1D14"/>
    <w:rsid w:val="00AF1E5C"/>
    <w:rsid w:val="00AF1E61"/>
    <w:rsid w:val="00AF202C"/>
    <w:rsid w:val="00AF21CC"/>
    <w:rsid w:val="00AF2534"/>
    <w:rsid w:val="00AF277E"/>
    <w:rsid w:val="00AF2C05"/>
    <w:rsid w:val="00AF2DFF"/>
    <w:rsid w:val="00AF2E84"/>
    <w:rsid w:val="00AF327F"/>
    <w:rsid w:val="00AF32EA"/>
    <w:rsid w:val="00AF36A4"/>
    <w:rsid w:val="00AF3794"/>
    <w:rsid w:val="00AF37AD"/>
    <w:rsid w:val="00AF3AD3"/>
    <w:rsid w:val="00AF3AF3"/>
    <w:rsid w:val="00AF3CD1"/>
    <w:rsid w:val="00AF3DFF"/>
    <w:rsid w:val="00AF3EF3"/>
    <w:rsid w:val="00AF3F50"/>
    <w:rsid w:val="00AF402D"/>
    <w:rsid w:val="00AF4118"/>
    <w:rsid w:val="00AF41A9"/>
    <w:rsid w:val="00AF4493"/>
    <w:rsid w:val="00AF457F"/>
    <w:rsid w:val="00AF45E8"/>
    <w:rsid w:val="00AF477F"/>
    <w:rsid w:val="00AF48C2"/>
    <w:rsid w:val="00AF48EB"/>
    <w:rsid w:val="00AF48F0"/>
    <w:rsid w:val="00AF4DB3"/>
    <w:rsid w:val="00AF502C"/>
    <w:rsid w:val="00AF5095"/>
    <w:rsid w:val="00AF52C1"/>
    <w:rsid w:val="00AF5318"/>
    <w:rsid w:val="00AF549D"/>
    <w:rsid w:val="00AF561D"/>
    <w:rsid w:val="00AF57D4"/>
    <w:rsid w:val="00AF58A6"/>
    <w:rsid w:val="00AF59CF"/>
    <w:rsid w:val="00AF5B6D"/>
    <w:rsid w:val="00AF5C58"/>
    <w:rsid w:val="00AF5DFF"/>
    <w:rsid w:val="00AF5EFB"/>
    <w:rsid w:val="00AF5FF9"/>
    <w:rsid w:val="00AF6296"/>
    <w:rsid w:val="00AF6631"/>
    <w:rsid w:val="00AF6663"/>
    <w:rsid w:val="00AF6832"/>
    <w:rsid w:val="00AF69EE"/>
    <w:rsid w:val="00AF6A2E"/>
    <w:rsid w:val="00AF6B05"/>
    <w:rsid w:val="00AF6BBA"/>
    <w:rsid w:val="00AF6C5A"/>
    <w:rsid w:val="00AF6CE0"/>
    <w:rsid w:val="00AF6CF4"/>
    <w:rsid w:val="00AF6F80"/>
    <w:rsid w:val="00AF6FEE"/>
    <w:rsid w:val="00AF709A"/>
    <w:rsid w:val="00AF713C"/>
    <w:rsid w:val="00AF71A0"/>
    <w:rsid w:val="00AF742D"/>
    <w:rsid w:val="00AF76AE"/>
    <w:rsid w:val="00AF7AEA"/>
    <w:rsid w:val="00AF7B05"/>
    <w:rsid w:val="00AF7B0A"/>
    <w:rsid w:val="00AF7B6F"/>
    <w:rsid w:val="00AF7C49"/>
    <w:rsid w:val="00AF7C67"/>
    <w:rsid w:val="00AF7D7E"/>
    <w:rsid w:val="00AF7DC5"/>
    <w:rsid w:val="00B00010"/>
    <w:rsid w:val="00B002DA"/>
    <w:rsid w:val="00B00410"/>
    <w:rsid w:val="00B0042A"/>
    <w:rsid w:val="00B0052C"/>
    <w:rsid w:val="00B00895"/>
    <w:rsid w:val="00B00A14"/>
    <w:rsid w:val="00B00A2D"/>
    <w:rsid w:val="00B00F4A"/>
    <w:rsid w:val="00B01001"/>
    <w:rsid w:val="00B0123A"/>
    <w:rsid w:val="00B012A6"/>
    <w:rsid w:val="00B0185C"/>
    <w:rsid w:val="00B01915"/>
    <w:rsid w:val="00B01950"/>
    <w:rsid w:val="00B019C1"/>
    <w:rsid w:val="00B01A1A"/>
    <w:rsid w:val="00B01B44"/>
    <w:rsid w:val="00B01C27"/>
    <w:rsid w:val="00B01D78"/>
    <w:rsid w:val="00B01FCF"/>
    <w:rsid w:val="00B02064"/>
    <w:rsid w:val="00B02602"/>
    <w:rsid w:val="00B02623"/>
    <w:rsid w:val="00B02A29"/>
    <w:rsid w:val="00B02BB2"/>
    <w:rsid w:val="00B02C1C"/>
    <w:rsid w:val="00B02EB5"/>
    <w:rsid w:val="00B02ECB"/>
    <w:rsid w:val="00B02EEE"/>
    <w:rsid w:val="00B0315E"/>
    <w:rsid w:val="00B031B6"/>
    <w:rsid w:val="00B03433"/>
    <w:rsid w:val="00B03D7C"/>
    <w:rsid w:val="00B03E68"/>
    <w:rsid w:val="00B03FAB"/>
    <w:rsid w:val="00B04243"/>
    <w:rsid w:val="00B0438B"/>
    <w:rsid w:val="00B0446E"/>
    <w:rsid w:val="00B04504"/>
    <w:rsid w:val="00B045C0"/>
    <w:rsid w:val="00B04AFE"/>
    <w:rsid w:val="00B04C9C"/>
    <w:rsid w:val="00B04CC3"/>
    <w:rsid w:val="00B04D01"/>
    <w:rsid w:val="00B04F83"/>
    <w:rsid w:val="00B05072"/>
    <w:rsid w:val="00B0517F"/>
    <w:rsid w:val="00B05327"/>
    <w:rsid w:val="00B053A0"/>
    <w:rsid w:val="00B057FD"/>
    <w:rsid w:val="00B0580F"/>
    <w:rsid w:val="00B058A0"/>
    <w:rsid w:val="00B05911"/>
    <w:rsid w:val="00B05B8C"/>
    <w:rsid w:val="00B05CA8"/>
    <w:rsid w:val="00B0616D"/>
    <w:rsid w:val="00B0628E"/>
    <w:rsid w:val="00B06701"/>
    <w:rsid w:val="00B06986"/>
    <w:rsid w:val="00B06989"/>
    <w:rsid w:val="00B06A8B"/>
    <w:rsid w:val="00B06EB4"/>
    <w:rsid w:val="00B06F36"/>
    <w:rsid w:val="00B06F78"/>
    <w:rsid w:val="00B06FD0"/>
    <w:rsid w:val="00B0724F"/>
    <w:rsid w:val="00B0736F"/>
    <w:rsid w:val="00B0762B"/>
    <w:rsid w:val="00B0767C"/>
    <w:rsid w:val="00B07684"/>
    <w:rsid w:val="00B076C1"/>
    <w:rsid w:val="00B0775B"/>
    <w:rsid w:val="00B077AA"/>
    <w:rsid w:val="00B07A2C"/>
    <w:rsid w:val="00B07B9C"/>
    <w:rsid w:val="00B07D0B"/>
    <w:rsid w:val="00B07D99"/>
    <w:rsid w:val="00B07E7F"/>
    <w:rsid w:val="00B10221"/>
    <w:rsid w:val="00B1024E"/>
    <w:rsid w:val="00B103C1"/>
    <w:rsid w:val="00B103E0"/>
    <w:rsid w:val="00B10835"/>
    <w:rsid w:val="00B10921"/>
    <w:rsid w:val="00B10B59"/>
    <w:rsid w:val="00B10CAD"/>
    <w:rsid w:val="00B10CD5"/>
    <w:rsid w:val="00B10E6D"/>
    <w:rsid w:val="00B10FAC"/>
    <w:rsid w:val="00B11082"/>
    <w:rsid w:val="00B11106"/>
    <w:rsid w:val="00B11767"/>
    <w:rsid w:val="00B11B4A"/>
    <w:rsid w:val="00B11CA6"/>
    <w:rsid w:val="00B11CF6"/>
    <w:rsid w:val="00B11DA2"/>
    <w:rsid w:val="00B1200D"/>
    <w:rsid w:val="00B120A6"/>
    <w:rsid w:val="00B12123"/>
    <w:rsid w:val="00B1213B"/>
    <w:rsid w:val="00B12191"/>
    <w:rsid w:val="00B12320"/>
    <w:rsid w:val="00B123C8"/>
    <w:rsid w:val="00B12549"/>
    <w:rsid w:val="00B12ADE"/>
    <w:rsid w:val="00B12B6B"/>
    <w:rsid w:val="00B12D45"/>
    <w:rsid w:val="00B12E33"/>
    <w:rsid w:val="00B12EC5"/>
    <w:rsid w:val="00B13259"/>
    <w:rsid w:val="00B134FD"/>
    <w:rsid w:val="00B138A0"/>
    <w:rsid w:val="00B13C92"/>
    <w:rsid w:val="00B13C97"/>
    <w:rsid w:val="00B13E48"/>
    <w:rsid w:val="00B13F8C"/>
    <w:rsid w:val="00B13FDB"/>
    <w:rsid w:val="00B13FE5"/>
    <w:rsid w:val="00B14404"/>
    <w:rsid w:val="00B144A3"/>
    <w:rsid w:val="00B144B7"/>
    <w:rsid w:val="00B1452B"/>
    <w:rsid w:val="00B145F4"/>
    <w:rsid w:val="00B148C8"/>
    <w:rsid w:val="00B148CD"/>
    <w:rsid w:val="00B14AFD"/>
    <w:rsid w:val="00B14C7A"/>
    <w:rsid w:val="00B14CB5"/>
    <w:rsid w:val="00B14D1F"/>
    <w:rsid w:val="00B14D3B"/>
    <w:rsid w:val="00B14D67"/>
    <w:rsid w:val="00B14FBB"/>
    <w:rsid w:val="00B1534E"/>
    <w:rsid w:val="00B15505"/>
    <w:rsid w:val="00B155F8"/>
    <w:rsid w:val="00B156ED"/>
    <w:rsid w:val="00B157E1"/>
    <w:rsid w:val="00B15801"/>
    <w:rsid w:val="00B158ED"/>
    <w:rsid w:val="00B15915"/>
    <w:rsid w:val="00B15B8D"/>
    <w:rsid w:val="00B15D27"/>
    <w:rsid w:val="00B15DDE"/>
    <w:rsid w:val="00B15E34"/>
    <w:rsid w:val="00B15F16"/>
    <w:rsid w:val="00B15F83"/>
    <w:rsid w:val="00B15FFB"/>
    <w:rsid w:val="00B16234"/>
    <w:rsid w:val="00B163D1"/>
    <w:rsid w:val="00B1655D"/>
    <w:rsid w:val="00B16A30"/>
    <w:rsid w:val="00B16AE5"/>
    <w:rsid w:val="00B16C90"/>
    <w:rsid w:val="00B16CB8"/>
    <w:rsid w:val="00B16D80"/>
    <w:rsid w:val="00B16F31"/>
    <w:rsid w:val="00B16F66"/>
    <w:rsid w:val="00B170FD"/>
    <w:rsid w:val="00B17133"/>
    <w:rsid w:val="00B17166"/>
    <w:rsid w:val="00B172B8"/>
    <w:rsid w:val="00B17383"/>
    <w:rsid w:val="00B17405"/>
    <w:rsid w:val="00B175CA"/>
    <w:rsid w:val="00B177A7"/>
    <w:rsid w:val="00B1792A"/>
    <w:rsid w:val="00B17EE2"/>
    <w:rsid w:val="00B17F77"/>
    <w:rsid w:val="00B2002D"/>
    <w:rsid w:val="00B20400"/>
    <w:rsid w:val="00B20A01"/>
    <w:rsid w:val="00B20DB7"/>
    <w:rsid w:val="00B20EB8"/>
    <w:rsid w:val="00B20F44"/>
    <w:rsid w:val="00B21191"/>
    <w:rsid w:val="00B2123D"/>
    <w:rsid w:val="00B212B8"/>
    <w:rsid w:val="00B212F3"/>
    <w:rsid w:val="00B21352"/>
    <w:rsid w:val="00B21535"/>
    <w:rsid w:val="00B21554"/>
    <w:rsid w:val="00B217D1"/>
    <w:rsid w:val="00B218A3"/>
    <w:rsid w:val="00B2199A"/>
    <w:rsid w:val="00B21E5B"/>
    <w:rsid w:val="00B2200A"/>
    <w:rsid w:val="00B22067"/>
    <w:rsid w:val="00B222D1"/>
    <w:rsid w:val="00B226D3"/>
    <w:rsid w:val="00B22A39"/>
    <w:rsid w:val="00B22D4F"/>
    <w:rsid w:val="00B22F91"/>
    <w:rsid w:val="00B22FA3"/>
    <w:rsid w:val="00B2305E"/>
    <w:rsid w:val="00B233C5"/>
    <w:rsid w:val="00B233F2"/>
    <w:rsid w:val="00B23433"/>
    <w:rsid w:val="00B234C1"/>
    <w:rsid w:val="00B23507"/>
    <w:rsid w:val="00B235C8"/>
    <w:rsid w:val="00B23F2C"/>
    <w:rsid w:val="00B23F66"/>
    <w:rsid w:val="00B24109"/>
    <w:rsid w:val="00B243C9"/>
    <w:rsid w:val="00B2441C"/>
    <w:rsid w:val="00B2448C"/>
    <w:rsid w:val="00B244C8"/>
    <w:rsid w:val="00B24C54"/>
    <w:rsid w:val="00B25244"/>
    <w:rsid w:val="00B25407"/>
    <w:rsid w:val="00B2565A"/>
    <w:rsid w:val="00B257C8"/>
    <w:rsid w:val="00B25817"/>
    <w:rsid w:val="00B2585D"/>
    <w:rsid w:val="00B25875"/>
    <w:rsid w:val="00B25907"/>
    <w:rsid w:val="00B25916"/>
    <w:rsid w:val="00B25976"/>
    <w:rsid w:val="00B25A9D"/>
    <w:rsid w:val="00B25FF0"/>
    <w:rsid w:val="00B260ED"/>
    <w:rsid w:val="00B26325"/>
    <w:rsid w:val="00B2647F"/>
    <w:rsid w:val="00B26612"/>
    <w:rsid w:val="00B269A9"/>
    <w:rsid w:val="00B26A5A"/>
    <w:rsid w:val="00B26A63"/>
    <w:rsid w:val="00B26B2B"/>
    <w:rsid w:val="00B2723B"/>
    <w:rsid w:val="00B2725D"/>
    <w:rsid w:val="00B27308"/>
    <w:rsid w:val="00B273BE"/>
    <w:rsid w:val="00B274DD"/>
    <w:rsid w:val="00B27710"/>
    <w:rsid w:val="00B27756"/>
    <w:rsid w:val="00B27895"/>
    <w:rsid w:val="00B2799B"/>
    <w:rsid w:val="00B27C27"/>
    <w:rsid w:val="00B27C6E"/>
    <w:rsid w:val="00B27DBB"/>
    <w:rsid w:val="00B27E2E"/>
    <w:rsid w:val="00B30266"/>
    <w:rsid w:val="00B305D5"/>
    <w:rsid w:val="00B3069E"/>
    <w:rsid w:val="00B30AF0"/>
    <w:rsid w:val="00B30C04"/>
    <w:rsid w:val="00B30E62"/>
    <w:rsid w:val="00B30E88"/>
    <w:rsid w:val="00B30EB9"/>
    <w:rsid w:val="00B30F06"/>
    <w:rsid w:val="00B3114C"/>
    <w:rsid w:val="00B311C2"/>
    <w:rsid w:val="00B31227"/>
    <w:rsid w:val="00B312B2"/>
    <w:rsid w:val="00B313A3"/>
    <w:rsid w:val="00B3152C"/>
    <w:rsid w:val="00B3165F"/>
    <w:rsid w:val="00B3166A"/>
    <w:rsid w:val="00B31A46"/>
    <w:rsid w:val="00B31C0F"/>
    <w:rsid w:val="00B31D33"/>
    <w:rsid w:val="00B322BB"/>
    <w:rsid w:val="00B323F2"/>
    <w:rsid w:val="00B3247B"/>
    <w:rsid w:val="00B325B2"/>
    <w:rsid w:val="00B3269E"/>
    <w:rsid w:val="00B32742"/>
    <w:rsid w:val="00B327B3"/>
    <w:rsid w:val="00B3287E"/>
    <w:rsid w:val="00B329BE"/>
    <w:rsid w:val="00B329E7"/>
    <w:rsid w:val="00B32C8C"/>
    <w:rsid w:val="00B3314F"/>
    <w:rsid w:val="00B331CE"/>
    <w:rsid w:val="00B331E7"/>
    <w:rsid w:val="00B33224"/>
    <w:rsid w:val="00B332A7"/>
    <w:rsid w:val="00B33407"/>
    <w:rsid w:val="00B3356F"/>
    <w:rsid w:val="00B33872"/>
    <w:rsid w:val="00B339B0"/>
    <w:rsid w:val="00B33A48"/>
    <w:rsid w:val="00B33A62"/>
    <w:rsid w:val="00B33A6D"/>
    <w:rsid w:val="00B33B57"/>
    <w:rsid w:val="00B33C34"/>
    <w:rsid w:val="00B340E4"/>
    <w:rsid w:val="00B34190"/>
    <w:rsid w:val="00B343A5"/>
    <w:rsid w:val="00B34492"/>
    <w:rsid w:val="00B345C3"/>
    <w:rsid w:val="00B345E8"/>
    <w:rsid w:val="00B3473D"/>
    <w:rsid w:val="00B348D6"/>
    <w:rsid w:val="00B34994"/>
    <w:rsid w:val="00B34AA1"/>
    <w:rsid w:val="00B34AFA"/>
    <w:rsid w:val="00B34D2F"/>
    <w:rsid w:val="00B35029"/>
    <w:rsid w:val="00B3511C"/>
    <w:rsid w:val="00B35322"/>
    <w:rsid w:val="00B35387"/>
    <w:rsid w:val="00B353E0"/>
    <w:rsid w:val="00B35628"/>
    <w:rsid w:val="00B3562F"/>
    <w:rsid w:val="00B35660"/>
    <w:rsid w:val="00B35750"/>
    <w:rsid w:val="00B3576E"/>
    <w:rsid w:val="00B35826"/>
    <w:rsid w:val="00B3588B"/>
    <w:rsid w:val="00B35ACC"/>
    <w:rsid w:val="00B362CC"/>
    <w:rsid w:val="00B3630B"/>
    <w:rsid w:val="00B3661B"/>
    <w:rsid w:val="00B3662F"/>
    <w:rsid w:val="00B3672F"/>
    <w:rsid w:val="00B367CE"/>
    <w:rsid w:val="00B36A5F"/>
    <w:rsid w:val="00B36AA0"/>
    <w:rsid w:val="00B36AB5"/>
    <w:rsid w:val="00B36C0C"/>
    <w:rsid w:val="00B36D62"/>
    <w:rsid w:val="00B36DC0"/>
    <w:rsid w:val="00B36EB1"/>
    <w:rsid w:val="00B36EBE"/>
    <w:rsid w:val="00B37097"/>
    <w:rsid w:val="00B3710A"/>
    <w:rsid w:val="00B371A4"/>
    <w:rsid w:val="00B371FF"/>
    <w:rsid w:val="00B3722C"/>
    <w:rsid w:val="00B37453"/>
    <w:rsid w:val="00B37481"/>
    <w:rsid w:val="00B375F3"/>
    <w:rsid w:val="00B37640"/>
    <w:rsid w:val="00B37657"/>
    <w:rsid w:val="00B376E5"/>
    <w:rsid w:val="00B37872"/>
    <w:rsid w:val="00B378C4"/>
    <w:rsid w:val="00B37926"/>
    <w:rsid w:val="00B379E2"/>
    <w:rsid w:val="00B37A21"/>
    <w:rsid w:val="00B37B2B"/>
    <w:rsid w:val="00B37C09"/>
    <w:rsid w:val="00B37C26"/>
    <w:rsid w:val="00B37C66"/>
    <w:rsid w:val="00B37D20"/>
    <w:rsid w:val="00B37E6B"/>
    <w:rsid w:val="00B400EE"/>
    <w:rsid w:val="00B401EF"/>
    <w:rsid w:val="00B40593"/>
    <w:rsid w:val="00B40738"/>
    <w:rsid w:val="00B408FC"/>
    <w:rsid w:val="00B4091E"/>
    <w:rsid w:val="00B40A31"/>
    <w:rsid w:val="00B40ADA"/>
    <w:rsid w:val="00B40B2D"/>
    <w:rsid w:val="00B40C88"/>
    <w:rsid w:val="00B40C95"/>
    <w:rsid w:val="00B40DFC"/>
    <w:rsid w:val="00B410AE"/>
    <w:rsid w:val="00B41118"/>
    <w:rsid w:val="00B411B9"/>
    <w:rsid w:val="00B411D6"/>
    <w:rsid w:val="00B41217"/>
    <w:rsid w:val="00B413A8"/>
    <w:rsid w:val="00B413F4"/>
    <w:rsid w:val="00B41424"/>
    <w:rsid w:val="00B41593"/>
    <w:rsid w:val="00B415F1"/>
    <w:rsid w:val="00B417FE"/>
    <w:rsid w:val="00B41939"/>
    <w:rsid w:val="00B41B4C"/>
    <w:rsid w:val="00B41BAA"/>
    <w:rsid w:val="00B41C66"/>
    <w:rsid w:val="00B41CB4"/>
    <w:rsid w:val="00B41D25"/>
    <w:rsid w:val="00B41D2E"/>
    <w:rsid w:val="00B41E46"/>
    <w:rsid w:val="00B4219F"/>
    <w:rsid w:val="00B4229E"/>
    <w:rsid w:val="00B42465"/>
    <w:rsid w:val="00B4259F"/>
    <w:rsid w:val="00B42950"/>
    <w:rsid w:val="00B42959"/>
    <w:rsid w:val="00B42975"/>
    <w:rsid w:val="00B42A48"/>
    <w:rsid w:val="00B42AAB"/>
    <w:rsid w:val="00B42AC4"/>
    <w:rsid w:val="00B42C4F"/>
    <w:rsid w:val="00B42D74"/>
    <w:rsid w:val="00B42E69"/>
    <w:rsid w:val="00B43077"/>
    <w:rsid w:val="00B430B7"/>
    <w:rsid w:val="00B431C0"/>
    <w:rsid w:val="00B432EE"/>
    <w:rsid w:val="00B432FE"/>
    <w:rsid w:val="00B4332F"/>
    <w:rsid w:val="00B4338E"/>
    <w:rsid w:val="00B43445"/>
    <w:rsid w:val="00B43468"/>
    <w:rsid w:val="00B4358C"/>
    <w:rsid w:val="00B43619"/>
    <w:rsid w:val="00B436F5"/>
    <w:rsid w:val="00B43721"/>
    <w:rsid w:val="00B43722"/>
    <w:rsid w:val="00B438A8"/>
    <w:rsid w:val="00B4392B"/>
    <w:rsid w:val="00B43DEE"/>
    <w:rsid w:val="00B43DFE"/>
    <w:rsid w:val="00B43FAD"/>
    <w:rsid w:val="00B4417C"/>
    <w:rsid w:val="00B441BA"/>
    <w:rsid w:val="00B4430D"/>
    <w:rsid w:val="00B44515"/>
    <w:rsid w:val="00B44912"/>
    <w:rsid w:val="00B44920"/>
    <w:rsid w:val="00B44A2E"/>
    <w:rsid w:val="00B44A65"/>
    <w:rsid w:val="00B44A67"/>
    <w:rsid w:val="00B44B66"/>
    <w:rsid w:val="00B44F70"/>
    <w:rsid w:val="00B45011"/>
    <w:rsid w:val="00B4502F"/>
    <w:rsid w:val="00B451D9"/>
    <w:rsid w:val="00B453D4"/>
    <w:rsid w:val="00B454DB"/>
    <w:rsid w:val="00B455A0"/>
    <w:rsid w:val="00B4569B"/>
    <w:rsid w:val="00B458B6"/>
    <w:rsid w:val="00B45943"/>
    <w:rsid w:val="00B45A98"/>
    <w:rsid w:val="00B45B0B"/>
    <w:rsid w:val="00B45C38"/>
    <w:rsid w:val="00B45D60"/>
    <w:rsid w:val="00B45DDF"/>
    <w:rsid w:val="00B45DEE"/>
    <w:rsid w:val="00B45F6A"/>
    <w:rsid w:val="00B45F9A"/>
    <w:rsid w:val="00B46285"/>
    <w:rsid w:val="00B46385"/>
    <w:rsid w:val="00B46396"/>
    <w:rsid w:val="00B46891"/>
    <w:rsid w:val="00B468BE"/>
    <w:rsid w:val="00B46C2E"/>
    <w:rsid w:val="00B46C81"/>
    <w:rsid w:val="00B46CD5"/>
    <w:rsid w:val="00B46EF8"/>
    <w:rsid w:val="00B4731C"/>
    <w:rsid w:val="00B47512"/>
    <w:rsid w:val="00B476F2"/>
    <w:rsid w:val="00B4778A"/>
    <w:rsid w:val="00B47906"/>
    <w:rsid w:val="00B47915"/>
    <w:rsid w:val="00B47985"/>
    <w:rsid w:val="00B479B3"/>
    <w:rsid w:val="00B47CD2"/>
    <w:rsid w:val="00B47D3E"/>
    <w:rsid w:val="00B47DB5"/>
    <w:rsid w:val="00B501F0"/>
    <w:rsid w:val="00B502F9"/>
    <w:rsid w:val="00B5064D"/>
    <w:rsid w:val="00B50890"/>
    <w:rsid w:val="00B509AA"/>
    <w:rsid w:val="00B50A74"/>
    <w:rsid w:val="00B50A8E"/>
    <w:rsid w:val="00B50D7A"/>
    <w:rsid w:val="00B50DCC"/>
    <w:rsid w:val="00B51104"/>
    <w:rsid w:val="00B5118C"/>
    <w:rsid w:val="00B511BD"/>
    <w:rsid w:val="00B51261"/>
    <w:rsid w:val="00B5130D"/>
    <w:rsid w:val="00B513ED"/>
    <w:rsid w:val="00B517BD"/>
    <w:rsid w:val="00B51993"/>
    <w:rsid w:val="00B51A30"/>
    <w:rsid w:val="00B51D74"/>
    <w:rsid w:val="00B5228E"/>
    <w:rsid w:val="00B52386"/>
    <w:rsid w:val="00B5238A"/>
    <w:rsid w:val="00B5244E"/>
    <w:rsid w:val="00B5251C"/>
    <w:rsid w:val="00B526D0"/>
    <w:rsid w:val="00B52788"/>
    <w:rsid w:val="00B52812"/>
    <w:rsid w:val="00B52815"/>
    <w:rsid w:val="00B5284B"/>
    <w:rsid w:val="00B52914"/>
    <w:rsid w:val="00B52A61"/>
    <w:rsid w:val="00B52AE5"/>
    <w:rsid w:val="00B52BF9"/>
    <w:rsid w:val="00B52E6E"/>
    <w:rsid w:val="00B52E93"/>
    <w:rsid w:val="00B53116"/>
    <w:rsid w:val="00B5323C"/>
    <w:rsid w:val="00B533A8"/>
    <w:rsid w:val="00B536DB"/>
    <w:rsid w:val="00B53810"/>
    <w:rsid w:val="00B53B73"/>
    <w:rsid w:val="00B53BD1"/>
    <w:rsid w:val="00B53CE1"/>
    <w:rsid w:val="00B53D69"/>
    <w:rsid w:val="00B53D6A"/>
    <w:rsid w:val="00B53E67"/>
    <w:rsid w:val="00B5405C"/>
    <w:rsid w:val="00B5416A"/>
    <w:rsid w:val="00B54365"/>
    <w:rsid w:val="00B54563"/>
    <w:rsid w:val="00B5470B"/>
    <w:rsid w:val="00B5474E"/>
    <w:rsid w:val="00B54845"/>
    <w:rsid w:val="00B548FE"/>
    <w:rsid w:val="00B54B17"/>
    <w:rsid w:val="00B54B36"/>
    <w:rsid w:val="00B54D41"/>
    <w:rsid w:val="00B55261"/>
    <w:rsid w:val="00B55299"/>
    <w:rsid w:val="00B554F4"/>
    <w:rsid w:val="00B5552E"/>
    <w:rsid w:val="00B555C1"/>
    <w:rsid w:val="00B5567E"/>
    <w:rsid w:val="00B556BF"/>
    <w:rsid w:val="00B557BD"/>
    <w:rsid w:val="00B558B1"/>
    <w:rsid w:val="00B55909"/>
    <w:rsid w:val="00B55DE3"/>
    <w:rsid w:val="00B56526"/>
    <w:rsid w:val="00B5689A"/>
    <w:rsid w:val="00B5690E"/>
    <w:rsid w:val="00B56925"/>
    <w:rsid w:val="00B569A5"/>
    <w:rsid w:val="00B569B1"/>
    <w:rsid w:val="00B56CF7"/>
    <w:rsid w:val="00B5703C"/>
    <w:rsid w:val="00B57118"/>
    <w:rsid w:val="00B571F7"/>
    <w:rsid w:val="00B571F8"/>
    <w:rsid w:val="00B574C6"/>
    <w:rsid w:val="00B57508"/>
    <w:rsid w:val="00B576EC"/>
    <w:rsid w:val="00B57873"/>
    <w:rsid w:val="00B578C4"/>
    <w:rsid w:val="00B57975"/>
    <w:rsid w:val="00B57B04"/>
    <w:rsid w:val="00B57BF8"/>
    <w:rsid w:val="00B57D62"/>
    <w:rsid w:val="00B57E68"/>
    <w:rsid w:val="00B57ECA"/>
    <w:rsid w:val="00B57F31"/>
    <w:rsid w:val="00B6003E"/>
    <w:rsid w:val="00B60081"/>
    <w:rsid w:val="00B601B2"/>
    <w:rsid w:val="00B6032C"/>
    <w:rsid w:val="00B60819"/>
    <w:rsid w:val="00B60EE4"/>
    <w:rsid w:val="00B60F8D"/>
    <w:rsid w:val="00B6104A"/>
    <w:rsid w:val="00B615F2"/>
    <w:rsid w:val="00B61826"/>
    <w:rsid w:val="00B61A75"/>
    <w:rsid w:val="00B61B06"/>
    <w:rsid w:val="00B61B6C"/>
    <w:rsid w:val="00B61B8F"/>
    <w:rsid w:val="00B61E42"/>
    <w:rsid w:val="00B61F2B"/>
    <w:rsid w:val="00B61FC6"/>
    <w:rsid w:val="00B624AA"/>
    <w:rsid w:val="00B627FF"/>
    <w:rsid w:val="00B6294D"/>
    <w:rsid w:val="00B62CC9"/>
    <w:rsid w:val="00B631C8"/>
    <w:rsid w:val="00B63218"/>
    <w:rsid w:val="00B63243"/>
    <w:rsid w:val="00B633C5"/>
    <w:rsid w:val="00B637EB"/>
    <w:rsid w:val="00B6385F"/>
    <w:rsid w:val="00B638CF"/>
    <w:rsid w:val="00B63DC1"/>
    <w:rsid w:val="00B63E8F"/>
    <w:rsid w:val="00B641C5"/>
    <w:rsid w:val="00B64272"/>
    <w:rsid w:val="00B645F5"/>
    <w:rsid w:val="00B6479A"/>
    <w:rsid w:val="00B64805"/>
    <w:rsid w:val="00B6496A"/>
    <w:rsid w:val="00B64FFC"/>
    <w:rsid w:val="00B6511D"/>
    <w:rsid w:val="00B6523E"/>
    <w:rsid w:val="00B652C4"/>
    <w:rsid w:val="00B6544C"/>
    <w:rsid w:val="00B65512"/>
    <w:rsid w:val="00B65531"/>
    <w:rsid w:val="00B65587"/>
    <w:rsid w:val="00B6578D"/>
    <w:rsid w:val="00B659A7"/>
    <w:rsid w:val="00B65CA9"/>
    <w:rsid w:val="00B660AC"/>
    <w:rsid w:val="00B66149"/>
    <w:rsid w:val="00B6624D"/>
    <w:rsid w:val="00B66268"/>
    <w:rsid w:val="00B663BB"/>
    <w:rsid w:val="00B664AB"/>
    <w:rsid w:val="00B66563"/>
    <w:rsid w:val="00B667C4"/>
    <w:rsid w:val="00B667DC"/>
    <w:rsid w:val="00B66847"/>
    <w:rsid w:val="00B66899"/>
    <w:rsid w:val="00B668FA"/>
    <w:rsid w:val="00B668FE"/>
    <w:rsid w:val="00B66AA5"/>
    <w:rsid w:val="00B66AAC"/>
    <w:rsid w:val="00B66E6A"/>
    <w:rsid w:val="00B670DB"/>
    <w:rsid w:val="00B671DD"/>
    <w:rsid w:val="00B677D4"/>
    <w:rsid w:val="00B67879"/>
    <w:rsid w:val="00B67899"/>
    <w:rsid w:val="00B67A5C"/>
    <w:rsid w:val="00B67C2E"/>
    <w:rsid w:val="00B67EC7"/>
    <w:rsid w:val="00B67F8F"/>
    <w:rsid w:val="00B67FAF"/>
    <w:rsid w:val="00B7002F"/>
    <w:rsid w:val="00B7007D"/>
    <w:rsid w:val="00B700BC"/>
    <w:rsid w:val="00B703A0"/>
    <w:rsid w:val="00B703A2"/>
    <w:rsid w:val="00B70981"/>
    <w:rsid w:val="00B70A29"/>
    <w:rsid w:val="00B70B40"/>
    <w:rsid w:val="00B70BA0"/>
    <w:rsid w:val="00B70C27"/>
    <w:rsid w:val="00B70C8F"/>
    <w:rsid w:val="00B70D72"/>
    <w:rsid w:val="00B70DD5"/>
    <w:rsid w:val="00B70F18"/>
    <w:rsid w:val="00B70F90"/>
    <w:rsid w:val="00B70FA8"/>
    <w:rsid w:val="00B710A3"/>
    <w:rsid w:val="00B711B2"/>
    <w:rsid w:val="00B714EB"/>
    <w:rsid w:val="00B717E6"/>
    <w:rsid w:val="00B7188C"/>
    <w:rsid w:val="00B71AE1"/>
    <w:rsid w:val="00B71C11"/>
    <w:rsid w:val="00B71CB5"/>
    <w:rsid w:val="00B71CC7"/>
    <w:rsid w:val="00B71D3A"/>
    <w:rsid w:val="00B71D6A"/>
    <w:rsid w:val="00B71E58"/>
    <w:rsid w:val="00B72001"/>
    <w:rsid w:val="00B7203E"/>
    <w:rsid w:val="00B7211D"/>
    <w:rsid w:val="00B721CF"/>
    <w:rsid w:val="00B72271"/>
    <w:rsid w:val="00B72556"/>
    <w:rsid w:val="00B7258B"/>
    <w:rsid w:val="00B72F3F"/>
    <w:rsid w:val="00B7308D"/>
    <w:rsid w:val="00B7311A"/>
    <w:rsid w:val="00B731BB"/>
    <w:rsid w:val="00B731E3"/>
    <w:rsid w:val="00B73298"/>
    <w:rsid w:val="00B73821"/>
    <w:rsid w:val="00B73C9F"/>
    <w:rsid w:val="00B7423F"/>
    <w:rsid w:val="00B74464"/>
    <w:rsid w:val="00B74479"/>
    <w:rsid w:val="00B74550"/>
    <w:rsid w:val="00B747FF"/>
    <w:rsid w:val="00B74D51"/>
    <w:rsid w:val="00B74EA9"/>
    <w:rsid w:val="00B74F65"/>
    <w:rsid w:val="00B758CF"/>
    <w:rsid w:val="00B75D8C"/>
    <w:rsid w:val="00B75D9D"/>
    <w:rsid w:val="00B75EE5"/>
    <w:rsid w:val="00B75FE6"/>
    <w:rsid w:val="00B75FFC"/>
    <w:rsid w:val="00B76178"/>
    <w:rsid w:val="00B76283"/>
    <w:rsid w:val="00B766A5"/>
    <w:rsid w:val="00B7688B"/>
    <w:rsid w:val="00B7697F"/>
    <w:rsid w:val="00B769C9"/>
    <w:rsid w:val="00B76CF2"/>
    <w:rsid w:val="00B76E2B"/>
    <w:rsid w:val="00B76F3E"/>
    <w:rsid w:val="00B77147"/>
    <w:rsid w:val="00B77341"/>
    <w:rsid w:val="00B7748F"/>
    <w:rsid w:val="00B7785B"/>
    <w:rsid w:val="00B77865"/>
    <w:rsid w:val="00B77A07"/>
    <w:rsid w:val="00B77B2B"/>
    <w:rsid w:val="00B77C8C"/>
    <w:rsid w:val="00B77CED"/>
    <w:rsid w:val="00B77D18"/>
    <w:rsid w:val="00B77DF8"/>
    <w:rsid w:val="00B77E41"/>
    <w:rsid w:val="00B77F06"/>
    <w:rsid w:val="00B77FE9"/>
    <w:rsid w:val="00B80146"/>
    <w:rsid w:val="00B8014E"/>
    <w:rsid w:val="00B80272"/>
    <w:rsid w:val="00B80348"/>
    <w:rsid w:val="00B804A3"/>
    <w:rsid w:val="00B804B7"/>
    <w:rsid w:val="00B8054E"/>
    <w:rsid w:val="00B805F4"/>
    <w:rsid w:val="00B8079D"/>
    <w:rsid w:val="00B8081F"/>
    <w:rsid w:val="00B80A99"/>
    <w:rsid w:val="00B80C00"/>
    <w:rsid w:val="00B80D45"/>
    <w:rsid w:val="00B80DD0"/>
    <w:rsid w:val="00B812C6"/>
    <w:rsid w:val="00B81308"/>
    <w:rsid w:val="00B81331"/>
    <w:rsid w:val="00B81397"/>
    <w:rsid w:val="00B81924"/>
    <w:rsid w:val="00B81A4C"/>
    <w:rsid w:val="00B81A7E"/>
    <w:rsid w:val="00B81B57"/>
    <w:rsid w:val="00B81CF1"/>
    <w:rsid w:val="00B81EE7"/>
    <w:rsid w:val="00B821B6"/>
    <w:rsid w:val="00B82246"/>
    <w:rsid w:val="00B8265D"/>
    <w:rsid w:val="00B826C9"/>
    <w:rsid w:val="00B82876"/>
    <w:rsid w:val="00B82A50"/>
    <w:rsid w:val="00B82D08"/>
    <w:rsid w:val="00B83106"/>
    <w:rsid w:val="00B83160"/>
    <w:rsid w:val="00B8339F"/>
    <w:rsid w:val="00B83642"/>
    <w:rsid w:val="00B83721"/>
    <w:rsid w:val="00B83868"/>
    <w:rsid w:val="00B838A8"/>
    <w:rsid w:val="00B83A45"/>
    <w:rsid w:val="00B83C07"/>
    <w:rsid w:val="00B83C59"/>
    <w:rsid w:val="00B83E92"/>
    <w:rsid w:val="00B83F36"/>
    <w:rsid w:val="00B83FFF"/>
    <w:rsid w:val="00B844A2"/>
    <w:rsid w:val="00B846B8"/>
    <w:rsid w:val="00B84830"/>
    <w:rsid w:val="00B849EB"/>
    <w:rsid w:val="00B849F8"/>
    <w:rsid w:val="00B84AEC"/>
    <w:rsid w:val="00B84BAD"/>
    <w:rsid w:val="00B84C7B"/>
    <w:rsid w:val="00B84D7A"/>
    <w:rsid w:val="00B84FBC"/>
    <w:rsid w:val="00B85028"/>
    <w:rsid w:val="00B8502F"/>
    <w:rsid w:val="00B85395"/>
    <w:rsid w:val="00B85512"/>
    <w:rsid w:val="00B85548"/>
    <w:rsid w:val="00B8565E"/>
    <w:rsid w:val="00B8581B"/>
    <w:rsid w:val="00B85960"/>
    <w:rsid w:val="00B85D42"/>
    <w:rsid w:val="00B85D93"/>
    <w:rsid w:val="00B85ED3"/>
    <w:rsid w:val="00B86071"/>
    <w:rsid w:val="00B86072"/>
    <w:rsid w:val="00B863A9"/>
    <w:rsid w:val="00B864E0"/>
    <w:rsid w:val="00B866EC"/>
    <w:rsid w:val="00B8687C"/>
    <w:rsid w:val="00B86A01"/>
    <w:rsid w:val="00B86A6C"/>
    <w:rsid w:val="00B86B0E"/>
    <w:rsid w:val="00B86E54"/>
    <w:rsid w:val="00B86EFE"/>
    <w:rsid w:val="00B86FE1"/>
    <w:rsid w:val="00B8721F"/>
    <w:rsid w:val="00B8787D"/>
    <w:rsid w:val="00B87948"/>
    <w:rsid w:val="00B879EB"/>
    <w:rsid w:val="00B87A1D"/>
    <w:rsid w:val="00B87A54"/>
    <w:rsid w:val="00B87DD3"/>
    <w:rsid w:val="00B87ED5"/>
    <w:rsid w:val="00B90305"/>
    <w:rsid w:val="00B90495"/>
    <w:rsid w:val="00B9076B"/>
    <w:rsid w:val="00B9094D"/>
    <w:rsid w:val="00B9095E"/>
    <w:rsid w:val="00B90E03"/>
    <w:rsid w:val="00B90F4C"/>
    <w:rsid w:val="00B910CE"/>
    <w:rsid w:val="00B91324"/>
    <w:rsid w:val="00B913DD"/>
    <w:rsid w:val="00B91468"/>
    <w:rsid w:val="00B91892"/>
    <w:rsid w:val="00B9193B"/>
    <w:rsid w:val="00B91B1E"/>
    <w:rsid w:val="00B91D0F"/>
    <w:rsid w:val="00B91E0A"/>
    <w:rsid w:val="00B91E8E"/>
    <w:rsid w:val="00B924E2"/>
    <w:rsid w:val="00B92600"/>
    <w:rsid w:val="00B928F9"/>
    <w:rsid w:val="00B92A2B"/>
    <w:rsid w:val="00B92AA6"/>
    <w:rsid w:val="00B92B2D"/>
    <w:rsid w:val="00B92BAF"/>
    <w:rsid w:val="00B92F94"/>
    <w:rsid w:val="00B93371"/>
    <w:rsid w:val="00B9343D"/>
    <w:rsid w:val="00B934BB"/>
    <w:rsid w:val="00B934C4"/>
    <w:rsid w:val="00B934F8"/>
    <w:rsid w:val="00B936BA"/>
    <w:rsid w:val="00B936C3"/>
    <w:rsid w:val="00B9383A"/>
    <w:rsid w:val="00B93A01"/>
    <w:rsid w:val="00B93A0F"/>
    <w:rsid w:val="00B93B86"/>
    <w:rsid w:val="00B93E3A"/>
    <w:rsid w:val="00B93FEB"/>
    <w:rsid w:val="00B94047"/>
    <w:rsid w:val="00B9404A"/>
    <w:rsid w:val="00B94183"/>
    <w:rsid w:val="00B941C5"/>
    <w:rsid w:val="00B94257"/>
    <w:rsid w:val="00B942E1"/>
    <w:rsid w:val="00B943D3"/>
    <w:rsid w:val="00B945ED"/>
    <w:rsid w:val="00B948E9"/>
    <w:rsid w:val="00B94930"/>
    <w:rsid w:val="00B94999"/>
    <w:rsid w:val="00B94B29"/>
    <w:rsid w:val="00B94E83"/>
    <w:rsid w:val="00B94EA5"/>
    <w:rsid w:val="00B94EFB"/>
    <w:rsid w:val="00B94F58"/>
    <w:rsid w:val="00B951CA"/>
    <w:rsid w:val="00B951EB"/>
    <w:rsid w:val="00B952FC"/>
    <w:rsid w:val="00B95441"/>
    <w:rsid w:val="00B95442"/>
    <w:rsid w:val="00B955C9"/>
    <w:rsid w:val="00B9569E"/>
    <w:rsid w:val="00B957D7"/>
    <w:rsid w:val="00B9587B"/>
    <w:rsid w:val="00B958F5"/>
    <w:rsid w:val="00B95B11"/>
    <w:rsid w:val="00B95BB2"/>
    <w:rsid w:val="00B95DE6"/>
    <w:rsid w:val="00B95E2D"/>
    <w:rsid w:val="00B96023"/>
    <w:rsid w:val="00B960CF"/>
    <w:rsid w:val="00B96300"/>
    <w:rsid w:val="00B967A8"/>
    <w:rsid w:val="00B96ADC"/>
    <w:rsid w:val="00B96AE5"/>
    <w:rsid w:val="00B96DF6"/>
    <w:rsid w:val="00B97042"/>
    <w:rsid w:val="00B975FD"/>
    <w:rsid w:val="00B977F0"/>
    <w:rsid w:val="00B9785A"/>
    <w:rsid w:val="00B978EE"/>
    <w:rsid w:val="00B979B4"/>
    <w:rsid w:val="00B97A02"/>
    <w:rsid w:val="00B97D4C"/>
    <w:rsid w:val="00B97EE3"/>
    <w:rsid w:val="00B97EFB"/>
    <w:rsid w:val="00B97FE8"/>
    <w:rsid w:val="00BA0067"/>
    <w:rsid w:val="00BA01CE"/>
    <w:rsid w:val="00BA0365"/>
    <w:rsid w:val="00BA05C2"/>
    <w:rsid w:val="00BA090A"/>
    <w:rsid w:val="00BA0B7F"/>
    <w:rsid w:val="00BA0B86"/>
    <w:rsid w:val="00BA0DE2"/>
    <w:rsid w:val="00BA0F4E"/>
    <w:rsid w:val="00BA0F8C"/>
    <w:rsid w:val="00BA1008"/>
    <w:rsid w:val="00BA1069"/>
    <w:rsid w:val="00BA1095"/>
    <w:rsid w:val="00BA1266"/>
    <w:rsid w:val="00BA129D"/>
    <w:rsid w:val="00BA12D8"/>
    <w:rsid w:val="00BA1348"/>
    <w:rsid w:val="00BA1359"/>
    <w:rsid w:val="00BA16F0"/>
    <w:rsid w:val="00BA182C"/>
    <w:rsid w:val="00BA1B82"/>
    <w:rsid w:val="00BA1E21"/>
    <w:rsid w:val="00BA200B"/>
    <w:rsid w:val="00BA20D1"/>
    <w:rsid w:val="00BA236C"/>
    <w:rsid w:val="00BA2516"/>
    <w:rsid w:val="00BA2571"/>
    <w:rsid w:val="00BA26A3"/>
    <w:rsid w:val="00BA291C"/>
    <w:rsid w:val="00BA2A2D"/>
    <w:rsid w:val="00BA2A5B"/>
    <w:rsid w:val="00BA2BF1"/>
    <w:rsid w:val="00BA2DDA"/>
    <w:rsid w:val="00BA3083"/>
    <w:rsid w:val="00BA3147"/>
    <w:rsid w:val="00BA3232"/>
    <w:rsid w:val="00BA32D8"/>
    <w:rsid w:val="00BA3352"/>
    <w:rsid w:val="00BA34BA"/>
    <w:rsid w:val="00BA34C1"/>
    <w:rsid w:val="00BA3523"/>
    <w:rsid w:val="00BA3735"/>
    <w:rsid w:val="00BA3743"/>
    <w:rsid w:val="00BA37A3"/>
    <w:rsid w:val="00BA3809"/>
    <w:rsid w:val="00BA39E8"/>
    <w:rsid w:val="00BA3A63"/>
    <w:rsid w:val="00BA3C99"/>
    <w:rsid w:val="00BA3CC0"/>
    <w:rsid w:val="00BA3F9C"/>
    <w:rsid w:val="00BA4148"/>
    <w:rsid w:val="00BA41AB"/>
    <w:rsid w:val="00BA4345"/>
    <w:rsid w:val="00BA436E"/>
    <w:rsid w:val="00BA43D2"/>
    <w:rsid w:val="00BA4590"/>
    <w:rsid w:val="00BA4681"/>
    <w:rsid w:val="00BA472E"/>
    <w:rsid w:val="00BA47A3"/>
    <w:rsid w:val="00BA4973"/>
    <w:rsid w:val="00BA4D67"/>
    <w:rsid w:val="00BA55E4"/>
    <w:rsid w:val="00BA562B"/>
    <w:rsid w:val="00BA5B8E"/>
    <w:rsid w:val="00BA5C4E"/>
    <w:rsid w:val="00BA5C78"/>
    <w:rsid w:val="00BA5E86"/>
    <w:rsid w:val="00BA5F19"/>
    <w:rsid w:val="00BA5F8C"/>
    <w:rsid w:val="00BA5F9E"/>
    <w:rsid w:val="00BA622B"/>
    <w:rsid w:val="00BA62AD"/>
    <w:rsid w:val="00BA666C"/>
    <w:rsid w:val="00BA6981"/>
    <w:rsid w:val="00BA6992"/>
    <w:rsid w:val="00BA69B5"/>
    <w:rsid w:val="00BA6AC7"/>
    <w:rsid w:val="00BA6BAF"/>
    <w:rsid w:val="00BA6C18"/>
    <w:rsid w:val="00BA6C60"/>
    <w:rsid w:val="00BA6F4A"/>
    <w:rsid w:val="00BA724E"/>
    <w:rsid w:val="00BA7375"/>
    <w:rsid w:val="00BA7506"/>
    <w:rsid w:val="00BA7604"/>
    <w:rsid w:val="00BA7633"/>
    <w:rsid w:val="00BA76A1"/>
    <w:rsid w:val="00BA76D9"/>
    <w:rsid w:val="00BA7791"/>
    <w:rsid w:val="00BA77A8"/>
    <w:rsid w:val="00BA79E9"/>
    <w:rsid w:val="00BA7A61"/>
    <w:rsid w:val="00BA7CEB"/>
    <w:rsid w:val="00BA7D44"/>
    <w:rsid w:val="00BA7E0B"/>
    <w:rsid w:val="00BB0055"/>
    <w:rsid w:val="00BB005D"/>
    <w:rsid w:val="00BB0112"/>
    <w:rsid w:val="00BB020E"/>
    <w:rsid w:val="00BB0218"/>
    <w:rsid w:val="00BB03CA"/>
    <w:rsid w:val="00BB0405"/>
    <w:rsid w:val="00BB0410"/>
    <w:rsid w:val="00BB061E"/>
    <w:rsid w:val="00BB0A94"/>
    <w:rsid w:val="00BB0D31"/>
    <w:rsid w:val="00BB0E6A"/>
    <w:rsid w:val="00BB0FF2"/>
    <w:rsid w:val="00BB117E"/>
    <w:rsid w:val="00BB13B7"/>
    <w:rsid w:val="00BB14D4"/>
    <w:rsid w:val="00BB18AB"/>
    <w:rsid w:val="00BB1961"/>
    <w:rsid w:val="00BB196D"/>
    <w:rsid w:val="00BB1C9D"/>
    <w:rsid w:val="00BB1F55"/>
    <w:rsid w:val="00BB238D"/>
    <w:rsid w:val="00BB255B"/>
    <w:rsid w:val="00BB260C"/>
    <w:rsid w:val="00BB2819"/>
    <w:rsid w:val="00BB288B"/>
    <w:rsid w:val="00BB2B8C"/>
    <w:rsid w:val="00BB2B92"/>
    <w:rsid w:val="00BB2C3E"/>
    <w:rsid w:val="00BB2D4B"/>
    <w:rsid w:val="00BB2F0A"/>
    <w:rsid w:val="00BB2F69"/>
    <w:rsid w:val="00BB30E5"/>
    <w:rsid w:val="00BB31D3"/>
    <w:rsid w:val="00BB3327"/>
    <w:rsid w:val="00BB33FF"/>
    <w:rsid w:val="00BB3478"/>
    <w:rsid w:val="00BB3500"/>
    <w:rsid w:val="00BB36A9"/>
    <w:rsid w:val="00BB3761"/>
    <w:rsid w:val="00BB3782"/>
    <w:rsid w:val="00BB3850"/>
    <w:rsid w:val="00BB38CE"/>
    <w:rsid w:val="00BB3D48"/>
    <w:rsid w:val="00BB3D58"/>
    <w:rsid w:val="00BB3E42"/>
    <w:rsid w:val="00BB3FDE"/>
    <w:rsid w:val="00BB479F"/>
    <w:rsid w:val="00BB47E1"/>
    <w:rsid w:val="00BB4CC1"/>
    <w:rsid w:val="00BB4F21"/>
    <w:rsid w:val="00BB4F87"/>
    <w:rsid w:val="00BB54D2"/>
    <w:rsid w:val="00BB56C3"/>
    <w:rsid w:val="00BB5741"/>
    <w:rsid w:val="00BB57DD"/>
    <w:rsid w:val="00BB5A0B"/>
    <w:rsid w:val="00BB5A37"/>
    <w:rsid w:val="00BB5B42"/>
    <w:rsid w:val="00BB5B72"/>
    <w:rsid w:val="00BB5E15"/>
    <w:rsid w:val="00BB5EF3"/>
    <w:rsid w:val="00BB5F32"/>
    <w:rsid w:val="00BB5FA5"/>
    <w:rsid w:val="00BB6052"/>
    <w:rsid w:val="00BB61B6"/>
    <w:rsid w:val="00BB61D5"/>
    <w:rsid w:val="00BB62C6"/>
    <w:rsid w:val="00BB634D"/>
    <w:rsid w:val="00BB650E"/>
    <w:rsid w:val="00BB654C"/>
    <w:rsid w:val="00BB67AD"/>
    <w:rsid w:val="00BB68C4"/>
    <w:rsid w:val="00BB698B"/>
    <w:rsid w:val="00BB69B7"/>
    <w:rsid w:val="00BB6B88"/>
    <w:rsid w:val="00BB6D7F"/>
    <w:rsid w:val="00BB6DAD"/>
    <w:rsid w:val="00BB6EC7"/>
    <w:rsid w:val="00BB6ED6"/>
    <w:rsid w:val="00BB7036"/>
    <w:rsid w:val="00BB7063"/>
    <w:rsid w:val="00BB717F"/>
    <w:rsid w:val="00BB7182"/>
    <w:rsid w:val="00BB723F"/>
    <w:rsid w:val="00BB724F"/>
    <w:rsid w:val="00BB7457"/>
    <w:rsid w:val="00BB75CD"/>
    <w:rsid w:val="00BB76A6"/>
    <w:rsid w:val="00BB76D4"/>
    <w:rsid w:val="00BB7780"/>
    <w:rsid w:val="00BB794E"/>
    <w:rsid w:val="00BB7A60"/>
    <w:rsid w:val="00BB7AFD"/>
    <w:rsid w:val="00BB7D50"/>
    <w:rsid w:val="00BC0074"/>
    <w:rsid w:val="00BC022A"/>
    <w:rsid w:val="00BC02BF"/>
    <w:rsid w:val="00BC033F"/>
    <w:rsid w:val="00BC0362"/>
    <w:rsid w:val="00BC06C2"/>
    <w:rsid w:val="00BC0A2B"/>
    <w:rsid w:val="00BC0AB7"/>
    <w:rsid w:val="00BC0BB5"/>
    <w:rsid w:val="00BC0D5C"/>
    <w:rsid w:val="00BC10B3"/>
    <w:rsid w:val="00BC1134"/>
    <w:rsid w:val="00BC1231"/>
    <w:rsid w:val="00BC1388"/>
    <w:rsid w:val="00BC163B"/>
    <w:rsid w:val="00BC17E8"/>
    <w:rsid w:val="00BC181F"/>
    <w:rsid w:val="00BC184A"/>
    <w:rsid w:val="00BC1862"/>
    <w:rsid w:val="00BC18DC"/>
    <w:rsid w:val="00BC190A"/>
    <w:rsid w:val="00BC19E2"/>
    <w:rsid w:val="00BC1C04"/>
    <w:rsid w:val="00BC1C3F"/>
    <w:rsid w:val="00BC1D14"/>
    <w:rsid w:val="00BC1D65"/>
    <w:rsid w:val="00BC1E42"/>
    <w:rsid w:val="00BC2236"/>
    <w:rsid w:val="00BC2394"/>
    <w:rsid w:val="00BC23C4"/>
    <w:rsid w:val="00BC2512"/>
    <w:rsid w:val="00BC2875"/>
    <w:rsid w:val="00BC299E"/>
    <w:rsid w:val="00BC2A46"/>
    <w:rsid w:val="00BC2AC0"/>
    <w:rsid w:val="00BC2E35"/>
    <w:rsid w:val="00BC2F21"/>
    <w:rsid w:val="00BC2F89"/>
    <w:rsid w:val="00BC3392"/>
    <w:rsid w:val="00BC34A5"/>
    <w:rsid w:val="00BC34A6"/>
    <w:rsid w:val="00BC3562"/>
    <w:rsid w:val="00BC35CB"/>
    <w:rsid w:val="00BC36E3"/>
    <w:rsid w:val="00BC3766"/>
    <w:rsid w:val="00BC37A6"/>
    <w:rsid w:val="00BC3AC2"/>
    <w:rsid w:val="00BC3EE6"/>
    <w:rsid w:val="00BC400B"/>
    <w:rsid w:val="00BC4134"/>
    <w:rsid w:val="00BC42A9"/>
    <w:rsid w:val="00BC434A"/>
    <w:rsid w:val="00BC4417"/>
    <w:rsid w:val="00BC4489"/>
    <w:rsid w:val="00BC44E2"/>
    <w:rsid w:val="00BC4792"/>
    <w:rsid w:val="00BC47B3"/>
    <w:rsid w:val="00BC4822"/>
    <w:rsid w:val="00BC4B21"/>
    <w:rsid w:val="00BC4C77"/>
    <w:rsid w:val="00BC4CAD"/>
    <w:rsid w:val="00BC4CD3"/>
    <w:rsid w:val="00BC4DE2"/>
    <w:rsid w:val="00BC4E43"/>
    <w:rsid w:val="00BC50DD"/>
    <w:rsid w:val="00BC5184"/>
    <w:rsid w:val="00BC56AF"/>
    <w:rsid w:val="00BC58E9"/>
    <w:rsid w:val="00BC5A53"/>
    <w:rsid w:val="00BC5A9A"/>
    <w:rsid w:val="00BC5D92"/>
    <w:rsid w:val="00BC5FBB"/>
    <w:rsid w:val="00BC606D"/>
    <w:rsid w:val="00BC63A5"/>
    <w:rsid w:val="00BC68C0"/>
    <w:rsid w:val="00BC6992"/>
    <w:rsid w:val="00BC6995"/>
    <w:rsid w:val="00BC6A51"/>
    <w:rsid w:val="00BC6AEA"/>
    <w:rsid w:val="00BC6B2F"/>
    <w:rsid w:val="00BC6BCD"/>
    <w:rsid w:val="00BC6BE1"/>
    <w:rsid w:val="00BC6DFD"/>
    <w:rsid w:val="00BC6E0E"/>
    <w:rsid w:val="00BC6E23"/>
    <w:rsid w:val="00BC6EA0"/>
    <w:rsid w:val="00BC74CE"/>
    <w:rsid w:val="00BC74E2"/>
    <w:rsid w:val="00BC75A2"/>
    <w:rsid w:val="00BC7710"/>
    <w:rsid w:val="00BC783D"/>
    <w:rsid w:val="00BC7D14"/>
    <w:rsid w:val="00BC7F3F"/>
    <w:rsid w:val="00BC7F85"/>
    <w:rsid w:val="00BD03C3"/>
    <w:rsid w:val="00BD0600"/>
    <w:rsid w:val="00BD061E"/>
    <w:rsid w:val="00BD08C9"/>
    <w:rsid w:val="00BD09A6"/>
    <w:rsid w:val="00BD0A9E"/>
    <w:rsid w:val="00BD0E3C"/>
    <w:rsid w:val="00BD0E6B"/>
    <w:rsid w:val="00BD104C"/>
    <w:rsid w:val="00BD1225"/>
    <w:rsid w:val="00BD175B"/>
    <w:rsid w:val="00BD1841"/>
    <w:rsid w:val="00BD198B"/>
    <w:rsid w:val="00BD1A86"/>
    <w:rsid w:val="00BD1B17"/>
    <w:rsid w:val="00BD1B78"/>
    <w:rsid w:val="00BD1B91"/>
    <w:rsid w:val="00BD1CE8"/>
    <w:rsid w:val="00BD1F70"/>
    <w:rsid w:val="00BD1FAC"/>
    <w:rsid w:val="00BD2095"/>
    <w:rsid w:val="00BD2109"/>
    <w:rsid w:val="00BD2190"/>
    <w:rsid w:val="00BD22C5"/>
    <w:rsid w:val="00BD2853"/>
    <w:rsid w:val="00BD2857"/>
    <w:rsid w:val="00BD28E5"/>
    <w:rsid w:val="00BD291D"/>
    <w:rsid w:val="00BD2A2B"/>
    <w:rsid w:val="00BD2D14"/>
    <w:rsid w:val="00BD2DED"/>
    <w:rsid w:val="00BD3099"/>
    <w:rsid w:val="00BD33DD"/>
    <w:rsid w:val="00BD3418"/>
    <w:rsid w:val="00BD3550"/>
    <w:rsid w:val="00BD355F"/>
    <w:rsid w:val="00BD35CE"/>
    <w:rsid w:val="00BD3744"/>
    <w:rsid w:val="00BD394F"/>
    <w:rsid w:val="00BD3A57"/>
    <w:rsid w:val="00BD3AB9"/>
    <w:rsid w:val="00BD3FF3"/>
    <w:rsid w:val="00BD405F"/>
    <w:rsid w:val="00BD419A"/>
    <w:rsid w:val="00BD4406"/>
    <w:rsid w:val="00BD44E2"/>
    <w:rsid w:val="00BD4859"/>
    <w:rsid w:val="00BD48AD"/>
    <w:rsid w:val="00BD4944"/>
    <w:rsid w:val="00BD49E1"/>
    <w:rsid w:val="00BD4A46"/>
    <w:rsid w:val="00BD4ABC"/>
    <w:rsid w:val="00BD4D98"/>
    <w:rsid w:val="00BD4E70"/>
    <w:rsid w:val="00BD4E9E"/>
    <w:rsid w:val="00BD51AF"/>
    <w:rsid w:val="00BD55AD"/>
    <w:rsid w:val="00BD565C"/>
    <w:rsid w:val="00BD5689"/>
    <w:rsid w:val="00BD5B0F"/>
    <w:rsid w:val="00BD5B6D"/>
    <w:rsid w:val="00BD5B9A"/>
    <w:rsid w:val="00BD5BAC"/>
    <w:rsid w:val="00BD5E81"/>
    <w:rsid w:val="00BD5FD1"/>
    <w:rsid w:val="00BD645D"/>
    <w:rsid w:val="00BD64BC"/>
    <w:rsid w:val="00BD64BD"/>
    <w:rsid w:val="00BD64C9"/>
    <w:rsid w:val="00BD6505"/>
    <w:rsid w:val="00BD6672"/>
    <w:rsid w:val="00BD6749"/>
    <w:rsid w:val="00BD6827"/>
    <w:rsid w:val="00BD6931"/>
    <w:rsid w:val="00BD6B37"/>
    <w:rsid w:val="00BD708E"/>
    <w:rsid w:val="00BD70E6"/>
    <w:rsid w:val="00BD7234"/>
    <w:rsid w:val="00BD72AD"/>
    <w:rsid w:val="00BD72DA"/>
    <w:rsid w:val="00BD75A1"/>
    <w:rsid w:val="00BD7661"/>
    <w:rsid w:val="00BD7739"/>
    <w:rsid w:val="00BD773B"/>
    <w:rsid w:val="00BD7743"/>
    <w:rsid w:val="00BD7747"/>
    <w:rsid w:val="00BD7823"/>
    <w:rsid w:val="00BD7B01"/>
    <w:rsid w:val="00BD7B8F"/>
    <w:rsid w:val="00BD7BA8"/>
    <w:rsid w:val="00BD7BD5"/>
    <w:rsid w:val="00BD7BF4"/>
    <w:rsid w:val="00BD7C06"/>
    <w:rsid w:val="00BE029E"/>
    <w:rsid w:val="00BE0313"/>
    <w:rsid w:val="00BE04C5"/>
    <w:rsid w:val="00BE0524"/>
    <w:rsid w:val="00BE073F"/>
    <w:rsid w:val="00BE091A"/>
    <w:rsid w:val="00BE0968"/>
    <w:rsid w:val="00BE0A0A"/>
    <w:rsid w:val="00BE0B5C"/>
    <w:rsid w:val="00BE0B9E"/>
    <w:rsid w:val="00BE0CA5"/>
    <w:rsid w:val="00BE0D2D"/>
    <w:rsid w:val="00BE0E92"/>
    <w:rsid w:val="00BE1202"/>
    <w:rsid w:val="00BE1230"/>
    <w:rsid w:val="00BE1257"/>
    <w:rsid w:val="00BE13DF"/>
    <w:rsid w:val="00BE164C"/>
    <w:rsid w:val="00BE18A0"/>
    <w:rsid w:val="00BE1FA1"/>
    <w:rsid w:val="00BE2079"/>
    <w:rsid w:val="00BE224B"/>
    <w:rsid w:val="00BE2472"/>
    <w:rsid w:val="00BE2B61"/>
    <w:rsid w:val="00BE2C31"/>
    <w:rsid w:val="00BE319B"/>
    <w:rsid w:val="00BE31C3"/>
    <w:rsid w:val="00BE3293"/>
    <w:rsid w:val="00BE3615"/>
    <w:rsid w:val="00BE392B"/>
    <w:rsid w:val="00BE3998"/>
    <w:rsid w:val="00BE3B75"/>
    <w:rsid w:val="00BE43F2"/>
    <w:rsid w:val="00BE43F6"/>
    <w:rsid w:val="00BE4529"/>
    <w:rsid w:val="00BE45D1"/>
    <w:rsid w:val="00BE47BA"/>
    <w:rsid w:val="00BE47F0"/>
    <w:rsid w:val="00BE497C"/>
    <w:rsid w:val="00BE4A82"/>
    <w:rsid w:val="00BE4B60"/>
    <w:rsid w:val="00BE4B82"/>
    <w:rsid w:val="00BE4E71"/>
    <w:rsid w:val="00BE4E7A"/>
    <w:rsid w:val="00BE4F9B"/>
    <w:rsid w:val="00BE5106"/>
    <w:rsid w:val="00BE512C"/>
    <w:rsid w:val="00BE5284"/>
    <w:rsid w:val="00BE53A8"/>
    <w:rsid w:val="00BE54A5"/>
    <w:rsid w:val="00BE59D5"/>
    <w:rsid w:val="00BE59F3"/>
    <w:rsid w:val="00BE5A5A"/>
    <w:rsid w:val="00BE5B01"/>
    <w:rsid w:val="00BE5BB3"/>
    <w:rsid w:val="00BE5DBB"/>
    <w:rsid w:val="00BE5F15"/>
    <w:rsid w:val="00BE6053"/>
    <w:rsid w:val="00BE60EE"/>
    <w:rsid w:val="00BE612C"/>
    <w:rsid w:val="00BE6546"/>
    <w:rsid w:val="00BE675A"/>
    <w:rsid w:val="00BE67BB"/>
    <w:rsid w:val="00BE698A"/>
    <w:rsid w:val="00BE69B4"/>
    <w:rsid w:val="00BE69E2"/>
    <w:rsid w:val="00BE69E9"/>
    <w:rsid w:val="00BE6A2A"/>
    <w:rsid w:val="00BE6B20"/>
    <w:rsid w:val="00BE6E84"/>
    <w:rsid w:val="00BE7036"/>
    <w:rsid w:val="00BE737D"/>
    <w:rsid w:val="00BE73FE"/>
    <w:rsid w:val="00BE7402"/>
    <w:rsid w:val="00BE765A"/>
    <w:rsid w:val="00BE7B06"/>
    <w:rsid w:val="00BE7B87"/>
    <w:rsid w:val="00BE7BE0"/>
    <w:rsid w:val="00BE7BF0"/>
    <w:rsid w:val="00BE7CA5"/>
    <w:rsid w:val="00BE7E9A"/>
    <w:rsid w:val="00BE7ED0"/>
    <w:rsid w:val="00BF00B6"/>
    <w:rsid w:val="00BF0383"/>
    <w:rsid w:val="00BF0404"/>
    <w:rsid w:val="00BF04F5"/>
    <w:rsid w:val="00BF0515"/>
    <w:rsid w:val="00BF085B"/>
    <w:rsid w:val="00BF08BE"/>
    <w:rsid w:val="00BF0A60"/>
    <w:rsid w:val="00BF0ACE"/>
    <w:rsid w:val="00BF0CC2"/>
    <w:rsid w:val="00BF10E6"/>
    <w:rsid w:val="00BF10FC"/>
    <w:rsid w:val="00BF118A"/>
    <w:rsid w:val="00BF1472"/>
    <w:rsid w:val="00BF1748"/>
    <w:rsid w:val="00BF191F"/>
    <w:rsid w:val="00BF1D4B"/>
    <w:rsid w:val="00BF1DB7"/>
    <w:rsid w:val="00BF1E20"/>
    <w:rsid w:val="00BF1E70"/>
    <w:rsid w:val="00BF202A"/>
    <w:rsid w:val="00BF2214"/>
    <w:rsid w:val="00BF2545"/>
    <w:rsid w:val="00BF265A"/>
    <w:rsid w:val="00BF275C"/>
    <w:rsid w:val="00BF290C"/>
    <w:rsid w:val="00BF29B1"/>
    <w:rsid w:val="00BF2B76"/>
    <w:rsid w:val="00BF2E0D"/>
    <w:rsid w:val="00BF2FAF"/>
    <w:rsid w:val="00BF300B"/>
    <w:rsid w:val="00BF3072"/>
    <w:rsid w:val="00BF30D9"/>
    <w:rsid w:val="00BF3344"/>
    <w:rsid w:val="00BF335A"/>
    <w:rsid w:val="00BF364A"/>
    <w:rsid w:val="00BF3743"/>
    <w:rsid w:val="00BF3C52"/>
    <w:rsid w:val="00BF3D39"/>
    <w:rsid w:val="00BF413A"/>
    <w:rsid w:val="00BF413B"/>
    <w:rsid w:val="00BF45F0"/>
    <w:rsid w:val="00BF4675"/>
    <w:rsid w:val="00BF4B84"/>
    <w:rsid w:val="00BF4BAE"/>
    <w:rsid w:val="00BF4DB5"/>
    <w:rsid w:val="00BF5241"/>
    <w:rsid w:val="00BF5253"/>
    <w:rsid w:val="00BF52B3"/>
    <w:rsid w:val="00BF52CD"/>
    <w:rsid w:val="00BF5421"/>
    <w:rsid w:val="00BF56F6"/>
    <w:rsid w:val="00BF574B"/>
    <w:rsid w:val="00BF574F"/>
    <w:rsid w:val="00BF58DE"/>
    <w:rsid w:val="00BF5B0F"/>
    <w:rsid w:val="00BF5BCF"/>
    <w:rsid w:val="00BF5C86"/>
    <w:rsid w:val="00BF5F94"/>
    <w:rsid w:val="00BF603E"/>
    <w:rsid w:val="00BF61CD"/>
    <w:rsid w:val="00BF61D0"/>
    <w:rsid w:val="00BF64AC"/>
    <w:rsid w:val="00BF65BA"/>
    <w:rsid w:val="00BF673B"/>
    <w:rsid w:val="00BF6D04"/>
    <w:rsid w:val="00BF6DE4"/>
    <w:rsid w:val="00BF6ED8"/>
    <w:rsid w:val="00BF6EF0"/>
    <w:rsid w:val="00BF6F0E"/>
    <w:rsid w:val="00BF70B4"/>
    <w:rsid w:val="00BF752E"/>
    <w:rsid w:val="00BF75D1"/>
    <w:rsid w:val="00BF7717"/>
    <w:rsid w:val="00BF7733"/>
    <w:rsid w:val="00BF7904"/>
    <w:rsid w:val="00BF79F0"/>
    <w:rsid w:val="00BF7B22"/>
    <w:rsid w:val="00BF7BB2"/>
    <w:rsid w:val="00BF7BBE"/>
    <w:rsid w:val="00BF7C48"/>
    <w:rsid w:val="00BF7D02"/>
    <w:rsid w:val="00BF7D72"/>
    <w:rsid w:val="00BF7EA1"/>
    <w:rsid w:val="00C00070"/>
    <w:rsid w:val="00C00341"/>
    <w:rsid w:val="00C0035D"/>
    <w:rsid w:val="00C006FF"/>
    <w:rsid w:val="00C0072C"/>
    <w:rsid w:val="00C00789"/>
    <w:rsid w:val="00C007F7"/>
    <w:rsid w:val="00C008E5"/>
    <w:rsid w:val="00C00E77"/>
    <w:rsid w:val="00C00EE7"/>
    <w:rsid w:val="00C01136"/>
    <w:rsid w:val="00C013FC"/>
    <w:rsid w:val="00C01665"/>
    <w:rsid w:val="00C0168A"/>
    <w:rsid w:val="00C017D5"/>
    <w:rsid w:val="00C0197A"/>
    <w:rsid w:val="00C01A20"/>
    <w:rsid w:val="00C01D23"/>
    <w:rsid w:val="00C01D46"/>
    <w:rsid w:val="00C01EE5"/>
    <w:rsid w:val="00C01EE7"/>
    <w:rsid w:val="00C02005"/>
    <w:rsid w:val="00C022B6"/>
    <w:rsid w:val="00C022D8"/>
    <w:rsid w:val="00C02525"/>
    <w:rsid w:val="00C02559"/>
    <w:rsid w:val="00C025BD"/>
    <w:rsid w:val="00C025D1"/>
    <w:rsid w:val="00C0263B"/>
    <w:rsid w:val="00C0267C"/>
    <w:rsid w:val="00C02720"/>
    <w:rsid w:val="00C027D9"/>
    <w:rsid w:val="00C028A0"/>
    <w:rsid w:val="00C02956"/>
    <w:rsid w:val="00C02968"/>
    <w:rsid w:val="00C02BF9"/>
    <w:rsid w:val="00C02C16"/>
    <w:rsid w:val="00C02D64"/>
    <w:rsid w:val="00C03176"/>
    <w:rsid w:val="00C032E6"/>
    <w:rsid w:val="00C0351C"/>
    <w:rsid w:val="00C03A56"/>
    <w:rsid w:val="00C03ADA"/>
    <w:rsid w:val="00C03CD1"/>
    <w:rsid w:val="00C03D8A"/>
    <w:rsid w:val="00C04005"/>
    <w:rsid w:val="00C042A6"/>
    <w:rsid w:val="00C04319"/>
    <w:rsid w:val="00C0453F"/>
    <w:rsid w:val="00C04691"/>
    <w:rsid w:val="00C046CD"/>
    <w:rsid w:val="00C04725"/>
    <w:rsid w:val="00C049A7"/>
    <w:rsid w:val="00C04A3F"/>
    <w:rsid w:val="00C04C5F"/>
    <w:rsid w:val="00C04EB8"/>
    <w:rsid w:val="00C04F3E"/>
    <w:rsid w:val="00C04FF5"/>
    <w:rsid w:val="00C05064"/>
    <w:rsid w:val="00C054B5"/>
    <w:rsid w:val="00C05542"/>
    <w:rsid w:val="00C05582"/>
    <w:rsid w:val="00C055EE"/>
    <w:rsid w:val="00C05AB2"/>
    <w:rsid w:val="00C05C1F"/>
    <w:rsid w:val="00C05F43"/>
    <w:rsid w:val="00C06067"/>
    <w:rsid w:val="00C0614F"/>
    <w:rsid w:val="00C061C3"/>
    <w:rsid w:val="00C062AA"/>
    <w:rsid w:val="00C06378"/>
    <w:rsid w:val="00C0653C"/>
    <w:rsid w:val="00C065FF"/>
    <w:rsid w:val="00C06741"/>
    <w:rsid w:val="00C06A81"/>
    <w:rsid w:val="00C06B2B"/>
    <w:rsid w:val="00C06CE2"/>
    <w:rsid w:val="00C06D5A"/>
    <w:rsid w:val="00C06ED6"/>
    <w:rsid w:val="00C06FF5"/>
    <w:rsid w:val="00C06FF8"/>
    <w:rsid w:val="00C072E6"/>
    <w:rsid w:val="00C07561"/>
    <w:rsid w:val="00C0794F"/>
    <w:rsid w:val="00C07C39"/>
    <w:rsid w:val="00C07FE4"/>
    <w:rsid w:val="00C1002C"/>
    <w:rsid w:val="00C10210"/>
    <w:rsid w:val="00C103DF"/>
    <w:rsid w:val="00C10761"/>
    <w:rsid w:val="00C10824"/>
    <w:rsid w:val="00C10922"/>
    <w:rsid w:val="00C109BE"/>
    <w:rsid w:val="00C10B2B"/>
    <w:rsid w:val="00C10CCB"/>
    <w:rsid w:val="00C1101A"/>
    <w:rsid w:val="00C1113B"/>
    <w:rsid w:val="00C1119D"/>
    <w:rsid w:val="00C1129A"/>
    <w:rsid w:val="00C11418"/>
    <w:rsid w:val="00C1159E"/>
    <w:rsid w:val="00C115E2"/>
    <w:rsid w:val="00C1186B"/>
    <w:rsid w:val="00C118FD"/>
    <w:rsid w:val="00C11910"/>
    <w:rsid w:val="00C11956"/>
    <w:rsid w:val="00C11A14"/>
    <w:rsid w:val="00C11C75"/>
    <w:rsid w:val="00C11EE8"/>
    <w:rsid w:val="00C12185"/>
    <w:rsid w:val="00C122AE"/>
    <w:rsid w:val="00C123EF"/>
    <w:rsid w:val="00C12530"/>
    <w:rsid w:val="00C12720"/>
    <w:rsid w:val="00C12731"/>
    <w:rsid w:val="00C127E3"/>
    <w:rsid w:val="00C127F8"/>
    <w:rsid w:val="00C12847"/>
    <w:rsid w:val="00C12874"/>
    <w:rsid w:val="00C1287D"/>
    <w:rsid w:val="00C12A2F"/>
    <w:rsid w:val="00C12A57"/>
    <w:rsid w:val="00C12C95"/>
    <w:rsid w:val="00C12CB5"/>
    <w:rsid w:val="00C1310A"/>
    <w:rsid w:val="00C13237"/>
    <w:rsid w:val="00C132E7"/>
    <w:rsid w:val="00C133A7"/>
    <w:rsid w:val="00C1342D"/>
    <w:rsid w:val="00C134CE"/>
    <w:rsid w:val="00C1377E"/>
    <w:rsid w:val="00C137C0"/>
    <w:rsid w:val="00C137E4"/>
    <w:rsid w:val="00C1391C"/>
    <w:rsid w:val="00C139FC"/>
    <w:rsid w:val="00C13AEA"/>
    <w:rsid w:val="00C13C13"/>
    <w:rsid w:val="00C13E40"/>
    <w:rsid w:val="00C13F69"/>
    <w:rsid w:val="00C13F6B"/>
    <w:rsid w:val="00C13FB9"/>
    <w:rsid w:val="00C14137"/>
    <w:rsid w:val="00C14373"/>
    <w:rsid w:val="00C14384"/>
    <w:rsid w:val="00C14413"/>
    <w:rsid w:val="00C1464C"/>
    <w:rsid w:val="00C146AD"/>
    <w:rsid w:val="00C147FF"/>
    <w:rsid w:val="00C148E6"/>
    <w:rsid w:val="00C14A4F"/>
    <w:rsid w:val="00C14BFD"/>
    <w:rsid w:val="00C14C8D"/>
    <w:rsid w:val="00C14CA4"/>
    <w:rsid w:val="00C15022"/>
    <w:rsid w:val="00C1517A"/>
    <w:rsid w:val="00C15486"/>
    <w:rsid w:val="00C15522"/>
    <w:rsid w:val="00C15581"/>
    <w:rsid w:val="00C15643"/>
    <w:rsid w:val="00C159B6"/>
    <w:rsid w:val="00C15D97"/>
    <w:rsid w:val="00C15DC7"/>
    <w:rsid w:val="00C15E79"/>
    <w:rsid w:val="00C161B8"/>
    <w:rsid w:val="00C1661A"/>
    <w:rsid w:val="00C16ADB"/>
    <w:rsid w:val="00C16B35"/>
    <w:rsid w:val="00C16B6B"/>
    <w:rsid w:val="00C16C84"/>
    <w:rsid w:val="00C16DC4"/>
    <w:rsid w:val="00C17140"/>
    <w:rsid w:val="00C17530"/>
    <w:rsid w:val="00C17897"/>
    <w:rsid w:val="00C17945"/>
    <w:rsid w:val="00C17959"/>
    <w:rsid w:val="00C179B8"/>
    <w:rsid w:val="00C17ABE"/>
    <w:rsid w:val="00C17BB8"/>
    <w:rsid w:val="00C17BE2"/>
    <w:rsid w:val="00C17DA3"/>
    <w:rsid w:val="00C17EC3"/>
    <w:rsid w:val="00C17F08"/>
    <w:rsid w:val="00C17F9A"/>
    <w:rsid w:val="00C17FA3"/>
    <w:rsid w:val="00C202C4"/>
    <w:rsid w:val="00C204B7"/>
    <w:rsid w:val="00C204D4"/>
    <w:rsid w:val="00C2070E"/>
    <w:rsid w:val="00C2080E"/>
    <w:rsid w:val="00C20913"/>
    <w:rsid w:val="00C20BF0"/>
    <w:rsid w:val="00C20EE6"/>
    <w:rsid w:val="00C20F2C"/>
    <w:rsid w:val="00C2106C"/>
    <w:rsid w:val="00C210F8"/>
    <w:rsid w:val="00C212F6"/>
    <w:rsid w:val="00C215F2"/>
    <w:rsid w:val="00C216AF"/>
    <w:rsid w:val="00C21A71"/>
    <w:rsid w:val="00C21AA6"/>
    <w:rsid w:val="00C21BDA"/>
    <w:rsid w:val="00C21BDC"/>
    <w:rsid w:val="00C21CC0"/>
    <w:rsid w:val="00C21D2B"/>
    <w:rsid w:val="00C21D80"/>
    <w:rsid w:val="00C21E16"/>
    <w:rsid w:val="00C2209F"/>
    <w:rsid w:val="00C220FF"/>
    <w:rsid w:val="00C221A9"/>
    <w:rsid w:val="00C22242"/>
    <w:rsid w:val="00C222F3"/>
    <w:rsid w:val="00C22571"/>
    <w:rsid w:val="00C229F3"/>
    <w:rsid w:val="00C22B88"/>
    <w:rsid w:val="00C22C16"/>
    <w:rsid w:val="00C22E59"/>
    <w:rsid w:val="00C22E75"/>
    <w:rsid w:val="00C22FE4"/>
    <w:rsid w:val="00C230B5"/>
    <w:rsid w:val="00C23208"/>
    <w:rsid w:val="00C234F6"/>
    <w:rsid w:val="00C23746"/>
    <w:rsid w:val="00C23896"/>
    <w:rsid w:val="00C23A0C"/>
    <w:rsid w:val="00C23A35"/>
    <w:rsid w:val="00C23A83"/>
    <w:rsid w:val="00C23E61"/>
    <w:rsid w:val="00C2424E"/>
    <w:rsid w:val="00C2430E"/>
    <w:rsid w:val="00C2453F"/>
    <w:rsid w:val="00C2467C"/>
    <w:rsid w:val="00C24B94"/>
    <w:rsid w:val="00C24FF6"/>
    <w:rsid w:val="00C2530F"/>
    <w:rsid w:val="00C253C8"/>
    <w:rsid w:val="00C25441"/>
    <w:rsid w:val="00C2555B"/>
    <w:rsid w:val="00C255DB"/>
    <w:rsid w:val="00C25C4B"/>
    <w:rsid w:val="00C25D2B"/>
    <w:rsid w:val="00C25D3C"/>
    <w:rsid w:val="00C25E4F"/>
    <w:rsid w:val="00C2608D"/>
    <w:rsid w:val="00C26383"/>
    <w:rsid w:val="00C264D3"/>
    <w:rsid w:val="00C2680B"/>
    <w:rsid w:val="00C26870"/>
    <w:rsid w:val="00C26B2C"/>
    <w:rsid w:val="00C26BAD"/>
    <w:rsid w:val="00C26C2A"/>
    <w:rsid w:val="00C26F3C"/>
    <w:rsid w:val="00C26FBF"/>
    <w:rsid w:val="00C27513"/>
    <w:rsid w:val="00C27607"/>
    <w:rsid w:val="00C27863"/>
    <w:rsid w:val="00C278F2"/>
    <w:rsid w:val="00C279C7"/>
    <w:rsid w:val="00C27C9B"/>
    <w:rsid w:val="00C27FC5"/>
    <w:rsid w:val="00C3003C"/>
    <w:rsid w:val="00C3033D"/>
    <w:rsid w:val="00C304D7"/>
    <w:rsid w:val="00C30667"/>
    <w:rsid w:val="00C30A8F"/>
    <w:rsid w:val="00C30B0B"/>
    <w:rsid w:val="00C30D6D"/>
    <w:rsid w:val="00C30F86"/>
    <w:rsid w:val="00C312A3"/>
    <w:rsid w:val="00C3136C"/>
    <w:rsid w:val="00C313D2"/>
    <w:rsid w:val="00C31425"/>
    <w:rsid w:val="00C314BA"/>
    <w:rsid w:val="00C3152C"/>
    <w:rsid w:val="00C3166F"/>
    <w:rsid w:val="00C31761"/>
    <w:rsid w:val="00C31C0E"/>
    <w:rsid w:val="00C31C5C"/>
    <w:rsid w:val="00C3230D"/>
    <w:rsid w:val="00C32395"/>
    <w:rsid w:val="00C324C5"/>
    <w:rsid w:val="00C325C7"/>
    <w:rsid w:val="00C326CE"/>
    <w:rsid w:val="00C326D3"/>
    <w:rsid w:val="00C3275B"/>
    <w:rsid w:val="00C328B4"/>
    <w:rsid w:val="00C328C3"/>
    <w:rsid w:val="00C32A7E"/>
    <w:rsid w:val="00C32C08"/>
    <w:rsid w:val="00C32C62"/>
    <w:rsid w:val="00C32D0D"/>
    <w:rsid w:val="00C32D77"/>
    <w:rsid w:val="00C32DF1"/>
    <w:rsid w:val="00C32F49"/>
    <w:rsid w:val="00C32F7D"/>
    <w:rsid w:val="00C32FB3"/>
    <w:rsid w:val="00C3304B"/>
    <w:rsid w:val="00C33116"/>
    <w:rsid w:val="00C331A3"/>
    <w:rsid w:val="00C33244"/>
    <w:rsid w:val="00C33626"/>
    <w:rsid w:val="00C3370C"/>
    <w:rsid w:val="00C337C7"/>
    <w:rsid w:val="00C33838"/>
    <w:rsid w:val="00C3394A"/>
    <w:rsid w:val="00C3396D"/>
    <w:rsid w:val="00C33A52"/>
    <w:rsid w:val="00C33DF6"/>
    <w:rsid w:val="00C33EA6"/>
    <w:rsid w:val="00C33F50"/>
    <w:rsid w:val="00C34019"/>
    <w:rsid w:val="00C3407D"/>
    <w:rsid w:val="00C34160"/>
    <w:rsid w:val="00C341C6"/>
    <w:rsid w:val="00C341D1"/>
    <w:rsid w:val="00C34391"/>
    <w:rsid w:val="00C3443E"/>
    <w:rsid w:val="00C345BF"/>
    <w:rsid w:val="00C346B2"/>
    <w:rsid w:val="00C346E5"/>
    <w:rsid w:val="00C34811"/>
    <w:rsid w:val="00C34920"/>
    <w:rsid w:val="00C34984"/>
    <w:rsid w:val="00C34C3E"/>
    <w:rsid w:val="00C34E41"/>
    <w:rsid w:val="00C34E59"/>
    <w:rsid w:val="00C35116"/>
    <w:rsid w:val="00C35400"/>
    <w:rsid w:val="00C35994"/>
    <w:rsid w:val="00C35F48"/>
    <w:rsid w:val="00C363D4"/>
    <w:rsid w:val="00C3647B"/>
    <w:rsid w:val="00C36548"/>
    <w:rsid w:val="00C36705"/>
    <w:rsid w:val="00C3694D"/>
    <w:rsid w:val="00C36B30"/>
    <w:rsid w:val="00C36C68"/>
    <w:rsid w:val="00C36CDB"/>
    <w:rsid w:val="00C36F76"/>
    <w:rsid w:val="00C37010"/>
    <w:rsid w:val="00C371C6"/>
    <w:rsid w:val="00C371F4"/>
    <w:rsid w:val="00C378EB"/>
    <w:rsid w:val="00C37930"/>
    <w:rsid w:val="00C37A06"/>
    <w:rsid w:val="00C37B94"/>
    <w:rsid w:val="00C37DA5"/>
    <w:rsid w:val="00C37E05"/>
    <w:rsid w:val="00C404BE"/>
    <w:rsid w:val="00C40553"/>
    <w:rsid w:val="00C40660"/>
    <w:rsid w:val="00C40697"/>
    <w:rsid w:val="00C408B5"/>
    <w:rsid w:val="00C4097D"/>
    <w:rsid w:val="00C409C0"/>
    <w:rsid w:val="00C40C50"/>
    <w:rsid w:val="00C40CD4"/>
    <w:rsid w:val="00C40D98"/>
    <w:rsid w:val="00C40E8A"/>
    <w:rsid w:val="00C40EB2"/>
    <w:rsid w:val="00C40FC7"/>
    <w:rsid w:val="00C41067"/>
    <w:rsid w:val="00C4115B"/>
    <w:rsid w:val="00C411AC"/>
    <w:rsid w:val="00C412C5"/>
    <w:rsid w:val="00C413FF"/>
    <w:rsid w:val="00C416E8"/>
    <w:rsid w:val="00C418AD"/>
    <w:rsid w:val="00C41A5E"/>
    <w:rsid w:val="00C41A80"/>
    <w:rsid w:val="00C41B41"/>
    <w:rsid w:val="00C41E1E"/>
    <w:rsid w:val="00C42023"/>
    <w:rsid w:val="00C4207A"/>
    <w:rsid w:val="00C421C8"/>
    <w:rsid w:val="00C421CE"/>
    <w:rsid w:val="00C421E9"/>
    <w:rsid w:val="00C422D2"/>
    <w:rsid w:val="00C42413"/>
    <w:rsid w:val="00C42553"/>
    <w:rsid w:val="00C42603"/>
    <w:rsid w:val="00C426D3"/>
    <w:rsid w:val="00C4284D"/>
    <w:rsid w:val="00C42905"/>
    <w:rsid w:val="00C42912"/>
    <w:rsid w:val="00C42A17"/>
    <w:rsid w:val="00C42E5F"/>
    <w:rsid w:val="00C42EE7"/>
    <w:rsid w:val="00C42FEE"/>
    <w:rsid w:val="00C430ED"/>
    <w:rsid w:val="00C431A5"/>
    <w:rsid w:val="00C43611"/>
    <w:rsid w:val="00C436D6"/>
    <w:rsid w:val="00C4386B"/>
    <w:rsid w:val="00C438D6"/>
    <w:rsid w:val="00C43A0A"/>
    <w:rsid w:val="00C43AB3"/>
    <w:rsid w:val="00C43AB5"/>
    <w:rsid w:val="00C43CF9"/>
    <w:rsid w:val="00C43F39"/>
    <w:rsid w:val="00C44064"/>
    <w:rsid w:val="00C44174"/>
    <w:rsid w:val="00C44223"/>
    <w:rsid w:val="00C4432B"/>
    <w:rsid w:val="00C44497"/>
    <w:rsid w:val="00C4449F"/>
    <w:rsid w:val="00C44514"/>
    <w:rsid w:val="00C446B8"/>
    <w:rsid w:val="00C4488D"/>
    <w:rsid w:val="00C449ED"/>
    <w:rsid w:val="00C44A2E"/>
    <w:rsid w:val="00C44C23"/>
    <w:rsid w:val="00C44EF2"/>
    <w:rsid w:val="00C450EE"/>
    <w:rsid w:val="00C451EE"/>
    <w:rsid w:val="00C4529C"/>
    <w:rsid w:val="00C452C3"/>
    <w:rsid w:val="00C45355"/>
    <w:rsid w:val="00C454CA"/>
    <w:rsid w:val="00C4554B"/>
    <w:rsid w:val="00C455EB"/>
    <w:rsid w:val="00C45746"/>
    <w:rsid w:val="00C45788"/>
    <w:rsid w:val="00C457D4"/>
    <w:rsid w:val="00C4585D"/>
    <w:rsid w:val="00C45A2F"/>
    <w:rsid w:val="00C45A5C"/>
    <w:rsid w:val="00C45ADD"/>
    <w:rsid w:val="00C45B37"/>
    <w:rsid w:val="00C45D5D"/>
    <w:rsid w:val="00C45E6B"/>
    <w:rsid w:val="00C45E8C"/>
    <w:rsid w:val="00C45EC9"/>
    <w:rsid w:val="00C45F14"/>
    <w:rsid w:val="00C4629C"/>
    <w:rsid w:val="00C4631E"/>
    <w:rsid w:val="00C464D5"/>
    <w:rsid w:val="00C465C2"/>
    <w:rsid w:val="00C4662C"/>
    <w:rsid w:val="00C4692D"/>
    <w:rsid w:val="00C46949"/>
    <w:rsid w:val="00C46C24"/>
    <w:rsid w:val="00C46D1A"/>
    <w:rsid w:val="00C47066"/>
    <w:rsid w:val="00C4709D"/>
    <w:rsid w:val="00C47514"/>
    <w:rsid w:val="00C47674"/>
    <w:rsid w:val="00C47765"/>
    <w:rsid w:val="00C477BD"/>
    <w:rsid w:val="00C47B42"/>
    <w:rsid w:val="00C47B97"/>
    <w:rsid w:val="00C47D13"/>
    <w:rsid w:val="00C47D9A"/>
    <w:rsid w:val="00C47F9B"/>
    <w:rsid w:val="00C500D0"/>
    <w:rsid w:val="00C500DA"/>
    <w:rsid w:val="00C5031A"/>
    <w:rsid w:val="00C50389"/>
    <w:rsid w:val="00C5047B"/>
    <w:rsid w:val="00C50727"/>
    <w:rsid w:val="00C50888"/>
    <w:rsid w:val="00C509B1"/>
    <w:rsid w:val="00C50BBC"/>
    <w:rsid w:val="00C50C1D"/>
    <w:rsid w:val="00C50CB9"/>
    <w:rsid w:val="00C50D79"/>
    <w:rsid w:val="00C50E28"/>
    <w:rsid w:val="00C51039"/>
    <w:rsid w:val="00C5109A"/>
    <w:rsid w:val="00C51236"/>
    <w:rsid w:val="00C5125B"/>
    <w:rsid w:val="00C514BA"/>
    <w:rsid w:val="00C51500"/>
    <w:rsid w:val="00C51517"/>
    <w:rsid w:val="00C51BFA"/>
    <w:rsid w:val="00C51C53"/>
    <w:rsid w:val="00C51E95"/>
    <w:rsid w:val="00C520C5"/>
    <w:rsid w:val="00C52194"/>
    <w:rsid w:val="00C5251E"/>
    <w:rsid w:val="00C52540"/>
    <w:rsid w:val="00C52584"/>
    <w:rsid w:val="00C5288F"/>
    <w:rsid w:val="00C52CAA"/>
    <w:rsid w:val="00C52D59"/>
    <w:rsid w:val="00C52F57"/>
    <w:rsid w:val="00C531D6"/>
    <w:rsid w:val="00C532B2"/>
    <w:rsid w:val="00C535E3"/>
    <w:rsid w:val="00C5375B"/>
    <w:rsid w:val="00C53838"/>
    <w:rsid w:val="00C53860"/>
    <w:rsid w:val="00C53922"/>
    <w:rsid w:val="00C5397F"/>
    <w:rsid w:val="00C53CCB"/>
    <w:rsid w:val="00C53F86"/>
    <w:rsid w:val="00C543C0"/>
    <w:rsid w:val="00C5446E"/>
    <w:rsid w:val="00C54674"/>
    <w:rsid w:val="00C54F6B"/>
    <w:rsid w:val="00C5502A"/>
    <w:rsid w:val="00C55069"/>
    <w:rsid w:val="00C5507F"/>
    <w:rsid w:val="00C5524F"/>
    <w:rsid w:val="00C552D3"/>
    <w:rsid w:val="00C553CD"/>
    <w:rsid w:val="00C5544B"/>
    <w:rsid w:val="00C555D0"/>
    <w:rsid w:val="00C55850"/>
    <w:rsid w:val="00C558AE"/>
    <w:rsid w:val="00C55A84"/>
    <w:rsid w:val="00C55AFA"/>
    <w:rsid w:val="00C55B28"/>
    <w:rsid w:val="00C55C64"/>
    <w:rsid w:val="00C55DB2"/>
    <w:rsid w:val="00C55E7C"/>
    <w:rsid w:val="00C55F74"/>
    <w:rsid w:val="00C55FCF"/>
    <w:rsid w:val="00C5613B"/>
    <w:rsid w:val="00C56145"/>
    <w:rsid w:val="00C56684"/>
    <w:rsid w:val="00C56807"/>
    <w:rsid w:val="00C56865"/>
    <w:rsid w:val="00C56996"/>
    <w:rsid w:val="00C569C2"/>
    <w:rsid w:val="00C56AD7"/>
    <w:rsid w:val="00C56BB6"/>
    <w:rsid w:val="00C56D77"/>
    <w:rsid w:val="00C56D9F"/>
    <w:rsid w:val="00C56F47"/>
    <w:rsid w:val="00C57032"/>
    <w:rsid w:val="00C57130"/>
    <w:rsid w:val="00C57371"/>
    <w:rsid w:val="00C573A4"/>
    <w:rsid w:val="00C574DF"/>
    <w:rsid w:val="00C576E5"/>
    <w:rsid w:val="00C5772A"/>
    <w:rsid w:val="00C57766"/>
    <w:rsid w:val="00C57769"/>
    <w:rsid w:val="00C57870"/>
    <w:rsid w:val="00C578B7"/>
    <w:rsid w:val="00C57C48"/>
    <w:rsid w:val="00C57C6A"/>
    <w:rsid w:val="00C57DB8"/>
    <w:rsid w:val="00C603AF"/>
    <w:rsid w:val="00C6064E"/>
    <w:rsid w:val="00C6066F"/>
    <w:rsid w:val="00C6076D"/>
    <w:rsid w:val="00C6097B"/>
    <w:rsid w:val="00C609C6"/>
    <w:rsid w:val="00C60A95"/>
    <w:rsid w:val="00C60CCD"/>
    <w:rsid w:val="00C60E2E"/>
    <w:rsid w:val="00C60FBC"/>
    <w:rsid w:val="00C60FC9"/>
    <w:rsid w:val="00C61105"/>
    <w:rsid w:val="00C6121F"/>
    <w:rsid w:val="00C6131A"/>
    <w:rsid w:val="00C61399"/>
    <w:rsid w:val="00C6144A"/>
    <w:rsid w:val="00C616E3"/>
    <w:rsid w:val="00C61912"/>
    <w:rsid w:val="00C619F7"/>
    <w:rsid w:val="00C61A10"/>
    <w:rsid w:val="00C61B4B"/>
    <w:rsid w:val="00C61BB9"/>
    <w:rsid w:val="00C62065"/>
    <w:rsid w:val="00C62157"/>
    <w:rsid w:val="00C6223E"/>
    <w:rsid w:val="00C62442"/>
    <w:rsid w:val="00C624CA"/>
    <w:rsid w:val="00C624D1"/>
    <w:rsid w:val="00C62531"/>
    <w:rsid w:val="00C62741"/>
    <w:rsid w:val="00C62807"/>
    <w:rsid w:val="00C62BC6"/>
    <w:rsid w:val="00C62C55"/>
    <w:rsid w:val="00C6314E"/>
    <w:rsid w:val="00C632FC"/>
    <w:rsid w:val="00C6336B"/>
    <w:rsid w:val="00C6339A"/>
    <w:rsid w:val="00C638EE"/>
    <w:rsid w:val="00C63BB4"/>
    <w:rsid w:val="00C63BFD"/>
    <w:rsid w:val="00C63F50"/>
    <w:rsid w:val="00C64047"/>
    <w:rsid w:val="00C641C3"/>
    <w:rsid w:val="00C64246"/>
    <w:rsid w:val="00C642B0"/>
    <w:rsid w:val="00C642E2"/>
    <w:rsid w:val="00C64396"/>
    <w:rsid w:val="00C643D3"/>
    <w:rsid w:val="00C6452A"/>
    <w:rsid w:val="00C649D6"/>
    <w:rsid w:val="00C649FD"/>
    <w:rsid w:val="00C64BDE"/>
    <w:rsid w:val="00C64CFA"/>
    <w:rsid w:val="00C64F31"/>
    <w:rsid w:val="00C65293"/>
    <w:rsid w:val="00C65407"/>
    <w:rsid w:val="00C65410"/>
    <w:rsid w:val="00C654AE"/>
    <w:rsid w:val="00C657E4"/>
    <w:rsid w:val="00C65927"/>
    <w:rsid w:val="00C65965"/>
    <w:rsid w:val="00C65B37"/>
    <w:rsid w:val="00C65B76"/>
    <w:rsid w:val="00C65BB7"/>
    <w:rsid w:val="00C65D0D"/>
    <w:rsid w:val="00C65DE2"/>
    <w:rsid w:val="00C65EEE"/>
    <w:rsid w:val="00C65F37"/>
    <w:rsid w:val="00C66058"/>
    <w:rsid w:val="00C6615B"/>
    <w:rsid w:val="00C66193"/>
    <w:rsid w:val="00C66463"/>
    <w:rsid w:val="00C664FE"/>
    <w:rsid w:val="00C66602"/>
    <w:rsid w:val="00C66628"/>
    <w:rsid w:val="00C666F4"/>
    <w:rsid w:val="00C66747"/>
    <w:rsid w:val="00C6688E"/>
    <w:rsid w:val="00C6691A"/>
    <w:rsid w:val="00C669AF"/>
    <w:rsid w:val="00C66A26"/>
    <w:rsid w:val="00C674B7"/>
    <w:rsid w:val="00C67541"/>
    <w:rsid w:val="00C6761E"/>
    <w:rsid w:val="00C6789F"/>
    <w:rsid w:val="00C67B96"/>
    <w:rsid w:val="00C67BEF"/>
    <w:rsid w:val="00C67CF2"/>
    <w:rsid w:val="00C67D4F"/>
    <w:rsid w:val="00C67E35"/>
    <w:rsid w:val="00C703CB"/>
    <w:rsid w:val="00C70491"/>
    <w:rsid w:val="00C7059B"/>
    <w:rsid w:val="00C70725"/>
    <w:rsid w:val="00C7081E"/>
    <w:rsid w:val="00C70863"/>
    <w:rsid w:val="00C70A2E"/>
    <w:rsid w:val="00C70A4B"/>
    <w:rsid w:val="00C70AC6"/>
    <w:rsid w:val="00C70AEE"/>
    <w:rsid w:val="00C70BA3"/>
    <w:rsid w:val="00C70C46"/>
    <w:rsid w:val="00C70CE2"/>
    <w:rsid w:val="00C70CF7"/>
    <w:rsid w:val="00C70DD1"/>
    <w:rsid w:val="00C7103C"/>
    <w:rsid w:val="00C7113B"/>
    <w:rsid w:val="00C7117C"/>
    <w:rsid w:val="00C71234"/>
    <w:rsid w:val="00C712D3"/>
    <w:rsid w:val="00C7160D"/>
    <w:rsid w:val="00C717E9"/>
    <w:rsid w:val="00C719AC"/>
    <w:rsid w:val="00C71A07"/>
    <w:rsid w:val="00C71A3F"/>
    <w:rsid w:val="00C71AC5"/>
    <w:rsid w:val="00C71B19"/>
    <w:rsid w:val="00C71B9C"/>
    <w:rsid w:val="00C71B9F"/>
    <w:rsid w:val="00C71F63"/>
    <w:rsid w:val="00C71FE1"/>
    <w:rsid w:val="00C72793"/>
    <w:rsid w:val="00C72C19"/>
    <w:rsid w:val="00C72C49"/>
    <w:rsid w:val="00C72CA7"/>
    <w:rsid w:val="00C72D1D"/>
    <w:rsid w:val="00C73084"/>
    <w:rsid w:val="00C73104"/>
    <w:rsid w:val="00C73244"/>
    <w:rsid w:val="00C7328E"/>
    <w:rsid w:val="00C73568"/>
    <w:rsid w:val="00C736B4"/>
    <w:rsid w:val="00C73785"/>
    <w:rsid w:val="00C737B5"/>
    <w:rsid w:val="00C73951"/>
    <w:rsid w:val="00C73A9D"/>
    <w:rsid w:val="00C73BCD"/>
    <w:rsid w:val="00C73C05"/>
    <w:rsid w:val="00C73E91"/>
    <w:rsid w:val="00C73FD9"/>
    <w:rsid w:val="00C7404B"/>
    <w:rsid w:val="00C741D6"/>
    <w:rsid w:val="00C74267"/>
    <w:rsid w:val="00C74466"/>
    <w:rsid w:val="00C74629"/>
    <w:rsid w:val="00C7489A"/>
    <w:rsid w:val="00C7499C"/>
    <w:rsid w:val="00C749A4"/>
    <w:rsid w:val="00C74A46"/>
    <w:rsid w:val="00C74F60"/>
    <w:rsid w:val="00C75018"/>
    <w:rsid w:val="00C75089"/>
    <w:rsid w:val="00C7537A"/>
    <w:rsid w:val="00C754B6"/>
    <w:rsid w:val="00C755A0"/>
    <w:rsid w:val="00C755B9"/>
    <w:rsid w:val="00C755CC"/>
    <w:rsid w:val="00C756E8"/>
    <w:rsid w:val="00C75997"/>
    <w:rsid w:val="00C75DB1"/>
    <w:rsid w:val="00C75EBC"/>
    <w:rsid w:val="00C75F28"/>
    <w:rsid w:val="00C7611E"/>
    <w:rsid w:val="00C76D50"/>
    <w:rsid w:val="00C76F19"/>
    <w:rsid w:val="00C76F50"/>
    <w:rsid w:val="00C77001"/>
    <w:rsid w:val="00C7718F"/>
    <w:rsid w:val="00C772D2"/>
    <w:rsid w:val="00C7759F"/>
    <w:rsid w:val="00C77643"/>
    <w:rsid w:val="00C7788F"/>
    <w:rsid w:val="00C77BB9"/>
    <w:rsid w:val="00C77BE6"/>
    <w:rsid w:val="00C77C2A"/>
    <w:rsid w:val="00C77C93"/>
    <w:rsid w:val="00C77D34"/>
    <w:rsid w:val="00C77E13"/>
    <w:rsid w:val="00C80092"/>
    <w:rsid w:val="00C800FE"/>
    <w:rsid w:val="00C8029D"/>
    <w:rsid w:val="00C803ED"/>
    <w:rsid w:val="00C80654"/>
    <w:rsid w:val="00C80993"/>
    <w:rsid w:val="00C80AAC"/>
    <w:rsid w:val="00C812B4"/>
    <w:rsid w:val="00C812C6"/>
    <w:rsid w:val="00C813BA"/>
    <w:rsid w:val="00C8185C"/>
    <w:rsid w:val="00C81A56"/>
    <w:rsid w:val="00C81A99"/>
    <w:rsid w:val="00C81BE5"/>
    <w:rsid w:val="00C81C70"/>
    <w:rsid w:val="00C81C9E"/>
    <w:rsid w:val="00C81F02"/>
    <w:rsid w:val="00C81FB7"/>
    <w:rsid w:val="00C82225"/>
    <w:rsid w:val="00C82241"/>
    <w:rsid w:val="00C823F8"/>
    <w:rsid w:val="00C8241B"/>
    <w:rsid w:val="00C8244A"/>
    <w:rsid w:val="00C82568"/>
    <w:rsid w:val="00C82A27"/>
    <w:rsid w:val="00C82AB7"/>
    <w:rsid w:val="00C82DED"/>
    <w:rsid w:val="00C82F2F"/>
    <w:rsid w:val="00C82F9F"/>
    <w:rsid w:val="00C832FB"/>
    <w:rsid w:val="00C83498"/>
    <w:rsid w:val="00C836B8"/>
    <w:rsid w:val="00C8383D"/>
    <w:rsid w:val="00C83A3F"/>
    <w:rsid w:val="00C83BBA"/>
    <w:rsid w:val="00C83C27"/>
    <w:rsid w:val="00C83E83"/>
    <w:rsid w:val="00C83F15"/>
    <w:rsid w:val="00C83FC0"/>
    <w:rsid w:val="00C84111"/>
    <w:rsid w:val="00C8423D"/>
    <w:rsid w:val="00C84491"/>
    <w:rsid w:val="00C844A8"/>
    <w:rsid w:val="00C844FD"/>
    <w:rsid w:val="00C8488E"/>
    <w:rsid w:val="00C84A59"/>
    <w:rsid w:val="00C84B35"/>
    <w:rsid w:val="00C84EBC"/>
    <w:rsid w:val="00C84ECB"/>
    <w:rsid w:val="00C85247"/>
    <w:rsid w:val="00C8528E"/>
    <w:rsid w:val="00C852E0"/>
    <w:rsid w:val="00C85314"/>
    <w:rsid w:val="00C85395"/>
    <w:rsid w:val="00C8544D"/>
    <w:rsid w:val="00C8581C"/>
    <w:rsid w:val="00C85A1F"/>
    <w:rsid w:val="00C85CD3"/>
    <w:rsid w:val="00C85D16"/>
    <w:rsid w:val="00C85EBE"/>
    <w:rsid w:val="00C86027"/>
    <w:rsid w:val="00C8608A"/>
    <w:rsid w:val="00C8608E"/>
    <w:rsid w:val="00C862BB"/>
    <w:rsid w:val="00C863D2"/>
    <w:rsid w:val="00C866E5"/>
    <w:rsid w:val="00C867FE"/>
    <w:rsid w:val="00C86E97"/>
    <w:rsid w:val="00C86F4F"/>
    <w:rsid w:val="00C871A7"/>
    <w:rsid w:val="00C8742B"/>
    <w:rsid w:val="00C87497"/>
    <w:rsid w:val="00C875A8"/>
    <w:rsid w:val="00C8767B"/>
    <w:rsid w:val="00C8791C"/>
    <w:rsid w:val="00C879EA"/>
    <w:rsid w:val="00C87BFF"/>
    <w:rsid w:val="00C87D2B"/>
    <w:rsid w:val="00C87FBD"/>
    <w:rsid w:val="00C9016E"/>
    <w:rsid w:val="00C9020E"/>
    <w:rsid w:val="00C902E9"/>
    <w:rsid w:val="00C904D2"/>
    <w:rsid w:val="00C90D22"/>
    <w:rsid w:val="00C90D55"/>
    <w:rsid w:val="00C90D6B"/>
    <w:rsid w:val="00C911DA"/>
    <w:rsid w:val="00C9130A"/>
    <w:rsid w:val="00C91342"/>
    <w:rsid w:val="00C91501"/>
    <w:rsid w:val="00C915AE"/>
    <w:rsid w:val="00C917D6"/>
    <w:rsid w:val="00C9198A"/>
    <w:rsid w:val="00C919A0"/>
    <w:rsid w:val="00C919C9"/>
    <w:rsid w:val="00C91B3C"/>
    <w:rsid w:val="00C91C62"/>
    <w:rsid w:val="00C91CCE"/>
    <w:rsid w:val="00C91D7B"/>
    <w:rsid w:val="00C91FDB"/>
    <w:rsid w:val="00C921A2"/>
    <w:rsid w:val="00C9221B"/>
    <w:rsid w:val="00C92333"/>
    <w:rsid w:val="00C92592"/>
    <w:rsid w:val="00C925D2"/>
    <w:rsid w:val="00C927EA"/>
    <w:rsid w:val="00C92860"/>
    <w:rsid w:val="00C92B44"/>
    <w:rsid w:val="00C92BF3"/>
    <w:rsid w:val="00C92C8B"/>
    <w:rsid w:val="00C92CF3"/>
    <w:rsid w:val="00C9308D"/>
    <w:rsid w:val="00C931D7"/>
    <w:rsid w:val="00C931E7"/>
    <w:rsid w:val="00C93293"/>
    <w:rsid w:val="00C932E4"/>
    <w:rsid w:val="00C935C4"/>
    <w:rsid w:val="00C9379D"/>
    <w:rsid w:val="00C9381D"/>
    <w:rsid w:val="00C9381E"/>
    <w:rsid w:val="00C93893"/>
    <w:rsid w:val="00C93A5E"/>
    <w:rsid w:val="00C93DCB"/>
    <w:rsid w:val="00C942A1"/>
    <w:rsid w:val="00C942C9"/>
    <w:rsid w:val="00C942D2"/>
    <w:rsid w:val="00C94461"/>
    <w:rsid w:val="00C94482"/>
    <w:rsid w:val="00C944E9"/>
    <w:rsid w:val="00C947AA"/>
    <w:rsid w:val="00C947B4"/>
    <w:rsid w:val="00C9482B"/>
    <w:rsid w:val="00C949F9"/>
    <w:rsid w:val="00C94A1F"/>
    <w:rsid w:val="00C94C21"/>
    <w:rsid w:val="00C94C91"/>
    <w:rsid w:val="00C94C9F"/>
    <w:rsid w:val="00C94DB8"/>
    <w:rsid w:val="00C94FB8"/>
    <w:rsid w:val="00C953A3"/>
    <w:rsid w:val="00C95451"/>
    <w:rsid w:val="00C9548A"/>
    <w:rsid w:val="00C9573D"/>
    <w:rsid w:val="00C9574B"/>
    <w:rsid w:val="00C95761"/>
    <w:rsid w:val="00C95C05"/>
    <w:rsid w:val="00C95EBB"/>
    <w:rsid w:val="00C95F0B"/>
    <w:rsid w:val="00C96212"/>
    <w:rsid w:val="00C96267"/>
    <w:rsid w:val="00C9651B"/>
    <w:rsid w:val="00C967F5"/>
    <w:rsid w:val="00C96891"/>
    <w:rsid w:val="00C96A81"/>
    <w:rsid w:val="00C96C46"/>
    <w:rsid w:val="00C96C65"/>
    <w:rsid w:val="00C96D74"/>
    <w:rsid w:val="00C96EE8"/>
    <w:rsid w:val="00C970B2"/>
    <w:rsid w:val="00C9712C"/>
    <w:rsid w:val="00C97375"/>
    <w:rsid w:val="00C97779"/>
    <w:rsid w:val="00C979BF"/>
    <w:rsid w:val="00C97AA4"/>
    <w:rsid w:val="00C97B18"/>
    <w:rsid w:val="00C97CD2"/>
    <w:rsid w:val="00C97F37"/>
    <w:rsid w:val="00C97F3D"/>
    <w:rsid w:val="00C97FAC"/>
    <w:rsid w:val="00CA0001"/>
    <w:rsid w:val="00CA00C9"/>
    <w:rsid w:val="00CA05A5"/>
    <w:rsid w:val="00CA06EC"/>
    <w:rsid w:val="00CA076B"/>
    <w:rsid w:val="00CA09C1"/>
    <w:rsid w:val="00CA0A3C"/>
    <w:rsid w:val="00CA0A40"/>
    <w:rsid w:val="00CA0B5C"/>
    <w:rsid w:val="00CA0C3E"/>
    <w:rsid w:val="00CA0C5F"/>
    <w:rsid w:val="00CA1013"/>
    <w:rsid w:val="00CA1027"/>
    <w:rsid w:val="00CA1083"/>
    <w:rsid w:val="00CA133C"/>
    <w:rsid w:val="00CA14E8"/>
    <w:rsid w:val="00CA1679"/>
    <w:rsid w:val="00CA1871"/>
    <w:rsid w:val="00CA18A9"/>
    <w:rsid w:val="00CA1C7D"/>
    <w:rsid w:val="00CA1E96"/>
    <w:rsid w:val="00CA2161"/>
    <w:rsid w:val="00CA2185"/>
    <w:rsid w:val="00CA22D2"/>
    <w:rsid w:val="00CA256F"/>
    <w:rsid w:val="00CA2653"/>
    <w:rsid w:val="00CA26F6"/>
    <w:rsid w:val="00CA291D"/>
    <w:rsid w:val="00CA295C"/>
    <w:rsid w:val="00CA2B1F"/>
    <w:rsid w:val="00CA2C6E"/>
    <w:rsid w:val="00CA2F95"/>
    <w:rsid w:val="00CA2FE6"/>
    <w:rsid w:val="00CA3052"/>
    <w:rsid w:val="00CA3196"/>
    <w:rsid w:val="00CA319E"/>
    <w:rsid w:val="00CA3319"/>
    <w:rsid w:val="00CA3666"/>
    <w:rsid w:val="00CA36E0"/>
    <w:rsid w:val="00CA3AF0"/>
    <w:rsid w:val="00CA3C04"/>
    <w:rsid w:val="00CA3E06"/>
    <w:rsid w:val="00CA4064"/>
    <w:rsid w:val="00CA40AF"/>
    <w:rsid w:val="00CA41BE"/>
    <w:rsid w:val="00CA425A"/>
    <w:rsid w:val="00CA43FF"/>
    <w:rsid w:val="00CA4838"/>
    <w:rsid w:val="00CA48D2"/>
    <w:rsid w:val="00CA4A11"/>
    <w:rsid w:val="00CA4A14"/>
    <w:rsid w:val="00CA4A17"/>
    <w:rsid w:val="00CA4C98"/>
    <w:rsid w:val="00CA4CEA"/>
    <w:rsid w:val="00CA4CF8"/>
    <w:rsid w:val="00CA4F13"/>
    <w:rsid w:val="00CA5410"/>
    <w:rsid w:val="00CA54B6"/>
    <w:rsid w:val="00CA5781"/>
    <w:rsid w:val="00CA584D"/>
    <w:rsid w:val="00CA5927"/>
    <w:rsid w:val="00CA593F"/>
    <w:rsid w:val="00CA5A48"/>
    <w:rsid w:val="00CA5DC0"/>
    <w:rsid w:val="00CA5DD3"/>
    <w:rsid w:val="00CA65DD"/>
    <w:rsid w:val="00CA688C"/>
    <w:rsid w:val="00CA693F"/>
    <w:rsid w:val="00CA696E"/>
    <w:rsid w:val="00CA6A05"/>
    <w:rsid w:val="00CA6BCA"/>
    <w:rsid w:val="00CA6DEC"/>
    <w:rsid w:val="00CA6E34"/>
    <w:rsid w:val="00CA6E76"/>
    <w:rsid w:val="00CA6E7F"/>
    <w:rsid w:val="00CA702B"/>
    <w:rsid w:val="00CA705C"/>
    <w:rsid w:val="00CA725D"/>
    <w:rsid w:val="00CA74D4"/>
    <w:rsid w:val="00CA7530"/>
    <w:rsid w:val="00CA7711"/>
    <w:rsid w:val="00CA7A1A"/>
    <w:rsid w:val="00CA7ACE"/>
    <w:rsid w:val="00CA7C1C"/>
    <w:rsid w:val="00CA7F87"/>
    <w:rsid w:val="00CB0190"/>
    <w:rsid w:val="00CB0598"/>
    <w:rsid w:val="00CB0694"/>
    <w:rsid w:val="00CB07FF"/>
    <w:rsid w:val="00CB08AF"/>
    <w:rsid w:val="00CB0998"/>
    <w:rsid w:val="00CB0A47"/>
    <w:rsid w:val="00CB0BF4"/>
    <w:rsid w:val="00CB0D53"/>
    <w:rsid w:val="00CB0D77"/>
    <w:rsid w:val="00CB0D83"/>
    <w:rsid w:val="00CB0EE8"/>
    <w:rsid w:val="00CB0EF9"/>
    <w:rsid w:val="00CB1037"/>
    <w:rsid w:val="00CB13F2"/>
    <w:rsid w:val="00CB158D"/>
    <w:rsid w:val="00CB1777"/>
    <w:rsid w:val="00CB18A3"/>
    <w:rsid w:val="00CB18EC"/>
    <w:rsid w:val="00CB194A"/>
    <w:rsid w:val="00CB1AE2"/>
    <w:rsid w:val="00CB1C71"/>
    <w:rsid w:val="00CB1E2B"/>
    <w:rsid w:val="00CB1F2D"/>
    <w:rsid w:val="00CB1FFF"/>
    <w:rsid w:val="00CB2059"/>
    <w:rsid w:val="00CB2226"/>
    <w:rsid w:val="00CB236B"/>
    <w:rsid w:val="00CB236C"/>
    <w:rsid w:val="00CB24E2"/>
    <w:rsid w:val="00CB25AF"/>
    <w:rsid w:val="00CB27CC"/>
    <w:rsid w:val="00CB2901"/>
    <w:rsid w:val="00CB294C"/>
    <w:rsid w:val="00CB2A5B"/>
    <w:rsid w:val="00CB2AA6"/>
    <w:rsid w:val="00CB2DB0"/>
    <w:rsid w:val="00CB2DD0"/>
    <w:rsid w:val="00CB2ECF"/>
    <w:rsid w:val="00CB2F27"/>
    <w:rsid w:val="00CB33E7"/>
    <w:rsid w:val="00CB3414"/>
    <w:rsid w:val="00CB3612"/>
    <w:rsid w:val="00CB3656"/>
    <w:rsid w:val="00CB38E2"/>
    <w:rsid w:val="00CB398C"/>
    <w:rsid w:val="00CB3A28"/>
    <w:rsid w:val="00CB3AED"/>
    <w:rsid w:val="00CB3C44"/>
    <w:rsid w:val="00CB3D6D"/>
    <w:rsid w:val="00CB3EE9"/>
    <w:rsid w:val="00CB3F88"/>
    <w:rsid w:val="00CB3FBB"/>
    <w:rsid w:val="00CB425C"/>
    <w:rsid w:val="00CB427F"/>
    <w:rsid w:val="00CB4284"/>
    <w:rsid w:val="00CB4478"/>
    <w:rsid w:val="00CB4788"/>
    <w:rsid w:val="00CB490D"/>
    <w:rsid w:val="00CB4981"/>
    <w:rsid w:val="00CB4D5E"/>
    <w:rsid w:val="00CB4E05"/>
    <w:rsid w:val="00CB4FA6"/>
    <w:rsid w:val="00CB4FEB"/>
    <w:rsid w:val="00CB5378"/>
    <w:rsid w:val="00CB5718"/>
    <w:rsid w:val="00CB5750"/>
    <w:rsid w:val="00CB5A74"/>
    <w:rsid w:val="00CB5B15"/>
    <w:rsid w:val="00CB5D4D"/>
    <w:rsid w:val="00CB5EEF"/>
    <w:rsid w:val="00CB6055"/>
    <w:rsid w:val="00CB60AD"/>
    <w:rsid w:val="00CB61EE"/>
    <w:rsid w:val="00CB6274"/>
    <w:rsid w:val="00CB62C6"/>
    <w:rsid w:val="00CB638D"/>
    <w:rsid w:val="00CB64BA"/>
    <w:rsid w:val="00CB6586"/>
    <w:rsid w:val="00CB68D3"/>
    <w:rsid w:val="00CB6929"/>
    <w:rsid w:val="00CB695B"/>
    <w:rsid w:val="00CB6A7D"/>
    <w:rsid w:val="00CB6C27"/>
    <w:rsid w:val="00CB6F9D"/>
    <w:rsid w:val="00CB7027"/>
    <w:rsid w:val="00CB734D"/>
    <w:rsid w:val="00CB75D1"/>
    <w:rsid w:val="00CB7692"/>
    <w:rsid w:val="00CB773D"/>
    <w:rsid w:val="00CB7906"/>
    <w:rsid w:val="00CB79AB"/>
    <w:rsid w:val="00CB79CA"/>
    <w:rsid w:val="00CB7D11"/>
    <w:rsid w:val="00CB7D3F"/>
    <w:rsid w:val="00CB7E29"/>
    <w:rsid w:val="00CB7EB7"/>
    <w:rsid w:val="00CB7ED3"/>
    <w:rsid w:val="00CC0149"/>
    <w:rsid w:val="00CC021C"/>
    <w:rsid w:val="00CC033F"/>
    <w:rsid w:val="00CC05D8"/>
    <w:rsid w:val="00CC06AE"/>
    <w:rsid w:val="00CC07A4"/>
    <w:rsid w:val="00CC0814"/>
    <w:rsid w:val="00CC083F"/>
    <w:rsid w:val="00CC0B3E"/>
    <w:rsid w:val="00CC0B49"/>
    <w:rsid w:val="00CC0E36"/>
    <w:rsid w:val="00CC0E82"/>
    <w:rsid w:val="00CC0EB0"/>
    <w:rsid w:val="00CC1024"/>
    <w:rsid w:val="00CC1203"/>
    <w:rsid w:val="00CC1684"/>
    <w:rsid w:val="00CC18DB"/>
    <w:rsid w:val="00CC1C51"/>
    <w:rsid w:val="00CC1D81"/>
    <w:rsid w:val="00CC1F3D"/>
    <w:rsid w:val="00CC22A4"/>
    <w:rsid w:val="00CC22D3"/>
    <w:rsid w:val="00CC2457"/>
    <w:rsid w:val="00CC24F2"/>
    <w:rsid w:val="00CC2569"/>
    <w:rsid w:val="00CC291C"/>
    <w:rsid w:val="00CC2E7B"/>
    <w:rsid w:val="00CC2F56"/>
    <w:rsid w:val="00CC30F8"/>
    <w:rsid w:val="00CC335F"/>
    <w:rsid w:val="00CC33B8"/>
    <w:rsid w:val="00CC33DE"/>
    <w:rsid w:val="00CC34D6"/>
    <w:rsid w:val="00CC34DE"/>
    <w:rsid w:val="00CC37B1"/>
    <w:rsid w:val="00CC37BE"/>
    <w:rsid w:val="00CC37C2"/>
    <w:rsid w:val="00CC3856"/>
    <w:rsid w:val="00CC39C5"/>
    <w:rsid w:val="00CC3C9C"/>
    <w:rsid w:val="00CC3E23"/>
    <w:rsid w:val="00CC3E55"/>
    <w:rsid w:val="00CC4253"/>
    <w:rsid w:val="00CC427F"/>
    <w:rsid w:val="00CC4509"/>
    <w:rsid w:val="00CC460D"/>
    <w:rsid w:val="00CC4814"/>
    <w:rsid w:val="00CC4867"/>
    <w:rsid w:val="00CC4BAD"/>
    <w:rsid w:val="00CC4C16"/>
    <w:rsid w:val="00CC4CBD"/>
    <w:rsid w:val="00CC4E61"/>
    <w:rsid w:val="00CC50BA"/>
    <w:rsid w:val="00CC5377"/>
    <w:rsid w:val="00CC54FB"/>
    <w:rsid w:val="00CC5509"/>
    <w:rsid w:val="00CC5705"/>
    <w:rsid w:val="00CC580D"/>
    <w:rsid w:val="00CC5CD6"/>
    <w:rsid w:val="00CC5E5A"/>
    <w:rsid w:val="00CC614A"/>
    <w:rsid w:val="00CC641F"/>
    <w:rsid w:val="00CC6557"/>
    <w:rsid w:val="00CC6587"/>
    <w:rsid w:val="00CC67BA"/>
    <w:rsid w:val="00CC67D1"/>
    <w:rsid w:val="00CC6CAE"/>
    <w:rsid w:val="00CC72BC"/>
    <w:rsid w:val="00CC7319"/>
    <w:rsid w:val="00CC7481"/>
    <w:rsid w:val="00CC7561"/>
    <w:rsid w:val="00CC77C9"/>
    <w:rsid w:val="00CC77CA"/>
    <w:rsid w:val="00CC7924"/>
    <w:rsid w:val="00CC7AD8"/>
    <w:rsid w:val="00CC7B2B"/>
    <w:rsid w:val="00CC7C76"/>
    <w:rsid w:val="00CC7F61"/>
    <w:rsid w:val="00CC7FDE"/>
    <w:rsid w:val="00CD0294"/>
    <w:rsid w:val="00CD03BD"/>
    <w:rsid w:val="00CD03C1"/>
    <w:rsid w:val="00CD0686"/>
    <w:rsid w:val="00CD07ED"/>
    <w:rsid w:val="00CD08D0"/>
    <w:rsid w:val="00CD0AA0"/>
    <w:rsid w:val="00CD0B26"/>
    <w:rsid w:val="00CD0B42"/>
    <w:rsid w:val="00CD0B59"/>
    <w:rsid w:val="00CD0BD9"/>
    <w:rsid w:val="00CD0D17"/>
    <w:rsid w:val="00CD0E99"/>
    <w:rsid w:val="00CD0EED"/>
    <w:rsid w:val="00CD0F58"/>
    <w:rsid w:val="00CD0F82"/>
    <w:rsid w:val="00CD0FCB"/>
    <w:rsid w:val="00CD10AE"/>
    <w:rsid w:val="00CD11F2"/>
    <w:rsid w:val="00CD12C0"/>
    <w:rsid w:val="00CD1364"/>
    <w:rsid w:val="00CD14FC"/>
    <w:rsid w:val="00CD154A"/>
    <w:rsid w:val="00CD158C"/>
    <w:rsid w:val="00CD1650"/>
    <w:rsid w:val="00CD16ED"/>
    <w:rsid w:val="00CD17C6"/>
    <w:rsid w:val="00CD18CE"/>
    <w:rsid w:val="00CD1925"/>
    <w:rsid w:val="00CD1977"/>
    <w:rsid w:val="00CD19E0"/>
    <w:rsid w:val="00CD1B79"/>
    <w:rsid w:val="00CD1CA6"/>
    <w:rsid w:val="00CD1D13"/>
    <w:rsid w:val="00CD1D1D"/>
    <w:rsid w:val="00CD1EAA"/>
    <w:rsid w:val="00CD1EB8"/>
    <w:rsid w:val="00CD2085"/>
    <w:rsid w:val="00CD21AF"/>
    <w:rsid w:val="00CD23B3"/>
    <w:rsid w:val="00CD23BA"/>
    <w:rsid w:val="00CD249D"/>
    <w:rsid w:val="00CD271C"/>
    <w:rsid w:val="00CD29ED"/>
    <w:rsid w:val="00CD2A76"/>
    <w:rsid w:val="00CD2B03"/>
    <w:rsid w:val="00CD2E04"/>
    <w:rsid w:val="00CD2ECC"/>
    <w:rsid w:val="00CD30D4"/>
    <w:rsid w:val="00CD3227"/>
    <w:rsid w:val="00CD32E3"/>
    <w:rsid w:val="00CD36D1"/>
    <w:rsid w:val="00CD3BEA"/>
    <w:rsid w:val="00CD3C48"/>
    <w:rsid w:val="00CD3CAB"/>
    <w:rsid w:val="00CD3E0B"/>
    <w:rsid w:val="00CD3FA8"/>
    <w:rsid w:val="00CD3FFA"/>
    <w:rsid w:val="00CD4069"/>
    <w:rsid w:val="00CD40F6"/>
    <w:rsid w:val="00CD4137"/>
    <w:rsid w:val="00CD4388"/>
    <w:rsid w:val="00CD44CD"/>
    <w:rsid w:val="00CD4A2E"/>
    <w:rsid w:val="00CD4B55"/>
    <w:rsid w:val="00CD4C58"/>
    <w:rsid w:val="00CD4E54"/>
    <w:rsid w:val="00CD4F62"/>
    <w:rsid w:val="00CD4FBE"/>
    <w:rsid w:val="00CD5038"/>
    <w:rsid w:val="00CD5289"/>
    <w:rsid w:val="00CD565C"/>
    <w:rsid w:val="00CD58C0"/>
    <w:rsid w:val="00CD5948"/>
    <w:rsid w:val="00CD5A4A"/>
    <w:rsid w:val="00CD5ACD"/>
    <w:rsid w:val="00CD5BE5"/>
    <w:rsid w:val="00CD5F3D"/>
    <w:rsid w:val="00CD64C3"/>
    <w:rsid w:val="00CD67C5"/>
    <w:rsid w:val="00CD6CC5"/>
    <w:rsid w:val="00CD6EB5"/>
    <w:rsid w:val="00CD7056"/>
    <w:rsid w:val="00CD71B3"/>
    <w:rsid w:val="00CD72BF"/>
    <w:rsid w:val="00CD72E3"/>
    <w:rsid w:val="00CD7449"/>
    <w:rsid w:val="00CD7450"/>
    <w:rsid w:val="00CD75FF"/>
    <w:rsid w:val="00CD7768"/>
    <w:rsid w:val="00CD7793"/>
    <w:rsid w:val="00CD7A1C"/>
    <w:rsid w:val="00CD7B4B"/>
    <w:rsid w:val="00CD7BC6"/>
    <w:rsid w:val="00CD7CDF"/>
    <w:rsid w:val="00CD7DAD"/>
    <w:rsid w:val="00CD7DDA"/>
    <w:rsid w:val="00CD7FEB"/>
    <w:rsid w:val="00CE0042"/>
    <w:rsid w:val="00CE008A"/>
    <w:rsid w:val="00CE00BC"/>
    <w:rsid w:val="00CE00F8"/>
    <w:rsid w:val="00CE019A"/>
    <w:rsid w:val="00CE0562"/>
    <w:rsid w:val="00CE06CE"/>
    <w:rsid w:val="00CE0857"/>
    <w:rsid w:val="00CE087D"/>
    <w:rsid w:val="00CE0933"/>
    <w:rsid w:val="00CE0A0F"/>
    <w:rsid w:val="00CE0CFD"/>
    <w:rsid w:val="00CE0D10"/>
    <w:rsid w:val="00CE0E81"/>
    <w:rsid w:val="00CE0F08"/>
    <w:rsid w:val="00CE0F3E"/>
    <w:rsid w:val="00CE10AB"/>
    <w:rsid w:val="00CE113E"/>
    <w:rsid w:val="00CE1197"/>
    <w:rsid w:val="00CE14DF"/>
    <w:rsid w:val="00CE1509"/>
    <w:rsid w:val="00CE152F"/>
    <w:rsid w:val="00CE1688"/>
    <w:rsid w:val="00CE1A9B"/>
    <w:rsid w:val="00CE204E"/>
    <w:rsid w:val="00CE2277"/>
    <w:rsid w:val="00CE22A8"/>
    <w:rsid w:val="00CE241B"/>
    <w:rsid w:val="00CE2689"/>
    <w:rsid w:val="00CE2798"/>
    <w:rsid w:val="00CE2A24"/>
    <w:rsid w:val="00CE2B96"/>
    <w:rsid w:val="00CE2D12"/>
    <w:rsid w:val="00CE2EDA"/>
    <w:rsid w:val="00CE2F1E"/>
    <w:rsid w:val="00CE3053"/>
    <w:rsid w:val="00CE30BB"/>
    <w:rsid w:val="00CE36E5"/>
    <w:rsid w:val="00CE37E1"/>
    <w:rsid w:val="00CE39C5"/>
    <w:rsid w:val="00CE3BA2"/>
    <w:rsid w:val="00CE3D6F"/>
    <w:rsid w:val="00CE4017"/>
    <w:rsid w:val="00CE4275"/>
    <w:rsid w:val="00CE42AD"/>
    <w:rsid w:val="00CE434C"/>
    <w:rsid w:val="00CE43D9"/>
    <w:rsid w:val="00CE43EB"/>
    <w:rsid w:val="00CE47A2"/>
    <w:rsid w:val="00CE47AE"/>
    <w:rsid w:val="00CE4878"/>
    <w:rsid w:val="00CE4884"/>
    <w:rsid w:val="00CE4AB2"/>
    <w:rsid w:val="00CE4B84"/>
    <w:rsid w:val="00CE4DD2"/>
    <w:rsid w:val="00CE4DD8"/>
    <w:rsid w:val="00CE4E09"/>
    <w:rsid w:val="00CE5250"/>
    <w:rsid w:val="00CE537E"/>
    <w:rsid w:val="00CE56CC"/>
    <w:rsid w:val="00CE5764"/>
    <w:rsid w:val="00CE5987"/>
    <w:rsid w:val="00CE5996"/>
    <w:rsid w:val="00CE5ACD"/>
    <w:rsid w:val="00CE5CB0"/>
    <w:rsid w:val="00CE5D9A"/>
    <w:rsid w:val="00CE5E8D"/>
    <w:rsid w:val="00CE5F05"/>
    <w:rsid w:val="00CE5FB6"/>
    <w:rsid w:val="00CE603F"/>
    <w:rsid w:val="00CE607D"/>
    <w:rsid w:val="00CE617D"/>
    <w:rsid w:val="00CE6189"/>
    <w:rsid w:val="00CE6277"/>
    <w:rsid w:val="00CE6734"/>
    <w:rsid w:val="00CE683C"/>
    <w:rsid w:val="00CE69DD"/>
    <w:rsid w:val="00CE6A65"/>
    <w:rsid w:val="00CE6A87"/>
    <w:rsid w:val="00CE6C2A"/>
    <w:rsid w:val="00CE6D0E"/>
    <w:rsid w:val="00CE6E25"/>
    <w:rsid w:val="00CE70A3"/>
    <w:rsid w:val="00CE715C"/>
    <w:rsid w:val="00CE71C2"/>
    <w:rsid w:val="00CE71E2"/>
    <w:rsid w:val="00CE74D5"/>
    <w:rsid w:val="00CE74D6"/>
    <w:rsid w:val="00CE79A5"/>
    <w:rsid w:val="00CE7A7A"/>
    <w:rsid w:val="00CE7B3C"/>
    <w:rsid w:val="00CE7EBA"/>
    <w:rsid w:val="00CE7EE8"/>
    <w:rsid w:val="00CF0690"/>
    <w:rsid w:val="00CF0787"/>
    <w:rsid w:val="00CF07F5"/>
    <w:rsid w:val="00CF0A3D"/>
    <w:rsid w:val="00CF0BBA"/>
    <w:rsid w:val="00CF0EC4"/>
    <w:rsid w:val="00CF0F90"/>
    <w:rsid w:val="00CF0F97"/>
    <w:rsid w:val="00CF117F"/>
    <w:rsid w:val="00CF1304"/>
    <w:rsid w:val="00CF138A"/>
    <w:rsid w:val="00CF185D"/>
    <w:rsid w:val="00CF1B6D"/>
    <w:rsid w:val="00CF1D9B"/>
    <w:rsid w:val="00CF1F10"/>
    <w:rsid w:val="00CF2005"/>
    <w:rsid w:val="00CF20B9"/>
    <w:rsid w:val="00CF20D2"/>
    <w:rsid w:val="00CF20E2"/>
    <w:rsid w:val="00CF2349"/>
    <w:rsid w:val="00CF237D"/>
    <w:rsid w:val="00CF275D"/>
    <w:rsid w:val="00CF2789"/>
    <w:rsid w:val="00CF2BC0"/>
    <w:rsid w:val="00CF2DAF"/>
    <w:rsid w:val="00CF2E60"/>
    <w:rsid w:val="00CF2FA6"/>
    <w:rsid w:val="00CF3003"/>
    <w:rsid w:val="00CF30F6"/>
    <w:rsid w:val="00CF347B"/>
    <w:rsid w:val="00CF34A2"/>
    <w:rsid w:val="00CF34B1"/>
    <w:rsid w:val="00CF38DE"/>
    <w:rsid w:val="00CF39CA"/>
    <w:rsid w:val="00CF3B8B"/>
    <w:rsid w:val="00CF3BC6"/>
    <w:rsid w:val="00CF401D"/>
    <w:rsid w:val="00CF4589"/>
    <w:rsid w:val="00CF46F4"/>
    <w:rsid w:val="00CF4725"/>
    <w:rsid w:val="00CF49EB"/>
    <w:rsid w:val="00CF4B24"/>
    <w:rsid w:val="00CF4FB9"/>
    <w:rsid w:val="00CF5236"/>
    <w:rsid w:val="00CF52E1"/>
    <w:rsid w:val="00CF5370"/>
    <w:rsid w:val="00CF5483"/>
    <w:rsid w:val="00CF54DC"/>
    <w:rsid w:val="00CF554C"/>
    <w:rsid w:val="00CF56AB"/>
    <w:rsid w:val="00CF56D5"/>
    <w:rsid w:val="00CF570F"/>
    <w:rsid w:val="00CF5762"/>
    <w:rsid w:val="00CF57D5"/>
    <w:rsid w:val="00CF57F6"/>
    <w:rsid w:val="00CF584F"/>
    <w:rsid w:val="00CF592F"/>
    <w:rsid w:val="00CF5AC6"/>
    <w:rsid w:val="00CF5AD1"/>
    <w:rsid w:val="00CF5BF9"/>
    <w:rsid w:val="00CF5C44"/>
    <w:rsid w:val="00CF5CFF"/>
    <w:rsid w:val="00CF5D74"/>
    <w:rsid w:val="00CF632B"/>
    <w:rsid w:val="00CF63C2"/>
    <w:rsid w:val="00CF63E2"/>
    <w:rsid w:val="00CF6600"/>
    <w:rsid w:val="00CF68F7"/>
    <w:rsid w:val="00CF694F"/>
    <w:rsid w:val="00CF69A3"/>
    <w:rsid w:val="00CF6E15"/>
    <w:rsid w:val="00CF723D"/>
    <w:rsid w:val="00CF7358"/>
    <w:rsid w:val="00CF75F5"/>
    <w:rsid w:val="00CF76AF"/>
    <w:rsid w:val="00CF776D"/>
    <w:rsid w:val="00CF78E9"/>
    <w:rsid w:val="00CF7E84"/>
    <w:rsid w:val="00CF7F13"/>
    <w:rsid w:val="00CF7F37"/>
    <w:rsid w:val="00CF7F80"/>
    <w:rsid w:val="00D0012A"/>
    <w:rsid w:val="00D001DD"/>
    <w:rsid w:val="00D002BB"/>
    <w:rsid w:val="00D002C0"/>
    <w:rsid w:val="00D0044B"/>
    <w:rsid w:val="00D006E2"/>
    <w:rsid w:val="00D00775"/>
    <w:rsid w:val="00D00845"/>
    <w:rsid w:val="00D009FB"/>
    <w:rsid w:val="00D00C76"/>
    <w:rsid w:val="00D00EA7"/>
    <w:rsid w:val="00D011BE"/>
    <w:rsid w:val="00D0131C"/>
    <w:rsid w:val="00D015F1"/>
    <w:rsid w:val="00D01673"/>
    <w:rsid w:val="00D01743"/>
    <w:rsid w:val="00D01E92"/>
    <w:rsid w:val="00D02051"/>
    <w:rsid w:val="00D0207F"/>
    <w:rsid w:val="00D02113"/>
    <w:rsid w:val="00D021E0"/>
    <w:rsid w:val="00D0262F"/>
    <w:rsid w:val="00D02702"/>
    <w:rsid w:val="00D0270F"/>
    <w:rsid w:val="00D02797"/>
    <w:rsid w:val="00D02861"/>
    <w:rsid w:val="00D02872"/>
    <w:rsid w:val="00D02E54"/>
    <w:rsid w:val="00D02F82"/>
    <w:rsid w:val="00D030AC"/>
    <w:rsid w:val="00D03284"/>
    <w:rsid w:val="00D03312"/>
    <w:rsid w:val="00D033D5"/>
    <w:rsid w:val="00D034C8"/>
    <w:rsid w:val="00D03653"/>
    <w:rsid w:val="00D0366D"/>
    <w:rsid w:val="00D038F9"/>
    <w:rsid w:val="00D0394A"/>
    <w:rsid w:val="00D03CB1"/>
    <w:rsid w:val="00D03D6C"/>
    <w:rsid w:val="00D03F80"/>
    <w:rsid w:val="00D04174"/>
    <w:rsid w:val="00D043C6"/>
    <w:rsid w:val="00D04482"/>
    <w:rsid w:val="00D0477B"/>
    <w:rsid w:val="00D048AB"/>
    <w:rsid w:val="00D048C2"/>
    <w:rsid w:val="00D04AB6"/>
    <w:rsid w:val="00D04C56"/>
    <w:rsid w:val="00D04F30"/>
    <w:rsid w:val="00D04F62"/>
    <w:rsid w:val="00D04FA9"/>
    <w:rsid w:val="00D05043"/>
    <w:rsid w:val="00D050A0"/>
    <w:rsid w:val="00D05169"/>
    <w:rsid w:val="00D0548A"/>
    <w:rsid w:val="00D05566"/>
    <w:rsid w:val="00D05694"/>
    <w:rsid w:val="00D056D4"/>
    <w:rsid w:val="00D057A3"/>
    <w:rsid w:val="00D05B72"/>
    <w:rsid w:val="00D05CF5"/>
    <w:rsid w:val="00D05D58"/>
    <w:rsid w:val="00D05DC5"/>
    <w:rsid w:val="00D0636A"/>
    <w:rsid w:val="00D064DA"/>
    <w:rsid w:val="00D0660D"/>
    <w:rsid w:val="00D0662E"/>
    <w:rsid w:val="00D06652"/>
    <w:rsid w:val="00D06883"/>
    <w:rsid w:val="00D06933"/>
    <w:rsid w:val="00D06989"/>
    <w:rsid w:val="00D06A98"/>
    <w:rsid w:val="00D06B65"/>
    <w:rsid w:val="00D06B7C"/>
    <w:rsid w:val="00D06E95"/>
    <w:rsid w:val="00D06FE8"/>
    <w:rsid w:val="00D07149"/>
    <w:rsid w:val="00D0721E"/>
    <w:rsid w:val="00D07240"/>
    <w:rsid w:val="00D07B98"/>
    <w:rsid w:val="00D07C11"/>
    <w:rsid w:val="00D07F54"/>
    <w:rsid w:val="00D07F6A"/>
    <w:rsid w:val="00D1004D"/>
    <w:rsid w:val="00D1036B"/>
    <w:rsid w:val="00D10371"/>
    <w:rsid w:val="00D103F7"/>
    <w:rsid w:val="00D1096E"/>
    <w:rsid w:val="00D10994"/>
    <w:rsid w:val="00D10A23"/>
    <w:rsid w:val="00D10A85"/>
    <w:rsid w:val="00D10AE8"/>
    <w:rsid w:val="00D10BA6"/>
    <w:rsid w:val="00D10BE4"/>
    <w:rsid w:val="00D10F18"/>
    <w:rsid w:val="00D10FF6"/>
    <w:rsid w:val="00D1100B"/>
    <w:rsid w:val="00D111CE"/>
    <w:rsid w:val="00D112DB"/>
    <w:rsid w:val="00D11847"/>
    <w:rsid w:val="00D1193C"/>
    <w:rsid w:val="00D119EC"/>
    <w:rsid w:val="00D11A2F"/>
    <w:rsid w:val="00D11ADD"/>
    <w:rsid w:val="00D11B37"/>
    <w:rsid w:val="00D11BB6"/>
    <w:rsid w:val="00D11C2B"/>
    <w:rsid w:val="00D11E7A"/>
    <w:rsid w:val="00D12126"/>
    <w:rsid w:val="00D12140"/>
    <w:rsid w:val="00D12321"/>
    <w:rsid w:val="00D124D8"/>
    <w:rsid w:val="00D12700"/>
    <w:rsid w:val="00D12784"/>
    <w:rsid w:val="00D129E7"/>
    <w:rsid w:val="00D12AA0"/>
    <w:rsid w:val="00D12AC3"/>
    <w:rsid w:val="00D12BCA"/>
    <w:rsid w:val="00D12DDC"/>
    <w:rsid w:val="00D12E3A"/>
    <w:rsid w:val="00D12F8A"/>
    <w:rsid w:val="00D130D5"/>
    <w:rsid w:val="00D131B2"/>
    <w:rsid w:val="00D132EE"/>
    <w:rsid w:val="00D135CA"/>
    <w:rsid w:val="00D13C1D"/>
    <w:rsid w:val="00D141B5"/>
    <w:rsid w:val="00D141FE"/>
    <w:rsid w:val="00D142F1"/>
    <w:rsid w:val="00D143A8"/>
    <w:rsid w:val="00D143F0"/>
    <w:rsid w:val="00D14457"/>
    <w:rsid w:val="00D1448D"/>
    <w:rsid w:val="00D145D8"/>
    <w:rsid w:val="00D14949"/>
    <w:rsid w:val="00D14A93"/>
    <w:rsid w:val="00D14CE3"/>
    <w:rsid w:val="00D14D94"/>
    <w:rsid w:val="00D14FAB"/>
    <w:rsid w:val="00D150B2"/>
    <w:rsid w:val="00D1513D"/>
    <w:rsid w:val="00D152EB"/>
    <w:rsid w:val="00D15310"/>
    <w:rsid w:val="00D155A6"/>
    <w:rsid w:val="00D155B4"/>
    <w:rsid w:val="00D157D4"/>
    <w:rsid w:val="00D15899"/>
    <w:rsid w:val="00D15ABD"/>
    <w:rsid w:val="00D15B29"/>
    <w:rsid w:val="00D15D81"/>
    <w:rsid w:val="00D15DB8"/>
    <w:rsid w:val="00D15EE8"/>
    <w:rsid w:val="00D16002"/>
    <w:rsid w:val="00D160C9"/>
    <w:rsid w:val="00D16377"/>
    <w:rsid w:val="00D16447"/>
    <w:rsid w:val="00D165F8"/>
    <w:rsid w:val="00D1677C"/>
    <w:rsid w:val="00D16AF6"/>
    <w:rsid w:val="00D16DE5"/>
    <w:rsid w:val="00D170B3"/>
    <w:rsid w:val="00D170F3"/>
    <w:rsid w:val="00D17248"/>
    <w:rsid w:val="00D1735D"/>
    <w:rsid w:val="00D174BC"/>
    <w:rsid w:val="00D17734"/>
    <w:rsid w:val="00D177A5"/>
    <w:rsid w:val="00D17901"/>
    <w:rsid w:val="00D17983"/>
    <w:rsid w:val="00D17996"/>
    <w:rsid w:val="00D17A84"/>
    <w:rsid w:val="00D17B67"/>
    <w:rsid w:val="00D17C52"/>
    <w:rsid w:val="00D17C92"/>
    <w:rsid w:val="00D17D13"/>
    <w:rsid w:val="00D17D5A"/>
    <w:rsid w:val="00D17D83"/>
    <w:rsid w:val="00D17DBD"/>
    <w:rsid w:val="00D17E8D"/>
    <w:rsid w:val="00D17F1F"/>
    <w:rsid w:val="00D200A8"/>
    <w:rsid w:val="00D2016D"/>
    <w:rsid w:val="00D20297"/>
    <w:rsid w:val="00D203B1"/>
    <w:rsid w:val="00D20437"/>
    <w:rsid w:val="00D206B4"/>
    <w:rsid w:val="00D206EB"/>
    <w:rsid w:val="00D20775"/>
    <w:rsid w:val="00D20980"/>
    <w:rsid w:val="00D209D6"/>
    <w:rsid w:val="00D20A10"/>
    <w:rsid w:val="00D20A8E"/>
    <w:rsid w:val="00D20ECA"/>
    <w:rsid w:val="00D20ECD"/>
    <w:rsid w:val="00D21003"/>
    <w:rsid w:val="00D210A3"/>
    <w:rsid w:val="00D210F9"/>
    <w:rsid w:val="00D2123B"/>
    <w:rsid w:val="00D2125A"/>
    <w:rsid w:val="00D216DB"/>
    <w:rsid w:val="00D21719"/>
    <w:rsid w:val="00D21768"/>
    <w:rsid w:val="00D217BB"/>
    <w:rsid w:val="00D21E87"/>
    <w:rsid w:val="00D21F04"/>
    <w:rsid w:val="00D2202B"/>
    <w:rsid w:val="00D22089"/>
    <w:rsid w:val="00D221E5"/>
    <w:rsid w:val="00D2224B"/>
    <w:rsid w:val="00D223CA"/>
    <w:rsid w:val="00D223CB"/>
    <w:rsid w:val="00D22453"/>
    <w:rsid w:val="00D2252A"/>
    <w:rsid w:val="00D2281C"/>
    <w:rsid w:val="00D228C3"/>
    <w:rsid w:val="00D2293C"/>
    <w:rsid w:val="00D22993"/>
    <w:rsid w:val="00D229C6"/>
    <w:rsid w:val="00D22A5A"/>
    <w:rsid w:val="00D22DBB"/>
    <w:rsid w:val="00D22EC2"/>
    <w:rsid w:val="00D22F2E"/>
    <w:rsid w:val="00D2310D"/>
    <w:rsid w:val="00D2318D"/>
    <w:rsid w:val="00D232A9"/>
    <w:rsid w:val="00D237DA"/>
    <w:rsid w:val="00D239DF"/>
    <w:rsid w:val="00D23AC4"/>
    <w:rsid w:val="00D23CC3"/>
    <w:rsid w:val="00D23D5F"/>
    <w:rsid w:val="00D23E4E"/>
    <w:rsid w:val="00D24219"/>
    <w:rsid w:val="00D2440A"/>
    <w:rsid w:val="00D244BC"/>
    <w:rsid w:val="00D24554"/>
    <w:rsid w:val="00D2458B"/>
    <w:rsid w:val="00D246CA"/>
    <w:rsid w:val="00D24893"/>
    <w:rsid w:val="00D24D86"/>
    <w:rsid w:val="00D24E51"/>
    <w:rsid w:val="00D256CD"/>
    <w:rsid w:val="00D256D6"/>
    <w:rsid w:val="00D25873"/>
    <w:rsid w:val="00D25952"/>
    <w:rsid w:val="00D25C1B"/>
    <w:rsid w:val="00D25CF2"/>
    <w:rsid w:val="00D25FB3"/>
    <w:rsid w:val="00D260B6"/>
    <w:rsid w:val="00D26110"/>
    <w:rsid w:val="00D2622F"/>
    <w:rsid w:val="00D26329"/>
    <w:rsid w:val="00D263DB"/>
    <w:rsid w:val="00D26450"/>
    <w:rsid w:val="00D26474"/>
    <w:rsid w:val="00D2663E"/>
    <w:rsid w:val="00D266D5"/>
    <w:rsid w:val="00D2678A"/>
    <w:rsid w:val="00D267F0"/>
    <w:rsid w:val="00D26889"/>
    <w:rsid w:val="00D26A52"/>
    <w:rsid w:val="00D26ADD"/>
    <w:rsid w:val="00D26B28"/>
    <w:rsid w:val="00D2700F"/>
    <w:rsid w:val="00D272B6"/>
    <w:rsid w:val="00D2761B"/>
    <w:rsid w:val="00D277E2"/>
    <w:rsid w:val="00D278EA"/>
    <w:rsid w:val="00D27A82"/>
    <w:rsid w:val="00D27AFC"/>
    <w:rsid w:val="00D27C12"/>
    <w:rsid w:val="00D27D56"/>
    <w:rsid w:val="00D27F56"/>
    <w:rsid w:val="00D27FFA"/>
    <w:rsid w:val="00D30177"/>
    <w:rsid w:val="00D30285"/>
    <w:rsid w:val="00D303AD"/>
    <w:rsid w:val="00D30A89"/>
    <w:rsid w:val="00D30C42"/>
    <w:rsid w:val="00D310BD"/>
    <w:rsid w:val="00D3116A"/>
    <w:rsid w:val="00D311F6"/>
    <w:rsid w:val="00D31398"/>
    <w:rsid w:val="00D31484"/>
    <w:rsid w:val="00D3150E"/>
    <w:rsid w:val="00D3171C"/>
    <w:rsid w:val="00D31BCE"/>
    <w:rsid w:val="00D31DDA"/>
    <w:rsid w:val="00D31F57"/>
    <w:rsid w:val="00D32073"/>
    <w:rsid w:val="00D3216A"/>
    <w:rsid w:val="00D3238D"/>
    <w:rsid w:val="00D327C0"/>
    <w:rsid w:val="00D327FC"/>
    <w:rsid w:val="00D32844"/>
    <w:rsid w:val="00D32928"/>
    <w:rsid w:val="00D32A70"/>
    <w:rsid w:val="00D32B44"/>
    <w:rsid w:val="00D32C2B"/>
    <w:rsid w:val="00D32C97"/>
    <w:rsid w:val="00D32D8C"/>
    <w:rsid w:val="00D32E07"/>
    <w:rsid w:val="00D32E1F"/>
    <w:rsid w:val="00D32E87"/>
    <w:rsid w:val="00D32EB6"/>
    <w:rsid w:val="00D32F60"/>
    <w:rsid w:val="00D33061"/>
    <w:rsid w:val="00D33349"/>
    <w:rsid w:val="00D33405"/>
    <w:rsid w:val="00D33697"/>
    <w:rsid w:val="00D33729"/>
    <w:rsid w:val="00D33840"/>
    <w:rsid w:val="00D33AF2"/>
    <w:rsid w:val="00D33B83"/>
    <w:rsid w:val="00D33C0F"/>
    <w:rsid w:val="00D33E9E"/>
    <w:rsid w:val="00D34083"/>
    <w:rsid w:val="00D34516"/>
    <w:rsid w:val="00D34575"/>
    <w:rsid w:val="00D34983"/>
    <w:rsid w:val="00D34B8F"/>
    <w:rsid w:val="00D34BDE"/>
    <w:rsid w:val="00D34F79"/>
    <w:rsid w:val="00D34F90"/>
    <w:rsid w:val="00D3505C"/>
    <w:rsid w:val="00D351E5"/>
    <w:rsid w:val="00D35250"/>
    <w:rsid w:val="00D3529E"/>
    <w:rsid w:val="00D35463"/>
    <w:rsid w:val="00D354B1"/>
    <w:rsid w:val="00D35531"/>
    <w:rsid w:val="00D35AFF"/>
    <w:rsid w:val="00D35EE5"/>
    <w:rsid w:val="00D36025"/>
    <w:rsid w:val="00D360D0"/>
    <w:rsid w:val="00D36167"/>
    <w:rsid w:val="00D36378"/>
    <w:rsid w:val="00D36532"/>
    <w:rsid w:val="00D3658C"/>
    <w:rsid w:val="00D36665"/>
    <w:rsid w:val="00D3671A"/>
    <w:rsid w:val="00D36A2C"/>
    <w:rsid w:val="00D36AEE"/>
    <w:rsid w:val="00D36EF1"/>
    <w:rsid w:val="00D36FCD"/>
    <w:rsid w:val="00D370C5"/>
    <w:rsid w:val="00D37378"/>
    <w:rsid w:val="00D3747F"/>
    <w:rsid w:val="00D374D5"/>
    <w:rsid w:val="00D3774F"/>
    <w:rsid w:val="00D3775E"/>
    <w:rsid w:val="00D37767"/>
    <w:rsid w:val="00D379BF"/>
    <w:rsid w:val="00D37AB2"/>
    <w:rsid w:val="00D37BC2"/>
    <w:rsid w:val="00D40010"/>
    <w:rsid w:val="00D40029"/>
    <w:rsid w:val="00D40832"/>
    <w:rsid w:val="00D40E2F"/>
    <w:rsid w:val="00D40E50"/>
    <w:rsid w:val="00D40EAE"/>
    <w:rsid w:val="00D40F76"/>
    <w:rsid w:val="00D4105F"/>
    <w:rsid w:val="00D41113"/>
    <w:rsid w:val="00D411EF"/>
    <w:rsid w:val="00D412ED"/>
    <w:rsid w:val="00D4143A"/>
    <w:rsid w:val="00D414E8"/>
    <w:rsid w:val="00D41560"/>
    <w:rsid w:val="00D417EA"/>
    <w:rsid w:val="00D4185B"/>
    <w:rsid w:val="00D41897"/>
    <w:rsid w:val="00D419DA"/>
    <w:rsid w:val="00D41B05"/>
    <w:rsid w:val="00D41C7F"/>
    <w:rsid w:val="00D41D1A"/>
    <w:rsid w:val="00D41DE9"/>
    <w:rsid w:val="00D41E95"/>
    <w:rsid w:val="00D41EB1"/>
    <w:rsid w:val="00D4206A"/>
    <w:rsid w:val="00D42198"/>
    <w:rsid w:val="00D422B7"/>
    <w:rsid w:val="00D423E4"/>
    <w:rsid w:val="00D42765"/>
    <w:rsid w:val="00D427DE"/>
    <w:rsid w:val="00D4294C"/>
    <w:rsid w:val="00D4297F"/>
    <w:rsid w:val="00D42AE0"/>
    <w:rsid w:val="00D42F87"/>
    <w:rsid w:val="00D4311B"/>
    <w:rsid w:val="00D431F1"/>
    <w:rsid w:val="00D4341C"/>
    <w:rsid w:val="00D4358E"/>
    <w:rsid w:val="00D435EF"/>
    <w:rsid w:val="00D438D0"/>
    <w:rsid w:val="00D43958"/>
    <w:rsid w:val="00D43A42"/>
    <w:rsid w:val="00D43A99"/>
    <w:rsid w:val="00D43ACD"/>
    <w:rsid w:val="00D43B3C"/>
    <w:rsid w:val="00D43B84"/>
    <w:rsid w:val="00D43C71"/>
    <w:rsid w:val="00D43C81"/>
    <w:rsid w:val="00D43E0D"/>
    <w:rsid w:val="00D43EFE"/>
    <w:rsid w:val="00D44019"/>
    <w:rsid w:val="00D440CE"/>
    <w:rsid w:val="00D4414E"/>
    <w:rsid w:val="00D441CE"/>
    <w:rsid w:val="00D443CC"/>
    <w:rsid w:val="00D448A9"/>
    <w:rsid w:val="00D44C65"/>
    <w:rsid w:val="00D45001"/>
    <w:rsid w:val="00D451C7"/>
    <w:rsid w:val="00D45201"/>
    <w:rsid w:val="00D45216"/>
    <w:rsid w:val="00D4523F"/>
    <w:rsid w:val="00D452E0"/>
    <w:rsid w:val="00D453AC"/>
    <w:rsid w:val="00D4547B"/>
    <w:rsid w:val="00D45490"/>
    <w:rsid w:val="00D454DE"/>
    <w:rsid w:val="00D4551C"/>
    <w:rsid w:val="00D455E6"/>
    <w:rsid w:val="00D45792"/>
    <w:rsid w:val="00D459FC"/>
    <w:rsid w:val="00D45BD3"/>
    <w:rsid w:val="00D46017"/>
    <w:rsid w:val="00D46092"/>
    <w:rsid w:val="00D46162"/>
    <w:rsid w:val="00D462B7"/>
    <w:rsid w:val="00D46732"/>
    <w:rsid w:val="00D46BF1"/>
    <w:rsid w:val="00D46E84"/>
    <w:rsid w:val="00D470FF"/>
    <w:rsid w:val="00D471FD"/>
    <w:rsid w:val="00D47388"/>
    <w:rsid w:val="00D47446"/>
    <w:rsid w:val="00D474A6"/>
    <w:rsid w:val="00D476D1"/>
    <w:rsid w:val="00D4776F"/>
    <w:rsid w:val="00D478D0"/>
    <w:rsid w:val="00D47A9A"/>
    <w:rsid w:val="00D47D08"/>
    <w:rsid w:val="00D47F46"/>
    <w:rsid w:val="00D50103"/>
    <w:rsid w:val="00D501B2"/>
    <w:rsid w:val="00D501EF"/>
    <w:rsid w:val="00D503B4"/>
    <w:rsid w:val="00D50400"/>
    <w:rsid w:val="00D505C4"/>
    <w:rsid w:val="00D5066B"/>
    <w:rsid w:val="00D50761"/>
    <w:rsid w:val="00D50783"/>
    <w:rsid w:val="00D50825"/>
    <w:rsid w:val="00D5097B"/>
    <w:rsid w:val="00D50A0D"/>
    <w:rsid w:val="00D50A6D"/>
    <w:rsid w:val="00D50ABC"/>
    <w:rsid w:val="00D50B00"/>
    <w:rsid w:val="00D50BE2"/>
    <w:rsid w:val="00D50E07"/>
    <w:rsid w:val="00D50E1B"/>
    <w:rsid w:val="00D50E39"/>
    <w:rsid w:val="00D51161"/>
    <w:rsid w:val="00D512F2"/>
    <w:rsid w:val="00D51340"/>
    <w:rsid w:val="00D5149A"/>
    <w:rsid w:val="00D51553"/>
    <w:rsid w:val="00D51607"/>
    <w:rsid w:val="00D51622"/>
    <w:rsid w:val="00D517D8"/>
    <w:rsid w:val="00D51A6B"/>
    <w:rsid w:val="00D51BAF"/>
    <w:rsid w:val="00D51D1B"/>
    <w:rsid w:val="00D51D25"/>
    <w:rsid w:val="00D51E2C"/>
    <w:rsid w:val="00D51FF2"/>
    <w:rsid w:val="00D52310"/>
    <w:rsid w:val="00D526C7"/>
    <w:rsid w:val="00D52837"/>
    <w:rsid w:val="00D5296A"/>
    <w:rsid w:val="00D52A47"/>
    <w:rsid w:val="00D52A9F"/>
    <w:rsid w:val="00D52AAB"/>
    <w:rsid w:val="00D52B15"/>
    <w:rsid w:val="00D52BB7"/>
    <w:rsid w:val="00D52D0D"/>
    <w:rsid w:val="00D52E05"/>
    <w:rsid w:val="00D52FB5"/>
    <w:rsid w:val="00D530D2"/>
    <w:rsid w:val="00D5315A"/>
    <w:rsid w:val="00D53313"/>
    <w:rsid w:val="00D53387"/>
    <w:rsid w:val="00D533C6"/>
    <w:rsid w:val="00D5347C"/>
    <w:rsid w:val="00D53578"/>
    <w:rsid w:val="00D5358D"/>
    <w:rsid w:val="00D535E0"/>
    <w:rsid w:val="00D53634"/>
    <w:rsid w:val="00D536BF"/>
    <w:rsid w:val="00D537D5"/>
    <w:rsid w:val="00D53800"/>
    <w:rsid w:val="00D5390F"/>
    <w:rsid w:val="00D53B05"/>
    <w:rsid w:val="00D53B29"/>
    <w:rsid w:val="00D53B7A"/>
    <w:rsid w:val="00D53D37"/>
    <w:rsid w:val="00D53DBC"/>
    <w:rsid w:val="00D54039"/>
    <w:rsid w:val="00D542A6"/>
    <w:rsid w:val="00D54624"/>
    <w:rsid w:val="00D5462C"/>
    <w:rsid w:val="00D54689"/>
    <w:rsid w:val="00D546B0"/>
    <w:rsid w:val="00D5472B"/>
    <w:rsid w:val="00D5486F"/>
    <w:rsid w:val="00D548B6"/>
    <w:rsid w:val="00D548EB"/>
    <w:rsid w:val="00D54B28"/>
    <w:rsid w:val="00D54C5A"/>
    <w:rsid w:val="00D54DDC"/>
    <w:rsid w:val="00D54F06"/>
    <w:rsid w:val="00D54F63"/>
    <w:rsid w:val="00D55148"/>
    <w:rsid w:val="00D55551"/>
    <w:rsid w:val="00D555C9"/>
    <w:rsid w:val="00D55683"/>
    <w:rsid w:val="00D5573C"/>
    <w:rsid w:val="00D558E5"/>
    <w:rsid w:val="00D5591D"/>
    <w:rsid w:val="00D55AA4"/>
    <w:rsid w:val="00D55B64"/>
    <w:rsid w:val="00D55BDD"/>
    <w:rsid w:val="00D55BF2"/>
    <w:rsid w:val="00D55D7A"/>
    <w:rsid w:val="00D55E7D"/>
    <w:rsid w:val="00D55F8E"/>
    <w:rsid w:val="00D5606C"/>
    <w:rsid w:val="00D56072"/>
    <w:rsid w:val="00D5625F"/>
    <w:rsid w:val="00D56360"/>
    <w:rsid w:val="00D5645E"/>
    <w:rsid w:val="00D564F6"/>
    <w:rsid w:val="00D566B0"/>
    <w:rsid w:val="00D56791"/>
    <w:rsid w:val="00D5692E"/>
    <w:rsid w:val="00D56930"/>
    <w:rsid w:val="00D569BB"/>
    <w:rsid w:val="00D570FA"/>
    <w:rsid w:val="00D57269"/>
    <w:rsid w:val="00D573CE"/>
    <w:rsid w:val="00D57532"/>
    <w:rsid w:val="00D57537"/>
    <w:rsid w:val="00D576FC"/>
    <w:rsid w:val="00D57C2A"/>
    <w:rsid w:val="00D57E37"/>
    <w:rsid w:val="00D57FF4"/>
    <w:rsid w:val="00D600A3"/>
    <w:rsid w:val="00D601CE"/>
    <w:rsid w:val="00D6022F"/>
    <w:rsid w:val="00D60329"/>
    <w:rsid w:val="00D606A2"/>
    <w:rsid w:val="00D6080A"/>
    <w:rsid w:val="00D60873"/>
    <w:rsid w:val="00D609DB"/>
    <w:rsid w:val="00D609F1"/>
    <w:rsid w:val="00D60D18"/>
    <w:rsid w:val="00D60F06"/>
    <w:rsid w:val="00D60F16"/>
    <w:rsid w:val="00D60F9D"/>
    <w:rsid w:val="00D611ED"/>
    <w:rsid w:val="00D6124E"/>
    <w:rsid w:val="00D6162D"/>
    <w:rsid w:val="00D617BD"/>
    <w:rsid w:val="00D6181A"/>
    <w:rsid w:val="00D6187A"/>
    <w:rsid w:val="00D61999"/>
    <w:rsid w:val="00D6199C"/>
    <w:rsid w:val="00D619C1"/>
    <w:rsid w:val="00D61A55"/>
    <w:rsid w:val="00D61AA4"/>
    <w:rsid w:val="00D61B54"/>
    <w:rsid w:val="00D61D48"/>
    <w:rsid w:val="00D61D61"/>
    <w:rsid w:val="00D61E35"/>
    <w:rsid w:val="00D61EC6"/>
    <w:rsid w:val="00D62166"/>
    <w:rsid w:val="00D62201"/>
    <w:rsid w:val="00D62411"/>
    <w:rsid w:val="00D625CE"/>
    <w:rsid w:val="00D6284B"/>
    <w:rsid w:val="00D6291D"/>
    <w:rsid w:val="00D62B09"/>
    <w:rsid w:val="00D62F6C"/>
    <w:rsid w:val="00D63006"/>
    <w:rsid w:val="00D6300D"/>
    <w:rsid w:val="00D630D0"/>
    <w:rsid w:val="00D630E3"/>
    <w:rsid w:val="00D6320A"/>
    <w:rsid w:val="00D63506"/>
    <w:rsid w:val="00D6359C"/>
    <w:rsid w:val="00D63684"/>
    <w:rsid w:val="00D636A6"/>
    <w:rsid w:val="00D63705"/>
    <w:rsid w:val="00D6373C"/>
    <w:rsid w:val="00D63755"/>
    <w:rsid w:val="00D63795"/>
    <w:rsid w:val="00D63A0B"/>
    <w:rsid w:val="00D63A68"/>
    <w:rsid w:val="00D63C7E"/>
    <w:rsid w:val="00D63CE7"/>
    <w:rsid w:val="00D63D47"/>
    <w:rsid w:val="00D63E52"/>
    <w:rsid w:val="00D6411B"/>
    <w:rsid w:val="00D6416E"/>
    <w:rsid w:val="00D641DE"/>
    <w:rsid w:val="00D642B6"/>
    <w:rsid w:val="00D642BC"/>
    <w:rsid w:val="00D64371"/>
    <w:rsid w:val="00D64673"/>
    <w:rsid w:val="00D6468C"/>
    <w:rsid w:val="00D646A3"/>
    <w:rsid w:val="00D646CD"/>
    <w:rsid w:val="00D646EF"/>
    <w:rsid w:val="00D649E6"/>
    <w:rsid w:val="00D64C80"/>
    <w:rsid w:val="00D64F1F"/>
    <w:rsid w:val="00D65147"/>
    <w:rsid w:val="00D65154"/>
    <w:rsid w:val="00D65161"/>
    <w:rsid w:val="00D651E3"/>
    <w:rsid w:val="00D65312"/>
    <w:rsid w:val="00D65467"/>
    <w:rsid w:val="00D654B9"/>
    <w:rsid w:val="00D654FE"/>
    <w:rsid w:val="00D654FF"/>
    <w:rsid w:val="00D65662"/>
    <w:rsid w:val="00D657FA"/>
    <w:rsid w:val="00D658D2"/>
    <w:rsid w:val="00D65C44"/>
    <w:rsid w:val="00D65D47"/>
    <w:rsid w:val="00D65F91"/>
    <w:rsid w:val="00D66084"/>
    <w:rsid w:val="00D66246"/>
    <w:rsid w:val="00D663CC"/>
    <w:rsid w:val="00D66638"/>
    <w:rsid w:val="00D666AD"/>
    <w:rsid w:val="00D66863"/>
    <w:rsid w:val="00D66AC2"/>
    <w:rsid w:val="00D66B23"/>
    <w:rsid w:val="00D66C6B"/>
    <w:rsid w:val="00D66E0A"/>
    <w:rsid w:val="00D66E43"/>
    <w:rsid w:val="00D66E98"/>
    <w:rsid w:val="00D6707E"/>
    <w:rsid w:val="00D672B2"/>
    <w:rsid w:val="00D67400"/>
    <w:rsid w:val="00D6762E"/>
    <w:rsid w:val="00D67782"/>
    <w:rsid w:val="00D677C1"/>
    <w:rsid w:val="00D67838"/>
    <w:rsid w:val="00D678CE"/>
    <w:rsid w:val="00D67BF3"/>
    <w:rsid w:val="00D67EF8"/>
    <w:rsid w:val="00D70038"/>
    <w:rsid w:val="00D7030A"/>
    <w:rsid w:val="00D703D0"/>
    <w:rsid w:val="00D70640"/>
    <w:rsid w:val="00D7075B"/>
    <w:rsid w:val="00D7095F"/>
    <w:rsid w:val="00D70AFF"/>
    <w:rsid w:val="00D70D07"/>
    <w:rsid w:val="00D70FB4"/>
    <w:rsid w:val="00D711B4"/>
    <w:rsid w:val="00D711F5"/>
    <w:rsid w:val="00D712D7"/>
    <w:rsid w:val="00D714DD"/>
    <w:rsid w:val="00D71793"/>
    <w:rsid w:val="00D717D4"/>
    <w:rsid w:val="00D71A01"/>
    <w:rsid w:val="00D71A6B"/>
    <w:rsid w:val="00D71BF3"/>
    <w:rsid w:val="00D71BF7"/>
    <w:rsid w:val="00D71DA7"/>
    <w:rsid w:val="00D71E3E"/>
    <w:rsid w:val="00D71FC4"/>
    <w:rsid w:val="00D72217"/>
    <w:rsid w:val="00D7221E"/>
    <w:rsid w:val="00D7244F"/>
    <w:rsid w:val="00D724DB"/>
    <w:rsid w:val="00D725C2"/>
    <w:rsid w:val="00D7292F"/>
    <w:rsid w:val="00D72A28"/>
    <w:rsid w:val="00D72B81"/>
    <w:rsid w:val="00D72CC8"/>
    <w:rsid w:val="00D72DA1"/>
    <w:rsid w:val="00D73136"/>
    <w:rsid w:val="00D7314C"/>
    <w:rsid w:val="00D731CB"/>
    <w:rsid w:val="00D734C0"/>
    <w:rsid w:val="00D736F0"/>
    <w:rsid w:val="00D737D7"/>
    <w:rsid w:val="00D7396C"/>
    <w:rsid w:val="00D73A55"/>
    <w:rsid w:val="00D74027"/>
    <w:rsid w:val="00D740E8"/>
    <w:rsid w:val="00D74151"/>
    <w:rsid w:val="00D74277"/>
    <w:rsid w:val="00D742A1"/>
    <w:rsid w:val="00D74539"/>
    <w:rsid w:val="00D7474C"/>
    <w:rsid w:val="00D74858"/>
    <w:rsid w:val="00D7485C"/>
    <w:rsid w:val="00D749A2"/>
    <w:rsid w:val="00D74A0C"/>
    <w:rsid w:val="00D74CEF"/>
    <w:rsid w:val="00D74D54"/>
    <w:rsid w:val="00D74D55"/>
    <w:rsid w:val="00D74E23"/>
    <w:rsid w:val="00D74E25"/>
    <w:rsid w:val="00D751DA"/>
    <w:rsid w:val="00D75267"/>
    <w:rsid w:val="00D7536E"/>
    <w:rsid w:val="00D75742"/>
    <w:rsid w:val="00D75B61"/>
    <w:rsid w:val="00D75D14"/>
    <w:rsid w:val="00D75E94"/>
    <w:rsid w:val="00D7611F"/>
    <w:rsid w:val="00D7632C"/>
    <w:rsid w:val="00D76388"/>
    <w:rsid w:val="00D763AC"/>
    <w:rsid w:val="00D76504"/>
    <w:rsid w:val="00D76A94"/>
    <w:rsid w:val="00D76B57"/>
    <w:rsid w:val="00D76C2A"/>
    <w:rsid w:val="00D76CAC"/>
    <w:rsid w:val="00D76D99"/>
    <w:rsid w:val="00D76E21"/>
    <w:rsid w:val="00D76FA0"/>
    <w:rsid w:val="00D76FEC"/>
    <w:rsid w:val="00D771A9"/>
    <w:rsid w:val="00D77469"/>
    <w:rsid w:val="00D77526"/>
    <w:rsid w:val="00D77987"/>
    <w:rsid w:val="00D77E51"/>
    <w:rsid w:val="00D77F5E"/>
    <w:rsid w:val="00D80032"/>
    <w:rsid w:val="00D80238"/>
    <w:rsid w:val="00D80682"/>
    <w:rsid w:val="00D806C4"/>
    <w:rsid w:val="00D8070F"/>
    <w:rsid w:val="00D80837"/>
    <w:rsid w:val="00D8093D"/>
    <w:rsid w:val="00D8094D"/>
    <w:rsid w:val="00D809D5"/>
    <w:rsid w:val="00D80D29"/>
    <w:rsid w:val="00D81144"/>
    <w:rsid w:val="00D8121B"/>
    <w:rsid w:val="00D8142A"/>
    <w:rsid w:val="00D81493"/>
    <w:rsid w:val="00D818FE"/>
    <w:rsid w:val="00D81932"/>
    <w:rsid w:val="00D81937"/>
    <w:rsid w:val="00D8193C"/>
    <w:rsid w:val="00D81AFF"/>
    <w:rsid w:val="00D81BFC"/>
    <w:rsid w:val="00D81D5B"/>
    <w:rsid w:val="00D81DB1"/>
    <w:rsid w:val="00D820BA"/>
    <w:rsid w:val="00D820D2"/>
    <w:rsid w:val="00D82335"/>
    <w:rsid w:val="00D825E0"/>
    <w:rsid w:val="00D827A8"/>
    <w:rsid w:val="00D82805"/>
    <w:rsid w:val="00D828D8"/>
    <w:rsid w:val="00D82B1B"/>
    <w:rsid w:val="00D832E4"/>
    <w:rsid w:val="00D835A0"/>
    <w:rsid w:val="00D83690"/>
    <w:rsid w:val="00D83854"/>
    <w:rsid w:val="00D838C9"/>
    <w:rsid w:val="00D83940"/>
    <w:rsid w:val="00D83E89"/>
    <w:rsid w:val="00D84008"/>
    <w:rsid w:val="00D840D6"/>
    <w:rsid w:val="00D84210"/>
    <w:rsid w:val="00D84330"/>
    <w:rsid w:val="00D8443C"/>
    <w:rsid w:val="00D844DE"/>
    <w:rsid w:val="00D8459E"/>
    <w:rsid w:val="00D845E9"/>
    <w:rsid w:val="00D846B7"/>
    <w:rsid w:val="00D846CD"/>
    <w:rsid w:val="00D84815"/>
    <w:rsid w:val="00D8491F"/>
    <w:rsid w:val="00D84972"/>
    <w:rsid w:val="00D84A99"/>
    <w:rsid w:val="00D84ABE"/>
    <w:rsid w:val="00D84E91"/>
    <w:rsid w:val="00D84FA2"/>
    <w:rsid w:val="00D84FE8"/>
    <w:rsid w:val="00D85026"/>
    <w:rsid w:val="00D8509D"/>
    <w:rsid w:val="00D8584A"/>
    <w:rsid w:val="00D85A01"/>
    <w:rsid w:val="00D85ABC"/>
    <w:rsid w:val="00D85B05"/>
    <w:rsid w:val="00D85B5A"/>
    <w:rsid w:val="00D85B71"/>
    <w:rsid w:val="00D85B78"/>
    <w:rsid w:val="00D85B82"/>
    <w:rsid w:val="00D85BF2"/>
    <w:rsid w:val="00D85D43"/>
    <w:rsid w:val="00D85E17"/>
    <w:rsid w:val="00D85FC9"/>
    <w:rsid w:val="00D8619D"/>
    <w:rsid w:val="00D86275"/>
    <w:rsid w:val="00D8642F"/>
    <w:rsid w:val="00D86578"/>
    <w:rsid w:val="00D865E4"/>
    <w:rsid w:val="00D86626"/>
    <w:rsid w:val="00D86B53"/>
    <w:rsid w:val="00D86B84"/>
    <w:rsid w:val="00D86BC8"/>
    <w:rsid w:val="00D86C0A"/>
    <w:rsid w:val="00D8722D"/>
    <w:rsid w:val="00D87311"/>
    <w:rsid w:val="00D87343"/>
    <w:rsid w:val="00D87349"/>
    <w:rsid w:val="00D873F5"/>
    <w:rsid w:val="00D87500"/>
    <w:rsid w:val="00D875AE"/>
    <w:rsid w:val="00D876AE"/>
    <w:rsid w:val="00D87B75"/>
    <w:rsid w:val="00D87C82"/>
    <w:rsid w:val="00D87D70"/>
    <w:rsid w:val="00D9014E"/>
    <w:rsid w:val="00D9023A"/>
    <w:rsid w:val="00D9047E"/>
    <w:rsid w:val="00D904D7"/>
    <w:rsid w:val="00D9057E"/>
    <w:rsid w:val="00D905DC"/>
    <w:rsid w:val="00D906B3"/>
    <w:rsid w:val="00D907CB"/>
    <w:rsid w:val="00D90A36"/>
    <w:rsid w:val="00D90B31"/>
    <w:rsid w:val="00D90D39"/>
    <w:rsid w:val="00D90E42"/>
    <w:rsid w:val="00D91165"/>
    <w:rsid w:val="00D9127B"/>
    <w:rsid w:val="00D913CC"/>
    <w:rsid w:val="00D91479"/>
    <w:rsid w:val="00D914CB"/>
    <w:rsid w:val="00D915D1"/>
    <w:rsid w:val="00D915EF"/>
    <w:rsid w:val="00D916E2"/>
    <w:rsid w:val="00D91AC5"/>
    <w:rsid w:val="00D91B2F"/>
    <w:rsid w:val="00D91BB7"/>
    <w:rsid w:val="00D91BCB"/>
    <w:rsid w:val="00D91C0C"/>
    <w:rsid w:val="00D91E3E"/>
    <w:rsid w:val="00D91E69"/>
    <w:rsid w:val="00D91FA2"/>
    <w:rsid w:val="00D9207D"/>
    <w:rsid w:val="00D92266"/>
    <w:rsid w:val="00D923EC"/>
    <w:rsid w:val="00D9246C"/>
    <w:rsid w:val="00D924FB"/>
    <w:rsid w:val="00D926C5"/>
    <w:rsid w:val="00D927E8"/>
    <w:rsid w:val="00D92A63"/>
    <w:rsid w:val="00D92B36"/>
    <w:rsid w:val="00D92DA7"/>
    <w:rsid w:val="00D92F44"/>
    <w:rsid w:val="00D92F72"/>
    <w:rsid w:val="00D92F87"/>
    <w:rsid w:val="00D9354F"/>
    <w:rsid w:val="00D938BE"/>
    <w:rsid w:val="00D93B1F"/>
    <w:rsid w:val="00D93CF1"/>
    <w:rsid w:val="00D93E8C"/>
    <w:rsid w:val="00D93ED6"/>
    <w:rsid w:val="00D93FC6"/>
    <w:rsid w:val="00D940F2"/>
    <w:rsid w:val="00D9422C"/>
    <w:rsid w:val="00D9442B"/>
    <w:rsid w:val="00D9458B"/>
    <w:rsid w:val="00D94793"/>
    <w:rsid w:val="00D94A33"/>
    <w:rsid w:val="00D94BE8"/>
    <w:rsid w:val="00D94D35"/>
    <w:rsid w:val="00D94E95"/>
    <w:rsid w:val="00D94EE7"/>
    <w:rsid w:val="00D9523C"/>
    <w:rsid w:val="00D95244"/>
    <w:rsid w:val="00D953DA"/>
    <w:rsid w:val="00D953E6"/>
    <w:rsid w:val="00D9553E"/>
    <w:rsid w:val="00D95603"/>
    <w:rsid w:val="00D956A1"/>
    <w:rsid w:val="00D95AB8"/>
    <w:rsid w:val="00D95C82"/>
    <w:rsid w:val="00D95C99"/>
    <w:rsid w:val="00D95D93"/>
    <w:rsid w:val="00D95EB9"/>
    <w:rsid w:val="00D95EDA"/>
    <w:rsid w:val="00D95F47"/>
    <w:rsid w:val="00D95FE5"/>
    <w:rsid w:val="00D9619A"/>
    <w:rsid w:val="00D962AB"/>
    <w:rsid w:val="00D9632F"/>
    <w:rsid w:val="00D963A2"/>
    <w:rsid w:val="00D96580"/>
    <w:rsid w:val="00D96659"/>
    <w:rsid w:val="00D967AE"/>
    <w:rsid w:val="00D96CF6"/>
    <w:rsid w:val="00D96D2F"/>
    <w:rsid w:val="00D96DFD"/>
    <w:rsid w:val="00D96E3C"/>
    <w:rsid w:val="00D97244"/>
    <w:rsid w:val="00D972D2"/>
    <w:rsid w:val="00D973B4"/>
    <w:rsid w:val="00D976E7"/>
    <w:rsid w:val="00D97801"/>
    <w:rsid w:val="00D97818"/>
    <w:rsid w:val="00D97D10"/>
    <w:rsid w:val="00D97E21"/>
    <w:rsid w:val="00D97F9B"/>
    <w:rsid w:val="00DA0017"/>
    <w:rsid w:val="00DA003F"/>
    <w:rsid w:val="00DA0169"/>
    <w:rsid w:val="00DA080A"/>
    <w:rsid w:val="00DA0E62"/>
    <w:rsid w:val="00DA0E78"/>
    <w:rsid w:val="00DA10FD"/>
    <w:rsid w:val="00DA12DE"/>
    <w:rsid w:val="00DA1490"/>
    <w:rsid w:val="00DA1640"/>
    <w:rsid w:val="00DA17EB"/>
    <w:rsid w:val="00DA1897"/>
    <w:rsid w:val="00DA18D3"/>
    <w:rsid w:val="00DA19B5"/>
    <w:rsid w:val="00DA1A3A"/>
    <w:rsid w:val="00DA1B34"/>
    <w:rsid w:val="00DA1E1A"/>
    <w:rsid w:val="00DA1EE9"/>
    <w:rsid w:val="00DA1FFE"/>
    <w:rsid w:val="00DA2082"/>
    <w:rsid w:val="00DA2288"/>
    <w:rsid w:val="00DA22FF"/>
    <w:rsid w:val="00DA2374"/>
    <w:rsid w:val="00DA276B"/>
    <w:rsid w:val="00DA2873"/>
    <w:rsid w:val="00DA2888"/>
    <w:rsid w:val="00DA2E11"/>
    <w:rsid w:val="00DA3171"/>
    <w:rsid w:val="00DA31DE"/>
    <w:rsid w:val="00DA34CC"/>
    <w:rsid w:val="00DA36E6"/>
    <w:rsid w:val="00DA36EE"/>
    <w:rsid w:val="00DA38DB"/>
    <w:rsid w:val="00DA3BA5"/>
    <w:rsid w:val="00DA3E0B"/>
    <w:rsid w:val="00DA4076"/>
    <w:rsid w:val="00DA421F"/>
    <w:rsid w:val="00DA43E1"/>
    <w:rsid w:val="00DA446B"/>
    <w:rsid w:val="00DA44A9"/>
    <w:rsid w:val="00DA4788"/>
    <w:rsid w:val="00DA4A31"/>
    <w:rsid w:val="00DA4A42"/>
    <w:rsid w:val="00DA4AD1"/>
    <w:rsid w:val="00DA4BC1"/>
    <w:rsid w:val="00DA5557"/>
    <w:rsid w:val="00DA5608"/>
    <w:rsid w:val="00DA5656"/>
    <w:rsid w:val="00DA5A80"/>
    <w:rsid w:val="00DA5C65"/>
    <w:rsid w:val="00DA5D1D"/>
    <w:rsid w:val="00DA5E31"/>
    <w:rsid w:val="00DA5E71"/>
    <w:rsid w:val="00DA5FCC"/>
    <w:rsid w:val="00DA60D0"/>
    <w:rsid w:val="00DA6313"/>
    <w:rsid w:val="00DA6443"/>
    <w:rsid w:val="00DA6863"/>
    <w:rsid w:val="00DA6C62"/>
    <w:rsid w:val="00DA6E45"/>
    <w:rsid w:val="00DA6ED2"/>
    <w:rsid w:val="00DA70AB"/>
    <w:rsid w:val="00DA7155"/>
    <w:rsid w:val="00DA7337"/>
    <w:rsid w:val="00DA7353"/>
    <w:rsid w:val="00DA7368"/>
    <w:rsid w:val="00DA74FA"/>
    <w:rsid w:val="00DA75C5"/>
    <w:rsid w:val="00DA775E"/>
    <w:rsid w:val="00DA7A44"/>
    <w:rsid w:val="00DA7C0E"/>
    <w:rsid w:val="00DA7CC9"/>
    <w:rsid w:val="00DA7DD2"/>
    <w:rsid w:val="00DA7DD4"/>
    <w:rsid w:val="00DA7F6D"/>
    <w:rsid w:val="00DB0096"/>
    <w:rsid w:val="00DB024A"/>
    <w:rsid w:val="00DB0371"/>
    <w:rsid w:val="00DB0AD1"/>
    <w:rsid w:val="00DB0B67"/>
    <w:rsid w:val="00DB0CBD"/>
    <w:rsid w:val="00DB0CDC"/>
    <w:rsid w:val="00DB0E76"/>
    <w:rsid w:val="00DB0F93"/>
    <w:rsid w:val="00DB1115"/>
    <w:rsid w:val="00DB1244"/>
    <w:rsid w:val="00DB1341"/>
    <w:rsid w:val="00DB1ABE"/>
    <w:rsid w:val="00DB1B65"/>
    <w:rsid w:val="00DB1B83"/>
    <w:rsid w:val="00DB1DDB"/>
    <w:rsid w:val="00DB23C0"/>
    <w:rsid w:val="00DB24F0"/>
    <w:rsid w:val="00DB2540"/>
    <w:rsid w:val="00DB2888"/>
    <w:rsid w:val="00DB298F"/>
    <w:rsid w:val="00DB29BB"/>
    <w:rsid w:val="00DB2C99"/>
    <w:rsid w:val="00DB2C9C"/>
    <w:rsid w:val="00DB2D03"/>
    <w:rsid w:val="00DB2ED0"/>
    <w:rsid w:val="00DB2FE8"/>
    <w:rsid w:val="00DB313C"/>
    <w:rsid w:val="00DB3346"/>
    <w:rsid w:val="00DB3357"/>
    <w:rsid w:val="00DB3467"/>
    <w:rsid w:val="00DB35B5"/>
    <w:rsid w:val="00DB371C"/>
    <w:rsid w:val="00DB3831"/>
    <w:rsid w:val="00DB3C66"/>
    <w:rsid w:val="00DB3C80"/>
    <w:rsid w:val="00DB3F44"/>
    <w:rsid w:val="00DB403C"/>
    <w:rsid w:val="00DB4132"/>
    <w:rsid w:val="00DB437F"/>
    <w:rsid w:val="00DB44B4"/>
    <w:rsid w:val="00DB46EE"/>
    <w:rsid w:val="00DB4828"/>
    <w:rsid w:val="00DB485E"/>
    <w:rsid w:val="00DB496E"/>
    <w:rsid w:val="00DB4A6C"/>
    <w:rsid w:val="00DB4A7A"/>
    <w:rsid w:val="00DB4C9E"/>
    <w:rsid w:val="00DB4F3F"/>
    <w:rsid w:val="00DB5021"/>
    <w:rsid w:val="00DB513D"/>
    <w:rsid w:val="00DB5151"/>
    <w:rsid w:val="00DB5223"/>
    <w:rsid w:val="00DB54A7"/>
    <w:rsid w:val="00DB54C4"/>
    <w:rsid w:val="00DB5599"/>
    <w:rsid w:val="00DB55B9"/>
    <w:rsid w:val="00DB5A31"/>
    <w:rsid w:val="00DB5A72"/>
    <w:rsid w:val="00DB5B09"/>
    <w:rsid w:val="00DB5B24"/>
    <w:rsid w:val="00DB5BA5"/>
    <w:rsid w:val="00DB5BFD"/>
    <w:rsid w:val="00DB5C75"/>
    <w:rsid w:val="00DB5CA7"/>
    <w:rsid w:val="00DB5E77"/>
    <w:rsid w:val="00DB60F1"/>
    <w:rsid w:val="00DB61E8"/>
    <w:rsid w:val="00DB6280"/>
    <w:rsid w:val="00DB6290"/>
    <w:rsid w:val="00DB63D6"/>
    <w:rsid w:val="00DB64B7"/>
    <w:rsid w:val="00DB6527"/>
    <w:rsid w:val="00DB65D6"/>
    <w:rsid w:val="00DB669D"/>
    <w:rsid w:val="00DB6804"/>
    <w:rsid w:val="00DB68B4"/>
    <w:rsid w:val="00DB695D"/>
    <w:rsid w:val="00DB69D9"/>
    <w:rsid w:val="00DB6AE2"/>
    <w:rsid w:val="00DB6AF6"/>
    <w:rsid w:val="00DB6C9E"/>
    <w:rsid w:val="00DB6D2D"/>
    <w:rsid w:val="00DB6D50"/>
    <w:rsid w:val="00DB6DF1"/>
    <w:rsid w:val="00DB6E4E"/>
    <w:rsid w:val="00DB7125"/>
    <w:rsid w:val="00DB717E"/>
    <w:rsid w:val="00DB74DF"/>
    <w:rsid w:val="00DB75BE"/>
    <w:rsid w:val="00DB7675"/>
    <w:rsid w:val="00DB77B9"/>
    <w:rsid w:val="00DB78DB"/>
    <w:rsid w:val="00DB7A16"/>
    <w:rsid w:val="00DB7B3D"/>
    <w:rsid w:val="00DB7C45"/>
    <w:rsid w:val="00DB7CD1"/>
    <w:rsid w:val="00DB7D52"/>
    <w:rsid w:val="00DB7F97"/>
    <w:rsid w:val="00DC02D8"/>
    <w:rsid w:val="00DC05A8"/>
    <w:rsid w:val="00DC0811"/>
    <w:rsid w:val="00DC092F"/>
    <w:rsid w:val="00DC0A49"/>
    <w:rsid w:val="00DC0B74"/>
    <w:rsid w:val="00DC0EB5"/>
    <w:rsid w:val="00DC108F"/>
    <w:rsid w:val="00DC10F7"/>
    <w:rsid w:val="00DC11D1"/>
    <w:rsid w:val="00DC16A5"/>
    <w:rsid w:val="00DC16F8"/>
    <w:rsid w:val="00DC1756"/>
    <w:rsid w:val="00DC182A"/>
    <w:rsid w:val="00DC1A25"/>
    <w:rsid w:val="00DC1B77"/>
    <w:rsid w:val="00DC1D95"/>
    <w:rsid w:val="00DC2005"/>
    <w:rsid w:val="00DC2159"/>
    <w:rsid w:val="00DC2166"/>
    <w:rsid w:val="00DC21AE"/>
    <w:rsid w:val="00DC224C"/>
    <w:rsid w:val="00DC2333"/>
    <w:rsid w:val="00DC2400"/>
    <w:rsid w:val="00DC2618"/>
    <w:rsid w:val="00DC2650"/>
    <w:rsid w:val="00DC2652"/>
    <w:rsid w:val="00DC27BC"/>
    <w:rsid w:val="00DC29FB"/>
    <w:rsid w:val="00DC2ACB"/>
    <w:rsid w:val="00DC2BF5"/>
    <w:rsid w:val="00DC2CA4"/>
    <w:rsid w:val="00DC2E8A"/>
    <w:rsid w:val="00DC2FE5"/>
    <w:rsid w:val="00DC305E"/>
    <w:rsid w:val="00DC3120"/>
    <w:rsid w:val="00DC3505"/>
    <w:rsid w:val="00DC3537"/>
    <w:rsid w:val="00DC37ED"/>
    <w:rsid w:val="00DC3AFD"/>
    <w:rsid w:val="00DC3BA8"/>
    <w:rsid w:val="00DC3BCB"/>
    <w:rsid w:val="00DC3BE3"/>
    <w:rsid w:val="00DC3BE4"/>
    <w:rsid w:val="00DC3CDB"/>
    <w:rsid w:val="00DC3E7E"/>
    <w:rsid w:val="00DC408B"/>
    <w:rsid w:val="00DC40E7"/>
    <w:rsid w:val="00DC4149"/>
    <w:rsid w:val="00DC418E"/>
    <w:rsid w:val="00DC41B5"/>
    <w:rsid w:val="00DC4288"/>
    <w:rsid w:val="00DC42A6"/>
    <w:rsid w:val="00DC4397"/>
    <w:rsid w:val="00DC43A3"/>
    <w:rsid w:val="00DC441C"/>
    <w:rsid w:val="00DC442B"/>
    <w:rsid w:val="00DC4A67"/>
    <w:rsid w:val="00DC4A75"/>
    <w:rsid w:val="00DC4B1E"/>
    <w:rsid w:val="00DC4C26"/>
    <w:rsid w:val="00DC4E57"/>
    <w:rsid w:val="00DC5179"/>
    <w:rsid w:val="00DC56ED"/>
    <w:rsid w:val="00DC59F5"/>
    <w:rsid w:val="00DC5B7A"/>
    <w:rsid w:val="00DC619A"/>
    <w:rsid w:val="00DC61AB"/>
    <w:rsid w:val="00DC66AB"/>
    <w:rsid w:val="00DC66B9"/>
    <w:rsid w:val="00DC678C"/>
    <w:rsid w:val="00DC67F7"/>
    <w:rsid w:val="00DC6AE3"/>
    <w:rsid w:val="00DC6AF8"/>
    <w:rsid w:val="00DC6C9F"/>
    <w:rsid w:val="00DC6D7C"/>
    <w:rsid w:val="00DC6D92"/>
    <w:rsid w:val="00DC6E96"/>
    <w:rsid w:val="00DC6F60"/>
    <w:rsid w:val="00DC6F9D"/>
    <w:rsid w:val="00DC7186"/>
    <w:rsid w:val="00DC7408"/>
    <w:rsid w:val="00DC7502"/>
    <w:rsid w:val="00DC7515"/>
    <w:rsid w:val="00DC754F"/>
    <w:rsid w:val="00DC799C"/>
    <w:rsid w:val="00DC799E"/>
    <w:rsid w:val="00DC7C16"/>
    <w:rsid w:val="00DC7E0C"/>
    <w:rsid w:val="00DC7FCB"/>
    <w:rsid w:val="00DD0099"/>
    <w:rsid w:val="00DD0121"/>
    <w:rsid w:val="00DD01B7"/>
    <w:rsid w:val="00DD0389"/>
    <w:rsid w:val="00DD03C0"/>
    <w:rsid w:val="00DD03F7"/>
    <w:rsid w:val="00DD042B"/>
    <w:rsid w:val="00DD05B9"/>
    <w:rsid w:val="00DD066E"/>
    <w:rsid w:val="00DD0933"/>
    <w:rsid w:val="00DD0ACC"/>
    <w:rsid w:val="00DD0BB3"/>
    <w:rsid w:val="00DD0EAA"/>
    <w:rsid w:val="00DD0FBD"/>
    <w:rsid w:val="00DD0FE8"/>
    <w:rsid w:val="00DD10A1"/>
    <w:rsid w:val="00DD11CB"/>
    <w:rsid w:val="00DD1628"/>
    <w:rsid w:val="00DD1696"/>
    <w:rsid w:val="00DD19CD"/>
    <w:rsid w:val="00DD19E0"/>
    <w:rsid w:val="00DD1A87"/>
    <w:rsid w:val="00DD2338"/>
    <w:rsid w:val="00DD252C"/>
    <w:rsid w:val="00DD2782"/>
    <w:rsid w:val="00DD2B9D"/>
    <w:rsid w:val="00DD2CA2"/>
    <w:rsid w:val="00DD2D1A"/>
    <w:rsid w:val="00DD2E63"/>
    <w:rsid w:val="00DD2EA5"/>
    <w:rsid w:val="00DD313C"/>
    <w:rsid w:val="00DD3151"/>
    <w:rsid w:val="00DD324C"/>
    <w:rsid w:val="00DD32F1"/>
    <w:rsid w:val="00DD3451"/>
    <w:rsid w:val="00DD3452"/>
    <w:rsid w:val="00DD3DCD"/>
    <w:rsid w:val="00DD3FC3"/>
    <w:rsid w:val="00DD3FDD"/>
    <w:rsid w:val="00DD407A"/>
    <w:rsid w:val="00DD4344"/>
    <w:rsid w:val="00DD43A2"/>
    <w:rsid w:val="00DD4400"/>
    <w:rsid w:val="00DD472B"/>
    <w:rsid w:val="00DD47C6"/>
    <w:rsid w:val="00DD4878"/>
    <w:rsid w:val="00DD48B3"/>
    <w:rsid w:val="00DD48F8"/>
    <w:rsid w:val="00DD4BB1"/>
    <w:rsid w:val="00DD4F4D"/>
    <w:rsid w:val="00DD5198"/>
    <w:rsid w:val="00DD51B0"/>
    <w:rsid w:val="00DD5243"/>
    <w:rsid w:val="00DD5251"/>
    <w:rsid w:val="00DD552C"/>
    <w:rsid w:val="00DD5990"/>
    <w:rsid w:val="00DD59C4"/>
    <w:rsid w:val="00DD5A2A"/>
    <w:rsid w:val="00DD5BA5"/>
    <w:rsid w:val="00DD5E61"/>
    <w:rsid w:val="00DD6063"/>
    <w:rsid w:val="00DD626E"/>
    <w:rsid w:val="00DD6337"/>
    <w:rsid w:val="00DD6376"/>
    <w:rsid w:val="00DD63EF"/>
    <w:rsid w:val="00DD65FD"/>
    <w:rsid w:val="00DD675E"/>
    <w:rsid w:val="00DD679D"/>
    <w:rsid w:val="00DD6836"/>
    <w:rsid w:val="00DD68CB"/>
    <w:rsid w:val="00DD6982"/>
    <w:rsid w:val="00DD6A3D"/>
    <w:rsid w:val="00DD6BC7"/>
    <w:rsid w:val="00DD6C2E"/>
    <w:rsid w:val="00DD6DC8"/>
    <w:rsid w:val="00DD7426"/>
    <w:rsid w:val="00DD7532"/>
    <w:rsid w:val="00DD75A4"/>
    <w:rsid w:val="00DD75D0"/>
    <w:rsid w:val="00DD760F"/>
    <w:rsid w:val="00DD7718"/>
    <w:rsid w:val="00DD77A9"/>
    <w:rsid w:val="00DD78E8"/>
    <w:rsid w:val="00DD7934"/>
    <w:rsid w:val="00DD7A59"/>
    <w:rsid w:val="00DD7D37"/>
    <w:rsid w:val="00DD7F82"/>
    <w:rsid w:val="00DE0084"/>
    <w:rsid w:val="00DE00CE"/>
    <w:rsid w:val="00DE032D"/>
    <w:rsid w:val="00DE0849"/>
    <w:rsid w:val="00DE09DC"/>
    <w:rsid w:val="00DE0B4A"/>
    <w:rsid w:val="00DE0D0C"/>
    <w:rsid w:val="00DE0E73"/>
    <w:rsid w:val="00DE0F36"/>
    <w:rsid w:val="00DE0F50"/>
    <w:rsid w:val="00DE1251"/>
    <w:rsid w:val="00DE13A7"/>
    <w:rsid w:val="00DE1548"/>
    <w:rsid w:val="00DE15AC"/>
    <w:rsid w:val="00DE1790"/>
    <w:rsid w:val="00DE1806"/>
    <w:rsid w:val="00DE1972"/>
    <w:rsid w:val="00DE19B2"/>
    <w:rsid w:val="00DE19DF"/>
    <w:rsid w:val="00DE1B9B"/>
    <w:rsid w:val="00DE200D"/>
    <w:rsid w:val="00DE201B"/>
    <w:rsid w:val="00DE2352"/>
    <w:rsid w:val="00DE242B"/>
    <w:rsid w:val="00DE24A0"/>
    <w:rsid w:val="00DE2546"/>
    <w:rsid w:val="00DE256A"/>
    <w:rsid w:val="00DE2654"/>
    <w:rsid w:val="00DE271F"/>
    <w:rsid w:val="00DE2B31"/>
    <w:rsid w:val="00DE2C29"/>
    <w:rsid w:val="00DE2DD3"/>
    <w:rsid w:val="00DE3041"/>
    <w:rsid w:val="00DE3500"/>
    <w:rsid w:val="00DE365B"/>
    <w:rsid w:val="00DE3665"/>
    <w:rsid w:val="00DE373E"/>
    <w:rsid w:val="00DE3A4E"/>
    <w:rsid w:val="00DE3B4A"/>
    <w:rsid w:val="00DE3BD6"/>
    <w:rsid w:val="00DE3C82"/>
    <w:rsid w:val="00DE3D51"/>
    <w:rsid w:val="00DE432B"/>
    <w:rsid w:val="00DE4467"/>
    <w:rsid w:val="00DE44D2"/>
    <w:rsid w:val="00DE49ED"/>
    <w:rsid w:val="00DE4ADA"/>
    <w:rsid w:val="00DE5013"/>
    <w:rsid w:val="00DE51C6"/>
    <w:rsid w:val="00DE5406"/>
    <w:rsid w:val="00DE5548"/>
    <w:rsid w:val="00DE597F"/>
    <w:rsid w:val="00DE5A74"/>
    <w:rsid w:val="00DE5B11"/>
    <w:rsid w:val="00DE5C1E"/>
    <w:rsid w:val="00DE5C52"/>
    <w:rsid w:val="00DE5E72"/>
    <w:rsid w:val="00DE61C2"/>
    <w:rsid w:val="00DE6233"/>
    <w:rsid w:val="00DE62A1"/>
    <w:rsid w:val="00DE632F"/>
    <w:rsid w:val="00DE65D3"/>
    <w:rsid w:val="00DE6717"/>
    <w:rsid w:val="00DE72BE"/>
    <w:rsid w:val="00DE74EE"/>
    <w:rsid w:val="00DE7793"/>
    <w:rsid w:val="00DE7AB4"/>
    <w:rsid w:val="00DE7D29"/>
    <w:rsid w:val="00DE7D34"/>
    <w:rsid w:val="00DE7D82"/>
    <w:rsid w:val="00DE7EDD"/>
    <w:rsid w:val="00DF03FC"/>
    <w:rsid w:val="00DF0491"/>
    <w:rsid w:val="00DF04F1"/>
    <w:rsid w:val="00DF058A"/>
    <w:rsid w:val="00DF0681"/>
    <w:rsid w:val="00DF0786"/>
    <w:rsid w:val="00DF09CF"/>
    <w:rsid w:val="00DF0A2A"/>
    <w:rsid w:val="00DF0A65"/>
    <w:rsid w:val="00DF0ABE"/>
    <w:rsid w:val="00DF0AF3"/>
    <w:rsid w:val="00DF0B52"/>
    <w:rsid w:val="00DF0CFD"/>
    <w:rsid w:val="00DF0D2C"/>
    <w:rsid w:val="00DF0E5E"/>
    <w:rsid w:val="00DF0EED"/>
    <w:rsid w:val="00DF10C7"/>
    <w:rsid w:val="00DF119D"/>
    <w:rsid w:val="00DF14F7"/>
    <w:rsid w:val="00DF1517"/>
    <w:rsid w:val="00DF15BF"/>
    <w:rsid w:val="00DF18E6"/>
    <w:rsid w:val="00DF192E"/>
    <w:rsid w:val="00DF1A3B"/>
    <w:rsid w:val="00DF1C98"/>
    <w:rsid w:val="00DF1E87"/>
    <w:rsid w:val="00DF1EB5"/>
    <w:rsid w:val="00DF1F07"/>
    <w:rsid w:val="00DF1FA9"/>
    <w:rsid w:val="00DF216C"/>
    <w:rsid w:val="00DF225D"/>
    <w:rsid w:val="00DF2263"/>
    <w:rsid w:val="00DF22A3"/>
    <w:rsid w:val="00DF22BC"/>
    <w:rsid w:val="00DF23FF"/>
    <w:rsid w:val="00DF24A6"/>
    <w:rsid w:val="00DF27A8"/>
    <w:rsid w:val="00DF282A"/>
    <w:rsid w:val="00DF28E2"/>
    <w:rsid w:val="00DF2A06"/>
    <w:rsid w:val="00DF2A0D"/>
    <w:rsid w:val="00DF2FD2"/>
    <w:rsid w:val="00DF3262"/>
    <w:rsid w:val="00DF32D7"/>
    <w:rsid w:val="00DF3316"/>
    <w:rsid w:val="00DF34DC"/>
    <w:rsid w:val="00DF3667"/>
    <w:rsid w:val="00DF3751"/>
    <w:rsid w:val="00DF3806"/>
    <w:rsid w:val="00DF385A"/>
    <w:rsid w:val="00DF397F"/>
    <w:rsid w:val="00DF39B2"/>
    <w:rsid w:val="00DF3A28"/>
    <w:rsid w:val="00DF3A64"/>
    <w:rsid w:val="00DF3CD7"/>
    <w:rsid w:val="00DF4064"/>
    <w:rsid w:val="00DF4145"/>
    <w:rsid w:val="00DF43F2"/>
    <w:rsid w:val="00DF4458"/>
    <w:rsid w:val="00DF446C"/>
    <w:rsid w:val="00DF4561"/>
    <w:rsid w:val="00DF45C7"/>
    <w:rsid w:val="00DF463F"/>
    <w:rsid w:val="00DF4705"/>
    <w:rsid w:val="00DF476E"/>
    <w:rsid w:val="00DF47BF"/>
    <w:rsid w:val="00DF48D0"/>
    <w:rsid w:val="00DF49B9"/>
    <w:rsid w:val="00DF4A34"/>
    <w:rsid w:val="00DF4DBA"/>
    <w:rsid w:val="00DF4F2E"/>
    <w:rsid w:val="00DF502F"/>
    <w:rsid w:val="00DF5238"/>
    <w:rsid w:val="00DF52FA"/>
    <w:rsid w:val="00DF5317"/>
    <w:rsid w:val="00DF5436"/>
    <w:rsid w:val="00DF545A"/>
    <w:rsid w:val="00DF5667"/>
    <w:rsid w:val="00DF5691"/>
    <w:rsid w:val="00DF5A74"/>
    <w:rsid w:val="00DF5B8F"/>
    <w:rsid w:val="00DF5C42"/>
    <w:rsid w:val="00DF5C71"/>
    <w:rsid w:val="00DF6014"/>
    <w:rsid w:val="00DF6090"/>
    <w:rsid w:val="00DF625A"/>
    <w:rsid w:val="00DF62E6"/>
    <w:rsid w:val="00DF6397"/>
    <w:rsid w:val="00DF64DA"/>
    <w:rsid w:val="00DF6688"/>
    <w:rsid w:val="00DF66EA"/>
    <w:rsid w:val="00DF6748"/>
    <w:rsid w:val="00DF6882"/>
    <w:rsid w:val="00DF6A62"/>
    <w:rsid w:val="00DF6F00"/>
    <w:rsid w:val="00DF6F84"/>
    <w:rsid w:val="00DF7124"/>
    <w:rsid w:val="00DF71A7"/>
    <w:rsid w:val="00DF71B3"/>
    <w:rsid w:val="00DF7E1A"/>
    <w:rsid w:val="00DF7ECC"/>
    <w:rsid w:val="00DF7FAC"/>
    <w:rsid w:val="00DF7FF0"/>
    <w:rsid w:val="00E000BF"/>
    <w:rsid w:val="00E00113"/>
    <w:rsid w:val="00E00128"/>
    <w:rsid w:val="00E001C8"/>
    <w:rsid w:val="00E00262"/>
    <w:rsid w:val="00E00364"/>
    <w:rsid w:val="00E004BF"/>
    <w:rsid w:val="00E00582"/>
    <w:rsid w:val="00E00769"/>
    <w:rsid w:val="00E008E4"/>
    <w:rsid w:val="00E00990"/>
    <w:rsid w:val="00E00AFF"/>
    <w:rsid w:val="00E0126D"/>
    <w:rsid w:val="00E012D6"/>
    <w:rsid w:val="00E012FB"/>
    <w:rsid w:val="00E015C9"/>
    <w:rsid w:val="00E01790"/>
    <w:rsid w:val="00E0188E"/>
    <w:rsid w:val="00E01A4A"/>
    <w:rsid w:val="00E01B15"/>
    <w:rsid w:val="00E01DFD"/>
    <w:rsid w:val="00E01E4C"/>
    <w:rsid w:val="00E0220A"/>
    <w:rsid w:val="00E025BC"/>
    <w:rsid w:val="00E026C6"/>
    <w:rsid w:val="00E0296D"/>
    <w:rsid w:val="00E02A4B"/>
    <w:rsid w:val="00E02A59"/>
    <w:rsid w:val="00E02A61"/>
    <w:rsid w:val="00E02B9E"/>
    <w:rsid w:val="00E02EA3"/>
    <w:rsid w:val="00E02F25"/>
    <w:rsid w:val="00E03008"/>
    <w:rsid w:val="00E033B6"/>
    <w:rsid w:val="00E03551"/>
    <w:rsid w:val="00E03CD0"/>
    <w:rsid w:val="00E03E03"/>
    <w:rsid w:val="00E03EBB"/>
    <w:rsid w:val="00E03EFE"/>
    <w:rsid w:val="00E03F8B"/>
    <w:rsid w:val="00E04049"/>
    <w:rsid w:val="00E04566"/>
    <w:rsid w:val="00E047B1"/>
    <w:rsid w:val="00E047E0"/>
    <w:rsid w:val="00E048D1"/>
    <w:rsid w:val="00E04B2D"/>
    <w:rsid w:val="00E04D36"/>
    <w:rsid w:val="00E04EE3"/>
    <w:rsid w:val="00E050C1"/>
    <w:rsid w:val="00E0510C"/>
    <w:rsid w:val="00E0546E"/>
    <w:rsid w:val="00E0554F"/>
    <w:rsid w:val="00E056A9"/>
    <w:rsid w:val="00E057D3"/>
    <w:rsid w:val="00E058FD"/>
    <w:rsid w:val="00E05946"/>
    <w:rsid w:val="00E05AA0"/>
    <w:rsid w:val="00E05BBE"/>
    <w:rsid w:val="00E05C96"/>
    <w:rsid w:val="00E06316"/>
    <w:rsid w:val="00E06336"/>
    <w:rsid w:val="00E0670A"/>
    <w:rsid w:val="00E067FD"/>
    <w:rsid w:val="00E0685D"/>
    <w:rsid w:val="00E0687D"/>
    <w:rsid w:val="00E068B5"/>
    <w:rsid w:val="00E068FC"/>
    <w:rsid w:val="00E06B1B"/>
    <w:rsid w:val="00E06D1B"/>
    <w:rsid w:val="00E06D8B"/>
    <w:rsid w:val="00E06DA4"/>
    <w:rsid w:val="00E0709A"/>
    <w:rsid w:val="00E0732C"/>
    <w:rsid w:val="00E074A3"/>
    <w:rsid w:val="00E078BC"/>
    <w:rsid w:val="00E07AEB"/>
    <w:rsid w:val="00E07CC0"/>
    <w:rsid w:val="00E07F1B"/>
    <w:rsid w:val="00E10123"/>
    <w:rsid w:val="00E1014F"/>
    <w:rsid w:val="00E10170"/>
    <w:rsid w:val="00E10332"/>
    <w:rsid w:val="00E1045A"/>
    <w:rsid w:val="00E104ED"/>
    <w:rsid w:val="00E105BC"/>
    <w:rsid w:val="00E107B8"/>
    <w:rsid w:val="00E108A4"/>
    <w:rsid w:val="00E10A01"/>
    <w:rsid w:val="00E10B06"/>
    <w:rsid w:val="00E10C9F"/>
    <w:rsid w:val="00E10CF2"/>
    <w:rsid w:val="00E10D32"/>
    <w:rsid w:val="00E11393"/>
    <w:rsid w:val="00E11430"/>
    <w:rsid w:val="00E1166F"/>
    <w:rsid w:val="00E11902"/>
    <w:rsid w:val="00E1196E"/>
    <w:rsid w:val="00E1197D"/>
    <w:rsid w:val="00E119D4"/>
    <w:rsid w:val="00E119F0"/>
    <w:rsid w:val="00E11AF6"/>
    <w:rsid w:val="00E11B0B"/>
    <w:rsid w:val="00E11D8A"/>
    <w:rsid w:val="00E11EEB"/>
    <w:rsid w:val="00E122CB"/>
    <w:rsid w:val="00E122CC"/>
    <w:rsid w:val="00E12436"/>
    <w:rsid w:val="00E12629"/>
    <w:rsid w:val="00E126C0"/>
    <w:rsid w:val="00E1277F"/>
    <w:rsid w:val="00E12964"/>
    <w:rsid w:val="00E12AF6"/>
    <w:rsid w:val="00E1327E"/>
    <w:rsid w:val="00E132F7"/>
    <w:rsid w:val="00E1342D"/>
    <w:rsid w:val="00E13471"/>
    <w:rsid w:val="00E13556"/>
    <w:rsid w:val="00E1381A"/>
    <w:rsid w:val="00E1397D"/>
    <w:rsid w:val="00E139EC"/>
    <w:rsid w:val="00E13ACF"/>
    <w:rsid w:val="00E13B07"/>
    <w:rsid w:val="00E13B22"/>
    <w:rsid w:val="00E13B4A"/>
    <w:rsid w:val="00E13C45"/>
    <w:rsid w:val="00E13CE7"/>
    <w:rsid w:val="00E13DF6"/>
    <w:rsid w:val="00E13E5E"/>
    <w:rsid w:val="00E13FB8"/>
    <w:rsid w:val="00E14089"/>
    <w:rsid w:val="00E140B8"/>
    <w:rsid w:val="00E144E0"/>
    <w:rsid w:val="00E145D5"/>
    <w:rsid w:val="00E148FE"/>
    <w:rsid w:val="00E14CDF"/>
    <w:rsid w:val="00E14E73"/>
    <w:rsid w:val="00E14FBB"/>
    <w:rsid w:val="00E150DF"/>
    <w:rsid w:val="00E1518B"/>
    <w:rsid w:val="00E15504"/>
    <w:rsid w:val="00E1587B"/>
    <w:rsid w:val="00E1594D"/>
    <w:rsid w:val="00E15A18"/>
    <w:rsid w:val="00E15ADF"/>
    <w:rsid w:val="00E15BDB"/>
    <w:rsid w:val="00E15CB1"/>
    <w:rsid w:val="00E15F38"/>
    <w:rsid w:val="00E15FC6"/>
    <w:rsid w:val="00E16038"/>
    <w:rsid w:val="00E1605E"/>
    <w:rsid w:val="00E16264"/>
    <w:rsid w:val="00E1630C"/>
    <w:rsid w:val="00E1650A"/>
    <w:rsid w:val="00E16542"/>
    <w:rsid w:val="00E16599"/>
    <w:rsid w:val="00E165E5"/>
    <w:rsid w:val="00E167E1"/>
    <w:rsid w:val="00E16864"/>
    <w:rsid w:val="00E16C37"/>
    <w:rsid w:val="00E16C90"/>
    <w:rsid w:val="00E16D3D"/>
    <w:rsid w:val="00E16E35"/>
    <w:rsid w:val="00E16EFE"/>
    <w:rsid w:val="00E17110"/>
    <w:rsid w:val="00E1725A"/>
    <w:rsid w:val="00E1728F"/>
    <w:rsid w:val="00E172BF"/>
    <w:rsid w:val="00E172FF"/>
    <w:rsid w:val="00E173FA"/>
    <w:rsid w:val="00E174AC"/>
    <w:rsid w:val="00E174B1"/>
    <w:rsid w:val="00E17604"/>
    <w:rsid w:val="00E17805"/>
    <w:rsid w:val="00E17A7D"/>
    <w:rsid w:val="00E17D55"/>
    <w:rsid w:val="00E17FA5"/>
    <w:rsid w:val="00E20044"/>
    <w:rsid w:val="00E20407"/>
    <w:rsid w:val="00E20554"/>
    <w:rsid w:val="00E207A0"/>
    <w:rsid w:val="00E207F5"/>
    <w:rsid w:val="00E20A48"/>
    <w:rsid w:val="00E20C4C"/>
    <w:rsid w:val="00E20EBA"/>
    <w:rsid w:val="00E21061"/>
    <w:rsid w:val="00E21121"/>
    <w:rsid w:val="00E21313"/>
    <w:rsid w:val="00E213A2"/>
    <w:rsid w:val="00E213FD"/>
    <w:rsid w:val="00E214EE"/>
    <w:rsid w:val="00E2160B"/>
    <w:rsid w:val="00E2169F"/>
    <w:rsid w:val="00E21980"/>
    <w:rsid w:val="00E21B1E"/>
    <w:rsid w:val="00E21B72"/>
    <w:rsid w:val="00E21B75"/>
    <w:rsid w:val="00E21C21"/>
    <w:rsid w:val="00E21C4C"/>
    <w:rsid w:val="00E21C54"/>
    <w:rsid w:val="00E21D9D"/>
    <w:rsid w:val="00E21E32"/>
    <w:rsid w:val="00E21F2D"/>
    <w:rsid w:val="00E2213A"/>
    <w:rsid w:val="00E22545"/>
    <w:rsid w:val="00E225F6"/>
    <w:rsid w:val="00E2296F"/>
    <w:rsid w:val="00E229FD"/>
    <w:rsid w:val="00E22AFE"/>
    <w:rsid w:val="00E22BAE"/>
    <w:rsid w:val="00E22BC2"/>
    <w:rsid w:val="00E22CFC"/>
    <w:rsid w:val="00E22D07"/>
    <w:rsid w:val="00E23236"/>
    <w:rsid w:val="00E2324A"/>
    <w:rsid w:val="00E23345"/>
    <w:rsid w:val="00E236F8"/>
    <w:rsid w:val="00E237E9"/>
    <w:rsid w:val="00E238C3"/>
    <w:rsid w:val="00E23CB9"/>
    <w:rsid w:val="00E23D03"/>
    <w:rsid w:val="00E23DBE"/>
    <w:rsid w:val="00E23EE9"/>
    <w:rsid w:val="00E23EFE"/>
    <w:rsid w:val="00E23F56"/>
    <w:rsid w:val="00E2444D"/>
    <w:rsid w:val="00E2462C"/>
    <w:rsid w:val="00E248C5"/>
    <w:rsid w:val="00E248F6"/>
    <w:rsid w:val="00E24957"/>
    <w:rsid w:val="00E24AB4"/>
    <w:rsid w:val="00E24B49"/>
    <w:rsid w:val="00E24BC9"/>
    <w:rsid w:val="00E24EC4"/>
    <w:rsid w:val="00E24F69"/>
    <w:rsid w:val="00E25047"/>
    <w:rsid w:val="00E251CB"/>
    <w:rsid w:val="00E252DC"/>
    <w:rsid w:val="00E25474"/>
    <w:rsid w:val="00E25507"/>
    <w:rsid w:val="00E2584A"/>
    <w:rsid w:val="00E25E84"/>
    <w:rsid w:val="00E25F1C"/>
    <w:rsid w:val="00E25FF8"/>
    <w:rsid w:val="00E26080"/>
    <w:rsid w:val="00E26309"/>
    <w:rsid w:val="00E264DD"/>
    <w:rsid w:val="00E2658E"/>
    <w:rsid w:val="00E26721"/>
    <w:rsid w:val="00E26771"/>
    <w:rsid w:val="00E26912"/>
    <w:rsid w:val="00E26B07"/>
    <w:rsid w:val="00E26F69"/>
    <w:rsid w:val="00E26F71"/>
    <w:rsid w:val="00E26FFB"/>
    <w:rsid w:val="00E271E1"/>
    <w:rsid w:val="00E274A4"/>
    <w:rsid w:val="00E27596"/>
    <w:rsid w:val="00E275C3"/>
    <w:rsid w:val="00E275DA"/>
    <w:rsid w:val="00E2780A"/>
    <w:rsid w:val="00E27822"/>
    <w:rsid w:val="00E27A4F"/>
    <w:rsid w:val="00E27B5F"/>
    <w:rsid w:val="00E27C11"/>
    <w:rsid w:val="00E27C5D"/>
    <w:rsid w:val="00E30074"/>
    <w:rsid w:val="00E30096"/>
    <w:rsid w:val="00E3018D"/>
    <w:rsid w:val="00E30234"/>
    <w:rsid w:val="00E305A8"/>
    <w:rsid w:val="00E30670"/>
    <w:rsid w:val="00E307C7"/>
    <w:rsid w:val="00E30807"/>
    <w:rsid w:val="00E309DE"/>
    <w:rsid w:val="00E309F3"/>
    <w:rsid w:val="00E30A7C"/>
    <w:rsid w:val="00E30B1E"/>
    <w:rsid w:val="00E30D29"/>
    <w:rsid w:val="00E30E01"/>
    <w:rsid w:val="00E30EDF"/>
    <w:rsid w:val="00E30F35"/>
    <w:rsid w:val="00E3136B"/>
    <w:rsid w:val="00E313ED"/>
    <w:rsid w:val="00E31428"/>
    <w:rsid w:val="00E31448"/>
    <w:rsid w:val="00E314F3"/>
    <w:rsid w:val="00E318EE"/>
    <w:rsid w:val="00E31BA2"/>
    <w:rsid w:val="00E31C00"/>
    <w:rsid w:val="00E31C2D"/>
    <w:rsid w:val="00E31E4B"/>
    <w:rsid w:val="00E32084"/>
    <w:rsid w:val="00E320E1"/>
    <w:rsid w:val="00E3210D"/>
    <w:rsid w:val="00E32210"/>
    <w:rsid w:val="00E32251"/>
    <w:rsid w:val="00E32253"/>
    <w:rsid w:val="00E32398"/>
    <w:rsid w:val="00E32755"/>
    <w:rsid w:val="00E327E5"/>
    <w:rsid w:val="00E32830"/>
    <w:rsid w:val="00E32BD1"/>
    <w:rsid w:val="00E32D0F"/>
    <w:rsid w:val="00E33597"/>
    <w:rsid w:val="00E335BC"/>
    <w:rsid w:val="00E3362E"/>
    <w:rsid w:val="00E3366C"/>
    <w:rsid w:val="00E337BA"/>
    <w:rsid w:val="00E33A8F"/>
    <w:rsid w:val="00E33C62"/>
    <w:rsid w:val="00E33E94"/>
    <w:rsid w:val="00E33EFF"/>
    <w:rsid w:val="00E33F4B"/>
    <w:rsid w:val="00E33FBF"/>
    <w:rsid w:val="00E34042"/>
    <w:rsid w:val="00E34084"/>
    <w:rsid w:val="00E34248"/>
    <w:rsid w:val="00E342AC"/>
    <w:rsid w:val="00E343FB"/>
    <w:rsid w:val="00E34496"/>
    <w:rsid w:val="00E3465C"/>
    <w:rsid w:val="00E348F3"/>
    <w:rsid w:val="00E34B56"/>
    <w:rsid w:val="00E34F37"/>
    <w:rsid w:val="00E34FFA"/>
    <w:rsid w:val="00E3506A"/>
    <w:rsid w:val="00E35226"/>
    <w:rsid w:val="00E35366"/>
    <w:rsid w:val="00E354A6"/>
    <w:rsid w:val="00E3554C"/>
    <w:rsid w:val="00E3578D"/>
    <w:rsid w:val="00E3580E"/>
    <w:rsid w:val="00E35864"/>
    <w:rsid w:val="00E35969"/>
    <w:rsid w:val="00E35A2B"/>
    <w:rsid w:val="00E35DBF"/>
    <w:rsid w:val="00E35DCF"/>
    <w:rsid w:val="00E35F39"/>
    <w:rsid w:val="00E36014"/>
    <w:rsid w:val="00E360D9"/>
    <w:rsid w:val="00E36126"/>
    <w:rsid w:val="00E3613A"/>
    <w:rsid w:val="00E362DD"/>
    <w:rsid w:val="00E3665F"/>
    <w:rsid w:val="00E36703"/>
    <w:rsid w:val="00E3698E"/>
    <w:rsid w:val="00E36D77"/>
    <w:rsid w:val="00E36DA8"/>
    <w:rsid w:val="00E36F79"/>
    <w:rsid w:val="00E36FAB"/>
    <w:rsid w:val="00E372A1"/>
    <w:rsid w:val="00E37385"/>
    <w:rsid w:val="00E373A8"/>
    <w:rsid w:val="00E373E1"/>
    <w:rsid w:val="00E37556"/>
    <w:rsid w:val="00E37578"/>
    <w:rsid w:val="00E37686"/>
    <w:rsid w:val="00E376A9"/>
    <w:rsid w:val="00E3788C"/>
    <w:rsid w:val="00E378E6"/>
    <w:rsid w:val="00E37A4E"/>
    <w:rsid w:val="00E37C2C"/>
    <w:rsid w:val="00E37E1C"/>
    <w:rsid w:val="00E37E4C"/>
    <w:rsid w:val="00E40298"/>
    <w:rsid w:val="00E403DF"/>
    <w:rsid w:val="00E4056D"/>
    <w:rsid w:val="00E40584"/>
    <w:rsid w:val="00E40678"/>
    <w:rsid w:val="00E40689"/>
    <w:rsid w:val="00E406E6"/>
    <w:rsid w:val="00E40768"/>
    <w:rsid w:val="00E40901"/>
    <w:rsid w:val="00E40A61"/>
    <w:rsid w:val="00E40A93"/>
    <w:rsid w:val="00E40AFC"/>
    <w:rsid w:val="00E40B4E"/>
    <w:rsid w:val="00E40B8A"/>
    <w:rsid w:val="00E40E00"/>
    <w:rsid w:val="00E40E87"/>
    <w:rsid w:val="00E40E90"/>
    <w:rsid w:val="00E40EB5"/>
    <w:rsid w:val="00E40EF0"/>
    <w:rsid w:val="00E410FE"/>
    <w:rsid w:val="00E4129F"/>
    <w:rsid w:val="00E412BC"/>
    <w:rsid w:val="00E4131B"/>
    <w:rsid w:val="00E413C0"/>
    <w:rsid w:val="00E4148C"/>
    <w:rsid w:val="00E41585"/>
    <w:rsid w:val="00E417EC"/>
    <w:rsid w:val="00E41B6D"/>
    <w:rsid w:val="00E41C50"/>
    <w:rsid w:val="00E41D78"/>
    <w:rsid w:val="00E41DF8"/>
    <w:rsid w:val="00E41F8B"/>
    <w:rsid w:val="00E42112"/>
    <w:rsid w:val="00E42337"/>
    <w:rsid w:val="00E42445"/>
    <w:rsid w:val="00E42E44"/>
    <w:rsid w:val="00E42E9C"/>
    <w:rsid w:val="00E42F1C"/>
    <w:rsid w:val="00E42FB1"/>
    <w:rsid w:val="00E42FC9"/>
    <w:rsid w:val="00E43181"/>
    <w:rsid w:val="00E431BB"/>
    <w:rsid w:val="00E4342E"/>
    <w:rsid w:val="00E43483"/>
    <w:rsid w:val="00E43705"/>
    <w:rsid w:val="00E4373D"/>
    <w:rsid w:val="00E43759"/>
    <w:rsid w:val="00E4376F"/>
    <w:rsid w:val="00E437A0"/>
    <w:rsid w:val="00E43861"/>
    <w:rsid w:val="00E4392D"/>
    <w:rsid w:val="00E43B26"/>
    <w:rsid w:val="00E43B5E"/>
    <w:rsid w:val="00E43BD3"/>
    <w:rsid w:val="00E43C26"/>
    <w:rsid w:val="00E43DC3"/>
    <w:rsid w:val="00E4437A"/>
    <w:rsid w:val="00E445D7"/>
    <w:rsid w:val="00E44835"/>
    <w:rsid w:val="00E448B0"/>
    <w:rsid w:val="00E4496D"/>
    <w:rsid w:val="00E449B4"/>
    <w:rsid w:val="00E44CBC"/>
    <w:rsid w:val="00E44CE2"/>
    <w:rsid w:val="00E44D46"/>
    <w:rsid w:val="00E44DD7"/>
    <w:rsid w:val="00E450C5"/>
    <w:rsid w:val="00E45133"/>
    <w:rsid w:val="00E453C8"/>
    <w:rsid w:val="00E45719"/>
    <w:rsid w:val="00E4574F"/>
    <w:rsid w:val="00E45787"/>
    <w:rsid w:val="00E459C1"/>
    <w:rsid w:val="00E45EAE"/>
    <w:rsid w:val="00E4615C"/>
    <w:rsid w:val="00E4621B"/>
    <w:rsid w:val="00E462B7"/>
    <w:rsid w:val="00E463A1"/>
    <w:rsid w:val="00E464D5"/>
    <w:rsid w:val="00E46600"/>
    <w:rsid w:val="00E4661B"/>
    <w:rsid w:val="00E468AD"/>
    <w:rsid w:val="00E4690A"/>
    <w:rsid w:val="00E46A67"/>
    <w:rsid w:val="00E46A80"/>
    <w:rsid w:val="00E46CDE"/>
    <w:rsid w:val="00E46DD1"/>
    <w:rsid w:val="00E46FFC"/>
    <w:rsid w:val="00E47105"/>
    <w:rsid w:val="00E47138"/>
    <w:rsid w:val="00E47438"/>
    <w:rsid w:val="00E47B41"/>
    <w:rsid w:val="00E47BEE"/>
    <w:rsid w:val="00E50157"/>
    <w:rsid w:val="00E50167"/>
    <w:rsid w:val="00E50188"/>
    <w:rsid w:val="00E503ED"/>
    <w:rsid w:val="00E504EC"/>
    <w:rsid w:val="00E50520"/>
    <w:rsid w:val="00E505E4"/>
    <w:rsid w:val="00E50751"/>
    <w:rsid w:val="00E5075A"/>
    <w:rsid w:val="00E50AA7"/>
    <w:rsid w:val="00E50B31"/>
    <w:rsid w:val="00E50D55"/>
    <w:rsid w:val="00E5104E"/>
    <w:rsid w:val="00E511D6"/>
    <w:rsid w:val="00E5120F"/>
    <w:rsid w:val="00E51222"/>
    <w:rsid w:val="00E512EA"/>
    <w:rsid w:val="00E51618"/>
    <w:rsid w:val="00E5199D"/>
    <w:rsid w:val="00E519CF"/>
    <w:rsid w:val="00E51B36"/>
    <w:rsid w:val="00E51BC2"/>
    <w:rsid w:val="00E51C23"/>
    <w:rsid w:val="00E51E0C"/>
    <w:rsid w:val="00E51EE4"/>
    <w:rsid w:val="00E51F62"/>
    <w:rsid w:val="00E5201A"/>
    <w:rsid w:val="00E52044"/>
    <w:rsid w:val="00E5207A"/>
    <w:rsid w:val="00E5212C"/>
    <w:rsid w:val="00E521B3"/>
    <w:rsid w:val="00E521C8"/>
    <w:rsid w:val="00E524DA"/>
    <w:rsid w:val="00E5265C"/>
    <w:rsid w:val="00E526FB"/>
    <w:rsid w:val="00E52713"/>
    <w:rsid w:val="00E527A0"/>
    <w:rsid w:val="00E52964"/>
    <w:rsid w:val="00E52A36"/>
    <w:rsid w:val="00E52DA2"/>
    <w:rsid w:val="00E52E3A"/>
    <w:rsid w:val="00E52F0D"/>
    <w:rsid w:val="00E53623"/>
    <w:rsid w:val="00E53647"/>
    <w:rsid w:val="00E537C6"/>
    <w:rsid w:val="00E53D5B"/>
    <w:rsid w:val="00E53EB7"/>
    <w:rsid w:val="00E53F9F"/>
    <w:rsid w:val="00E5412B"/>
    <w:rsid w:val="00E541D5"/>
    <w:rsid w:val="00E5433C"/>
    <w:rsid w:val="00E5433F"/>
    <w:rsid w:val="00E543DA"/>
    <w:rsid w:val="00E544CB"/>
    <w:rsid w:val="00E547A4"/>
    <w:rsid w:val="00E547D9"/>
    <w:rsid w:val="00E54A40"/>
    <w:rsid w:val="00E54CA8"/>
    <w:rsid w:val="00E54CF8"/>
    <w:rsid w:val="00E55069"/>
    <w:rsid w:val="00E5522F"/>
    <w:rsid w:val="00E55254"/>
    <w:rsid w:val="00E552E4"/>
    <w:rsid w:val="00E55316"/>
    <w:rsid w:val="00E554D2"/>
    <w:rsid w:val="00E55515"/>
    <w:rsid w:val="00E5587E"/>
    <w:rsid w:val="00E558D1"/>
    <w:rsid w:val="00E55C26"/>
    <w:rsid w:val="00E55C43"/>
    <w:rsid w:val="00E55D91"/>
    <w:rsid w:val="00E55F0F"/>
    <w:rsid w:val="00E55F8A"/>
    <w:rsid w:val="00E56091"/>
    <w:rsid w:val="00E563DF"/>
    <w:rsid w:val="00E56728"/>
    <w:rsid w:val="00E5679B"/>
    <w:rsid w:val="00E56822"/>
    <w:rsid w:val="00E56843"/>
    <w:rsid w:val="00E56AFB"/>
    <w:rsid w:val="00E56C58"/>
    <w:rsid w:val="00E56CE6"/>
    <w:rsid w:val="00E572B5"/>
    <w:rsid w:val="00E57347"/>
    <w:rsid w:val="00E57825"/>
    <w:rsid w:val="00E5791A"/>
    <w:rsid w:val="00E579BE"/>
    <w:rsid w:val="00E57B52"/>
    <w:rsid w:val="00E57B77"/>
    <w:rsid w:val="00E57C9E"/>
    <w:rsid w:val="00E57CB1"/>
    <w:rsid w:val="00E604BB"/>
    <w:rsid w:val="00E60518"/>
    <w:rsid w:val="00E60685"/>
    <w:rsid w:val="00E606DB"/>
    <w:rsid w:val="00E6084D"/>
    <w:rsid w:val="00E609F5"/>
    <w:rsid w:val="00E60A52"/>
    <w:rsid w:val="00E60BE2"/>
    <w:rsid w:val="00E60C3F"/>
    <w:rsid w:val="00E6112D"/>
    <w:rsid w:val="00E61311"/>
    <w:rsid w:val="00E61315"/>
    <w:rsid w:val="00E6157A"/>
    <w:rsid w:val="00E61694"/>
    <w:rsid w:val="00E6173C"/>
    <w:rsid w:val="00E61BD5"/>
    <w:rsid w:val="00E61BDB"/>
    <w:rsid w:val="00E61CB2"/>
    <w:rsid w:val="00E61CC0"/>
    <w:rsid w:val="00E61DC5"/>
    <w:rsid w:val="00E61EAE"/>
    <w:rsid w:val="00E61F38"/>
    <w:rsid w:val="00E62018"/>
    <w:rsid w:val="00E62061"/>
    <w:rsid w:val="00E62352"/>
    <w:rsid w:val="00E62412"/>
    <w:rsid w:val="00E62434"/>
    <w:rsid w:val="00E62445"/>
    <w:rsid w:val="00E62592"/>
    <w:rsid w:val="00E6264F"/>
    <w:rsid w:val="00E62662"/>
    <w:rsid w:val="00E62710"/>
    <w:rsid w:val="00E628D5"/>
    <w:rsid w:val="00E62B9F"/>
    <w:rsid w:val="00E62CF1"/>
    <w:rsid w:val="00E62DD2"/>
    <w:rsid w:val="00E62E19"/>
    <w:rsid w:val="00E62F27"/>
    <w:rsid w:val="00E630CC"/>
    <w:rsid w:val="00E633B0"/>
    <w:rsid w:val="00E633FA"/>
    <w:rsid w:val="00E636C1"/>
    <w:rsid w:val="00E636C5"/>
    <w:rsid w:val="00E63700"/>
    <w:rsid w:val="00E6384A"/>
    <w:rsid w:val="00E63974"/>
    <w:rsid w:val="00E63AF1"/>
    <w:rsid w:val="00E63B0F"/>
    <w:rsid w:val="00E63DE0"/>
    <w:rsid w:val="00E63EA5"/>
    <w:rsid w:val="00E63F8D"/>
    <w:rsid w:val="00E640C4"/>
    <w:rsid w:val="00E641A1"/>
    <w:rsid w:val="00E64216"/>
    <w:rsid w:val="00E643A9"/>
    <w:rsid w:val="00E644C6"/>
    <w:rsid w:val="00E6457D"/>
    <w:rsid w:val="00E6459E"/>
    <w:rsid w:val="00E64613"/>
    <w:rsid w:val="00E6461B"/>
    <w:rsid w:val="00E64821"/>
    <w:rsid w:val="00E64AD6"/>
    <w:rsid w:val="00E64E77"/>
    <w:rsid w:val="00E64F33"/>
    <w:rsid w:val="00E65016"/>
    <w:rsid w:val="00E651EC"/>
    <w:rsid w:val="00E65704"/>
    <w:rsid w:val="00E65727"/>
    <w:rsid w:val="00E6572E"/>
    <w:rsid w:val="00E65747"/>
    <w:rsid w:val="00E657ED"/>
    <w:rsid w:val="00E658A0"/>
    <w:rsid w:val="00E659AD"/>
    <w:rsid w:val="00E659B3"/>
    <w:rsid w:val="00E65A5C"/>
    <w:rsid w:val="00E65BBF"/>
    <w:rsid w:val="00E65CC1"/>
    <w:rsid w:val="00E65D55"/>
    <w:rsid w:val="00E65E83"/>
    <w:rsid w:val="00E65FF4"/>
    <w:rsid w:val="00E66047"/>
    <w:rsid w:val="00E6622D"/>
    <w:rsid w:val="00E6652E"/>
    <w:rsid w:val="00E665BA"/>
    <w:rsid w:val="00E66626"/>
    <w:rsid w:val="00E6663C"/>
    <w:rsid w:val="00E66758"/>
    <w:rsid w:val="00E66779"/>
    <w:rsid w:val="00E668F5"/>
    <w:rsid w:val="00E66B24"/>
    <w:rsid w:val="00E66D77"/>
    <w:rsid w:val="00E66E90"/>
    <w:rsid w:val="00E673CE"/>
    <w:rsid w:val="00E6744C"/>
    <w:rsid w:val="00E6779E"/>
    <w:rsid w:val="00E67812"/>
    <w:rsid w:val="00E67DB9"/>
    <w:rsid w:val="00E67EC3"/>
    <w:rsid w:val="00E67F4C"/>
    <w:rsid w:val="00E67F52"/>
    <w:rsid w:val="00E701B0"/>
    <w:rsid w:val="00E703EF"/>
    <w:rsid w:val="00E70459"/>
    <w:rsid w:val="00E704A7"/>
    <w:rsid w:val="00E709BC"/>
    <w:rsid w:val="00E70A72"/>
    <w:rsid w:val="00E70AE3"/>
    <w:rsid w:val="00E70BE2"/>
    <w:rsid w:val="00E70C21"/>
    <w:rsid w:val="00E71047"/>
    <w:rsid w:val="00E7107E"/>
    <w:rsid w:val="00E71082"/>
    <w:rsid w:val="00E7125F"/>
    <w:rsid w:val="00E712E8"/>
    <w:rsid w:val="00E7133E"/>
    <w:rsid w:val="00E713EC"/>
    <w:rsid w:val="00E7144E"/>
    <w:rsid w:val="00E7146A"/>
    <w:rsid w:val="00E71506"/>
    <w:rsid w:val="00E71528"/>
    <w:rsid w:val="00E71604"/>
    <w:rsid w:val="00E717AD"/>
    <w:rsid w:val="00E71A32"/>
    <w:rsid w:val="00E71B5A"/>
    <w:rsid w:val="00E71BC4"/>
    <w:rsid w:val="00E71C68"/>
    <w:rsid w:val="00E71CF7"/>
    <w:rsid w:val="00E71D52"/>
    <w:rsid w:val="00E71DD9"/>
    <w:rsid w:val="00E71E01"/>
    <w:rsid w:val="00E71FCA"/>
    <w:rsid w:val="00E71FDC"/>
    <w:rsid w:val="00E72018"/>
    <w:rsid w:val="00E72029"/>
    <w:rsid w:val="00E7207A"/>
    <w:rsid w:val="00E72174"/>
    <w:rsid w:val="00E723D5"/>
    <w:rsid w:val="00E724EB"/>
    <w:rsid w:val="00E72542"/>
    <w:rsid w:val="00E7260E"/>
    <w:rsid w:val="00E7269D"/>
    <w:rsid w:val="00E728FB"/>
    <w:rsid w:val="00E72A86"/>
    <w:rsid w:val="00E72A93"/>
    <w:rsid w:val="00E72DA9"/>
    <w:rsid w:val="00E72DFE"/>
    <w:rsid w:val="00E72E24"/>
    <w:rsid w:val="00E731F7"/>
    <w:rsid w:val="00E73413"/>
    <w:rsid w:val="00E73473"/>
    <w:rsid w:val="00E734E3"/>
    <w:rsid w:val="00E734FB"/>
    <w:rsid w:val="00E7359C"/>
    <w:rsid w:val="00E735A1"/>
    <w:rsid w:val="00E736B9"/>
    <w:rsid w:val="00E7379F"/>
    <w:rsid w:val="00E737F6"/>
    <w:rsid w:val="00E738B9"/>
    <w:rsid w:val="00E738F2"/>
    <w:rsid w:val="00E73A0A"/>
    <w:rsid w:val="00E73B6D"/>
    <w:rsid w:val="00E73C87"/>
    <w:rsid w:val="00E73CD1"/>
    <w:rsid w:val="00E73D51"/>
    <w:rsid w:val="00E74009"/>
    <w:rsid w:val="00E740DF"/>
    <w:rsid w:val="00E7433F"/>
    <w:rsid w:val="00E743CF"/>
    <w:rsid w:val="00E746A0"/>
    <w:rsid w:val="00E7474C"/>
    <w:rsid w:val="00E747EE"/>
    <w:rsid w:val="00E748FD"/>
    <w:rsid w:val="00E74A33"/>
    <w:rsid w:val="00E74EE8"/>
    <w:rsid w:val="00E7522F"/>
    <w:rsid w:val="00E75266"/>
    <w:rsid w:val="00E754D7"/>
    <w:rsid w:val="00E75568"/>
    <w:rsid w:val="00E75A2E"/>
    <w:rsid w:val="00E75BD5"/>
    <w:rsid w:val="00E75DFE"/>
    <w:rsid w:val="00E760C7"/>
    <w:rsid w:val="00E76212"/>
    <w:rsid w:val="00E763BE"/>
    <w:rsid w:val="00E76472"/>
    <w:rsid w:val="00E76736"/>
    <w:rsid w:val="00E76739"/>
    <w:rsid w:val="00E76744"/>
    <w:rsid w:val="00E76873"/>
    <w:rsid w:val="00E768D4"/>
    <w:rsid w:val="00E76B1F"/>
    <w:rsid w:val="00E76B33"/>
    <w:rsid w:val="00E76C47"/>
    <w:rsid w:val="00E76C72"/>
    <w:rsid w:val="00E77435"/>
    <w:rsid w:val="00E774C0"/>
    <w:rsid w:val="00E77596"/>
    <w:rsid w:val="00E77993"/>
    <w:rsid w:val="00E77A12"/>
    <w:rsid w:val="00E77BAE"/>
    <w:rsid w:val="00E77E13"/>
    <w:rsid w:val="00E77E1E"/>
    <w:rsid w:val="00E801DB"/>
    <w:rsid w:val="00E801F7"/>
    <w:rsid w:val="00E803D0"/>
    <w:rsid w:val="00E805E2"/>
    <w:rsid w:val="00E80695"/>
    <w:rsid w:val="00E806FF"/>
    <w:rsid w:val="00E80852"/>
    <w:rsid w:val="00E809D5"/>
    <w:rsid w:val="00E80B0B"/>
    <w:rsid w:val="00E80B75"/>
    <w:rsid w:val="00E80D63"/>
    <w:rsid w:val="00E80DD3"/>
    <w:rsid w:val="00E80DEA"/>
    <w:rsid w:val="00E80F31"/>
    <w:rsid w:val="00E811C9"/>
    <w:rsid w:val="00E81434"/>
    <w:rsid w:val="00E8145C"/>
    <w:rsid w:val="00E8160A"/>
    <w:rsid w:val="00E8169D"/>
    <w:rsid w:val="00E81867"/>
    <w:rsid w:val="00E8195F"/>
    <w:rsid w:val="00E81B3C"/>
    <w:rsid w:val="00E81B50"/>
    <w:rsid w:val="00E81BF7"/>
    <w:rsid w:val="00E81C73"/>
    <w:rsid w:val="00E81D7A"/>
    <w:rsid w:val="00E81DC5"/>
    <w:rsid w:val="00E81F07"/>
    <w:rsid w:val="00E82190"/>
    <w:rsid w:val="00E82278"/>
    <w:rsid w:val="00E82348"/>
    <w:rsid w:val="00E826A9"/>
    <w:rsid w:val="00E8275B"/>
    <w:rsid w:val="00E828F5"/>
    <w:rsid w:val="00E82918"/>
    <w:rsid w:val="00E82A4D"/>
    <w:rsid w:val="00E82C0A"/>
    <w:rsid w:val="00E82CD8"/>
    <w:rsid w:val="00E82DAA"/>
    <w:rsid w:val="00E82DF1"/>
    <w:rsid w:val="00E82F00"/>
    <w:rsid w:val="00E83153"/>
    <w:rsid w:val="00E83206"/>
    <w:rsid w:val="00E8321B"/>
    <w:rsid w:val="00E832D5"/>
    <w:rsid w:val="00E83532"/>
    <w:rsid w:val="00E83616"/>
    <w:rsid w:val="00E83657"/>
    <w:rsid w:val="00E83683"/>
    <w:rsid w:val="00E83688"/>
    <w:rsid w:val="00E83796"/>
    <w:rsid w:val="00E837AC"/>
    <w:rsid w:val="00E83890"/>
    <w:rsid w:val="00E83A12"/>
    <w:rsid w:val="00E83B3D"/>
    <w:rsid w:val="00E83BAF"/>
    <w:rsid w:val="00E83BC7"/>
    <w:rsid w:val="00E83CA5"/>
    <w:rsid w:val="00E83CD3"/>
    <w:rsid w:val="00E83D03"/>
    <w:rsid w:val="00E83D0A"/>
    <w:rsid w:val="00E83DCF"/>
    <w:rsid w:val="00E83DD1"/>
    <w:rsid w:val="00E83EB2"/>
    <w:rsid w:val="00E83F07"/>
    <w:rsid w:val="00E83F50"/>
    <w:rsid w:val="00E83F8C"/>
    <w:rsid w:val="00E83F95"/>
    <w:rsid w:val="00E84072"/>
    <w:rsid w:val="00E840DB"/>
    <w:rsid w:val="00E8414F"/>
    <w:rsid w:val="00E84362"/>
    <w:rsid w:val="00E8441D"/>
    <w:rsid w:val="00E8448D"/>
    <w:rsid w:val="00E84524"/>
    <w:rsid w:val="00E845C8"/>
    <w:rsid w:val="00E8474C"/>
    <w:rsid w:val="00E84A19"/>
    <w:rsid w:val="00E84A41"/>
    <w:rsid w:val="00E84B08"/>
    <w:rsid w:val="00E84C39"/>
    <w:rsid w:val="00E84C41"/>
    <w:rsid w:val="00E84DA7"/>
    <w:rsid w:val="00E84DB5"/>
    <w:rsid w:val="00E84F77"/>
    <w:rsid w:val="00E84FBD"/>
    <w:rsid w:val="00E85020"/>
    <w:rsid w:val="00E8509C"/>
    <w:rsid w:val="00E8512D"/>
    <w:rsid w:val="00E8541E"/>
    <w:rsid w:val="00E85634"/>
    <w:rsid w:val="00E857BC"/>
    <w:rsid w:val="00E85A12"/>
    <w:rsid w:val="00E85B3E"/>
    <w:rsid w:val="00E85C54"/>
    <w:rsid w:val="00E85E85"/>
    <w:rsid w:val="00E85F81"/>
    <w:rsid w:val="00E86090"/>
    <w:rsid w:val="00E86092"/>
    <w:rsid w:val="00E86099"/>
    <w:rsid w:val="00E860DC"/>
    <w:rsid w:val="00E8611E"/>
    <w:rsid w:val="00E8635F"/>
    <w:rsid w:val="00E86396"/>
    <w:rsid w:val="00E863C8"/>
    <w:rsid w:val="00E8680C"/>
    <w:rsid w:val="00E86891"/>
    <w:rsid w:val="00E868E2"/>
    <w:rsid w:val="00E86A07"/>
    <w:rsid w:val="00E86A17"/>
    <w:rsid w:val="00E86BAB"/>
    <w:rsid w:val="00E87031"/>
    <w:rsid w:val="00E8711E"/>
    <w:rsid w:val="00E871F0"/>
    <w:rsid w:val="00E871FA"/>
    <w:rsid w:val="00E87558"/>
    <w:rsid w:val="00E8795C"/>
    <w:rsid w:val="00E87A9F"/>
    <w:rsid w:val="00E901E5"/>
    <w:rsid w:val="00E902ED"/>
    <w:rsid w:val="00E90520"/>
    <w:rsid w:val="00E9079E"/>
    <w:rsid w:val="00E90D48"/>
    <w:rsid w:val="00E90DE5"/>
    <w:rsid w:val="00E90E31"/>
    <w:rsid w:val="00E91049"/>
    <w:rsid w:val="00E91256"/>
    <w:rsid w:val="00E9135D"/>
    <w:rsid w:val="00E91407"/>
    <w:rsid w:val="00E91635"/>
    <w:rsid w:val="00E91842"/>
    <w:rsid w:val="00E918BA"/>
    <w:rsid w:val="00E91936"/>
    <w:rsid w:val="00E9198B"/>
    <w:rsid w:val="00E91A5A"/>
    <w:rsid w:val="00E91AC5"/>
    <w:rsid w:val="00E91D51"/>
    <w:rsid w:val="00E9202E"/>
    <w:rsid w:val="00E92039"/>
    <w:rsid w:val="00E9206C"/>
    <w:rsid w:val="00E92180"/>
    <w:rsid w:val="00E921A5"/>
    <w:rsid w:val="00E92297"/>
    <w:rsid w:val="00E92499"/>
    <w:rsid w:val="00E92620"/>
    <w:rsid w:val="00E926D2"/>
    <w:rsid w:val="00E9273C"/>
    <w:rsid w:val="00E9287A"/>
    <w:rsid w:val="00E92B6A"/>
    <w:rsid w:val="00E92DAB"/>
    <w:rsid w:val="00E92E16"/>
    <w:rsid w:val="00E92E2D"/>
    <w:rsid w:val="00E92E6E"/>
    <w:rsid w:val="00E92E8E"/>
    <w:rsid w:val="00E9321D"/>
    <w:rsid w:val="00E932ED"/>
    <w:rsid w:val="00E935A1"/>
    <w:rsid w:val="00E935A6"/>
    <w:rsid w:val="00E935F6"/>
    <w:rsid w:val="00E9376B"/>
    <w:rsid w:val="00E937A2"/>
    <w:rsid w:val="00E93837"/>
    <w:rsid w:val="00E93840"/>
    <w:rsid w:val="00E93902"/>
    <w:rsid w:val="00E93905"/>
    <w:rsid w:val="00E93A02"/>
    <w:rsid w:val="00E93B1D"/>
    <w:rsid w:val="00E93C1E"/>
    <w:rsid w:val="00E93D9A"/>
    <w:rsid w:val="00E93FDF"/>
    <w:rsid w:val="00E93FFE"/>
    <w:rsid w:val="00E940A8"/>
    <w:rsid w:val="00E9425E"/>
    <w:rsid w:val="00E943E5"/>
    <w:rsid w:val="00E9443F"/>
    <w:rsid w:val="00E94513"/>
    <w:rsid w:val="00E945C2"/>
    <w:rsid w:val="00E9490B"/>
    <w:rsid w:val="00E94A43"/>
    <w:rsid w:val="00E94C28"/>
    <w:rsid w:val="00E94D01"/>
    <w:rsid w:val="00E94D59"/>
    <w:rsid w:val="00E94FEB"/>
    <w:rsid w:val="00E95066"/>
    <w:rsid w:val="00E95071"/>
    <w:rsid w:val="00E9535E"/>
    <w:rsid w:val="00E9597C"/>
    <w:rsid w:val="00E95A01"/>
    <w:rsid w:val="00E95A73"/>
    <w:rsid w:val="00E95B81"/>
    <w:rsid w:val="00E95DDF"/>
    <w:rsid w:val="00E95FE8"/>
    <w:rsid w:val="00E96023"/>
    <w:rsid w:val="00E96496"/>
    <w:rsid w:val="00E9651C"/>
    <w:rsid w:val="00E966C0"/>
    <w:rsid w:val="00E966D4"/>
    <w:rsid w:val="00E969A5"/>
    <w:rsid w:val="00E96E09"/>
    <w:rsid w:val="00E96E44"/>
    <w:rsid w:val="00E96EA5"/>
    <w:rsid w:val="00E97214"/>
    <w:rsid w:val="00E976EE"/>
    <w:rsid w:val="00E9783C"/>
    <w:rsid w:val="00E97B0D"/>
    <w:rsid w:val="00E97C88"/>
    <w:rsid w:val="00E97D65"/>
    <w:rsid w:val="00E97F4C"/>
    <w:rsid w:val="00EA00FD"/>
    <w:rsid w:val="00EA0932"/>
    <w:rsid w:val="00EA0969"/>
    <w:rsid w:val="00EA0ACC"/>
    <w:rsid w:val="00EA0C50"/>
    <w:rsid w:val="00EA0E42"/>
    <w:rsid w:val="00EA0EB2"/>
    <w:rsid w:val="00EA1249"/>
    <w:rsid w:val="00EA124C"/>
    <w:rsid w:val="00EA142B"/>
    <w:rsid w:val="00EA159E"/>
    <w:rsid w:val="00EA1631"/>
    <w:rsid w:val="00EA16C9"/>
    <w:rsid w:val="00EA1890"/>
    <w:rsid w:val="00EA1988"/>
    <w:rsid w:val="00EA1CE1"/>
    <w:rsid w:val="00EA1ECC"/>
    <w:rsid w:val="00EA20E8"/>
    <w:rsid w:val="00EA2129"/>
    <w:rsid w:val="00EA236D"/>
    <w:rsid w:val="00EA2438"/>
    <w:rsid w:val="00EA24E2"/>
    <w:rsid w:val="00EA24EB"/>
    <w:rsid w:val="00EA25CF"/>
    <w:rsid w:val="00EA2600"/>
    <w:rsid w:val="00EA26D8"/>
    <w:rsid w:val="00EA2BE5"/>
    <w:rsid w:val="00EA2CD1"/>
    <w:rsid w:val="00EA2D4D"/>
    <w:rsid w:val="00EA2E48"/>
    <w:rsid w:val="00EA2E78"/>
    <w:rsid w:val="00EA2EEA"/>
    <w:rsid w:val="00EA2EF6"/>
    <w:rsid w:val="00EA301D"/>
    <w:rsid w:val="00EA307F"/>
    <w:rsid w:val="00EA3297"/>
    <w:rsid w:val="00EA32C9"/>
    <w:rsid w:val="00EA33C8"/>
    <w:rsid w:val="00EA3458"/>
    <w:rsid w:val="00EA3A3E"/>
    <w:rsid w:val="00EA3B24"/>
    <w:rsid w:val="00EA3BFA"/>
    <w:rsid w:val="00EA3E7C"/>
    <w:rsid w:val="00EA3EFE"/>
    <w:rsid w:val="00EA3F04"/>
    <w:rsid w:val="00EA3F1A"/>
    <w:rsid w:val="00EA3F2E"/>
    <w:rsid w:val="00EA3FEE"/>
    <w:rsid w:val="00EA3FFC"/>
    <w:rsid w:val="00EA4164"/>
    <w:rsid w:val="00EA41DB"/>
    <w:rsid w:val="00EA4254"/>
    <w:rsid w:val="00EA4372"/>
    <w:rsid w:val="00EA455C"/>
    <w:rsid w:val="00EA4594"/>
    <w:rsid w:val="00EA460D"/>
    <w:rsid w:val="00EA4640"/>
    <w:rsid w:val="00EA465B"/>
    <w:rsid w:val="00EA465E"/>
    <w:rsid w:val="00EA495D"/>
    <w:rsid w:val="00EA4A33"/>
    <w:rsid w:val="00EA4CD0"/>
    <w:rsid w:val="00EA4D45"/>
    <w:rsid w:val="00EA4E23"/>
    <w:rsid w:val="00EA4EED"/>
    <w:rsid w:val="00EA4F5F"/>
    <w:rsid w:val="00EA50BE"/>
    <w:rsid w:val="00EA532D"/>
    <w:rsid w:val="00EA53F4"/>
    <w:rsid w:val="00EA5620"/>
    <w:rsid w:val="00EA584D"/>
    <w:rsid w:val="00EA58AC"/>
    <w:rsid w:val="00EA5A6C"/>
    <w:rsid w:val="00EA5B74"/>
    <w:rsid w:val="00EA5D11"/>
    <w:rsid w:val="00EA5DF5"/>
    <w:rsid w:val="00EA5F15"/>
    <w:rsid w:val="00EA5F53"/>
    <w:rsid w:val="00EA654A"/>
    <w:rsid w:val="00EA6640"/>
    <w:rsid w:val="00EA67ED"/>
    <w:rsid w:val="00EA6865"/>
    <w:rsid w:val="00EA688A"/>
    <w:rsid w:val="00EA6AF6"/>
    <w:rsid w:val="00EA6C2F"/>
    <w:rsid w:val="00EA6ED1"/>
    <w:rsid w:val="00EA739A"/>
    <w:rsid w:val="00EA75A8"/>
    <w:rsid w:val="00EA75CB"/>
    <w:rsid w:val="00EA75E3"/>
    <w:rsid w:val="00EA799F"/>
    <w:rsid w:val="00EA7ABA"/>
    <w:rsid w:val="00EA7C05"/>
    <w:rsid w:val="00EA7C9D"/>
    <w:rsid w:val="00EA7DBE"/>
    <w:rsid w:val="00EA7EBC"/>
    <w:rsid w:val="00EA7F9C"/>
    <w:rsid w:val="00EB028D"/>
    <w:rsid w:val="00EB02E0"/>
    <w:rsid w:val="00EB06AE"/>
    <w:rsid w:val="00EB094F"/>
    <w:rsid w:val="00EB09A5"/>
    <w:rsid w:val="00EB0AD2"/>
    <w:rsid w:val="00EB0BB2"/>
    <w:rsid w:val="00EB0C14"/>
    <w:rsid w:val="00EB0EB4"/>
    <w:rsid w:val="00EB0F3E"/>
    <w:rsid w:val="00EB0F50"/>
    <w:rsid w:val="00EB11EB"/>
    <w:rsid w:val="00EB15B1"/>
    <w:rsid w:val="00EB16DE"/>
    <w:rsid w:val="00EB17B5"/>
    <w:rsid w:val="00EB1A8D"/>
    <w:rsid w:val="00EB1C11"/>
    <w:rsid w:val="00EB1CCC"/>
    <w:rsid w:val="00EB1FB4"/>
    <w:rsid w:val="00EB1FFC"/>
    <w:rsid w:val="00EB2284"/>
    <w:rsid w:val="00EB229E"/>
    <w:rsid w:val="00EB246A"/>
    <w:rsid w:val="00EB2541"/>
    <w:rsid w:val="00EB256F"/>
    <w:rsid w:val="00EB27B5"/>
    <w:rsid w:val="00EB2852"/>
    <w:rsid w:val="00EB29C1"/>
    <w:rsid w:val="00EB2A4D"/>
    <w:rsid w:val="00EB2AA9"/>
    <w:rsid w:val="00EB2ACA"/>
    <w:rsid w:val="00EB2BEE"/>
    <w:rsid w:val="00EB2C38"/>
    <w:rsid w:val="00EB2E77"/>
    <w:rsid w:val="00EB30D4"/>
    <w:rsid w:val="00EB30D9"/>
    <w:rsid w:val="00EB3162"/>
    <w:rsid w:val="00EB34E2"/>
    <w:rsid w:val="00EB34F0"/>
    <w:rsid w:val="00EB3519"/>
    <w:rsid w:val="00EB3621"/>
    <w:rsid w:val="00EB383C"/>
    <w:rsid w:val="00EB387D"/>
    <w:rsid w:val="00EB3892"/>
    <w:rsid w:val="00EB3A07"/>
    <w:rsid w:val="00EB3A79"/>
    <w:rsid w:val="00EB3B1F"/>
    <w:rsid w:val="00EB3B4E"/>
    <w:rsid w:val="00EB3D41"/>
    <w:rsid w:val="00EB4124"/>
    <w:rsid w:val="00EB4347"/>
    <w:rsid w:val="00EB43CE"/>
    <w:rsid w:val="00EB4406"/>
    <w:rsid w:val="00EB4558"/>
    <w:rsid w:val="00EB48C3"/>
    <w:rsid w:val="00EB4CB5"/>
    <w:rsid w:val="00EB4E5C"/>
    <w:rsid w:val="00EB4F50"/>
    <w:rsid w:val="00EB4FED"/>
    <w:rsid w:val="00EB5116"/>
    <w:rsid w:val="00EB5201"/>
    <w:rsid w:val="00EB580B"/>
    <w:rsid w:val="00EB58A4"/>
    <w:rsid w:val="00EB5DF7"/>
    <w:rsid w:val="00EB5DF8"/>
    <w:rsid w:val="00EB5F39"/>
    <w:rsid w:val="00EB60E0"/>
    <w:rsid w:val="00EB67EE"/>
    <w:rsid w:val="00EB67FF"/>
    <w:rsid w:val="00EB699C"/>
    <w:rsid w:val="00EB6BDB"/>
    <w:rsid w:val="00EB6C4A"/>
    <w:rsid w:val="00EB6DE9"/>
    <w:rsid w:val="00EB6F3B"/>
    <w:rsid w:val="00EB71D8"/>
    <w:rsid w:val="00EB7200"/>
    <w:rsid w:val="00EB7249"/>
    <w:rsid w:val="00EB73C6"/>
    <w:rsid w:val="00EB73E7"/>
    <w:rsid w:val="00EB74AD"/>
    <w:rsid w:val="00EB77F9"/>
    <w:rsid w:val="00EB79A9"/>
    <w:rsid w:val="00EB79EC"/>
    <w:rsid w:val="00EB7DB2"/>
    <w:rsid w:val="00EB7F04"/>
    <w:rsid w:val="00EB7F3D"/>
    <w:rsid w:val="00EB7FA5"/>
    <w:rsid w:val="00EB7FCD"/>
    <w:rsid w:val="00EC01B9"/>
    <w:rsid w:val="00EC04EF"/>
    <w:rsid w:val="00EC087C"/>
    <w:rsid w:val="00EC0CFA"/>
    <w:rsid w:val="00EC0D79"/>
    <w:rsid w:val="00EC0FE2"/>
    <w:rsid w:val="00EC1240"/>
    <w:rsid w:val="00EC12BB"/>
    <w:rsid w:val="00EC140F"/>
    <w:rsid w:val="00EC1857"/>
    <w:rsid w:val="00EC18D1"/>
    <w:rsid w:val="00EC1900"/>
    <w:rsid w:val="00EC194A"/>
    <w:rsid w:val="00EC1B47"/>
    <w:rsid w:val="00EC1E66"/>
    <w:rsid w:val="00EC1FDF"/>
    <w:rsid w:val="00EC21A3"/>
    <w:rsid w:val="00EC238C"/>
    <w:rsid w:val="00EC24DB"/>
    <w:rsid w:val="00EC26C5"/>
    <w:rsid w:val="00EC29BC"/>
    <w:rsid w:val="00EC2BF9"/>
    <w:rsid w:val="00EC2F7A"/>
    <w:rsid w:val="00EC30D4"/>
    <w:rsid w:val="00EC31B0"/>
    <w:rsid w:val="00EC31F5"/>
    <w:rsid w:val="00EC3213"/>
    <w:rsid w:val="00EC324E"/>
    <w:rsid w:val="00EC32D0"/>
    <w:rsid w:val="00EC32D7"/>
    <w:rsid w:val="00EC3394"/>
    <w:rsid w:val="00EC370D"/>
    <w:rsid w:val="00EC3A38"/>
    <w:rsid w:val="00EC3B84"/>
    <w:rsid w:val="00EC3F86"/>
    <w:rsid w:val="00EC4127"/>
    <w:rsid w:val="00EC4187"/>
    <w:rsid w:val="00EC4396"/>
    <w:rsid w:val="00EC44C1"/>
    <w:rsid w:val="00EC49D0"/>
    <w:rsid w:val="00EC4F18"/>
    <w:rsid w:val="00EC50ED"/>
    <w:rsid w:val="00EC51B9"/>
    <w:rsid w:val="00EC5362"/>
    <w:rsid w:val="00EC5598"/>
    <w:rsid w:val="00EC5632"/>
    <w:rsid w:val="00EC56B1"/>
    <w:rsid w:val="00EC56B9"/>
    <w:rsid w:val="00EC5763"/>
    <w:rsid w:val="00EC57D2"/>
    <w:rsid w:val="00EC58D6"/>
    <w:rsid w:val="00EC58DD"/>
    <w:rsid w:val="00EC5954"/>
    <w:rsid w:val="00EC5CAC"/>
    <w:rsid w:val="00EC5E03"/>
    <w:rsid w:val="00EC5FD4"/>
    <w:rsid w:val="00EC60B9"/>
    <w:rsid w:val="00EC625D"/>
    <w:rsid w:val="00EC64C4"/>
    <w:rsid w:val="00EC676F"/>
    <w:rsid w:val="00EC67A8"/>
    <w:rsid w:val="00EC67D8"/>
    <w:rsid w:val="00EC6E60"/>
    <w:rsid w:val="00EC72FE"/>
    <w:rsid w:val="00EC73CF"/>
    <w:rsid w:val="00EC7599"/>
    <w:rsid w:val="00EC75CE"/>
    <w:rsid w:val="00EC7780"/>
    <w:rsid w:val="00EC77A9"/>
    <w:rsid w:val="00EC7807"/>
    <w:rsid w:val="00EC793B"/>
    <w:rsid w:val="00EC7971"/>
    <w:rsid w:val="00EC7A40"/>
    <w:rsid w:val="00EC7B5D"/>
    <w:rsid w:val="00EC7B7D"/>
    <w:rsid w:val="00EC7B9B"/>
    <w:rsid w:val="00EC7C00"/>
    <w:rsid w:val="00EC7DD7"/>
    <w:rsid w:val="00EC7DE8"/>
    <w:rsid w:val="00EC7E45"/>
    <w:rsid w:val="00EC7ED3"/>
    <w:rsid w:val="00EC7F50"/>
    <w:rsid w:val="00ED0095"/>
    <w:rsid w:val="00ED00EC"/>
    <w:rsid w:val="00ED055B"/>
    <w:rsid w:val="00ED0581"/>
    <w:rsid w:val="00ED05BD"/>
    <w:rsid w:val="00ED07CC"/>
    <w:rsid w:val="00ED0A07"/>
    <w:rsid w:val="00ED0A2C"/>
    <w:rsid w:val="00ED0B10"/>
    <w:rsid w:val="00ED0B6B"/>
    <w:rsid w:val="00ED0BF5"/>
    <w:rsid w:val="00ED0D30"/>
    <w:rsid w:val="00ED1191"/>
    <w:rsid w:val="00ED121A"/>
    <w:rsid w:val="00ED142A"/>
    <w:rsid w:val="00ED1452"/>
    <w:rsid w:val="00ED14F9"/>
    <w:rsid w:val="00ED15AF"/>
    <w:rsid w:val="00ED17B2"/>
    <w:rsid w:val="00ED18CF"/>
    <w:rsid w:val="00ED19E0"/>
    <w:rsid w:val="00ED1AE4"/>
    <w:rsid w:val="00ED1B65"/>
    <w:rsid w:val="00ED1BC1"/>
    <w:rsid w:val="00ED1BEA"/>
    <w:rsid w:val="00ED1F32"/>
    <w:rsid w:val="00ED2042"/>
    <w:rsid w:val="00ED23B1"/>
    <w:rsid w:val="00ED2448"/>
    <w:rsid w:val="00ED262C"/>
    <w:rsid w:val="00ED26A2"/>
    <w:rsid w:val="00ED29B9"/>
    <w:rsid w:val="00ED2B5C"/>
    <w:rsid w:val="00ED2C41"/>
    <w:rsid w:val="00ED2D9C"/>
    <w:rsid w:val="00ED2EA8"/>
    <w:rsid w:val="00ED32C7"/>
    <w:rsid w:val="00ED3369"/>
    <w:rsid w:val="00ED344A"/>
    <w:rsid w:val="00ED34C1"/>
    <w:rsid w:val="00ED3576"/>
    <w:rsid w:val="00ED3878"/>
    <w:rsid w:val="00ED38F6"/>
    <w:rsid w:val="00ED39D9"/>
    <w:rsid w:val="00ED3A3B"/>
    <w:rsid w:val="00ED3BC5"/>
    <w:rsid w:val="00ED3F8B"/>
    <w:rsid w:val="00ED4029"/>
    <w:rsid w:val="00ED40B7"/>
    <w:rsid w:val="00ED40EF"/>
    <w:rsid w:val="00ED443F"/>
    <w:rsid w:val="00ED447C"/>
    <w:rsid w:val="00ED44D2"/>
    <w:rsid w:val="00ED471B"/>
    <w:rsid w:val="00ED471C"/>
    <w:rsid w:val="00ED475B"/>
    <w:rsid w:val="00ED47D1"/>
    <w:rsid w:val="00ED483E"/>
    <w:rsid w:val="00ED4A63"/>
    <w:rsid w:val="00ED4D89"/>
    <w:rsid w:val="00ED52FC"/>
    <w:rsid w:val="00ED5453"/>
    <w:rsid w:val="00ED571C"/>
    <w:rsid w:val="00ED572F"/>
    <w:rsid w:val="00ED580A"/>
    <w:rsid w:val="00ED5844"/>
    <w:rsid w:val="00ED588F"/>
    <w:rsid w:val="00ED58AA"/>
    <w:rsid w:val="00ED5A5A"/>
    <w:rsid w:val="00ED5BAE"/>
    <w:rsid w:val="00ED5C04"/>
    <w:rsid w:val="00ED5F76"/>
    <w:rsid w:val="00ED615E"/>
    <w:rsid w:val="00ED6220"/>
    <w:rsid w:val="00ED62FA"/>
    <w:rsid w:val="00ED6520"/>
    <w:rsid w:val="00ED6733"/>
    <w:rsid w:val="00ED67B2"/>
    <w:rsid w:val="00ED68D7"/>
    <w:rsid w:val="00ED6901"/>
    <w:rsid w:val="00ED6A2E"/>
    <w:rsid w:val="00ED6AED"/>
    <w:rsid w:val="00ED6B22"/>
    <w:rsid w:val="00ED6BFC"/>
    <w:rsid w:val="00ED6CFF"/>
    <w:rsid w:val="00ED6D3B"/>
    <w:rsid w:val="00ED6E9F"/>
    <w:rsid w:val="00ED6F1E"/>
    <w:rsid w:val="00ED7094"/>
    <w:rsid w:val="00ED70F7"/>
    <w:rsid w:val="00ED715D"/>
    <w:rsid w:val="00ED719E"/>
    <w:rsid w:val="00ED7334"/>
    <w:rsid w:val="00ED74E9"/>
    <w:rsid w:val="00ED7574"/>
    <w:rsid w:val="00ED75CD"/>
    <w:rsid w:val="00ED77BA"/>
    <w:rsid w:val="00ED77C1"/>
    <w:rsid w:val="00ED77FD"/>
    <w:rsid w:val="00ED79E0"/>
    <w:rsid w:val="00ED7A29"/>
    <w:rsid w:val="00ED7C8C"/>
    <w:rsid w:val="00ED7CFA"/>
    <w:rsid w:val="00ED7D53"/>
    <w:rsid w:val="00ED7F42"/>
    <w:rsid w:val="00EE0167"/>
    <w:rsid w:val="00EE0234"/>
    <w:rsid w:val="00EE02E7"/>
    <w:rsid w:val="00EE032E"/>
    <w:rsid w:val="00EE0391"/>
    <w:rsid w:val="00EE087A"/>
    <w:rsid w:val="00EE0891"/>
    <w:rsid w:val="00EE0910"/>
    <w:rsid w:val="00EE092C"/>
    <w:rsid w:val="00EE0A3B"/>
    <w:rsid w:val="00EE0A8F"/>
    <w:rsid w:val="00EE0D1A"/>
    <w:rsid w:val="00EE0D32"/>
    <w:rsid w:val="00EE1012"/>
    <w:rsid w:val="00EE1170"/>
    <w:rsid w:val="00EE1262"/>
    <w:rsid w:val="00EE14B1"/>
    <w:rsid w:val="00EE1559"/>
    <w:rsid w:val="00EE1599"/>
    <w:rsid w:val="00EE15E2"/>
    <w:rsid w:val="00EE1768"/>
    <w:rsid w:val="00EE19A4"/>
    <w:rsid w:val="00EE1A0F"/>
    <w:rsid w:val="00EE1AE1"/>
    <w:rsid w:val="00EE1CA5"/>
    <w:rsid w:val="00EE1F4E"/>
    <w:rsid w:val="00EE20F0"/>
    <w:rsid w:val="00EE2409"/>
    <w:rsid w:val="00EE2A93"/>
    <w:rsid w:val="00EE2C17"/>
    <w:rsid w:val="00EE2DEB"/>
    <w:rsid w:val="00EE2FF6"/>
    <w:rsid w:val="00EE316B"/>
    <w:rsid w:val="00EE3328"/>
    <w:rsid w:val="00EE3396"/>
    <w:rsid w:val="00EE364B"/>
    <w:rsid w:val="00EE385B"/>
    <w:rsid w:val="00EE38D7"/>
    <w:rsid w:val="00EE396D"/>
    <w:rsid w:val="00EE3BDB"/>
    <w:rsid w:val="00EE4482"/>
    <w:rsid w:val="00EE4664"/>
    <w:rsid w:val="00EE4991"/>
    <w:rsid w:val="00EE4AA1"/>
    <w:rsid w:val="00EE4BFE"/>
    <w:rsid w:val="00EE4C25"/>
    <w:rsid w:val="00EE4E83"/>
    <w:rsid w:val="00EE4F53"/>
    <w:rsid w:val="00EE5008"/>
    <w:rsid w:val="00EE51FD"/>
    <w:rsid w:val="00EE5619"/>
    <w:rsid w:val="00EE5635"/>
    <w:rsid w:val="00EE588D"/>
    <w:rsid w:val="00EE5946"/>
    <w:rsid w:val="00EE5973"/>
    <w:rsid w:val="00EE59C2"/>
    <w:rsid w:val="00EE5A08"/>
    <w:rsid w:val="00EE5A44"/>
    <w:rsid w:val="00EE5B32"/>
    <w:rsid w:val="00EE5CB0"/>
    <w:rsid w:val="00EE5D90"/>
    <w:rsid w:val="00EE5E65"/>
    <w:rsid w:val="00EE5FE9"/>
    <w:rsid w:val="00EE6064"/>
    <w:rsid w:val="00EE6097"/>
    <w:rsid w:val="00EE6175"/>
    <w:rsid w:val="00EE6193"/>
    <w:rsid w:val="00EE6810"/>
    <w:rsid w:val="00EE6822"/>
    <w:rsid w:val="00EE6949"/>
    <w:rsid w:val="00EE695A"/>
    <w:rsid w:val="00EE6AA4"/>
    <w:rsid w:val="00EE6AB4"/>
    <w:rsid w:val="00EE6AD6"/>
    <w:rsid w:val="00EE6FAA"/>
    <w:rsid w:val="00EE724B"/>
    <w:rsid w:val="00EE7545"/>
    <w:rsid w:val="00EE7702"/>
    <w:rsid w:val="00EE7870"/>
    <w:rsid w:val="00EE78EC"/>
    <w:rsid w:val="00EE7973"/>
    <w:rsid w:val="00EE7A57"/>
    <w:rsid w:val="00EE7BA2"/>
    <w:rsid w:val="00EE7C24"/>
    <w:rsid w:val="00EE7DA0"/>
    <w:rsid w:val="00EE7F18"/>
    <w:rsid w:val="00EE7FD5"/>
    <w:rsid w:val="00EF01B8"/>
    <w:rsid w:val="00EF0423"/>
    <w:rsid w:val="00EF07B2"/>
    <w:rsid w:val="00EF0880"/>
    <w:rsid w:val="00EF0B80"/>
    <w:rsid w:val="00EF0BCD"/>
    <w:rsid w:val="00EF0CBF"/>
    <w:rsid w:val="00EF0F0D"/>
    <w:rsid w:val="00EF0F70"/>
    <w:rsid w:val="00EF1076"/>
    <w:rsid w:val="00EF1261"/>
    <w:rsid w:val="00EF13C2"/>
    <w:rsid w:val="00EF13CF"/>
    <w:rsid w:val="00EF15DE"/>
    <w:rsid w:val="00EF16BA"/>
    <w:rsid w:val="00EF16CB"/>
    <w:rsid w:val="00EF19A8"/>
    <w:rsid w:val="00EF1A2F"/>
    <w:rsid w:val="00EF1CF6"/>
    <w:rsid w:val="00EF1D6D"/>
    <w:rsid w:val="00EF1F8D"/>
    <w:rsid w:val="00EF2329"/>
    <w:rsid w:val="00EF23E1"/>
    <w:rsid w:val="00EF2402"/>
    <w:rsid w:val="00EF2633"/>
    <w:rsid w:val="00EF26F7"/>
    <w:rsid w:val="00EF27CE"/>
    <w:rsid w:val="00EF2BE3"/>
    <w:rsid w:val="00EF30E4"/>
    <w:rsid w:val="00EF3190"/>
    <w:rsid w:val="00EF3391"/>
    <w:rsid w:val="00EF3AD5"/>
    <w:rsid w:val="00EF3D87"/>
    <w:rsid w:val="00EF3D9D"/>
    <w:rsid w:val="00EF3DF0"/>
    <w:rsid w:val="00EF4079"/>
    <w:rsid w:val="00EF41F9"/>
    <w:rsid w:val="00EF44B4"/>
    <w:rsid w:val="00EF4562"/>
    <w:rsid w:val="00EF456B"/>
    <w:rsid w:val="00EF4615"/>
    <w:rsid w:val="00EF49AD"/>
    <w:rsid w:val="00EF4A32"/>
    <w:rsid w:val="00EF4AC3"/>
    <w:rsid w:val="00EF5003"/>
    <w:rsid w:val="00EF50DB"/>
    <w:rsid w:val="00EF51CC"/>
    <w:rsid w:val="00EF5668"/>
    <w:rsid w:val="00EF57A8"/>
    <w:rsid w:val="00EF59AA"/>
    <w:rsid w:val="00EF59BE"/>
    <w:rsid w:val="00EF5C00"/>
    <w:rsid w:val="00EF6118"/>
    <w:rsid w:val="00EF6157"/>
    <w:rsid w:val="00EF6252"/>
    <w:rsid w:val="00EF6496"/>
    <w:rsid w:val="00EF6580"/>
    <w:rsid w:val="00EF6749"/>
    <w:rsid w:val="00EF675A"/>
    <w:rsid w:val="00EF68D6"/>
    <w:rsid w:val="00EF6986"/>
    <w:rsid w:val="00EF6A05"/>
    <w:rsid w:val="00EF6D39"/>
    <w:rsid w:val="00EF6F1B"/>
    <w:rsid w:val="00EF6FD2"/>
    <w:rsid w:val="00EF70D4"/>
    <w:rsid w:val="00EF71E3"/>
    <w:rsid w:val="00EF75BD"/>
    <w:rsid w:val="00EF75DF"/>
    <w:rsid w:val="00EF7716"/>
    <w:rsid w:val="00EF7719"/>
    <w:rsid w:val="00EF77F6"/>
    <w:rsid w:val="00EF793E"/>
    <w:rsid w:val="00EF7C36"/>
    <w:rsid w:val="00EF7D7D"/>
    <w:rsid w:val="00EF7DFE"/>
    <w:rsid w:val="00EF7E25"/>
    <w:rsid w:val="00EF7E5C"/>
    <w:rsid w:val="00EF7F2A"/>
    <w:rsid w:val="00EF7FB0"/>
    <w:rsid w:val="00EF7FF5"/>
    <w:rsid w:val="00F005A6"/>
    <w:rsid w:val="00F00A6D"/>
    <w:rsid w:val="00F00A6E"/>
    <w:rsid w:val="00F00AB2"/>
    <w:rsid w:val="00F00ABF"/>
    <w:rsid w:val="00F00C0F"/>
    <w:rsid w:val="00F00C7B"/>
    <w:rsid w:val="00F00E37"/>
    <w:rsid w:val="00F00FB6"/>
    <w:rsid w:val="00F011D5"/>
    <w:rsid w:val="00F0120A"/>
    <w:rsid w:val="00F012C5"/>
    <w:rsid w:val="00F012CB"/>
    <w:rsid w:val="00F01450"/>
    <w:rsid w:val="00F014E5"/>
    <w:rsid w:val="00F0171F"/>
    <w:rsid w:val="00F01801"/>
    <w:rsid w:val="00F018A4"/>
    <w:rsid w:val="00F01AB2"/>
    <w:rsid w:val="00F01B48"/>
    <w:rsid w:val="00F01BB7"/>
    <w:rsid w:val="00F01C02"/>
    <w:rsid w:val="00F01C5A"/>
    <w:rsid w:val="00F01C63"/>
    <w:rsid w:val="00F01DBF"/>
    <w:rsid w:val="00F01EB9"/>
    <w:rsid w:val="00F01EEF"/>
    <w:rsid w:val="00F021C1"/>
    <w:rsid w:val="00F023BB"/>
    <w:rsid w:val="00F02468"/>
    <w:rsid w:val="00F024FB"/>
    <w:rsid w:val="00F0254B"/>
    <w:rsid w:val="00F0266B"/>
    <w:rsid w:val="00F026F7"/>
    <w:rsid w:val="00F028BE"/>
    <w:rsid w:val="00F02C04"/>
    <w:rsid w:val="00F02C18"/>
    <w:rsid w:val="00F02C26"/>
    <w:rsid w:val="00F02CAC"/>
    <w:rsid w:val="00F02CC4"/>
    <w:rsid w:val="00F02DAE"/>
    <w:rsid w:val="00F03143"/>
    <w:rsid w:val="00F0314A"/>
    <w:rsid w:val="00F03406"/>
    <w:rsid w:val="00F0345F"/>
    <w:rsid w:val="00F036C0"/>
    <w:rsid w:val="00F037BC"/>
    <w:rsid w:val="00F037E2"/>
    <w:rsid w:val="00F0385C"/>
    <w:rsid w:val="00F03BDE"/>
    <w:rsid w:val="00F03C5A"/>
    <w:rsid w:val="00F0410C"/>
    <w:rsid w:val="00F04150"/>
    <w:rsid w:val="00F043B6"/>
    <w:rsid w:val="00F043CA"/>
    <w:rsid w:val="00F044D8"/>
    <w:rsid w:val="00F0450A"/>
    <w:rsid w:val="00F0458D"/>
    <w:rsid w:val="00F04667"/>
    <w:rsid w:val="00F0472C"/>
    <w:rsid w:val="00F048C1"/>
    <w:rsid w:val="00F04AFA"/>
    <w:rsid w:val="00F04BFB"/>
    <w:rsid w:val="00F04CE7"/>
    <w:rsid w:val="00F04D40"/>
    <w:rsid w:val="00F050D3"/>
    <w:rsid w:val="00F05169"/>
    <w:rsid w:val="00F05208"/>
    <w:rsid w:val="00F05376"/>
    <w:rsid w:val="00F058DB"/>
    <w:rsid w:val="00F0597A"/>
    <w:rsid w:val="00F05BDC"/>
    <w:rsid w:val="00F05C70"/>
    <w:rsid w:val="00F0602E"/>
    <w:rsid w:val="00F062F2"/>
    <w:rsid w:val="00F06309"/>
    <w:rsid w:val="00F06349"/>
    <w:rsid w:val="00F063C1"/>
    <w:rsid w:val="00F067BB"/>
    <w:rsid w:val="00F06F45"/>
    <w:rsid w:val="00F06FC4"/>
    <w:rsid w:val="00F06FE9"/>
    <w:rsid w:val="00F0700D"/>
    <w:rsid w:val="00F0741E"/>
    <w:rsid w:val="00F07478"/>
    <w:rsid w:val="00F074D5"/>
    <w:rsid w:val="00F0760D"/>
    <w:rsid w:val="00F076A5"/>
    <w:rsid w:val="00F076E8"/>
    <w:rsid w:val="00F078A5"/>
    <w:rsid w:val="00F07927"/>
    <w:rsid w:val="00F07A4D"/>
    <w:rsid w:val="00F07AFC"/>
    <w:rsid w:val="00F07FAF"/>
    <w:rsid w:val="00F07FBE"/>
    <w:rsid w:val="00F1003C"/>
    <w:rsid w:val="00F1040C"/>
    <w:rsid w:val="00F10906"/>
    <w:rsid w:val="00F1099A"/>
    <w:rsid w:val="00F10BAE"/>
    <w:rsid w:val="00F10BEA"/>
    <w:rsid w:val="00F10CB4"/>
    <w:rsid w:val="00F10D4D"/>
    <w:rsid w:val="00F10D79"/>
    <w:rsid w:val="00F10DAF"/>
    <w:rsid w:val="00F10E18"/>
    <w:rsid w:val="00F10EE6"/>
    <w:rsid w:val="00F11037"/>
    <w:rsid w:val="00F11509"/>
    <w:rsid w:val="00F116F4"/>
    <w:rsid w:val="00F11A53"/>
    <w:rsid w:val="00F11C17"/>
    <w:rsid w:val="00F11E6F"/>
    <w:rsid w:val="00F11F99"/>
    <w:rsid w:val="00F120E7"/>
    <w:rsid w:val="00F1228E"/>
    <w:rsid w:val="00F1257F"/>
    <w:rsid w:val="00F125AF"/>
    <w:rsid w:val="00F126E6"/>
    <w:rsid w:val="00F12B82"/>
    <w:rsid w:val="00F12FDD"/>
    <w:rsid w:val="00F1340E"/>
    <w:rsid w:val="00F134CF"/>
    <w:rsid w:val="00F1352E"/>
    <w:rsid w:val="00F138FF"/>
    <w:rsid w:val="00F13A1F"/>
    <w:rsid w:val="00F13ABB"/>
    <w:rsid w:val="00F13C76"/>
    <w:rsid w:val="00F13EF1"/>
    <w:rsid w:val="00F14005"/>
    <w:rsid w:val="00F140B5"/>
    <w:rsid w:val="00F14155"/>
    <w:rsid w:val="00F142FA"/>
    <w:rsid w:val="00F14390"/>
    <w:rsid w:val="00F143BB"/>
    <w:rsid w:val="00F144D6"/>
    <w:rsid w:val="00F1467B"/>
    <w:rsid w:val="00F14684"/>
    <w:rsid w:val="00F14742"/>
    <w:rsid w:val="00F14811"/>
    <w:rsid w:val="00F14A0E"/>
    <w:rsid w:val="00F14AFA"/>
    <w:rsid w:val="00F14B59"/>
    <w:rsid w:val="00F14C90"/>
    <w:rsid w:val="00F14FF3"/>
    <w:rsid w:val="00F1525D"/>
    <w:rsid w:val="00F156EF"/>
    <w:rsid w:val="00F15886"/>
    <w:rsid w:val="00F15891"/>
    <w:rsid w:val="00F15A04"/>
    <w:rsid w:val="00F15A5A"/>
    <w:rsid w:val="00F15D42"/>
    <w:rsid w:val="00F15D93"/>
    <w:rsid w:val="00F16684"/>
    <w:rsid w:val="00F166BC"/>
    <w:rsid w:val="00F16781"/>
    <w:rsid w:val="00F167DF"/>
    <w:rsid w:val="00F16E0A"/>
    <w:rsid w:val="00F16E9E"/>
    <w:rsid w:val="00F16F75"/>
    <w:rsid w:val="00F17028"/>
    <w:rsid w:val="00F170A6"/>
    <w:rsid w:val="00F17380"/>
    <w:rsid w:val="00F17760"/>
    <w:rsid w:val="00F179BE"/>
    <w:rsid w:val="00F17C73"/>
    <w:rsid w:val="00F17DE0"/>
    <w:rsid w:val="00F17EC2"/>
    <w:rsid w:val="00F17F2B"/>
    <w:rsid w:val="00F2006C"/>
    <w:rsid w:val="00F2007D"/>
    <w:rsid w:val="00F2032A"/>
    <w:rsid w:val="00F204BA"/>
    <w:rsid w:val="00F205E9"/>
    <w:rsid w:val="00F20614"/>
    <w:rsid w:val="00F20706"/>
    <w:rsid w:val="00F20A06"/>
    <w:rsid w:val="00F20B9E"/>
    <w:rsid w:val="00F20CD4"/>
    <w:rsid w:val="00F20D1B"/>
    <w:rsid w:val="00F20D2C"/>
    <w:rsid w:val="00F20D9E"/>
    <w:rsid w:val="00F20F65"/>
    <w:rsid w:val="00F21013"/>
    <w:rsid w:val="00F2101C"/>
    <w:rsid w:val="00F211E5"/>
    <w:rsid w:val="00F2176E"/>
    <w:rsid w:val="00F21794"/>
    <w:rsid w:val="00F21821"/>
    <w:rsid w:val="00F21933"/>
    <w:rsid w:val="00F21C2D"/>
    <w:rsid w:val="00F21D45"/>
    <w:rsid w:val="00F21F4D"/>
    <w:rsid w:val="00F2200D"/>
    <w:rsid w:val="00F2207F"/>
    <w:rsid w:val="00F22236"/>
    <w:rsid w:val="00F22276"/>
    <w:rsid w:val="00F222D8"/>
    <w:rsid w:val="00F22309"/>
    <w:rsid w:val="00F22608"/>
    <w:rsid w:val="00F226DF"/>
    <w:rsid w:val="00F22C92"/>
    <w:rsid w:val="00F22D86"/>
    <w:rsid w:val="00F23011"/>
    <w:rsid w:val="00F2303C"/>
    <w:rsid w:val="00F23076"/>
    <w:rsid w:val="00F23182"/>
    <w:rsid w:val="00F23235"/>
    <w:rsid w:val="00F232B8"/>
    <w:rsid w:val="00F2354D"/>
    <w:rsid w:val="00F235A5"/>
    <w:rsid w:val="00F235BE"/>
    <w:rsid w:val="00F235BF"/>
    <w:rsid w:val="00F23626"/>
    <w:rsid w:val="00F236A5"/>
    <w:rsid w:val="00F2391C"/>
    <w:rsid w:val="00F23A9E"/>
    <w:rsid w:val="00F23B90"/>
    <w:rsid w:val="00F23DBF"/>
    <w:rsid w:val="00F23DC9"/>
    <w:rsid w:val="00F23EEE"/>
    <w:rsid w:val="00F241D5"/>
    <w:rsid w:val="00F241FA"/>
    <w:rsid w:val="00F2424D"/>
    <w:rsid w:val="00F24323"/>
    <w:rsid w:val="00F24445"/>
    <w:rsid w:val="00F244B1"/>
    <w:rsid w:val="00F246A3"/>
    <w:rsid w:val="00F246DB"/>
    <w:rsid w:val="00F2478F"/>
    <w:rsid w:val="00F248E5"/>
    <w:rsid w:val="00F24A63"/>
    <w:rsid w:val="00F24CC1"/>
    <w:rsid w:val="00F24CCF"/>
    <w:rsid w:val="00F24CD7"/>
    <w:rsid w:val="00F24F1E"/>
    <w:rsid w:val="00F24FC2"/>
    <w:rsid w:val="00F25129"/>
    <w:rsid w:val="00F2533C"/>
    <w:rsid w:val="00F25381"/>
    <w:rsid w:val="00F257D3"/>
    <w:rsid w:val="00F2584F"/>
    <w:rsid w:val="00F258E9"/>
    <w:rsid w:val="00F259E7"/>
    <w:rsid w:val="00F25B7E"/>
    <w:rsid w:val="00F25F49"/>
    <w:rsid w:val="00F26020"/>
    <w:rsid w:val="00F26426"/>
    <w:rsid w:val="00F2652F"/>
    <w:rsid w:val="00F26539"/>
    <w:rsid w:val="00F26611"/>
    <w:rsid w:val="00F266C6"/>
    <w:rsid w:val="00F267E2"/>
    <w:rsid w:val="00F26980"/>
    <w:rsid w:val="00F269B3"/>
    <w:rsid w:val="00F26A76"/>
    <w:rsid w:val="00F26C89"/>
    <w:rsid w:val="00F26D06"/>
    <w:rsid w:val="00F26F30"/>
    <w:rsid w:val="00F26F37"/>
    <w:rsid w:val="00F270DC"/>
    <w:rsid w:val="00F273C4"/>
    <w:rsid w:val="00F27859"/>
    <w:rsid w:val="00F279F5"/>
    <w:rsid w:val="00F27C34"/>
    <w:rsid w:val="00F27C42"/>
    <w:rsid w:val="00F27CD3"/>
    <w:rsid w:val="00F27DF3"/>
    <w:rsid w:val="00F27E25"/>
    <w:rsid w:val="00F27E2E"/>
    <w:rsid w:val="00F30314"/>
    <w:rsid w:val="00F3037D"/>
    <w:rsid w:val="00F303CF"/>
    <w:rsid w:val="00F3062C"/>
    <w:rsid w:val="00F306CE"/>
    <w:rsid w:val="00F30757"/>
    <w:rsid w:val="00F30849"/>
    <w:rsid w:val="00F30878"/>
    <w:rsid w:val="00F308F9"/>
    <w:rsid w:val="00F30C71"/>
    <w:rsid w:val="00F31103"/>
    <w:rsid w:val="00F311DA"/>
    <w:rsid w:val="00F3122D"/>
    <w:rsid w:val="00F313F4"/>
    <w:rsid w:val="00F3157B"/>
    <w:rsid w:val="00F31619"/>
    <w:rsid w:val="00F316F4"/>
    <w:rsid w:val="00F31712"/>
    <w:rsid w:val="00F319A4"/>
    <w:rsid w:val="00F31AF1"/>
    <w:rsid w:val="00F31F53"/>
    <w:rsid w:val="00F31F72"/>
    <w:rsid w:val="00F3211D"/>
    <w:rsid w:val="00F321FE"/>
    <w:rsid w:val="00F32620"/>
    <w:rsid w:val="00F327DC"/>
    <w:rsid w:val="00F32892"/>
    <w:rsid w:val="00F32951"/>
    <w:rsid w:val="00F32A12"/>
    <w:rsid w:val="00F32A7B"/>
    <w:rsid w:val="00F32E08"/>
    <w:rsid w:val="00F32E18"/>
    <w:rsid w:val="00F32EEF"/>
    <w:rsid w:val="00F33041"/>
    <w:rsid w:val="00F33190"/>
    <w:rsid w:val="00F33455"/>
    <w:rsid w:val="00F33673"/>
    <w:rsid w:val="00F33725"/>
    <w:rsid w:val="00F33796"/>
    <w:rsid w:val="00F3380E"/>
    <w:rsid w:val="00F3390A"/>
    <w:rsid w:val="00F33BD8"/>
    <w:rsid w:val="00F33C47"/>
    <w:rsid w:val="00F33D3A"/>
    <w:rsid w:val="00F33FB2"/>
    <w:rsid w:val="00F341F6"/>
    <w:rsid w:val="00F34630"/>
    <w:rsid w:val="00F34760"/>
    <w:rsid w:val="00F347F3"/>
    <w:rsid w:val="00F34B6C"/>
    <w:rsid w:val="00F34C09"/>
    <w:rsid w:val="00F34EB6"/>
    <w:rsid w:val="00F34F98"/>
    <w:rsid w:val="00F35046"/>
    <w:rsid w:val="00F35157"/>
    <w:rsid w:val="00F351EA"/>
    <w:rsid w:val="00F35441"/>
    <w:rsid w:val="00F35458"/>
    <w:rsid w:val="00F354D6"/>
    <w:rsid w:val="00F355EA"/>
    <w:rsid w:val="00F35628"/>
    <w:rsid w:val="00F356F4"/>
    <w:rsid w:val="00F35779"/>
    <w:rsid w:val="00F35826"/>
    <w:rsid w:val="00F35843"/>
    <w:rsid w:val="00F3596A"/>
    <w:rsid w:val="00F35B4B"/>
    <w:rsid w:val="00F35DFC"/>
    <w:rsid w:val="00F36048"/>
    <w:rsid w:val="00F36450"/>
    <w:rsid w:val="00F36576"/>
    <w:rsid w:val="00F36A47"/>
    <w:rsid w:val="00F36A59"/>
    <w:rsid w:val="00F36C35"/>
    <w:rsid w:val="00F36EAC"/>
    <w:rsid w:val="00F37153"/>
    <w:rsid w:val="00F3720D"/>
    <w:rsid w:val="00F37807"/>
    <w:rsid w:val="00F378EC"/>
    <w:rsid w:val="00F3794D"/>
    <w:rsid w:val="00F37A6F"/>
    <w:rsid w:val="00F37D4E"/>
    <w:rsid w:val="00F37D52"/>
    <w:rsid w:val="00F37DFC"/>
    <w:rsid w:val="00F37E8C"/>
    <w:rsid w:val="00F37E98"/>
    <w:rsid w:val="00F37F54"/>
    <w:rsid w:val="00F40052"/>
    <w:rsid w:val="00F401B5"/>
    <w:rsid w:val="00F4026B"/>
    <w:rsid w:val="00F402B6"/>
    <w:rsid w:val="00F403A3"/>
    <w:rsid w:val="00F40442"/>
    <w:rsid w:val="00F40502"/>
    <w:rsid w:val="00F4083E"/>
    <w:rsid w:val="00F40854"/>
    <w:rsid w:val="00F4090C"/>
    <w:rsid w:val="00F40A29"/>
    <w:rsid w:val="00F40C99"/>
    <w:rsid w:val="00F40D0A"/>
    <w:rsid w:val="00F40EE1"/>
    <w:rsid w:val="00F40F79"/>
    <w:rsid w:val="00F411EC"/>
    <w:rsid w:val="00F41282"/>
    <w:rsid w:val="00F413EB"/>
    <w:rsid w:val="00F413F0"/>
    <w:rsid w:val="00F4152A"/>
    <w:rsid w:val="00F41549"/>
    <w:rsid w:val="00F415CF"/>
    <w:rsid w:val="00F415FC"/>
    <w:rsid w:val="00F41856"/>
    <w:rsid w:val="00F418D7"/>
    <w:rsid w:val="00F418F5"/>
    <w:rsid w:val="00F42038"/>
    <w:rsid w:val="00F420AD"/>
    <w:rsid w:val="00F42106"/>
    <w:rsid w:val="00F421FD"/>
    <w:rsid w:val="00F42380"/>
    <w:rsid w:val="00F4264E"/>
    <w:rsid w:val="00F42797"/>
    <w:rsid w:val="00F42828"/>
    <w:rsid w:val="00F42865"/>
    <w:rsid w:val="00F429F4"/>
    <w:rsid w:val="00F42AFC"/>
    <w:rsid w:val="00F42B04"/>
    <w:rsid w:val="00F42B7B"/>
    <w:rsid w:val="00F42BC6"/>
    <w:rsid w:val="00F42CDE"/>
    <w:rsid w:val="00F42D24"/>
    <w:rsid w:val="00F42D6A"/>
    <w:rsid w:val="00F431B2"/>
    <w:rsid w:val="00F43336"/>
    <w:rsid w:val="00F43404"/>
    <w:rsid w:val="00F43A91"/>
    <w:rsid w:val="00F43B06"/>
    <w:rsid w:val="00F43D47"/>
    <w:rsid w:val="00F43FA1"/>
    <w:rsid w:val="00F44259"/>
    <w:rsid w:val="00F4474A"/>
    <w:rsid w:val="00F447AC"/>
    <w:rsid w:val="00F447D7"/>
    <w:rsid w:val="00F448AB"/>
    <w:rsid w:val="00F448FB"/>
    <w:rsid w:val="00F4490E"/>
    <w:rsid w:val="00F44C54"/>
    <w:rsid w:val="00F44CDB"/>
    <w:rsid w:val="00F44E9A"/>
    <w:rsid w:val="00F45005"/>
    <w:rsid w:val="00F4518C"/>
    <w:rsid w:val="00F451EA"/>
    <w:rsid w:val="00F4541C"/>
    <w:rsid w:val="00F45A73"/>
    <w:rsid w:val="00F45B72"/>
    <w:rsid w:val="00F45BDC"/>
    <w:rsid w:val="00F45E43"/>
    <w:rsid w:val="00F461B6"/>
    <w:rsid w:val="00F463BC"/>
    <w:rsid w:val="00F464E2"/>
    <w:rsid w:val="00F46610"/>
    <w:rsid w:val="00F4683F"/>
    <w:rsid w:val="00F46A14"/>
    <w:rsid w:val="00F46B67"/>
    <w:rsid w:val="00F46C04"/>
    <w:rsid w:val="00F46FD5"/>
    <w:rsid w:val="00F47100"/>
    <w:rsid w:val="00F4731B"/>
    <w:rsid w:val="00F47663"/>
    <w:rsid w:val="00F47684"/>
    <w:rsid w:val="00F47B98"/>
    <w:rsid w:val="00F47D9C"/>
    <w:rsid w:val="00F47EA0"/>
    <w:rsid w:val="00F47FCA"/>
    <w:rsid w:val="00F5021C"/>
    <w:rsid w:val="00F50712"/>
    <w:rsid w:val="00F50934"/>
    <w:rsid w:val="00F50A48"/>
    <w:rsid w:val="00F50A4C"/>
    <w:rsid w:val="00F50AD3"/>
    <w:rsid w:val="00F50BD7"/>
    <w:rsid w:val="00F50BEF"/>
    <w:rsid w:val="00F513AF"/>
    <w:rsid w:val="00F513FD"/>
    <w:rsid w:val="00F516BA"/>
    <w:rsid w:val="00F51720"/>
    <w:rsid w:val="00F5199A"/>
    <w:rsid w:val="00F51A90"/>
    <w:rsid w:val="00F51D34"/>
    <w:rsid w:val="00F51DA6"/>
    <w:rsid w:val="00F51E24"/>
    <w:rsid w:val="00F51E2B"/>
    <w:rsid w:val="00F51F09"/>
    <w:rsid w:val="00F5223E"/>
    <w:rsid w:val="00F52391"/>
    <w:rsid w:val="00F526D6"/>
    <w:rsid w:val="00F529F9"/>
    <w:rsid w:val="00F52B22"/>
    <w:rsid w:val="00F52DBB"/>
    <w:rsid w:val="00F5320C"/>
    <w:rsid w:val="00F53290"/>
    <w:rsid w:val="00F534B1"/>
    <w:rsid w:val="00F5354C"/>
    <w:rsid w:val="00F5372D"/>
    <w:rsid w:val="00F5374C"/>
    <w:rsid w:val="00F537AE"/>
    <w:rsid w:val="00F53815"/>
    <w:rsid w:val="00F53833"/>
    <w:rsid w:val="00F5387C"/>
    <w:rsid w:val="00F53A27"/>
    <w:rsid w:val="00F53AF4"/>
    <w:rsid w:val="00F53DB0"/>
    <w:rsid w:val="00F53DD7"/>
    <w:rsid w:val="00F53E17"/>
    <w:rsid w:val="00F53F1D"/>
    <w:rsid w:val="00F53FBB"/>
    <w:rsid w:val="00F54166"/>
    <w:rsid w:val="00F542E3"/>
    <w:rsid w:val="00F54308"/>
    <w:rsid w:val="00F543A6"/>
    <w:rsid w:val="00F546AB"/>
    <w:rsid w:val="00F54A71"/>
    <w:rsid w:val="00F54B4C"/>
    <w:rsid w:val="00F54C4D"/>
    <w:rsid w:val="00F54DAF"/>
    <w:rsid w:val="00F54E50"/>
    <w:rsid w:val="00F54F49"/>
    <w:rsid w:val="00F550B4"/>
    <w:rsid w:val="00F55204"/>
    <w:rsid w:val="00F553F6"/>
    <w:rsid w:val="00F554E1"/>
    <w:rsid w:val="00F555D6"/>
    <w:rsid w:val="00F557B0"/>
    <w:rsid w:val="00F557DA"/>
    <w:rsid w:val="00F55A1E"/>
    <w:rsid w:val="00F55AF5"/>
    <w:rsid w:val="00F55E5F"/>
    <w:rsid w:val="00F56083"/>
    <w:rsid w:val="00F5628F"/>
    <w:rsid w:val="00F563F1"/>
    <w:rsid w:val="00F5640B"/>
    <w:rsid w:val="00F565FF"/>
    <w:rsid w:val="00F5663A"/>
    <w:rsid w:val="00F56720"/>
    <w:rsid w:val="00F56816"/>
    <w:rsid w:val="00F56B3A"/>
    <w:rsid w:val="00F56E0D"/>
    <w:rsid w:val="00F571A4"/>
    <w:rsid w:val="00F576EC"/>
    <w:rsid w:val="00F57D31"/>
    <w:rsid w:val="00F57DA2"/>
    <w:rsid w:val="00F601D0"/>
    <w:rsid w:val="00F601E8"/>
    <w:rsid w:val="00F60235"/>
    <w:rsid w:val="00F6036F"/>
    <w:rsid w:val="00F60545"/>
    <w:rsid w:val="00F6070D"/>
    <w:rsid w:val="00F60909"/>
    <w:rsid w:val="00F60B5C"/>
    <w:rsid w:val="00F60C62"/>
    <w:rsid w:val="00F60E77"/>
    <w:rsid w:val="00F61027"/>
    <w:rsid w:val="00F612CC"/>
    <w:rsid w:val="00F612EE"/>
    <w:rsid w:val="00F6132F"/>
    <w:rsid w:val="00F61697"/>
    <w:rsid w:val="00F616A7"/>
    <w:rsid w:val="00F61B6D"/>
    <w:rsid w:val="00F61CFD"/>
    <w:rsid w:val="00F61E89"/>
    <w:rsid w:val="00F61EA4"/>
    <w:rsid w:val="00F61F0B"/>
    <w:rsid w:val="00F61FDE"/>
    <w:rsid w:val="00F62094"/>
    <w:rsid w:val="00F621D0"/>
    <w:rsid w:val="00F62242"/>
    <w:rsid w:val="00F623E5"/>
    <w:rsid w:val="00F623EA"/>
    <w:rsid w:val="00F62667"/>
    <w:rsid w:val="00F6283F"/>
    <w:rsid w:val="00F62C23"/>
    <w:rsid w:val="00F62E62"/>
    <w:rsid w:val="00F62EBF"/>
    <w:rsid w:val="00F630F3"/>
    <w:rsid w:val="00F63334"/>
    <w:rsid w:val="00F633F8"/>
    <w:rsid w:val="00F6356D"/>
    <w:rsid w:val="00F636B4"/>
    <w:rsid w:val="00F638D2"/>
    <w:rsid w:val="00F63D30"/>
    <w:rsid w:val="00F64187"/>
    <w:rsid w:val="00F641CA"/>
    <w:rsid w:val="00F642A8"/>
    <w:rsid w:val="00F6460E"/>
    <w:rsid w:val="00F64640"/>
    <w:rsid w:val="00F6498D"/>
    <w:rsid w:val="00F64C3E"/>
    <w:rsid w:val="00F64D5A"/>
    <w:rsid w:val="00F64D85"/>
    <w:rsid w:val="00F64F28"/>
    <w:rsid w:val="00F65281"/>
    <w:rsid w:val="00F654D9"/>
    <w:rsid w:val="00F6568A"/>
    <w:rsid w:val="00F657A9"/>
    <w:rsid w:val="00F658AA"/>
    <w:rsid w:val="00F658AE"/>
    <w:rsid w:val="00F65AD9"/>
    <w:rsid w:val="00F65C7C"/>
    <w:rsid w:val="00F65CB7"/>
    <w:rsid w:val="00F65CF0"/>
    <w:rsid w:val="00F65DEF"/>
    <w:rsid w:val="00F65E2E"/>
    <w:rsid w:val="00F65E83"/>
    <w:rsid w:val="00F65F67"/>
    <w:rsid w:val="00F6608E"/>
    <w:rsid w:val="00F6612C"/>
    <w:rsid w:val="00F6612F"/>
    <w:rsid w:val="00F6633F"/>
    <w:rsid w:val="00F66550"/>
    <w:rsid w:val="00F665FE"/>
    <w:rsid w:val="00F66634"/>
    <w:rsid w:val="00F666A2"/>
    <w:rsid w:val="00F667C5"/>
    <w:rsid w:val="00F66828"/>
    <w:rsid w:val="00F669B9"/>
    <w:rsid w:val="00F66B2A"/>
    <w:rsid w:val="00F66B9F"/>
    <w:rsid w:val="00F66C4C"/>
    <w:rsid w:val="00F66E94"/>
    <w:rsid w:val="00F672DA"/>
    <w:rsid w:val="00F6755B"/>
    <w:rsid w:val="00F67932"/>
    <w:rsid w:val="00F67992"/>
    <w:rsid w:val="00F67A1E"/>
    <w:rsid w:val="00F67CCF"/>
    <w:rsid w:val="00F67D50"/>
    <w:rsid w:val="00F70033"/>
    <w:rsid w:val="00F701C9"/>
    <w:rsid w:val="00F702E5"/>
    <w:rsid w:val="00F703D0"/>
    <w:rsid w:val="00F705E8"/>
    <w:rsid w:val="00F70813"/>
    <w:rsid w:val="00F708F8"/>
    <w:rsid w:val="00F70937"/>
    <w:rsid w:val="00F709A4"/>
    <w:rsid w:val="00F70DBD"/>
    <w:rsid w:val="00F70E34"/>
    <w:rsid w:val="00F71284"/>
    <w:rsid w:val="00F713A8"/>
    <w:rsid w:val="00F713BA"/>
    <w:rsid w:val="00F7157E"/>
    <w:rsid w:val="00F7173A"/>
    <w:rsid w:val="00F71AD2"/>
    <w:rsid w:val="00F71C30"/>
    <w:rsid w:val="00F71D31"/>
    <w:rsid w:val="00F71E53"/>
    <w:rsid w:val="00F71F32"/>
    <w:rsid w:val="00F71F50"/>
    <w:rsid w:val="00F71FDF"/>
    <w:rsid w:val="00F72055"/>
    <w:rsid w:val="00F720B4"/>
    <w:rsid w:val="00F72103"/>
    <w:rsid w:val="00F72144"/>
    <w:rsid w:val="00F7221B"/>
    <w:rsid w:val="00F72301"/>
    <w:rsid w:val="00F7252A"/>
    <w:rsid w:val="00F72776"/>
    <w:rsid w:val="00F727AA"/>
    <w:rsid w:val="00F727DE"/>
    <w:rsid w:val="00F7283C"/>
    <w:rsid w:val="00F72876"/>
    <w:rsid w:val="00F728ED"/>
    <w:rsid w:val="00F7297C"/>
    <w:rsid w:val="00F72ABF"/>
    <w:rsid w:val="00F72CDE"/>
    <w:rsid w:val="00F730A1"/>
    <w:rsid w:val="00F7325E"/>
    <w:rsid w:val="00F732E6"/>
    <w:rsid w:val="00F73428"/>
    <w:rsid w:val="00F73451"/>
    <w:rsid w:val="00F734F8"/>
    <w:rsid w:val="00F73B5B"/>
    <w:rsid w:val="00F73BA2"/>
    <w:rsid w:val="00F73BC0"/>
    <w:rsid w:val="00F73BC5"/>
    <w:rsid w:val="00F73D09"/>
    <w:rsid w:val="00F73DB7"/>
    <w:rsid w:val="00F73F01"/>
    <w:rsid w:val="00F741D8"/>
    <w:rsid w:val="00F744A8"/>
    <w:rsid w:val="00F74521"/>
    <w:rsid w:val="00F7455E"/>
    <w:rsid w:val="00F7468A"/>
    <w:rsid w:val="00F7472D"/>
    <w:rsid w:val="00F7484A"/>
    <w:rsid w:val="00F748AE"/>
    <w:rsid w:val="00F74D76"/>
    <w:rsid w:val="00F74E87"/>
    <w:rsid w:val="00F74EDD"/>
    <w:rsid w:val="00F7503A"/>
    <w:rsid w:val="00F7506B"/>
    <w:rsid w:val="00F750D4"/>
    <w:rsid w:val="00F75132"/>
    <w:rsid w:val="00F75156"/>
    <w:rsid w:val="00F75189"/>
    <w:rsid w:val="00F7529E"/>
    <w:rsid w:val="00F752B8"/>
    <w:rsid w:val="00F753F2"/>
    <w:rsid w:val="00F754E3"/>
    <w:rsid w:val="00F75786"/>
    <w:rsid w:val="00F75C4A"/>
    <w:rsid w:val="00F75E2F"/>
    <w:rsid w:val="00F75F91"/>
    <w:rsid w:val="00F75F9E"/>
    <w:rsid w:val="00F75FF3"/>
    <w:rsid w:val="00F7600E"/>
    <w:rsid w:val="00F7612C"/>
    <w:rsid w:val="00F76280"/>
    <w:rsid w:val="00F7629E"/>
    <w:rsid w:val="00F76585"/>
    <w:rsid w:val="00F765A5"/>
    <w:rsid w:val="00F767F1"/>
    <w:rsid w:val="00F76936"/>
    <w:rsid w:val="00F769B1"/>
    <w:rsid w:val="00F76A98"/>
    <w:rsid w:val="00F76C5C"/>
    <w:rsid w:val="00F76ECE"/>
    <w:rsid w:val="00F770D1"/>
    <w:rsid w:val="00F772BE"/>
    <w:rsid w:val="00F773C8"/>
    <w:rsid w:val="00F7795E"/>
    <w:rsid w:val="00F779DA"/>
    <w:rsid w:val="00F77B90"/>
    <w:rsid w:val="00F77E48"/>
    <w:rsid w:val="00F77ED4"/>
    <w:rsid w:val="00F80010"/>
    <w:rsid w:val="00F8008B"/>
    <w:rsid w:val="00F801A8"/>
    <w:rsid w:val="00F802A3"/>
    <w:rsid w:val="00F802F0"/>
    <w:rsid w:val="00F80357"/>
    <w:rsid w:val="00F803E2"/>
    <w:rsid w:val="00F80451"/>
    <w:rsid w:val="00F80648"/>
    <w:rsid w:val="00F80C40"/>
    <w:rsid w:val="00F8103E"/>
    <w:rsid w:val="00F8125B"/>
    <w:rsid w:val="00F812B5"/>
    <w:rsid w:val="00F815ED"/>
    <w:rsid w:val="00F816E9"/>
    <w:rsid w:val="00F81720"/>
    <w:rsid w:val="00F8173B"/>
    <w:rsid w:val="00F81951"/>
    <w:rsid w:val="00F8199B"/>
    <w:rsid w:val="00F81A44"/>
    <w:rsid w:val="00F81A86"/>
    <w:rsid w:val="00F81DC8"/>
    <w:rsid w:val="00F81E0B"/>
    <w:rsid w:val="00F81E9C"/>
    <w:rsid w:val="00F8210D"/>
    <w:rsid w:val="00F82181"/>
    <w:rsid w:val="00F821BE"/>
    <w:rsid w:val="00F822BD"/>
    <w:rsid w:val="00F82317"/>
    <w:rsid w:val="00F8232E"/>
    <w:rsid w:val="00F8260C"/>
    <w:rsid w:val="00F828E8"/>
    <w:rsid w:val="00F82CFB"/>
    <w:rsid w:val="00F82E61"/>
    <w:rsid w:val="00F82F28"/>
    <w:rsid w:val="00F82F4A"/>
    <w:rsid w:val="00F83234"/>
    <w:rsid w:val="00F833FB"/>
    <w:rsid w:val="00F83452"/>
    <w:rsid w:val="00F835F8"/>
    <w:rsid w:val="00F8366C"/>
    <w:rsid w:val="00F8368B"/>
    <w:rsid w:val="00F83A65"/>
    <w:rsid w:val="00F83D9D"/>
    <w:rsid w:val="00F83DF6"/>
    <w:rsid w:val="00F83DF8"/>
    <w:rsid w:val="00F84005"/>
    <w:rsid w:val="00F8404E"/>
    <w:rsid w:val="00F840D3"/>
    <w:rsid w:val="00F8433F"/>
    <w:rsid w:val="00F845AE"/>
    <w:rsid w:val="00F84723"/>
    <w:rsid w:val="00F8475F"/>
    <w:rsid w:val="00F8478F"/>
    <w:rsid w:val="00F84825"/>
    <w:rsid w:val="00F8491D"/>
    <w:rsid w:val="00F849FE"/>
    <w:rsid w:val="00F84BB9"/>
    <w:rsid w:val="00F84C94"/>
    <w:rsid w:val="00F84CD7"/>
    <w:rsid w:val="00F84F12"/>
    <w:rsid w:val="00F84F4A"/>
    <w:rsid w:val="00F8503E"/>
    <w:rsid w:val="00F85095"/>
    <w:rsid w:val="00F850A0"/>
    <w:rsid w:val="00F8511C"/>
    <w:rsid w:val="00F85121"/>
    <w:rsid w:val="00F85169"/>
    <w:rsid w:val="00F85527"/>
    <w:rsid w:val="00F855FF"/>
    <w:rsid w:val="00F85605"/>
    <w:rsid w:val="00F859E2"/>
    <w:rsid w:val="00F85AA4"/>
    <w:rsid w:val="00F85BCE"/>
    <w:rsid w:val="00F85EA3"/>
    <w:rsid w:val="00F85EBF"/>
    <w:rsid w:val="00F85FB0"/>
    <w:rsid w:val="00F85FEA"/>
    <w:rsid w:val="00F860CE"/>
    <w:rsid w:val="00F86274"/>
    <w:rsid w:val="00F86282"/>
    <w:rsid w:val="00F86549"/>
    <w:rsid w:val="00F865F8"/>
    <w:rsid w:val="00F86927"/>
    <w:rsid w:val="00F86B5B"/>
    <w:rsid w:val="00F86B84"/>
    <w:rsid w:val="00F86E20"/>
    <w:rsid w:val="00F86E95"/>
    <w:rsid w:val="00F86EAF"/>
    <w:rsid w:val="00F86F4C"/>
    <w:rsid w:val="00F86FBE"/>
    <w:rsid w:val="00F87004"/>
    <w:rsid w:val="00F87081"/>
    <w:rsid w:val="00F870CC"/>
    <w:rsid w:val="00F870D0"/>
    <w:rsid w:val="00F871D6"/>
    <w:rsid w:val="00F871DF"/>
    <w:rsid w:val="00F87390"/>
    <w:rsid w:val="00F87602"/>
    <w:rsid w:val="00F87745"/>
    <w:rsid w:val="00F8776F"/>
    <w:rsid w:val="00F87797"/>
    <w:rsid w:val="00F87CDA"/>
    <w:rsid w:val="00F87F54"/>
    <w:rsid w:val="00F900AB"/>
    <w:rsid w:val="00F90189"/>
    <w:rsid w:val="00F90288"/>
    <w:rsid w:val="00F902E8"/>
    <w:rsid w:val="00F905DB"/>
    <w:rsid w:val="00F9085D"/>
    <w:rsid w:val="00F90A4F"/>
    <w:rsid w:val="00F90BFB"/>
    <w:rsid w:val="00F90CC9"/>
    <w:rsid w:val="00F90DAC"/>
    <w:rsid w:val="00F90DD3"/>
    <w:rsid w:val="00F90E9C"/>
    <w:rsid w:val="00F90FA9"/>
    <w:rsid w:val="00F910D4"/>
    <w:rsid w:val="00F912BD"/>
    <w:rsid w:val="00F9144C"/>
    <w:rsid w:val="00F914E7"/>
    <w:rsid w:val="00F9153A"/>
    <w:rsid w:val="00F915C8"/>
    <w:rsid w:val="00F9160D"/>
    <w:rsid w:val="00F9160E"/>
    <w:rsid w:val="00F917E2"/>
    <w:rsid w:val="00F9193E"/>
    <w:rsid w:val="00F9194F"/>
    <w:rsid w:val="00F91AD9"/>
    <w:rsid w:val="00F91BBD"/>
    <w:rsid w:val="00F91E58"/>
    <w:rsid w:val="00F91FA4"/>
    <w:rsid w:val="00F9214D"/>
    <w:rsid w:val="00F92220"/>
    <w:rsid w:val="00F922EF"/>
    <w:rsid w:val="00F9252F"/>
    <w:rsid w:val="00F925C3"/>
    <w:rsid w:val="00F9265B"/>
    <w:rsid w:val="00F926BF"/>
    <w:rsid w:val="00F92705"/>
    <w:rsid w:val="00F927D7"/>
    <w:rsid w:val="00F9293E"/>
    <w:rsid w:val="00F92CE8"/>
    <w:rsid w:val="00F92D9F"/>
    <w:rsid w:val="00F92DA4"/>
    <w:rsid w:val="00F92EF8"/>
    <w:rsid w:val="00F92F37"/>
    <w:rsid w:val="00F92F69"/>
    <w:rsid w:val="00F9334A"/>
    <w:rsid w:val="00F934B8"/>
    <w:rsid w:val="00F93529"/>
    <w:rsid w:val="00F936A1"/>
    <w:rsid w:val="00F936C1"/>
    <w:rsid w:val="00F93A3F"/>
    <w:rsid w:val="00F93A7C"/>
    <w:rsid w:val="00F93B32"/>
    <w:rsid w:val="00F93F9D"/>
    <w:rsid w:val="00F93FAB"/>
    <w:rsid w:val="00F93FFA"/>
    <w:rsid w:val="00F940B6"/>
    <w:rsid w:val="00F94290"/>
    <w:rsid w:val="00F942C2"/>
    <w:rsid w:val="00F942CE"/>
    <w:rsid w:val="00F94481"/>
    <w:rsid w:val="00F94514"/>
    <w:rsid w:val="00F9459F"/>
    <w:rsid w:val="00F946F8"/>
    <w:rsid w:val="00F94784"/>
    <w:rsid w:val="00F948FA"/>
    <w:rsid w:val="00F9499E"/>
    <w:rsid w:val="00F94B76"/>
    <w:rsid w:val="00F94D79"/>
    <w:rsid w:val="00F94DD8"/>
    <w:rsid w:val="00F94F80"/>
    <w:rsid w:val="00F951AC"/>
    <w:rsid w:val="00F952FF"/>
    <w:rsid w:val="00F95575"/>
    <w:rsid w:val="00F955D6"/>
    <w:rsid w:val="00F955E3"/>
    <w:rsid w:val="00F957A4"/>
    <w:rsid w:val="00F95848"/>
    <w:rsid w:val="00F95ADF"/>
    <w:rsid w:val="00F95C08"/>
    <w:rsid w:val="00F95C78"/>
    <w:rsid w:val="00F95DCB"/>
    <w:rsid w:val="00F95ECA"/>
    <w:rsid w:val="00F95FE9"/>
    <w:rsid w:val="00F9606A"/>
    <w:rsid w:val="00F9613A"/>
    <w:rsid w:val="00F962CB"/>
    <w:rsid w:val="00F962D3"/>
    <w:rsid w:val="00F9643F"/>
    <w:rsid w:val="00F966DA"/>
    <w:rsid w:val="00F969AD"/>
    <w:rsid w:val="00F96AD0"/>
    <w:rsid w:val="00F96B8E"/>
    <w:rsid w:val="00F96C60"/>
    <w:rsid w:val="00F96CB5"/>
    <w:rsid w:val="00F96ECC"/>
    <w:rsid w:val="00F96ED2"/>
    <w:rsid w:val="00F96EFF"/>
    <w:rsid w:val="00F97068"/>
    <w:rsid w:val="00F97120"/>
    <w:rsid w:val="00F97223"/>
    <w:rsid w:val="00F97250"/>
    <w:rsid w:val="00F972C2"/>
    <w:rsid w:val="00F97320"/>
    <w:rsid w:val="00F97379"/>
    <w:rsid w:val="00F9743D"/>
    <w:rsid w:val="00F974F5"/>
    <w:rsid w:val="00F97511"/>
    <w:rsid w:val="00F97706"/>
    <w:rsid w:val="00F977D7"/>
    <w:rsid w:val="00F979A1"/>
    <w:rsid w:val="00F979C9"/>
    <w:rsid w:val="00F97B60"/>
    <w:rsid w:val="00F97C8B"/>
    <w:rsid w:val="00F97D50"/>
    <w:rsid w:val="00F97E04"/>
    <w:rsid w:val="00F97FC2"/>
    <w:rsid w:val="00FA0034"/>
    <w:rsid w:val="00FA01D0"/>
    <w:rsid w:val="00FA046D"/>
    <w:rsid w:val="00FA05BF"/>
    <w:rsid w:val="00FA05ED"/>
    <w:rsid w:val="00FA0742"/>
    <w:rsid w:val="00FA0E66"/>
    <w:rsid w:val="00FA0ED2"/>
    <w:rsid w:val="00FA115E"/>
    <w:rsid w:val="00FA138E"/>
    <w:rsid w:val="00FA14B2"/>
    <w:rsid w:val="00FA16CE"/>
    <w:rsid w:val="00FA190E"/>
    <w:rsid w:val="00FA19D3"/>
    <w:rsid w:val="00FA1B12"/>
    <w:rsid w:val="00FA1C03"/>
    <w:rsid w:val="00FA1C2F"/>
    <w:rsid w:val="00FA20D1"/>
    <w:rsid w:val="00FA2213"/>
    <w:rsid w:val="00FA22A1"/>
    <w:rsid w:val="00FA2473"/>
    <w:rsid w:val="00FA24B9"/>
    <w:rsid w:val="00FA27DF"/>
    <w:rsid w:val="00FA290B"/>
    <w:rsid w:val="00FA2BD0"/>
    <w:rsid w:val="00FA2D21"/>
    <w:rsid w:val="00FA2DF4"/>
    <w:rsid w:val="00FA3386"/>
    <w:rsid w:val="00FA3389"/>
    <w:rsid w:val="00FA3541"/>
    <w:rsid w:val="00FA3A56"/>
    <w:rsid w:val="00FA3B21"/>
    <w:rsid w:val="00FA3E74"/>
    <w:rsid w:val="00FA3FCC"/>
    <w:rsid w:val="00FA405E"/>
    <w:rsid w:val="00FA4119"/>
    <w:rsid w:val="00FA4180"/>
    <w:rsid w:val="00FA41F0"/>
    <w:rsid w:val="00FA427D"/>
    <w:rsid w:val="00FA4292"/>
    <w:rsid w:val="00FA45A9"/>
    <w:rsid w:val="00FA46B8"/>
    <w:rsid w:val="00FA4AE0"/>
    <w:rsid w:val="00FA4B66"/>
    <w:rsid w:val="00FA4C01"/>
    <w:rsid w:val="00FA4E9E"/>
    <w:rsid w:val="00FA512A"/>
    <w:rsid w:val="00FA52A5"/>
    <w:rsid w:val="00FA53F7"/>
    <w:rsid w:val="00FA54ED"/>
    <w:rsid w:val="00FA572E"/>
    <w:rsid w:val="00FA5986"/>
    <w:rsid w:val="00FA5E10"/>
    <w:rsid w:val="00FA5EC9"/>
    <w:rsid w:val="00FA5F3C"/>
    <w:rsid w:val="00FA6011"/>
    <w:rsid w:val="00FA646D"/>
    <w:rsid w:val="00FA665B"/>
    <w:rsid w:val="00FA6730"/>
    <w:rsid w:val="00FA6764"/>
    <w:rsid w:val="00FA67A0"/>
    <w:rsid w:val="00FA69CC"/>
    <w:rsid w:val="00FA6A6F"/>
    <w:rsid w:val="00FA6A75"/>
    <w:rsid w:val="00FA6A9B"/>
    <w:rsid w:val="00FA6CE1"/>
    <w:rsid w:val="00FA6E7E"/>
    <w:rsid w:val="00FA71FA"/>
    <w:rsid w:val="00FA7287"/>
    <w:rsid w:val="00FA73DE"/>
    <w:rsid w:val="00FA7562"/>
    <w:rsid w:val="00FA776B"/>
    <w:rsid w:val="00FA7873"/>
    <w:rsid w:val="00FA7A73"/>
    <w:rsid w:val="00FA7F86"/>
    <w:rsid w:val="00FA7F91"/>
    <w:rsid w:val="00FA7FA4"/>
    <w:rsid w:val="00FB02B4"/>
    <w:rsid w:val="00FB079A"/>
    <w:rsid w:val="00FB0A72"/>
    <w:rsid w:val="00FB102B"/>
    <w:rsid w:val="00FB1174"/>
    <w:rsid w:val="00FB11A2"/>
    <w:rsid w:val="00FB144C"/>
    <w:rsid w:val="00FB1766"/>
    <w:rsid w:val="00FB17A1"/>
    <w:rsid w:val="00FB1AF5"/>
    <w:rsid w:val="00FB1B4A"/>
    <w:rsid w:val="00FB1C08"/>
    <w:rsid w:val="00FB1E9B"/>
    <w:rsid w:val="00FB2029"/>
    <w:rsid w:val="00FB205D"/>
    <w:rsid w:val="00FB217C"/>
    <w:rsid w:val="00FB243D"/>
    <w:rsid w:val="00FB288B"/>
    <w:rsid w:val="00FB2AE8"/>
    <w:rsid w:val="00FB2BF4"/>
    <w:rsid w:val="00FB2BFE"/>
    <w:rsid w:val="00FB2D4E"/>
    <w:rsid w:val="00FB32D5"/>
    <w:rsid w:val="00FB3398"/>
    <w:rsid w:val="00FB3541"/>
    <w:rsid w:val="00FB363B"/>
    <w:rsid w:val="00FB3735"/>
    <w:rsid w:val="00FB37D4"/>
    <w:rsid w:val="00FB37E7"/>
    <w:rsid w:val="00FB39CC"/>
    <w:rsid w:val="00FB3B64"/>
    <w:rsid w:val="00FB3C2A"/>
    <w:rsid w:val="00FB3CD1"/>
    <w:rsid w:val="00FB3F79"/>
    <w:rsid w:val="00FB41C2"/>
    <w:rsid w:val="00FB4211"/>
    <w:rsid w:val="00FB431D"/>
    <w:rsid w:val="00FB45A6"/>
    <w:rsid w:val="00FB4638"/>
    <w:rsid w:val="00FB4784"/>
    <w:rsid w:val="00FB47C4"/>
    <w:rsid w:val="00FB4884"/>
    <w:rsid w:val="00FB4A3F"/>
    <w:rsid w:val="00FB4B61"/>
    <w:rsid w:val="00FB4BB7"/>
    <w:rsid w:val="00FB4C6F"/>
    <w:rsid w:val="00FB4C95"/>
    <w:rsid w:val="00FB4CFD"/>
    <w:rsid w:val="00FB4E93"/>
    <w:rsid w:val="00FB4EBD"/>
    <w:rsid w:val="00FB509A"/>
    <w:rsid w:val="00FB53AB"/>
    <w:rsid w:val="00FB54FE"/>
    <w:rsid w:val="00FB569E"/>
    <w:rsid w:val="00FB57DA"/>
    <w:rsid w:val="00FB5B9F"/>
    <w:rsid w:val="00FB5BF4"/>
    <w:rsid w:val="00FB5CA1"/>
    <w:rsid w:val="00FB5F59"/>
    <w:rsid w:val="00FB5FA5"/>
    <w:rsid w:val="00FB5FD4"/>
    <w:rsid w:val="00FB6229"/>
    <w:rsid w:val="00FB62F9"/>
    <w:rsid w:val="00FB6333"/>
    <w:rsid w:val="00FB63B6"/>
    <w:rsid w:val="00FB6425"/>
    <w:rsid w:val="00FB64BF"/>
    <w:rsid w:val="00FB656C"/>
    <w:rsid w:val="00FB69EE"/>
    <w:rsid w:val="00FB6BAB"/>
    <w:rsid w:val="00FB6DA5"/>
    <w:rsid w:val="00FB6E04"/>
    <w:rsid w:val="00FB7001"/>
    <w:rsid w:val="00FB73F9"/>
    <w:rsid w:val="00FB751E"/>
    <w:rsid w:val="00FB752E"/>
    <w:rsid w:val="00FB75C0"/>
    <w:rsid w:val="00FB773D"/>
    <w:rsid w:val="00FB77C3"/>
    <w:rsid w:val="00FB77CE"/>
    <w:rsid w:val="00FB7EDF"/>
    <w:rsid w:val="00FC002A"/>
    <w:rsid w:val="00FC006C"/>
    <w:rsid w:val="00FC0189"/>
    <w:rsid w:val="00FC0617"/>
    <w:rsid w:val="00FC087A"/>
    <w:rsid w:val="00FC0CAB"/>
    <w:rsid w:val="00FC0D66"/>
    <w:rsid w:val="00FC0DD1"/>
    <w:rsid w:val="00FC0E7D"/>
    <w:rsid w:val="00FC1080"/>
    <w:rsid w:val="00FC1228"/>
    <w:rsid w:val="00FC1335"/>
    <w:rsid w:val="00FC1617"/>
    <w:rsid w:val="00FC1661"/>
    <w:rsid w:val="00FC16C9"/>
    <w:rsid w:val="00FC16D6"/>
    <w:rsid w:val="00FC1A9A"/>
    <w:rsid w:val="00FC1E17"/>
    <w:rsid w:val="00FC1E42"/>
    <w:rsid w:val="00FC2101"/>
    <w:rsid w:val="00FC242A"/>
    <w:rsid w:val="00FC260E"/>
    <w:rsid w:val="00FC2612"/>
    <w:rsid w:val="00FC2842"/>
    <w:rsid w:val="00FC2A44"/>
    <w:rsid w:val="00FC2EC2"/>
    <w:rsid w:val="00FC2FF1"/>
    <w:rsid w:val="00FC300C"/>
    <w:rsid w:val="00FC323C"/>
    <w:rsid w:val="00FC3275"/>
    <w:rsid w:val="00FC32DA"/>
    <w:rsid w:val="00FC343D"/>
    <w:rsid w:val="00FC3679"/>
    <w:rsid w:val="00FC3717"/>
    <w:rsid w:val="00FC3791"/>
    <w:rsid w:val="00FC3850"/>
    <w:rsid w:val="00FC3BBD"/>
    <w:rsid w:val="00FC4001"/>
    <w:rsid w:val="00FC4094"/>
    <w:rsid w:val="00FC42C8"/>
    <w:rsid w:val="00FC43BB"/>
    <w:rsid w:val="00FC4474"/>
    <w:rsid w:val="00FC448A"/>
    <w:rsid w:val="00FC448F"/>
    <w:rsid w:val="00FC4A46"/>
    <w:rsid w:val="00FC4BBE"/>
    <w:rsid w:val="00FC4BC4"/>
    <w:rsid w:val="00FC4CD4"/>
    <w:rsid w:val="00FC4FA2"/>
    <w:rsid w:val="00FC5025"/>
    <w:rsid w:val="00FC5036"/>
    <w:rsid w:val="00FC504D"/>
    <w:rsid w:val="00FC50A9"/>
    <w:rsid w:val="00FC50DD"/>
    <w:rsid w:val="00FC5124"/>
    <w:rsid w:val="00FC528D"/>
    <w:rsid w:val="00FC5605"/>
    <w:rsid w:val="00FC5912"/>
    <w:rsid w:val="00FC5947"/>
    <w:rsid w:val="00FC5A01"/>
    <w:rsid w:val="00FC5BEC"/>
    <w:rsid w:val="00FC5CC9"/>
    <w:rsid w:val="00FC5D51"/>
    <w:rsid w:val="00FC5E79"/>
    <w:rsid w:val="00FC5EB7"/>
    <w:rsid w:val="00FC5F81"/>
    <w:rsid w:val="00FC605B"/>
    <w:rsid w:val="00FC60DA"/>
    <w:rsid w:val="00FC636B"/>
    <w:rsid w:val="00FC6470"/>
    <w:rsid w:val="00FC6497"/>
    <w:rsid w:val="00FC65C4"/>
    <w:rsid w:val="00FC65D1"/>
    <w:rsid w:val="00FC6779"/>
    <w:rsid w:val="00FC6940"/>
    <w:rsid w:val="00FC6AD5"/>
    <w:rsid w:val="00FC6C55"/>
    <w:rsid w:val="00FC6E5C"/>
    <w:rsid w:val="00FC6E62"/>
    <w:rsid w:val="00FC6EB2"/>
    <w:rsid w:val="00FC6EB4"/>
    <w:rsid w:val="00FC7060"/>
    <w:rsid w:val="00FC7252"/>
    <w:rsid w:val="00FC7261"/>
    <w:rsid w:val="00FC74D4"/>
    <w:rsid w:val="00FC76E9"/>
    <w:rsid w:val="00FC7760"/>
    <w:rsid w:val="00FC780A"/>
    <w:rsid w:val="00FC79E0"/>
    <w:rsid w:val="00FC7C10"/>
    <w:rsid w:val="00FC7C2E"/>
    <w:rsid w:val="00FC7E9C"/>
    <w:rsid w:val="00FD0260"/>
    <w:rsid w:val="00FD027E"/>
    <w:rsid w:val="00FD03C2"/>
    <w:rsid w:val="00FD04D6"/>
    <w:rsid w:val="00FD05F6"/>
    <w:rsid w:val="00FD06CC"/>
    <w:rsid w:val="00FD0710"/>
    <w:rsid w:val="00FD0722"/>
    <w:rsid w:val="00FD081F"/>
    <w:rsid w:val="00FD0825"/>
    <w:rsid w:val="00FD0991"/>
    <w:rsid w:val="00FD09F3"/>
    <w:rsid w:val="00FD0A97"/>
    <w:rsid w:val="00FD0BA8"/>
    <w:rsid w:val="00FD0DB8"/>
    <w:rsid w:val="00FD1209"/>
    <w:rsid w:val="00FD1243"/>
    <w:rsid w:val="00FD12AD"/>
    <w:rsid w:val="00FD132F"/>
    <w:rsid w:val="00FD13FD"/>
    <w:rsid w:val="00FD15DB"/>
    <w:rsid w:val="00FD17A2"/>
    <w:rsid w:val="00FD18FC"/>
    <w:rsid w:val="00FD18FD"/>
    <w:rsid w:val="00FD1C58"/>
    <w:rsid w:val="00FD1F9D"/>
    <w:rsid w:val="00FD1FF7"/>
    <w:rsid w:val="00FD2172"/>
    <w:rsid w:val="00FD2193"/>
    <w:rsid w:val="00FD2251"/>
    <w:rsid w:val="00FD24B0"/>
    <w:rsid w:val="00FD2765"/>
    <w:rsid w:val="00FD2795"/>
    <w:rsid w:val="00FD2846"/>
    <w:rsid w:val="00FD288D"/>
    <w:rsid w:val="00FD2A97"/>
    <w:rsid w:val="00FD2B18"/>
    <w:rsid w:val="00FD2BE8"/>
    <w:rsid w:val="00FD2C1B"/>
    <w:rsid w:val="00FD2D09"/>
    <w:rsid w:val="00FD2D33"/>
    <w:rsid w:val="00FD2DF1"/>
    <w:rsid w:val="00FD2FE8"/>
    <w:rsid w:val="00FD301A"/>
    <w:rsid w:val="00FD3023"/>
    <w:rsid w:val="00FD314E"/>
    <w:rsid w:val="00FD3335"/>
    <w:rsid w:val="00FD33E6"/>
    <w:rsid w:val="00FD356E"/>
    <w:rsid w:val="00FD369A"/>
    <w:rsid w:val="00FD36FB"/>
    <w:rsid w:val="00FD3732"/>
    <w:rsid w:val="00FD37F6"/>
    <w:rsid w:val="00FD38F6"/>
    <w:rsid w:val="00FD3974"/>
    <w:rsid w:val="00FD397E"/>
    <w:rsid w:val="00FD3BBE"/>
    <w:rsid w:val="00FD3BCF"/>
    <w:rsid w:val="00FD3DA8"/>
    <w:rsid w:val="00FD3F54"/>
    <w:rsid w:val="00FD3FBB"/>
    <w:rsid w:val="00FD419C"/>
    <w:rsid w:val="00FD44A1"/>
    <w:rsid w:val="00FD4695"/>
    <w:rsid w:val="00FD46ED"/>
    <w:rsid w:val="00FD4864"/>
    <w:rsid w:val="00FD4CD2"/>
    <w:rsid w:val="00FD4E9F"/>
    <w:rsid w:val="00FD5050"/>
    <w:rsid w:val="00FD531A"/>
    <w:rsid w:val="00FD5563"/>
    <w:rsid w:val="00FD5845"/>
    <w:rsid w:val="00FD58CA"/>
    <w:rsid w:val="00FD5953"/>
    <w:rsid w:val="00FD5BAF"/>
    <w:rsid w:val="00FD5BED"/>
    <w:rsid w:val="00FD5F42"/>
    <w:rsid w:val="00FD60CF"/>
    <w:rsid w:val="00FD6694"/>
    <w:rsid w:val="00FD6B23"/>
    <w:rsid w:val="00FD6D98"/>
    <w:rsid w:val="00FD6E38"/>
    <w:rsid w:val="00FD70CE"/>
    <w:rsid w:val="00FD70DA"/>
    <w:rsid w:val="00FD71B2"/>
    <w:rsid w:val="00FD71EA"/>
    <w:rsid w:val="00FD7369"/>
    <w:rsid w:val="00FD73AB"/>
    <w:rsid w:val="00FD73BC"/>
    <w:rsid w:val="00FD742C"/>
    <w:rsid w:val="00FD75F5"/>
    <w:rsid w:val="00FD7686"/>
    <w:rsid w:val="00FD7940"/>
    <w:rsid w:val="00FD7B66"/>
    <w:rsid w:val="00FD7BF5"/>
    <w:rsid w:val="00FD7D12"/>
    <w:rsid w:val="00FD7E74"/>
    <w:rsid w:val="00FE0062"/>
    <w:rsid w:val="00FE046B"/>
    <w:rsid w:val="00FE0478"/>
    <w:rsid w:val="00FE07B6"/>
    <w:rsid w:val="00FE08A0"/>
    <w:rsid w:val="00FE0930"/>
    <w:rsid w:val="00FE094F"/>
    <w:rsid w:val="00FE0CE0"/>
    <w:rsid w:val="00FE137C"/>
    <w:rsid w:val="00FE1519"/>
    <w:rsid w:val="00FE153C"/>
    <w:rsid w:val="00FE15FB"/>
    <w:rsid w:val="00FE187B"/>
    <w:rsid w:val="00FE1942"/>
    <w:rsid w:val="00FE1983"/>
    <w:rsid w:val="00FE19D2"/>
    <w:rsid w:val="00FE1A5D"/>
    <w:rsid w:val="00FE1B65"/>
    <w:rsid w:val="00FE1C3A"/>
    <w:rsid w:val="00FE1DA1"/>
    <w:rsid w:val="00FE1DB7"/>
    <w:rsid w:val="00FE1E97"/>
    <w:rsid w:val="00FE1F21"/>
    <w:rsid w:val="00FE23D2"/>
    <w:rsid w:val="00FE245E"/>
    <w:rsid w:val="00FE29AA"/>
    <w:rsid w:val="00FE2A8B"/>
    <w:rsid w:val="00FE2AA2"/>
    <w:rsid w:val="00FE2C35"/>
    <w:rsid w:val="00FE3382"/>
    <w:rsid w:val="00FE3575"/>
    <w:rsid w:val="00FE358C"/>
    <w:rsid w:val="00FE35FB"/>
    <w:rsid w:val="00FE3679"/>
    <w:rsid w:val="00FE376D"/>
    <w:rsid w:val="00FE3C4B"/>
    <w:rsid w:val="00FE3CEE"/>
    <w:rsid w:val="00FE3DFD"/>
    <w:rsid w:val="00FE4158"/>
    <w:rsid w:val="00FE4393"/>
    <w:rsid w:val="00FE4535"/>
    <w:rsid w:val="00FE4600"/>
    <w:rsid w:val="00FE465E"/>
    <w:rsid w:val="00FE46F9"/>
    <w:rsid w:val="00FE4729"/>
    <w:rsid w:val="00FE4768"/>
    <w:rsid w:val="00FE4A58"/>
    <w:rsid w:val="00FE4AE4"/>
    <w:rsid w:val="00FE4B2B"/>
    <w:rsid w:val="00FE4C2A"/>
    <w:rsid w:val="00FE4D33"/>
    <w:rsid w:val="00FE4D94"/>
    <w:rsid w:val="00FE4DF1"/>
    <w:rsid w:val="00FE4F15"/>
    <w:rsid w:val="00FE5011"/>
    <w:rsid w:val="00FE5136"/>
    <w:rsid w:val="00FE5198"/>
    <w:rsid w:val="00FE5223"/>
    <w:rsid w:val="00FE5327"/>
    <w:rsid w:val="00FE5391"/>
    <w:rsid w:val="00FE549D"/>
    <w:rsid w:val="00FE583B"/>
    <w:rsid w:val="00FE586F"/>
    <w:rsid w:val="00FE5A25"/>
    <w:rsid w:val="00FE5AEB"/>
    <w:rsid w:val="00FE5BC5"/>
    <w:rsid w:val="00FE5C0D"/>
    <w:rsid w:val="00FE5DB9"/>
    <w:rsid w:val="00FE5E7F"/>
    <w:rsid w:val="00FE5EDB"/>
    <w:rsid w:val="00FE5EFF"/>
    <w:rsid w:val="00FE5F8A"/>
    <w:rsid w:val="00FE6348"/>
    <w:rsid w:val="00FE63C6"/>
    <w:rsid w:val="00FE63EB"/>
    <w:rsid w:val="00FE644A"/>
    <w:rsid w:val="00FE64CE"/>
    <w:rsid w:val="00FE67B9"/>
    <w:rsid w:val="00FE68C2"/>
    <w:rsid w:val="00FE6911"/>
    <w:rsid w:val="00FE6C25"/>
    <w:rsid w:val="00FE6D50"/>
    <w:rsid w:val="00FE6E2E"/>
    <w:rsid w:val="00FE6F3B"/>
    <w:rsid w:val="00FE7040"/>
    <w:rsid w:val="00FE737D"/>
    <w:rsid w:val="00FE761E"/>
    <w:rsid w:val="00FE7649"/>
    <w:rsid w:val="00FE7888"/>
    <w:rsid w:val="00FE7A61"/>
    <w:rsid w:val="00FE7A6B"/>
    <w:rsid w:val="00FE7DF9"/>
    <w:rsid w:val="00FE7E5D"/>
    <w:rsid w:val="00FF0511"/>
    <w:rsid w:val="00FF0657"/>
    <w:rsid w:val="00FF06F8"/>
    <w:rsid w:val="00FF077D"/>
    <w:rsid w:val="00FF0792"/>
    <w:rsid w:val="00FF082D"/>
    <w:rsid w:val="00FF0868"/>
    <w:rsid w:val="00FF0920"/>
    <w:rsid w:val="00FF098A"/>
    <w:rsid w:val="00FF0A50"/>
    <w:rsid w:val="00FF0AC2"/>
    <w:rsid w:val="00FF0B71"/>
    <w:rsid w:val="00FF0BD6"/>
    <w:rsid w:val="00FF0C1E"/>
    <w:rsid w:val="00FF1127"/>
    <w:rsid w:val="00FF1145"/>
    <w:rsid w:val="00FF1341"/>
    <w:rsid w:val="00FF17ED"/>
    <w:rsid w:val="00FF181B"/>
    <w:rsid w:val="00FF1A0D"/>
    <w:rsid w:val="00FF1B83"/>
    <w:rsid w:val="00FF2412"/>
    <w:rsid w:val="00FF244B"/>
    <w:rsid w:val="00FF2484"/>
    <w:rsid w:val="00FF27DD"/>
    <w:rsid w:val="00FF28DE"/>
    <w:rsid w:val="00FF293B"/>
    <w:rsid w:val="00FF2C95"/>
    <w:rsid w:val="00FF2D13"/>
    <w:rsid w:val="00FF2D78"/>
    <w:rsid w:val="00FF31AA"/>
    <w:rsid w:val="00FF3268"/>
    <w:rsid w:val="00FF329B"/>
    <w:rsid w:val="00FF35EB"/>
    <w:rsid w:val="00FF3861"/>
    <w:rsid w:val="00FF386A"/>
    <w:rsid w:val="00FF3923"/>
    <w:rsid w:val="00FF3975"/>
    <w:rsid w:val="00FF399B"/>
    <w:rsid w:val="00FF3A16"/>
    <w:rsid w:val="00FF40D4"/>
    <w:rsid w:val="00FF41E1"/>
    <w:rsid w:val="00FF4322"/>
    <w:rsid w:val="00FF44D2"/>
    <w:rsid w:val="00FF4516"/>
    <w:rsid w:val="00FF45D3"/>
    <w:rsid w:val="00FF4768"/>
    <w:rsid w:val="00FF47ED"/>
    <w:rsid w:val="00FF4867"/>
    <w:rsid w:val="00FF4F21"/>
    <w:rsid w:val="00FF503F"/>
    <w:rsid w:val="00FF5242"/>
    <w:rsid w:val="00FF53AD"/>
    <w:rsid w:val="00FF55AF"/>
    <w:rsid w:val="00FF56E9"/>
    <w:rsid w:val="00FF572A"/>
    <w:rsid w:val="00FF58D0"/>
    <w:rsid w:val="00FF5AC5"/>
    <w:rsid w:val="00FF5C11"/>
    <w:rsid w:val="00FF5C61"/>
    <w:rsid w:val="00FF5D35"/>
    <w:rsid w:val="00FF6237"/>
    <w:rsid w:val="00FF630D"/>
    <w:rsid w:val="00FF63DA"/>
    <w:rsid w:val="00FF65C3"/>
    <w:rsid w:val="00FF692B"/>
    <w:rsid w:val="00FF6ACA"/>
    <w:rsid w:val="00FF6B3D"/>
    <w:rsid w:val="00FF6BB0"/>
    <w:rsid w:val="00FF6BF2"/>
    <w:rsid w:val="00FF6C93"/>
    <w:rsid w:val="00FF7056"/>
    <w:rsid w:val="00FF7427"/>
    <w:rsid w:val="00FF7624"/>
    <w:rsid w:val="00FF773E"/>
    <w:rsid w:val="00FF7785"/>
    <w:rsid w:val="00FF7810"/>
    <w:rsid w:val="00FF79F4"/>
    <w:rsid w:val="00FF7D58"/>
    <w:rsid w:val="00FF7D85"/>
    <w:rsid w:val="00FF7F0E"/>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DCBA9B"/>
  <w15:chartTrackingRefBased/>
  <w15:docId w15:val="{F5CDD799-85AC-4BA1-A89D-A4FCE72A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table of figures" w:uiPriority="99"/>
    <w:lsdException w:name="footnote reference" w:uiPriority="99"/>
    <w:lsdException w:name="Title" w:qFormat="1"/>
    <w:lsdException w:name="Subtitle" w:uiPriority="11" w:qFormat="1"/>
    <w:lsdException w:name="Hyperlink" w:uiPriority="99"/>
    <w:lsdException w:name="Strong" w:uiPriority="22" w:qFormat="1"/>
    <w:lsdException w:name="Emphasis" w:uiPriority="20" w:qFormat="1"/>
    <w:lsdException w:name="Document Map"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27756"/>
    <w:pPr>
      <w:jc w:val="both"/>
    </w:pPr>
    <w:rPr>
      <w:rFonts w:ascii="Arial" w:hAnsi="Arial"/>
      <w:sz w:val="22"/>
      <w:szCs w:val="24"/>
    </w:rPr>
  </w:style>
  <w:style w:type="paragraph" w:styleId="Nagwek1">
    <w:name w:val="heading 1"/>
    <w:basedOn w:val="Normalny"/>
    <w:next w:val="Normalny"/>
    <w:link w:val="Nagwek1Znak"/>
    <w:qFormat/>
    <w:rsid w:val="00411101"/>
    <w:pPr>
      <w:keepNext/>
      <w:spacing w:before="120"/>
      <w:jc w:val="left"/>
      <w:outlineLvl w:val="0"/>
    </w:pPr>
    <w:rPr>
      <w:b/>
      <w:sz w:val="24"/>
    </w:rPr>
  </w:style>
  <w:style w:type="paragraph" w:styleId="Nagwek2">
    <w:name w:val="heading 2"/>
    <w:basedOn w:val="Normalny"/>
    <w:next w:val="Normalny"/>
    <w:link w:val="Nagwek2Znak"/>
    <w:qFormat/>
    <w:rsid w:val="00411101"/>
    <w:pPr>
      <w:keepNext/>
      <w:spacing w:before="120"/>
      <w:contextualSpacing/>
      <w:jc w:val="left"/>
      <w:outlineLvl w:val="1"/>
    </w:pPr>
    <w:rPr>
      <w:b/>
      <w:bCs/>
      <w:iCs/>
      <w:sz w:val="24"/>
      <w:szCs w:val="28"/>
    </w:rPr>
  </w:style>
  <w:style w:type="paragraph" w:styleId="Nagwek3">
    <w:name w:val="heading 3"/>
    <w:basedOn w:val="Normalny"/>
    <w:next w:val="Normalny"/>
    <w:link w:val="Nagwek3Znak"/>
    <w:qFormat/>
    <w:rsid w:val="00411101"/>
    <w:pPr>
      <w:keepNext/>
      <w:spacing w:before="120"/>
      <w:ind w:left="720"/>
      <w:jc w:val="left"/>
      <w:outlineLvl w:val="2"/>
    </w:pPr>
    <w:rPr>
      <w:b/>
      <w:bCs/>
      <w:noProof/>
      <w:szCs w:val="26"/>
    </w:rPr>
  </w:style>
  <w:style w:type="paragraph" w:styleId="Nagwek4">
    <w:name w:val="heading 4"/>
    <w:basedOn w:val="Normalny"/>
    <w:next w:val="Normalny"/>
    <w:link w:val="Nagwek4Znak"/>
    <w:qFormat/>
    <w:rsid w:val="00411101"/>
    <w:pPr>
      <w:keepNext/>
      <w:keepLines/>
      <w:spacing w:before="200" w:line="276" w:lineRule="auto"/>
      <w:jc w:val="left"/>
      <w:outlineLvl w:val="3"/>
    </w:pPr>
    <w:rPr>
      <w:rFonts w:ascii="Cambria" w:hAnsi="Cambria"/>
      <w:b/>
      <w:bCs/>
      <w:i/>
      <w:iCs/>
      <w:color w:val="4F81BD"/>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11101"/>
    <w:rPr>
      <w:rFonts w:ascii="Arial" w:hAnsi="Arial"/>
      <w:b/>
      <w:sz w:val="24"/>
      <w:szCs w:val="24"/>
      <w:lang w:val="pl-PL" w:eastAsia="pl-PL" w:bidi="ar-SA"/>
    </w:rPr>
  </w:style>
  <w:style w:type="character" w:customStyle="1" w:styleId="Nagwek2Znak">
    <w:name w:val="Nagłówek 2 Znak"/>
    <w:link w:val="Nagwek2"/>
    <w:rsid w:val="00411101"/>
    <w:rPr>
      <w:rFonts w:ascii="Arial" w:hAnsi="Arial"/>
      <w:b/>
      <w:bCs/>
      <w:iCs/>
      <w:sz w:val="24"/>
      <w:szCs w:val="28"/>
      <w:lang w:val="pl-PL" w:eastAsia="pl-PL" w:bidi="ar-SA"/>
    </w:rPr>
  </w:style>
  <w:style w:type="character" w:customStyle="1" w:styleId="Nagwek3Znak">
    <w:name w:val="Nagłówek 3 Znak"/>
    <w:link w:val="Nagwek3"/>
    <w:rsid w:val="00411101"/>
    <w:rPr>
      <w:rFonts w:ascii="Arial" w:hAnsi="Arial"/>
      <w:b/>
      <w:bCs/>
      <w:noProof/>
      <w:sz w:val="22"/>
      <w:szCs w:val="26"/>
      <w:lang w:val="pl-PL" w:eastAsia="pl-PL" w:bidi="ar-SA"/>
    </w:rPr>
  </w:style>
  <w:style w:type="character" w:customStyle="1" w:styleId="Nagwek4Znak">
    <w:name w:val="Nagłówek 4 Znak"/>
    <w:link w:val="Nagwek4"/>
    <w:rsid w:val="00411101"/>
    <w:rPr>
      <w:rFonts w:ascii="Cambria" w:hAnsi="Cambria"/>
      <w:b/>
      <w:bCs/>
      <w:i/>
      <w:iCs/>
      <w:color w:val="4F81BD"/>
      <w:sz w:val="22"/>
      <w:szCs w:val="22"/>
      <w:lang w:val="pl-PL" w:eastAsia="en-US" w:bidi="ar-SA"/>
    </w:rPr>
  </w:style>
  <w:style w:type="paragraph" w:styleId="Spistreci2">
    <w:name w:val="toc 2"/>
    <w:basedOn w:val="Normalny"/>
    <w:next w:val="Normalny"/>
    <w:autoRedefine/>
    <w:uiPriority w:val="39"/>
    <w:rsid w:val="00A07D5D"/>
    <w:pPr>
      <w:tabs>
        <w:tab w:val="right" w:leader="dot" w:pos="9061"/>
      </w:tabs>
      <w:spacing w:before="60" w:after="60"/>
      <w:ind w:left="238" w:right="312"/>
      <w:jc w:val="left"/>
    </w:pPr>
    <w:rPr>
      <w:b/>
      <w:bCs/>
      <w:noProof/>
      <w:sz w:val="20"/>
      <w:szCs w:val="20"/>
    </w:rPr>
  </w:style>
  <w:style w:type="paragraph" w:styleId="Spistreci3">
    <w:name w:val="toc 3"/>
    <w:basedOn w:val="Normalny"/>
    <w:next w:val="Normalny"/>
    <w:uiPriority w:val="39"/>
    <w:rsid w:val="00D2458B"/>
    <w:pPr>
      <w:tabs>
        <w:tab w:val="right" w:leader="dot" w:pos="9061"/>
      </w:tabs>
      <w:ind w:left="397"/>
      <w:jc w:val="left"/>
    </w:pPr>
    <w:rPr>
      <w:noProof/>
      <w:sz w:val="20"/>
      <w:szCs w:val="20"/>
    </w:rPr>
  </w:style>
  <w:style w:type="paragraph" w:styleId="Spistreci1">
    <w:name w:val="toc 1"/>
    <w:basedOn w:val="Normalny"/>
    <w:next w:val="Normalny"/>
    <w:autoRedefine/>
    <w:uiPriority w:val="39"/>
    <w:rsid w:val="00D2458B"/>
    <w:pPr>
      <w:tabs>
        <w:tab w:val="right" w:leader="dot" w:pos="9061"/>
      </w:tabs>
      <w:spacing w:before="60" w:after="60"/>
      <w:ind w:right="423"/>
    </w:pPr>
    <w:rPr>
      <w:b/>
      <w:noProof/>
      <w:color w:val="0070C0"/>
    </w:rPr>
  </w:style>
  <w:style w:type="paragraph" w:styleId="Mapadokumentu">
    <w:name w:val="Document Map"/>
    <w:aliases w:val="Plan dokumentu"/>
    <w:basedOn w:val="Normalny"/>
    <w:link w:val="MapadokumentuZnak"/>
    <w:uiPriority w:val="99"/>
    <w:semiHidden/>
    <w:rsid w:val="00411101"/>
    <w:pPr>
      <w:shd w:val="clear" w:color="auto" w:fill="000080"/>
    </w:pPr>
    <w:rPr>
      <w:rFonts w:ascii="Tahoma" w:hAnsi="Tahoma"/>
      <w:sz w:val="20"/>
      <w:szCs w:val="20"/>
      <w:lang w:val="x-none" w:eastAsia="x-none"/>
    </w:rPr>
  </w:style>
  <w:style w:type="paragraph" w:styleId="Tekstdymka">
    <w:name w:val="Balloon Text"/>
    <w:basedOn w:val="Normalny"/>
    <w:link w:val="TekstdymkaZnak"/>
    <w:semiHidden/>
    <w:rsid w:val="00411101"/>
    <w:rPr>
      <w:rFonts w:ascii="Tahoma" w:hAnsi="Tahoma"/>
      <w:sz w:val="16"/>
      <w:szCs w:val="16"/>
      <w:lang w:val="x-none" w:eastAsia="x-none"/>
    </w:rPr>
  </w:style>
  <w:style w:type="paragraph" w:styleId="Nagwek">
    <w:name w:val="header"/>
    <w:basedOn w:val="Normalny"/>
    <w:link w:val="NagwekZnak"/>
    <w:rsid w:val="00411101"/>
    <w:pPr>
      <w:tabs>
        <w:tab w:val="center" w:pos="4536"/>
        <w:tab w:val="right" w:pos="9072"/>
      </w:tabs>
    </w:pPr>
  </w:style>
  <w:style w:type="character" w:customStyle="1" w:styleId="NagwekZnak">
    <w:name w:val="Nagłówek Znak"/>
    <w:link w:val="Nagwek"/>
    <w:rsid w:val="00411101"/>
    <w:rPr>
      <w:rFonts w:ascii="Arial" w:hAnsi="Arial"/>
      <w:sz w:val="22"/>
      <w:szCs w:val="24"/>
      <w:lang w:val="pl-PL" w:eastAsia="pl-PL" w:bidi="ar-SA"/>
    </w:rPr>
  </w:style>
  <w:style w:type="paragraph" w:styleId="Stopka">
    <w:name w:val="footer"/>
    <w:basedOn w:val="Normalny"/>
    <w:link w:val="StopkaZnak"/>
    <w:uiPriority w:val="99"/>
    <w:rsid w:val="00411101"/>
    <w:pPr>
      <w:tabs>
        <w:tab w:val="center" w:pos="4536"/>
        <w:tab w:val="right" w:pos="9072"/>
      </w:tabs>
    </w:pPr>
  </w:style>
  <w:style w:type="character" w:customStyle="1" w:styleId="StopkaZnak">
    <w:name w:val="Stopka Znak"/>
    <w:link w:val="Stopka"/>
    <w:uiPriority w:val="99"/>
    <w:rsid w:val="00411101"/>
    <w:rPr>
      <w:rFonts w:ascii="Arial" w:hAnsi="Arial"/>
      <w:sz w:val="22"/>
      <w:szCs w:val="24"/>
      <w:lang w:val="pl-PL" w:eastAsia="pl-PL" w:bidi="ar-SA"/>
    </w:rPr>
  </w:style>
  <w:style w:type="character" w:styleId="Numerstrony">
    <w:name w:val="page number"/>
    <w:basedOn w:val="Domylnaczcionkaakapitu"/>
    <w:rsid w:val="00411101"/>
  </w:style>
  <w:style w:type="paragraph" w:customStyle="1" w:styleId="Tabelasiatki31">
    <w:name w:val="Tabela siatki 31"/>
    <w:basedOn w:val="Nagwek1"/>
    <w:next w:val="Normalny"/>
    <w:qFormat/>
    <w:rsid w:val="00411101"/>
    <w:pPr>
      <w:keepLines/>
      <w:spacing w:before="480" w:line="276" w:lineRule="auto"/>
      <w:outlineLvl w:val="9"/>
    </w:pPr>
    <w:rPr>
      <w:rFonts w:ascii="Cambria" w:hAnsi="Cambria"/>
      <w:bCs/>
      <w:color w:val="365F91"/>
      <w:sz w:val="28"/>
      <w:szCs w:val="28"/>
      <w:lang w:eastAsia="en-US"/>
    </w:rPr>
  </w:style>
  <w:style w:type="paragraph" w:styleId="Tytu">
    <w:name w:val="Title"/>
    <w:basedOn w:val="Normalny"/>
    <w:next w:val="Normalny"/>
    <w:link w:val="TytuZnak"/>
    <w:qFormat/>
    <w:rsid w:val="00411101"/>
    <w:pPr>
      <w:spacing w:line="360" w:lineRule="auto"/>
      <w:jc w:val="center"/>
      <w:outlineLvl w:val="0"/>
    </w:pPr>
    <w:rPr>
      <w:b/>
      <w:bCs/>
      <w:kern w:val="28"/>
      <w:sz w:val="48"/>
      <w:szCs w:val="32"/>
    </w:rPr>
  </w:style>
  <w:style w:type="character" w:customStyle="1" w:styleId="TytuZnak">
    <w:name w:val="Tytuł Znak"/>
    <w:link w:val="Tytu"/>
    <w:rsid w:val="00411101"/>
    <w:rPr>
      <w:rFonts w:ascii="Arial" w:hAnsi="Arial"/>
      <w:b/>
      <w:bCs/>
      <w:kern w:val="28"/>
      <w:sz w:val="48"/>
      <w:szCs w:val="32"/>
      <w:lang w:val="pl-PL" w:eastAsia="pl-PL" w:bidi="ar-SA"/>
    </w:rPr>
  </w:style>
  <w:style w:type="character" w:styleId="Hipercze">
    <w:name w:val="Hyperlink"/>
    <w:uiPriority w:val="99"/>
    <w:unhideWhenUsed/>
    <w:rsid w:val="00411101"/>
    <w:rPr>
      <w:color w:val="0000FF"/>
      <w:u w:val="single"/>
    </w:rPr>
  </w:style>
  <w:style w:type="paragraph" w:customStyle="1" w:styleId="ZnakZnak1">
    <w:name w:val="Znak Znak1"/>
    <w:basedOn w:val="Normalny"/>
    <w:rsid w:val="00411101"/>
    <w:pPr>
      <w:jc w:val="left"/>
    </w:pPr>
    <w:rPr>
      <w:rFonts w:ascii="Times New Roman" w:hAnsi="Times New Roman"/>
    </w:rPr>
  </w:style>
  <w:style w:type="paragraph" w:customStyle="1" w:styleId="Kolorowalistaakcent11">
    <w:name w:val="Kolorowa lista — akcent 11"/>
    <w:basedOn w:val="Normalny"/>
    <w:link w:val="Kolorowalistaakcent1Znak"/>
    <w:uiPriority w:val="34"/>
    <w:qFormat/>
    <w:rsid w:val="00411101"/>
    <w:pPr>
      <w:ind w:left="708"/>
    </w:pPr>
    <w:rPr>
      <w:lang w:val="x-none" w:eastAsia="x-none"/>
    </w:rPr>
  </w:style>
  <w:style w:type="paragraph" w:customStyle="1" w:styleId="StylArial11ptWyjustowany">
    <w:name w:val="Styl Arial 11 pt Wyjustowany"/>
    <w:basedOn w:val="Normalny"/>
    <w:rsid w:val="00411101"/>
    <w:rPr>
      <w:szCs w:val="20"/>
    </w:rPr>
  </w:style>
  <w:style w:type="paragraph" w:customStyle="1" w:styleId="Default">
    <w:name w:val="Default"/>
    <w:rsid w:val="00411101"/>
    <w:pPr>
      <w:autoSpaceDE w:val="0"/>
      <w:autoSpaceDN w:val="0"/>
      <w:adjustRightInd w:val="0"/>
    </w:pPr>
    <w:rPr>
      <w:rFonts w:ascii="Arial" w:hAnsi="Arial" w:cs="Arial"/>
      <w:color w:val="000000"/>
      <w:sz w:val="24"/>
      <w:szCs w:val="24"/>
    </w:rPr>
  </w:style>
  <w:style w:type="paragraph" w:styleId="Tekstpodstawowy3">
    <w:name w:val="Body Text 3"/>
    <w:basedOn w:val="Normalny"/>
    <w:link w:val="Tekstpodstawowy3Znak"/>
    <w:rsid w:val="00411101"/>
    <w:pPr>
      <w:spacing w:after="120"/>
      <w:jc w:val="left"/>
    </w:pPr>
    <w:rPr>
      <w:rFonts w:ascii="Times New Roman" w:hAnsi="Times New Roman"/>
      <w:sz w:val="16"/>
      <w:szCs w:val="16"/>
    </w:rPr>
  </w:style>
  <w:style w:type="character" w:customStyle="1" w:styleId="Tekstpodstawowy3Znak">
    <w:name w:val="Tekst podstawowy 3 Znak"/>
    <w:link w:val="Tekstpodstawowy3"/>
    <w:rsid w:val="00411101"/>
    <w:rPr>
      <w:sz w:val="16"/>
      <w:szCs w:val="16"/>
      <w:lang w:val="pl-PL" w:eastAsia="pl-PL" w:bidi="ar-SA"/>
    </w:rPr>
  </w:style>
  <w:style w:type="paragraph" w:customStyle="1" w:styleId="StylCzarnyPierwszywiersz0cmPo0pt">
    <w:name w:val="Styl Czarny Pierwszy wiersz:  0 cm Po:  0 pt"/>
    <w:basedOn w:val="Normalny"/>
    <w:rsid w:val="00411101"/>
    <w:pPr>
      <w:spacing w:before="120" w:after="120" w:line="360" w:lineRule="auto"/>
      <w:ind w:firstLine="709"/>
    </w:pPr>
    <w:rPr>
      <w:rFonts w:ascii="Times New Roman" w:hAnsi="Times New Roman"/>
      <w:color w:val="000000"/>
      <w:kern w:val="24"/>
      <w:sz w:val="24"/>
      <w:szCs w:val="20"/>
    </w:rPr>
  </w:style>
  <w:style w:type="paragraph" w:styleId="Tekstpodstawowy2">
    <w:name w:val="Body Text 2"/>
    <w:basedOn w:val="Normalny"/>
    <w:link w:val="Tekstpodstawowy2Znak"/>
    <w:rsid w:val="00411101"/>
    <w:pPr>
      <w:spacing w:after="120" w:line="480" w:lineRule="auto"/>
    </w:pPr>
  </w:style>
  <w:style w:type="character" w:customStyle="1" w:styleId="Tekstpodstawowy2Znak">
    <w:name w:val="Tekst podstawowy 2 Znak"/>
    <w:link w:val="Tekstpodstawowy2"/>
    <w:rsid w:val="00411101"/>
    <w:rPr>
      <w:rFonts w:ascii="Arial" w:hAnsi="Arial"/>
      <w:sz w:val="22"/>
      <w:szCs w:val="24"/>
      <w:lang w:val="pl-PL" w:eastAsia="pl-PL" w:bidi="ar-SA"/>
    </w:rPr>
  </w:style>
  <w:style w:type="paragraph" w:customStyle="1" w:styleId="Znak">
    <w:name w:val="Znak"/>
    <w:basedOn w:val="Normalny"/>
    <w:rsid w:val="00411101"/>
    <w:pPr>
      <w:jc w:val="left"/>
    </w:pPr>
    <w:rPr>
      <w:rFonts w:ascii="Times New Roman" w:hAnsi="Times New Roman"/>
      <w:sz w:val="24"/>
    </w:rPr>
  </w:style>
  <w:style w:type="table" w:styleId="Tabela-Siatka">
    <w:name w:val="Table Grid"/>
    <w:basedOn w:val="Standardowy"/>
    <w:uiPriority w:val="39"/>
    <w:rsid w:val="0041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link w:val="PodtytuZnak"/>
    <w:uiPriority w:val="11"/>
    <w:qFormat/>
    <w:rsid w:val="00411101"/>
    <w:pPr>
      <w:spacing w:before="120" w:line="360" w:lineRule="auto"/>
      <w:jc w:val="left"/>
    </w:pPr>
    <w:rPr>
      <w:rFonts w:ascii="Times New Roman" w:hAnsi="Times New Roman"/>
      <w:b/>
      <w:sz w:val="24"/>
      <w:szCs w:val="20"/>
    </w:rPr>
  </w:style>
  <w:style w:type="character" w:customStyle="1" w:styleId="PodtytuZnak">
    <w:name w:val="Podtytuł Znak"/>
    <w:link w:val="Podtytu"/>
    <w:uiPriority w:val="11"/>
    <w:rsid w:val="00411101"/>
    <w:rPr>
      <w:b/>
      <w:sz w:val="24"/>
      <w:lang w:val="pl-PL" w:eastAsia="pl-PL" w:bidi="ar-SA"/>
    </w:rPr>
  </w:style>
  <w:style w:type="paragraph" w:styleId="Tekstpodstawowy">
    <w:name w:val="Body Text"/>
    <w:basedOn w:val="Normalny"/>
    <w:link w:val="TekstpodstawowyZnak"/>
    <w:rsid w:val="00411101"/>
    <w:pPr>
      <w:spacing w:after="120"/>
    </w:pPr>
  </w:style>
  <w:style w:type="character" w:customStyle="1" w:styleId="TekstpodstawowyZnak">
    <w:name w:val="Tekst podstawowy Znak"/>
    <w:link w:val="Tekstpodstawowy"/>
    <w:rsid w:val="00411101"/>
    <w:rPr>
      <w:rFonts w:ascii="Arial" w:hAnsi="Arial"/>
      <w:sz w:val="22"/>
      <w:szCs w:val="24"/>
      <w:lang w:val="pl-PL" w:eastAsia="pl-PL" w:bidi="ar-SA"/>
    </w:rPr>
  </w:style>
  <w:style w:type="paragraph" w:styleId="NormalnyWeb">
    <w:name w:val="Normal (Web)"/>
    <w:basedOn w:val="Normalny"/>
    <w:uiPriority w:val="99"/>
    <w:rsid w:val="00411101"/>
    <w:pPr>
      <w:spacing w:before="100" w:beforeAutospacing="1" w:after="100" w:afterAutospacing="1"/>
      <w:jc w:val="left"/>
    </w:pPr>
    <w:rPr>
      <w:rFonts w:ascii="Times New Roman" w:hAnsi="Times New Roman"/>
      <w:sz w:val="24"/>
    </w:rPr>
  </w:style>
  <w:style w:type="paragraph" w:styleId="Tekstkomentarza">
    <w:name w:val="annotation text"/>
    <w:basedOn w:val="Normalny"/>
    <w:link w:val="TekstkomentarzaZnak"/>
    <w:uiPriority w:val="99"/>
    <w:rsid w:val="00411101"/>
    <w:rPr>
      <w:sz w:val="20"/>
      <w:szCs w:val="20"/>
    </w:rPr>
  </w:style>
  <w:style w:type="character" w:customStyle="1" w:styleId="TekstkomentarzaZnak">
    <w:name w:val="Tekst komentarza Znak"/>
    <w:link w:val="Tekstkomentarza"/>
    <w:uiPriority w:val="99"/>
    <w:rsid w:val="00411101"/>
    <w:rPr>
      <w:rFonts w:ascii="Arial" w:hAnsi="Arial"/>
      <w:lang w:val="pl-PL" w:eastAsia="pl-PL" w:bidi="ar-SA"/>
    </w:rPr>
  </w:style>
  <w:style w:type="paragraph" w:styleId="Tematkomentarza">
    <w:name w:val="annotation subject"/>
    <w:basedOn w:val="Tekstkomentarza"/>
    <w:next w:val="Tekstkomentarza"/>
    <w:link w:val="TematkomentarzaZnak"/>
    <w:semiHidden/>
    <w:rsid w:val="00411101"/>
    <w:rPr>
      <w:b/>
      <w:bCs/>
      <w:lang w:val="x-none" w:eastAsia="x-none"/>
    </w:rPr>
  </w:style>
  <w:style w:type="character" w:customStyle="1" w:styleId="ZnakZnak10">
    <w:name w:val="Znak Znak10"/>
    <w:rsid w:val="00411101"/>
    <w:rPr>
      <w:rFonts w:ascii="Arial" w:hAnsi="Arial"/>
      <w:b/>
      <w:bCs/>
      <w:iCs/>
      <w:sz w:val="24"/>
      <w:szCs w:val="28"/>
    </w:rPr>
  </w:style>
  <w:style w:type="paragraph" w:styleId="Tekstprzypisudolnego">
    <w:name w:val="footnote text"/>
    <w:aliases w:val="Podrozdział,Przypis,Footnote,Podrozdzia3,-E Fuﬂnotentext,Fuﬂnotentext Ursprung,Fußnotentext Ursprung,-E Fußnotentext,Fußnote,Footnote text,Tekst przypisu Znak Znak Znak Znak,Tekst przypisu Znak Znak Znak Znak Znak,footnote text,Pl"/>
    <w:basedOn w:val="Normalny"/>
    <w:link w:val="TekstprzypisudolnegoZnak"/>
    <w:uiPriority w:val="99"/>
    <w:unhideWhenUsed/>
    <w:rsid w:val="00411101"/>
    <w:rPr>
      <w:rFonts w:eastAsia="Arial"/>
      <w:sz w:val="18"/>
      <w:szCs w:val="20"/>
      <w:lang w:eastAsia="en-US"/>
    </w:rPr>
  </w:style>
  <w:style w:type="character" w:customStyle="1" w:styleId="TekstprzypisudolnegoZnak">
    <w:name w:val="Tekst przypisu dolnego Znak"/>
    <w:aliases w:val="Podrozdział Znak,Przypis Znak,Footnote Znak,Podrozdzia3 Znak,-E Fuﬂnotentext Znak,Fuﬂnotentext Ursprung Znak,Fußnotentext Ursprung Znak,-E Fußnotentext Znak,Fußnote Znak,Footnote text Znak,footnote text Znak,Pl Znak"/>
    <w:link w:val="Tekstprzypisudolnego"/>
    <w:uiPriority w:val="99"/>
    <w:rsid w:val="00411101"/>
    <w:rPr>
      <w:rFonts w:ascii="Arial" w:eastAsia="Arial" w:hAnsi="Arial"/>
      <w:sz w:val="18"/>
      <w:lang w:val="pl-PL" w:eastAsia="en-US" w:bidi="ar-SA"/>
    </w:rPr>
  </w:style>
  <w:style w:type="character" w:styleId="Odwoanieprzypisudolnego">
    <w:name w:val="footnote reference"/>
    <w:aliases w:val="Footnote Reference Number,Footnote reference number,Footnote symbol,note TESI,SUPERS,EN Footnote Reference,Footnote number"/>
    <w:uiPriority w:val="99"/>
    <w:unhideWhenUsed/>
    <w:rsid w:val="00411101"/>
    <w:rPr>
      <w:vertAlign w:val="superscript"/>
    </w:rPr>
  </w:style>
  <w:style w:type="paragraph" w:customStyle="1" w:styleId="Akapitzlist1">
    <w:name w:val="Akapit z listą1"/>
    <w:basedOn w:val="Normalny"/>
    <w:rsid w:val="00411101"/>
    <w:pPr>
      <w:spacing w:after="200" w:line="276" w:lineRule="auto"/>
      <w:ind w:left="720"/>
      <w:contextualSpacing/>
      <w:jc w:val="left"/>
    </w:pPr>
    <w:rPr>
      <w:rFonts w:ascii="Calibri" w:hAnsi="Calibri"/>
      <w:szCs w:val="22"/>
      <w:lang w:eastAsia="en-US"/>
    </w:rPr>
  </w:style>
  <w:style w:type="paragraph" w:styleId="Zwykytekst">
    <w:name w:val="Plain Text"/>
    <w:basedOn w:val="Normalny"/>
    <w:link w:val="ZwykytekstZnak"/>
    <w:rsid w:val="00411101"/>
    <w:pPr>
      <w:jc w:val="left"/>
    </w:pPr>
    <w:rPr>
      <w:rFonts w:ascii="Courier New" w:hAnsi="Courier New"/>
      <w:sz w:val="20"/>
      <w:szCs w:val="20"/>
    </w:rPr>
  </w:style>
  <w:style w:type="character" w:customStyle="1" w:styleId="ZwykytekstZnak">
    <w:name w:val="Zwykły tekst Znak"/>
    <w:link w:val="Zwykytekst"/>
    <w:rsid w:val="00411101"/>
    <w:rPr>
      <w:rFonts w:ascii="Courier New" w:hAnsi="Courier New"/>
      <w:lang w:val="pl-PL" w:eastAsia="pl-PL" w:bidi="ar-SA"/>
    </w:rPr>
  </w:style>
  <w:style w:type="character" w:styleId="UyteHipercze">
    <w:name w:val="FollowedHyperlink"/>
    <w:rsid w:val="00411101"/>
    <w:rPr>
      <w:color w:val="800080"/>
      <w:u w:val="single"/>
    </w:rPr>
  </w:style>
  <w:style w:type="paragraph" w:customStyle="1" w:styleId="WW-Default">
    <w:name w:val="WW-Default"/>
    <w:rsid w:val="00411101"/>
    <w:pPr>
      <w:suppressAutoHyphens/>
      <w:autoSpaceDE w:val="0"/>
    </w:pPr>
    <w:rPr>
      <w:rFonts w:ascii="Arial" w:eastAsia="Arial" w:hAnsi="Arial" w:cs="Arial"/>
      <w:color w:val="000000"/>
      <w:sz w:val="24"/>
      <w:szCs w:val="24"/>
      <w:lang w:eastAsia="ar-SA"/>
    </w:rPr>
  </w:style>
  <w:style w:type="paragraph" w:customStyle="1" w:styleId="c71indicateur">
    <w:name w:val="c71indicateur"/>
    <w:basedOn w:val="Normalny"/>
    <w:rsid w:val="00411101"/>
    <w:pPr>
      <w:spacing w:before="600" w:after="560"/>
      <w:ind w:left="567"/>
      <w:jc w:val="center"/>
    </w:pPr>
    <w:rPr>
      <w:sz w:val="24"/>
    </w:rPr>
  </w:style>
  <w:style w:type="paragraph" w:customStyle="1" w:styleId="c30dispositifalinea">
    <w:name w:val="c30dispositifalinea"/>
    <w:basedOn w:val="Normalny"/>
    <w:rsid w:val="00411101"/>
    <w:pPr>
      <w:spacing w:after="240"/>
      <w:ind w:left="567"/>
    </w:pPr>
    <w:rPr>
      <w:b/>
      <w:bCs/>
      <w:sz w:val="24"/>
    </w:rPr>
  </w:style>
  <w:style w:type="paragraph" w:styleId="Tekstprzypisukocowego">
    <w:name w:val="endnote text"/>
    <w:basedOn w:val="Normalny"/>
    <w:link w:val="TekstprzypisukocowegoZnak"/>
    <w:rsid w:val="00411101"/>
    <w:rPr>
      <w:sz w:val="20"/>
      <w:szCs w:val="20"/>
    </w:rPr>
  </w:style>
  <w:style w:type="character" w:customStyle="1" w:styleId="TekstprzypisukocowegoZnak">
    <w:name w:val="Tekst przypisu końcowego Znak"/>
    <w:link w:val="Tekstprzypisukocowego"/>
    <w:rsid w:val="00411101"/>
    <w:rPr>
      <w:rFonts w:ascii="Arial" w:hAnsi="Arial"/>
      <w:lang w:val="pl-PL" w:eastAsia="pl-PL" w:bidi="ar-SA"/>
    </w:rPr>
  </w:style>
  <w:style w:type="character" w:styleId="Odwoanieprzypisukocowego">
    <w:name w:val="endnote reference"/>
    <w:rsid w:val="00411101"/>
    <w:rPr>
      <w:vertAlign w:val="superscript"/>
    </w:rPr>
  </w:style>
  <w:style w:type="character" w:styleId="Uwydatnienie">
    <w:name w:val="Emphasis"/>
    <w:uiPriority w:val="20"/>
    <w:qFormat/>
    <w:rsid w:val="00411101"/>
    <w:rPr>
      <w:i/>
      <w:iCs/>
    </w:rPr>
  </w:style>
  <w:style w:type="character" w:customStyle="1" w:styleId="Normalny1">
    <w:name w:val="Normalny1"/>
    <w:basedOn w:val="Domylnaczcionkaakapitu"/>
    <w:rsid w:val="00411101"/>
  </w:style>
  <w:style w:type="character" w:styleId="Pogrubienie">
    <w:name w:val="Strong"/>
    <w:uiPriority w:val="22"/>
    <w:qFormat/>
    <w:rsid w:val="00411101"/>
    <w:rPr>
      <w:b/>
      <w:bCs/>
    </w:rPr>
  </w:style>
  <w:style w:type="character" w:customStyle="1" w:styleId="highlight">
    <w:name w:val="highlight"/>
    <w:basedOn w:val="Domylnaczcionkaakapitu"/>
    <w:rsid w:val="00411101"/>
  </w:style>
  <w:style w:type="table" w:customStyle="1" w:styleId="Jasnasiatkaakcent11">
    <w:name w:val="Jasna siatka — akcent 11"/>
    <w:basedOn w:val="Standardowy"/>
    <w:rsid w:val="00411101"/>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New York" w:eastAsia="Times New Roman" w:hAnsi="New Yor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New York" w:eastAsia="Times New Roman" w:hAnsi="New Yor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listparagraph">
    <w:name w:val="listparagraph"/>
    <w:basedOn w:val="Normalny"/>
    <w:rsid w:val="00411101"/>
    <w:pPr>
      <w:spacing w:after="200" w:line="276" w:lineRule="auto"/>
      <w:ind w:left="720"/>
      <w:jc w:val="left"/>
    </w:pPr>
    <w:rPr>
      <w:rFonts w:ascii="Calibri" w:hAnsi="Calibri"/>
      <w:szCs w:val="22"/>
    </w:rPr>
  </w:style>
  <w:style w:type="character" w:customStyle="1" w:styleId="txt-new">
    <w:name w:val="txt-new"/>
    <w:rsid w:val="00EA301D"/>
  </w:style>
  <w:style w:type="character" w:styleId="Odwoaniedokomentarza">
    <w:name w:val="annotation reference"/>
    <w:rsid w:val="00542041"/>
    <w:rPr>
      <w:sz w:val="16"/>
      <w:szCs w:val="16"/>
    </w:rPr>
  </w:style>
  <w:style w:type="character" w:customStyle="1" w:styleId="st1">
    <w:name w:val="st1"/>
    <w:rsid w:val="00431640"/>
  </w:style>
  <w:style w:type="paragraph" w:customStyle="1" w:styleId="Kolorowecieniowanieakcent11">
    <w:name w:val="Kolorowe cieniowanie — akcent 11"/>
    <w:hidden/>
    <w:uiPriority w:val="99"/>
    <w:semiHidden/>
    <w:rsid w:val="000C785F"/>
    <w:rPr>
      <w:rFonts w:ascii="Arial" w:hAnsi="Arial"/>
      <w:sz w:val="22"/>
      <w:szCs w:val="24"/>
    </w:rPr>
  </w:style>
  <w:style w:type="paragraph" w:customStyle="1" w:styleId="redniasiatka21">
    <w:name w:val="Średnia siatka 21"/>
    <w:uiPriority w:val="1"/>
    <w:qFormat/>
    <w:rsid w:val="00B045C0"/>
    <w:rPr>
      <w:rFonts w:ascii="Calibri" w:hAnsi="Calibri"/>
      <w:sz w:val="22"/>
      <w:szCs w:val="22"/>
      <w:lang w:eastAsia="en-US"/>
    </w:rPr>
  </w:style>
  <w:style w:type="table" w:styleId="Tabela-Motyw">
    <w:name w:val="Table Theme"/>
    <w:basedOn w:val="Standardowy"/>
    <w:rsid w:val="00E8275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E8275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atki4akcent1">
    <w:name w:val="Grid Table 4 Accent 1"/>
    <w:basedOn w:val="Standardowy"/>
    <w:uiPriority w:val="49"/>
    <w:rsid w:val="00B6385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M31">
    <w:name w:val="CM3+1"/>
    <w:basedOn w:val="Normalny"/>
    <w:next w:val="Normalny"/>
    <w:uiPriority w:val="99"/>
    <w:rsid w:val="00E636C5"/>
    <w:pPr>
      <w:autoSpaceDE w:val="0"/>
      <w:autoSpaceDN w:val="0"/>
      <w:adjustRightInd w:val="0"/>
      <w:jc w:val="left"/>
    </w:pPr>
    <w:rPr>
      <w:rFonts w:ascii="EUAlbertina" w:eastAsia="Calibri" w:hAnsi="EUAlbertina"/>
      <w:sz w:val="24"/>
    </w:rPr>
  </w:style>
  <w:style w:type="character" w:customStyle="1" w:styleId="apple-converted-space">
    <w:name w:val="apple-converted-space"/>
    <w:rsid w:val="00FF244B"/>
  </w:style>
  <w:style w:type="character" w:customStyle="1" w:styleId="Kolorowalistaakcent1Znak">
    <w:name w:val="Kolorowa lista — akcent 1 Znak"/>
    <w:link w:val="Kolorowalistaakcent11"/>
    <w:uiPriority w:val="34"/>
    <w:locked/>
    <w:rsid w:val="00571D19"/>
    <w:rPr>
      <w:rFonts w:ascii="Arial" w:hAnsi="Arial"/>
      <w:sz w:val="22"/>
      <w:szCs w:val="24"/>
    </w:rPr>
  </w:style>
  <w:style w:type="paragraph" w:styleId="Akapitzlist">
    <w:name w:val="List Paragraph"/>
    <w:aliases w:val="CW_Lista,lp1,Preambuła,Numerowanie,Akapit z listą BS,Dot pt,F5 List Paragraph,Recommendation,List Paragraph11,L1,List Paragraph,Normalny PDST,HŁ_Bullet1,Use Case List Paragraph,Heading2,Body Bullet"/>
    <w:basedOn w:val="Normalny"/>
    <w:link w:val="AkapitzlistZnak"/>
    <w:uiPriority w:val="34"/>
    <w:qFormat/>
    <w:rsid w:val="00F9252F"/>
    <w:pPr>
      <w:ind w:left="720"/>
      <w:contextualSpacing/>
    </w:pPr>
    <w:rPr>
      <w:sz w:val="24"/>
      <w:lang w:val="x-none" w:eastAsia="x-none"/>
    </w:rPr>
  </w:style>
  <w:style w:type="table" w:styleId="Tabelasiatki4akcent5">
    <w:name w:val="Grid Table 4 Accent 5"/>
    <w:basedOn w:val="Standardowy"/>
    <w:uiPriority w:val="49"/>
    <w:rsid w:val="00F9252F"/>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dok1">
    <w:name w:val="dok1"/>
    <w:basedOn w:val="Normalny"/>
    <w:rsid w:val="00DB5A31"/>
    <w:pPr>
      <w:widowControl w:val="0"/>
      <w:suppressAutoHyphens/>
      <w:spacing w:line="360" w:lineRule="auto"/>
    </w:pPr>
    <w:rPr>
      <w:rFonts w:ascii="Times New Roman" w:eastAsia="SimSun" w:hAnsi="Times New Roman" w:cs="Mangal"/>
      <w:kern w:val="1"/>
      <w:sz w:val="26"/>
      <w:lang w:eastAsia="hi-IN" w:bidi="hi-IN"/>
    </w:rPr>
  </w:style>
  <w:style w:type="paragraph" w:styleId="Bezodstpw">
    <w:name w:val="No Spacing"/>
    <w:link w:val="BezodstpwZnak"/>
    <w:uiPriority w:val="1"/>
    <w:qFormat/>
    <w:rsid w:val="005E5175"/>
    <w:rPr>
      <w:rFonts w:ascii="Calibri" w:eastAsia="Calibri" w:hAnsi="Calibri"/>
      <w:sz w:val="22"/>
      <w:szCs w:val="22"/>
      <w:lang w:eastAsia="en-US"/>
    </w:rPr>
  </w:style>
  <w:style w:type="paragraph" w:styleId="Tekstpodstawowywcity">
    <w:name w:val="Body Text Indent"/>
    <w:basedOn w:val="Normalny"/>
    <w:link w:val="TekstpodstawowywcityZnak"/>
    <w:rsid w:val="002F4F31"/>
    <w:pPr>
      <w:spacing w:after="120"/>
      <w:ind w:left="283"/>
    </w:pPr>
    <w:rPr>
      <w:lang w:val="x-none" w:eastAsia="x-none"/>
    </w:rPr>
  </w:style>
  <w:style w:type="character" w:customStyle="1" w:styleId="TekstpodstawowywcityZnak">
    <w:name w:val="Tekst podstawowy wcięty Znak"/>
    <w:link w:val="Tekstpodstawowywcity"/>
    <w:rsid w:val="002F4F31"/>
    <w:rPr>
      <w:rFonts w:ascii="Arial" w:hAnsi="Arial"/>
      <w:sz w:val="22"/>
      <w:szCs w:val="24"/>
    </w:rPr>
  </w:style>
  <w:style w:type="character" w:customStyle="1" w:styleId="AkapitzlistZnak">
    <w:name w:val="Akapit z listą Znak"/>
    <w:aliases w:val="CW_Lista Znak,lp1 Znak,Preambuła Znak,Numerowanie Znak,Akapit z listą BS Znak,Dot pt Znak,F5 List Paragraph Znak,Recommendation Znak,List Paragraph11 Znak,L1 Znak,List Paragraph Znak,Normalny PDST Znak,HŁ_Bullet1 Znak,Heading2 Znak"/>
    <w:link w:val="Akapitzlist"/>
    <w:uiPriority w:val="34"/>
    <w:qFormat/>
    <w:locked/>
    <w:rsid w:val="005E33E6"/>
    <w:rPr>
      <w:rFonts w:ascii="Arial" w:hAnsi="Arial"/>
      <w:sz w:val="24"/>
      <w:szCs w:val="24"/>
    </w:rPr>
  </w:style>
  <w:style w:type="paragraph" w:customStyle="1" w:styleId="xmsonormal">
    <w:name w:val="x_msonormal"/>
    <w:basedOn w:val="Normalny"/>
    <w:rsid w:val="005E33E6"/>
    <w:pPr>
      <w:spacing w:before="100" w:beforeAutospacing="1" w:after="100" w:afterAutospacing="1"/>
      <w:jc w:val="left"/>
    </w:pPr>
    <w:rPr>
      <w:rFonts w:ascii="Times New Roman" w:hAnsi="Times New Roman"/>
      <w:sz w:val="24"/>
    </w:rPr>
  </w:style>
  <w:style w:type="character" w:customStyle="1" w:styleId="Ppogrubienie">
    <w:name w:val="_P_ – pogrubienie"/>
    <w:uiPriority w:val="1"/>
    <w:qFormat/>
    <w:rsid w:val="005E33E6"/>
    <w:rPr>
      <w:b/>
    </w:rPr>
  </w:style>
  <w:style w:type="paragraph" w:customStyle="1" w:styleId="xmsolistparagraph">
    <w:name w:val="x_msolistparagraph"/>
    <w:basedOn w:val="Normalny"/>
    <w:rsid w:val="00EE5973"/>
    <w:pPr>
      <w:spacing w:before="100" w:beforeAutospacing="1" w:after="100" w:afterAutospacing="1"/>
      <w:jc w:val="left"/>
    </w:pPr>
    <w:rPr>
      <w:rFonts w:ascii="Times New Roman" w:hAnsi="Times New Roman"/>
      <w:sz w:val="24"/>
      <w:lang w:val="en-GB" w:eastAsia="en-GB"/>
    </w:rPr>
  </w:style>
  <w:style w:type="paragraph" w:customStyle="1" w:styleId="a">
    <w:basedOn w:val="Normalny"/>
    <w:next w:val="Mapadokumentu"/>
    <w:rsid w:val="00AD2BAF"/>
    <w:pPr>
      <w:shd w:val="clear" w:color="auto" w:fill="000080"/>
    </w:pPr>
    <w:rPr>
      <w:rFonts w:ascii="Tahoma" w:hAnsi="Tahoma" w:cs="Tahoma"/>
      <w:sz w:val="20"/>
      <w:szCs w:val="20"/>
    </w:rPr>
  </w:style>
  <w:style w:type="character" w:customStyle="1" w:styleId="TekstdymkaZnak">
    <w:name w:val="Tekst dymka Znak"/>
    <w:link w:val="Tekstdymka"/>
    <w:semiHidden/>
    <w:rsid w:val="00AD2BAF"/>
    <w:rPr>
      <w:rFonts w:ascii="Tahoma" w:hAnsi="Tahoma" w:cs="Tahoma"/>
      <w:sz w:val="16"/>
      <w:szCs w:val="16"/>
    </w:rPr>
  </w:style>
  <w:style w:type="paragraph" w:styleId="Nagwekspisutreci">
    <w:name w:val="TOC Heading"/>
    <w:basedOn w:val="Nagwek1"/>
    <w:next w:val="Normalny"/>
    <w:qFormat/>
    <w:rsid w:val="00AD2BAF"/>
    <w:pPr>
      <w:keepLines/>
      <w:spacing w:before="480" w:line="276" w:lineRule="auto"/>
      <w:outlineLvl w:val="9"/>
    </w:pPr>
    <w:rPr>
      <w:rFonts w:ascii="Cambria" w:hAnsi="Cambria"/>
      <w:bCs/>
      <w:color w:val="365F91"/>
      <w:sz w:val="28"/>
      <w:szCs w:val="28"/>
      <w:lang w:eastAsia="en-US"/>
    </w:rPr>
  </w:style>
  <w:style w:type="character" w:customStyle="1" w:styleId="TematkomentarzaZnak">
    <w:name w:val="Temat komentarza Znak"/>
    <w:link w:val="Tematkomentarza"/>
    <w:semiHidden/>
    <w:rsid w:val="00AD2BAF"/>
    <w:rPr>
      <w:rFonts w:ascii="Arial" w:hAnsi="Arial"/>
      <w:b/>
      <w:bCs/>
    </w:rPr>
  </w:style>
  <w:style w:type="paragraph" w:styleId="Poprawka">
    <w:name w:val="Revision"/>
    <w:hidden/>
    <w:uiPriority w:val="99"/>
    <w:semiHidden/>
    <w:rsid w:val="00AD2BAF"/>
    <w:rPr>
      <w:rFonts w:ascii="Arial" w:hAnsi="Arial"/>
      <w:sz w:val="22"/>
      <w:szCs w:val="24"/>
    </w:rPr>
  </w:style>
  <w:style w:type="table" w:customStyle="1" w:styleId="Zwykatabela11">
    <w:name w:val="Zwykła tabela 11"/>
    <w:basedOn w:val="Standardowy"/>
    <w:uiPriority w:val="41"/>
    <w:rsid w:val="00AD2BA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4akcent11">
    <w:name w:val="Tabela siatki 4 — akcent 11"/>
    <w:basedOn w:val="Standardowy"/>
    <w:uiPriority w:val="49"/>
    <w:rsid w:val="00AD2BAF"/>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apadokumentuZnak">
    <w:name w:val="Mapa dokumentu Znak"/>
    <w:aliases w:val="Plan dokumentu Znak"/>
    <w:link w:val="Mapadokumentu"/>
    <w:uiPriority w:val="99"/>
    <w:semiHidden/>
    <w:rsid w:val="00AD2BAF"/>
    <w:rPr>
      <w:rFonts w:ascii="Tahoma" w:hAnsi="Tahoma" w:cs="Tahoma"/>
      <w:shd w:val="clear" w:color="auto" w:fill="000080"/>
    </w:rPr>
  </w:style>
  <w:style w:type="paragraph" w:styleId="Legenda">
    <w:name w:val="caption"/>
    <w:aliases w:val="Legenda WM"/>
    <w:basedOn w:val="Normalny"/>
    <w:next w:val="Normalny"/>
    <w:unhideWhenUsed/>
    <w:qFormat/>
    <w:rsid w:val="002174D0"/>
    <w:pPr>
      <w:keepNext/>
      <w:spacing w:before="120" w:after="120"/>
      <w:jc w:val="left"/>
    </w:pPr>
    <w:rPr>
      <w:iCs/>
      <w:color w:val="44546A" w:themeColor="text2"/>
      <w:sz w:val="18"/>
      <w:szCs w:val="18"/>
    </w:rPr>
  </w:style>
  <w:style w:type="paragraph" w:styleId="Spisilustracji">
    <w:name w:val="table of figures"/>
    <w:basedOn w:val="Normalny"/>
    <w:next w:val="Normalny"/>
    <w:uiPriority w:val="99"/>
    <w:rsid w:val="002C1A87"/>
    <w:pPr>
      <w:spacing w:after="60"/>
      <w:jc w:val="left"/>
    </w:pPr>
    <w:rPr>
      <w:sz w:val="20"/>
    </w:rPr>
  </w:style>
  <w:style w:type="character" w:customStyle="1" w:styleId="Nierozpoznanawzmianka1">
    <w:name w:val="Nierozpoznana wzmianka1"/>
    <w:basedOn w:val="Domylnaczcionkaakapitu"/>
    <w:uiPriority w:val="99"/>
    <w:semiHidden/>
    <w:unhideWhenUsed/>
    <w:rPr>
      <w:color w:val="605E5C"/>
      <w:shd w:val="clear" w:color="auto" w:fill="E1DFDD"/>
    </w:rPr>
  </w:style>
  <w:style w:type="table" w:customStyle="1" w:styleId="Tabela-Siatka1">
    <w:name w:val="Tabela - Siatka1"/>
    <w:basedOn w:val="Standardowy"/>
    <w:next w:val="Tabela-Siatka"/>
    <w:uiPriority w:val="39"/>
    <w:rsid w:val="003B7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316134"/>
    <w:rPr>
      <w:color w:val="605E5C"/>
      <w:shd w:val="clear" w:color="auto" w:fill="E1DFDD"/>
    </w:rPr>
  </w:style>
  <w:style w:type="character" w:customStyle="1" w:styleId="Nierozpoznanawzmianka3">
    <w:name w:val="Nierozpoznana wzmianka3"/>
    <w:basedOn w:val="Domylnaczcionkaakapitu"/>
    <w:uiPriority w:val="99"/>
    <w:semiHidden/>
    <w:unhideWhenUsed/>
    <w:rsid w:val="00D174BC"/>
    <w:rPr>
      <w:color w:val="605E5C"/>
      <w:shd w:val="clear" w:color="auto" w:fill="E1DFDD"/>
    </w:rPr>
  </w:style>
  <w:style w:type="character" w:customStyle="1" w:styleId="Nierozpoznanawzmianka4">
    <w:name w:val="Nierozpoznana wzmianka4"/>
    <w:basedOn w:val="Domylnaczcionkaakapitu"/>
    <w:uiPriority w:val="99"/>
    <w:semiHidden/>
    <w:unhideWhenUsed/>
    <w:rsid w:val="001D79C1"/>
    <w:rPr>
      <w:color w:val="605E5C"/>
      <w:shd w:val="clear" w:color="auto" w:fill="E1DFDD"/>
    </w:rPr>
  </w:style>
  <w:style w:type="character" w:customStyle="1" w:styleId="BezodstpwZnak">
    <w:name w:val="Bez odstępów Znak"/>
    <w:basedOn w:val="Domylnaczcionkaakapitu"/>
    <w:link w:val="Bezodstpw"/>
    <w:uiPriority w:val="1"/>
    <w:rsid w:val="00AF14A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8514">
      <w:bodyDiv w:val="1"/>
      <w:marLeft w:val="0"/>
      <w:marRight w:val="0"/>
      <w:marTop w:val="0"/>
      <w:marBottom w:val="0"/>
      <w:divBdr>
        <w:top w:val="none" w:sz="0" w:space="0" w:color="auto"/>
        <w:left w:val="none" w:sz="0" w:space="0" w:color="auto"/>
        <w:bottom w:val="none" w:sz="0" w:space="0" w:color="auto"/>
        <w:right w:val="none" w:sz="0" w:space="0" w:color="auto"/>
      </w:divBdr>
    </w:div>
    <w:div w:id="140074031">
      <w:bodyDiv w:val="1"/>
      <w:marLeft w:val="0"/>
      <w:marRight w:val="0"/>
      <w:marTop w:val="0"/>
      <w:marBottom w:val="0"/>
      <w:divBdr>
        <w:top w:val="none" w:sz="0" w:space="0" w:color="auto"/>
        <w:left w:val="none" w:sz="0" w:space="0" w:color="auto"/>
        <w:bottom w:val="none" w:sz="0" w:space="0" w:color="auto"/>
        <w:right w:val="none" w:sz="0" w:space="0" w:color="auto"/>
      </w:divBdr>
    </w:div>
    <w:div w:id="190068969">
      <w:bodyDiv w:val="1"/>
      <w:marLeft w:val="0"/>
      <w:marRight w:val="0"/>
      <w:marTop w:val="0"/>
      <w:marBottom w:val="0"/>
      <w:divBdr>
        <w:top w:val="none" w:sz="0" w:space="0" w:color="auto"/>
        <w:left w:val="none" w:sz="0" w:space="0" w:color="auto"/>
        <w:bottom w:val="none" w:sz="0" w:space="0" w:color="auto"/>
        <w:right w:val="none" w:sz="0" w:space="0" w:color="auto"/>
      </w:divBdr>
    </w:div>
    <w:div w:id="274410461">
      <w:bodyDiv w:val="1"/>
      <w:marLeft w:val="0"/>
      <w:marRight w:val="0"/>
      <w:marTop w:val="0"/>
      <w:marBottom w:val="0"/>
      <w:divBdr>
        <w:top w:val="none" w:sz="0" w:space="0" w:color="auto"/>
        <w:left w:val="none" w:sz="0" w:space="0" w:color="auto"/>
        <w:bottom w:val="none" w:sz="0" w:space="0" w:color="auto"/>
        <w:right w:val="none" w:sz="0" w:space="0" w:color="auto"/>
      </w:divBdr>
    </w:div>
    <w:div w:id="337780637">
      <w:bodyDiv w:val="1"/>
      <w:marLeft w:val="0"/>
      <w:marRight w:val="0"/>
      <w:marTop w:val="0"/>
      <w:marBottom w:val="0"/>
      <w:divBdr>
        <w:top w:val="none" w:sz="0" w:space="0" w:color="auto"/>
        <w:left w:val="none" w:sz="0" w:space="0" w:color="auto"/>
        <w:bottom w:val="none" w:sz="0" w:space="0" w:color="auto"/>
        <w:right w:val="none" w:sz="0" w:space="0" w:color="auto"/>
      </w:divBdr>
    </w:div>
    <w:div w:id="491725851">
      <w:bodyDiv w:val="1"/>
      <w:marLeft w:val="0"/>
      <w:marRight w:val="0"/>
      <w:marTop w:val="0"/>
      <w:marBottom w:val="0"/>
      <w:divBdr>
        <w:top w:val="none" w:sz="0" w:space="0" w:color="auto"/>
        <w:left w:val="none" w:sz="0" w:space="0" w:color="auto"/>
        <w:bottom w:val="none" w:sz="0" w:space="0" w:color="auto"/>
        <w:right w:val="none" w:sz="0" w:space="0" w:color="auto"/>
      </w:divBdr>
      <w:divsChild>
        <w:div w:id="229661900">
          <w:marLeft w:val="0"/>
          <w:marRight w:val="0"/>
          <w:marTop w:val="0"/>
          <w:marBottom w:val="0"/>
          <w:divBdr>
            <w:top w:val="none" w:sz="0" w:space="0" w:color="auto"/>
            <w:left w:val="none" w:sz="0" w:space="0" w:color="auto"/>
            <w:bottom w:val="none" w:sz="0" w:space="0" w:color="auto"/>
            <w:right w:val="none" w:sz="0" w:space="0" w:color="auto"/>
          </w:divBdr>
          <w:divsChild>
            <w:div w:id="174537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43072">
      <w:bodyDiv w:val="1"/>
      <w:marLeft w:val="0"/>
      <w:marRight w:val="0"/>
      <w:marTop w:val="0"/>
      <w:marBottom w:val="0"/>
      <w:divBdr>
        <w:top w:val="none" w:sz="0" w:space="0" w:color="auto"/>
        <w:left w:val="none" w:sz="0" w:space="0" w:color="auto"/>
        <w:bottom w:val="none" w:sz="0" w:space="0" w:color="auto"/>
        <w:right w:val="none" w:sz="0" w:space="0" w:color="auto"/>
      </w:divBdr>
    </w:div>
    <w:div w:id="611859224">
      <w:bodyDiv w:val="1"/>
      <w:marLeft w:val="0"/>
      <w:marRight w:val="0"/>
      <w:marTop w:val="0"/>
      <w:marBottom w:val="0"/>
      <w:divBdr>
        <w:top w:val="none" w:sz="0" w:space="0" w:color="auto"/>
        <w:left w:val="none" w:sz="0" w:space="0" w:color="auto"/>
        <w:bottom w:val="none" w:sz="0" w:space="0" w:color="auto"/>
        <w:right w:val="none" w:sz="0" w:space="0" w:color="auto"/>
      </w:divBdr>
    </w:div>
    <w:div w:id="857432326">
      <w:bodyDiv w:val="1"/>
      <w:marLeft w:val="0"/>
      <w:marRight w:val="0"/>
      <w:marTop w:val="0"/>
      <w:marBottom w:val="0"/>
      <w:divBdr>
        <w:top w:val="none" w:sz="0" w:space="0" w:color="auto"/>
        <w:left w:val="none" w:sz="0" w:space="0" w:color="auto"/>
        <w:bottom w:val="none" w:sz="0" w:space="0" w:color="auto"/>
        <w:right w:val="none" w:sz="0" w:space="0" w:color="auto"/>
      </w:divBdr>
    </w:div>
    <w:div w:id="958804777">
      <w:bodyDiv w:val="1"/>
      <w:marLeft w:val="0"/>
      <w:marRight w:val="0"/>
      <w:marTop w:val="0"/>
      <w:marBottom w:val="0"/>
      <w:divBdr>
        <w:top w:val="none" w:sz="0" w:space="0" w:color="auto"/>
        <w:left w:val="none" w:sz="0" w:space="0" w:color="auto"/>
        <w:bottom w:val="none" w:sz="0" w:space="0" w:color="auto"/>
        <w:right w:val="none" w:sz="0" w:space="0" w:color="auto"/>
      </w:divBdr>
    </w:div>
    <w:div w:id="1007948542">
      <w:bodyDiv w:val="1"/>
      <w:marLeft w:val="0"/>
      <w:marRight w:val="0"/>
      <w:marTop w:val="0"/>
      <w:marBottom w:val="0"/>
      <w:divBdr>
        <w:top w:val="none" w:sz="0" w:space="0" w:color="auto"/>
        <w:left w:val="none" w:sz="0" w:space="0" w:color="auto"/>
        <w:bottom w:val="none" w:sz="0" w:space="0" w:color="auto"/>
        <w:right w:val="none" w:sz="0" w:space="0" w:color="auto"/>
      </w:divBdr>
      <w:divsChild>
        <w:div w:id="637808528">
          <w:marLeft w:val="1080"/>
          <w:marRight w:val="0"/>
          <w:marTop w:val="100"/>
          <w:marBottom w:val="0"/>
          <w:divBdr>
            <w:top w:val="none" w:sz="0" w:space="0" w:color="auto"/>
            <w:left w:val="none" w:sz="0" w:space="0" w:color="auto"/>
            <w:bottom w:val="none" w:sz="0" w:space="0" w:color="auto"/>
            <w:right w:val="none" w:sz="0" w:space="0" w:color="auto"/>
          </w:divBdr>
        </w:div>
        <w:div w:id="1015500773">
          <w:marLeft w:val="1080"/>
          <w:marRight w:val="0"/>
          <w:marTop w:val="100"/>
          <w:marBottom w:val="0"/>
          <w:divBdr>
            <w:top w:val="none" w:sz="0" w:space="0" w:color="auto"/>
            <w:left w:val="none" w:sz="0" w:space="0" w:color="auto"/>
            <w:bottom w:val="none" w:sz="0" w:space="0" w:color="auto"/>
            <w:right w:val="none" w:sz="0" w:space="0" w:color="auto"/>
          </w:divBdr>
        </w:div>
        <w:div w:id="1447387813">
          <w:marLeft w:val="1080"/>
          <w:marRight w:val="0"/>
          <w:marTop w:val="100"/>
          <w:marBottom w:val="0"/>
          <w:divBdr>
            <w:top w:val="none" w:sz="0" w:space="0" w:color="auto"/>
            <w:left w:val="none" w:sz="0" w:space="0" w:color="auto"/>
            <w:bottom w:val="none" w:sz="0" w:space="0" w:color="auto"/>
            <w:right w:val="none" w:sz="0" w:space="0" w:color="auto"/>
          </w:divBdr>
        </w:div>
      </w:divsChild>
    </w:div>
    <w:div w:id="1052119321">
      <w:bodyDiv w:val="1"/>
      <w:marLeft w:val="0"/>
      <w:marRight w:val="0"/>
      <w:marTop w:val="0"/>
      <w:marBottom w:val="0"/>
      <w:divBdr>
        <w:top w:val="none" w:sz="0" w:space="0" w:color="auto"/>
        <w:left w:val="none" w:sz="0" w:space="0" w:color="auto"/>
        <w:bottom w:val="none" w:sz="0" w:space="0" w:color="auto"/>
        <w:right w:val="none" w:sz="0" w:space="0" w:color="auto"/>
      </w:divBdr>
    </w:div>
    <w:div w:id="1135414380">
      <w:bodyDiv w:val="1"/>
      <w:marLeft w:val="0"/>
      <w:marRight w:val="0"/>
      <w:marTop w:val="0"/>
      <w:marBottom w:val="0"/>
      <w:divBdr>
        <w:top w:val="none" w:sz="0" w:space="0" w:color="auto"/>
        <w:left w:val="none" w:sz="0" w:space="0" w:color="auto"/>
        <w:bottom w:val="none" w:sz="0" w:space="0" w:color="auto"/>
        <w:right w:val="none" w:sz="0" w:space="0" w:color="auto"/>
      </w:divBdr>
    </w:div>
    <w:div w:id="1162311792">
      <w:bodyDiv w:val="1"/>
      <w:marLeft w:val="0"/>
      <w:marRight w:val="0"/>
      <w:marTop w:val="0"/>
      <w:marBottom w:val="0"/>
      <w:divBdr>
        <w:top w:val="none" w:sz="0" w:space="0" w:color="auto"/>
        <w:left w:val="none" w:sz="0" w:space="0" w:color="auto"/>
        <w:bottom w:val="none" w:sz="0" w:space="0" w:color="auto"/>
        <w:right w:val="none" w:sz="0" w:space="0" w:color="auto"/>
      </w:divBdr>
    </w:div>
    <w:div w:id="1188714214">
      <w:bodyDiv w:val="1"/>
      <w:marLeft w:val="0"/>
      <w:marRight w:val="0"/>
      <w:marTop w:val="0"/>
      <w:marBottom w:val="0"/>
      <w:divBdr>
        <w:top w:val="none" w:sz="0" w:space="0" w:color="auto"/>
        <w:left w:val="none" w:sz="0" w:space="0" w:color="auto"/>
        <w:bottom w:val="none" w:sz="0" w:space="0" w:color="auto"/>
        <w:right w:val="none" w:sz="0" w:space="0" w:color="auto"/>
      </w:divBdr>
    </w:div>
    <w:div w:id="1200896310">
      <w:bodyDiv w:val="1"/>
      <w:marLeft w:val="0"/>
      <w:marRight w:val="0"/>
      <w:marTop w:val="0"/>
      <w:marBottom w:val="0"/>
      <w:divBdr>
        <w:top w:val="none" w:sz="0" w:space="0" w:color="auto"/>
        <w:left w:val="none" w:sz="0" w:space="0" w:color="auto"/>
        <w:bottom w:val="none" w:sz="0" w:space="0" w:color="auto"/>
        <w:right w:val="none" w:sz="0" w:space="0" w:color="auto"/>
      </w:divBdr>
    </w:div>
    <w:div w:id="1245918401">
      <w:bodyDiv w:val="1"/>
      <w:marLeft w:val="0"/>
      <w:marRight w:val="0"/>
      <w:marTop w:val="0"/>
      <w:marBottom w:val="0"/>
      <w:divBdr>
        <w:top w:val="none" w:sz="0" w:space="0" w:color="auto"/>
        <w:left w:val="none" w:sz="0" w:space="0" w:color="auto"/>
        <w:bottom w:val="none" w:sz="0" w:space="0" w:color="auto"/>
        <w:right w:val="none" w:sz="0" w:space="0" w:color="auto"/>
      </w:divBdr>
    </w:div>
    <w:div w:id="1289555666">
      <w:bodyDiv w:val="1"/>
      <w:marLeft w:val="0"/>
      <w:marRight w:val="0"/>
      <w:marTop w:val="0"/>
      <w:marBottom w:val="0"/>
      <w:divBdr>
        <w:top w:val="none" w:sz="0" w:space="0" w:color="auto"/>
        <w:left w:val="none" w:sz="0" w:space="0" w:color="auto"/>
        <w:bottom w:val="none" w:sz="0" w:space="0" w:color="auto"/>
        <w:right w:val="none" w:sz="0" w:space="0" w:color="auto"/>
      </w:divBdr>
    </w:div>
    <w:div w:id="1337614878">
      <w:bodyDiv w:val="1"/>
      <w:marLeft w:val="0"/>
      <w:marRight w:val="0"/>
      <w:marTop w:val="0"/>
      <w:marBottom w:val="0"/>
      <w:divBdr>
        <w:top w:val="none" w:sz="0" w:space="0" w:color="auto"/>
        <w:left w:val="none" w:sz="0" w:space="0" w:color="auto"/>
        <w:bottom w:val="none" w:sz="0" w:space="0" w:color="auto"/>
        <w:right w:val="none" w:sz="0" w:space="0" w:color="auto"/>
      </w:divBdr>
    </w:div>
    <w:div w:id="1367098210">
      <w:bodyDiv w:val="1"/>
      <w:marLeft w:val="0"/>
      <w:marRight w:val="0"/>
      <w:marTop w:val="0"/>
      <w:marBottom w:val="0"/>
      <w:divBdr>
        <w:top w:val="none" w:sz="0" w:space="0" w:color="auto"/>
        <w:left w:val="none" w:sz="0" w:space="0" w:color="auto"/>
        <w:bottom w:val="none" w:sz="0" w:space="0" w:color="auto"/>
        <w:right w:val="none" w:sz="0" w:space="0" w:color="auto"/>
      </w:divBdr>
      <w:divsChild>
        <w:div w:id="949747717">
          <w:marLeft w:val="0"/>
          <w:marRight w:val="0"/>
          <w:marTop w:val="0"/>
          <w:marBottom w:val="0"/>
          <w:divBdr>
            <w:top w:val="none" w:sz="0" w:space="0" w:color="auto"/>
            <w:left w:val="none" w:sz="0" w:space="0" w:color="auto"/>
            <w:bottom w:val="none" w:sz="0" w:space="0" w:color="auto"/>
            <w:right w:val="none" w:sz="0" w:space="0" w:color="auto"/>
          </w:divBdr>
          <w:divsChild>
            <w:div w:id="199513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69117">
      <w:bodyDiv w:val="1"/>
      <w:marLeft w:val="0"/>
      <w:marRight w:val="0"/>
      <w:marTop w:val="0"/>
      <w:marBottom w:val="0"/>
      <w:divBdr>
        <w:top w:val="none" w:sz="0" w:space="0" w:color="auto"/>
        <w:left w:val="none" w:sz="0" w:space="0" w:color="auto"/>
        <w:bottom w:val="none" w:sz="0" w:space="0" w:color="auto"/>
        <w:right w:val="none" w:sz="0" w:space="0" w:color="auto"/>
      </w:divBdr>
    </w:div>
    <w:div w:id="1417550377">
      <w:bodyDiv w:val="1"/>
      <w:marLeft w:val="0"/>
      <w:marRight w:val="0"/>
      <w:marTop w:val="0"/>
      <w:marBottom w:val="0"/>
      <w:divBdr>
        <w:top w:val="none" w:sz="0" w:space="0" w:color="auto"/>
        <w:left w:val="none" w:sz="0" w:space="0" w:color="auto"/>
        <w:bottom w:val="none" w:sz="0" w:space="0" w:color="auto"/>
        <w:right w:val="none" w:sz="0" w:space="0" w:color="auto"/>
      </w:divBdr>
    </w:div>
    <w:div w:id="1511679427">
      <w:bodyDiv w:val="1"/>
      <w:marLeft w:val="0"/>
      <w:marRight w:val="0"/>
      <w:marTop w:val="0"/>
      <w:marBottom w:val="0"/>
      <w:divBdr>
        <w:top w:val="none" w:sz="0" w:space="0" w:color="auto"/>
        <w:left w:val="none" w:sz="0" w:space="0" w:color="auto"/>
        <w:bottom w:val="none" w:sz="0" w:space="0" w:color="auto"/>
        <w:right w:val="none" w:sz="0" w:space="0" w:color="auto"/>
      </w:divBdr>
    </w:div>
    <w:div w:id="1544436819">
      <w:bodyDiv w:val="1"/>
      <w:marLeft w:val="0"/>
      <w:marRight w:val="0"/>
      <w:marTop w:val="0"/>
      <w:marBottom w:val="0"/>
      <w:divBdr>
        <w:top w:val="none" w:sz="0" w:space="0" w:color="auto"/>
        <w:left w:val="none" w:sz="0" w:space="0" w:color="auto"/>
        <w:bottom w:val="none" w:sz="0" w:space="0" w:color="auto"/>
        <w:right w:val="none" w:sz="0" w:space="0" w:color="auto"/>
      </w:divBdr>
    </w:div>
    <w:div w:id="1586913331">
      <w:bodyDiv w:val="1"/>
      <w:marLeft w:val="0"/>
      <w:marRight w:val="0"/>
      <w:marTop w:val="0"/>
      <w:marBottom w:val="0"/>
      <w:divBdr>
        <w:top w:val="none" w:sz="0" w:space="0" w:color="auto"/>
        <w:left w:val="none" w:sz="0" w:space="0" w:color="auto"/>
        <w:bottom w:val="none" w:sz="0" w:space="0" w:color="auto"/>
        <w:right w:val="none" w:sz="0" w:space="0" w:color="auto"/>
      </w:divBdr>
    </w:div>
    <w:div w:id="1639601397">
      <w:bodyDiv w:val="1"/>
      <w:marLeft w:val="0"/>
      <w:marRight w:val="0"/>
      <w:marTop w:val="0"/>
      <w:marBottom w:val="0"/>
      <w:divBdr>
        <w:top w:val="none" w:sz="0" w:space="0" w:color="auto"/>
        <w:left w:val="none" w:sz="0" w:space="0" w:color="auto"/>
        <w:bottom w:val="none" w:sz="0" w:space="0" w:color="auto"/>
        <w:right w:val="none" w:sz="0" w:space="0" w:color="auto"/>
      </w:divBdr>
    </w:div>
    <w:div w:id="1663580539">
      <w:bodyDiv w:val="1"/>
      <w:marLeft w:val="0"/>
      <w:marRight w:val="0"/>
      <w:marTop w:val="0"/>
      <w:marBottom w:val="0"/>
      <w:divBdr>
        <w:top w:val="none" w:sz="0" w:space="0" w:color="auto"/>
        <w:left w:val="none" w:sz="0" w:space="0" w:color="auto"/>
        <w:bottom w:val="none" w:sz="0" w:space="0" w:color="auto"/>
        <w:right w:val="none" w:sz="0" w:space="0" w:color="auto"/>
      </w:divBdr>
    </w:div>
    <w:div w:id="1760638115">
      <w:bodyDiv w:val="1"/>
      <w:marLeft w:val="0"/>
      <w:marRight w:val="0"/>
      <w:marTop w:val="0"/>
      <w:marBottom w:val="0"/>
      <w:divBdr>
        <w:top w:val="none" w:sz="0" w:space="0" w:color="auto"/>
        <w:left w:val="none" w:sz="0" w:space="0" w:color="auto"/>
        <w:bottom w:val="none" w:sz="0" w:space="0" w:color="auto"/>
        <w:right w:val="none" w:sz="0" w:space="0" w:color="auto"/>
      </w:divBdr>
    </w:div>
    <w:div w:id="1775402342">
      <w:bodyDiv w:val="1"/>
      <w:marLeft w:val="0"/>
      <w:marRight w:val="0"/>
      <w:marTop w:val="0"/>
      <w:marBottom w:val="0"/>
      <w:divBdr>
        <w:top w:val="none" w:sz="0" w:space="0" w:color="auto"/>
        <w:left w:val="none" w:sz="0" w:space="0" w:color="auto"/>
        <w:bottom w:val="none" w:sz="0" w:space="0" w:color="auto"/>
        <w:right w:val="none" w:sz="0" w:space="0" w:color="auto"/>
      </w:divBdr>
    </w:div>
    <w:div w:id="1785268007">
      <w:bodyDiv w:val="1"/>
      <w:marLeft w:val="0"/>
      <w:marRight w:val="0"/>
      <w:marTop w:val="0"/>
      <w:marBottom w:val="0"/>
      <w:divBdr>
        <w:top w:val="none" w:sz="0" w:space="0" w:color="auto"/>
        <w:left w:val="none" w:sz="0" w:space="0" w:color="auto"/>
        <w:bottom w:val="none" w:sz="0" w:space="0" w:color="auto"/>
        <w:right w:val="none" w:sz="0" w:space="0" w:color="auto"/>
      </w:divBdr>
    </w:div>
    <w:div w:id="1890915818">
      <w:bodyDiv w:val="1"/>
      <w:marLeft w:val="0"/>
      <w:marRight w:val="0"/>
      <w:marTop w:val="0"/>
      <w:marBottom w:val="0"/>
      <w:divBdr>
        <w:top w:val="none" w:sz="0" w:space="0" w:color="auto"/>
        <w:left w:val="none" w:sz="0" w:space="0" w:color="auto"/>
        <w:bottom w:val="none" w:sz="0" w:space="0" w:color="auto"/>
        <w:right w:val="none" w:sz="0" w:space="0" w:color="auto"/>
      </w:divBdr>
    </w:div>
    <w:div w:id="1939677676">
      <w:bodyDiv w:val="1"/>
      <w:marLeft w:val="0"/>
      <w:marRight w:val="0"/>
      <w:marTop w:val="0"/>
      <w:marBottom w:val="0"/>
      <w:divBdr>
        <w:top w:val="none" w:sz="0" w:space="0" w:color="auto"/>
        <w:left w:val="none" w:sz="0" w:space="0" w:color="auto"/>
        <w:bottom w:val="none" w:sz="0" w:space="0" w:color="auto"/>
        <w:right w:val="none" w:sz="0" w:space="0" w:color="auto"/>
      </w:divBdr>
    </w:div>
    <w:div w:id="1948271115">
      <w:bodyDiv w:val="1"/>
      <w:marLeft w:val="0"/>
      <w:marRight w:val="0"/>
      <w:marTop w:val="0"/>
      <w:marBottom w:val="0"/>
      <w:divBdr>
        <w:top w:val="none" w:sz="0" w:space="0" w:color="auto"/>
        <w:left w:val="none" w:sz="0" w:space="0" w:color="auto"/>
        <w:bottom w:val="none" w:sz="0" w:space="0" w:color="auto"/>
        <w:right w:val="none" w:sz="0" w:space="0" w:color="auto"/>
      </w:divBdr>
    </w:div>
    <w:div w:id="1957833309">
      <w:bodyDiv w:val="1"/>
      <w:marLeft w:val="0"/>
      <w:marRight w:val="0"/>
      <w:marTop w:val="0"/>
      <w:marBottom w:val="0"/>
      <w:divBdr>
        <w:top w:val="none" w:sz="0" w:space="0" w:color="auto"/>
        <w:left w:val="none" w:sz="0" w:space="0" w:color="auto"/>
        <w:bottom w:val="none" w:sz="0" w:space="0" w:color="auto"/>
        <w:right w:val="none" w:sz="0" w:space="0" w:color="auto"/>
      </w:divBdr>
    </w:div>
    <w:div w:id="1972125329">
      <w:bodyDiv w:val="1"/>
      <w:marLeft w:val="0"/>
      <w:marRight w:val="0"/>
      <w:marTop w:val="0"/>
      <w:marBottom w:val="0"/>
      <w:divBdr>
        <w:top w:val="none" w:sz="0" w:space="0" w:color="auto"/>
        <w:left w:val="none" w:sz="0" w:space="0" w:color="auto"/>
        <w:bottom w:val="none" w:sz="0" w:space="0" w:color="auto"/>
        <w:right w:val="none" w:sz="0" w:space="0" w:color="auto"/>
      </w:divBdr>
    </w:div>
    <w:div w:id="2047102938">
      <w:bodyDiv w:val="1"/>
      <w:marLeft w:val="0"/>
      <w:marRight w:val="0"/>
      <w:marTop w:val="0"/>
      <w:marBottom w:val="0"/>
      <w:divBdr>
        <w:top w:val="none" w:sz="0" w:space="0" w:color="auto"/>
        <w:left w:val="none" w:sz="0" w:space="0" w:color="auto"/>
        <w:bottom w:val="none" w:sz="0" w:space="0" w:color="auto"/>
        <w:right w:val="none" w:sz="0" w:space="0" w:color="auto"/>
      </w:divBdr>
    </w:div>
    <w:div w:id="211231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chart" Target="charts/chart4.xml"/><Relationship Id="rId42" Type="http://schemas.openxmlformats.org/officeDocument/2006/relationships/chart" Target="charts/chart23.xml"/><Relationship Id="rId47" Type="http://schemas.openxmlformats.org/officeDocument/2006/relationships/hyperlink" Target="https://aukcje.uzp.gov.pl/index.php" TargetMode="External"/><Relationship Id="rId63" Type="http://schemas.openxmlformats.org/officeDocument/2006/relationships/hyperlink" Target="https://www.gov.pl/web/uzp/bim---innowacyjne-podejscie-do-zamowien-publicznych-w-sektorze-budowlanym" TargetMode="External"/><Relationship Id="rId68" Type="http://schemas.openxmlformats.org/officeDocument/2006/relationships/hyperlink" Target="https://www.oneplanetnetwork.org/knowledge-centre/resources/sustainable-public-procurement-2022-global-review-parts-i-and-ii" TargetMode="Externa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10.xml"/><Relationship Id="rId11" Type="http://schemas.openxmlformats.org/officeDocument/2006/relationships/footer" Target="footer2.xml"/><Relationship Id="rId24" Type="http://schemas.openxmlformats.org/officeDocument/2006/relationships/chart" Target="charts/chart7.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hyperlink" Target="https://www.gov.pl/web/uzp/publikacje-z-obszaru-zzp" TargetMode="External"/><Relationship Id="rId58" Type="http://schemas.openxmlformats.org/officeDocument/2006/relationships/hyperlink" Target="https://www.gov.pl/web/uzp/zielone-zamowienia2" TargetMode="External"/><Relationship Id="rId66" Type="http://schemas.openxmlformats.org/officeDocument/2006/relationships/hyperlink" Target="https://www.globalpublicprocurementdata.org/gppd/" TargetMode="External"/><Relationship Id="rId74"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https://www.gov.pl/web/uzp/zalecenia-rady-ministrow-w-sprawie-uwzgledniania-przez-administracje-rzadowa-aspektow-spolecznych-w-zamowieniach-publicznych" TargetMode="External"/><Relationship Id="rId19" Type="http://schemas.openxmlformats.org/officeDocument/2006/relationships/chart" Target="charts/chart2.xml"/><Relationship Id="rId14" Type="http://schemas.openxmlformats.org/officeDocument/2006/relationships/hyperlink" Target="https://ec.europa.eu/trade/policy/countries-and-regions/negotiations-and-agreements/index_en.htm" TargetMode="External"/><Relationship Id="rId22" Type="http://schemas.openxmlformats.org/officeDocument/2006/relationships/chart" Target="charts/chart5.xml"/><Relationship Id="rId27" Type="http://schemas.openxmlformats.org/officeDocument/2006/relationships/image" Target="media/image5.png"/><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hyperlink" Target="https://www.gov.pl/web/uzp/konflikt-interesow-w-zamowieniach-publicznych-przeciwdzialanie-zjawiskom-korupcyjnym---konferencja-uzp" TargetMode="External"/><Relationship Id="rId56" Type="http://schemas.openxmlformats.org/officeDocument/2006/relationships/hyperlink" Target="https://www.gov.pl/web/uzp/zielone-zamowienia2" TargetMode="External"/><Relationship Id="rId64" Type="http://schemas.openxmlformats.org/officeDocument/2006/relationships/hyperlink" Target="https://enotices2.ted.europa.eu/home" TargetMode="External"/><Relationship Id="rId69" Type="http://schemas.openxmlformats.org/officeDocument/2006/relationships/hyperlink" Target="http://gov.pl/web/uzp/" TargetMode="External"/><Relationship Id="rId8" Type="http://schemas.openxmlformats.org/officeDocument/2006/relationships/image" Target="media/image1.png"/><Relationship Id="rId51" Type="http://schemas.openxmlformats.org/officeDocument/2006/relationships/hyperlink" Target="https://www.gov.pl/web/uzp/lista-studiow-podyplomowych-objetych-patronatem-prezesa-uzp"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chart" Target="charts/chart8.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hyperlink" Target="https://www.gov.pl/web/uzp/" TargetMode="External"/><Relationship Id="rId59" Type="http://schemas.openxmlformats.org/officeDocument/2006/relationships/hyperlink" Target="https://www.gov.pl/web/uzp/zielone-zamowienia2" TargetMode="External"/><Relationship Id="rId67" Type="http://schemas.openxmlformats.org/officeDocument/2006/relationships/hyperlink" Target="https://www.unep.org/explore-topics/resource-efficiency/what-we-do/sustainable-public-procurement/sdg-127-target-and" TargetMode="External"/><Relationship Id="rId20" Type="http://schemas.openxmlformats.org/officeDocument/2006/relationships/chart" Target="charts/chart3.xml"/><Relationship Id="rId41" Type="http://schemas.openxmlformats.org/officeDocument/2006/relationships/chart" Target="charts/chart22.xml"/><Relationship Id="rId54" Type="http://schemas.openxmlformats.org/officeDocument/2006/relationships/hyperlink" Target="https://www.gov.pl/web/uzp/publikacje-z-obszaru-spolecznych-zamowien-publicznych2" TargetMode="External"/><Relationship Id="rId62" Type="http://schemas.openxmlformats.org/officeDocument/2006/relationships/hyperlink" Target="https://www.gov.pl/web/rozwoj-technologia/grupa-robocza-do-spraw-bim" TargetMode="External"/><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ingle-market-economy.ec.europa.eu/single-market/public-procurement/international-public-procurement/bilateral-relations-non-eu-countries_pl" TargetMode="External"/><Relationship Id="rId23" Type="http://schemas.openxmlformats.org/officeDocument/2006/relationships/chart" Target="charts/chart6.xml"/><Relationship Id="rId28" Type="http://schemas.openxmlformats.org/officeDocument/2006/relationships/hyperlink" Target="https://www.gov.pl/web/uzp/informacja-o-polskim-i-europejskim-rynku-zamowien-publicznych2" TargetMode="External"/><Relationship Id="rId36" Type="http://schemas.openxmlformats.org/officeDocument/2006/relationships/chart" Target="charts/chart17.xml"/><Relationship Id="rId49" Type="http://schemas.openxmlformats.org/officeDocument/2006/relationships/hyperlink" Target="https://www.gov.pl/web/uzp/zakres-kontroli-zamowien-publicznych" TargetMode="External"/><Relationship Id="rId57" Type="http://schemas.openxmlformats.org/officeDocument/2006/relationships/hyperlink" Target="https://www.gov.pl/web/uzp/publikacje-z-obszaru-spolecznych-zamowien-publicznych2" TargetMode="External"/><Relationship Id="rId10" Type="http://schemas.openxmlformats.org/officeDocument/2006/relationships/footer" Target="footer1.xml"/><Relationship Id="rId31" Type="http://schemas.openxmlformats.org/officeDocument/2006/relationships/chart" Target="charts/chart12.xml"/><Relationship Id="rId44" Type="http://schemas.openxmlformats.org/officeDocument/2006/relationships/chart" Target="charts/chart25.xml"/><Relationship Id="rId52" Type="http://schemas.openxmlformats.org/officeDocument/2006/relationships/hyperlink" Target="https://www.gov.pl/web/uzp/" TargetMode="External"/><Relationship Id="rId60" Type="http://schemas.openxmlformats.org/officeDocument/2006/relationships/hyperlink" Target="https://www.gov.pl/web/uzp/dostepnosc3" TargetMode="External"/><Relationship Id="rId65" Type="http://schemas.openxmlformats.org/officeDocument/2006/relationships/hyperlink" Target="https://op.europa.eu/en/publication-detail/-/publication/28948315-41da-11ec-89db-01aa75ed71a1/language-en/format-PDF/source-242944128" TargetMode="External"/><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e-gpa.wto.org/" TargetMode="External"/><Relationship Id="rId18" Type="http://schemas.openxmlformats.org/officeDocument/2006/relationships/image" Target="media/image4.png"/><Relationship Id="rId39" Type="http://schemas.openxmlformats.org/officeDocument/2006/relationships/chart" Target="charts/chart20.xml"/><Relationship Id="rId34" Type="http://schemas.openxmlformats.org/officeDocument/2006/relationships/chart" Target="charts/chart15.xml"/><Relationship Id="rId50" Type="http://schemas.openxmlformats.org/officeDocument/2006/relationships/hyperlink" Target="https://www.gov.pl/web/uzp/normy-w-zamowieniach-publicznych" TargetMode="External"/><Relationship Id="rId55" Type="http://schemas.openxmlformats.org/officeDocument/2006/relationships/hyperlink" Target="https://www.gov.pl/web/uzp/publikacje-z-obszaru-zzp"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PL/TXT/PDF/?uri=CELEX:52022XG0620(01)R(01)&amp;from=PL" TargetMode="External"/><Relationship Id="rId1" Type="http://schemas.openxmlformats.org/officeDocument/2006/relationships/hyperlink" Target="https://eur-lex.europa.eu/legal-content/PL/TXT/PDF/?uri=CELEX:52022XG0620(01)&amp;from=P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Wojtek\Moje%20dokumenty\Analizy\Statystyka%20ZP-SR\2022\SR%202022%20-%20stare%20i%20now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xlsx"/></Relationships>
</file>

<file path=word/charts/_rels/chart12.xml.rels><?xml version="1.0" encoding="UTF-8" standalone="yes"?>
<Relationships xmlns="http://schemas.openxmlformats.org/package/2006/relationships"><Relationship Id="rId3" Type="http://schemas.openxmlformats.org/officeDocument/2006/relationships/oleObject" Target="file:///C:\Users\mwosieck\OneDrive%20-%20uzp.gov.pl\Pulpit\Wykresy_spo&#322;._2022.xlsx"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Pulpit/roczne_2022/Arkusz_2022_all.ods"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skowron\Desktop\roczne_2022\final\Arkusz_2022_all.ods"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Pulpit/roczne_2022/Arkusz_2022_all.ods"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skowron\Desktop\roczne_2022\final\Arkusz_2022_all.ods"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19.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Pulpit/roczne_2022/finiszujemy/Arkusz_2022_JARZ.ods"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E:\Wojtek\Moje%20dokumenty\Analizy\Statystyka%20ZP-SR\2022\SR%202022%20-%20stare%20i%20now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skowron\Desktop\roczne_2022\final\Arkusz_2022_JARZ.ods" TargetMode="External"/><Relationship Id="rId2" Type="http://schemas.microsoft.com/office/2011/relationships/chartColorStyle" Target="colors17.xml"/><Relationship Id="rId1" Type="http://schemas.microsoft.com/office/2011/relationships/chartStyle" Target="style17.xml"/></Relationships>
</file>

<file path=word/charts/_rels/chart21.xml.rels><?xml version="1.0" encoding="UTF-8" standalone="yes"?>
<Relationships xmlns="http://schemas.openxmlformats.org/package/2006/relationships"><Relationship Id="rId3" Type="http://schemas.openxmlformats.org/officeDocument/2006/relationships/oleObject" Target="https://uzpgovpl0-my.sharepoint.com/personal/mskowron_uzp_gov_pl/Documents/Pulpit/roczne_2022/finiszujemy/Arkusz_2022_JARZ.ods" TargetMode="External"/><Relationship Id="rId2" Type="http://schemas.microsoft.com/office/2011/relationships/chartColorStyle" Target="colors18.xml"/><Relationship Id="rId1" Type="http://schemas.microsoft.com/office/2011/relationships/chartStyle" Target="style18.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mskowron\Desktop\roczne_2022\final\Arkusz_2022_JARZ.ods" TargetMode="External"/><Relationship Id="rId2" Type="http://schemas.microsoft.com/office/2011/relationships/chartColorStyle" Target="colors19.xml"/><Relationship Id="rId1" Type="http://schemas.microsoft.com/office/2011/relationships/chartStyle" Target="style19.xml"/></Relationships>
</file>

<file path=word/charts/_rels/chart23.xml.rels><?xml version="1.0" encoding="UTF-8" standalone="yes"?>
<Relationships xmlns="http://schemas.openxmlformats.org/package/2006/relationships"><Relationship Id="rId3" Type="http://schemas.openxmlformats.org/officeDocument/2006/relationships/oleObject" Target="file:///E:\Wojtek\Moje%20dokumenty\Analizy\Sprawozdanie%202022\Dane\Og&#322;oszenia%20o%20zamiarze%20zawarcia%20umowy\statystyka.xlsx" TargetMode="External"/><Relationship Id="rId2" Type="http://schemas.microsoft.com/office/2011/relationships/chartColorStyle" Target="colors20.xml"/><Relationship Id="rId1" Type="http://schemas.microsoft.com/office/2011/relationships/chartStyle" Target="style20.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4.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2.xml"/><Relationship Id="rId1" Type="http://schemas.microsoft.com/office/2011/relationships/chartStyle" Target="style22.xml"/><Relationship Id="rId5" Type="http://schemas.openxmlformats.org/officeDocument/2006/relationships/chartUserShapes" Target="../drawings/drawing1.xml"/><Relationship Id="rId4" Type="http://schemas.openxmlformats.org/officeDocument/2006/relationships/package" Target="../embeddings/Microsoft_Excel_Worksheet5.xlsx"/></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3.xml.rels><?xml version="1.0" encoding="UTF-8" standalone="yes"?>
<Relationships xmlns="http://schemas.openxmlformats.org/package/2006/relationships"><Relationship Id="rId3" Type="http://schemas.openxmlformats.org/officeDocument/2006/relationships/oleObject" Target="file:///E:\Wojtek\Moje%20dokumenty\Analizy\Statystyka%20ZP-SR\2022\SR%202022%20-%20stare%20i%20now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E:\Wojtek\Moje%20dokumenty\Analizy\Statystyka%20ZP-SR\2022\SR%202022%20-%20stare%20i%20nowe.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E:\Wojtek\Moje%20dokumenty\Analizy\Statystyka%20ZP-SR\2022\SR%202022%20-%20stare%20i%20nowe.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E:\Wojtek\Moje%20dokumenty\Analizy\Sprawozdanie%202022\Dane\Covid%20Ukraina\Covid\BZP%202022%20-%20covid.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E:\Wojtek\Moje%20dokumenty\Analizy\Sprawozdanie%202022\Dane\Covid%20Ukraina\Ukraina\BZP%202022%20-%20Ukraina.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E:\Wojtek\Moje%20dokumenty\Analizy\Sprawozdanie%202022\Dane\Covid%20Ukraina%20W&#281;giel\W&#281;giel\BZP%202022%20-%20W&#281;giel.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oleObject" Target="file:///E:\Wojtek\Moje%20dokumenty\Analizy\Sprawozdanie%202022\Dane\Kryteria\kryteria%202022%20-%20wykres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wartość!$E$40</c:f>
              <c:strCache>
                <c:ptCount val="1"/>
                <c:pt idx="0">
                  <c:v>wartość</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wartość!$D$42:$D$52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wartość!$E$42:$E$52</c:f>
              <c:numCache>
                <c:formatCode>"zł"#,##0.00_);[Red]\("zł"#,##0.00\)</c:formatCode>
                <c:ptCount val="11"/>
                <c:pt idx="0">
                  <c:v>132700000000</c:v>
                </c:pt>
                <c:pt idx="1">
                  <c:v>143200000000</c:v>
                </c:pt>
                <c:pt idx="2">
                  <c:v>133200000000</c:v>
                </c:pt>
                <c:pt idx="3">
                  <c:v>116308000000</c:v>
                </c:pt>
                <c:pt idx="4">
                  <c:v>107400000000</c:v>
                </c:pt>
                <c:pt idx="5">
                  <c:v>163200000000</c:v>
                </c:pt>
                <c:pt idx="6">
                  <c:v>202100000000</c:v>
                </c:pt>
                <c:pt idx="7">
                  <c:v>198900000000</c:v>
                </c:pt>
                <c:pt idx="8">
                  <c:v>183500000000</c:v>
                </c:pt>
                <c:pt idx="9">
                  <c:v>184600000000</c:v>
                </c:pt>
                <c:pt idx="10">
                  <c:v>274800000000</c:v>
                </c:pt>
              </c:numCache>
            </c:numRef>
          </c:val>
          <c:smooth val="0"/>
          <c:extLst>
            <c:ext xmlns:c16="http://schemas.microsoft.com/office/drawing/2014/chart" uri="{C3380CC4-5D6E-409C-BE32-E72D297353CC}">
              <c16:uniqueId val="{00000000-A7B2-4CEC-9FA3-084A2ECA1732}"/>
            </c:ext>
          </c:extLst>
        </c:ser>
        <c:dLbls>
          <c:dLblPos val="t"/>
          <c:showLegendKey val="0"/>
          <c:showVal val="1"/>
          <c:showCatName val="0"/>
          <c:showSerName val="0"/>
          <c:showPercent val="0"/>
          <c:showBubbleSize val="0"/>
        </c:dLbls>
        <c:marker val="1"/>
        <c:smooth val="0"/>
        <c:axId val="472840352"/>
        <c:axId val="472840680"/>
      </c:lineChart>
      <c:catAx>
        <c:axId val="47284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840680"/>
        <c:crosses val="autoZero"/>
        <c:auto val="1"/>
        <c:lblAlgn val="ctr"/>
        <c:lblOffset val="100"/>
        <c:noMultiLvlLbl val="0"/>
      </c:catAx>
      <c:valAx>
        <c:axId val="472840680"/>
        <c:scaling>
          <c:orientation val="minMax"/>
          <c:max val="280000000000"/>
          <c:min val="80000000000"/>
        </c:scaling>
        <c:delete val="1"/>
        <c:axPos val="l"/>
        <c:numFmt formatCode="#,##0" sourceLinked="0"/>
        <c:majorTickMark val="out"/>
        <c:minorTickMark val="none"/>
        <c:tickLblPos val="nextTo"/>
        <c:crossAx val="472840352"/>
        <c:crosses val="autoZero"/>
        <c:crossBetween val="midCat"/>
        <c:dispUnits>
          <c:builtInUnit val="b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Arkusz1!$A$21</c:f>
              <c:strCache>
                <c:ptCount val="1"/>
                <c:pt idx="0">
                  <c:v>rob. budowlane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2019</c:v>
                </c:pt>
                <c:pt idx="1">
                  <c:v>2020</c:v>
                </c:pt>
                <c:pt idx="2">
                  <c:v>2021</c:v>
                </c:pt>
                <c:pt idx="3">
                  <c:v>2022</c:v>
                </c:pt>
              </c:numCache>
            </c:numRef>
          </c:cat>
          <c:val>
            <c:numRef>
              <c:f>Arkusz1!$B$21:$E$21</c:f>
              <c:numCache>
                <c:formatCode>#,##0</c:formatCode>
                <c:ptCount val="4"/>
                <c:pt idx="0">
                  <c:v>539</c:v>
                </c:pt>
                <c:pt idx="1">
                  <c:v>985</c:v>
                </c:pt>
                <c:pt idx="2">
                  <c:v>1029</c:v>
                </c:pt>
                <c:pt idx="3">
                  <c:v>761</c:v>
                </c:pt>
              </c:numCache>
            </c:numRef>
          </c:val>
          <c:extLst>
            <c:ext xmlns:c16="http://schemas.microsoft.com/office/drawing/2014/chart" uri="{C3380CC4-5D6E-409C-BE32-E72D297353CC}">
              <c16:uniqueId val="{00000000-F254-4294-BB92-9E6C704A9985}"/>
            </c:ext>
          </c:extLst>
        </c:ser>
        <c:ser>
          <c:idx val="1"/>
          <c:order val="1"/>
          <c:tx>
            <c:strRef>
              <c:f>Arkusz1!$A$22</c:f>
              <c:strCache>
                <c:ptCount val="1"/>
                <c:pt idx="0">
                  <c:v>dostawy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2019</c:v>
                </c:pt>
                <c:pt idx="1">
                  <c:v>2020</c:v>
                </c:pt>
                <c:pt idx="2">
                  <c:v>2021</c:v>
                </c:pt>
                <c:pt idx="3">
                  <c:v>2022</c:v>
                </c:pt>
              </c:numCache>
            </c:numRef>
          </c:cat>
          <c:val>
            <c:numRef>
              <c:f>Arkusz1!$B$22:$E$22</c:f>
              <c:numCache>
                <c:formatCode>#,##0</c:formatCode>
                <c:ptCount val="4"/>
                <c:pt idx="0">
                  <c:v>1051</c:v>
                </c:pt>
                <c:pt idx="1">
                  <c:v>1100</c:v>
                </c:pt>
                <c:pt idx="2">
                  <c:v>1105</c:v>
                </c:pt>
                <c:pt idx="3">
                  <c:v>878</c:v>
                </c:pt>
              </c:numCache>
            </c:numRef>
          </c:val>
          <c:extLst>
            <c:ext xmlns:c16="http://schemas.microsoft.com/office/drawing/2014/chart" uri="{C3380CC4-5D6E-409C-BE32-E72D297353CC}">
              <c16:uniqueId val="{00000001-F254-4294-BB92-9E6C704A9985}"/>
            </c:ext>
          </c:extLst>
        </c:ser>
        <c:ser>
          <c:idx val="2"/>
          <c:order val="2"/>
          <c:tx>
            <c:strRef>
              <c:f>Arkusz1!$A$23</c:f>
              <c:strCache>
                <c:ptCount val="1"/>
                <c:pt idx="0">
                  <c:v>usługi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2019</c:v>
                </c:pt>
                <c:pt idx="1">
                  <c:v>2020</c:v>
                </c:pt>
                <c:pt idx="2">
                  <c:v>2021</c:v>
                </c:pt>
                <c:pt idx="3">
                  <c:v>2022</c:v>
                </c:pt>
              </c:numCache>
            </c:numRef>
          </c:cat>
          <c:val>
            <c:numRef>
              <c:f>Arkusz1!$B$23:$E$23</c:f>
              <c:numCache>
                <c:formatCode>#,##0</c:formatCode>
                <c:ptCount val="4"/>
                <c:pt idx="0">
                  <c:v>1098</c:v>
                </c:pt>
                <c:pt idx="1">
                  <c:v>1451</c:v>
                </c:pt>
                <c:pt idx="2">
                  <c:v>1677</c:v>
                </c:pt>
                <c:pt idx="3">
                  <c:v>1891</c:v>
                </c:pt>
              </c:numCache>
            </c:numRef>
          </c:val>
          <c:extLst>
            <c:ext xmlns:c16="http://schemas.microsoft.com/office/drawing/2014/chart" uri="{C3380CC4-5D6E-409C-BE32-E72D297353CC}">
              <c16:uniqueId val="{00000002-F254-4294-BB92-9E6C704A9985}"/>
            </c:ext>
          </c:extLst>
        </c:ser>
        <c:ser>
          <c:idx val="4"/>
          <c:order val="3"/>
          <c:tx>
            <c:strRef>
              <c:f>Arkusz1!$A$24</c:f>
              <c:strCache>
                <c:ptCount val="1"/>
                <c:pt idx="0">
                  <c:v>brak danych</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Arkusz1!$B$24:$E$24</c:f>
              <c:numCache>
                <c:formatCode>General</c:formatCode>
                <c:ptCount val="4"/>
                <c:pt idx="3" formatCode="#,##0">
                  <c:v>7</c:v>
                </c:pt>
              </c:numCache>
            </c:numRef>
          </c:val>
          <c:extLst>
            <c:ext xmlns:c16="http://schemas.microsoft.com/office/drawing/2014/chart" uri="{C3380CC4-5D6E-409C-BE32-E72D297353CC}">
              <c16:uniqueId val="{00000003-F254-4294-BB92-9E6C704A9985}"/>
            </c:ext>
          </c:extLst>
        </c:ser>
        <c:dLbls>
          <c:showLegendKey val="0"/>
          <c:showVal val="0"/>
          <c:showCatName val="0"/>
          <c:showSerName val="0"/>
          <c:showPercent val="0"/>
          <c:showBubbleSize val="0"/>
        </c:dLbls>
        <c:gapWidth val="150"/>
        <c:overlap val="-25"/>
        <c:axId val="500048744"/>
        <c:axId val="500051040"/>
      </c:barChart>
      <c:lineChart>
        <c:grouping val="standard"/>
        <c:varyColors val="0"/>
        <c:ser>
          <c:idx val="3"/>
          <c:order val="4"/>
          <c:tx>
            <c:strRef>
              <c:f>Arkusz1!$A$25</c:f>
              <c:strCache>
                <c:ptCount val="1"/>
                <c:pt idx="0">
                  <c:v>ogółem</c:v>
                </c:pt>
              </c:strCache>
            </c:strRef>
          </c:tx>
          <c:spPr>
            <a:ln w="28575" cap="rnd">
              <a:solidFill>
                <a:schemeClr val="accent4"/>
              </a:solidFill>
              <a:round/>
            </a:ln>
            <a:effectLst/>
          </c:spPr>
          <c:marker>
            <c:symbol val="square"/>
            <c:size val="5"/>
            <c:spPr>
              <a:solidFill>
                <a:schemeClr val="accent4"/>
              </a:solidFill>
              <a:ln w="9525">
                <a:solidFill>
                  <a:schemeClr val="accent1">
                    <a:alpha val="9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Arkusz1!$B$20:$E$20</c:f>
              <c:numCache>
                <c:formatCode>General</c:formatCode>
                <c:ptCount val="4"/>
                <c:pt idx="0">
                  <c:v>2019</c:v>
                </c:pt>
                <c:pt idx="1">
                  <c:v>2020</c:v>
                </c:pt>
                <c:pt idx="2">
                  <c:v>2021</c:v>
                </c:pt>
                <c:pt idx="3">
                  <c:v>2022</c:v>
                </c:pt>
              </c:numCache>
            </c:numRef>
          </c:cat>
          <c:val>
            <c:numRef>
              <c:f>Arkusz1!$B$25:$E$25</c:f>
              <c:numCache>
                <c:formatCode>#,##0</c:formatCode>
                <c:ptCount val="4"/>
                <c:pt idx="0">
                  <c:v>2695</c:v>
                </c:pt>
                <c:pt idx="1">
                  <c:v>3545</c:v>
                </c:pt>
                <c:pt idx="2">
                  <c:v>3811</c:v>
                </c:pt>
                <c:pt idx="3">
                  <c:v>3537</c:v>
                </c:pt>
              </c:numCache>
            </c:numRef>
          </c:val>
          <c:smooth val="0"/>
          <c:extLst>
            <c:ext xmlns:c16="http://schemas.microsoft.com/office/drawing/2014/chart" uri="{C3380CC4-5D6E-409C-BE32-E72D297353CC}">
              <c16:uniqueId val="{00000004-F254-4294-BB92-9E6C704A9985}"/>
            </c:ext>
          </c:extLst>
        </c:ser>
        <c:dLbls>
          <c:showLegendKey val="0"/>
          <c:showVal val="0"/>
          <c:showCatName val="0"/>
          <c:showSerName val="0"/>
          <c:showPercent val="0"/>
          <c:showBubbleSize val="0"/>
        </c:dLbls>
        <c:marker val="1"/>
        <c:smooth val="0"/>
        <c:axId val="471395824"/>
        <c:axId val="471412880"/>
      </c:lineChart>
      <c:catAx>
        <c:axId val="500048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0051040"/>
        <c:crosses val="autoZero"/>
        <c:auto val="1"/>
        <c:lblAlgn val="ctr"/>
        <c:lblOffset val="100"/>
        <c:noMultiLvlLbl val="0"/>
      </c:catAx>
      <c:valAx>
        <c:axId val="500051040"/>
        <c:scaling>
          <c:orientation val="minMax"/>
          <c:max val="2500"/>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500048744"/>
        <c:crosses val="autoZero"/>
        <c:crossBetween val="between"/>
      </c:valAx>
      <c:valAx>
        <c:axId val="471412880"/>
        <c:scaling>
          <c:orientation val="minMax"/>
          <c:max val="4000"/>
          <c:min val="0"/>
        </c:scaling>
        <c:delete val="0"/>
        <c:axPos val="r"/>
        <c:numFmt formatCode="#,##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395824"/>
        <c:crosses val="max"/>
        <c:crossBetween val="between"/>
      </c:valAx>
      <c:catAx>
        <c:axId val="471395824"/>
        <c:scaling>
          <c:orientation val="minMax"/>
        </c:scaling>
        <c:delete val="1"/>
        <c:axPos val="b"/>
        <c:numFmt formatCode="General" sourceLinked="1"/>
        <c:majorTickMark val="out"/>
        <c:minorTickMark val="none"/>
        <c:tickLblPos val="nextTo"/>
        <c:crossAx val="4714128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bar"/>
        <c:grouping val="clustered"/>
        <c:varyColors val="0"/>
        <c:ser>
          <c:idx val="0"/>
          <c:order val="0"/>
          <c:tx>
            <c:strRef>
              <c:f>Arkusz1!$B$1</c:f>
              <c:strCache>
                <c:ptCount val="1"/>
                <c:pt idx="0">
                  <c:v>Liczba zamówień</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Określenie etykiety związanej z aspektami społecznymi albo innego przedmiotowego środka, o którym mowa w art. 104</c:v>
                </c:pt>
                <c:pt idx="1">
                  <c:v>Zamówienie udzielone jako zamówienie zastrzeżone, o którym mowa w art. 94 ust. 1</c:v>
                </c:pt>
                <c:pt idx="2">
                  <c:v>Zamówienia zastrzeżone na usługi zdrowotne, społeczne lub kulturalne, o których mowa w art. 361 ust. 1 lub art. 392 ust. 3</c:v>
                </c:pt>
                <c:pt idx="3">
                  <c:v>Określenie wymagań związanych z realizacją zamówienia obejmujących aspekty społ. zw. z zatrudnieniem o których mowa w art. 96 ust. 1</c:v>
                </c:pt>
                <c:pt idx="4">
                  <c:v>Określenie aspektów społecznych w kryteriach oceny ofert, o których mowa w art. 242 ust. 2</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 stosunku pracy, o których mowa w art. 95 ust. 1 </c:v>
                </c:pt>
              </c:strCache>
            </c:strRef>
          </c:cat>
          <c:val>
            <c:numRef>
              <c:f>Arkusz1!$B$2:$B$8</c:f>
              <c:numCache>
                <c:formatCode>General</c:formatCode>
                <c:ptCount val="7"/>
                <c:pt idx="0">
                  <c:v>212</c:v>
                </c:pt>
                <c:pt idx="1">
                  <c:v>269</c:v>
                </c:pt>
                <c:pt idx="2">
                  <c:v>589</c:v>
                </c:pt>
                <c:pt idx="3">
                  <c:v>1123</c:v>
                </c:pt>
                <c:pt idx="4">
                  <c:v>1897</c:v>
                </c:pt>
                <c:pt idx="5">
                  <c:v>7144</c:v>
                </c:pt>
                <c:pt idx="6">
                  <c:v>35225</c:v>
                </c:pt>
              </c:numCache>
            </c:numRef>
          </c:val>
          <c:extLst>
            <c:ext xmlns:c16="http://schemas.microsoft.com/office/drawing/2014/chart" uri="{C3380CC4-5D6E-409C-BE32-E72D297353CC}">
              <c16:uniqueId val="{00000000-C6C3-4884-9F5F-426C7BEA50C6}"/>
            </c:ext>
          </c:extLst>
        </c:ser>
        <c:dLbls>
          <c:dLblPos val="outEnd"/>
          <c:showLegendKey val="0"/>
          <c:showVal val="1"/>
          <c:showCatName val="0"/>
          <c:showSerName val="0"/>
          <c:showPercent val="0"/>
          <c:showBubbleSize val="0"/>
        </c:dLbls>
        <c:gapWidth val="182"/>
        <c:axId val="1446816208"/>
        <c:axId val="1446816688"/>
      </c:barChart>
      <c:catAx>
        <c:axId val="1446816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446816688"/>
        <c:crosses val="autoZero"/>
        <c:auto val="1"/>
        <c:lblAlgn val="ctr"/>
        <c:lblOffset val="100"/>
        <c:noMultiLvlLbl val="0"/>
      </c:catAx>
      <c:valAx>
        <c:axId val="1446816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446816208"/>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673744433631186"/>
          <c:y val="8.242222222222223E-2"/>
          <c:w val="0.47155843581350082"/>
          <c:h val="0.89313333333333333"/>
        </c:manualLayout>
      </c:layout>
      <c:barChart>
        <c:barDir val="bar"/>
        <c:grouping val="clustered"/>
        <c:varyColors val="0"/>
        <c:ser>
          <c:idx val="0"/>
          <c:order val="0"/>
          <c:tx>
            <c:strRef>
              <c:f>Arkusz2!$B$1</c:f>
              <c:strCache>
                <c:ptCount val="1"/>
                <c:pt idx="0">
                  <c:v>Wartość zamówień</c:v>
                </c:pt>
              </c:strCache>
            </c:strRef>
          </c:tx>
          <c:spPr>
            <a:solidFill>
              <a:schemeClr val="accent1"/>
            </a:solidFill>
            <a:ln>
              <a:noFill/>
            </a:ln>
            <a:effectLst/>
          </c:spPr>
          <c:invertIfNegative val="0"/>
          <c:dLbls>
            <c:numFmt formatCode="#,##0.00\ &quot;zł&quot;"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Arkusz2!$A$2:$A$8</c:f>
              <c:strCache>
                <c:ptCount val="7"/>
                <c:pt idx="0">
                  <c:v>Zamówienia zastrzeżone na usługi zdrowotne, społeczne lub kulturalne, o których mowa w art. 361 ust. 1 lub art. 392 ust. 3</c:v>
                </c:pt>
                <c:pt idx="1">
                  <c:v>Określenie etykiety związanej z aspektami społ. albo innego przedmiotowego środka dowodowego, o których mowa w art. 104</c:v>
                </c:pt>
                <c:pt idx="2">
                  <c:v>Zamówienie udzielone jako zamówienie zastrzeżone, o którym mowa w art. 94 ust. 1</c:v>
                </c:pt>
                <c:pt idx="3">
                  <c:v>Określenie wymagań związanych z realizacją zamówienia obejmujących aspekty społ. związane z zatrudnieniem, o których mowa w art. 96 ust. 1</c:v>
                </c:pt>
                <c:pt idx="4">
                  <c:v>Określenie aspektów społecznych w kryteriach oceny ofert, o których mowa w art. 242 ust. 2</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podstawie stosunku pracy, o których mowa w art. 95 ust. 1</c:v>
                </c:pt>
              </c:strCache>
            </c:strRef>
          </c:cat>
          <c:val>
            <c:numRef>
              <c:f>Arkusz2!$B$2:$B$8</c:f>
              <c:numCache>
                <c:formatCode>_("zł"* #,##0.00_);_("zł"* \(#,##0.00\);_("zł"* "-"??_);_(@_)</c:formatCode>
                <c:ptCount val="7"/>
                <c:pt idx="0">
                  <c:v>310898463.14999998</c:v>
                </c:pt>
                <c:pt idx="1">
                  <c:v>306936276.61000001</c:v>
                </c:pt>
                <c:pt idx="2">
                  <c:v>728002624.83000004</c:v>
                </c:pt>
                <c:pt idx="3">
                  <c:v>3041145766.6900001</c:v>
                </c:pt>
                <c:pt idx="4">
                  <c:v>6739611247.8999996</c:v>
                </c:pt>
                <c:pt idx="5">
                  <c:v>34304072107.119999</c:v>
                </c:pt>
                <c:pt idx="6">
                  <c:v>95953672674.169998</c:v>
                </c:pt>
              </c:numCache>
            </c:numRef>
          </c:val>
          <c:extLst>
            <c:ext xmlns:c16="http://schemas.microsoft.com/office/drawing/2014/chart" uri="{C3380CC4-5D6E-409C-BE32-E72D297353CC}">
              <c16:uniqueId val="{00000002-9D19-4F7D-9C98-10BE4E4FF99D}"/>
            </c:ext>
          </c:extLst>
        </c:ser>
        <c:dLbls>
          <c:dLblPos val="outEnd"/>
          <c:showLegendKey val="0"/>
          <c:showVal val="1"/>
          <c:showCatName val="0"/>
          <c:showSerName val="0"/>
          <c:showPercent val="0"/>
          <c:showBubbleSize val="0"/>
        </c:dLbls>
        <c:gapWidth val="182"/>
        <c:axId val="793109680"/>
        <c:axId val="793110160"/>
      </c:barChart>
      <c:catAx>
        <c:axId val="793109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pl-PL"/>
          </a:p>
        </c:txPr>
        <c:crossAx val="793110160"/>
        <c:crosses val="autoZero"/>
        <c:auto val="1"/>
        <c:lblAlgn val="ctr"/>
        <c:lblOffset val="100"/>
        <c:noMultiLvlLbl val="0"/>
      </c:catAx>
      <c:valAx>
        <c:axId val="793110160"/>
        <c:scaling>
          <c:orientation val="minMax"/>
        </c:scaling>
        <c:delete val="1"/>
        <c:axPos val="b"/>
        <c:majorGridlines>
          <c:spPr>
            <a:ln w="9525" cap="flat" cmpd="sng" algn="ctr">
              <a:solidFill>
                <a:schemeClr val="tx1">
                  <a:lumMod val="15000"/>
                  <a:lumOff val="85000"/>
                </a:schemeClr>
              </a:solidFill>
              <a:round/>
            </a:ln>
            <a:effectLst/>
          </c:spPr>
        </c:majorGridlines>
        <c:numFmt formatCode="_(&quot;zł&quot;* #,##0.00_);_(&quot;zł&quot;* \(#,##0.00\);_(&quot;zł&quot;* &quot;-&quot;??_);_(@_)" sourceLinked="1"/>
        <c:majorTickMark val="none"/>
        <c:minorTickMark val="none"/>
        <c:tickLblPos val="nextTo"/>
        <c:crossAx val="793109680"/>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6">
                <a:lumMod val="60000"/>
                <a:lumOff val="40000"/>
              </a:schemeClr>
            </a:solidFill>
            <a:ln w="9525" cap="flat" cmpd="sng" algn="ctr">
              <a:solidFill>
                <a:schemeClr val="accent6">
                  <a:lumMod val="60000"/>
                  <a:lumOff val="40000"/>
                </a:schemeClr>
              </a:solidFill>
              <a:round/>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Arkusz1!$A$2:$A$7</c:f>
              <c:strCache>
                <c:ptCount val="6"/>
                <c:pt idx="0">
                  <c:v>Zastosowanie kryterium kosztu z wykorzystaniem rachunku kosztów cyklu życia, o którym mowa w art. 245 ust. 1 ustawy Pzp</c:v>
                </c:pt>
                <c:pt idx="1">
                  <c:v>Określenie etykiety związanej z aspektami środowiskowymi albo innego przedmiotowego środka dowodowego, o których mowa w art. 104 ustawy Pzp</c:v>
                </c:pt>
                <c:pt idx="2">
                  <c:v>Określenie wymogu spełniania wymagań odpowiednich systemów lub norm zarządzania środowiskowego zgodnie z art. 116 ust. 1 ustawy Pzp</c:v>
                </c:pt>
                <c:pt idx="3">
                  <c:v>Określenie w kryteriach oceny ofert aspektów środowiskowych, w tym efektywności energetycznej przedmiotu zamówienia, o których mowa w art. 242 ust. 2 ustawy Pzp</c:v>
                </c:pt>
                <c:pt idx="4">
                  <c:v>Określenie w opisie przedmiotu zamówienia wymagań środowiskowych zgodnie z art. 101 ustawy Pzp</c:v>
                </c:pt>
                <c:pt idx="5">
                  <c:v>Określenie wymagań zw. z realizacją zamówienia obejmujących aspekty środowiskowe, o których mowa w art. 96 ust. 1 ustawy Pzp</c:v>
                </c:pt>
              </c:strCache>
            </c:strRef>
          </c:cat>
          <c:val>
            <c:numRef>
              <c:f>Arkusz1!$B$2:$B$7</c:f>
              <c:numCache>
                <c:formatCode>General</c:formatCode>
                <c:ptCount val="6"/>
                <c:pt idx="0">
                  <c:v>29</c:v>
                </c:pt>
                <c:pt idx="1">
                  <c:v>182</c:v>
                </c:pt>
                <c:pt idx="2">
                  <c:v>185</c:v>
                </c:pt>
                <c:pt idx="3">
                  <c:v>689</c:v>
                </c:pt>
                <c:pt idx="4">
                  <c:v>858</c:v>
                </c:pt>
                <c:pt idx="5">
                  <c:v>1829</c:v>
                </c:pt>
              </c:numCache>
            </c:numRef>
          </c:val>
          <c:extLst>
            <c:ext xmlns:c16="http://schemas.microsoft.com/office/drawing/2014/chart" uri="{C3380CC4-5D6E-409C-BE32-E72D297353CC}">
              <c16:uniqueId val="{00000000-2E73-4EAB-8C3B-244095D11A38}"/>
            </c:ext>
          </c:extLst>
        </c:ser>
        <c:dLbls>
          <c:dLblPos val="inEnd"/>
          <c:showLegendKey val="0"/>
          <c:showVal val="1"/>
          <c:showCatName val="0"/>
          <c:showSerName val="0"/>
          <c:showPercent val="0"/>
          <c:showBubbleSize val="0"/>
        </c:dLbls>
        <c:gapWidth val="65"/>
        <c:axId val="1290558815"/>
        <c:axId val="1579663151"/>
      </c:barChart>
      <c:catAx>
        <c:axId val="129055881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1579663151"/>
        <c:crosses val="autoZero"/>
        <c:auto val="1"/>
        <c:lblAlgn val="ctr"/>
        <c:lblOffset val="100"/>
        <c:noMultiLvlLbl val="0"/>
      </c:catAx>
      <c:valAx>
        <c:axId val="1579663151"/>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1290558815"/>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4.2117377573440244E-3"/>
          <c:y val="7.9163911762938022E-2"/>
          <c:w val="0.89479366390950466"/>
          <c:h val="0.89289201445239186"/>
        </c:manualLayout>
      </c:layout>
      <c:barChart>
        <c:barDir val="bar"/>
        <c:grouping val="clustered"/>
        <c:varyColors val="0"/>
        <c:ser>
          <c:idx val="0"/>
          <c:order val="0"/>
          <c:spPr>
            <a:solidFill>
              <a:schemeClr val="accent6">
                <a:lumMod val="60000"/>
                <a:lumOff val="40000"/>
              </a:schemeClr>
            </a:solidFill>
            <a:ln w="9525" cap="flat" cmpd="sng" algn="ctr">
              <a:solidFill>
                <a:schemeClr val="accent6">
                  <a:lumMod val="60000"/>
                  <a:lumOff val="40000"/>
                </a:schemeClr>
              </a:solidFill>
              <a:round/>
            </a:ln>
            <a:effectLst/>
          </c:spPr>
          <c:invertIfNegative val="0"/>
          <c:dPt>
            <c:idx val="5"/>
            <c:invertIfNegative val="0"/>
            <c:bubble3D val="0"/>
            <c:extLst>
              <c:ext xmlns:c16="http://schemas.microsoft.com/office/drawing/2014/chart" uri="{C3380CC4-5D6E-409C-BE32-E72D297353CC}">
                <c16:uniqueId val="{00000000-CE9A-42CD-A691-F4648C4E3AA9}"/>
              </c:ext>
            </c:extLst>
          </c:dPt>
          <c:dLbls>
            <c:dLbl>
              <c:idx val="5"/>
              <c:layout>
                <c:manualLayout>
                  <c:x val="-0.18185104480462544"/>
                  <c:y val="0"/>
                </c:manualLayout>
              </c:layout>
              <c:dLblPos val="outEnd"/>
              <c:showLegendKey val="0"/>
              <c:showVal val="1"/>
              <c:showCatName val="0"/>
              <c:showSerName val="0"/>
              <c:showPercent val="0"/>
              <c:showBubbleSize val="0"/>
              <c:separator>; </c:separator>
              <c:extLst>
                <c:ext xmlns:c15="http://schemas.microsoft.com/office/drawing/2012/chart" uri="{CE6537A1-D6FC-4f65-9D91-7224C49458BB}">
                  <c15:layout>
                    <c:manualLayout>
                      <c:w val="0.21513773016520674"/>
                      <c:h val="5.336186507489582E-2"/>
                    </c:manualLayout>
                  </c15:layout>
                </c:ext>
                <c:ext xmlns:c16="http://schemas.microsoft.com/office/drawing/2014/chart" uri="{C3380CC4-5D6E-409C-BE32-E72D297353CC}">
                  <c16:uniqueId val="{00000000-CE9A-42CD-A691-F4648C4E3AA9}"/>
                </c:ext>
              </c:extLst>
            </c:dLbl>
            <c:numFmt formatCode="#,##0.00\ &quot;zł&quot;" sourceLinked="0"/>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dk1">
                          <a:lumMod val="50000"/>
                          <a:lumOff val="50000"/>
                        </a:schemeClr>
                      </a:solidFill>
                    </a:ln>
                    <a:effectLst/>
                  </c:spPr>
                </c15:leaderLines>
              </c:ext>
            </c:extLst>
          </c:dLbls>
          <c:cat>
            <c:strRef>
              <c:f>Arkusz2!$A$2:$A$7</c:f>
              <c:strCache>
                <c:ptCount val="6"/>
                <c:pt idx="0">
                  <c:v> Zastosowanie kryterium kosztu z wykorzystaniem rachunku kosztów cyklu życia, o którym mowa w art. 245 ust. 1 ustawy Pzp </c:v>
                </c:pt>
                <c:pt idx="1">
                  <c:v> Określenie etykiety związanej z aspektami środowiskowymi albo innego przedmiotowego środka dowodowego, o których mowa w art. 104 ustawy Pzp </c:v>
                </c:pt>
                <c:pt idx="2">
                  <c:v> Określenie wymogu spełniania wymagań odpowiednich systemów lub norm zarządzania środowiskowego zgodnie z art. 116 ust. 1 ustawy Pzp </c:v>
                </c:pt>
                <c:pt idx="3">
                  <c:v> Określenie w kryteriach oceny ofert aspektów środowiskowych, w tym efektywności energetycznej przedmiotu zamówienia, o których mowa w art. 242 ust. 2 ustawy Pzp </c:v>
                </c:pt>
                <c:pt idx="4">
                  <c:v> Określenie wymagań zw. z realizacją zamówienia obejmujących aspekty środowiskowe, o których mowa w art. 96 ust. 1 ustawy Pzp </c:v>
                </c:pt>
                <c:pt idx="5">
                  <c:v> Określenie w opisie przedmiotu zamówienia wymagań środowiskowych zgodnie z art. 101 ustawy Pzp </c:v>
                </c:pt>
              </c:strCache>
            </c:strRef>
          </c:cat>
          <c:val>
            <c:numRef>
              <c:f>Arkusz2!$B$2:$B$7</c:f>
              <c:numCache>
                <c:formatCode>_("zł"* #,##0.00_);_("zł"* \(#,##0.00\);_("zł"* "-"??_);_(@_)</c:formatCode>
                <c:ptCount val="6"/>
                <c:pt idx="0">
                  <c:v>46870535.229999997</c:v>
                </c:pt>
                <c:pt idx="1">
                  <c:v>465369903.72000003</c:v>
                </c:pt>
                <c:pt idx="2">
                  <c:v>1293028465.25</c:v>
                </c:pt>
                <c:pt idx="3">
                  <c:v>5674143668.7200003</c:v>
                </c:pt>
                <c:pt idx="4">
                  <c:v>7922615664.4399996</c:v>
                </c:pt>
                <c:pt idx="5">
                  <c:v>11849927278.24</c:v>
                </c:pt>
              </c:numCache>
            </c:numRef>
          </c:val>
          <c:extLst>
            <c:ext xmlns:c16="http://schemas.microsoft.com/office/drawing/2014/chart" uri="{C3380CC4-5D6E-409C-BE32-E72D297353CC}">
              <c16:uniqueId val="{00000001-CE9A-42CD-A691-F4648C4E3AA9}"/>
            </c:ext>
          </c:extLst>
        </c:ser>
        <c:dLbls>
          <c:dLblPos val="inEnd"/>
          <c:showLegendKey val="0"/>
          <c:showVal val="1"/>
          <c:showCatName val="0"/>
          <c:showSerName val="0"/>
          <c:showPercent val="0"/>
          <c:showBubbleSize val="0"/>
        </c:dLbls>
        <c:gapWidth val="65"/>
        <c:axId val="1279122239"/>
        <c:axId val="1168249151"/>
      </c:barChart>
      <c:valAx>
        <c:axId val="1168249151"/>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quot;zł&quot;* #,##0.00_);_(&quot;zł&quot;* \(#,##0.00\);_(&quot;zł&quot;* &quot;-&quot;??_);_(@_)" sourceLinked="1"/>
        <c:majorTickMark val="none"/>
        <c:minorTickMark val="none"/>
        <c:tickLblPos val="nextTo"/>
        <c:crossAx val="1279122239"/>
        <c:crosses val="autoZero"/>
        <c:crossBetween val="between"/>
      </c:valAx>
      <c:catAx>
        <c:axId val="1279122239"/>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1168249151"/>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Arkusz3!$B$1</c:f>
              <c:strCache>
                <c:ptCount val="1"/>
                <c:pt idx="0">
                  <c:v>Liczba zamówień</c:v>
                </c:pt>
              </c:strCache>
            </c:strRef>
          </c:tx>
          <c:spPr>
            <a:solidFill>
              <a:schemeClr val="accent4">
                <a:lumMod val="40000"/>
                <a:lumOff val="60000"/>
              </a:schemeClr>
            </a:solidFill>
            <a:ln w="9525" cap="flat" cmpd="sng" algn="ctr">
              <a:solidFill>
                <a:schemeClr val="accent4">
                  <a:lumMod val="60000"/>
                  <a:lumOff val="4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Arkusz3!$A$2:$A$3</c:f>
              <c:strCache>
                <c:ptCount val="2"/>
                <c:pt idx="0">
                  <c:v>Określenie w kryteriach oceny ofert aspektów innowacyjnych, o których mowa w art. 242 ust. 2 ustawy Pzp</c:v>
                </c:pt>
                <c:pt idx="1">
                  <c:v>Określenie wymagań zw. z realizacją zamówienia obejmujących aspekty zw. z innowacyjnością, o których mowa w art. 96 ust. 1 ustawy Pzp</c:v>
                </c:pt>
              </c:strCache>
            </c:strRef>
          </c:cat>
          <c:val>
            <c:numRef>
              <c:f>Arkusz3!$B$2:$B$3</c:f>
              <c:numCache>
                <c:formatCode>General</c:formatCode>
                <c:ptCount val="2"/>
                <c:pt idx="0">
                  <c:v>75</c:v>
                </c:pt>
                <c:pt idx="1">
                  <c:v>91</c:v>
                </c:pt>
              </c:numCache>
            </c:numRef>
          </c:val>
          <c:extLst>
            <c:ext xmlns:c16="http://schemas.microsoft.com/office/drawing/2014/chart" uri="{C3380CC4-5D6E-409C-BE32-E72D297353CC}">
              <c16:uniqueId val="{00000000-96AB-45F6-8DB1-18CF7BC0F0DB}"/>
            </c:ext>
          </c:extLst>
        </c:ser>
        <c:dLbls>
          <c:dLblPos val="inEnd"/>
          <c:showLegendKey val="0"/>
          <c:showVal val="1"/>
          <c:showCatName val="0"/>
          <c:showSerName val="0"/>
          <c:showPercent val="0"/>
          <c:showBubbleSize val="0"/>
        </c:dLbls>
        <c:gapWidth val="65"/>
        <c:axId val="1379250703"/>
        <c:axId val="845483567"/>
      </c:barChart>
      <c:catAx>
        <c:axId val="137925070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845483567"/>
        <c:crosses val="autoZero"/>
        <c:auto val="1"/>
        <c:lblAlgn val="ctr"/>
        <c:lblOffset val="100"/>
        <c:noMultiLvlLbl val="0"/>
      </c:catAx>
      <c:valAx>
        <c:axId val="845483567"/>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1379250703"/>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Arkusz4!$B$1</c:f>
              <c:strCache>
                <c:ptCount val="1"/>
                <c:pt idx="0">
                  <c:v>Wartość zamówień</c:v>
                </c:pt>
              </c:strCache>
            </c:strRef>
          </c:tx>
          <c:spPr>
            <a:solidFill>
              <a:schemeClr val="accent4">
                <a:lumMod val="40000"/>
                <a:lumOff val="60000"/>
              </a:schemeClr>
            </a:solidFill>
            <a:ln w="9525" cap="flat" cmpd="sng" algn="ctr">
              <a:solidFill>
                <a:schemeClr val="accent4">
                  <a:lumMod val="60000"/>
                  <a:lumOff val="40000"/>
                </a:schemeClr>
              </a:solidFill>
              <a:round/>
            </a:ln>
            <a:effectLst/>
          </c:spPr>
          <c:invertIfNegative val="0"/>
          <c:dLbls>
            <c:dLbl>
              <c:idx val="1"/>
              <c:layout>
                <c:manualLayout>
                  <c:x val="-0.13370759535983162"/>
                  <c:y val="0"/>
                </c:manualLayout>
              </c:layout>
              <c:dLblPos val="outEnd"/>
              <c:showLegendKey val="0"/>
              <c:showVal val="1"/>
              <c:showCatName val="0"/>
              <c:showSerName val="0"/>
              <c:showPercent val="0"/>
              <c:showBubbleSize val="0"/>
              <c:separator>; </c:separator>
              <c:extLst>
                <c:ext xmlns:c15="http://schemas.microsoft.com/office/drawing/2012/chart" uri="{CE6537A1-D6FC-4f65-9D91-7224C49458BB}">
                  <c15:layout>
                    <c:manualLayout>
                      <c:w val="0.2664135863976469"/>
                      <c:h val="0.10339534399959831"/>
                    </c:manualLayout>
                  </c15:layout>
                </c:ext>
                <c:ext xmlns:c16="http://schemas.microsoft.com/office/drawing/2014/chart" uri="{C3380CC4-5D6E-409C-BE32-E72D297353CC}">
                  <c16:uniqueId val="{00000000-990D-4D7F-A6F4-28C555C03276}"/>
                </c:ext>
              </c:extLst>
            </c:dLbl>
            <c:numFmt formatCode="#,##0.00\ &quot;zł&quot;" sourceLinked="0"/>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dk1">
                          <a:lumMod val="50000"/>
                          <a:lumOff val="50000"/>
                        </a:schemeClr>
                      </a:solidFill>
                    </a:ln>
                    <a:effectLst/>
                  </c:spPr>
                </c15:leaderLines>
              </c:ext>
            </c:extLst>
          </c:dLbls>
          <c:cat>
            <c:strRef>
              <c:f>Arkusz4!$A$2:$A$3</c:f>
              <c:strCache>
                <c:ptCount val="2"/>
                <c:pt idx="0">
                  <c:v>Określenie w kryteriach oceny ofert aspektów innowacyjnych, o których mowa w art. 242 ust. 2 ustawy Pzp</c:v>
                </c:pt>
                <c:pt idx="1">
                  <c:v>Określenie wymagań zw. z realizacją zamówienia obejmujących aspekty zw. z innowacyjnością, o których mowa w art. 96 ust. 1 ustawy Pzp</c:v>
                </c:pt>
              </c:strCache>
            </c:strRef>
          </c:cat>
          <c:val>
            <c:numRef>
              <c:f>Arkusz4!$B$2:$B$3</c:f>
              <c:numCache>
                <c:formatCode>_("zł"* #,##0.00_);_("zł"* \(#,##0.00\);_("zł"* "-"??_);_(@_)</c:formatCode>
                <c:ptCount val="2"/>
                <c:pt idx="0">
                  <c:v>1253242009.9000001</c:v>
                </c:pt>
                <c:pt idx="1">
                  <c:v>4576044559.2600002</c:v>
                </c:pt>
              </c:numCache>
            </c:numRef>
          </c:val>
          <c:extLst>
            <c:ext xmlns:c16="http://schemas.microsoft.com/office/drawing/2014/chart" uri="{C3380CC4-5D6E-409C-BE32-E72D297353CC}">
              <c16:uniqueId val="{00000001-990D-4D7F-A6F4-28C555C03276}"/>
            </c:ext>
          </c:extLst>
        </c:ser>
        <c:dLbls>
          <c:dLblPos val="inEnd"/>
          <c:showLegendKey val="0"/>
          <c:showVal val="1"/>
          <c:showCatName val="0"/>
          <c:showSerName val="0"/>
          <c:showPercent val="0"/>
          <c:showBubbleSize val="0"/>
        </c:dLbls>
        <c:gapWidth val="65"/>
        <c:axId val="700466511"/>
        <c:axId val="1168259231"/>
      </c:barChart>
      <c:valAx>
        <c:axId val="1168259231"/>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quot;zł&quot;* #,##0.00_);_(&quot;zł&quot;* \(#,##0.00\);_(&quot;zł&quot;* &quot;-&quot;??_);_(@_)" sourceLinked="1"/>
        <c:majorTickMark val="none"/>
        <c:minorTickMark val="none"/>
        <c:tickLblPos val="nextTo"/>
        <c:crossAx val="700466511"/>
        <c:crosses val="autoZero"/>
        <c:crossBetween val="between"/>
      </c:valAx>
      <c:catAx>
        <c:axId val="70046651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1168259231"/>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Zamówienia zastrzeżone, o których mowa w art. 94</c:v>
                </c:pt>
                <c:pt idx="1">
                  <c:v>Określenie etykiety związanej z aspektami społecznymi na podstawie art. 104</c:v>
                </c:pt>
                <c:pt idx="2">
                  <c:v>Zamówienia zastrzeżone na usługi zdrowotne, społeczne lub kulturalne, o których mowa w art. 361 ust. 1 lub art. 392 ust. 3</c:v>
                </c:pt>
                <c:pt idx="3">
                  <c:v>Określenie wymagań związanych z realizacją zamówienia obejmujących aspekty społeczne związane z zatrudnieniem, o których mowa w art. 96 ust. 1</c:v>
                </c:pt>
                <c:pt idx="4">
                  <c:v>Określenie aspektów społecznych w kryteriach oceny ofert, o których mowa w art. 242 ust. 2</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podstawie stosunku pracy, o których mowa w art. 95 ust. 1</c:v>
                </c:pt>
              </c:strCache>
            </c:strRef>
          </c:cat>
          <c:val>
            <c:numRef>
              <c:f>Arkusz1!$B$2:$B$8</c:f>
              <c:numCache>
                <c:formatCode>General</c:formatCode>
                <c:ptCount val="7"/>
                <c:pt idx="0">
                  <c:v>28</c:v>
                </c:pt>
                <c:pt idx="1">
                  <c:v>52</c:v>
                </c:pt>
                <c:pt idx="2">
                  <c:v>126</c:v>
                </c:pt>
                <c:pt idx="3">
                  <c:v>319</c:v>
                </c:pt>
                <c:pt idx="4">
                  <c:v>467</c:v>
                </c:pt>
                <c:pt idx="5">
                  <c:v>580</c:v>
                </c:pt>
                <c:pt idx="6">
                  <c:v>6131</c:v>
                </c:pt>
              </c:numCache>
            </c:numRef>
          </c:val>
          <c:extLst>
            <c:ext xmlns:c16="http://schemas.microsoft.com/office/drawing/2014/chart" uri="{C3380CC4-5D6E-409C-BE32-E72D297353CC}">
              <c16:uniqueId val="{00000000-818B-4FCF-B237-5D2440DC99E8}"/>
            </c:ext>
          </c:extLst>
        </c:ser>
        <c:dLbls>
          <c:showLegendKey val="0"/>
          <c:showVal val="1"/>
          <c:showCatName val="0"/>
          <c:showSerName val="0"/>
          <c:showPercent val="0"/>
          <c:showBubbleSize val="0"/>
        </c:dLbls>
        <c:gapWidth val="182"/>
        <c:axId val="165620896"/>
        <c:axId val="1"/>
      </c:barChart>
      <c:catAx>
        <c:axId val="165620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mn-cs"/>
              </a:defRPr>
            </a:pPr>
            <a:endParaRPr lang="pl-PL"/>
          </a:p>
        </c:txPr>
        <c:crossAx val="1"/>
        <c:crosses val="autoZero"/>
        <c:auto val="1"/>
        <c:lblAlgn val="ctr"/>
        <c:lblOffset val="100"/>
        <c:noMultiLvlLbl val="0"/>
      </c:catAx>
      <c:valAx>
        <c:axId val="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5620896"/>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0070C0">
          <a:alpha val="99000"/>
        </a:srgbClr>
      </a:solidFill>
      <a:round/>
    </a:ln>
    <a:effectLst/>
  </c:spPr>
  <c:txPr>
    <a:bodyPr/>
    <a:lstStyle/>
    <a:p>
      <a:pPr>
        <a:defRPr>
          <a:solidFill>
            <a:schemeClr val="tx1"/>
          </a:solidFill>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Wartość zamówień</c:v>
                </c:pt>
              </c:strCache>
            </c:strRef>
          </c:tx>
          <c:spPr>
            <a:solidFill>
              <a:srgbClr val="4472C4"/>
            </a:solidFill>
            <a:ln>
              <a:solidFill>
                <a:sysClr val="windowText" lastClr="000000"/>
              </a:solidFill>
            </a:ln>
            <a:effectLst/>
          </c:spPr>
          <c:invertIfNegative val="0"/>
          <c:dLbls>
            <c:dLbl>
              <c:idx val="6"/>
              <c:layout>
                <c:manualLayout>
                  <c:x val="4.5913682277318631E-2"/>
                  <c:y val="6.9388939039072284E-18"/>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2842056932966023"/>
                      <c:h val="7.2505800464037137E-2"/>
                    </c:manualLayout>
                  </c15:layout>
                </c:ext>
                <c:ext xmlns:c16="http://schemas.microsoft.com/office/drawing/2014/chart" uri="{C3380CC4-5D6E-409C-BE32-E72D297353CC}">
                  <c16:uniqueId val="{00000000-7040-4C55-8DB4-6FB2D54E8AEA}"/>
                </c:ext>
              </c:extLst>
            </c:dLbl>
            <c:numFmt formatCode="#,##0.00\ &quot;zł&quot;" sourceLinked="0"/>
            <c:spPr>
              <a:noFill/>
              <a:ln w="25356">
                <a:noFill/>
              </a:ln>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Arkusz1!$A$2:$A$8</c:f>
              <c:strCache>
                <c:ptCount val="7"/>
                <c:pt idx="0">
                  <c:v>Określenie etykiety związanej z zaspektami społecznymi na podstawie art. 104</c:v>
                </c:pt>
                <c:pt idx="1">
                  <c:v>Zamówienia zastrzeżone na usługi zdrowotne, społeczne lub kulturalne, o których mowa w 361 ust. 1 lub art. 392 ust. 3</c:v>
                </c:pt>
                <c:pt idx="2">
                  <c:v>Zamówienie udzielone jako zamówienie zastrzeżone, o którym mowa w art. 94 ust. 1</c:v>
                </c:pt>
                <c:pt idx="3">
                  <c:v>Określenie wymagań związanych z realizacją zamówienia obejmujących aspekty społeczne związane z zatrudnieniem, o których mowa w art. 96 ust. 1</c:v>
                </c:pt>
                <c:pt idx="4">
                  <c:v>Określenie aspektów społecznych w kryteriach oceny ofert </c:v>
                </c:pt>
                <c:pt idx="5">
                  <c:v>Określenie w opisie przedmiotu zamówienia wymagań w zakresie dostępności dla osób niepełnosprawnych lub projektowania z przeznaczeniem dla wszystkich użytkowników, o których mowa w art. 100 ust. 1</c:v>
                </c:pt>
                <c:pt idx="6">
                  <c:v>Określenie wymagań związanych z realizacją zamówienia w zakresie zatrudnienia na podstawie stosunku pracy, o których mowa w art. 95 ust. 1</c:v>
                </c:pt>
              </c:strCache>
            </c:strRef>
          </c:cat>
          <c:val>
            <c:numRef>
              <c:f>Arkusz1!$B$2:$B$8</c:f>
              <c:numCache>
                <c:formatCode>_("zł"* #,##0.00_);_("zł"* \(#,##0.00\);_("zł"* "-"??_);_(@_)</c:formatCode>
                <c:ptCount val="7"/>
                <c:pt idx="0">
                  <c:v>55127041.289999999</c:v>
                </c:pt>
                <c:pt idx="1">
                  <c:v>68026478.810000002</c:v>
                </c:pt>
                <c:pt idx="2">
                  <c:v>186251900.68000001</c:v>
                </c:pt>
                <c:pt idx="3">
                  <c:v>570436635.62</c:v>
                </c:pt>
                <c:pt idx="4">
                  <c:v>2265257739.4499998</c:v>
                </c:pt>
                <c:pt idx="5">
                  <c:v>7833709350.0299997</c:v>
                </c:pt>
                <c:pt idx="6">
                  <c:v>25838311342.73</c:v>
                </c:pt>
              </c:numCache>
            </c:numRef>
          </c:val>
          <c:extLst>
            <c:ext xmlns:c16="http://schemas.microsoft.com/office/drawing/2014/chart" uri="{C3380CC4-5D6E-409C-BE32-E72D297353CC}">
              <c16:uniqueId val="{00000001-7040-4C55-8DB4-6FB2D54E8AEA}"/>
            </c:ext>
          </c:extLst>
        </c:ser>
        <c:dLbls>
          <c:showLegendKey val="0"/>
          <c:showVal val="1"/>
          <c:showCatName val="0"/>
          <c:showSerName val="0"/>
          <c:showPercent val="0"/>
          <c:showBubbleSize val="0"/>
        </c:dLbls>
        <c:gapWidth val="182"/>
        <c:axId val="188503872"/>
        <c:axId val="1"/>
      </c:barChart>
      <c:catAx>
        <c:axId val="188503872"/>
        <c:scaling>
          <c:orientation val="minMax"/>
        </c:scaling>
        <c:delete val="0"/>
        <c:axPos val="l"/>
        <c:numFmt formatCode="General" sourceLinked="1"/>
        <c:majorTickMark val="none"/>
        <c:minorTickMark val="none"/>
        <c:tickLblPos val="nextTo"/>
        <c:spPr>
          <a:noFill/>
          <a:ln w="9508" cap="flat" cmpd="sng" algn="ctr">
            <a:solidFill>
              <a:srgbClr val="5B9BD5"/>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
        <c:crosses val="autoZero"/>
        <c:auto val="1"/>
        <c:lblAlgn val="ctr"/>
        <c:lblOffset val="100"/>
        <c:noMultiLvlLbl val="0"/>
      </c:catAx>
      <c:valAx>
        <c:axId val="1"/>
        <c:scaling>
          <c:orientation val="minMax"/>
        </c:scaling>
        <c:delete val="1"/>
        <c:axPos val="b"/>
        <c:majorGridlines>
          <c:spPr>
            <a:ln w="9508" cap="flat" cmpd="sng" algn="ctr">
              <a:solidFill>
                <a:schemeClr val="tx1">
                  <a:lumMod val="15000"/>
                  <a:lumOff val="85000"/>
                </a:schemeClr>
              </a:solidFill>
              <a:round/>
            </a:ln>
            <a:effectLst/>
          </c:spPr>
        </c:majorGridlines>
        <c:numFmt formatCode="_(&quot;zł&quot;* #,##0.00_);_(&quot;zł&quot;* \(#,##0.00\);_(&quot;zł&quot;* &quot;-&quot;??_);_(@_)" sourceLinked="1"/>
        <c:majorTickMark val="out"/>
        <c:minorTickMark val="none"/>
        <c:tickLblPos val="nextTo"/>
        <c:crossAx val="188503872"/>
        <c:crosses val="autoZero"/>
        <c:crossBetween val="between"/>
      </c:valAx>
      <c:spPr>
        <a:noFill/>
        <a:ln w="25356">
          <a:noFill/>
        </a:ln>
      </c:spPr>
    </c:plotArea>
    <c:plotVisOnly val="1"/>
    <c:dispBlanksAs val="gap"/>
    <c:showDLblsOverMax val="0"/>
  </c:chart>
  <c:spPr>
    <a:solidFill>
      <a:schemeClr val="bg1"/>
    </a:solidFill>
    <a:ln w="9508" cap="flat" cmpd="sng" algn="ctr">
      <a:solidFill>
        <a:srgbClr val="0070C0"/>
      </a:solidFill>
      <a:round/>
    </a:ln>
    <a:effectLst/>
  </c:spPr>
  <c:txPr>
    <a:bodyPr/>
    <a:lstStyle/>
    <a:p>
      <a:pPr>
        <a:defRPr/>
      </a:pPr>
      <a:endParaRPr lang="pl-PL"/>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Liczba zamówień</c:v>
                </c:pt>
              </c:strCache>
            </c:strRef>
          </c:tx>
          <c:spPr>
            <a:solidFill>
              <a:schemeClr val="accent6">
                <a:lumMod val="60000"/>
                <a:lumOff val="40000"/>
              </a:schemeClr>
            </a:solidFill>
            <a:ln w="9525" cap="flat" cmpd="sng" algn="ctr">
              <a:solidFill>
                <a:schemeClr val="accent6">
                  <a:lumMod val="60000"/>
                  <a:lumOff val="4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Arkusz1!$A$2:$A$7</c:f>
              <c:strCache>
                <c:ptCount val="6"/>
                <c:pt idx="0">
                  <c:v>Zastosowanie kryterium kosztu z wykorzystaniem rachunku kosztów cyklu życia, o którym mowa w art. 245 ust. 1 ustawy Pzp</c:v>
                </c:pt>
                <c:pt idx="1">
                  <c:v>Określenie wymogu spełniania wymagań odpowiednich systemów lub norm zarządzania środowiskowego zgodnie z art. 116 ust. 1 ustawy Pzp</c:v>
                </c:pt>
                <c:pt idx="2">
                  <c:v>Określenie etykiety związanej z aspektami środowiskowymi albo innego przedmiotowego środka dowodowego, o których mowa w art. 104 ustawy Pzp</c:v>
                </c:pt>
                <c:pt idx="3">
                  <c:v>Określenie wymagań zw. z realizacją zamówienia obejmujących aspekty środowiskowe, o których mowa w art. 96 ust. 1 ustawy Pzp</c:v>
                </c:pt>
                <c:pt idx="4">
                  <c:v>Określenie w kryteriach oceny ofert aspektów środowiskowych, w tym efektywności energetycznej przedmiotu zamówienia, o których mowa w art. 242 ust. 2 ustawy Pzp</c:v>
                </c:pt>
                <c:pt idx="5">
                  <c:v>Określenie w opisie przedmiotu zamówienia wymagań środowiskowych zgodnie z art. 101 ustawy Pzp</c:v>
                </c:pt>
              </c:strCache>
            </c:strRef>
          </c:cat>
          <c:val>
            <c:numRef>
              <c:f>Arkusz1!$B$2:$B$7</c:f>
              <c:numCache>
                <c:formatCode>General</c:formatCode>
                <c:ptCount val="6"/>
                <c:pt idx="0">
                  <c:v>7</c:v>
                </c:pt>
                <c:pt idx="1">
                  <c:v>23</c:v>
                </c:pt>
                <c:pt idx="2">
                  <c:v>77</c:v>
                </c:pt>
                <c:pt idx="3">
                  <c:v>196</c:v>
                </c:pt>
                <c:pt idx="4">
                  <c:v>265</c:v>
                </c:pt>
                <c:pt idx="5">
                  <c:v>400</c:v>
                </c:pt>
              </c:numCache>
            </c:numRef>
          </c:val>
          <c:extLst>
            <c:ext xmlns:c16="http://schemas.microsoft.com/office/drawing/2014/chart" uri="{C3380CC4-5D6E-409C-BE32-E72D297353CC}">
              <c16:uniqueId val="{00000000-CF04-43F2-9887-680D9D967BDB}"/>
            </c:ext>
          </c:extLst>
        </c:ser>
        <c:dLbls>
          <c:dLblPos val="inEnd"/>
          <c:showLegendKey val="0"/>
          <c:showVal val="1"/>
          <c:showCatName val="0"/>
          <c:showSerName val="0"/>
          <c:showPercent val="0"/>
          <c:showBubbleSize val="0"/>
        </c:dLbls>
        <c:gapWidth val="65"/>
        <c:axId val="1029255776"/>
        <c:axId val="993834032"/>
      </c:barChart>
      <c:catAx>
        <c:axId val="10292557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993834032"/>
        <c:crosses val="autoZero"/>
        <c:auto val="1"/>
        <c:lblAlgn val="ctr"/>
        <c:lblOffset val="100"/>
        <c:noMultiLvlLbl val="0"/>
      </c:catAx>
      <c:valAx>
        <c:axId val="99383403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102925577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rodzaj!$I$27</c:f>
              <c:strCache>
                <c:ptCount val="1"/>
                <c:pt idx="0">
                  <c:v>roboty budowlane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layout>
                <c:manualLayout>
                  <c:x val="-2.8555555555555556E-2"/>
                  <c:y val="4.4016112569262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06-4CC9-A2C6-D6DFBFFCF9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rodzaj!$K$26:$N$26</c:f>
              <c:numCache>
                <c:formatCode>General</c:formatCode>
                <c:ptCount val="4"/>
                <c:pt idx="0">
                  <c:v>2019</c:v>
                </c:pt>
                <c:pt idx="1">
                  <c:v>2020</c:v>
                </c:pt>
                <c:pt idx="2">
                  <c:v>2021</c:v>
                </c:pt>
                <c:pt idx="3">
                  <c:v>2022</c:v>
                </c:pt>
              </c:numCache>
            </c:numRef>
          </c:cat>
          <c:val>
            <c:numRef>
              <c:f>rodzaj!$K$27:$N$27</c:f>
              <c:numCache>
                <c:formatCode>0%</c:formatCode>
                <c:ptCount val="4"/>
                <c:pt idx="0">
                  <c:v>0.36</c:v>
                </c:pt>
                <c:pt idx="1">
                  <c:v>0.43</c:v>
                </c:pt>
                <c:pt idx="2">
                  <c:v>0.39</c:v>
                </c:pt>
                <c:pt idx="3">
                  <c:v>0.34</c:v>
                </c:pt>
              </c:numCache>
            </c:numRef>
          </c:val>
          <c:smooth val="0"/>
          <c:extLst>
            <c:ext xmlns:c16="http://schemas.microsoft.com/office/drawing/2014/chart" uri="{C3380CC4-5D6E-409C-BE32-E72D297353CC}">
              <c16:uniqueId val="{00000001-CD06-4CC9-A2C6-D6DFBFFCF979}"/>
            </c:ext>
          </c:extLst>
        </c:ser>
        <c:ser>
          <c:idx val="1"/>
          <c:order val="1"/>
          <c:tx>
            <c:strRef>
              <c:f>rodzaj!$I$28</c:f>
              <c:strCache>
                <c:ptCount val="1"/>
                <c:pt idx="0">
                  <c:v>dostawy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8166666666666719E-2"/>
                  <c:y val="5.3275371828521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06-4CC9-A2C6-D6DFBFFCF9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rodzaj!$K$26:$N$26</c:f>
              <c:numCache>
                <c:formatCode>General</c:formatCode>
                <c:ptCount val="4"/>
                <c:pt idx="0">
                  <c:v>2019</c:v>
                </c:pt>
                <c:pt idx="1">
                  <c:v>2020</c:v>
                </c:pt>
                <c:pt idx="2">
                  <c:v>2021</c:v>
                </c:pt>
                <c:pt idx="3">
                  <c:v>2022</c:v>
                </c:pt>
              </c:numCache>
            </c:numRef>
          </c:cat>
          <c:val>
            <c:numRef>
              <c:f>rodzaj!$K$28:$N$28</c:f>
              <c:numCache>
                <c:formatCode>0%</c:formatCode>
                <c:ptCount val="4"/>
                <c:pt idx="0">
                  <c:v>0.31</c:v>
                </c:pt>
                <c:pt idx="1">
                  <c:v>0.31</c:v>
                </c:pt>
                <c:pt idx="2">
                  <c:v>0.31</c:v>
                </c:pt>
                <c:pt idx="3">
                  <c:v>0.37</c:v>
                </c:pt>
              </c:numCache>
            </c:numRef>
          </c:val>
          <c:smooth val="0"/>
          <c:extLst>
            <c:ext xmlns:c16="http://schemas.microsoft.com/office/drawing/2014/chart" uri="{C3380CC4-5D6E-409C-BE32-E72D297353CC}">
              <c16:uniqueId val="{00000003-CD06-4CC9-A2C6-D6DFBFFCF979}"/>
            </c:ext>
          </c:extLst>
        </c:ser>
        <c:ser>
          <c:idx val="2"/>
          <c:order val="2"/>
          <c:tx>
            <c:strRef>
              <c:f>rodzaj!$I$29</c:f>
              <c:strCache>
                <c:ptCount val="1"/>
                <c:pt idx="0">
                  <c:v>usługi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7.038888888888889E-2"/>
                  <c:y val="-3.9386482939632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06-4CC9-A2C6-D6DFBFFCF97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rodzaj!$K$26:$N$26</c:f>
              <c:numCache>
                <c:formatCode>General</c:formatCode>
                <c:ptCount val="4"/>
                <c:pt idx="0">
                  <c:v>2019</c:v>
                </c:pt>
                <c:pt idx="1">
                  <c:v>2020</c:v>
                </c:pt>
                <c:pt idx="2">
                  <c:v>2021</c:v>
                </c:pt>
                <c:pt idx="3">
                  <c:v>2022</c:v>
                </c:pt>
              </c:numCache>
            </c:numRef>
          </c:cat>
          <c:val>
            <c:numRef>
              <c:f>rodzaj!$K$29:$N$29</c:f>
              <c:numCache>
                <c:formatCode>0%</c:formatCode>
                <c:ptCount val="4"/>
                <c:pt idx="0">
                  <c:v>0.33</c:v>
                </c:pt>
                <c:pt idx="1">
                  <c:v>0.26</c:v>
                </c:pt>
                <c:pt idx="2">
                  <c:v>0.3</c:v>
                </c:pt>
                <c:pt idx="3">
                  <c:v>0.28999999999999998</c:v>
                </c:pt>
              </c:numCache>
            </c:numRef>
          </c:val>
          <c:smooth val="0"/>
          <c:extLst>
            <c:ext xmlns:c16="http://schemas.microsoft.com/office/drawing/2014/chart" uri="{C3380CC4-5D6E-409C-BE32-E72D297353CC}">
              <c16:uniqueId val="{00000005-CD06-4CC9-A2C6-D6DFBFFCF979}"/>
            </c:ext>
          </c:extLst>
        </c:ser>
        <c:dLbls>
          <c:dLblPos val="t"/>
          <c:showLegendKey val="0"/>
          <c:showVal val="1"/>
          <c:showCatName val="0"/>
          <c:showSerName val="0"/>
          <c:showPercent val="0"/>
          <c:showBubbleSize val="0"/>
        </c:dLbls>
        <c:marker val="1"/>
        <c:smooth val="0"/>
        <c:axId val="472840352"/>
        <c:axId val="472840680"/>
      </c:lineChart>
      <c:catAx>
        <c:axId val="47284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840680"/>
        <c:crosses val="autoZero"/>
        <c:auto val="1"/>
        <c:lblAlgn val="ctr"/>
        <c:lblOffset val="100"/>
        <c:noMultiLvlLbl val="0"/>
      </c:catAx>
      <c:valAx>
        <c:axId val="472840680"/>
        <c:scaling>
          <c:orientation val="minMax"/>
          <c:max val="0.5"/>
          <c:min val="0.2"/>
        </c:scaling>
        <c:delete val="1"/>
        <c:axPos val="l"/>
        <c:numFmt formatCode="0%" sourceLinked="1"/>
        <c:majorTickMark val="none"/>
        <c:minorTickMark val="none"/>
        <c:tickLblPos val="nextTo"/>
        <c:crossAx val="4728403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Arkusz2!$B$1</c:f>
              <c:strCache>
                <c:ptCount val="1"/>
                <c:pt idx="0">
                  <c:v> Wartość zamówień </c:v>
                </c:pt>
              </c:strCache>
            </c:strRef>
          </c:tx>
          <c:spPr>
            <a:solidFill>
              <a:schemeClr val="accent6">
                <a:lumMod val="60000"/>
                <a:lumOff val="40000"/>
              </a:schemeClr>
            </a:solidFill>
            <a:ln w="9525" cap="flat" cmpd="sng" algn="ctr">
              <a:solidFill>
                <a:schemeClr val="accent6">
                  <a:lumMod val="60000"/>
                  <a:lumOff val="40000"/>
                </a:schemeClr>
              </a:solidFill>
              <a:round/>
            </a:ln>
            <a:effectLst/>
          </c:spPr>
          <c:invertIfNegative val="0"/>
          <c:dLbls>
            <c:numFmt formatCode="#,##0.00\ &quot;zł&quot;" sourceLinked="0"/>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dk1">
                          <a:lumMod val="50000"/>
                          <a:lumOff val="50000"/>
                        </a:schemeClr>
                      </a:solidFill>
                    </a:ln>
                    <a:effectLst/>
                  </c:spPr>
                </c15:leaderLines>
              </c:ext>
            </c:extLst>
          </c:dLbls>
          <c:cat>
            <c:strRef>
              <c:f>Arkusz2!$A$2:$A$7</c:f>
              <c:strCache>
                <c:ptCount val="6"/>
                <c:pt idx="0">
                  <c:v> Zastosowanie kryterium kosztu z wykorzystaniem rachunku kosztów cyklu życia, o którym mowa w art. 245 ust. 1 ustawy Pzp </c:v>
                </c:pt>
                <c:pt idx="1">
                  <c:v> Określenie wymogu spełniania wymagań odpowiednich systemów lub norm zarządzania środowiskowego zgodnie z art. 116 ust. 1 ustawy Pzp </c:v>
                </c:pt>
                <c:pt idx="2">
                  <c:v> Określenie etykiety związanej z aspektami środowiskowymi albo innego przedmiotowego środka dowodowego, o których mowa w art. 104 ustawy Pzp </c:v>
                </c:pt>
                <c:pt idx="3">
                  <c:v> Określenie w kryteriach oceny ofert aspektów środowiskowych, w tym efektywności energetycznej przedmiotu zamówienia, o których mowa w art. 242 ust. 2 ustawy Pzp </c:v>
                </c:pt>
                <c:pt idx="4">
                  <c:v> Określenie wymagań zw. z realizacją zamówienia obejmujących aspekty środowiskowe, o których mowa w art. 96 ust. 1 ustawy Pzp </c:v>
                </c:pt>
                <c:pt idx="5">
                  <c:v> Określenie w opisie przedmiotu zamówienia wymagań środowiskowych zgodnie z art. 101 ustawy Pzp </c:v>
                </c:pt>
              </c:strCache>
            </c:strRef>
          </c:cat>
          <c:val>
            <c:numRef>
              <c:f>Arkusz2!$B$2:$B$7</c:f>
              <c:numCache>
                <c:formatCode>_("zł"* #,##0.00_);_("zł"* \(#,##0.00\);_("zł"* "-"??_);_(@_)</c:formatCode>
                <c:ptCount val="6"/>
                <c:pt idx="0">
                  <c:v>8994183.3000000007</c:v>
                </c:pt>
                <c:pt idx="1">
                  <c:v>16000151.66</c:v>
                </c:pt>
                <c:pt idx="2">
                  <c:v>42653321.25</c:v>
                </c:pt>
                <c:pt idx="3">
                  <c:v>722564359.33000004</c:v>
                </c:pt>
                <c:pt idx="4">
                  <c:v>3365719935.4899998</c:v>
                </c:pt>
                <c:pt idx="5">
                  <c:v>4577349452.6000004</c:v>
                </c:pt>
              </c:numCache>
            </c:numRef>
          </c:val>
          <c:extLst>
            <c:ext xmlns:c16="http://schemas.microsoft.com/office/drawing/2014/chart" uri="{C3380CC4-5D6E-409C-BE32-E72D297353CC}">
              <c16:uniqueId val="{00000000-96AA-4A45-B3C3-9253246C5EAD}"/>
            </c:ext>
          </c:extLst>
        </c:ser>
        <c:dLbls>
          <c:dLblPos val="inEnd"/>
          <c:showLegendKey val="0"/>
          <c:showVal val="1"/>
          <c:showCatName val="0"/>
          <c:showSerName val="0"/>
          <c:showPercent val="0"/>
          <c:showBubbleSize val="0"/>
        </c:dLbls>
        <c:gapWidth val="65"/>
        <c:axId val="1177314911"/>
        <c:axId val="974138351"/>
      </c:barChart>
      <c:valAx>
        <c:axId val="974138351"/>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quot;zł&quot;* #,##0.00_);_(&quot;zł&quot;* \(#,##0.00\);_(&quot;zł&quot;* &quot;-&quot;??_);_(@_)" sourceLinked="1"/>
        <c:majorTickMark val="none"/>
        <c:minorTickMark val="none"/>
        <c:tickLblPos val="nextTo"/>
        <c:crossAx val="1177314911"/>
        <c:crosses val="autoZero"/>
        <c:crossBetween val="between"/>
      </c:valAx>
      <c:catAx>
        <c:axId val="117731491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974138351"/>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Arkusz3!$B$1</c:f>
              <c:strCache>
                <c:ptCount val="1"/>
                <c:pt idx="0">
                  <c:v>Liczba zamówień</c:v>
                </c:pt>
              </c:strCache>
            </c:strRef>
          </c:tx>
          <c:spPr>
            <a:solidFill>
              <a:schemeClr val="accent6">
                <a:lumMod val="60000"/>
                <a:lumOff val="40000"/>
              </a:schemeClr>
            </a:solidFill>
            <a:ln w="9525" cap="flat" cmpd="sng" algn="ctr">
              <a:solidFill>
                <a:schemeClr val="accent6">
                  <a:lumMod val="60000"/>
                  <a:lumOff val="40000"/>
                </a:schemeClr>
              </a:solidFill>
              <a:round/>
            </a:ln>
            <a:effectLst/>
          </c:spPr>
          <c:invertIfNegative val="0"/>
          <c:dPt>
            <c:idx val="0"/>
            <c:invertIfNegative val="0"/>
            <c:bubble3D val="0"/>
            <c:spPr>
              <a:solidFill>
                <a:schemeClr val="accent4">
                  <a:lumMod val="40000"/>
                  <a:lumOff val="6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1-3E7F-4FB4-A745-48E512F52D6A}"/>
              </c:ext>
            </c:extLst>
          </c:dPt>
          <c:dPt>
            <c:idx val="1"/>
            <c:invertIfNegative val="0"/>
            <c:bubble3D val="0"/>
            <c:spPr>
              <a:solidFill>
                <a:schemeClr val="accent4">
                  <a:lumMod val="40000"/>
                  <a:lumOff val="60000"/>
                </a:schemeClr>
              </a:solidFill>
              <a:ln w="9525" cap="flat" cmpd="sng" algn="ctr">
                <a:solidFill>
                  <a:schemeClr val="accent4">
                    <a:lumMod val="60000"/>
                    <a:lumOff val="40000"/>
                  </a:schemeClr>
                </a:solidFill>
                <a:round/>
              </a:ln>
              <a:effectLst/>
            </c:spPr>
            <c:extLst>
              <c:ext xmlns:c16="http://schemas.microsoft.com/office/drawing/2014/chart" uri="{C3380CC4-5D6E-409C-BE32-E72D297353CC}">
                <c16:uniqueId val="{00000003-3E7F-4FB4-A745-48E512F52D6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Arkusz3!$A$2:$A$3</c:f>
              <c:strCache>
                <c:ptCount val="2"/>
                <c:pt idx="0">
                  <c:v>Określenie w kryteriach oceny ofert aspektów innowacyjnych, o których mowa w art. 242 ust. 2 ustawy Pzp</c:v>
                </c:pt>
                <c:pt idx="1">
                  <c:v>Określenie wymagań zw. z realizacją zamówienia obejmujących aspekty zw. z innowacyjnością, o których mowa w art. 96 ust. 1 ustawy Pzp</c:v>
                </c:pt>
              </c:strCache>
            </c:strRef>
          </c:cat>
          <c:val>
            <c:numRef>
              <c:f>Arkusz3!$B$2:$B$3</c:f>
              <c:numCache>
                <c:formatCode>General</c:formatCode>
                <c:ptCount val="2"/>
                <c:pt idx="0">
                  <c:v>5</c:v>
                </c:pt>
                <c:pt idx="1">
                  <c:v>8</c:v>
                </c:pt>
              </c:numCache>
            </c:numRef>
          </c:val>
          <c:extLst>
            <c:ext xmlns:c16="http://schemas.microsoft.com/office/drawing/2014/chart" uri="{C3380CC4-5D6E-409C-BE32-E72D297353CC}">
              <c16:uniqueId val="{00000004-3E7F-4FB4-A745-48E512F52D6A}"/>
            </c:ext>
          </c:extLst>
        </c:ser>
        <c:dLbls>
          <c:dLblPos val="inEnd"/>
          <c:showLegendKey val="0"/>
          <c:showVal val="1"/>
          <c:showCatName val="0"/>
          <c:showSerName val="0"/>
          <c:showPercent val="0"/>
          <c:showBubbleSize val="0"/>
        </c:dLbls>
        <c:gapWidth val="65"/>
        <c:axId val="992151360"/>
        <c:axId val="402943520"/>
      </c:barChart>
      <c:valAx>
        <c:axId val="40294352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992151360"/>
        <c:crosses val="autoZero"/>
        <c:crossBetween val="between"/>
      </c:valAx>
      <c:catAx>
        <c:axId val="99215136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402943520"/>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Arkusz4!$B$1</c:f>
              <c:strCache>
                <c:ptCount val="1"/>
                <c:pt idx="0">
                  <c:v> Wartość zamówień </c:v>
                </c:pt>
              </c:strCache>
            </c:strRef>
          </c:tx>
          <c:spPr>
            <a:solidFill>
              <a:schemeClr val="accent4">
                <a:lumMod val="40000"/>
                <a:lumOff val="60000"/>
              </a:schemeClr>
            </a:solidFill>
            <a:ln w="9525" cap="flat" cmpd="sng" algn="ctr">
              <a:solidFill>
                <a:schemeClr val="accent4">
                  <a:lumMod val="60000"/>
                  <a:lumOff val="40000"/>
                </a:schemeClr>
              </a:solidFill>
              <a:round/>
            </a:ln>
            <a:effectLst/>
          </c:spPr>
          <c:invertIfNegative val="0"/>
          <c:dLbls>
            <c:numFmt formatCode="#,##0.00\ &quot;zł&quot;" sourceLinked="0"/>
            <c:spPr>
              <a:noFill/>
              <a:ln>
                <a:noFill/>
              </a:ln>
              <a:effectLst/>
            </c:spPr>
            <c:txPr>
              <a:bodyPr rot="0" spcFirstLastPara="1" vertOverflow="ellipsis" horzOverflow="clip"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dk1">
                          <a:lumMod val="50000"/>
                          <a:lumOff val="50000"/>
                        </a:schemeClr>
                      </a:solidFill>
                    </a:ln>
                    <a:effectLst/>
                  </c:spPr>
                </c15:leaderLines>
              </c:ext>
            </c:extLst>
          </c:dLbls>
          <c:cat>
            <c:strRef>
              <c:f>Arkusz4!$A$2:$A$3</c:f>
              <c:strCache>
                <c:ptCount val="2"/>
                <c:pt idx="0">
                  <c:v>Określenie w kryteriach oceny ofert aspektów innowacyjnych, o których mowa w art. 242 ust. 2 ustawy Pzp</c:v>
                </c:pt>
                <c:pt idx="1">
                  <c:v>Określenie wymagań zw. z realizacją zamówienia obejmujących aspekty zw. z innowacyjnością, o których mowa w art. 96 ust. 1 ustawy Pzp</c:v>
                </c:pt>
              </c:strCache>
            </c:strRef>
          </c:cat>
          <c:val>
            <c:numRef>
              <c:f>Arkusz4!$B$2:$B$3</c:f>
              <c:numCache>
                <c:formatCode>_("zł"* #,##0.00_);_("zł"* \(#,##0.00\);_("zł"* "-"??_);_(@_)</c:formatCode>
                <c:ptCount val="2"/>
                <c:pt idx="0">
                  <c:v>52668531.479999997</c:v>
                </c:pt>
                <c:pt idx="1">
                  <c:v>3415709063.5</c:v>
                </c:pt>
              </c:numCache>
            </c:numRef>
          </c:val>
          <c:extLst>
            <c:ext xmlns:c16="http://schemas.microsoft.com/office/drawing/2014/chart" uri="{C3380CC4-5D6E-409C-BE32-E72D297353CC}">
              <c16:uniqueId val="{00000000-E2A7-49DF-82C6-0EC8292DA86F}"/>
            </c:ext>
          </c:extLst>
        </c:ser>
        <c:dLbls>
          <c:dLblPos val="inEnd"/>
          <c:showLegendKey val="0"/>
          <c:showVal val="1"/>
          <c:showCatName val="0"/>
          <c:showSerName val="0"/>
          <c:showPercent val="0"/>
          <c:showBubbleSize val="0"/>
        </c:dLbls>
        <c:gapWidth val="65"/>
        <c:axId val="1177336255"/>
        <c:axId val="974132111"/>
      </c:barChart>
      <c:valAx>
        <c:axId val="974132111"/>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_(&quot;zł&quot;* #,##0.00_);_(&quot;zł&quot;* \(#,##0.00\);_(&quot;zł&quot;* &quot;-&quot;??_);_(@_)" sourceLinked="1"/>
        <c:majorTickMark val="none"/>
        <c:minorTickMark val="none"/>
        <c:tickLblPos val="nextTo"/>
        <c:crossAx val="1177336255"/>
        <c:crosses val="autoZero"/>
        <c:crossBetween val="between"/>
      </c:valAx>
      <c:catAx>
        <c:axId val="117733625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crossAx val="974132111"/>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Arkusz1!$B$13</c:f>
              <c:strCache>
                <c:ptCount val="1"/>
                <c:pt idx="0">
                  <c:v>ogłoszenia o zamiarze zawarcia umowy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Arkusz1!$C$12:$F$12</c:f>
              <c:numCache>
                <c:formatCode>General</c:formatCode>
                <c:ptCount val="4"/>
                <c:pt idx="0">
                  <c:v>2019</c:v>
                </c:pt>
                <c:pt idx="1">
                  <c:v>2020</c:v>
                </c:pt>
                <c:pt idx="2">
                  <c:v>2021</c:v>
                </c:pt>
                <c:pt idx="3">
                  <c:v>2022</c:v>
                </c:pt>
              </c:numCache>
            </c:numRef>
          </c:cat>
          <c:val>
            <c:numRef>
              <c:f>Arkusz1!$C$13:$F$13</c:f>
              <c:numCache>
                <c:formatCode>#,##0</c:formatCode>
                <c:ptCount val="4"/>
                <c:pt idx="0">
                  <c:v>4796</c:v>
                </c:pt>
                <c:pt idx="1">
                  <c:v>4655</c:v>
                </c:pt>
                <c:pt idx="2">
                  <c:v>5084</c:v>
                </c:pt>
                <c:pt idx="3">
                  <c:v>6139</c:v>
                </c:pt>
              </c:numCache>
            </c:numRef>
          </c:val>
          <c:smooth val="0"/>
          <c:extLst>
            <c:ext xmlns:c16="http://schemas.microsoft.com/office/drawing/2014/chart" uri="{C3380CC4-5D6E-409C-BE32-E72D297353CC}">
              <c16:uniqueId val="{00000000-984C-4B92-BAF1-C2E70878A46C}"/>
            </c:ext>
          </c:extLst>
        </c:ser>
        <c:ser>
          <c:idx val="1"/>
          <c:order val="1"/>
          <c:tx>
            <c:strRef>
              <c:f>Arkusz1!$B$14</c:f>
              <c:strCache>
                <c:ptCount val="1"/>
                <c:pt idx="0">
                  <c:v>w tym na podst. art. 216 ust 1 Pzp</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Arkusz1!$C$12:$F$12</c:f>
              <c:numCache>
                <c:formatCode>General</c:formatCode>
                <c:ptCount val="4"/>
                <c:pt idx="0">
                  <c:v>2019</c:v>
                </c:pt>
                <c:pt idx="1">
                  <c:v>2020</c:v>
                </c:pt>
                <c:pt idx="2">
                  <c:v>2021</c:v>
                </c:pt>
                <c:pt idx="3">
                  <c:v>2022</c:v>
                </c:pt>
              </c:numCache>
            </c:numRef>
          </c:cat>
          <c:val>
            <c:numRef>
              <c:f>Arkusz1!$C$14:$F$14</c:f>
              <c:numCache>
                <c:formatCode>General</c:formatCode>
                <c:ptCount val="4"/>
                <c:pt idx="2" formatCode="#,##0">
                  <c:v>252</c:v>
                </c:pt>
                <c:pt idx="3" formatCode="#,##0">
                  <c:v>907</c:v>
                </c:pt>
              </c:numCache>
            </c:numRef>
          </c:val>
          <c:smooth val="0"/>
          <c:extLst>
            <c:ext xmlns:c16="http://schemas.microsoft.com/office/drawing/2014/chart" uri="{C3380CC4-5D6E-409C-BE32-E72D297353CC}">
              <c16:uniqueId val="{00000001-984C-4B92-BAF1-C2E70878A46C}"/>
            </c:ext>
          </c:extLst>
        </c:ser>
        <c:dLbls>
          <c:dLblPos val="t"/>
          <c:showLegendKey val="0"/>
          <c:showVal val="1"/>
          <c:showCatName val="0"/>
          <c:showSerName val="0"/>
          <c:showPercent val="0"/>
          <c:showBubbleSize val="0"/>
        </c:dLbls>
        <c:marker val="1"/>
        <c:smooth val="0"/>
        <c:axId val="370001872"/>
        <c:axId val="375864696"/>
      </c:lineChart>
      <c:catAx>
        <c:axId val="370001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375864696"/>
        <c:crosses val="autoZero"/>
        <c:auto val="1"/>
        <c:lblAlgn val="ctr"/>
        <c:lblOffset val="100"/>
        <c:noMultiLvlLbl val="0"/>
      </c:catAx>
      <c:valAx>
        <c:axId val="375864696"/>
        <c:scaling>
          <c:orientation val="minMax"/>
          <c:max val="8000"/>
          <c:min val="0"/>
        </c:scaling>
        <c:delete val="1"/>
        <c:axPos val="l"/>
        <c:numFmt formatCode="#,##0" sourceLinked="1"/>
        <c:majorTickMark val="out"/>
        <c:minorTickMark val="none"/>
        <c:tickLblPos val="nextTo"/>
        <c:crossAx val="3700018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'zmiany post umowy'!$I$4:$L$4</c:f>
              <c:strCache>
                <c:ptCount val="4"/>
                <c:pt idx="0">
                  <c:v>ogółem</c:v>
                </c:pt>
                <c:pt idx="1">
                  <c:v>roboty budowlane</c:v>
                </c:pt>
                <c:pt idx="2">
                  <c:v>dostawy</c:v>
                </c:pt>
                <c:pt idx="3">
                  <c:v>usługi</c:v>
                </c:pt>
              </c:strCache>
            </c:strRef>
          </c:cat>
          <c:val>
            <c:numRef>
              <c:f>'zmiany post umowy'!$I$5:$L$5</c:f>
              <c:numCache>
                <c:formatCode>0%</c:formatCode>
                <c:ptCount val="4"/>
                <c:pt idx="0">
                  <c:v>0.93</c:v>
                </c:pt>
                <c:pt idx="1">
                  <c:v>0.98</c:v>
                </c:pt>
                <c:pt idx="2">
                  <c:v>0.89</c:v>
                </c:pt>
                <c:pt idx="3">
                  <c:v>0.92</c:v>
                </c:pt>
              </c:numCache>
            </c:numRef>
          </c:val>
          <c:extLst>
            <c:ext xmlns:c16="http://schemas.microsoft.com/office/drawing/2014/chart" uri="{C3380CC4-5D6E-409C-BE32-E72D297353CC}">
              <c16:uniqueId val="{00000000-047D-46CF-884F-1411EF5817D2}"/>
            </c:ext>
          </c:extLst>
        </c:ser>
        <c:ser>
          <c:idx val="1"/>
          <c:order val="1"/>
          <c:spPr>
            <a:solidFill>
              <a:schemeClr val="accent2"/>
            </a:solidFill>
            <a:ln>
              <a:noFill/>
            </a:ln>
            <a:effectLst/>
          </c:spPr>
          <c:invertIfNegative val="0"/>
          <c:cat>
            <c:strRef>
              <c:f>'zmiany post umowy'!$I$4:$L$4</c:f>
              <c:strCache>
                <c:ptCount val="4"/>
                <c:pt idx="0">
                  <c:v>ogółem</c:v>
                </c:pt>
                <c:pt idx="1">
                  <c:v>roboty budowlane</c:v>
                </c:pt>
                <c:pt idx="2">
                  <c:v>dostawy</c:v>
                </c:pt>
                <c:pt idx="3">
                  <c:v>usługi</c:v>
                </c:pt>
              </c:strCache>
            </c:strRef>
          </c:cat>
          <c:val>
            <c:numRef>
              <c:f>'zmiany post umowy'!$I$6:$L$6</c:f>
              <c:numCache>
                <c:formatCode>0%</c:formatCode>
                <c:ptCount val="4"/>
                <c:pt idx="0">
                  <c:v>7.0000000000000007E-2</c:v>
                </c:pt>
                <c:pt idx="1">
                  <c:v>0.02</c:v>
                </c:pt>
                <c:pt idx="2">
                  <c:v>0.11</c:v>
                </c:pt>
                <c:pt idx="3">
                  <c:v>0.08</c:v>
                </c:pt>
              </c:numCache>
            </c:numRef>
          </c:val>
          <c:extLst>
            <c:ext xmlns:c16="http://schemas.microsoft.com/office/drawing/2014/chart" uri="{C3380CC4-5D6E-409C-BE32-E72D297353CC}">
              <c16:uniqueId val="{00000001-047D-46CF-884F-1411EF5817D2}"/>
            </c:ext>
          </c:extLst>
        </c:ser>
        <c:dLbls>
          <c:showLegendKey val="0"/>
          <c:showVal val="0"/>
          <c:showCatName val="0"/>
          <c:showSerName val="0"/>
          <c:showPercent val="0"/>
          <c:showBubbleSize val="0"/>
        </c:dLbls>
        <c:gapWidth val="150"/>
        <c:overlap val="100"/>
        <c:axId val="421763152"/>
        <c:axId val="421763808"/>
      </c:barChart>
      <c:catAx>
        <c:axId val="421763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21763808"/>
        <c:crosses val="autoZero"/>
        <c:auto val="1"/>
        <c:lblAlgn val="ctr"/>
        <c:lblOffset val="100"/>
        <c:noMultiLvlLbl val="0"/>
      </c:catAx>
      <c:valAx>
        <c:axId val="421763808"/>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217631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91426071741032"/>
          <c:y val="5.0925925925925923E-2"/>
          <c:w val="0.86553018372703416"/>
          <c:h val="0.73526246719160104"/>
        </c:manualLayout>
      </c:layout>
      <c:barChart>
        <c:barDir val="col"/>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168D-471A-8C80-372B207D1496}"/>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168D-471A-8C80-372B207D1496}"/>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168D-471A-8C80-372B207D1496}"/>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168D-471A-8C80-372B207D1496}"/>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168D-471A-8C80-372B207D149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'wst konsultacje'!$J$4:$N$4</c:f>
              <c:strCache>
                <c:ptCount val="5"/>
                <c:pt idx="0">
                  <c:v>2021</c:v>
                </c:pt>
                <c:pt idx="1">
                  <c:v>2022</c:v>
                </c:pt>
                <c:pt idx="2">
                  <c:v>roboty budowlane</c:v>
                </c:pt>
                <c:pt idx="3">
                  <c:v>dostawy</c:v>
                </c:pt>
                <c:pt idx="4">
                  <c:v>usługi</c:v>
                </c:pt>
              </c:strCache>
            </c:strRef>
          </c:cat>
          <c:val>
            <c:numRef>
              <c:f>'wst konsultacje'!$J$5:$N$5</c:f>
              <c:numCache>
                <c:formatCode>0.00%</c:formatCode>
                <c:ptCount val="5"/>
                <c:pt idx="0">
                  <c:v>7.4999999999999997E-3</c:v>
                </c:pt>
                <c:pt idx="1">
                  <c:v>6.7999999999999996E-3</c:v>
                </c:pt>
                <c:pt idx="2">
                  <c:v>2.8E-3</c:v>
                </c:pt>
                <c:pt idx="3">
                  <c:v>0.01</c:v>
                </c:pt>
                <c:pt idx="4">
                  <c:v>7.7000000000000002E-3</c:v>
                </c:pt>
              </c:numCache>
            </c:numRef>
          </c:val>
          <c:extLst>
            <c:ext xmlns:c16="http://schemas.microsoft.com/office/drawing/2014/chart" uri="{C3380CC4-5D6E-409C-BE32-E72D297353CC}">
              <c16:uniqueId val="{0000000A-168D-471A-8C80-372B207D1496}"/>
            </c:ext>
          </c:extLst>
        </c:ser>
        <c:dLbls>
          <c:showLegendKey val="0"/>
          <c:showVal val="0"/>
          <c:showCatName val="0"/>
          <c:showSerName val="0"/>
          <c:showPercent val="0"/>
          <c:showBubbleSize val="0"/>
        </c:dLbls>
        <c:gapWidth val="90"/>
        <c:overlap val="-27"/>
        <c:axId val="584609160"/>
        <c:axId val="312605544"/>
      </c:barChart>
      <c:catAx>
        <c:axId val="584609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312605544"/>
        <c:crosses val="autoZero"/>
        <c:auto val="1"/>
        <c:lblAlgn val="ctr"/>
        <c:lblOffset val="100"/>
        <c:noMultiLvlLbl val="0"/>
      </c:catAx>
      <c:valAx>
        <c:axId val="312605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584609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userShapes r:id="rId5"/>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Arkusz1!$A$3</c:f>
              <c:strCache>
                <c:ptCount val="1"/>
                <c:pt idx="0">
                  <c:v>brak naruszeń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Arkusz1!$B$2:$T$2</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Arkusz1!$B$3:$T$3</c:f>
              <c:numCache>
                <c:formatCode>0%</c:formatCode>
                <c:ptCount val="19"/>
                <c:pt idx="0">
                  <c:v>0.13</c:v>
                </c:pt>
                <c:pt idx="1">
                  <c:v>0.15</c:v>
                </c:pt>
                <c:pt idx="2">
                  <c:v>0.23</c:v>
                </c:pt>
                <c:pt idx="3">
                  <c:v>0.28999999999999998</c:v>
                </c:pt>
                <c:pt idx="4">
                  <c:v>0.28999999999999998</c:v>
                </c:pt>
                <c:pt idx="5">
                  <c:v>0.68</c:v>
                </c:pt>
                <c:pt idx="6">
                  <c:v>0.55000000000000004</c:v>
                </c:pt>
                <c:pt idx="7">
                  <c:v>0.7</c:v>
                </c:pt>
                <c:pt idx="8">
                  <c:v>0.76</c:v>
                </c:pt>
                <c:pt idx="9">
                  <c:v>0.57999999999999996</c:v>
                </c:pt>
                <c:pt idx="10">
                  <c:v>0.82</c:v>
                </c:pt>
                <c:pt idx="11" formatCode="0.0%">
                  <c:v>0.755</c:v>
                </c:pt>
                <c:pt idx="12">
                  <c:v>0.64</c:v>
                </c:pt>
                <c:pt idx="13">
                  <c:v>0.46</c:v>
                </c:pt>
                <c:pt idx="14">
                  <c:v>0.59</c:v>
                </c:pt>
                <c:pt idx="15">
                  <c:v>0.59</c:v>
                </c:pt>
                <c:pt idx="16">
                  <c:v>0.64</c:v>
                </c:pt>
                <c:pt idx="17">
                  <c:v>0.71</c:v>
                </c:pt>
                <c:pt idx="18">
                  <c:v>0.48</c:v>
                </c:pt>
              </c:numCache>
            </c:numRef>
          </c:val>
          <c:smooth val="0"/>
          <c:extLst>
            <c:ext xmlns:c16="http://schemas.microsoft.com/office/drawing/2014/chart" uri="{C3380CC4-5D6E-409C-BE32-E72D297353CC}">
              <c16:uniqueId val="{00000000-0FA0-4C47-ABEE-2BC056D15809}"/>
            </c:ext>
          </c:extLst>
        </c:ser>
        <c:dLbls>
          <c:showLegendKey val="0"/>
          <c:showVal val="0"/>
          <c:showCatName val="0"/>
          <c:showSerName val="0"/>
          <c:showPercent val="0"/>
          <c:showBubbleSize val="0"/>
        </c:dLbls>
        <c:marker val="1"/>
        <c:smooth val="0"/>
        <c:axId val="377590296"/>
        <c:axId val="1"/>
      </c:lineChart>
      <c:catAx>
        <c:axId val="377590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0.85000000000000009"/>
          <c:min val="0.1"/>
        </c:scaling>
        <c:delete val="1"/>
        <c:axPos val="l"/>
        <c:numFmt formatCode="0%" sourceLinked="1"/>
        <c:majorTickMark val="out"/>
        <c:minorTickMark val="none"/>
        <c:tickLblPos val="nextTo"/>
        <c:crossAx val="377590296"/>
        <c:crosses val="autoZero"/>
        <c:crossBetween val="midCat"/>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rodzaj!$I$3</c:f>
              <c:strCache>
                <c:ptCount val="1"/>
                <c:pt idx="0">
                  <c:v>roboty budowlane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rodzaj!$K$2:$N$2</c:f>
              <c:numCache>
                <c:formatCode>General</c:formatCode>
                <c:ptCount val="4"/>
                <c:pt idx="0">
                  <c:v>2019</c:v>
                </c:pt>
                <c:pt idx="1">
                  <c:v>2020</c:v>
                </c:pt>
                <c:pt idx="2">
                  <c:v>2021</c:v>
                </c:pt>
                <c:pt idx="3">
                  <c:v>2022</c:v>
                </c:pt>
              </c:numCache>
            </c:numRef>
          </c:cat>
          <c:val>
            <c:numRef>
              <c:f>rodzaj!$K$3:$N$3</c:f>
              <c:numCache>
                <c:formatCode>0%</c:formatCode>
                <c:ptCount val="4"/>
                <c:pt idx="0">
                  <c:v>0.28000000000000003</c:v>
                </c:pt>
                <c:pt idx="1">
                  <c:v>0.25</c:v>
                </c:pt>
                <c:pt idx="2">
                  <c:v>0.27</c:v>
                </c:pt>
                <c:pt idx="3">
                  <c:v>0.25</c:v>
                </c:pt>
              </c:numCache>
            </c:numRef>
          </c:val>
          <c:smooth val="0"/>
          <c:extLst>
            <c:ext xmlns:c16="http://schemas.microsoft.com/office/drawing/2014/chart" uri="{C3380CC4-5D6E-409C-BE32-E72D297353CC}">
              <c16:uniqueId val="{00000000-F4AF-4C8A-9E6B-FBAC4E0F6922}"/>
            </c:ext>
          </c:extLst>
        </c:ser>
        <c:ser>
          <c:idx val="1"/>
          <c:order val="1"/>
          <c:tx>
            <c:strRef>
              <c:f>rodzaj!$I$4</c:f>
              <c:strCache>
                <c:ptCount val="1"/>
                <c:pt idx="0">
                  <c:v>dostawy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rodzaj!$K$2:$N$2</c:f>
              <c:numCache>
                <c:formatCode>General</c:formatCode>
                <c:ptCount val="4"/>
                <c:pt idx="0">
                  <c:v>2019</c:v>
                </c:pt>
                <c:pt idx="1">
                  <c:v>2020</c:v>
                </c:pt>
                <c:pt idx="2">
                  <c:v>2021</c:v>
                </c:pt>
                <c:pt idx="3">
                  <c:v>2022</c:v>
                </c:pt>
              </c:numCache>
            </c:numRef>
          </c:cat>
          <c:val>
            <c:numRef>
              <c:f>rodzaj!$K$4:$N$4</c:f>
              <c:numCache>
                <c:formatCode>0%</c:formatCode>
                <c:ptCount val="4"/>
                <c:pt idx="0">
                  <c:v>0.42</c:v>
                </c:pt>
                <c:pt idx="1">
                  <c:v>0.43</c:v>
                </c:pt>
                <c:pt idx="2">
                  <c:v>0.4</c:v>
                </c:pt>
                <c:pt idx="3">
                  <c:v>0.41</c:v>
                </c:pt>
              </c:numCache>
            </c:numRef>
          </c:val>
          <c:smooth val="0"/>
          <c:extLst>
            <c:ext xmlns:c16="http://schemas.microsoft.com/office/drawing/2014/chart" uri="{C3380CC4-5D6E-409C-BE32-E72D297353CC}">
              <c16:uniqueId val="{00000001-F4AF-4C8A-9E6B-FBAC4E0F6922}"/>
            </c:ext>
          </c:extLst>
        </c:ser>
        <c:ser>
          <c:idx val="2"/>
          <c:order val="2"/>
          <c:tx>
            <c:strRef>
              <c:f>rodzaj!$I$5</c:f>
              <c:strCache>
                <c:ptCount val="1"/>
                <c:pt idx="0">
                  <c:v>usługi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rodzaj!$K$2:$N$2</c:f>
              <c:numCache>
                <c:formatCode>General</c:formatCode>
                <c:ptCount val="4"/>
                <c:pt idx="0">
                  <c:v>2019</c:v>
                </c:pt>
                <c:pt idx="1">
                  <c:v>2020</c:v>
                </c:pt>
                <c:pt idx="2">
                  <c:v>2021</c:v>
                </c:pt>
                <c:pt idx="3">
                  <c:v>2022</c:v>
                </c:pt>
              </c:numCache>
            </c:numRef>
          </c:cat>
          <c:val>
            <c:numRef>
              <c:f>rodzaj!$K$5:$N$5</c:f>
              <c:numCache>
                <c:formatCode>0%</c:formatCode>
                <c:ptCount val="4"/>
                <c:pt idx="0">
                  <c:v>0.3</c:v>
                </c:pt>
                <c:pt idx="1">
                  <c:v>0.32</c:v>
                </c:pt>
                <c:pt idx="2">
                  <c:v>0.33</c:v>
                </c:pt>
                <c:pt idx="3">
                  <c:v>0.34</c:v>
                </c:pt>
              </c:numCache>
            </c:numRef>
          </c:val>
          <c:smooth val="0"/>
          <c:extLst>
            <c:ext xmlns:c16="http://schemas.microsoft.com/office/drawing/2014/chart" uri="{C3380CC4-5D6E-409C-BE32-E72D297353CC}">
              <c16:uniqueId val="{00000002-F4AF-4C8A-9E6B-FBAC4E0F6922}"/>
            </c:ext>
          </c:extLst>
        </c:ser>
        <c:dLbls>
          <c:dLblPos val="t"/>
          <c:showLegendKey val="0"/>
          <c:showVal val="1"/>
          <c:showCatName val="0"/>
          <c:showSerName val="0"/>
          <c:showPercent val="0"/>
          <c:showBubbleSize val="0"/>
        </c:dLbls>
        <c:marker val="1"/>
        <c:smooth val="0"/>
        <c:axId val="472840352"/>
        <c:axId val="472840680"/>
      </c:lineChart>
      <c:catAx>
        <c:axId val="472840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72840680"/>
        <c:crosses val="autoZero"/>
        <c:auto val="1"/>
        <c:lblAlgn val="ctr"/>
        <c:lblOffset val="100"/>
        <c:noMultiLvlLbl val="0"/>
      </c:catAx>
      <c:valAx>
        <c:axId val="472840680"/>
        <c:scaling>
          <c:orientation val="minMax"/>
          <c:max val="0.5"/>
          <c:min val="0.2"/>
        </c:scaling>
        <c:delete val="1"/>
        <c:axPos val="l"/>
        <c:numFmt formatCode="0%" sourceLinked="1"/>
        <c:majorTickMark val="none"/>
        <c:minorTickMark val="none"/>
        <c:tickLblPos val="nextTo"/>
        <c:crossAx val="4728403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sektorowe!$F$66</c:f>
              <c:strCache>
                <c:ptCount val="1"/>
                <c:pt idx="0">
                  <c:v>wartość</c:v>
                </c:pt>
              </c:strCache>
            </c:strRef>
          </c:tx>
          <c:marker>
            <c:symbol val="circle"/>
            <c:size val="5"/>
            <c:spPr>
              <a:solidFill>
                <a:schemeClr val="accent1"/>
              </a:solidFill>
              <a:ln w="9525">
                <a:solidFill>
                  <a:schemeClr val="accent1"/>
                </a:solidFill>
              </a:ln>
              <a:effectLst/>
            </c:spPr>
          </c:marker>
          <c:dLbls>
            <c:spPr>
              <a:noFill/>
              <a:ln>
                <a:noFill/>
              </a:ln>
              <a:effectLst/>
            </c:spPr>
            <c:txPr>
              <a:bodyPr wrap="square" lIns="38100" tIns="19050" rIns="38100" bIns="19050" anchor="ctr">
                <a:spAutoFit/>
              </a:bodyPr>
              <a:lstStyle/>
              <a:p>
                <a:pPr>
                  <a:defRPr b="1"/>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sektorowe!$E$68:$E$71</c:f>
              <c:numCache>
                <c:formatCode>General</c:formatCode>
                <c:ptCount val="4"/>
                <c:pt idx="0">
                  <c:v>2019</c:v>
                </c:pt>
                <c:pt idx="1">
                  <c:v>2020</c:v>
                </c:pt>
                <c:pt idx="2">
                  <c:v>2021</c:v>
                </c:pt>
                <c:pt idx="3">
                  <c:v>2022</c:v>
                </c:pt>
              </c:numCache>
            </c:numRef>
          </c:cat>
          <c:val>
            <c:numRef>
              <c:f>sektorowe!$F$68:$F$71</c:f>
              <c:numCache>
                <c:formatCode>#\ ##0.000</c:formatCode>
                <c:ptCount val="4"/>
                <c:pt idx="0" formatCode="General">
                  <c:v>56.012</c:v>
                </c:pt>
                <c:pt idx="1">
                  <c:v>47.08</c:v>
                </c:pt>
                <c:pt idx="2" formatCode="General">
                  <c:v>32.451000000000001</c:v>
                </c:pt>
                <c:pt idx="3" formatCode="General">
                  <c:v>64.186999999999998</c:v>
                </c:pt>
              </c:numCache>
            </c:numRef>
          </c:val>
          <c:smooth val="0"/>
          <c:extLst>
            <c:ext xmlns:c16="http://schemas.microsoft.com/office/drawing/2014/chart" uri="{C3380CC4-5D6E-409C-BE32-E72D297353CC}">
              <c16:uniqueId val="{00000000-B58E-499A-9DBC-17C085F130DA}"/>
            </c:ext>
          </c:extLst>
        </c:ser>
        <c:dLbls>
          <c:showLegendKey val="0"/>
          <c:showVal val="0"/>
          <c:showCatName val="0"/>
          <c:showSerName val="0"/>
          <c:showPercent val="0"/>
          <c:showBubbleSize val="0"/>
        </c:dLbls>
        <c:marker val="1"/>
        <c:smooth val="0"/>
        <c:axId val="477438096"/>
        <c:axId val="1"/>
      </c:lineChart>
      <c:catAx>
        <c:axId val="477438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70"/>
          <c:min val="25"/>
        </c:scaling>
        <c:delete val="1"/>
        <c:axPos val="l"/>
        <c:numFmt formatCode="General" sourceLinked="1"/>
        <c:majorTickMark val="out"/>
        <c:minorTickMark val="none"/>
        <c:tickLblPos val="nextTo"/>
        <c:crossAx val="477438096"/>
        <c:crosses val="autoZero"/>
        <c:crossBetween val="midCat"/>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1"/>
        <c:ser>
          <c:idx val="0"/>
          <c:order val="0"/>
          <c:tx>
            <c:strRef>
              <c:f>sektorowe!$F$50</c:f>
              <c:strCache>
                <c:ptCount val="1"/>
                <c:pt idx="0">
                  <c:v>wartość</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C12D-4B0C-8F30-12698DF6B36D}"/>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C12D-4B0C-8F30-12698DF6B36D}"/>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C12D-4B0C-8F30-12698DF6B36D}"/>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C12D-4B0C-8F30-12698DF6B36D}"/>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C12D-4B0C-8F30-12698DF6B36D}"/>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C12D-4B0C-8F30-12698DF6B36D}"/>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C12D-4B0C-8F30-12698DF6B36D}"/>
              </c:ext>
            </c:extLst>
          </c:dPt>
          <c:dPt>
            <c:idx val="7"/>
            <c:invertIfNegative val="0"/>
            <c:bubble3D val="0"/>
            <c:spPr>
              <a:solidFill>
                <a:srgbClr val="FF0000"/>
              </a:solidFill>
              <a:ln>
                <a:noFill/>
              </a:ln>
              <a:effectLst/>
            </c:spPr>
            <c:extLst>
              <c:ext xmlns:c16="http://schemas.microsoft.com/office/drawing/2014/chart" uri="{C3380CC4-5D6E-409C-BE32-E72D297353CC}">
                <c16:uniqueId val="{0000000F-C12D-4B0C-8F30-12698DF6B36D}"/>
              </c:ext>
            </c:extLst>
          </c:dPt>
          <c:dLbls>
            <c:numFmt formatCode="#,##0.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sektorowe!$B$51:$B$58</c:f>
              <c:strCache>
                <c:ptCount val="8"/>
                <c:pt idx="0">
                  <c:v>brak danych</c:v>
                </c:pt>
                <c:pt idx="1">
                  <c:v>gospodarka wodna</c:v>
                </c:pt>
                <c:pt idx="2">
                  <c:v>energia elektryczna</c:v>
                </c:pt>
                <c:pt idx="3">
                  <c:v>gaz i energia cieplna</c:v>
                </c:pt>
                <c:pt idx="4">
                  <c:v>usługi transportowe</c:v>
                </c:pt>
                <c:pt idx="5">
                  <c:v>porty, przystanie i porty lotnicze</c:v>
                </c:pt>
                <c:pt idx="6">
                  <c:v>usługi pocztowe</c:v>
                </c:pt>
                <c:pt idx="7">
                  <c:v>wydobycie paliw</c:v>
                </c:pt>
              </c:strCache>
            </c:strRef>
          </c:cat>
          <c:val>
            <c:numRef>
              <c:f>sektorowe!$F$51:$F$58</c:f>
              <c:numCache>
                <c:formatCode>#\ ##0.00\ "zł"</c:formatCode>
                <c:ptCount val="8"/>
                <c:pt idx="0">
                  <c:v>2927581310.9000001</c:v>
                </c:pt>
                <c:pt idx="1">
                  <c:v>2039388485.6499999</c:v>
                </c:pt>
                <c:pt idx="2">
                  <c:v>9520575101.8700008</c:v>
                </c:pt>
                <c:pt idx="3">
                  <c:v>7831578552.4499998</c:v>
                </c:pt>
                <c:pt idx="4">
                  <c:v>17030999383.66</c:v>
                </c:pt>
                <c:pt idx="5">
                  <c:v>15201000838.48</c:v>
                </c:pt>
                <c:pt idx="6">
                  <c:v>1027684558.16</c:v>
                </c:pt>
                <c:pt idx="7">
                  <c:v>8608616630.8700008</c:v>
                </c:pt>
              </c:numCache>
            </c:numRef>
          </c:val>
          <c:extLst>
            <c:ext xmlns:c16="http://schemas.microsoft.com/office/drawing/2014/chart" uri="{C3380CC4-5D6E-409C-BE32-E72D297353CC}">
              <c16:uniqueId val="{00000010-C12D-4B0C-8F30-12698DF6B36D}"/>
            </c:ext>
          </c:extLst>
        </c:ser>
        <c:dLbls>
          <c:showLegendKey val="0"/>
          <c:showVal val="0"/>
          <c:showCatName val="0"/>
          <c:showSerName val="0"/>
          <c:showPercent val="0"/>
          <c:showBubbleSize val="0"/>
        </c:dLbls>
        <c:gapWidth val="60"/>
        <c:axId val="466231768"/>
        <c:axId val="466232752"/>
      </c:barChart>
      <c:catAx>
        <c:axId val="466231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66232752"/>
        <c:crosses val="autoZero"/>
        <c:auto val="1"/>
        <c:lblAlgn val="ctr"/>
        <c:lblOffset val="100"/>
        <c:noMultiLvlLbl val="0"/>
      </c:catAx>
      <c:valAx>
        <c:axId val="466232752"/>
        <c:scaling>
          <c:orientation val="minMax"/>
        </c:scaling>
        <c:delete val="1"/>
        <c:axPos val="b"/>
        <c:majorGridlines>
          <c:spPr>
            <a:ln w="9525" cap="flat" cmpd="sng" algn="ctr">
              <a:solidFill>
                <a:schemeClr val="tx1">
                  <a:lumMod val="15000"/>
                  <a:lumOff val="85000"/>
                </a:schemeClr>
              </a:solidFill>
              <a:round/>
            </a:ln>
            <a:effectLst/>
          </c:spPr>
        </c:majorGridlines>
        <c:numFmt formatCode="#\ ##0.000" sourceLinked="0"/>
        <c:majorTickMark val="none"/>
        <c:minorTickMark val="none"/>
        <c:tickLblPos val="nextTo"/>
        <c:crossAx val="466231768"/>
        <c:crosses val="autoZero"/>
        <c:crossBetween val="between"/>
        <c:dispUnits>
          <c:builtInUnit val="billion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BA3-41CC-834E-C06B57EAE00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BA3-41CC-834E-C06B57EAE00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BA3-41CC-834E-C06B57EAE00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BA3-41CC-834E-C06B57EAE00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Arkusz1!$B$20:$B$23</c:f>
              <c:strCache>
                <c:ptCount val="4"/>
                <c:pt idx="0">
                  <c:v>roboty budowlane</c:v>
                </c:pt>
                <c:pt idx="1">
                  <c:v>dostawy</c:v>
                </c:pt>
                <c:pt idx="2">
                  <c:v>usługi</c:v>
                </c:pt>
                <c:pt idx="3">
                  <c:v>brak danych</c:v>
                </c:pt>
              </c:strCache>
            </c:strRef>
          </c:cat>
          <c:val>
            <c:numRef>
              <c:f>Arkusz1!$E$20:$E$23</c:f>
              <c:numCache>
                <c:formatCode>0%</c:formatCode>
                <c:ptCount val="4"/>
                <c:pt idx="0">
                  <c:v>0.02</c:v>
                </c:pt>
                <c:pt idx="1">
                  <c:v>0.84</c:v>
                </c:pt>
                <c:pt idx="2">
                  <c:v>0.13</c:v>
                </c:pt>
                <c:pt idx="3">
                  <c:v>0.01</c:v>
                </c:pt>
              </c:numCache>
            </c:numRef>
          </c:val>
          <c:extLst>
            <c:ext xmlns:c16="http://schemas.microsoft.com/office/drawing/2014/chart" uri="{C3380CC4-5D6E-409C-BE32-E72D297353CC}">
              <c16:uniqueId val="{00000008-6BA3-41CC-834E-C06B57EAE00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B3-4986-BCD2-B0A96B63748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B3-4986-BCD2-B0A96B63748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DB3-4986-BCD2-B0A96B63748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DB3-4986-BCD2-B0A96B63748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Arkusz1!$B$20:$B$23</c:f>
              <c:strCache>
                <c:ptCount val="4"/>
                <c:pt idx="0">
                  <c:v>roboty budowlane</c:v>
                </c:pt>
                <c:pt idx="1">
                  <c:v>dostawy</c:v>
                </c:pt>
                <c:pt idx="2">
                  <c:v>usługi</c:v>
                </c:pt>
                <c:pt idx="3">
                  <c:v>brak danych</c:v>
                </c:pt>
              </c:strCache>
            </c:strRef>
          </c:cat>
          <c:val>
            <c:numRef>
              <c:f>Arkusz1!$E$20:$E$23</c:f>
              <c:numCache>
                <c:formatCode>0%</c:formatCode>
                <c:ptCount val="4"/>
                <c:pt idx="0">
                  <c:v>0.01</c:v>
                </c:pt>
                <c:pt idx="1">
                  <c:v>0.32</c:v>
                </c:pt>
                <c:pt idx="2">
                  <c:v>0.65</c:v>
                </c:pt>
                <c:pt idx="3">
                  <c:v>0.02</c:v>
                </c:pt>
              </c:numCache>
            </c:numRef>
          </c:val>
          <c:extLst>
            <c:ext xmlns:c16="http://schemas.microsoft.com/office/drawing/2014/chart" uri="{C3380CC4-5D6E-409C-BE32-E72D297353CC}">
              <c16:uniqueId val="{00000008-FDB3-4986-BCD2-B0A96B63748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95D-4FC1-B976-34A84E65682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95D-4FC1-B976-34A84E65682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95D-4FC1-B976-34A84E65682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95D-4FC1-B976-34A84E65682E}"/>
              </c:ext>
            </c:extLst>
          </c:dPt>
          <c:dLbls>
            <c:dLbl>
              <c:idx val="0"/>
              <c:delete val="1"/>
              <c:extLst>
                <c:ext xmlns:c15="http://schemas.microsoft.com/office/drawing/2012/chart" uri="{CE6537A1-D6FC-4f65-9D91-7224C49458BB}"/>
                <c:ext xmlns:c16="http://schemas.microsoft.com/office/drawing/2014/chart" uri="{C3380CC4-5D6E-409C-BE32-E72D297353CC}">
                  <c16:uniqueId val="{00000001-695D-4FC1-B976-34A84E6568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Arkusz1!$B$20:$B$23</c:f>
              <c:strCache>
                <c:ptCount val="4"/>
                <c:pt idx="0">
                  <c:v>roboty budowlane</c:v>
                </c:pt>
                <c:pt idx="1">
                  <c:v>dostawy</c:v>
                </c:pt>
                <c:pt idx="2">
                  <c:v>usługi</c:v>
                </c:pt>
                <c:pt idx="3">
                  <c:v>brak danych</c:v>
                </c:pt>
              </c:strCache>
            </c:strRef>
          </c:cat>
          <c:val>
            <c:numRef>
              <c:f>Arkusz1!$E$20:$E$23</c:f>
              <c:numCache>
                <c:formatCode>0%</c:formatCode>
                <c:ptCount val="4"/>
                <c:pt idx="0">
                  <c:v>0</c:v>
                </c:pt>
                <c:pt idx="1">
                  <c:v>0.5</c:v>
                </c:pt>
                <c:pt idx="2">
                  <c:v>0.43</c:v>
                </c:pt>
                <c:pt idx="3">
                  <c:v>7.0000000000000007E-2</c:v>
                </c:pt>
              </c:numCache>
            </c:numRef>
          </c:val>
          <c:extLst>
            <c:ext xmlns:c16="http://schemas.microsoft.com/office/drawing/2014/chart" uri="{C3380CC4-5D6E-409C-BE32-E72D297353CC}">
              <c16:uniqueId val="{00000008-695D-4FC1-B976-34A84E65682E}"/>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Arkusz2!$A$20</c:f>
              <c:strCache>
                <c:ptCount val="1"/>
                <c:pt idx="0">
                  <c:v>Postępowania o wartościach poniżej progów UE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Arkusz2!$B$19:$E$19</c:f>
              <c:numCache>
                <c:formatCode>General</c:formatCode>
                <c:ptCount val="4"/>
                <c:pt idx="0">
                  <c:v>2019</c:v>
                </c:pt>
                <c:pt idx="1">
                  <c:v>2020</c:v>
                </c:pt>
                <c:pt idx="2">
                  <c:v>2021</c:v>
                </c:pt>
                <c:pt idx="3">
                  <c:v>2022</c:v>
                </c:pt>
              </c:numCache>
            </c:numRef>
          </c:cat>
          <c:val>
            <c:numRef>
              <c:f>Arkusz2!$B$20:$E$20</c:f>
              <c:numCache>
                <c:formatCode>0%</c:formatCode>
                <c:ptCount val="4"/>
                <c:pt idx="0">
                  <c:v>0.88</c:v>
                </c:pt>
                <c:pt idx="1">
                  <c:v>0.86</c:v>
                </c:pt>
                <c:pt idx="2">
                  <c:v>0.83</c:v>
                </c:pt>
                <c:pt idx="3">
                  <c:v>0.8</c:v>
                </c:pt>
              </c:numCache>
            </c:numRef>
          </c:val>
          <c:smooth val="0"/>
          <c:extLst>
            <c:ext xmlns:c16="http://schemas.microsoft.com/office/drawing/2014/chart" uri="{C3380CC4-5D6E-409C-BE32-E72D297353CC}">
              <c16:uniqueId val="{00000000-6F09-4AFB-B613-3F92B7B735DB}"/>
            </c:ext>
          </c:extLst>
        </c:ser>
        <c:ser>
          <c:idx val="1"/>
          <c:order val="1"/>
          <c:tx>
            <c:strRef>
              <c:f>Arkusz2!$A$21</c:f>
              <c:strCache>
                <c:ptCount val="1"/>
                <c:pt idx="0">
                  <c:v>Postępowania o wartościach powyżej progów UE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Arkusz2!$B$19:$E$19</c:f>
              <c:numCache>
                <c:formatCode>General</c:formatCode>
                <c:ptCount val="4"/>
                <c:pt idx="0">
                  <c:v>2019</c:v>
                </c:pt>
                <c:pt idx="1">
                  <c:v>2020</c:v>
                </c:pt>
                <c:pt idx="2">
                  <c:v>2021</c:v>
                </c:pt>
                <c:pt idx="3">
                  <c:v>2022</c:v>
                </c:pt>
              </c:numCache>
            </c:numRef>
          </c:cat>
          <c:val>
            <c:numRef>
              <c:f>Arkusz2!$B$21:$E$21</c:f>
              <c:numCache>
                <c:formatCode>0%</c:formatCode>
                <c:ptCount val="4"/>
                <c:pt idx="0">
                  <c:v>0.72</c:v>
                </c:pt>
                <c:pt idx="1">
                  <c:v>0.72</c:v>
                </c:pt>
                <c:pt idx="2">
                  <c:v>0.65</c:v>
                </c:pt>
                <c:pt idx="3">
                  <c:v>0.61</c:v>
                </c:pt>
              </c:numCache>
            </c:numRef>
          </c:val>
          <c:smooth val="0"/>
          <c:extLst>
            <c:ext xmlns:c16="http://schemas.microsoft.com/office/drawing/2014/chart" uri="{C3380CC4-5D6E-409C-BE32-E72D297353CC}">
              <c16:uniqueId val="{00000001-6F09-4AFB-B613-3F92B7B735DB}"/>
            </c:ext>
          </c:extLst>
        </c:ser>
        <c:dLbls>
          <c:showLegendKey val="0"/>
          <c:showVal val="0"/>
          <c:showCatName val="0"/>
          <c:showSerName val="0"/>
          <c:showPercent val="0"/>
          <c:showBubbleSize val="0"/>
        </c:dLbls>
        <c:marker val="1"/>
        <c:smooth val="0"/>
        <c:axId val="371635968"/>
        <c:axId val="1"/>
      </c:lineChart>
      <c:catAx>
        <c:axId val="371635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in val="0.60000000000000009"/>
        </c:scaling>
        <c:delete val="1"/>
        <c:axPos val="l"/>
        <c:numFmt formatCode="0%" sourceLinked="1"/>
        <c:majorTickMark val="out"/>
        <c:minorTickMark val="none"/>
        <c:tickLblPos val="nextTo"/>
        <c:crossAx val="371635968"/>
        <c:crosses val="autoZero"/>
        <c:crossBetween val="midCat"/>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0.18667</cdr:x>
      <cdr:y>0.89861</cdr:y>
    </cdr:from>
    <cdr:to>
      <cdr:x>0.36667</cdr:x>
      <cdr:y>0.98194</cdr:y>
    </cdr:to>
    <cdr:sp macro="" textlink="">
      <cdr:nvSpPr>
        <cdr:cNvPr id="2" name="pole tekstowe 1"/>
        <cdr:cNvSpPr txBox="1"/>
      </cdr:nvSpPr>
      <cdr:spPr>
        <a:xfrm xmlns:a="http://schemas.openxmlformats.org/drawingml/2006/main">
          <a:off x="853440" y="2465070"/>
          <a:ext cx="822960" cy="228600"/>
        </a:xfrm>
        <a:prstGeom xmlns:a="http://schemas.openxmlformats.org/drawingml/2006/main" prst="rect">
          <a:avLst/>
        </a:prstGeom>
      </cdr:spPr>
      <cdr:txBody>
        <a:bodyPr xmlns:a="http://schemas.openxmlformats.org/drawingml/2006/main" vertOverflow="clip" wrap="square" rtlCol="0" anchor="t"/>
        <a:lstStyle xmlns:a="http://schemas.openxmlformats.org/drawingml/2006/main"/>
        <a:p xmlns:a="http://schemas.openxmlformats.org/drawingml/2006/main">
          <a:pPr algn="ctr"/>
          <a:r>
            <a:rPr lang="pl-PL" sz="900" b="1"/>
            <a:t>ogółem</a:t>
          </a:r>
        </a:p>
      </cdr:txBody>
    </cdr:sp>
  </cdr:relSizeAnchor>
  <cdr:relSizeAnchor xmlns:cdr="http://schemas.openxmlformats.org/drawingml/2006/chartDrawing">
    <cdr:from>
      <cdr:x>0.48333</cdr:x>
      <cdr:y>0.89907</cdr:y>
    </cdr:from>
    <cdr:to>
      <cdr:x>0.92</cdr:x>
      <cdr:y>0.97639</cdr:y>
    </cdr:to>
    <cdr:sp macro="" textlink="">
      <cdr:nvSpPr>
        <cdr:cNvPr id="3" name="pole tekstowe 1"/>
        <cdr:cNvSpPr txBox="1"/>
      </cdr:nvSpPr>
      <cdr:spPr>
        <a:xfrm xmlns:a="http://schemas.openxmlformats.org/drawingml/2006/main">
          <a:off x="2209800" y="2466340"/>
          <a:ext cx="1996440" cy="212090"/>
        </a:xfrm>
        <a:prstGeom xmlns:a="http://schemas.openxmlformats.org/drawingml/2006/main" prst="rect">
          <a:avLst/>
        </a:prstGeom>
      </cdr:spPr>
      <cdr:txBody>
        <a:bodyPr xmlns:a="http://schemas.openxmlformats.org/drawingml/2006/main" wrap="square" rtlCol="0" anchor="t"/>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900" b="1"/>
            <a:t>2022,</a:t>
          </a:r>
          <a:r>
            <a:rPr lang="pl-PL" sz="900" b="1" baseline="0"/>
            <a:t> rodzaj zamówienia</a:t>
          </a:r>
          <a:endParaRPr lang="pl-PL" sz="900" b="1"/>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925565-9007-4EA0-B3C6-2094D4CC8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65112</Words>
  <Characters>390672</Characters>
  <Application>Microsoft Office Word</Application>
  <DocSecurity>4</DocSecurity>
  <Lines>3255</Lines>
  <Paragraphs>909</Paragraphs>
  <ScaleCrop>false</ScaleCrop>
  <HeadingPairs>
    <vt:vector size="2" baseType="variant">
      <vt:variant>
        <vt:lpstr>Tytuł</vt:lpstr>
      </vt:variant>
      <vt:variant>
        <vt:i4>1</vt:i4>
      </vt:variant>
    </vt:vector>
  </HeadingPairs>
  <TitlesOfParts>
    <vt:vector size="1" baseType="lpstr">
      <vt:lpstr/>
    </vt:vector>
  </TitlesOfParts>
  <Company>Microsof</Company>
  <LinksUpToDate>false</LinksUpToDate>
  <CharactersWithSpaces>454875</CharactersWithSpaces>
  <SharedDoc>false</SharedDoc>
  <HLinks>
    <vt:vector size="456" baseType="variant">
      <vt:variant>
        <vt:i4>6357041</vt:i4>
      </vt:variant>
      <vt:variant>
        <vt:i4>417</vt:i4>
      </vt:variant>
      <vt:variant>
        <vt:i4>0</vt:i4>
      </vt:variant>
      <vt:variant>
        <vt:i4>5</vt:i4>
      </vt:variant>
      <vt:variant>
        <vt:lpwstr>http://www.szkoleniazmowy.uokik.gov.pl/</vt:lpwstr>
      </vt:variant>
      <vt:variant>
        <vt:lpwstr/>
      </vt:variant>
      <vt:variant>
        <vt:i4>6291497</vt:i4>
      </vt:variant>
      <vt:variant>
        <vt:i4>414</vt:i4>
      </vt:variant>
      <vt:variant>
        <vt:i4>0</vt:i4>
      </vt:variant>
      <vt:variant>
        <vt:i4>5</vt:i4>
      </vt:variant>
      <vt:variant>
        <vt:lpwstr>http://www.uzp.gov.pl/</vt:lpwstr>
      </vt:variant>
      <vt:variant>
        <vt:lpwstr/>
      </vt:variant>
      <vt:variant>
        <vt:i4>6160389</vt:i4>
      </vt:variant>
      <vt:variant>
        <vt:i4>411</vt:i4>
      </vt:variant>
      <vt:variant>
        <vt:i4>0</vt:i4>
      </vt:variant>
      <vt:variant>
        <vt:i4>5</vt:i4>
      </vt:variant>
      <vt:variant>
        <vt:lpwstr>https://bpp.worldbank.org/en/reports</vt:lpwstr>
      </vt:variant>
      <vt:variant>
        <vt:lpwstr/>
      </vt:variant>
      <vt:variant>
        <vt:i4>6815785</vt:i4>
      </vt:variant>
      <vt:variant>
        <vt:i4>408</vt:i4>
      </vt:variant>
      <vt:variant>
        <vt:i4>0</vt:i4>
      </vt:variant>
      <vt:variant>
        <vt:i4>5</vt:i4>
      </vt:variant>
      <vt:variant>
        <vt:lpwstr>https://www.doingbusiness.org/en/reports/global-reports/doing-business-2020</vt:lpwstr>
      </vt:variant>
      <vt:variant>
        <vt:lpwstr/>
      </vt:variant>
      <vt:variant>
        <vt:i4>983116</vt:i4>
      </vt:variant>
      <vt:variant>
        <vt:i4>405</vt:i4>
      </vt:variant>
      <vt:variant>
        <vt:i4>0</vt:i4>
      </vt:variant>
      <vt:variant>
        <vt:i4>5</vt:i4>
      </vt:variant>
      <vt:variant>
        <vt:lpwstr>https://www.uzp.gov.pl/baza-wiedzy/zrownowazone-zamowienia-publiczne/zielone-zamowienia/przydatne-informacje/rachunek-kosztow-cyklu-zycia</vt:lpwstr>
      </vt:variant>
      <vt:variant>
        <vt:lpwstr/>
      </vt:variant>
      <vt:variant>
        <vt:i4>983116</vt:i4>
      </vt:variant>
      <vt:variant>
        <vt:i4>402</vt:i4>
      </vt:variant>
      <vt:variant>
        <vt:i4>0</vt:i4>
      </vt:variant>
      <vt:variant>
        <vt:i4>5</vt:i4>
      </vt:variant>
      <vt:variant>
        <vt:lpwstr>https://www.uzp.gov.pl/baza-wiedzy/zrownowazone-zamowienia-publiczne/zielone-zamowienia/przydatne-informacje/rachunek-kosztow-cyklu-zycia</vt:lpwstr>
      </vt:variant>
      <vt:variant>
        <vt:lpwstr/>
      </vt:variant>
      <vt:variant>
        <vt:i4>196627</vt:i4>
      </vt:variant>
      <vt:variant>
        <vt:i4>399</vt:i4>
      </vt:variant>
      <vt:variant>
        <vt:i4>0</vt:i4>
      </vt:variant>
      <vt:variant>
        <vt:i4>5</vt:i4>
      </vt:variant>
      <vt:variant>
        <vt:lpwstr>http://www.ekatalogi.uzp.gov.pl/</vt:lpwstr>
      </vt:variant>
      <vt:variant>
        <vt:lpwstr/>
      </vt:variant>
      <vt:variant>
        <vt:i4>2687095</vt:i4>
      </vt:variant>
      <vt:variant>
        <vt:i4>396</vt:i4>
      </vt:variant>
      <vt:variant>
        <vt:i4>0</vt:i4>
      </vt:variant>
      <vt:variant>
        <vt:i4>5</vt:i4>
      </vt:variant>
      <vt:variant>
        <vt:lpwstr>https://aukcje.uzp.gov.pl/</vt:lpwstr>
      </vt:variant>
      <vt:variant>
        <vt:lpwstr/>
      </vt:variant>
      <vt:variant>
        <vt:i4>6094937</vt:i4>
      </vt:variant>
      <vt:variant>
        <vt:i4>393</vt:i4>
      </vt:variant>
      <vt:variant>
        <vt:i4>0</vt:i4>
      </vt:variant>
      <vt:variant>
        <vt:i4>5</vt:i4>
      </vt:variant>
      <vt:variant>
        <vt:lpwstr>https://licytacje.uzp.gov.pl/</vt:lpwstr>
      </vt:variant>
      <vt:variant>
        <vt:lpwstr/>
      </vt:variant>
      <vt:variant>
        <vt:i4>6684683</vt:i4>
      </vt:variant>
      <vt:variant>
        <vt:i4>390</vt:i4>
      </vt:variant>
      <vt:variant>
        <vt:i4>0</vt:i4>
      </vt:variant>
      <vt:variant>
        <vt:i4>5</vt:i4>
      </vt:variant>
      <vt:variant>
        <vt:lpwstr>http://websrv.bzp.uzp.gov.pl/BZP_PublicWebService.asmx</vt:lpwstr>
      </vt:variant>
      <vt:variant>
        <vt:lpwstr/>
      </vt:variant>
      <vt:variant>
        <vt:i4>262165</vt:i4>
      </vt:variant>
      <vt:variant>
        <vt:i4>387</vt:i4>
      </vt:variant>
      <vt:variant>
        <vt:i4>0</vt:i4>
      </vt:variant>
      <vt:variant>
        <vt:i4>5</vt:i4>
      </vt:variant>
      <vt:variant>
        <vt:lpwstr>https://www.uzp.gov.pl/baza-wiedzy/dobre-praktyki/forum-dobrych-praktyk2</vt:lpwstr>
      </vt:variant>
      <vt:variant>
        <vt:lpwstr/>
      </vt:variant>
      <vt:variant>
        <vt:i4>2752623</vt:i4>
      </vt:variant>
      <vt:variant>
        <vt:i4>384</vt:i4>
      </vt:variant>
      <vt:variant>
        <vt:i4>0</vt:i4>
      </vt:variant>
      <vt:variant>
        <vt:i4>5</vt:i4>
      </vt:variant>
      <vt:variant>
        <vt:lpwstr>https://www.uzp.gov.pl/baza-wiedzy/dobre-praktyki/forum-praktyk-branzowych</vt:lpwstr>
      </vt:variant>
      <vt:variant>
        <vt:lpwstr/>
      </vt:variant>
      <vt:variant>
        <vt:i4>6619187</vt:i4>
      </vt:variant>
      <vt:variant>
        <vt:i4>381</vt:i4>
      </vt:variant>
      <vt:variant>
        <vt:i4>0</vt:i4>
      </vt:variant>
      <vt:variant>
        <vt:i4>5</vt:i4>
      </vt:variant>
      <vt:variant>
        <vt:lpwstr>https://e-gpa.wto.org/</vt:lpwstr>
      </vt:variant>
      <vt:variant>
        <vt:lpwstr/>
      </vt:variant>
      <vt:variant>
        <vt:i4>4587585</vt:i4>
      </vt:variant>
      <vt:variant>
        <vt:i4>369</vt:i4>
      </vt:variant>
      <vt:variant>
        <vt:i4>0</vt:i4>
      </vt:variant>
      <vt:variant>
        <vt:i4>5</vt:i4>
      </vt:variant>
      <vt:variant>
        <vt:lpwstr>https://efaktura.gov.pl/</vt:lpwstr>
      </vt:variant>
      <vt:variant>
        <vt:lpwstr/>
      </vt:variant>
      <vt:variant>
        <vt:i4>4587585</vt:i4>
      </vt:variant>
      <vt:variant>
        <vt:i4>366</vt:i4>
      </vt:variant>
      <vt:variant>
        <vt:i4>0</vt:i4>
      </vt:variant>
      <vt:variant>
        <vt:i4>5</vt:i4>
      </vt:variant>
      <vt:variant>
        <vt:lpwstr>https://efaktura.gov.pl/</vt:lpwstr>
      </vt:variant>
      <vt:variant>
        <vt:lpwstr/>
      </vt:variant>
      <vt:variant>
        <vt:i4>7012411</vt:i4>
      </vt:variant>
      <vt:variant>
        <vt:i4>363</vt:i4>
      </vt:variant>
      <vt:variant>
        <vt:i4>0</vt:i4>
      </vt:variant>
      <vt:variant>
        <vt:i4>5</vt:i4>
      </vt:variant>
      <vt:variant>
        <vt:lpwstr>https://sip.legalis.pl/document-view.seam?documentId=mfrxilrtg4yteobqgqztg</vt:lpwstr>
      </vt:variant>
      <vt:variant>
        <vt:lpwstr/>
      </vt:variant>
      <vt:variant>
        <vt:i4>1376309</vt:i4>
      </vt:variant>
      <vt:variant>
        <vt:i4>356</vt:i4>
      </vt:variant>
      <vt:variant>
        <vt:i4>0</vt:i4>
      </vt:variant>
      <vt:variant>
        <vt:i4>5</vt:i4>
      </vt:variant>
      <vt:variant>
        <vt:lpwstr/>
      </vt:variant>
      <vt:variant>
        <vt:lpwstr>_Toc42446034</vt:lpwstr>
      </vt:variant>
      <vt:variant>
        <vt:i4>1179701</vt:i4>
      </vt:variant>
      <vt:variant>
        <vt:i4>350</vt:i4>
      </vt:variant>
      <vt:variant>
        <vt:i4>0</vt:i4>
      </vt:variant>
      <vt:variant>
        <vt:i4>5</vt:i4>
      </vt:variant>
      <vt:variant>
        <vt:lpwstr/>
      </vt:variant>
      <vt:variant>
        <vt:lpwstr>_Toc42446033</vt:lpwstr>
      </vt:variant>
      <vt:variant>
        <vt:i4>1245237</vt:i4>
      </vt:variant>
      <vt:variant>
        <vt:i4>344</vt:i4>
      </vt:variant>
      <vt:variant>
        <vt:i4>0</vt:i4>
      </vt:variant>
      <vt:variant>
        <vt:i4>5</vt:i4>
      </vt:variant>
      <vt:variant>
        <vt:lpwstr/>
      </vt:variant>
      <vt:variant>
        <vt:lpwstr>_Toc42446032</vt:lpwstr>
      </vt:variant>
      <vt:variant>
        <vt:i4>1048629</vt:i4>
      </vt:variant>
      <vt:variant>
        <vt:i4>338</vt:i4>
      </vt:variant>
      <vt:variant>
        <vt:i4>0</vt:i4>
      </vt:variant>
      <vt:variant>
        <vt:i4>5</vt:i4>
      </vt:variant>
      <vt:variant>
        <vt:lpwstr/>
      </vt:variant>
      <vt:variant>
        <vt:lpwstr>_Toc42446031</vt:lpwstr>
      </vt:variant>
      <vt:variant>
        <vt:i4>1114165</vt:i4>
      </vt:variant>
      <vt:variant>
        <vt:i4>332</vt:i4>
      </vt:variant>
      <vt:variant>
        <vt:i4>0</vt:i4>
      </vt:variant>
      <vt:variant>
        <vt:i4>5</vt:i4>
      </vt:variant>
      <vt:variant>
        <vt:lpwstr/>
      </vt:variant>
      <vt:variant>
        <vt:lpwstr>_Toc42446030</vt:lpwstr>
      </vt:variant>
      <vt:variant>
        <vt:i4>1572916</vt:i4>
      </vt:variant>
      <vt:variant>
        <vt:i4>326</vt:i4>
      </vt:variant>
      <vt:variant>
        <vt:i4>0</vt:i4>
      </vt:variant>
      <vt:variant>
        <vt:i4>5</vt:i4>
      </vt:variant>
      <vt:variant>
        <vt:lpwstr/>
      </vt:variant>
      <vt:variant>
        <vt:lpwstr>_Toc42446029</vt:lpwstr>
      </vt:variant>
      <vt:variant>
        <vt:i4>1638452</vt:i4>
      </vt:variant>
      <vt:variant>
        <vt:i4>320</vt:i4>
      </vt:variant>
      <vt:variant>
        <vt:i4>0</vt:i4>
      </vt:variant>
      <vt:variant>
        <vt:i4>5</vt:i4>
      </vt:variant>
      <vt:variant>
        <vt:lpwstr/>
      </vt:variant>
      <vt:variant>
        <vt:lpwstr>_Toc42446028</vt:lpwstr>
      </vt:variant>
      <vt:variant>
        <vt:i4>1441844</vt:i4>
      </vt:variant>
      <vt:variant>
        <vt:i4>314</vt:i4>
      </vt:variant>
      <vt:variant>
        <vt:i4>0</vt:i4>
      </vt:variant>
      <vt:variant>
        <vt:i4>5</vt:i4>
      </vt:variant>
      <vt:variant>
        <vt:lpwstr/>
      </vt:variant>
      <vt:variant>
        <vt:lpwstr>_Toc42446027</vt:lpwstr>
      </vt:variant>
      <vt:variant>
        <vt:i4>1507380</vt:i4>
      </vt:variant>
      <vt:variant>
        <vt:i4>308</vt:i4>
      </vt:variant>
      <vt:variant>
        <vt:i4>0</vt:i4>
      </vt:variant>
      <vt:variant>
        <vt:i4>5</vt:i4>
      </vt:variant>
      <vt:variant>
        <vt:lpwstr/>
      </vt:variant>
      <vt:variant>
        <vt:lpwstr>_Toc42446026</vt:lpwstr>
      </vt:variant>
      <vt:variant>
        <vt:i4>1310772</vt:i4>
      </vt:variant>
      <vt:variant>
        <vt:i4>302</vt:i4>
      </vt:variant>
      <vt:variant>
        <vt:i4>0</vt:i4>
      </vt:variant>
      <vt:variant>
        <vt:i4>5</vt:i4>
      </vt:variant>
      <vt:variant>
        <vt:lpwstr/>
      </vt:variant>
      <vt:variant>
        <vt:lpwstr>_Toc42446025</vt:lpwstr>
      </vt:variant>
      <vt:variant>
        <vt:i4>1376308</vt:i4>
      </vt:variant>
      <vt:variant>
        <vt:i4>296</vt:i4>
      </vt:variant>
      <vt:variant>
        <vt:i4>0</vt:i4>
      </vt:variant>
      <vt:variant>
        <vt:i4>5</vt:i4>
      </vt:variant>
      <vt:variant>
        <vt:lpwstr/>
      </vt:variant>
      <vt:variant>
        <vt:lpwstr>_Toc42446024</vt:lpwstr>
      </vt:variant>
      <vt:variant>
        <vt:i4>1179700</vt:i4>
      </vt:variant>
      <vt:variant>
        <vt:i4>290</vt:i4>
      </vt:variant>
      <vt:variant>
        <vt:i4>0</vt:i4>
      </vt:variant>
      <vt:variant>
        <vt:i4>5</vt:i4>
      </vt:variant>
      <vt:variant>
        <vt:lpwstr/>
      </vt:variant>
      <vt:variant>
        <vt:lpwstr>_Toc42446023</vt:lpwstr>
      </vt:variant>
      <vt:variant>
        <vt:i4>1245236</vt:i4>
      </vt:variant>
      <vt:variant>
        <vt:i4>284</vt:i4>
      </vt:variant>
      <vt:variant>
        <vt:i4>0</vt:i4>
      </vt:variant>
      <vt:variant>
        <vt:i4>5</vt:i4>
      </vt:variant>
      <vt:variant>
        <vt:lpwstr/>
      </vt:variant>
      <vt:variant>
        <vt:lpwstr>_Toc42446022</vt:lpwstr>
      </vt:variant>
      <vt:variant>
        <vt:i4>1048628</vt:i4>
      </vt:variant>
      <vt:variant>
        <vt:i4>278</vt:i4>
      </vt:variant>
      <vt:variant>
        <vt:i4>0</vt:i4>
      </vt:variant>
      <vt:variant>
        <vt:i4>5</vt:i4>
      </vt:variant>
      <vt:variant>
        <vt:lpwstr/>
      </vt:variant>
      <vt:variant>
        <vt:lpwstr>_Toc42446021</vt:lpwstr>
      </vt:variant>
      <vt:variant>
        <vt:i4>1114164</vt:i4>
      </vt:variant>
      <vt:variant>
        <vt:i4>272</vt:i4>
      </vt:variant>
      <vt:variant>
        <vt:i4>0</vt:i4>
      </vt:variant>
      <vt:variant>
        <vt:i4>5</vt:i4>
      </vt:variant>
      <vt:variant>
        <vt:lpwstr/>
      </vt:variant>
      <vt:variant>
        <vt:lpwstr>_Toc42446020</vt:lpwstr>
      </vt:variant>
      <vt:variant>
        <vt:i4>1572919</vt:i4>
      </vt:variant>
      <vt:variant>
        <vt:i4>266</vt:i4>
      </vt:variant>
      <vt:variant>
        <vt:i4>0</vt:i4>
      </vt:variant>
      <vt:variant>
        <vt:i4>5</vt:i4>
      </vt:variant>
      <vt:variant>
        <vt:lpwstr/>
      </vt:variant>
      <vt:variant>
        <vt:lpwstr>_Toc42446019</vt:lpwstr>
      </vt:variant>
      <vt:variant>
        <vt:i4>1638455</vt:i4>
      </vt:variant>
      <vt:variant>
        <vt:i4>260</vt:i4>
      </vt:variant>
      <vt:variant>
        <vt:i4>0</vt:i4>
      </vt:variant>
      <vt:variant>
        <vt:i4>5</vt:i4>
      </vt:variant>
      <vt:variant>
        <vt:lpwstr/>
      </vt:variant>
      <vt:variant>
        <vt:lpwstr>_Toc42446018</vt:lpwstr>
      </vt:variant>
      <vt:variant>
        <vt:i4>1441847</vt:i4>
      </vt:variant>
      <vt:variant>
        <vt:i4>254</vt:i4>
      </vt:variant>
      <vt:variant>
        <vt:i4>0</vt:i4>
      </vt:variant>
      <vt:variant>
        <vt:i4>5</vt:i4>
      </vt:variant>
      <vt:variant>
        <vt:lpwstr/>
      </vt:variant>
      <vt:variant>
        <vt:lpwstr>_Toc42446017</vt:lpwstr>
      </vt:variant>
      <vt:variant>
        <vt:i4>1507383</vt:i4>
      </vt:variant>
      <vt:variant>
        <vt:i4>248</vt:i4>
      </vt:variant>
      <vt:variant>
        <vt:i4>0</vt:i4>
      </vt:variant>
      <vt:variant>
        <vt:i4>5</vt:i4>
      </vt:variant>
      <vt:variant>
        <vt:lpwstr/>
      </vt:variant>
      <vt:variant>
        <vt:lpwstr>_Toc42446016</vt:lpwstr>
      </vt:variant>
      <vt:variant>
        <vt:i4>1310775</vt:i4>
      </vt:variant>
      <vt:variant>
        <vt:i4>242</vt:i4>
      </vt:variant>
      <vt:variant>
        <vt:i4>0</vt:i4>
      </vt:variant>
      <vt:variant>
        <vt:i4>5</vt:i4>
      </vt:variant>
      <vt:variant>
        <vt:lpwstr/>
      </vt:variant>
      <vt:variant>
        <vt:lpwstr>_Toc42446015</vt:lpwstr>
      </vt:variant>
      <vt:variant>
        <vt:i4>1376311</vt:i4>
      </vt:variant>
      <vt:variant>
        <vt:i4>236</vt:i4>
      </vt:variant>
      <vt:variant>
        <vt:i4>0</vt:i4>
      </vt:variant>
      <vt:variant>
        <vt:i4>5</vt:i4>
      </vt:variant>
      <vt:variant>
        <vt:lpwstr/>
      </vt:variant>
      <vt:variant>
        <vt:lpwstr>_Toc42446014</vt:lpwstr>
      </vt:variant>
      <vt:variant>
        <vt:i4>1179703</vt:i4>
      </vt:variant>
      <vt:variant>
        <vt:i4>230</vt:i4>
      </vt:variant>
      <vt:variant>
        <vt:i4>0</vt:i4>
      </vt:variant>
      <vt:variant>
        <vt:i4>5</vt:i4>
      </vt:variant>
      <vt:variant>
        <vt:lpwstr/>
      </vt:variant>
      <vt:variant>
        <vt:lpwstr>_Toc42446013</vt:lpwstr>
      </vt:variant>
      <vt:variant>
        <vt:i4>1245239</vt:i4>
      </vt:variant>
      <vt:variant>
        <vt:i4>224</vt:i4>
      </vt:variant>
      <vt:variant>
        <vt:i4>0</vt:i4>
      </vt:variant>
      <vt:variant>
        <vt:i4>5</vt:i4>
      </vt:variant>
      <vt:variant>
        <vt:lpwstr/>
      </vt:variant>
      <vt:variant>
        <vt:lpwstr>_Toc42446012</vt:lpwstr>
      </vt:variant>
      <vt:variant>
        <vt:i4>1048631</vt:i4>
      </vt:variant>
      <vt:variant>
        <vt:i4>218</vt:i4>
      </vt:variant>
      <vt:variant>
        <vt:i4>0</vt:i4>
      </vt:variant>
      <vt:variant>
        <vt:i4>5</vt:i4>
      </vt:variant>
      <vt:variant>
        <vt:lpwstr/>
      </vt:variant>
      <vt:variant>
        <vt:lpwstr>_Toc42446011</vt:lpwstr>
      </vt:variant>
      <vt:variant>
        <vt:i4>1114167</vt:i4>
      </vt:variant>
      <vt:variant>
        <vt:i4>212</vt:i4>
      </vt:variant>
      <vt:variant>
        <vt:i4>0</vt:i4>
      </vt:variant>
      <vt:variant>
        <vt:i4>5</vt:i4>
      </vt:variant>
      <vt:variant>
        <vt:lpwstr/>
      </vt:variant>
      <vt:variant>
        <vt:lpwstr>_Toc42446010</vt:lpwstr>
      </vt:variant>
      <vt:variant>
        <vt:i4>1572918</vt:i4>
      </vt:variant>
      <vt:variant>
        <vt:i4>206</vt:i4>
      </vt:variant>
      <vt:variant>
        <vt:i4>0</vt:i4>
      </vt:variant>
      <vt:variant>
        <vt:i4>5</vt:i4>
      </vt:variant>
      <vt:variant>
        <vt:lpwstr/>
      </vt:variant>
      <vt:variant>
        <vt:lpwstr>_Toc42446009</vt:lpwstr>
      </vt:variant>
      <vt:variant>
        <vt:i4>1638454</vt:i4>
      </vt:variant>
      <vt:variant>
        <vt:i4>200</vt:i4>
      </vt:variant>
      <vt:variant>
        <vt:i4>0</vt:i4>
      </vt:variant>
      <vt:variant>
        <vt:i4>5</vt:i4>
      </vt:variant>
      <vt:variant>
        <vt:lpwstr/>
      </vt:variant>
      <vt:variant>
        <vt:lpwstr>_Toc42446008</vt:lpwstr>
      </vt:variant>
      <vt:variant>
        <vt:i4>1441846</vt:i4>
      </vt:variant>
      <vt:variant>
        <vt:i4>194</vt:i4>
      </vt:variant>
      <vt:variant>
        <vt:i4>0</vt:i4>
      </vt:variant>
      <vt:variant>
        <vt:i4>5</vt:i4>
      </vt:variant>
      <vt:variant>
        <vt:lpwstr/>
      </vt:variant>
      <vt:variant>
        <vt:lpwstr>_Toc42446007</vt:lpwstr>
      </vt:variant>
      <vt:variant>
        <vt:i4>1507382</vt:i4>
      </vt:variant>
      <vt:variant>
        <vt:i4>188</vt:i4>
      </vt:variant>
      <vt:variant>
        <vt:i4>0</vt:i4>
      </vt:variant>
      <vt:variant>
        <vt:i4>5</vt:i4>
      </vt:variant>
      <vt:variant>
        <vt:lpwstr/>
      </vt:variant>
      <vt:variant>
        <vt:lpwstr>_Toc42446006</vt:lpwstr>
      </vt:variant>
      <vt:variant>
        <vt:i4>1310774</vt:i4>
      </vt:variant>
      <vt:variant>
        <vt:i4>182</vt:i4>
      </vt:variant>
      <vt:variant>
        <vt:i4>0</vt:i4>
      </vt:variant>
      <vt:variant>
        <vt:i4>5</vt:i4>
      </vt:variant>
      <vt:variant>
        <vt:lpwstr/>
      </vt:variant>
      <vt:variant>
        <vt:lpwstr>_Toc42446005</vt:lpwstr>
      </vt:variant>
      <vt:variant>
        <vt:i4>1376310</vt:i4>
      </vt:variant>
      <vt:variant>
        <vt:i4>176</vt:i4>
      </vt:variant>
      <vt:variant>
        <vt:i4>0</vt:i4>
      </vt:variant>
      <vt:variant>
        <vt:i4>5</vt:i4>
      </vt:variant>
      <vt:variant>
        <vt:lpwstr/>
      </vt:variant>
      <vt:variant>
        <vt:lpwstr>_Toc42446004</vt:lpwstr>
      </vt:variant>
      <vt:variant>
        <vt:i4>1179702</vt:i4>
      </vt:variant>
      <vt:variant>
        <vt:i4>170</vt:i4>
      </vt:variant>
      <vt:variant>
        <vt:i4>0</vt:i4>
      </vt:variant>
      <vt:variant>
        <vt:i4>5</vt:i4>
      </vt:variant>
      <vt:variant>
        <vt:lpwstr/>
      </vt:variant>
      <vt:variant>
        <vt:lpwstr>_Toc42446003</vt:lpwstr>
      </vt:variant>
      <vt:variant>
        <vt:i4>1245238</vt:i4>
      </vt:variant>
      <vt:variant>
        <vt:i4>164</vt:i4>
      </vt:variant>
      <vt:variant>
        <vt:i4>0</vt:i4>
      </vt:variant>
      <vt:variant>
        <vt:i4>5</vt:i4>
      </vt:variant>
      <vt:variant>
        <vt:lpwstr/>
      </vt:variant>
      <vt:variant>
        <vt:lpwstr>_Toc42446002</vt:lpwstr>
      </vt:variant>
      <vt:variant>
        <vt:i4>1048630</vt:i4>
      </vt:variant>
      <vt:variant>
        <vt:i4>158</vt:i4>
      </vt:variant>
      <vt:variant>
        <vt:i4>0</vt:i4>
      </vt:variant>
      <vt:variant>
        <vt:i4>5</vt:i4>
      </vt:variant>
      <vt:variant>
        <vt:lpwstr/>
      </vt:variant>
      <vt:variant>
        <vt:lpwstr>_Toc42446001</vt:lpwstr>
      </vt:variant>
      <vt:variant>
        <vt:i4>1114166</vt:i4>
      </vt:variant>
      <vt:variant>
        <vt:i4>152</vt:i4>
      </vt:variant>
      <vt:variant>
        <vt:i4>0</vt:i4>
      </vt:variant>
      <vt:variant>
        <vt:i4>5</vt:i4>
      </vt:variant>
      <vt:variant>
        <vt:lpwstr/>
      </vt:variant>
      <vt:variant>
        <vt:lpwstr>_Toc42446000</vt:lpwstr>
      </vt:variant>
      <vt:variant>
        <vt:i4>1114172</vt:i4>
      </vt:variant>
      <vt:variant>
        <vt:i4>146</vt:i4>
      </vt:variant>
      <vt:variant>
        <vt:i4>0</vt:i4>
      </vt:variant>
      <vt:variant>
        <vt:i4>5</vt:i4>
      </vt:variant>
      <vt:variant>
        <vt:lpwstr/>
      </vt:variant>
      <vt:variant>
        <vt:lpwstr>_Toc42445999</vt:lpwstr>
      </vt:variant>
      <vt:variant>
        <vt:i4>1048636</vt:i4>
      </vt:variant>
      <vt:variant>
        <vt:i4>140</vt:i4>
      </vt:variant>
      <vt:variant>
        <vt:i4>0</vt:i4>
      </vt:variant>
      <vt:variant>
        <vt:i4>5</vt:i4>
      </vt:variant>
      <vt:variant>
        <vt:lpwstr/>
      </vt:variant>
      <vt:variant>
        <vt:lpwstr>_Toc42445998</vt:lpwstr>
      </vt:variant>
      <vt:variant>
        <vt:i4>2031676</vt:i4>
      </vt:variant>
      <vt:variant>
        <vt:i4>134</vt:i4>
      </vt:variant>
      <vt:variant>
        <vt:i4>0</vt:i4>
      </vt:variant>
      <vt:variant>
        <vt:i4>5</vt:i4>
      </vt:variant>
      <vt:variant>
        <vt:lpwstr/>
      </vt:variant>
      <vt:variant>
        <vt:lpwstr>_Toc42445997</vt:lpwstr>
      </vt:variant>
      <vt:variant>
        <vt:i4>1966140</vt:i4>
      </vt:variant>
      <vt:variant>
        <vt:i4>128</vt:i4>
      </vt:variant>
      <vt:variant>
        <vt:i4>0</vt:i4>
      </vt:variant>
      <vt:variant>
        <vt:i4>5</vt:i4>
      </vt:variant>
      <vt:variant>
        <vt:lpwstr/>
      </vt:variant>
      <vt:variant>
        <vt:lpwstr>_Toc42445996</vt:lpwstr>
      </vt:variant>
      <vt:variant>
        <vt:i4>1900604</vt:i4>
      </vt:variant>
      <vt:variant>
        <vt:i4>122</vt:i4>
      </vt:variant>
      <vt:variant>
        <vt:i4>0</vt:i4>
      </vt:variant>
      <vt:variant>
        <vt:i4>5</vt:i4>
      </vt:variant>
      <vt:variant>
        <vt:lpwstr/>
      </vt:variant>
      <vt:variant>
        <vt:lpwstr>_Toc42445995</vt:lpwstr>
      </vt:variant>
      <vt:variant>
        <vt:i4>1835068</vt:i4>
      </vt:variant>
      <vt:variant>
        <vt:i4>116</vt:i4>
      </vt:variant>
      <vt:variant>
        <vt:i4>0</vt:i4>
      </vt:variant>
      <vt:variant>
        <vt:i4>5</vt:i4>
      </vt:variant>
      <vt:variant>
        <vt:lpwstr/>
      </vt:variant>
      <vt:variant>
        <vt:lpwstr>_Toc42445994</vt:lpwstr>
      </vt:variant>
      <vt:variant>
        <vt:i4>1769532</vt:i4>
      </vt:variant>
      <vt:variant>
        <vt:i4>110</vt:i4>
      </vt:variant>
      <vt:variant>
        <vt:i4>0</vt:i4>
      </vt:variant>
      <vt:variant>
        <vt:i4>5</vt:i4>
      </vt:variant>
      <vt:variant>
        <vt:lpwstr/>
      </vt:variant>
      <vt:variant>
        <vt:lpwstr>_Toc42445993</vt:lpwstr>
      </vt:variant>
      <vt:variant>
        <vt:i4>1703996</vt:i4>
      </vt:variant>
      <vt:variant>
        <vt:i4>104</vt:i4>
      </vt:variant>
      <vt:variant>
        <vt:i4>0</vt:i4>
      </vt:variant>
      <vt:variant>
        <vt:i4>5</vt:i4>
      </vt:variant>
      <vt:variant>
        <vt:lpwstr/>
      </vt:variant>
      <vt:variant>
        <vt:lpwstr>_Toc42445992</vt:lpwstr>
      </vt:variant>
      <vt:variant>
        <vt:i4>1638460</vt:i4>
      </vt:variant>
      <vt:variant>
        <vt:i4>98</vt:i4>
      </vt:variant>
      <vt:variant>
        <vt:i4>0</vt:i4>
      </vt:variant>
      <vt:variant>
        <vt:i4>5</vt:i4>
      </vt:variant>
      <vt:variant>
        <vt:lpwstr/>
      </vt:variant>
      <vt:variant>
        <vt:lpwstr>_Toc42445991</vt:lpwstr>
      </vt:variant>
      <vt:variant>
        <vt:i4>1572924</vt:i4>
      </vt:variant>
      <vt:variant>
        <vt:i4>92</vt:i4>
      </vt:variant>
      <vt:variant>
        <vt:i4>0</vt:i4>
      </vt:variant>
      <vt:variant>
        <vt:i4>5</vt:i4>
      </vt:variant>
      <vt:variant>
        <vt:lpwstr/>
      </vt:variant>
      <vt:variant>
        <vt:lpwstr>_Toc42445990</vt:lpwstr>
      </vt:variant>
      <vt:variant>
        <vt:i4>1114173</vt:i4>
      </vt:variant>
      <vt:variant>
        <vt:i4>86</vt:i4>
      </vt:variant>
      <vt:variant>
        <vt:i4>0</vt:i4>
      </vt:variant>
      <vt:variant>
        <vt:i4>5</vt:i4>
      </vt:variant>
      <vt:variant>
        <vt:lpwstr/>
      </vt:variant>
      <vt:variant>
        <vt:lpwstr>_Toc42445989</vt:lpwstr>
      </vt:variant>
      <vt:variant>
        <vt:i4>1048637</vt:i4>
      </vt:variant>
      <vt:variant>
        <vt:i4>80</vt:i4>
      </vt:variant>
      <vt:variant>
        <vt:i4>0</vt:i4>
      </vt:variant>
      <vt:variant>
        <vt:i4>5</vt:i4>
      </vt:variant>
      <vt:variant>
        <vt:lpwstr/>
      </vt:variant>
      <vt:variant>
        <vt:lpwstr>_Toc42445988</vt:lpwstr>
      </vt:variant>
      <vt:variant>
        <vt:i4>2031677</vt:i4>
      </vt:variant>
      <vt:variant>
        <vt:i4>74</vt:i4>
      </vt:variant>
      <vt:variant>
        <vt:i4>0</vt:i4>
      </vt:variant>
      <vt:variant>
        <vt:i4>5</vt:i4>
      </vt:variant>
      <vt:variant>
        <vt:lpwstr/>
      </vt:variant>
      <vt:variant>
        <vt:lpwstr>_Toc42445987</vt:lpwstr>
      </vt:variant>
      <vt:variant>
        <vt:i4>1966141</vt:i4>
      </vt:variant>
      <vt:variant>
        <vt:i4>68</vt:i4>
      </vt:variant>
      <vt:variant>
        <vt:i4>0</vt:i4>
      </vt:variant>
      <vt:variant>
        <vt:i4>5</vt:i4>
      </vt:variant>
      <vt:variant>
        <vt:lpwstr/>
      </vt:variant>
      <vt:variant>
        <vt:lpwstr>_Toc42445986</vt:lpwstr>
      </vt:variant>
      <vt:variant>
        <vt:i4>1900605</vt:i4>
      </vt:variant>
      <vt:variant>
        <vt:i4>62</vt:i4>
      </vt:variant>
      <vt:variant>
        <vt:i4>0</vt:i4>
      </vt:variant>
      <vt:variant>
        <vt:i4>5</vt:i4>
      </vt:variant>
      <vt:variant>
        <vt:lpwstr/>
      </vt:variant>
      <vt:variant>
        <vt:lpwstr>_Toc42445985</vt:lpwstr>
      </vt:variant>
      <vt:variant>
        <vt:i4>1835069</vt:i4>
      </vt:variant>
      <vt:variant>
        <vt:i4>56</vt:i4>
      </vt:variant>
      <vt:variant>
        <vt:i4>0</vt:i4>
      </vt:variant>
      <vt:variant>
        <vt:i4>5</vt:i4>
      </vt:variant>
      <vt:variant>
        <vt:lpwstr/>
      </vt:variant>
      <vt:variant>
        <vt:lpwstr>_Toc42445984</vt:lpwstr>
      </vt:variant>
      <vt:variant>
        <vt:i4>1769533</vt:i4>
      </vt:variant>
      <vt:variant>
        <vt:i4>50</vt:i4>
      </vt:variant>
      <vt:variant>
        <vt:i4>0</vt:i4>
      </vt:variant>
      <vt:variant>
        <vt:i4>5</vt:i4>
      </vt:variant>
      <vt:variant>
        <vt:lpwstr/>
      </vt:variant>
      <vt:variant>
        <vt:lpwstr>_Toc42445983</vt:lpwstr>
      </vt:variant>
      <vt:variant>
        <vt:i4>1703997</vt:i4>
      </vt:variant>
      <vt:variant>
        <vt:i4>44</vt:i4>
      </vt:variant>
      <vt:variant>
        <vt:i4>0</vt:i4>
      </vt:variant>
      <vt:variant>
        <vt:i4>5</vt:i4>
      </vt:variant>
      <vt:variant>
        <vt:lpwstr/>
      </vt:variant>
      <vt:variant>
        <vt:lpwstr>_Toc42445982</vt:lpwstr>
      </vt:variant>
      <vt:variant>
        <vt:i4>1638461</vt:i4>
      </vt:variant>
      <vt:variant>
        <vt:i4>38</vt:i4>
      </vt:variant>
      <vt:variant>
        <vt:i4>0</vt:i4>
      </vt:variant>
      <vt:variant>
        <vt:i4>5</vt:i4>
      </vt:variant>
      <vt:variant>
        <vt:lpwstr/>
      </vt:variant>
      <vt:variant>
        <vt:lpwstr>_Toc42445981</vt:lpwstr>
      </vt:variant>
      <vt:variant>
        <vt:i4>1572925</vt:i4>
      </vt:variant>
      <vt:variant>
        <vt:i4>32</vt:i4>
      </vt:variant>
      <vt:variant>
        <vt:i4>0</vt:i4>
      </vt:variant>
      <vt:variant>
        <vt:i4>5</vt:i4>
      </vt:variant>
      <vt:variant>
        <vt:lpwstr/>
      </vt:variant>
      <vt:variant>
        <vt:lpwstr>_Toc42445980</vt:lpwstr>
      </vt:variant>
      <vt:variant>
        <vt:i4>1114162</vt:i4>
      </vt:variant>
      <vt:variant>
        <vt:i4>26</vt:i4>
      </vt:variant>
      <vt:variant>
        <vt:i4>0</vt:i4>
      </vt:variant>
      <vt:variant>
        <vt:i4>5</vt:i4>
      </vt:variant>
      <vt:variant>
        <vt:lpwstr/>
      </vt:variant>
      <vt:variant>
        <vt:lpwstr>_Toc42445979</vt:lpwstr>
      </vt:variant>
      <vt:variant>
        <vt:i4>1048626</vt:i4>
      </vt:variant>
      <vt:variant>
        <vt:i4>20</vt:i4>
      </vt:variant>
      <vt:variant>
        <vt:i4>0</vt:i4>
      </vt:variant>
      <vt:variant>
        <vt:i4>5</vt:i4>
      </vt:variant>
      <vt:variant>
        <vt:lpwstr/>
      </vt:variant>
      <vt:variant>
        <vt:lpwstr>_Toc42445978</vt:lpwstr>
      </vt:variant>
      <vt:variant>
        <vt:i4>2031666</vt:i4>
      </vt:variant>
      <vt:variant>
        <vt:i4>14</vt:i4>
      </vt:variant>
      <vt:variant>
        <vt:i4>0</vt:i4>
      </vt:variant>
      <vt:variant>
        <vt:i4>5</vt:i4>
      </vt:variant>
      <vt:variant>
        <vt:lpwstr/>
      </vt:variant>
      <vt:variant>
        <vt:lpwstr>_Toc42445977</vt:lpwstr>
      </vt:variant>
      <vt:variant>
        <vt:i4>1966130</vt:i4>
      </vt:variant>
      <vt:variant>
        <vt:i4>8</vt:i4>
      </vt:variant>
      <vt:variant>
        <vt:i4>0</vt:i4>
      </vt:variant>
      <vt:variant>
        <vt:i4>5</vt:i4>
      </vt:variant>
      <vt:variant>
        <vt:lpwstr/>
      </vt:variant>
      <vt:variant>
        <vt:lpwstr>_Toc42445976</vt:lpwstr>
      </vt:variant>
      <vt:variant>
        <vt:i4>1900594</vt:i4>
      </vt:variant>
      <vt:variant>
        <vt:i4>2</vt:i4>
      </vt:variant>
      <vt:variant>
        <vt:i4>0</vt:i4>
      </vt:variant>
      <vt:variant>
        <vt:i4>5</vt:i4>
      </vt:variant>
      <vt:variant>
        <vt:lpwstr/>
      </vt:variant>
      <vt:variant>
        <vt:lpwstr>_Toc42445975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Michalski Wojciech</dc:creator>
  <cp:keywords/>
  <cp:lastModifiedBy>Orzeł Joanna</cp:lastModifiedBy>
  <cp:revision>2</cp:revision>
  <cp:lastPrinted>2023-07-26T13:06:00Z</cp:lastPrinted>
  <dcterms:created xsi:type="dcterms:W3CDTF">2023-07-26T13:28:00Z</dcterms:created>
  <dcterms:modified xsi:type="dcterms:W3CDTF">2023-07-26T13:28:00Z</dcterms:modified>
</cp:coreProperties>
</file>