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2DEAF" w14:textId="77777777" w:rsidR="00C2627B" w:rsidRPr="00756DE6" w:rsidRDefault="00C2627B" w:rsidP="0010302D">
      <w:pPr>
        <w:tabs>
          <w:tab w:val="left" w:pos="370"/>
        </w:tabs>
        <w:spacing w:after="20" w:line="240" w:lineRule="auto"/>
        <w:ind w:left="403" w:right="23" w:hanging="380"/>
        <w:jc w:val="right"/>
        <w:rPr>
          <w:rFonts w:ascii="Lato" w:hAnsi="Lato"/>
          <w:b/>
          <w:bCs/>
        </w:rPr>
      </w:pPr>
      <w:r w:rsidRPr="00756DE6">
        <w:rPr>
          <w:rFonts w:ascii="Lato" w:hAnsi="Lato"/>
          <w:b/>
          <w:bCs/>
        </w:rPr>
        <w:t>Załącznik nr 2 do Zaproszenia</w:t>
      </w:r>
    </w:p>
    <w:p w14:paraId="73F5C28D" w14:textId="77777777" w:rsidR="00C2627B" w:rsidRPr="0010302D" w:rsidRDefault="00C2627B" w:rsidP="0010302D">
      <w:pPr>
        <w:tabs>
          <w:tab w:val="left" w:pos="370"/>
        </w:tabs>
        <w:spacing w:after="20" w:line="240" w:lineRule="auto"/>
        <w:ind w:left="403" w:right="23" w:hanging="380"/>
        <w:jc w:val="both"/>
      </w:pPr>
    </w:p>
    <w:p w14:paraId="36359967" w14:textId="77777777" w:rsidR="00C2627B" w:rsidRPr="0010302D" w:rsidRDefault="00C2627B" w:rsidP="0010302D">
      <w:pPr>
        <w:tabs>
          <w:tab w:val="left" w:pos="370"/>
        </w:tabs>
        <w:spacing w:after="20" w:line="240" w:lineRule="auto"/>
        <w:ind w:left="403" w:right="23" w:hanging="380"/>
        <w:jc w:val="both"/>
      </w:pPr>
    </w:p>
    <w:p w14:paraId="414AD9C3" w14:textId="77777777" w:rsidR="00C2627B" w:rsidRPr="0010302D" w:rsidRDefault="00C2627B" w:rsidP="0010302D">
      <w:pPr>
        <w:tabs>
          <w:tab w:val="left" w:pos="370"/>
        </w:tabs>
        <w:spacing w:after="20" w:line="240" w:lineRule="auto"/>
        <w:ind w:left="403" w:right="23" w:hanging="380"/>
        <w:jc w:val="center"/>
        <w:rPr>
          <w:rFonts w:ascii="Lato" w:hAnsi="Lato"/>
          <w:b/>
          <w:bCs/>
        </w:rPr>
      </w:pPr>
      <w:r w:rsidRPr="0010302D">
        <w:rPr>
          <w:rFonts w:ascii="Lato" w:hAnsi="Lato"/>
          <w:b/>
          <w:bCs/>
        </w:rPr>
        <w:t>INFORMACJE O BUDYNKU</w:t>
      </w:r>
    </w:p>
    <w:p w14:paraId="6F90E368" w14:textId="77777777" w:rsidR="00C2627B" w:rsidRPr="0010302D" w:rsidRDefault="00C2627B" w:rsidP="0010302D">
      <w:pPr>
        <w:tabs>
          <w:tab w:val="left" w:pos="370"/>
        </w:tabs>
        <w:spacing w:after="20" w:line="240" w:lineRule="auto"/>
        <w:ind w:left="403" w:right="23" w:hanging="380"/>
        <w:jc w:val="both"/>
      </w:pPr>
    </w:p>
    <w:p w14:paraId="2470F742" w14:textId="7FF028D9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Times New Roman" w:hAnsi="Lato" w:cs="Times New Roman"/>
          <w:lang w:eastAsia="pl-PL"/>
        </w:rPr>
      </w:pPr>
      <w:r w:rsidRPr="0010302D">
        <w:rPr>
          <w:rFonts w:ascii="Lato" w:eastAsia="Times New Roman" w:hAnsi="Lato" w:cs="Times New Roman"/>
          <w:lang w:eastAsia="pl-PL"/>
        </w:rPr>
        <w:t>Zgodnie z książką obiektu powierzchnia użytkowa budynku Ministerstwa Finansów wynosi 46 046,35 m²</w:t>
      </w:r>
      <w:r w:rsidR="00B46AA0" w:rsidRPr="0010302D">
        <w:rPr>
          <w:rFonts w:ascii="Lato" w:eastAsia="Times New Roman" w:hAnsi="Lato" w:cs="Times New Roman"/>
          <w:lang w:eastAsia="pl-PL"/>
        </w:rPr>
        <w:t xml:space="preserve"> (bez garażu)</w:t>
      </w:r>
      <w:r w:rsidRPr="0010302D">
        <w:rPr>
          <w:rFonts w:ascii="Lato" w:eastAsia="Times New Roman" w:hAnsi="Lato" w:cs="Times New Roman"/>
          <w:lang w:eastAsia="pl-PL"/>
        </w:rPr>
        <w:t xml:space="preserve">, a kubatura 225 844 m³. </w:t>
      </w:r>
      <w:r w:rsidR="00D30831" w:rsidRPr="0010302D">
        <w:rPr>
          <w:rFonts w:ascii="Lato" w:eastAsia="Times New Roman" w:hAnsi="Lato" w:cs="Times New Roman"/>
          <w:lang w:eastAsia="pl-PL"/>
        </w:rPr>
        <w:t xml:space="preserve">Na powierzchni ok. </w:t>
      </w:r>
      <w:r w:rsidR="00B46AA0" w:rsidRPr="0010302D">
        <w:rPr>
          <w:rFonts w:ascii="Lato" w:eastAsia="Times New Roman" w:hAnsi="Lato" w:cs="Times New Roman"/>
          <w:lang w:eastAsia="pl-PL"/>
        </w:rPr>
        <w:t>9</w:t>
      </w:r>
      <w:r w:rsidR="00D30831" w:rsidRPr="0010302D">
        <w:rPr>
          <w:rFonts w:ascii="Lato" w:eastAsia="Times New Roman" w:hAnsi="Lato" w:cs="Times New Roman"/>
          <w:lang w:eastAsia="pl-PL"/>
        </w:rPr>
        <w:t xml:space="preserve">0% (wyłączając piwnicę i garaż) całego budynku występuje wentylacja mechaniczna </w:t>
      </w:r>
      <w:proofErr w:type="spellStart"/>
      <w:r w:rsidR="00D30831" w:rsidRPr="0010302D">
        <w:rPr>
          <w:rFonts w:ascii="Lato" w:eastAsia="Times New Roman" w:hAnsi="Lato" w:cs="Times New Roman"/>
          <w:lang w:eastAsia="pl-PL"/>
        </w:rPr>
        <w:t>nawiewno</w:t>
      </w:r>
      <w:proofErr w:type="spellEnd"/>
      <w:r w:rsidR="00D30831" w:rsidRPr="0010302D">
        <w:rPr>
          <w:rFonts w:ascii="Lato" w:eastAsia="Times New Roman" w:hAnsi="Lato" w:cs="Times New Roman"/>
          <w:lang w:eastAsia="pl-PL"/>
        </w:rPr>
        <w:t xml:space="preserve">-wywiewna. W pozostałym zakresie funkcjonuje wentylacja grawitacyjna. </w:t>
      </w:r>
    </w:p>
    <w:p w14:paraId="1CCA56CD" w14:textId="77777777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Times New Roman" w:hAnsi="Lato" w:cs="Times New Roman"/>
          <w:lang w:eastAsia="pl-PL"/>
        </w:rPr>
      </w:pPr>
      <w:r w:rsidRPr="0010302D">
        <w:rPr>
          <w:rFonts w:ascii="Lato" w:eastAsia="Times New Roman" w:hAnsi="Lato" w:cs="Times New Roman"/>
          <w:lang w:eastAsia="pl-PL"/>
        </w:rPr>
        <w:t>Powierzchnia działki na której położony jest budynek wraz z infrastrukturą, parkingami, elementami małej architektury i urządzeniami budowlanymi, zgodnie z treścią księgi wieczystej, wynosi 29 967 m2.</w:t>
      </w:r>
    </w:p>
    <w:p w14:paraId="1970B650" w14:textId="77777777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Times New Roman" w:hAnsi="Lato" w:cs="Times New Roman"/>
          <w:lang w:eastAsia="pl-PL"/>
        </w:rPr>
      </w:pPr>
      <w:r w:rsidRPr="0010302D">
        <w:rPr>
          <w:rFonts w:ascii="Lato" w:eastAsia="Times New Roman" w:hAnsi="Lato" w:cs="Times New Roman"/>
          <w:lang w:eastAsia="pl-PL"/>
        </w:rPr>
        <w:t xml:space="preserve">Budynek wykonany w latach 50-tych w technologii tradycyjnej, w konstrukcji szkieletu żelbetowego o układzie poprzecznym, trzytraktowym, zewnętrzne ściany wypełniające z cegły dziurawki grubości 41 cm, licowane kamieniem i (cykliną) tynkiem. Wewnętrzne ścianki działowe z cegły dziurawki grubości 6 cm i 13 cm oraz z konstrukcji drewnianych. </w:t>
      </w:r>
    </w:p>
    <w:p w14:paraId="140EEB9D" w14:textId="77777777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Times New Roman" w:hAnsi="Lato" w:cs="Times New Roman"/>
          <w:lang w:eastAsia="pl-PL"/>
        </w:rPr>
      </w:pPr>
      <w:r w:rsidRPr="0010302D">
        <w:rPr>
          <w:rFonts w:ascii="Lato" w:eastAsia="Times New Roman" w:hAnsi="Lato" w:cs="Times New Roman"/>
          <w:lang w:eastAsia="pl-PL"/>
        </w:rPr>
        <w:t xml:space="preserve">Budynek usytuowany otoczony jest ulicami Świętokrzyską, Czackiego i Traugutta a z czwartej strony od ul. Krakowskiego Przedmieścia budynkiem Uniwersytetu i składa się z 7 podstawowych bloków oznaczonych umownie literami A1, A2, B, C1, C2, D i E tworzących kształt niepełnej litery H; z wewnętrznym patio, dziedzińcem, parkingiem i dwoma bramami przejazdowymi. </w:t>
      </w:r>
    </w:p>
    <w:p w14:paraId="1B71A3A1" w14:textId="77777777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Times New Roman" w:hAnsi="Lato" w:cs="Times New Roman"/>
          <w:lang w:eastAsia="pl-PL"/>
        </w:rPr>
      </w:pPr>
      <w:r w:rsidRPr="0010302D">
        <w:rPr>
          <w:rFonts w:ascii="Lato" w:eastAsia="Times New Roman" w:hAnsi="Lato" w:cs="Times New Roman"/>
          <w:lang w:eastAsia="pl-PL"/>
        </w:rPr>
        <w:t>Budynek w części najwyższej ma 6 kondygnacji nadziemnych, w pozostałej 5 kondygnacji, w części podziemnej piwnice oraz pod zewnętrznym parkingiem garaż podziemny.</w:t>
      </w:r>
    </w:p>
    <w:p w14:paraId="719F16CD" w14:textId="77777777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Cambria" w:hAnsi="Lato" w:cs="Times New Roman"/>
        </w:rPr>
      </w:pPr>
      <w:r w:rsidRPr="0010302D">
        <w:rPr>
          <w:rFonts w:ascii="Lato" w:eastAsia="Times New Roman" w:hAnsi="Lato" w:cs="Times New Roman"/>
          <w:lang w:eastAsia="pl-PL"/>
        </w:rPr>
        <w:t xml:space="preserve">Wysokość budynku liczona od posadzki na kondygnacji podziemnej (-1) zawiera się w przedziale 23-27 m. Wysokość kondygnacji w świetle zawiera się w przedziale 3,2 – 4,2 m. Najwyższą kondygnacją jest II piętro -4,1-4,2 m. Pozostałe kondygnacje budynku mają wysokość 2,9-3,2 m. W części podziemnej znajdują się pomieszczenia techniczne warsztatowe, magazynowe, archiwa oraz garaż. </w:t>
      </w:r>
      <w:r w:rsidRPr="0010302D">
        <w:rPr>
          <w:rFonts w:ascii="Lato" w:eastAsia="Cambria" w:hAnsi="Lato" w:cs="Times New Roman"/>
        </w:rPr>
        <w:t xml:space="preserve">Fundamenty stanowią stopy żelbetowe. Przy dylatacjach dwa słupy ustawiono na jednej stopie. </w:t>
      </w:r>
    </w:p>
    <w:p w14:paraId="7F3AA2F7" w14:textId="77777777" w:rsidR="00C2627B" w:rsidRPr="0010302D" w:rsidRDefault="00C2627B" w:rsidP="00AD5853">
      <w:pPr>
        <w:pStyle w:val="Akapitzlis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Lato" w:eastAsia="Cambria" w:hAnsi="Lato" w:cs="Times New Roman"/>
        </w:rPr>
      </w:pPr>
      <w:r w:rsidRPr="0010302D">
        <w:rPr>
          <w:rFonts w:ascii="Lato" w:eastAsia="Cambria" w:hAnsi="Lato" w:cs="Times New Roman"/>
        </w:rPr>
        <w:t>Konstrukcja budynku składa się:</w:t>
      </w:r>
    </w:p>
    <w:p w14:paraId="078ADE89" w14:textId="77777777" w:rsidR="00C2627B" w:rsidRPr="0010302D" w:rsidRDefault="00C2627B" w:rsidP="00AD5853">
      <w:pPr>
        <w:pStyle w:val="Akapitzlist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Lato" w:eastAsia="Cambria" w:hAnsi="Lato" w:cs="Times New Roman"/>
        </w:rPr>
      </w:pPr>
      <w:r w:rsidRPr="0010302D">
        <w:rPr>
          <w:rFonts w:ascii="Lato" w:eastAsia="Cambria" w:hAnsi="Lato" w:cs="Times New Roman"/>
        </w:rPr>
        <w:t>z podciągów podłużnych, liczonych jako belki trójprzęsłowe z uwzględnieniem momentów zamocowania w słupach skrajnych,</w:t>
      </w:r>
    </w:p>
    <w:p w14:paraId="7587EA89" w14:textId="77777777" w:rsidR="00C2627B" w:rsidRPr="0010302D" w:rsidRDefault="00C2627B" w:rsidP="00AD5853">
      <w:pPr>
        <w:pStyle w:val="Akapitzlist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Lato" w:eastAsia="Cambria" w:hAnsi="Lato" w:cs="Times New Roman"/>
        </w:rPr>
      </w:pPr>
      <w:r w:rsidRPr="0010302D">
        <w:rPr>
          <w:rFonts w:ascii="Lato" w:eastAsia="Cambria" w:hAnsi="Lato" w:cs="Times New Roman"/>
        </w:rPr>
        <w:t xml:space="preserve">stropów typu </w:t>
      </w:r>
      <w:proofErr w:type="spellStart"/>
      <w:r w:rsidRPr="0010302D">
        <w:rPr>
          <w:rFonts w:ascii="Lato" w:eastAsia="Cambria" w:hAnsi="Lato" w:cs="Times New Roman"/>
        </w:rPr>
        <w:t>Akermana</w:t>
      </w:r>
      <w:proofErr w:type="spellEnd"/>
      <w:r w:rsidRPr="0010302D">
        <w:rPr>
          <w:rFonts w:ascii="Lato" w:eastAsia="Cambria" w:hAnsi="Lato" w:cs="Times New Roman"/>
        </w:rPr>
        <w:t xml:space="preserve"> o pustakach wysokości 20 cm i płytce grubości 5 cm, liczonych jako trójprzęsłowe,</w:t>
      </w:r>
    </w:p>
    <w:p w14:paraId="7A3D6F85" w14:textId="77777777" w:rsidR="00C2627B" w:rsidRPr="0010302D" w:rsidRDefault="00C2627B" w:rsidP="00AD5853">
      <w:pPr>
        <w:pStyle w:val="Akapitzlist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Lato" w:eastAsia="Cambria" w:hAnsi="Lato" w:cs="Times New Roman"/>
        </w:rPr>
      </w:pPr>
      <w:r w:rsidRPr="0010302D">
        <w:rPr>
          <w:rFonts w:ascii="Lato" w:eastAsia="Cambria" w:hAnsi="Lato" w:cs="Times New Roman"/>
        </w:rPr>
        <w:t>żeber poprzecznych ( obliczonych jako rygle ram poprzecznych ), ukrytych w stropach, pod ścianki działowe,</w:t>
      </w:r>
    </w:p>
    <w:p w14:paraId="21EC34EF" w14:textId="77777777" w:rsidR="00C2627B" w:rsidRPr="0010302D" w:rsidRDefault="00C2627B" w:rsidP="00AD5853">
      <w:pPr>
        <w:pStyle w:val="Akapitzlist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Lato" w:eastAsia="Cambria" w:hAnsi="Lato" w:cs="Times New Roman"/>
        </w:rPr>
      </w:pPr>
      <w:r w:rsidRPr="0010302D">
        <w:rPr>
          <w:rFonts w:ascii="Lato" w:eastAsia="Cambria" w:hAnsi="Lato" w:cs="Times New Roman"/>
        </w:rPr>
        <w:t>słupów.</w:t>
      </w:r>
    </w:p>
    <w:p w14:paraId="7DB772C9" w14:textId="77777777" w:rsidR="00C2627B" w:rsidRPr="0010302D" w:rsidRDefault="00C2627B" w:rsidP="00AD5853">
      <w:pPr>
        <w:pStyle w:val="Akapitzlist"/>
        <w:numPr>
          <w:ilvl w:val="0"/>
          <w:numId w:val="2"/>
        </w:numPr>
        <w:tabs>
          <w:tab w:val="left" w:pos="370"/>
        </w:tabs>
        <w:spacing w:after="20" w:line="240" w:lineRule="auto"/>
        <w:ind w:left="426" w:right="23" w:hanging="426"/>
        <w:rPr>
          <w:rFonts w:ascii="Lato" w:eastAsia="Calibri" w:hAnsi="Lato" w:cs="Calibri"/>
        </w:rPr>
      </w:pPr>
      <w:r w:rsidRPr="0010302D">
        <w:rPr>
          <w:rFonts w:ascii="Lato" w:eastAsia="Calibri" w:hAnsi="Lato" w:cs="Calibri"/>
        </w:rPr>
        <w:t>Prace będą wykonywane w czynnym obiekcie przy ul. Świętokrzyskiej 12 w Warszawie, będącym siedzibą Ministerstwa Finansów, częściowo wpisanego do rejestru zabytków nieruchomych:</w:t>
      </w:r>
    </w:p>
    <w:p w14:paraId="01BB918B" w14:textId="77777777" w:rsidR="00C2627B" w:rsidRPr="0010302D" w:rsidRDefault="00C2627B" w:rsidP="00AD5853">
      <w:pPr>
        <w:pStyle w:val="Akapitzlist"/>
        <w:numPr>
          <w:ilvl w:val="0"/>
          <w:numId w:val="5"/>
        </w:numPr>
        <w:tabs>
          <w:tab w:val="left" w:pos="1134"/>
        </w:tabs>
        <w:spacing w:after="20" w:line="240" w:lineRule="auto"/>
        <w:ind w:left="1134" w:right="23" w:hanging="425"/>
        <w:rPr>
          <w:rFonts w:ascii="Lato" w:eastAsia="Calibri" w:hAnsi="Lato" w:cs="Calibri"/>
        </w:rPr>
      </w:pPr>
      <w:r w:rsidRPr="0010302D">
        <w:rPr>
          <w:rFonts w:ascii="Lato" w:eastAsia="Calibri" w:hAnsi="Lato" w:cs="Calibri"/>
        </w:rPr>
        <w:t>w części zewnętrznej (elewacja i dach) – decyzja nr 122/2012 z dnia 10.02.2012 r. Mazowieckiego Wojewódzkiego Konserwatora Zabytków;</w:t>
      </w:r>
    </w:p>
    <w:p w14:paraId="13CB332D" w14:textId="77777777" w:rsidR="00C2627B" w:rsidRPr="0010302D" w:rsidRDefault="00C2627B" w:rsidP="00AD5853">
      <w:pPr>
        <w:pStyle w:val="Akapitzlist"/>
        <w:numPr>
          <w:ilvl w:val="0"/>
          <w:numId w:val="5"/>
        </w:numPr>
        <w:tabs>
          <w:tab w:val="left" w:pos="1134"/>
        </w:tabs>
        <w:spacing w:after="20" w:line="240" w:lineRule="auto"/>
        <w:ind w:left="1134" w:right="23" w:hanging="425"/>
        <w:rPr>
          <w:rFonts w:ascii="Lato" w:eastAsia="Calibri" w:hAnsi="Lato" w:cs="Calibri"/>
        </w:rPr>
      </w:pPr>
      <w:r w:rsidRPr="0010302D">
        <w:rPr>
          <w:rFonts w:ascii="Lato" w:eastAsia="Calibri" w:hAnsi="Lato" w:cs="Calibri"/>
        </w:rPr>
        <w:t>w części obejmującej wnętrze centralnego czworoboku tj. skrzydeł B,C1,D,C2 - decyzja nr 123/2021 z dnia 26.11.2021 r. Mazowieckiego Wojewódzkiego Konserwatora Zabytków.</w:t>
      </w:r>
    </w:p>
    <w:p w14:paraId="5E98A857" w14:textId="5942EEA5" w:rsidR="00140937" w:rsidRPr="0010302D" w:rsidRDefault="00140937" w:rsidP="0010302D">
      <w:pPr>
        <w:spacing w:line="240" w:lineRule="auto"/>
      </w:pPr>
    </w:p>
    <w:p w14:paraId="189061B4" w14:textId="5FFC8CA7" w:rsidR="00323EAB" w:rsidRPr="0010302D" w:rsidRDefault="00323EAB" w:rsidP="0010302D">
      <w:pPr>
        <w:pStyle w:val="NormalnyWeb"/>
        <w:jc w:val="center"/>
        <w:rPr>
          <w:sz w:val="22"/>
          <w:szCs w:val="22"/>
        </w:rPr>
      </w:pPr>
    </w:p>
    <w:p w14:paraId="76ACC7E5" w14:textId="074DD8B4" w:rsidR="00016072" w:rsidRPr="0010302D" w:rsidRDefault="00016072" w:rsidP="0010302D">
      <w:pPr>
        <w:pStyle w:val="NormalnyWeb"/>
        <w:jc w:val="center"/>
        <w:rPr>
          <w:sz w:val="22"/>
          <w:szCs w:val="22"/>
        </w:rPr>
      </w:pPr>
    </w:p>
    <w:p w14:paraId="507F36B3" w14:textId="68BFA843" w:rsidR="00016072" w:rsidRPr="0010302D" w:rsidRDefault="00016072" w:rsidP="0010302D">
      <w:pPr>
        <w:pStyle w:val="NormalnyWeb"/>
        <w:jc w:val="center"/>
        <w:rPr>
          <w:sz w:val="22"/>
          <w:szCs w:val="22"/>
        </w:rPr>
      </w:pPr>
      <w:r w:rsidRPr="0010302D">
        <w:rPr>
          <w:noProof/>
          <w:sz w:val="22"/>
          <w:szCs w:val="22"/>
        </w:rPr>
        <w:drawing>
          <wp:inline distT="0" distB="0" distL="0" distR="0" wp14:anchorId="1BA6F34D" wp14:editId="2AABCA12">
            <wp:extent cx="6199173" cy="564844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9695" cy="566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8D728" w14:textId="77777777" w:rsidR="00016072" w:rsidRPr="0010302D" w:rsidRDefault="00016072" w:rsidP="0010302D">
      <w:pPr>
        <w:pStyle w:val="NormalnyWeb"/>
        <w:jc w:val="center"/>
        <w:rPr>
          <w:sz w:val="22"/>
          <w:szCs w:val="22"/>
        </w:rPr>
      </w:pPr>
    </w:p>
    <w:p w14:paraId="0E29B5D0" w14:textId="6B8DA1AB" w:rsidR="00323EAB" w:rsidRDefault="00323EAB" w:rsidP="0010302D">
      <w:pPr>
        <w:spacing w:line="240" w:lineRule="auto"/>
      </w:pPr>
    </w:p>
    <w:p w14:paraId="33800F8A" w14:textId="52E0E2B2" w:rsidR="0010302D" w:rsidRPr="0010302D" w:rsidRDefault="0010302D" w:rsidP="0010302D"/>
    <w:p w14:paraId="18659E08" w14:textId="0D6C6ACE" w:rsidR="0010302D" w:rsidRPr="0010302D" w:rsidRDefault="0010302D" w:rsidP="0010302D"/>
    <w:p w14:paraId="134A28C5" w14:textId="1F0ACF6E" w:rsidR="0010302D" w:rsidRPr="0010302D" w:rsidRDefault="0010302D" w:rsidP="0010302D"/>
    <w:p w14:paraId="7CC47BD5" w14:textId="18CFA885" w:rsidR="0010302D" w:rsidRPr="0010302D" w:rsidRDefault="0010302D" w:rsidP="0010302D"/>
    <w:p w14:paraId="7180BFD2" w14:textId="734BBC65" w:rsidR="0010302D" w:rsidRPr="0010302D" w:rsidRDefault="0010302D" w:rsidP="0010302D"/>
    <w:p w14:paraId="3B87581E" w14:textId="524C4041" w:rsidR="0010302D" w:rsidRDefault="0010302D" w:rsidP="0010302D"/>
    <w:p w14:paraId="5249D0C8" w14:textId="74DB7A52" w:rsidR="0010302D" w:rsidRPr="0010302D" w:rsidRDefault="0010302D" w:rsidP="0010302D">
      <w:pPr>
        <w:tabs>
          <w:tab w:val="left" w:pos="5560"/>
        </w:tabs>
      </w:pPr>
      <w:r>
        <w:tab/>
      </w:r>
    </w:p>
    <w:sectPr w:rsidR="0010302D" w:rsidRPr="001030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D0BA3" w14:textId="77777777" w:rsidR="00513EC4" w:rsidRDefault="00513EC4" w:rsidP="00D30831">
      <w:pPr>
        <w:spacing w:after="0" w:line="240" w:lineRule="auto"/>
      </w:pPr>
      <w:r>
        <w:separator/>
      </w:r>
    </w:p>
  </w:endnote>
  <w:endnote w:type="continuationSeparator" w:id="0">
    <w:p w14:paraId="2D82EDEA" w14:textId="77777777" w:rsidR="00513EC4" w:rsidRDefault="00513EC4" w:rsidP="00D3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7054158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FAB5CD2" w14:textId="798E5BEF" w:rsidR="0010302D" w:rsidRPr="0010302D" w:rsidRDefault="0010302D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10302D">
          <w:rPr>
            <w:rFonts w:ascii="Lato" w:hAnsi="Lato"/>
            <w:sz w:val="20"/>
            <w:szCs w:val="20"/>
          </w:rPr>
          <w:fldChar w:fldCharType="begin"/>
        </w:r>
        <w:r w:rsidRPr="0010302D">
          <w:rPr>
            <w:rFonts w:ascii="Lato" w:hAnsi="Lato"/>
            <w:sz w:val="20"/>
            <w:szCs w:val="20"/>
          </w:rPr>
          <w:instrText>PAGE   \* MERGEFORMAT</w:instrText>
        </w:r>
        <w:r w:rsidRPr="0010302D">
          <w:rPr>
            <w:rFonts w:ascii="Lato" w:hAnsi="Lato"/>
            <w:sz w:val="20"/>
            <w:szCs w:val="20"/>
          </w:rPr>
          <w:fldChar w:fldCharType="separate"/>
        </w:r>
        <w:r w:rsidRPr="0010302D">
          <w:rPr>
            <w:rFonts w:ascii="Lato" w:hAnsi="Lato"/>
            <w:sz w:val="20"/>
            <w:szCs w:val="20"/>
          </w:rPr>
          <w:t>2</w:t>
        </w:r>
        <w:r w:rsidRPr="0010302D">
          <w:rPr>
            <w:rFonts w:ascii="Lato" w:hAnsi="Lato"/>
            <w:sz w:val="20"/>
            <w:szCs w:val="20"/>
          </w:rPr>
          <w:fldChar w:fldCharType="end"/>
        </w:r>
      </w:p>
    </w:sdtContent>
  </w:sdt>
  <w:p w14:paraId="508DAAEB" w14:textId="77777777" w:rsidR="0010302D" w:rsidRDefault="001030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1A319" w14:textId="77777777" w:rsidR="00513EC4" w:rsidRDefault="00513EC4" w:rsidP="00D30831">
      <w:pPr>
        <w:spacing w:after="0" w:line="240" w:lineRule="auto"/>
      </w:pPr>
      <w:r>
        <w:separator/>
      </w:r>
    </w:p>
  </w:footnote>
  <w:footnote w:type="continuationSeparator" w:id="0">
    <w:p w14:paraId="5A7037EE" w14:textId="77777777" w:rsidR="00513EC4" w:rsidRDefault="00513EC4" w:rsidP="00D30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204A7"/>
    <w:multiLevelType w:val="hybridMultilevel"/>
    <w:tmpl w:val="52563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A297E"/>
    <w:multiLevelType w:val="hybridMultilevel"/>
    <w:tmpl w:val="13D8CC80"/>
    <w:lvl w:ilvl="0" w:tplc="3AB0E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733A9"/>
    <w:multiLevelType w:val="hybridMultilevel"/>
    <w:tmpl w:val="267266EC"/>
    <w:lvl w:ilvl="0" w:tplc="3AB0ED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B72CD9"/>
    <w:multiLevelType w:val="hybridMultilevel"/>
    <w:tmpl w:val="6E089C46"/>
    <w:lvl w:ilvl="0" w:tplc="3AB0E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164BC"/>
    <w:multiLevelType w:val="hybridMultilevel"/>
    <w:tmpl w:val="9DB24B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7B"/>
    <w:rsid w:val="00016072"/>
    <w:rsid w:val="0010302D"/>
    <w:rsid w:val="00104A7C"/>
    <w:rsid w:val="00114D64"/>
    <w:rsid w:val="00140937"/>
    <w:rsid w:val="00144008"/>
    <w:rsid w:val="00146D48"/>
    <w:rsid w:val="002A608B"/>
    <w:rsid w:val="00323EAB"/>
    <w:rsid w:val="003F1092"/>
    <w:rsid w:val="004D12EB"/>
    <w:rsid w:val="00513EC4"/>
    <w:rsid w:val="005D68BD"/>
    <w:rsid w:val="005E7B40"/>
    <w:rsid w:val="00600944"/>
    <w:rsid w:val="0066125F"/>
    <w:rsid w:val="00685672"/>
    <w:rsid w:val="00756DE6"/>
    <w:rsid w:val="007A3A3C"/>
    <w:rsid w:val="007F606F"/>
    <w:rsid w:val="00875F6F"/>
    <w:rsid w:val="009A7504"/>
    <w:rsid w:val="009E5368"/>
    <w:rsid w:val="00AD5853"/>
    <w:rsid w:val="00B46AA0"/>
    <w:rsid w:val="00B6624A"/>
    <w:rsid w:val="00C2627B"/>
    <w:rsid w:val="00CF674B"/>
    <w:rsid w:val="00D30831"/>
    <w:rsid w:val="00EC34B7"/>
    <w:rsid w:val="00F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5A14E"/>
  <w15:chartTrackingRefBased/>
  <w15:docId w15:val="{E9C1D372-30EF-4D39-8F19-43751108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62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627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23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4D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4D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4D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4D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4D6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03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02D"/>
  </w:style>
  <w:style w:type="paragraph" w:styleId="Stopka">
    <w:name w:val="footer"/>
    <w:basedOn w:val="Normalny"/>
    <w:link w:val="StopkaZnak"/>
    <w:uiPriority w:val="99"/>
    <w:unhideWhenUsed/>
    <w:rsid w:val="00103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7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2374</Characters>
  <Application>Microsoft Office Word</Application>
  <DocSecurity>0</DocSecurity>
  <Lines>19</Lines>
  <Paragraphs>5</Paragraphs>
  <ScaleCrop>false</ScaleCrop>
  <Company>Ministerstwo Finansów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Marta</dc:creator>
  <cp:keywords/>
  <dc:description/>
  <cp:lastModifiedBy>Zaremba Ewelina</cp:lastModifiedBy>
  <cp:revision>2</cp:revision>
  <dcterms:created xsi:type="dcterms:W3CDTF">2026-04-16T13:46:00Z</dcterms:created>
  <dcterms:modified xsi:type="dcterms:W3CDTF">2026-04-16T13:46:00Z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UxC4dwLulzfINJ8nQH+xvX5LNGipWa4BRSZhPgxsCvm/cfCc0bd4mZmXyTtrfinpAckW5gPk9sINrnkvxh2lcw==</vt:lpwstr>
  </property>
  <property fmtid="{D5CDD505-2E9C-101B-9397-08002B2CF9AE}" pid="4" name="MFClassificationDate">
    <vt:lpwstr>2025-03-04T11:56:29.0244406+01:00</vt:lpwstr>
  </property>
  <property fmtid="{D5CDD505-2E9C-101B-9397-08002B2CF9AE}" pid="5" name="MFClassifiedBySID">
    <vt:lpwstr>UxC4dwLulzfINJ8nQH+xvX5LNGipWa4BRSZhPgxsCvm42mrIC/DSDv0ggS+FjUN/2v1BBotkLlY5aAiEhoi6uX/oy4EuWDq63IxkiqV3eIG1FTmpy+WyM1jvBm2VD6iJ</vt:lpwstr>
  </property>
  <property fmtid="{D5CDD505-2E9C-101B-9397-08002B2CF9AE}" pid="6" name="MFGRNItemId">
    <vt:lpwstr>GRN-8ad20649-59d6-4df7-828a-61370eccdc22</vt:lpwstr>
  </property>
  <property fmtid="{D5CDD505-2E9C-101B-9397-08002B2CF9AE}" pid="7" name="MFHash">
    <vt:lpwstr>5goC0Nq7vwChWoSeJtcRKnkXQXbrLjErTsOlXa6TpLI=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