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6"/>
        <w:gridCol w:w="6121"/>
        <w:gridCol w:w="8"/>
      </w:tblGrid>
      <w:tr w:rsidR="009308EE" w:rsidRPr="00B62ADD" w:rsidTr="00701AF9">
        <w:trPr>
          <w:gridAfter w:val="1"/>
          <w:wAfter w:w="4" w:type="pct"/>
          <w:trHeight w:hRule="exact" w:val="451"/>
        </w:trPr>
        <w:tc>
          <w:tcPr>
            <w:tcW w:w="4996" w:type="pct"/>
            <w:gridSpan w:val="2"/>
            <w:shd w:val="clear" w:color="auto" w:fill="FFFFFF"/>
            <w:vAlign w:val="center"/>
          </w:tcPr>
          <w:p w:rsidR="009308EE" w:rsidRPr="00B62ADD" w:rsidRDefault="009308EE" w:rsidP="0070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62ADD">
              <w:rPr>
                <w:rStyle w:val="Teksttreci295ptBezpogrubienia"/>
                <w:rFonts w:ascii="Arial" w:hAnsi="Arial" w:cs="Arial"/>
                <w:sz w:val="24"/>
                <w:szCs w:val="24"/>
              </w:rPr>
              <w:t>Kontyngent na przywóz pszenicy z Kanady</w:t>
            </w:r>
          </w:p>
        </w:tc>
      </w:tr>
      <w:tr w:rsidR="009308EE" w:rsidRPr="00A67844" w:rsidTr="004C7286">
        <w:trPr>
          <w:trHeight w:hRule="exact" w:val="1819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Umowa międzynarodowa lub inny akt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7435E6" w:rsidRDefault="009308EE" w:rsidP="00701AF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308EE">
              <w:rPr>
                <w:rStyle w:val="Teksttreci2"/>
                <w:rFonts w:ascii="Arial" w:hAnsi="Arial" w:cs="Arial"/>
                <w:bCs w:val="0"/>
                <w:sz w:val="20"/>
                <w:szCs w:val="20"/>
              </w:rPr>
              <w:t xml:space="preserve">Kompleksowa umowa gospodarczo-handlowa </w:t>
            </w:r>
            <w:r w:rsidRPr="009308EE">
              <w:rPr>
                <w:rStyle w:val="Teksttreci295ptBezpogrubienia"/>
                <w:rFonts w:ascii="Arial" w:hAnsi="Arial" w:cs="Arial"/>
                <w:sz w:val="20"/>
                <w:szCs w:val="20"/>
              </w:rPr>
              <w:t>(CETA)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między Kanadą, z jednej strony, a Unią Europejską i jej państwami członkowskimi, z drugiej strony, tymczasowo stosowana w UE na mocy decyzji Rady (UE) 2017/38</w:t>
            </w:r>
          </w:p>
          <w:p w:rsidR="009308EE" w:rsidRPr="00C14705" w:rsidRDefault="009308EE" w:rsidP="00701AF9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9308EE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</w:t>
            </w:r>
          </w:p>
          <w:p w:rsidR="009308EE" w:rsidRPr="00A67844" w:rsidRDefault="009308EE" w:rsidP="007435E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308EE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</w:t>
            </w:r>
          </w:p>
        </w:tc>
      </w:tr>
      <w:tr w:rsidR="009308EE" w:rsidRPr="00A67844" w:rsidTr="00701AF9">
        <w:trPr>
          <w:trHeight w:hRule="exact" w:val="593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Cs w:val="0"/>
                <w:sz w:val="20"/>
                <w:szCs w:val="20"/>
              </w:rPr>
              <w:t>Numer porządkowy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E53B5" w:rsidRDefault="009308EE" w:rsidP="0070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53B5">
              <w:rPr>
                <w:rStyle w:val="Teksttreci2"/>
                <w:rFonts w:ascii="Arial" w:hAnsi="Arial" w:cs="Arial"/>
                <w:bCs w:val="0"/>
                <w:sz w:val="24"/>
                <w:szCs w:val="24"/>
              </w:rPr>
              <w:t>09.4124</w:t>
            </w:r>
          </w:p>
        </w:tc>
      </w:tr>
      <w:tr w:rsidR="009308EE" w:rsidRPr="00A67844" w:rsidTr="00701AF9">
        <w:trPr>
          <w:trHeight w:hRule="exact" w:val="710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Kontyngent taryfowy otwarty od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2017 do 2023 r.</w:t>
            </w:r>
          </w:p>
        </w:tc>
      </w:tr>
      <w:tr w:rsidR="009308EE" w:rsidRPr="00A67844" w:rsidTr="00701AF9">
        <w:trPr>
          <w:trHeight w:hRule="exact" w:val="710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308EE" w:rsidRPr="00A67844" w:rsidTr="00D7694F">
        <w:trPr>
          <w:trHeight w:hRule="exact" w:val="3641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Wniosek o pozwolenie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D7694F" w:rsidRDefault="00D7694F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Zgodnie z art. 6, 7 i 8 rozporządzenia wykonawczego (UE) 2020/761</w:t>
            </w:r>
          </w:p>
          <w:p w:rsidR="009308EE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Wnioski o pozwolenie mogą składać przedsiębiorcy, którzy mają siedzibę 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i są zarejestrowani do celów podatku VAT w Polsce.</w:t>
            </w:r>
          </w:p>
          <w:p w:rsidR="009308EE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Dla pozwoleń, dla których termin ważności rozpoczyna się w dniu 1 stycznia danego roku kontyngentowego, wnioski o pozwolenie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 xml:space="preserve">od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br/>
              <w:t>23 do 30 listopada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roku poprzedniego. </w:t>
            </w:r>
          </w:p>
          <w:p w:rsidR="009308EE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z wyjątkiem grudnia, w którym to miesiącu nie składa się żadnych wniosków.</w:t>
            </w:r>
          </w:p>
          <w:p w:rsidR="0044441C" w:rsidRDefault="009308EE" w:rsidP="0044441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 ramach ww. numeru kontyngentu, w  danym miesiącu przedsiębiorca może złożyć </w:t>
            </w:r>
            <w:r w:rsidR="0044441C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tylko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jeden wniosek o pozwolenie</w:t>
            </w:r>
            <w:r w:rsidR="0044441C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</w:p>
          <w:p w:rsidR="009308EE" w:rsidRPr="00A67844" w:rsidRDefault="009308EE" w:rsidP="0044441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9308EE" w:rsidRPr="00A67844" w:rsidTr="00701AF9">
        <w:trPr>
          <w:trHeight w:hRule="exact" w:val="706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Opis produktu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Pszenica zwyczajna o jakości innej niż wysoka, zgodnie z definicją w załączniku </w:t>
            </w: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 rozporządzenia (UE) nr 642/2010</w:t>
            </w:r>
          </w:p>
        </w:tc>
      </w:tr>
      <w:tr w:rsidR="009308EE" w:rsidRPr="00A67844" w:rsidTr="00701AF9">
        <w:trPr>
          <w:trHeight w:hRule="exact" w:val="499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Pochodzenie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B161C5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161C5">
              <w:rPr>
                <w:rStyle w:val="Teksttreci295ptBezpogrubienia"/>
                <w:rFonts w:ascii="Arial" w:hAnsi="Arial" w:cs="Arial"/>
                <w:sz w:val="20"/>
                <w:szCs w:val="20"/>
              </w:rPr>
              <w:t>Kanada</w:t>
            </w:r>
          </w:p>
        </w:tc>
      </w:tr>
      <w:tr w:rsidR="009308EE" w:rsidRPr="00A67844" w:rsidTr="00701AF9">
        <w:trPr>
          <w:trHeight w:hRule="exact" w:val="922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308EE" w:rsidRPr="00A67844" w:rsidTr="00B161C5">
        <w:trPr>
          <w:trHeight w:hRule="exact" w:val="2277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Default="009308EE" w:rsidP="0029434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</w:t>
            </w:r>
            <w:r w:rsidR="00B161C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20 r</w:t>
            </w:r>
            <w:r w:rsidR="00B161C5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ozporządzenia (UE) 2020/761</w:t>
            </w:r>
          </w:p>
          <w:p w:rsidR="0029434A" w:rsidRPr="00A67844" w:rsidRDefault="0029434A" w:rsidP="002943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lang w:bidi="pl-PL"/>
              </w:rPr>
              <w:t>Deklarację pochodzenia umieszcza się na fakturze lub dowolnym innym dokumencie handlowym, który opisuje produkt pochodzący w stopniu wystarczająco szczegółowym, by umożliwić jego identyfikację. Tekst deklaracji pochodzenia musi być zgodny z tekstem określonym w załączniku 2 do Protokołu w sprawie reguł pochodzenia i procedur dotyczących pochodzenia załączonego do Kompleksowej umowy gospodarczo-handlowej (CETA) między Kanadą a Unią Europejską.</w:t>
            </w:r>
          </w:p>
        </w:tc>
      </w:tr>
      <w:tr w:rsidR="009308EE" w:rsidRPr="00A67844" w:rsidTr="00701AF9">
        <w:trPr>
          <w:trHeight w:hRule="exact" w:val="50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Ilość w kilogramach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F608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2017 do </w:t>
            </w:r>
            <w:r w:rsidR="00F608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2023 r.: </w:t>
            </w:r>
            <w:r w:rsidR="00A1699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po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100 000 000 kg</w:t>
            </w:r>
            <w:r w:rsidR="00A1699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na każdy rok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Kody CN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9308EE" w:rsidRDefault="009308EE" w:rsidP="00701AF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308EE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Ex 1001 99 00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Cło w ramach kontyngentu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9308EE" w:rsidRDefault="009308EE" w:rsidP="00701AF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308EE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0 EUR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Dowód handlu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9308EE" w:rsidRDefault="009308EE" w:rsidP="00701AF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308EE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Nie</w:t>
            </w:r>
          </w:p>
        </w:tc>
      </w:tr>
      <w:tr w:rsidR="009308EE" w:rsidRPr="00A67844" w:rsidTr="00701AF9">
        <w:trPr>
          <w:trHeight w:hRule="exact" w:val="605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Zabezpieczenie na potrzeby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pozwolenia na </w:t>
            </w: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przywóz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9308EE" w:rsidRDefault="009308EE" w:rsidP="00701AF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308EE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30 EUR za 1 000 kg</w:t>
            </w:r>
          </w:p>
        </w:tc>
      </w:tr>
      <w:tr w:rsidR="009308EE" w:rsidRPr="00A67844" w:rsidTr="00701AF9">
        <w:trPr>
          <w:trHeight w:hRule="exact" w:val="1679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Szczegółowe adnotacje dokonywane we wniosku o pozwolenie i w pozwoleniu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należy zaznaczyć pole „</w:t>
            </w:r>
            <w:r w:rsidR="00AA1C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” w tej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sekcji.</w:t>
            </w:r>
          </w:p>
          <w:p w:rsidR="004C21B5" w:rsidRDefault="004C21B5" w:rsidP="004C21B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lang w:bidi="pl-PL"/>
              </w:rPr>
              <w:t xml:space="preserve">Sekcja 19 pozwolenia – 0 </w:t>
            </w:r>
          </w:p>
          <w:p w:rsidR="009308EE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Sekcja 20 wniosku o pozwolenie i pozwolenia na przywóz wskazuje </w:t>
            </w:r>
            <w:r w:rsidRPr="00991A4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numer porządkowy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Pr="00991A4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kontyngentu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09.4124. Dodatkowo sekcja 20 wniosku oraz sekcja 24 pozwolenia na przywóz zawiera zapis: Stawka</w:t>
            </w:r>
            <w:r w:rsidRPr="00FC5EB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celn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a w ramach kontyngentu 0 EUR.</w:t>
            </w:r>
          </w:p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308EE" w:rsidRPr="00A67844" w:rsidTr="00B161C5">
        <w:trPr>
          <w:trHeight w:hRule="exact" w:val="1200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Termin wydania</w:t>
            </w: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pozwolenia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na przywóz wydawane są po opublikowa</w:t>
            </w:r>
            <w:r w:rsidR="00B161C5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niu przez KE (na stronie EUROPA, najpóźniej 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161C5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22. dnia miesiąca, w którym były składane wnioski) 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współczynnika przydziału i przed końcem miesiąca.</w:t>
            </w:r>
          </w:p>
          <w:p w:rsidR="009308EE" w:rsidRPr="00A67844" w:rsidRDefault="009308EE" w:rsidP="00D82B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Pozwolenia z terminem ważności od 1 stycznia </w:t>
            </w:r>
            <w:r w:rsidR="00D82B49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są 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wydawane od 15 do 31 grudnia roku poprzedniego.</w:t>
            </w:r>
          </w:p>
        </w:tc>
      </w:tr>
      <w:tr w:rsidR="009308EE" w:rsidRPr="00A67844" w:rsidTr="00B161C5">
        <w:trPr>
          <w:trHeight w:hRule="exact" w:val="1699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Okres ważności pozwolenia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B161C5" w:rsidRDefault="00B161C5" w:rsidP="00701A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Zgodnie z art. 13 r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ozporządzenia wykonawczego (UE) 2020/761</w:t>
            </w:r>
          </w:p>
          <w:p w:rsidR="009308EE" w:rsidRDefault="009308EE" w:rsidP="00701A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okresie od 23 do 30 listopada roku poprzedniego, pozwolenia są ważne od 1 stycznia</w:t>
            </w:r>
            <w:r w:rsidR="00AA1C9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do 31 grudnia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D82B4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roku następnego</w:t>
            </w:r>
            <w:r w:rsidR="00DA2C50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9308EE" w:rsidRPr="00A67844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 końca roku kontyngentowego, tj. do 31 grudnia.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Możliwość przeniesienia pozwolenia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7724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 w:rsidR="00F608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Przejmujący musi </w:t>
            </w:r>
            <w:r w:rsidR="007772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posiadać</w:t>
            </w:r>
            <w:r w:rsidR="00F608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siedzibę i być zarejestrowany do celów VAT w Unii.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Ilość referencyjna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Podmiot zarejestrowany w bazie danych LORI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308EE" w:rsidRPr="00A67844" w:rsidTr="00701AF9">
        <w:trPr>
          <w:trHeight w:hRule="exact" w:val="446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Warunki szczególne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308EE" w:rsidRPr="00A67844" w:rsidTr="00701AF9">
        <w:trPr>
          <w:trHeight w:hRule="exact" w:val="494"/>
        </w:trPr>
        <w:tc>
          <w:tcPr>
            <w:tcW w:w="2032" w:type="pct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Termin na zwrot pozwolenia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9308EE" w:rsidRPr="00A67844" w:rsidRDefault="009308EE" w:rsidP="00701A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  <w:tr w:rsidR="008E55D0" w:rsidRPr="00A67844" w:rsidTr="004C7286">
        <w:trPr>
          <w:trHeight w:hRule="exact" w:val="2209"/>
        </w:trPr>
        <w:tc>
          <w:tcPr>
            <w:tcW w:w="2032" w:type="pct"/>
            <w:shd w:val="clear" w:color="auto" w:fill="FFFFFF"/>
            <w:vAlign w:val="center"/>
          </w:tcPr>
          <w:p w:rsidR="008E55D0" w:rsidRDefault="008E55D0" w:rsidP="00701AF9">
            <w:pPr>
              <w:spacing w:after="0" w:line="240" w:lineRule="auto"/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b w:val="0"/>
                <w:bCs w:val="0"/>
                <w:sz w:val="20"/>
                <w:szCs w:val="20"/>
              </w:rPr>
              <w:t>UWAGA</w:t>
            </w:r>
          </w:p>
        </w:tc>
        <w:tc>
          <w:tcPr>
            <w:tcW w:w="2968" w:type="pct"/>
            <w:gridSpan w:val="2"/>
            <w:shd w:val="clear" w:color="auto" w:fill="FFFFFF"/>
            <w:vAlign w:val="center"/>
          </w:tcPr>
          <w:p w:rsidR="008E55D0" w:rsidRPr="004C7286" w:rsidRDefault="008E55D0" w:rsidP="004C7286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4C7286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8E55D0" w:rsidRPr="004C7286" w:rsidRDefault="008E55D0" w:rsidP="004C7286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4C7286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8E55D0" w:rsidRDefault="008E55D0" w:rsidP="008E55D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4C7286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9308EE" w:rsidRPr="00A67844" w:rsidRDefault="009308EE" w:rsidP="009308EE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02E10" w:rsidRDefault="00E02E10"/>
    <w:sectPr w:rsidR="00E02E10" w:rsidSect="009308EE"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EE"/>
    <w:rsid w:val="0029434A"/>
    <w:rsid w:val="00345C4C"/>
    <w:rsid w:val="0044441C"/>
    <w:rsid w:val="004C21B5"/>
    <w:rsid w:val="004C7286"/>
    <w:rsid w:val="007435E6"/>
    <w:rsid w:val="00777248"/>
    <w:rsid w:val="008E55D0"/>
    <w:rsid w:val="009308EE"/>
    <w:rsid w:val="009B4900"/>
    <w:rsid w:val="00A1699F"/>
    <w:rsid w:val="00AA1C99"/>
    <w:rsid w:val="00B161C5"/>
    <w:rsid w:val="00CA5F16"/>
    <w:rsid w:val="00D7694F"/>
    <w:rsid w:val="00D82B49"/>
    <w:rsid w:val="00DA2C50"/>
    <w:rsid w:val="00DF5EAA"/>
    <w:rsid w:val="00E02E10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E793-5263-42F5-B34A-C218E91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EE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308E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9308E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9308E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9308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E6"/>
    <w:rPr>
      <w:rFonts w:ascii="Tahoma" w:hAnsi="Tahoma" w:cs="Tahoma"/>
      <w:sz w:val="16"/>
      <w:szCs w:val="16"/>
    </w:rPr>
  </w:style>
  <w:style w:type="character" w:customStyle="1" w:styleId="Teksttreci29">
    <w:name w:val="Tekst treści (2) + 9"/>
    <w:aliases w:val="5 pt,Bez pogrubienia"/>
    <w:rsid w:val="008E55D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2023-03-14T09:52:00Z</dcterms:created>
  <dcterms:modified xsi:type="dcterms:W3CDTF">2023-03-14T09:52:00Z</dcterms:modified>
</cp:coreProperties>
</file>