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F6D6" w14:textId="77777777" w:rsidR="00F24143" w:rsidRPr="00F24143" w:rsidRDefault="00F24143" w:rsidP="00F241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143">
        <w:rPr>
          <w:rFonts w:ascii="Times New Roman" w:hAnsi="Times New Roman" w:cs="Times New Roman"/>
          <w:b/>
          <w:sz w:val="32"/>
          <w:szCs w:val="32"/>
        </w:rPr>
        <w:t>Program Fundusze Europejskie dla Rybactwa</w:t>
      </w:r>
      <w:r>
        <w:rPr>
          <w:rFonts w:ascii="Times New Roman" w:hAnsi="Times New Roman" w:cs="Times New Roman"/>
          <w:b/>
          <w:sz w:val="32"/>
          <w:szCs w:val="32"/>
        </w:rPr>
        <w:t xml:space="preserve"> w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lata</w:t>
      </w:r>
      <w:r>
        <w:rPr>
          <w:rFonts w:ascii="Times New Roman" w:hAnsi="Times New Roman" w:cs="Times New Roman"/>
          <w:b/>
          <w:sz w:val="32"/>
          <w:szCs w:val="32"/>
        </w:rPr>
        <w:t>ch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2021-2027</w:t>
      </w:r>
      <w:r>
        <w:rPr>
          <w:rFonts w:ascii="Times New Roman" w:hAnsi="Times New Roman" w:cs="Times New Roman"/>
          <w:b/>
          <w:sz w:val="32"/>
          <w:szCs w:val="32"/>
        </w:rPr>
        <w:t xml:space="preserve"> realizowany w ramach Europejskiego Funduszu Morskiego, Rybackiego i Akwakultury</w:t>
      </w:r>
    </w:p>
    <w:p w14:paraId="0885155C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Europejski Fundusz Morski, Rybacki i Akwakultury (EFMRA) w Polsce jest wdrażany za pośrednictwem programu Fundusze Europejskie dla Rybactwa. EFMRA będzie realizowany w latach 2021-2027.</w:t>
      </w:r>
    </w:p>
    <w:p w14:paraId="749124F0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Fundusz ten jest następcą Europejskiego Funduszu Morskiego i Rybackiego wdrażanego w latach 2014-2020.</w:t>
      </w:r>
    </w:p>
    <w:p w14:paraId="7F430611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EFMRA służy do wykorzystywania środków finansowych z budżetu UE w celu wspierania wspólnej polityki rybołówstwa (</w:t>
      </w:r>
      <w:proofErr w:type="spellStart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WPRyb</w:t>
      </w:r>
      <w:proofErr w:type="spellEnd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), zintegrowanej polityki morskiej międzynarodowych zobowiązań UE w dziedzinie zarządzania oceanami.</w:t>
      </w:r>
    </w:p>
    <w:p w14:paraId="494CB62F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Fundusz zapewnia wsparcie finansowe na rzecz opracowywania innowacyjnych projektów, które mają na celu, aby zasoby wodne i morskie były wykorzystywane w sposób zrównoważony.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Pomoże to w realizacji celów Europejskiego Zielonego Ładu – planu działania dotyczącego unijnej polityki ochrony środowiska i polityki klimatycznej. </w:t>
      </w:r>
    </w:p>
    <w:p w14:paraId="1EF5F43B" w14:textId="77777777"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Priorytety EFMRA</w:t>
      </w:r>
    </w:p>
    <w:p w14:paraId="5CA73607" w14:textId="77777777"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Wspieranie zrównoważonego rybołówstwa oraz odbudowy i ochrony żywych zasobów wodnych.</w:t>
      </w:r>
    </w:p>
    <w:p w14:paraId="15D08609" w14:textId="77777777"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Wspieranie zrównoważonej działalności w zakresie akwakultury oraz przetwarzania i wprowadzania do obrotu produktów rybołówstwa i akwakultury, a co za tym idzie – przyczynianie się do bezpieczeństwa żywnościowego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Unii.</w:t>
      </w:r>
    </w:p>
    <w:p w14:paraId="7BB2B26D" w14:textId="77777777"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Sprzyjanie zrównoważonej niebieskiej gospodarce na obszarach przybrzeżnych, wyspiarskich i śródlądowych, która obejmuje tradycyjną i nowo powstającą działalność gospodarczą związaną z oceanami, morzami, wybrzeżami i wodami śródlądowymi, oraz wspieranie rozwoju społeczności rybackich i sektora akwakultury.</w:t>
      </w:r>
    </w:p>
    <w:p w14:paraId="1173F16B" w14:textId="77777777" w:rsidR="00F24143" w:rsidRPr="00F24143" w:rsidRDefault="00F24143" w:rsidP="00F241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Wzmocnienie międzynarodowego zarządzania oceanami oraz przyczynianie się do zapewnienia bezpieczeństwa i czystości mórz i oceanów, ochrony na nich,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 także zrównoważonego zarządzania nimi. </w:t>
      </w:r>
    </w:p>
    <w:p w14:paraId="2801460D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EFMRA wspomaga innowacyjne projekty, które przyczyniają się do zrównoważonej eksploatacji zasobów wodnych i morskich oraz zarządzania nimi. </w:t>
      </w:r>
    </w:p>
    <w:p w14:paraId="53E932B1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Fundusz sprzyja przede wszystkim:</w:t>
      </w:r>
    </w:p>
    <w:p w14:paraId="344AA591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zrównoważonej i niskoemisyjnej działalności połowowej;</w:t>
      </w:r>
    </w:p>
    <w:p w14:paraId="2EBE696B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ochronie różnorodności biologicznej mórz i ekosystemów morskich;</w:t>
      </w:r>
    </w:p>
    <w:p w14:paraId="59DEFB1F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zaopatrzeniu europejskich konsumentów w zdrową żywność pochodzenia morskiego wysokiej jakości;</w:t>
      </w:r>
    </w:p>
    <w:p w14:paraId="5A54B884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zwiększaniu atrakcyjności społeczno-ekonomicznej sektora rybołówstwa i odmłodzeniu tego sektora, w szczególności w przypadku łodziowego rybołówstwa przybrzeżnego;</w:t>
      </w:r>
    </w:p>
    <w:p w14:paraId="7F377B23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rozwojowi zrównoważonej i konkurencyjnej akwakultury zwiększającej bezpieczeństwo żywnościowe;</w:t>
      </w:r>
    </w:p>
    <w:p w14:paraId="0E7BF018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rozwojowi umiejętności i poprawie warunków pracy w sektorach rybołówstwa i akwakultury;</w:t>
      </w:r>
    </w:p>
    <w:p w14:paraId="43B67E4B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gospodarczej i społecznej witalności społeczności nadbrzeżnych;</w:t>
      </w:r>
      <w:r w:rsidR="00644DD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innowacjom w ramach zrównoważonej niebieskiej gospodarki;</w:t>
      </w:r>
    </w:p>
    <w:p w14:paraId="4B17D837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ochronie na morzu, dzięki której morza są bezpieczne;</w:t>
      </w:r>
    </w:p>
    <w:p w14:paraId="6CCE8F11" w14:textId="77777777" w:rsidR="00F24143" w:rsidRPr="00F24143" w:rsidRDefault="00F24143" w:rsidP="00F241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współpracy międzynarodowej, dzięki której oceany będą zdrowe, bezpieczne i zarządzane w sposób zrównoważony.</w:t>
      </w:r>
    </w:p>
    <w:p w14:paraId="4B537E41" w14:textId="77777777"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O programie</w:t>
      </w:r>
    </w:p>
    <w:p w14:paraId="5D1F5FD9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Program został przygotowany z myślą o kontynuacji wsparcia udzielanego sektorowi rybactwa w perspektywie finansowej Unii Europejskiej (UE), kiedy to środki z Europejskiego Funduszu Morskiego i Rybackiego (EFMR) były wdrażane za pośrednictwem Programu Operacyjnego „Rybactwo i Morze” (PO </w:t>
      </w:r>
      <w:r w:rsidR="00644DD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RYBY 2014–2020). P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</w:t>
      </w:r>
      <w:r w:rsidR="00644DD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gram na lata 2021-2027 został zatwierdzony 9 grudnia 2022 r., Decyzją Wykonawczą Komisji Europejskiej Nr C(2022)8957.</w:t>
      </w:r>
    </w:p>
    <w:p w14:paraId="17ACF8AD" w14:textId="77777777"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Źródło fina</w:t>
      </w:r>
      <w:r w:rsidR="00644D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n</w:t>
      </w: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sowania </w:t>
      </w:r>
    </w:p>
    <w:p w14:paraId="61CCCD74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Budżet programu Fundusze Europejskie dla Rybactwa na lata 2021-2027 to ponad 3,1 mld zł, czyli blisko 732 mln euro.</w:t>
      </w:r>
    </w:p>
    <w:p w14:paraId="08F2B55C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Program jest współfinansowany ze środków Europejskiego Funduszu Morskiego, Rybackiego i Akwakultury w stosunku: 70% (środki UE) i 30% (budżet państwa).</w:t>
      </w:r>
    </w:p>
    <w:p w14:paraId="62243235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Wkład UE: około 2,2 mld zł</w:t>
      </w:r>
    </w:p>
    <w:p w14:paraId="21A70667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Wkład krajowy: ponad 943 mln zł</w:t>
      </w:r>
    </w:p>
    <w:p w14:paraId="1FAD6D85" w14:textId="77777777"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Instytucje </w:t>
      </w:r>
    </w:p>
    <w:p w14:paraId="5B4F4176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Planuje się, że program będzie realizowany przez następujące instytucje:</w:t>
      </w:r>
    </w:p>
    <w:p w14:paraId="0A8F23E9" w14:textId="77777777"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Instytucja Zarządzająca –  minister właściwy ds. rybołówstwa;</w:t>
      </w:r>
    </w:p>
    <w:p w14:paraId="30616588" w14:textId="77777777"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Instytucja Pośrednicząca – Agencja Restrukturyzacji i Modernizacji Rolnictwa;</w:t>
      </w:r>
    </w:p>
    <w:p w14:paraId="2380DB9D" w14:textId="77777777"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Instytucja Audytowa – szef Krajowej Administracji Skarbowej</w:t>
      </w:r>
    </w:p>
    <w:p w14:paraId="2175DB45" w14:textId="77777777" w:rsidR="00F24143" w:rsidRPr="00F24143" w:rsidRDefault="00F24143" w:rsidP="00F241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Organ otrzymujący płatności od KE – Ministerstwo Finansów</w:t>
      </w:r>
    </w:p>
    <w:p w14:paraId="4169B99D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Za koordynację wdrażania funduszy europejskich w Polsce odpowiada </w:t>
      </w:r>
      <w:proofErr w:type="spellStart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MFiPR</w:t>
      </w:r>
      <w:proofErr w:type="spellEnd"/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100283D2" w14:textId="77777777"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Główne cele</w:t>
      </w:r>
    </w:p>
    <w:p w14:paraId="4B87C337" w14:textId="77777777"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realizacja wspólnej polityki rybołówstwa, unijnej polityki morskiej oraz międzynarodowych zobowiązań Unii w dziedzinie zarządzania oceanami,</w:t>
      </w:r>
    </w:p>
    <w:p w14:paraId="3258EA1A" w14:textId="77777777"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promowanie zrównoważonego rybołówstwa i ochrony żywych zasobów morza,</w:t>
      </w:r>
    </w:p>
    <w:p w14:paraId="1819A81C" w14:textId="77777777"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zapewnienie bezpieczeństwa żywnościowego dzięki dostawom produktów rybołówstwa i akwakultury,</w:t>
      </w:r>
    </w:p>
    <w:p w14:paraId="2B530AA5" w14:textId="77777777"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przyczynianie się do rozwoju zrównoważonej niebieskiej gospodarki, oraz</w:t>
      </w:r>
    </w:p>
    <w:p w14:paraId="2BCC38EE" w14:textId="77777777" w:rsidR="00F24143" w:rsidRPr="00F24143" w:rsidRDefault="00F24143" w:rsidP="00F241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zapewnienie zdrowego stanu, bezpieczeństwa i czystości mórz i oceanów, ochrony na nich, a także przyczynianie się do zrównoważonego zarządzania nimi.</w:t>
      </w:r>
    </w:p>
    <w:p w14:paraId="54B0C5E5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Zaplanowano realizację działań pogrupowanych w pięć priorytetów:</w:t>
      </w:r>
    </w:p>
    <w:p w14:paraId="1CA4CE51" w14:textId="77777777"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Wspieranie zrównoważonego rybołówstwa oraz odbudowy i ochrony żywych zasobów wodnych – czyli wspieranie projektów ukierunkowanych na wzmocnienie działalności połowowej zrównoważonej pod względem gospodarczym, społecznym i środowiskowym; ochronę i odbudowę wodnej różnorodności biologicznej i ekosystemów wodnych; zwiększenie efektywności energetycznej i zmniejszenie emisji CO2; propagowanie dostosowania zdolności połowowej do uprawnień do połowów; wspieranie systemu skutecznej kontroli i egzekwowania w zakresie rybołówstwa oraz pozyskiwania i gromadzenia wiarygodnych danych rybackich na potrzeby podejmowania decyzji w oparciu o wiedzę.</w:t>
      </w:r>
    </w:p>
    <w:p w14:paraId="798BB105" w14:textId="77777777"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Wspieranie zrównoważonej działalności w zakresie akwakultury oraz przetwarzania i wprowadzania do obrotu produktów rybołówstwa i akwakultury, przyczyniające się do bezpieczeństwa żywnościowego w Unii – czyli wspieranie projektów ukierunkowanych na  propagowanie zrównoważonej działalności w zakresie akwakultury, w szczególności zwiększanie konkurencyjności produkcji akwakultury przy zapewnieniu, aby działalność ta była zrównoważona środowiskowo w perspektywie długoterminowej; propagowanie wprowadzania do obrotu, jakości i wartości dodanej produktów rybołówstwa i akwakultury, a także przetwarzania tych produktów.</w:t>
      </w:r>
    </w:p>
    <w:p w14:paraId="7F130479" w14:textId="77777777"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Sprzyjanie zrównoważonej niebieskiej gospodarce na obszarach przybrzeżnych, wyspiarskich i śródlądowych oraz wspieranie rozwoju społeczności rybackich i sektora akwakultury.</w:t>
      </w:r>
    </w:p>
    <w:p w14:paraId="179F994F" w14:textId="77777777"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Wzmocnienie międzynarodowego zarządzania oceanami oraz przyczynianie się do zapewnienia bezpieczeństwa i czystość mórz i oceanów, ochrony na nich, a także zrównoważonego zarządzania nimi – czyli  zapewnienie dofinansowania dla projektów przyczyniających się do Wzmocnienia zrównoważonego zarządzania morzami i oceanami poprzez propagowanie wiedzy o morzu, nadzoru morskiego lub współpracy straży przybrzeżnej.</w:t>
      </w:r>
    </w:p>
    <w:p w14:paraId="60C92F35" w14:textId="77777777" w:rsidR="00F24143" w:rsidRPr="00F24143" w:rsidRDefault="00F24143" w:rsidP="00F241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Pomoc Techniczna – czyli zapewnienie systemowego wsparcia administracyjnego w realizacji programu.</w:t>
      </w:r>
    </w:p>
    <w:p w14:paraId="2124F759" w14:textId="77777777" w:rsidR="00F24143" w:rsidRPr="00F24143" w:rsidRDefault="003050A5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F24143"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Program jest skierowany m.in. do:</w:t>
      </w:r>
    </w:p>
    <w:p w14:paraId="2231C4CF" w14:textId="77777777"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podmiotów prowadzących działalność w zakresie rybołówstwa morskiego, rybołówstwa śródlądowego, chowu i hodowli ryb, przetwarzania i obrotu produktami rybołówstwa i akwakultury,</w:t>
      </w:r>
    </w:p>
    <w:p w14:paraId="6A580ADE" w14:textId="77777777"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Rybackich Lokalnych Grup Działania,</w:t>
      </w:r>
    </w:p>
    <w:p w14:paraId="4EA5E667" w14:textId="77777777"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14:paraId="4D84CBA5" w14:textId="77777777"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sektora nauki,</w:t>
      </w:r>
    </w:p>
    <w:p w14:paraId="7A8544B1" w14:textId="77777777" w:rsidR="00F24143" w:rsidRPr="00F24143" w:rsidRDefault="00F24143" w:rsidP="00F241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administracji.</w:t>
      </w:r>
    </w:p>
    <w:p w14:paraId="65A92CA4" w14:textId="77777777"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W programie będą wdrażane wszystkie 4 priorytety EFMRA: </w:t>
      </w:r>
    </w:p>
    <w:p w14:paraId="2622709D" w14:textId="77777777" w:rsidR="00F24143" w:rsidRPr="00F24143" w:rsidRDefault="00F24143" w:rsidP="003050A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1 - Wspieranie zrównoważonego rybołówstwa oraz odbudowy i ochrony żywych zasobów wodnych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ten obejmuje wzmocnienie działalności połowowej zrównoważonej pod względem gospodarczym, społecznym i środowiskowym, takie jak projekty innowacyjne w zakresie opracowania i stosowania alternatywnych metod, technik lub technologii połowu czy poszukiwania metod ochrony połowów, zróżnicowanie działalności rybackiej, takie jak budowa smażalni, wędzarni czy zakup środków transportu, poprawę warunków i bezpieczeństwa pracy, takie jak modernizacja statków rybackich, zakup sprzętu rybackiego czy inwestycje infrastrukturalne w portach i miejscach wyładunku ryb, zmniejszenie emisji CO2 polegające na wymianie silników na statkach rybackich, ochronę i odbudowę wodnej różnorodności biologicznej i ekosystemów wodnych, takie jak zbieranie i utylizacja utraconych narzędzi połowowych czy budowa przepławek w celu przywracania ekologicznej ciągłości rzek. </w:t>
      </w:r>
    </w:p>
    <w:p w14:paraId="1246F321" w14:textId="77777777" w:rsidR="00F24143" w:rsidRPr="00F24143" w:rsidRDefault="00F24143" w:rsidP="003050A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2 - Wspieranie zrównoważonej działalności w zakresie akwakultury oraz przetwarzania i wprowadzania do obrotu produktów rybołówstwa i akwakultury, przyczyniając się w ten sposób do bezpieczeństwa żywnościowego w Unii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Inwestycje realizowane w ramach tego priorytetu to propagowanie zrównoważonej działalności w zakresie akwakultury, w szczególności </w:t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zwiększanie konkurencyjności produkcji akwakultury przy zapewnieniu, aby działalność ta była zrównoważona środowiskowo w perspektywie długoterminowej, takie jak projekty związane z modernizacją sprzętu i urządzeń wykorzystywanych w gospodarstwach akwakultury, projekty związane z poprawą efektywności energetycznej gospodarstw, inwestycje w technologie redukujące zużycie wody i zwiększające zdolność jej retencjonowania czy inwestycje mające na celu różnicowanie dochodów gospodarstw akwakultury m.in. przez rozbudowę łowisk i bazy gastronomiczno-turystycznej, propagowanie wprowadzania do obrotu, jakości i wartości dodanej produktów rybołówstwa i akwakultury, a także przetwarzania tych produktów, takie jak zakup lub modernizację maszyn, urządzeń i ciągów technologicznych przeznaczonych do pakowania produktów rybołówstwa, operacje poprawiające bezpieczeństwo, higienę i warunki pracy czy wprowadzanie na rynek nowych produktów. </w:t>
      </w:r>
    </w:p>
    <w:p w14:paraId="46EA0664" w14:textId="77777777" w:rsidR="00F24143" w:rsidRPr="00F24143" w:rsidRDefault="00F24143" w:rsidP="003050A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3 - Sprzyjanie zrównoważonej niebieskiej gospodarce na obszarach przybrzeżnych, wyspiarskich i śródlądowych oraz wspieranie rozwoju społeczności rybackich i sektora akwakultury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Środki z tego priorytetu będą realizowane na poprawę jakości życia (dobrostanu społecznego) i możliwości twórczego korzystania z dóbr cywilizacji, oświaty i kultury (dobrostan kulturowy) na terenach zależnych od rybactwa i akwakultury, takie jak operacje wspierające zróżnicowanie działalności podmiotów tradycyjnie związanych z rybactwem, projekty związane z rozwijaniem ogólnodostępnej infrastruktury rekreacyjno-turystycznej, budową izb pamięci i ścieżek edukacyjnych czy promowaniem dziedzictwa kulturowego związanego z rybactwem. </w:t>
      </w:r>
    </w:p>
    <w:p w14:paraId="1B03F628" w14:textId="77777777" w:rsidR="00F24143" w:rsidRPr="00F24143" w:rsidRDefault="00F24143" w:rsidP="003050A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Priorytet 4 -  Wzmocnienie międzynarodowego zarządzania oceanami oraz przyczynianie się do zapewnienia bezpieczeństwa i czystości mórz i oceanów, ochrony na nich, a także zrównoważonego zarządzania nimi. </w:t>
      </w:r>
      <w:r w:rsidR="003050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Inwestycje realizowane w ramach tego priorytetu to wzmocnienie zrównoważonego zarządzania morzami i oceanami poprzez propagowanie wiedzy o morzu, nadzoru morskiego lub współpracy straży przybrzeżnej, takie jak zakup i modernizacja środków technicznych służących do prowadzenia badań i zbierania danych o stanie środowiska morskiego czy środków technicznych służących do wykonywania zadań związanych z kontrolą rybołówstwa.</w:t>
      </w:r>
    </w:p>
    <w:p w14:paraId="02072F7B" w14:textId="77777777" w:rsidR="00F24143" w:rsidRPr="00F24143" w:rsidRDefault="00F24143" w:rsidP="00F24143">
      <w:pPr>
        <w:shd w:val="clear" w:color="auto" w:fill="FFFFFF"/>
        <w:spacing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Oczekiwane rezultaty </w:t>
      </w:r>
    </w:p>
    <w:p w14:paraId="68B53814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Operacje realizowane przez beneficjentów programu przyczynią się do poprawy odporności i stabilności sektora rybackiego m.in. przez poprawę konkurencyjności i rentowności podmiotów działających w branżach rybołówstwa, akwakultury i przetwórstwa oraz branż z nimi powiązanych.</w:t>
      </w:r>
    </w:p>
    <w:p w14:paraId="0B355287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Wsparcie finansowe udzielane z programu przyniesie także zbiorową korzyść dla lokalnych społeczności na przykład przez popularyzację produktów rybnych, zróżnicowanie dochodów mieszkańców tradycyjnie utrzymujących się z rybactwa czy, jak w przypadku terenów nadmorskich wkład programu w zbalansowanie i poprawę kondycji floty rybackiej.</w:t>
      </w:r>
    </w:p>
    <w:p w14:paraId="17ABC7CF" w14:textId="77777777" w:rsidR="00F24143" w:rsidRPr="00F24143" w:rsidRDefault="00F24143" w:rsidP="00F241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241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Program oddziaływać będzie także na ogół społeczeństwa na przykład przez realizację operacji z zakresu poprawy stanu środowiska i stanu wiedzy na jego temat. </w:t>
      </w:r>
    </w:p>
    <w:p w14:paraId="341CFD9B" w14:textId="77777777" w:rsidR="00F24143" w:rsidRPr="00F24143" w:rsidRDefault="00F24143" w:rsidP="00F24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4143" w:rsidRPr="00F24143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88D0" w14:textId="77777777" w:rsidR="005B7207" w:rsidRDefault="005B7207" w:rsidP="00F24143">
      <w:pPr>
        <w:spacing w:after="0" w:line="240" w:lineRule="auto"/>
      </w:pPr>
      <w:r>
        <w:separator/>
      </w:r>
    </w:p>
  </w:endnote>
  <w:endnote w:type="continuationSeparator" w:id="0">
    <w:p w14:paraId="5D3129FB" w14:textId="77777777" w:rsidR="005B7207" w:rsidRDefault="005B7207" w:rsidP="00F2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6861" w14:textId="77777777" w:rsidR="005B7207" w:rsidRDefault="005B7207" w:rsidP="00F24143">
      <w:pPr>
        <w:spacing w:after="0" w:line="240" w:lineRule="auto"/>
      </w:pPr>
      <w:r>
        <w:separator/>
      </w:r>
    </w:p>
  </w:footnote>
  <w:footnote w:type="continuationSeparator" w:id="0">
    <w:p w14:paraId="39648AD7" w14:textId="77777777" w:rsidR="005B7207" w:rsidRDefault="005B7207" w:rsidP="00F2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DA4C" w14:textId="53FEF278" w:rsidR="00F24143" w:rsidRDefault="004E67B6" w:rsidP="00F24143">
    <w:pPr>
      <w:rPr>
        <w:color w:val="000000" w:themeColor="text1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EC2B50F" wp14:editId="76A8C6FF">
          <wp:simplePos x="0" y="0"/>
          <wp:positionH relativeFrom="margin">
            <wp:align>center</wp:align>
          </wp:positionH>
          <wp:positionV relativeFrom="paragraph">
            <wp:posOffset>-6350</wp:posOffset>
          </wp:positionV>
          <wp:extent cx="988060" cy="35052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1FE131C6" wp14:editId="5143D382">
          <wp:simplePos x="0" y="0"/>
          <wp:positionH relativeFrom="column">
            <wp:posOffset>259080</wp:posOffset>
          </wp:positionH>
          <wp:positionV relativeFrom="paragraph">
            <wp:posOffset>-59055</wp:posOffset>
          </wp:positionV>
          <wp:extent cx="1043940" cy="438785"/>
          <wp:effectExtent l="19050" t="0" r="3810" b="0"/>
          <wp:wrapNone/>
          <wp:docPr id="5" name="Obraz 1" descr="FER_RP_UE_RGB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R_RP_UE_RGB_poziom_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19A0D60C" wp14:editId="44F6C904">
          <wp:simplePos x="0" y="0"/>
          <wp:positionH relativeFrom="column">
            <wp:posOffset>4242435</wp:posOffset>
          </wp:positionH>
          <wp:positionV relativeFrom="paragraph">
            <wp:posOffset>82550</wp:posOffset>
          </wp:positionV>
          <wp:extent cx="1172210" cy="299720"/>
          <wp:effectExtent l="1905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4143">
      <w:rPr>
        <w:color w:val="000000" w:themeColor="text1"/>
      </w:rPr>
      <w:t xml:space="preserve">  </w:t>
    </w:r>
  </w:p>
  <w:p w14:paraId="78E667A7" w14:textId="77777777" w:rsidR="00F24143" w:rsidRPr="00F24143" w:rsidRDefault="00F24143" w:rsidP="00F24143">
    <w:pPr>
      <w:rPr>
        <w:color w:val="000000" w:themeColor="text1"/>
      </w:rPr>
    </w:pPr>
    <w:r>
      <w:rPr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A0D"/>
    <w:multiLevelType w:val="multilevel"/>
    <w:tmpl w:val="10D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38F"/>
    <w:multiLevelType w:val="multilevel"/>
    <w:tmpl w:val="F0D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434A9"/>
    <w:multiLevelType w:val="multilevel"/>
    <w:tmpl w:val="E72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604D"/>
    <w:multiLevelType w:val="multilevel"/>
    <w:tmpl w:val="71A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E128D"/>
    <w:multiLevelType w:val="multilevel"/>
    <w:tmpl w:val="A99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A79DB"/>
    <w:multiLevelType w:val="multilevel"/>
    <w:tmpl w:val="22BC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305AC"/>
    <w:multiLevelType w:val="multilevel"/>
    <w:tmpl w:val="9A08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144773">
    <w:abstractNumId w:val="5"/>
  </w:num>
  <w:num w:numId="2" w16cid:durableId="1730689892">
    <w:abstractNumId w:val="1"/>
  </w:num>
  <w:num w:numId="3" w16cid:durableId="1601251778">
    <w:abstractNumId w:val="0"/>
  </w:num>
  <w:num w:numId="4" w16cid:durableId="1477843370">
    <w:abstractNumId w:val="4"/>
  </w:num>
  <w:num w:numId="5" w16cid:durableId="572082613">
    <w:abstractNumId w:val="6"/>
  </w:num>
  <w:num w:numId="6" w16cid:durableId="348147783">
    <w:abstractNumId w:val="2"/>
  </w:num>
  <w:num w:numId="7" w16cid:durableId="1578443008">
    <w:abstractNumId w:val="3"/>
  </w:num>
  <w:num w:numId="8" w16cid:durableId="24388470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 w16cid:durableId="4013841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 w16cid:durableId="30659226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 w16cid:durableId="136886726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43"/>
    <w:rsid w:val="000E0DF9"/>
    <w:rsid w:val="001154BE"/>
    <w:rsid w:val="002A111C"/>
    <w:rsid w:val="00300859"/>
    <w:rsid w:val="003050A5"/>
    <w:rsid w:val="004E67B6"/>
    <w:rsid w:val="005B7207"/>
    <w:rsid w:val="00644DD2"/>
    <w:rsid w:val="007C0BE3"/>
    <w:rsid w:val="007E6C20"/>
    <w:rsid w:val="009B6971"/>
    <w:rsid w:val="00A85BD7"/>
    <w:rsid w:val="00B05883"/>
    <w:rsid w:val="00F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5326D"/>
  <w15:docId w15:val="{95F55D38-D414-435C-AF4D-87DD9EE7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BE3"/>
  </w:style>
  <w:style w:type="paragraph" w:styleId="Nagwek2">
    <w:name w:val="heading 2"/>
    <w:basedOn w:val="Normalny"/>
    <w:link w:val="Nagwek2Znak"/>
    <w:uiPriority w:val="9"/>
    <w:qFormat/>
    <w:rsid w:val="00F2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24143"/>
  </w:style>
  <w:style w:type="paragraph" w:styleId="Stopka">
    <w:name w:val="footer"/>
    <w:basedOn w:val="Normalny"/>
    <w:link w:val="StopkaZnak"/>
    <w:uiPriority w:val="99"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143"/>
  </w:style>
  <w:style w:type="character" w:customStyle="1" w:styleId="Nagwek2Znak">
    <w:name w:val="Nagłówek 2 Znak"/>
    <w:basedOn w:val="Domylnaczcionkaakapitu"/>
    <w:link w:val="Nagwek2"/>
    <w:uiPriority w:val="9"/>
    <w:rsid w:val="00F241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Olszewski PSR</cp:lastModifiedBy>
  <cp:revision>3</cp:revision>
  <cp:lastPrinted>2024-12-17T07:21:00Z</cp:lastPrinted>
  <dcterms:created xsi:type="dcterms:W3CDTF">2026-03-09T12:04:00Z</dcterms:created>
  <dcterms:modified xsi:type="dcterms:W3CDTF">2026-03-09T12:05:00Z</dcterms:modified>
</cp:coreProperties>
</file>