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EFCA" w14:textId="0B2DBD89" w:rsidR="00D542AD" w:rsidRPr="00D542AD" w:rsidRDefault="00D542AD" w:rsidP="00D542AD">
      <w:pPr>
        <w:pStyle w:val="Tytu"/>
        <w:spacing w:before="2040"/>
        <w:rPr>
          <w:lang w:val="pl-PL"/>
        </w:rPr>
      </w:pPr>
      <w:bookmarkStart w:id="0" w:name="_Hlk173243165"/>
      <w:bookmarkEnd w:id="0"/>
      <w:r w:rsidRPr="00D542AD">
        <w:rPr>
          <w:lang w:val="pl-PL"/>
        </w:rPr>
        <w:t>INFORMACJA KWARTALNA O STANIE FINANSÓW PUBLICZNYCH W I</w:t>
      </w:r>
      <w:r w:rsidR="001034D3">
        <w:rPr>
          <w:lang w:val="pl-PL"/>
        </w:rPr>
        <w:t>I</w:t>
      </w:r>
      <w:r w:rsidR="00E27F77">
        <w:rPr>
          <w:lang w:val="pl-PL"/>
        </w:rPr>
        <w:t>I</w:t>
      </w:r>
      <w:r w:rsidR="00231FA8">
        <w:rPr>
          <w:lang w:val="pl-PL"/>
        </w:rPr>
        <w:tab/>
      </w:r>
      <w:r w:rsidRPr="00D542AD">
        <w:rPr>
          <w:lang w:val="pl-PL"/>
        </w:rPr>
        <w:t xml:space="preserve"> KWARTALE 202</w:t>
      </w:r>
      <w:r w:rsidR="00F72F45">
        <w:rPr>
          <w:lang w:val="pl-PL"/>
        </w:rPr>
        <w:t>5</w:t>
      </w:r>
      <w:r w:rsidRPr="00D542AD">
        <w:rPr>
          <w:lang w:val="pl-PL"/>
        </w:rPr>
        <w:t xml:space="preserve"> roku </w:t>
      </w:r>
    </w:p>
    <w:p w14:paraId="5495D23A" w14:textId="27D52E1B" w:rsidR="009C0B1C" w:rsidRPr="00D542AD" w:rsidRDefault="00D542AD" w:rsidP="002302CF">
      <w:pPr>
        <w:pStyle w:val="Podtytu"/>
      </w:pPr>
      <w:r>
        <w:t xml:space="preserve">Nr </w:t>
      </w:r>
      <w:r w:rsidR="001034D3">
        <w:t>1</w:t>
      </w:r>
      <w:r>
        <w:t xml:space="preserve"> / 202</w:t>
      </w:r>
      <w:r w:rsidR="001034D3">
        <w:t>6</w:t>
      </w:r>
    </w:p>
    <w:p w14:paraId="12AEDD9B" w14:textId="77777777" w:rsidR="00D542AD" w:rsidRDefault="00D542AD" w:rsidP="00D542AD">
      <w:pPr>
        <w:rPr>
          <w:rFonts w:eastAsiaTheme="majorEastAsia" w:cstheme="majorBidi"/>
          <w:sz w:val="32"/>
          <w:szCs w:val="32"/>
        </w:rPr>
      </w:pPr>
      <w:r>
        <w:br w:type="page"/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2110614717"/>
        <w:docPartObj>
          <w:docPartGallery w:val="Table of Contents"/>
          <w:docPartUnique/>
        </w:docPartObj>
      </w:sdtPr>
      <w:sdtEndPr>
        <w:rPr>
          <w:rFonts w:ascii="Lato" w:hAnsi="Lato"/>
          <w:sz w:val="24"/>
        </w:rPr>
      </w:sdtEndPr>
      <w:sdtContent>
        <w:p w14:paraId="59783150" w14:textId="77777777" w:rsidR="004A0A8C" w:rsidRPr="004A0A8C" w:rsidRDefault="004A0A8C" w:rsidP="00D542AD">
          <w:pPr>
            <w:pStyle w:val="Nagwekspisutreci"/>
          </w:pPr>
          <w:proofErr w:type="spellStart"/>
          <w:r w:rsidRPr="004A0A8C">
            <w:t>Spis</w:t>
          </w:r>
          <w:proofErr w:type="spellEnd"/>
          <w:r w:rsidRPr="004A0A8C">
            <w:t xml:space="preserve"> </w:t>
          </w:r>
          <w:proofErr w:type="spellStart"/>
          <w:r w:rsidRPr="004A0A8C">
            <w:t>treści</w:t>
          </w:r>
          <w:proofErr w:type="spellEnd"/>
          <w:r>
            <w:t xml:space="preserve"> </w:t>
          </w:r>
        </w:p>
        <w:p w14:paraId="01B7FA6E" w14:textId="2F62D9A3" w:rsidR="004148D7" w:rsidRDefault="004A0A8C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932595" w:history="1">
            <w:r w:rsidR="004148D7" w:rsidRPr="004D13C4">
              <w:rPr>
                <w:rStyle w:val="Hipercze"/>
                <w:noProof/>
                <w:lang w:val="pl-PL"/>
              </w:rPr>
              <w:t>Podstawowe wskaźniki stanu sektora instytucji rządowych i samorządowych wg ESA2010 w III kw. 2025 r.</w:t>
            </w:r>
            <w:r w:rsidR="004148D7">
              <w:rPr>
                <w:noProof/>
                <w:webHidden/>
              </w:rPr>
              <w:tab/>
            </w:r>
            <w:r w:rsidR="004148D7">
              <w:rPr>
                <w:noProof/>
                <w:webHidden/>
              </w:rPr>
              <w:fldChar w:fldCharType="begin"/>
            </w:r>
            <w:r w:rsidR="004148D7">
              <w:rPr>
                <w:noProof/>
                <w:webHidden/>
              </w:rPr>
              <w:instrText xml:space="preserve"> PAGEREF _Toc220932595 \h </w:instrText>
            </w:r>
            <w:r w:rsidR="004148D7">
              <w:rPr>
                <w:noProof/>
                <w:webHidden/>
              </w:rPr>
            </w:r>
            <w:r w:rsidR="004148D7">
              <w:rPr>
                <w:noProof/>
                <w:webHidden/>
              </w:rPr>
              <w:fldChar w:fldCharType="separate"/>
            </w:r>
            <w:r w:rsidR="00B24412">
              <w:rPr>
                <w:noProof/>
                <w:webHidden/>
              </w:rPr>
              <w:t>3</w:t>
            </w:r>
            <w:r w:rsidR="004148D7">
              <w:rPr>
                <w:noProof/>
                <w:webHidden/>
              </w:rPr>
              <w:fldChar w:fldCharType="end"/>
            </w:r>
          </w:hyperlink>
        </w:p>
        <w:p w14:paraId="0A0F1226" w14:textId="04C1A0F9" w:rsidR="004148D7" w:rsidRDefault="00B2441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220932596" w:history="1">
            <w:r w:rsidR="004148D7" w:rsidRPr="004D13C4">
              <w:rPr>
                <w:rStyle w:val="Hipercze"/>
                <w:noProof/>
                <w:lang w:val="pl-PL"/>
              </w:rPr>
              <w:t>Wstęp</w:t>
            </w:r>
            <w:r w:rsidR="004148D7">
              <w:rPr>
                <w:noProof/>
                <w:webHidden/>
              </w:rPr>
              <w:tab/>
            </w:r>
            <w:r w:rsidR="004148D7">
              <w:rPr>
                <w:noProof/>
                <w:webHidden/>
              </w:rPr>
              <w:fldChar w:fldCharType="begin"/>
            </w:r>
            <w:r w:rsidR="004148D7">
              <w:rPr>
                <w:noProof/>
                <w:webHidden/>
              </w:rPr>
              <w:instrText xml:space="preserve"> PAGEREF _Toc220932596 \h </w:instrText>
            </w:r>
            <w:r w:rsidR="004148D7">
              <w:rPr>
                <w:noProof/>
                <w:webHidden/>
              </w:rPr>
            </w:r>
            <w:r w:rsidR="004148D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4148D7">
              <w:rPr>
                <w:noProof/>
                <w:webHidden/>
              </w:rPr>
              <w:fldChar w:fldCharType="end"/>
            </w:r>
          </w:hyperlink>
        </w:p>
        <w:p w14:paraId="7F37FA85" w14:textId="7650AC60" w:rsidR="004148D7" w:rsidRDefault="00B24412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220932597" w:history="1">
            <w:r w:rsidR="004148D7" w:rsidRPr="004D13C4">
              <w:rPr>
                <w:rStyle w:val="Hipercze"/>
                <w:noProof/>
                <w:lang w:val="pl-PL"/>
              </w:rPr>
              <w:t>1.</w:t>
            </w:r>
            <w:r w:rsidR="004148D7">
              <w:rPr>
                <w:rFonts w:asciiTheme="minorHAnsi" w:eastAsiaTheme="minorEastAsia" w:hAnsiTheme="minorHAnsi"/>
                <w:noProof/>
                <w:sz w:val="22"/>
                <w:lang w:val="pl-PL" w:eastAsia="pl-PL"/>
              </w:rPr>
              <w:tab/>
            </w:r>
            <w:r w:rsidR="004148D7" w:rsidRPr="004D13C4">
              <w:rPr>
                <w:rStyle w:val="Hipercze"/>
                <w:noProof/>
                <w:lang w:val="pl-PL"/>
              </w:rPr>
              <w:t>Wynik, dochody oraz wydatki w III kw. 2025 r.</w:t>
            </w:r>
            <w:r w:rsidR="004148D7">
              <w:rPr>
                <w:noProof/>
                <w:webHidden/>
              </w:rPr>
              <w:tab/>
            </w:r>
            <w:r w:rsidR="004148D7">
              <w:rPr>
                <w:noProof/>
                <w:webHidden/>
              </w:rPr>
              <w:fldChar w:fldCharType="begin"/>
            </w:r>
            <w:r w:rsidR="004148D7">
              <w:rPr>
                <w:noProof/>
                <w:webHidden/>
              </w:rPr>
              <w:instrText xml:space="preserve"> PAGEREF _Toc220932597 \h </w:instrText>
            </w:r>
            <w:r w:rsidR="004148D7">
              <w:rPr>
                <w:noProof/>
                <w:webHidden/>
              </w:rPr>
            </w:r>
            <w:r w:rsidR="004148D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4148D7">
              <w:rPr>
                <w:noProof/>
                <w:webHidden/>
              </w:rPr>
              <w:fldChar w:fldCharType="end"/>
            </w:r>
          </w:hyperlink>
        </w:p>
        <w:p w14:paraId="2192B26D" w14:textId="4B24E9BD" w:rsidR="004148D7" w:rsidRDefault="00B24412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220932598" w:history="1">
            <w:r w:rsidR="004148D7" w:rsidRPr="004D13C4">
              <w:rPr>
                <w:rStyle w:val="Hipercze"/>
                <w:noProof/>
                <w:lang w:val="pl-PL"/>
              </w:rPr>
              <w:t>1.1. Wynik</w:t>
            </w:r>
            <w:r w:rsidR="004148D7">
              <w:rPr>
                <w:noProof/>
                <w:webHidden/>
              </w:rPr>
              <w:tab/>
            </w:r>
            <w:r w:rsidR="004148D7">
              <w:rPr>
                <w:noProof/>
                <w:webHidden/>
              </w:rPr>
              <w:fldChar w:fldCharType="begin"/>
            </w:r>
            <w:r w:rsidR="004148D7">
              <w:rPr>
                <w:noProof/>
                <w:webHidden/>
              </w:rPr>
              <w:instrText xml:space="preserve"> PAGEREF _Toc220932598 \h </w:instrText>
            </w:r>
            <w:r w:rsidR="004148D7">
              <w:rPr>
                <w:noProof/>
                <w:webHidden/>
              </w:rPr>
            </w:r>
            <w:r w:rsidR="004148D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4148D7">
              <w:rPr>
                <w:noProof/>
                <w:webHidden/>
              </w:rPr>
              <w:fldChar w:fldCharType="end"/>
            </w:r>
          </w:hyperlink>
        </w:p>
        <w:p w14:paraId="13D3BC5E" w14:textId="2DDBFED1" w:rsidR="004148D7" w:rsidRDefault="00B24412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220932599" w:history="1">
            <w:r w:rsidR="004148D7" w:rsidRPr="004D13C4">
              <w:rPr>
                <w:rStyle w:val="Hipercze"/>
                <w:noProof/>
                <w:lang w:val="pl-PL"/>
              </w:rPr>
              <w:t>1.2. Dochody</w:t>
            </w:r>
            <w:r w:rsidR="004148D7">
              <w:rPr>
                <w:noProof/>
                <w:webHidden/>
              </w:rPr>
              <w:tab/>
            </w:r>
            <w:r w:rsidR="004148D7">
              <w:rPr>
                <w:noProof/>
                <w:webHidden/>
              </w:rPr>
              <w:fldChar w:fldCharType="begin"/>
            </w:r>
            <w:r w:rsidR="004148D7">
              <w:rPr>
                <w:noProof/>
                <w:webHidden/>
              </w:rPr>
              <w:instrText xml:space="preserve"> PAGEREF _Toc220932599 \h </w:instrText>
            </w:r>
            <w:r w:rsidR="004148D7">
              <w:rPr>
                <w:noProof/>
                <w:webHidden/>
              </w:rPr>
            </w:r>
            <w:r w:rsidR="004148D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4148D7">
              <w:rPr>
                <w:noProof/>
                <w:webHidden/>
              </w:rPr>
              <w:fldChar w:fldCharType="end"/>
            </w:r>
          </w:hyperlink>
        </w:p>
        <w:p w14:paraId="3CEE218A" w14:textId="7737199B" w:rsidR="004148D7" w:rsidRDefault="00B24412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220932600" w:history="1">
            <w:r w:rsidR="004148D7" w:rsidRPr="004D13C4">
              <w:rPr>
                <w:rStyle w:val="Hipercze"/>
                <w:noProof/>
                <w:lang w:val="pl-PL"/>
              </w:rPr>
              <w:t>1.3. Wydatki</w:t>
            </w:r>
            <w:r w:rsidR="004148D7">
              <w:rPr>
                <w:noProof/>
                <w:webHidden/>
              </w:rPr>
              <w:tab/>
            </w:r>
            <w:r w:rsidR="004148D7">
              <w:rPr>
                <w:noProof/>
                <w:webHidden/>
              </w:rPr>
              <w:fldChar w:fldCharType="begin"/>
            </w:r>
            <w:r w:rsidR="004148D7">
              <w:rPr>
                <w:noProof/>
                <w:webHidden/>
              </w:rPr>
              <w:instrText xml:space="preserve"> PAGEREF _Toc220932600 \h </w:instrText>
            </w:r>
            <w:r w:rsidR="004148D7">
              <w:rPr>
                <w:noProof/>
                <w:webHidden/>
              </w:rPr>
            </w:r>
            <w:r w:rsidR="004148D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4148D7">
              <w:rPr>
                <w:noProof/>
                <w:webHidden/>
              </w:rPr>
              <w:fldChar w:fldCharType="end"/>
            </w:r>
          </w:hyperlink>
        </w:p>
        <w:p w14:paraId="1689783D" w14:textId="436CCB11" w:rsidR="004148D7" w:rsidRDefault="00B24412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220932601" w:history="1">
            <w:r w:rsidR="004148D7" w:rsidRPr="004D13C4">
              <w:rPr>
                <w:rStyle w:val="Hipercze"/>
                <w:noProof/>
                <w:lang w:val="pl-PL"/>
              </w:rPr>
              <w:t>2.</w:t>
            </w:r>
            <w:r w:rsidR="004148D7">
              <w:rPr>
                <w:rFonts w:asciiTheme="minorHAnsi" w:eastAsiaTheme="minorEastAsia" w:hAnsiTheme="minorHAnsi"/>
                <w:noProof/>
                <w:sz w:val="22"/>
                <w:lang w:val="pl-PL" w:eastAsia="pl-PL"/>
              </w:rPr>
              <w:tab/>
            </w:r>
            <w:r w:rsidR="004148D7" w:rsidRPr="004D13C4">
              <w:rPr>
                <w:rStyle w:val="Hipercze"/>
                <w:noProof/>
                <w:lang w:val="pl-PL"/>
              </w:rPr>
              <w:t>Dług publiczny oraz potrzeby pożyczkowe</w:t>
            </w:r>
            <w:r w:rsidR="004148D7">
              <w:rPr>
                <w:noProof/>
                <w:webHidden/>
              </w:rPr>
              <w:tab/>
            </w:r>
            <w:r w:rsidR="004148D7">
              <w:rPr>
                <w:noProof/>
                <w:webHidden/>
              </w:rPr>
              <w:fldChar w:fldCharType="begin"/>
            </w:r>
            <w:r w:rsidR="004148D7">
              <w:rPr>
                <w:noProof/>
                <w:webHidden/>
              </w:rPr>
              <w:instrText xml:space="preserve"> PAGEREF _Toc220932601 \h </w:instrText>
            </w:r>
            <w:r w:rsidR="004148D7">
              <w:rPr>
                <w:noProof/>
                <w:webHidden/>
              </w:rPr>
            </w:r>
            <w:r w:rsidR="004148D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4148D7">
              <w:rPr>
                <w:noProof/>
                <w:webHidden/>
              </w:rPr>
              <w:fldChar w:fldCharType="end"/>
            </w:r>
          </w:hyperlink>
        </w:p>
        <w:p w14:paraId="32D66C1E" w14:textId="6E399176" w:rsidR="004148D7" w:rsidRDefault="00B24412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220932602" w:history="1">
            <w:r w:rsidR="004148D7" w:rsidRPr="004D13C4">
              <w:rPr>
                <w:rStyle w:val="Hipercze"/>
                <w:noProof/>
                <w:lang w:val="pl-PL"/>
              </w:rPr>
              <w:t>2.1. Dług sektora instytucji rządowych i samorządowych (wg definicji UE)</w:t>
            </w:r>
            <w:r w:rsidR="004148D7">
              <w:rPr>
                <w:noProof/>
                <w:webHidden/>
              </w:rPr>
              <w:tab/>
            </w:r>
            <w:r w:rsidR="004148D7">
              <w:rPr>
                <w:noProof/>
                <w:webHidden/>
              </w:rPr>
              <w:fldChar w:fldCharType="begin"/>
            </w:r>
            <w:r w:rsidR="004148D7">
              <w:rPr>
                <w:noProof/>
                <w:webHidden/>
              </w:rPr>
              <w:instrText xml:space="preserve"> PAGEREF _Toc220932602 \h </w:instrText>
            </w:r>
            <w:r w:rsidR="004148D7">
              <w:rPr>
                <w:noProof/>
                <w:webHidden/>
              </w:rPr>
            </w:r>
            <w:r w:rsidR="004148D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4148D7">
              <w:rPr>
                <w:noProof/>
                <w:webHidden/>
              </w:rPr>
              <w:fldChar w:fldCharType="end"/>
            </w:r>
          </w:hyperlink>
        </w:p>
        <w:p w14:paraId="66FE77F7" w14:textId="3BC86339" w:rsidR="004148D7" w:rsidRDefault="00B24412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220932603" w:history="1">
            <w:r w:rsidR="004148D7" w:rsidRPr="004D13C4">
              <w:rPr>
                <w:rStyle w:val="Hipercze"/>
                <w:noProof/>
                <w:lang w:val="pl-PL"/>
              </w:rPr>
              <w:t>2.2. Potrzeby pożyczkowe budżetu państwa i ich finansowanie w III kw. 2025 r.</w:t>
            </w:r>
            <w:r w:rsidR="004148D7">
              <w:rPr>
                <w:noProof/>
                <w:webHidden/>
              </w:rPr>
              <w:tab/>
            </w:r>
            <w:r w:rsidR="004148D7">
              <w:rPr>
                <w:noProof/>
                <w:webHidden/>
              </w:rPr>
              <w:fldChar w:fldCharType="begin"/>
            </w:r>
            <w:r w:rsidR="004148D7">
              <w:rPr>
                <w:noProof/>
                <w:webHidden/>
              </w:rPr>
              <w:instrText xml:space="preserve"> PAGEREF _Toc220932603 \h </w:instrText>
            </w:r>
            <w:r w:rsidR="004148D7">
              <w:rPr>
                <w:noProof/>
                <w:webHidden/>
              </w:rPr>
            </w:r>
            <w:r w:rsidR="004148D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4148D7">
              <w:rPr>
                <w:noProof/>
                <w:webHidden/>
              </w:rPr>
              <w:fldChar w:fldCharType="end"/>
            </w:r>
          </w:hyperlink>
        </w:p>
        <w:p w14:paraId="4B4D19FE" w14:textId="5BE70A25" w:rsidR="004148D7" w:rsidRDefault="00B2441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220932604" w:history="1">
            <w:r w:rsidR="004148D7" w:rsidRPr="004D13C4">
              <w:rPr>
                <w:rStyle w:val="Hipercze"/>
                <w:noProof/>
                <w:lang w:val="pl-PL"/>
              </w:rPr>
              <w:t>ANEKS STATYSTYCZNY</w:t>
            </w:r>
            <w:r w:rsidR="004148D7">
              <w:rPr>
                <w:noProof/>
                <w:webHidden/>
              </w:rPr>
              <w:tab/>
            </w:r>
            <w:r w:rsidR="004148D7">
              <w:rPr>
                <w:noProof/>
                <w:webHidden/>
              </w:rPr>
              <w:fldChar w:fldCharType="begin"/>
            </w:r>
            <w:r w:rsidR="004148D7">
              <w:rPr>
                <w:noProof/>
                <w:webHidden/>
              </w:rPr>
              <w:instrText xml:space="preserve"> PAGEREF _Toc220932604 \h </w:instrText>
            </w:r>
            <w:r w:rsidR="004148D7">
              <w:rPr>
                <w:noProof/>
                <w:webHidden/>
              </w:rPr>
            </w:r>
            <w:r w:rsidR="004148D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4148D7">
              <w:rPr>
                <w:noProof/>
                <w:webHidden/>
              </w:rPr>
              <w:fldChar w:fldCharType="end"/>
            </w:r>
          </w:hyperlink>
        </w:p>
        <w:p w14:paraId="659F7D05" w14:textId="67EB0840" w:rsidR="004A0A8C" w:rsidRDefault="004A0A8C" w:rsidP="005745E4">
          <w:r>
            <w:fldChar w:fldCharType="end"/>
          </w:r>
        </w:p>
      </w:sdtContent>
    </w:sdt>
    <w:p w14:paraId="328C1CCE" w14:textId="1E250099" w:rsidR="004A0A8C" w:rsidRDefault="004A0A8C" w:rsidP="005745E4">
      <w:pPr>
        <w:rPr>
          <w:rFonts w:eastAsiaTheme="majorEastAsia" w:cstheme="majorBidi"/>
          <w:sz w:val="32"/>
          <w:szCs w:val="32"/>
        </w:rPr>
      </w:pPr>
      <w:r>
        <w:br w:type="page"/>
      </w:r>
    </w:p>
    <w:p w14:paraId="4439EB92" w14:textId="3F8DF9FE" w:rsidR="002302CF" w:rsidRPr="002302CF" w:rsidRDefault="002302CF" w:rsidP="002302CF">
      <w:pPr>
        <w:pStyle w:val="Nagwek2"/>
        <w:rPr>
          <w:lang w:val="pl-PL"/>
        </w:rPr>
      </w:pPr>
      <w:bookmarkStart w:id="1" w:name="_Toc220932595"/>
      <w:r w:rsidRPr="002302CF">
        <w:rPr>
          <w:lang w:val="pl-PL"/>
        </w:rPr>
        <w:lastRenderedPageBreak/>
        <w:t>Podstawowe wskaźniki stanu sektora instytucji rządowych i samor</w:t>
      </w:r>
      <w:r w:rsidR="00B62053">
        <w:rPr>
          <w:lang w:val="pl-PL"/>
        </w:rPr>
        <w:t xml:space="preserve">ządowych wg ESA2010 w </w:t>
      </w:r>
      <w:r w:rsidR="003022D6">
        <w:rPr>
          <w:lang w:val="pl-PL"/>
        </w:rPr>
        <w:t>I</w:t>
      </w:r>
      <w:r w:rsidR="0032189A">
        <w:rPr>
          <w:lang w:val="pl-PL"/>
        </w:rPr>
        <w:t>I</w:t>
      </w:r>
      <w:r w:rsidR="001F6067">
        <w:rPr>
          <w:lang w:val="pl-PL"/>
        </w:rPr>
        <w:t>I</w:t>
      </w:r>
      <w:r w:rsidR="00B62053">
        <w:rPr>
          <w:lang w:val="pl-PL"/>
        </w:rPr>
        <w:t xml:space="preserve"> kw. 202</w:t>
      </w:r>
      <w:r w:rsidR="00F72F45">
        <w:rPr>
          <w:lang w:val="pl-PL"/>
        </w:rPr>
        <w:t>5</w:t>
      </w:r>
      <w:r w:rsidRPr="002302CF">
        <w:rPr>
          <w:lang w:val="pl-PL"/>
        </w:rPr>
        <w:t xml:space="preserve"> r.</w:t>
      </w:r>
      <w:bookmarkEnd w:id="1"/>
    </w:p>
    <w:p w14:paraId="7D0F069E" w14:textId="5C7696BD" w:rsidR="002302CF" w:rsidRP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Deficyt w </w:t>
      </w:r>
      <w:r w:rsidR="00015B8F">
        <w:rPr>
          <w:lang w:val="pl-PL"/>
        </w:rPr>
        <w:t>I</w:t>
      </w:r>
      <w:r w:rsidR="00626739">
        <w:rPr>
          <w:lang w:val="pl-PL"/>
        </w:rPr>
        <w:t>I</w:t>
      </w:r>
      <w:r w:rsidR="006F7729">
        <w:rPr>
          <w:lang w:val="pl-PL"/>
        </w:rPr>
        <w:t>I</w:t>
      </w:r>
      <w:r w:rsidRPr="002302CF">
        <w:rPr>
          <w:lang w:val="pl-PL"/>
        </w:rPr>
        <w:t xml:space="preserve"> kw. wyniósł </w:t>
      </w:r>
      <w:r w:rsidR="0029181F" w:rsidRPr="0029181F">
        <w:rPr>
          <w:rStyle w:val="Wyrnienieintensywne"/>
          <w:lang w:val="pl-PL"/>
        </w:rPr>
        <w:t xml:space="preserve"> </w:t>
      </w:r>
      <w:r w:rsidR="006F7729">
        <w:rPr>
          <w:rStyle w:val="Wyrnienieintensywne"/>
          <w:lang w:val="pl-PL"/>
        </w:rPr>
        <w:t>58,4</w:t>
      </w:r>
      <w:r w:rsidR="008A265D">
        <w:rPr>
          <w:rStyle w:val="Wyrnienieintensywne"/>
          <w:lang w:val="pl-PL"/>
        </w:rPr>
        <w:t xml:space="preserve"> </w:t>
      </w:r>
      <w:r w:rsidR="005A6209">
        <w:rPr>
          <w:rStyle w:val="Wyrnienieintensywne"/>
          <w:lang w:val="pl-PL"/>
        </w:rPr>
        <w:t>mld zł (</w:t>
      </w:r>
      <w:r w:rsidR="006F7729">
        <w:rPr>
          <w:rStyle w:val="Wyrnienieintensywne"/>
          <w:lang w:val="pl-PL"/>
        </w:rPr>
        <w:t>6,0</w:t>
      </w:r>
      <w:r w:rsidRPr="00D850FB">
        <w:rPr>
          <w:rStyle w:val="Wyrnienieintensywne"/>
          <w:lang w:val="pl-PL"/>
        </w:rPr>
        <w:t>% PKB)</w:t>
      </w:r>
      <w:r w:rsidRPr="00413A13">
        <w:rPr>
          <w:rStyle w:val="Wyrnienieintensywne"/>
          <w:color w:val="auto"/>
          <w:lang w:val="pl-PL"/>
        </w:rPr>
        <w:t>.</w:t>
      </w:r>
    </w:p>
    <w:p w14:paraId="447DDFA6" w14:textId="46A6058E" w:rsidR="002302CF" w:rsidRP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W ujęciu roku płynnego deficyt wyniósł </w:t>
      </w:r>
      <w:r w:rsidR="003022D6" w:rsidRPr="001C22D8">
        <w:rPr>
          <w:rStyle w:val="Wyrnienieintensywne"/>
          <w:lang w:val="pl-PL"/>
        </w:rPr>
        <w:t>7,0</w:t>
      </w:r>
      <w:r w:rsidRPr="009C2F53">
        <w:rPr>
          <w:rStyle w:val="Wyrnienieintensywne"/>
          <w:lang w:val="pl-PL"/>
        </w:rPr>
        <w:t>%</w:t>
      </w:r>
      <w:r w:rsidRPr="00D850FB">
        <w:rPr>
          <w:rStyle w:val="Wyrnienieintensywne"/>
          <w:lang w:val="pl-PL"/>
        </w:rPr>
        <w:t xml:space="preserve"> PKB</w:t>
      </w:r>
      <w:r w:rsidRPr="002302CF">
        <w:rPr>
          <w:lang w:val="pl-PL"/>
        </w:rPr>
        <w:t>.</w:t>
      </w:r>
    </w:p>
    <w:p w14:paraId="2BF9ADB6" w14:textId="78808D10" w:rsidR="002302CF" w:rsidRP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Deficyt wyrównany sezonowo (SA) wyniósł </w:t>
      </w:r>
      <w:r w:rsidRPr="00D850FB">
        <w:rPr>
          <w:rStyle w:val="Wyrnienieintensywne"/>
          <w:lang w:val="pl-PL"/>
        </w:rPr>
        <w:t xml:space="preserve"> </w:t>
      </w:r>
      <w:r w:rsidR="006F7729">
        <w:rPr>
          <w:rStyle w:val="Wyrnienieintensywne"/>
          <w:lang w:val="pl-PL"/>
        </w:rPr>
        <w:t>5,8</w:t>
      </w:r>
      <w:r w:rsidRPr="00D850FB">
        <w:rPr>
          <w:rStyle w:val="Wyrnienieintensywne"/>
          <w:lang w:val="pl-PL"/>
        </w:rPr>
        <w:t>%</w:t>
      </w:r>
      <w:r w:rsidR="00164CAD">
        <w:rPr>
          <w:rStyle w:val="Wyrnienieintensywne"/>
          <w:lang w:val="pl-PL"/>
        </w:rPr>
        <w:t xml:space="preserve"> </w:t>
      </w:r>
      <w:r w:rsidRPr="00D850FB">
        <w:rPr>
          <w:rStyle w:val="Wyrnienieintensywne"/>
          <w:lang w:val="pl-PL"/>
        </w:rPr>
        <w:t>PKB</w:t>
      </w:r>
      <w:r w:rsidRPr="002302CF">
        <w:rPr>
          <w:lang w:val="pl-PL"/>
        </w:rPr>
        <w:t>.</w:t>
      </w:r>
    </w:p>
    <w:p w14:paraId="2489E0C2" w14:textId="69B499AB" w:rsidR="002302CF" w:rsidRP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W Unii Europejskiej wyrównany sezonowo deficyt (SA) </w:t>
      </w:r>
      <w:r w:rsidR="006F7729">
        <w:rPr>
          <w:rStyle w:val="Wyrnienieintensywne"/>
          <w:lang w:val="pl-PL"/>
        </w:rPr>
        <w:t>3,2</w:t>
      </w:r>
      <w:r w:rsidRPr="00D850FB">
        <w:rPr>
          <w:rStyle w:val="Wyrnienieintensywne"/>
          <w:lang w:val="pl-PL"/>
        </w:rPr>
        <w:t>% PKB</w:t>
      </w:r>
      <w:r w:rsidRPr="002302CF">
        <w:rPr>
          <w:lang w:val="pl-PL"/>
        </w:rPr>
        <w:t>.</w:t>
      </w:r>
    </w:p>
    <w:p w14:paraId="58802A72" w14:textId="338A58D8" w:rsid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W 27 krajach UE deficyt wyniósł </w:t>
      </w:r>
      <w:r w:rsidRPr="003545C1">
        <w:rPr>
          <w:rStyle w:val="Wyrnienieintensywne"/>
          <w:lang w:val="pl-PL"/>
        </w:rPr>
        <w:t xml:space="preserve"> </w:t>
      </w:r>
      <w:r w:rsidR="003022D6">
        <w:rPr>
          <w:rStyle w:val="Wyrnienieintensywne"/>
          <w:lang w:val="pl-PL"/>
        </w:rPr>
        <w:t>2,</w:t>
      </w:r>
      <w:r w:rsidR="006F7729">
        <w:rPr>
          <w:rStyle w:val="Wyrnienieintensywne"/>
          <w:lang w:val="pl-PL"/>
        </w:rPr>
        <w:t>9</w:t>
      </w:r>
      <w:r w:rsidRPr="003545C1">
        <w:rPr>
          <w:rStyle w:val="Wyrnienieintensywne"/>
          <w:lang w:val="pl-PL"/>
        </w:rPr>
        <w:t>%</w:t>
      </w:r>
      <w:r w:rsidRPr="00D850FB">
        <w:rPr>
          <w:rStyle w:val="Wyrnienieintensywne"/>
          <w:lang w:val="pl-PL"/>
        </w:rPr>
        <w:t xml:space="preserve"> PKB</w:t>
      </w:r>
      <w:r w:rsidRPr="002302CF">
        <w:rPr>
          <w:lang w:val="pl-PL"/>
        </w:rPr>
        <w:t>.</w:t>
      </w:r>
    </w:p>
    <w:p w14:paraId="5C044EE4" w14:textId="7AF93DBA" w:rsidR="002302CF" w:rsidRPr="00A42C33" w:rsidRDefault="002302CF" w:rsidP="00546DF9">
      <w:pPr>
        <w:pStyle w:val="Akapitzlist"/>
        <w:spacing w:before="1200"/>
        <w:ind w:left="714" w:hanging="357"/>
        <w:rPr>
          <w:lang w:val="pl-PL"/>
        </w:rPr>
      </w:pPr>
      <w:r w:rsidRPr="00A42C33">
        <w:rPr>
          <w:lang w:val="pl-PL"/>
        </w:rPr>
        <w:t xml:space="preserve">Dług EDP na koniec </w:t>
      </w:r>
      <w:r w:rsidR="00B37D63" w:rsidRPr="00A42C33">
        <w:rPr>
          <w:lang w:val="pl-PL"/>
        </w:rPr>
        <w:t>I</w:t>
      </w:r>
      <w:r w:rsidR="00626739" w:rsidRPr="00A42C33">
        <w:rPr>
          <w:lang w:val="pl-PL"/>
        </w:rPr>
        <w:t>I</w:t>
      </w:r>
      <w:r w:rsidR="008A076B">
        <w:rPr>
          <w:lang w:val="pl-PL"/>
        </w:rPr>
        <w:t>I</w:t>
      </w:r>
      <w:r w:rsidRPr="00A42C33">
        <w:rPr>
          <w:lang w:val="pl-PL"/>
        </w:rPr>
        <w:t xml:space="preserve"> kw. 202</w:t>
      </w:r>
      <w:r w:rsidR="007F731F" w:rsidRPr="00A42C33">
        <w:rPr>
          <w:lang w:val="pl-PL"/>
        </w:rPr>
        <w:t>5</w:t>
      </w:r>
      <w:r w:rsidRPr="00A42C33">
        <w:rPr>
          <w:lang w:val="pl-PL"/>
        </w:rPr>
        <w:t xml:space="preserve"> r. wyniósł </w:t>
      </w:r>
      <w:r w:rsidR="001A6240" w:rsidRPr="00A42C33">
        <w:rPr>
          <w:rStyle w:val="Wyrnienieintensywne"/>
          <w:lang w:val="pl-PL"/>
        </w:rPr>
        <w:t xml:space="preserve"> </w:t>
      </w:r>
      <w:r w:rsidR="007F731F" w:rsidRPr="00A42C33">
        <w:rPr>
          <w:rStyle w:val="Wyrnienieintensywne"/>
          <w:lang w:val="pl-PL"/>
        </w:rPr>
        <w:t>2.</w:t>
      </w:r>
      <w:r w:rsidR="00A42C33" w:rsidRPr="00A42C33">
        <w:rPr>
          <w:rStyle w:val="Wyrnienieintensywne"/>
          <w:lang w:val="pl-PL"/>
        </w:rPr>
        <w:t>2</w:t>
      </w:r>
      <w:r w:rsidR="00C2794F" w:rsidRPr="00A42C33">
        <w:rPr>
          <w:rStyle w:val="Wyrnienieintensywne"/>
          <w:lang w:val="pl-PL"/>
        </w:rPr>
        <w:t>21,</w:t>
      </w:r>
      <w:r w:rsidR="00A42C33" w:rsidRPr="00A42C33">
        <w:rPr>
          <w:rStyle w:val="Wyrnienieintensywne"/>
          <w:lang w:val="pl-PL"/>
        </w:rPr>
        <w:t>8</w:t>
      </w:r>
      <w:r w:rsidR="00DE75E4" w:rsidRPr="00A42C33">
        <w:rPr>
          <w:rStyle w:val="Wyrnienieintensywne"/>
          <w:lang w:val="pl-PL"/>
        </w:rPr>
        <w:t xml:space="preserve"> </w:t>
      </w:r>
      <w:r w:rsidRPr="00A42C33">
        <w:rPr>
          <w:rStyle w:val="Wyrnienieintensywne"/>
          <w:lang w:val="pl-PL"/>
        </w:rPr>
        <w:t>mld zł (</w:t>
      </w:r>
      <w:r w:rsidR="00DE75E4" w:rsidRPr="00A42C33">
        <w:rPr>
          <w:rStyle w:val="Wyrnienieintensywne"/>
          <w:lang w:val="pl-PL"/>
        </w:rPr>
        <w:t>5</w:t>
      </w:r>
      <w:r w:rsidR="003022D6" w:rsidRPr="00A42C33">
        <w:rPr>
          <w:rStyle w:val="Wyrnienieintensywne"/>
          <w:lang w:val="pl-PL"/>
        </w:rPr>
        <w:t>8</w:t>
      </w:r>
      <w:r w:rsidR="007F731F" w:rsidRPr="00A42C33">
        <w:rPr>
          <w:rStyle w:val="Wyrnienieintensywne"/>
          <w:lang w:val="pl-PL"/>
        </w:rPr>
        <w:t>,</w:t>
      </w:r>
      <w:r w:rsidR="003022D6" w:rsidRPr="00A42C33">
        <w:rPr>
          <w:rStyle w:val="Wyrnienieintensywne"/>
          <w:lang w:val="pl-PL"/>
        </w:rPr>
        <w:t>1</w:t>
      </w:r>
      <w:r w:rsidRPr="00A42C33">
        <w:rPr>
          <w:rStyle w:val="Wyrnienieintensywne"/>
          <w:lang w:val="pl-PL"/>
        </w:rPr>
        <w:t>% PKB)</w:t>
      </w:r>
      <w:r w:rsidRPr="00A42C33">
        <w:rPr>
          <w:lang w:val="pl-PL"/>
        </w:rPr>
        <w:t>.</w:t>
      </w:r>
    </w:p>
    <w:p w14:paraId="2C536589" w14:textId="12F80A47" w:rsidR="002302CF" w:rsidRPr="00A42C33" w:rsidRDefault="002302CF" w:rsidP="002302CF">
      <w:pPr>
        <w:pStyle w:val="Akapitzlist"/>
        <w:rPr>
          <w:lang w:val="pl-PL"/>
        </w:rPr>
      </w:pPr>
      <w:r w:rsidRPr="00A42C33">
        <w:rPr>
          <w:lang w:val="pl-PL"/>
        </w:rPr>
        <w:t xml:space="preserve">W Unii Europejskiej dług na </w:t>
      </w:r>
      <w:r w:rsidRPr="00C5440F">
        <w:rPr>
          <w:lang w:val="pl-PL"/>
        </w:rPr>
        <w:t xml:space="preserve">koniec </w:t>
      </w:r>
      <w:r w:rsidR="00C5440F" w:rsidRPr="00C5440F">
        <w:rPr>
          <w:lang w:val="pl-PL"/>
        </w:rPr>
        <w:t>września</w:t>
      </w:r>
      <w:r w:rsidRPr="00A42C33">
        <w:rPr>
          <w:lang w:val="pl-PL"/>
        </w:rPr>
        <w:t xml:space="preserve"> wyniósł </w:t>
      </w:r>
      <w:r w:rsidR="00DE75E4" w:rsidRPr="00A42C33">
        <w:rPr>
          <w:rStyle w:val="Wyrnienieintensywne"/>
          <w:lang w:val="pl-PL"/>
        </w:rPr>
        <w:t>8</w:t>
      </w:r>
      <w:r w:rsidR="00A42C33" w:rsidRPr="00A42C33">
        <w:rPr>
          <w:rStyle w:val="Wyrnienieintensywne"/>
          <w:lang w:val="pl-PL"/>
        </w:rPr>
        <w:t>2,1</w:t>
      </w:r>
      <w:r w:rsidR="00DE75E4" w:rsidRPr="00A42C33">
        <w:rPr>
          <w:rStyle w:val="Wyrnienieintensywne"/>
          <w:lang w:val="pl-PL"/>
        </w:rPr>
        <w:t xml:space="preserve"> </w:t>
      </w:r>
      <w:r w:rsidRPr="00A42C33">
        <w:rPr>
          <w:rStyle w:val="Wyrnienieintensywne"/>
          <w:lang w:val="pl-PL"/>
        </w:rPr>
        <w:t>% PKB</w:t>
      </w:r>
      <w:r w:rsidRPr="00A42C33">
        <w:rPr>
          <w:lang w:val="pl-PL"/>
        </w:rPr>
        <w:t>.</w:t>
      </w:r>
    </w:p>
    <w:p w14:paraId="166AF10B" w14:textId="77777777" w:rsidR="00546DF9" w:rsidRPr="002302CF" w:rsidRDefault="00546DF9" w:rsidP="00546DF9">
      <w:pPr>
        <w:pStyle w:val="Akapitzlist"/>
        <w:numPr>
          <w:ilvl w:val="0"/>
          <w:numId w:val="0"/>
        </w:numPr>
        <w:ind w:left="717"/>
        <w:rPr>
          <w:lang w:val="pl-PL"/>
        </w:rPr>
      </w:pPr>
    </w:p>
    <w:p w14:paraId="1FADF649" w14:textId="77777777" w:rsidR="00E36055" w:rsidRPr="00D850FB" w:rsidRDefault="00E36055" w:rsidP="00E36055">
      <w:pPr>
        <w:rPr>
          <w:rFonts w:eastAsiaTheme="majorEastAsia" w:cstheme="majorBidi"/>
          <w:sz w:val="32"/>
          <w:szCs w:val="32"/>
          <w:lang w:val="pl-PL"/>
        </w:rPr>
      </w:pPr>
      <w:r w:rsidRPr="00D850FB">
        <w:rPr>
          <w:lang w:val="pl-PL"/>
        </w:rPr>
        <w:br w:type="page"/>
      </w:r>
    </w:p>
    <w:p w14:paraId="6FCE0657" w14:textId="77777777" w:rsidR="002934AC" w:rsidRDefault="002934AC" w:rsidP="002934AC">
      <w:pPr>
        <w:pStyle w:val="Nagwek1"/>
        <w:rPr>
          <w:lang w:val="pl-PL"/>
        </w:rPr>
      </w:pPr>
      <w:bookmarkStart w:id="2" w:name="_Toc220932596"/>
      <w:r>
        <w:rPr>
          <w:lang w:val="pl-PL"/>
        </w:rPr>
        <w:lastRenderedPageBreak/>
        <w:t>Wstęp</w:t>
      </w:r>
      <w:bookmarkEnd w:id="2"/>
    </w:p>
    <w:p w14:paraId="4DD61DCF" w14:textId="76B095DF" w:rsidR="00D850FB" w:rsidRPr="00D850FB" w:rsidRDefault="00D850FB" w:rsidP="00D850FB">
      <w:pPr>
        <w:rPr>
          <w:lang w:val="pl-PL"/>
        </w:rPr>
      </w:pPr>
      <w:r w:rsidRPr="00D850FB">
        <w:rPr>
          <w:lang w:val="pl-PL"/>
        </w:rPr>
        <w:t xml:space="preserve">Mając na uwadze zasadę jawności i przejrzystości finansów publicznych publikujemy Informację kwartalną o stanie finansów publicznych. Niniejszy numer zawiera informacje dotyczące </w:t>
      </w:r>
      <w:r w:rsidR="003022D6">
        <w:rPr>
          <w:lang w:val="pl-PL"/>
        </w:rPr>
        <w:t>I</w:t>
      </w:r>
      <w:r w:rsidR="00B37D63" w:rsidRPr="00B37D63">
        <w:rPr>
          <w:lang w:val="pl-PL"/>
        </w:rPr>
        <w:t>I</w:t>
      </w:r>
      <w:r w:rsidR="006F7729">
        <w:rPr>
          <w:lang w:val="pl-PL"/>
        </w:rPr>
        <w:t>I</w:t>
      </w:r>
      <w:r w:rsidRPr="00D850FB">
        <w:rPr>
          <w:lang w:val="pl-PL"/>
        </w:rPr>
        <w:t xml:space="preserve"> kwartału </w:t>
      </w:r>
      <w:r w:rsidR="00B62053">
        <w:rPr>
          <w:lang w:val="pl-PL"/>
        </w:rPr>
        <w:t>202</w:t>
      </w:r>
      <w:r w:rsidR="007F731F">
        <w:rPr>
          <w:lang w:val="pl-PL"/>
        </w:rPr>
        <w:t>5</w:t>
      </w:r>
      <w:r w:rsidRPr="00D850FB">
        <w:rPr>
          <w:lang w:val="pl-PL"/>
        </w:rPr>
        <w:t xml:space="preserve"> r. </w:t>
      </w:r>
    </w:p>
    <w:p w14:paraId="2A425EC0" w14:textId="77777777" w:rsidR="00D850FB" w:rsidRPr="00D850FB" w:rsidRDefault="00D850FB" w:rsidP="002934AC">
      <w:pPr>
        <w:spacing w:before="1200"/>
        <w:rPr>
          <w:lang w:val="pl-PL"/>
        </w:rPr>
      </w:pPr>
      <w:r w:rsidRPr="00D850FB">
        <w:rPr>
          <w:lang w:val="pl-PL"/>
        </w:rPr>
        <w:t>Podstawowym celem jest zaprezentowanie informacji na temat sektora finansów publicznych:</w:t>
      </w:r>
    </w:p>
    <w:p w14:paraId="4F39A957" w14:textId="77777777" w:rsidR="00D850FB" w:rsidRPr="00D850FB" w:rsidRDefault="00D850FB" w:rsidP="003615EA">
      <w:pPr>
        <w:pStyle w:val="Akapitzlist"/>
        <w:rPr>
          <w:lang w:val="pl-PL"/>
        </w:rPr>
      </w:pPr>
      <w:r w:rsidRPr="00D850FB">
        <w:rPr>
          <w:lang w:val="pl-PL"/>
        </w:rPr>
        <w:t>dane dotyczące dochodów i wydatków finansów publicznych wg metodyki unijnej (ESA2010) są publikowane przez Eurostat pod linkiem:</w:t>
      </w:r>
      <w:r>
        <w:rPr>
          <w:lang w:val="pl-PL"/>
        </w:rPr>
        <w:t xml:space="preserve"> </w:t>
      </w:r>
      <w:hyperlink r:id="rId8" w:history="1">
        <w:r>
          <w:rPr>
            <w:rStyle w:val="Hipercze"/>
            <w:lang w:val="pl-PL"/>
          </w:rPr>
          <w:t>baza danych Eurostatu</w:t>
        </w:r>
      </w:hyperlink>
      <w:r>
        <w:rPr>
          <w:lang w:val="pl-PL"/>
        </w:rPr>
        <w:t xml:space="preserve">. </w:t>
      </w:r>
      <w:r w:rsidRPr="00D850FB">
        <w:rPr>
          <w:lang w:val="pl-PL"/>
        </w:rPr>
        <w:t>Dane te są pogrupowane w obszary tematyczne. W szczególności strona zawiera następujące zestawy danych:</w:t>
      </w:r>
    </w:p>
    <w:p w14:paraId="72225448" w14:textId="7991453A" w:rsidR="00D850FB" w:rsidRPr="003615EA" w:rsidRDefault="00D850FB" w:rsidP="003615EA">
      <w:pPr>
        <w:pStyle w:val="Akapitzlist"/>
        <w:numPr>
          <w:ilvl w:val="0"/>
          <w:numId w:val="13"/>
        </w:numPr>
      </w:pPr>
      <w:r w:rsidRPr="003615EA">
        <w:rPr>
          <w:lang w:val="pl-PL"/>
        </w:rPr>
        <w:t>dochody, wydatki</w:t>
      </w:r>
      <w:r w:rsidRPr="003615EA">
        <w:t xml:space="preserve"> (Government revenue, expenditure and main aggregates (gov_10a_main))</w:t>
      </w:r>
      <w:r w:rsidR="00A637C7">
        <w:t xml:space="preserve"> </w:t>
      </w:r>
      <w:hyperlink r:id="rId9" w:history="1">
        <w:r w:rsidRPr="003615EA">
          <w:rPr>
            <w:rStyle w:val="Hipercze"/>
            <w:lang w:val="pl-PL"/>
          </w:rPr>
          <w:t>Eurostat dane sektora instytucji rządowych i samorządowych</w:t>
        </w:r>
      </w:hyperlink>
      <w:r w:rsidRPr="003615EA">
        <w:t>;</w:t>
      </w:r>
    </w:p>
    <w:p w14:paraId="2A083AA7" w14:textId="77777777" w:rsidR="00D850FB" w:rsidRPr="003615EA" w:rsidRDefault="00D850FB" w:rsidP="003615EA">
      <w:pPr>
        <w:pStyle w:val="Akapitzlist"/>
        <w:numPr>
          <w:ilvl w:val="0"/>
          <w:numId w:val="13"/>
        </w:numPr>
      </w:pPr>
      <w:proofErr w:type="spellStart"/>
      <w:r w:rsidRPr="00F940F6">
        <w:t>wydatki</w:t>
      </w:r>
      <w:proofErr w:type="spellEnd"/>
      <w:r w:rsidRPr="00F940F6">
        <w:t xml:space="preserve"> </w:t>
      </w:r>
      <w:proofErr w:type="spellStart"/>
      <w:r w:rsidRPr="00F940F6">
        <w:t>wg</w:t>
      </w:r>
      <w:proofErr w:type="spellEnd"/>
      <w:r w:rsidRPr="00F940F6">
        <w:t xml:space="preserve"> </w:t>
      </w:r>
      <w:proofErr w:type="spellStart"/>
      <w:r w:rsidRPr="00F940F6">
        <w:t>funkcji</w:t>
      </w:r>
      <w:proofErr w:type="spellEnd"/>
      <w:r w:rsidRPr="003615EA">
        <w:t xml:space="preserve"> COFOG (General government expenditure by function (COFOG) (gov_10a_exp)) </w:t>
      </w:r>
      <w:hyperlink r:id="rId10" w:history="1">
        <w:r w:rsidRPr="003615EA">
          <w:rPr>
            <w:rStyle w:val="Hipercze"/>
          </w:rPr>
          <w:t xml:space="preserve">Eurostat </w:t>
        </w:r>
        <w:proofErr w:type="spellStart"/>
        <w:r w:rsidRPr="00F940F6">
          <w:rPr>
            <w:rStyle w:val="Hipercze"/>
          </w:rPr>
          <w:t>dane</w:t>
        </w:r>
        <w:proofErr w:type="spellEnd"/>
        <w:r w:rsidRPr="00F940F6">
          <w:rPr>
            <w:rStyle w:val="Hipercze"/>
          </w:rPr>
          <w:t xml:space="preserve"> </w:t>
        </w:r>
        <w:proofErr w:type="spellStart"/>
        <w:r w:rsidRPr="00F940F6">
          <w:rPr>
            <w:rStyle w:val="Hipercze"/>
          </w:rPr>
          <w:t>wg</w:t>
        </w:r>
        <w:proofErr w:type="spellEnd"/>
        <w:r w:rsidRPr="003615EA">
          <w:rPr>
            <w:rStyle w:val="Hipercze"/>
          </w:rPr>
          <w:t xml:space="preserve"> COFOG</w:t>
        </w:r>
      </w:hyperlink>
      <w:r w:rsidRPr="003615EA">
        <w:t>;</w:t>
      </w:r>
    </w:p>
    <w:p w14:paraId="18BEF31C" w14:textId="5924BED4" w:rsidR="00D850FB" w:rsidRPr="00FA6F0D" w:rsidRDefault="00D850FB" w:rsidP="003615EA">
      <w:pPr>
        <w:pStyle w:val="Akapitzlist"/>
        <w:numPr>
          <w:ilvl w:val="0"/>
          <w:numId w:val="13"/>
        </w:numPr>
        <w:rPr>
          <w:lang w:val="pl-PL"/>
        </w:rPr>
      </w:pPr>
      <w:r w:rsidRPr="00FA6F0D">
        <w:rPr>
          <w:lang w:val="pl-PL"/>
        </w:rPr>
        <w:t>kwartalne rachunki niefinansowe (</w:t>
      </w:r>
      <w:proofErr w:type="spellStart"/>
      <w:r w:rsidRPr="00FA6F0D">
        <w:rPr>
          <w:lang w:val="pl-PL"/>
        </w:rPr>
        <w:t>Quarterly</w:t>
      </w:r>
      <w:proofErr w:type="spellEnd"/>
      <w:r w:rsidRPr="00FA6F0D">
        <w:rPr>
          <w:lang w:val="pl-PL"/>
        </w:rPr>
        <w:t xml:space="preserve"> non-</w:t>
      </w:r>
      <w:proofErr w:type="spellStart"/>
      <w:r w:rsidRPr="00FA6F0D">
        <w:rPr>
          <w:lang w:val="pl-PL"/>
        </w:rPr>
        <w:t>financial</w:t>
      </w:r>
      <w:proofErr w:type="spellEnd"/>
      <w:r w:rsidRPr="00FA6F0D">
        <w:rPr>
          <w:lang w:val="pl-PL"/>
        </w:rPr>
        <w:t xml:space="preserve"> </w:t>
      </w:r>
      <w:proofErr w:type="spellStart"/>
      <w:r w:rsidRPr="00FA6F0D">
        <w:rPr>
          <w:lang w:val="pl-PL"/>
        </w:rPr>
        <w:t>accounts</w:t>
      </w:r>
      <w:proofErr w:type="spellEnd"/>
      <w:r w:rsidRPr="00FA6F0D">
        <w:rPr>
          <w:lang w:val="pl-PL"/>
        </w:rPr>
        <w:t xml:space="preserve"> for </w:t>
      </w:r>
      <w:proofErr w:type="spellStart"/>
      <w:r w:rsidRPr="00FA6F0D">
        <w:rPr>
          <w:lang w:val="pl-PL"/>
        </w:rPr>
        <w:t>general</w:t>
      </w:r>
      <w:proofErr w:type="spellEnd"/>
      <w:r w:rsidRPr="00FA6F0D">
        <w:rPr>
          <w:lang w:val="pl-PL"/>
        </w:rPr>
        <w:t xml:space="preserve"> </w:t>
      </w:r>
      <w:proofErr w:type="spellStart"/>
      <w:r w:rsidRPr="00FA6F0D">
        <w:rPr>
          <w:lang w:val="pl-PL"/>
        </w:rPr>
        <w:t>government</w:t>
      </w:r>
      <w:proofErr w:type="spellEnd"/>
      <w:r w:rsidRPr="00FA6F0D">
        <w:rPr>
          <w:lang w:val="pl-PL"/>
        </w:rPr>
        <w:t xml:space="preserve"> (gov_10q_ggnfa))</w:t>
      </w:r>
      <w:r w:rsidR="00A637C7" w:rsidRPr="00FA6F0D">
        <w:rPr>
          <w:lang w:val="pl-PL"/>
        </w:rPr>
        <w:t xml:space="preserve"> </w:t>
      </w:r>
      <w:hyperlink r:id="rId11" w:history="1">
        <w:r w:rsidRPr="00FA6F0D">
          <w:rPr>
            <w:rStyle w:val="Hipercze"/>
            <w:lang w:val="pl-PL"/>
          </w:rPr>
          <w:t>Eurostat kwartalne dane sektora instytucji rządowych i samorządowych</w:t>
        </w:r>
      </w:hyperlink>
      <w:r w:rsidRPr="00FA6F0D">
        <w:rPr>
          <w:rStyle w:val="Hipercze"/>
          <w:lang w:val="pl-PL"/>
        </w:rPr>
        <w:t>.</w:t>
      </w:r>
    </w:p>
    <w:p w14:paraId="708135DC" w14:textId="77777777" w:rsidR="00D850FB" w:rsidRPr="00D850FB" w:rsidRDefault="00D850FB" w:rsidP="00D850FB">
      <w:pPr>
        <w:pStyle w:val="Akapitzlist"/>
        <w:rPr>
          <w:lang w:val="pl-PL"/>
        </w:rPr>
      </w:pPr>
      <w:r w:rsidRPr="00D850FB">
        <w:rPr>
          <w:lang w:val="pl-PL"/>
        </w:rPr>
        <w:t>dane według standardu Międzynarodowego Funduszu Walutowego GFSM2001 (dane miesięczne obejmujące szczebel centralny, natomiast dane roczne obejmujące cały sektor instytucji rządowych i samorządowych), które są publikowane na stronie MF</w:t>
      </w:r>
      <w:r>
        <w:rPr>
          <w:lang w:val="pl-PL"/>
        </w:rPr>
        <w:t xml:space="preserve"> </w:t>
      </w:r>
      <w:hyperlink r:id="rId12" w:history="1">
        <w:r>
          <w:rPr>
            <w:rStyle w:val="Hipercze"/>
            <w:lang w:val="pl-PL"/>
          </w:rPr>
          <w:t>dane fiskalne na potrzeby nadzoru budżetowego UE</w:t>
        </w:r>
      </w:hyperlink>
    </w:p>
    <w:p w14:paraId="27FC3E12" w14:textId="77777777" w:rsidR="00D850FB" w:rsidRDefault="00D850FB" w:rsidP="00D850FB">
      <w:pPr>
        <w:pStyle w:val="Akapitzlist"/>
        <w:rPr>
          <w:lang w:val="pl-PL"/>
        </w:rPr>
      </w:pPr>
      <w:r w:rsidRPr="00D850FB">
        <w:rPr>
          <w:lang w:val="pl-PL"/>
        </w:rPr>
        <w:t>dane według przepisów krajowych publikowane na stronie MF</w:t>
      </w:r>
    </w:p>
    <w:p w14:paraId="12E609D7" w14:textId="6FD50869" w:rsidR="00D850FB" w:rsidRPr="00D850FB" w:rsidRDefault="00D850FB" w:rsidP="003615EA">
      <w:pPr>
        <w:pStyle w:val="Akapitzlist"/>
        <w:numPr>
          <w:ilvl w:val="0"/>
          <w:numId w:val="10"/>
        </w:numPr>
        <w:rPr>
          <w:lang w:val="pl-PL"/>
        </w:rPr>
      </w:pPr>
      <w:r w:rsidRPr="00D850FB">
        <w:rPr>
          <w:lang w:val="pl-PL"/>
        </w:rPr>
        <w:t xml:space="preserve">dane miesięczne o budżecie państwa </w:t>
      </w:r>
      <w:hyperlink r:id="rId13" w:history="1">
        <w:r w:rsidRPr="00D850FB">
          <w:rPr>
            <w:rStyle w:val="Hipercze"/>
            <w:lang w:val="pl-PL"/>
          </w:rPr>
          <w:t>szacunkowe wykonanie budżetu państwa</w:t>
        </w:r>
      </w:hyperlink>
      <w:r w:rsidRPr="00D850FB">
        <w:rPr>
          <w:lang w:val="pl-PL"/>
        </w:rPr>
        <w:t xml:space="preserve">; </w:t>
      </w:r>
      <w:hyperlink r:id="rId14" w:history="1">
        <w:r>
          <w:rPr>
            <w:rStyle w:val="Hipercze"/>
            <w:lang w:val="pl-PL"/>
          </w:rPr>
          <w:t>sprawozdania operatywne (miesięczne)</w:t>
        </w:r>
      </w:hyperlink>
      <w:r w:rsidR="005539AA">
        <w:rPr>
          <w:rStyle w:val="Hipercze"/>
          <w:lang w:val="pl-PL"/>
        </w:rPr>
        <w:t xml:space="preserve">; </w:t>
      </w:r>
      <w:hyperlink r:id="rId15" w:history="1">
        <w:r w:rsidR="005539AA" w:rsidRPr="00FA6F0D">
          <w:rPr>
            <w:rStyle w:val="Hipercze"/>
            <w:lang w:val="pl-PL"/>
          </w:rPr>
          <w:t>Trezor API - interfejs programistyczny dla systemu Trezor</w:t>
        </w:r>
      </w:hyperlink>
      <w:r w:rsidR="00A5466A">
        <w:rPr>
          <w:rStyle w:val="Hipercze"/>
          <w:lang w:val="pl-PL"/>
        </w:rPr>
        <w:t>;</w:t>
      </w:r>
    </w:p>
    <w:p w14:paraId="1E1433A8" w14:textId="241FB7A5" w:rsidR="00D850FB" w:rsidRDefault="00D850FB" w:rsidP="003615EA">
      <w:pPr>
        <w:pStyle w:val="Akapitzlist"/>
        <w:numPr>
          <w:ilvl w:val="0"/>
          <w:numId w:val="10"/>
        </w:numPr>
        <w:rPr>
          <w:lang w:val="pl-PL"/>
        </w:rPr>
      </w:pPr>
      <w:r w:rsidRPr="00D850FB">
        <w:rPr>
          <w:lang w:val="pl-PL"/>
        </w:rPr>
        <w:lastRenderedPageBreak/>
        <w:t>kwartalne dane dotyczące jednostek samorządu terytorialnego i ich związków</w:t>
      </w:r>
      <w:r w:rsidR="00A637C7">
        <w:rPr>
          <w:lang w:val="pl-PL"/>
        </w:rPr>
        <w:t xml:space="preserve"> </w:t>
      </w:r>
      <w:hyperlink r:id="rId16" w:history="1">
        <w:r w:rsidR="000D4857">
          <w:rPr>
            <w:rStyle w:val="Hipercze"/>
            <w:lang w:val="pl-PL"/>
          </w:rPr>
          <w:t>finanse JST</w:t>
        </w:r>
      </w:hyperlink>
      <w:r w:rsidR="00A5466A">
        <w:rPr>
          <w:rStyle w:val="Hipercze"/>
          <w:lang w:val="pl-PL"/>
        </w:rPr>
        <w:t>.</w:t>
      </w:r>
    </w:p>
    <w:p w14:paraId="270379EA" w14:textId="19821D81" w:rsidR="00095730" w:rsidRDefault="00D850FB" w:rsidP="00D850FB">
      <w:pPr>
        <w:rPr>
          <w:lang w:val="pl-PL"/>
        </w:rPr>
      </w:pPr>
      <w:r w:rsidRPr="00D850FB">
        <w:rPr>
          <w:lang w:val="pl-PL"/>
        </w:rPr>
        <w:t>Ponadto w niniejszym opracowaniu prezentujemy dane dotyczące Funduszu Ubezpieczeń Społecznych, Funduszu Emerytalno-Ren</w:t>
      </w:r>
      <w:r w:rsidR="003545C1">
        <w:rPr>
          <w:lang w:val="pl-PL"/>
        </w:rPr>
        <w:t>towym, Funduszu Pracy, Narodowego</w:t>
      </w:r>
      <w:r w:rsidRPr="00D850FB">
        <w:rPr>
          <w:lang w:val="pl-PL"/>
        </w:rPr>
        <w:t xml:space="preserve"> Funduszu Zdrowia</w:t>
      </w:r>
      <w:r w:rsidR="00413A13">
        <w:rPr>
          <w:lang w:val="pl-PL"/>
        </w:rPr>
        <w:t>.</w:t>
      </w:r>
    </w:p>
    <w:p w14:paraId="080E7081" w14:textId="5AB096D2" w:rsidR="00D850FB" w:rsidRDefault="00095730" w:rsidP="00D850FB">
      <w:pPr>
        <w:rPr>
          <w:lang w:val="pl-PL"/>
        </w:rPr>
      </w:pPr>
      <w:r>
        <w:rPr>
          <w:lang w:val="pl-PL"/>
        </w:rPr>
        <w:t xml:space="preserve">Dodatkowo zamieszczamy informacje o </w:t>
      </w:r>
      <w:r w:rsidR="003629EE">
        <w:rPr>
          <w:lang w:val="pl-PL"/>
        </w:rPr>
        <w:t xml:space="preserve">największych funduszach Banku Gospodarstwa Krajowego (BGK): </w:t>
      </w:r>
      <w:r w:rsidR="003629EE" w:rsidRPr="003629EE">
        <w:rPr>
          <w:lang w:val="pl-PL"/>
        </w:rPr>
        <w:t>Krajowy Fundusz Drogowy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Fundusz Przeciwdziałania COVID-19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Fundusz Kolejowy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Fundusz Pomocy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Fundusz Wsparcia Sił Zbrojnych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Rządowy Fundusz Rozwoju Dróg</w:t>
      </w:r>
      <w:r w:rsidR="003629EE">
        <w:rPr>
          <w:lang w:val="pl-PL"/>
        </w:rPr>
        <w:t>.</w:t>
      </w:r>
      <w:r w:rsidR="00F54953" w:rsidRPr="00F54953">
        <w:rPr>
          <w:lang w:val="pl-PL"/>
        </w:rPr>
        <w:t xml:space="preserve"> </w:t>
      </w:r>
      <w:hyperlink r:id="rId17" w:history="1">
        <w:r w:rsidR="009F05F5">
          <w:rPr>
            <w:rStyle w:val="Hipercze"/>
            <w:lang w:val="pl-PL"/>
          </w:rPr>
          <w:t>fundusze BGK</w:t>
        </w:r>
      </w:hyperlink>
      <w:r w:rsidR="009F05F5">
        <w:rPr>
          <w:rStyle w:val="Hipercze"/>
          <w:lang w:val="pl-PL"/>
        </w:rPr>
        <w:t xml:space="preserve"> </w:t>
      </w:r>
      <w:r w:rsidR="00A5466A">
        <w:rPr>
          <w:rStyle w:val="Hipercze"/>
          <w:lang w:val="pl-PL"/>
        </w:rPr>
        <w:t>.</w:t>
      </w:r>
    </w:p>
    <w:p w14:paraId="2CFEA861" w14:textId="6FA371FD" w:rsidR="00F577BB" w:rsidRDefault="00D850FB" w:rsidP="0097040B">
      <w:pPr>
        <w:spacing w:before="2640"/>
        <w:rPr>
          <w:lang w:val="pl-PL"/>
        </w:rPr>
      </w:pPr>
      <w:r w:rsidRPr="00D850FB">
        <w:rPr>
          <w:lang w:val="pl-PL"/>
        </w:rPr>
        <w:t>Niniejszy materiał został opracowany wyłącznie w celach informacyjnych i nie może być traktowany jako oferta lub rekomendacja do zawierania jakichkolwiek transakcji. Informacje zawarte w materiale pochodzą z dostępnych, wiarygodnych źródeł, jednak</w:t>
      </w:r>
      <w:r w:rsidR="00A637C7">
        <w:rPr>
          <w:lang w:val="pl-PL"/>
        </w:rPr>
        <w:t xml:space="preserve"> </w:t>
      </w:r>
      <w:r w:rsidRPr="00D850FB">
        <w:rPr>
          <w:lang w:val="pl-PL"/>
        </w:rPr>
        <w:t>Ministerstwo Finansów nie może zagwarantować ich dokładności i pełności. Ministerstwo Finansów nie ponosi odpowiedzialności za skutki decyzji podjętych na podstawie informacji zawartych w niniejszym materiale. Niniejszy materiał może być wykorzystywany do opracowań własnych pod warunkiem powołania się na źródło.</w:t>
      </w:r>
      <w:r w:rsidR="00A637C7">
        <w:rPr>
          <w:lang w:val="pl-PL"/>
        </w:rPr>
        <w:t xml:space="preserve"> </w:t>
      </w:r>
    </w:p>
    <w:p w14:paraId="408E6ED3" w14:textId="77777777" w:rsidR="002934AC" w:rsidRPr="002934AC" w:rsidRDefault="002934AC" w:rsidP="002934AC">
      <w:pPr>
        <w:spacing w:before="2000"/>
        <w:jc w:val="center"/>
        <w:rPr>
          <w:rStyle w:val="Wyrnienieintensywne"/>
          <w:lang w:val="pl-PL"/>
        </w:rPr>
      </w:pPr>
      <w:r w:rsidRPr="002934AC">
        <w:rPr>
          <w:rStyle w:val="Wyrnienieintensywne"/>
          <w:lang w:val="pl-PL"/>
        </w:rPr>
        <w:t>Departament Polityki Makroekonomicznej</w:t>
      </w:r>
    </w:p>
    <w:p w14:paraId="333E6979" w14:textId="77777777" w:rsidR="00F577BB" w:rsidRDefault="002934AC" w:rsidP="002934AC">
      <w:pPr>
        <w:jc w:val="center"/>
        <w:rPr>
          <w:lang w:val="pl-PL"/>
        </w:rPr>
      </w:pPr>
      <w:r w:rsidRPr="002934AC">
        <w:rPr>
          <w:rStyle w:val="Wyrnienieintensywne"/>
          <w:lang w:val="pl-PL"/>
        </w:rPr>
        <w:t>Departament Długu Publicznego</w:t>
      </w:r>
      <w:r w:rsidR="00F577BB">
        <w:rPr>
          <w:lang w:val="pl-PL"/>
        </w:rPr>
        <w:br w:type="page"/>
      </w:r>
    </w:p>
    <w:p w14:paraId="7C61121B" w14:textId="6F727DFA" w:rsidR="000F4EDC" w:rsidRPr="00E8556C" w:rsidRDefault="000F4EDC" w:rsidP="005E4D22">
      <w:pPr>
        <w:pStyle w:val="Nagwek1"/>
        <w:numPr>
          <w:ilvl w:val="0"/>
          <w:numId w:val="16"/>
        </w:numPr>
        <w:rPr>
          <w:lang w:val="pl-PL"/>
        </w:rPr>
      </w:pPr>
      <w:bookmarkStart w:id="3" w:name="_Toc149128077"/>
      <w:bookmarkStart w:id="4" w:name="_Toc220932597"/>
      <w:r w:rsidRPr="00E8556C">
        <w:rPr>
          <w:lang w:val="pl-PL"/>
        </w:rPr>
        <w:lastRenderedPageBreak/>
        <w:t>Wynik, dochody oraz wydatki w</w:t>
      </w:r>
      <w:r w:rsidR="00B62053" w:rsidRPr="00E8556C">
        <w:rPr>
          <w:lang w:val="pl-PL"/>
        </w:rPr>
        <w:t xml:space="preserve"> </w:t>
      </w:r>
      <w:r w:rsidR="003022D6" w:rsidRPr="00E8556C">
        <w:rPr>
          <w:lang w:val="pl-PL"/>
        </w:rPr>
        <w:t>I</w:t>
      </w:r>
      <w:r w:rsidR="00B37D63" w:rsidRPr="00E8556C">
        <w:rPr>
          <w:lang w:val="pl-PL"/>
        </w:rPr>
        <w:t>I</w:t>
      </w:r>
      <w:r w:rsidR="006F7729">
        <w:rPr>
          <w:lang w:val="pl-PL"/>
        </w:rPr>
        <w:t>I</w:t>
      </w:r>
      <w:r w:rsidR="00B62053" w:rsidRPr="00E8556C">
        <w:rPr>
          <w:lang w:val="pl-PL"/>
        </w:rPr>
        <w:t xml:space="preserve"> kw. 202</w:t>
      </w:r>
      <w:r w:rsidR="007F731F" w:rsidRPr="00E8556C">
        <w:rPr>
          <w:lang w:val="pl-PL"/>
        </w:rPr>
        <w:t>5</w:t>
      </w:r>
      <w:r w:rsidRPr="00E8556C">
        <w:rPr>
          <w:lang w:val="pl-PL"/>
        </w:rPr>
        <w:t xml:space="preserve"> r.</w:t>
      </w:r>
      <w:bookmarkEnd w:id="3"/>
      <w:bookmarkEnd w:id="4"/>
    </w:p>
    <w:p w14:paraId="33009D21" w14:textId="77777777" w:rsidR="000F4EDC" w:rsidRPr="00E8556C" w:rsidRDefault="000F4EDC" w:rsidP="005E4D22">
      <w:pPr>
        <w:pStyle w:val="Nagwek2"/>
        <w:rPr>
          <w:lang w:val="pl-PL"/>
        </w:rPr>
      </w:pPr>
      <w:bookmarkStart w:id="5" w:name="_Toc220932598"/>
      <w:r w:rsidRPr="00E8556C">
        <w:rPr>
          <w:lang w:val="pl-PL"/>
        </w:rPr>
        <w:t>1.1. Wynik</w:t>
      </w:r>
      <w:bookmarkEnd w:id="5"/>
      <w:r w:rsidRPr="00E8556C">
        <w:rPr>
          <w:lang w:val="pl-PL"/>
        </w:rPr>
        <w:t xml:space="preserve"> </w:t>
      </w:r>
    </w:p>
    <w:p w14:paraId="1AB3E92A" w14:textId="61C833BD" w:rsidR="002762DB" w:rsidRDefault="000F4EDC" w:rsidP="000F4EDC">
      <w:pPr>
        <w:rPr>
          <w:lang w:val="pl-PL"/>
        </w:rPr>
      </w:pPr>
      <w:r w:rsidRPr="00E37410">
        <w:rPr>
          <w:lang w:val="pl-PL"/>
        </w:rPr>
        <w:t>Według danych GUS deficyt sektora instytucj</w:t>
      </w:r>
      <w:r w:rsidR="009C2F53" w:rsidRPr="00E37410">
        <w:rPr>
          <w:lang w:val="pl-PL"/>
        </w:rPr>
        <w:t>i rządowych i samorządowych w I</w:t>
      </w:r>
      <w:r w:rsidR="00626739" w:rsidRPr="00E37410">
        <w:rPr>
          <w:lang w:val="pl-PL"/>
        </w:rPr>
        <w:t>I</w:t>
      </w:r>
      <w:r w:rsidR="006F7729">
        <w:rPr>
          <w:lang w:val="pl-PL"/>
        </w:rPr>
        <w:t>I</w:t>
      </w:r>
      <w:r w:rsidR="009C2F53" w:rsidRPr="00E37410">
        <w:rPr>
          <w:lang w:val="pl-PL"/>
        </w:rPr>
        <w:t xml:space="preserve"> kw. 20</w:t>
      </w:r>
      <w:r w:rsidR="008242D6" w:rsidRPr="00E37410">
        <w:rPr>
          <w:lang w:val="pl-PL"/>
        </w:rPr>
        <w:t>25</w:t>
      </w:r>
      <w:r w:rsidR="009C2F53" w:rsidRPr="00E37410">
        <w:rPr>
          <w:lang w:val="pl-PL"/>
        </w:rPr>
        <w:t xml:space="preserve"> r. wyniósł </w:t>
      </w:r>
      <w:r w:rsidR="006F7729">
        <w:rPr>
          <w:lang w:val="pl-PL"/>
        </w:rPr>
        <w:t>58,4</w:t>
      </w:r>
      <w:r w:rsidR="008242D6" w:rsidRPr="00E37410">
        <w:rPr>
          <w:lang w:val="pl-PL"/>
        </w:rPr>
        <w:t xml:space="preserve"> </w:t>
      </w:r>
      <w:r w:rsidR="009C2F53" w:rsidRPr="00E37410">
        <w:rPr>
          <w:lang w:val="pl-PL"/>
        </w:rPr>
        <w:t xml:space="preserve">mld zł (tj. </w:t>
      </w:r>
      <w:r w:rsidR="006F7729">
        <w:rPr>
          <w:lang w:val="pl-PL"/>
        </w:rPr>
        <w:t>6,0</w:t>
      </w:r>
      <w:r w:rsidR="009C2F53" w:rsidRPr="00E37410">
        <w:rPr>
          <w:lang w:val="pl-PL"/>
        </w:rPr>
        <w:t xml:space="preserve"> % PKB) </w:t>
      </w:r>
      <w:r w:rsidR="003D20DE" w:rsidRPr="00E37410">
        <w:rPr>
          <w:lang w:val="pl-PL"/>
        </w:rPr>
        <w:t>i w stosunku do I</w:t>
      </w:r>
      <w:r w:rsidR="003D20DE">
        <w:rPr>
          <w:lang w:val="pl-PL"/>
        </w:rPr>
        <w:t>I</w:t>
      </w:r>
      <w:r w:rsidR="003D20DE" w:rsidRPr="00E37410">
        <w:rPr>
          <w:lang w:val="pl-PL"/>
        </w:rPr>
        <w:t xml:space="preserve">I kw. roku poprzedniego </w:t>
      </w:r>
      <w:r w:rsidR="003D20DE" w:rsidRPr="00566BC1">
        <w:rPr>
          <w:lang w:val="pl-PL"/>
        </w:rPr>
        <w:t xml:space="preserve">wynik pogorszył się o ok. </w:t>
      </w:r>
      <w:r w:rsidR="00566BC1" w:rsidRPr="00566BC1">
        <w:rPr>
          <w:lang w:val="pl-PL"/>
        </w:rPr>
        <w:t>4,3</w:t>
      </w:r>
      <w:r w:rsidR="003D20DE" w:rsidRPr="00566BC1">
        <w:rPr>
          <w:lang w:val="pl-PL"/>
        </w:rPr>
        <w:t xml:space="preserve"> mld zł (pogorszenie</w:t>
      </w:r>
      <w:r w:rsidR="003D20DE" w:rsidRPr="00E37410">
        <w:rPr>
          <w:lang w:val="pl-PL"/>
        </w:rPr>
        <w:t xml:space="preserve"> w relacji do PKB o 0,</w:t>
      </w:r>
      <w:r w:rsidR="003D20DE">
        <w:rPr>
          <w:lang w:val="pl-PL"/>
        </w:rPr>
        <w:t>1</w:t>
      </w:r>
      <w:r w:rsidR="003D20DE" w:rsidRPr="00E37410">
        <w:rPr>
          <w:lang w:val="pl-PL"/>
        </w:rPr>
        <w:t xml:space="preserve"> pkt. proc. ). </w:t>
      </w:r>
    </w:p>
    <w:p w14:paraId="3998D6A0" w14:textId="0FF0D7A7" w:rsidR="00D850FB" w:rsidRPr="00F54411" w:rsidRDefault="00BD776D" w:rsidP="000F4EDC">
      <w:pPr>
        <w:rPr>
          <w:lang w:val="pl-PL"/>
        </w:rPr>
      </w:pPr>
      <w:r w:rsidRPr="00566BC1">
        <w:rPr>
          <w:lang w:val="pl-PL"/>
        </w:rPr>
        <w:t xml:space="preserve">Na </w:t>
      </w:r>
      <w:r w:rsidR="00C61C91" w:rsidRPr="00566BC1">
        <w:rPr>
          <w:lang w:val="pl-PL"/>
        </w:rPr>
        <w:t xml:space="preserve">wzrost deficytu </w:t>
      </w:r>
      <w:r w:rsidRPr="00566BC1">
        <w:rPr>
          <w:lang w:val="pl-PL"/>
        </w:rPr>
        <w:t xml:space="preserve">wpływ miał </w:t>
      </w:r>
      <w:r w:rsidR="00566BC1" w:rsidRPr="00566BC1">
        <w:rPr>
          <w:lang w:val="pl-PL"/>
        </w:rPr>
        <w:t xml:space="preserve">wzrost </w:t>
      </w:r>
      <w:r w:rsidR="00C61C91" w:rsidRPr="00566BC1">
        <w:rPr>
          <w:lang w:val="pl-PL"/>
        </w:rPr>
        <w:t>wydatk</w:t>
      </w:r>
      <w:r w:rsidR="00566BC1" w:rsidRPr="00566BC1">
        <w:rPr>
          <w:lang w:val="pl-PL"/>
        </w:rPr>
        <w:t>ó</w:t>
      </w:r>
      <w:r w:rsidR="00C61C91" w:rsidRPr="00566BC1">
        <w:rPr>
          <w:lang w:val="pl-PL"/>
        </w:rPr>
        <w:t>w o</w:t>
      </w:r>
      <w:r w:rsidR="00EA3DF1" w:rsidRPr="00566BC1">
        <w:rPr>
          <w:lang w:val="pl-PL"/>
        </w:rPr>
        <w:t> </w:t>
      </w:r>
      <w:r w:rsidR="003741BB" w:rsidRPr="00566BC1">
        <w:rPr>
          <w:lang w:val="pl-PL"/>
        </w:rPr>
        <w:t>1,</w:t>
      </w:r>
      <w:r w:rsidR="00566BC1" w:rsidRPr="00566BC1">
        <w:rPr>
          <w:lang w:val="pl-PL"/>
        </w:rPr>
        <w:t>8</w:t>
      </w:r>
      <w:r w:rsidR="009E172F" w:rsidRPr="00566BC1">
        <w:rPr>
          <w:lang w:val="pl-PL"/>
        </w:rPr>
        <w:t> </w:t>
      </w:r>
      <w:r w:rsidR="00C61C91" w:rsidRPr="00566BC1">
        <w:rPr>
          <w:lang w:val="pl-PL"/>
        </w:rPr>
        <w:t>pkt.</w:t>
      </w:r>
      <w:r w:rsidRPr="00566BC1">
        <w:rPr>
          <w:lang w:val="pl-PL"/>
        </w:rPr>
        <w:t> </w:t>
      </w:r>
      <w:r w:rsidR="00566BC1" w:rsidRPr="00566BC1">
        <w:rPr>
          <w:lang w:val="pl-PL"/>
        </w:rPr>
        <w:t>proc. PKB</w:t>
      </w:r>
      <w:r w:rsidR="00C61C91" w:rsidRPr="00566BC1">
        <w:rPr>
          <w:lang w:val="pl-PL"/>
        </w:rPr>
        <w:t xml:space="preserve">, </w:t>
      </w:r>
      <w:r w:rsidR="00566BC1" w:rsidRPr="00566BC1">
        <w:rPr>
          <w:lang w:val="pl-PL"/>
        </w:rPr>
        <w:t xml:space="preserve">przy </w:t>
      </w:r>
      <w:r w:rsidR="00F54411" w:rsidRPr="00566BC1">
        <w:rPr>
          <w:lang w:val="pl-PL"/>
        </w:rPr>
        <w:t>wzro</w:t>
      </w:r>
      <w:r w:rsidR="00566BC1" w:rsidRPr="00566BC1">
        <w:rPr>
          <w:lang w:val="pl-PL"/>
        </w:rPr>
        <w:t>ście dochodów</w:t>
      </w:r>
      <w:r w:rsidR="00F54411" w:rsidRPr="00566BC1">
        <w:rPr>
          <w:lang w:val="pl-PL"/>
        </w:rPr>
        <w:t xml:space="preserve"> o </w:t>
      </w:r>
      <w:r w:rsidR="00566BC1" w:rsidRPr="00566BC1">
        <w:rPr>
          <w:lang w:val="pl-PL"/>
        </w:rPr>
        <w:t>1,7</w:t>
      </w:r>
      <w:r w:rsidR="00F54411" w:rsidRPr="00566BC1">
        <w:rPr>
          <w:lang w:val="pl-PL"/>
        </w:rPr>
        <w:t xml:space="preserve"> pkt.</w:t>
      </w:r>
      <w:r w:rsidR="006F716C">
        <w:rPr>
          <w:lang w:val="pl-PL"/>
        </w:rPr>
        <w:t xml:space="preserve"> </w:t>
      </w:r>
      <w:r w:rsidR="00F54411" w:rsidRPr="00566BC1">
        <w:rPr>
          <w:lang w:val="pl-PL"/>
        </w:rPr>
        <w:t xml:space="preserve">proc. </w:t>
      </w:r>
      <w:r w:rsidR="00566BC1" w:rsidRPr="00566BC1">
        <w:rPr>
          <w:lang w:val="pl-PL"/>
        </w:rPr>
        <w:t>PKB</w:t>
      </w:r>
      <w:r w:rsidR="00F54411" w:rsidRPr="00566BC1">
        <w:rPr>
          <w:lang w:val="pl-PL"/>
        </w:rPr>
        <w:t>.</w:t>
      </w:r>
    </w:p>
    <w:p w14:paraId="6690B851" w14:textId="35648DBC" w:rsidR="00D73672" w:rsidRPr="00364AC3" w:rsidRDefault="00D73672" w:rsidP="00CB4B55">
      <w:pPr>
        <w:rPr>
          <w:i/>
          <w:lang w:val="pl-PL"/>
        </w:rPr>
      </w:pPr>
      <w:r w:rsidRPr="00804E0F">
        <w:rPr>
          <w:lang w:val="pl-PL"/>
        </w:rPr>
        <w:t xml:space="preserve">Wykres </w:t>
      </w:r>
      <w:r w:rsidRPr="00804E0F">
        <w:rPr>
          <w:i/>
        </w:rPr>
        <w:fldChar w:fldCharType="begin"/>
      </w:r>
      <w:r w:rsidRPr="00804E0F">
        <w:rPr>
          <w:lang w:val="pl-PL"/>
        </w:rPr>
        <w:instrText xml:space="preserve"> SEQ Wykres \* ARABIC </w:instrText>
      </w:r>
      <w:r w:rsidRPr="00804E0F">
        <w:rPr>
          <w:i/>
        </w:rPr>
        <w:fldChar w:fldCharType="separate"/>
      </w:r>
      <w:r w:rsidR="00B24412">
        <w:rPr>
          <w:noProof/>
          <w:lang w:val="pl-PL"/>
        </w:rPr>
        <w:t>1</w:t>
      </w:r>
      <w:r w:rsidRPr="00804E0F">
        <w:rPr>
          <w:i/>
        </w:rPr>
        <w:fldChar w:fldCharType="end"/>
      </w:r>
      <w:r w:rsidRPr="00804E0F">
        <w:rPr>
          <w:lang w:val="pl-PL"/>
        </w:rPr>
        <w:t>. Wynik sektora instytucji rządowych i samorządowych ( w % PKB).</w:t>
      </w:r>
    </w:p>
    <w:p w14:paraId="28BA18B4" w14:textId="4A944A59" w:rsidR="001C341D" w:rsidRPr="00193EB2" w:rsidRDefault="00804E0F" w:rsidP="000F4EDC">
      <w:pPr>
        <w:rPr>
          <w:highlight w:val="yellow"/>
          <w:lang w:val="pl-PL"/>
        </w:rPr>
      </w:pPr>
      <w:r>
        <w:rPr>
          <w:noProof/>
        </w:rPr>
        <w:drawing>
          <wp:inline distT="0" distB="0" distL="0" distR="0" wp14:anchorId="35F52461" wp14:editId="6AED9556">
            <wp:extent cx="5759450" cy="3756660"/>
            <wp:effectExtent l="0" t="0" r="0" b="0"/>
            <wp:docPr id="5" name="Wykres 5" descr="Wykres 1.&#10;Wykres prezentuje wynik sektora instytucji rządowych i samorządowych w % PKB: wynik, wynik wyrównany sezonowo (SA) i wynik w ujęciu roku płynnego w okresie od IV kwartału 2022 do III kwartału 2025 roku. Dane szczegółowe dostępne w Aneksie statystycznym, na końcu opracowania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652889C" w14:textId="77777777" w:rsidR="000F4EDC" w:rsidRPr="00127832" w:rsidRDefault="000F4EDC" w:rsidP="005E4D22">
      <w:pPr>
        <w:pStyle w:val="Nagwek2"/>
        <w:rPr>
          <w:lang w:val="pl-PL"/>
        </w:rPr>
      </w:pPr>
      <w:bookmarkStart w:id="6" w:name="_Toc220932599"/>
      <w:r w:rsidRPr="00127832">
        <w:rPr>
          <w:lang w:val="pl-PL"/>
        </w:rPr>
        <w:t>1.2. Dochody</w:t>
      </w:r>
      <w:bookmarkEnd w:id="6"/>
    </w:p>
    <w:p w14:paraId="01396376" w14:textId="3DCABA64" w:rsidR="00B553FF" w:rsidRDefault="00E570F2" w:rsidP="00700C2E">
      <w:pPr>
        <w:spacing w:after="120"/>
        <w:rPr>
          <w:lang w:val="pl-PL"/>
        </w:rPr>
      </w:pPr>
      <w:r w:rsidRPr="006F716C">
        <w:rPr>
          <w:lang w:val="pl-PL"/>
        </w:rPr>
        <w:t>W I</w:t>
      </w:r>
      <w:r w:rsidR="006A398D" w:rsidRPr="006F716C">
        <w:rPr>
          <w:lang w:val="pl-PL"/>
        </w:rPr>
        <w:t>I</w:t>
      </w:r>
      <w:r w:rsidR="006F716C" w:rsidRPr="006F716C">
        <w:rPr>
          <w:lang w:val="pl-PL"/>
        </w:rPr>
        <w:t>I</w:t>
      </w:r>
      <w:r w:rsidRPr="006F716C">
        <w:rPr>
          <w:lang w:val="pl-PL"/>
        </w:rPr>
        <w:t xml:space="preserve"> kw. 202</w:t>
      </w:r>
      <w:r w:rsidR="00127832" w:rsidRPr="006F716C">
        <w:rPr>
          <w:lang w:val="pl-PL"/>
        </w:rPr>
        <w:t>5</w:t>
      </w:r>
      <w:r w:rsidR="000F4EDC" w:rsidRPr="006F716C">
        <w:rPr>
          <w:lang w:val="pl-PL"/>
        </w:rPr>
        <w:t xml:space="preserve"> r. dochody sektora instytucji rządowych i samorz</w:t>
      </w:r>
      <w:r w:rsidRPr="006F716C">
        <w:rPr>
          <w:lang w:val="pl-PL"/>
        </w:rPr>
        <w:t xml:space="preserve">ądowych (ESA2010) wyniosły </w:t>
      </w:r>
      <w:r w:rsidR="006F716C" w:rsidRPr="006F716C">
        <w:rPr>
          <w:lang w:val="pl-PL"/>
        </w:rPr>
        <w:t>429,6</w:t>
      </w:r>
      <w:r w:rsidR="000F4EDC" w:rsidRPr="006F716C">
        <w:rPr>
          <w:lang w:val="pl-PL"/>
        </w:rPr>
        <w:t xml:space="preserve"> mld z</w:t>
      </w:r>
      <w:r w:rsidRPr="006F716C">
        <w:rPr>
          <w:lang w:val="pl-PL"/>
        </w:rPr>
        <w:t xml:space="preserve">ł i były nominalnie wyższe o </w:t>
      </w:r>
      <w:r w:rsidR="006F716C" w:rsidRPr="006F716C">
        <w:rPr>
          <w:lang w:val="pl-PL"/>
        </w:rPr>
        <w:t>10,6</w:t>
      </w:r>
      <w:r w:rsidR="000F4EDC" w:rsidRPr="006F716C">
        <w:rPr>
          <w:lang w:val="pl-PL"/>
        </w:rPr>
        <w:t>% r/r</w:t>
      </w:r>
      <w:r w:rsidR="00175555" w:rsidRPr="006F716C">
        <w:rPr>
          <w:lang w:val="pl-PL"/>
        </w:rPr>
        <w:t xml:space="preserve"> i </w:t>
      </w:r>
      <w:r w:rsidR="000F4EDC" w:rsidRPr="006F716C">
        <w:rPr>
          <w:lang w:val="pl-PL"/>
        </w:rPr>
        <w:t>w</w:t>
      </w:r>
      <w:r w:rsidRPr="006F716C">
        <w:rPr>
          <w:lang w:val="pl-PL"/>
        </w:rPr>
        <w:t xml:space="preserve"> relacji do PKB </w:t>
      </w:r>
      <w:r w:rsidR="006A398D" w:rsidRPr="006F716C">
        <w:rPr>
          <w:lang w:val="pl-PL"/>
        </w:rPr>
        <w:t>wzrosły o</w:t>
      </w:r>
      <w:r w:rsidR="002762DB" w:rsidRPr="006F716C">
        <w:rPr>
          <w:lang w:val="pl-PL"/>
        </w:rPr>
        <w:t> </w:t>
      </w:r>
      <w:r w:rsidRPr="006F716C">
        <w:rPr>
          <w:lang w:val="pl-PL"/>
        </w:rPr>
        <w:t>r/r o</w:t>
      </w:r>
      <w:r w:rsidR="009434DB" w:rsidRPr="006F716C">
        <w:rPr>
          <w:lang w:val="pl-PL"/>
        </w:rPr>
        <w:t> </w:t>
      </w:r>
      <w:r w:rsidR="006F716C" w:rsidRPr="006F716C">
        <w:rPr>
          <w:lang w:val="pl-PL"/>
        </w:rPr>
        <w:t>1,7</w:t>
      </w:r>
      <w:r w:rsidR="000F4EDC" w:rsidRPr="006F716C">
        <w:rPr>
          <w:lang w:val="pl-PL"/>
        </w:rPr>
        <w:t xml:space="preserve"> pkt. proc.</w:t>
      </w:r>
      <w:r w:rsidR="000F4EDC" w:rsidRPr="006A398D">
        <w:rPr>
          <w:lang w:val="pl-PL"/>
        </w:rPr>
        <w:t xml:space="preserve"> </w:t>
      </w:r>
    </w:p>
    <w:p w14:paraId="274F8CA2" w14:textId="4FD47FFB" w:rsidR="000F4EDC" w:rsidRPr="006F716C" w:rsidRDefault="000F4EDC" w:rsidP="00700C2E">
      <w:pPr>
        <w:spacing w:after="120"/>
        <w:rPr>
          <w:lang w:val="pl-PL"/>
        </w:rPr>
      </w:pPr>
      <w:bookmarkStart w:id="7" w:name="_Hlk212206855"/>
      <w:r w:rsidRPr="006F716C">
        <w:rPr>
          <w:lang w:val="pl-PL"/>
        </w:rPr>
        <w:lastRenderedPageBreak/>
        <w:t>Dochody podatkowe (</w:t>
      </w:r>
      <w:r w:rsidR="009434DB" w:rsidRPr="006F716C">
        <w:rPr>
          <w:lang w:val="pl-PL"/>
        </w:rPr>
        <w:t xml:space="preserve">w ujęciu </w:t>
      </w:r>
      <w:r w:rsidRPr="006F716C">
        <w:rPr>
          <w:lang w:val="pl-PL"/>
        </w:rPr>
        <w:t>ESA2010), mające największy udział w</w:t>
      </w:r>
      <w:r w:rsidR="00B62053" w:rsidRPr="006F716C">
        <w:rPr>
          <w:lang w:val="pl-PL"/>
        </w:rPr>
        <w:t> </w:t>
      </w:r>
      <w:r w:rsidRPr="006F716C">
        <w:rPr>
          <w:lang w:val="pl-PL"/>
        </w:rPr>
        <w:t>omawia</w:t>
      </w:r>
      <w:r w:rsidR="00E570F2" w:rsidRPr="006F716C">
        <w:rPr>
          <w:lang w:val="pl-PL"/>
        </w:rPr>
        <w:t xml:space="preserve">nej kategorii, </w:t>
      </w:r>
      <w:r w:rsidR="00B553FF" w:rsidRPr="006F716C">
        <w:rPr>
          <w:lang w:val="pl-PL"/>
        </w:rPr>
        <w:t xml:space="preserve">które </w:t>
      </w:r>
      <w:r w:rsidR="00E570F2" w:rsidRPr="006F716C">
        <w:rPr>
          <w:lang w:val="pl-PL"/>
        </w:rPr>
        <w:t xml:space="preserve">nominalnie wzrosły o </w:t>
      </w:r>
      <w:r w:rsidR="006F716C" w:rsidRPr="006F716C">
        <w:rPr>
          <w:lang w:val="pl-PL"/>
        </w:rPr>
        <w:t>7,5</w:t>
      </w:r>
      <w:r w:rsidRPr="006F716C">
        <w:rPr>
          <w:lang w:val="pl-PL"/>
        </w:rPr>
        <w:t>% r/r</w:t>
      </w:r>
      <w:r w:rsidR="00B553FF" w:rsidRPr="006F716C">
        <w:rPr>
          <w:lang w:val="pl-PL"/>
        </w:rPr>
        <w:t xml:space="preserve">, w relacji do PKB </w:t>
      </w:r>
      <w:r w:rsidR="006F716C" w:rsidRPr="006F716C">
        <w:rPr>
          <w:lang w:val="pl-PL"/>
        </w:rPr>
        <w:t>wzrosły</w:t>
      </w:r>
      <w:r w:rsidR="00B553FF" w:rsidRPr="006F716C">
        <w:rPr>
          <w:lang w:val="pl-PL"/>
        </w:rPr>
        <w:t xml:space="preserve"> r/r o 0,</w:t>
      </w:r>
      <w:r w:rsidR="006F716C" w:rsidRPr="006F716C">
        <w:rPr>
          <w:lang w:val="pl-PL"/>
        </w:rPr>
        <w:t>3</w:t>
      </w:r>
      <w:r w:rsidR="00B553FF" w:rsidRPr="006F716C">
        <w:rPr>
          <w:lang w:val="pl-PL"/>
        </w:rPr>
        <w:t xml:space="preserve"> pkt. proc. Było to efektem </w:t>
      </w:r>
      <w:r w:rsidR="006F716C" w:rsidRPr="006F716C">
        <w:rPr>
          <w:lang w:val="pl-PL"/>
        </w:rPr>
        <w:t>wzrostu</w:t>
      </w:r>
      <w:r w:rsidRPr="006F716C">
        <w:rPr>
          <w:lang w:val="pl-PL"/>
        </w:rPr>
        <w:t xml:space="preserve"> wpływów</w:t>
      </w:r>
      <w:r w:rsidR="006F716C">
        <w:rPr>
          <w:lang w:val="pl-PL"/>
        </w:rPr>
        <w:t xml:space="preserve"> z</w:t>
      </w:r>
      <w:r w:rsidRPr="006F716C">
        <w:rPr>
          <w:lang w:val="pl-PL"/>
        </w:rPr>
        <w:t xml:space="preserve"> podatków </w:t>
      </w:r>
      <w:r w:rsidR="00B41BFF" w:rsidRPr="006F716C">
        <w:rPr>
          <w:lang w:val="pl-PL"/>
        </w:rPr>
        <w:t>od produkcji i importu o</w:t>
      </w:r>
      <w:r w:rsidR="00D74B27">
        <w:rPr>
          <w:lang w:val="pl-PL"/>
        </w:rPr>
        <w:t> </w:t>
      </w:r>
      <w:r w:rsidR="00B41BFF" w:rsidRPr="006F716C">
        <w:rPr>
          <w:lang w:val="pl-PL"/>
        </w:rPr>
        <w:t xml:space="preserve">ok. </w:t>
      </w:r>
      <w:r w:rsidR="006F716C">
        <w:rPr>
          <w:lang w:val="pl-PL"/>
        </w:rPr>
        <w:t>6,4</w:t>
      </w:r>
      <w:r w:rsidRPr="006F716C">
        <w:rPr>
          <w:lang w:val="pl-PL"/>
        </w:rPr>
        <w:t>% r/r</w:t>
      </w:r>
      <w:r w:rsidR="006F716C">
        <w:rPr>
          <w:lang w:val="pl-PL"/>
        </w:rPr>
        <w:t xml:space="preserve"> oraz</w:t>
      </w:r>
      <w:r w:rsidR="00B553FF" w:rsidRPr="006F716C">
        <w:rPr>
          <w:lang w:val="pl-PL"/>
        </w:rPr>
        <w:t xml:space="preserve"> </w:t>
      </w:r>
      <w:r w:rsidR="00BB0DEC" w:rsidRPr="006F716C">
        <w:rPr>
          <w:lang w:val="pl-PL"/>
        </w:rPr>
        <w:t>wzrost</w:t>
      </w:r>
      <w:r w:rsidR="006F716C">
        <w:rPr>
          <w:lang w:val="pl-PL"/>
        </w:rPr>
        <w:t>u</w:t>
      </w:r>
      <w:r w:rsidR="00B553FF" w:rsidRPr="006F716C">
        <w:rPr>
          <w:lang w:val="pl-PL"/>
        </w:rPr>
        <w:t xml:space="preserve"> </w:t>
      </w:r>
      <w:r w:rsidRPr="006F716C">
        <w:rPr>
          <w:lang w:val="pl-PL"/>
        </w:rPr>
        <w:t>wpływów z</w:t>
      </w:r>
      <w:r w:rsidR="000C6A78" w:rsidRPr="006F716C">
        <w:rPr>
          <w:lang w:val="pl-PL"/>
        </w:rPr>
        <w:t> </w:t>
      </w:r>
      <w:r w:rsidRPr="006F716C">
        <w:rPr>
          <w:lang w:val="pl-PL"/>
        </w:rPr>
        <w:t>pod</w:t>
      </w:r>
      <w:r w:rsidR="00B41BFF" w:rsidRPr="006F716C">
        <w:rPr>
          <w:lang w:val="pl-PL"/>
        </w:rPr>
        <w:t>atków od dochodu i majątku</w:t>
      </w:r>
      <w:r w:rsidR="00C42526" w:rsidRPr="006F716C">
        <w:rPr>
          <w:lang w:val="pl-PL"/>
        </w:rPr>
        <w:t xml:space="preserve"> </w:t>
      </w:r>
      <w:r w:rsidR="00B41BFF" w:rsidRPr="006F716C">
        <w:rPr>
          <w:lang w:val="pl-PL"/>
        </w:rPr>
        <w:t>o</w:t>
      </w:r>
      <w:r w:rsidR="002762DB" w:rsidRPr="006F716C">
        <w:rPr>
          <w:lang w:val="pl-PL"/>
        </w:rPr>
        <w:t> </w:t>
      </w:r>
      <w:r w:rsidR="006F716C">
        <w:rPr>
          <w:lang w:val="pl-PL"/>
        </w:rPr>
        <w:t>9,5</w:t>
      </w:r>
      <w:r w:rsidRPr="006F716C">
        <w:rPr>
          <w:lang w:val="pl-PL"/>
        </w:rPr>
        <w:t>% r/r</w:t>
      </w:r>
      <w:r w:rsidR="00CE5FEE" w:rsidRPr="006F716C">
        <w:rPr>
          <w:lang w:val="pl-PL"/>
        </w:rPr>
        <w:t xml:space="preserve"> (wzrost w relacji do PKB o </w:t>
      </w:r>
      <w:r w:rsidR="006F716C">
        <w:rPr>
          <w:lang w:val="pl-PL"/>
        </w:rPr>
        <w:t>0,2</w:t>
      </w:r>
      <w:r w:rsidR="00CE5FEE" w:rsidRPr="006F716C">
        <w:rPr>
          <w:lang w:val="pl-PL"/>
        </w:rPr>
        <w:t xml:space="preserve"> pkt. proc.</w:t>
      </w:r>
      <w:r w:rsidR="00827E7E" w:rsidRPr="006F716C">
        <w:rPr>
          <w:lang w:val="pl-PL"/>
        </w:rPr>
        <w:t>).</w:t>
      </w:r>
    </w:p>
    <w:bookmarkEnd w:id="7"/>
    <w:p w14:paraId="77F23E08" w14:textId="42C58025" w:rsidR="00B9173A" w:rsidRDefault="000F4EDC" w:rsidP="00B9173A">
      <w:pPr>
        <w:spacing w:after="120"/>
        <w:rPr>
          <w:rFonts w:ascii="Calibri" w:hAnsi="Calibri"/>
          <w:sz w:val="22"/>
          <w:lang w:val="pl-PL"/>
        </w:rPr>
      </w:pPr>
      <w:r w:rsidRPr="00240897">
        <w:rPr>
          <w:lang w:val="pl-PL"/>
        </w:rPr>
        <w:t>Dochody z tytułu składek na ubezpieczenie społeczne w podsektorze ubezpi</w:t>
      </w:r>
      <w:r w:rsidR="00B41BFF" w:rsidRPr="00240897">
        <w:rPr>
          <w:lang w:val="pl-PL"/>
        </w:rPr>
        <w:t xml:space="preserve">eczeń społecznych (ESA2010) w </w:t>
      </w:r>
      <w:r w:rsidR="00160037" w:rsidRPr="00240897">
        <w:rPr>
          <w:lang w:val="pl-PL"/>
        </w:rPr>
        <w:t>I</w:t>
      </w:r>
      <w:r w:rsidR="006A398D" w:rsidRPr="00240897">
        <w:rPr>
          <w:lang w:val="pl-PL"/>
        </w:rPr>
        <w:t>I</w:t>
      </w:r>
      <w:r w:rsidR="00240897">
        <w:rPr>
          <w:lang w:val="pl-PL"/>
        </w:rPr>
        <w:t>I</w:t>
      </w:r>
      <w:r w:rsidR="00B41BFF" w:rsidRPr="00240897">
        <w:rPr>
          <w:lang w:val="pl-PL"/>
        </w:rPr>
        <w:t xml:space="preserve"> kw. 202</w:t>
      </w:r>
      <w:r w:rsidR="00734C97" w:rsidRPr="00240897">
        <w:rPr>
          <w:lang w:val="pl-PL"/>
        </w:rPr>
        <w:t>5</w:t>
      </w:r>
      <w:r w:rsidR="00B41BFF" w:rsidRPr="00240897">
        <w:rPr>
          <w:lang w:val="pl-PL"/>
        </w:rPr>
        <w:t xml:space="preserve"> r. były wyższe o </w:t>
      </w:r>
      <w:r w:rsidR="00240897">
        <w:rPr>
          <w:lang w:val="pl-PL"/>
        </w:rPr>
        <w:t>9,2</w:t>
      </w:r>
      <w:r w:rsidRPr="00240897">
        <w:rPr>
          <w:lang w:val="pl-PL"/>
        </w:rPr>
        <w:t>% r/r</w:t>
      </w:r>
      <w:r w:rsidR="00906ED0" w:rsidRPr="00240897">
        <w:rPr>
          <w:lang w:val="pl-PL"/>
        </w:rPr>
        <w:t xml:space="preserve"> (wzrost w relacji do PKB o 0,</w:t>
      </w:r>
      <w:r w:rsidR="00240897">
        <w:rPr>
          <w:lang w:val="pl-PL"/>
        </w:rPr>
        <w:t>4</w:t>
      </w:r>
      <w:r w:rsidR="00906ED0" w:rsidRPr="00240897">
        <w:rPr>
          <w:lang w:val="pl-PL"/>
        </w:rPr>
        <w:t xml:space="preserve"> pkt. proc</w:t>
      </w:r>
      <w:r w:rsidR="00906ED0" w:rsidRPr="00B9173A">
        <w:rPr>
          <w:lang w:val="pl-PL"/>
        </w:rPr>
        <w:t>.)</w:t>
      </w:r>
      <w:r w:rsidRPr="00B9173A">
        <w:rPr>
          <w:lang w:val="pl-PL"/>
        </w:rPr>
        <w:t xml:space="preserve">, tj. ukształtowały się </w:t>
      </w:r>
      <w:r w:rsidR="00B9173A" w:rsidRPr="00B9173A">
        <w:rPr>
          <w:lang w:val="pl-PL"/>
        </w:rPr>
        <w:t>powyżej nominalnego</w:t>
      </w:r>
      <w:r w:rsidR="00592442" w:rsidRPr="00B9173A">
        <w:rPr>
          <w:lang w:val="pl-PL"/>
        </w:rPr>
        <w:t xml:space="preserve"> </w:t>
      </w:r>
      <w:r w:rsidR="006E327A" w:rsidRPr="00B9173A">
        <w:rPr>
          <w:lang w:val="pl-PL"/>
        </w:rPr>
        <w:t>tempa</w:t>
      </w:r>
      <w:r w:rsidRPr="00B9173A">
        <w:rPr>
          <w:lang w:val="pl-PL"/>
        </w:rPr>
        <w:t xml:space="preserve"> wzrostu funduszu wynagrodzeń w gospodarce narodowej</w:t>
      </w:r>
      <w:r w:rsidR="00B9173A" w:rsidRPr="00B9173A">
        <w:rPr>
          <w:lang w:val="pl-PL"/>
        </w:rPr>
        <w:t xml:space="preserve"> (bez jednostek o liczbie pracujących do 9 osób)</w:t>
      </w:r>
      <w:r w:rsidR="006E327A" w:rsidRPr="00B9173A">
        <w:rPr>
          <w:lang w:val="pl-PL"/>
        </w:rPr>
        <w:t xml:space="preserve">, które </w:t>
      </w:r>
      <w:r w:rsidR="00B9173A" w:rsidRPr="00B9173A">
        <w:rPr>
          <w:lang w:val="pl-PL"/>
        </w:rPr>
        <w:t xml:space="preserve">w III kwartale 2025 r. </w:t>
      </w:r>
      <w:r w:rsidR="006E327A" w:rsidRPr="00B9173A">
        <w:rPr>
          <w:lang w:val="pl-PL"/>
        </w:rPr>
        <w:t xml:space="preserve">wyniosło </w:t>
      </w:r>
      <w:r w:rsidR="00B9173A" w:rsidRPr="00B9173A">
        <w:rPr>
          <w:lang w:val="pl-PL"/>
        </w:rPr>
        <w:t>7,4% r/r.</w:t>
      </w:r>
    </w:p>
    <w:p w14:paraId="1E16740E" w14:textId="311D0DEC" w:rsidR="00801205" w:rsidRPr="00364AC3" w:rsidRDefault="00D73672" w:rsidP="00801205">
      <w:pPr>
        <w:spacing w:after="0"/>
        <w:rPr>
          <w:noProof/>
          <w:lang w:val="pl-PL"/>
        </w:rPr>
      </w:pPr>
      <w:r w:rsidRPr="00804E0F">
        <w:rPr>
          <w:lang w:val="pl-PL"/>
        </w:rPr>
        <w:t xml:space="preserve">Wykres </w:t>
      </w:r>
      <w:r w:rsidRPr="00804E0F">
        <w:rPr>
          <w:i/>
        </w:rPr>
        <w:fldChar w:fldCharType="begin"/>
      </w:r>
      <w:r w:rsidRPr="00804E0F">
        <w:rPr>
          <w:lang w:val="pl-PL"/>
        </w:rPr>
        <w:instrText xml:space="preserve"> SEQ Wykres \* ARABIC </w:instrText>
      </w:r>
      <w:r w:rsidRPr="00804E0F">
        <w:rPr>
          <w:i/>
        </w:rPr>
        <w:fldChar w:fldCharType="separate"/>
      </w:r>
      <w:r w:rsidR="00B24412">
        <w:rPr>
          <w:noProof/>
          <w:lang w:val="pl-PL"/>
        </w:rPr>
        <w:t>2</w:t>
      </w:r>
      <w:r w:rsidRPr="00804E0F">
        <w:rPr>
          <w:i/>
        </w:rPr>
        <w:fldChar w:fldCharType="end"/>
      </w:r>
      <w:r w:rsidRPr="00804E0F">
        <w:rPr>
          <w:lang w:val="pl-PL"/>
        </w:rPr>
        <w:t>. Struktura dochodów sektora instytucji rządowych i samorządowych w</w:t>
      </w:r>
      <w:r w:rsidR="009E172F" w:rsidRPr="00804E0F">
        <w:rPr>
          <w:lang w:val="pl-PL"/>
        </w:rPr>
        <w:t> </w:t>
      </w:r>
      <w:r w:rsidR="009F1463" w:rsidRPr="00804E0F">
        <w:rPr>
          <w:lang w:val="pl-PL"/>
        </w:rPr>
        <w:t>I</w:t>
      </w:r>
      <w:r w:rsidR="001C22D8" w:rsidRPr="00804E0F">
        <w:rPr>
          <w:lang w:val="pl-PL"/>
        </w:rPr>
        <w:t>I</w:t>
      </w:r>
      <w:r w:rsidR="00461698" w:rsidRPr="00804E0F">
        <w:rPr>
          <w:lang w:val="pl-PL"/>
        </w:rPr>
        <w:t>I</w:t>
      </w:r>
      <w:r w:rsidR="009E172F" w:rsidRPr="00804E0F">
        <w:rPr>
          <w:lang w:val="pl-PL"/>
        </w:rPr>
        <w:t> </w:t>
      </w:r>
      <w:r w:rsidRPr="00804E0F">
        <w:rPr>
          <w:lang w:val="pl-PL"/>
        </w:rPr>
        <w:t>kw. 202</w:t>
      </w:r>
      <w:r w:rsidR="00364AC3" w:rsidRPr="00804E0F">
        <w:rPr>
          <w:lang w:val="pl-PL"/>
        </w:rPr>
        <w:t>5</w:t>
      </w:r>
      <w:r w:rsidRPr="00804E0F">
        <w:rPr>
          <w:lang w:val="pl-PL"/>
        </w:rPr>
        <w:t xml:space="preserve"> r. (w</w:t>
      </w:r>
      <w:r w:rsidR="00E9428E" w:rsidRPr="00804E0F">
        <w:rPr>
          <w:lang w:val="pl-PL"/>
        </w:rPr>
        <w:t xml:space="preserve"> </w:t>
      </w:r>
      <w:r w:rsidRPr="00804E0F">
        <w:rPr>
          <w:lang w:val="pl-PL"/>
        </w:rPr>
        <w:t>%).</w:t>
      </w:r>
      <w:bookmarkStart w:id="8" w:name="_Hlk149216838"/>
    </w:p>
    <w:p w14:paraId="6C431759" w14:textId="435E8008" w:rsidR="00801205" w:rsidRPr="001C22D8" w:rsidRDefault="00804E0F" w:rsidP="00801205">
      <w:pPr>
        <w:spacing w:after="0"/>
        <w:rPr>
          <w:highlight w:val="yellow"/>
          <w:lang w:val="pl-PL"/>
        </w:rPr>
      </w:pPr>
      <w:r>
        <w:rPr>
          <w:noProof/>
        </w:rPr>
        <w:drawing>
          <wp:inline distT="0" distB="0" distL="0" distR="0" wp14:anchorId="1B629D88" wp14:editId="3D91F592">
            <wp:extent cx="5759450" cy="3756660"/>
            <wp:effectExtent l="95250" t="57150" r="88900" b="148590"/>
            <wp:docPr id="6" name="Wykres 6" descr="Wykres 2.&#10;Wykres przedstawia strukturę dochodów sektora instytucji rządowych i samorządowych w III kwartale 2025 roku w podziale na: składki na ubezpieczenia społeczne 35,2%, VAT 18,7%; podatki dochodowe 18,6%; pozostałe podatki 13,5%, inne 14,0%.&#10;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D0414AF" w14:textId="3DD0D47B" w:rsidR="008F7598" w:rsidRPr="008F7598" w:rsidRDefault="008F7598" w:rsidP="008F7598">
      <w:pPr>
        <w:rPr>
          <w:lang w:val="pl-PL"/>
        </w:rPr>
      </w:pPr>
      <w:r w:rsidRPr="008F7598">
        <w:rPr>
          <w:lang w:val="pl-PL"/>
        </w:rPr>
        <w:t>Dochody sektora instytucji rządowych i samorządowych z PIT (wg ESA2010 ) w III</w:t>
      </w:r>
      <w:r w:rsidR="00D74B27">
        <w:rPr>
          <w:lang w:val="pl-PL"/>
        </w:rPr>
        <w:t> </w:t>
      </w:r>
      <w:r w:rsidRPr="008F7598">
        <w:rPr>
          <w:lang w:val="pl-PL"/>
        </w:rPr>
        <w:t>kw</w:t>
      </w:r>
      <w:r w:rsidR="00D74B27">
        <w:rPr>
          <w:lang w:val="pl-PL"/>
        </w:rPr>
        <w:t>. </w:t>
      </w:r>
      <w:r w:rsidRPr="008F7598">
        <w:rPr>
          <w:lang w:val="pl-PL"/>
        </w:rPr>
        <w:t xml:space="preserve">2025 r. wyniosły 55,8 mld zł i były wyższe o 11,4% w porównaniu z rokiem poprzedzającym. Szacuje się, że nominalne tempo wzrostu przeciętnego funduszu </w:t>
      </w:r>
      <w:r w:rsidRPr="008F7598">
        <w:rPr>
          <w:lang w:val="pl-PL"/>
        </w:rPr>
        <w:lastRenderedPageBreak/>
        <w:t>wynagrodzeń w gospodarce narodowej (bez tzw. jednostek małych) oraz emerytur i</w:t>
      </w:r>
      <w:r w:rsidR="00D74B27">
        <w:rPr>
          <w:lang w:val="pl-PL"/>
        </w:rPr>
        <w:t> </w:t>
      </w:r>
      <w:r w:rsidRPr="008F7598">
        <w:rPr>
          <w:lang w:val="pl-PL"/>
        </w:rPr>
        <w:t>rent w III kw</w:t>
      </w:r>
      <w:r w:rsidR="00D74B27">
        <w:rPr>
          <w:lang w:val="pl-PL"/>
        </w:rPr>
        <w:t>.</w:t>
      </w:r>
      <w:r w:rsidRPr="008F7598">
        <w:rPr>
          <w:lang w:val="pl-PL"/>
        </w:rPr>
        <w:t xml:space="preserve"> 2025 r. wyniosło 7,3% r/r. Wpływy z podatku dochodowego od osób fizycznych rozliczających się według skali podatkowej, stanowiące największą kategorię wpływów z PIT, w III kw</w:t>
      </w:r>
      <w:r w:rsidR="00D74B27">
        <w:rPr>
          <w:lang w:val="pl-PL"/>
        </w:rPr>
        <w:t>.</w:t>
      </w:r>
      <w:r w:rsidRPr="008F7598">
        <w:rPr>
          <w:lang w:val="pl-PL"/>
        </w:rPr>
        <w:t xml:space="preserve"> 2025 r. wzrosły o 14,7% r/r. Jednocześnie, wpływy z</w:t>
      </w:r>
      <w:r w:rsidR="00D74B27">
        <w:rPr>
          <w:lang w:val="pl-PL"/>
        </w:rPr>
        <w:t> </w:t>
      </w:r>
      <w:r w:rsidRPr="008F7598">
        <w:rPr>
          <w:lang w:val="pl-PL"/>
        </w:rPr>
        <w:t>podatku liniowego były wyższe o 4,1% r/r, natomiast z ryczałtu od przychodów ewidencjonowanych o 13,4% r/r. Na zbliżonym poziomie, co przed rokiem, kształtowały się dochody podatkowe z ryczałtu od przychodów z odsetek oraz z pozostałych ryczałtów (spadek o 5,6% r/r).</w:t>
      </w:r>
    </w:p>
    <w:bookmarkEnd w:id="8"/>
    <w:p w14:paraId="0552569E" w14:textId="73D7D1CE" w:rsidR="00C2794F" w:rsidRPr="00C2794F" w:rsidRDefault="00C2794F" w:rsidP="00C2794F">
      <w:pPr>
        <w:spacing w:after="120"/>
        <w:rPr>
          <w:lang w:val="pl-PL"/>
        </w:rPr>
      </w:pPr>
      <w:r w:rsidRPr="00C2794F">
        <w:rPr>
          <w:lang w:val="pl-PL"/>
        </w:rPr>
        <w:t>Dochody sektora instytucji rządowych i samorządowych z CIT (wg zasad ESA2010) w</w:t>
      </w:r>
      <w:r w:rsidR="00D74B27">
        <w:rPr>
          <w:lang w:val="pl-PL"/>
        </w:rPr>
        <w:t> </w:t>
      </w:r>
      <w:r w:rsidRPr="00C2794F">
        <w:rPr>
          <w:lang w:val="pl-PL"/>
        </w:rPr>
        <w:t xml:space="preserve">III kw. 2025 r. wyniosły 19,6 mld zł i były wyższe o 6,2% r/r. Wynik finansowy brutto przedsiębiorstw niefinansowych wzrósł o 25,6% r/r, a zysk brutto tych podmiotów wzrósł o 13,8% r/r. Wynik finansowy brutto banków w III kw. 2025 r. wzrósł o 7,5% r/r. Na wyższe wykonanie dochodów w III kw. 2025 </w:t>
      </w:r>
      <w:r w:rsidR="00D74B27">
        <w:rPr>
          <w:lang w:val="pl-PL"/>
        </w:rPr>
        <w:t xml:space="preserve">r. </w:t>
      </w:r>
      <w:r w:rsidRPr="00C2794F">
        <w:rPr>
          <w:lang w:val="pl-PL"/>
        </w:rPr>
        <w:t xml:space="preserve">w porównaniu do III kw. 2024 r. wpłynęły niższe zwroty dla podatników z rozliczenia rocznego za 2024 r. (w 2025 r.), które wg danych są niższe o ok. 1,3 mld zł w stosunku do zwrotów 2024 r.. </w:t>
      </w:r>
    </w:p>
    <w:p w14:paraId="42D18E17" w14:textId="7A2F6C27" w:rsidR="00C2794F" w:rsidRPr="00C2794F" w:rsidRDefault="00C2794F" w:rsidP="00C2794F">
      <w:pPr>
        <w:spacing w:after="120"/>
        <w:rPr>
          <w:lang w:val="pl-PL"/>
        </w:rPr>
      </w:pPr>
      <w:r w:rsidRPr="00C2794F">
        <w:rPr>
          <w:lang w:val="pl-PL"/>
        </w:rPr>
        <w:t>Dochody z tytułu podatku VAT, wg zasad ESA2010, w III kw. 2025 r. były o 9,5% wyższe niż w analogicznym okresie 2024 r. i wyniosły ok. 80,2 mld zł. Zwroty VAT dokonane w III kw. 2025 r. były wyższe o 2,6% r/r i wyniosły ok. 44,6 mld zł, zaś wpłaty VAT były wyższe o 6,9% r/r i wyniosły ok. 124,8 mld zł. Na wynik dochodów z podatku VAT w III kw. 2025 r. pozytywny wpływ miała sytuacja makroekonomiczna. W III kw. 2025 r. spożycie prywatne wzrosło o 3,5% r/r. Ponadto w III kwartale 2025 r. nastąpił realny wzrost sprzedaży detalicznej, który wyniósł 4,3% r/r, natomiast produkcja przemysłowa w ujęciu nominalnym w III kw. 2025 r. wzrosła o 2,2% r/r.</w:t>
      </w:r>
    </w:p>
    <w:p w14:paraId="0F3EBC45" w14:textId="7546F548" w:rsidR="00C84EEC" w:rsidRPr="00155FEC" w:rsidRDefault="00C2794F" w:rsidP="00C2794F">
      <w:pPr>
        <w:spacing w:after="120"/>
        <w:rPr>
          <w:highlight w:val="yellow"/>
          <w:lang w:val="pl-PL"/>
        </w:rPr>
      </w:pPr>
      <w:r w:rsidRPr="00C2794F">
        <w:rPr>
          <w:lang w:val="pl-PL"/>
        </w:rPr>
        <w:t>Dochody z akcyzy (wg zasad ESA2010) w III kw. 2025 r. były wyższe o 4,0% r/r i</w:t>
      </w:r>
      <w:r w:rsidR="00D74B27">
        <w:rPr>
          <w:lang w:val="pl-PL"/>
        </w:rPr>
        <w:t> </w:t>
      </w:r>
      <w:r w:rsidRPr="00C2794F">
        <w:rPr>
          <w:lang w:val="pl-PL"/>
        </w:rPr>
        <w:t>wyniosły ok. 24,6 mld zł. Dochody, od wyrobów tytoniowych wzrosły o 7,2% r/r, od alkoholu etylowego spadły o 2,6% r/r, od piwa spadły o 4,5% r/r, od wina spadły o 5,9%</w:t>
      </w:r>
      <w:r w:rsidR="00D74B27">
        <w:rPr>
          <w:lang w:val="pl-PL"/>
        </w:rPr>
        <w:t> </w:t>
      </w:r>
      <w:r w:rsidRPr="00C2794F">
        <w:rPr>
          <w:lang w:val="pl-PL"/>
        </w:rPr>
        <w:t>r/r, od samochodów osobowych spadły o 3,1% r/r, od paliw silnikowych wzrosły o</w:t>
      </w:r>
      <w:r w:rsidR="00D74B27">
        <w:rPr>
          <w:lang w:val="pl-PL"/>
        </w:rPr>
        <w:t> </w:t>
      </w:r>
      <w:r w:rsidRPr="00C2794F">
        <w:rPr>
          <w:lang w:val="pl-PL"/>
        </w:rPr>
        <w:t>1,5% r/r, a od energii elektrycznej wzrosły o 3,5% r/r.</w:t>
      </w:r>
    </w:p>
    <w:p w14:paraId="76241812" w14:textId="361900B8" w:rsidR="00B12864" w:rsidRPr="00F62C46" w:rsidRDefault="00B12864" w:rsidP="002C7991">
      <w:pPr>
        <w:rPr>
          <w:i/>
          <w:lang w:val="pl-PL"/>
        </w:rPr>
      </w:pPr>
      <w:r w:rsidRPr="00263B1B">
        <w:rPr>
          <w:lang w:val="pl-PL"/>
        </w:rPr>
        <w:t xml:space="preserve">Wykres </w:t>
      </w:r>
      <w:r w:rsidRPr="00263B1B">
        <w:rPr>
          <w:i/>
        </w:rPr>
        <w:fldChar w:fldCharType="begin"/>
      </w:r>
      <w:r w:rsidRPr="00263B1B">
        <w:rPr>
          <w:lang w:val="pl-PL"/>
        </w:rPr>
        <w:instrText xml:space="preserve"> SEQ Wykres \* ARABIC </w:instrText>
      </w:r>
      <w:r w:rsidRPr="00263B1B">
        <w:rPr>
          <w:i/>
        </w:rPr>
        <w:fldChar w:fldCharType="separate"/>
      </w:r>
      <w:r w:rsidR="00B24412">
        <w:rPr>
          <w:noProof/>
          <w:lang w:val="pl-PL"/>
        </w:rPr>
        <w:t>3</w:t>
      </w:r>
      <w:r w:rsidRPr="00263B1B">
        <w:rPr>
          <w:i/>
        </w:rPr>
        <w:fldChar w:fldCharType="end"/>
      </w:r>
      <w:r w:rsidRPr="00263B1B">
        <w:rPr>
          <w:lang w:val="pl-PL"/>
        </w:rPr>
        <w:t>. Dynamika memoriałowych wpływów z podatku VAT (r/r).</w:t>
      </w:r>
    </w:p>
    <w:p w14:paraId="495AC394" w14:textId="0124B2E4" w:rsidR="00B12864" w:rsidRPr="00193EB2" w:rsidRDefault="000A58CA" w:rsidP="00B87C32">
      <w:pPr>
        <w:spacing w:after="120"/>
        <w:rPr>
          <w:bCs/>
          <w:highlight w:val="yellow"/>
          <w:lang w:val="pl-PL"/>
        </w:rPr>
      </w:pPr>
      <w:r>
        <w:rPr>
          <w:noProof/>
        </w:rPr>
        <w:lastRenderedPageBreak/>
        <w:drawing>
          <wp:inline distT="0" distB="0" distL="0" distR="0" wp14:anchorId="77EF8FA5" wp14:editId="005C8D7D">
            <wp:extent cx="5382228" cy="3437681"/>
            <wp:effectExtent l="0" t="0" r="0" b="0"/>
            <wp:docPr id="10" name="Wykres 10" descr="Wykres 3.&#10;Wykres prezentuje dynamikę memoriałowych wpływów z podatku VAT i VAT w ujęciu roku płynnego r/r  w okresie od III kwartału 2022 do III kwartału 2025 roku. Dane szczegółowe dostępne w Aneksie statystycznym, na końcu opracowania.&#10;">
              <a:extLst xmlns:a="http://schemas.openxmlformats.org/drawingml/2006/main">
                <a:ext uri="{FF2B5EF4-FFF2-40B4-BE49-F238E27FC236}">
                  <a16:creationId xmlns:a16="http://schemas.microsoft.com/office/drawing/2014/main" id="{79D49AF7-F373-4129-8EBF-E8FC4687CF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95D05F1" w14:textId="1FD7F172" w:rsidR="00F96BC2" w:rsidRPr="00F96BC2" w:rsidRDefault="000F4EDC" w:rsidP="00F96BC2">
      <w:pPr>
        <w:spacing w:after="120"/>
        <w:rPr>
          <w:lang w:val="pl-PL"/>
        </w:rPr>
      </w:pPr>
      <w:bookmarkStart w:id="9" w:name="_Hlk212209540"/>
      <w:r w:rsidRPr="000C11C5">
        <w:rPr>
          <w:lang w:val="pl-PL"/>
        </w:rPr>
        <w:t>Pozostałe dochody sektora instytucji rządowych i samorządowyc</w:t>
      </w:r>
      <w:r w:rsidR="000165BF" w:rsidRPr="000C11C5">
        <w:rPr>
          <w:lang w:val="pl-PL"/>
        </w:rPr>
        <w:t xml:space="preserve">h w </w:t>
      </w:r>
      <w:r w:rsidR="00C60DA6" w:rsidRPr="000C11C5">
        <w:rPr>
          <w:lang w:val="pl-PL"/>
        </w:rPr>
        <w:t>I</w:t>
      </w:r>
      <w:r w:rsidR="000165BF" w:rsidRPr="000C11C5">
        <w:rPr>
          <w:lang w:val="pl-PL"/>
        </w:rPr>
        <w:t>I</w:t>
      </w:r>
      <w:r w:rsidR="006F7729" w:rsidRPr="000C11C5">
        <w:rPr>
          <w:lang w:val="pl-PL"/>
        </w:rPr>
        <w:t>I</w:t>
      </w:r>
      <w:r w:rsidR="000165BF" w:rsidRPr="000C11C5">
        <w:rPr>
          <w:lang w:val="pl-PL"/>
        </w:rPr>
        <w:t xml:space="preserve"> kw. </w:t>
      </w:r>
      <w:r w:rsidR="00B62053" w:rsidRPr="000C11C5">
        <w:rPr>
          <w:lang w:val="pl-PL"/>
        </w:rPr>
        <w:t>202</w:t>
      </w:r>
      <w:r w:rsidR="00592442" w:rsidRPr="000C11C5">
        <w:rPr>
          <w:lang w:val="pl-PL"/>
        </w:rPr>
        <w:t>5</w:t>
      </w:r>
      <w:r w:rsidR="00B62053" w:rsidRPr="000C11C5">
        <w:rPr>
          <w:lang w:val="pl-PL"/>
        </w:rPr>
        <w:t xml:space="preserve"> r. </w:t>
      </w:r>
      <w:r w:rsidR="00592442" w:rsidRPr="00CC28E4">
        <w:rPr>
          <w:lang w:val="pl-PL"/>
        </w:rPr>
        <w:t>wzrosły</w:t>
      </w:r>
      <w:r w:rsidR="00B62053" w:rsidRPr="00CC28E4">
        <w:rPr>
          <w:lang w:val="pl-PL"/>
        </w:rPr>
        <w:t xml:space="preserve"> nominalnie</w:t>
      </w:r>
      <w:r w:rsidR="003A4003" w:rsidRPr="00CC28E4">
        <w:rPr>
          <w:lang w:val="pl-PL"/>
        </w:rPr>
        <w:t xml:space="preserve"> </w:t>
      </w:r>
      <w:r w:rsidR="00B62053" w:rsidRPr="00CC28E4">
        <w:rPr>
          <w:lang w:val="pl-PL"/>
        </w:rPr>
        <w:t>o</w:t>
      </w:r>
      <w:r w:rsidR="00A402C9" w:rsidRPr="00CC28E4">
        <w:rPr>
          <w:lang w:val="pl-PL"/>
        </w:rPr>
        <w:t xml:space="preserve"> </w:t>
      </w:r>
      <w:r w:rsidR="000C11C5" w:rsidRPr="00CC28E4">
        <w:rPr>
          <w:lang w:val="pl-PL"/>
        </w:rPr>
        <w:t>27,9</w:t>
      </w:r>
      <w:r w:rsidRPr="00CC28E4">
        <w:rPr>
          <w:lang w:val="pl-PL"/>
        </w:rPr>
        <w:t>% r/r.</w:t>
      </w:r>
      <w:r w:rsidR="00827E7E" w:rsidRPr="00CC28E4">
        <w:rPr>
          <w:lang w:val="pl-PL"/>
        </w:rPr>
        <w:t xml:space="preserve"> (wzrost w relacji do PKB r/r o </w:t>
      </w:r>
      <w:r w:rsidR="000C11C5" w:rsidRPr="00CC28E4">
        <w:rPr>
          <w:lang w:val="pl-PL"/>
        </w:rPr>
        <w:t>1,0</w:t>
      </w:r>
      <w:r w:rsidR="00827E7E" w:rsidRPr="00CC28E4">
        <w:rPr>
          <w:lang w:val="pl-PL"/>
        </w:rPr>
        <w:t xml:space="preserve"> pkt. proc.)</w:t>
      </w:r>
      <w:r w:rsidR="00D919CD" w:rsidRPr="00CC28E4">
        <w:rPr>
          <w:lang w:val="pl-PL"/>
        </w:rPr>
        <w:t xml:space="preserve">, </w:t>
      </w:r>
      <w:r w:rsidR="00F96BC2" w:rsidRPr="00CC28E4">
        <w:rPr>
          <w:lang w:val="pl-PL"/>
        </w:rPr>
        <w:t xml:space="preserve">na co wpływ miał m.in. wzrost </w:t>
      </w:r>
      <w:r w:rsidR="00CC28E4" w:rsidRPr="00CC28E4">
        <w:rPr>
          <w:lang w:val="pl-PL"/>
        </w:rPr>
        <w:t>dochodów z tytułu własności</w:t>
      </w:r>
      <w:r w:rsidR="002E6FD9">
        <w:rPr>
          <w:lang w:val="pl-PL"/>
        </w:rPr>
        <w:t xml:space="preserve"> (w tym: z tytułu odsetek)</w:t>
      </w:r>
      <w:r w:rsidR="008831E3">
        <w:rPr>
          <w:lang w:val="pl-PL"/>
        </w:rPr>
        <w:t xml:space="preserve"> oraz </w:t>
      </w:r>
      <w:r w:rsidR="002E6FD9">
        <w:rPr>
          <w:lang w:val="pl-PL"/>
        </w:rPr>
        <w:t>transferów</w:t>
      </w:r>
      <w:r w:rsidR="008831E3">
        <w:rPr>
          <w:lang w:val="pl-PL"/>
        </w:rPr>
        <w:t xml:space="preserve"> kapitałowych (</w:t>
      </w:r>
      <w:r w:rsidR="00B8077D">
        <w:rPr>
          <w:lang w:val="pl-PL"/>
        </w:rPr>
        <w:t xml:space="preserve">m.in. w wyniku </w:t>
      </w:r>
      <w:r w:rsidR="008831E3">
        <w:rPr>
          <w:lang w:val="pl-PL"/>
        </w:rPr>
        <w:t>wzrost</w:t>
      </w:r>
      <w:r w:rsidR="00B8077D">
        <w:rPr>
          <w:lang w:val="pl-PL"/>
        </w:rPr>
        <w:t>u</w:t>
      </w:r>
      <w:r w:rsidR="008831E3">
        <w:rPr>
          <w:lang w:val="pl-PL"/>
        </w:rPr>
        <w:t xml:space="preserve"> r/r </w:t>
      </w:r>
      <w:r w:rsidR="00B8077D">
        <w:rPr>
          <w:lang w:val="pl-PL"/>
        </w:rPr>
        <w:t xml:space="preserve">środków z </w:t>
      </w:r>
      <w:r w:rsidR="008831E3">
        <w:rPr>
          <w:lang w:val="pl-PL"/>
        </w:rPr>
        <w:t>KPO)</w:t>
      </w:r>
      <w:r w:rsidR="00CC28E4" w:rsidRPr="00CC28E4">
        <w:rPr>
          <w:lang w:val="pl-PL"/>
        </w:rPr>
        <w:t>.</w:t>
      </w:r>
    </w:p>
    <w:p w14:paraId="6146D862" w14:textId="77777777" w:rsidR="000F4EDC" w:rsidRPr="003260F1" w:rsidRDefault="000F4EDC" w:rsidP="005E4D22">
      <w:pPr>
        <w:pStyle w:val="Nagwek2"/>
        <w:rPr>
          <w:lang w:val="pl-PL"/>
        </w:rPr>
      </w:pPr>
      <w:bookmarkStart w:id="10" w:name="_Toc220932600"/>
      <w:bookmarkEnd w:id="9"/>
      <w:r w:rsidRPr="003260F1">
        <w:rPr>
          <w:lang w:val="pl-PL"/>
        </w:rPr>
        <w:t>1.3. Wydatki</w:t>
      </w:r>
      <w:bookmarkEnd w:id="10"/>
    </w:p>
    <w:p w14:paraId="75E805EF" w14:textId="78352358" w:rsidR="000F4EDC" w:rsidRPr="000C11C5" w:rsidRDefault="003900DE" w:rsidP="00700C2E">
      <w:pPr>
        <w:spacing w:after="120"/>
        <w:rPr>
          <w:lang w:val="pl-PL"/>
        </w:rPr>
      </w:pPr>
      <w:r w:rsidRPr="000C11C5">
        <w:rPr>
          <w:lang w:val="pl-PL"/>
        </w:rPr>
        <w:t xml:space="preserve">W </w:t>
      </w:r>
      <w:r w:rsidR="00FE7CDD" w:rsidRPr="000C11C5">
        <w:rPr>
          <w:lang w:val="pl-PL"/>
        </w:rPr>
        <w:t>I</w:t>
      </w:r>
      <w:r w:rsidR="0081781F" w:rsidRPr="000C11C5">
        <w:rPr>
          <w:lang w:val="pl-PL"/>
        </w:rPr>
        <w:t>I</w:t>
      </w:r>
      <w:r w:rsidR="006F7729" w:rsidRPr="000C11C5">
        <w:rPr>
          <w:lang w:val="pl-PL"/>
        </w:rPr>
        <w:t>I</w:t>
      </w:r>
      <w:r w:rsidRPr="000C11C5">
        <w:rPr>
          <w:lang w:val="pl-PL"/>
        </w:rPr>
        <w:t xml:space="preserve"> kw. 202</w:t>
      </w:r>
      <w:r w:rsidR="003260F1" w:rsidRPr="000C11C5">
        <w:rPr>
          <w:lang w:val="pl-PL"/>
        </w:rPr>
        <w:t>5</w:t>
      </w:r>
      <w:r w:rsidR="000F4EDC" w:rsidRPr="000C11C5">
        <w:rPr>
          <w:lang w:val="pl-PL"/>
        </w:rPr>
        <w:t xml:space="preserve"> r. wydatki sektora instytucji rządowych i samorządowych (ESA2010) wyniosły </w:t>
      </w:r>
      <w:r w:rsidR="000C11C5">
        <w:rPr>
          <w:lang w:val="pl-PL"/>
        </w:rPr>
        <w:t>488,0</w:t>
      </w:r>
      <w:r w:rsidR="000F4EDC" w:rsidRPr="000C11C5">
        <w:rPr>
          <w:lang w:val="pl-PL"/>
        </w:rPr>
        <w:t xml:space="preserve"> mld zł</w:t>
      </w:r>
      <w:r w:rsidRPr="000C11C5">
        <w:rPr>
          <w:lang w:val="pl-PL"/>
        </w:rPr>
        <w:t xml:space="preserve"> i były nominalnie wyższe o </w:t>
      </w:r>
      <w:r w:rsidR="000C11C5">
        <w:rPr>
          <w:lang w:val="pl-PL"/>
        </w:rPr>
        <w:t>10,3</w:t>
      </w:r>
      <w:r w:rsidR="000F4EDC" w:rsidRPr="000C11C5">
        <w:rPr>
          <w:lang w:val="pl-PL"/>
        </w:rPr>
        <w:t>% r/r (w</w:t>
      </w:r>
      <w:r w:rsidRPr="000C11C5">
        <w:rPr>
          <w:lang w:val="pl-PL"/>
        </w:rPr>
        <w:t>zrost w relacji do PKB r/r o</w:t>
      </w:r>
      <w:r w:rsidR="00B212D1" w:rsidRPr="000C11C5">
        <w:rPr>
          <w:lang w:val="pl-PL"/>
        </w:rPr>
        <w:t> </w:t>
      </w:r>
      <w:r w:rsidR="000C11C5">
        <w:rPr>
          <w:lang w:val="pl-PL"/>
        </w:rPr>
        <w:t>1,8</w:t>
      </w:r>
      <w:r w:rsidR="000F4EDC" w:rsidRPr="000C11C5">
        <w:rPr>
          <w:lang w:val="pl-PL"/>
        </w:rPr>
        <w:t xml:space="preserve"> pkt. proc.)</w:t>
      </w:r>
      <w:r w:rsidR="00700112" w:rsidRPr="000C11C5">
        <w:rPr>
          <w:lang w:val="pl-PL"/>
        </w:rPr>
        <w:t>.</w:t>
      </w:r>
    </w:p>
    <w:p w14:paraId="7C47A524" w14:textId="6D511189" w:rsidR="00A439D2" w:rsidRDefault="00A439D2" w:rsidP="00700112">
      <w:pPr>
        <w:spacing w:after="120"/>
        <w:rPr>
          <w:lang w:val="pl-PL"/>
        </w:rPr>
      </w:pPr>
      <w:r>
        <w:rPr>
          <w:lang w:val="pl-PL"/>
        </w:rPr>
        <w:t xml:space="preserve">Największy wpływ na wzrost wydatków </w:t>
      </w:r>
      <w:r w:rsidRPr="000C11C5">
        <w:rPr>
          <w:lang w:val="pl-PL"/>
        </w:rPr>
        <w:t>(wzrost w relacji do PKB r/r o </w:t>
      </w:r>
      <w:r>
        <w:rPr>
          <w:lang w:val="pl-PL"/>
        </w:rPr>
        <w:t>1,0</w:t>
      </w:r>
      <w:r w:rsidRPr="000C11C5">
        <w:rPr>
          <w:lang w:val="pl-PL"/>
        </w:rPr>
        <w:t xml:space="preserve"> pkt. proc.)</w:t>
      </w:r>
      <w:r>
        <w:rPr>
          <w:lang w:val="pl-PL"/>
        </w:rPr>
        <w:t xml:space="preserve"> miały </w:t>
      </w:r>
      <w:r w:rsidRPr="000C11C5">
        <w:rPr>
          <w:lang w:val="pl-PL"/>
        </w:rPr>
        <w:t>wydatki inwestycyjne sektora instytucji rządowych i samorządowych</w:t>
      </w:r>
      <w:r>
        <w:rPr>
          <w:lang w:val="pl-PL"/>
        </w:rPr>
        <w:t>, które nominalnie wzrosły 32,2</w:t>
      </w:r>
      <w:r w:rsidRPr="000C11C5">
        <w:rPr>
          <w:lang w:val="pl-PL"/>
        </w:rPr>
        <w:t>% r/r</w:t>
      </w:r>
      <w:r>
        <w:rPr>
          <w:lang w:val="pl-PL"/>
        </w:rPr>
        <w:t>, na co wpływ miał przede wszystkim znaczący wzrost wartości dostaw sprzętu wojskowego.</w:t>
      </w:r>
    </w:p>
    <w:p w14:paraId="3362B89C" w14:textId="16D0DAF7" w:rsidR="00A439D2" w:rsidRPr="000C11C5" w:rsidRDefault="00FF4D77" w:rsidP="00A439D2">
      <w:pPr>
        <w:spacing w:after="120"/>
        <w:rPr>
          <w:lang w:val="pl-PL"/>
        </w:rPr>
      </w:pPr>
      <w:r>
        <w:rPr>
          <w:lang w:val="pl-PL"/>
        </w:rPr>
        <w:t xml:space="preserve">Istotny wzrost </w:t>
      </w:r>
      <w:r w:rsidR="00A439D2" w:rsidRPr="000C11C5">
        <w:rPr>
          <w:lang w:val="pl-PL"/>
        </w:rPr>
        <w:t xml:space="preserve">w relacji do PKB r/r </w:t>
      </w:r>
      <w:r>
        <w:rPr>
          <w:lang w:val="pl-PL"/>
        </w:rPr>
        <w:t xml:space="preserve">tj. </w:t>
      </w:r>
      <w:r w:rsidR="00A439D2" w:rsidRPr="000C11C5">
        <w:rPr>
          <w:lang w:val="pl-PL"/>
        </w:rPr>
        <w:t>o </w:t>
      </w:r>
      <w:r>
        <w:rPr>
          <w:lang w:val="pl-PL"/>
        </w:rPr>
        <w:t xml:space="preserve">0,7 pkt. proc. miał miejsce w kategorii obejmującej </w:t>
      </w:r>
      <w:r w:rsidR="00A439D2" w:rsidRPr="009C5567">
        <w:rPr>
          <w:lang w:val="pl-PL"/>
        </w:rPr>
        <w:t xml:space="preserve">świadczenia socjalne </w:t>
      </w:r>
      <w:r>
        <w:rPr>
          <w:lang w:val="pl-PL"/>
        </w:rPr>
        <w:t xml:space="preserve">(łącznie z transferami socjalnymi w naturze), które </w:t>
      </w:r>
      <w:r w:rsidR="00A439D2" w:rsidRPr="009C5567">
        <w:rPr>
          <w:lang w:val="pl-PL"/>
        </w:rPr>
        <w:t xml:space="preserve">wzrosły nominalnie o 9,9% r/r, tj. powyżej nominalnego tempa wzrostu przeciętnego kwartalnego funduszu emerytur i rent, które wyniosło 8,2% r/r. </w:t>
      </w:r>
    </w:p>
    <w:p w14:paraId="2BCFDB0C" w14:textId="463A3FE0" w:rsidR="00FF4D77" w:rsidRDefault="00FF4D77" w:rsidP="00700112">
      <w:pPr>
        <w:spacing w:after="120"/>
        <w:rPr>
          <w:lang w:val="pl-PL"/>
        </w:rPr>
      </w:pPr>
      <w:r w:rsidRPr="00947B87">
        <w:rPr>
          <w:lang w:val="pl-PL"/>
        </w:rPr>
        <w:lastRenderedPageBreak/>
        <w:t>W III kw. 2025 r. odnotowano nominalny wzrost spożycia publicznego o 11,3% r/r, na co wpływ miał wzrost kosztów pracy o 10,8% r/r oraz zużycia pośredniego o 11,9% r/r</w:t>
      </w:r>
      <w:r>
        <w:rPr>
          <w:lang w:val="pl-PL"/>
        </w:rPr>
        <w:t>. Łącznie te dwie kategorie wzrosły w relacji do PKB r/r o 0,8 pkt. proc.</w:t>
      </w:r>
    </w:p>
    <w:p w14:paraId="0226DBC5" w14:textId="577D8581" w:rsidR="00FF4D77" w:rsidRDefault="00FF4D77" w:rsidP="00FF4D77">
      <w:pPr>
        <w:spacing w:after="120"/>
        <w:rPr>
          <w:lang w:val="pl-PL"/>
        </w:rPr>
      </w:pPr>
      <w:r>
        <w:rPr>
          <w:lang w:val="pl-PL"/>
        </w:rPr>
        <w:t xml:space="preserve">Jednocześnie </w:t>
      </w:r>
      <w:r w:rsidRPr="000C11C5">
        <w:rPr>
          <w:lang w:val="pl-PL"/>
        </w:rPr>
        <w:t>spadek wydatków miał miejsce w kategorii dotacje (dla przedsiębiorców)</w:t>
      </w:r>
      <w:r>
        <w:rPr>
          <w:lang w:val="pl-PL"/>
        </w:rPr>
        <w:t>,</w:t>
      </w:r>
      <w:r w:rsidRPr="000C11C5">
        <w:rPr>
          <w:lang w:val="pl-PL"/>
        </w:rPr>
        <w:t xml:space="preserve"> tj. spadek o </w:t>
      </w:r>
      <w:r>
        <w:rPr>
          <w:lang w:val="pl-PL"/>
        </w:rPr>
        <w:t>49,3</w:t>
      </w:r>
      <w:r w:rsidRPr="000C11C5">
        <w:rPr>
          <w:lang w:val="pl-PL"/>
        </w:rPr>
        <w:t xml:space="preserve">% r/r (spadek w relacji do PKB r/r o </w:t>
      </w:r>
      <w:r>
        <w:rPr>
          <w:lang w:val="pl-PL"/>
        </w:rPr>
        <w:t>0,5</w:t>
      </w:r>
      <w:r w:rsidRPr="000C11C5">
        <w:rPr>
          <w:lang w:val="pl-PL"/>
        </w:rPr>
        <w:t xml:space="preserve"> pkt. proc.), co wynika</w:t>
      </w:r>
      <w:r>
        <w:rPr>
          <w:lang w:val="pl-PL"/>
        </w:rPr>
        <w:t>ło</w:t>
      </w:r>
      <w:r w:rsidRPr="000C11C5">
        <w:rPr>
          <w:lang w:val="pl-PL"/>
        </w:rPr>
        <w:t xml:space="preserve"> m.in. z ograniczenia działań osłonowych łagodzących wzrost cen nośników energii</w:t>
      </w:r>
      <w:r>
        <w:rPr>
          <w:lang w:val="pl-PL"/>
        </w:rPr>
        <w:t xml:space="preserve"> w ujęciu r/r</w:t>
      </w:r>
      <w:r w:rsidRPr="000C11C5">
        <w:rPr>
          <w:lang w:val="pl-PL"/>
        </w:rPr>
        <w:t>.</w:t>
      </w:r>
      <w:r w:rsidRPr="0081781F">
        <w:rPr>
          <w:lang w:val="pl-PL"/>
        </w:rPr>
        <w:t xml:space="preserve"> </w:t>
      </w:r>
    </w:p>
    <w:p w14:paraId="012B7474" w14:textId="58BDA8A8" w:rsidR="00764961" w:rsidRPr="00364AC3" w:rsidRDefault="00764961" w:rsidP="00764961">
      <w:pPr>
        <w:spacing w:after="0"/>
        <w:rPr>
          <w:lang w:val="pl-PL"/>
        </w:rPr>
      </w:pPr>
      <w:r w:rsidRPr="00804E0F">
        <w:rPr>
          <w:lang w:val="pl-PL"/>
        </w:rPr>
        <w:t xml:space="preserve">Wykres </w:t>
      </w:r>
      <w:r w:rsidRPr="00804E0F">
        <w:rPr>
          <w:i/>
        </w:rPr>
        <w:fldChar w:fldCharType="begin"/>
      </w:r>
      <w:r w:rsidRPr="00804E0F">
        <w:rPr>
          <w:lang w:val="pl-PL"/>
        </w:rPr>
        <w:instrText xml:space="preserve"> SEQ Wykres \* ARABIC </w:instrText>
      </w:r>
      <w:r w:rsidRPr="00804E0F">
        <w:rPr>
          <w:i/>
        </w:rPr>
        <w:fldChar w:fldCharType="separate"/>
      </w:r>
      <w:r w:rsidR="00B24412">
        <w:rPr>
          <w:noProof/>
          <w:lang w:val="pl-PL"/>
        </w:rPr>
        <w:t>4</w:t>
      </w:r>
      <w:r w:rsidRPr="00804E0F">
        <w:rPr>
          <w:i/>
        </w:rPr>
        <w:fldChar w:fldCharType="end"/>
      </w:r>
      <w:r w:rsidRPr="00804E0F">
        <w:rPr>
          <w:lang w:val="pl-PL"/>
        </w:rPr>
        <w:t xml:space="preserve">. Struktura wydatków sektora instytucji rządowych i samorządowych </w:t>
      </w:r>
      <w:r w:rsidR="00FF4D77">
        <w:rPr>
          <w:lang w:val="pl-PL"/>
        </w:rPr>
        <w:t>w </w:t>
      </w:r>
      <w:r w:rsidRPr="00804E0F">
        <w:rPr>
          <w:lang w:val="pl-PL"/>
        </w:rPr>
        <w:t>I</w:t>
      </w:r>
      <w:r w:rsidR="006F7729" w:rsidRPr="00804E0F">
        <w:rPr>
          <w:lang w:val="pl-PL"/>
        </w:rPr>
        <w:t>II</w:t>
      </w:r>
      <w:r w:rsidRPr="00804E0F">
        <w:rPr>
          <w:lang w:val="pl-PL"/>
        </w:rPr>
        <w:t> kw. 202</w:t>
      </w:r>
      <w:r w:rsidR="00364AC3" w:rsidRPr="00804E0F">
        <w:rPr>
          <w:lang w:val="pl-PL"/>
        </w:rPr>
        <w:t>5</w:t>
      </w:r>
      <w:r w:rsidRPr="00804E0F">
        <w:rPr>
          <w:lang w:val="pl-PL"/>
        </w:rPr>
        <w:t xml:space="preserve"> r. (w %).</w:t>
      </w:r>
    </w:p>
    <w:p w14:paraId="3AB8A550" w14:textId="5C907898" w:rsidR="00764961" w:rsidRPr="00193EB2" w:rsidRDefault="00804E0F" w:rsidP="00700112">
      <w:pPr>
        <w:spacing w:after="120"/>
        <w:rPr>
          <w:highlight w:val="yellow"/>
          <w:lang w:val="pl-PL"/>
        </w:rPr>
      </w:pPr>
      <w:r>
        <w:rPr>
          <w:noProof/>
        </w:rPr>
        <w:drawing>
          <wp:inline distT="0" distB="0" distL="0" distR="0" wp14:anchorId="2D6F54A2" wp14:editId="33AFAE29">
            <wp:extent cx="5759450" cy="3763010"/>
            <wp:effectExtent l="95250" t="57150" r="88900" b="142240"/>
            <wp:docPr id="8" name="Wykres 8" descr="Wykres 4.&#10;Wykres przedstawia strukturę wydatków sektora instytucji rządowych i samorządowych w III kwartale 2025 roku w podziale na: świadczenia socjale 41,3%, koszty pracy 22,6%, zużycie pośrednie 12,8%, inwestycje 10,4%, odsetki 4,8% i pozostałe 8,0%.&#10;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16360AC" w14:textId="27C9D5C1" w:rsidR="000F4EDC" w:rsidRPr="00193EB2" w:rsidRDefault="000F4EDC" w:rsidP="00B87C32">
      <w:pPr>
        <w:spacing w:after="120"/>
        <w:rPr>
          <w:highlight w:val="yellow"/>
          <w:lang w:val="pl-PL"/>
        </w:rPr>
      </w:pPr>
      <w:r w:rsidRPr="00193EB2">
        <w:rPr>
          <w:highlight w:val="yellow"/>
          <w:lang w:val="pl-PL"/>
        </w:rPr>
        <w:br w:type="page"/>
      </w:r>
    </w:p>
    <w:p w14:paraId="4C806739" w14:textId="77777777" w:rsidR="005E4D22" w:rsidRPr="00A96F1F" w:rsidRDefault="005E4D22" w:rsidP="005E4D22">
      <w:pPr>
        <w:pStyle w:val="Nagwek1"/>
        <w:numPr>
          <w:ilvl w:val="0"/>
          <w:numId w:val="16"/>
        </w:numPr>
        <w:rPr>
          <w:lang w:val="pl-PL"/>
        </w:rPr>
      </w:pPr>
      <w:bookmarkStart w:id="11" w:name="_Toc220932601"/>
      <w:r w:rsidRPr="00A96F1F">
        <w:rPr>
          <w:lang w:val="pl-PL"/>
        </w:rPr>
        <w:lastRenderedPageBreak/>
        <w:t>Dług publiczny oraz potrzeby pożyczkowe</w:t>
      </w:r>
      <w:bookmarkEnd w:id="11"/>
    </w:p>
    <w:p w14:paraId="7504CD25" w14:textId="77777777" w:rsidR="000F4EDC" w:rsidRPr="00A96F1F" w:rsidRDefault="000F4EDC" w:rsidP="005E4D22">
      <w:pPr>
        <w:pStyle w:val="Nagwek2"/>
        <w:rPr>
          <w:lang w:val="pl-PL"/>
        </w:rPr>
      </w:pPr>
      <w:bookmarkStart w:id="12" w:name="_Toc220932602"/>
      <w:r w:rsidRPr="00A96F1F">
        <w:rPr>
          <w:lang w:val="pl-PL"/>
        </w:rPr>
        <w:t>2.1. Dług sektora instytucji rządowych i samorządowych (wg definicji UE)</w:t>
      </w:r>
      <w:bookmarkEnd w:id="12"/>
    </w:p>
    <w:p w14:paraId="438B1B64" w14:textId="77777777" w:rsidR="000B70A0" w:rsidRDefault="000B70A0" w:rsidP="000B70A0">
      <w:pPr>
        <w:spacing w:after="120"/>
        <w:rPr>
          <w:lang w:val="pl-PL"/>
        </w:rPr>
      </w:pPr>
      <w:r w:rsidRPr="0029181F">
        <w:rPr>
          <w:lang w:val="pl-PL"/>
        </w:rPr>
        <w:t>Na koniec I</w:t>
      </w:r>
      <w:r>
        <w:rPr>
          <w:lang w:val="pl-PL"/>
        </w:rPr>
        <w:t>II</w:t>
      </w:r>
      <w:r w:rsidRPr="0029181F">
        <w:rPr>
          <w:lang w:val="pl-PL"/>
        </w:rPr>
        <w:t xml:space="preserve"> kw. 202</w:t>
      </w:r>
      <w:r>
        <w:rPr>
          <w:lang w:val="pl-PL"/>
        </w:rPr>
        <w:t>5</w:t>
      </w:r>
      <w:r w:rsidRPr="0029181F">
        <w:rPr>
          <w:lang w:val="pl-PL"/>
        </w:rPr>
        <w:t xml:space="preserve"> r. dług sektora instytucji rządowych i samorządowych (dług EDP) stanowiący jeden z elementów kryterium fiskalnego z </w:t>
      </w:r>
      <w:proofErr w:type="spellStart"/>
      <w:r w:rsidRPr="0029181F">
        <w:rPr>
          <w:lang w:val="pl-PL"/>
        </w:rPr>
        <w:t>Maastricht</w:t>
      </w:r>
      <w:proofErr w:type="spellEnd"/>
      <w:r w:rsidRPr="0029181F">
        <w:rPr>
          <w:lang w:val="pl-PL"/>
        </w:rPr>
        <w:t xml:space="preserve"> wyniósł </w:t>
      </w:r>
      <w:r>
        <w:rPr>
          <w:lang w:val="pl-PL"/>
        </w:rPr>
        <w:t>2</w:t>
      </w:r>
      <w:r w:rsidRPr="0029181F">
        <w:rPr>
          <w:lang w:val="pl-PL"/>
        </w:rPr>
        <w:t>.</w:t>
      </w:r>
      <w:r>
        <w:rPr>
          <w:lang w:val="pl-PL"/>
        </w:rPr>
        <w:t>221,8</w:t>
      </w:r>
      <w:r w:rsidRPr="0029181F">
        <w:rPr>
          <w:lang w:val="pl-PL"/>
        </w:rPr>
        <w:t xml:space="preserve"> mld zł, co oznaczało wzrost o </w:t>
      </w:r>
      <w:r>
        <w:rPr>
          <w:lang w:val="pl-PL"/>
        </w:rPr>
        <w:t>35,7</w:t>
      </w:r>
      <w:r w:rsidRPr="0029181F">
        <w:rPr>
          <w:lang w:val="pl-PL"/>
        </w:rPr>
        <w:t xml:space="preserve"> mld zł (+</w:t>
      </w:r>
      <w:r>
        <w:rPr>
          <w:lang w:val="pl-PL"/>
        </w:rPr>
        <w:t>1,6</w:t>
      </w:r>
      <w:r w:rsidRPr="0029181F">
        <w:rPr>
          <w:lang w:val="pl-PL"/>
        </w:rPr>
        <w:t>%) w porównaniu z końcem poprzedniego kwartału.</w:t>
      </w:r>
    </w:p>
    <w:p w14:paraId="05871CDB" w14:textId="456D9245" w:rsidR="00D73672" w:rsidRPr="000B70A0" w:rsidRDefault="00D73672" w:rsidP="00801205">
      <w:pPr>
        <w:spacing w:after="0"/>
        <w:rPr>
          <w:i/>
          <w:lang w:val="pl-PL"/>
        </w:rPr>
      </w:pPr>
      <w:r w:rsidRPr="000B70A0">
        <w:rPr>
          <w:lang w:val="pl-PL"/>
        </w:rPr>
        <w:t xml:space="preserve">Wykres </w:t>
      </w:r>
      <w:r w:rsidRPr="000B70A0">
        <w:rPr>
          <w:i/>
        </w:rPr>
        <w:fldChar w:fldCharType="begin"/>
      </w:r>
      <w:r w:rsidRPr="000B70A0">
        <w:rPr>
          <w:lang w:val="pl-PL"/>
        </w:rPr>
        <w:instrText xml:space="preserve"> SEQ Wykres \* ARABIC </w:instrText>
      </w:r>
      <w:r w:rsidRPr="000B70A0">
        <w:rPr>
          <w:i/>
        </w:rPr>
        <w:fldChar w:fldCharType="separate"/>
      </w:r>
      <w:r w:rsidR="00B24412">
        <w:rPr>
          <w:noProof/>
          <w:lang w:val="pl-PL"/>
        </w:rPr>
        <w:t>5</w:t>
      </w:r>
      <w:r w:rsidRPr="000B70A0">
        <w:rPr>
          <w:i/>
        </w:rPr>
        <w:fldChar w:fldCharType="end"/>
      </w:r>
      <w:r w:rsidRPr="000B70A0">
        <w:rPr>
          <w:lang w:val="pl-PL"/>
        </w:rPr>
        <w:t>. Dług EDP (w mld zł i % PKB</w:t>
      </w:r>
      <w:r w:rsidR="00801205" w:rsidRPr="000B70A0">
        <w:rPr>
          <w:lang w:val="pl-PL"/>
        </w:rPr>
        <w:t>)</w:t>
      </w:r>
    </w:p>
    <w:p w14:paraId="184A6297" w14:textId="0BD73D39" w:rsidR="001C341D" w:rsidRPr="006A4536" w:rsidRDefault="000B70A0" w:rsidP="000B05E6">
      <w:pPr>
        <w:spacing w:after="120"/>
        <w:rPr>
          <w:highlight w:val="yellow"/>
          <w:lang w:val="pl-PL"/>
        </w:rPr>
      </w:pPr>
      <w:r>
        <w:rPr>
          <w:noProof/>
        </w:rPr>
        <w:drawing>
          <wp:inline distT="0" distB="0" distL="0" distR="0" wp14:anchorId="5B547A10" wp14:editId="33836378">
            <wp:extent cx="5715000" cy="3609975"/>
            <wp:effectExtent l="0" t="0" r="0" b="0"/>
            <wp:docPr id="3" name="Wykres 3" descr="Wykres 5.&#10;Wykres prezentuje poziom długu sektora instytucji rządowych i samorządowych EDP w mld zł i w relacji do PKB w latach 2016- 2024 oraz na koniec marca, czerwca i września 2025 r. Dane szczegółowe dostępne w Aneksie statystycznym, na końcu opracowania.&#10;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F67C1F8" w14:textId="77777777" w:rsidR="000B70A0" w:rsidRPr="005E4D22" w:rsidRDefault="000B70A0" w:rsidP="000B70A0">
      <w:pPr>
        <w:spacing w:after="120"/>
        <w:rPr>
          <w:lang w:val="pl-PL"/>
        </w:rPr>
      </w:pPr>
      <w:r w:rsidRPr="005E4D22">
        <w:rPr>
          <w:lang w:val="pl-PL"/>
        </w:rPr>
        <w:t>Na dług EDP złożyło się zadłużenie podsektorów:</w:t>
      </w:r>
    </w:p>
    <w:p w14:paraId="4A894666" w14:textId="77777777" w:rsidR="000B70A0" w:rsidRPr="005E4D22" w:rsidRDefault="000B70A0" w:rsidP="000B70A0">
      <w:pPr>
        <w:pStyle w:val="Akapitzlist"/>
        <w:spacing w:after="120"/>
        <w:rPr>
          <w:lang w:val="pl-PL"/>
        </w:rPr>
      </w:pPr>
      <w:r w:rsidRPr="005E4D22">
        <w:rPr>
          <w:lang w:val="pl-PL"/>
        </w:rPr>
        <w:t xml:space="preserve">rządowego </w:t>
      </w:r>
      <w:r>
        <w:rPr>
          <w:lang w:val="pl-PL"/>
        </w:rPr>
        <w:t>2</w:t>
      </w:r>
      <w:r w:rsidRPr="005E4D22">
        <w:rPr>
          <w:lang w:val="pl-PL"/>
        </w:rPr>
        <w:t>.</w:t>
      </w:r>
      <w:r>
        <w:rPr>
          <w:lang w:val="pl-PL"/>
        </w:rPr>
        <w:t>102,0</w:t>
      </w:r>
      <w:r w:rsidRPr="005E4D22">
        <w:rPr>
          <w:lang w:val="pl-PL"/>
        </w:rPr>
        <w:t xml:space="preserve"> mld zł</w:t>
      </w:r>
      <w:r>
        <w:rPr>
          <w:lang w:val="pl-PL"/>
        </w:rPr>
        <w:t xml:space="preserve"> </w:t>
      </w:r>
      <w:r w:rsidRPr="005E4D22">
        <w:rPr>
          <w:lang w:val="pl-PL"/>
        </w:rPr>
        <w:t xml:space="preserve">(wzrost o </w:t>
      </w:r>
      <w:r>
        <w:rPr>
          <w:lang w:val="pl-PL"/>
        </w:rPr>
        <w:t xml:space="preserve">34,8 </w:t>
      </w:r>
      <w:r w:rsidRPr="005E4D22">
        <w:rPr>
          <w:lang w:val="pl-PL"/>
        </w:rPr>
        <w:t>mld zł w I</w:t>
      </w:r>
      <w:r>
        <w:rPr>
          <w:lang w:val="pl-PL"/>
        </w:rPr>
        <w:t>II</w:t>
      </w:r>
      <w:r w:rsidRPr="005E4D22">
        <w:rPr>
          <w:lang w:val="pl-PL"/>
        </w:rPr>
        <w:t xml:space="preserve"> kwartale),</w:t>
      </w:r>
    </w:p>
    <w:p w14:paraId="0F5E81E9" w14:textId="77777777" w:rsidR="000B70A0" w:rsidRPr="005E4D22" w:rsidRDefault="000B70A0" w:rsidP="000B70A0">
      <w:pPr>
        <w:pStyle w:val="Akapitzlist"/>
        <w:spacing w:after="120"/>
        <w:rPr>
          <w:lang w:val="pl-PL"/>
        </w:rPr>
      </w:pPr>
      <w:r w:rsidRPr="005E4D22">
        <w:rPr>
          <w:lang w:val="pl-PL"/>
        </w:rPr>
        <w:t xml:space="preserve">samorządowego </w:t>
      </w:r>
      <w:r>
        <w:rPr>
          <w:lang w:val="pl-PL"/>
        </w:rPr>
        <w:t>119,8</w:t>
      </w:r>
      <w:r w:rsidRPr="005E4D22">
        <w:rPr>
          <w:lang w:val="pl-PL"/>
        </w:rPr>
        <w:t xml:space="preserve"> mld zł (</w:t>
      </w:r>
      <w:r>
        <w:rPr>
          <w:lang w:val="pl-PL"/>
        </w:rPr>
        <w:t>wzrost</w:t>
      </w:r>
      <w:r w:rsidRPr="005E4D22">
        <w:rPr>
          <w:lang w:val="pl-PL"/>
        </w:rPr>
        <w:t xml:space="preserve"> o </w:t>
      </w:r>
      <w:r>
        <w:rPr>
          <w:lang w:val="pl-PL"/>
        </w:rPr>
        <w:t>0,8</w:t>
      </w:r>
      <w:r w:rsidRPr="005E4D22">
        <w:rPr>
          <w:lang w:val="pl-PL"/>
        </w:rPr>
        <w:t xml:space="preserve"> mld zł w </w:t>
      </w:r>
      <w:r>
        <w:rPr>
          <w:lang w:val="pl-PL"/>
        </w:rPr>
        <w:t>III</w:t>
      </w:r>
      <w:r w:rsidRPr="005E4D22">
        <w:rPr>
          <w:lang w:val="pl-PL"/>
        </w:rPr>
        <w:t xml:space="preserve"> kwartale),</w:t>
      </w:r>
    </w:p>
    <w:p w14:paraId="37AA8CBB" w14:textId="77777777" w:rsidR="000B70A0" w:rsidRPr="005E4D22" w:rsidRDefault="000B70A0" w:rsidP="000B70A0">
      <w:pPr>
        <w:pStyle w:val="Akapitzlist"/>
        <w:spacing w:after="120"/>
        <w:rPr>
          <w:lang w:val="pl-PL"/>
        </w:rPr>
      </w:pPr>
      <w:r w:rsidRPr="005E4D22">
        <w:rPr>
          <w:lang w:val="pl-PL"/>
        </w:rPr>
        <w:t>podsektor funduszy ubezpieczeń nie posiadał zadłużenia.</w:t>
      </w:r>
    </w:p>
    <w:p w14:paraId="24E5A78B" w14:textId="77777777" w:rsidR="000B70A0" w:rsidRPr="00F67DF2" w:rsidRDefault="000B70A0" w:rsidP="000B70A0">
      <w:pPr>
        <w:spacing w:after="120"/>
        <w:rPr>
          <w:lang w:val="pl-PL"/>
        </w:rPr>
      </w:pPr>
      <w:r w:rsidRPr="005E4D22">
        <w:rPr>
          <w:lang w:val="pl-PL"/>
        </w:rPr>
        <w:t xml:space="preserve">Zmiana długu EDP w </w:t>
      </w:r>
      <w:r>
        <w:rPr>
          <w:lang w:val="pl-PL"/>
        </w:rPr>
        <w:t xml:space="preserve">III kw. </w:t>
      </w:r>
      <w:r w:rsidRPr="005E4D22">
        <w:rPr>
          <w:lang w:val="pl-PL"/>
        </w:rPr>
        <w:t>202</w:t>
      </w:r>
      <w:r>
        <w:rPr>
          <w:lang w:val="pl-PL"/>
        </w:rPr>
        <w:t>5</w:t>
      </w:r>
      <w:r w:rsidRPr="005E4D22">
        <w:rPr>
          <w:lang w:val="pl-PL"/>
        </w:rPr>
        <w:t xml:space="preserve"> r. wynikała głównie ze zmian zadłużenia SP. Ponadto innymi znaczącymi czynnikami były:</w:t>
      </w:r>
    </w:p>
    <w:p w14:paraId="19594F86" w14:textId="77777777" w:rsidR="000B70A0" w:rsidRPr="00A96B18" w:rsidRDefault="000B70A0" w:rsidP="000B70A0">
      <w:pPr>
        <w:pStyle w:val="Akapitzlist"/>
        <w:rPr>
          <w:lang w:val="pl-PL"/>
        </w:rPr>
      </w:pPr>
      <w:r w:rsidRPr="00A96B18">
        <w:rPr>
          <w:lang w:val="pl-PL"/>
        </w:rPr>
        <w:lastRenderedPageBreak/>
        <w:t>spadek skonsolidowanego zadłużenia Funduszu Przeciwdziałania COVID-19 (FPC) o 24,4 mld zł głównie w wyniku wykupu obligacji FPC0725,</w:t>
      </w:r>
    </w:p>
    <w:p w14:paraId="124C7ADC" w14:textId="77777777" w:rsidR="000B70A0" w:rsidRPr="00A96B18" w:rsidRDefault="000B70A0" w:rsidP="000B70A0">
      <w:pPr>
        <w:pStyle w:val="Akapitzlist"/>
        <w:rPr>
          <w:lang w:val="pl-PL"/>
        </w:rPr>
      </w:pPr>
      <w:r w:rsidRPr="00A96B18">
        <w:rPr>
          <w:lang w:val="pl-PL"/>
        </w:rPr>
        <w:t>spadek skonsolidowanego zadłużenia Polskiego Funduszu Rozwoju (PFR)</w:t>
      </w:r>
      <w:r>
        <w:rPr>
          <w:lang w:val="pl-PL"/>
        </w:rPr>
        <w:t xml:space="preserve"> </w:t>
      </w:r>
      <w:r w:rsidRPr="00A96B18">
        <w:rPr>
          <w:lang w:val="pl-PL"/>
        </w:rPr>
        <w:t>o 15,2 mld zł w wyniku wykupu obligacji PFR0925,</w:t>
      </w:r>
    </w:p>
    <w:p w14:paraId="1B11FFB9" w14:textId="77777777" w:rsidR="000B70A0" w:rsidRPr="00A96B18" w:rsidRDefault="000B70A0" w:rsidP="000B70A0">
      <w:pPr>
        <w:pStyle w:val="Akapitzlist"/>
        <w:rPr>
          <w:lang w:val="pl-PL"/>
        </w:rPr>
      </w:pPr>
      <w:r w:rsidRPr="00A96B18">
        <w:rPr>
          <w:lang w:val="pl-PL"/>
        </w:rPr>
        <w:t>wzrost zadłużenia Funduszu Wsparcia Sił Zbrojnych (FWSZ) o 9,7 mld zł,</w:t>
      </w:r>
    </w:p>
    <w:p w14:paraId="1C8C1FB8" w14:textId="77777777" w:rsidR="000B70A0" w:rsidRPr="00A96B18" w:rsidRDefault="000B70A0" w:rsidP="000B70A0">
      <w:pPr>
        <w:pStyle w:val="Akapitzlist"/>
        <w:rPr>
          <w:lang w:val="pl-PL"/>
        </w:rPr>
      </w:pPr>
      <w:r w:rsidRPr="00A96B18">
        <w:rPr>
          <w:lang w:val="pl-PL"/>
        </w:rPr>
        <w:t>spadek stanu depozytów na rachunku MF i SPW posiadanych przez fundusze umiejscowione w BGK o 13,7 mld zł, co skutkowało wzrostem długu EDP w</w:t>
      </w:r>
      <w:r>
        <w:rPr>
          <w:lang w:val="pl-PL"/>
        </w:rPr>
        <w:t> </w:t>
      </w:r>
      <w:r w:rsidRPr="00A96B18">
        <w:rPr>
          <w:lang w:val="pl-PL"/>
        </w:rPr>
        <w:t>wyniku spadku konsolidacji wzajemnych zobowiązań,</w:t>
      </w:r>
    </w:p>
    <w:p w14:paraId="46A9A292" w14:textId="77777777" w:rsidR="000B70A0" w:rsidRPr="00A96B18" w:rsidRDefault="000B70A0" w:rsidP="000B70A0">
      <w:pPr>
        <w:pStyle w:val="Akapitzlist"/>
        <w:rPr>
          <w:lang w:val="pl-PL"/>
        </w:rPr>
      </w:pPr>
      <w:r w:rsidRPr="00A96B18">
        <w:rPr>
          <w:lang w:val="pl-PL"/>
        </w:rPr>
        <w:t>spadek wpływu zaliczenia przedsiębiorstw do sektora instytucji rządowych</w:t>
      </w:r>
      <w:r>
        <w:rPr>
          <w:lang w:val="pl-PL"/>
        </w:rPr>
        <w:t xml:space="preserve"> </w:t>
      </w:r>
      <w:r w:rsidRPr="00A96B18">
        <w:rPr>
          <w:lang w:val="pl-PL"/>
        </w:rPr>
        <w:t xml:space="preserve"> i</w:t>
      </w:r>
      <w:r>
        <w:rPr>
          <w:lang w:val="pl-PL"/>
        </w:rPr>
        <w:t> </w:t>
      </w:r>
      <w:r w:rsidRPr="00A96B18">
        <w:rPr>
          <w:lang w:val="pl-PL"/>
        </w:rPr>
        <w:t>samorządowych o 0,9 mld zł.</w:t>
      </w:r>
    </w:p>
    <w:p w14:paraId="74CE94E0" w14:textId="77777777" w:rsidR="000B70A0" w:rsidRPr="005E4D22" w:rsidRDefault="000B70A0" w:rsidP="000B70A0">
      <w:pPr>
        <w:spacing w:after="120"/>
        <w:rPr>
          <w:lang w:val="pl-PL"/>
        </w:rPr>
      </w:pPr>
      <w:r w:rsidRPr="005E4D22">
        <w:rPr>
          <w:lang w:val="pl-PL"/>
        </w:rPr>
        <w:t>Największy udział w długu sektora instytucji rządowych i samorządowych miał dług Skarbu Państwa (SP).</w:t>
      </w:r>
    </w:p>
    <w:p w14:paraId="34324D69" w14:textId="77777777" w:rsidR="000B70A0" w:rsidRPr="00FA250C" w:rsidRDefault="000B70A0" w:rsidP="000B70A0">
      <w:pPr>
        <w:spacing w:after="120"/>
        <w:rPr>
          <w:lang w:val="pl-PL"/>
        </w:rPr>
      </w:pPr>
      <w:r w:rsidRPr="00FA250C">
        <w:rPr>
          <w:lang w:val="pl-PL"/>
        </w:rPr>
        <w:t>Na koniec I</w:t>
      </w:r>
      <w:r>
        <w:rPr>
          <w:lang w:val="pl-PL"/>
        </w:rPr>
        <w:t>II</w:t>
      </w:r>
      <w:r w:rsidRPr="00FA250C">
        <w:rPr>
          <w:lang w:val="pl-PL"/>
        </w:rPr>
        <w:t xml:space="preserve"> kw. 202</w:t>
      </w:r>
      <w:r>
        <w:rPr>
          <w:lang w:val="pl-PL"/>
        </w:rPr>
        <w:t>5</w:t>
      </w:r>
      <w:r w:rsidRPr="00FA250C">
        <w:rPr>
          <w:lang w:val="pl-PL"/>
        </w:rPr>
        <w:t xml:space="preserve"> r. dług SP wyniósł 1.</w:t>
      </w:r>
      <w:r>
        <w:rPr>
          <w:lang w:val="pl-PL"/>
        </w:rPr>
        <w:t>868,6</w:t>
      </w:r>
      <w:r w:rsidRPr="00FA250C">
        <w:rPr>
          <w:lang w:val="pl-PL"/>
        </w:rPr>
        <w:t xml:space="preserve"> mld zł, co oznaczało wzrost o </w:t>
      </w:r>
      <w:r>
        <w:rPr>
          <w:lang w:val="pl-PL"/>
        </w:rPr>
        <w:t>66,5</w:t>
      </w:r>
      <w:r w:rsidRPr="00FA250C">
        <w:rPr>
          <w:lang w:val="pl-PL"/>
        </w:rPr>
        <w:t xml:space="preserve"> mld zł (+</w:t>
      </w:r>
      <w:r>
        <w:rPr>
          <w:lang w:val="pl-PL"/>
        </w:rPr>
        <w:t>3,7</w:t>
      </w:r>
      <w:r w:rsidRPr="00FA250C">
        <w:rPr>
          <w:lang w:val="pl-PL"/>
        </w:rPr>
        <w:t>%) względem poprzedniego kwartału.</w:t>
      </w:r>
    </w:p>
    <w:p w14:paraId="08D08EB0" w14:textId="77777777" w:rsidR="000B70A0" w:rsidRPr="00FA250C" w:rsidRDefault="000B70A0" w:rsidP="000B70A0">
      <w:pPr>
        <w:spacing w:after="120"/>
        <w:rPr>
          <w:lang w:val="pl-PL"/>
        </w:rPr>
      </w:pPr>
      <w:r w:rsidRPr="00FA250C">
        <w:rPr>
          <w:lang w:val="pl-PL"/>
        </w:rPr>
        <w:t>Wzrost długu SP w I</w:t>
      </w:r>
      <w:r>
        <w:rPr>
          <w:lang w:val="pl-PL"/>
        </w:rPr>
        <w:t>II</w:t>
      </w:r>
      <w:r w:rsidRPr="00FA250C">
        <w:rPr>
          <w:lang w:val="pl-PL"/>
        </w:rPr>
        <w:t xml:space="preserve"> kw. był przede wszystkim wypadkową:</w:t>
      </w:r>
    </w:p>
    <w:p w14:paraId="43FEABBC" w14:textId="77777777" w:rsidR="000B70A0" w:rsidRPr="00FA250C" w:rsidRDefault="000B70A0" w:rsidP="000B70A0">
      <w:pPr>
        <w:pStyle w:val="Akapitzlist"/>
        <w:spacing w:after="120"/>
        <w:rPr>
          <w:lang w:val="pl-PL"/>
        </w:rPr>
      </w:pPr>
      <w:r w:rsidRPr="00FA250C">
        <w:rPr>
          <w:lang w:val="pl-PL"/>
        </w:rPr>
        <w:t xml:space="preserve">potrzeb pożyczkowych netto budżetu państwa </w:t>
      </w:r>
      <w:r w:rsidRPr="00362069">
        <w:rPr>
          <w:lang w:val="pl-PL"/>
        </w:rPr>
        <w:t>(+</w:t>
      </w:r>
      <w:r>
        <w:rPr>
          <w:lang w:val="pl-PL"/>
        </w:rPr>
        <w:t>99</w:t>
      </w:r>
      <w:r w:rsidRPr="00362069">
        <w:rPr>
          <w:lang w:val="pl-PL"/>
        </w:rPr>
        <w:t>,</w:t>
      </w:r>
      <w:r>
        <w:rPr>
          <w:lang w:val="pl-PL"/>
        </w:rPr>
        <w:t xml:space="preserve">8 </w:t>
      </w:r>
      <w:r w:rsidRPr="00FA250C">
        <w:rPr>
          <w:lang w:val="pl-PL"/>
        </w:rPr>
        <w:t>mld zł),</w:t>
      </w:r>
    </w:p>
    <w:p w14:paraId="1C0F352C" w14:textId="77777777" w:rsidR="000B70A0" w:rsidRPr="009E3694" w:rsidRDefault="000B70A0" w:rsidP="000B70A0">
      <w:pPr>
        <w:pStyle w:val="Akapitzlist"/>
        <w:spacing w:after="120"/>
        <w:rPr>
          <w:lang w:val="pl-PL"/>
        </w:rPr>
      </w:pPr>
      <w:r w:rsidRPr="00362069">
        <w:rPr>
          <w:lang w:val="pl-PL"/>
        </w:rPr>
        <w:t>z</w:t>
      </w:r>
      <w:r>
        <w:rPr>
          <w:lang w:val="pl-PL"/>
        </w:rPr>
        <w:t>mniejszenia</w:t>
      </w:r>
      <w:r w:rsidRPr="00362069">
        <w:rPr>
          <w:lang w:val="pl-PL"/>
        </w:rPr>
        <w:t xml:space="preserve"> stanu środków na rachunkach budżetowych (</w:t>
      </w:r>
      <w:r>
        <w:rPr>
          <w:lang w:val="pl-PL"/>
        </w:rPr>
        <w:t>-37</w:t>
      </w:r>
      <w:r w:rsidRPr="00362069">
        <w:rPr>
          <w:lang w:val="pl-PL"/>
        </w:rPr>
        <w:t>,</w:t>
      </w:r>
      <w:r>
        <w:rPr>
          <w:lang w:val="pl-PL"/>
        </w:rPr>
        <w:t xml:space="preserve">9 </w:t>
      </w:r>
      <w:r w:rsidRPr="00362069">
        <w:rPr>
          <w:lang w:val="pl-PL"/>
        </w:rPr>
        <w:t>mld zł),</w:t>
      </w:r>
    </w:p>
    <w:p w14:paraId="0E77A5B7" w14:textId="77777777" w:rsidR="000B70A0" w:rsidRDefault="000B70A0" w:rsidP="000B70A0">
      <w:pPr>
        <w:pStyle w:val="Akapitzlist"/>
        <w:spacing w:after="120"/>
        <w:rPr>
          <w:lang w:val="pl-PL"/>
        </w:rPr>
      </w:pPr>
      <w:r w:rsidRPr="00FA250C">
        <w:rPr>
          <w:lang w:val="pl-PL"/>
        </w:rPr>
        <w:t>różnic kursowych (</w:t>
      </w:r>
      <w:r>
        <w:rPr>
          <w:lang w:val="pl-PL"/>
        </w:rPr>
        <w:t>+1</w:t>
      </w:r>
      <w:r w:rsidRPr="00FA250C">
        <w:rPr>
          <w:lang w:val="pl-PL"/>
        </w:rPr>
        <w:t>,</w:t>
      </w:r>
      <w:r>
        <w:rPr>
          <w:lang w:val="pl-PL"/>
        </w:rPr>
        <w:t>9</w:t>
      </w:r>
      <w:r w:rsidRPr="00FA250C">
        <w:rPr>
          <w:lang w:val="pl-PL"/>
        </w:rPr>
        <w:t xml:space="preserve"> mld zł)</w:t>
      </w:r>
      <w:r>
        <w:rPr>
          <w:lang w:val="pl-PL"/>
        </w:rPr>
        <w:t>,</w:t>
      </w:r>
    </w:p>
    <w:p w14:paraId="1F1D10F5" w14:textId="77777777" w:rsidR="000B70A0" w:rsidRPr="00FA250C" w:rsidRDefault="000B70A0" w:rsidP="000B70A0">
      <w:pPr>
        <w:pStyle w:val="Akapitzlist"/>
        <w:spacing w:after="120"/>
        <w:rPr>
          <w:lang w:val="pl-PL"/>
        </w:rPr>
      </w:pPr>
      <w:r>
        <w:rPr>
          <w:lang w:val="pl-PL"/>
        </w:rPr>
        <w:t>pozostałych czynników (+2,7 mld zł), w tym spadku</w:t>
      </w:r>
      <w:r w:rsidRPr="00FA250C">
        <w:rPr>
          <w:lang w:val="pl-PL"/>
        </w:rPr>
        <w:t xml:space="preserve"> pozostałego długo Skarbu Państwa (</w:t>
      </w:r>
      <w:r>
        <w:rPr>
          <w:lang w:val="pl-PL"/>
        </w:rPr>
        <w:t>-4</w:t>
      </w:r>
      <w:r w:rsidRPr="00FA250C">
        <w:rPr>
          <w:lang w:val="pl-PL"/>
        </w:rPr>
        <w:t>,</w:t>
      </w:r>
      <w:r>
        <w:rPr>
          <w:lang w:val="pl-PL"/>
        </w:rPr>
        <w:t>3</w:t>
      </w:r>
      <w:r w:rsidRPr="00FA250C">
        <w:rPr>
          <w:lang w:val="pl-PL"/>
        </w:rPr>
        <w:t xml:space="preserve"> mld zł)</w:t>
      </w:r>
      <w:r>
        <w:rPr>
          <w:lang w:val="pl-PL"/>
        </w:rPr>
        <w:t>.</w:t>
      </w:r>
    </w:p>
    <w:p w14:paraId="392058AD" w14:textId="77777777" w:rsidR="000B70A0" w:rsidRPr="005E4D22" w:rsidRDefault="000B70A0" w:rsidP="000B70A0">
      <w:pPr>
        <w:spacing w:after="120"/>
        <w:rPr>
          <w:lang w:val="pl-PL"/>
        </w:rPr>
      </w:pPr>
      <w:r w:rsidRPr="00FA250C">
        <w:rPr>
          <w:lang w:val="pl-PL"/>
        </w:rPr>
        <w:t>Na koniec I</w:t>
      </w:r>
      <w:r>
        <w:rPr>
          <w:lang w:val="pl-PL"/>
        </w:rPr>
        <w:t>II</w:t>
      </w:r>
      <w:r w:rsidRPr="00FA250C">
        <w:rPr>
          <w:lang w:val="pl-PL"/>
        </w:rPr>
        <w:t xml:space="preserve"> kw. 202</w:t>
      </w:r>
      <w:r>
        <w:rPr>
          <w:lang w:val="pl-PL"/>
        </w:rPr>
        <w:t>5</w:t>
      </w:r>
      <w:r w:rsidRPr="00FA250C">
        <w:rPr>
          <w:lang w:val="pl-PL"/>
        </w:rPr>
        <w:t xml:space="preserve"> r. udział długu w walutach </w:t>
      </w:r>
      <w:r w:rsidRPr="005E4D22">
        <w:rPr>
          <w:lang w:val="pl-PL"/>
        </w:rPr>
        <w:t>obcych w całym długu SP wyniósł 2</w:t>
      </w:r>
      <w:r>
        <w:rPr>
          <w:lang w:val="pl-PL"/>
        </w:rPr>
        <w:t>0,4</w:t>
      </w:r>
      <w:r w:rsidRPr="005E4D22">
        <w:rPr>
          <w:lang w:val="pl-PL"/>
        </w:rPr>
        <w:t xml:space="preserve">%, tj. </w:t>
      </w:r>
      <w:r>
        <w:rPr>
          <w:lang w:val="pl-PL"/>
        </w:rPr>
        <w:t>spadł</w:t>
      </w:r>
      <w:r w:rsidRPr="005E4D22">
        <w:rPr>
          <w:lang w:val="pl-PL"/>
        </w:rPr>
        <w:t xml:space="preserve"> o </w:t>
      </w:r>
      <w:r>
        <w:rPr>
          <w:lang w:val="pl-PL"/>
        </w:rPr>
        <w:t>0</w:t>
      </w:r>
      <w:r w:rsidRPr="005E4D22">
        <w:rPr>
          <w:lang w:val="pl-PL"/>
        </w:rPr>
        <w:t>,</w:t>
      </w:r>
      <w:r>
        <w:rPr>
          <w:lang w:val="pl-PL"/>
        </w:rPr>
        <w:t>2</w:t>
      </w:r>
      <w:r w:rsidRPr="005E4D22">
        <w:rPr>
          <w:lang w:val="pl-PL"/>
        </w:rPr>
        <w:t xml:space="preserve"> pp. w stosunku do poprzedniego kwartału.</w:t>
      </w:r>
    </w:p>
    <w:p w14:paraId="28F6BE3D" w14:textId="77777777" w:rsidR="000B70A0" w:rsidRPr="00A96F1F" w:rsidRDefault="000B70A0" w:rsidP="000B70A0">
      <w:pPr>
        <w:spacing w:after="120"/>
        <w:rPr>
          <w:lang w:val="pl-PL"/>
        </w:rPr>
      </w:pPr>
      <w:r w:rsidRPr="005E4D22">
        <w:rPr>
          <w:lang w:val="pl-PL"/>
        </w:rPr>
        <w:t xml:space="preserve">Udział długu wobec nierezydentów w długu ogółem na koniec </w:t>
      </w:r>
      <w:r>
        <w:rPr>
          <w:lang w:val="pl-PL"/>
        </w:rPr>
        <w:t>III</w:t>
      </w:r>
      <w:r w:rsidRPr="005E4D22">
        <w:rPr>
          <w:lang w:val="pl-PL"/>
        </w:rPr>
        <w:t xml:space="preserve"> kw. 202</w:t>
      </w:r>
      <w:r>
        <w:rPr>
          <w:lang w:val="pl-PL"/>
        </w:rPr>
        <w:t>5</w:t>
      </w:r>
      <w:r w:rsidRPr="005E4D22">
        <w:rPr>
          <w:lang w:val="pl-PL"/>
        </w:rPr>
        <w:t xml:space="preserve"> r. wyniósł </w:t>
      </w:r>
      <w:r>
        <w:rPr>
          <w:lang w:val="pl-PL"/>
        </w:rPr>
        <w:t>28,4% wobec 28,7</w:t>
      </w:r>
      <w:r w:rsidRPr="005E4D22">
        <w:rPr>
          <w:lang w:val="pl-PL"/>
        </w:rPr>
        <w:t>% na koniec poprzedniego kwartału.</w:t>
      </w:r>
    </w:p>
    <w:p w14:paraId="7B451901" w14:textId="54319448" w:rsidR="005E4D22" w:rsidRPr="00A96F1F" w:rsidRDefault="00FA3C23" w:rsidP="0097040B">
      <w:pPr>
        <w:pStyle w:val="Nagwek2"/>
        <w:spacing w:before="360"/>
        <w:rPr>
          <w:lang w:val="pl-PL"/>
        </w:rPr>
      </w:pPr>
      <w:bookmarkStart w:id="13" w:name="_Toc220932603"/>
      <w:r>
        <w:rPr>
          <w:lang w:val="pl-PL"/>
        </w:rPr>
        <w:lastRenderedPageBreak/>
        <w:t>2</w:t>
      </w:r>
      <w:r w:rsidR="005E4D22" w:rsidRPr="00A96F1F">
        <w:rPr>
          <w:lang w:val="pl-PL"/>
        </w:rPr>
        <w:t>.2. Potrzeby pożyczkowe budżetu państwa</w:t>
      </w:r>
      <w:r w:rsidR="00972F87" w:rsidRPr="00A96F1F">
        <w:rPr>
          <w:lang w:val="pl-PL"/>
        </w:rPr>
        <w:t xml:space="preserve"> </w:t>
      </w:r>
      <w:r w:rsidR="005E4D22" w:rsidRPr="00A96F1F">
        <w:rPr>
          <w:lang w:val="pl-PL"/>
        </w:rPr>
        <w:t xml:space="preserve">i ich finansowanie w </w:t>
      </w:r>
      <w:r w:rsidR="00516D75" w:rsidRPr="00A96F1F">
        <w:rPr>
          <w:lang w:val="pl-PL"/>
        </w:rPr>
        <w:t>I</w:t>
      </w:r>
      <w:r w:rsidR="00C2794F">
        <w:rPr>
          <w:lang w:val="pl-PL"/>
        </w:rPr>
        <w:t>I</w:t>
      </w:r>
      <w:r w:rsidR="00842335">
        <w:rPr>
          <w:lang w:val="pl-PL"/>
        </w:rPr>
        <w:t>I</w:t>
      </w:r>
      <w:r w:rsidR="005E4D22" w:rsidRPr="00A96F1F">
        <w:rPr>
          <w:lang w:val="pl-PL"/>
        </w:rPr>
        <w:t xml:space="preserve"> kw</w:t>
      </w:r>
      <w:r w:rsidR="00CF3B72" w:rsidRPr="00A96F1F">
        <w:rPr>
          <w:lang w:val="pl-PL"/>
        </w:rPr>
        <w:t xml:space="preserve">. </w:t>
      </w:r>
      <w:r w:rsidR="005E4D22" w:rsidRPr="00A96F1F">
        <w:rPr>
          <w:lang w:val="pl-PL"/>
        </w:rPr>
        <w:t>202</w:t>
      </w:r>
      <w:r w:rsidR="00823D14" w:rsidRPr="00A96F1F">
        <w:rPr>
          <w:lang w:val="pl-PL"/>
        </w:rPr>
        <w:t>5</w:t>
      </w:r>
      <w:r w:rsidR="005E4D22" w:rsidRPr="00A96F1F">
        <w:rPr>
          <w:lang w:val="pl-PL"/>
        </w:rPr>
        <w:t xml:space="preserve"> r.</w:t>
      </w:r>
      <w:bookmarkEnd w:id="13"/>
    </w:p>
    <w:p w14:paraId="1918737E" w14:textId="77777777" w:rsidR="00C2794F" w:rsidRPr="00872563" w:rsidRDefault="00C2794F" w:rsidP="00C2794F">
      <w:pPr>
        <w:spacing w:after="120"/>
        <w:rPr>
          <w:lang w:val="pl-PL"/>
        </w:rPr>
      </w:pPr>
      <w:r w:rsidRPr="002F12DD">
        <w:rPr>
          <w:lang w:val="pl-PL"/>
        </w:rPr>
        <w:t xml:space="preserve">Potrzeby pożyczkowe netto budżetu państwa ukształtowały się na poziomie </w:t>
      </w:r>
      <w:r>
        <w:rPr>
          <w:lang w:val="pl-PL"/>
        </w:rPr>
        <w:t>99,8</w:t>
      </w:r>
      <w:r w:rsidRPr="005F6031">
        <w:rPr>
          <w:lang w:val="pl-PL"/>
        </w:rPr>
        <w:t> mld </w:t>
      </w:r>
      <w:r w:rsidRPr="00872563">
        <w:rPr>
          <w:lang w:val="pl-PL"/>
        </w:rPr>
        <w:t>zł. Było to wypadkową:</w:t>
      </w:r>
    </w:p>
    <w:p w14:paraId="5A136B3C" w14:textId="77777777" w:rsidR="00C2794F" w:rsidRPr="00872563" w:rsidRDefault="00C2794F" w:rsidP="00C2794F">
      <w:pPr>
        <w:pStyle w:val="Akapitzlist"/>
        <w:spacing w:after="120"/>
        <w:rPr>
          <w:lang w:val="pl-PL"/>
        </w:rPr>
      </w:pPr>
      <w:r w:rsidRPr="00872563">
        <w:rPr>
          <w:lang w:val="pl-PL"/>
        </w:rPr>
        <w:t>deficytu budżetu państwa (</w:t>
      </w:r>
      <w:r>
        <w:rPr>
          <w:lang w:val="pl-PL"/>
        </w:rPr>
        <w:t>81,7</w:t>
      </w:r>
      <w:r w:rsidRPr="00872563">
        <w:rPr>
          <w:lang w:val="pl-PL"/>
        </w:rPr>
        <w:t xml:space="preserve"> mld zł),  </w:t>
      </w:r>
      <w:r>
        <w:rPr>
          <w:lang w:val="pl-PL"/>
        </w:rPr>
        <w:t xml:space="preserve">finansowania </w:t>
      </w:r>
      <w:r w:rsidRPr="00872563">
        <w:rPr>
          <w:lang w:val="pl-PL"/>
        </w:rPr>
        <w:t>deficytu budżetu środków europejskich (</w:t>
      </w:r>
      <w:r>
        <w:rPr>
          <w:lang w:val="pl-PL"/>
        </w:rPr>
        <w:t>0,8</w:t>
      </w:r>
      <w:r w:rsidRPr="00872563">
        <w:rPr>
          <w:lang w:val="pl-PL"/>
        </w:rPr>
        <w:t> mld zł), pożyczek krajowych (</w:t>
      </w:r>
      <w:r>
        <w:rPr>
          <w:lang w:val="pl-PL"/>
        </w:rPr>
        <w:t>2,6</w:t>
      </w:r>
      <w:r w:rsidRPr="00872563">
        <w:rPr>
          <w:lang w:val="pl-PL"/>
        </w:rPr>
        <w:t xml:space="preserve"> mld zł), płatności związanych z udziałami SP w MIF (0,</w:t>
      </w:r>
      <w:r>
        <w:rPr>
          <w:lang w:val="pl-PL"/>
        </w:rPr>
        <w:t xml:space="preserve">1 </w:t>
      </w:r>
      <w:r w:rsidRPr="00872563">
        <w:rPr>
          <w:lang w:val="pl-PL"/>
        </w:rPr>
        <w:t>mld zł)</w:t>
      </w:r>
      <w:r>
        <w:rPr>
          <w:lang w:val="pl-PL"/>
        </w:rPr>
        <w:t>, ujemnego salda z tytułu zarządzania płynnością finansów publicznych (1,5 mld zł), ujemnego salda z tytułu zarządzania środkami europejskimi (13,1 mld zł)</w:t>
      </w:r>
      <w:r w:rsidRPr="00872563">
        <w:rPr>
          <w:lang w:val="pl-PL"/>
        </w:rPr>
        <w:t>,</w:t>
      </w:r>
    </w:p>
    <w:p w14:paraId="3605BB0F" w14:textId="77777777" w:rsidR="00C2794F" w:rsidRDefault="00C2794F" w:rsidP="00C2794F">
      <w:pPr>
        <w:pStyle w:val="Akapitzlist"/>
        <w:spacing w:after="120"/>
        <w:rPr>
          <w:lang w:val="pl-PL"/>
        </w:rPr>
      </w:pPr>
      <w:r w:rsidRPr="00872563">
        <w:rPr>
          <w:lang w:val="pl-PL"/>
        </w:rPr>
        <w:t>oraz pomniejszenia potrzeb w wyniku dodatniego salda z pozostałych pozycji (</w:t>
      </w:r>
      <w:r>
        <w:rPr>
          <w:lang w:val="pl-PL"/>
        </w:rPr>
        <w:t>0,2</w:t>
      </w:r>
      <w:r w:rsidRPr="00872563">
        <w:rPr>
          <w:lang w:val="pl-PL"/>
        </w:rPr>
        <w:t xml:space="preserve"> mld zł),</w:t>
      </w:r>
    </w:p>
    <w:p w14:paraId="568080C6" w14:textId="7EF4335F" w:rsidR="00AF60F7" w:rsidRPr="00A96F1F" w:rsidRDefault="00AF60F7" w:rsidP="00AF60F7">
      <w:pPr>
        <w:spacing w:after="120"/>
        <w:rPr>
          <w:lang w:val="pl-PL"/>
        </w:rPr>
      </w:pPr>
      <w:r w:rsidRPr="00A96F1F">
        <w:rPr>
          <w:lang w:val="pl-PL"/>
        </w:rPr>
        <w:t>Wykres 6. Rentowności SPW – rynek wtórny</w:t>
      </w:r>
    </w:p>
    <w:p w14:paraId="26B2E6CC" w14:textId="4BDC0082" w:rsidR="000D4857" w:rsidRPr="00193EB2" w:rsidRDefault="00C2794F" w:rsidP="000B05E6">
      <w:pPr>
        <w:spacing w:after="120"/>
        <w:rPr>
          <w:highlight w:val="yellow"/>
          <w:lang w:val="pl-PL"/>
        </w:rPr>
      </w:pPr>
      <w:r>
        <w:rPr>
          <w:noProof/>
        </w:rPr>
        <w:drawing>
          <wp:inline distT="0" distB="0" distL="0" distR="0" wp14:anchorId="520C5357" wp14:editId="7A1EE22E">
            <wp:extent cx="5638800" cy="3437467"/>
            <wp:effectExtent l="0" t="0" r="0" b="0"/>
            <wp:docPr id="2" name="Wykres 2" descr="Wykres 6.&#10;Wykres przedstawia rentowności skarbowych papierów wartościowych na rynku wtórnym w podziale na 2-letnie, 5-letnie i 10-letnie, w okresie od października 2023 do września 2025 roku. Dane szczegółowe dostępne w Aneksie statystycznym, na końcu opracowania.&#10;">
              <a:extLst xmlns:a="http://schemas.openxmlformats.org/drawingml/2006/main">
                <a:ext uri="{FF2B5EF4-FFF2-40B4-BE49-F238E27FC236}">
                  <a16:creationId xmlns:a16="http://schemas.microsoft.com/office/drawing/2014/main" id="{E3F7CC55-BB20-4B8E-BD3A-461D33E829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C3A43D9" w14:textId="77777777" w:rsidR="00C2794F" w:rsidRPr="0087603E" w:rsidRDefault="00C2794F" w:rsidP="00C2794F">
      <w:pPr>
        <w:spacing w:after="120"/>
        <w:rPr>
          <w:color w:val="FF0000"/>
          <w:lang w:val="pl-PL"/>
        </w:rPr>
      </w:pPr>
      <w:r w:rsidRPr="00B81C36">
        <w:rPr>
          <w:lang w:val="pl-PL"/>
        </w:rPr>
        <w:t xml:space="preserve">Wartość długu przypadającego do wykupu w omawianym okresie wyniosła wg kapitału </w:t>
      </w:r>
      <w:r>
        <w:rPr>
          <w:lang w:val="pl-PL"/>
        </w:rPr>
        <w:t>54,3</w:t>
      </w:r>
      <w:r w:rsidRPr="00B81C36">
        <w:rPr>
          <w:lang w:val="pl-PL"/>
        </w:rPr>
        <w:t xml:space="preserve"> mld zł, w tym krajowego </w:t>
      </w:r>
      <w:r>
        <w:rPr>
          <w:lang w:val="pl-PL"/>
        </w:rPr>
        <w:t>49,6</w:t>
      </w:r>
      <w:r w:rsidRPr="00B81C36">
        <w:rPr>
          <w:lang w:val="pl-PL"/>
        </w:rPr>
        <w:t xml:space="preserve"> mld zł i zagranicznego </w:t>
      </w:r>
      <w:r>
        <w:rPr>
          <w:lang w:val="pl-PL"/>
        </w:rPr>
        <w:t>4,7</w:t>
      </w:r>
      <w:r w:rsidRPr="00B81C36">
        <w:rPr>
          <w:lang w:val="pl-PL"/>
        </w:rPr>
        <w:t xml:space="preserve"> mld zł. Potrzeby pożyczkowe brutto, tj. suma potrzeb netto i długu przypadającego do wykupu, </w:t>
      </w:r>
      <w:r w:rsidRPr="00B81C36">
        <w:rPr>
          <w:lang w:val="pl-PL"/>
        </w:rPr>
        <w:lastRenderedPageBreak/>
        <w:t xml:space="preserve">wyniosły </w:t>
      </w:r>
      <w:r>
        <w:rPr>
          <w:lang w:val="pl-PL"/>
        </w:rPr>
        <w:t>154,1</w:t>
      </w:r>
      <w:r w:rsidRPr="00B81C36">
        <w:rPr>
          <w:lang w:val="pl-PL"/>
        </w:rPr>
        <w:t xml:space="preserve"> mld zł. Po uwzględnieniu </w:t>
      </w:r>
      <w:r w:rsidRPr="00E10A80">
        <w:rPr>
          <w:lang w:val="pl-PL"/>
        </w:rPr>
        <w:t xml:space="preserve">odkupów, wykup długu wyniósł </w:t>
      </w:r>
      <w:r>
        <w:rPr>
          <w:lang w:val="pl-PL"/>
        </w:rPr>
        <w:t>56,7</w:t>
      </w:r>
      <w:r w:rsidRPr="00E10A80">
        <w:rPr>
          <w:lang w:val="pl-PL"/>
        </w:rPr>
        <w:t xml:space="preserve"> mld zł (w tym krajowego </w:t>
      </w:r>
      <w:r>
        <w:rPr>
          <w:lang w:val="pl-PL"/>
        </w:rPr>
        <w:t>52,1</w:t>
      </w:r>
      <w:r w:rsidRPr="00E10A80">
        <w:rPr>
          <w:lang w:val="pl-PL"/>
        </w:rPr>
        <w:t xml:space="preserve"> mld zł i zagranicznego </w:t>
      </w:r>
      <w:r>
        <w:rPr>
          <w:lang w:val="pl-PL"/>
        </w:rPr>
        <w:t>4,7</w:t>
      </w:r>
      <w:r w:rsidRPr="00E10A80">
        <w:rPr>
          <w:lang w:val="pl-PL"/>
        </w:rPr>
        <w:t xml:space="preserve"> mld zł).</w:t>
      </w:r>
    </w:p>
    <w:p w14:paraId="32498126" w14:textId="77777777" w:rsidR="00C2794F" w:rsidRPr="002477AC" w:rsidRDefault="00C2794F" w:rsidP="00C2794F">
      <w:pPr>
        <w:spacing w:after="120"/>
        <w:rPr>
          <w:lang w:val="pl-PL"/>
        </w:rPr>
      </w:pPr>
      <w:r w:rsidRPr="002477AC">
        <w:rPr>
          <w:lang w:val="pl-PL"/>
        </w:rPr>
        <w:t>Finansowanie potrzeb pożyczkowych w I</w:t>
      </w:r>
      <w:r>
        <w:rPr>
          <w:lang w:val="pl-PL"/>
        </w:rPr>
        <w:t>II</w:t>
      </w:r>
      <w:r w:rsidRPr="002477AC">
        <w:rPr>
          <w:lang w:val="pl-PL"/>
        </w:rPr>
        <w:t xml:space="preserve"> kwartale było następujące: </w:t>
      </w:r>
    </w:p>
    <w:p w14:paraId="48EC53D0" w14:textId="77777777" w:rsidR="00C2794F" w:rsidRPr="00B77D5A" w:rsidRDefault="00C2794F" w:rsidP="00C2794F">
      <w:pPr>
        <w:pStyle w:val="Akapitzlist"/>
        <w:spacing w:after="120"/>
        <w:rPr>
          <w:lang w:val="pl-PL"/>
        </w:rPr>
      </w:pPr>
      <w:r w:rsidRPr="00B77D5A">
        <w:rPr>
          <w:lang w:val="pl-PL"/>
        </w:rPr>
        <w:t>na rynku krajowym środki pozyskano z emisji:</w:t>
      </w:r>
    </w:p>
    <w:p w14:paraId="2D583791" w14:textId="77777777" w:rsidR="00C2794F" w:rsidRPr="001476B6" w:rsidRDefault="00C2794F" w:rsidP="00C2794F">
      <w:pPr>
        <w:pStyle w:val="Akapitzlist"/>
        <w:numPr>
          <w:ilvl w:val="0"/>
          <w:numId w:val="18"/>
        </w:numPr>
        <w:spacing w:after="120"/>
        <w:rPr>
          <w:lang w:val="pl-PL"/>
        </w:rPr>
      </w:pPr>
      <w:r w:rsidRPr="001476B6">
        <w:rPr>
          <w:lang w:val="pl-PL"/>
        </w:rPr>
        <w:t xml:space="preserve">obligacji hurtowych: </w:t>
      </w:r>
      <w:r>
        <w:rPr>
          <w:lang w:val="pl-PL"/>
        </w:rPr>
        <w:t>81,6</w:t>
      </w:r>
      <w:r w:rsidRPr="001476B6">
        <w:rPr>
          <w:lang w:val="pl-PL"/>
        </w:rPr>
        <w:t xml:space="preserve"> mld zł, </w:t>
      </w:r>
    </w:p>
    <w:p w14:paraId="2C5889D2" w14:textId="77777777" w:rsidR="00C2794F" w:rsidRPr="001476B6" w:rsidRDefault="00C2794F" w:rsidP="00C2794F">
      <w:pPr>
        <w:pStyle w:val="Akapitzlist"/>
        <w:numPr>
          <w:ilvl w:val="0"/>
          <w:numId w:val="18"/>
        </w:numPr>
        <w:spacing w:after="120"/>
        <w:rPr>
          <w:lang w:val="pl-PL"/>
        </w:rPr>
      </w:pPr>
      <w:r w:rsidRPr="001476B6">
        <w:rPr>
          <w:lang w:val="pl-PL"/>
        </w:rPr>
        <w:t>obligacji detalicznych: 19,</w:t>
      </w:r>
      <w:r>
        <w:rPr>
          <w:lang w:val="pl-PL"/>
        </w:rPr>
        <w:t xml:space="preserve">9 </w:t>
      </w:r>
      <w:r w:rsidRPr="001476B6">
        <w:rPr>
          <w:lang w:val="pl-PL"/>
        </w:rPr>
        <w:t>mld zł (bez obligacji sprzedanych i wykupionych w 2025 r.),</w:t>
      </w:r>
    </w:p>
    <w:p w14:paraId="5BAC1674" w14:textId="77777777" w:rsidR="00C2794F" w:rsidRDefault="00C2794F" w:rsidP="00C2794F">
      <w:pPr>
        <w:pStyle w:val="Akapitzlist"/>
        <w:numPr>
          <w:ilvl w:val="0"/>
          <w:numId w:val="18"/>
        </w:numPr>
        <w:spacing w:after="120"/>
        <w:rPr>
          <w:lang w:val="pl-PL"/>
        </w:rPr>
      </w:pPr>
      <w:r w:rsidRPr="001476B6">
        <w:rPr>
          <w:lang w:val="pl-PL"/>
        </w:rPr>
        <w:t xml:space="preserve">bonów skarbowych: </w:t>
      </w:r>
      <w:r>
        <w:rPr>
          <w:lang w:val="pl-PL"/>
        </w:rPr>
        <w:t>4,7</w:t>
      </w:r>
      <w:r w:rsidRPr="001476B6">
        <w:rPr>
          <w:lang w:val="pl-PL"/>
        </w:rPr>
        <w:t xml:space="preserve"> mld,</w:t>
      </w:r>
    </w:p>
    <w:p w14:paraId="73E63FD2" w14:textId="77777777" w:rsidR="00C2794F" w:rsidRPr="002F7B0E" w:rsidRDefault="00C2794F" w:rsidP="00C2794F">
      <w:pPr>
        <w:pStyle w:val="Akapitzlist"/>
        <w:spacing w:after="120"/>
        <w:rPr>
          <w:lang w:val="pl-PL"/>
        </w:rPr>
      </w:pPr>
      <w:r w:rsidRPr="002F7B0E">
        <w:rPr>
          <w:lang w:val="pl-PL"/>
        </w:rPr>
        <w:t>na rynkach zagranicznych środki pozyskano z:</w:t>
      </w:r>
    </w:p>
    <w:p w14:paraId="632B59C4" w14:textId="77777777" w:rsidR="00C2794F" w:rsidRPr="002F7B0E" w:rsidRDefault="00C2794F" w:rsidP="00C2794F">
      <w:pPr>
        <w:pStyle w:val="Akapitzlist"/>
        <w:numPr>
          <w:ilvl w:val="0"/>
          <w:numId w:val="18"/>
        </w:numPr>
        <w:spacing w:after="120"/>
        <w:rPr>
          <w:lang w:val="pl-PL"/>
        </w:rPr>
      </w:pPr>
      <w:r w:rsidRPr="002F7B0E">
        <w:rPr>
          <w:lang w:val="pl-PL"/>
        </w:rPr>
        <w:t>emisji obligacji denominowanych w euro: 12,8 mld zł (3,0 mld EUR),</w:t>
      </w:r>
    </w:p>
    <w:p w14:paraId="111FA56C" w14:textId="77777777" w:rsidR="00C2794F" w:rsidRPr="0087603E" w:rsidRDefault="00C2794F" w:rsidP="00C2794F">
      <w:pPr>
        <w:spacing w:after="120"/>
        <w:rPr>
          <w:lang w:val="pl-PL"/>
        </w:rPr>
      </w:pPr>
      <w:r w:rsidRPr="0087603E">
        <w:rPr>
          <w:lang w:val="pl-PL"/>
        </w:rPr>
        <w:t>W I</w:t>
      </w:r>
      <w:r>
        <w:rPr>
          <w:lang w:val="pl-PL"/>
        </w:rPr>
        <w:t>I</w:t>
      </w:r>
      <w:r w:rsidRPr="0087603E">
        <w:rPr>
          <w:lang w:val="pl-PL"/>
        </w:rPr>
        <w:t>I kw. 2025 r. nastąpił:</w:t>
      </w:r>
    </w:p>
    <w:p w14:paraId="0619E552" w14:textId="77777777" w:rsidR="00C2794F" w:rsidRPr="009630C5" w:rsidRDefault="00C2794F" w:rsidP="00C2794F">
      <w:pPr>
        <w:pStyle w:val="Akapitzlist"/>
        <w:spacing w:after="120"/>
        <w:rPr>
          <w:lang w:val="pl-PL"/>
        </w:rPr>
      </w:pPr>
      <w:r w:rsidRPr="009630C5">
        <w:rPr>
          <w:lang w:val="pl-PL"/>
        </w:rPr>
        <w:t>w zakresie sytuacji płynnościowej budżetu państwa:</w:t>
      </w:r>
    </w:p>
    <w:p w14:paraId="2A7F4066" w14:textId="77777777" w:rsidR="00C2794F" w:rsidRPr="005A163E" w:rsidRDefault="00C2794F" w:rsidP="00C2794F">
      <w:pPr>
        <w:pStyle w:val="Akapitzlist"/>
        <w:numPr>
          <w:ilvl w:val="0"/>
          <w:numId w:val="0"/>
        </w:numPr>
        <w:spacing w:after="120"/>
        <w:ind w:left="717"/>
        <w:rPr>
          <w:lang w:val="pl-PL"/>
        </w:rPr>
      </w:pPr>
      <w:r>
        <w:rPr>
          <w:lang w:val="pl-PL"/>
        </w:rPr>
        <w:t>spadek</w:t>
      </w:r>
      <w:r w:rsidRPr="005A163E">
        <w:rPr>
          <w:lang w:val="pl-PL"/>
        </w:rPr>
        <w:t xml:space="preserve"> środków na rachunkach budżetowych o 3</w:t>
      </w:r>
      <w:r>
        <w:rPr>
          <w:lang w:val="pl-PL"/>
        </w:rPr>
        <w:t>7,0</w:t>
      </w:r>
      <w:r w:rsidRPr="005A163E">
        <w:rPr>
          <w:lang w:val="pl-PL"/>
        </w:rPr>
        <w:t xml:space="preserve"> mld zł do 1</w:t>
      </w:r>
      <w:r>
        <w:rPr>
          <w:lang w:val="pl-PL"/>
        </w:rPr>
        <w:t>62</w:t>
      </w:r>
      <w:r w:rsidRPr="005A163E">
        <w:rPr>
          <w:lang w:val="pl-PL"/>
        </w:rPr>
        <w:t xml:space="preserve">,4 mld zł, </w:t>
      </w:r>
    </w:p>
    <w:p w14:paraId="6ED65913" w14:textId="77777777" w:rsidR="00C2794F" w:rsidRPr="00711533" w:rsidRDefault="00C2794F" w:rsidP="00C2794F">
      <w:pPr>
        <w:pStyle w:val="Akapitzlist"/>
        <w:spacing w:after="120"/>
        <w:rPr>
          <w:lang w:val="pl-PL"/>
        </w:rPr>
      </w:pPr>
      <w:r w:rsidRPr="00711533">
        <w:rPr>
          <w:lang w:val="pl-PL"/>
        </w:rPr>
        <w:t>w zakresie struktury podmiotowej zadłużenia na rynku krajowym:</w:t>
      </w:r>
    </w:p>
    <w:p w14:paraId="30242DCE" w14:textId="77777777" w:rsidR="00C2794F" w:rsidRPr="00711533" w:rsidRDefault="00C2794F" w:rsidP="00C2794F">
      <w:pPr>
        <w:pStyle w:val="Akapitzlist"/>
        <w:numPr>
          <w:ilvl w:val="0"/>
          <w:numId w:val="0"/>
        </w:numPr>
        <w:spacing w:after="120"/>
        <w:ind w:left="717"/>
        <w:rPr>
          <w:lang w:val="pl-PL"/>
        </w:rPr>
      </w:pPr>
      <w:r w:rsidRPr="00711533">
        <w:rPr>
          <w:lang w:val="pl-PL"/>
        </w:rPr>
        <w:t xml:space="preserve">wzrost zadłużenia wobec banków o 22,4 mld zł, krajowego sektora </w:t>
      </w:r>
      <w:proofErr w:type="spellStart"/>
      <w:r w:rsidRPr="00711533">
        <w:rPr>
          <w:lang w:val="pl-PL"/>
        </w:rPr>
        <w:t>pozabankowego</w:t>
      </w:r>
      <w:proofErr w:type="spellEnd"/>
      <w:r w:rsidRPr="00711533">
        <w:rPr>
          <w:lang w:val="pl-PL"/>
        </w:rPr>
        <w:t xml:space="preserve"> o 34,1 mld zł oraz nierezydentów o 4,3 mld zł, </w:t>
      </w:r>
    </w:p>
    <w:p w14:paraId="76FE1412" w14:textId="77777777" w:rsidR="00C2794F" w:rsidRPr="001639C2" w:rsidRDefault="00C2794F" w:rsidP="00C2794F">
      <w:pPr>
        <w:pStyle w:val="Akapitzlist"/>
        <w:spacing w:after="120"/>
        <w:rPr>
          <w:lang w:val="pl-PL"/>
        </w:rPr>
      </w:pPr>
      <w:r w:rsidRPr="001639C2">
        <w:rPr>
          <w:lang w:val="pl-PL"/>
        </w:rPr>
        <w:t>na rynku polskich obligacji:</w:t>
      </w:r>
    </w:p>
    <w:p w14:paraId="0C54E762" w14:textId="77777777" w:rsidR="00C2794F" w:rsidRPr="002F7B0E" w:rsidRDefault="00C2794F" w:rsidP="00C2794F">
      <w:pPr>
        <w:pStyle w:val="Akapitzlist"/>
        <w:numPr>
          <w:ilvl w:val="0"/>
          <w:numId w:val="25"/>
        </w:numPr>
        <w:spacing w:after="120"/>
        <w:rPr>
          <w:lang w:val="pl-PL"/>
        </w:rPr>
      </w:pPr>
      <w:r w:rsidRPr="002F7B0E">
        <w:rPr>
          <w:lang w:val="pl-PL"/>
        </w:rPr>
        <w:t>na rynku krajowym: spadek rentowności obligacji - na koniec kwartału rentowności</w:t>
      </w:r>
      <w:r w:rsidRPr="002F7B0E" w:rsidDel="0064738C">
        <w:rPr>
          <w:lang w:val="pl-PL"/>
        </w:rPr>
        <w:t xml:space="preserve"> </w:t>
      </w:r>
      <w:r w:rsidRPr="002F7B0E">
        <w:rPr>
          <w:lang w:val="pl-PL"/>
        </w:rPr>
        <w:t>obligacji 2-, 5- i 10-letnich wyniosły odpowiednio 4,3% (</w:t>
      </w:r>
      <w:r w:rsidRPr="002F7B0E">
        <w:rPr>
          <w:lang w:val="pl-PL"/>
        </w:rPr>
        <w:noBreakHyphen/>
        <w:t>0,3 pp.), 4,9% (-0,1 pp.) oraz 5,5% (</w:t>
      </w:r>
      <w:proofErr w:type="spellStart"/>
      <w:r w:rsidRPr="002F7B0E">
        <w:rPr>
          <w:lang w:val="pl-PL"/>
        </w:rPr>
        <w:t>bz</w:t>
      </w:r>
      <w:proofErr w:type="spellEnd"/>
      <w:r w:rsidRPr="002F7B0E">
        <w:rPr>
          <w:lang w:val="pl-PL"/>
        </w:rPr>
        <w:t>.),</w:t>
      </w:r>
    </w:p>
    <w:p w14:paraId="303D635C" w14:textId="77777777" w:rsidR="00C2794F" w:rsidRPr="002F7B0E" w:rsidRDefault="00C2794F" w:rsidP="00C2794F">
      <w:pPr>
        <w:pStyle w:val="Akapitzlist"/>
        <w:numPr>
          <w:ilvl w:val="0"/>
          <w:numId w:val="25"/>
        </w:numPr>
        <w:spacing w:after="120"/>
        <w:rPr>
          <w:lang w:val="pl-PL"/>
        </w:rPr>
      </w:pPr>
      <w:r w:rsidRPr="002F7B0E">
        <w:rPr>
          <w:lang w:val="pl-PL"/>
        </w:rPr>
        <w:t>na rynku obligacji w euro: wzrost rentowności - na koniec kwartału rentowności obligacji 2</w:t>
      </w:r>
      <w:r w:rsidRPr="002F7B0E">
        <w:rPr>
          <w:lang w:val="pl-PL"/>
        </w:rPr>
        <w:noBreakHyphen/>
        <w:t>, 5- i 10</w:t>
      </w:r>
      <w:r w:rsidRPr="002F7B0E">
        <w:rPr>
          <w:lang w:val="pl-PL"/>
        </w:rPr>
        <w:noBreakHyphen/>
        <w:t>letnich wyniosły odpowie</w:t>
      </w:r>
      <w:r w:rsidRPr="002F7B0E">
        <w:rPr>
          <w:lang w:val="pl-PL"/>
        </w:rPr>
        <w:softHyphen/>
        <w:t>dnio 2,2% (+0,1 pp.), 2,9% (</w:t>
      </w:r>
      <w:proofErr w:type="spellStart"/>
      <w:r w:rsidRPr="002F7B0E">
        <w:rPr>
          <w:lang w:val="pl-PL"/>
        </w:rPr>
        <w:t>bz</w:t>
      </w:r>
      <w:proofErr w:type="spellEnd"/>
      <w:r w:rsidRPr="002F7B0E">
        <w:rPr>
          <w:lang w:val="pl-PL"/>
        </w:rPr>
        <w:t xml:space="preserve">.) oraz 3,6% (+0,1 pp.). </w:t>
      </w:r>
    </w:p>
    <w:p w14:paraId="3E198236" w14:textId="77777777" w:rsidR="00C2794F" w:rsidRPr="00B45393" w:rsidRDefault="00C2794F" w:rsidP="00C2794F">
      <w:pPr>
        <w:spacing w:after="120"/>
        <w:rPr>
          <w:lang w:val="pl-PL"/>
        </w:rPr>
      </w:pPr>
    </w:p>
    <w:p w14:paraId="76C80C6B" w14:textId="77777777" w:rsidR="00F940F6" w:rsidRDefault="00F940F6">
      <w:pPr>
        <w:spacing w:after="160" w:line="259" w:lineRule="auto"/>
        <w:rPr>
          <w:lang w:val="pl-PL"/>
        </w:rPr>
      </w:pPr>
      <w:r>
        <w:rPr>
          <w:lang w:val="pl-PL"/>
        </w:rPr>
        <w:br w:type="page"/>
      </w:r>
    </w:p>
    <w:p w14:paraId="739149DF" w14:textId="77777777" w:rsidR="005E4D22" w:rsidRDefault="005E4D22" w:rsidP="00DA5077">
      <w:pPr>
        <w:jc w:val="center"/>
        <w:rPr>
          <w:lang w:val="pl-PL"/>
        </w:rPr>
      </w:pPr>
    </w:p>
    <w:p w14:paraId="27CBEA85" w14:textId="77777777" w:rsidR="000201C9" w:rsidRPr="00565B16" w:rsidRDefault="00DA5077" w:rsidP="002447E3">
      <w:pPr>
        <w:pStyle w:val="Nagwek1"/>
        <w:spacing w:before="1200"/>
        <w:jc w:val="center"/>
        <w:rPr>
          <w:color w:val="FFFFFF" w:themeColor="background1"/>
          <w:lang w:val="pl-PL"/>
        </w:rPr>
      </w:pPr>
      <w:bookmarkStart w:id="14" w:name="_Toc220932604"/>
      <w:r w:rsidRPr="00565B16">
        <w:rPr>
          <w:color w:val="FFFFFF" w:themeColor="background1"/>
          <w:lang w:val="pl-PL"/>
        </w:rPr>
        <w:t>ANEKS STATYSTYCZNY</w:t>
      </w:r>
      <w:bookmarkEnd w:id="14"/>
    </w:p>
    <w:sectPr w:rsidR="000201C9" w:rsidRPr="00565B16" w:rsidSect="003B1A30">
      <w:headerReference w:type="default" r:id="rId24"/>
      <w:footerReference w:type="default" r:id="rId25"/>
      <w:headerReference w:type="first" r:id="rId26"/>
      <w:pgSz w:w="11906" w:h="16838"/>
      <w:pgMar w:top="1701" w:right="1418" w:bottom="1418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BACF3" w14:textId="77777777" w:rsidR="002A15DC" w:rsidRDefault="002A15DC" w:rsidP="005745E4">
      <w:r>
        <w:separator/>
      </w:r>
    </w:p>
  </w:endnote>
  <w:endnote w:type="continuationSeparator" w:id="0">
    <w:p w14:paraId="25520717" w14:textId="77777777" w:rsidR="002A15DC" w:rsidRDefault="002A15DC" w:rsidP="0057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0A0F" w14:textId="7F82596A" w:rsidR="0033111E" w:rsidRPr="0097040B" w:rsidRDefault="0097040B" w:rsidP="005745E4">
    <w:pPr>
      <w:pStyle w:val="Stopka"/>
      <w:rPr>
        <w:lang w:val="pl-PL"/>
      </w:rPr>
    </w:pPr>
    <w:r>
      <w:rPr>
        <w:lang w:val="pl-PL"/>
      </w:rPr>
      <w:t xml:space="preserve">Informacja kwartalna </w:t>
    </w:r>
    <w:r w:rsidR="00E27F77">
      <w:rPr>
        <w:lang w:val="pl-PL"/>
      </w:rPr>
      <w:t>I</w:t>
    </w:r>
    <w:r w:rsidR="001034D3">
      <w:rPr>
        <w:lang w:val="pl-PL"/>
      </w:rPr>
      <w:t>I</w:t>
    </w:r>
    <w:r w:rsidR="00CD0A7A">
      <w:rPr>
        <w:lang w:val="pl-PL"/>
      </w:rPr>
      <w:t>I</w:t>
    </w:r>
    <w:r>
      <w:rPr>
        <w:lang w:val="pl-PL"/>
      </w:rPr>
      <w:t xml:space="preserve"> kw. 202</w:t>
    </w:r>
    <w:r w:rsidR="00DC7B16">
      <w:rPr>
        <w:lang w:val="pl-PL"/>
      </w:rPr>
      <w:t>5</w:t>
    </w:r>
    <w:r>
      <w:rPr>
        <w:lang w:val="pl-PL"/>
      </w:rPr>
      <w:t xml:space="preserve"> r.</w:t>
    </w:r>
    <w:r w:rsidRPr="0097040B">
      <w:rPr>
        <w:lang w:val="pl-PL"/>
      </w:rPr>
      <w:ptab w:relativeTo="margin" w:alignment="center" w:leader="none"/>
    </w:r>
    <w:r w:rsidRPr="0097040B">
      <w:rPr>
        <w:lang w:val="pl-PL"/>
      </w:rPr>
      <w:ptab w:relativeTo="margin" w:alignment="right" w:leader="none"/>
    </w:r>
    <w:r w:rsidRPr="0097040B">
      <w:rPr>
        <w:rFonts w:asciiTheme="majorHAnsi" w:eastAsiaTheme="majorEastAsia" w:hAnsiTheme="majorHAnsi" w:cstheme="majorBidi"/>
        <w:sz w:val="28"/>
        <w:szCs w:val="28"/>
        <w:lang w:val="pl-PL"/>
      </w:rPr>
      <w:t xml:space="preserve">str. </w:t>
    </w:r>
    <w:r w:rsidRPr="0097040B">
      <w:rPr>
        <w:rFonts w:asciiTheme="minorHAnsi" w:eastAsiaTheme="minorEastAsia" w:hAnsiTheme="minorHAnsi"/>
        <w:sz w:val="22"/>
        <w:lang w:val="pl-PL"/>
      </w:rPr>
      <w:fldChar w:fldCharType="begin"/>
    </w:r>
    <w:r w:rsidRPr="0097040B">
      <w:rPr>
        <w:lang w:val="pl-PL"/>
      </w:rPr>
      <w:instrText>PAGE    \* MERGEFORMAT</w:instrText>
    </w:r>
    <w:r w:rsidRPr="0097040B">
      <w:rPr>
        <w:rFonts w:asciiTheme="minorHAnsi" w:eastAsiaTheme="minorEastAsia" w:hAnsiTheme="minorHAnsi"/>
        <w:sz w:val="22"/>
        <w:lang w:val="pl-PL"/>
      </w:rPr>
      <w:fldChar w:fldCharType="separate"/>
    </w:r>
    <w:r w:rsidR="006B1D5C" w:rsidRPr="006B1D5C">
      <w:rPr>
        <w:rFonts w:asciiTheme="majorHAnsi" w:eastAsiaTheme="majorEastAsia" w:hAnsiTheme="majorHAnsi" w:cstheme="majorBidi"/>
        <w:noProof/>
        <w:sz w:val="28"/>
        <w:szCs w:val="28"/>
        <w:lang w:val="pl-PL"/>
      </w:rPr>
      <w:t>10</w:t>
    </w:r>
    <w:r w:rsidRPr="0097040B">
      <w:rPr>
        <w:rFonts w:asciiTheme="majorHAnsi" w:eastAsiaTheme="majorEastAsia" w:hAnsiTheme="majorHAnsi" w:cstheme="majorBidi"/>
        <w:sz w:val="28"/>
        <w:szCs w:val="2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6277F" w14:textId="77777777" w:rsidR="002A15DC" w:rsidRDefault="002A15DC" w:rsidP="005745E4">
      <w:r>
        <w:separator/>
      </w:r>
    </w:p>
  </w:footnote>
  <w:footnote w:type="continuationSeparator" w:id="0">
    <w:p w14:paraId="684BA595" w14:textId="77777777" w:rsidR="002A15DC" w:rsidRDefault="002A15DC" w:rsidP="00574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473F" w14:textId="7E1384DE" w:rsidR="0097040B" w:rsidRDefault="0097040B">
    <w:pPr>
      <w:pStyle w:val="Nagwek"/>
      <w:jc w:val="right"/>
    </w:pPr>
  </w:p>
  <w:p w14:paraId="6A471524" w14:textId="77777777" w:rsidR="0097040B" w:rsidRDefault="009704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15B0" w14:textId="7988A6D6" w:rsidR="0033111E" w:rsidRDefault="00FD1A60" w:rsidP="005745E4">
    <w:pPr>
      <w:pStyle w:val="Nagwek"/>
    </w:pPr>
    <w:r w:rsidRPr="009C0B1C">
      <w:rPr>
        <w:noProof/>
        <w:lang w:val="pl-PL" w:eastAsia="pl-PL"/>
      </w:rPr>
      <w:drawing>
        <wp:inline distT="0" distB="0" distL="0" distR="0" wp14:anchorId="0A7553BC" wp14:editId="71D6A2DA">
          <wp:extent cx="1333500" cy="656648"/>
          <wp:effectExtent l="0" t="0" r="0" b="0"/>
          <wp:docPr id="1" name="Obraz 1" title="Logo Ministerstwa Finas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7560" cy="663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CE6"/>
    <w:multiLevelType w:val="hybridMultilevel"/>
    <w:tmpl w:val="D07E215C"/>
    <w:lvl w:ilvl="0" w:tplc="F93624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56D08"/>
    <w:multiLevelType w:val="hybridMultilevel"/>
    <w:tmpl w:val="565C9C46"/>
    <w:lvl w:ilvl="0" w:tplc="090EE0C6">
      <w:start w:val="1"/>
      <w:numFmt w:val="bullet"/>
      <w:lvlText w:val=""/>
      <w:lvlJc w:val="left"/>
      <w:pPr>
        <w:ind w:left="1437" w:hanging="360"/>
      </w:pPr>
      <w:rPr>
        <w:rFonts w:ascii="Symbol" w:hAnsi="Symbol" w:cs="Symbol" w:hint="default"/>
        <w:color w:val="B5121B"/>
      </w:rPr>
    </w:lvl>
    <w:lvl w:ilvl="1" w:tplc="8F1E07AE">
      <w:start w:val="1"/>
      <w:numFmt w:val="bullet"/>
      <w:lvlText w:val="•"/>
      <w:lvlJc w:val="left"/>
      <w:pPr>
        <w:ind w:left="2880" w:hanging="360"/>
      </w:pPr>
      <w:rPr>
        <w:rFonts w:ascii="Raleway" w:hAnsi="Raleway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3E515D"/>
    <w:multiLevelType w:val="hybridMultilevel"/>
    <w:tmpl w:val="24B0F3A8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672EA"/>
    <w:multiLevelType w:val="hybridMultilevel"/>
    <w:tmpl w:val="3B385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96F06"/>
    <w:multiLevelType w:val="hybridMultilevel"/>
    <w:tmpl w:val="FC8E7BC6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C3741"/>
    <w:multiLevelType w:val="hybridMultilevel"/>
    <w:tmpl w:val="366E6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51E72"/>
    <w:multiLevelType w:val="hybridMultilevel"/>
    <w:tmpl w:val="555294FA"/>
    <w:lvl w:ilvl="0" w:tplc="D46CF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D7625"/>
    <w:multiLevelType w:val="hybridMultilevel"/>
    <w:tmpl w:val="7D967954"/>
    <w:lvl w:ilvl="0" w:tplc="090EE0C6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color w:val="B5121B"/>
      </w:rPr>
    </w:lvl>
    <w:lvl w:ilvl="1" w:tplc="0415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" w15:restartNumberingAfterBreak="0">
    <w:nsid w:val="447E4A2E"/>
    <w:multiLevelType w:val="hybridMultilevel"/>
    <w:tmpl w:val="9AA07D58"/>
    <w:lvl w:ilvl="0" w:tplc="090EE0C6">
      <w:start w:val="1"/>
      <w:numFmt w:val="bullet"/>
      <w:pStyle w:val="Akapitzlist"/>
      <w:lvlText w:val=""/>
      <w:lvlJc w:val="left"/>
      <w:pPr>
        <w:ind w:left="9432" w:hanging="360"/>
      </w:pPr>
      <w:rPr>
        <w:rFonts w:ascii="Symbol" w:hAnsi="Symbol" w:cs="Symbol" w:hint="default"/>
        <w:color w:val="B5121B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AD74AE"/>
    <w:multiLevelType w:val="hybridMultilevel"/>
    <w:tmpl w:val="F0B4AAFA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91BD8"/>
    <w:multiLevelType w:val="hybridMultilevel"/>
    <w:tmpl w:val="7D967954"/>
    <w:lvl w:ilvl="0" w:tplc="090EE0C6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color w:val="B5121B"/>
      </w:rPr>
    </w:lvl>
    <w:lvl w:ilvl="1" w:tplc="0415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1" w15:restartNumberingAfterBreak="0">
    <w:nsid w:val="5E896FFA"/>
    <w:multiLevelType w:val="hybridMultilevel"/>
    <w:tmpl w:val="22D22D5C"/>
    <w:lvl w:ilvl="0" w:tplc="C108FB5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B5121B"/>
      </w:rPr>
    </w:lvl>
    <w:lvl w:ilvl="1" w:tplc="F936242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6074CA"/>
    <w:multiLevelType w:val="hybridMultilevel"/>
    <w:tmpl w:val="3E8CD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577F4"/>
    <w:multiLevelType w:val="hybridMultilevel"/>
    <w:tmpl w:val="51441264"/>
    <w:lvl w:ilvl="0" w:tplc="F93624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85FF1"/>
    <w:multiLevelType w:val="hybridMultilevel"/>
    <w:tmpl w:val="E4901F78"/>
    <w:lvl w:ilvl="0" w:tplc="F936242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1" w:tplc="F936242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7C15B8"/>
    <w:multiLevelType w:val="hybridMultilevel"/>
    <w:tmpl w:val="E2E06436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8F1E07AE">
      <w:start w:val="1"/>
      <w:numFmt w:val="bullet"/>
      <w:lvlText w:val="•"/>
      <w:lvlJc w:val="left"/>
      <w:pPr>
        <w:ind w:left="1440" w:hanging="360"/>
      </w:pPr>
      <w:rPr>
        <w:rFonts w:ascii="Raleway" w:hAnsi="Raleway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D55C8"/>
    <w:multiLevelType w:val="hybridMultilevel"/>
    <w:tmpl w:val="C480E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65B56"/>
    <w:multiLevelType w:val="hybridMultilevel"/>
    <w:tmpl w:val="966A05CC"/>
    <w:lvl w:ilvl="0" w:tplc="D46CF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A479D"/>
    <w:multiLevelType w:val="hybridMultilevel"/>
    <w:tmpl w:val="3B7ED1BE"/>
    <w:lvl w:ilvl="0" w:tplc="C108FB5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B5121B"/>
      </w:rPr>
    </w:lvl>
    <w:lvl w:ilvl="1" w:tplc="F936242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5"/>
  </w:num>
  <w:num w:numId="5">
    <w:abstractNumId w:val="17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11"/>
  </w:num>
  <w:num w:numId="11">
    <w:abstractNumId w:val="18"/>
  </w:num>
  <w:num w:numId="12">
    <w:abstractNumId w:val="14"/>
  </w:num>
  <w:num w:numId="13">
    <w:abstractNumId w:val="1"/>
  </w:num>
  <w:num w:numId="14">
    <w:abstractNumId w:val="12"/>
  </w:num>
  <w:num w:numId="15">
    <w:abstractNumId w:val="5"/>
  </w:num>
  <w:num w:numId="16">
    <w:abstractNumId w:val="3"/>
  </w:num>
  <w:num w:numId="17">
    <w:abstractNumId w:val="16"/>
  </w:num>
  <w:num w:numId="18">
    <w:abstractNumId w:val="7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ocumentProtection w:edit="trackedChanges" w:enforcement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F50"/>
    <w:rsid w:val="00002CC6"/>
    <w:rsid w:val="00007EE5"/>
    <w:rsid w:val="00015B8F"/>
    <w:rsid w:val="000165BF"/>
    <w:rsid w:val="000201C9"/>
    <w:rsid w:val="00032D08"/>
    <w:rsid w:val="00051143"/>
    <w:rsid w:val="000668D2"/>
    <w:rsid w:val="0007023D"/>
    <w:rsid w:val="000955D5"/>
    <w:rsid w:val="00095730"/>
    <w:rsid w:val="000A336D"/>
    <w:rsid w:val="000A58CA"/>
    <w:rsid w:val="000B05E6"/>
    <w:rsid w:val="000B6BEC"/>
    <w:rsid w:val="000B70A0"/>
    <w:rsid w:val="000C11C5"/>
    <w:rsid w:val="000C6A78"/>
    <w:rsid w:val="000D2E61"/>
    <w:rsid w:val="000D4857"/>
    <w:rsid w:val="000E131D"/>
    <w:rsid w:val="000E52DE"/>
    <w:rsid w:val="000E7A8B"/>
    <w:rsid w:val="000F011C"/>
    <w:rsid w:val="000F3046"/>
    <w:rsid w:val="000F4EDC"/>
    <w:rsid w:val="00101E8B"/>
    <w:rsid w:val="00102379"/>
    <w:rsid w:val="001034D3"/>
    <w:rsid w:val="001038D9"/>
    <w:rsid w:val="00104700"/>
    <w:rsid w:val="0010652E"/>
    <w:rsid w:val="001211D9"/>
    <w:rsid w:val="00123F62"/>
    <w:rsid w:val="00127832"/>
    <w:rsid w:val="00140DEC"/>
    <w:rsid w:val="0014119A"/>
    <w:rsid w:val="00146BF2"/>
    <w:rsid w:val="0014705F"/>
    <w:rsid w:val="00147CD6"/>
    <w:rsid w:val="00155FEC"/>
    <w:rsid w:val="00156F0B"/>
    <w:rsid w:val="00160037"/>
    <w:rsid w:val="00164CAD"/>
    <w:rsid w:val="00172F8E"/>
    <w:rsid w:val="00175555"/>
    <w:rsid w:val="00177244"/>
    <w:rsid w:val="00183B2E"/>
    <w:rsid w:val="00192521"/>
    <w:rsid w:val="00193EB2"/>
    <w:rsid w:val="001A6240"/>
    <w:rsid w:val="001A6801"/>
    <w:rsid w:val="001A6E3A"/>
    <w:rsid w:val="001C22D8"/>
    <w:rsid w:val="001C341D"/>
    <w:rsid w:val="001C43E4"/>
    <w:rsid w:val="001C606E"/>
    <w:rsid w:val="001D28E4"/>
    <w:rsid w:val="001D2F50"/>
    <w:rsid w:val="001D643D"/>
    <w:rsid w:val="001E6450"/>
    <w:rsid w:val="001F1322"/>
    <w:rsid w:val="001F2956"/>
    <w:rsid w:val="001F6067"/>
    <w:rsid w:val="002012A1"/>
    <w:rsid w:val="00201367"/>
    <w:rsid w:val="00206279"/>
    <w:rsid w:val="00215920"/>
    <w:rsid w:val="002302CF"/>
    <w:rsid w:val="00231C6E"/>
    <w:rsid w:val="00231FA8"/>
    <w:rsid w:val="00234363"/>
    <w:rsid w:val="00237EBC"/>
    <w:rsid w:val="0024027B"/>
    <w:rsid w:val="00240897"/>
    <w:rsid w:val="002447E3"/>
    <w:rsid w:val="00253671"/>
    <w:rsid w:val="00263B1B"/>
    <w:rsid w:val="002762DB"/>
    <w:rsid w:val="0029181F"/>
    <w:rsid w:val="002934AC"/>
    <w:rsid w:val="0029386F"/>
    <w:rsid w:val="002A15DC"/>
    <w:rsid w:val="002A3CD2"/>
    <w:rsid w:val="002B66F8"/>
    <w:rsid w:val="002C6208"/>
    <w:rsid w:val="002C6888"/>
    <w:rsid w:val="002C7991"/>
    <w:rsid w:val="002D0255"/>
    <w:rsid w:val="002D1DBE"/>
    <w:rsid w:val="002D4C47"/>
    <w:rsid w:val="002E02E8"/>
    <w:rsid w:val="002E2938"/>
    <w:rsid w:val="002E65EA"/>
    <w:rsid w:val="002E6A02"/>
    <w:rsid w:val="002E6FD9"/>
    <w:rsid w:val="002E7037"/>
    <w:rsid w:val="002E76C7"/>
    <w:rsid w:val="003001DC"/>
    <w:rsid w:val="003019AF"/>
    <w:rsid w:val="003022D6"/>
    <w:rsid w:val="00307666"/>
    <w:rsid w:val="0031366B"/>
    <w:rsid w:val="0032189A"/>
    <w:rsid w:val="003260F1"/>
    <w:rsid w:val="0033042A"/>
    <w:rsid w:val="0033111E"/>
    <w:rsid w:val="00347556"/>
    <w:rsid w:val="003537E0"/>
    <w:rsid w:val="003545C1"/>
    <w:rsid w:val="003557AE"/>
    <w:rsid w:val="003615EA"/>
    <w:rsid w:val="003629EE"/>
    <w:rsid w:val="00364AC3"/>
    <w:rsid w:val="003718B3"/>
    <w:rsid w:val="00373BB5"/>
    <w:rsid w:val="003741BB"/>
    <w:rsid w:val="003811A5"/>
    <w:rsid w:val="003813D9"/>
    <w:rsid w:val="00382424"/>
    <w:rsid w:val="003900DE"/>
    <w:rsid w:val="00390F1F"/>
    <w:rsid w:val="003A178C"/>
    <w:rsid w:val="003A2907"/>
    <w:rsid w:val="003A3E30"/>
    <w:rsid w:val="003A4003"/>
    <w:rsid w:val="003B1A30"/>
    <w:rsid w:val="003C09B6"/>
    <w:rsid w:val="003D20DE"/>
    <w:rsid w:val="003D524A"/>
    <w:rsid w:val="003F1C4E"/>
    <w:rsid w:val="003F73D3"/>
    <w:rsid w:val="003F7DC9"/>
    <w:rsid w:val="00413A13"/>
    <w:rsid w:val="004148D7"/>
    <w:rsid w:val="00415C2B"/>
    <w:rsid w:val="00417EAC"/>
    <w:rsid w:val="00422932"/>
    <w:rsid w:val="0042775A"/>
    <w:rsid w:val="00432935"/>
    <w:rsid w:val="0043376D"/>
    <w:rsid w:val="00450F07"/>
    <w:rsid w:val="00450F41"/>
    <w:rsid w:val="00461698"/>
    <w:rsid w:val="00481372"/>
    <w:rsid w:val="004A0776"/>
    <w:rsid w:val="004A0A8C"/>
    <w:rsid w:val="004A4A9B"/>
    <w:rsid w:val="004B0C67"/>
    <w:rsid w:val="004D06A8"/>
    <w:rsid w:val="004D116B"/>
    <w:rsid w:val="004E5DEB"/>
    <w:rsid w:val="004F4226"/>
    <w:rsid w:val="004F4BE0"/>
    <w:rsid w:val="00511B31"/>
    <w:rsid w:val="00516D75"/>
    <w:rsid w:val="00525B6B"/>
    <w:rsid w:val="00534637"/>
    <w:rsid w:val="00541173"/>
    <w:rsid w:val="00546DF9"/>
    <w:rsid w:val="005501EE"/>
    <w:rsid w:val="005539AA"/>
    <w:rsid w:val="0056065B"/>
    <w:rsid w:val="00565B16"/>
    <w:rsid w:val="00566BC1"/>
    <w:rsid w:val="00572DED"/>
    <w:rsid w:val="005745E4"/>
    <w:rsid w:val="00577E65"/>
    <w:rsid w:val="005815D9"/>
    <w:rsid w:val="005877CD"/>
    <w:rsid w:val="0059058E"/>
    <w:rsid w:val="00592442"/>
    <w:rsid w:val="00592B1C"/>
    <w:rsid w:val="00596738"/>
    <w:rsid w:val="005A6209"/>
    <w:rsid w:val="005B3200"/>
    <w:rsid w:val="005C3049"/>
    <w:rsid w:val="005C5B52"/>
    <w:rsid w:val="005D179A"/>
    <w:rsid w:val="005D6E16"/>
    <w:rsid w:val="005E4D22"/>
    <w:rsid w:val="005E64F4"/>
    <w:rsid w:val="005E7339"/>
    <w:rsid w:val="005F1F5E"/>
    <w:rsid w:val="00610CFB"/>
    <w:rsid w:val="0062057B"/>
    <w:rsid w:val="00626739"/>
    <w:rsid w:val="00630C34"/>
    <w:rsid w:val="006336FD"/>
    <w:rsid w:val="00641E69"/>
    <w:rsid w:val="006634AC"/>
    <w:rsid w:val="006934FD"/>
    <w:rsid w:val="006A398D"/>
    <w:rsid w:val="006A4536"/>
    <w:rsid w:val="006B1D5C"/>
    <w:rsid w:val="006B55FE"/>
    <w:rsid w:val="006B5D5C"/>
    <w:rsid w:val="006B69DB"/>
    <w:rsid w:val="006C15AF"/>
    <w:rsid w:val="006D7308"/>
    <w:rsid w:val="006E327A"/>
    <w:rsid w:val="006F716C"/>
    <w:rsid w:val="006F7729"/>
    <w:rsid w:val="00700112"/>
    <w:rsid w:val="00700C2E"/>
    <w:rsid w:val="007116A9"/>
    <w:rsid w:val="00712C7A"/>
    <w:rsid w:val="00731EA3"/>
    <w:rsid w:val="00733234"/>
    <w:rsid w:val="0073390A"/>
    <w:rsid w:val="00734C97"/>
    <w:rsid w:val="00741FB2"/>
    <w:rsid w:val="00742420"/>
    <w:rsid w:val="00742924"/>
    <w:rsid w:val="00745200"/>
    <w:rsid w:val="007502E4"/>
    <w:rsid w:val="007561CE"/>
    <w:rsid w:val="007641F1"/>
    <w:rsid w:val="00764961"/>
    <w:rsid w:val="007708B3"/>
    <w:rsid w:val="007836AC"/>
    <w:rsid w:val="007843A9"/>
    <w:rsid w:val="007931D3"/>
    <w:rsid w:val="007A6B88"/>
    <w:rsid w:val="007C1C55"/>
    <w:rsid w:val="007E0584"/>
    <w:rsid w:val="007F0EC5"/>
    <w:rsid w:val="007F731F"/>
    <w:rsid w:val="00801205"/>
    <w:rsid w:val="00801D96"/>
    <w:rsid w:val="00804E0F"/>
    <w:rsid w:val="00816ED1"/>
    <w:rsid w:val="0081781F"/>
    <w:rsid w:val="0082086A"/>
    <w:rsid w:val="008216F8"/>
    <w:rsid w:val="00821D05"/>
    <w:rsid w:val="008236BA"/>
    <w:rsid w:val="00823D14"/>
    <w:rsid w:val="008242D6"/>
    <w:rsid w:val="00827166"/>
    <w:rsid w:val="00827E7E"/>
    <w:rsid w:val="00842335"/>
    <w:rsid w:val="00842D18"/>
    <w:rsid w:val="008442EA"/>
    <w:rsid w:val="008565D8"/>
    <w:rsid w:val="00857A70"/>
    <w:rsid w:val="00863DD3"/>
    <w:rsid w:val="008831E3"/>
    <w:rsid w:val="00886913"/>
    <w:rsid w:val="008A076B"/>
    <w:rsid w:val="008A265D"/>
    <w:rsid w:val="008A7F5C"/>
    <w:rsid w:val="008B4157"/>
    <w:rsid w:val="008B59FD"/>
    <w:rsid w:val="008B77C3"/>
    <w:rsid w:val="008C15A5"/>
    <w:rsid w:val="008C2607"/>
    <w:rsid w:val="008D3A26"/>
    <w:rsid w:val="008D4421"/>
    <w:rsid w:val="008F0C1E"/>
    <w:rsid w:val="008F2224"/>
    <w:rsid w:val="008F7598"/>
    <w:rsid w:val="00906ED0"/>
    <w:rsid w:val="00907B52"/>
    <w:rsid w:val="00913DA5"/>
    <w:rsid w:val="009167E0"/>
    <w:rsid w:val="00927F2E"/>
    <w:rsid w:val="00932619"/>
    <w:rsid w:val="00935724"/>
    <w:rsid w:val="009434DB"/>
    <w:rsid w:val="00947B87"/>
    <w:rsid w:val="0097040B"/>
    <w:rsid w:val="00972F87"/>
    <w:rsid w:val="0098499A"/>
    <w:rsid w:val="00997CF8"/>
    <w:rsid w:val="009C0B1C"/>
    <w:rsid w:val="009C2F53"/>
    <w:rsid w:val="009C5567"/>
    <w:rsid w:val="009D48E1"/>
    <w:rsid w:val="009E172F"/>
    <w:rsid w:val="009E1E89"/>
    <w:rsid w:val="009E7777"/>
    <w:rsid w:val="009F05F5"/>
    <w:rsid w:val="009F1463"/>
    <w:rsid w:val="009F362A"/>
    <w:rsid w:val="00A04F3F"/>
    <w:rsid w:val="00A07B81"/>
    <w:rsid w:val="00A07B8C"/>
    <w:rsid w:val="00A12D17"/>
    <w:rsid w:val="00A1388F"/>
    <w:rsid w:val="00A14B1B"/>
    <w:rsid w:val="00A1640A"/>
    <w:rsid w:val="00A216F3"/>
    <w:rsid w:val="00A2667D"/>
    <w:rsid w:val="00A402C9"/>
    <w:rsid w:val="00A41220"/>
    <w:rsid w:val="00A42C33"/>
    <w:rsid w:val="00A439D2"/>
    <w:rsid w:val="00A44275"/>
    <w:rsid w:val="00A44319"/>
    <w:rsid w:val="00A533C0"/>
    <w:rsid w:val="00A5466A"/>
    <w:rsid w:val="00A558D0"/>
    <w:rsid w:val="00A56763"/>
    <w:rsid w:val="00A56C6D"/>
    <w:rsid w:val="00A637C7"/>
    <w:rsid w:val="00A642C3"/>
    <w:rsid w:val="00A70826"/>
    <w:rsid w:val="00A7644C"/>
    <w:rsid w:val="00A77757"/>
    <w:rsid w:val="00A806F9"/>
    <w:rsid w:val="00A94142"/>
    <w:rsid w:val="00A96F1F"/>
    <w:rsid w:val="00AC42A5"/>
    <w:rsid w:val="00AC664F"/>
    <w:rsid w:val="00AC7E37"/>
    <w:rsid w:val="00AD21FF"/>
    <w:rsid w:val="00AD4080"/>
    <w:rsid w:val="00AE542E"/>
    <w:rsid w:val="00AF0710"/>
    <w:rsid w:val="00AF3A1A"/>
    <w:rsid w:val="00AF450E"/>
    <w:rsid w:val="00AF60F7"/>
    <w:rsid w:val="00B11397"/>
    <w:rsid w:val="00B12864"/>
    <w:rsid w:val="00B14133"/>
    <w:rsid w:val="00B151C7"/>
    <w:rsid w:val="00B212D1"/>
    <w:rsid w:val="00B23B58"/>
    <w:rsid w:val="00B24412"/>
    <w:rsid w:val="00B37D63"/>
    <w:rsid w:val="00B41BFF"/>
    <w:rsid w:val="00B553FF"/>
    <w:rsid w:val="00B56D9D"/>
    <w:rsid w:val="00B61B89"/>
    <w:rsid w:val="00B62053"/>
    <w:rsid w:val="00B662B0"/>
    <w:rsid w:val="00B67B44"/>
    <w:rsid w:val="00B71B87"/>
    <w:rsid w:val="00B75D5F"/>
    <w:rsid w:val="00B803D1"/>
    <w:rsid w:val="00B8077D"/>
    <w:rsid w:val="00B80DE5"/>
    <w:rsid w:val="00B87C32"/>
    <w:rsid w:val="00B9173A"/>
    <w:rsid w:val="00B96A54"/>
    <w:rsid w:val="00BA61B2"/>
    <w:rsid w:val="00BB0DEC"/>
    <w:rsid w:val="00BB4181"/>
    <w:rsid w:val="00BC1DA8"/>
    <w:rsid w:val="00BC60E4"/>
    <w:rsid w:val="00BD0DAB"/>
    <w:rsid w:val="00BD776D"/>
    <w:rsid w:val="00BE6D95"/>
    <w:rsid w:val="00BF574E"/>
    <w:rsid w:val="00BF621E"/>
    <w:rsid w:val="00BF735D"/>
    <w:rsid w:val="00C175E0"/>
    <w:rsid w:val="00C21A63"/>
    <w:rsid w:val="00C25FEC"/>
    <w:rsid w:val="00C2794F"/>
    <w:rsid w:val="00C335D3"/>
    <w:rsid w:val="00C42526"/>
    <w:rsid w:val="00C5440F"/>
    <w:rsid w:val="00C55B0C"/>
    <w:rsid w:val="00C60DA6"/>
    <w:rsid w:val="00C61A6C"/>
    <w:rsid w:val="00C61C91"/>
    <w:rsid w:val="00C84EEC"/>
    <w:rsid w:val="00CA7362"/>
    <w:rsid w:val="00CB4B55"/>
    <w:rsid w:val="00CB604D"/>
    <w:rsid w:val="00CB6FFE"/>
    <w:rsid w:val="00CC28E4"/>
    <w:rsid w:val="00CC318E"/>
    <w:rsid w:val="00CC4589"/>
    <w:rsid w:val="00CC7BA5"/>
    <w:rsid w:val="00CD0A7A"/>
    <w:rsid w:val="00CD4D71"/>
    <w:rsid w:val="00CE3197"/>
    <w:rsid w:val="00CE5253"/>
    <w:rsid w:val="00CE5FEE"/>
    <w:rsid w:val="00CE75FF"/>
    <w:rsid w:val="00CF3B72"/>
    <w:rsid w:val="00CF7C6C"/>
    <w:rsid w:val="00D071A5"/>
    <w:rsid w:val="00D1255E"/>
    <w:rsid w:val="00D22485"/>
    <w:rsid w:val="00D31237"/>
    <w:rsid w:val="00D3383D"/>
    <w:rsid w:val="00D33902"/>
    <w:rsid w:val="00D3562F"/>
    <w:rsid w:val="00D40321"/>
    <w:rsid w:val="00D442D9"/>
    <w:rsid w:val="00D46979"/>
    <w:rsid w:val="00D51A84"/>
    <w:rsid w:val="00D542AD"/>
    <w:rsid w:val="00D622A0"/>
    <w:rsid w:val="00D62402"/>
    <w:rsid w:val="00D7288E"/>
    <w:rsid w:val="00D73672"/>
    <w:rsid w:val="00D74B27"/>
    <w:rsid w:val="00D850FB"/>
    <w:rsid w:val="00D919CD"/>
    <w:rsid w:val="00D92AAD"/>
    <w:rsid w:val="00DA5077"/>
    <w:rsid w:val="00DB0A1C"/>
    <w:rsid w:val="00DB0D1B"/>
    <w:rsid w:val="00DB4588"/>
    <w:rsid w:val="00DC7B16"/>
    <w:rsid w:val="00DD0843"/>
    <w:rsid w:val="00DD7187"/>
    <w:rsid w:val="00DE04FA"/>
    <w:rsid w:val="00DE5427"/>
    <w:rsid w:val="00DE75E4"/>
    <w:rsid w:val="00E043F3"/>
    <w:rsid w:val="00E10C03"/>
    <w:rsid w:val="00E220B2"/>
    <w:rsid w:val="00E27F77"/>
    <w:rsid w:val="00E34AD3"/>
    <w:rsid w:val="00E36055"/>
    <w:rsid w:val="00E37410"/>
    <w:rsid w:val="00E43B4B"/>
    <w:rsid w:val="00E514EF"/>
    <w:rsid w:val="00E536E8"/>
    <w:rsid w:val="00E554DD"/>
    <w:rsid w:val="00E570F2"/>
    <w:rsid w:val="00E679BB"/>
    <w:rsid w:val="00E83E89"/>
    <w:rsid w:val="00E8556C"/>
    <w:rsid w:val="00E9428E"/>
    <w:rsid w:val="00E95FB2"/>
    <w:rsid w:val="00EA3DF1"/>
    <w:rsid w:val="00EB44EA"/>
    <w:rsid w:val="00EC09AE"/>
    <w:rsid w:val="00EE7BC3"/>
    <w:rsid w:val="00F031E8"/>
    <w:rsid w:val="00F17317"/>
    <w:rsid w:val="00F42BE0"/>
    <w:rsid w:val="00F45B2A"/>
    <w:rsid w:val="00F54411"/>
    <w:rsid w:val="00F54953"/>
    <w:rsid w:val="00F55AEA"/>
    <w:rsid w:val="00F577BB"/>
    <w:rsid w:val="00F61348"/>
    <w:rsid w:val="00F62C46"/>
    <w:rsid w:val="00F64A72"/>
    <w:rsid w:val="00F72F45"/>
    <w:rsid w:val="00F83004"/>
    <w:rsid w:val="00F9352B"/>
    <w:rsid w:val="00F940F6"/>
    <w:rsid w:val="00F96BC2"/>
    <w:rsid w:val="00FA05DB"/>
    <w:rsid w:val="00FA3C23"/>
    <w:rsid w:val="00FA3EC0"/>
    <w:rsid w:val="00FA5B8B"/>
    <w:rsid w:val="00FA6F0D"/>
    <w:rsid w:val="00FA7521"/>
    <w:rsid w:val="00FB0CEC"/>
    <w:rsid w:val="00FB4762"/>
    <w:rsid w:val="00FC005A"/>
    <w:rsid w:val="00FD1A60"/>
    <w:rsid w:val="00FE0840"/>
    <w:rsid w:val="00FE26A2"/>
    <w:rsid w:val="00FE3B71"/>
    <w:rsid w:val="00FE4A7A"/>
    <w:rsid w:val="00FE7CDD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F766D84"/>
  <w15:chartTrackingRefBased/>
  <w15:docId w15:val="{A4A4BB44-C1EE-4808-BE6E-A8A4201B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055"/>
    <w:pPr>
      <w:spacing w:after="240" w:line="360" w:lineRule="auto"/>
    </w:pPr>
    <w:rPr>
      <w:rFonts w:ascii="Lato" w:hAnsi="Lato"/>
      <w:sz w:val="24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4D22"/>
    <w:pPr>
      <w:keepNext/>
      <w:keepLines/>
      <w:spacing w:before="360" w:after="120"/>
      <w:jc w:val="both"/>
      <w:outlineLvl w:val="0"/>
    </w:pPr>
    <w:rPr>
      <w:rFonts w:eastAsiaTheme="majorEastAsia" w:cstheme="majorBidi"/>
      <w:b/>
      <w:color w:val="B5121B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06F9"/>
    <w:pPr>
      <w:keepNext/>
      <w:keepLines/>
      <w:spacing w:before="40" w:after="120"/>
      <w:outlineLvl w:val="1"/>
    </w:pPr>
    <w:rPr>
      <w:rFonts w:eastAsiaTheme="majorEastAsia" w:cstheme="majorBidi"/>
      <w:b/>
      <w:color w:val="B5121B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E5253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05114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51143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2AD"/>
    <w:pPr>
      <w:spacing w:after="0" w:line="240" w:lineRule="auto"/>
      <w:contextualSpacing/>
    </w:pPr>
    <w:rPr>
      <w:rFonts w:eastAsiaTheme="majorEastAsia" w:cstheme="majorBidi"/>
      <w:b/>
      <w:color w:val="B5121B"/>
      <w:spacing w:val="-10"/>
      <w:kern w:val="28"/>
      <w:sz w:val="6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2AD"/>
    <w:rPr>
      <w:rFonts w:ascii="Lato" w:eastAsiaTheme="majorEastAsia" w:hAnsi="Lato" w:cstheme="majorBidi"/>
      <w:b/>
      <w:color w:val="B5121B"/>
      <w:spacing w:val="-10"/>
      <w:kern w:val="28"/>
      <w:sz w:val="68"/>
      <w:szCs w:val="56"/>
      <w:lang w:val="en-GB"/>
    </w:rPr>
  </w:style>
  <w:style w:type="paragraph" w:customStyle="1" w:styleId="Objanieniapodatkowe">
    <w:name w:val="Objaśnienia podatkowe"/>
    <w:basedOn w:val="Tytu"/>
    <w:qFormat/>
    <w:rsid w:val="002E76C7"/>
    <w:rPr>
      <w:rFonts w:ascii="Calibri" w:hAnsi="Calibri"/>
      <w:b w:val="0"/>
      <w:sz w:val="72"/>
    </w:rPr>
  </w:style>
  <w:style w:type="paragraph" w:customStyle="1" w:styleId="dataobjanienia">
    <w:name w:val="data objaśnienia"/>
    <w:basedOn w:val="Objanieniapodatkowe"/>
    <w:autoRedefine/>
    <w:qFormat/>
    <w:rsid w:val="003B1A30"/>
    <w:rPr>
      <w:rFonts w:asciiTheme="majorHAnsi" w:hAnsiTheme="majorHAnsi"/>
      <w:b/>
    </w:rPr>
  </w:style>
  <w:style w:type="paragraph" w:customStyle="1" w:styleId="Objanianezagadnienie">
    <w:name w:val="Objaśniane zagadnienie"/>
    <w:basedOn w:val="dataobjanienia"/>
    <w:autoRedefine/>
    <w:qFormat/>
    <w:rsid w:val="007843A9"/>
    <w:rPr>
      <w:rFonts w:asciiTheme="minorHAnsi" w:hAnsiTheme="minorHAnsi"/>
      <w:b w:val="0"/>
      <w:color w:val="auto"/>
      <w:sz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5E4D22"/>
    <w:rPr>
      <w:rFonts w:ascii="Lato" w:eastAsiaTheme="majorEastAsia" w:hAnsi="Lato" w:cstheme="majorBidi"/>
      <w:b/>
      <w:color w:val="B5121B"/>
      <w:sz w:val="36"/>
      <w:szCs w:val="36"/>
      <w:lang w:val="en-GB"/>
    </w:rPr>
  </w:style>
  <w:style w:type="paragraph" w:customStyle="1" w:styleId="Objanienia-nagwek1">
    <w:name w:val="Objaśnienia - nagłówek 1"/>
    <w:basedOn w:val="Nagwek1"/>
    <w:rsid w:val="00AF3A1A"/>
    <w:rPr>
      <w:rFonts w:asciiTheme="minorHAnsi" w:hAnsiTheme="minorHAnsi"/>
      <w:b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A806F9"/>
    <w:rPr>
      <w:rFonts w:ascii="Lato" w:eastAsiaTheme="majorEastAsia" w:hAnsi="Lato" w:cstheme="majorBidi"/>
      <w:b/>
      <w:color w:val="B5121B"/>
      <w:sz w:val="28"/>
      <w:szCs w:val="26"/>
      <w:lang w:val="en-GB"/>
    </w:rPr>
  </w:style>
  <w:style w:type="paragraph" w:customStyle="1" w:styleId="Objanienia-Nagwek2">
    <w:name w:val="Objaśnienia - Nagłówek 2"/>
    <w:basedOn w:val="Nagwek2"/>
    <w:rsid w:val="004A0A8C"/>
    <w:rPr>
      <w:rFonts w:asciiTheme="minorHAnsi" w:hAnsiTheme="minorHAnsi"/>
    </w:rPr>
  </w:style>
  <w:style w:type="paragraph" w:styleId="Akapitzlist">
    <w:name w:val="List Paragraph"/>
    <w:basedOn w:val="Normalny"/>
    <w:uiPriority w:val="34"/>
    <w:qFormat/>
    <w:rsid w:val="003615EA"/>
    <w:pPr>
      <w:numPr>
        <w:numId w:val="9"/>
      </w:numPr>
      <w:ind w:left="717"/>
      <w:contextualSpacing/>
    </w:pPr>
  </w:style>
  <w:style w:type="character" w:styleId="Wyrnienieintensywne">
    <w:name w:val="Intense Emphasis"/>
    <w:aliases w:val="Objaśnienia - Tekst wyróżniony,przykład,szczególny przypadek"/>
    <w:basedOn w:val="Domylnaczcionkaakapitu"/>
    <w:uiPriority w:val="21"/>
    <w:qFormat/>
    <w:rsid w:val="005745E4"/>
    <w:rPr>
      <w:b/>
      <w:i w:val="0"/>
      <w:iCs/>
      <w:color w:val="B5121B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01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01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1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31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11E"/>
  </w:style>
  <w:style w:type="paragraph" w:styleId="Stopka">
    <w:name w:val="footer"/>
    <w:basedOn w:val="Normalny"/>
    <w:link w:val="StopkaZnak"/>
    <w:uiPriority w:val="99"/>
    <w:unhideWhenUsed/>
    <w:rsid w:val="00331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11E"/>
  </w:style>
  <w:style w:type="paragraph" w:styleId="Nagwekspisutreci">
    <w:name w:val="TOC Heading"/>
    <w:basedOn w:val="Nagwek1"/>
    <w:next w:val="Normalny"/>
    <w:uiPriority w:val="39"/>
    <w:unhideWhenUsed/>
    <w:qFormat/>
    <w:rsid w:val="004A0A8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A0A8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A0A8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4A0A8C"/>
    <w:rPr>
      <w:color w:val="0563C1" w:themeColor="hyperlink"/>
      <w:u w:val="single"/>
    </w:rPr>
  </w:style>
  <w:style w:type="paragraph" w:customStyle="1" w:styleId="Objanienia-nagwek3">
    <w:name w:val="Objaśnienia - nagłówek 3"/>
    <w:basedOn w:val="Normalny"/>
    <w:link w:val="Objanienia-nagwek3Znak"/>
    <w:rsid w:val="004A0A8C"/>
    <w:pPr>
      <w:spacing w:after="0"/>
      <w:jc w:val="both"/>
    </w:pPr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E5253"/>
    <w:rPr>
      <w:rFonts w:asciiTheme="majorHAnsi" w:eastAsiaTheme="majorEastAsia" w:hAnsiTheme="majorHAnsi" w:cstheme="majorBidi"/>
      <w:b/>
      <w:bCs/>
      <w:szCs w:val="24"/>
    </w:rPr>
  </w:style>
  <w:style w:type="character" w:customStyle="1" w:styleId="Objanienia-nagwek3Znak">
    <w:name w:val="Objaśnienia - nagłówek 3 Znak"/>
    <w:basedOn w:val="Domylnaczcionkaakapitu"/>
    <w:link w:val="Objanienia-nagwek3"/>
    <w:rsid w:val="004A0A8C"/>
    <w:rPr>
      <w:b/>
      <w:bCs/>
    </w:rPr>
  </w:style>
  <w:style w:type="paragraph" w:styleId="Spistreci3">
    <w:name w:val="toc 3"/>
    <w:basedOn w:val="Normalny"/>
    <w:next w:val="Normalny"/>
    <w:autoRedefine/>
    <w:uiPriority w:val="39"/>
    <w:unhideWhenUsed/>
    <w:rsid w:val="00CE5253"/>
    <w:pPr>
      <w:spacing w:after="100"/>
      <w:ind w:left="440"/>
    </w:pPr>
  </w:style>
  <w:style w:type="paragraph" w:customStyle="1" w:styleId="Objanienia-przypisdolny">
    <w:name w:val="Objaśnienia - przypis dolny"/>
    <w:basedOn w:val="Tekstprzypisudolnego"/>
    <w:link w:val="Objanienia-przypisdolnyZnak"/>
    <w:autoRedefine/>
    <w:qFormat/>
    <w:rsid w:val="00733234"/>
    <w:pPr>
      <w:jc w:val="both"/>
    </w:pPr>
  </w:style>
  <w:style w:type="character" w:customStyle="1" w:styleId="Objanienia-przypisdolnyZnak">
    <w:name w:val="Objaśnienia - przypis dolny Znak"/>
    <w:basedOn w:val="TekstprzypisudolnegoZnak"/>
    <w:link w:val="Objanienia-przypisdolny"/>
    <w:rsid w:val="00733234"/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02CF"/>
    <w:pPr>
      <w:numPr>
        <w:ilvl w:val="1"/>
      </w:numPr>
      <w:spacing w:before="360" w:after="160"/>
    </w:pPr>
    <w:rPr>
      <w:rFonts w:eastAsiaTheme="minorEastAsia"/>
      <w:b/>
      <w:color w:val="000000" w:themeColor="text1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02CF"/>
    <w:rPr>
      <w:rFonts w:ascii="Lato" w:eastAsiaTheme="minorEastAsia" w:hAnsi="Lato"/>
      <w:b/>
      <w:color w:val="000000" w:themeColor="text1"/>
      <w:spacing w:val="15"/>
      <w:sz w:val="28"/>
      <w:lang w:val="en-GB"/>
    </w:rPr>
  </w:style>
  <w:style w:type="character" w:styleId="Odwoanieintensywne">
    <w:name w:val="Intense Reference"/>
    <w:basedOn w:val="Domylnaczcionkaakapitu"/>
    <w:uiPriority w:val="32"/>
    <w:qFormat/>
    <w:rsid w:val="0098499A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C2E"/>
    <w:rPr>
      <w:rFonts w:ascii="Segoe UI" w:hAnsi="Segoe UI" w:cs="Segoe UI"/>
      <w:sz w:val="18"/>
      <w:szCs w:val="18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38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3D"/>
    <w:rPr>
      <w:rFonts w:ascii="Lato" w:hAnsi="Lato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3D"/>
    <w:rPr>
      <w:rFonts w:ascii="Lato" w:hAnsi="Lato"/>
      <w:b/>
      <w:bCs/>
      <w:sz w:val="20"/>
      <w:szCs w:val="20"/>
      <w:lang w:val="en-GB"/>
    </w:rPr>
  </w:style>
  <w:style w:type="paragraph" w:styleId="Legenda">
    <w:name w:val="caption"/>
    <w:basedOn w:val="Normalny"/>
    <w:next w:val="Normalny"/>
    <w:uiPriority w:val="35"/>
    <w:unhideWhenUsed/>
    <w:qFormat/>
    <w:rsid w:val="00D7367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C2607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4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7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data/database" TargetMode="External"/><Relationship Id="rId13" Type="http://schemas.openxmlformats.org/officeDocument/2006/relationships/hyperlink" Target="https://www.gov.pl/web/finanse/szacunkowe-wykonanie-budzetu" TargetMode="External"/><Relationship Id="rId18" Type="http://schemas.openxmlformats.org/officeDocument/2006/relationships/chart" Target="charts/chart1.xm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hart" Target="charts/chart4.xml"/><Relationship Id="rId7" Type="http://schemas.openxmlformats.org/officeDocument/2006/relationships/endnotes" Target="endnotes.xml"/><Relationship Id="rId12" Type="http://schemas.openxmlformats.org/officeDocument/2006/relationships/hyperlink" Target="https://www.gov.pl/web/finanse/dane-fiskalne-na-potrzeby-nadzoru-budzetowego-ue" TargetMode="External"/><Relationship Id="rId17" Type="http://schemas.openxmlformats.org/officeDocument/2006/relationships/hyperlink" Target="https://www.bgk.pl/programy-i-fundusze/fundusze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finanse/budzety-jst" TargetMode="External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eurostat/databrowser/view/gov_10q_ggnfa/default/table?lang=en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ane.gov.pl/pl/knowledgebase/useful-materials/trezor-api-interfejs-programistyczny-dla-systemu-trezor?lang=pl" TargetMode="External"/><Relationship Id="rId23" Type="http://schemas.openxmlformats.org/officeDocument/2006/relationships/chart" Target="charts/chart6.xml"/><Relationship Id="rId28" Type="http://schemas.openxmlformats.org/officeDocument/2006/relationships/theme" Target="theme/theme1.xml"/><Relationship Id="rId10" Type="http://schemas.openxmlformats.org/officeDocument/2006/relationships/hyperlink" Target="https://ec.europa.eu/eurostat/databrowser/view/gov_10a_exp/default/table?lang=en" TargetMode="External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databrowser/view/gov_10a_main/default/table?lang=en" TargetMode="External"/><Relationship Id="rId14" Type="http://schemas.openxmlformats.org/officeDocument/2006/relationships/hyperlink" Target="https://www.gov.pl/web/finanse/sprawozdania-operatywne-miesieczne" TargetMode="External"/><Relationship Id="rId22" Type="http://schemas.openxmlformats.org/officeDocument/2006/relationships/chart" Target="charts/chart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ABV\Desktop\Obja&#347;nienia%20podatkowe%20-%20og&#243;lny%20szablon%20MF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200668896321072E-2"/>
          <c:y val="2.6177046317957673E-2"/>
          <c:w val="0.93979933110367897"/>
          <c:h val="0.79962613963105034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Arkusz1!$M$2</c:f>
              <c:strCache>
                <c:ptCount val="1"/>
                <c:pt idx="0">
                  <c:v>wynik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cat>
            <c:multiLvlStrRef>
              <c:f>Arkusz1!$K$3:$L$14</c:f>
              <c:multiLvlStrCache>
                <c:ptCount val="12"/>
                <c:lvl>
                  <c:pt idx="0">
                    <c:v>IV kw.</c:v>
                  </c:pt>
                  <c:pt idx="1">
                    <c:v>I kw.</c:v>
                  </c:pt>
                  <c:pt idx="2">
                    <c:v>II kw.</c:v>
                  </c:pt>
                  <c:pt idx="3">
                    <c:v>III kw.</c:v>
                  </c:pt>
                  <c:pt idx="4">
                    <c:v>IV kw.</c:v>
                  </c:pt>
                  <c:pt idx="5">
                    <c:v>I kw.</c:v>
                  </c:pt>
                  <c:pt idx="6">
                    <c:v>II kw.</c:v>
                  </c:pt>
                  <c:pt idx="7">
                    <c:v>III kw.</c:v>
                  </c:pt>
                  <c:pt idx="8">
                    <c:v>IV kw.</c:v>
                  </c:pt>
                  <c:pt idx="9">
                    <c:v>I kw.</c:v>
                  </c:pt>
                  <c:pt idx="10">
                    <c:v>II kw.</c:v>
                  </c:pt>
                  <c:pt idx="11">
                    <c:v>III kw.</c:v>
                  </c:pt>
                </c:lvl>
                <c:lvl>
                  <c:pt idx="0">
                    <c:v>2022</c:v>
                  </c:pt>
                  <c:pt idx="1">
                    <c:v>2023</c:v>
                  </c:pt>
                  <c:pt idx="5">
                    <c:v>2024</c:v>
                  </c:pt>
                  <c:pt idx="9">
                    <c:v>2025</c:v>
                  </c:pt>
                </c:lvl>
              </c:multiLvlStrCache>
            </c:multiLvlStrRef>
          </c:cat>
          <c:val>
            <c:numRef>
              <c:f>Arkusz1!$M$3:$M$14</c:f>
              <c:numCache>
                <c:formatCode>#\ ##0.0</c:formatCode>
                <c:ptCount val="12"/>
                <c:pt idx="0">
                  <c:v>-9.4</c:v>
                </c:pt>
                <c:pt idx="1">
                  <c:v>-0.9</c:v>
                </c:pt>
                <c:pt idx="2">
                  <c:v>-3.3</c:v>
                </c:pt>
                <c:pt idx="3">
                  <c:v>-5.0999999999999996</c:v>
                </c:pt>
                <c:pt idx="4">
                  <c:v>-10.6</c:v>
                </c:pt>
                <c:pt idx="5">
                  <c:v>-0.3</c:v>
                </c:pt>
                <c:pt idx="6">
                  <c:v>-7.1</c:v>
                </c:pt>
                <c:pt idx="7">
                  <c:v>-5.9</c:v>
                </c:pt>
                <c:pt idx="8">
                  <c:v>-11.5</c:v>
                </c:pt>
                <c:pt idx="9">
                  <c:v>-2.1</c:v>
                </c:pt>
                <c:pt idx="10">
                  <c:v>-7.7</c:v>
                </c:pt>
                <c:pt idx="11">
                  <c:v>-6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F5-4DD4-90D4-F82B2BCE5A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4632112"/>
        <c:axId val="904624272"/>
      </c:barChart>
      <c:lineChart>
        <c:grouping val="standard"/>
        <c:varyColors val="0"/>
        <c:ser>
          <c:idx val="4"/>
          <c:order val="1"/>
          <c:tx>
            <c:strRef>
              <c:f>Arkusz1!$N$2</c:f>
              <c:strCache>
                <c:ptCount val="1"/>
                <c:pt idx="0">
                  <c:v>wynik pierwotny</c:v>
                </c:pt>
              </c:strCache>
            </c:strRef>
          </c:tx>
          <c:spPr>
            <a:ln w="44450">
              <a:solidFill>
                <a:srgbClr val="00863D"/>
              </a:solidFill>
              <a:prstDash val="solid"/>
            </a:ln>
          </c:spPr>
          <c:marker>
            <c:symbol val="none"/>
          </c:marker>
          <c:cat>
            <c:multiLvlStrRef>
              <c:f>[2]dane!$A$60:$B$71</c:f>
              <c:multiLvlStrCache>
                <c:ptCount val="1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</c:lvl>
                <c:lvl>
                  <c:pt idx="1">
                    <c:v>2013</c:v>
                  </c:pt>
                  <c:pt idx="3">
                    <c:v>2013</c:v>
                  </c:pt>
                  <c:pt idx="7">
                    <c:v>2014</c:v>
                  </c:pt>
                  <c:pt idx="8">
                    <c:v>2015</c:v>
                  </c:pt>
                </c:lvl>
              </c:multiLvlStrCache>
            </c:multiLvlStrRef>
          </c:cat>
          <c:val>
            <c:numRef>
              <c:f>Arkusz1!$N$3:$N$14</c:f>
              <c:numCache>
                <c:formatCode>#\ ##0.0</c:formatCode>
                <c:ptCount val="12"/>
                <c:pt idx="0">
                  <c:v>-7.4359952873419859</c:v>
                </c:pt>
                <c:pt idx="1">
                  <c:v>0.51269718990005353</c:v>
                </c:pt>
                <c:pt idx="2">
                  <c:v>-1.0210876316001731</c:v>
                </c:pt>
                <c:pt idx="3">
                  <c:v>-2.9520139464487314</c:v>
                </c:pt>
                <c:pt idx="4">
                  <c:v>-8.1669013975777638</c:v>
                </c:pt>
                <c:pt idx="5">
                  <c:v>1.8015509999102619</c:v>
                </c:pt>
                <c:pt idx="6">
                  <c:v>-4.6929079170744012</c:v>
                </c:pt>
                <c:pt idx="7">
                  <c:v>-3.6942213902863865</c:v>
                </c:pt>
                <c:pt idx="8">
                  <c:v>-9.368756218286979</c:v>
                </c:pt>
                <c:pt idx="9">
                  <c:v>0.54445784347895021</c:v>
                </c:pt>
                <c:pt idx="10">
                  <c:v>-5.0818596837946801</c:v>
                </c:pt>
                <c:pt idx="11">
                  <c:v>-3.6029464415881196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0F5-4DD4-90D4-F82B2BCE5A74}"/>
            </c:ext>
          </c:extLst>
        </c:ser>
        <c:ser>
          <c:idx val="5"/>
          <c:order val="2"/>
          <c:tx>
            <c:strRef>
              <c:f>Arkusz1!$O$2</c:f>
              <c:strCache>
                <c:ptCount val="1"/>
                <c:pt idx="0">
                  <c:v>wynik w ujęciu roku płynnego</c:v>
                </c:pt>
              </c:strCache>
            </c:strRef>
          </c:tx>
          <c:spPr>
            <a:ln w="44450">
              <a:solidFill>
                <a:srgbClr val="E31837"/>
              </a:solidFill>
              <a:prstDash val="solid"/>
            </a:ln>
          </c:spPr>
          <c:marker>
            <c:symbol val="none"/>
          </c:marker>
          <c:cat>
            <c:multiLvlStrRef>
              <c:f>[2]dane!$A$60:$B$71</c:f>
              <c:multiLvlStrCache>
                <c:ptCount val="1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</c:lvl>
                <c:lvl>
                  <c:pt idx="1">
                    <c:v>2013</c:v>
                  </c:pt>
                  <c:pt idx="3">
                    <c:v>2013</c:v>
                  </c:pt>
                  <c:pt idx="7">
                    <c:v>2014</c:v>
                  </c:pt>
                  <c:pt idx="8">
                    <c:v>2015</c:v>
                  </c:pt>
                </c:lvl>
              </c:multiLvlStrCache>
            </c:multiLvlStrRef>
          </c:cat>
          <c:val>
            <c:numRef>
              <c:f>Arkusz1!$O$3:$O$14</c:f>
              <c:numCache>
                <c:formatCode>#\ ##0.0</c:formatCode>
                <c:ptCount val="12"/>
                <c:pt idx="0">
                  <c:v>-3.3692053265783679</c:v>
                </c:pt>
                <c:pt idx="1">
                  <c:v>-3.5745069818097628</c:v>
                </c:pt>
                <c:pt idx="2">
                  <c:v>-4.1569622194021632</c:v>
                </c:pt>
                <c:pt idx="3">
                  <c:v>-4.7918160778309478</c:v>
                </c:pt>
                <c:pt idx="4">
                  <c:v>-5.1955717283926104</c:v>
                </c:pt>
                <c:pt idx="5">
                  <c:v>-5.006989126604747</c:v>
                </c:pt>
                <c:pt idx="6">
                  <c:v>-5.9131606795361478</c:v>
                </c:pt>
                <c:pt idx="7">
                  <c:v>-6.1134426230794165</c:v>
                </c:pt>
                <c:pt idx="8">
                  <c:v>-6.4750628840276399</c:v>
                </c:pt>
                <c:pt idx="9">
                  <c:v>-6.8196833799347729</c:v>
                </c:pt>
                <c:pt idx="10">
                  <c:v>-6.9838522822080709</c:v>
                </c:pt>
                <c:pt idx="11">
                  <c:v>-6.9909411325511472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0F5-4DD4-90D4-F82B2BCE5A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04632112"/>
        <c:axId val="904624272"/>
      </c:lineChart>
      <c:catAx>
        <c:axId val="904632112"/>
        <c:scaling>
          <c:orientation val="minMax"/>
        </c:scaling>
        <c:delete val="0"/>
        <c:axPos val="b"/>
        <c:numFmt formatCode="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>
                <a:latin typeface="Lato" panose="020F0502020204030203" pitchFamily="34" charset="-18"/>
              </a:defRPr>
            </a:pPr>
            <a:endParaRPr lang="pl-PL"/>
          </a:p>
        </c:txPr>
        <c:crossAx val="9046242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04624272"/>
        <c:scaling>
          <c:orientation val="minMax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>
                <a:latin typeface="Lato" panose="020F0502020204030203" pitchFamily="34" charset="-18"/>
              </a:defRPr>
            </a:pPr>
            <a:endParaRPr lang="pl-PL"/>
          </a:p>
        </c:txPr>
        <c:crossAx val="90463211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9.1199300347590856E-2"/>
          <c:y val="0.64000322945526833"/>
          <c:w val="0.51789709172259513"/>
          <c:h val="0.1356754230299333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>
              <a:latin typeface="Lato" panose="020F0502020204030203" pitchFamily="34" charset="-18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+mj-lt"/>
          <a:ea typeface="Arial Narrow"/>
          <a:cs typeface="Arial Narrow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891957206589975E-2"/>
          <c:y val="1.5288603032411615E-2"/>
          <c:w val="0.94114393418943443"/>
          <c:h val="0.9752321981424149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B547"/>
              </a:solidFill>
            </c:spPr>
            <c:extLst>
              <c:ext xmlns:c16="http://schemas.microsoft.com/office/drawing/2014/chart" uri="{C3380CC4-5D6E-409C-BE32-E72D297353CC}">
                <c16:uniqueId val="{00000001-D0C1-44B0-AF51-37D751440EA4}"/>
              </c:ext>
            </c:extLst>
          </c:dPt>
          <c:dPt>
            <c:idx val="1"/>
            <c:invertIfNegative val="0"/>
            <c:bubble3D val="0"/>
            <c:spPr>
              <a:solidFill>
                <a:srgbClr val="008000"/>
              </a:solidFill>
            </c:spPr>
            <c:extLst>
              <c:ext xmlns:c16="http://schemas.microsoft.com/office/drawing/2014/chart" uri="{C3380CC4-5D6E-409C-BE32-E72D297353CC}">
                <c16:uniqueId val="{00000003-D0C1-44B0-AF51-37D751440EA4}"/>
              </c:ext>
            </c:extLst>
          </c:dPt>
          <c:dPt>
            <c:idx val="2"/>
            <c:invertIfNegative val="0"/>
            <c:bubble3D val="0"/>
            <c:spPr>
              <a:solidFill>
                <a:srgbClr val="ADAFB2"/>
              </a:solidFill>
            </c:spPr>
            <c:extLst>
              <c:ext xmlns:c16="http://schemas.microsoft.com/office/drawing/2014/chart" uri="{C3380CC4-5D6E-409C-BE32-E72D297353CC}">
                <c16:uniqueId val="{00000005-D0C1-44B0-AF51-37D751440EA4}"/>
              </c:ext>
            </c:extLst>
          </c:dPt>
          <c:dPt>
            <c:idx val="3"/>
            <c:invertIfNegative val="0"/>
            <c:bubble3D val="0"/>
            <c:spPr>
              <a:solidFill>
                <a:srgbClr val="E31837"/>
              </a:solidFill>
            </c:spPr>
            <c:extLst>
              <c:ext xmlns:c16="http://schemas.microsoft.com/office/drawing/2014/chart" uri="{C3380CC4-5D6E-409C-BE32-E72D297353CC}">
                <c16:uniqueId val="{00000007-D0C1-44B0-AF51-37D751440EA4}"/>
              </c:ext>
            </c:extLst>
          </c:dPt>
          <c:dPt>
            <c:idx val="5"/>
            <c:invertIfNegative val="0"/>
            <c:bubble3D val="0"/>
            <c:spPr>
              <a:solidFill>
                <a:srgbClr val="9999FF"/>
              </a:solidFill>
            </c:spPr>
            <c:extLst>
              <c:ext xmlns:c16="http://schemas.microsoft.com/office/drawing/2014/chart" uri="{C3380CC4-5D6E-409C-BE32-E72D297353CC}">
                <c16:uniqueId val="{00000009-D0C1-44B0-AF51-37D751440EA4}"/>
              </c:ext>
            </c:extLst>
          </c:dPt>
          <c:cat>
            <c:strRef>
              <c:f>Arkusz1!$M$50:$M$54</c:f>
              <c:strCache>
                <c:ptCount val="5"/>
                <c:pt idx="0">
                  <c:v>składki na ubezpieczenia społeczne</c:v>
                </c:pt>
                <c:pt idx="1">
                  <c:v>VAT</c:v>
                </c:pt>
                <c:pt idx="2">
                  <c:v>podatki dochodowe</c:v>
                </c:pt>
                <c:pt idx="3">
                  <c:v>pozostałe podatki</c:v>
                </c:pt>
                <c:pt idx="4">
                  <c:v>inne</c:v>
                </c:pt>
              </c:strCache>
            </c:strRef>
          </c:cat>
          <c:val>
            <c:numRef>
              <c:f>Arkusz1!$N$50:$N$54</c:f>
              <c:numCache>
                <c:formatCode>0.0%</c:formatCode>
                <c:ptCount val="5"/>
                <c:pt idx="0">
                  <c:v>0.35215113207064069</c:v>
                </c:pt>
                <c:pt idx="1">
                  <c:v>0.18696215879016134</c:v>
                </c:pt>
                <c:pt idx="2">
                  <c:v>0.18640816925078735</c:v>
                </c:pt>
                <c:pt idx="3">
                  <c:v>0.13486386521760382</c:v>
                </c:pt>
                <c:pt idx="4">
                  <c:v>0.13961467467080685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0C1-44B0-AF51-37D751440E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904628976"/>
        <c:axId val="904633288"/>
      </c:barChart>
      <c:catAx>
        <c:axId val="904628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04633288"/>
        <c:crosses val="autoZero"/>
        <c:auto val="1"/>
        <c:lblAlgn val="ctr"/>
        <c:lblOffset val="100"/>
        <c:noMultiLvlLbl val="0"/>
      </c:catAx>
      <c:valAx>
        <c:axId val="904633288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904628976"/>
        <c:crosses val="autoZero"/>
        <c:crossBetween val="between"/>
      </c:valAx>
    </c:plotArea>
    <c:plotVisOnly val="1"/>
    <c:dispBlanksAs val="gap"/>
    <c:showDLblsOverMax val="0"/>
  </c:chart>
  <c:spPr>
    <a:ln>
      <a:noFill/>
    </a:ln>
    <a:effectLst>
      <a:outerShdw blurRad="50800" dist="50800" dir="5400000" algn="ctr" rotWithShape="0">
        <a:schemeClr val="bg1"/>
      </a:outerShdw>
    </a:effectLst>
    <a:scene3d>
      <a:camera prst="orthographicFront"/>
      <a:lightRig rig="threePt" dir="t"/>
    </a:scene3d>
    <a:sp3d>
      <a:bevelT w="0" h="0"/>
    </a:sp3d>
  </c:spPr>
  <c:txPr>
    <a:bodyPr/>
    <a:lstStyle/>
    <a:p>
      <a:pPr>
        <a:defRPr>
          <a:latin typeface="Lato" panose="020F0502020204030203" pitchFamily="34" charset="-18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9739294333174799E-2"/>
          <c:y val="6.3257135452037816E-2"/>
          <c:w val="0.90635451505016718"/>
          <c:h val="0.70370370370370372"/>
        </c:manualLayout>
      </c:layout>
      <c:lineChart>
        <c:grouping val="standard"/>
        <c:varyColors val="0"/>
        <c:ser>
          <c:idx val="1"/>
          <c:order val="0"/>
          <c:tx>
            <c:v>VAT</c:v>
          </c:tx>
          <c:spPr>
            <a:ln w="25400">
              <a:solidFill>
                <a:srgbClr val="E31837"/>
              </a:solidFill>
              <a:prstDash val="solid"/>
            </a:ln>
          </c:spPr>
          <c:marker>
            <c:symbol val="none"/>
          </c:marker>
          <c:cat>
            <c:multiLvlStrRef>
              <c:f>'baza VAT'!$C$114:$D$126</c:f>
              <c:multiLvlStrCache>
                <c:ptCount val="13"/>
                <c:lvl>
                  <c:pt idx="0">
                    <c:v>III kw.</c:v>
                  </c:pt>
                  <c:pt idx="1">
                    <c:v>IV kw.</c:v>
                  </c:pt>
                  <c:pt idx="2">
                    <c:v>I kw.</c:v>
                  </c:pt>
                  <c:pt idx="3">
                    <c:v>II kw.</c:v>
                  </c:pt>
                  <c:pt idx="4">
                    <c:v>III kw.</c:v>
                  </c:pt>
                  <c:pt idx="5">
                    <c:v>IV kw.</c:v>
                  </c:pt>
                  <c:pt idx="6">
                    <c:v>I kw.</c:v>
                  </c:pt>
                  <c:pt idx="7">
                    <c:v>II kw.</c:v>
                  </c:pt>
                  <c:pt idx="8">
                    <c:v>III kw.</c:v>
                  </c:pt>
                  <c:pt idx="9">
                    <c:v>IV kw.</c:v>
                  </c:pt>
                  <c:pt idx="10">
                    <c:v>I kw.</c:v>
                  </c:pt>
                  <c:pt idx="11">
                    <c:v>II kw.</c:v>
                  </c:pt>
                  <c:pt idx="12">
                    <c:v>III kw.</c:v>
                  </c:pt>
                </c:lvl>
                <c:lvl>
                  <c:pt idx="0">
                    <c:v>2022</c:v>
                  </c:pt>
                  <c:pt idx="2">
                    <c:v>2023</c:v>
                  </c:pt>
                  <c:pt idx="6">
                    <c:v>2024</c:v>
                  </c:pt>
                  <c:pt idx="10">
                    <c:v>2025</c:v>
                  </c:pt>
                </c:lvl>
              </c:multiLvlStrCache>
            </c:multiLvlStrRef>
          </c:cat>
          <c:val>
            <c:numRef>
              <c:f>'baza VAT'!$I$114:$I$126</c:f>
              <c:numCache>
                <c:formatCode>0.0%</c:formatCode>
                <c:ptCount val="13"/>
                <c:pt idx="0">
                  <c:v>1.0128600543715587</c:v>
                </c:pt>
                <c:pt idx="1">
                  <c:v>0.92652381777508352</c:v>
                </c:pt>
                <c:pt idx="2">
                  <c:v>1.2546349455202896</c:v>
                </c:pt>
                <c:pt idx="3">
                  <c:v>1.0668065708945309</c:v>
                </c:pt>
                <c:pt idx="4">
                  <c:v>1.0976695388320896</c:v>
                </c:pt>
                <c:pt idx="5">
                  <c:v>1.080086546569325</c:v>
                </c:pt>
                <c:pt idx="6">
                  <c:v>1.1739501682121694</c:v>
                </c:pt>
                <c:pt idx="7">
                  <c:v>1.2290604261264408</c:v>
                </c:pt>
                <c:pt idx="8">
                  <c:v>1.1273552257171422</c:v>
                </c:pt>
                <c:pt idx="9">
                  <c:v>1.1362996706756228</c:v>
                </c:pt>
                <c:pt idx="10">
                  <c:v>1.1281350756824693</c:v>
                </c:pt>
                <c:pt idx="11">
                  <c:v>1.0863806970748542</c:v>
                </c:pt>
                <c:pt idx="12">
                  <c:v>1.0946585715260249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76D-49E4-94D6-45F71F0A7878}"/>
            </c:ext>
          </c:extLst>
        </c:ser>
        <c:ser>
          <c:idx val="2"/>
          <c:order val="1"/>
          <c:tx>
            <c:v>VAT w ujęciu roku płynnego</c:v>
          </c:tx>
          <c:spPr>
            <a:ln w="25400">
              <a:solidFill>
                <a:schemeClr val="tx1"/>
              </a:solidFill>
              <a:prstDash val="dash"/>
            </a:ln>
          </c:spPr>
          <c:marker>
            <c:symbol val="none"/>
          </c:marker>
          <c:cat>
            <c:multiLvlStrRef>
              <c:f>'baza VAT'!$C$114:$D$126</c:f>
              <c:multiLvlStrCache>
                <c:ptCount val="13"/>
                <c:lvl>
                  <c:pt idx="0">
                    <c:v>III kw.</c:v>
                  </c:pt>
                  <c:pt idx="1">
                    <c:v>IV kw.</c:v>
                  </c:pt>
                  <c:pt idx="2">
                    <c:v>I kw.</c:v>
                  </c:pt>
                  <c:pt idx="3">
                    <c:v>II kw.</c:v>
                  </c:pt>
                  <c:pt idx="4">
                    <c:v>III kw.</c:v>
                  </c:pt>
                  <c:pt idx="5">
                    <c:v>IV kw.</c:v>
                  </c:pt>
                  <c:pt idx="6">
                    <c:v>I kw.</c:v>
                  </c:pt>
                  <c:pt idx="7">
                    <c:v>II kw.</c:v>
                  </c:pt>
                  <c:pt idx="8">
                    <c:v>III kw.</c:v>
                  </c:pt>
                  <c:pt idx="9">
                    <c:v>IV kw.</c:v>
                  </c:pt>
                  <c:pt idx="10">
                    <c:v>I kw.</c:v>
                  </c:pt>
                  <c:pt idx="11">
                    <c:v>II kw.</c:v>
                  </c:pt>
                  <c:pt idx="12">
                    <c:v>III kw.</c:v>
                  </c:pt>
                </c:lvl>
                <c:lvl>
                  <c:pt idx="0">
                    <c:v>2022</c:v>
                  </c:pt>
                  <c:pt idx="2">
                    <c:v>2023</c:v>
                  </c:pt>
                  <c:pt idx="6">
                    <c:v>2024</c:v>
                  </c:pt>
                  <c:pt idx="10">
                    <c:v>2025</c:v>
                  </c:pt>
                </c:lvl>
              </c:multiLvlStrCache>
            </c:multiLvlStrRef>
          </c:cat>
          <c:val>
            <c:numRef>
              <c:f>'baza VAT'!$J$114:$J$126</c:f>
              <c:numCache>
                <c:formatCode>0.0%</c:formatCode>
                <c:ptCount val="13"/>
                <c:pt idx="0">
                  <c:v>1.0672062773852358</c:v>
                </c:pt>
                <c:pt idx="1">
                  <c:v>0.99224844380434396</c:v>
                </c:pt>
                <c:pt idx="2">
                  <c:v>1.0440312675952801</c:v>
                </c:pt>
                <c:pt idx="3">
                  <c:v>1.0490168209950712</c:v>
                </c:pt>
                <c:pt idx="4">
                  <c:v>1.0708857241820435</c:v>
                </c:pt>
                <c:pt idx="5">
                  <c:v>1.1180250553469744</c:v>
                </c:pt>
                <c:pt idx="6">
                  <c:v>1.1048444478650192</c:v>
                </c:pt>
                <c:pt idx="7">
                  <c:v>1.1431684277295435</c:v>
                </c:pt>
                <c:pt idx="8">
                  <c:v>1.1499814463495694</c:v>
                </c:pt>
                <c:pt idx="9">
                  <c:v>1.1640648459927692</c:v>
                </c:pt>
                <c:pt idx="10">
                  <c:v>1.1523363974488645</c:v>
                </c:pt>
                <c:pt idx="11">
                  <c:v>1.1192491016541235</c:v>
                </c:pt>
                <c:pt idx="12">
                  <c:v>1.1109695903042902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76D-49E4-94D6-45F71F0A7878}"/>
            </c:ext>
          </c:extLst>
        </c:ser>
        <c:ser>
          <c:idx val="0"/>
          <c:order val="2"/>
          <c:tx>
            <c:v>Seria 1</c:v>
          </c:tx>
          <c:spPr>
            <a:ln w="19050">
              <a:solidFill>
                <a:schemeClr val="bg1">
                  <a:lumMod val="65000"/>
                </a:schemeClr>
              </a:solidFill>
            </a:ln>
          </c:spPr>
          <c:marker>
            <c:symbol val="none"/>
          </c:marker>
          <c:cat>
            <c:multiLvlStrRef>
              <c:f>'baza VAT'!$C$114:$D$126</c:f>
              <c:multiLvlStrCache>
                <c:ptCount val="13"/>
                <c:lvl>
                  <c:pt idx="0">
                    <c:v>III kw.</c:v>
                  </c:pt>
                  <c:pt idx="1">
                    <c:v>IV kw.</c:v>
                  </c:pt>
                  <c:pt idx="2">
                    <c:v>I kw.</c:v>
                  </c:pt>
                  <c:pt idx="3">
                    <c:v>II kw.</c:v>
                  </c:pt>
                  <c:pt idx="4">
                    <c:v>III kw.</c:v>
                  </c:pt>
                  <c:pt idx="5">
                    <c:v>IV kw.</c:v>
                  </c:pt>
                  <c:pt idx="6">
                    <c:v>I kw.</c:v>
                  </c:pt>
                  <c:pt idx="7">
                    <c:v>II kw.</c:v>
                  </c:pt>
                  <c:pt idx="8">
                    <c:v>III kw.</c:v>
                  </c:pt>
                  <c:pt idx="9">
                    <c:v>IV kw.</c:v>
                  </c:pt>
                  <c:pt idx="10">
                    <c:v>I kw.</c:v>
                  </c:pt>
                  <c:pt idx="11">
                    <c:v>II kw.</c:v>
                  </c:pt>
                  <c:pt idx="12">
                    <c:v>III kw.</c:v>
                  </c:pt>
                </c:lvl>
                <c:lvl>
                  <c:pt idx="0">
                    <c:v>2022</c:v>
                  </c:pt>
                  <c:pt idx="2">
                    <c:v>2023</c:v>
                  </c:pt>
                  <c:pt idx="6">
                    <c:v>2024</c:v>
                  </c:pt>
                  <c:pt idx="10">
                    <c:v>2025</c:v>
                  </c:pt>
                </c:lvl>
              </c:multiLvlStrCache>
            </c:multiLvlStrRef>
          </c:cat>
          <c:val>
            <c:numRef>
              <c:f>'baza VAT'!$K$114:$K$126</c:f>
              <c:numCache>
                <c:formatCode>0.0%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76D-49E4-94D6-45F71F0A78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03510591"/>
        <c:axId val="1"/>
      </c:lineChart>
      <c:catAx>
        <c:axId val="603510591"/>
        <c:scaling>
          <c:orientation val="minMax"/>
        </c:scaling>
        <c:delete val="0"/>
        <c:axPos val="b"/>
        <c:numFmt formatCode="dd/mm/yyyy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/>
            </a:pPr>
            <a:endParaRPr lang="pl-PL"/>
          </a:p>
        </c:txPr>
        <c:crossAx val="1"/>
        <c:crosses val="autoZero"/>
        <c:auto val="1"/>
        <c:lblAlgn val="ctr"/>
        <c:lblOffset val="0"/>
        <c:tickMarkSkip val="1"/>
        <c:noMultiLvlLbl val="0"/>
      </c:catAx>
      <c:valAx>
        <c:axId val="1"/>
        <c:scaling>
          <c:orientation val="minMax"/>
          <c:max val="1.4"/>
          <c:min val="0.8"/>
        </c:scaling>
        <c:delete val="0"/>
        <c:axPos val="l"/>
        <c:numFmt formatCode="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603510591"/>
        <c:crosses val="autoZero"/>
        <c:crossBetween val="between"/>
        <c:majorUnit val="0.1"/>
      </c:valAx>
      <c:spPr>
        <a:solidFill>
          <a:srgbClr val="FFFFFF"/>
        </a:solidFill>
        <a:ln w="25400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32001672357327016"/>
          <c:y val="2.3362246909234257E-2"/>
          <c:w val="0.59644029452070702"/>
          <c:h val="0.16510881791949919"/>
        </c:manualLayout>
      </c:layout>
      <c:overlay val="0"/>
      <c:spPr>
        <a:noFill/>
        <a:ln w="25400">
          <a:noFill/>
        </a:ln>
      </c:sp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Lato" panose="020F0502020204030203" pitchFamily="34" charset="-18"/>
          <a:ea typeface="Garamond"/>
          <a:cs typeface="Garamond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9964086465128485E-2"/>
          <c:y val="0"/>
          <c:w val="0.93583735678643609"/>
          <c:h val="0.95028247481704597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8000"/>
              </a:solidFill>
            </c:spPr>
            <c:extLst>
              <c:ext xmlns:c16="http://schemas.microsoft.com/office/drawing/2014/chart" uri="{C3380CC4-5D6E-409C-BE32-E72D297353CC}">
                <c16:uniqueId val="{00000001-E66D-453E-9582-69D25704E3FD}"/>
              </c:ext>
            </c:extLst>
          </c:dPt>
          <c:dPt>
            <c:idx val="1"/>
            <c:invertIfNegative val="0"/>
            <c:bubble3D val="0"/>
            <c:spPr>
              <a:solidFill>
                <a:srgbClr val="E31837"/>
              </a:solidFill>
            </c:spPr>
            <c:extLst>
              <c:ext xmlns:c16="http://schemas.microsoft.com/office/drawing/2014/chart" uri="{C3380CC4-5D6E-409C-BE32-E72D297353CC}">
                <c16:uniqueId val="{00000003-E66D-453E-9582-69D25704E3FD}"/>
              </c:ext>
            </c:extLst>
          </c:dPt>
          <c:dPt>
            <c:idx val="2"/>
            <c:invertIfNegative val="0"/>
            <c:bubble3D val="0"/>
            <c:spPr>
              <a:solidFill>
                <a:srgbClr val="660066"/>
              </a:solidFill>
            </c:spPr>
            <c:extLst>
              <c:ext xmlns:c16="http://schemas.microsoft.com/office/drawing/2014/chart" uri="{C3380CC4-5D6E-409C-BE32-E72D297353CC}">
                <c16:uniqueId val="{00000005-E66D-453E-9582-69D25704E3FD}"/>
              </c:ext>
            </c:extLst>
          </c:dPt>
          <c:dPt>
            <c:idx val="3"/>
            <c:invertIfNegative val="0"/>
            <c:bubble3D val="0"/>
            <c:spPr>
              <a:solidFill>
                <a:srgbClr val="ADAFB2"/>
              </a:solidFill>
            </c:spPr>
            <c:extLst>
              <c:ext xmlns:c16="http://schemas.microsoft.com/office/drawing/2014/chart" uri="{C3380CC4-5D6E-409C-BE32-E72D297353CC}">
                <c16:uniqueId val="{00000007-E66D-453E-9582-69D25704E3FD}"/>
              </c:ext>
            </c:extLst>
          </c:dPt>
          <c:dPt>
            <c:idx val="4"/>
            <c:invertIfNegative val="0"/>
            <c:bubble3D val="0"/>
            <c:spPr>
              <a:solidFill>
                <a:schemeClr val="tx1"/>
              </a:solidFill>
            </c:spPr>
            <c:extLst>
              <c:ext xmlns:c16="http://schemas.microsoft.com/office/drawing/2014/chart" uri="{C3380CC4-5D6E-409C-BE32-E72D297353CC}">
                <c16:uniqueId val="{00000009-E66D-453E-9582-69D25704E3FD}"/>
              </c:ext>
            </c:extLst>
          </c:dPt>
          <c:dPt>
            <c:idx val="5"/>
            <c:invertIfNegative val="0"/>
            <c:bubble3D val="0"/>
            <c:spPr>
              <a:solidFill>
                <a:srgbClr val="FFB547"/>
              </a:solidFill>
            </c:spPr>
            <c:extLst>
              <c:ext xmlns:c16="http://schemas.microsoft.com/office/drawing/2014/chart" uri="{C3380CC4-5D6E-409C-BE32-E72D297353CC}">
                <c16:uniqueId val="{0000000B-E66D-453E-9582-69D25704E3FD}"/>
              </c:ext>
            </c:extLst>
          </c:dPt>
          <c:cat>
            <c:strRef>
              <c:f>Arkusz1!$Q$50:$Q$55</c:f>
              <c:strCache>
                <c:ptCount val="6"/>
                <c:pt idx="0">
                  <c:v>świadczenia socjalne</c:v>
                </c:pt>
                <c:pt idx="1">
                  <c:v>koszty pracy</c:v>
                </c:pt>
                <c:pt idx="2">
                  <c:v>zużycie pośrednie</c:v>
                </c:pt>
                <c:pt idx="3">
                  <c:v>inwestycje</c:v>
                </c:pt>
                <c:pt idx="4">
                  <c:v>pozostałe</c:v>
                </c:pt>
                <c:pt idx="5">
                  <c:v>odsetki</c:v>
                </c:pt>
              </c:strCache>
            </c:strRef>
          </c:cat>
          <c:val>
            <c:numRef>
              <c:f>Arkusz1!$R$50:$R$55</c:f>
              <c:numCache>
                <c:formatCode>0.0%</c:formatCode>
                <c:ptCount val="6"/>
                <c:pt idx="0">
                  <c:v>0.4132103384544773</c:v>
                </c:pt>
                <c:pt idx="1">
                  <c:v>0.22636166559435464</c:v>
                </c:pt>
                <c:pt idx="2">
                  <c:v>0.12830862917535785</c:v>
                </c:pt>
                <c:pt idx="3">
                  <c:v>0.10404637305805649</c:v>
                </c:pt>
                <c:pt idx="4">
                  <c:v>8.0001311362546665E-2</c:v>
                </c:pt>
                <c:pt idx="5">
                  <c:v>4.8071682355207132E-2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66D-453E-9582-69D25704E3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904625056"/>
        <c:axId val="904634072"/>
      </c:barChart>
      <c:catAx>
        <c:axId val="904625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Lato" panose="020F0502020204030203" pitchFamily="34" charset="-18"/>
              </a:defRPr>
            </a:pPr>
            <a:endParaRPr lang="pl-PL"/>
          </a:p>
        </c:txPr>
        <c:crossAx val="904634072"/>
        <c:crosses val="autoZero"/>
        <c:auto val="1"/>
        <c:lblAlgn val="ctr"/>
        <c:lblOffset val="100"/>
        <c:noMultiLvlLbl val="0"/>
      </c:catAx>
      <c:valAx>
        <c:axId val="904634072"/>
        <c:scaling>
          <c:orientation val="minMax"/>
          <c:max val="0.45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Lato" panose="020F0502020204030203" pitchFamily="34" charset="-18"/>
              </a:defRPr>
            </a:pPr>
            <a:endParaRPr lang="pl-PL"/>
          </a:p>
        </c:txPr>
        <c:crossAx val="904625056"/>
        <c:crosses val="autoZero"/>
        <c:crossBetween val="between"/>
      </c:valAx>
    </c:plotArea>
    <c:plotVisOnly val="1"/>
    <c:dispBlanksAs val="gap"/>
    <c:showDLblsOverMax val="0"/>
  </c:chart>
  <c:spPr>
    <a:ln>
      <a:noFill/>
    </a:ln>
    <a:effectLst>
      <a:outerShdw blurRad="50800" dist="50800" dir="5400000" algn="ctr" rotWithShape="0">
        <a:schemeClr val="bg1"/>
      </a:outerShdw>
    </a:effectLst>
    <a:scene3d>
      <a:camera prst="orthographicFront"/>
      <a:lightRig rig="threePt" dir="t"/>
    </a:scene3d>
    <a:sp3d>
      <a:bevelT w="0" h="0"/>
    </a:sp3d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3715377174383746E-2"/>
          <c:y val="3.2364206450431102E-2"/>
          <c:w val="0.81372265966754154"/>
          <c:h val="0.82146330653259358"/>
        </c:manualLayout>
      </c:layout>
      <c:barChart>
        <c:barDir val="col"/>
        <c:grouping val="stacked"/>
        <c:varyColors val="0"/>
        <c:ser>
          <c:idx val="3"/>
          <c:order val="1"/>
          <c:tx>
            <c:strRef>
              <c:f>dane!$A$3</c:f>
              <c:strCache>
                <c:ptCount val="1"/>
                <c:pt idx="0">
                  <c:v>mld zł</c:v>
                </c:pt>
              </c:strCache>
            </c:strRef>
          </c:tx>
          <c:spPr>
            <a:solidFill>
              <a:srgbClr val="E31837"/>
            </a:solidFill>
            <a:ln w="25400">
              <a:noFill/>
            </a:ln>
          </c:spPr>
          <c:invertIfNegative val="0"/>
          <c:cat>
            <c:strRef>
              <c:f>dane!$B$1:$M$1</c:f>
              <c:strCache>
                <c:ptCount val="12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I kw.
2025</c:v>
                </c:pt>
                <c:pt idx="10">
                  <c:v>II kw.
2025</c:v>
                </c:pt>
                <c:pt idx="11">
                  <c:v>III kw.
2025</c:v>
                </c:pt>
              </c:strCache>
            </c:strRef>
          </c:cat>
          <c:val>
            <c:numRef>
              <c:f>dane!$B$3:$M$3</c:f>
              <c:numCache>
                <c:formatCode>0.0</c:formatCode>
                <c:ptCount val="12"/>
                <c:pt idx="0">
                  <c:v>1010.0218675759083</c:v>
                </c:pt>
                <c:pt idx="1">
                  <c:v>1007.289617289917</c:v>
                </c:pt>
                <c:pt idx="2">
                  <c:v>1035.8602763932663</c:v>
                </c:pt>
                <c:pt idx="3">
                  <c:v>1046.1518371711734</c:v>
                </c:pt>
                <c:pt idx="4">
                  <c:v>1337.0431032803742</c:v>
                </c:pt>
                <c:pt idx="5">
                  <c:v>1410.9660897979431</c:v>
                </c:pt>
                <c:pt idx="6">
                  <c:v>1512.8117018135563</c:v>
                </c:pt>
                <c:pt idx="7">
                  <c:v>1691.2615246461144</c:v>
                </c:pt>
                <c:pt idx="8">
                  <c:v>2012.6402146295368</c:v>
                </c:pt>
                <c:pt idx="9">
                  <c:v>2123.9321137937654</c:v>
                </c:pt>
                <c:pt idx="10">
                  <c:v>2186.1722689671101</c:v>
                </c:pt>
                <c:pt idx="11">
                  <c:v>2221.8288819066902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37-4D44-8475-54ECEF3CA6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100"/>
        <c:axId val="414294496"/>
        <c:axId val="414305080"/>
      </c:barChart>
      <c:lineChart>
        <c:grouping val="standard"/>
        <c:varyColors val="0"/>
        <c:ser>
          <c:idx val="1"/>
          <c:order val="0"/>
          <c:tx>
            <c:strRef>
              <c:f>dane!$A$2</c:f>
              <c:strCache>
                <c:ptCount val="1"/>
                <c:pt idx="0">
                  <c:v>% PKB</c:v>
                </c:pt>
              </c:strCache>
            </c:strRef>
          </c:tx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strRef>
              <c:f>dane!$B$1:$M$1</c:f>
              <c:strCache>
                <c:ptCount val="12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I kw.
2025</c:v>
                </c:pt>
                <c:pt idx="10">
                  <c:v>II kw.
2025</c:v>
                </c:pt>
                <c:pt idx="11">
                  <c:v>III kw.
2025</c:v>
                </c:pt>
              </c:strCache>
            </c:strRef>
          </c:cat>
          <c:val>
            <c:numRef>
              <c:f>dane!$B$2:$M$2</c:f>
              <c:numCache>
                <c:formatCode>0.0%</c:formatCode>
                <c:ptCount val="12"/>
                <c:pt idx="0">
                  <c:v>0.54128805953820469</c:v>
                </c:pt>
                <c:pt idx="1">
                  <c:v>0.5044428372134302</c:v>
                </c:pt>
                <c:pt idx="2">
                  <c:v>0.48233681634004411</c:v>
                </c:pt>
                <c:pt idx="3">
                  <c:v>0.45211060372689627</c:v>
                </c:pt>
                <c:pt idx="4">
                  <c:v>0.56584621044668848</c:v>
                </c:pt>
                <c:pt idx="5">
                  <c:v>0.5301358832910843</c:v>
                </c:pt>
                <c:pt idx="6">
                  <c:v>0.48787001970445465</c:v>
                </c:pt>
                <c:pt idx="7">
                  <c:v>0.49520525254698888</c:v>
                </c:pt>
                <c:pt idx="8">
                  <c:v>0.55089033541520349</c:v>
                </c:pt>
                <c:pt idx="9">
                  <c:v>0.57287393357653349</c:v>
                </c:pt>
                <c:pt idx="10">
                  <c:v>0.58074507572882483</c:v>
                </c:pt>
                <c:pt idx="11">
                  <c:v>0.58137143049677931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B37-4D44-8475-54ECEF3CA6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4292928"/>
        <c:axId val="414294888"/>
      </c:lineChart>
      <c:catAx>
        <c:axId val="4142944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Lato" panose="020F0502020204030203" pitchFamily="34" charset="-18"/>
                <a:ea typeface="Arial Narrow"/>
                <a:cs typeface="Arial Narrow"/>
              </a:defRPr>
            </a:pPr>
            <a:endParaRPr lang="pl-PL"/>
          </a:p>
        </c:txPr>
        <c:crossAx val="4143050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4305080"/>
        <c:scaling>
          <c:orientation val="minMax"/>
          <c:max val="2400"/>
          <c:min val="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Lato" panose="020F0502020204030203" pitchFamily="34" charset="-18"/>
                <a:ea typeface="Arial Narrow"/>
                <a:cs typeface="Arial Narrow"/>
              </a:defRPr>
            </a:pPr>
            <a:endParaRPr lang="pl-PL"/>
          </a:p>
        </c:txPr>
        <c:crossAx val="414294496"/>
        <c:crosses val="autoZero"/>
        <c:crossBetween val="between"/>
        <c:majorUnit val="200"/>
      </c:valAx>
      <c:catAx>
        <c:axId val="4142929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14294888"/>
        <c:crosses val="autoZero"/>
        <c:auto val="1"/>
        <c:lblAlgn val="ctr"/>
        <c:lblOffset val="100"/>
        <c:noMultiLvlLbl val="0"/>
      </c:catAx>
      <c:valAx>
        <c:axId val="414294888"/>
        <c:scaling>
          <c:orientation val="minMax"/>
          <c:max val="1"/>
        </c:scaling>
        <c:delete val="0"/>
        <c:axPos val="r"/>
        <c:numFmt formatCode="0%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Lato" panose="020F0502020204030203" pitchFamily="34" charset="-18"/>
                <a:ea typeface="Arial Narrow"/>
                <a:cs typeface="Arial Narrow"/>
              </a:defRPr>
            </a:pPr>
            <a:endParaRPr lang="pl-PL"/>
          </a:p>
        </c:txPr>
        <c:crossAx val="414292928"/>
        <c:crosses val="max"/>
        <c:crossBetween val="between"/>
        <c:majorUnit val="0.1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8.3768646121725854E-2"/>
          <c:y val="3.6921756296044404E-2"/>
          <c:w val="0.41030827226334843"/>
          <c:h val="8.0046262419384229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Lato" panose="020F0502020204030203" pitchFamily="34" charset="-18"/>
              <a:ea typeface="Arial Narrow"/>
              <a:cs typeface="Arial Narrow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Arial Narrow"/>
          <a:ea typeface="Arial Narrow"/>
          <a:cs typeface="Arial Narrow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4616251827581951E-2"/>
          <c:y val="6.7842454441552777E-2"/>
          <c:w val="0.90296499850270395"/>
          <c:h val="0.79331036451629566"/>
        </c:manualLayout>
      </c:layout>
      <c:lineChart>
        <c:grouping val="standard"/>
        <c:varyColors val="0"/>
        <c:ser>
          <c:idx val="0"/>
          <c:order val="0"/>
          <c:tx>
            <c:v>2L</c:v>
          </c:tx>
          <c:spPr>
            <a:ln w="25400">
              <a:solidFill>
                <a:srgbClr val="E31837"/>
              </a:solidFill>
              <a:prstDash val="solid"/>
            </a:ln>
          </c:spPr>
          <c:marker>
            <c:symbol val="none"/>
          </c:marker>
          <c:cat>
            <c:multiLvlStrRef>
              <c:f>dane!$A$227:$B$250</c:f>
              <c:multiLvlStrCache>
                <c:ptCount val="24"/>
                <c:lvl>
                  <c:pt idx="0">
                    <c:v>7m</c:v>
                  </c:pt>
                  <c:pt idx="1">
                    <c:v>8m</c:v>
                  </c:pt>
                  <c:pt idx="2">
                    <c:v>9m</c:v>
                  </c:pt>
                  <c:pt idx="3">
                    <c:v>10m</c:v>
                  </c:pt>
                  <c:pt idx="4">
                    <c:v>11m</c:v>
                  </c:pt>
                  <c:pt idx="5">
                    <c:v>12m</c:v>
                  </c:pt>
                  <c:pt idx="6">
                    <c:v>1m</c:v>
                  </c:pt>
                  <c:pt idx="7">
                    <c:v>2m</c:v>
                  </c:pt>
                  <c:pt idx="8">
                    <c:v>3m</c:v>
                  </c:pt>
                  <c:pt idx="9">
                    <c:v>4m</c:v>
                  </c:pt>
                  <c:pt idx="10">
                    <c:v>5m</c:v>
                  </c:pt>
                  <c:pt idx="11">
                    <c:v>6m</c:v>
                  </c:pt>
                  <c:pt idx="12">
                    <c:v>7m</c:v>
                  </c:pt>
                  <c:pt idx="13">
                    <c:v>8m</c:v>
                  </c:pt>
                  <c:pt idx="14">
                    <c:v>9m</c:v>
                  </c:pt>
                  <c:pt idx="15">
                    <c:v>10m</c:v>
                  </c:pt>
                  <c:pt idx="16">
                    <c:v>11m</c:v>
                  </c:pt>
                  <c:pt idx="17">
                    <c:v>12m</c:v>
                  </c:pt>
                  <c:pt idx="18">
                    <c:v>1m</c:v>
                  </c:pt>
                  <c:pt idx="19">
                    <c:v>2m</c:v>
                  </c:pt>
                  <c:pt idx="20">
                    <c:v>3m</c:v>
                  </c:pt>
                  <c:pt idx="21">
                    <c:v>4m</c:v>
                  </c:pt>
                  <c:pt idx="22">
                    <c:v>5m</c:v>
                  </c:pt>
                  <c:pt idx="23">
                    <c:v>6m</c:v>
                  </c:pt>
                </c:lvl>
                <c:lvl>
                  <c:pt idx="0">
                    <c:v>2023</c:v>
                  </c:pt>
                  <c:pt idx="6">
                    <c:v>2024</c:v>
                  </c:pt>
                  <c:pt idx="18">
                    <c:v>2025</c:v>
                  </c:pt>
                </c:lvl>
              </c:multiLvlStrCache>
            </c:multiLvlStrRef>
          </c:cat>
          <c:val>
            <c:numRef>
              <c:f>dzienne!$I$3719:$I$4221</c:f>
              <c:numCache>
                <c:formatCode>0.00%</c:formatCode>
                <c:ptCount val="503"/>
                <c:pt idx="0">
                  <c:v>5.0300000000000004E-2</c:v>
                </c:pt>
                <c:pt idx="1">
                  <c:v>4.9699999999999994E-2</c:v>
                </c:pt>
                <c:pt idx="2">
                  <c:v>5.2000000000000005E-2</c:v>
                </c:pt>
                <c:pt idx="3">
                  <c:v>5.1799999999999999E-2</c:v>
                </c:pt>
                <c:pt idx="4">
                  <c:v>5.2400000000000002E-2</c:v>
                </c:pt>
                <c:pt idx="5">
                  <c:v>5.2499999999999998E-2</c:v>
                </c:pt>
                <c:pt idx="6">
                  <c:v>5.1900000000000002E-2</c:v>
                </c:pt>
                <c:pt idx="7">
                  <c:v>5.21E-2</c:v>
                </c:pt>
                <c:pt idx="8">
                  <c:v>5.28E-2</c:v>
                </c:pt>
                <c:pt idx="9">
                  <c:v>5.28E-2</c:v>
                </c:pt>
                <c:pt idx="10">
                  <c:v>5.4600000000000003E-2</c:v>
                </c:pt>
                <c:pt idx="11">
                  <c:v>5.3600000000000002E-2</c:v>
                </c:pt>
                <c:pt idx="12">
                  <c:v>5.28E-2</c:v>
                </c:pt>
                <c:pt idx="13">
                  <c:v>5.2999999999999999E-2</c:v>
                </c:pt>
                <c:pt idx="14">
                  <c:v>5.3200000000000004E-2</c:v>
                </c:pt>
                <c:pt idx="15">
                  <c:v>5.3499999999999999E-2</c:v>
                </c:pt>
                <c:pt idx="16">
                  <c:v>5.33E-2</c:v>
                </c:pt>
                <c:pt idx="17">
                  <c:v>5.2000000000000005E-2</c:v>
                </c:pt>
                <c:pt idx="18">
                  <c:v>5.2000000000000005E-2</c:v>
                </c:pt>
                <c:pt idx="19">
                  <c:v>5.2400000000000002E-2</c:v>
                </c:pt>
                <c:pt idx="20">
                  <c:v>5.2300000000000006E-2</c:v>
                </c:pt>
                <c:pt idx="21">
                  <c:v>5.1500000000000004E-2</c:v>
                </c:pt>
                <c:pt idx="22">
                  <c:v>5.1699999999999996E-2</c:v>
                </c:pt>
                <c:pt idx="23">
                  <c:v>5.2199999999999996E-2</c:v>
                </c:pt>
                <c:pt idx="24">
                  <c:v>5.2000000000000005E-2</c:v>
                </c:pt>
                <c:pt idx="25">
                  <c:v>5.2000000000000005E-2</c:v>
                </c:pt>
                <c:pt idx="26">
                  <c:v>5.28E-2</c:v>
                </c:pt>
                <c:pt idx="27">
                  <c:v>5.3699999999999998E-2</c:v>
                </c:pt>
                <c:pt idx="28">
                  <c:v>5.3600000000000002E-2</c:v>
                </c:pt>
                <c:pt idx="29">
                  <c:v>5.45E-2</c:v>
                </c:pt>
                <c:pt idx="30">
                  <c:v>5.3899999999999997E-2</c:v>
                </c:pt>
                <c:pt idx="31">
                  <c:v>5.4199999999999998E-2</c:v>
                </c:pt>
                <c:pt idx="32">
                  <c:v>5.3200000000000004E-2</c:v>
                </c:pt>
                <c:pt idx="33">
                  <c:v>5.33E-2</c:v>
                </c:pt>
                <c:pt idx="34">
                  <c:v>5.3800000000000001E-2</c:v>
                </c:pt>
                <c:pt idx="35">
                  <c:v>5.4299999999999994E-2</c:v>
                </c:pt>
                <c:pt idx="36">
                  <c:v>5.3699999999999998E-2</c:v>
                </c:pt>
                <c:pt idx="37">
                  <c:v>5.5199999999999999E-2</c:v>
                </c:pt>
                <c:pt idx="38">
                  <c:v>5.4299999999999994E-2</c:v>
                </c:pt>
                <c:pt idx="39">
                  <c:v>5.4100000000000002E-2</c:v>
                </c:pt>
                <c:pt idx="40">
                  <c:v>5.3699999999999998E-2</c:v>
                </c:pt>
                <c:pt idx="41">
                  <c:v>5.3399999999999996E-2</c:v>
                </c:pt>
                <c:pt idx="42">
                  <c:v>5.3699999999999998E-2</c:v>
                </c:pt>
                <c:pt idx="43">
                  <c:v>5.3699999999999998E-2</c:v>
                </c:pt>
                <c:pt idx="44">
                  <c:v>5.3600000000000002E-2</c:v>
                </c:pt>
                <c:pt idx="45">
                  <c:v>5.3200000000000004E-2</c:v>
                </c:pt>
                <c:pt idx="46">
                  <c:v>5.2900000000000003E-2</c:v>
                </c:pt>
                <c:pt idx="47">
                  <c:v>5.16E-2</c:v>
                </c:pt>
                <c:pt idx="48">
                  <c:v>5.2400000000000002E-2</c:v>
                </c:pt>
                <c:pt idx="49">
                  <c:v>5.2400000000000002E-2</c:v>
                </c:pt>
                <c:pt idx="50">
                  <c:v>5.0599999999999999E-2</c:v>
                </c:pt>
                <c:pt idx="51">
                  <c:v>5.1399999999999994E-2</c:v>
                </c:pt>
                <c:pt idx="52">
                  <c:v>5.0499999999999996E-2</c:v>
                </c:pt>
                <c:pt idx="53">
                  <c:v>5.0499999999999996E-2</c:v>
                </c:pt>
                <c:pt idx="54">
                  <c:v>5.04E-2</c:v>
                </c:pt>
                <c:pt idx="55">
                  <c:v>5.0199999999999995E-2</c:v>
                </c:pt>
                <c:pt idx="56">
                  <c:v>4.9400000000000006E-2</c:v>
                </c:pt>
                <c:pt idx="57">
                  <c:v>5.1399999999999994E-2</c:v>
                </c:pt>
                <c:pt idx="58">
                  <c:v>5.0700000000000002E-2</c:v>
                </c:pt>
                <c:pt idx="59">
                  <c:v>5.0799999999999998E-2</c:v>
                </c:pt>
                <c:pt idx="60">
                  <c:v>5.0999999999999997E-2</c:v>
                </c:pt>
                <c:pt idx="61">
                  <c:v>5.0799999999999998E-2</c:v>
                </c:pt>
                <c:pt idx="62">
                  <c:v>5.1799999999999999E-2</c:v>
                </c:pt>
                <c:pt idx="63">
                  <c:v>5.0900000000000001E-2</c:v>
                </c:pt>
                <c:pt idx="64">
                  <c:v>5.0599999999999999E-2</c:v>
                </c:pt>
                <c:pt idx="65">
                  <c:v>4.99E-2</c:v>
                </c:pt>
                <c:pt idx="66">
                  <c:v>4.9100000000000005E-2</c:v>
                </c:pt>
                <c:pt idx="67">
                  <c:v>4.8600000000000004E-2</c:v>
                </c:pt>
                <c:pt idx="68">
                  <c:v>4.9299999999999997E-2</c:v>
                </c:pt>
                <c:pt idx="69">
                  <c:v>4.9800000000000004E-2</c:v>
                </c:pt>
                <c:pt idx="70">
                  <c:v>4.9500000000000002E-2</c:v>
                </c:pt>
                <c:pt idx="71">
                  <c:v>5.1699999999999996E-2</c:v>
                </c:pt>
                <c:pt idx="72">
                  <c:v>5.0999999999999997E-2</c:v>
                </c:pt>
                <c:pt idx="73">
                  <c:v>5.1200000000000002E-2</c:v>
                </c:pt>
                <c:pt idx="74">
                  <c:v>5.1100000000000007E-2</c:v>
                </c:pt>
                <c:pt idx="75">
                  <c:v>5.0849999999999999E-2</c:v>
                </c:pt>
                <c:pt idx="76">
                  <c:v>5.0499999999999996E-2</c:v>
                </c:pt>
                <c:pt idx="77">
                  <c:v>5.0300000000000004E-2</c:v>
                </c:pt>
                <c:pt idx="78">
                  <c:v>5.0799999999999998E-2</c:v>
                </c:pt>
                <c:pt idx="79">
                  <c:v>5.1299999999999998E-2</c:v>
                </c:pt>
                <c:pt idx="80">
                  <c:v>5.1299999999999998E-2</c:v>
                </c:pt>
                <c:pt idx="81">
                  <c:v>5.1299999999999998E-2</c:v>
                </c:pt>
                <c:pt idx="82">
                  <c:v>5.1299999999999998E-2</c:v>
                </c:pt>
                <c:pt idx="83">
                  <c:v>5.16E-2</c:v>
                </c:pt>
                <c:pt idx="84">
                  <c:v>5.1799999999999999E-2</c:v>
                </c:pt>
                <c:pt idx="85">
                  <c:v>5.1299999999999998E-2</c:v>
                </c:pt>
                <c:pt idx="86">
                  <c:v>5.1399999999999994E-2</c:v>
                </c:pt>
                <c:pt idx="87">
                  <c:v>5.1500000000000004E-2</c:v>
                </c:pt>
                <c:pt idx="88">
                  <c:v>5.1500000000000004E-2</c:v>
                </c:pt>
                <c:pt idx="89">
                  <c:v>5.1699999999999996E-2</c:v>
                </c:pt>
                <c:pt idx="90">
                  <c:v>5.0700000000000002E-2</c:v>
                </c:pt>
                <c:pt idx="91">
                  <c:v>0.05</c:v>
                </c:pt>
                <c:pt idx="92">
                  <c:v>0.05</c:v>
                </c:pt>
                <c:pt idx="93">
                  <c:v>5.0700000000000002E-2</c:v>
                </c:pt>
                <c:pt idx="94">
                  <c:v>5.0300000000000004E-2</c:v>
                </c:pt>
                <c:pt idx="95">
                  <c:v>5.0499999999999996E-2</c:v>
                </c:pt>
                <c:pt idx="96">
                  <c:v>5.0300000000000004E-2</c:v>
                </c:pt>
                <c:pt idx="97">
                  <c:v>4.99E-2</c:v>
                </c:pt>
                <c:pt idx="98">
                  <c:v>4.99E-2</c:v>
                </c:pt>
                <c:pt idx="99">
                  <c:v>5.0099999999999999E-2</c:v>
                </c:pt>
                <c:pt idx="100">
                  <c:v>4.99E-2</c:v>
                </c:pt>
                <c:pt idx="101">
                  <c:v>0.05</c:v>
                </c:pt>
                <c:pt idx="102">
                  <c:v>5.0199999999999995E-2</c:v>
                </c:pt>
                <c:pt idx="103">
                  <c:v>5.0300000000000004E-2</c:v>
                </c:pt>
                <c:pt idx="104">
                  <c:v>5.0700000000000002E-2</c:v>
                </c:pt>
                <c:pt idx="105">
                  <c:v>5.0700000000000002E-2</c:v>
                </c:pt>
                <c:pt idx="106">
                  <c:v>5.0199999999999995E-2</c:v>
                </c:pt>
                <c:pt idx="107">
                  <c:v>5.0199999999999995E-2</c:v>
                </c:pt>
                <c:pt idx="108">
                  <c:v>5.0599999999999999E-2</c:v>
                </c:pt>
                <c:pt idx="109">
                  <c:v>5.0900000000000001E-2</c:v>
                </c:pt>
                <c:pt idx="110">
                  <c:v>5.0999999999999997E-2</c:v>
                </c:pt>
                <c:pt idx="111">
                  <c:v>5.04E-2</c:v>
                </c:pt>
                <c:pt idx="112">
                  <c:v>5.0999999999999997E-2</c:v>
                </c:pt>
                <c:pt idx="113">
                  <c:v>5.1299999999999998E-2</c:v>
                </c:pt>
                <c:pt idx="114">
                  <c:v>5.16E-2</c:v>
                </c:pt>
                <c:pt idx="115">
                  <c:v>5.1200000000000002E-2</c:v>
                </c:pt>
                <c:pt idx="116">
                  <c:v>5.1699999999999996E-2</c:v>
                </c:pt>
                <c:pt idx="117">
                  <c:v>5.1699999999999996E-2</c:v>
                </c:pt>
                <c:pt idx="118">
                  <c:v>5.16E-2</c:v>
                </c:pt>
                <c:pt idx="119">
                  <c:v>5.1500000000000004E-2</c:v>
                </c:pt>
                <c:pt idx="120">
                  <c:v>5.2400000000000002E-2</c:v>
                </c:pt>
                <c:pt idx="121">
                  <c:v>5.2499999999999998E-2</c:v>
                </c:pt>
                <c:pt idx="122">
                  <c:v>5.2300000000000006E-2</c:v>
                </c:pt>
                <c:pt idx="123">
                  <c:v>5.16E-2</c:v>
                </c:pt>
                <c:pt idx="124">
                  <c:v>5.1699999999999996E-2</c:v>
                </c:pt>
                <c:pt idx="125">
                  <c:v>5.167999999999999E-2</c:v>
                </c:pt>
                <c:pt idx="126">
                  <c:v>5.21E-2</c:v>
                </c:pt>
                <c:pt idx="127">
                  <c:v>5.21E-2</c:v>
                </c:pt>
                <c:pt idx="128">
                  <c:v>5.1500000000000004E-2</c:v>
                </c:pt>
                <c:pt idx="129">
                  <c:v>5.1799999999999999E-2</c:v>
                </c:pt>
                <c:pt idx="130">
                  <c:v>5.2199999999999996E-2</c:v>
                </c:pt>
                <c:pt idx="131">
                  <c:v>5.2000000000000005E-2</c:v>
                </c:pt>
                <c:pt idx="132">
                  <c:v>5.2499999999999998E-2</c:v>
                </c:pt>
                <c:pt idx="133">
                  <c:v>5.2900000000000003E-2</c:v>
                </c:pt>
                <c:pt idx="134">
                  <c:v>5.28E-2</c:v>
                </c:pt>
                <c:pt idx="135">
                  <c:v>5.3600000000000002E-2</c:v>
                </c:pt>
                <c:pt idx="136">
                  <c:v>5.4199999999999998E-2</c:v>
                </c:pt>
                <c:pt idx="137">
                  <c:v>5.33E-2</c:v>
                </c:pt>
                <c:pt idx="138">
                  <c:v>5.2699999999999997E-2</c:v>
                </c:pt>
                <c:pt idx="139">
                  <c:v>5.3399999999999996E-2</c:v>
                </c:pt>
                <c:pt idx="140">
                  <c:v>5.2699999999999997E-2</c:v>
                </c:pt>
                <c:pt idx="141">
                  <c:v>5.2999999999999999E-2</c:v>
                </c:pt>
                <c:pt idx="142">
                  <c:v>5.28E-2</c:v>
                </c:pt>
                <c:pt idx="143">
                  <c:v>5.4299999999999994E-2</c:v>
                </c:pt>
                <c:pt idx="144">
                  <c:v>5.3200000000000004E-2</c:v>
                </c:pt>
                <c:pt idx="145">
                  <c:v>5.3499999999999999E-2</c:v>
                </c:pt>
                <c:pt idx="146">
                  <c:v>5.3800000000000001E-2</c:v>
                </c:pt>
                <c:pt idx="147">
                  <c:v>5.3699999999999998E-2</c:v>
                </c:pt>
                <c:pt idx="148">
                  <c:v>5.3499999999999999E-2</c:v>
                </c:pt>
                <c:pt idx="149">
                  <c:v>5.3499999999999999E-2</c:v>
                </c:pt>
                <c:pt idx="150">
                  <c:v>5.3800000000000001E-2</c:v>
                </c:pt>
                <c:pt idx="151">
                  <c:v>5.4100000000000002E-2</c:v>
                </c:pt>
                <c:pt idx="152">
                  <c:v>5.3960000000000001E-2</c:v>
                </c:pt>
                <c:pt idx="153">
                  <c:v>5.4199999999999998E-2</c:v>
                </c:pt>
                <c:pt idx="154">
                  <c:v>5.3800000000000001E-2</c:v>
                </c:pt>
                <c:pt idx="155">
                  <c:v>5.3499999999999999E-2</c:v>
                </c:pt>
                <c:pt idx="156">
                  <c:v>5.3499999999999999E-2</c:v>
                </c:pt>
                <c:pt idx="157">
                  <c:v>5.3699999999999998E-2</c:v>
                </c:pt>
                <c:pt idx="158">
                  <c:v>5.33E-2</c:v>
                </c:pt>
                <c:pt idx="159">
                  <c:v>5.3499999999999999E-2</c:v>
                </c:pt>
                <c:pt idx="160">
                  <c:v>5.4000000000000006E-2</c:v>
                </c:pt>
                <c:pt idx="161">
                  <c:v>5.4000000000000006E-2</c:v>
                </c:pt>
                <c:pt idx="162">
                  <c:v>5.3899999999999997E-2</c:v>
                </c:pt>
                <c:pt idx="163">
                  <c:v>5.3600000000000002E-2</c:v>
                </c:pt>
                <c:pt idx="164">
                  <c:v>5.33E-2</c:v>
                </c:pt>
                <c:pt idx="165">
                  <c:v>5.33E-2</c:v>
                </c:pt>
                <c:pt idx="166">
                  <c:v>5.2499999999999998E-2</c:v>
                </c:pt>
                <c:pt idx="167">
                  <c:v>5.21E-2</c:v>
                </c:pt>
                <c:pt idx="168">
                  <c:v>5.2000000000000005E-2</c:v>
                </c:pt>
                <c:pt idx="169">
                  <c:v>5.1500000000000004E-2</c:v>
                </c:pt>
                <c:pt idx="170">
                  <c:v>5.2000000000000005E-2</c:v>
                </c:pt>
                <c:pt idx="171">
                  <c:v>5.2400000000000002E-2</c:v>
                </c:pt>
                <c:pt idx="172">
                  <c:v>5.3099999999999994E-2</c:v>
                </c:pt>
                <c:pt idx="173">
                  <c:v>5.2900000000000003E-2</c:v>
                </c:pt>
                <c:pt idx="174">
                  <c:v>5.2000000000000005E-2</c:v>
                </c:pt>
                <c:pt idx="175">
                  <c:v>5.2400000000000002E-2</c:v>
                </c:pt>
                <c:pt idx="176">
                  <c:v>5.28E-2</c:v>
                </c:pt>
                <c:pt idx="177">
                  <c:v>5.3099999999999994E-2</c:v>
                </c:pt>
                <c:pt idx="178">
                  <c:v>5.2300000000000006E-2</c:v>
                </c:pt>
                <c:pt idx="179">
                  <c:v>5.21E-2</c:v>
                </c:pt>
                <c:pt idx="180">
                  <c:v>5.2000000000000005E-2</c:v>
                </c:pt>
                <c:pt idx="181">
                  <c:v>5.1900000000000002E-2</c:v>
                </c:pt>
                <c:pt idx="182">
                  <c:v>5.1699999999999996E-2</c:v>
                </c:pt>
                <c:pt idx="183">
                  <c:v>5.1299999999999998E-2</c:v>
                </c:pt>
                <c:pt idx="184">
                  <c:v>5.16E-2</c:v>
                </c:pt>
                <c:pt idx="185">
                  <c:v>5.1200000000000002E-2</c:v>
                </c:pt>
                <c:pt idx="186">
                  <c:v>5.1299999999999998E-2</c:v>
                </c:pt>
                <c:pt idx="187">
                  <c:v>5.1699999999999996E-2</c:v>
                </c:pt>
                <c:pt idx="188">
                  <c:v>5.16E-2</c:v>
                </c:pt>
                <c:pt idx="189">
                  <c:v>5.1699999999999996E-2</c:v>
                </c:pt>
                <c:pt idx="190">
                  <c:v>5.3200000000000004E-2</c:v>
                </c:pt>
                <c:pt idx="191">
                  <c:v>5.2999999999999999E-2</c:v>
                </c:pt>
                <c:pt idx="192">
                  <c:v>5.2699999999999997E-2</c:v>
                </c:pt>
                <c:pt idx="193">
                  <c:v>5.2600000000000001E-2</c:v>
                </c:pt>
                <c:pt idx="194">
                  <c:v>5.2400000000000002E-2</c:v>
                </c:pt>
                <c:pt idx="195">
                  <c:v>5.1900000000000002E-2</c:v>
                </c:pt>
                <c:pt idx="196">
                  <c:v>5.1900000000000002E-2</c:v>
                </c:pt>
                <c:pt idx="197">
                  <c:v>5.1699999999999996E-2</c:v>
                </c:pt>
                <c:pt idx="198">
                  <c:v>5.0900000000000001E-2</c:v>
                </c:pt>
                <c:pt idx="199">
                  <c:v>5.0700000000000002E-2</c:v>
                </c:pt>
                <c:pt idx="200">
                  <c:v>5.1399999999999994E-2</c:v>
                </c:pt>
                <c:pt idx="201">
                  <c:v>5.1399999999999994E-2</c:v>
                </c:pt>
                <c:pt idx="202">
                  <c:v>5.1200000000000002E-2</c:v>
                </c:pt>
                <c:pt idx="203">
                  <c:v>5.1299999999999998E-2</c:v>
                </c:pt>
                <c:pt idx="204">
                  <c:v>5.1200000000000002E-2</c:v>
                </c:pt>
                <c:pt idx="205">
                  <c:v>5.0999999999999997E-2</c:v>
                </c:pt>
                <c:pt idx="206">
                  <c:v>5.0999999999999997E-2</c:v>
                </c:pt>
                <c:pt idx="207">
                  <c:v>5.0499999999999996E-2</c:v>
                </c:pt>
                <c:pt idx="208">
                  <c:v>5.0499999999999996E-2</c:v>
                </c:pt>
                <c:pt idx="209">
                  <c:v>4.9500000000000002E-2</c:v>
                </c:pt>
                <c:pt idx="210">
                  <c:v>4.9100000000000005E-2</c:v>
                </c:pt>
                <c:pt idx="211">
                  <c:v>4.8300000000000003E-2</c:v>
                </c:pt>
                <c:pt idx="212">
                  <c:v>4.6799999999999994E-2</c:v>
                </c:pt>
                <c:pt idx="213">
                  <c:v>4.7400000000000005E-2</c:v>
                </c:pt>
                <c:pt idx="214">
                  <c:v>4.82E-2</c:v>
                </c:pt>
                <c:pt idx="215">
                  <c:v>4.9000000000000002E-2</c:v>
                </c:pt>
                <c:pt idx="216">
                  <c:v>4.8799999999999996E-2</c:v>
                </c:pt>
                <c:pt idx="217">
                  <c:v>4.8799999999999996E-2</c:v>
                </c:pt>
                <c:pt idx="218">
                  <c:v>4.8600000000000004E-2</c:v>
                </c:pt>
                <c:pt idx="219">
                  <c:v>4.8899999999999999E-2</c:v>
                </c:pt>
                <c:pt idx="220">
                  <c:v>0.05</c:v>
                </c:pt>
                <c:pt idx="221">
                  <c:v>0.05</c:v>
                </c:pt>
                <c:pt idx="222">
                  <c:v>4.9800000000000004E-2</c:v>
                </c:pt>
                <c:pt idx="223">
                  <c:v>4.9699999999999994E-2</c:v>
                </c:pt>
                <c:pt idx="224">
                  <c:v>4.9699999999999994E-2</c:v>
                </c:pt>
                <c:pt idx="225">
                  <c:v>4.9100000000000005E-2</c:v>
                </c:pt>
                <c:pt idx="226">
                  <c:v>4.8899999999999999E-2</c:v>
                </c:pt>
                <c:pt idx="227">
                  <c:v>4.8899999999999999E-2</c:v>
                </c:pt>
                <c:pt idx="228">
                  <c:v>5.0099999999999999E-2</c:v>
                </c:pt>
                <c:pt idx="229">
                  <c:v>4.9800000000000004E-2</c:v>
                </c:pt>
                <c:pt idx="230">
                  <c:v>4.8499999999999995E-2</c:v>
                </c:pt>
                <c:pt idx="231">
                  <c:v>4.8600000000000004E-2</c:v>
                </c:pt>
                <c:pt idx="232">
                  <c:v>4.8399999999999999E-2</c:v>
                </c:pt>
                <c:pt idx="233">
                  <c:v>4.8399999999999999E-2</c:v>
                </c:pt>
                <c:pt idx="234">
                  <c:v>4.7800000000000002E-2</c:v>
                </c:pt>
                <c:pt idx="235">
                  <c:v>4.7699999999999992E-2</c:v>
                </c:pt>
                <c:pt idx="236">
                  <c:v>4.7400000000000005E-2</c:v>
                </c:pt>
                <c:pt idx="237">
                  <c:v>4.7599999999999996E-2</c:v>
                </c:pt>
                <c:pt idx="238">
                  <c:v>4.6799999999999994E-2</c:v>
                </c:pt>
                <c:pt idx="239">
                  <c:v>4.6799999999999994E-2</c:v>
                </c:pt>
                <c:pt idx="240">
                  <c:v>4.6799999999999994E-2</c:v>
                </c:pt>
                <c:pt idx="241">
                  <c:v>4.6799999999999994E-2</c:v>
                </c:pt>
                <c:pt idx="242">
                  <c:v>4.7100000000000003E-2</c:v>
                </c:pt>
                <c:pt idx="243">
                  <c:v>4.6900000000000004E-2</c:v>
                </c:pt>
                <c:pt idx="244">
                  <c:v>4.7100000000000003E-2</c:v>
                </c:pt>
                <c:pt idx="245">
                  <c:v>4.7500000000000001E-2</c:v>
                </c:pt>
                <c:pt idx="246">
                  <c:v>4.7500000000000001E-2</c:v>
                </c:pt>
                <c:pt idx="247">
                  <c:v>4.7599999999999996E-2</c:v>
                </c:pt>
                <c:pt idx="248">
                  <c:v>4.7800000000000002E-2</c:v>
                </c:pt>
                <c:pt idx="249">
                  <c:v>4.7300000000000002E-2</c:v>
                </c:pt>
                <c:pt idx="250">
                  <c:v>4.7199999999999999E-2</c:v>
                </c:pt>
                <c:pt idx="251">
                  <c:v>4.7599999999999996E-2</c:v>
                </c:pt>
                <c:pt idx="252">
                  <c:v>4.7899999999999998E-2</c:v>
                </c:pt>
                <c:pt idx="253">
                  <c:v>4.82E-2</c:v>
                </c:pt>
                <c:pt idx="254">
                  <c:v>4.82E-2</c:v>
                </c:pt>
                <c:pt idx="255">
                  <c:v>4.9400000000000006E-2</c:v>
                </c:pt>
                <c:pt idx="256">
                  <c:v>4.9299999999999997E-2</c:v>
                </c:pt>
                <c:pt idx="257">
                  <c:v>4.9299999999999997E-2</c:v>
                </c:pt>
                <c:pt idx="258">
                  <c:v>4.9299999999999997E-2</c:v>
                </c:pt>
                <c:pt idx="259">
                  <c:v>4.9599999999999998E-2</c:v>
                </c:pt>
                <c:pt idx="260">
                  <c:v>4.9500000000000002E-2</c:v>
                </c:pt>
                <c:pt idx="261">
                  <c:v>4.9800000000000004E-2</c:v>
                </c:pt>
                <c:pt idx="262">
                  <c:v>4.9800000000000004E-2</c:v>
                </c:pt>
                <c:pt idx="263">
                  <c:v>4.99E-2</c:v>
                </c:pt>
                <c:pt idx="264">
                  <c:v>5.0799999999999998E-2</c:v>
                </c:pt>
                <c:pt idx="265">
                  <c:v>5.04E-2</c:v>
                </c:pt>
                <c:pt idx="266">
                  <c:v>5.0599999999999999E-2</c:v>
                </c:pt>
                <c:pt idx="267">
                  <c:v>5.0599999999999999E-2</c:v>
                </c:pt>
                <c:pt idx="268">
                  <c:v>5.0599999999999999E-2</c:v>
                </c:pt>
                <c:pt idx="269">
                  <c:v>5.0099999999999999E-2</c:v>
                </c:pt>
                <c:pt idx="270">
                  <c:v>4.99E-2</c:v>
                </c:pt>
                <c:pt idx="271">
                  <c:v>4.87E-2</c:v>
                </c:pt>
                <c:pt idx="272">
                  <c:v>4.9100000000000005E-2</c:v>
                </c:pt>
                <c:pt idx="273">
                  <c:v>4.9699999999999994E-2</c:v>
                </c:pt>
                <c:pt idx="274">
                  <c:v>5.1100000000000007E-2</c:v>
                </c:pt>
                <c:pt idx="275">
                  <c:v>5.04E-2</c:v>
                </c:pt>
                <c:pt idx="276">
                  <c:v>5.0300000000000004E-2</c:v>
                </c:pt>
                <c:pt idx="277">
                  <c:v>5.0499999999999996E-2</c:v>
                </c:pt>
                <c:pt idx="278">
                  <c:v>5.04E-2</c:v>
                </c:pt>
                <c:pt idx="279">
                  <c:v>4.9699999999999994E-2</c:v>
                </c:pt>
                <c:pt idx="280">
                  <c:v>5.04E-2</c:v>
                </c:pt>
                <c:pt idx="281">
                  <c:v>5.0499999999999996E-2</c:v>
                </c:pt>
                <c:pt idx="282">
                  <c:v>5.0599999999999999E-2</c:v>
                </c:pt>
                <c:pt idx="283">
                  <c:v>5.04E-2</c:v>
                </c:pt>
                <c:pt idx="284">
                  <c:v>5.0599999999999999E-2</c:v>
                </c:pt>
                <c:pt idx="285">
                  <c:v>4.99E-2</c:v>
                </c:pt>
                <c:pt idx="286">
                  <c:v>0.05</c:v>
                </c:pt>
                <c:pt idx="287">
                  <c:v>4.9800000000000004E-2</c:v>
                </c:pt>
                <c:pt idx="288">
                  <c:v>4.8799999999999996E-2</c:v>
                </c:pt>
                <c:pt idx="289">
                  <c:v>4.9200000000000001E-2</c:v>
                </c:pt>
                <c:pt idx="290">
                  <c:v>4.9500000000000002E-2</c:v>
                </c:pt>
                <c:pt idx="291">
                  <c:v>4.9500000000000002E-2</c:v>
                </c:pt>
                <c:pt idx="292">
                  <c:v>4.9100000000000005E-2</c:v>
                </c:pt>
                <c:pt idx="293">
                  <c:v>4.8300000000000003E-2</c:v>
                </c:pt>
                <c:pt idx="294">
                  <c:v>4.9400000000000006E-2</c:v>
                </c:pt>
                <c:pt idx="295">
                  <c:v>4.9200000000000001E-2</c:v>
                </c:pt>
                <c:pt idx="296">
                  <c:v>4.9200000000000001E-2</c:v>
                </c:pt>
                <c:pt idx="297">
                  <c:v>5.0499999999999996E-2</c:v>
                </c:pt>
                <c:pt idx="298">
                  <c:v>5.0799999999999998E-2</c:v>
                </c:pt>
                <c:pt idx="299">
                  <c:v>5.0900000000000001E-2</c:v>
                </c:pt>
                <c:pt idx="300">
                  <c:v>5.0799999999999998E-2</c:v>
                </c:pt>
                <c:pt idx="301">
                  <c:v>0.05</c:v>
                </c:pt>
                <c:pt idx="302">
                  <c:v>5.0099999999999999E-2</c:v>
                </c:pt>
                <c:pt idx="303">
                  <c:v>5.0999999999999997E-2</c:v>
                </c:pt>
                <c:pt idx="304">
                  <c:v>5.0999999999999997E-2</c:v>
                </c:pt>
                <c:pt idx="305">
                  <c:v>5.1399999999999994E-2</c:v>
                </c:pt>
                <c:pt idx="306">
                  <c:v>5.1299999999999998E-2</c:v>
                </c:pt>
                <c:pt idx="307">
                  <c:v>5.21E-2</c:v>
                </c:pt>
                <c:pt idx="308">
                  <c:v>5.1500000000000004E-2</c:v>
                </c:pt>
                <c:pt idx="309">
                  <c:v>5.1500000000000004E-2</c:v>
                </c:pt>
                <c:pt idx="310">
                  <c:v>5.1699999999999996E-2</c:v>
                </c:pt>
                <c:pt idx="311">
                  <c:v>5.16E-2</c:v>
                </c:pt>
                <c:pt idx="312">
                  <c:v>5.1799999999999999E-2</c:v>
                </c:pt>
                <c:pt idx="313">
                  <c:v>5.1900000000000002E-2</c:v>
                </c:pt>
                <c:pt idx="314">
                  <c:v>5.2499999999999998E-2</c:v>
                </c:pt>
                <c:pt idx="315">
                  <c:v>5.2300000000000006E-2</c:v>
                </c:pt>
                <c:pt idx="316">
                  <c:v>5.2300000000000006E-2</c:v>
                </c:pt>
                <c:pt idx="317">
                  <c:v>5.2000000000000005E-2</c:v>
                </c:pt>
                <c:pt idx="318">
                  <c:v>5.2199999999999996E-2</c:v>
                </c:pt>
                <c:pt idx="319">
                  <c:v>5.21E-2</c:v>
                </c:pt>
                <c:pt idx="320">
                  <c:v>5.28E-2</c:v>
                </c:pt>
                <c:pt idx="321">
                  <c:v>5.3499999999999999E-2</c:v>
                </c:pt>
                <c:pt idx="322">
                  <c:v>5.2499999999999998E-2</c:v>
                </c:pt>
                <c:pt idx="323">
                  <c:v>5.2300000000000006E-2</c:v>
                </c:pt>
                <c:pt idx="324">
                  <c:v>5.2699999999999997E-2</c:v>
                </c:pt>
                <c:pt idx="325">
                  <c:v>5.2900000000000003E-2</c:v>
                </c:pt>
                <c:pt idx="326">
                  <c:v>5.2600000000000001E-2</c:v>
                </c:pt>
                <c:pt idx="327">
                  <c:v>5.2000000000000005E-2</c:v>
                </c:pt>
                <c:pt idx="328">
                  <c:v>5.2300000000000006E-2</c:v>
                </c:pt>
                <c:pt idx="329">
                  <c:v>5.2199999999999996E-2</c:v>
                </c:pt>
                <c:pt idx="330">
                  <c:v>5.2199999999999996E-2</c:v>
                </c:pt>
                <c:pt idx="331">
                  <c:v>5.2400000000000002E-2</c:v>
                </c:pt>
                <c:pt idx="332">
                  <c:v>5.21E-2</c:v>
                </c:pt>
                <c:pt idx="333">
                  <c:v>5.2000000000000005E-2</c:v>
                </c:pt>
                <c:pt idx="334">
                  <c:v>5.2400000000000002E-2</c:v>
                </c:pt>
                <c:pt idx="335">
                  <c:v>5.28E-2</c:v>
                </c:pt>
                <c:pt idx="336">
                  <c:v>5.28E-2</c:v>
                </c:pt>
                <c:pt idx="337">
                  <c:v>5.28E-2</c:v>
                </c:pt>
                <c:pt idx="338">
                  <c:v>5.2699999999999997E-2</c:v>
                </c:pt>
                <c:pt idx="339">
                  <c:v>5.2400000000000002E-2</c:v>
                </c:pt>
                <c:pt idx="340">
                  <c:v>5.2400000000000002E-2</c:v>
                </c:pt>
                <c:pt idx="341">
                  <c:v>5.2600000000000001E-2</c:v>
                </c:pt>
                <c:pt idx="342">
                  <c:v>5.33E-2</c:v>
                </c:pt>
                <c:pt idx="343">
                  <c:v>5.2900000000000003E-2</c:v>
                </c:pt>
                <c:pt idx="344">
                  <c:v>5.28E-2</c:v>
                </c:pt>
                <c:pt idx="345">
                  <c:v>5.2499999999999998E-2</c:v>
                </c:pt>
                <c:pt idx="346">
                  <c:v>5.28E-2</c:v>
                </c:pt>
                <c:pt idx="347">
                  <c:v>5.2900000000000003E-2</c:v>
                </c:pt>
                <c:pt idx="348">
                  <c:v>5.3099999999999994E-2</c:v>
                </c:pt>
                <c:pt idx="349">
                  <c:v>5.2699999999999997E-2</c:v>
                </c:pt>
                <c:pt idx="350">
                  <c:v>5.2699999999999997E-2</c:v>
                </c:pt>
                <c:pt idx="351">
                  <c:v>5.2300000000000006E-2</c:v>
                </c:pt>
                <c:pt idx="352">
                  <c:v>5.2300000000000006E-2</c:v>
                </c:pt>
                <c:pt idx="353">
                  <c:v>5.2199999999999996E-2</c:v>
                </c:pt>
                <c:pt idx="354">
                  <c:v>5.2499999999999998E-2</c:v>
                </c:pt>
                <c:pt idx="355">
                  <c:v>5.2999999999999999E-2</c:v>
                </c:pt>
                <c:pt idx="356">
                  <c:v>5.2600000000000001E-2</c:v>
                </c:pt>
                <c:pt idx="357">
                  <c:v>5.2900000000000003E-2</c:v>
                </c:pt>
                <c:pt idx="358">
                  <c:v>5.2900000000000003E-2</c:v>
                </c:pt>
                <c:pt idx="359">
                  <c:v>5.3200000000000004E-2</c:v>
                </c:pt>
                <c:pt idx="360">
                  <c:v>5.2999999999999999E-2</c:v>
                </c:pt>
                <c:pt idx="361">
                  <c:v>5.3099999999999994E-2</c:v>
                </c:pt>
                <c:pt idx="362">
                  <c:v>5.3499999999999999E-2</c:v>
                </c:pt>
                <c:pt idx="363">
                  <c:v>5.3499999999999999E-2</c:v>
                </c:pt>
                <c:pt idx="364">
                  <c:v>5.21E-2</c:v>
                </c:pt>
                <c:pt idx="365">
                  <c:v>5.21E-2</c:v>
                </c:pt>
                <c:pt idx="366">
                  <c:v>5.1699999999999996E-2</c:v>
                </c:pt>
                <c:pt idx="367">
                  <c:v>5.16E-2</c:v>
                </c:pt>
                <c:pt idx="368">
                  <c:v>5.1100000000000007E-2</c:v>
                </c:pt>
                <c:pt idx="369">
                  <c:v>5.0999999999999997E-2</c:v>
                </c:pt>
                <c:pt idx="370">
                  <c:v>5.1100000000000007E-2</c:v>
                </c:pt>
                <c:pt idx="371">
                  <c:v>5.0999999999999997E-2</c:v>
                </c:pt>
                <c:pt idx="372">
                  <c:v>5.1100000000000007E-2</c:v>
                </c:pt>
                <c:pt idx="373">
                  <c:v>5.1500000000000004E-2</c:v>
                </c:pt>
                <c:pt idx="374">
                  <c:v>5.1100000000000007E-2</c:v>
                </c:pt>
                <c:pt idx="375">
                  <c:v>5.0599999999999999E-2</c:v>
                </c:pt>
                <c:pt idx="376">
                  <c:v>5.0300000000000004E-2</c:v>
                </c:pt>
                <c:pt idx="377">
                  <c:v>5.0199999999999995E-2</c:v>
                </c:pt>
                <c:pt idx="378">
                  <c:v>4.8600000000000004E-2</c:v>
                </c:pt>
                <c:pt idx="379">
                  <c:v>4.6089999999999999E-2</c:v>
                </c:pt>
                <c:pt idx="380">
                  <c:v>4.5999999999999999E-2</c:v>
                </c:pt>
                <c:pt idx="381">
                  <c:v>4.6500000000000007E-2</c:v>
                </c:pt>
                <c:pt idx="382">
                  <c:v>4.5899999999999996E-2</c:v>
                </c:pt>
                <c:pt idx="383">
                  <c:v>4.53E-2</c:v>
                </c:pt>
                <c:pt idx="384">
                  <c:v>4.4299999999999999E-2</c:v>
                </c:pt>
                <c:pt idx="385">
                  <c:v>4.4400000000000002E-2</c:v>
                </c:pt>
                <c:pt idx="386">
                  <c:v>4.4299999999999999E-2</c:v>
                </c:pt>
                <c:pt idx="387">
                  <c:v>4.4400000000000002E-2</c:v>
                </c:pt>
                <c:pt idx="388">
                  <c:v>4.4000000000000004E-2</c:v>
                </c:pt>
                <c:pt idx="389">
                  <c:v>4.4000000000000004E-2</c:v>
                </c:pt>
                <c:pt idx="390">
                  <c:v>4.2999999999999997E-2</c:v>
                </c:pt>
                <c:pt idx="391">
                  <c:v>4.4500000000000005E-2</c:v>
                </c:pt>
                <c:pt idx="392">
                  <c:v>4.36E-2</c:v>
                </c:pt>
                <c:pt idx="393">
                  <c:v>4.3700000000000003E-2</c:v>
                </c:pt>
                <c:pt idx="394">
                  <c:v>4.3299999999999998E-2</c:v>
                </c:pt>
                <c:pt idx="395">
                  <c:v>4.3499999999999997E-2</c:v>
                </c:pt>
                <c:pt idx="396">
                  <c:v>4.3700000000000003E-2</c:v>
                </c:pt>
                <c:pt idx="397">
                  <c:v>4.41E-2</c:v>
                </c:pt>
                <c:pt idx="398">
                  <c:v>4.3799999999999999E-2</c:v>
                </c:pt>
                <c:pt idx="399">
                  <c:v>4.4000000000000004E-2</c:v>
                </c:pt>
                <c:pt idx="400">
                  <c:v>4.4199999999999996E-2</c:v>
                </c:pt>
                <c:pt idx="401">
                  <c:v>4.5400000000000003E-2</c:v>
                </c:pt>
                <c:pt idx="402">
                  <c:v>4.5899999999999996E-2</c:v>
                </c:pt>
                <c:pt idx="403">
                  <c:v>4.6399999999999997E-2</c:v>
                </c:pt>
                <c:pt idx="404">
                  <c:v>4.6399999999999997E-2</c:v>
                </c:pt>
                <c:pt idx="405">
                  <c:v>4.6100000000000002E-2</c:v>
                </c:pt>
                <c:pt idx="406">
                  <c:v>4.6100000000000002E-2</c:v>
                </c:pt>
                <c:pt idx="407">
                  <c:v>4.6600000000000003E-2</c:v>
                </c:pt>
                <c:pt idx="408">
                  <c:v>4.7100000000000003E-2</c:v>
                </c:pt>
                <c:pt idx="409">
                  <c:v>4.6900000000000004E-2</c:v>
                </c:pt>
                <c:pt idx="410">
                  <c:v>4.6399999999999997E-2</c:v>
                </c:pt>
                <c:pt idx="411">
                  <c:v>4.6300000000000001E-2</c:v>
                </c:pt>
                <c:pt idx="412">
                  <c:v>4.5999999999999999E-2</c:v>
                </c:pt>
                <c:pt idx="413">
                  <c:v>4.6600000000000003E-2</c:v>
                </c:pt>
                <c:pt idx="414">
                  <c:v>4.6600000000000003E-2</c:v>
                </c:pt>
                <c:pt idx="415">
                  <c:v>4.6699999999999998E-2</c:v>
                </c:pt>
                <c:pt idx="416">
                  <c:v>4.5999999999999999E-2</c:v>
                </c:pt>
                <c:pt idx="417">
                  <c:v>4.5400000000000003E-2</c:v>
                </c:pt>
                <c:pt idx="418">
                  <c:v>4.5700000000000005E-2</c:v>
                </c:pt>
                <c:pt idx="419">
                  <c:v>4.5499999999999999E-2</c:v>
                </c:pt>
                <c:pt idx="420">
                  <c:v>4.5400000000000003E-2</c:v>
                </c:pt>
                <c:pt idx="421">
                  <c:v>4.5599999999999995E-2</c:v>
                </c:pt>
                <c:pt idx="422">
                  <c:v>4.6199999999999998E-2</c:v>
                </c:pt>
                <c:pt idx="423">
                  <c:v>4.6699999999999998E-2</c:v>
                </c:pt>
                <c:pt idx="424">
                  <c:v>4.6699999999999998E-2</c:v>
                </c:pt>
                <c:pt idx="425">
                  <c:v>4.6799999999999994E-2</c:v>
                </c:pt>
                <c:pt idx="426">
                  <c:v>4.6399999999999997E-2</c:v>
                </c:pt>
                <c:pt idx="427">
                  <c:v>4.6600000000000003E-2</c:v>
                </c:pt>
                <c:pt idx="428">
                  <c:v>4.6900000000000004E-2</c:v>
                </c:pt>
                <c:pt idx="429">
                  <c:v>4.6900000000000004E-2</c:v>
                </c:pt>
                <c:pt idx="430">
                  <c:v>4.6900000000000004E-2</c:v>
                </c:pt>
                <c:pt idx="431">
                  <c:v>4.6900000000000004E-2</c:v>
                </c:pt>
                <c:pt idx="432">
                  <c:v>4.6699999999999998E-2</c:v>
                </c:pt>
                <c:pt idx="433">
                  <c:v>4.5899999999999996E-2</c:v>
                </c:pt>
                <c:pt idx="434">
                  <c:v>4.5999999999999999E-2</c:v>
                </c:pt>
                <c:pt idx="435">
                  <c:v>4.5999999999999999E-2</c:v>
                </c:pt>
                <c:pt idx="436">
                  <c:v>4.6300000000000001E-2</c:v>
                </c:pt>
                <c:pt idx="437">
                  <c:v>4.5899999999999996E-2</c:v>
                </c:pt>
                <c:pt idx="438">
                  <c:v>4.58E-2</c:v>
                </c:pt>
                <c:pt idx="439">
                  <c:v>4.5199999999999997E-2</c:v>
                </c:pt>
                <c:pt idx="440">
                  <c:v>4.4800000000000006E-2</c:v>
                </c:pt>
                <c:pt idx="441">
                  <c:v>4.41E-2</c:v>
                </c:pt>
                <c:pt idx="442">
                  <c:v>4.4500000000000005E-2</c:v>
                </c:pt>
                <c:pt idx="443">
                  <c:v>4.4699999999999997E-2</c:v>
                </c:pt>
                <c:pt idx="444">
                  <c:v>4.4400000000000002E-2</c:v>
                </c:pt>
                <c:pt idx="445">
                  <c:v>4.4699999999999997E-2</c:v>
                </c:pt>
                <c:pt idx="446">
                  <c:v>4.4400000000000002E-2</c:v>
                </c:pt>
                <c:pt idx="447">
                  <c:v>4.4699999999999997E-2</c:v>
                </c:pt>
                <c:pt idx="448">
                  <c:v>4.4800000000000006E-2</c:v>
                </c:pt>
                <c:pt idx="449">
                  <c:v>4.4900000000000002E-2</c:v>
                </c:pt>
                <c:pt idx="450">
                  <c:v>4.4600000000000001E-2</c:v>
                </c:pt>
                <c:pt idx="451">
                  <c:v>4.4600000000000001E-2</c:v>
                </c:pt>
                <c:pt idx="452">
                  <c:v>4.4699999999999997E-2</c:v>
                </c:pt>
                <c:pt idx="453">
                  <c:v>4.3700000000000003E-2</c:v>
                </c:pt>
                <c:pt idx="454">
                  <c:v>4.2900000000000001E-2</c:v>
                </c:pt>
                <c:pt idx="455">
                  <c:v>4.3099999999999999E-2</c:v>
                </c:pt>
                <c:pt idx="456">
                  <c:v>4.3400000000000001E-2</c:v>
                </c:pt>
                <c:pt idx="457">
                  <c:v>4.2900000000000001E-2</c:v>
                </c:pt>
                <c:pt idx="458">
                  <c:v>4.24E-2</c:v>
                </c:pt>
                <c:pt idx="459">
                  <c:v>4.3400000000000001E-2</c:v>
                </c:pt>
                <c:pt idx="460">
                  <c:v>4.36E-2</c:v>
                </c:pt>
                <c:pt idx="461">
                  <c:v>4.3400000000000001E-2</c:v>
                </c:pt>
                <c:pt idx="462">
                  <c:v>4.3400000000000001E-2</c:v>
                </c:pt>
                <c:pt idx="463">
                  <c:v>4.3099999999999999E-2</c:v>
                </c:pt>
                <c:pt idx="464">
                  <c:v>4.3299999999999998E-2</c:v>
                </c:pt>
                <c:pt idx="465">
                  <c:v>4.2800000000000005E-2</c:v>
                </c:pt>
                <c:pt idx="466">
                  <c:v>4.3299999999999998E-2</c:v>
                </c:pt>
                <c:pt idx="467">
                  <c:v>4.2699999999999995E-2</c:v>
                </c:pt>
                <c:pt idx="468">
                  <c:v>4.3099999999999999E-2</c:v>
                </c:pt>
                <c:pt idx="469">
                  <c:v>4.2900000000000001E-2</c:v>
                </c:pt>
                <c:pt idx="470">
                  <c:v>4.2800000000000005E-2</c:v>
                </c:pt>
                <c:pt idx="471">
                  <c:v>4.2999999999999997E-2</c:v>
                </c:pt>
                <c:pt idx="472">
                  <c:v>4.3099999999999999E-2</c:v>
                </c:pt>
                <c:pt idx="473">
                  <c:v>4.3099999999999999E-2</c:v>
                </c:pt>
                <c:pt idx="474">
                  <c:v>4.2999999999999997E-2</c:v>
                </c:pt>
                <c:pt idx="475">
                  <c:v>4.2999999999999997E-2</c:v>
                </c:pt>
                <c:pt idx="476">
                  <c:v>4.2999999999999997E-2</c:v>
                </c:pt>
                <c:pt idx="477">
                  <c:v>4.2800000000000005E-2</c:v>
                </c:pt>
                <c:pt idx="478">
                  <c:v>4.3200000000000002E-2</c:v>
                </c:pt>
                <c:pt idx="479">
                  <c:v>4.3200000000000002E-2</c:v>
                </c:pt>
                <c:pt idx="480">
                  <c:v>4.3799999999999999E-2</c:v>
                </c:pt>
                <c:pt idx="481">
                  <c:v>4.3799999999999999E-2</c:v>
                </c:pt>
                <c:pt idx="482">
                  <c:v>4.3799999999999999E-2</c:v>
                </c:pt>
                <c:pt idx="483">
                  <c:v>4.41E-2</c:v>
                </c:pt>
                <c:pt idx="484">
                  <c:v>4.3899999999999995E-2</c:v>
                </c:pt>
                <c:pt idx="485">
                  <c:v>4.3200000000000002E-2</c:v>
                </c:pt>
                <c:pt idx="486">
                  <c:v>4.3400000000000001E-2</c:v>
                </c:pt>
                <c:pt idx="487">
                  <c:v>4.3400000000000001E-2</c:v>
                </c:pt>
                <c:pt idx="488">
                  <c:v>4.3499999999999997E-2</c:v>
                </c:pt>
                <c:pt idx="489">
                  <c:v>4.3299999999999998E-2</c:v>
                </c:pt>
                <c:pt idx="490">
                  <c:v>4.3200000000000002E-2</c:v>
                </c:pt>
                <c:pt idx="491">
                  <c:v>4.3099999999999999E-2</c:v>
                </c:pt>
                <c:pt idx="492">
                  <c:v>4.3299999999999998E-2</c:v>
                </c:pt>
                <c:pt idx="493">
                  <c:v>4.3499999999999997E-2</c:v>
                </c:pt>
                <c:pt idx="494">
                  <c:v>4.3499999999999997E-2</c:v>
                </c:pt>
                <c:pt idx="495">
                  <c:v>4.3499999999999997E-2</c:v>
                </c:pt>
                <c:pt idx="496">
                  <c:v>4.3099999999999999E-2</c:v>
                </c:pt>
                <c:pt idx="497">
                  <c:v>4.3099999999999999E-2</c:v>
                </c:pt>
                <c:pt idx="498">
                  <c:v>4.3099999999999999E-2</c:v>
                </c:pt>
                <c:pt idx="499">
                  <c:v>4.3200000000000002E-2</c:v>
                </c:pt>
                <c:pt idx="500">
                  <c:v>4.3200000000000002E-2</c:v>
                </c:pt>
                <c:pt idx="501">
                  <c:v>4.36E-2</c:v>
                </c:pt>
                <c:pt idx="502">
                  <c:v>4.2800000000000005E-2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D82-4B97-B730-631CB11DB556}"/>
            </c:ext>
          </c:extLst>
        </c:ser>
        <c:ser>
          <c:idx val="4"/>
          <c:order val="1"/>
          <c:tx>
            <c:v>5L</c:v>
          </c:tx>
          <c:spPr>
            <a:ln w="25400">
              <a:solidFill>
                <a:srgbClr val="008000"/>
              </a:solidFill>
              <a:prstDash val="solid"/>
            </a:ln>
          </c:spPr>
          <c:marker>
            <c:symbol val="none"/>
          </c:marker>
          <c:cat>
            <c:multiLvlStrRef>
              <c:f>dane!$A$227:$B$250</c:f>
              <c:multiLvlStrCache>
                <c:ptCount val="24"/>
                <c:lvl>
                  <c:pt idx="0">
                    <c:v>7m</c:v>
                  </c:pt>
                  <c:pt idx="1">
                    <c:v>8m</c:v>
                  </c:pt>
                  <c:pt idx="2">
                    <c:v>9m</c:v>
                  </c:pt>
                  <c:pt idx="3">
                    <c:v>10m</c:v>
                  </c:pt>
                  <c:pt idx="4">
                    <c:v>11m</c:v>
                  </c:pt>
                  <c:pt idx="5">
                    <c:v>12m</c:v>
                  </c:pt>
                  <c:pt idx="6">
                    <c:v>1m</c:v>
                  </c:pt>
                  <c:pt idx="7">
                    <c:v>2m</c:v>
                  </c:pt>
                  <c:pt idx="8">
                    <c:v>3m</c:v>
                  </c:pt>
                  <c:pt idx="9">
                    <c:v>4m</c:v>
                  </c:pt>
                  <c:pt idx="10">
                    <c:v>5m</c:v>
                  </c:pt>
                  <c:pt idx="11">
                    <c:v>6m</c:v>
                  </c:pt>
                  <c:pt idx="12">
                    <c:v>7m</c:v>
                  </c:pt>
                  <c:pt idx="13">
                    <c:v>8m</c:v>
                  </c:pt>
                  <c:pt idx="14">
                    <c:v>9m</c:v>
                  </c:pt>
                  <c:pt idx="15">
                    <c:v>10m</c:v>
                  </c:pt>
                  <c:pt idx="16">
                    <c:v>11m</c:v>
                  </c:pt>
                  <c:pt idx="17">
                    <c:v>12m</c:v>
                  </c:pt>
                  <c:pt idx="18">
                    <c:v>1m</c:v>
                  </c:pt>
                  <c:pt idx="19">
                    <c:v>2m</c:v>
                  </c:pt>
                  <c:pt idx="20">
                    <c:v>3m</c:v>
                  </c:pt>
                  <c:pt idx="21">
                    <c:v>4m</c:v>
                  </c:pt>
                  <c:pt idx="22">
                    <c:v>5m</c:v>
                  </c:pt>
                  <c:pt idx="23">
                    <c:v>6m</c:v>
                  </c:pt>
                </c:lvl>
                <c:lvl>
                  <c:pt idx="0">
                    <c:v>2023</c:v>
                  </c:pt>
                  <c:pt idx="6">
                    <c:v>2024</c:v>
                  </c:pt>
                  <c:pt idx="18">
                    <c:v>2025</c:v>
                  </c:pt>
                </c:lvl>
              </c:multiLvlStrCache>
            </c:multiLvlStrRef>
          </c:cat>
          <c:val>
            <c:numRef>
              <c:f>dzienne!$H$3719:$H$4221</c:f>
              <c:numCache>
                <c:formatCode>0.00%</c:formatCode>
                <c:ptCount val="503"/>
                <c:pt idx="0">
                  <c:v>5.2300000000000006E-2</c:v>
                </c:pt>
                <c:pt idx="1">
                  <c:v>5.21E-2</c:v>
                </c:pt>
                <c:pt idx="2">
                  <c:v>5.3699999999999998E-2</c:v>
                </c:pt>
                <c:pt idx="3">
                  <c:v>5.4400000000000004E-2</c:v>
                </c:pt>
                <c:pt idx="4">
                  <c:v>5.4800000000000001E-2</c:v>
                </c:pt>
                <c:pt idx="5">
                  <c:v>5.4800000000000001E-2</c:v>
                </c:pt>
                <c:pt idx="6">
                  <c:v>5.4199999999999998E-2</c:v>
                </c:pt>
                <c:pt idx="7">
                  <c:v>5.4000000000000006E-2</c:v>
                </c:pt>
                <c:pt idx="8">
                  <c:v>5.4199999999999998E-2</c:v>
                </c:pt>
                <c:pt idx="9">
                  <c:v>5.4199999999999998E-2</c:v>
                </c:pt>
                <c:pt idx="10">
                  <c:v>5.3800000000000001E-2</c:v>
                </c:pt>
                <c:pt idx="11">
                  <c:v>5.4100000000000002E-2</c:v>
                </c:pt>
                <c:pt idx="12">
                  <c:v>5.4100000000000002E-2</c:v>
                </c:pt>
                <c:pt idx="13">
                  <c:v>5.57E-2</c:v>
                </c:pt>
                <c:pt idx="14">
                  <c:v>5.5999999999999994E-2</c:v>
                </c:pt>
                <c:pt idx="15">
                  <c:v>5.7200000000000001E-2</c:v>
                </c:pt>
                <c:pt idx="16">
                  <c:v>5.6100000000000004E-2</c:v>
                </c:pt>
                <c:pt idx="17">
                  <c:v>5.5599999999999997E-2</c:v>
                </c:pt>
                <c:pt idx="18">
                  <c:v>5.4600000000000003E-2</c:v>
                </c:pt>
                <c:pt idx="19">
                  <c:v>5.4100000000000002E-2</c:v>
                </c:pt>
                <c:pt idx="20">
                  <c:v>5.3800000000000001E-2</c:v>
                </c:pt>
                <c:pt idx="21">
                  <c:v>5.2999999999999999E-2</c:v>
                </c:pt>
                <c:pt idx="22">
                  <c:v>5.2400000000000002E-2</c:v>
                </c:pt>
                <c:pt idx="23">
                  <c:v>5.1900000000000002E-2</c:v>
                </c:pt>
                <c:pt idx="24">
                  <c:v>5.2000000000000005E-2</c:v>
                </c:pt>
                <c:pt idx="25">
                  <c:v>5.21E-2</c:v>
                </c:pt>
                <c:pt idx="26">
                  <c:v>5.2699999999999997E-2</c:v>
                </c:pt>
                <c:pt idx="27">
                  <c:v>5.4100000000000002E-2</c:v>
                </c:pt>
                <c:pt idx="28">
                  <c:v>5.45E-2</c:v>
                </c:pt>
                <c:pt idx="29">
                  <c:v>5.5300000000000002E-2</c:v>
                </c:pt>
                <c:pt idx="30">
                  <c:v>5.4000000000000006E-2</c:v>
                </c:pt>
                <c:pt idx="31">
                  <c:v>5.4299999999999994E-2</c:v>
                </c:pt>
                <c:pt idx="32">
                  <c:v>5.3200000000000004E-2</c:v>
                </c:pt>
                <c:pt idx="33">
                  <c:v>5.3099999999999994E-2</c:v>
                </c:pt>
                <c:pt idx="34">
                  <c:v>5.3099999999999994E-2</c:v>
                </c:pt>
                <c:pt idx="35">
                  <c:v>5.2900000000000003E-2</c:v>
                </c:pt>
                <c:pt idx="36">
                  <c:v>5.3600000000000002E-2</c:v>
                </c:pt>
                <c:pt idx="37">
                  <c:v>5.4299999999999994E-2</c:v>
                </c:pt>
                <c:pt idx="38">
                  <c:v>5.4400000000000004E-2</c:v>
                </c:pt>
                <c:pt idx="39">
                  <c:v>5.4299999999999994E-2</c:v>
                </c:pt>
                <c:pt idx="40">
                  <c:v>5.4000000000000006E-2</c:v>
                </c:pt>
                <c:pt idx="41">
                  <c:v>5.3499999999999999E-2</c:v>
                </c:pt>
                <c:pt idx="42">
                  <c:v>5.3600000000000002E-2</c:v>
                </c:pt>
                <c:pt idx="43">
                  <c:v>5.2900000000000003E-2</c:v>
                </c:pt>
                <c:pt idx="44">
                  <c:v>5.2600000000000001E-2</c:v>
                </c:pt>
                <c:pt idx="45">
                  <c:v>5.1399999999999994E-2</c:v>
                </c:pt>
                <c:pt idx="46">
                  <c:v>5.0599999999999999E-2</c:v>
                </c:pt>
                <c:pt idx="47">
                  <c:v>5.04E-2</c:v>
                </c:pt>
                <c:pt idx="48">
                  <c:v>5.0700000000000002E-2</c:v>
                </c:pt>
                <c:pt idx="49">
                  <c:v>5.0900000000000001E-2</c:v>
                </c:pt>
                <c:pt idx="50">
                  <c:v>5.0700000000000002E-2</c:v>
                </c:pt>
                <c:pt idx="51">
                  <c:v>5.0499999999999996E-2</c:v>
                </c:pt>
                <c:pt idx="52">
                  <c:v>4.8899999999999999E-2</c:v>
                </c:pt>
                <c:pt idx="53">
                  <c:v>4.8000000000000001E-2</c:v>
                </c:pt>
                <c:pt idx="54">
                  <c:v>4.8899999999999999E-2</c:v>
                </c:pt>
                <c:pt idx="55">
                  <c:v>4.8099999999999997E-2</c:v>
                </c:pt>
                <c:pt idx="56">
                  <c:v>4.8000000000000001E-2</c:v>
                </c:pt>
                <c:pt idx="57">
                  <c:v>4.9500000000000002E-2</c:v>
                </c:pt>
                <c:pt idx="58">
                  <c:v>4.99E-2</c:v>
                </c:pt>
                <c:pt idx="59">
                  <c:v>0.05</c:v>
                </c:pt>
                <c:pt idx="60">
                  <c:v>5.0099999999999999E-2</c:v>
                </c:pt>
                <c:pt idx="61">
                  <c:v>5.0199999999999995E-2</c:v>
                </c:pt>
                <c:pt idx="62">
                  <c:v>5.1799999999999999E-2</c:v>
                </c:pt>
                <c:pt idx="63">
                  <c:v>5.16E-2</c:v>
                </c:pt>
                <c:pt idx="64">
                  <c:v>5.1200000000000002E-2</c:v>
                </c:pt>
                <c:pt idx="65">
                  <c:v>5.04E-2</c:v>
                </c:pt>
                <c:pt idx="66">
                  <c:v>4.9699999999999994E-2</c:v>
                </c:pt>
                <c:pt idx="67">
                  <c:v>4.8799999999999996E-2</c:v>
                </c:pt>
                <c:pt idx="68">
                  <c:v>4.9599999999999998E-2</c:v>
                </c:pt>
                <c:pt idx="69">
                  <c:v>4.9100000000000005E-2</c:v>
                </c:pt>
                <c:pt idx="70">
                  <c:v>4.87E-2</c:v>
                </c:pt>
                <c:pt idx="71">
                  <c:v>4.99E-2</c:v>
                </c:pt>
                <c:pt idx="72">
                  <c:v>5.0499999999999996E-2</c:v>
                </c:pt>
                <c:pt idx="73">
                  <c:v>5.0700000000000002E-2</c:v>
                </c:pt>
                <c:pt idx="74">
                  <c:v>5.0599999999999999E-2</c:v>
                </c:pt>
                <c:pt idx="75">
                  <c:v>5.1159999999999997E-2</c:v>
                </c:pt>
                <c:pt idx="76">
                  <c:v>5.04E-2</c:v>
                </c:pt>
                <c:pt idx="77">
                  <c:v>5.0900000000000001E-2</c:v>
                </c:pt>
                <c:pt idx="78">
                  <c:v>5.1799999999999999E-2</c:v>
                </c:pt>
                <c:pt idx="79">
                  <c:v>5.2199999999999996E-2</c:v>
                </c:pt>
                <c:pt idx="80">
                  <c:v>5.2300000000000006E-2</c:v>
                </c:pt>
                <c:pt idx="81">
                  <c:v>5.21E-2</c:v>
                </c:pt>
                <c:pt idx="82">
                  <c:v>5.1500000000000004E-2</c:v>
                </c:pt>
                <c:pt idx="83">
                  <c:v>5.0300000000000004E-2</c:v>
                </c:pt>
                <c:pt idx="84">
                  <c:v>4.99E-2</c:v>
                </c:pt>
                <c:pt idx="85">
                  <c:v>5.0799999999999998E-2</c:v>
                </c:pt>
                <c:pt idx="86">
                  <c:v>5.2199999999999996E-2</c:v>
                </c:pt>
                <c:pt idx="87">
                  <c:v>5.2000000000000005E-2</c:v>
                </c:pt>
                <c:pt idx="88">
                  <c:v>5.2000000000000005E-2</c:v>
                </c:pt>
                <c:pt idx="89">
                  <c:v>5.33E-2</c:v>
                </c:pt>
                <c:pt idx="90">
                  <c:v>5.2400000000000002E-2</c:v>
                </c:pt>
                <c:pt idx="91">
                  <c:v>5.2900000000000003E-2</c:v>
                </c:pt>
                <c:pt idx="92">
                  <c:v>5.2900000000000003E-2</c:v>
                </c:pt>
                <c:pt idx="93">
                  <c:v>5.2600000000000001E-2</c:v>
                </c:pt>
                <c:pt idx="94">
                  <c:v>5.1900000000000002E-2</c:v>
                </c:pt>
                <c:pt idx="95">
                  <c:v>5.2900000000000003E-2</c:v>
                </c:pt>
                <c:pt idx="96">
                  <c:v>5.2900000000000003E-2</c:v>
                </c:pt>
                <c:pt idx="97">
                  <c:v>5.2600000000000001E-2</c:v>
                </c:pt>
                <c:pt idx="98">
                  <c:v>5.2400000000000002E-2</c:v>
                </c:pt>
                <c:pt idx="99">
                  <c:v>5.2000000000000005E-2</c:v>
                </c:pt>
                <c:pt idx="100">
                  <c:v>5.1699999999999996E-2</c:v>
                </c:pt>
                <c:pt idx="101">
                  <c:v>5.16E-2</c:v>
                </c:pt>
                <c:pt idx="102">
                  <c:v>5.21E-2</c:v>
                </c:pt>
                <c:pt idx="103">
                  <c:v>5.2300000000000006E-2</c:v>
                </c:pt>
                <c:pt idx="104">
                  <c:v>5.21E-2</c:v>
                </c:pt>
                <c:pt idx="105">
                  <c:v>5.1900000000000002E-2</c:v>
                </c:pt>
                <c:pt idx="106">
                  <c:v>5.1399999999999994E-2</c:v>
                </c:pt>
                <c:pt idx="107">
                  <c:v>5.1100000000000007E-2</c:v>
                </c:pt>
                <c:pt idx="108">
                  <c:v>5.1200000000000002E-2</c:v>
                </c:pt>
                <c:pt idx="109">
                  <c:v>5.1900000000000002E-2</c:v>
                </c:pt>
                <c:pt idx="110">
                  <c:v>5.1500000000000004E-2</c:v>
                </c:pt>
                <c:pt idx="111">
                  <c:v>5.1699999999999996E-2</c:v>
                </c:pt>
                <c:pt idx="112">
                  <c:v>5.2400000000000002E-2</c:v>
                </c:pt>
                <c:pt idx="113">
                  <c:v>5.2600000000000001E-2</c:v>
                </c:pt>
                <c:pt idx="114">
                  <c:v>5.3200000000000004E-2</c:v>
                </c:pt>
                <c:pt idx="115">
                  <c:v>5.2900000000000003E-2</c:v>
                </c:pt>
                <c:pt idx="116">
                  <c:v>5.3899999999999997E-2</c:v>
                </c:pt>
                <c:pt idx="117">
                  <c:v>5.3600000000000002E-2</c:v>
                </c:pt>
                <c:pt idx="118">
                  <c:v>5.3600000000000002E-2</c:v>
                </c:pt>
                <c:pt idx="119">
                  <c:v>5.3800000000000001E-2</c:v>
                </c:pt>
                <c:pt idx="120">
                  <c:v>5.4299999999999994E-2</c:v>
                </c:pt>
                <c:pt idx="121">
                  <c:v>5.4800000000000001E-2</c:v>
                </c:pt>
                <c:pt idx="122">
                  <c:v>5.4600000000000003E-2</c:v>
                </c:pt>
                <c:pt idx="123">
                  <c:v>5.3899999999999997E-2</c:v>
                </c:pt>
                <c:pt idx="124">
                  <c:v>5.3499999999999999E-2</c:v>
                </c:pt>
                <c:pt idx="125">
                  <c:v>5.3440000000000001E-2</c:v>
                </c:pt>
                <c:pt idx="126">
                  <c:v>5.3899999999999997E-2</c:v>
                </c:pt>
                <c:pt idx="127">
                  <c:v>5.3899999999999997E-2</c:v>
                </c:pt>
                <c:pt idx="128">
                  <c:v>5.33E-2</c:v>
                </c:pt>
                <c:pt idx="129">
                  <c:v>5.3800000000000001E-2</c:v>
                </c:pt>
                <c:pt idx="130">
                  <c:v>5.4600000000000003E-2</c:v>
                </c:pt>
                <c:pt idx="131">
                  <c:v>5.4400000000000004E-2</c:v>
                </c:pt>
                <c:pt idx="132">
                  <c:v>5.5199999999999999E-2</c:v>
                </c:pt>
                <c:pt idx="133">
                  <c:v>5.5800000000000002E-2</c:v>
                </c:pt>
                <c:pt idx="134">
                  <c:v>5.5399999999999998E-2</c:v>
                </c:pt>
                <c:pt idx="135">
                  <c:v>5.6299999999999996E-2</c:v>
                </c:pt>
                <c:pt idx="136">
                  <c:v>5.7000000000000002E-2</c:v>
                </c:pt>
                <c:pt idx="137">
                  <c:v>5.6299999999999996E-2</c:v>
                </c:pt>
                <c:pt idx="138">
                  <c:v>5.57E-2</c:v>
                </c:pt>
                <c:pt idx="139">
                  <c:v>5.6900000000000006E-2</c:v>
                </c:pt>
                <c:pt idx="140">
                  <c:v>5.6100000000000004E-2</c:v>
                </c:pt>
                <c:pt idx="141">
                  <c:v>5.5899999999999998E-2</c:v>
                </c:pt>
                <c:pt idx="142">
                  <c:v>5.5899999999999998E-2</c:v>
                </c:pt>
                <c:pt idx="143">
                  <c:v>5.6799999999999996E-2</c:v>
                </c:pt>
                <c:pt idx="144">
                  <c:v>5.5999999999999994E-2</c:v>
                </c:pt>
                <c:pt idx="145">
                  <c:v>5.5800000000000002E-2</c:v>
                </c:pt>
                <c:pt idx="146">
                  <c:v>5.5800000000000002E-2</c:v>
                </c:pt>
                <c:pt idx="147">
                  <c:v>5.5899999999999998E-2</c:v>
                </c:pt>
                <c:pt idx="148">
                  <c:v>5.4699999999999999E-2</c:v>
                </c:pt>
                <c:pt idx="149">
                  <c:v>5.4400000000000004E-2</c:v>
                </c:pt>
                <c:pt idx="150">
                  <c:v>5.4600000000000003E-2</c:v>
                </c:pt>
                <c:pt idx="151">
                  <c:v>5.4800000000000001E-2</c:v>
                </c:pt>
                <c:pt idx="152">
                  <c:v>5.4870000000000002E-2</c:v>
                </c:pt>
                <c:pt idx="153">
                  <c:v>5.5300000000000002E-2</c:v>
                </c:pt>
                <c:pt idx="154">
                  <c:v>5.5999999999999994E-2</c:v>
                </c:pt>
                <c:pt idx="155">
                  <c:v>5.5099999999999996E-2</c:v>
                </c:pt>
                <c:pt idx="156">
                  <c:v>5.4800000000000001E-2</c:v>
                </c:pt>
                <c:pt idx="157">
                  <c:v>5.5199999999999999E-2</c:v>
                </c:pt>
                <c:pt idx="158">
                  <c:v>5.5E-2</c:v>
                </c:pt>
                <c:pt idx="159">
                  <c:v>5.4900000000000004E-2</c:v>
                </c:pt>
                <c:pt idx="160">
                  <c:v>5.5099999999999996E-2</c:v>
                </c:pt>
                <c:pt idx="161">
                  <c:v>5.6100000000000004E-2</c:v>
                </c:pt>
                <c:pt idx="162">
                  <c:v>5.6900000000000006E-2</c:v>
                </c:pt>
                <c:pt idx="163">
                  <c:v>5.6900000000000006E-2</c:v>
                </c:pt>
                <c:pt idx="164">
                  <c:v>5.7200000000000001E-2</c:v>
                </c:pt>
                <c:pt idx="165">
                  <c:v>5.6600000000000004E-2</c:v>
                </c:pt>
                <c:pt idx="166">
                  <c:v>5.5800000000000002E-2</c:v>
                </c:pt>
                <c:pt idx="167">
                  <c:v>5.5300000000000002E-2</c:v>
                </c:pt>
                <c:pt idx="168">
                  <c:v>5.4800000000000001E-2</c:v>
                </c:pt>
                <c:pt idx="169">
                  <c:v>5.4699999999999999E-2</c:v>
                </c:pt>
                <c:pt idx="170">
                  <c:v>5.5099999999999996E-2</c:v>
                </c:pt>
                <c:pt idx="171">
                  <c:v>5.5500000000000001E-2</c:v>
                </c:pt>
                <c:pt idx="172">
                  <c:v>5.62E-2</c:v>
                </c:pt>
                <c:pt idx="173">
                  <c:v>5.6799999999999996E-2</c:v>
                </c:pt>
                <c:pt idx="174">
                  <c:v>5.5999999999999994E-2</c:v>
                </c:pt>
                <c:pt idx="175">
                  <c:v>5.5999999999999994E-2</c:v>
                </c:pt>
                <c:pt idx="176">
                  <c:v>5.6600000000000004E-2</c:v>
                </c:pt>
                <c:pt idx="177">
                  <c:v>5.6900000000000006E-2</c:v>
                </c:pt>
                <c:pt idx="178">
                  <c:v>5.62E-2</c:v>
                </c:pt>
                <c:pt idx="179">
                  <c:v>5.6299999999999996E-2</c:v>
                </c:pt>
                <c:pt idx="180">
                  <c:v>5.6399999999999999E-2</c:v>
                </c:pt>
                <c:pt idx="181">
                  <c:v>5.5800000000000002E-2</c:v>
                </c:pt>
                <c:pt idx="182">
                  <c:v>5.5599999999999997E-2</c:v>
                </c:pt>
                <c:pt idx="183">
                  <c:v>5.5399999999999998E-2</c:v>
                </c:pt>
                <c:pt idx="184">
                  <c:v>5.57E-2</c:v>
                </c:pt>
                <c:pt idx="185">
                  <c:v>5.5500000000000001E-2</c:v>
                </c:pt>
                <c:pt idx="186">
                  <c:v>5.5500000000000001E-2</c:v>
                </c:pt>
                <c:pt idx="187">
                  <c:v>5.62E-2</c:v>
                </c:pt>
                <c:pt idx="188">
                  <c:v>5.62E-2</c:v>
                </c:pt>
                <c:pt idx="189">
                  <c:v>5.6100000000000004E-2</c:v>
                </c:pt>
                <c:pt idx="190">
                  <c:v>5.6900000000000006E-2</c:v>
                </c:pt>
                <c:pt idx="191">
                  <c:v>5.7300000000000004E-2</c:v>
                </c:pt>
                <c:pt idx="192">
                  <c:v>5.67E-2</c:v>
                </c:pt>
                <c:pt idx="193">
                  <c:v>5.6900000000000006E-2</c:v>
                </c:pt>
                <c:pt idx="194">
                  <c:v>5.6299999999999996E-2</c:v>
                </c:pt>
                <c:pt idx="195">
                  <c:v>5.5399999999999998E-2</c:v>
                </c:pt>
                <c:pt idx="196">
                  <c:v>5.5300000000000002E-2</c:v>
                </c:pt>
                <c:pt idx="197">
                  <c:v>5.5E-2</c:v>
                </c:pt>
                <c:pt idx="198">
                  <c:v>5.4199999999999998E-2</c:v>
                </c:pt>
                <c:pt idx="199">
                  <c:v>5.4000000000000006E-2</c:v>
                </c:pt>
                <c:pt idx="200">
                  <c:v>5.4400000000000004E-2</c:v>
                </c:pt>
                <c:pt idx="201">
                  <c:v>5.5300000000000002E-2</c:v>
                </c:pt>
                <c:pt idx="202">
                  <c:v>5.4900000000000004E-2</c:v>
                </c:pt>
                <c:pt idx="203">
                  <c:v>5.5E-2</c:v>
                </c:pt>
                <c:pt idx="204">
                  <c:v>5.4400000000000004E-2</c:v>
                </c:pt>
                <c:pt idx="205">
                  <c:v>5.4299999999999994E-2</c:v>
                </c:pt>
                <c:pt idx="206">
                  <c:v>5.45E-2</c:v>
                </c:pt>
                <c:pt idx="207">
                  <c:v>5.4199999999999998E-2</c:v>
                </c:pt>
                <c:pt idx="208">
                  <c:v>5.4000000000000006E-2</c:v>
                </c:pt>
                <c:pt idx="209">
                  <c:v>5.2400000000000002E-2</c:v>
                </c:pt>
                <c:pt idx="210">
                  <c:v>5.1799999999999999E-2</c:v>
                </c:pt>
                <c:pt idx="211">
                  <c:v>5.0900000000000001E-2</c:v>
                </c:pt>
                <c:pt idx="212">
                  <c:v>4.9100000000000005E-2</c:v>
                </c:pt>
                <c:pt idx="213">
                  <c:v>4.9400000000000006E-2</c:v>
                </c:pt>
                <c:pt idx="214">
                  <c:v>5.0199999999999995E-2</c:v>
                </c:pt>
                <c:pt idx="215">
                  <c:v>5.0499999999999996E-2</c:v>
                </c:pt>
                <c:pt idx="216">
                  <c:v>0.05</c:v>
                </c:pt>
                <c:pt idx="217">
                  <c:v>5.0300000000000004E-2</c:v>
                </c:pt>
                <c:pt idx="218">
                  <c:v>4.9800000000000004E-2</c:v>
                </c:pt>
                <c:pt idx="219">
                  <c:v>4.9800000000000004E-2</c:v>
                </c:pt>
                <c:pt idx="220">
                  <c:v>5.1500000000000004E-2</c:v>
                </c:pt>
                <c:pt idx="221">
                  <c:v>5.1699999999999996E-2</c:v>
                </c:pt>
                <c:pt idx="222">
                  <c:v>5.1200000000000002E-2</c:v>
                </c:pt>
                <c:pt idx="223">
                  <c:v>5.0799999999999998E-2</c:v>
                </c:pt>
                <c:pt idx="224">
                  <c:v>5.0900000000000001E-2</c:v>
                </c:pt>
                <c:pt idx="225">
                  <c:v>5.0700000000000002E-2</c:v>
                </c:pt>
                <c:pt idx="226">
                  <c:v>5.0700000000000002E-2</c:v>
                </c:pt>
                <c:pt idx="227">
                  <c:v>5.1299999999999998E-2</c:v>
                </c:pt>
                <c:pt idx="228">
                  <c:v>5.2300000000000006E-2</c:v>
                </c:pt>
                <c:pt idx="229">
                  <c:v>5.2499999999999998E-2</c:v>
                </c:pt>
                <c:pt idx="230">
                  <c:v>5.1900000000000002E-2</c:v>
                </c:pt>
                <c:pt idx="231">
                  <c:v>5.2499999999999998E-2</c:v>
                </c:pt>
                <c:pt idx="232">
                  <c:v>5.1900000000000002E-2</c:v>
                </c:pt>
                <c:pt idx="233">
                  <c:v>5.1900000000000002E-2</c:v>
                </c:pt>
                <c:pt idx="234">
                  <c:v>5.1200000000000002E-2</c:v>
                </c:pt>
                <c:pt idx="235">
                  <c:v>5.0799999999999998E-2</c:v>
                </c:pt>
                <c:pt idx="236">
                  <c:v>5.0700000000000002E-2</c:v>
                </c:pt>
                <c:pt idx="237">
                  <c:v>5.04E-2</c:v>
                </c:pt>
                <c:pt idx="238">
                  <c:v>4.9500000000000002E-2</c:v>
                </c:pt>
                <c:pt idx="239">
                  <c:v>4.9599999999999998E-2</c:v>
                </c:pt>
                <c:pt idx="240">
                  <c:v>4.9800000000000004E-2</c:v>
                </c:pt>
                <c:pt idx="241">
                  <c:v>4.9500000000000002E-2</c:v>
                </c:pt>
                <c:pt idx="242">
                  <c:v>4.9699999999999994E-2</c:v>
                </c:pt>
                <c:pt idx="243">
                  <c:v>4.9800000000000004E-2</c:v>
                </c:pt>
                <c:pt idx="244">
                  <c:v>4.9500000000000002E-2</c:v>
                </c:pt>
                <c:pt idx="245">
                  <c:v>5.0300000000000004E-2</c:v>
                </c:pt>
                <c:pt idx="246">
                  <c:v>5.0499999999999996E-2</c:v>
                </c:pt>
                <c:pt idx="247">
                  <c:v>5.0300000000000004E-2</c:v>
                </c:pt>
                <c:pt idx="248">
                  <c:v>5.04E-2</c:v>
                </c:pt>
                <c:pt idx="249">
                  <c:v>4.99E-2</c:v>
                </c:pt>
                <c:pt idx="250">
                  <c:v>4.9200000000000001E-2</c:v>
                </c:pt>
                <c:pt idx="251">
                  <c:v>4.9299999999999997E-2</c:v>
                </c:pt>
                <c:pt idx="252">
                  <c:v>4.9500000000000002E-2</c:v>
                </c:pt>
                <c:pt idx="253">
                  <c:v>5.0300000000000004E-2</c:v>
                </c:pt>
                <c:pt idx="254">
                  <c:v>5.04E-2</c:v>
                </c:pt>
                <c:pt idx="255">
                  <c:v>5.21E-2</c:v>
                </c:pt>
                <c:pt idx="256">
                  <c:v>5.2000000000000005E-2</c:v>
                </c:pt>
                <c:pt idx="257">
                  <c:v>5.1900000000000002E-2</c:v>
                </c:pt>
                <c:pt idx="258">
                  <c:v>5.21E-2</c:v>
                </c:pt>
                <c:pt idx="259">
                  <c:v>5.2199999999999996E-2</c:v>
                </c:pt>
                <c:pt idx="260">
                  <c:v>5.28E-2</c:v>
                </c:pt>
                <c:pt idx="261">
                  <c:v>5.3600000000000002E-2</c:v>
                </c:pt>
                <c:pt idx="262">
                  <c:v>5.2499999999999998E-2</c:v>
                </c:pt>
                <c:pt idx="263">
                  <c:v>5.2900000000000003E-2</c:v>
                </c:pt>
                <c:pt idx="264">
                  <c:v>5.4100000000000002E-2</c:v>
                </c:pt>
                <c:pt idx="265">
                  <c:v>5.3499999999999999E-2</c:v>
                </c:pt>
                <c:pt idx="266">
                  <c:v>5.4199999999999998E-2</c:v>
                </c:pt>
                <c:pt idx="267">
                  <c:v>5.4699999999999999E-2</c:v>
                </c:pt>
                <c:pt idx="268">
                  <c:v>5.5300000000000002E-2</c:v>
                </c:pt>
                <c:pt idx="269">
                  <c:v>5.45E-2</c:v>
                </c:pt>
                <c:pt idx="270">
                  <c:v>5.4400000000000004E-2</c:v>
                </c:pt>
                <c:pt idx="271">
                  <c:v>5.4800000000000001E-2</c:v>
                </c:pt>
                <c:pt idx="272">
                  <c:v>5.5999999999999994E-2</c:v>
                </c:pt>
                <c:pt idx="273">
                  <c:v>5.6299999999999996E-2</c:v>
                </c:pt>
                <c:pt idx="274">
                  <c:v>5.6299999999999996E-2</c:v>
                </c:pt>
                <c:pt idx="275">
                  <c:v>5.4600000000000003E-2</c:v>
                </c:pt>
                <c:pt idx="276">
                  <c:v>5.4100000000000002E-2</c:v>
                </c:pt>
                <c:pt idx="277">
                  <c:v>5.5199999999999999E-2</c:v>
                </c:pt>
                <c:pt idx="278">
                  <c:v>5.3899999999999997E-2</c:v>
                </c:pt>
                <c:pt idx="279">
                  <c:v>5.3499999999999999E-2</c:v>
                </c:pt>
                <c:pt idx="280">
                  <c:v>5.4400000000000004E-2</c:v>
                </c:pt>
                <c:pt idx="281">
                  <c:v>5.4400000000000004E-2</c:v>
                </c:pt>
                <c:pt idx="282">
                  <c:v>5.45E-2</c:v>
                </c:pt>
                <c:pt idx="283">
                  <c:v>5.4400000000000004E-2</c:v>
                </c:pt>
                <c:pt idx="284">
                  <c:v>5.4100000000000002E-2</c:v>
                </c:pt>
                <c:pt idx="285">
                  <c:v>5.3499999999999999E-2</c:v>
                </c:pt>
                <c:pt idx="286">
                  <c:v>5.3099999999999994E-2</c:v>
                </c:pt>
                <c:pt idx="287">
                  <c:v>5.21E-2</c:v>
                </c:pt>
                <c:pt idx="288">
                  <c:v>5.2300000000000006E-2</c:v>
                </c:pt>
                <c:pt idx="289">
                  <c:v>5.21E-2</c:v>
                </c:pt>
                <c:pt idx="290">
                  <c:v>5.2900000000000003E-2</c:v>
                </c:pt>
                <c:pt idx="291">
                  <c:v>5.2600000000000001E-2</c:v>
                </c:pt>
                <c:pt idx="292">
                  <c:v>5.2699999999999997E-2</c:v>
                </c:pt>
                <c:pt idx="293">
                  <c:v>5.16E-2</c:v>
                </c:pt>
                <c:pt idx="294">
                  <c:v>5.2300000000000006E-2</c:v>
                </c:pt>
                <c:pt idx="295">
                  <c:v>5.1900000000000002E-2</c:v>
                </c:pt>
                <c:pt idx="296">
                  <c:v>5.2400000000000002E-2</c:v>
                </c:pt>
                <c:pt idx="297">
                  <c:v>5.3399999999999996E-2</c:v>
                </c:pt>
                <c:pt idx="298">
                  <c:v>5.3200000000000004E-2</c:v>
                </c:pt>
                <c:pt idx="299">
                  <c:v>5.3600000000000002E-2</c:v>
                </c:pt>
                <c:pt idx="300">
                  <c:v>5.33E-2</c:v>
                </c:pt>
                <c:pt idx="301">
                  <c:v>5.3499999999999999E-2</c:v>
                </c:pt>
                <c:pt idx="302">
                  <c:v>5.4299999999999994E-2</c:v>
                </c:pt>
                <c:pt idx="303">
                  <c:v>5.5E-2</c:v>
                </c:pt>
                <c:pt idx="304">
                  <c:v>5.5199999999999999E-2</c:v>
                </c:pt>
                <c:pt idx="305">
                  <c:v>5.5599999999999997E-2</c:v>
                </c:pt>
                <c:pt idx="306">
                  <c:v>5.5599999999999997E-2</c:v>
                </c:pt>
                <c:pt idx="307">
                  <c:v>5.62E-2</c:v>
                </c:pt>
                <c:pt idx="308">
                  <c:v>5.5500000000000001E-2</c:v>
                </c:pt>
                <c:pt idx="309">
                  <c:v>5.5300000000000002E-2</c:v>
                </c:pt>
                <c:pt idx="310">
                  <c:v>5.5300000000000002E-2</c:v>
                </c:pt>
                <c:pt idx="311">
                  <c:v>5.6299999999999996E-2</c:v>
                </c:pt>
                <c:pt idx="312">
                  <c:v>5.6100000000000004E-2</c:v>
                </c:pt>
                <c:pt idx="313">
                  <c:v>5.6100000000000004E-2</c:v>
                </c:pt>
                <c:pt idx="314">
                  <c:v>5.6399999999999999E-2</c:v>
                </c:pt>
                <c:pt idx="315">
                  <c:v>5.6600000000000004E-2</c:v>
                </c:pt>
                <c:pt idx="316">
                  <c:v>5.6900000000000006E-2</c:v>
                </c:pt>
                <c:pt idx="317">
                  <c:v>5.67E-2</c:v>
                </c:pt>
                <c:pt idx="318">
                  <c:v>5.6600000000000004E-2</c:v>
                </c:pt>
                <c:pt idx="319">
                  <c:v>5.74E-2</c:v>
                </c:pt>
                <c:pt idx="320">
                  <c:v>5.7800000000000004E-2</c:v>
                </c:pt>
                <c:pt idx="321">
                  <c:v>5.8499999999999996E-2</c:v>
                </c:pt>
                <c:pt idx="322">
                  <c:v>5.7200000000000001E-2</c:v>
                </c:pt>
                <c:pt idx="323">
                  <c:v>5.6600000000000004E-2</c:v>
                </c:pt>
                <c:pt idx="324">
                  <c:v>5.6900000000000006E-2</c:v>
                </c:pt>
                <c:pt idx="325">
                  <c:v>5.7300000000000004E-2</c:v>
                </c:pt>
                <c:pt idx="326">
                  <c:v>5.7000000000000002E-2</c:v>
                </c:pt>
                <c:pt idx="327">
                  <c:v>5.6100000000000004E-2</c:v>
                </c:pt>
                <c:pt idx="328">
                  <c:v>5.6500000000000002E-2</c:v>
                </c:pt>
                <c:pt idx="329">
                  <c:v>5.6900000000000006E-2</c:v>
                </c:pt>
                <c:pt idx="330">
                  <c:v>5.6799999999999996E-2</c:v>
                </c:pt>
                <c:pt idx="331">
                  <c:v>5.67E-2</c:v>
                </c:pt>
                <c:pt idx="332">
                  <c:v>5.6600000000000004E-2</c:v>
                </c:pt>
                <c:pt idx="333">
                  <c:v>5.6100000000000004E-2</c:v>
                </c:pt>
                <c:pt idx="334">
                  <c:v>5.5999999999999994E-2</c:v>
                </c:pt>
                <c:pt idx="335">
                  <c:v>5.5899999999999998E-2</c:v>
                </c:pt>
                <c:pt idx="336">
                  <c:v>5.5899999999999998E-2</c:v>
                </c:pt>
                <c:pt idx="337">
                  <c:v>5.5500000000000001E-2</c:v>
                </c:pt>
                <c:pt idx="338">
                  <c:v>5.57E-2</c:v>
                </c:pt>
                <c:pt idx="339">
                  <c:v>5.5500000000000001E-2</c:v>
                </c:pt>
                <c:pt idx="340">
                  <c:v>5.5999999999999994E-2</c:v>
                </c:pt>
                <c:pt idx="341">
                  <c:v>5.6100000000000004E-2</c:v>
                </c:pt>
                <c:pt idx="342">
                  <c:v>5.7000000000000002E-2</c:v>
                </c:pt>
                <c:pt idx="343">
                  <c:v>5.5899999999999998E-2</c:v>
                </c:pt>
                <c:pt idx="344">
                  <c:v>5.5300000000000002E-2</c:v>
                </c:pt>
                <c:pt idx="345">
                  <c:v>5.5599999999999997E-2</c:v>
                </c:pt>
                <c:pt idx="346">
                  <c:v>5.57E-2</c:v>
                </c:pt>
                <c:pt idx="347">
                  <c:v>5.6100000000000004E-2</c:v>
                </c:pt>
                <c:pt idx="348">
                  <c:v>5.62E-2</c:v>
                </c:pt>
                <c:pt idx="349">
                  <c:v>5.6100000000000004E-2</c:v>
                </c:pt>
                <c:pt idx="350">
                  <c:v>5.62E-2</c:v>
                </c:pt>
                <c:pt idx="351">
                  <c:v>5.5800000000000002E-2</c:v>
                </c:pt>
                <c:pt idx="352">
                  <c:v>5.5599999999999997E-2</c:v>
                </c:pt>
                <c:pt idx="353">
                  <c:v>5.5300000000000002E-2</c:v>
                </c:pt>
                <c:pt idx="354">
                  <c:v>5.4900000000000004E-2</c:v>
                </c:pt>
                <c:pt idx="355">
                  <c:v>5.5300000000000002E-2</c:v>
                </c:pt>
                <c:pt idx="356">
                  <c:v>5.5300000000000002E-2</c:v>
                </c:pt>
                <c:pt idx="357">
                  <c:v>5.6100000000000004E-2</c:v>
                </c:pt>
                <c:pt idx="358">
                  <c:v>5.67E-2</c:v>
                </c:pt>
                <c:pt idx="359">
                  <c:v>5.67E-2</c:v>
                </c:pt>
                <c:pt idx="360">
                  <c:v>5.6399999999999999E-2</c:v>
                </c:pt>
                <c:pt idx="361">
                  <c:v>5.62E-2</c:v>
                </c:pt>
                <c:pt idx="362">
                  <c:v>5.6299999999999996E-2</c:v>
                </c:pt>
                <c:pt idx="363">
                  <c:v>5.62E-2</c:v>
                </c:pt>
                <c:pt idx="364">
                  <c:v>5.5399999999999998E-2</c:v>
                </c:pt>
                <c:pt idx="365">
                  <c:v>5.4900000000000004E-2</c:v>
                </c:pt>
                <c:pt idx="366">
                  <c:v>5.5199999999999999E-2</c:v>
                </c:pt>
                <c:pt idx="367">
                  <c:v>5.5300000000000002E-2</c:v>
                </c:pt>
                <c:pt idx="368">
                  <c:v>5.4800000000000001E-2</c:v>
                </c:pt>
                <c:pt idx="369">
                  <c:v>5.4800000000000001E-2</c:v>
                </c:pt>
                <c:pt idx="370">
                  <c:v>5.4699999999999999E-2</c:v>
                </c:pt>
                <c:pt idx="371">
                  <c:v>5.4699999999999999E-2</c:v>
                </c:pt>
                <c:pt idx="372">
                  <c:v>5.4600000000000003E-2</c:v>
                </c:pt>
                <c:pt idx="373">
                  <c:v>5.4800000000000001E-2</c:v>
                </c:pt>
                <c:pt idx="374">
                  <c:v>5.45E-2</c:v>
                </c:pt>
                <c:pt idx="375">
                  <c:v>5.3699999999999998E-2</c:v>
                </c:pt>
                <c:pt idx="376">
                  <c:v>5.28E-2</c:v>
                </c:pt>
                <c:pt idx="377">
                  <c:v>5.28E-2</c:v>
                </c:pt>
                <c:pt idx="378">
                  <c:v>5.0700000000000002E-2</c:v>
                </c:pt>
                <c:pt idx="379">
                  <c:v>4.9059999999999999E-2</c:v>
                </c:pt>
                <c:pt idx="380">
                  <c:v>4.9000000000000002E-2</c:v>
                </c:pt>
                <c:pt idx="381">
                  <c:v>4.9599999999999998E-2</c:v>
                </c:pt>
                <c:pt idx="382">
                  <c:v>4.9299999999999997E-2</c:v>
                </c:pt>
                <c:pt idx="383">
                  <c:v>4.8300000000000003E-2</c:v>
                </c:pt>
                <c:pt idx="384">
                  <c:v>4.7800000000000002E-2</c:v>
                </c:pt>
                <c:pt idx="385">
                  <c:v>4.7400000000000005E-2</c:v>
                </c:pt>
                <c:pt idx="386">
                  <c:v>4.7199999999999999E-2</c:v>
                </c:pt>
                <c:pt idx="387">
                  <c:v>4.7300000000000002E-2</c:v>
                </c:pt>
                <c:pt idx="388">
                  <c:v>4.7100000000000003E-2</c:v>
                </c:pt>
                <c:pt idx="389">
                  <c:v>4.6900000000000004E-2</c:v>
                </c:pt>
                <c:pt idx="390">
                  <c:v>4.6300000000000001E-2</c:v>
                </c:pt>
                <c:pt idx="391">
                  <c:v>4.7199999999999999E-2</c:v>
                </c:pt>
                <c:pt idx="392">
                  <c:v>4.7500000000000001E-2</c:v>
                </c:pt>
                <c:pt idx="393">
                  <c:v>4.7100000000000003E-2</c:v>
                </c:pt>
                <c:pt idx="394">
                  <c:v>4.6809999999999997E-2</c:v>
                </c:pt>
                <c:pt idx="395">
                  <c:v>4.7599999999999996E-2</c:v>
                </c:pt>
                <c:pt idx="396">
                  <c:v>4.7500000000000001E-2</c:v>
                </c:pt>
                <c:pt idx="397">
                  <c:v>4.7699999999999992E-2</c:v>
                </c:pt>
                <c:pt idx="398">
                  <c:v>4.8399999999999999E-2</c:v>
                </c:pt>
                <c:pt idx="399">
                  <c:v>4.8099999999999997E-2</c:v>
                </c:pt>
                <c:pt idx="400">
                  <c:v>4.8000000000000001E-2</c:v>
                </c:pt>
                <c:pt idx="401">
                  <c:v>4.9400000000000006E-2</c:v>
                </c:pt>
                <c:pt idx="402">
                  <c:v>4.9800000000000004E-2</c:v>
                </c:pt>
                <c:pt idx="403">
                  <c:v>5.0300000000000004E-2</c:v>
                </c:pt>
                <c:pt idx="404">
                  <c:v>5.0300000000000004E-2</c:v>
                </c:pt>
                <c:pt idx="405">
                  <c:v>5.0300000000000004E-2</c:v>
                </c:pt>
                <c:pt idx="406">
                  <c:v>0.05</c:v>
                </c:pt>
                <c:pt idx="407">
                  <c:v>5.0300000000000004E-2</c:v>
                </c:pt>
                <c:pt idx="408">
                  <c:v>5.16E-2</c:v>
                </c:pt>
                <c:pt idx="409">
                  <c:v>5.0999999999999997E-2</c:v>
                </c:pt>
                <c:pt idx="410">
                  <c:v>5.0900000000000001E-2</c:v>
                </c:pt>
                <c:pt idx="411">
                  <c:v>5.1100000000000007E-2</c:v>
                </c:pt>
                <c:pt idx="412">
                  <c:v>5.0900000000000001E-2</c:v>
                </c:pt>
                <c:pt idx="413">
                  <c:v>5.1100000000000007E-2</c:v>
                </c:pt>
                <c:pt idx="414">
                  <c:v>5.0900000000000001E-2</c:v>
                </c:pt>
                <c:pt idx="415">
                  <c:v>5.0900000000000001E-2</c:v>
                </c:pt>
                <c:pt idx="416">
                  <c:v>5.0099999999999999E-2</c:v>
                </c:pt>
                <c:pt idx="417">
                  <c:v>4.9000000000000002E-2</c:v>
                </c:pt>
                <c:pt idx="418">
                  <c:v>4.9800000000000004E-2</c:v>
                </c:pt>
                <c:pt idx="419">
                  <c:v>5.0300000000000004E-2</c:v>
                </c:pt>
                <c:pt idx="420">
                  <c:v>4.9800000000000004E-2</c:v>
                </c:pt>
                <c:pt idx="421">
                  <c:v>5.04E-2</c:v>
                </c:pt>
                <c:pt idx="422">
                  <c:v>5.1399999999999994E-2</c:v>
                </c:pt>
                <c:pt idx="423">
                  <c:v>5.1699999999999996E-2</c:v>
                </c:pt>
                <c:pt idx="424">
                  <c:v>5.1299999999999998E-2</c:v>
                </c:pt>
                <c:pt idx="425">
                  <c:v>5.1500000000000004E-2</c:v>
                </c:pt>
                <c:pt idx="426">
                  <c:v>5.0999999999999997E-2</c:v>
                </c:pt>
                <c:pt idx="427">
                  <c:v>5.1200000000000002E-2</c:v>
                </c:pt>
                <c:pt idx="428">
                  <c:v>5.1399999999999994E-2</c:v>
                </c:pt>
                <c:pt idx="429">
                  <c:v>5.1500000000000004E-2</c:v>
                </c:pt>
                <c:pt idx="430">
                  <c:v>5.16E-2</c:v>
                </c:pt>
                <c:pt idx="431">
                  <c:v>5.1900000000000002E-2</c:v>
                </c:pt>
                <c:pt idx="432">
                  <c:v>5.1699999999999996E-2</c:v>
                </c:pt>
                <c:pt idx="433">
                  <c:v>5.0499999999999996E-2</c:v>
                </c:pt>
                <c:pt idx="434">
                  <c:v>5.0099999999999999E-2</c:v>
                </c:pt>
                <c:pt idx="435">
                  <c:v>4.9800000000000004E-2</c:v>
                </c:pt>
                <c:pt idx="436">
                  <c:v>4.9699999999999994E-2</c:v>
                </c:pt>
                <c:pt idx="437">
                  <c:v>4.9599999999999998E-2</c:v>
                </c:pt>
                <c:pt idx="438">
                  <c:v>4.9000000000000002E-2</c:v>
                </c:pt>
                <c:pt idx="439">
                  <c:v>4.87E-2</c:v>
                </c:pt>
                <c:pt idx="440">
                  <c:v>4.8300000000000003E-2</c:v>
                </c:pt>
                <c:pt idx="441">
                  <c:v>4.8000000000000001E-2</c:v>
                </c:pt>
                <c:pt idx="442">
                  <c:v>4.8399999999999999E-2</c:v>
                </c:pt>
                <c:pt idx="443">
                  <c:v>4.9000000000000002E-2</c:v>
                </c:pt>
                <c:pt idx="444">
                  <c:v>4.87E-2</c:v>
                </c:pt>
                <c:pt idx="445">
                  <c:v>4.8899999999999999E-2</c:v>
                </c:pt>
                <c:pt idx="446">
                  <c:v>4.8499999999999995E-2</c:v>
                </c:pt>
                <c:pt idx="447">
                  <c:v>4.8799999999999996E-2</c:v>
                </c:pt>
                <c:pt idx="448">
                  <c:v>4.8899999999999999E-2</c:v>
                </c:pt>
                <c:pt idx="449">
                  <c:v>4.9000000000000002E-2</c:v>
                </c:pt>
                <c:pt idx="450">
                  <c:v>4.9299999999999997E-2</c:v>
                </c:pt>
                <c:pt idx="451">
                  <c:v>4.9200000000000001E-2</c:v>
                </c:pt>
                <c:pt idx="452">
                  <c:v>4.9100000000000005E-2</c:v>
                </c:pt>
                <c:pt idx="453">
                  <c:v>4.8499999999999995E-2</c:v>
                </c:pt>
                <c:pt idx="454">
                  <c:v>4.8300000000000003E-2</c:v>
                </c:pt>
                <c:pt idx="455">
                  <c:v>4.8899999999999999E-2</c:v>
                </c:pt>
                <c:pt idx="456">
                  <c:v>4.9000000000000002E-2</c:v>
                </c:pt>
                <c:pt idx="457">
                  <c:v>4.8499999999999995E-2</c:v>
                </c:pt>
                <c:pt idx="458">
                  <c:v>4.82E-2</c:v>
                </c:pt>
                <c:pt idx="459">
                  <c:v>4.8600000000000004E-2</c:v>
                </c:pt>
                <c:pt idx="460">
                  <c:v>4.9100000000000005E-2</c:v>
                </c:pt>
                <c:pt idx="461">
                  <c:v>4.8799999999999996E-2</c:v>
                </c:pt>
                <c:pt idx="462">
                  <c:v>4.8499999999999995E-2</c:v>
                </c:pt>
                <c:pt idx="463">
                  <c:v>4.8499999999999995E-2</c:v>
                </c:pt>
                <c:pt idx="464">
                  <c:v>4.8499999999999995E-2</c:v>
                </c:pt>
                <c:pt idx="465">
                  <c:v>4.7899999999999998E-2</c:v>
                </c:pt>
                <c:pt idx="466">
                  <c:v>4.8099999999999997E-2</c:v>
                </c:pt>
                <c:pt idx="467">
                  <c:v>4.8000000000000001E-2</c:v>
                </c:pt>
                <c:pt idx="468">
                  <c:v>4.8099999999999997E-2</c:v>
                </c:pt>
                <c:pt idx="469">
                  <c:v>4.7699999999999992E-2</c:v>
                </c:pt>
                <c:pt idx="470">
                  <c:v>4.7800000000000002E-2</c:v>
                </c:pt>
                <c:pt idx="471">
                  <c:v>4.82E-2</c:v>
                </c:pt>
                <c:pt idx="472">
                  <c:v>4.8399999999999999E-2</c:v>
                </c:pt>
                <c:pt idx="473">
                  <c:v>4.8300000000000003E-2</c:v>
                </c:pt>
                <c:pt idx="474">
                  <c:v>4.8499999999999995E-2</c:v>
                </c:pt>
                <c:pt idx="475">
                  <c:v>4.8399999999999999E-2</c:v>
                </c:pt>
                <c:pt idx="476">
                  <c:v>4.8399999999999999E-2</c:v>
                </c:pt>
                <c:pt idx="477">
                  <c:v>4.8099999999999997E-2</c:v>
                </c:pt>
                <c:pt idx="478">
                  <c:v>4.8300000000000003E-2</c:v>
                </c:pt>
                <c:pt idx="479">
                  <c:v>4.8899999999999999E-2</c:v>
                </c:pt>
                <c:pt idx="480">
                  <c:v>4.9400000000000006E-2</c:v>
                </c:pt>
                <c:pt idx="481">
                  <c:v>4.9200000000000001E-2</c:v>
                </c:pt>
                <c:pt idx="482">
                  <c:v>4.9299999999999997E-2</c:v>
                </c:pt>
                <c:pt idx="483">
                  <c:v>4.9200000000000001E-2</c:v>
                </c:pt>
                <c:pt idx="484">
                  <c:v>4.9299999999999997E-2</c:v>
                </c:pt>
                <c:pt idx="485">
                  <c:v>4.87E-2</c:v>
                </c:pt>
                <c:pt idx="486">
                  <c:v>4.8300000000000003E-2</c:v>
                </c:pt>
                <c:pt idx="487">
                  <c:v>4.8399999999999999E-2</c:v>
                </c:pt>
                <c:pt idx="488">
                  <c:v>4.8799999999999996E-2</c:v>
                </c:pt>
                <c:pt idx="489">
                  <c:v>4.87E-2</c:v>
                </c:pt>
                <c:pt idx="490">
                  <c:v>4.8799999999999996E-2</c:v>
                </c:pt>
                <c:pt idx="491">
                  <c:v>4.8899999999999999E-2</c:v>
                </c:pt>
                <c:pt idx="492">
                  <c:v>4.8799999999999996E-2</c:v>
                </c:pt>
                <c:pt idx="493">
                  <c:v>4.8899999999999999E-2</c:v>
                </c:pt>
                <c:pt idx="494">
                  <c:v>4.8799999999999996E-2</c:v>
                </c:pt>
                <c:pt idx="495">
                  <c:v>4.9200000000000001E-2</c:v>
                </c:pt>
                <c:pt idx="496">
                  <c:v>4.9000000000000002E-2</c:v>
                </c:pt>
                <c:pt idx="497">
                  <c:v>4.87E-2</c:v>
                </c:pt>
                <c:pt idx="498">
                  <c:v>4.87E-2</c:v>
                </c:pt>
                <c:pt idx="499">
                  <c:v>4.9100000000000005E-2</c:v>
                </c:pt>
                <c:pt idx="500">
                  <c:v>4.9500000000000002E-2</c:v>
                </c:pt>
                <c:pt idx="501">
                  <c:v>4.9599999999999998E-2</c:v>
                </c:pt>
                <c:pt idx="502">
                  <c:v>4.8899999999999999E-2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D82-4B97-B730-631CB11DB556}"/>
            </c:ext>
          </c:extLst>
        </c:ser>
        <c:ser>
          <c:idx val="5"/>
          <c:order val="2"/>
          <c:tx>
            <c:v>10L</c:v>
          </c:tx>
          <c:spPr>
            <a:ln w="25400">
              <a:solidFill>
                <a:srgbClr val="9999FF"/>
              </a:solidFill>
              <a:prstDash val="solid"/>
            </a:ln>
          </c:spPr>
          <c:marker>
            <c:symbol val="none"/>
          </c:marker>
          <c:cat>
            <c:multiLvlStrRef>
              <c:f>dane!$A$227:$B$250</c:f>
              <c:multiLvlStrCache>
                <c:ptCount val="24"/>
                <c:lvl>
                  <c:pt idx="0">
                    <c:v>7m</c:v>
                  </c:pt>
                  <c:pt idx="1">
                    <c:v>8m</c:v>
                  </c:pt>
                  <c:pt idx="2">
                    <c:v>9m</c:v>
                  </c:pt>
                  <c:pt idx="3">
                    <c:v>10m</c:v>
                  </c:pt>
                  <c:pt idx="4">
                    <c:v>11m</c:v>
                  </c:pt>
                  <c:pt idx="5">
                    <c:v>12m</c:v>
                  </c:pt>
                  <c:pt idx="6">
                    <c:v>1m</c:v>
                  </c:pt>
                  <c:pt idx="7">
                    <c:v>2m</c:v>
                  </c:pt>
                  <c:pt idx="8">
                    <c:v>3m</c:v>
                  </c:pt>
                  <c:pt idx="9">
                    <c:v>4m</c:v>
                  </c:pt>
                  <c:pt idx="10">
                    <c:v>5m</c:v>
                  </c:pt>
                  <c:pt idx="11">
                    <c:v>6m</c:v>
                  </c:pt>
                  <c:pt idx="12">
                    <c:v>7m</c:v>
                  </c:pt>
                  <c:pt idx="13">
                    <c:v>8m</c:v>
                  </c:pt>
                  <c:pt idx="14">
                    <c:v>9m</c:v>
                  </c:pt>
                  <c:pt idx="15">
                    <c:v>10m</c:v>
                  </c:pt>
                  <c:pt idx="16">
                    <c:v>11m</c:v>
                  </c:pt>
                  <c:pt idx="17">
                    <c:v>12m</c:v>
                  </c:pt>
                  <c:pt idx="18">
                    <c:v>1m</c:v>
                  </c:pt>
                  <c:pt idx="19">
                    <c:v>2m</c:v>
                  </c:pt>
                  <c:pt idx="20">
                    <c:v>3m</c:v>
                  </c:pt>
                  <c:pt idx="21">
                    <c:v>4m</c:v>
                  </c:pt>
                  <c:pt idx="22">
                    <c:v>5m</c:v>
                  </c:pt>
                  <c:pt idx="23">
                    <c:v>6m</c:v>
                  </c:pt>
                </c:lvl>
                <c:lvl>
                  <c:pt idx="0">
                    <c:v>2023</c:v>
                  </c:pt>
                  <c:pt idx="6">
                    <c:v>2024</c:v>
                  </c:pt>
                  <c:pt idx="18">
                    <c:v>2025</c:v>
                  </c:pt>
                </c:lvl>
              </c:multiLvlStrCache>
            </c:multiLvlStrRef>
          </c:cat>
          <c:val>
            <c:numRef>
              <c:f>dzienne!$G$3719:$G$4221</c:f>
              <c:numCache>
                <c:formatCode>0.00%</c:formatCode>
                <c:ptCount val="503"/>
                <c:pt idx="0">
                  <c:v>5.91E-2</c:v>
                </c:pt>
                <c:pt idx="1">
                  <c:v>5.8700000000000002E-2</c:v>
                </c:pt>
                <c:pt idx="2">
                  <c:v>0.06</c:v>
                </c:pt>
                <c:pt idx="3">
                  <c:v>5.9800000000000006E-2</c:v>
                </c:pt>
                <c:pt idx="4">
                  <c:v>6.0100000000000001E-2</c:v>
                </c:pt>
                <c:pt idx="5">
                  <c:v>0.06</c:v>
                </c:pt>
                <c:pt idx="6">
                  <c:v>5.9299999999999999E-2</c:v>
                </c:pt>
                <c:pt idx="7">
                  <c:v>5.79E-2</c:v>
                </c:pt>
                <c:pt idx="8">
                  <c:v>5.79E-2</c:v>
                </c:pt>
                <c:pt idx="9">
                  <c:v>5.8400000000000001E-2</c:v>
                </c:pt>
                <c:pt idx="10">
                  <c:v>5.6600000000000004E-2</c:v>
                </c:pt>
                <c:pt idx="11">
                  <c:v>5.7699999999999994E-2</c:v>
                </c:pt>
                <c:pt idx="12">
                  <c:v>5.7599999999999998E-2</c:v>
                </c:pt>
                <c:pt idx="13">
                  <c:v>5.9200000000000003E-2</c:v>
                </c:pt>
                <c:pt idx="14">
                  <c:v>5.96E-2</c:v>
                </c:pt>
                <c:pt idx="15">
                  <c:v>6.08E-2</c:v>
                </c:pt>
                <c:pt idx="16">
                  <c:v>5.9400000000000001E-2</c:v>
                </c:pt>
                <c:pt idx="17">
                  <c:v>5.9299999999999999E-2</c:v>
                </c:pt>
                <c:pt idx="18">
                  <c:v>5.8200000000000002E-2</c:v>
                </c:pt>
                <c:pt idx="19">
                  <c:v>5.79E-2</c:v>
                </c:pt>
                <c:pt idx="20">
                  <c:v>5.7599999999999998E-2</c:v>
                </c:pt>
                <c:pt idx="21">
                  <c:v>5.67E-2</c:v>
                </c:pt>
                <c:pt idx="22">
                  <c:v>5.5899999999999998E-2</c:v>
                </c:pt>
                <c:pt idx="23">
                  <c:v>5.5300000000000002E-2</c:v>
                </c:pt>
                <c:pt idx="24">
                  <c:v>5.5500000000000001E-2</c:v>
                </c:pt>
                <c:pt idx="25">
                  <c:v>5.5199999999999999E-2</c:v>
                </c:pt>
                <c:pt idx="26">
                  <c:v>5.5E-2</c:v>
                </c:pt>
                <c:pt idx="27">
                  <c:v>5.5999999999999994E-2</c:v>
                </c:pt>
                <c:pt idx="28">
                  <c:v>5.6399999999999999E-2</c:v>
                </c:pt>
                <c:pt idx="29">
                  <c:v>5.74E-2</c:v>
                </c:pt>
                <c:pt idx="30">
                  <c:v>5.62E-2</c:v>
                </c:pt>
                <c:pt idx="31">
                  <c:v>5.5999999999999994E-2</c:v>
                </c:pt>
                <c:pt idx="32">
                  <c:v>5.4699999999999999E-2</c:v>
                </c:pt>
                <c:pt idx="33">
                  <c:v>5.4900000000000004E-2</c:v>
                </c:pt>
                <c:pt idx="34">
                  <c:v>5.5199999999999999E-2</c:v>
                </c:pt>
                <c:pt idx="35">
                  <c:v>5.4800000000000001E-2</c:v>
                </c:pt>
                <c:pt idx="36">
                  <c:v>5.5399999999999998E-2</c:v>
                </c:pt>
                <c:pt idx="37">
                  <c:v>5.5999999999999994E-2</c:v>
                </c:pt>
                <c:pt idx="38">
                  <c:v>5.6299999999999996E-2</c:v>
                </c:pt>
                <c:pt idx="39">
                  <c:v>5.62E-2</c:v>
                </c:pt>
                <c:pt idx="40">
                  <c:v>5.5599999999999997E-2</c:v>
                </c:pt>
                <c:pt idx="41">
                  <c:v>5.4900000000000004E-2</c:v>
                </c:pt>
                <c:pt idx="42">
                  <c:v>5.5199999999999999E-2</c:v>
                </c:pt>
                <c:pt idx="43">
                  <c:v>5.4699999999999999E-2</c:v>
                </c:pt>
                <c:pt idx="44">
                  <c:v>5.4699999999999999E-2</c:v>
                </c:pt>
                <c:pt idx="45">
                  <c:v>5.45E-2</c:v>
                </c:pt>
                <c:pt idx="46">
                  <c:v>5.3499999999999999E-2</c:v>
                </c:pt>
                <c:pt idx="47">
                  <c:v>5.3499999999999999E-2</c:v>
                </c:pt>
                <c:pt idx="48">
                  <c:v>5.3699999999999998E-2</c:v>
                </c:pt>
                <c:pt idx="49">
                  <c:v>5.4000000000000006E-2</c:v>
                </c:pt>
                <c:pt idx="50">
                  <c:v>5.3200000000000004E-2</c:v>
                </c:pt>
                <c:pt idx="51">
                  <c:v>5.3099999999999994E-2</c:v>
                </c:pt>
                <c:pt idx="52">
                  <c:v>5.1399999999999994E-2</c:v>
                </c:pt>
                <c:pt idx="53">
                  <c:v>5.04E-2</c:v>
                </c:pt>
                <c:pt idx="54">
                  <c:v>5.0999999999999997E-2</c:v>
                </c:pt>
                <c:pt idx="55">
                  <c:v>5.0199999999999995E-2</c:v>
                </c:pt>
                <c:pt idx="56">
                  <c:v>5.0099999999999999E-2</c:v>
                </c:pt>
                <c:pt idx="57">
                  <c:v>5.1299999999999998E-2</c:v>
                </c:pt>
                <c:pt idx="58">
                  <c:v>5.1699999999999996E-2</c:v>
                </c:pt>
                <c:pt idx="59">
                  <c:v>5.2000000000000005E-2</c:v>
                </c:pt>
                <c:pt idx="60">
                  <c:v>5.1900000000000002E-2</c:v>
                </c:pt>
                <c:pt idx="61">
                  <c:v>5.1900000000000002E-2</c:v>
                </c:pt>
                <c:pt idx="62">
                  <c:v>5.3099999999999994E-2</c:v>
                </c:pt>
                <c:pt idx="63">
                  <c:v>5.3099999999999994E-2</c:v>
                </c:pt>
                <c:pt idx="64">
                  <c:v>5.2999999999999999E-2</c:v>
                </c:pt>
                <c:pt idx="65">
                  <c:v>5.2600000000000001E-2</c:v>
                </c:pt>
                <c:pt idx="66">
                  <c:v>5.21E-2</c:v>
                </c:pt>
                <c:pt idx="67">
                  <c:v>5.1399999999999994E-2</c:v>
                </c:pt>
                <c:pt idx="68">
                  <c:v>5.1799999999999999E-2</c:v>
                </c:pt>
                <c:pt idx="69">
                  <c:v>5.1100000000000007E-2</c:v>
                </c:pt>
                <c:pt idx="70">
                  <c:v>5.0499999999999996E-2</c:v>
                </c:pt>
                <c:pt idx="71">
                  <c:v>5.1399999999999994E-2</c:v>
                </c:pt>
                <c:pt idx="72">
                  <c:v>5.21E-2</c:v>
                </c:pt>
                <c:pt idx="73">
                  <c:v>5.2600000000000001E-2</c:v>
                </c:pt>
                <c:pt idx="74">
                  <c:v>5.2499999999999998E-2</c:v>
                </c:pt>
                <c:pt idx="75">
                  <c:v>5.3190000000000001E-2</c:v>
                </c:pt>
                <c:pt idx="76">
                  <c:v>5.2499999999999998E-2</c:v>
                </c:pt>
                <c:pt idx="77">
                  <c:v>5.3099999999999994E-2</c:v>
                </c:pt>
                <c:pt idx="78">
                  <c:v>5.4000000000000006E-2</c:v>
                </c:pt>
                <c:pt idx="79">
                  <c:v>5.4100000000000002E-2</c:v>
                </c:pt>
                <c:pt idx="80">
                  <c:v>5.4199999999999998E-2</c:v>
                </c:pt>
                <c:pt idx="81">
                  <c:v>5.4299999999999994E-2</c:v>
                </c:pt>
                <c:pt idx="82">
                  <c:v>5.3699999999999998E-2</c:v>
                </c:pt>
                <c:pt idx="83">
                  <c:v>5.2199999999999996E-2</c:v>
                </c:pt>
                <c:pt idx="84">
                  <c:v>5.16E-2</c:v>
                </c:pt>
                <c:pt idx="85">
                  <c:v>5.2499999999999998E-2</c:v>
                </c:pt>
                <c:pt idx="86">
                  <c:v>5.3600000000000002E-2</c:v>
                </c:pt>
                <c:pt idx="87">
                  <c:v>5.3099999999999994E-2</c:v>
                </c:pt>
                <c:pt idx="88">
                  <c:v>5.3399999999999996E-2</c:v>
                </c:pt>
                <c:pt idx="89">
                  <c:v>5.4400000000000004E-2</c:v>
                </c:pt>
                <c:pt idx="90">
                  <c:v>5.3600000000000002E-2</c:v>
                </c:pt>
                <c:pt idx="91">
                  <c:v>5.4299999999999994E-2</c:v>
                </c:pt>
                <c:pt idx="92">
                  <c:v>5.4699999999999999E-2</c:v>
                </c:pt>
                <c:pt idx="93">
                  <c:v>5.4400000000000004E-2</c:v>
                </c:pt>
                <c:pt idx="94">
                  <c:v>5.3800000000000001E-2</c:v>
                </c:pt>
                <c:pt idx="95">
                  <c:v>5.4600000000000003E-2</c:v>
                </c:pt>
                <c:pt idx="96">
                  <c:v>5.5099999999999996E-2</c:v>
                </c:pt>
                <c:pt idx="97">
                  <c:v>5.45E-2</c:v>
                </c:pt>
                <c:pt idx="98">
                  <c:v>5.4600000000000003E-2</c:v>
                </c:pt>
                <c:pt idx="99">
                  <c:v>5.4000000000000006E-2</c:v>
                </c:pt>
                <c:pt idx="100">
                  <c:v>5.3499999999999999E-2</c:v>
                </c:pt>
                <c:pt idx="101">
                  <c:v>5.33E-2</c:v>
                </c:pt>
                <c:pt idx="102">
                  <c:v>5.3600000000000002E-2</c:v>
                </c:pt>
                <c:pt idx="103">
                  <c:v>5.3600000000000002E-2</c:v>
                </c:pt>
                <c:pt idx="104">
                  <c:v>5.3399999999999996E-2</c:v>
                </c:pt>
                <c:pt idx="105">
                  <c:v>5.28E-2</c:v>
                </c:pt>
                <c:pt idx="106">
                  <c:v>5.2499999999999998E-2</c:v>
                </c:pt>
                <c:pt idx="107">
                  <c:v>5.2300000000000006E-2</c:v>
                </c:pt>
                <c:pt idx="108">
                  <c:v>5.2600000000000001E-2</c:v>
                </c:pt>
                <c:pt idx="109">
                  <c:v>5.3099999999999994E-2</c:v>
                </c:pt>
                <c:pt idx="110">
                  <c:v>5.2699999999999997E-2</c:v>
                </c:pt>
                <c:pt idx="111">
                  <c:v>5.3200000000000004E-2</c:v>
                </c:pt>
                <c:pt idx="112">
                  <c:v>5.4000000000000006E-2</c:v>
                </c:pt>
                <c:pt idx="113">
                  <c:v>5.4199999999999998E-2</c:v>
                </c:pt>
                <c:pt idx="114">
                  <c:v>5.4699999999999999E-2</c:v>
                </c:pt>
                <c:pt idx="115">
                  <c:v>5.45E-2</c:v>
                </c:pt>
                <c:pt idx="116">
                  <c:v>5.5500000000000001E-2</c:v>
                </c:pt>
                <c:pt idx="117">
                  <c:v>5.5099999999999996E-2</c:v>
                </c:pt>
                <c:pt idx="118">
                  <c:v>5.4900000000000004E-2</c:v>
                </c:pt>
                <c:pt idx="119">
                  <c:v>5.4800000000000001E-2</c:v>
                </c:pt>
                <c:pt idx="120">
                  <c:v>5.5399999999999998E-2</c:v>
                </c:pt>
                <c:pt idx="121">
                  <c:v>5.6100000000000004E-2</c:v>
                </c:pt>
                <c:pt idx="122">
                  <c:v>5.5599999999999997E-2</c:v>
                </c:pt>
                <c:pt idx="123">
                  <c:v>5.4900000000000004E-2</c:v>
                </c:pt>
                <c:pt idx="124">
                  <c:v>5.4299999999999994E-2</c:v>
                </c:pt>
                <c:pt idx="125">
                  <c:v>5.4440000000000002E-2</c:v>
                </c:pt>
                <c:pt idx="126">
                  <c:v>5.5199999999999999E-2</c:v>
                </c:pt>
                <c:pt idx="127">
                  <c:v>5.5199999999999999E-2</c:v>
                </c:pt>
                <c:pt idx="128">
                  <c:v>5.45E-2</c:v>
                </c:pt>
                <c:pt idx="129">
                  <c:v>5.5199999999999999E-2</c:v>
                </c:pt>
                <c:pt idx="130">
                  <c:v>5.5800000000000002E-2</c:v>
                </c:pt>
                <c:pt idx="131">
                  <c:v>5.5500000000000001E-2</c:v>
                </c:pt>
                <c:pt idx="132">
                  <c:v>5.62E-2</c:v>
                </c:pt>
                <c:pt idx="133">
                  <c:v>5.7000000000000002E-2</c:v>
                </c:pt>
                <c:pt idx="134">
                  <c:v>5.6600000000000004E-2</c:v>
                </c:pt>
                <c:pt idx="135">
                  <c:v>5.79E-2</c:v>
                </c:pt>
                <c:pt idx="136">
                  <c:v>5.8799999999999998E-2</c:v>
                </c:pt>
                <c:pt idx="137">
                  <c:v>5.7999999999999996E-2</c:v>
                </c:pt>
                <c:pt idx="138">
                  <c:v>5.74E-2</c:v>
                </c:pt>
                <c:pt idx="139">
                  <c:v>5.8499999999999996E-2</c:v>
                </c:pt>
                <c:pt idx="140">
                  <c:v>5.79E-2</c:v>
                </c:pt>
                <c:pt idx="141">
                  <c:v>5.7500000000000002E-2</c:v>
                </c:pt>
                <c:pt idx="142">
                  <c:v>5.7500000000000002E-2</c:v>
                </c:pt>
                <c:pt idx="143">
                  <c:v>5.8299999999999998E-2</c:v>
                </c:pt>
                <c:pt idx="144">
                  <c:v>5.7699999999999994E-2</c:v>
                </c:pt>
                <c:pt idx="145">
                  <c:v>5.79E-2</c:v>
                </c:pt>
                <c:pt idx="146">
                  <c:v>5.7599999999999998E-2</c:v>
                </c:pt>
                <c:pt idx="147">
                  <c:v>5.7500000000000002E-2</c:v>
                </c:pt>
                <c:pt idx="148">
                  <c:v>5.67E-2</c:v>
                </c:pt>
                <c:pt idx="149">
                  <c:v>5.6100000000000004E-2</c:v>
                </c:pt>
                <c:pt idx="150">
                  <c:v>5.62E-2</c:v>
                </c:pt>
                <c:pt idx="151">
                  <c:v>5.6500000000000002E-2</c:v>
                </c:pt>
                <c:pt idx="152">
                  <c:v>5.6459999999999996E-2</c:v>
                </c:pt>
                <c:pt idx="153">
                  <c:v>5.6900000000000006E-2</c:v>
                </c:pt>
                <c:pt idx="154">
                  <c:v>5.7500000000000002E-2</c:v>
                </c:pt>
                <c:pt idx="155">
                  <c:v>5.6799999999999996E-2</c:v>
                </c:pt>
                <c:pt idx="156">
                  <c:v>5.6900000000000006E-2</c:v>
                </c:pt>
                <c:pt idx="157">
                  <c:v>5.7200000000000001E-2</c:v>
                </c:pt>
                <c:pt idx="158">
                  <c:v>5.7500000000000002E-2</c:v>
                </c:pt>
                <c:pt idx="159">
                  <c:v>5.74E-2</c:v>
                </c:pt>
                <c:pt idx="160">
                  <c:v>5.74E-2</c:v>
                </c:pt>
                <c:pt idx="161">
                  <c:v>5.8099999999999999E-2</c:v>
                </c:pt>
                <c:pt idx="162">
                  <c:v>5.9000000000000004E-2</c:v>
                </c:pt>
                <c:pt idx="163">
                  <c:v>5.8700000000000002E-2</c:v>
                </c:pt>
                <c:pt idx="164">
                  <c:v>5.9000000000000004E-2</c:v>
                </c:pt>
                <c:pt idx="165">
                  <c:v>5.8299999999999998E-2</c:v>
                </c:pt>
                <c:pt idx="166">
                  <c:v>5.7699999999999994E-2</c:v>
                </c:pt>
                <c:pt idx="167">
                  <c:v>5.7000000000000002E-2</c:v>
                </c:pt>
                <c:pt idx="168">
                  <c:v>5.6799999999999996E-2</c:v>
                </c:pt>
                <c:pt idx="169">
                  <c:v>5.6799999999999996E-2</c:v>
                </c:pt>
                <c:pt idx="170">
                  <c:v>5.6900000000000006E-2</c:v>
                </c:pt>
                <c:pt idx="171">
                  <c:v>5.7500000000000002E-2</c:v>
                </c:pt>
                <c:pt idx="172">
                  <c:v>5.8099999999999999E-2</c:v>
                </c:pt>
                <c:pt idx="173">
                  <c:v>5.8200000000000002E-2</c:v>
                </c:pt>
                <c:pt idx="174">
                  <c:v>5.7300000000000004E-2</c:v>
                </c:pt>
                <c:pt idx="175">
                  <c:v>5.7599999999999998E-2</c:v>
                </c:pt>
                <c:pt idx="176">
                  <c:v>5.7999999999999996E-2</c:v>
                </c:pt>
                <c:pt idx="177">
                  <c:v>5.8400000000000001E-2</c:v>
                </c:pt>
                <c:pt idx="178">
                  <c:v>5.7800000000000004E-2</c:v>
                </c:pt>
                <c:pt idx="179">
                  <c:v>5.7800000000000004E-2</c:v>
                </c:pt>
                <c:pt idx="180">
                  <c:v>5.8200000000000002E-2</c:v>
                </c:pt>
                <c:pt idx="181">
                  <c:v>5.7699999999999994E-2</c:v>
                </c:pt>
                <c:pt idx="182">
                  <c:v>5.74E-2</c:v>
                </c:pt>
                <c:pt idx="183">
                  <c:v>5.7200000000000001E-2</c:v>
                </c:pt>
                <c:pt idx="184">
                  <c:v>5.7599999999999998E-2</c:v>
                </c:pt>
                <c:pt idx="185">
                  <c:v>5.74E-2</c:v>
                </c:pt>
                <c:pt idx="186">
                  <c:v>5.7300000000000004E-2</c:v>
                </c:pt>
                <c:pt idx="187">
                  <c:v>5.79E-2</c:v>
                </c:pt>
                <c:pt idx="188">
                  <c:v>5.79E-2</c:v>
                </c:pt>
                <c:pt idx="189">
                  <c:v>5.7599999999999998E-2</c:v>
                </c:pt>
                <c:pt idx="190">
                  <c:v>5.8200000000000002E-2</c:v>
                </c:pt>
                <c:pt idx="191">
                  <c:v>5.8299999999999998E-2</c:v>
                </c:pt>
                <c:pt idx="192">
                  <c:v>5.7800000000000004E-2</c:v>
                </c:pt>
                <c:pt idx="193">
                  <c:v>5.7800000000000004E-2</c:v>
                </c:pt>
                <c:pt idx="194">
                  <c:v>5.7500000000000002E-2</c:v>
                </c:pt>
                <c:pt idx="195">
                  <c:v>5.7000000000000002E-2</c:v>
                </c:pt>
                <c:pt idx="196">
                  <c:v>5.6799999999999996E-2</c:v>
                </c:pt>
                <c:pt idx="197">
                  <c:v>5.62E-2</c:v>
                </c:pt>
                <c:pt idx="198">
                  <c:v>5.5399999999999998E-2</c:v>
                </c:pt>
                <c:pt idx="199">
                  <c:v>5.5599999999999997E-2</c:v>
                </c:pt>
                <c:pt idx="200">
                  <c:v>5.5899999999999998E-2</c:v>
                </c:pt>
                <c:pt idx="201">
                  <c:v>5.6600000000000004E-2</c:v>
                </c:pt>
                <c:pt idx="202">
                  <c:v>5.6399999999999999E-2</c:v>
                </c:pt>
                <c:pt idx="203">
                  <c:v>5.6399999999999999E-2</c:v>
                </c:pt>
                <c:pt idx="204">
                  <c:v>5.5999999999999994E-2</c:v>
                </c:pt>
                <c:pt idx="205">
                  <c:v>5.6100000000000004E-2</c:v>
                </c:pt>
                <c:pt idx="206">
                  <c:v>5.6399999999999999E-2</c:v>
                </c:pt>
                <c:pt idx="207">
                  <c:v>5.5999999999999994E-2</c:v>
                </c:pt>
                <c:pt idx="208">
                  <c:v>5.57E-2</c:v>
                </c:pt>
                <c:pt idx="209">
                  <c:v>5.4100000000000002E-2</c:v>
                </c:pt>
                <c:pt idx="210">
                  <c:v>5.33E-2</c:v>
                </c:pt>
                <c:pt idx="211">
                  <c:v>5.2600000000000001E-2</c:v>
                </c:pt>
                <c:pt idx="212">
                  <c:v>5.0700000000000002E-2</c:v>
                </c:pt>
                <c:pt idx="213">
                  <c:v>5.1200000000000002E-2</c:v>
                </c:pt>
                <c:pt idx="214">
                  <c:v>5.2199999999999996E-2</c:v>
                </c:pt>
                <c:pt idx="215">
                  <c:v>5.28E-2</c:v>
                </c:pt>
                <c:pt idx="216">
                  <c:v>5.2300000000000006E-2</c:v>
                </c:pt>
                <c:pt idx="217">
                  <c:v>5.2300000000000006E-2</c:v>
                </c:pt>
                <c:pt idx="218">
                  <c:v>5.1799999999999999E-2</c:v>
                </c:pt>
                <c:pt idx="219">
                  <c:v>5.1799999999999999E-2</c:v>
                </c:pt>
                <c:pt idx="220">
                  <c:v>5.3399999999999996E-2</c:v>
                </c:pt>
                <c:pt idx="221">
                  <c:v>5.3899999999999997E-2</c:v>
                </c:pt>
                <c:pt idx="222">
                  <c:v>5.3699999999999998E-2</c:v>
                </c:pt>
                <c:pt idx="223">
                  <c:v>5.3399999999999996E-2</c:v>
                </c:pt>
                <c:pt idx="224">
                  <c:v>5.3499999999999999E-2</c:v>
                </c:pt>
                <c:pt idx="225">
                  <c:v>5.3200000000000004E-2</c:v>
                </c:pt>
                <c:pt idx="226">
                  <c:v>5.33E-2</c:v>
                </c:pt>
                <c:pt idx="227">
                  <c:v>5.3899999999999997E-2</c:v>
                </c:pt>
                <c:pt idx="228">
                  <c:v>5.5099999999999996E-2</c:v>
                </c:pt>
                <c:pt idx="229">
                  <c:v>5.5300000000000002E-2</c:v>
                </c:pt>
                <c:pt idx="230">
                  <c:v>5.45E-2</c:v>
                </c:pt>
                <c:pt idx="231">
                  <c:v>5.4900000000000004E-2</c:v>
                </c:pt>
                <c:pt idx="232">
                  <c:v>5.4299999999999994E-2</c:v>
                </c:pt>
                <c:pt idx="233">
                  <c:v>5.4299999999999994E-2</c:v>
                </c:pt>
                <c:pt idx="234">
                  <c:v>5.3399999999999996E-2</c:v>
                </c:pt>
                <c:pt idx="235">
                  <c:v>5.3200000000000004E-2</c:v>
                </c:pt>
                <c:pt idx="236">
                  <c:v>5.2999999999999999E-2</c:v>
                </c:pt>
                <c:pt idx="237">
                  <c:v>5.28E-2</c:v>
                </c:pt>
                <c:pt idx="238">
                  <c:v>5.2400000000000002E-2</c:v>
                </c:pt>
                <c:pt idx="239">
                  <c:v>5.2699999999999997E-2</c:v>
                </c:pt>
                <c:pt idx="240">
                  <c:v>5.28E-2</c:v>
                </c:pt>
                <c:pt idx="241">
                  <c:v>5.28E-2</c:v>
                </c:pt>
                <c:pt idx="242">
                  <c:v>5.2900000000000003E-2</c:v>
                </c:pt>
                <c:pt idx="243">
                  <c:v>5.3200000000000004E-2</c:v>
                </c:pt>
                <c:pt idx="244">
                  <c:v>5.3200000000000004E-2</c:v>
                </c:pt>
                <c:pt idx="245">
                  <c:v>5.3699999999999998E-2</c:v>
                </c:pt>
                <c:pt idx="246">
                  <c:v>5.3800000000000001E-2</c:v>
                </c:pt>
                <c:pt idx="247">
                  <c:v>5.3899999999999997E-2</c:v>
                </c:pt>
                <c:pt idx="248">
                  <c:v>5.3899999999999997E-2</c:v>
                </c:pt>
                <c:pt idx="249">
                  <c:v>5.3200000000000004E-2</c:v>
                </c:pt>
                <c:pt idx="250">
                  <c:v>5.2600000000000001E-2</c:v>
                </c:pt>
                <c:pt idx="251">
                  <c:v>5.2600000000000001E-2</c:v>
                </c:pt>
                <c:pt idx="252">
                  <c:v>5.2699999999999997E-2</c:v>
                </c:pt>
                <c:pt idx="253">
                  <c:v>5.3200000000000004E-2</c:v>
                </c:pt>
                <c:pt idx="254">
                  <c:v>5.3499999999999999E-2</c:v>
                </c:pt>
                <c:pt idx="255">
                  <c:v>5.4900000000000004E-2</c:v>
                </c:pt>
                <c:pt idx="256">
                  <c:v>5.4800000000000001E-2</c:v>
                </c:pt>
                <c:pt idx="257">
                  <c:v>5.4400000000000004E-2</c:v>
                </c:pt>
                <c:pt idx="258">
                  <c:v>5.4600000000000003E-2</c:v>
                </c:pt>
                <c:pt idx="259">
                  <c:v>5.4800000000000001E-2</c:v>
                </c:pt>
                <c:pt idx="260">
                  <c:v>5.5399999999999998E-2</c:v>
                </c:pt>
                <c:pt idx="261">
                  <c:v>5.5999999999999994E-2</c:v>
                </c:pt>
                <c:pt idx="262">
                  <c:v>5.4900000000000004E-2</c:v>
                </c:pt>
                <c:pt idx="263">
                  <c:v>5.5300000000000002E-2</c:v>
                </c:pt>
                <c:pt idx="264">
                  <c:v>5.6399999999999999E-2</c:v>
                </c:pt>
                <c:pt idx="265">
                  <c:v>5.57E-2</c:v>
                </c:pt>
                <c:pt idx="266">
                  <c:v>5.6799999999999996E-2</c:v>
                </c:pt>
                <c:pt idx="267">
                  <c:v>5.7699999999999994E-2</c:v>
                </c:pt>
                <c:pt idx="268">
                  <c:v>5.8700000000000002E-2</c:v>
                </c:pt>
                <c:pt idx="269">
                  <c:v>5.7800000000000004E-2</c:v>
                </c:pt>
                <c:pt idx="270">
                  <c:v>5.7800000000000004E-2</c:v>
                </c:pt>
                <c:pt idx="271">
                  <c:v>5.8299999999999998E-2</c:v>
                </c:pt>
                <c:pt idx="272">
                  <c:v>5.9500000000000004E-2</c:v>
                </c:pt>
                <c:pt idx="273">
                  <c:v>5.96E-2</c:v>
                </c:pt>
                <c:pt idx="274">
                  <c:v>5.9800000000000006E-2</c:v>
                </c:pt>
                <c:pt idx="275">
                  <c:v>5.7999999999999996E-2</c:v>
                </c:pt>
                <c:pt idx="276">
                  <c:v>5.7300000000000004E-2</c:v>
                </c:pt>
                <c:pt idx="277">
                  <c:v>5.8299999999999998E-2</c:v>
                </c:pt>
                <c:pt idx="278">
                  <c:v>5.74E-2</c:v>
                </c:pt>
                <c:pt idx="279">
                  <c:v>5.6900000000000006E-2</c:v>
                </c:pt>
                <c:pt idx="280">
                  <c:v>5.7599999999999998E-2</c:v>
                </c:pt>
                <c:pt idx="281">
                  <c:v>5.79E-2</c:v>
                </c:pt>
                <c:pt idx="282">
                  <c:v>5.7699999999999994E-2</c:v>
                </c:pt>
                <c:pt idx="283">
                  <c:v>5.7500000000000002E-2</c:v>
                </c:pt>
                <c:pt idx="284">
                  <c:v>5.74E-2</c:v>
                </c:pt>
                <c:pt idx="285">
                  <c:v>5.6600000000000004E-2</c:v>
                </c:pt>
                <c:pt idx="286">
                  <c:v>5.6399999999999999E-2</c:v>
                </c:pt>
                <c:pt idx="287">
                  <c:v>5.5899999999999998E-2</c:v>
                </c:pt>
                <c:pt idx="288">
                  <c:v>5.5899999999999998E-2</c:v>
                </c:pt>
                <c:pt idx="289">
                  <c:v>5.5899999999999998E-2</c:v>
                </c:pt>
                <c:pt idx="290">
                  <c:v>5.6600000000000004E-2</c:v>
                </c:pt>
                <c:pt idx="291">
                  <c:v>5.6299999999999996E-2</c:v>
                </c:pt>
                <c:pt idx="292">
                  <c:v>5.6100000000000004E-2</c:v>
                </c:pt>
                <c:pt idx="293">
                  <c:v>5.5199999999999999E-2</c:v>
                </c:pt>
                <c:pt idx="294">
                  <c:v>5.57E-2</c:v>
                </c:pt>
                <c:pt idx="295">
                  <c:v>5.57E-2</c:v>
                </c:pt>
                <c:pt idx="296">
                  <c:v>5.6100000000000004E-2</c:v>
                </c:pt>
                <c:pt idx="297">
                  <c:v>5.67E-2</c:v>
                </c:pt>
                <c:pt idx="298">
                  <c:v>5.6500000000000002E-2</c:v>
                </c:pt>
                <c:pt idx="299">
                  <c:v>5.67E-2</c:v>
                </c:pt>
                <c:pt idx="300">
                  <c:v>5.6600000000000004E-2</c:v>
                </c:pt>
                <c:pt idx="301">
                  <c:v>5.6799999999999996E-2</c:v>
                </c:pt>
                <c:pt idx="302">
                  <c:v>5.7300000000000004E-2</c:v>
                </c:pt>
                <c:pt idx="303">
                  <c:v>5.7999999999999996E-2</c:v>
                </c:pt>
                <c:pt idx="304">
                  <c:v>5.8299999999999998E-2</c:v>
                </c:pt>
                <c:pt idx="305">
                  <c:v>5.8899999999999994E-2</c:v>
                </c:pt>
                <c:pt idx="306">
                  <c:v>5.8499999999999996E-2</c:v>
                </c:pt>
                <c:pt idx="307">
                  <c:v>5.9299999999999999E-2</c:v>
                </c:pt>
                <c:pt idx="308">
                  <c:v>5.8400000000000001E-2</c:v>
                </c:pt>
                <c:pt idx="309">
                  <c:v>5.8700000000000002E-2</c:v>
                </c:pt>
                <c:pt idx="310">
                  <c:v>5.8700000000000002E-2</c:v>
                </c:pt>
                <c:pt idx="311">
                  <c:v>5.9000000000000004E-2</c:v>
                </c:pt>
                <c:pt idx="312">
                  <c:v>5.9000000000000004E-2</c:v>
                </c:pt>
                <c:pt idx="313">
                  <c:v>5.9000000000000004E-2</c:v>
                </c:pt>
                <c:pt idx="314">
                  <c:v>5.9000000000000004E-2</c:v>
                </c:pt>
                <c:pt idx="315">
                  <c:v>5.9500000000000004E-2</c:v>
                </c:pt>
                <c:pt idx="316">
                  <c:v>5.9900000000000002E-2</c:v>
                </c:pt>
                <c:pt idx="317">
                  <c:v>5.9699999999999996E-2</c:v>
                </c:pt>
                <c:pt idx="318">
                  <c:v>0.06</c:v>
                </c:pt>
                <c:pt idx="319">
                  <c:v>6.0499999999999998E-2</c:v>
                </c:pt>
                <c:pt idx="320">
                  <c:v>6.08E-2</c:v>
                </c:pt>
                <c:pt idx="321">
                  <c:v>6.1500000000000006E-2</c:v>
                </c:pt>
                <c:pt idx="322">
                  <c:v>6.0100000000000001E-2</c:v>
                </c:pt>
                <c:pt idx="323">
                  <c:v>5.9299999999999999E-2</c:v>
                </c:pt>
                <c:pt idx="324">
                  <c:v>5.96E-2</c:v>
                </c:pt>
                <c:pt idx="325">
                  <c:v>5.9800000000000006E-2</c:v>
                </c:pt>
                <c:pt idx="326">
                  <c:v>5.96E-2</c:v>
                </c:pt>
                <c:pt idx="327">
                  <c:v>5.9000000000000004E-2</c:v>
                </c:pt>
                <c:pt idx="328">
                  <c:v>5.9500000000000004E-2</c:v>
                </c:pt>
                <c:pt idx="329">
                  <c:v>5.9699999999999996E-2</c:v>
                </c:pt>
                <c:pt idx="330">
                  <c:v>5.9400000000000001E-2</c:v>
                </c:pt>
                <c:pt idx="331">
                  <c:v>5.9299999999999999E-2</c:v>
                </c:pt>
                <c:pt idx="332">
                  <c:v>5.9299999999999999E-2</c:v>
                </c:pt>
                <c:pt idx="333">
                  <c:v>5.8700000000000002E-2</c:v>
                </c:pt>
                <c:pt idx="334">
                  <c:v>5.8499999999999996E-2</c:v>
                </c:pt>
                <c:pt idx="335">
                  <c:v>5.8600000000000006E-2</c:v>
                </c:pt>
                <c:pt idx="336">
                  <c:v>5.8600000000000006E-2</c:v>
                </c:pt>
                <c:pt idx="337">
                  <c:v>5.8600000000000006E-2</c:v>
                </c:pt>
                <c:pt idx="338">
                  <c:v>5.8200000000000002E-2</c:v>
                </c:pt>
                <c:pt idx="339">
                  <c:v>5.8099999999999999E-2</c:v>
                </c:pt>
                <c:pt idx="340">
                  <c:v>5.9200000000000003E-2</c:v>
                </c:pt>
                <c:pt idx="341">
                  <c:v>5.8799999999999998E-2</c:v>
                </c:pt>
                <c:pt idx="342">
                  <c:v>5.9900000000000002E-2</c:v>
                </c:pt>
                <c:pt idx="343">
                  <c:v>5.8600000000000006E-2</c:v>
                </c:pt>
                <c:pt idx="344">
                  <c:v>5.7599999999999998E-2</c:v>
                </c:pt>
                <c:pt idx="345">
                  <c:v>5.8099999999999999E-2</c:v>
                </c:pt>
                <c:pt idx="346">
                  <c:v>5.8299999999999998E-2</c:v>
                </c:pt>
                <c:pt idx="347">
                  <c:v>5.8799999999999998E-2</c:v>
                </c:pt>
                <c:pt idx="348">
                  <c:v>5.9000000000000004E-2</c:v>
                </c:pt>
                <c:pt idx="349">
                  <c:v>5.8899999999999994E-2</c:v>
                </c:pt>
                <c:pt idx="350">
                  <c:v>5.8899999999999994E-2</c:v>
                </c:pt>
                <c:pt idx="351">
                  <c:v>5.8600000000000006E-2</c:v>
                </c:pt>
                <c:pt idx="352">
                  <c:v>5.8299999999999998E-2</c:v>
                </c:pt>
                <c:pt idx="353">
                  <c:v>5.7999999999999996E-2</c:v>
                </c:pt>
                <c:pt idx="354">
                  <c:v>5.7500000000000002E-2</c:v>
                </c:pt>
                <c:pt idx="355">
                  <c:v>5.8200000000000002E-2</c:v>
                </c:pt>
                <c:pt idx="356">
                  <c:v>5.7999999999999996E-2</c:v>
                </c:pt>
                <c:pt idx="357">
                  <c:v>5.8899999999999994E-2</c:v>
                </c:pt>
                <c:pt idx="358">
                  <c:v>5.9500000000000004E-2</c:v>
                </c:pt>
                <c:pt idx="359">
                  <c:v>5.9800000000000006E-2</c:v>
                </c:pt>
                <c:pt idx="360">
                  <c:v>5.9699999999999996E-2</c:v>
                </c:pt>
                <c:pt idx="361">
                  <c:v>5.9500000000000004E-2</c:v>
                </c:pt>
                <c:pt idx="362">
                  <c:v>5.9900000000000002E-2</c:v>
                </c:pt>
                <c:pt idx="363">
                  <c:v>5.96E-2</c:v>
                </c:pt>
                <c:pt idx="364">
                  <c:v>5.9000000000000004E-2</c:v>
                </c:pt>
                <c:pt idx="365">
                  <c:v>5.8499999999999996E-2</c:v>
                </c:pt>
                <c:pt idx="366">
                  <c:v>5.8799999999999998E-2</c:v>
                </c:pt>
                <c:pt idx="367">
                  <c:v>5.8899999999999994E-2</c:v>
                </c:pt>
                <c:pt idx="368">
                  <c:v>5.8499999999999996E-2</c:v>
                </c:pt>
                <c:pt idx="369">
                  <c:v>5.8400000000000001E-2</c:v>
                </c:pt>
                <c:pt idx="370">
                  <c:v>5.8600000000000006E-2</c:v>
                </c:pt>
                <c:pt idx="371">
                  <c:v>5.8400000000000001E-2</c:v>
                </c:pt>
                <c:pt idx="372">
                  <c:v>5.8299999999999998E-2</c:v>
                </c:pt>
                <c:pt idx="373">
                  <c:v>5.8400000000000001E-2</c:v>
                </c:pt>
                <c:pt idx="374">
                  <c:v>5.8099999999999999E-2</c:v>
                </c:pt>
                <c:pt idx="375">
                  <c:v>5.7300000000000004E-2</c:v>
                </c:pt>
                <c:pt idx="376">
                  <c:v>5.6900000000000006E-2</c:v>
                </c:pt>
                <c:pt idx="377">
                  <c:v>5.6799999999999996E-2</c:v>
                </c:pt>
                <c:pt idx="378">
                  <c:v>5.5199999999999999E-2</c:v>
                </c:pt>
                <c:pt idx="379">
                  <c:v>5.3330000000000002E-2</c:v>
                </c:pt>
                <c:pt idx="380">
                  <c:v>5.3499999999999999E-2</c:v>
                </c:pt>
                <c:pt idx="381">
                  <c:v>5.3899999999999997E-2</c:v>
                </c:pt>
                <c:pt idx="382">
                  <c:v>5.4199999999999998E-2</c:v>
                </c:pt>
                <c:pt idx="383">
                  <c:v>5.3099999999999994E-2</c:v>
                </c:pt>
                <c:pt idx="384">
                  <c:v>5.2699999999999997E-2</c:v>
                </c:pt>
                <c:pt idx="385">
                  <c:v>5.2300000000000006E-2</c:v>
                </c:pt>
                <c:pt idx="386">
                  <c:v>5.2400000000000002E-2</c:v>
                </c:pt>
                <c:pt idx="387">
                  <c:v>5.2600000000000001E-2</c:v>
                </c:pt>
                <c:pt idx="388">
                  <c:v>5.2499999999999998E-2</c:v>
                </c:pt>
                <c:pt idx="389">
                  <c:v>5.2199999999999996E-2</c:v>
                </c:pt>
                <c:pt idx="390">
                  <c:v>5.1900000000000002E-2</c:v>
                </c:pt>
                <c:pt idx="391">
                  <c:v>5.2900000000000003E-2</c:v>
                </c:pt>
                <c:pt idx="392">
                  <c:v>5.2999999999999999E-2</c:v>
                </c:pt>
                <c:pt idx="393">
                  <c:v>5.2600000000000001E-2</c:v>
                </c:pt>
                <c:pt idx="394">
                  <c:v>5.2900000000000003E-2</c:v>
                </c:pt>
                <c:pt idx="395">
                  <c:v>5.2199999999999996E-2</c:v>
                </c:pt>
                <c:pt idx="396">
                  <c:v>5.2300000000000006E-2</c:v>
                </c:pt>
                <c:pt idx="397">
                  <c:v>5.2199999999999996E-2</c:v>
                </c:pt>
                <c:pt idx="398">
                  <c:v>5.3600000000000002E-2</c:v>
                </c:pt>
                <c:pt idx="399">
                  <c:v>5.28E-2</c:v>
                </c:pt>
                <c:pt idx="400">
                  <c:v>5.2499999999999998E-2</c:v>
                </c:pt>
                <c:pt idx="401">
                  <c:v>5.3499999999999999E-2</c:v>
                </c:pt>
                <c:pt idx="402">
                  <c:v>5.3699999999999998E-2</c:v>
                </c:pt>
                <c:pt idx="403">
                  <c:v>5.45E-2</c:v>
                </c:pt>
                <c:pt idx="404">
                  <c:v>5.4400000000000004E-2</c:v>
                </c:pt>
                <c:pt idx="405">
                  <c:v>5.45E-2</c:v>
                </c:pt>
                <c:pt idx="406">
                  <c:v>5.4100000000000002E-2</c:v>
                </c:pt>
                <c:pt idx="407">
                  <c:v>5.4199999999999998E-2</c:v>
                </c:pt>
                <c:pt idx="408">
                  <c:v>5.5500000000000001E-2</c:v>
                </c:pt>
                <c:pt idx="409">
                  <c:v>5.5099999999999996E-2</c:v>
                </c:pt>
                <c:pt idx="410">
                  <c:v>5.5E-2</c:v>
                </c:pt>
                <c:pt idx="411">
                  <c:v>5.5500000000000001E-2</c:v>
                </c:pt>
                <c:pt idx="412">
                  <c:v>5.5399999999999998E-2</c:v>
                </c:pt>
                <c:pt idx="413">
                  <c:v>5.57E-2</c:v>
                </c:pt>
                <c:pt idx="414">
                  <c:v>5.5399999999999998E-2</c:v>
                </c:pt>
                <c:pt idx="415">
                  <c:v>5.5300000000000002E-2</c:v>
                </c:pt>
                <c:pt idx="416">
                  <c:v>5.45E-2</c:v>
                </c:pt>
                <c:pt idx="417">
                  <c:v>5.3699999999999998E-2</c:v>
                </c:pt>
                <c:pt idx="418">
                  <c:v>5.4600000000000003E-2</c:v>
                </c:pt>
                <c:pt idx="419">
                  <c:v>5.5E-2</c:v>
                </c:pt>
                <c:pt idx="420">
                  <c:v>5.5E-2</c:v>
                </c:pt>
                <c:pt idx="421">
                  <c:v>5.5199999999999999E-2</c:v>
                </c:pt>
                <c:pt idx="422">
                  <c:v>5.5999999999999994E-2</c:v>
                </c:pt>
                <c:pt idx="423">
                  <c:v>5.6399999999999999E-2</c:v>
                </c:pt>
                <c:pt idx="424">
                  <c:v>5.5800000000000002E-2</c:v>
                </c:pt>
                <c:pt idx="425">
                  <c:v>5.5800000000000002E-2</c:v>
                </c:pt>
                <c:pt idx="426">
                  <c:v>5.5300000000000002E-2</c:v>
                </c:pt>
                <c:pt idx="427">
                  <c:v>5.602E-2</c:v>
                </c:pt>
                <c:pt idx="428">
                  <c:v>5.67E-2</c:v>
                </c:pt>
                <c:pt idx="429">
                  <c:v>5.6900000000000006E-2</c:v>
                </c:pt>
                <c:pt idx="430">
                  <c:v>5.6600000000000004E-2</c:v>
                </c:pt>
                <c:pt idx="431">
                  <c:v>5.7200000000000001E-2</c:v>
                </c:pt>
                <c:pt idx="432">
                  <c:v>5.7000000000000002E-2</c:v>
                </c:pt>
                <c:pt idx="433">
                  <c:v>5.5899999999999998E-2</c:v>
                </c:pt>
                <c:pt idx="434">
                  <c:v>5.5500000000000001E-2</c:v>
                </c:pt>
                <c:pt idx="435">
                  <c:v>5.5399999999999998E-2</c:v>
                </c:pt>
                <c:pt idx="436">
                  <c:v>5.5500000000000001E-2</c:v>
                </c:pt>
                <c:pt idx="437">
                  <c:v>5.5399999999999998E-2</c:v>
                </c:pt>
                <c:pt idx="438">
                  <c:v>5.5199999999999999E-2</c:v>
                </c:pt>
                <c:pt idx="439">
                  <c:v>5.4800000000000001E-2</c:v>
                </c:pt>
                <c:pt idx="440">
                  <c:v>5.4400000000000004E-2</c:v>
                </c:pt>
                <c:pt idx="441">
                  <c:v>5.4100000000000002E-2</c:v>
                </c:pt>
                <c:pt idx="442">
                  <c:v>5.4400000000000004E-2</c:v>
                </c:pt>
                <c:pt idx="443">
                  <c:v>5.4900000000000004E-2</c:v>
                </c:pt>
                <c:pt idx="444">
                  <c:v>5.4600000000000003E-2</c:v>
                </c:pt>
                <c:pt idx="445">
                  <c:v>5.45E-2</c:v>
                </c:pt>
                <c:pt idx="446">
                  <c:v>5.4400000000000004E-2</c:v>
                </c:pt>
                <c:pt idx="447">
                  <c:v>5.4800000000000001E-2</c:v>
                </c:pt>
                <c:pt idx="448">
                  <c:v>5.4800000000000001E-2</c:v>
                </c:pt>
                <c:pt idx="449">
                  <c:v>5.4900000000000004E-2</c:v>
                </c:pt>
                <c:pt idx="450">
                  <c:v>5.5099999999999996E-2</c:v>
                </c:pt>
                <c:pt idx="451">
                  <c:v>5.5E-2</c:v>
                </c:pt>
                <c:pt idx="452">
                  <c:v>5.4900000000000004E-2</c:v>
                </c:pt>
                <c:pt idx="453">
                  <c:v>5.4199999999999998E-2</c:v>
                </c:pt>
                <c:pt idx="454">
                  <c:v>5.4299999999999994E-2</c:v>
                </c:pt>
                <c:pt idx="455">
                  <c:v>5.4900000000000004E-2</c:v>
                </c:pt>
                <c:pt idx="456">
                  <c:v>5.4800000000000001E-2</c:v>
                </c:pt>
                <c:pt idx="457">
                  <c:v>5.4299999999999994E-2</c:v>
                </c:pt>
                <c:pt idx="458">
                  <c:v>5.4000000000000006E-2</c:v>
                </c:pt>
                <c:pt idx="459">
                  <c:v>5.4299999999999994E-2</c:v>
                </c:pt>
                <c:pt idx="460">
                  <c:v>5.4800000000000001E-2</c:v>
                </c:pt>
                <c:pt idx="461">
                  <c:v>5.4299999999999994E-2</c:v>
                </c:pt>
                <c:pt idx="462">
                  <c:v>5.4400000000000004E-2</c:v>
                </c:pt>
                <c:pt idx="463">
                  <c:v>5.4299999999999994E-2</c:v>
                </c:pt>
                <c:pt idx="464">
                  <c:v>5.4400000000000004E-2</c:v>
                </c:pt>
                <c:pt idx="465">
                  <c:v>5.3699999999999998E-2</c:v>
                </c:pt>
                <c:pt idx="466">
                  <c:v>5.4199999999999998E-2</c:v>
                </c:pt>
                <c:pt idx="467">
                  <c:v>5.4000000000000006E-2</c:v>
                </c:pt>
                <c:pt idx="468">
                  <c:v>5.4000000000000006E-2</c:v>
                </c:pt>
                <c:pt idx="469">
                  <c:v>5.3800000000000001E-2</c:v>
                </c:pt>
                <c:pt idx="470">
                  <c:v>5.3800000000000001E-2</c:v>
                </c:pt>
                <c:pt idx="471">
                  <c:v>5.4100000000000002E-2</c:v>
                </c:pt>
                <c:pt idx="472">
                  <c:v>5.4100000000000002E-2</c:v>
                </c:pt>
                <c:pt idx="473">
                  <c:v>5.4100000000000002E-2</c:v>
                </c:pt>
                <c:pt idx="474">
                  <c:v>5.4199999999999998E-2</c:v>
                </c:pt>
                <c:pt idx="475">
                  <c:v>5.4299999999999994E-2</c:v>
                </c:pt>
                <c:pt idx="476">
                  <c:v>5.4199999999999998E-2</c:v>
                </c:pt>
                <c:pt idx="477">
                  <c:v>5.4000000000000006E-2</c:v>
                </c:pt>
                <c:pt idx="478">
                  <c:v>5.4600000000000003E-2</c:v>
                </c:pt>
                <c:pt idx="479">
                  <c:v>5.5E-2</c:v>
                </c:pt>
                <c:pt idx="480">
                  <c:v>5.5399999999999998E-2</c:v>
                </c:pt>
                <c:pt idx="481">
                  <c:v>5.5099999999999996E-2</c:v>
                </c:pt>
                <c:pt idx="482">
                  <c:v>5.5199999999999999E-2</c:v>
                </c:pt>
                <c:pt idx="483">
                  <c:v>5.5E-2</c:v>
                </c:pt>
                <c:pt idx="484">
                  <c:v>5.5199999999999999E-2</c:v>
                </c:pt>
                <c:pt idx="485">
                  <c:v>5.45E-2</c:v>
                </c:pt>
                <c:pt idx="486">
                  <c:v>5.4199999999999998E-2</c:v>
                </c:pt>
                <c:pt idx="487">
                  <c:v>5.4299999999999994E-2</c:v>
                </c:pt>
                <c:pt idx="488">
                  <c:v>5.4800000000000001E-2</c:v>
                </c:pt>
                <c:pt idx="489">
                  <c:v>5.45E-2</c:v>
                </c:pt>
                <c:pt idx="490">
                  <c:v>5.4600000000000003E-2</c:v>
                </c:pt>
                <c:pt idx="491">
                  <c:v>5.4699999999999999E-2</c:v>
                </c:pt>
                <c:pt idx="492">
                  <c:v>5.4800000000000001E-2</c:v>
                </c:pt>
                <c:pt idx="493">
                  <c:v>5.4900000000000004E-2</c:v>
                </c:pt>
                <c:pt idx="494">
                  <c:v>5.4900000000000004E-2</c:v>
                </c:pt>
                <c:pt idx="495">
                  <c:v>5.5199999999999999E-2</c:v>
                </c:pt>
                <c:pt idx="496">
                  <c:v>5.4800000000000001E-2</c:v>
                </c:pt>
                <c:pt idx="497">
                  <c:v>5.4699999999999999E-2</c:v>
                </c:pt>
                <c:pt idx="498">
                  <c:v>5.4699999999999999E-2</c:v>
                </c:pt>
                <c:pt idx="499">
                  <c:v>5.5099999999999996E-2</c:v>
                </c:pt>
                <c:pt idx="500">
                  <c:v>5.5300000000000002E-2</c:v>
                </c:pt>
                <c:pt idx="501">
                  <c:v>5.5300000000000002E-2</c:v>
                </c:pt>
                <c:pt idx="502">
                  <c:v>5.4800000000000001E-2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D82-4B97-B730-631CB11DB5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03059008"/>
        <c:axId val="1303052344"/>
      </c:lineChart>
      <c:catAx>
        <c:axId val="1303059008"/>
        <c:scaling>
          <c:orientation val="minMax"/>
        </c:scaling>
        <c:delete val="1"/>
        <c:axPos val="b"/>
        <c:numFmt formatCode="mm/yy" sourceLinked="0"/>
        <c:majorTickMark val="out"/>
        <c:minorTickMark val="none"/>
        <c:tickLblPos val="low"/>
        <c:crossAx val="1303052344"/>
        <c:crossesAt val="5.000000000000001E-3"/>
        <c:auto val="1"/>
        <c:lblAlgn val="ctr"/>
        <c:lblOffset val="0"/>
        <c:tickLblSkip val="2"/>
        <c:tickMarkSkip val="1"/>
        <c:noMultiLvlLbl val="0"/>
      </c:catAx>
      <c:valAx>
        <c:axId val="1303052344"/>
        <c:scaling>
          <c:orientation val="minMax"/>
          <c:max val="6.5000000000000016E-2"/>
          <c:min val="4.0000000000000008E-2"/>
        </c:scaling>
        <c:delete val="0"/>
        <c:axPos val="l"/>
        <c:numFmt formatCode="0.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Lato" panose="020F0502020204030203" pitchFamily="34" charset="-18"/>
                <a:ea typeface="Arial Narrow"/>
                <a:cs typeface="Arial Narrow"/>
              </a:defRPr>
            </a:pPr>
            <a:endParaRPr lang="pl-PL"/>
          </a:p>
        </c:txPr>
        <c:crossAx val="1303059008"/>
        <c:crosses val="autoZero"/>
        <c:crossBetween val="between"/>
        <c:majorUnit val="5.000000000000001E-3"/>
        <c:minorUnit val="5.000000000000001E-3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8.7968166891723515E-2"/>
          <c:y val="8.3960784068708758E-2"/>
          <c:w val="0.46394017861861225"/>
          <c:h val="6.628640802713387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Lato" panose="020F0502020204030203" pitchFamily="34" charset="-18"/>
              <a:ea typeface="Arial Narrow"/>
              <a:cs typeface="Arial Narrow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Arial Narrow"/>
          <a:ea typeface="Arial Narrow"/>
          <a:cs typeface="Arial Narrow"/>
        </a:defRPr>
      </a:pPr>
      <a:endParaRPr lang="pl-PL"/>
    </a:p>
  </c:txPr>
  <c:externalData r:id="rId2">
    <c:autoUpdate val="0"/>
  </c:externalData>
  <c:userShapes r:id="rId3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0.07248</cdr:x>
      <cdr:y>0.86495</cdr:y>
    </cdr:from>
    <cdr:to>
      <cdr:x>0.99685</cdr:x>
      <cdr:y>1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EEFC9791-F2A9-4A6A-8D9C-9F1775936E83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674075" y="5255846"/>
          <a:ext cx="8596925" cy="82061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C387E-C44A-49B9-AB9C-494CD9FF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Objaśnienia podatkowe - ogólny szablon MF</Template>
  <TotalTime>470</TotalTime>
  <Pages>15</Pages>
  <Words>2211</Words>
  <Characters>13267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Madziar Anna</dc:creator>
  <cp:keywords/>
  <dc:description/>
  <cp:lastModifiedBy>Izdebska Agnieszka</cp:lastModifiedBy>
  <cp:revision>51</cp:revision>
  <cp:lastPrinted>2026-02-02T13:10:00Z</cp:lastPrinted>
  <dcterms:created xsi:type="dcterms:W3CDTF">2026-01-15T09:03:00Z</dcterms:created>
  <dcterms:modified xsi:type="dcterms:W3CDTF">2026-02-02T13:10:00Z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UxC4dwLulzfINJ8nQH+xvX5LNGipWa4BRSZhPgxsCvkO5bT1TUXA8pFPPNtbR0eX12nutXzRhxCIpsxUm2MQYQ==</vt:lpwstr>
  </property>
  <property fmtid="{D5CDD505-2E9C-101B-9397-08002B2CF9AE}" pid="4" name="MFClassificationDate">
    <vt:lpwstr>2023-06-02T11:51:01.2985657+02:00</vt:lpwstr>
  </property>
  <property fmtid="{D5CDD505-2E9C-101B-9397-08002B2CF9AE}" pid="5" name="MFClassifiedBySID">
    <vt:lpwstr>UxC4dwLulzfINJ8nQH+xvX5LNGipWa4BRSZhPgxsCvm42mrIC/DSDv0ggS+FjUN/2v1BBotkLlY5aAiEhoi6ue54e+U1VL9VW4cbi+DeQ1VebKfiNeh1KW2i8LH7vszL</vt:lpwstr>
  </property>
  <property fmtid="{D5CDD505-2E9C-101B-9397-08002B2CF9AE}" pid="6" name="MFGRNItemId">
    <vt:lpwstr>GRN-1155d689-b555-40c8-a4d1-f3b6f31e69d1</vt:lpwstr>
  </property>
  <property fmtid="{D5CDD505-2E9C-101B-9397-08002B2CF9AE}" pid="7" name="MFHash">
    <vt:lpwstr>KPeG/+tkC1sCYso7vqKymYBVPFFej05QvoWdLVTm3FY=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