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5642A" w14:textId="77777777" w:rsidR="00F6381B" w:rsidRDefault="004226D5">
      <w:pPr>
        <w:spacing w:after="60"/>
        <w:jc w:val="center"/>
      </w:pPr>
      <w:r>
        <w:rPr>
          <w:b/>
          <w:bCs/>
          <w:sz w:val="20"/>
          <w:szCs w:val="20"/>
        </w:rPr>
        <w:t>ZAŁĄCZNIK NR 1 DO OGŁOSZENIA O SZACOWANIU WARTOŚCI ZAMÓWIENIA</w:t>
      </w:r>
    </w:p>
    <w:p w14:paraId="4D2061B8" w14:textId="77777777" w:rsidR="00F6381B" w:rsidRDefault="004226D5">
      <w:pPr>
        <w:spacing w:after="60"/>
        <w:jc w:val="center"/>
      </w:pPr>
      <w:r>
        <w:rPr>
          <w:b/>
          <w:bCs/>
          <w:sz w:val="40"/>
          <w:szCs w:val="40"/>
        </w:rPr>
        <w:t>Opis przedmiotu szacowania</w:t>
      </w:r>
    </w:p>
    <w:p w14:paraId="6E51AE1A" w14:textId="77777777" w:rsidR="00F6381B" w:rsidRDefault="004226D5">
      <w:pPr>
        <w:spacing w:after="160"/>
        <w:jc w:val="center"/>
      </w:pPr>
      <w:r>
        <w:rPr>
          <w:i/>
          <w:iCs/>
        </w:rPr>
        <w:t>Dostawa, wdrożenie i utrzymanie usług chmurowych dla Systemu Obsługi Postępowań z zakresu Ocen Oddziaływania na Środowisko (SOPOOŚ) – Etap I</w:t>
      </w:r>
    </w:p>
    <w:p w14:paraId="4E91089E" w14:textId="77777777" w:rsidR="00F6381B" w:rsidRDefault="004226D5">
      <w:pPr>
        <w:pStyle w:val="Nagwek1"/>
        <w:keepNext/>
      </w:pPr>
      <w:r>
        <w:t>Metryczka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F6381B" w14:paraId="76FD4C3A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461E7" w14:textId="77777777" w:rsidR="00F6381B" w:rsidRDefault="004226D5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Nazwa projektu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2C9FDB" w14:textId="77777777" w:rsidR="00F6381B" w:rsidRDefault="004226D5">
            <w:pPr>
              <w:spacing w:after="30"/>
            </w:pPr>
            <w:r>
              <w:rPr>
                <w:sz w:val="20"/>
                <w:szCs w:val="20"/>
              </w:rPr>
              <w:t>System Obsługi Postępowań w sprawie Ocen Oddziaływania na Środowisko (SOPOOŚ) – Etap I</w:t>
            </w:r>
          </w:p>
        </w:tc>
      </w:tr>
      <w:tr w:rsidR="00F6381B" w14:paraId="0D88F6F3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624BB2" w14:textId="77777777" w:rsidR="00F6381B" w:rsidRDefault="004226D5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Zamawiający / właściciel systemu / Lider projektu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FEEAF8" w14:textId="77777777" w:rsidR="00F6381B" w:rsidRDefault="004226D5">
            <w:pPr>
              <w:spacing w:after="30"/>
            </w:pPr>
            <w:r>
              <w:rPr>
                <w:sz w:val="20"/>
                <w:szCs w:val="20"/>
              </w:rPr>
              <w:t>Generalna Dyrekcja Ochrony Środowiska (GDOŚ)</w:t>
            </w:r>
          </w:p>
        </w:tc>
      </w:tr>
      <w:tr w:rsidR="00F6381B" w14:paraId="2ADB68B7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68D5C" w14:textId="77777777" w:rsidR="00F6381B" w:rsidRDefault="004226D5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Partner projektu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9EE66" w14:textId="77777777" w:rsidR="00F6381B" w:rsidRDefault="004226D5">
            <w:pPr>
              <w:spacing w:after="30"/>
            </w:pPr>
            <w:r>
              <w:rPr>
                <w:sz w:val="20"/>
                <w:szCs w:val="20"/>
              </w:rPr>
              <w:t>Sieć Badawcza Łukasiewicz – Poznański Instytut Technologiczny (Ł-PIT)</w:t>
            </w:r>
          </w:p>
        </w:tc>
      </w:tr>
      <w:tr w:rsidR="00F6381B" w14:paraId="33FBADB2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4D0E05" w14:textId="77777777" w:rsidR="00F6381B" w:rsidRDefault="004226D5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Rodzaj dokumentu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1FB1FB" w14:textId="77777777" w:rsidR="00F6381B" w:rsidRDefault="004226D5">
            <w:pPr>
              <w:spacing w:after="30"/>
            </w:pPr>
            <w:r>
              <w:rPr>
                <w:sz w:val="20"/>
                <w:szCs w:val="20"/>
              </w:rPr>
              <w:t>Opis przedmiotu szacowania wartości zamówienia; nie stanowi zapytania ofertowego ani opisu przedmiotu zamówienia (OPZ)</w:t>
            </w:r>
          </w:p>
        </w:tc>
      </w:tr>
      <w:tr w:rsidR="00F6381B" w14:paraId="0D59634C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35264" w14:textId="77777777" w:rsidR="00F6381B" w:rsidRDefault="004226D5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Autor / kontakt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BCA02C" w14:textId="77777777" w:rsidR="00F6381B" w:rsidRDefault="004226D5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Krzysztof Kaczyński,</w:t>
            </w:r>
            <w:r>
              <w:rPr>
                <w:sz w:val="20"/>
                <w:szCs w:val="20"/>
              </w:rPr>
              <w:t xml:space="preserve"> Wydział Informatyki GDOŚ</w:t>
            </w:r>
          </w:p>
        </w:tc>
      </w:tr>
      <w:tr w:rsidR="00F6381B" w14:paraId="27A45ECE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430DA3" w14:textId="77777777" w:rsidR="00F6381B" w:rsidRDefault="004226D5">
            <w:pPr>
              <w:spacing w:after="30"/>
            </w:pPr>
            <w:r>
              <w:rPr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6EF470" w14:textId="77777777" w:rsidR="00F6381B" w:rsidRDefault="004226D5">
            <w:pPr>
              <w:spacing w:after="30"/>
            </w:pPr>
            <w:r>
              <w:rPr>
                <w:sz w:val="20"/>
                <w:szCs w:val="20"/>
              </w:rPr>
              <w:t>Do szacowania wartości zamówienia</w:t>
            </w:r>
          </w:p>
        </w:tc>
      </w:tr>
    </w:tbl>
    <w:p w14:paraId="67D5D0D0" w14:textId="77777777" w:rsidR="00F6381B" w:rsidRDefault="00F6381B">
      <w:pPr>
        <w:spacing w:after="80"/>
      </w:pPr>
    </w:p>
    <w:p w14:paraId="10B89C73" w14:textId="77777777" w:rsidR="00F6381B" w:rsidRPr="00942559" w:rsidRDefault="004226D5">
      <w:pPr>
        <w:spacing w:before="120" w:after="60"/>
      </w:pPr>
      <w:r w:rsidRPr="00942559">
        <w:rPr>
          <w:b/>
          <w:bCs/>
          <w:sz w:val="24"/>
          <w:szCs w:val="24"/>
        </w:rPr>
        <w:t>Spis treści</w:t>
      </w:r>
    </w:p>
    <w:p w14:paraId="155695F0" w14:textId="77777777" w:rsidR="00F6381B" w:rsidRPr="00942559" w:rsidRDefault="004226D5">
      <w:pPr>
        <w:spacing w:after="20"/>
      </w:pPr>
      <w:r w:rsidRPr="00942559">
        <w:t>Metryczka</w:t>
      </w:r>
    </w:p>
    <w:p w14:paraId="35C2C778" w14:textId="77777777" w:rsidR="00F6381B" w:rsidRPr="00942559" w:rsidRDefault="004226D5">
      <w:pPr>
        <w:spacing w:after="20"/>
      </w:pPr>
      <w:r w:rsidRPr="00942559">
        <w:t>1. Przedmiot szacowania</w:t>
      </w:r>
    </w:p>
    <w:p w14:paraId="0C6B11AD" w14:textId="77777777" w:rsidR="00F6381B" w:rsidRPr="00942559" w:rsidRDefault="004226D5">
      <w:pPr>
        <w:spacing w:after="20"/>
      </w:pPr>
      <w:r w:rsidRPr="00942559">
        <w:t>2. Krótka charakterystyka systemu SOPOOŚ</w:t>
      </w:r>
    </w:p>
    <w:p w14:paraId="0291CD7A" w14:textId="77777777" w:rsidR="00F6381B" w:rsidRPr="00942559" w:rsidRDefault="004226D5">
      <w:pPr>
        <w:spacing w:after="20"/>
        <w:ind w:left="400"/>
      </w:pPr>
      <w:r w:rsidRPr="00942559">
        <w:t>2.1 Grupy użytkowników</w:t>
      </w:r>
    </w:p>
    <w:p w14:paraId="2E847A91" w14:textId="77777777" w:rsidR="00F6381B" w:rsidRPr="00942559" w:rsidRDefault="004226D5">
      <w:pPr>
        <w:spacing w:after="20"/>
        <w:ind w:left="400"/>
      </w:pPr>
      <w:r w:rsidRPr="00942559">
        <w:t>2.2 Kluczowe komponenty aplikacyjne</w:t>
      </w:r>
    </w:p>
    <w:p w14:paraId="2B5EDDD4" w14:textId="77777777" w:rsidR="00F6381B" w:rsidRPr="00942559" w:rsidRDefault="004226D5">
      <w:pPr>
        <w:spacing w:after="20"/>
        <w:ind w:left="400"/>
      </w:pPr>
      <w:r w:rsidRPr="00942559">
        <w:t>2.3 Założenia technologiczne</w:t>
      </w:r>
    </w:p>
    <w:p w14:paraId="7170CDA1" w14:textId="77777777" w:rsidR="00F6381B" w:rsidRPr="00942559" w:rsidRDefault="004226D5">
      <w:pPr>
        <w:spacing w:after="20"/>
        <w:ind w:left="400"/>
      </w:pPr>
      <w:r w:rsidRPr="00942559">
        <w:t>2.4 Wstępny podział odpowiedzialności</w:t>
      </w:r>
    </w:p>
    <w:p w14:paraId="0F8D7B7F" w14:textId="77777777" w:rsidR="00F6381B" w:rsidRDefault="004226D5">
      <w:pPr>
        <w:spacing w:after="20"/>
      </w:pPr>
      <w:r w:rsidRPr="00942559">
        <w:t>3. Wolumetria i profil obciążenia</w:t>
      </w:r>
    </w:p>
    <w:p w14:paraId="41C78117" w14:textId="77777777" w:rsidR="00F6381B" w:rsidRDefault="004226D5">
      <w:pPr>
        <w:spacing w:after="20"/>
        <w:ind w:left="400"/>
      </w:pPr>
      <w:r>
        <w:t>3.1 Liczba postępowań i użytkowników</w:t>
      </w:r>
    </w:p>
    <w:p w14:paraId="1DB033E9" w14:textId="77777777" w:rsidR="00F6381B" w:rsidRDefault="004226D5">
      <w:pPr>
        <w:spacing w:after="20"/>
        <w:ind w:left="400"/>
      </w:pPr>
      <w:r>
        <w:t>3.2 Rozmiar przetwarzanych danych</w:t>
      </w:r>
    </w:p>
    <w:p w14:paraId="0BC44259" w14:textId="77777777" w:rsidR="00F6381B" w:rsidRDefault="004226D5">
      <w:pPr>
        <w:spacing w:after="20"/>
        <w:ind w:left="400"/>
      </w:pPr>
      <w:r>
        <w:t>3.3 Profil obciążenia</w:t>
      </w:r>
    </w:p>
    <w:p w14:paraId="0331F580" w14:textId="77777777" w:rsidR="00F6381B" w:rsidRDefault="004226D5">
      <w:pPr>
        <w:spacing w:after="20"/>
      </w:pPr>
      <w:r>
        <w:t>4. Wariant bazowy zasobów</w:t>
      </w:r>
    </w:p>
    <w:p w14:paraId="2EA3E693" w14:textId="77777777" w:rsidR="00F6381B" w:rsidRDefault="004226D5">
      <w:pPr>
        <w:spacing w:after="20"/>
        <w:ind w:left="400"/>
      </w:pPr>
      <w:r>
        <w:t>4.1 Zestawienie zbiorcze</w:t>
      </w:r>
    </w:p>
    <w:p w14:paraId="60D15C49" w14:textId="77777777" w:rsidR="00F6381B" w:rsidRDefault="004226D5">
      <w:pPr>
        <w:spacing w:after="20"/>
        <w:ind w:left="400"/>
      </w:pPr>
      <w:r>
        <w:t>4.2 Przeznaczenie środowisk</w:t>
      </w:r>
    </w:p>
    <w:p w14:paraId="5ACE46EB" w14:textId="77777777" w:rsidR="00F6381B" w:rsidRDefault="004226D5">
      <w:pPr>
        <w:spacing w:after="20"/>
        <w:ind w:left="400"/>
      </w:pPr>
      <w:r>
        <w:t>4.3 Wymagania dla warstwy dyskowej</w:t>
      </w:r>
    </w:p>
    <w:p w14:paraId="36837C83" w14:textId="77777777" w:rsidR="00F6381B" w:rsidRDefault="004226D5">
      <w:pPr>
        <w:spacing w:after="20"/>
      </w:pPr>
      <w:r>
        <w:t>5. Kopie zapasowe, ciągłość działania i odtwarzanie</w:t>
      </w:r>
    </w:p>
    <w:p w14:paraId="6D4C90F1" w14:textId="77777777" w:rsidR="00F6381B" w:rsidRDefault="004226D5">
      <w:pPr>
        <w:spacing w:after="20"/>
        <w:ind w:left="400"/>
      </w:pPr>
      <w:r>
        <w:t>5.1 Stan założeń wyjściowych</w:t>
      </w:r>
    </w:p>
    <w:p w14:paraId="2D616836" w14:textId="77777777" w:rsidR="00F6381B" w:rsidRDefault="004226D5">
      <w:pPr>
        <w:spacing w:after="20"/>
        <w:ind w:left="400"/>
      </w:pPr>
      <w:r>
        <w:t>5.2 RPO / RTO i kopie</w:t>
      </w:r>
    </w:p>
    <w:p w14:paraId="0CE7A06F" w14:textId="77777777" w:rsidR="00F6381B" w:rsidRDefault="004226D5">
      <w:pPr>
        <w:spacing w:after="20"/>
        <w:ind w:left="400"/>
      </w:pPr>
      <w:r>
        <w:t>5.3 Wysoka dostępność</w:t>
      </w:r>
    </w:p>
    <w:p w14:paraId="2D027A5F" w14:textId="77777777" w:rsidR="00F6381B" w:rsidRDefault="004226D5">
      <w:pPr>
        <w:spacing w:after="20"/>
      </w:pPr>
      <w:r>
        <w:t>6. Dostępność i parametry SLA</w:t>
      </w:r>
    </w:p>
    <w:p w14:paraId="531D6341" w14:textId="77777777" w:rsidR="00F6381B" w:rsidRDefault="004226D5">
      <w:pPr>
        <w:spacing w:after="20"/>
      </w:pPr>
      <w:r>
        <w:t>7. Bezpieczeństwo i zgodność regulacyjna</w:t>
      </w:r>
    </w:p>
    <w:p w14:paraId="29759F2A" w14:textId="77777777" w:rsidR="00F6381B" w:rsidRDefault="004226D5">
      <w:pPr>
        <w:spacing w:after="20"/>
        <w:ind w:left="400"/>
      </w:pPr>
      <w:r>
        <w:t>7.1 Otoczenie regulacyjne</w:t>
      </w:r>
    </w:p>
    <w:p w14:paraId="2067CCFA" w14:textId="77777777" w:rsidR="00F6381B" w:rsidRDefault="004226D5">
      <w:pPr>
        <w:spacing w:after="20"/>
        <w:ind w:left="400"/>
      </w:pPr>
      <w:r>
        <w:t>7.2 Standardy odniesienia</w:t>
      </w:r>
    </w:p>
    <w:p w14:paraId="492F4792" w14:textId="77777777" w:rsidR="00F6381B" w:rsidRDefault="004226D5">
      <w:pPr>
        <w:spacing w:after="20"/>
        <w:ind w:left="400"/>
      </w:pPr>
      <w:r>
        <w:t>7.3 Weryfikacja dostawcy</w:t>
      </w:r>
    </w:p>
    <w:p w14:paraId="35D98115" w14:textId="77777777" w:rsidR="00F6381B" w:rsidRDefault="004226D5">
      <w:pPr>
        <w:spacing w:after="20"/>
      </w:pPr>
      <w:r>
        <w:t>8. Zakres usługi zarządzanej (Managed Kubernetes)</w:t>
      </w:r>
    </w:p>
    <w:p w14:paraId="7439E2AF" w14:textId="77777777" w:rsidR="00F6381B" w:rsidRDefault="004226D5">
      <w:pPr>
        <w:spacing w:after="20"/>
        <w:ind w:left="400"/>
      </w:pPr>
      <w:r>
        <w:t>8.1 Wdrożenie</w:t>
      </w:r>
    </w:p>
    <w:p w14:paraId="6BBA4E87" w14:textId="77777777" w:rsidR="00F6381B" w:rsidRDefault="004226D5">
      <w:pPr>
        <w:spacing w:after="20"/>
        <w:ind w:left="400"/>
      </w:pPr>
      <w:r>
        <w:t>8.2 Administracja i utrzymanie</w:t>
      </w:r>
    </w:p>
    <w:p w14:paraId="65639417" w14:textId="77777777" w:rsidR="00F6381B" w:rsidRPr="006E3185" w:rsidRDefault="004226D5">
      <w:pPr>
        <w:spacing w:after="20"/>
        <w:ind w:left="400"/>
      </w:pPr>
      <w:r w:rsidRPr="006E3185">
        <w:lastRenderedPageBreak/>
        <w:t>8.3 Monitoring (tryb 24h/7 dni w tygodniu)</w:t>
      </w:r>
    </w:p>
    <w:p w14:paraId="38352AB8" w14:textId="77777777" w:rsidR="00F6381B" w:rsidRPr="006E3185" w:rsidRDefault="004226D5">
      <w:pPr>
        <w:spacing w:after="20"/>
      </w:pPr>
      <w:r w:rsidRPr="006E3185">
        <w:t>9. Poglądowe odwzorowanie na usługi chmurowe</w:t>
      </w:r>
    </w:p>
    <w:p w14:paraId="6AB4B20D" w14:textId="77777777" w:rsidR="00F6381B" w:rsidRPr="006E3185" w:rsidRDefault="004226D5">
      <w:pPr>
        <w:spacing w:after="20"/>
      </w:pPr>
      <w:r w:rsidRPr="006E3185">
        <w:t>10. Skalowalność i mechanizm rozbudowy</w:t>
      </w:r>
    </w:p>
    <w:p w14:paraId="311F9B6D" w14:textId="77777777" w:rsidR="00F6381B" w:rsidRPr="006E3185" w:rsidRDefault="004226D5">
      <w:pPr>
        <w:pStyle w:val="Nagwek1"/>
        <w:keepNext/>
      </w:pPr>
      <w:r w:rsidRPr="006E3185">
        <w:t>1. Przedmiot szacowania</w:t>
      </w:r>
    </w:p>
    <w:p w14:paraId="249A845C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 w:rsidRPr="006E3185">
        <w:t>Przedmiotem szacowania jest dostarczenie usług chmurowych pozwalających Zamawiającemu zapewnić prawidłowe funkcjonowanie systemu</w:t>
      </w:r>
      <w:r>
        <w:t xml:space="preserve"> SOPOOŚ z wykorzystaniem udostępnionych zasobów i usług (składające się z różnego typu komponentów np. serwerowych systemów operacyjnych, silników baz danych, maszyn wirtualnych, kontenerów) zwanymi dalej </w:t>
      </w:r>
      <w:r>
        <w:rPr>
          <w:i/>
          <w:iCs/>
        </w:rPr>
        <w:t>usługami chmurowymi</w:t>
      </w:r>
      <w:r>
        <w:t xml:space="preserve"> lub </w:t>
      </w:r>
      <w:r>
        <w:rPr>
          <w:i/>
          <w:iCs/>
        </w:rPr>
        <w:t>chmurą</w:t>
      </w:r>
      <w:r>
        <w:t>.</w:t>
      </w:r>
    </w:p>
    <w:p w14:paraId="56D47624" w14:textId="47901890" w:rsidR="00F6381B" w:rsidRDefault="004226D5">
      <w:pPr>
        <w:pStyle w:val="Akapitzlist"/>
        <w:numPr>
          <w:ilvl w:val="0"/>
          <w:numId w:val="2"/>
        </w:numPr>
        <w:spacing w:after="60"/>
      </w:pPr>
      <w:r>
        <w:t xml:space="preserve">Okres świadczenia usług szacowany jest na 27 miesięcy liczony od dnia uruchomienia usług chmurowych. </w:t>
      </w:r>
      <w:r w:rsidRPr="00D71AD1">
        <w:t xml:space="preserve">Planowany termin uruchomienia usług chmurowych: </w:t>
      </w:r>
      <w:r w:rsidR="00D71AD1" w:rsidRPr="00D71AD1">
        <w:t xml:space="preserve">grudzień 2026 r./ styczeń 2027 r. </w:t>
      </w:r>
      <w:r w:rsidRPr="00D71AD1">
        <w:t>Świadczenie Usługi trwa albo do upływu tego okresu albo do wykorzystania limitu wynagrodzenia określonego</w:t>
      </w:r>
      <w:r>
        <w:t xml:space="preserve"> w Umowie, w zależności od tego, które zdarzenie nastąpi wcześniej, jednak nie dłużej niż do 31 marca 2029 r.</w:t>
      </w:r>
    </w:p>
    <w:p w14:paraId="2FC5302D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Dostarczona usługa musi zapewniać miesięczne rozliczanie kosztów zużycia zasobów obliczeniowych, np. w modelu usługi płatnej na podstawie zużycia (Pay as you go) wraz z możliwością rezerwacji zasobów z góry. Usługi obejmują opłaty za fizyczne wykorzystanie zasobów platformy, rozliczane z Wykonawcą i płatne co miesiąc na podstawie protokołu wykorzystania zasobów.</w:t>
      </w:r>
    </w:p>
    <w:p w14:paraId="3AD5F3CF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>
        <w:t xml:space="preserve">W okresie obowiązywania umowy, usługi mają umożliwiać ustawienie w konsoli administratora </w:t>
      </w:r>
      <w:r w:rsidRPr="004226D5">
        <w:t>przydzielonego limitu budżetu (wraz z alertami) dla wykorzystania zasobów obliczeniowych i usług z możliwością ich elastycznego wykorzystywania oddzielnie dla poszczególnych parametrów technicznych.</w:t>
      </w:r>
    </w:p>
    <w:p w14:paraId="3CF70E49" w14:textId="77777777" w:rsidR="00F6381B" w:rsidRPr="004226D5" w:rsidRDefault="004226D5">
      <w:pPr>
        <w:pStyle w:val="Nagwek1"/>
        <w:keepNext/>
      </w:pPr>
      <w:r w:rsidRPr="004226D5">
        <w:t>2. Krótka charakterystyka systemu SOPOOŚ</w:t>
      </w:r>
    </w:p>
    <w:p w14:paraId="6CEBE84C" w14:textId="77777777" w:rsidR="00F6381B" w:rsidRPr="004226D5" w:rsidRDefault="004226D5">
      <w:pPr>
        <w:spacing w:after="100"/>
      </w:pPr>
      <w:r w:rsidRPr="004226D5">
        <w:t>SOPOOŚ to powstający, centralny system teleinformatyczny administracji publicznej, którego celem jest cyfryzacja postępowań w sprawie wydania decyzji o środowiskowych uwarunkowaniach.</w:t>
      </w:r>
    </w:p>
    <w:p w14:paraId="313BAD63" w14:textId="77777777" w:rsidR="00F6381B" w:rsidRPr="004226D5" w:rsidRDefault="004226D5">
      <w:pPr>
        <w:pStyle w:val="Nagwek2"/>
        <w:keepNext/>
      </w:pPr>
      <w:r w:rsidRPr="004226D5">
        <w:t>2.1 Grupy użytkowników</w:t>
      </w:r>
    </w:p>
    <w:p w14:paraId="59777984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rPr>
          <w:b/>
          <w:bCs/>
        </w:rPr>
        <w:t>wnioskodawca</w:t>
      </w:r>
      <w:r w:rsidRPr="004226D5">
        <w:t xml:space="preserve"> – składa wniosek i załączniki (użytkownik zewnętrzny),</w:t>
      </w:r>
    </w:p>
    <w:p w14:paraId="577DB2E4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rPr>
          <w:b/>
          <w:bCs/>
        </w:rPr>
        <w:t>organ prowadzący postępowanie</w:t>
      </w:r>
      <w:r w:rsidRPr="004226D5">
        <w:t xml:space="preserve"> – obsługuje sprawę i udostępnia dokumentację (użytkownik wewnętrzny),</w:t>
      </w:r>
    </w:p>
    <w:p w14:paraId="0C44AAED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rPr>
          <w:b/>
          <w:bCs/>
        </w:rPr>
        <w:t>organy opiniujące</w:t>
      </w:r>
      <w:r w:rsidRPr="004226D5">
        <w:t xml:space="preserve"> – uzyskują dostęp do dokumentacji i przekazują opinie oraz uzgodnienia (użytkownik wewnętrzny),</w:t>
      </w:r>
    </w:p>
    <w:p w14:paraId="415DEE42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rPr>
          <w:b/>
          <w:bCs/>
        </w:rPr>
        <w:t>strony postępowania</w:t>
      </w:r>
      <w:r w:rsidRPr="004226D5">
        <w:t xml:space="preserve"> – uzyskują dostęp do dokumentacji i mają możliwość składania uwag oraz dokumentów (dostęp po autoryzacji użytkownika),</w:t>
      </w:r>
    </w:p>
    <w:p w14:paraId="4B8A419A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rPr>
          <w:b/>
          <w:bCs/>
        </w:rPr>
        <w:t>społeczeństwo</w:t>
      </w:r>
      <w:r w:rsidRPr="004226D5">
        <w:t xml:space="preserve"> – dostęp do dokumentów publikowanych i możliwość składania uwag (portal publiczny, ruch anonimowy).</w:t>
      </w:r>
    </w:p>
    <w:p w14:paraId="120392CE" w14:textId="77777777" w:rsidR="00F6381B" w:rsidRPr="004226D5" w:rsidRDefault="004226D5">
      <w:pPr>
        <w:pStyle w:val="Nagwek2"/>
        <w:keepNext/>
      </w:pPr>
      <w:r w:rsidRPr="004226D5">
        <w:t>2.2 Kluczowe komponenty aplikacyjne</w:t>
      </w:r>
    </w:p>
    <w:p w14:paraId="2E23A4DB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t>moduł obsługi wniosków (portal zewnętrzny: kreator wniosków, wysyłka, monitoring sprawy),</w:t>
      </w:r>
    </w:p>
    <w:p w14:paraId="28782BFE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t>moduł obsługi spraw (aplikacja dla organów: dekretacja, prowadzenie postępowania, anonimizacja, publikacja),</w:t>
      </w:r>
    </w:p>
    <w:p w14:paraId="253C7F39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t>moduł integracji (API Gateway / usługi integracyjne),</w:t>
      </w:r>
    </w:p>
    <w:p w14:paraId="1CE98048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 w:rsidRPr="004226D5">
        <w:t>repozytorium dokumentów (trwałe przechowywanie</w:t>
      </w:r>
      <w:r>
        <w:t xml:space="preserve"> poszczególnych wersji dokumentów i załączników – główny konsument przestrzeni dyskowej),</w:t>
      </w:r>
    </w:p>
    <w:p w14:paraId="44EB0413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moduł obsługi danych (relacyjna baza danych open source),</w:t>
      </w:r>
    </w:p>
    <w:p w14:paraId="07083668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moduł zarządzania użytkownikami i rolami (RBAC, uwierzytelnianie przez KWIE lub zakładanie konta na wniosek),</w:t>
      </w:r>
    </w:p>
    <w:p w14:paraId="611BDDAA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lastRenderedPageBreak/>
        <w:t>moduł publikacji (portal publiczny: obsługa udziału społeczeństwa, udostępnianie informacji o środowisku).</w:t>
      </w:r>
    </w:p>
    <w:p w14:paraId="0513B135" w14:textId="77777777" w:rsidR="00F6381B" w:rsidRPr="004226D5" w:rsidRDefault="004226D5">
      <w:pPr>
        <w:pStyle w:val="Nagwek2"/>
        <w:keepNext/>
      </w:pPr>
      <w:r w:rsidRPr="004226D5">
        <w:t>2.3 Założenia technologiczne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38"/>
      </w:tblGrid>
      <w:tr w:rsidR="00F6381B" w:rsidRPr="004226D5" w14:paraId="0AFBFA5A" w14:textId="77777777">
        <w:trPr>
          <w:cantSplit/>
          <w:tblHeader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81E7B0" w14:textId="77777777" w:rsidR="00F6381B" w:rsidRPr="004226D5" w:rsidRDefault="004226D5">
            <w:pPr>
              <w:spacing w:after="30"/>
            </w:pPr>
            <w:r w:rsidRPr="004226D5">
              <w:rPr>
                <w:b/>
                <w:bCs/>
                <w:sz w:val="18"/>
                <w:szCs w:val="18"/>
              </w:rPr>
              <w:t>Obszar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235F0" w14:textId="77777777" w:rsidR="00F6381B" w:rsidRPr="004226D5" w:rsidRDefault="004226D5">
            <w:pPr>
              <w:spacing w:after="30"/>
            </w:pPr>
            <w:r w:rsidRPr="004226D5">
              <w:rPr>
                <w:b/>
                <w:bCs/>
                <w:sz w:val="18"/>
                <w:szCs w:val="18"/>
              </w:rPr>
              <w:t>Założenie</w:t>
            </w:r>
          </w:p>
        </w:tc>
      </w:tr>
      <w:tr w:rsidR="00F6381B" w14:paraId="18C10DBE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C01114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Model wdrożenia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5C29ED" w14:textId="77777777" w:rsidR="00F6381B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Chmura publiczna; architektura hybrydowa: zarządzany Kubernetes (PaaS) + maszyny wirtualne (IaaS)</w:t>
            </w:r>
          </w:p>
        </w:tc>
      </w:tr>
      <w:tr w:rsidR="00F6381B" w14:paraId="14689A54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38DEAE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Systemy operacyjne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C39CF1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Open source, wspierające konteneryzację</w:t>
            </w:r>
          </w:p>
        </w:tc>
      </w:tr>
      <w:tr w:rsidR="00F6381B" w14:paraId="4838A405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F534A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Bazy danych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F19D9E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Open source, uruchamiane w klastrze Kubernetes i zarządzane przez operatory</w:t>
            </w:r>
          </w:p>
        </w:tc>
      </w:tr>
      <w:tr w:rsidR="00F6381B" w14:paraId="14F16A53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F923B1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Warstwa aplikacyjna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B08E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Mikroserwisy w kontenerach; skalowanie horyzontalne</w:t>
            </w:r>
          </w:p>
        </w:tc>
      </w:tr>
      <w:tr w:rsidR="00F6381B" w14:paraId="27A1D6FB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88B4EB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Front-end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148C6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Responsywne portale webowe, WCAG 2.1 AA, technologie typu React / Angular</w:t>
            </w:r>
          </w:p>
        </w:tc>
      </w:tr>
      <w:tr w:rsidR="00F6381B" w14:paraId="65B141DC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12930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Integracje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5CD49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REST API zgodnie ze „Standardem API dla usług publicznych”; JSON/XML; SAML/OIDC dla KWIE</w:t>
            </w:r>
          </w:p>
        </w:tc>
      </w:tr>
      <w:tr w:rsidR="00F6381B" w:rsidRPr="004226D5" w14:paraId="62212857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3874AE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Szyfrowanie transmisji</w:t>
            </w:r>
          </w:p>
        </w:tc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E1164B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Wyłącznie HTTPS/TLS 1.3 lub wyższy – dla ruchu użytkowników i integracji</w:t>
            </w:r>
          </w:p>
        </w:tc>
      </w:tr>
    </w:tbl>
    <w:p w14:paraId="2D157D6E" w14:textId="77777777" w:rsidR="00F6381B" w:rsidRPr="004226D5" w:rsidRDefault="00F6381B">
      <w:pPr>
        <w:spacing w:after="80"/>
      </w:pPr>
    </w:p>
    <w:p w14:paraId="2C79A70D" w14:textId="77777777" w:rsidR="00F6381B" w:rsidRPr="004226D5" w:rsidRDefault="004226D5">
      <w:pPr>
        <w:pStyle w:val="Nagwek2"/>
        <w:keepNext/>
      </w:pPr>
      <w:r w:rsidRPr="004226D5">
        <w:t>2.4 Wstępny podział odpowiedzialności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638"/>
      </w:tblGrid>
      <w:tr w:rsidR="00F6381B" w:rsidRPr="004226D5" w14:paraId="1B15CD54" w14:textId="77777777">
        <w:trPr>
          <w:cantSplit/>
          <w:tblHeader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0A5924" w14:textId="77777777" w:rsidR="00F6381B" w:rsidRPr="004226D5" w:rsidRDefault="004226D5">
            <w:pPr>
              <w:spacing w:after="30"/>
            </w:pPr>
            <w:r w:rsidRPr="004226D5">
              <w:rPr>
                <w:b/>
                <w:bCs/>
                <w:sz w:val="18"/>
                <w:szCs w:val="18"/>
              </w:rPr>
              <w:t>Obszar</w:t>
            </w:r>
          </w:p>
        </w:tc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0A957D" w14:textId="77777777" w:rsidR="00F6381B" w:rsidRPr="004226D5" w:rsidRDefault="004226D5">
            <w:pPr>
              <w:spacing w:after="30"/>
            </w:pPr>
            <w:r w:rsidRPr="004226D5">
              <w:rPr>
                <w:b/>
                <w:bCs/>
                <w:sz w:val="18"/>
                <w:szCs w:val="18"/>
              </w:rPr>
              <w:t>Odpowiedzialność</w:t>
            </w:r>
          </w:p>
        </w:tc>
      </w:tr>
      <w:tr w:rsidR="00F6381B" w:rsidRPr="004226D5" w14:paraId="70D2B331" w14:textId="77777777">
        <w:trPr>
          <w:cantSplit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2DF2A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Infrastruktura chmurowa</w:t>
            </w:r>
          </w:p>
        </w:tc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E82B53" w14:textId="77777777" w:rsidR="00F6381B" w:rsidRPr="004226D5" w:rsidRDefault="004226D5">
            <w:pPr>
              <w:spacing w:after="30"/>
            </w:pPr>
            <w:r w:rsidRPr="004226D5">
              <w:rPr>
                <w:b/>
                <w:bCs/>
                <w:sz w:val="18"/>
                <w:szCs w:val="18"/>
              </w:rPr>
              <w:t>Dostawca chmury</w:t>
            </w:r>
          </w:p>
        </w:tc>
      </w:tr>
      <w:tr w:rsidR="00F6381B" w:rsidRPr="004226D5" w14:paraId="01A346FB" w14:textId="77777777">
        <w:trPr>
          <w:cantSplit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3146CD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Platforma techniczna</w:t>
            </w:r>
          </w:p>
        </w:tc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7604CF" w14:textId="77777777" w:rsidR="00F6381B" w:rsidRPr="004226D5" w:rsidRDefault="004226D5">
            <w:pPr>
              <w:spacing w:after="30"/>
            </w:pPr>
            <w:r w:rsidRPr="004226D5">
              <w:rPr>
                <w:b/>
                <w:bCs/>
                <w:sz w:val="18"/>
                <w:szCs w:val="18"/>
              </w:rPr>
              <w:t>Partner projektu</w:t>
            </w:r>
          </w:p>
        </w:tc>
      </w:tr>
      <w:tr w:rsidR="00F6381B" w14:paraId="4D7D45B0" w14:textId="77777777">
        <w:trPr>
          <w:cantSplit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E6AD20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System SOPOOŚ (aplikacja)</w:t>
            </w:r>
          </w:p>
        </w:tc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8C8954" w14:textId="77777777" w:rsidR="00F6381B" w:rsidRDefault="004226D5">
            <w:pPr>
              <w:spacing w:after="30"/>
            </w:pPr>
            <w:r w:rsidRPr="004226D5">
              <w:rPr>
                <w:b/>
                <w:bCs/>
                <w:sz w:val="18"/>
                <w:szCs w:val="18"/>
              </w:rPr>
              <w:t>Partner projektu</w:t>
            </w:r>
          </w:p>
        </w:tc>
      </w:tr>
      <w:tr w:rsidR="00F6381B" w14:paraId="26921479" w14:textId="77777777">
        <w:trPr>
          <w:cantSplit/>
        </w:trPr>
        <w:tc>
          <w:tcPr>
            <w:tcW w:w="4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E7599C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Dane biznesowe</w:t>
            </w:r>
          </w:p>
        </w:tc>
        <w:tc>
          <w:tcPr>
            <w:tcW w:w="5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65AC5C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Zamawiający / właściciel systemu</w:t>
            </w:r>
          </w:p>
        </w:tc>
      </w:tr>
    </w:tbl>
    <w:p w14:paraId="4D2831A2" w14:textId="77777777" w:rsidR="00F6381B" w:rsidRDefault="00F6381B">
      <w:pPr>
        <w:spacing w:after="80"/>
      </w:pPr>
    </w:p>
    <w:p w14:paraId="1A04FF3A" w14:textId="77777777" w:rsidR="00F6381B" w:rsidRDefault="004226D5">
      <w:pPr>
        <w:pStyle w:val="Nagwek1"/>
        <w:keepNext/>
      </w:pPr>
      <w:r>
        <w:t>3. Wolumetria i profil obciążenia</w:t>
      </w:r>
    </w:p>
    <w:p w14:paraId="4CC012B6" w14:textId="77777777" w:rsidR="00F6381B" w:rsidRDefault="004226D5">
      <w:pPr>
        <w:spacing w:after="100"/>
      </w:pPr>
      <w:r>
        <w:t>Poniższe dane są kluczowe dla oceny, czy wariant bazowy zasobów wskazany w rozdziale 4 jest wystarczający i jak powinien skalować się w czasie trwania umowy.</w:t>
      </w:r>
    </w:p>
    <w:p w14:paraId="7F9AA442" w14:textId="77777777" w:rsidR="00F6381B" w:rsidRDefault="004226D5">
      <w:pPr>
        <w:pStyle w:val="Nagwek2"/>
        <w:keepNext/>
      </w:pPr>
      <w:r>
        <w:t>3.1 Liczba postępowań i użytkowników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500"/>
        <w:gridCol w:w="3738"/>
      </w:tblGrid>
      <w:tr w:rsidR="00F6381B" w14:paraId="1DE78675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9C7781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Parametr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A16FB3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Wartość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46E5B7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Źródło / uwaga</w:t>
            </w:r>
          </w:p>
        </w:tc>
      </w:tr>
      <w:tr w:rsidR="00F6381B" w14:paraId="2978A72F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1DFC56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Postępowania w sprawie decyzji o środowiskowych uwarunkowaniach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66542B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ok. 13 000 / rok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B7E92A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Dane GDOŚ za 2024 r., skala ogólnokrajowa dla wszystkich organów</w:t>
            </w:r>
          </w:p>
        </w:tc>
      </w:tr>
      <w:tr w:rsidR="00F6381B" w14:paraId="2C195228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26F06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Organy będące użytkownikami systemu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59EE75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ok. 867 (wariant 1) / 3 280 (wariant 2)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1DB799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GDOŚ, RDOŚ, JST, organy opiniujące: 2 warianty</w:t>
            </w:r>
          </w:p>
        </w:tc>
      </w:tr>
      <w:tr w:rsidR="00F6381B" w14:paraId="5E1DA85B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719FBF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Użytkownicy wewnętrzni (pracownicy organów)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0A4CB6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≈ 8 042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2DB24A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Prognoza na 2028 r.</w:t>
            </w:r>
          </w:p>
        </w:tc>
      </w:tr>
      <w:tr w:rsidR="00F6381B" w14:paraId="25057C18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D0A56B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Użytkownicy zewnętrzni – wnioskodawcy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66C51A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≈ 13 000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A43802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Założenie: 1 wniosek = 1 wnioskodawca; wartość zaniżona (powód: pełnomocnicy, wiele wniosków)</w:t>
            </w:r>
          </w:p>
        </w:tc>
      </w:tr>
      <w:tr w:rsidR="00F6381B" w14:paraId="67A136E6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76769D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Użytkownicy zewnętrzni – społeczeństwo</w:t>
            </w:r>
          </w:p>
        </w:tc>
        <w:tc>
          <w:tcPr>
            <w:tcW w:w="2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B15355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nieoszacowane</w:t>
            </w:r>
          </w:p>
        </w:tc>
        <w:tc>
          <w:tcPr>
            <w:tcW w:w="37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D6A5BF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Ruch anonimowy na portalu publicznym.</w:t>
            </w:r>
          </w:p>
        </w:tc>
      </w:tr>
    </w:tbl>
    <w:p w14:paraId="2EC41453" w14:textId="77777777" w:rsidR="00F6381B" w:rsidRDefault="00F6381B">
      <w:pPr>
        <w:spacing w:after="80"/>
      </w:pPr>
    </w:p>
    <w:p w14:paraId="334C8B98" w14:textId="77777777" w:rsidR="00F6381B" w:rsidRDefault="004226D5">
      <w:pPr>
        <w:spacing w:after="100"/>
      </w:pPr>
      <w:r>
        <w:rPr>
          <w:i/>
          <w:iCs/>
        </w:rPr>
        <w:t>Wartości przedstawiono jako rząd wielkości.</w:t>
      </w:r>
    </w:p>
    <w:p w14:paraId="1A941F16" w14:textId="77777777" w:rsidR="00F6381B" w:rsidRDefault="004226D5">
      <w:pPr>
        <w:pStyle w:val="Nagwek2"/>
        <w:keepNext/>
      </w:pPr>
      <w:r>
        <w:lastRenderedPageBreak/>
        <w:t>3.2 Rozmiar przetwarzanych danych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2300"/>
        <w:gridCol w:w="3938"/>
      </w:tblGrid>
      <w:tr w:rsidR="00F6381B" w14:paraId="075D9427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7952CD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Kategoria sprawy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6A6B13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Rozmiar dokumentacji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9A8143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Podstawa</w:t>
            </w:r>
          </w:p>
        </w:tc>
      </w:tr>
      <w:tr w:rsidR="00F6381B" w14:paraId="59BEEA8F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09411C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Sprawy GDOŚ – wartość typowa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1397B3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7–10 GB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AFA7A2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Dane własne GDOŚ</w:t>
            </w:r>
          </w:p>
        </w:tc>
      </w:tr>
      <w:tr w:rsidR="00F6381B" w14:paraId="3A876D3B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3961B2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Sprawy GDOŚ – inwestycje o znaczeniu krajowym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6592CE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60–120 GB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D9199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Próbka 3 największych spraw</w:t>
            </w:r>
          </w:p>
        </w:tc>
      </w:tr>
      <w:tr w:rsidR="00F6381B" w14:paraId="4FF3EB51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763152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Sprawy RDOŚ – średnia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4EFC2A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177 MB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2CCE52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Próbka z 49 analizowanych spraw</w:t>
            </w:r>
          </w:p>
        </w:tc>
      </w:tr>
      <w:tr w:rsidR="00F6381B" w14:paraId="3A9232A9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75FDC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Sprawy RDOŚ – największa wartość w próbce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45682B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≈ 2 300 MB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BA0D04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Raport 2 270 MB + uzupełnienie 37 MB (sprawa nr 47)</w:t>
            </w:r>
          </w:p>
        </w:tc>
      </w:tr>
      <w:tr w:rsidR="00F6381B" w14:paraId="2BC4274B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AE5FEE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Sprawy JST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A2DB77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ok. 177 MB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CA524D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Przyjęto, że rozmiar średniej sprawy JST = rozmiar średniej sprawy RDOŚ</w:t>
            </w:r>
          </w:p>
        </w:tc>
      </w:tr>
    </w:tbl>
    <w:p w14:paraId="1F24417D" w14:textId="77777777" w:rsidR="00F6381B" w:rsidRDefault="00F6381B">
      <w:pPr>
        <w:spacing w:after="80"/>
      </w:pPr>
    </w:p>
    <w:p w14:paraId="4CF118B3" w14:textId="77777777" w:rsidR="00F6381B" w:rsidRDefault="004226D5">
      <w:pPr>
        <w:spacing w:after="100"/>
      </w:pPr>
      <w:r>
        <w:rPr>
          <w:b/>
          <w:bCs/>
        </w:rPr>
        <w:t>Konsekwencja dla wymiarowania storage.</w:t>
      </w:r>
      <w:r>
        <w:t xml:space="preserve"> Przy założeniu, że system obsłuży skalę ogólnokrajową, a średni rozmiar sprawy będzie zbliżony do średniej RDOŚ (177 MB), roczny przyrost danych wynosi:</w:t>
      </w:r>
    </w:p>
    <w:p w14:paraId="584D5F05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 xml:space="preserve">13 144 spraw × 0,177 GB ≈ </w:t>
      </w:r>
      <w:r>
        <w:rPr>
          <w:b/>
          <w:bCs/>
        </w:rPr>
        <w:t>2,3 TB rocznie</w:t>
      </w:r>
      <w:r>
        <w:t xml:space="preserve"> – wyłącznie dla spraw o profilu RDOŚ/JST,</w:t>
      </w:r>
    </w:p>
    <w:p w14:paraId="2B433469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+ sprawy GDOŚ i inwestycje o znaczeniu krajowym (pojedyncze sprawy 60–120 GB) – kilkaset GB do kilku TB rocznie, zależnie od liczby takich postępowań,</w:t>
      </w:r>
    </w:p>
    <w:p w14:paraId="4C3E61B5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+ narzut wersjonowania dokumentów, kopii roboczych i indeksów wyszukiwania.</w:t>
      </w:r>
    </w:p>
    <w:p w14:paraId="10373420" w14:textId="77777777" w:rsidR="00F6381B" w:rsidRDefault="004226D5">
      <w:pPr>
        <w:spacing w:after="100"/>
      </w:pPr>
      <w:r>
        <w:rPr>
          <w:b/>
          <w:bCs/>
        </w:rPr>
        <w:t>Oznacza to, że przewidziane w wariancie bazowym 2 TB przestrzeni obiektowej dla środowiska produkcyjnego wyczerpuje się w pierwszym roku pełnej eksploatacji.</w:t>
      </w:r>
    </w:p>
    <w:p w14:paraId="30D75B29" w14:textId="77777777" w:rsidR="00F6381B" w:rsidRPr="006E3185" w:rsidRDefault="004226D5">
      <w:pPr>
        <w:spacing w:after="100"/>
      </w:pPr>
      <w:r>
        <w:t xml:space="preserve">Dokumentacja postępowań administracyjnych podlega ponadto wieloletniemu przechowywaniu, więc </w:t>
      </w:r>
      <w:r w:rsidRPr="006E3185">
        <w:t>przestrzeń narasta kumulatywnie – w perspektywie 5 lat należy liczyć się z rzędem 12–20 TB w środowisku produkcyjnym. Prosimy o uwzględnienie tego w modelu kosztowym oraz o wskazanie w formularzu kosztu jednostkowego 1 TB/miesiąc w kilku progach pojemności.</w:t>
      </w:r>
    </w:p>
    <w:p w14:paraId="50D0FBD3" w14:textId="606B597E" w:rsidR="00F6381B" w:rsidRDefault="004226D5">
      <w:pPr>
        <w:spacing w:after="100"/>
      </w:pPr>
      <w:r w:rsidRPr="006E3185">
        <w:t xml:space="preserve">W okresie objętym umową (uruchomienie systemu na początku 2028 r., zakończenie umowy nie później niż 31 marca 2029 r.) pełna eksploatacja </w:t>
      </w:r>
      <w:r w:rsidR="00D71AD1" w:rsidRPr="006E3185">
        <w:t xml:space="preserve">systemu </w:t>
      </w:r>
      <w:r w:rsidRPr="006E3185">
        <w:t>obejmie ok. 15 miesięcy. Prosimy o wskazanie w formularzu, jaki wolumen pamięci obiektowej przyjęto do wyceny okresu 27 miesięcy; scenariusze 10 TB i 20 TB traktujemy jako perspektywę wieloletnią.</w:t>
      </w:r>
    </w:p>
    <w:p w14:paraId="7C59B5E0" w14:textId="77777777" w:rsidR="00F6381B" w:rsidRDefault="004226D5">
      <w:pPr>
        <w:pStyle w:val="Nagwek2"/>
        <w:keepNext/>
      </w:pPr>
      <w:r>
        <w:t>3.3 Profil obciążenia</w:t>
      </w:r>
    </w:p>
    <w:p w14:paraId="18A3459E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Ruch użytkowników wewnętrznych: skoncentrowany w dni robocze, w godz. 7:00–16:00.</w:t>
      </w:r>
    </w:p>
    <w:p w14:paraId="4AB27FF6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>
        <w:t>Ruch użytkowników zewnętrznych i portalu publicznego: rozłożony, z możliwymi skokami przy uruchomieniu systemu (początek 2028 r.), uruchamianiu dużych pakietów nowych funkcjonalności oraz przy wnoszeniu uwag w ramach udziału społeczeństwa w postępowaniu dużych inwestycji (publikacja dokumentacji o znacze</w:t>
      </w:r>
      <w:r w:rsidRPr="004226D5">
        <w:t>niu krajowym).</w:t>
      </w:r>
    </w:p>
    <w:p w14:paraId="3CE3D7BC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 w:rsidRPr="004226D5">
        <w:t xml:space="preserve">Charakterystyka techniczna: dominuje </w:t>
      </w:r>
      <w:r w:rsidRPr="004226D5">
        <w:rPr>
          <w:b/>
          <w:bCs/>
        </w:rPr>
        <w:t>przesyłanie i pobieranie dużych plików</w:t>
      </w:r>
      <w:r w:rsidRPr="004226D5">
        <w:t xml:space="preserve"> (raporty OOŚ, mapy – pojedyncze pliki rzędu setek MB; łączny rozmiar dokumentacji raportowej pojedynczej sprawy sięga w skrajnych przypadkach ponad 2 GB), a nie duża</w:t>
      </w:r>
      <w:r>
        <w:t xml:space="preserve"> liczba drobnych transakcji. Kluczowe są przepustowość sieci, wydajność warstwy obiektowej i obsługa uploadu wieloczęściowego, w mniejszym stopniu IOPS bazy danych.</w:t>
      </w:r>
    </w:p>
    <w:p w14:paraId="0BD81932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Ruch wychodzący (egress): pobieranie dokumentacji przez organy opiniujące, strony postępowania i społeczeństwo – potencjalnie znaczący.</w:t>
      </w:r>
    </w:p>
    <w:p w14:paraId="7C4B5B18" w14:textId="77777777" w:rsidR="00F6381B" w:rsidRDefault="004226D5">
      <w:pPr>
        <w:pStyle w:val="Nagwek1"/>
        <w:keepNext/>
      </w:pPr>
      <w:r>
        <w:t>4. Wariant bazowy zasobów</w:t>
      </w:r>
    </w:p>
    <w:p w14:paraId="71F28FF1" w14:textId="77777777" w:rsidR="00F6381B" w:rsidRDefault="004226D5">
      <w:pPr>
        <w:spacing w:after="100"/>
      </w:pPr>
      <w:r>
        <w:t>Poniższe parametry stanowią minimum niezbędne do uruchomienia stosu aplikacyjnego, procesów CI/CD i prac programistycznych. Nie są to wartości docelowe – patrz rozdz. 3.2 oraz rozdz. 10.</w:t>
      </w:r>
    </w:p>
    <w:p w14:paraId="018903DF" w14:textId="77777777" w:rsidR="00F6381B" w:rsidRDefault="004226D5">
      <w:pPr>
        <w:pStyle w:val="Nagwek2"/>
        <w:keepNext/>
      </w:pPr>
      <w:r>
        <w:lastRenderedPageBreak/>
        <w:t>4.1 Zestawienie zbiorcze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700"/>
        <w:gridCol w:w="700"/>
        <w:gridCol w:w="700"/>
        <w:gridCol w:w="850"/>
        <w:gridCol w:w="850"/>
        <w:gridCol w:w="850"/>
        <w:gridCol w:w="900"/>
        <w:gridCol w:w="900"/>
        <w:gridCol w:w="1288"/>
      </w:tblGrid>
      <w:tr w:rsidR="00F6381B" w14:paraId="43C724DF" w14:textId="77777777">
        <w:trPr>
          <w:cantSplit/>
          <w:tblHeader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66241C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Środowisko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83EC16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Model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04E9E3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Liczba VM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8D6808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vCPU / VM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DCC815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RAM / VM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4AAEA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SSD / VM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4DB251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Σ vCPU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BEA911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Σ RAM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68AA45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Σ SSD</w:t>
            </w:r>
          </w:p>
        </w:tc>
        <w:tc>
          <w:tcPr>
            <w:tcW w:w="1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5902A3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Pamięć obiektowa</w:t>
            </w:r>
          </w:p>
        </w:tc>
      </w:tr>
      <w:tr w:rsidR="00F6381B" w14:paraId="47F57FF5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E4A04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Produkcyjne – klaster K8s (workery)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CA4E79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PaaS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315BB0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973FC9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6DB7C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16 GB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CEF93E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200 GB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3C8728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19D5E2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96 GB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2F1C77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1 200 GB</w:t>
            </w:r>
          </w:p>
        </w:tc>
        <w:tc>
          <w:tcPr>
            <w:tcW w:w="1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63C126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2 000 GB</w:t>
            </w:r>
          </w:p>
        </w:tc>
      </w:tr>
      <w:tr w:rsidR="00F6381B" w14:paraId="3C9866A2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3AB9D7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Testowe – klaster K8s (workery)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843CC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PaaS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4DC904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258B79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6485CF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16 GB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6E42C5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200 GB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0460F9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090F63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96 GB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04E91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1 200 GB</w:t>
            </w:r>
          </w:p>
        </w:tc>
        <w:tc>
          <w:tcPr>
            <w:tcW w:w="1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F2BF0F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500 GB</w:t>
            </w:r>
          </w:p>
        </w:tc>
      </w:tr>
      <w:tr w:rsidR="00F6381B" w14:paraId="1C4C9B5C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639EE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CI/CD – klaster budowania (workery)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093A93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PaaS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18EE72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806B7A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A7D58C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16 GB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B85ED6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200 GB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1AFEB4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A9F364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48 GB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EB1F6A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600 GB</w:t>
            </w:r>
          </w:p>
        </w:tc>
        <w:tc>
          <w:tcPr>
            <w:tcW w:w="1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10869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–</w:t>
            </w:r>
          </w:p>
        </w:tc>
      </w:tr>
      <w:tr w:rsidR="00F6381B" w14:paraId="30818125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F0CB86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GitLab – repozytorium kodu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BCA8DF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IaaS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A76101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415615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901AA1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16 GB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5A5267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100 GB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1810F0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4E80A8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16 GB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AA9315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100 GB</w:t>
            </w:r>
          </w:p>
        </w:tc>
        <w:tc>
          <w:tcPr>
            <w:tcW w:w="1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D9759B" w14:textId="77777777" w:rsidR="00F6381B" w:rsidRDefault="004226D5">
            <w:pPr>
              <w:spacing w:after="30"/>
            </w:pPr>
            <w:r>
              <w:rPr>
                <w:sz w:val="16"/>
                <w:szCs w:val="16"/>
              </w:rPr>
              <w:t>–</w:t>
            </w:r>
          </w:p>
        </w:tc>
      </w:tr>
      <w:tr w:rsidR="00F6381B" w14:paraId="35040FBB" w14:textId="77777777">
        <w:trPr>
          <w:cantSplit/>
        </w:trPr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42701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9944E8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52F5A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67CF1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93FCF2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5BB020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–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8077CB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112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807B1D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256 GB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FFF59C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3 100 GB</w:t>
            </w:r>
          </w:p>
        </w:tc>
        <w:tc>
          <w:tcPr>
            <w:tcW w:w="128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7E0EA1" w14:textId="77777777" w:rsidR="00F6381B" w:rsidRDefault="004226D5">
            <w:pPr>
              <w:spacing w:after="30"/>
            </w:pPr>
            <w:r>
              <w:rPr>
                <w:b/>
                <w:bCs/>
                <w:sz w:val="16"/>
                <w:szCs w:val="16"/>
              </w:rPr>
              <w:t>2 500 GB</w:t>
            </w:r>
          </w:p>
        </w:tc>
      </w:tr>
    </w:tbl>
    <w:p w14:paraId="77DC3938" w14:textId="77777777" w:rsidR="00F6381B" w:rsidRDefault="00F6381B">
      <w:pPr>
        <w:spacing w:after="80"/>
      </w:pPr>
    </w:p>
    <w:p w14:paraId="568C13B3" w14:textId="77777777" w:rsidR="00F6381B" w:rsidRDefault="004226D5">
      <w:pPr>
        <w:spacing w:after="100"/>
      </w:pPr>
      <w:r>
        <w:rPr>
          <w:i/>
          <w:iCs/>
        </w:rPr>
        <w:t>Wymiarowane są wyłącznie węzły robocze (worker). Węzły sterujące (control plane / etcd) nie zostały ujęte – patrz pytanie P1.</w:t>
      </w:r>
    </w:p>
    <w:p w14:paraId="56DCABB1" w14:textId="77777777" w:rsidR="00F6381B" w:rsidRDefault="004226D5">
      <w:pPr>
        <w:pStyle w:val="Nagwek2"/>
        <w:keepNext/>
      </w:pPr>
      <w:r>
        <w:t>4.2 Przeznaczenie środowisk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F6381B" w14:paraId="3CC72F6B" w14:textId="77777777">
        <w:trPr>
          <w:cantSplit/>
          <w:tblHeader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B39431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Środowisko</w:t>
            </w:r>
          </w:p>
        </w:tc>
        <w:tc>
          <w:tcPr>
            <w:tcW w:w="7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49156A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Przeznaczenie i wymagania szczególne</w:t>
            </w:r>
          </w:p>
        </w:tc>
      </w:tr>
      <w:tr w:rsidR="00F6381B" w14:paraId="7D9E8A0A" w14:textId="77777777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72E04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Produkcyjne (PaaS)</w:t>
            </w:r>
          </w:p>
        </w:tc>
        <w:tc>
          <w:tcPr>
            <w:tcW w:w="7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12FDC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Obsługa ruchu produkcyjnego, pełna konteneryzacja mikroserwisów i usług bazodanowych. Wymaga wsparcia dostawcy w trybie 24/7/365.</w:t>
            </w:r>
          </w:p>
        </w:tc>
      </w:tr>
      <w:tr w:rsidR="00F6381B" w14:paraId="49B616FF" w14:textId="77777777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29E2A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Testowe (PaaS)</w:t>
            </w:r>
          </w:p>
        </w:tc>
        <w:tc>
          <w:tcPr>
            <w:tcW w:w="7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1A86E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Odzwierciedlenie architektury produkcyjnej pod względem konfiguracji sieciowej, topologii kontenerów i zachowania operatorów bazodanowych. Testy integracyjne, wydajnościowe i weryfikacja przed wdrożeniem.</w:t>
            </w:r>
          </w:p>
        </w:tc>
      </w:tr>
      <w:tr w:rsidR="00F6381B" w14:paraId="4167D072" w14:textId="77777777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9D0EA0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CI/CD (PaaS)</w:t>
            </w:r>
          </w:p>
        </w:tc>
        <w:tc>
          <w:tcPr>
            <w:tcW w:w="7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46EFBC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Środowisko całkowicie odseparowane – kompilacja, testy automatyczne, budowanie obrazów kontenerowych. Separacja chroni środowisko główne przed skokami zużycia CPU i pamięci.</w:t>
            </w:r>
          </w:p>
        </w:tc>
      </w:tr>
      <w:tr w:rsidR="00F6381B" w14:paraId="5C1C79C3" w14:textId="77777777">
        <w:trPr>
          <w:cantSplit/>
        </w:trPr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B47463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GitLab (IaaS)</w:t>
            </w:r>
          </w:p>
        </w:tc>
        <w:tc>
          <w:tcPr>
            <w:tcW w:w="7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E1E50A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Centralne repozytorium kodu programistycznego. Obecnie zaplanowane jako pojedyncza maszyna wirtualna – patrz pytanie P3.</w:t>
            </w:r>
          </w:p>
        </w:tc>
      </w:tr>
    </w:tbl>
    <w:p w14:paraId="4B781278" w14:textId="77777777" w:rsidR="00F6381B" w:rsidRDefault="00F6381B">
      <w:pPr>
        <w:spacing w:after="80"/>
      </w:pPr>
    </w:p>
    <w:p w14:paraId="58695D42" w14:textId="77777777" w:rsidR="00F6381B" w:rsidRDefault="004226D5">
      <w:pPr>
        <w:pStyle w:val="Nagwek2"/>
        <w:keepNext/>
      </w:pPr>
      <w:r>
        <w:t>4.3 Wymagania dla warstwy dyskowej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F6381B" w14:paraId="5FA2BAE3" w14:textId="77777777">
        <w:trPr>
          <w:cantSplit/>
          <w:tblHeader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2B9ABF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Parametr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DC6F32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Wymaganie</w:t>
            </w:r>
          </w:p>
        </w:tc>
      </w:tr>
      <w:tr w:rsidR="00F6381B" w14:paraId="713F2F7F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E87BB2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IOPS – zapis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DE1E59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min. 40 IOPS na każdy 1 GB pojemności dysku, nie mniej niż 4 000 na dysk (np. min. 8 000 dla dysku 200 GB)</w:t>
            </w:r>
          </w:p>
        </w:tc>
      </w:tr>
      <w:tr w:rsidR="00F6381B" w14:paraId="4B65EBEB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0E078F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IOPS – odczyt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44CC7E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min. 80 IOPS na każdy 1 GB pojemności dysku, nie mniej niż 8 000 na dysk (np. min. 16 000 dla dysku 200 GB)</w:t>
            </w:r>
          </w:p>
        </w:tc>
      </w:tr>
      <w:tr w:rsidR="00F6381B" w14:paraId="6FCD009D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1870A9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Transfer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A6D883" w14:textId="77777777" w:rsidR="00F6381B" w:rsidRPr="00244F7F" w:rsidRDefault="004226D5">
            <w:pPr>
              <w:spacing w:after="30"/>
            </w:pPr>
            <w:r w:rsidRPr="00244F7F">
              <w:rPr>
                <w:sz w:val="18"/>
                <w:szCs w:val="18"/>
              </w:rPr>
              <w:t>min. 1 MB/s na każdy 1 GB pojemności dysku (min. 100 MB/s dla dysku 100 GB) – zapis i odczyt</w:t>
            </w:r>
          </w:p>
        </w:tc>
      </w:tr>
      <w:tr w:rsidR="00F6381B" w14:paraId="3382D02E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D7DE0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Skalowalność parametrów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F2B12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Dostawca powinien wykazać możliwość uzyskania czterokrotności powyższych wymagań minimalnych.</w:t>
            </w:r>
          </w:p>
        </w:tc>
      </w:tr>
      <w:tr w:rsidR="00F6381B" w14:paraId="6BBE7034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79323B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Metoda weryfikacji przy odbiorze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88D0C9" w14:textId="77777777" w:rsidR="00F6381B" w:rsidRDefault="004226D5">
            <w:pPr>
              <w:spacing w:after="30"/>
            </w:pPr>
            <w:r w:rsidRPr="006E3185">
              <w:rPr>
                <w:sz w:val="18"/>
                <w:szCs w:val="18"/>
              </w:rPr>
              <w:t>Testy syntetyczne wydajności I/O (np. narzędziem fio – losowy odczyt i zapis blokami 4 KB, wiele wątków, duża głębokość kolejki) wykonane na klastrze; szczegółowy profil testu zostanie określony w OPZ.</w:t>
            </w:r>
          </w:p>
        </w:tc>
      </w:tr>
      <w:tr w:rsidR="00F6381B" w14:paraId="2C15950F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E37C25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Pamięć obiektowa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1E57A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Dedykowana przestrzeń typu object storage: 2 000 GB (produkcja), 500 GB (test)</w:t>
            </w:r>
          </w:p>
        </w:tc>
      </w:tr>
      <w:tr w:rsidR="00F6381B" w14:paraId="43E30A48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3042FCC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Storage współdzielony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AA8CA9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Wymagana pula shared storage dla klastra (w dotychczasowych założeniach wskazano CephFS – dopuszczamy rozwiązania równoważne, np. wolumeny plikowe NFS)</w:t>
            </w:r>
          </w:p>
        </w:tc>
      </w:tr>
    </w:tbl>
    <w:p w14:paraId="780E52A8" w14:textId="77777777" w:rsidR="00F6381B" w:rsidRDefault="00F6381B">
      <w:pPr>
        <w:spacing w:after="80"/>
      </w:pPr>
    </w:p>
    <w:p w14:paraId="5885E374" w14:textId="77777777" w:rsidR="00F6381B" w:rsidRDefault="004226D5">
      <w:pPr>
        <w:spacing w:after="100"/>
      </w:pPr>
      <w:r w:rsidRPr="006E3185">
        <w:rPr>
          <w:b/>
          <w:bCs/>
        </w:rPr>
        <w:lastRenderedPageBreak/>
        <w:t>Do potwierdzenia:</w:t>
      </w:r>
      <w:r w:rsidRPr="006E3185">
        <w:t xml:space="preserve"> prosimy o potwierdzenie osiągalności powyższych parametrów IOPS i transferu w standardowej klasie dysków SSD Państwa platformy, a jeśli wymagają one klasy wyższej – o wskazanie tej klasy oraz kosztu nadwyżkowych IOPS.</w:t>
      </w:r>
    </w:p>
    <w:p w14:paraId="2373ACB0" w14:textId="77777777" w:rsidR="00F6381B" w:rsidRDefault="004226D5">
      <w:pPr>
        <w:pStyle w:val="Nagwek1"/>
        <w:keepNext/>
      </w:pPr>
      <w:r>
        <w:t>5. Kopie zapasowe, ciągłość działania i odtwarzanie</w:t>
      </w:r>
    </w:p>
    <w:p w14:paraId="27B4A3B8" w14:textId="77777777" w:rsidR="00F6381B" w:rsidRDefault="004226D5">
      <w:pPr>
        <w:pStyle w:val="Nagwek2"/>
        <w:keepNext/>
      </w:pPr>
      <w:r>
        <w:t>5.1 Stan założeń wyjściowych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38"/>
      </w:tblGrid>
      <w:tr w:rsidR="00F6381B" w14:paraId="56E5BF9E" w14:textId="77777777">
        <w:trPr>
          <w:cantSplit/>
          <w:tblHeader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F9A422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Parametr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1A8179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Założenie wyjściowe</w:t>
            </w:r>
          </w:p>
        </w:tc>
      </w:tr>
      <w:tr w:rsidR="00F6381B" w14:paraId="06049375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F5073C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Pojemność usługi backupu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2365C8" w14:textId="77777777" w:rsidR="00F6381B" w:rsidRPr="006E3185" w:rsidRDefault="004226D5">
            <w:pPr>
              <w:spacing w:after="30"/>
            </w:pPr>
            <w:r w:rsidRPr="006E3185">
              <w:rPr>
                <w:sz w:val="18"/>
                <w:szCs w:val="18"/>
              </w:rPr>
              <w:t>min. 1,5-krotność dzierżawionych zasobów dyskowych</w:t>
            </w:r>
          </w:p>
        </w:tc>
      </w:tr>
      <w:tr w:rsidR="00F6381B" w14:paraId="0F2AC06C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99B542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Częstotliwość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BA94D" w14:textId="77777777" w:rsidR="00F6381B" w:rsidRPr="006E3185" w:rsidRDefault="004226D5">
            <w:pPr>
              <w:spacing w:after="30"/>
            </w:pPr>
            <w:r w:rsidRPr="006E3185">
              <w:rPr>
                <w:sz w:val="18"/>
                <w:szCs w:val="18"/>
              </w:rPr>
              <w:t>bazy danych i etcd – min. co 4 h; pełny backup wszystkich danych, maszyn wirtualnych i konfiguracji klastra – min. raz na 24 h</w:t>
            </w:r>
          </w:p>
        </w:tc>
      </w:tr>
      <w:tr w:rsidR="00F6381B" w14:paraId="60F29107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24B3B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Zakres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0F746E" w14:textId="77777777" w:rsidR="00F6381B" w:rsidRPr="006E3185" w:rsidRDefault="004226D5">
            <w:pPr>
              <w:spacing w:after="30"/>
            </w:pPr>
            <w:r w:rsidRPr="006E3185">
              <w:rPr>
                <w:sz w:val="18"/>
                <w:szCs w:val="18"/>
              </w:rPr>
              <w:t>Backup etcd oraz baz danych – po stronie dostawcy PaaS</w:t>
            </w:r>
          </w:p>
        </w:tc>
      </w:tr>
      <w:tr w:rsidR="00F6381B" w14:paraId="16B84D5B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B29721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Retencja danych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5CA1CE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Wg wstępnej propozycji w pkt 5.2</w:t>
            </w:r>
          </w:p>
        </w:tc>
      </w:tr>
      <w:tr w:rsidR="00F6381B" w14:paraId="1D7F700E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7C56A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RPO / RTO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15202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Wg wstępnej propozycji w pkt 5.2</w:t>
            </w:r>
          </w:p>
        </w:tc>
      </w:tr>
      <w:tr w:rsidR="00F6381B" w14:paraId="3BEB06F3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A948A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Disaster Recovery</w:t>
            </w:r>
          </w:p>
        </w:tc>
        <w:tc>
          <w:tcPr>
            <w:tcW w:w="70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214899" w14:textId="6C759FF8" w:rsidR="00F6381B" w:rsidRDefault="004226D5" w:rsidP="00D71AD1">
            <w:pPr>
              <w:spacing w:after="30"/>
            </w:pPr>
            <w:r>
              <w:rPr>
                <w:sz w:val="18"/>
                <w:szCs w:val="18"/>
              </w:rPr>
              <w:t xml:space="preserve">Lokalizacja na terenie </w:t>
            </w:r>
            <w:r w:rsidRPr="00D71AD1">
              <w:rPr>
                <w:sz w:val="18"/>
                <w:szCs w:val="18"/>
              </w:rPr>
              <w:t>Polski</w:t>
            </w:r>
            <w:r w:rsidR="00D71AD1" w:rsidRPr="00D71AD1">
              <w:rPr>
                <w:sz w:val="18"/>
                <w:szCs w:val="18"/>
              </w:rPr>
              <w:t xml:space="preserve"> (</w:t>
            </w:r>
            <w:r w:rsidR="00D71AD1" w:rsidRPr="00D71AD1">
              <w:rPr>
                <w:sz w:val="17"/>
                <w:szCs w:val="17"/>
              </w:rPr>
              <w:t>dopuszczalnie lokalizacja EOG)</w:t>
            </w:r>
          </w:p>
        </w:tc>
      </w:tr>
    </w:tbl>
    <w:p w14:paraId="42766B5F" w14:textId="77777777" w:rsidR="00F6381B" w:rsidRDefault="00F6381B">
      <w:pPr>
        <w:spacing w:after="80"/>
      </w:pPr>
    </w:p>
    <w:p w14:paraId="54020635" w14:textId="77777777" w:rsidR="00F6381B" w:rsidRDefault="004226D5">
      <w:pPr>
        <w:pStyle w:val="Nagwek2"/>
        <w:keepNext/>
      </w:pPr>
      <w:r>
        <w:t>5.2 RPO / RTO i kopie</w:t>
      </w:r>
    </w:p>
    <w:p w14:paraId="6CB51244" w14:textId="77777777" w:rsidR="00F6381B" w:rsidRDefault="004226D5">
      <w:pPr>
        <w:spacing w:after="100"/>
      </w:pPr>
      <w:r>
        <w:t>Wartości poniższe traktujemy jako wariant do szacowania.</w:t>
      </w:r>
    </w:p>
    <w:p w14:paraId="798AB3EF" w14:textId="77777777" w:rsidR="00F6381B" w:rsidRDefault="004226D5">
      <w:pPr>
        <w:spacing w:after="100"/>
      </w:pPr>
      <w:r>
        <w:t>W przypadku wątpliwości – prosimy o wskazanie w formularzu, które progi są osiągalne standardowo, a które wymagają rozwiązań podwyższających koszt.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2800"/>
        <w:gridCol w:w="3938"/>
      </w:tblGrid>
      <w:tr w:rsidR="00F6381B" w14:paraId="493B0B15" w14:textId="77777777">
        <w:trPr>
          <w:cantSplit/>
          <w:tblHeader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25D421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Parametr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47DD04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Propozycja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F6B2ED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Uwagi</w:t>
            </w:r>
          </w:p>
        </w:tc>
      </w:tr>
      <w:tr w:rsidR="00F6381B" w14:paraId="361D8F01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250E6D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RPO – środowisko produkcyjne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A757B9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≤ 4 h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DD0BE1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Backup dobowy oznacza faktyczne RPO = 24 h, co przy dokumentacji postępowań administracyjnych oceniamy jako zbyt wysokie</w:t>
            </w:r>
          </w:p>
        </w:tc>
      </w:tr>
      <w:tr w:rsidR="00F6381B" w14:paraId="64F138C6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03F22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RTO – środowisko produkcyjne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6DA55F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≤ 8 h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6E1A3B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Do skorelowania z MTTR 4 h dla błędów krytycznych (rozdz. 6)</w:t>
            </w:r>
          </w:p>
        </w:tc>
      </w:tr>
      <w:tr w:rsidR="00F6381B" w14:paraId="1874B7D3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C00FD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Retencja kopii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5EA374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dzienne 30 dni / tygodniowe 12 tyg. / miesięczne 12 mies.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B18629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F6381B" w14:paraId="73917ACA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BCE6D4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Kopie niezmienne (immutable)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F0304C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Wymagane dla kopii produkcyjnych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79D949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Ochrona przed ransomware; prosimy o wycenę jako pozycji odrębnej</w:t>
            </w:r>
          </w:p>
        </w:tc>
      </w:tr>
      <w:tr w:rsidR="00F6381B" w14:paraId="04C7B486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209D35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Lokalizacja kopii zapasowej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3BBD9E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Druga lokalizacja lub drugi region w obrębie EOG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E61530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Kopia zapasowa w tej samej lokalizacji nie stanowi disaster recovery</w:t>
            </w:r>
          </w:p>
        </w:tc>
      </w:tr>
      <w:tr w:rsidR="00F6381B" w14:paraId="0B27F020" w14:textId="77777777">
        <w:trPr>
          <w:cantSplit/>
        </w:trPr>
        <w:tc>
          <w:tcPr>
            <w:tcW w:w="2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65233C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Testy odtworzeniowe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05BB9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min. 1 raz w roku, z raportem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FA875E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Obowiązek umowny po stronie dostawcy</w:t>
            </w:r>
          </w:p>
        </w:tc>
      </w:tr>
    </w:tbl>
    <w:p w14:paraId="1633C056" w14:textId="77777777" w:rsidR="00F6381B" w:rsidRDefault="00F6381B">
      <w:pPr>
        <w:spacing w:after="80"/>
      </w:pPr>
    </w:p>
    <w:p w14:paraId="5A666C5F" w14:textId="77777777" w:rsidR="00F6381B" w:rsidRPr="006E3185" w:rsidRDefault="004226D5">
      <w:pPr>
        <w:pStyle w:val="Nagwek2"/>
        <w:keepNext/>
      </w:pPr>
      <w:r>
        <w:t xml:space="preserve">5.3 Wysoka </w:t>
      </w:r>
      <w:r w:rsidRPr="006E3185">
        <w:t>dostępność</w:t>
      </w:r>
    </w:p>
    <w:p w14:paraId="26585D24" w14:textId="77777777" w:rsidR="00F6381B" w:rsidRPr="006E3185" w:rsidRDefault="004226D5">
      <w:pPr>
        <w:pStyle w:val="Akapitzlist"/>
        <w:numPr>
          <w:ilvl w:val="0"/>
          <w:numId w:val="2"/>
        </w:numPr>
        <w:spacing w:after="60"/>
      </w:pPr>
      <w:r w:rsidRPr="006E3185">
        <w:rPr>
          <w:b/>
          <w:bCs/>
        </w:rPr>
        <w:t>Wielostrefowość (multi-AZ):</w:t>
      </w:r>
      <w:r w:rsidRPr="006E3185">
        <w:t xml:space="preserve"> oczekujemy rozłożenia węzłów środowiska produkcyjnego na co najmniej 2 niezależne strefy dostępności. Przez strefę dostępności rozumiemy fizycznie odrębną lokalizację (centrum danych lub grupę centrów danych) w obrębie jednego regionu, z niezależnym zasilaniem, chłodzeniem i łączami sieciowymi. Bez tego wymogu „6 węzłów” może pozostawać pojedynczym punktem awarii sprzętowej.</w:t>
      </w:r>
    </w:p>
    <w:p w14:paraId="26FA05BF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rPr>
          <w:b/>
          <w:bCs/>
        </w:rPr>
        <w:t>Redundancja control plane:</w:t>
      </w:r>
      <w:r>
        <w:t xml:space="preserve"> wymagana konfiguracja HA węzłów sterujących wraz z etcd, z jawnym wskazaniem, czy koszt jest wliczony w usługę zarządzaną.</w:t>
      </w:r>
    </w:p>
    <w:p w14:paraId="60BB37CB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rPr>
          <w:b/>
          <w:bCs/>
        </w:rPr>
        <w:t>Autoskalowanie:</w:t>
      </w:r>
      <w:r>
        <w:t xml:space="preserve"> oprócz kontraktowego mechanizmu domawiania zasobów oczekujemy dostępności mechanizmów technicznych (autoskalowanie podów i klastra), pozwalających obsłużyć krótkotrwałe skoki </w:t>
      </w:r>
      <w:r>
        <w:lastRenderedPageBreak/>
        <w:t>obciążenia bez uruchamiania nowej procedury zakupowej. Prosimy o wskazanie w formularzu szacowania modelu rozliczania zasobów doskalowanych automatycznie.</w:t>
      </w:r>
    </w:p>
    <w:p w14:paraId="0958448F" w14:textId="77777777" w:rsidR="00F6381B" w:rsidRDefault="004226D5">
      <w:pPr>
        <w:pStyle w:val="Nagwek1"/>
        <w:keepNext/>
      </w:pPr>
      <w:r>
        <w:t>6. Dostępność i parametry SLA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1800"/>
        <w:gridCol w:w="4538"/>
      </w:tblGrid>
      <w:tr w:rsidR="00F6381B" w14:paraId="1069F9B8" w14:textId="77777777">
        <w:trPr>
          <w:cantSplit/>
          <w:tblHeader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4AE550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Wskaźnik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4BECDA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Wartość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9CA4946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Uwaga</w:t>
            </w:r>
          </w:p>
        </w:tc>
      </w:tr>
      <w:tr w:rsidR="00F6381B" w14:paraId="6E6B860B" w14:textId="77777777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DC1EA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Dostępność środowiska produkcyjnego (uptime)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24FF14" w14:textId="77777777" w:rsidR="00F6381B" w:rsidRPr="004226D5" w:rsidRDefault="004226D5">
            <w:pPr>
              <w:spacing w:after="30"/>
            </w:pPr>
            <w:r w:rsidRPr="004226D5">
              <w:rPr>
                <w:sz w:val="18"/>
                <w:szCs w:val="18"/>
              </w:rPr>
              <w:t>99,5 % w skali roku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5A90A3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F6381B" w14:paraId="5658B441" w14:textId="77777777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02431E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Czas reakcji – błąd krytyczny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D597C3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&lt; 30 minut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BE0B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błąd krytyczny – błąd uniemożliwiający korzystanie z podstawowych funkcjonalności lub usług</w:t>
            </w:r>
          </w:p>
        </w:tc>
      </w:tr>
      <w:tr w:rsidR="00F6381B" w14:paraId="3DBB9047" w14:textId="77777777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081169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Czas reakcji – błąd zwykły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09CEB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&lt; 1 godzina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E0D0EB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błąd zwykły – inny błąd niż błąd krytyczny, który powoduje niepełne lub nieprawidłowe działanie funkcjonalności lub usługi</w:t>
            </w:r>
          </w:p>
        </w:tc>
      </w:tr>
      <w:tr w:rsidR="00F6381B" w14:paraId="7C218463" w14:textId="77777777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9AC384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MTTR – błąd krytyczny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4B82FB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&lt; 4 godziny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ECC3D5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–</w:t>
            </w:r>
          </w:p>
        </w:tc>
      </w:tr>
      <w:tr w:rsidR="00F6381B" w14:paraId="24D3D914" w14:textId="77777777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E0CB25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MTTR – błąd zwykły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DE039D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&lt; 16 godzin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3D683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–</w:t>
            </w:r>
          </w:p>
        </w:tc>
      </w:tr>
      <w:tr w:rsidR="00F6381B" w14:paraId="2F12AFE1" w14:textId="77777777">
        <w:trPr>
          <w:cantSplit/>
        </w:trPr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3B9899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Wsparcie dostawcy dla warstwy PaaS</w:t>
            </w:r>
          </w:p>
        </w:tc>
        <w:tc>
          <w:tcPr>
            <w:tcW w:w="1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A189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24/7/365</w:t>
            </w:r>
          </w:p>
        </w:tc>
        <w:tc>
          <w:tcPr>
            <w:tcW w:w="4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6E788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Dla warstwy infrastruktury środowiska produkcyjnego oczekujemy trybu 24/7/365</w:t>
            </w:r>
          </w:p>
        </w:tc>
      </w:tr>
    </w:tbl>
    <w:p w14:paraId="7AF22699" w14:textId="77777777" w:rsidR="00F6381B" w:rsidRDefault="00F6381B">
      <w:pPr>
        <w:spacing w:after="80"/>
      </w:pPr>
    </w:p>
    <w:p w14:paraId="36BFAFF2" w14:textId="77777777" w:rsidR="00F6381B" w:rsidRDefault="004226D5">
      <w:pPr>
        <w:spacing w:after="100"/>
      </w:pPr>
      <w:r>
        <w:rPr>
          <w:i/>
          <w:iCs/>
        </w:rPr>
        <w:t xml:space="preserve">Wartości </w:t>
      </w:r>
      <w:r w:rsidRPr="00D71AD1">
        <w:rPr>
          <w:i/>
          <w:iCs/>
        </w:rPr>
        <w:t>wstępne – oszacowane dla planowanego</w:t>
      </w:r>
      <w:r>
        <w:rPr>
          <w:i/>
          <w:iCs/>
        </w:rPr>
        <w:t xml:space="preserve"> systemu SOPOOŚ. </w:t>
      </w:r>
      <w:r>
        <w:rPr>
          <w:b/>
          <w:bCs/>
          <w:i/>
          <w:iCs/>
        </w:rPr>
        <w:t>Prosimy o ewentualne potwierdzenie osiągalności tych wartości oraz o wskazanie, jaki poziom SLA obejmuje standardowa usługa chmurowa, a jaki wymaga rozszerzenia – w formularzu szacowania.</w:t>
      </w:r>
    </w:p>
    <w:p w14:paraId="72CDB432" w14:textId="77777777" w:rsidR="00F6381B" w:rsidRDefault="004226D5">
      <w:pPr>
        <w:pStyle w:val="Nagwek1"/>
        <w:keepNext/>
      </w:pPr>
      <w:r>
        <w:t>7. Bezpieczeństwo i zgodność regulacyjna</w:t>
      </w:r>
    </w:p>
    <w:p w14:paraId="5886E7D6" w14:textId="77777777" w:rsidR="00F6381B" w:rsidRDefault="004226D5">
      <w:pPr>
        <w:spacing w:after="100"/>
      </w:pPr>
      <w:r>
        <w:t>Wymagane będzie zapewnienie zgodności przez Wykonawcę z wskazanymi niżej przepisami, regulacjami i standardami.</w:t>
      </w:r>
    </w:p>
    <w:p w14:paraId="4A78D861" w14:textId="77777777" w:rsidR="00F6381B" w:rsidRDefault="004226D5">
      <w:pPr>
        <w:pStyle w:val="Nagwek2"/>
        <w:keepNext/>
      </w:pPr>
      <w:r>
        <w:t>7.1 Otoczenie regulacyjne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F6381B" w14:paraId="5A245960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1E0B3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Akt / regulacja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E5F63D" w14:textId="77777777" w:rsidR="00F6381B" w:rsidRDefault="004226D5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Znaczenie dla postępowania</w:t>
            </w:r>
          </w:p>
        </w:tc>
      </w:tr>
      <w:tr w:rsidR="00F6381B" w14:paraId="61541080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85A233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 xml:space="preserve">Ustawa o KSC (Dz.U. z 2026 poz. 252), obowiązuje od 3 </w:t>
            </w:r>
            <w:r w:rsidRPr="004226D5">
              <w:rPr>
                <w:sz w:val="18"/>
                <w:szCs w:val="18"/>
              </w:rPr>
              <w:t>kwietnia 2026 r.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AC4EB4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Terminy: rejestracja jednostek budżetowych w systemie S46 do 3.10.2026, wdrożenie SZBI do 3.04.2027, pierwszy audyt podmiotu kluczowego do 3.04.2028. Kary pieniężne po upływie 2 lat od wejścia w życie nowelizacji.</w:t>
            </w:r>
          </w:p>
        </w:tc>
      </w:tr>
      <w:tr w:rsidR="00F6381B" w14:paraId="7C49BEE9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09F8C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Rozporządzenie wykonawcze KE 2024/2690 (rozporządzenie do Dyrektywy NIS2)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99FB4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Skonkretyzowane wymagania techniczne dla dostawców usług chmurowych.</w:t>
            </w:r>
          </w:p>
        </w:tc>
      </w:tr>
      <w:tr w:rsidR="00F6381B" w14:paraId="58C45BFB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DF4F8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Cyber Resilience Act (rozporządzenie KE 2024/2847)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1B9F8A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Raportowanie podatności i incydentów od 11.09.2026, pełne stosowanie od 11.12.2027. Dotyczy komponentów sprzętowych i programowych rozwiązania, nie samej usługi chmurowej.</w:t>
            </w:r>
          </w:p>
        </w:tc>
      </w:tr>
      <w:tr w:rsidR="00F6381B" w14:paraId="507B587E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0986C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Data Act (rozporządzenie 2023/2854)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842490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Podstawa klauzul migracyjnych i ograniczenia vendor lock-in.</w:t>
            </w:r>
          </w:p>
        </w:tc>
      </w:tr>
      <w:tr w:rsidR="00F6381B" w14:paraId="584C383A" w14:textId="77777777">
        <w:trPr>
          <w:cantSplit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FEB967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RODO</w:t>
            </w:r>
          </w:p>
        </w:tc>
        <w:tc>
          <w:tcPr>
            <w:tcW w:w="6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1B6DB3" w14:textId="77777777" w:rsidR="00F6381B" w:rsidRDefault="004226D5">
            <w:pPr>
              <w:spacing w:after="30"/>
            </w:pPr>
            <w:r>
              <w:rPr>
                <w:sz w:val="18"/>
                <w:szCs w:val="18"/>
              </w:rPr>
              <w:t>M.in. 72-godzinny termin zgłoszenia naruszenia ochrony danych osobowych, mający wpływ na SLA w zakresie reagowania na incydenty związane z danymi osobowymi.</w:t>
            </w:r>
          </w:p>
        </w:tc>
      </w:tr>
    </w:tbl>
    <w:p w14:paraId="7F15FEDB" w14:textId="77777777" w:rsidR="00F6381B" w:rsidRDefault="00F6381B">
      <w:pPr>
        <w:spacing w:after="80"/>
      </w:pPr>
    </w:p>
    <w:p w14:paraId="09DF0615" w14:textId="77777777" w:rsidR="00F6381B" w:rsidRDefault="004226D5">
      <w:pPr>
        <w:pStyle w:val="Nagwek2"/>
        <w:keepNext/>
      </w:pPr>
      <w:r>
        <w:t>7.2 Standardy odniesienia</w:t>
      </w:r>
    </w:p>
    <w:p w14:paraId="4BF9041B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ISO/IEC 27001 i 27002 – baza systemu zarządzania bezpieczeństwem informacji,</w:t>
      </w:r>
    </w:p>
    <w:p w14:paraId="2B1F6DA8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ISO/IEC 27017 – zabezpieczenia w środowisku chmurowym,</w:t>
      </w:r>
    </w:p>
    <w:p w14:paraId="6FBE8472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ISO/IEC 27018 – ochrona danych osobowych w chmurze publicznej,</w:t>
      </w:r>
    </w:p>
    <w:p w14:paraId="7AEBEF03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ISO/IEC 19086 – mierzalne SLA,</w:t>
      </w:r>
    </w:p>
    <w:p w14:paraId="483D51FB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lastRenderedPageBreak/>
        <w:t>ISO 22301 – ciągłość działania,</w:t>
      </w:r>
    </w:p>
    <w:p w14:paraId="737EE8D1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Standardy Cyberbezpieczeństwa Chmur Obliczeniowych (SCCO v. 2.00, Ministerstwo Cyfryzacji) – metodyka kategoryzacji danych i doboru poziomu zabezpieczeń.</w:t>
      </w:r>
    </w:p>
    <w:p w14:paraId="66B68393" w14:textId="77777777" w:rsidR="00F6381B" w:rsidRDefault="004226D5">
      <w:pPr>
        <w:pStyle w:val="Nagwek2"/>
        <w:keepNext/>
      </w:pPr>
      <w:r>
        <w:t>7.3 Weryfikacja dostawcy</w:t>
      </w:r>
    </w:p>
    <w:p w14:paraId="02E27CBE" w14:textId="77777777" w:rsidR="00F6381B" w:rsidRDefault="004226D5">
      <w:pPr>
        <w:spacing w:after="100"/>
      </w:pPr>
      <w:r>
        <w:t>Ocenę zamierzamy opierać na dowodach niezależnych, nie na oświadczeniach Wykonawcy. Przykładowe dowody:</w:t>
      </w:r>
    </w:p>
    <w:p w14:paraId="45D82C70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raport ISAE 3402 lub SOC 2 Type II za okres,</w:t>
      </w:r>
    </w:p>
    <w:p w14:paraId="112D8D00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atestacja BSI C5,</w:t>
      </w:r>
    </w:p>
    <w:p w14:paraId="1B86E7FC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kwestionariusz CSA CAIQ,</w:t>
      </w:r>
    </w:p>
    <w:p w14:paraId="217E5DC1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w przypadku ISO 27001 – weryfikacja zakresu certyfikacji oraz Deklaracji Stosowania, a nie samego certyfikatu.</w:t>
      </w:r>
    </w:p>
    <w:p w14:paraId="07DF793A" w14:textId="77777777" w:rsidR="00F6381B" w:rsidRDefault="004226D5">
      <w:pPr>
        <w:spacing w:after="100"/>
      </w:pPr>
      <w:r>
        <w:t>Europejski schemat certyfikacji usług chmurowych (EUCS) nie został dotąd formalnie przyjęty i certyfikaty nie są wydawane – nie będzie zatem stanowił warunku udziału w postępowaniu.</w:t>
      </w:r>
    </w:p>
    <w:p w14:paraId="233A5DD2" w14:textId="77777777" w:rsidR="00F6381B" w:rsidRDefault="004226D5">
      <w:pPr>
        <w:pStyle w:val="Nagwek1"/>
        <w:keepNext/>
      </w:pPr>
      <w:r>
        <w:t>8. Zakres usługi zarządzanej (Managed Kubernetes)</w:t>
      </w:r>
    </w:p>
    <w:p w14:paraId="112DFA2A" w14:textId="77777777" w:rsidR="00F6381B" w:rsidRDefault="004226D5">
      <w:pPr>
        <w:spacing w:after="100"/>
      </w:pPr>
      <w:r>
        <w:t>Oczekujemy usługi obejmującej zaprojektowanie, wdrożenie, utrzymanie ciągłości działania i wsparcie w rozwoju środowiska. Poniżej zakres wynikający z dotychczasowych założeń.</w:t>
      </w:r>
    </w:p>
    <w:p w14:paraId="2BE2CB91" w14:textId="77777777" w:rsidR="00F6381B" w:rsidRPr="004226D5" w:rsidRDefault="004226D5">
      <w:pPr>
        <w:pStyle w:val="Nagwek2"/>
        <w:keepNext/>
      </w:pPr>
      <w:r>
        <w:t xml:space="preserve">8.1 </w:t>
      </w:r>
      <w:r w:rsidRPr="004226D5">
        <w:t>Wdrożenie</w:t>
      </w:r>
    </w:p>
    <w:p w14:paraId="36A836E5" w14:textId="77777777" w:rsidR="00F6381B" w:rsidRPr="004226D5" w:rsidRDefault="004226D5">
      <w:pPr>
        <w:keepNext/>
        <w:spacing w:after="100"/>
      </w:pPr>
      <w:r w:rsidRPr="004226D5">
        <w:rPr>
          <w:b/>
          <w:bCs/>
        </w:rPr>
        <w:t>Wymagane</w:t>
      </w:r>
      <w:r w:rsidRPr="004226D5">
        <w:t>:</w:t>
      </w:r>
    </w:p>
    <w:p w14:paraId="6E4EB206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</w:pPr>
      <w:r w:rsidRPr="004226D5">
        <w:t>instalacja i konfiguracja klastrów Kubernetes per środowisko – control plane / master nodes oraz worker nodes;</w:t>
      </w:r>
    </w:p>
    <w:p w14:paraId="5C109148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instalacja i konfiguracja runtime kontenerowego na nodach;</w:t>
      </w:r>
    </w:p>
    <w:p w14:paraId="02A24FCD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konfiguracja CNI (Container Network Interface) i CIDR dla podów oraz services;</w:t>
      </w:r>
    </w:p>
    <w:p w14:paraId="27DC1A61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konfiguracja DNS wewnątrz klastra oraz upstream DNS;</w:t>
      </w:r>
    </w:p>
    <w:p w14:paraId="41ECC9D7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konfiguracja backupu etcd;</w:t>
      </w:r>
    </w:p>
    <w:p w14:paraId="34081C57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konfiguracja i podłączenie puli storage (CSI) do poziomu StorageClass;</w:t>
      </w:r>
    </w:p>
    <w:p w14:paraId="36340A46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  <w:rPr>
          <w:lang w:val="en-GB"/>
        </w:rPr>
      </w:pPr>
      <w:r w:rsidRPr="004226D5">
        <w:rPr>
          <w:lang w:val="en-GB"/>
        </w:rPr>
        <w:t>instalacja i konfiguracja load balancerów oraz ingress controller / gateway API;</w:t>
      </w:r>
    </w:p>
    <w:p w14:paraId="057B0303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konfiguracja RBAC i kontroli dostępu do klastra (autoryzacja);</w:t>
      </w:r>
    </w:p>
    <w:p w14:paraId="5B2F4CED" w14:textId="77777777" w:rsidR="00F6381B" w:rsidRPr="00244F7F" w:rsidRDefault="004226D5">
      <w:pPr>
        <w:pStyle w:val="Akapitzlist"/>
        <w:numPr>
          <w:ilvl w:val="0"/>
          <w:numId w:val="2"/>
        </w:numPr>
        <w:spacing w:after="60"/>
      </w:pPr>
      <w:r>
        <w:t xml:space="preserve">zarządzanie cyklem życia klastra – aktualizacje wersji Kubernetes oraz patchowanie/aktualizacje systemów </w:t>
      </w:r>
      <w:r w:rsidRPr="00244F7F">
        <w:t>na nodach;</w:t>
      </w:r>
    </w:p>
    <w:p w14:paraId="40A6FAD6" w14:textId="77777777" w:rsidR="00F6381B" w:rsidRPr="00244F7F" w:rsidRDefault="004226D5">
      <w:pPr>
        <w:pStyle w:val="Akapitzlist"/>
        <w:numPr>
          <w:ilvl w:val="0"/>
          <w:numId w:val="2"/>
        </w:numPr>
        <w:spacing w:after="60"/>
      </w:pPr>
      <w:r w:rsidRPr="00244F7F">
        <w:t>konfiguracja autoscalingu na poziomie klastra (Cluster autoscaler);</w:t>
      </w:r>
    </w:p>
    <w:p w14:paraId="1D92D4F5" w14:textId="77777777" w:rsidR="002069EF" w:rsidRPr="00244F7F" w:rsidRDefault="004226D5">
      <w:pPr>
        <w:pStyle w:val="Akapitzlist"/>
        <w:numPr>
          <w:ilvl w:val="0"/>
          <w:numId w:val="2"/>
        </w:numPr>
        <w:spacing w:after="60"/>
      </w:pPr>
      <w:r w:rsidRPr="00244F7F">
        <w:t>backup i disaster recovery zasobów klastra oraz danych aplikacyjnych</w:t>
      </w:r>
    </w:p>
    <w:p w14:paraId="25007483" w14:textId="77777777" w:rsidR="002069EF" w:rsidRPr="00244F7F" w:rsidRDefault="002069EF" w:rsidP="002069EF">
      <w:pPr>
        <w:pStyle w:val="Akapitzlist"/>
        <w:numPr>
          <w:ilvl w:val="0"/>
          <w:numId w:val="2"/>
        </w:numPr>
        <w:spacing w:after="60"/>
      </w:pPr>
      <w:r w:rsidRPr="00244F7F">
        <w:t>instalacja i konfiguracja narzędzi do obsługi certyfikatów TLS;</w:t>
      </w:r>
    </w:p>
    <w:p w14:paraId="1D829BF2" w14:textId="77777777" w:rsidR="002069EF" w:rsidRPr="00244F7F" w:rsidRDefault="002069EF" w:rsidP="002069EF">
      <w:pPr>
        <w:pStyle w:val="Akapitzlist"/>
        <w:numPr>
          <w:ilvl w:val="0"/>
          <w:numId w:val="2"/>
        </w:numPr>
        <w:spacing w:after="60"/>
      </w:pPr>
      <w:r w:rsidRPr="00244F7F">
        <w:t>instalacja i konfiguracja rejestru kontenerów;</w:t>
      </w:r>
    </w:p>
    <w:p w14:paraId="08A17960" w14:textId="77777777" w:rsidR="002069EF" w:rsidRPr="00244F7F" w:rsidRDefault="002069EF" w:rsidP="002069EF">
      <w:pPr>
        <w:pStyle w:val="Akapitzlist"/>
        <w:numPr>
          <w:ilvl w:val="0"/>
          <w:numId w:val="2"/>
        </w:numPr>
        <w:spacing w:after="60"/>
      </w:pPr>
      <w:r w:rsidRPr="00244F7F">
        <w:t>instalacja i konfiguracja monitoringu środowiska wraz z narzędziami do wizualizacji;</w:t>
      </w:r>
    </w:p>
    <w:p w14:paraId="35BA19AA" w14:textId="77777777" w:rsidR="002069EF" w:rsidRPr="00244F7F" w:rsidRDefault="002069EF" w:rsidP="002069EF">
      <w:pPr>
        <w:pStyle w:val="Akapitzlist"/>
        <w:numPr>
          <w:ilvl w:val="0"/>
          <w:numId w:val="2"/>
        </w:numPr>
        <w:spacing w:after="60"/>
      </w:pPr>
      <w:r w:rsidRPr="00244F7F">
        <w:t>agregowanie i przechowywanie logów (logging stack) oraz konfiguracja alertingu;</w:t>
      </w:r>
    </w:p>
    <w:p w14:paraId="6F8F6F4B" w14:textId="77777777" w:rsidR="002069EF" w:rsidRPr="00244F7F" w:rsidRDefault="002069EF" w:rsidP="002069EF">
      <w:pPr>
        <w:pStyle w:val="Akapitzlist"/>
        <w:numPr>
          <w:ilvl w:val="0"/>
          <w:numId w:val="2"/>
        </w:numPr>
        <w:spacing w:after="60"/>
      </w:pPr>
      <w:r w:rsidRPr="00244F7F">
        <w:t>hardening i tuning systemów operacyjnych oraz platformy kontenerowej pod konkretny workload;</w:t>
      </w:r>
    </w:p>
    <w:p w14:paraId="49B9C42C" w14:textId="77777777" w:rsidR="002069EF" w:rsidRPr="00244F7F" w:rsidRDefault="002069EF" w:rsidP="002069EF">
      <w:pPr>
        <w:pStyle w:val="Akapitzlist"/>
        <w:numPr>
          <w:ilvl w:val="0"/>
          <w:numId w:val="2"/>
        </w:numPr>
        <w:spacing w:after="60"/>
      </w:pPr>
      <w:r w:rsidRPr="00244F7F">
        <w:t>integracja z systemem IAM/SSO do uwierzytelniania dostępu do klastra i komponentów;</w:t>
      </w:r>
    </w:p>
    <w:p w14:paraId="76A7AA9E" w14:textId="77777777" w:rsidR="002069EF" w:rsidRPr="00244F7F" w:rsidRDefault="002069EF" w:rsidP="002069EF">
      <w:pPr>
        <w:pStyle w:val="Akapitzlist"/>
        <w:numPr>
          <w:ilvl w:val="0"/>
          <w:numId w:val="2"/>
        </w:numPr>
        <w:spacing w:after="60"/>
      </w:pPr>
      <w:r w:rsidRPr="00244F7F">
        <w:t>skanowanie obrazów kontenerów pod kątem podatności;</w:t>
      </w:r>
    </w:p>
    <w:p w14:paraId="60F1BC4E" w14:textId="635377B9" w:rsidR="00F6381B" w:rsidRPr="00244F7F" w:rsidRDefault="002069EF" w:rsidP="002069EF">
      <w:pPr>
        <w:pStyle w:val="Akapitzlist"/>
        <w:numPr>
          <w:ilvl w:val="0"/>
          <w:numId w:val="2"/>
        </w:numPr>
        <w:spacing w:after="60"/>
      </w:pPr>
      <w:r w:rsidRPr="00244F7F">
        <w:t>instalacja i konfiguracja klastrów bazodanowych.</w:t>
      </w:r>
    </w:p>
    <w:p w14:paraId="0D68BB26" w14:textId="317A419F" w:rsidR="00F6381B" w:rsidRPr="00FF047E" w:rsidRDefault="004226D5" w:rsidP="002069EF">
      <w:pPr>
        <w:keepNext/>
        <w:spacing w:before="100" w:after="100"/>
      </w:pPr>
      <w:r w:rsidRPr="00FF047E">
        <w:rPr>
          <w:b/>
          <w:bCs/>
        </w:rPr>
        <w:lastRenderedPageBreak/>
        <w:t>Opcjonalne:</w:t>
      </w:r>
    </w:p>
    <w:p w14:paraId="05E05269" w14:textId="77777777" w:rsidR="00F6381B" w:rsidRPr="00FF047E" w:rsidRDefault="004226D5">
      <w:pPr>
        <w:pStyle w:val="Akapitzlist"/>
        <w:numPr>
          <w:ilvl w:val="0"/>
          <w:numId w:val="2"/>
        </w:numPr>
        <w:spacing w:after="60"/>
      </w:pPr>
      <w:r w:rsidRPr="00FF047E">
        <w:t>instalacja i konfiguracja narzędzia do tracingu w środowisku;</w:t>
      </w:r>
    </w:p>
    <w:p w14:paraId="16078A24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 w:rsidRPr="00FF047E">
        <w:t>instalacja i konfiguracja</w:t>
      </w:r>
      <w:r>
        <w:t xml:space="preserve"> service mesh oraz network policy;</w:t>
      </w:r>
    </w:p>
    <w:p w14:paraId="3A4B4BF0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konfiguracja autoscalingu na poziomie zasobów (Vertical autoscaler);</w:t>
      </w:r>
    </w:p>
    <w:p w14:paraId="75AD0D40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instalacja i konfiguracja narzędzia do przechowywania danych wrażliwych (secrets management);</w:t>
      </w:r>
    </w:p>
    <w:p w14:paraId="0AE25301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instalacja i konfiguracja narzędzi GitOps;</w:t>
      </w:r>
    </w:p>
    <w:p w14:paraId="6B035ABB" w14:textId="2984B654" w:rsidR="00F6381B" w:rsidRDefault="004226D5" w:rsidP="002069EF">
      <w:pPr>
        <w:pStyle w:val="Akapitzlist"/>
        <w:numPr>
          <w:ilvl w:val="0"/>
          <w:numId w:val="2"/>
        </w:numPr>
        <w:spacing w:after="60"/>
      </w:pPr>
      <w:r>
        <w:t>konfiguracja silnika polityk i walidacji zasobów</w:t>
      </w:r>
      <w:r w:rsidR="002069EF">
        <w:t>.</w:t>
      </w:r>
    </w:p>
    <w:p w14:paraId="7ABCAB78" w14:textId="77777777" w:rsidR="00F6381B" w:rsidRDefault="004226D5">
      <w:pPr>
        <w:pStyle w:val="Nagwek2"/>
        <w:keepNext/>
      </w:pPr>
      <w:r>
        <w:t>8.2 Administracja i utrzymanie</w:t>
      </w:r>
    </w:p>
    <w:p w14:paraId="330B1E65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bieżąca diagnostyka i usuwanie błędów konfiguracji środowiska;</w:t>
      </w:r>
    </w:p>
    <w:p w14:paraId="4C99CFA6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zarządzanie dostępami do przestrzeni nazw, systemów operacyjnych, baz danych i rejestru kontenerów;</w:t>
      </w:r>
    </w:p>
    <w:p w14:paraId="43BFEDAB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zarządzanie konfiguracją sieciową, firewallem, load balancerami i przestrzenią dyskową;</w:t>
      </w:r>
    </w:p>
    <w:p w14:paraId="350D9535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zarządzanie systemowymi przestrzeniami nazw i podami niebędącymi częścią warstwy aplikacji zamawiającego;</w:t>
      </w:r>
    </w:p>
    <w:p w14:paraId="6521F528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cykliczne aktualizacje systemowe wg uzgodnionego harmonogramu oraz bieżące poprawki bezpieczeństwa;</w:t>
      </w:r>
    </w:p>
    <w:p w14:paraId="62C6F6BE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cykliczne przeglądy konfiguracji i logów;</w:t>
      </w:r>
    </w:p>
    <w:p w14:paraId="05F4B07E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tworzenie, weryfikacja kopii i odtwarzanie danych w przypadku awarii;</w:t>
      </w:r>
    </w:p>
    <w:p w14:paraId="1723809B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konfiguracja certyfikatów SSL;</w:t>
      </w:r>
    </w:p>
    <w:p w14:paraId="480981F1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przygotowanie i aktualizacja dokumentacji;</w:t>
      </w:r>
    </w:p>
    <w:p w14:paraId="2FCAC6E7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konsultacje w zakresie projektowania, rozbudowy i zmian w stosie technologicznym.</w:t>
      </w:r>
    </w:p>
    <w:p w14:paraId="113D6948" w14:textId="77777777" w:rsidR="00F6381B" w:rsidRDefault="004226D5">
      <w:pPr>
        <w:pStyle w:val="Nagwek2"/>
        <w:keepNext/>
      </w:pPr>
      <w:r>
        <w:t>8.3 Monitoring (tryb 24h/7 dni w tygodniu)</w:t>
      </w:r>
    </w:p>
    <w:p w14:paraId="7BFCAF11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monitoring systemów operacyjnych: CPU, RAM, swap, storage, sieć, procesy, sumy kontrolne plików;</w:t>
      </w:r>
    </w:p>
    <w:p w14:paraId="27D51D0F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monitoring węzłów i stanu klastra Kubernetes;</w:t>
      </w:r>
    </w:p>
    <w:p w14:paraId="35C881EC" w14:textId="77777777" w:rsidR="00F6381B" w:rsidRPr="004226D5" w:rsidRDefault="004226D5">
      <w:pPr>
        <w:pStyle w:val="Akapitzlist"/>
        <w:numPr>
          <w:ilvl w:val="0"/>
          <w:numId w:val="2"/>
        </w:numPr>
        <w:spacing w:after="60"/>
        <w:rPr>
          <w:lang w:val="en-GB"/>
        </w:rPr>
      </w:pPr>
      <w:r w:rsidRPr="004226D5">
        <w:rPr>
          <w:lang w:val="en-GB"/>
        </w:rPr>
        <w:t>monitoring API server, controller managera, schedulera oraz kubelet;</w:t>
      </w:r>
    </w:p>
    <w:p w14:paraId="682CFA6C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monitoring dodatkowych komponentów na wniosek zamawiającego.</w:t>
      </w:r>
    </w:p>
    <w:p w14:paraId="208FEA36" w14:textId="77777777" w:rsidR="00F6381B" w:rsidRDefault="004226D5">
      <w:pPr>
        <w:pStyle w:val="Nagwek1"/>
        <w:keepNext/>
      </w:pPr>
      <w:r>
        <w:t>9. Poglądowe odwzorowanie na usługi chmurowe</w:t>
      </w:r>
    </w:p>
    <w:p w14:paraId="4C18DF73" w14:textId="77777777" w:rsidR="00F6381B" w:rsidRDefault="004226D5">
      <w:pPr>
        <w:spacing w:after="100"/>
      </w:pPr>
      <w:r>
        <w:t>Tabela ma charakter wyłącznie orientacyjny i służy uwspólnieniu języka rozmowy; jako punkt odniesienia wskazano usługi jednej z platform publicznych. Nie stanowi wskazania konkretnego produktu ani wymogu jego zastosowania. Prosimy o korektę doboru usług i klas maszyn zgodnie z Państwa praktyką oraz o wskazanie odpowiedników w Państwa portfolio.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300"/>
        <w:gridCol w:w="3938"/>
      </w:tblGrid>
      <w:tr w:rsidR="00F6381B" w14:paraId="020C4484" w14:textId="77777777">
        <w:trPr>
          <w:cantSplit/>
          <w:tblHeader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14123B4" w14:textId="77777777" w:rsidR="00F6381B" w:rsidRDefault="004226D5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Element architektury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3A3EE" w14:textId="77777777" w:rsidR="00F6381B" w:rsidRDefault="004226D5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Usługa (przykładowo)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CE6F1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B4BEE7" w14:textId="77777777" w:rsidR="00F6381B" w:rsidRDefault="004226D5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Uwagi</w:t>
            </w:r>
          </w:p>
        </w:tc>
      </w:tr>
      <w:tr w:rsidR="00F6381B" w14:paraId="57CFC277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AD2FF4" w14:textId="77777777" w:rsidR="00F6381B" w:rsidRPr="004226D5" w:rsidRDefault="004226D5">
            <w:pPr>
              <w:spacing w:after="30"/>
              <w:rPr>
                <w:lang w:val="en-GB"/>
              </w:rPr>
            </w:pPr>
            <w:r w:rsidRPr="004226D5">
              <w:rPr>
                <w:sz w:val="17"/>
                <w:szCs w:val="17"/>
                <w:lang w:val="en-GB"/>
              </w:rPr>
              <w:t>Klaster Kubernetes (prod / test / CI-CD)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57FBB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Zarządzana usługa Kubernetes z SLA na control plane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D1FC7B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Do potwierdzenia: czy zarządzany control plane spełnia wymóg wsparcia 24/7/365 i jak jest rozliczany</w:t>
            </w:r>
          </w:p>
        </w:tc>
      </w:tr>
      <w:tr w:rsidR="00F6381B" w14:paraId="15D7FA2C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642985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Węzeł roboczy 8 vCPU / 16 GB RAM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99A870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VM w rodzinie compute-optimized (proporcja vCPU:RAM = 1:2)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DF915A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Proporcja 1:2 nietypowa dla rodzin ogólnego przeznaczenia (tam zwykle 1:4). Prosimy o rekomendację klasy maszyn adekwatnej do obciążenia bazodanowego w kontenerach</w:t>
            </w:r>
          </w:p>
        </w:tc>
      </w:tr>
      <w:tr w:rsidR="00F6381B" w14:paraId="3032277F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5209C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Węzeł CI/CD 4 vCPU / 16 GB RAM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0C41B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VM ogólnego przeznaczenia (proporcja 1:4)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FD02BEE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 xml:space="preserve">Możliwe </w:t>
            </w:r>
            <w:r w:rsidRPr="006E3185">
              <w:rPr>
                <w:sz w:val="17"/>
                <w:szCs w:val="17"/>
              </w:rPr>
              <w:t>wykorzystanie instancji o obniżonej cenie i niższej gwarancji dostępności (typu spot / preemptible) dla zadań budowania – prosimy o wskazanie oszczędności</w:t>
            </w:r>
          </w:p>
        </w:tc>
      </w:tr>
      <w:tr w:rsidR="00F6381B" w14:paraId="60C63839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220B68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Dyski podstawowe SSD 100–200 GB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1C4736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Dyski blokowe SSD wysokiej wydajności z konfigurowalnym IOPS/przepustowością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E49F75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Prosimy o dobór klasy dysku spełniającej wymagania z rozdz. 4.3 i wskazanie kosztu nadwyżkowych IOPS</w:t>
            </w:r>
          </w:p>
        </w:tc>
      </w:tr>
      <w:tr w:rsidR="00F6381B" w14:paraId="78733486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67D20D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lastRenderedPageBreak/>
              <w:t>Pamięć obiektowa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F2136A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Magazyn obiektowy (object storage)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DFA96B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Istotne: nie każda platforma udostępnia natywnie interfejs zgodny z API S3 – patrz pytanie P2</w:t>
            </w:r>
          </w:p>
        </w:tc>
      </w:tr>
      <w:tr w:rsidR="00F6381B" w14:paraId="75C46978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B303E5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Storage współdzielony (CephFS)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A954E9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Wolumeny plikowe (NFS/SMB) o wysokiej wydajności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B5E11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Rozwiązanie równoważne wobec CephFS</w:t>
            </w:r>
          </w:p>
        </w:tc>
      </w:tr>
      <w:tr w:rsidR="00F6381B" w14:paraId="3B42CEBF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0F22BF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Kopie zapasowe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B4C07E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Usługa backupu z magazynem kopii, opcja kopii niezmiennych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498A13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Wymóg 1,5-krotności zasobów dyskowych – patrz pytanie P5</w:t>
            </w:r>
          </w:p>
        </w:tc>
      </w:tr>
      <w:tr w:rsidR="00F6381B" w14:paraId="19F9224C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02590B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Load balancer / ingress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1EC4CD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Load balancer, brama aplikacyjna z WAF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70C316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WAF wymagany ze względu na publiczne portale</w:t>
            </w:r>
          </w:p>
        </w:tc>
      </w:tr>
      <w:tr w:rsidR="00F6381B" w14:paraId="74E5604A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A58877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Rejestr kontenerów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10251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Zarządzany rejestr obrazów kontenerowych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72A309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Ze skanowaniem obrazów pod kątem podatności</w:t>
            </w:r>
          </w:p>
        </w:tc>
      </w:tr>
      <w:tr w:rsidR="00F6381B" w14:paraId="58C9681C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ABF6CA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Monitoring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75942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Usługa monitoringu, zarządzany Prometheus / Grafana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980374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Wymagany eksport logów do SIEM zamawiającego</w:t>
            </w:r>
          </w:p>
        </w:tc>
      </w:tr>
      <w:tr w:rsidR="00F6381B" w14:paraId="526D98F3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ABD476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Zarządzanie kluczami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0287FC" w14:textId="77777777" w:rsidR="00F6381B" w:rsidRPr="00385A89" w:rsidRDefault="004226D5">
            <w:pPr>
              <w:spacing w:after="30"/>
            </w:pPr>
            <w:r w:rsidRPr="00385A89">
              <w:rPr>
                <w:sz w:val="17"/>
                <w:szCs w:val="17"/>
              </w:rPr>
              <w:t>Usługa zarządzania kluczami kryptograficznymi / zarządzany HSM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27B594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Wymóg kontroli kluczy po stronie zamawiającego (BYOK/CMK)</w:t>
            </w:r>
          </w:p>
        </w:tc>
      </w:tr>
      <w:tr w:rsidR="00F6381B" w14:paraId="08F46390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91863B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Repozytorium kodu (GitLab)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D76B1C" w14:textId="77777777" w:rsidR="00F6381B" w:rsidRPr="006E3185" w:rsidRDefault="004226D5">
            <w:pPr>
              <w:spacing w:after="30"/>
            </w:pPr>
            <w:r w:rsidRPr="006E3185">
              <w:rPr>
                <w:sz w:val="17"/>
                <w:szCs w:val="17"/>
              </w:rPr>
              <w:t>VM z dyskiem zarządzanym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4FDAC" w14:textId="77777777" w:rsidR="00F6381B" w:rsidRPr="006E3185" w:rsidRDefault="004226D5">
            <w:pPr>
              <w:spacing w:after="30"/>
            </w:pPr>
            <w:r w:rsidRPr="006E3185">
              <w:rPr>
                <w:sz w:val="17"/>
                <w:szCs w:val="17"/>
              </w:rPr>
              <w:t>Alternatywnie usługa zarządzana GitLab – prosimy o porównanie kosztów</w:t>
            </w:r>
          </w:p>
        </w:tc>
      </w:tr>
      <w:tr w:rsidR="00F6381B" w14:paraId="6270CE7C" w14:textId="77777777">
        <w:trPr>
          <w:cantSplit/>
        </w:trPr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9C4802" w14:textId="77777777" w:rsidR="00F6381B" w:rsidRDefault="004226D5">
            <w:pPr>
              <w:spacing w:after="30"/>
            </w:pPr>
            <w:r>
              <w:rPr>
                <w:sz w:val="17"/>
                <w:szCs w:val="17"/>
              </w:rPr>
              <w:t>Region</w:t>
            </w:r>
          </w:p>
        </w:tc>
        <w:tc>
          <w:tcPr>
            <w:tcW w:w="3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832D25" w14:textId="247E110B" w:rsidR="00F6381B" w:rsidRPr="006E3185" w:rsidRDefault="004226D5">
            <w:pPr>
              <w:spacing w:after="30"/>
            </w:pPr>
            <w:r w:rsidRPr="006E3185">
              <w:rPr>
                <w:sz w:val="17"/>
                <w:szCs w:val="17"/>
              </w:rPr>
              <w:t>Region na terenie Polski</w:t>
            </w:r>
            <w:r w:rsidR="00D71AD1" w:rsidRPr="006E3185">
              <w:rPr>
                <w:sz w:val="17"/>
                <w:szCs w:val="17"/>
              </w:rPr>
              <w:t xml:space="preserve"> (dopuszczalnie EOG)</w:t>
            </w:r>
            <w:r w:rsidRPr="006E3185">
              <w:rPr>
                <w:sz w:val="17"/>
                <w:szCs w:val="17"/>
              </w:rPr>
              <w:t>, min. 2 strefy dostępności</w:t>
            </w:r>
          </w:p>
        </w:tc>
        <w:tc>
          <w:tcPr>
            <w:tcW w:w="39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67DC07" w14:textId="6CAA55AB" w:rsidR="00F6381B" w:rsidRPr="006E3185" w:rsidRDefault="004226D5">
            <w:pPr>
              <w:spacing w:after="30"/>
            </w:pPr>
            <w:r w:rsidRPr="006E3185">
              <w:rPr>
                <w:sz w:val="17"/>
                <w:szCs w:val="17"/>
              </w:rPr>
              <w:t>Zapewnia rezydencję danych w Polsce</w:t>
            </w:r>
            <w:r w:rsidR="00D71AD1" w:rsidRPr="006E3185">
              <w:rPr>
                <w:sz w:val="17"/>
                <w:szCs w:val="17"/>
              </w:rPr>
              <w:t xml:space="preserve"> (dopuszczalnie w EOG)</w:t>
            </w:r>
            <w:r w:rsidRPr="006E3185">
              <w:rPr>
                <w:sz w:val="17"/>
                <w:szCs w:val="17"/>
              </w:rPr>
              <w:t>; do potwierdzenia dostępność wszystkich wymaganych usług w tym regionie</w:t>
            </w:r>
          </w:p>
        </w:tc>
      </w:tr>
    </w:tbl>
    <w:p w14:paraId="1CAE5200" w14:textId="77777777" w:rsidR="00F6381B" w:rsidRDefault="00F6381B">
      <w:pPr>
        <w:spacing w:after="80"/>
      </w:pPr>
    </w:p>
    <w:p w14:paraId="668C9381" w14:textId="77777777" w:rsidR="00F6381B" w:rsidRDefault="004226D5">
      <w:pPr>
        <w:pStyle w:val="Nagwek1"/>
        <w:keepNext/>
      </w:pPr>
      <w:r>
        <w:t>10. Skalowalność i mechanizm rozbudowy</w:t>
      </w:r>
    </w:p>
    <w:p w14:paraId="3A039CF9" w14:textId="77777777" w:rsidR="00F6381B" w:rsidRDefault="004226D5">
      <w:pPr>
        <w:spacing w:after="100"/>
      </w:pPr>
      <w:r>
        <w:t>Parametry z rozdziału 4 to wariant wejściowy. Wraz ze wzrostem wolumenu danych i obciążenia transakcyjnego architektura musi zapewniać pełną skalowalność wszystkich komponentów. W finalnym OPZ/SWZ oraz umowie przewidziany zostanie mechanizm elastycznego domawiania zasobów w trakcie trwania kontraktu (prawo opcji lub stały cennik jednostkowy), obejmujący:</w:t>
      </w:r>
    </w:p>
    <w:p w14:paraId="37A9BF85" w14:textId="77777777" w:rsidR="00F6381B" w:rsidRDefault="004226D5">
      <w:pPr>
        <w:pStyle w:val="Akapitzlist"/>
        <w:numPr>
          <w:ilvl w:val="0"/>
          <w:numId w:val="2"/>
        </w:numPr>
        <w:spacing w:after="60"/>
      </w:pPr>
      <w:r>
        <w:t>zwiększanie liczby węzłów klastra,</w:t>
      </w:r>
    </w:p>
    <w:p w14:paraId="06251A9A" w14:textId="77777777" w:rsidR="00F6381B" w:rsidRPr="006E3185" w:rsidRDefault="004226D5">
      <w:pPr>
        <w:pStyle w:val="Akapitzlist"/>
        <w:numPr>
          <w:ilvl w:val="0"/>
          <w:numId w:val="2"/>
        </w:numPr>
        <w:spacing w:after="60"/>
      </w:pPr>
      <w:r w:rsidRPr="006E3185">
        <w:t>zwiększanie liczby maszyn wirtualnych,</w:t>
      </w:r>
    </w:p>
    <w:p w14:paraId="587A2BC8" w14:textId="77777777" w:rsidR="00F6381B" w:rsidRPr="006E3185" w:rsidRDefault="004226D5">
      <w:pPr>
        <w:pStyle w:val="Akapitzlist"/>
        <w:numPr>
          <w:ilvl w:val="0"/>
          <w:numId w:val="2"/>
        </w:numPr>
        <w:spacing w:after="60"/>
      </w:pPr>
      <w:r w:rsidRPr="006E3185">
        <w:t>zwiększanie alokacji vCPU i pamięci RAM,</w:t>
      </w:r>
    </w:p>
    <w:p w14:paraId="61EE8D71" w14:textId="77777777" w:rsidR="00F6381B" w:rsidRPr="006E3185" w:rsidRDefault="004226D5">
      <w:pPr>
        <w:pStyle w:val="Akapitzlist"/>
        <w:numPr>
          <w:ilvl w:val="0"/>
          <w:numId w:val="2"/>
        </w:numPr>
        <w:spacing w:after="60"/>
      </w:pPr>
      <w:r w:rsidRPr="006E3185">
        <w:t>zwiększanie przestrzeni dyskowej SSD,</w:t>
      </w:r>
    </w:p>
    <w:p w14:paraId="17B51693" w14:textId="77777777" w:rsidR="00F6381B" w:rsidRPr="006E3185" w:rsidRDefault="004226D5">
      <w:pPr>
        <w:pStyle w:val="Akapitzlist"/>
        <w:numPr>
          <w:ilvl w:val="0"/>
          <w:numId w:val="2"/>
        </w:numPr>
        <w:spacing w:after="60"/>
      </w:pPr>
      <w:r w:rsidRPr="006E3185">
        <w:t>zwiększanie pamięci obiektowej,</w:t>
      </w:r>
    </w:p>
    <w:p w14:paraId="192FB5CF" w14:textId="77777777" w:rsidR="00F6381B" w:rsidRPr="006E3185" w:rsidRDefault="004226D5">
      <w:pPr>
        <w:pStyle w:val="Akapitzlist"/>
        <w:numPr>
          <w:ilvl w:val="0"/>
          <w:numId w:val="2"/>
        </w:numPr>
        <w:spacing w:after="60"/>
      </w:pPr>
      <w:r w:rsidRPr="006E3185">
        <w:t>zwiększanie przestrzeni backupu oraz transferu wychodzącego,</w:t>
      </w:r>
    </w:p>
    <w:p w14:paraId="565E86B6" w14:textId="77777777" w:rsidR="00F6381B" w:rsidRPr="006E3185" w:rsidRDefault="004226D5">
      <w:pPr>
        <w:pStyle w:val="Akapitzlist"/>
        <w:numPr>
          <w:ilvl w:val="0"/>
          <w:numId w:val="2"/>
        </w:numPr>
        <w:spacing w:after="60"/>
      </w:pPr>
      <w:r w:rsidRPr="006E3185">
        <w:t>rozszerzanie zakresu usług zarządzanych.</w:t>
      </w:r>
    </w:p>
    <w:p w14:paraId="0362DD05" w14:textId="77777777" w:rsidR="00F6381B" w:rsidRDefault="004226D5">
      <w:pPr>
        <w:spacing w:after="100"/>
      </w:pPr>
      <w:r>
        <w:t xml:space="preserve">W związku z tym prosimy o przekazanie </w:t>
      </w:r>
      <w:r>
        <w:rPr>
          <w:b/>
          <w:bCs/>
        </w:rPr>
        <w:t>cennika jednostkowego</w:t>
      </w:r>
      <w:r>
        <w:t xml:space="preserve"> (część 2 Załącznika 1 do Formularza szacowania) w formule umożliwiającej wieloletnie utrzymanie sta</w:t>
      </w:r>
      <w:bookmarkStart w:id="0" w:name="_GoBack"/>
      <w:bookmarkEnd w:id="0"/>
      <w:r>
        <w:t>wek, wraz ze wskazaniem zasad ich waloryzacji.</w:t>
      </w:r>
    </w:p>
    <w:sectPr w:rsidR="00F6381B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202FADF" w16cex:dateUtc="2026-09-20T17:02:00Z"/>
  <w16cex:commentExtensible w16cex:durableId="5A5F8CB1" w16cex:dateUtc="2026-09-20T17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5B6F94" w16cid:durableId="1B5B6F94"/>
  <w16cid:commentId w16cid:paraId="129B2E44" w16cid:durableId="3202FADF"/>
  <w16cid:commentId w16cid:paraId="25846B0C" w16cid:durableId="5A5F8CB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59B2B" w14:textId="77777777" w:rsidR="005B4519" w:rsidRDefault="005B4519">
      <w:r>
        <w:separator/>
      </w:r>
    </w:p>
  </w:endnote>
  <w:endnote w:type="continuationSeparator" w:id="0">
    <w:p w14:paraId="57E4BB04" w14:textId="77777777" w:rsidR="005B4519" w:rsidRDefault="005B4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D543D" w14:textId="3951A00A" w:rsidR="004226D5" w:rsidRDefault="004226D5">
    <w:pPr>
      <w:pBdr>
        <w:top w:val="single" w:sz="4" w:space="4" w:color="808080"/>
      </w:pBdr>
      <w:jc w:val="center"/>
    </w:pPr>
    <w:r>
      <w:rPr>
        <w:sz w:val="16"/>
        <w:szCs w:val="16"/>
      </w:rPr>
      <w:t xml:space="preserve">Załącznik nr 1 – Opis przedmiotu szacowania | SOPOOŚ – usługi chmurowe   |   s.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FF047E">
      <w:rPr>
        <w:noProof/>
        <w:sz w:val="16"/>
        <w:szCs w:val="16"/>
      </w:rPr>
      <w:t>8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z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FF047E">
      <w:rPr>
        <w:noProof/>
        <w:sz w:val="16"/>
        <w:szCs w:val="16"/>
      </w:rPr>
      <w:t>10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8C6AC" w14:textId="77777777" w:rsidR="005B4519" w:rsidRDefault="005B4519">
      <w:r>
        <w:separator/>
      </w:r>
    </w:p>
  </w:footnote>
  <w:footnote w:type="continuationSeparator" w:id="0">
    <w:p w14:paraId="7CD99679" w14:textId="77777777" w:rsidR="005B4519" w:rsidRDefault="005B4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B4FB0" w14:textId="77777777" w:rsidR="004226D5" w:rsidRDefault="004226D5" w:rsidP="004226D5">
    <w:pPr>
      <w:pStyle w:val="Nagwek"/>
    </w:pPr>
    <w:r>
      <w:rPr>
        <w:noProof/>
      </w:rPr>
      <w:drawing>
        <wp:inline distT="0" distB="0" distL="0" distR="0" wp14:anchorId="750C6216" wp14:editId="771BECEF">
          <wp:extent cx="2009775" cy="828675"/>
          <wp:effectExtent l="0" t="0" r="9525" b="9525"/>
          <wp:docPr id="2" name="Obraz 2" descr="EEA-and-Norway_grants@2x">
            <a:extLst xmlns:a="http://schemas.openxmlformats.org/drawingml/2006/main">
              <a:ext uri="{FF2B5EF4-FFF2-40B4-BE49-F238E27FC236}">
                <a16:creationId xmlns:a16="http://schemas.microsoft.com/office/drawing/2014/main" id="{BCF6F9EA-602E-4890-9A99-6FC46181D7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A-and-Norway_grants@2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F445C1">
      <w:rPr>
        <w:rFonts w:ascii="Times New Roman" w:hAnsi="Times New Roman" w:cs="Times New Roman"/>
        <w:i/>
        <w:noProof/>
        <w:sz w:val="24"/>
      </w:rPr>
      <w:drawing>
        <wp:inline distT="0" distB="0" distL="0" distR="0" wp14:anchorId="055D9247" wp14:editId="71C14E3C">
          <wp:extent cx="793750" cy="768551"/>
          <wp:effectExtent l="0" t="0" r="6350" b="0"/>
          <wp:docPr id="1" name="Obraz 1">
            <a:extLst xmlns:a="http://schemas.openxmlformats.org/drawingml/2006/main">
              <a:ext uri="{FF2B5EF4-FFF2-40B4-BE49-F238E27FC236}">
                <a16:creationId xmlns:a16="http://schemas.microsoft.com/office/drawing/2014/main" id="{97C499E1-BB43-44E6-879A-8A02C10BDEF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768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D62032" w14:textId="1CA9A62E" w:rsidR="004226D5" w:rsidRDefault="004226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D5FCF"/>
    <w:multiLevelType w:val="hybridMultilevel"/>
    <w:tmpl w:val="B5BA5202"/>
    <w:lvl w:ilvl="0" w:tplc="AA446042">
      <w:start w:val="1"/>
      <w:numFmt w:val="bullet"/>
      <w:lvlText w:val="●"/>
      <w:lvlJc w:val="left"/>
      <w:pPr>
        <w:ind w:left="720" w:hanging="360"/>
      </w:pPr>
    </w:lvl>
    <w:lvl w:ilvl="1" w:tplc="2710FF60">
      <w:start w:val="1"/>
      <w:numFmt w:val="bullet"/>
      <w:lvlText w:val="○"/>
      <w:lvlJc w:val="left"/>
      <w:pPr>
        <w:ind w:left="1440" w:hanging="360"/>
      </w:pPr>
    </w:lvl>
    <w:lvl w:ilvl="2" w:tplc="D08AE782">
      <w:start w:val="1"/>
      <w:numFmt w:val="bullet"/>
      <w:lvlText w:val="■"/>
      <w:lvlJc w:val="left"/>
      <w:pPr>
        <w:ind w:left="2160" w:hanging="360"/>
      </w:pPr>
    </w:lvl>
    <w:lvl w:ilvl="3" w:tplc="F21EF512">
      <w:start w:val="1"/>
      <w:numFmt w:val="bullet"/>
      <w:lvlText w:val="●"/>
      <w:lvlJc w:val="left"/>
      <w:pPr>
        <w:ind w:left="2880" w:hanging="360"/>
      </w:pPr>
    </w:lvl>
    <w:lvl w:ilvl="4" w:tplc="680AA280">
      <w:start w:val="1"/>
      <w:numFmt w:val="bullet"/>
      <w:lvlText w:val="○"/>
      <w:lvlJc w:val="left"/>
      <w:pPr>
        <w:ind w:left="3600" w:hanging="360"/>
      </w:pPr>
    </w:lvl>
    <w:lvl w:ilvl="5" w:tplc="AA983DDC">
      <w:start w:val="1"/>
      <w:numFmt w:val="bullet"/>
      <w:lvlText w:val="■"/>
      <w:lvlJc w:val="left"/>
      <w:pPr>
        <w:ind w:left="4320" w:hanging="360"/>
      </w:pPr>
    </w:lvl>
    <w:lvl w:ilvl="6" w:tplc="A084589E">
      <w:start w:val="1"/>
      <w:numFmt w:val="bullet"/>
      <w:lvlText w:val="●"/>
      <w:lvlJc w:val="left"/>
      <w:pPr>
        <w:ind w:left="5040" w:hanging="360"/>
      </w:pPr>
    </w:lvl>
    <w:lvl w:ilvl="7" w:tplc="3A0C5B6C">
      <w:start w:val="1"/>
      <w:numFmt w:val="bullet"/>
      <w:lvlText w:val="●"/>
      <w:lvlJc w:val="left"/>
      <w:pPr>
        <w:ind w:left="5760" w:hanging="360"/>
      </w:pPr>
    </w:lvl>
    <w:lvl w:ilvl="8" w:tplc="CC42B6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DD67FA7"/>
    <w:multiLevelType w:val="hybridMultilevel"/>
    <w:tmpl w:val="176A9F0C"/>
    <w:lvl w:ilvl="0" w:tplc="087025DC">
      <w:start w:val="1"/>
      <w:numFmt w:val="bullet"/>
      <w:lvlText w:val="•"/>
      <w:lvlJc w:val="left"/>
      <w:pPr>
        <w:ind w:left="567" w:hanging="283"/>
      </w:pPr>
    </w:lvl>
    <w:lvl w:ilvl="1" w:tplc="F4424332">
      <w:start w:val="1"/>
      <w:numFmt w:val="bullet"/>
      <w:lvlText w:val="–"/>
      <w:lvlJc w:val="left"/>
      <w:pPr>
        <w:ind w:left="1134" w:hanging="283"/>
      </w:pPr>
    </w:lvl>
    <w:lvl w:ilvl="2" w:tplc="3BEE9EE6">
      <w:numFmt w:val="decimal"/>
      <w:lvlText w:val=""/>
      <w:lvlJc w:val="left"/>
    </w:lvl>
    <w:lvl w:ilvl="3" w:tplc="551EBEDE">
      <w:numFmt w:val="decimal"/>
      <w:lvlText w:val=""/>
      <w:lvlJc w:val="left"/>
    </w:lvl>
    <w:lvl w:ilvl="4" w:tplc="F9DAE2D6">
      <w:numFmt w:val="decimal"/>
      <w:lvlText w:val=""/>
      <w:lvlJc w:val="left"/>
    </w:lvl>
    <w:lvl w:ilvl="5" w:tplc="D89692FC">
      <w:numFmt w:val="decimal"/>
      <w:lvlText w:val=""/>
      <w:lvlJc w:val="left"/>
    </w:lvl>
    <w:lvl w:ilvl="6" w:tplc="68AE49C8">
      <w:numFmt w:val="decimal"/>
      <w:lvlText w:val=""/>
      <w:lvlJc w:val="left"/>
    </w:lvl>
    <w:lvl w:ilvl="7" w:tplc="1544585E">
      <w:numFmt w:val="decimal"/>
      <w:lvlText w:val=""/>
      <w:lvlJc w:val="left"/>
    </w:lvl>
    <w:lvl w:ilvl="8" w:tplc="8984338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1B"/>
    <w:rsid w:val="00055F4C"/>
    <w:rsid w:val="001A3F3E"/>
    <w:rsid w:val="001E2CFB"/>
    <w:rsid w:val="002069EF"/>
    <w:rsid w:val="00244F7F"/>
    <w:rsid w:val="00385A89"/>
    <w:rsid w:val="003D02D6"/>
    <w:rsid w:val="004226D5"/>
    <w:rsid w:val="004C2326"/>
    <w:rsid w:val="005B4519"/>
    <w:rsid w:val="005D6447"/>
    <w:rsid w:val="006110E6"/>
    <w:rsid w:val="006D14D9"/>
    <w:rsid w:val="006E3185"/>
    <w:rsid w:val="006F3057"/>
    <w:rsid w:val="008C244E"/>
    <w:rsid w:val="008F610E"/>
    <w:rsid w:val="00942559"/>
    <w:rsid w:val="00C36839"/>
    <w:rsid w:val="00D71AD1"/>
    <w:rsid w:val="00F6381B"/>
    <w:rsid w:val="00F748D3"/>
    <w:rsid w:val="00FF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55713"/>
  <w15:docId w15:val="{77B613E6-AD7F-43F9-A63B-9C3F0DA0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80" w:after="120"/>
      <w:outlineLvl w:val="0"/>
    </w:pPr>
    <w:rPr>
      <w:b/>
      <w:bCs/>
      <w:color w:val="1F3864"/>
      <w:sz w:val="28"/>
      <w:szCs w:val="28"/>
    </w:rPr>
  </w:style>
  <w:style w:type="paragraph" w:styleId="Nagwek2">
    <w:name w:val="heading 2"/>
    <w:uiPriority w:val="9"/>
    <w:unhideWhenUsed/>
    <w:qFormat/>
    <w:pPr>
      <w:spacing w:before="200" w:after="100"/>
      <w:outlineLvl w:val="1"/>
    </w:pPr>
    <w:rPr>
      <w:b/>
      <w:bCs/>
      <w:color w:val="1F3864"/>
      <w:sz w:val="24"/>
      <w:szCs w:val="24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30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305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A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AD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226D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26D5"/>
  </w:style>
  <w:style w:type="paragraph" w:styleId="Stopka">
    <w:name w:val="footer"/>
    <w:basedOn w:val="Normalny"/>
    <w:link w:val="StopkaZnak"/>
    <w:uiPriority w:val="99"/>
    <w:unhideWhenUsed/>
    <w:rsid w:val="004226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2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3424</Words>
  <Characters>20548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szacowania – SOPOOŚ</vt:lpstr>
    </vt:vector>
  </TitlesOfParts>
  <Company/>
  <LinksUpToDate>false</LinksUpToDate>
  <CharactersWithSpaces>23925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szacowania – SOPOOŚ</dc:title>
  <dc:creator>GDOŚ</dc:creator>
  <cp:lastModifiedBy>Katarzyna Zagrobelna</cp:lastModifiedBy>
  <cp:revision>14</cp:revision>
  <dcterms:created xsi:type="dcterms:W3CDTF">2026-09-20T17:10:00Z</dcterms:created>
  <dcterms:modified xsi:type="dcterms:W3CDTF">2026-09-21T09:10:00Z</dcterms:modified>
</cp:coreProperties>
</file>