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EAA82" w14:textId="77777777" w:rsidR="00D134B3" w:rsidRDefault="00D134B3" w:rsidP="00C11B45">
      <w:pPr>
        <w:jc w:val="center"/>
        <w:rPr>
          <w:rFonts w:ascii="Arial" w:hAnsi="Arial" w:cs="Arial"/>
          <w:sz w:val="20"/>
        </w:rPr>
      </w:pPr>
    </w:p>
    <w:p w14:paraId="643261B4" w14:textId="77777777" w:rsidR="00C11B45" w:rsidRPr="006812E4" w:rsidRDefault="00C11B45" w:rsidP="00C11B45">
      <w:pPr>
        <w:jc w:val="center"/>
        <w:rPr>
          <w:rFonts w:ascii="Arial" w:hAnsi="Arial" w:cs="Arial"/>
          <w:sz w:val="20"/>
        </w:rPr>
      </w:pPr>
      <w:r w:rsidRPr="006812E4">
        <w:rPr>
          <w:rFonts w:ascii="Arial" w:hAnsi="Arial" w:cs="Arial"/>
          <w:sz w:val="20"/>
        </w:rPr>
        <w:t>© Prokurator Generalny – Minister Sprawiedliwości</w:t>
      </w:r>
    </w:p>
    <w:p w14:paraId="7BDB0FC7" w14:textId="77777777" w:rsidR="00C11B45" w:rsidRPr="006812E4" w:rsidRDefault="00C11B45" w:rsidP="00C11B45">
      <w:pPr>
        <w:ind w:right="-580"/>
        <w:jc w:val="center"/>
        <w:rPr>
          <w:rStyle w:val="s4f807e54"/>
          <w:rFonts w:ascii="Arial" w:eastAsia="MS Mincho" w:hAnsi="Arial" w:cs="Arial"/>
          <w:sz w:val="20"/>
          <w:szCs w:val="20"/>
        </w:rPr>
      </w:pPr>
      <w:r w:rsidRPr="006812E4">
        <w:rPr>
          <w:rStyle w:val="s4f807e54"/>
          <w:rFonts w:ascii="Arial" w:eastAsia="MS Mincho" w:hAnsi="Arial" w:cs="Arial"/>
          <w:sz w:val="20"/>
          <w:szCs w:val="20"/>
        </w:rPr>
        <w:t xml:space="preserve">© Copyright for the </w:t>
      </w:r>
      <w:proofErr w:type="spellStart"/>
      <w:r w:rsidRPr="006812E4">
        <w:rPr>
          <w:rStyle w:val="s4f807e54"/>
          <w:rFonts w:ascii="Arial" w:eastAsia="MS Mincho" w:hAnsi="Arial" w:cs="Arial"/>
          <w:sz w:val="20"/>
          <w:szCs w:val="20"/>
        </w:rPr>
        <w:t>Polish</w:t>
      </w:r>
      <w:proofErr w:type="spellEnd"/>
      <w:r w:rsidRPr="006812E4">
        <w:rPr>
          <w:rStyle w:val="s4f807e54"/>
          <w:rFonts w:ascii="Arial" w:eastAsia="MS Mincho" w:hAnsi="Arial" w:cs="Arial"/>
          <w:sz w:val="20"/>
          <w:szCs w:val="20"/>
        </w:rPr>
        <w:t xml:space="preserve"> </w:t>
      </w:r>
      <w:proofErr w:type="spellStart"/>
      <w:r w:rsidRPr="006812E4">
        <w:rPr>
          <w:rStyle w:val="s4f807e54"/>
          <w:rFonts w:ascii="Arial" w:eastAsia="MS Mincho" w:hAnsi="Arial" w:cs="Arial"/>
          <w:sz w:val="20"/>
          <w:szCs w:val="20"/>
        </w:rPr>
        <w:t>translation</w:t>
      </w:r>
      <w:proofErr w:type="spellEnd"/>
      <w:r w:rsidRPr="006812E4">
        <w:rPr>
          <w:rStyle w:val="s4f807e54"/>
          <w:rFonts w:ascii="Arial" w:eastAsia="MS Mincho" w:hAnsi="Arial" w:cs="Arial"/>
          <w:sz w:val="20"/>
          <w:szCs w:val="20"/>
        </w:rPr>
        <w:t xml:space="preserve"> by Prokurator Gener</w:t>
      </w:r>
      <w:r>
        <w:rPr>
          <w:rStyle w:val="s4f807e54"/>
          <w:rFonts w:ascii="Arial" w:eastAsia="MS Mincho" w:hAnsi="Arial" w:cs="Arial"/>
          <w:sz w:val="20"/>
          <w:szCs w:val="20"/>
        </w:rPr>
        <w:t>alny – Minister Sprawiedliwości</w:t>
      </w:r>
    </w:p>
    <w:p w14:paraId="1DF939E2" w14:textId="77777777" w:rsidR="00C11B45" w:rsidRPr="006812E4" w:rsidRDefault="00C11B45" w:rsidP="00C11B45">
      <w:pPr>
        <w:jc w:val="center"/>
        <w:rPr>
          <w:rStyle w:val="s4f807e54"/>
          <w:rFonts w:ascii="Arial" w:eastAsia="MS Mincho" w:hAnsi="Arial" w:cs="Arial"/>
          <w:sz w:val="20"/>
          <w:szCs w:val="20"/>
        </w:rPr>
      </w:pPr>
      <w:r w:rsidRPr="006812E4">
        <w:rPr>
          <w:rStyle w:val="s4f807e54"/>
          <w:rFonts w:ascii="Arial" w:eastAsia="MS Mincho" w:hAnsi="Arial" w:cs="Arial"/>
          <w:sz w:val="20"/>
          <w:szCs w:val="20"/>
        </w:rPr>
        <w:t>Warszawa 2016</w:t>
      </w:r>
    </w:p>
    <w:p w14:paraId="1D51BFA8" w14:textId="77777777" w:rsidR="00C11B45" w:rsidRDefault="00C11B45" w:rsidP="003828F5">
      <w:pPr>
        <w:jc w:val="center"/>
        <w:rPr>
          <w:lang w:val="en-GB"/>
        </w:rPr>
      </w:pPr>
    </w:p>
    <w:p w14:paraId="62CD11C8" w14:textId="77777777" w:rsidR="00C11B45" w:rsidRDefault="00C11B45" w:rsidP="003828F5">
      <w:pPr>
        <w:jc w:val="center"/>
        <w:rPr>
          <w:lang w:val="en-GB"/>
        </w:rPr>
      </w:pPr>
    </w:p>
    <w:p w14:paraId="2377BF08" w14:textId="77777777" w:rsidR="003828F5" w:rsidRPr="00C11B45" w:rsidRDefault="003828F5" w:rsidP="003828F5">
      <w:pPr>
        <w:jc w:val="center"/>
      </w:pPr>
      <w:r w:rsidRPr="00C11B45">
        <w:t>EUROPEJSKI TRYBUNAŁ PRAW CZŁOWIEKA</w:t>
      </w:r>
    </w:p>
    <w:p w14:paraId="43E85179" w14:textId="77777777" w:rsidR="003C2419" w:rsidRDefault="003C2419" w:rsidP="003C2419">
      <w:pPr>
        <w:jc w:val="center"/>
        <w:rPr>
          <w:rFonts w:eastAsia="MS Mincho"/>
        </w:rPr>
      </w:pPr>
    </w:p>
    <w:p w14:paraId="55363103" w14:textId="77777777" w:rsidR="003C2419" w:rsidRDefault="003C2419" w:rsidP="003C2419">
      <w:pPr>
        <w:jc w:val="center"/>
        <w:rPr>
          <w:rFonts w:eastAsia="MS Mincho"/>
        </w:rPr>
      </w:pPr>
    </w:p>
    <w:p w14:paraId="1B03106A" w14:textId="77777777" w:rsidR="003C2419" w:rsidRDefault="003C2419" w:rsidP="003C2419">
      <w:pPr>
        <w:jc w:val="center"/>
        <w:rPr>
          <w:rFonts w:eastAsia="MS Mincho"/>
        </w:rPr>
      </w:pPr>
    </w:p>
    <w:p w14:paraId="5F99818E" w14:textId="77777777" w:rsidR="003C2419" w:rsidRDefault="003C2419" w:rsidP="003C2419">
      <w:pPr>
        <w:jc w:val="center"/>
        <w:rPr>
          <w:rFonts w:eastAsia="MS Mincho"/>
        </w:rPr>
      </w:pPr>
      <w:r>
        <w:t>SEKCJA PIERWSZA</w:t>
      </w:r>
    </w:p>
    <w:p w14:paraId="2DCCE380" w14:textId="77777777" w:rsidR="003C2419" w:rsidRDefault="003C2419" w:rsidP="003C2419">
      <w:pPr>
        <w:jc w:val="center"/>
        <w:rPr>
          <w:rFonts w:eastAsia="MS Mincho"/>
        </w:rPr>
      </w:pPr>
      <w:bookmarkStart w:id="0" w:name="_GoBack"/>
      <w:bookmarkEnd w:id="0"/>
    </w:p>
    <w:p w14:paraId="28406424" w14:textId="77777777" w:rsidR="003C2419" w:rsidRDefault="003C2419" w:rsidP="003C2419">
      <w:pPr>
        <w:jc w:val="center"/>
        <w:rPr>
          <w:rFonts w:eastAsia="MS Mincho"/>
        </w:rPr>
      </w:pPr>
    </w:p>
    <w:p w14:paraId="494E8D39" w14:textId="77777777" w:rsidR="003C2419" w:rsidRDefault="003C2419" w:rsidP="003C2419">
      <w:pPr>
        <w:jc w:val="center"/>
        <w:rPr>
          <w:rFonts w:eastAsia="MS Mincho"/>
        </w:rPr>
      </w:pPr>
    </w:p>
    <w:p w14:paraId="658C9CDF" w14:textId="77777777" w:rsidR="003C2419" w:rsidRDefault="003C2419" w:rsidP="003C2419">
      <w:pPr>
        <w:jc w:val="center"/>
        <w:rPr>
          <w:rFonts w:eastAsia="MS Mincho"/>
        </w:rPr>
      </w:pPr>
    </w:p>
    <w:p w14:paraId="5E6AF6B2" w14:textId="77777777" w:rsidR="003C2419" w:rsidRDefault="003C2419" w:rsidP="003C2419">
      <w:pPr>
        <w:jc w:val="center"/>
        <w:rPr>
          <w:rFonts w:eastAsia="MS Mincho"/>
        </w:rPr>
      </w:pPr>
    </w:p>
    <w:p w14:paraId="4886E2C8" w14:textId="77777777" w:rsidR="003C2419" w:rsidRDefault="003C2419" w:rsidP="003C2419">
      <w:pPr>
        <w:jc w:val="center"/>
        <w:rPr>
          <w:rFonts w:eastAsia="MS Mincho"/>
        </w:rPr>
      </w:pPr>
    </w:p>
    <w:p w14:paraId="79B6DD82" w14:textId="77777777" w:rsidR="003C2419" w:rsidRDefault="003C2419" w:rsidP="003C2419">
      <w:pPr>
        <w:jc w:val="center"/>
        <w:rPr>
          <w:rFonts w:eastAsia="MS Mincho"/>
          <w:b/>
        </w:rPr>
      </w:pPr>
      <w:bookmarkStart w:id="1" w:name="To"/>
      <w:r>
        <w:rPr>
          <w:b/>
        </w:rPr>
        <w:t xml:space="preserve">SPRAWA </w:t>
      </w:r>
      <w:bookmarkEnd w:id="1"/>
      <w:r>
        <w:rPr>
          <w:b/>
        </w:rPr>
        <w:t>KAPETANIOS I INNI przeciwko  GRECJI</w:t>
      </w:r>
    </w:p>
    <w:p w14:paraId="775CAFAC" w14:textId="77777777" w:rsidR="003C2419" w:rsidRDefault="003C2419" w:rsidP="003C2419">
      <w:pPr>
        <w:jc w:val="center"/>
        <w:rPr>
          <w:rFonts w:eastAsia="MS Mincho"/>
        </w:rPr>
      </w:pPr>
    </w:p>
    <w:p w14:paraId="39CC4575" w14:textId="77777777" w:rsidR="003C2419" w:rsidRDefault="003C2419" w:rsidP="003C2419">
      <w:pPr>
        <w:jc w:val="center"/>
        <w:rPr>
          <w:rFonts w:eastAsia="MS Mincho"/>
          <w:color w:val="000000"/>
          <w:sz w:val="22"/>
        </w:rPr>
      </w:pPr>
      <w:r>
        <w:rPr>
          <w:i/>
        </w:rPr>
        <w:t>(Skargi nr 3453/12, 42941/12 i 9028/13)</w:t>
      </w:r>
    </w:p>
    <w:p w14:paraId="6C91699A" w14:textId="77777777" w:rsidR="003C2419" w:rsidRDefault="003C2419" w:rsidP="003C2419">
      <w:pPr>
        <w:jc w:val="center"/>
        <w:rPr>
          <w:rFonts w:eastAsia="MS Mincho"/>
          <w:color w:val="000000"/>
          <w:sz w:val="22"/>
        </w:rPr>
      </w:pPr>
    </w:p>
    <w:p w14:paraId="218D1975" w14:textId="77777777" w:rsidR="003C2419" w:rsidRDefault="003C2419" w:rsidP="003C2419">
      <w:pPr>
        <w:jc w:val="center"/>
        <w:rPr>
          <w:rFonts w:eastAsia="MS Mincho"/>
          <w:color w:val="000000"/>
          <w:sz w:val="22"/>
        </w:rPr>
      </w:pPr>
    </w:p>
    <w:p w14:paraId="3D164F2F" w14:textId="77777777" w:rsidR="003C2419" w:rsidRDefault="003C2419" w:rsidP="003C2419">
      <w:pPr>
        <w:jc w:val="center"/>
        <w:rPr>
          <w:rFonts w:eastAsia="MS Mincho"/>
          <w:color w:val="000000"/>
          <w:sz w:val="22"/>
        </w:rPr>
      </w:pPr>
    </w:p>
    <w:p w14:paraId="1BE881F6" w14:textId="77777777" w:rsidR="003C2419" w:rsidRDefault="003C2419" w:rsidP="003C2419">
      <w:pPr>
        <w:jc w:val="center"/>
        <w:rPr>
          <w:rFonts w:eastAsia="MS Mincho"/>
          <w:color w:val="000000"/>
          <w:sz w:val="22"/>
        </w:rPr>
      </w:pPr>
    </w:p>
    <w:p w14:paraId="5141DD0D" w14:textId="77777777" w:rsidR="003C2419" w:rsidRDefault="003C2419" w:rsidP="003C2419">
      <w:pPr>
        <w:jc w:val="center"/>
        <w:rPr>
          <w:rFonts w:eastAsia="MS Mincho"/>
          <w:color w:val="000000"/>
          <w:sz w:val="22"/>
        </w:rPr>
      </w:pPr>
    </w:p>
    <w:p w14:paraId="66CA10D7" w14:textId="77777777" w:rsidR="003C2419" w:rsidRPr="00497E5E" w:rsidRDefault="003C2419" w:rsidP="003C2419">
      <w:pPr>
        <w:jc w:val="center"/>
        <w:rPr>
          <w:rFonts w:eastAsia="MS Mincho"/>
          <w:color w:val="000000"/>
          <w:szCs w:val="24"/>
        </w:rPr>
      </w:pPr>
      <w:r>
        <w:rPr>
          <w:color w:val="000000"/>
        </w:rPr>
        <w:t>WYROK</w:t>
      </w:r>
    </w:p>
    <w:p w14:paraId="70F4EF21" w14:textId="77777777" w:rsidR="003C2419" w:rsidRDefault="003C2419" w:rsidP="003C2419">
      <w:pPr>
        <w:jc w:val="center"/>
        <w:rPr>
          <w:rFonts w:eastAsia="MS Mincho"/>
        </w:rPr>
      </w:pPr>
    </w:p>
    <w:p w14:paraId="7F86BBD2" w14:textId="77777777" w:rsidR="003C2419" w:rsidRDefault="003C2419" w:rsidP="003C2419">
      <w:pPr>
        <w:jc w:val="center"/>
        <w:rPr>
          <w:rFonts w:eastAsia="MS Mincho"/>
        </w:rPr>
      </w:pPr>
    </w:p>
    <w:p w14:paraId="6EE06AA3" w14:textId="77777777" w:rsidR="003C2419" w:rsidRDefault="003C2419" w:rsidP="003C2419">
      <w:pPr>
        <w:jc w:val="center"/>
        <w:rPr>
          <w:rFonts w:eastAsia="MS Mincho"/>
        </w:rPr>
      </w:pPr>
      <w:r>
        <w:t>STRASBURG</w:t>
      </w:r>
    </w:p>
    <w:p w14:paraId="3267D917" w14:textId="77777777" w:rsidR="003C2419" w:rsidRDefault="003C2419" w:rsidP="003C2419">
      <w:pPr>
        <w:jc w:val="center"/>
        <w:rPr>
          <w:rFonts w:eastAsia="MS Mincho"/>
        </w:rPr>
      </w:pPr>
    </w:p>
    <w:p w14:paraId="55001428" w14:textId="77777777" w:rsidR="003C2419" w:rsidRDefault="003C2419" w:rsidP="003C2419">
      <w:pPr>
        <w:jc w:val="center"/>
        <w:rPr>
          <w:rFonts w:eastAsia="MS Mincho"/>
        </w:rPr>
      </w:pPr>
      <w:r>
        <w:t>30 kwietnia 2015</w:t>
      </w:r>
    </w:p>
    <w:p w14:paraId="7F122356" w14:textId="77777777" w:rsidR="003C2419" w:rsidRDefault="003C2419" w:rsidP="003C2419">
      <w:pPr>
        <w:jc w:val="center"/>
        <w:rPr>
          <w:rFonts w:eastAsia="MS Mincho"/>
        </w:rPr>
      </w:pPr>
    </w:p>
    <w:p w14:paraId="75E28E27" w14:textId="77777777" w:rsidR="003C2419" w:rsidRDefault="003C2419" w:rsidP="003C2419">
      <w:pPr>
        <w:jc w:val="center"/>
        <w:rPr>
          <w:rFonts w:eastAsia="MS Mincho"/>
        </w:rPr>
      </w:pPr>
    </w:p>
    <w:p w14:paraId="0F746E60" w14:textId="77777777" w:rsidR="003C2419" w:rsidRDefault="003C2419" w:rsidP="003C2419">
      <w:pPr>
        <w:pStyle w:val="jucase0"/>
        <w:ind w:firstLine="0"/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u w:val="single"/>
        </w:rPr>
        <w:t>OSTATECZNY</w:t>
      </w:r>
    </w:p>
    <w:p w14:paraId="00BB0443" w14:textId="77777777" w:rsidR="003C2419" w:rsidRDefault="003C2419" w:rsidP="003C2419">
      <w:pPr>
        <w:pStyle w:val="jupara"/>
        <w:tabs>
          <w:tab w:val="left" w:pos="3450"/>
        </w:tabs>
        <w:ind w:firstLine="0"/>
        <w:jc w:val="center"/>
        <w:rPr>
          <w:color w:val="FF0000"/>
          <w:sz w:val="28"/>
          <w:szCs w:val="28"/>
        </w:rPr>
      </w:pPr>
    </w:p>
    <w:p w14:paraId="219F3856" w14:textId="77777777" w:rsidR="003C2419" w:rsidRDefault="003C2419" w:rsidP="003C2419">
      <w:pPr>
        <w:pStyle w:val="jupara"/>
        <w:ind w:firstLine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</w:rPr>
        <w:t>2015-09-14</w:t>
      </w:r>
    </w:p>
    <w:p w14:paraId="74410558" w14:textId="77777777" w:rsidR="003C2419" w:rsidRDefault="003C2419" w:rsidP="003C2419">
      <w:pPr>
        <w:jc w:val="center"/>
        <w:rPr>
          <w:u w:val="single"/>
        </w:rPr>
      </w:pPr>
    </w:p>
    <w:p w14:paraId="7D76FEF5" w14:textId="77777777" w:rsidR="003C2419" w:rsidRDefault="003C2419" w:rsidP="003C2419">
      <w:pPr>
        <w:jc w:val="center"/>
        <w:rPr>
          <w:i/>
          <w:iCs/>
          <w:sz w:val="22"/>
        </w:rPr>
      </w:pPr>
      <w:r>
        <w:rPr>
          <w:i/>
          <w:sz w:val="22"/>
        </w:rPr>
        <w:t>Wyrok ten stał się ostateczny zgodnie z warunkami określonymi w art. 44 § 2 Konwencji. Może podlegać poprawkom redakcyjnym.</w:t>
      </w:r>
    </w:p>
    <w:p w14:paraId="591FFA82" w14:textId="77777777" w:rsidR="003C2419" w:rsidRDefault="003C2419">
      <w:pPr>
        <w:jc w:val="left"/>
        <w:rPr>
          <w:rFonts w:eastAsia="MS Mincho"/>
        </w:rPr>
      </w:pPr>
    </w:p>
    <w:p w14:paraId="3ADA30A8" w14:textId="77777777" w:rsidR="003C2419" w:rsidRDefault="003C2419">
      <w:pPr>
        <w:jc w:val="left"/>
        <w:sectPr w:rsidR="003C2419" w:rsidSect="003C241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14:paraId="5F89784B" w14:textId="77777777" w:rsidR="003C2419" w:rsidRPr="00B55161" w:rsidRDefault="003C2419" w:rsidP="003C2419">
      <w:pPr>
        <w:pStyle w:val="JuCase"/>
      </w:pPr>
      <w:r>
        <w:lastRenderedPageBreak/>
        <w:t xml:space="preserve">W sprawie </w:t>
      </w:r>
      <w:proofErr w:type="spellStart"/>
      <w:r>
        <w:t>Kapetanios</w:t>
      </w:r>
      <w:proofErr w:type="spellEnd"/>
      <w:r>
        <w:t xml:space="preserve"> i inni przeciwko Grecji,</w:t>
      </w:r>
    </w:p>
    <w:p w14:paraId="37D8B83A" w14:textId="77777777" w:rsidR="003C2419" w:rsidRDefault="003C2419" w:rsidP="003C2419">
      <w:pPr>
        <w:pStyle w:val="ECHRPara"/>
        <w:rPr>
          <w:rFonts w:eastAsia="MS Mincho"/>
        </w:rPr>
      </w:pPr>
      <w:r>
        <w:t>Europejski Trybunał Praw Człowieka (Sekcja Pierwsza), zasiadając jako Izba złożona z następujących sędziów:</w:t>
      </w:r>
    </w:p>
    <w:p w14:paraId="102060E4" w14:textId="77777777" w:rsidR="003C2419" w:rsidRPr="00AF131B" w:rsidRDefault="003C2419" w:rsidP="003C2419">
      <w:pPr>
        <w:pStyle w:val="ECHRDecisionBody"/>
        <w:rPr>
          <w:rFonts w:eastAsia="MS Mincho"/>
        </w:rPr>
      </w:pPr>
      <w:r>
        <w:tab/>
      </w:r>
      <w:proofErr w:type="spellStart"/>
      <w:r>
        <w:t>Elisabeth</w:t>
      </w:r>
      <w:proofErr w:type="spellEnd"/>
      <w:r>
        <w:t xml:space="preserve"> Steiner,</w:t>
      </w:r>
      <w:r>
        <w:rPr>
          <w:i/>
        </w:rPr>
        <w:t xml:space="preserve"> Przewodnicząca,</w:t>
      </w:r>
      <w:r>
        <w:br/>
      </w:r>
      <w:r>
        <w:tab/>
      </w:r>
      <w:proofErr w:type="spellStart"/>
      <w:r>
        <w:t>Khanlar</w:t>
      </w:r>
      <w:proofErr w:type="spellEnd"/>
      <w:r>
        <w:t xml:space="preserve"> </w:t>
      </w:r>
      <w:proofErr w:type="spellStart"/>
      <w:r>
        <w:t>Hajiyev</w:t>
      </w:r>
      <w:proofErr w:type="spellEnd"/>
      <w:r>
        <w:t>,</w:t>
      </w:r>
      <w:r>
        <w:br/>
      </w:r>
      <w:r>
        <w:tab/>
      </w:r>
      <w:proofErr w:type="spellStart"/>
      <w:r>
        <w:t>Mirjana</w:t>
      </w:r>
      <w:proofErr w:type="spellEnd"/>
      <w:r>
        <w:t xml:space="preserve"> </w:t>
      </w:r>
      <w:proofErr w:type="spellStart"/>
      <w:r>
        <w:t>Lazarova</w:t>
      </w:r>
      <w:proofErr w:type="spellEnd"/>
      <w:r>
        <w:t xml:space="preserve"> </w:t>
      </w:r>
      <w:proofErr w:type="spellStart"/>
      <w:r>
        <w:t>Trajkovska</w:t>
      </w:r>
      <w:proofErr w:type="spellEnd"/>
      <w:r>
        <w:t>,</w:t>
      </w:r>
      <w:r>
        <w:br/>
      </w:r>
      <w:r>
        <w:tab/>
        <w:t xml:space="preserve">Paulo </w:t>
      </w:r>
      <w:proofErr w:type="spellStart"/>
      <w:r>
        <w:t>Pinto</w:t>
      </w:r>
      <w:proofErr w:type="spellEnd"/>
      <w:r>
        <w:t xml:space="preserve"> de Albuquerque,</w:t>
      </w:r>
      <w:r>
        <w:br/>
      </w:r>
      <w:r>
        <w:tab/>
      </w:r>
      <w:proofErr w:type="spellStart"/>
      <w:r>
        <w:t>Linos-Alexandre</w:t>
      </w:r>
      <w:proofErr w:type="spellEnd"/>
      <w:r>
        <w:t xml:space="preserve"> </w:t>
      </w:r>
      <w:proofErr w:type="spellStart"/>
      <w:r>
        <w:t>Sicilianos</w:t>
      </w:r>
      <w:proofErr w:type="spellEnd"/>
      <w:r>
        <w:t>,</w:t>
      </w:r>
      <w:r>
        <w:br/>
      </w:r>
      <w:r>
        <w:tab/>
        <w:t xml:space="preserve">Erik </w:t>
      </w:r>
      <w:proofErr w:type="spellStart"/>
      <w:r>
        <w:t>Møse</w:t>
      </w:r>
      <w:proofErr w:type="spellEnd"/>
      <w:r>
        <w:t>,</w:t>
      </w:r>
      <w:r>
        <w:br/>
      </w:r>
      <w:r>
        <w:tab/>
      </w:r>
      <w:proofErr w:type="spellStart"/>
      <w:r>
        <w:t>Dmitry</w:t>
      </w:r>
      <w:proofErr w:type="spellEnd"/>
      <w:r>
        <w:t xml:space="preserve"> </w:t>
      </w:r>
      <w:proofErr w:type="spellStart"/>
      <w:r>
        <w:t>Dedov</w:t>
      </w:r>
      <w:proofErr w:type="spellEnd"/>
      <w:r>
        <w:t>,</w:t>
      </w:r>
      <w:r w:rsidR="00682A52">
        <w:rPr>
          <w:i/>
        </w:rPr>
        <w:t xml:space="preserve"> S</w:t>
      </w:r>
      <w:r>
        <w:rPr>
          <w:i/>
        </w:rPr>
        <w:t>ędziowie,</w:t>
      </w:r>
      <w:r>
        <w:br/>
        <w:t xml:space="preserve">i </w:t>
      </w:r>
      <w:proofErr w:type="spellStart"/>
      <w:r>
        <w:t>Søren</w:t>
      </w:r>
      <w:proofErr w:type="spellEnd"/>
      <w:r>
        <w:t xml:space="preserve"> Nielsen, </w:t>
      </w:r>
      <w:r w:rsidR="0077042A">
        <w:rPr>
          <w:i/>
        </w:rPr>
        <w:t>K</w:t>
      </w:r>
      <w:r w:rsidR="006D5AEF">
        <w:rPr>
          <w:i/>
        </w:rPr>
        <w:t>anclerz S</w:t>
      </w:r>
      <w:r>
        <w:rPr>
          <w:i/>
        </w:rPr>
        <w:t>ekcji,</w:t>
      </w:r>
    </w:p>
    <w:p w14:paraId="4531B9CF" w14:textId="77777777" w:rsidR="003C2419" w:rsidRDefault="003C2419" w:rsidP="003C2419">
      <w:pPr>
        <w:pStyle w:val="ECHRPara"/>
        <w:rPr>
          <w:rFonts w:eastAsia="MS Mincho"/>
        </w:rPr>
      </w:pPr>
      <w:r>
        <w:t>Obradując na posiedzeniu zamkniętym w dniu 7 kwietnia 2015 roku,</w:t>
      </w:r>
    </w:p>
    <w:p w14:paraId="1FB20FC5" w14:textId="77777777" w:rsidR="003C2419" w:rsidRDefault="003C2419" w:rsidP="003C2419">
      <w:pPr>
        <w:pStyle w:val="ECHRPara"/>
        <w:rPr>
          <w:rFonts w:eastAsia="MS Mincho"/>
        </w:rPr>
      </w:pPr>
      <w:r>
        <w:t>Wydaje następujący wyrok, który przyjęto w tej dacie:</w:t>
      </w:r>
    </w:p>
    <w:p w14:paraId="0D13BCAE" w14:textId="77777777" w:rsidR="003C2419" w:rsidRDefault="003C2419" w:rsidP="003C2419">
      <w:pPr>
        <w:pStyle w:val="ECHRTitle1"/>
        <w:rPr>
          <w:rFonts w:eastAsia="MS Mincho"/>
        </w:rPr>
      </w:pPr>
      <w:r>
        <w:t>POSTĘPOWANIE</w:t>
      </w:r>
    </w:p>
    <w:p w14:paraId="493A16F5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</w:t>
        </w:r>
      </w:fldSimple>
      <w:r>
        <w:t xml:space="preserve">.  U podstaw rozpoznawanej sprawy leżą trzy skargi (nr 3453/12, 42941/12 i 9028/13) skierowane przeciwko Republice Greckiej, </w:t>
      </w:r>
      <w:r w:rsidR="001C6167">
        <w:t>przez</w:t>
      </w:r>
      <w:r>
        <w:t xml:space="preserve"> trzech  obywateli tego kraju, Pan</w:t>
      </w:r>
      <w:r w:rsidR="001C6167">
        <w:t>ów</w:t>
      </w:r>
      <w:r>
        <w:t xml:space="preserve"> </w:t>
      </w:r>
      <w:proofErr w:type="spellStart"/>
      <w:r>
        <w:t>Evaggelos</w:t>
      </w:r>
      <w:proofErr w:type="spellEnd"/>
      <w:r>
        <w:t xml:space="preserve"> </w:t>
      </w:r>
      <w:proofErr w:type="spellStart"/>
      <w:r>
        <w:t>Kapetanios</w:t>
      </w:r>
      <w:proofErr w:type="spellEnd"/>
      <w:r>
        <w:t xml:space="preserve">, </w:t>
      </w:r>
      <w:proofErr w:type="spellStart"/>
      <w:r>
        <w:t>Athanasios</w:t>
      </w:r>
      <w:proofErr w:type="spellEnd"/>
      <w:r>
        <w:t xml:space="preserve"> </w:t>
      </w:r>
      <w:proofErr w:type="spellStart"/>
      <w:r>
        <w:t>Nikolopoulos</w:t>
      </w:r>
      <w:proofErr w:type="spellEnd"/>
      <w:r>
        <w:t xml:space="preserve"> i </w:t>
      </w:r>
      <w:proofErr w:type="spellStart"/>
      <w:r>
        <w:t>Nikolaos</w:t>
      </w:r>
      <w:proofErr w:type="spellEnd"/>
      <w:r>
        <w:t xml:space="preserve"> </w:t>
      </w:r>
      <w:proofErr w:type="spellStart"/>
      <w:r>
        <w:t>Aggloupas</w:t>
      </w:r>
      <w:proofErr w:type="spellEnd"/>
      <w:r>
        <w:t xml:space="preserve"> ("skarżący"), wni</w:t>
      </w:r>
      <w:r w:rsidR="001C6167">
        <w:t>esione</w:t>
      </w:r>
      <w:r>
        <w:t xml:space="preserve"> do Trybunału odpowiednio w dniach 28 grudnia 2011 roku, 2 lipca 2012 roku i 28 stycznia 2013 roku zgodnie z artykułem 34 Konwencji o Ochronie Praw Człowieka i Podstawowych Wolności ("Konwencja").</w:t>
      </w:r>
    </w:p>
    <w:p w14:paraId="548F943D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</w:t>
        </w:r>
      </w:fldSimple>
      <w:r>
        <w:t xml:space="preserve">.  W kwestii skarg nr 3453/12 i 9028/13, skarżący byli reprezentowani przez </w:t>
      </w:r>
      <w:r w:rsidR="00A26260">
        <w:t>Pan</w:t>
      </w:r>
      <w:r w:rsidR="00EC3C69">
        <w:t>a</w:t>
      </w:r>
      <w:r>
        <w:t xml:space="preserve"> V. </w:t>
      </w:r>
      <w:proofErr w:type="spellStart"/>
      <w:r>
        <w:t>Chirdaris</w:t>
      </w:r>
      <w:proofErr w:type="spellEnd"/>
      <w:r>
        <w:t xml:space="preserve">, adwokata praktykującego w Atenach. Jeżeli chodzi o skargę nr 42941/12, skarżący był reprezentowany </w:t>
      </w:r>
      <w:r w:rsidR="00916B71">
        <w:t xml:space="preserve">przez </w:t>
      </w:r>
      <w:r w:rsidR="00EC3C69">
        <w:t>Panów</w:t>
      </w:r>
      <w:r>
        <w:t xml:space="preserve"> D. i K. </w:t>
      </w:r>
      <w:proofErr w:type="spellStart"/>
      <w:r>
        <w:t>Farmakidis-Markou</w:t>
      </w:r>
      <w:proofErr w:type="spellEnd"/>
      <w:r>
        <w:t xml:space="preserve">, adwokatów praktykujących w Atenach. Rząd grecki ("Rząd") był reprezentowany przez </w:t>
      </w:r>
      <w:r w:rsidR="00DB37C5">
        <w:t>delegatów</w:t>
      </w:r>
      <w:r>
        <w:t xml:space="preserve"> swojego pełnomocnika, Panie K. </w:t>
      </w:r>
      <w:proofErr w:type="spellStart"/>
      <w:r>
        <w:t>Paraskevopoulou</w:t>
      </w:r>
      <w:proofErr w:type="spellEnd"/>
      <w:r>
        <w:t>, asesor</w:t>
      </w:r>
      <w:r w:rsidR="007C24B6">
        <w:t>a</w:t>
      </w:r>
      <w:r>
        <w:t xml:space="preserve"> przy Rządowej Radzie Prawniczej i M. </w:t>
      </w:r>
      <w:proofErr w:type="spellStart"/>
      <w:r>
        <w:t>Skorila</w:t>
      </w:r>
      <w:proofErr w:type="spellEnd"/>
      <w:r>
        <w:t>, audytor</w:t>
      </w:r>
      <w:r w:rsidR="007C24B6">
        <w:t>a</w:t>
      </w:r>
      <w:r>
        <w:t xml:space="preserve"> przy Rządowej Radzie Prawniczej.</w:t>
      </w:r>
    </w:p>
    <w:p w14:paraId="2336BCD5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</w:t>
        </w:r>
      </w:fldSimple>
      <w:r>
        <w:t>.  Skarżący zarzucili w sz</w:t>
      </w:r>
      <w:r w:rsidR="00C14C0A">
        <w:t>czególności naruszenie artykułu</w:t>
      </w:r>
      <w:r>
        <w:t xml:space="preserve"> 6 § 2 Konwencji i</w:t>
      </w:r>
      <w:r w:rsidR="00C14C0A">
        <w:t xml:space="preserve"> artykułu</w:t>
      </w:r>
      <w:r>
        <w:t xml:space="preserve"> 4 Protokołu nr 7.</w:t>
      </w:r>
    </w:p>
    <w:p w14:paraId="05F6F499" w14:textId="77777777" w:rsidR="003C2419" w:rsidRDefault="003C2419" w:rsidP="003C2419">
      <w:pPr>
        <w:pStyle w:val="ECHRPara"/>
        <w:rPr>
          <w:rFonts w:eastAsia="MS Mincho"/>
          <w:szCs w:val="24"/>
        </w:rPr>
      </w:pPr>
      <w:fldSimple w:instr=" SEQ level0 \*arabic ">
        <w:r w:rsidR="00355195">
          <w:rPr>
            <w:noProof/>
          </w:rPr>
          <w:t>4</w:t>
        </w:r>
      </w:fldSimple>
      <w:r>
        <w:t>.  Dnia 25 marca 201</w:t>
      </w:r>
      <w:r w:rsidR="00C14C0A">
        <w:t>3</w:t>
      </w:r>
      <w:r>
        <w:t xml:space="preserve"> roku skargi zostały zakomunikowane Rządowi.</w:t>
      </w:r>
    </w:p>
    <w:p w14:paraId="6E12546A" w14:textId="77777777" w:rsidR="003C2419" w:rsidRDefault="003C2419" w:rsidP="003C2419">
      <w:pPr>
        <w:pStyle w:val="ECHRTitle1"/>
        <w:rPr>
          <w:rFonts w:eastAsia="MS Mincho"/>
        </w:rPr>
      </w:pPr>
      <w:r>
        <w:lastRenderedPageBreak/>
        <w:t>FAKTY</w:t>
      </w:r>
    </w:p>
    <w:p w14:paraId="503D679C" w14:textId="77777777" w:rsidR="003C2419" w:rsidRDefault="003C2419" w:rsidP="003C2419">
      <w:pPr>
        <w:pStyle w:val="ECHRHeading1"/>
        <w:rPr>
          <w:rFonts w:eastAsia="MS Gothic"/>
        </w:rPr>
      </w:pPr>
      <w:r>
        <w:t>I.  OKOLICZNOŚCI SPRAWY</w:t>
      </w:r>
    </w:p>
    <w:p w14:paraId="5EBCA44F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5</w:t>
        </w:r>
      </w:fldSimple>
      <w:r>
        <w:t>.  Skarżący urodzili się odpowiednio w latach 1952, 1946 i 1943. Ich miejsc</w:t>
      </w:r>
      <w:r w:rsidR="00476138">
        <w:t>a</w:t>
      </w:r>
      <w:r>
        <w:t xml:space="preserve"> zamieszania znajdują się odpowiednio w </w:t>
      </w:r>
      <w:proofErr w:type="spellStart"/>
      <w:r>
        <w:t>Tsag</w:t>
      </w:r>
      <w:r w:rsidR="00476138">
        <w:t>g</w:t>
      </w:r>
      <w:r>
        <w:t>arada</w:t>
      </w:r>
      <w:proofErr w:type="spellEnd"/>
      <w:r>
        <w:t xml:space="preserve">, </w:t>
      </w:r>
      <w:proofErr w:type="spellStart"/>
      <w:r>
        <w:t>Patras</w:t>
      </w:r>
      <w:proofErr w:type="spellEnd"/>
      <w:r>
        <w:t xml:space="preserve"> i Atenach.</w:t>
      </w:r>
    </w:p>
    <w:p w14:paraId="05F86656" w14:textId="77777777" w:rsidR="003C2419" w:rsidRDefault="003C2419" w:rsidP="003C2419">
      <w:pPr>
        <w:pStyle w:val="ECHRHeading2"/>
        <w:rPr>
          <w:rFonts w:eastAsia="MS Gothic"/>
        </w:rPr>
      </w:pPr>
      <w:r>
        <w:t>A.  Skarga nr 3453/12</w:t>
      </w:r>
    </w:p>
    <w:p w14:paraId="257A997B" w14:textId="77777777" w:rsidR="003C2419" w:rsidRDefault="003C2419" w:rsidP="003C2419">
      <w:pPr>
        <w:pStyle w:val="ECHRHeading3"/>
        <w:rPr>
          <w:rFonts w:eastAsia="MS Gothic"/>
        </w:rPr>
      </w:pPr>
      <w:r>
        <w:t>1.  </w:t>
      </w:r>
      <w:r w:rsidR="008528C3">
        <w:t>Postępowanie</w:t>
      </w:r>
      <w:r>
        <w:t xml:space="preserve"> karn</w:t>
      </w:r>
      <w:r w:rsidR="008528C3">
        <w:t>e</w:t>
      </w:r>
    </w:p>
    <w:p w14:paraId="6B5ECBEA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</w:t>
        </w:r>
      </w:fldSimple>
      <w:r>
        <w:t xml:space="preserve">.  W 1986 roku wszczęto przeciwko skarżącemu postępowanie karne za przemyt. Został on oskarżony o import do Grecji, w latach 1985 i 1986 dwunastu urządzeń elektronicznych bez uiszczenia należnego cła. Ponadto, został on oskarżony o import bez uiszczenia należnego cła strzelby myśliwskiej, wciągarki i kamery wideo. Dnia 22 marca 1989 roku, skarżący został skazany przez Sąd </w:t>
      </w:r>
      <w:r w:rsidR="00884931">
        <w:t xml:space="preserve">Przysięgłych </w:t>
      </w:r>
      <w:r>
        <w:t>w Atenach za przemyt. W dniu 13 października 1989 roku, S</w:t>
      </w:r>
      <w:r w:rsidR="00D87BA0">
        <w:t xml:space="preserve">ąd Apelacyjny w Atenach </w:t>
      </w:r>
      <w:r w:rsidR="00884931">
        <w:t>uniewinnił go</w:t>
      </w:r>
      <w:r>
        <w:t xml:space="preserve"> częściowo </w:t>
      </w:r>
      <w:r w:rsidR="00860B36">
        <w:t xml:space="preserve">od zarzutów </w:t>
      </w:r>
      <w:r>
        <w:t>przemytu (wyrok nr 520521/1989).</w:t>
      </w:r>
    </w:p>
    <w:p w14:paraId="2EC1ADBF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7</w:t>
        </w:r>
      </w:fldSimple>
      <w:r>
        <w:t xml:space="preserve">.  W dniu 28 czerwca 1991 roku Sąd Kasacyjny uchylił wyrok nr 520-521/1989 Sądu Apelacyjnego w Atenach i </w:t>
      </w:r>
      <w:r w:rsidR="00800B2A">
        <w:t>zwrócił</w:t>
      </w:r>
      <w:r>
        <w:t xml:space="preserve"> sprawę do ponownego rozpatrzenia przez Sąd Apelacyjny w Atenach (wyrok nr 1182/1991). Dnia 12 listopada 1992 roku, wspomniany powyżej sąd </w:t>
      </w:r>
      <w:r w:rsidR="00C84E8D">
        <w:t>uniewinnił</w:t>
      </w:r>
      <w:r>
        <w:t xml:space="preserve"> skarżącego od wszystkich zarzutów </w:t>
      </w:r>
      <w:r w:rsidR="00C84E8D">
        <w:t>dotyczących</w:t>
      </w:r>
      <w:r>
        <w:t xml:space="preserve"> przestępstwa przemytu (wyrok nr 1087/1992). Ten wyrok stał się prawomocny.</w:t>
      </w:r>
    </w:p>
    <w:p w14:paraId="573334DA" w14:textId="77777777" w:rsidR="003C2419" w:rsidRDefault="003C2419" w:rsidP="003C2419">
      <w:pPr>
        <w:pStyle w:val="ECHRHeading3"/>
        <w:rPr>
          <w:rFonts w:eastAsia="MS Gothic"/>
        </w:rPr>
      </w:pPr>
      <w:r>
        <w:t>2.  </w:t>
      </w:r>
      <w:r w:rsidR="008528C3" w:rsidRPr="008528C3">
        <w:t>Postępowanie</w:t>
      </w:r>
      <w:r>
        <w:t xml:space="preserve"> administracyjn</w:t>
      </w:r>
      <w:r w:rsidR="008528C3">
        <w:t>e</w:t>
      </w:r>
    </w:p>
    <w:p w14:paraId="627F7F70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8</w:t>
        </w:r>
      </w:fldSimple>
      <w:r w:rsidR="00D87BA0">
        <w:t>.  W między</w:t>
      </w:r>
      <w:r>
        <w:t xml:space="preserve">czasie, na podstawie decyzji </w:t>
      </w:r>
      <w:r w:rsidR="008528C3">
        <w:t>D</w:t>
      </w:r>
      <w:r>
        <w:t xml:space="preserve">yrektora Celnej Służby Śledczej </w:t>
      </w:r>
      <w:r w:rsidR="00D87BA0">
        <w:t xml:space="preserve">nr 46/1987/1989 </w:t>
      </w:r>
      <w:r>
        <w:t>zostały nałożone na skarżącego grzywny administracyjne, za import bez uiszczenia należności celnych strzelby myśliwskiej, wciągarki i kamery wideo (w kwocie 2 780 000 drachm - około 8 159 euro) i dwunastu urządzeń elektronicznych (w kwocie 1 702 780 000 drachm - około 4 990 995 euro) (decyzja nr 46/1987/1989).</w:t>
      </w:r>
    </w:p>
    <w:p w14:paraId="5048C946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9</w:t>
        </w:r>
      </w:fldSimple>
      <w:r>
        <w:t xml:space="preserve">.  Dnia 3 listopada 1989 roku, skarżący wniósł </w:t>
      </w:r>
      <w:r w:rsidR="00522F35">
        <w:t>do</w:t>
      </w:r>
      <w:r>
        <w:t xml:space="preserve"> Sąd</w:t>
      </w:r>
      <w:r w:rsidR="00522F35">
        <w:t>u</w:t>
      </w:r>
      <w:r>
        <w:t xml:space="preserve"> Administracyjn</w:t>
      </w:r>
      <w:r w:rsidR="00522F35">
        <w:t>ego</w:t>
      </w:r>
      <w:r>
        <w:t xml:space="preserve"> w Atenach s</w:t>
      </w:r>
      <w:r w:rsidR="00522F35">
        <w:t>kargę</w:t>
      </w:r>
      <w:r>
        <w:t xml:space="preserve"> </w:t>
      </w:r>
      <w:r w:rsidR="00522F35">
        <w:t>na</w:t>
      </w:r>
      <w:r>
        <w:t xml:space="preserve"> decyzj</w:t>
      </w:r>
      <w:r w:rsidR="00522F35">
        <w:t>ę</w:t>
      </w:r>
      <w:r>
        <w:t xml:space="preserve"> nr 46/1987/1989. Dnia 6 listopada 1990 roku, </w:t>
      </w:r>
      <w:r w:rsidR="00522F35">
        <w:t xml:space="preserve">sąd </w:t>
      </w:r>
      <w:r>
        <w:t>ten uznał częściowo skargę. W szczególności, Sąd Administracyjny potwierdził słuszność nałożonych grzywien administracyjnych, które dotyczyły importu strzelby myśliwskiej, wciągarki i kamery wideo i anulował część grzywien na kwotę 1 702 780 000 drachm dotyczących importu dwunastu u</w:t>
      </w:r>
      <w:r w:rsidR="00582B4B">
        <w:t>rządzeń elektronicznych (postanowienie</w:t>
      </w:r>
      <w:r>
        <w:t xml:space="preserve"> nr 14001/1990).</w:t>
      </w:r>
    </w:p>
    <w:p w14:paraId="135E5740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10</w:t>
        </w:r>
      </w:fldSimple>
      <w:r>
        <w:t>.  W dniach 17 i 21 stycznia 1991 roku zarówno skarżący jak i Rząd wnieśli apelacj</w:t>
      </w:r>
      <w:r w:rsidR="00582B4B">
        <w:t>e</w:t>
      </w:r>
      <w:r>
        <w:t>.</w:t>
      </w:r>
    </w:p>
    <w:p w14:paraId="2545FD68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11</w:t>
        </w:r>
      </w:fldSimple>
      <w:r>
        <w:t xml:space="preserve">.  Dnia 30 grudnia 1991 roku, Apelacyjny Sąd Administracyjny w Atenach odrzucił apelację skarżącego </w:t>
      </w:r>
      <w:r w:rsidR="006366EB">
        <w:t>oraz</w:t>
      </w:r>
      <w:r>
        <w:t xml:space="preserve"> </w:t>
      </w:r>
      <w:r w:rsidR="006366EB">
        <w:t>uwzględnił</w:t>
      </w:r>
      <w:r>
        <w:t xml:space="preserve"> tę wniesioną przez </w:t>
      </w:r>
      <w:r w:rsidR="00004792">
        <w:t>Państwo</w:t>
      </w:r>
      <w:r>
        <w:t>. Uznał, że skarżący popełnił wszystkie przestępstwa przemytu zarzucane mu przez organy administracyjne (wyrok nr 4793/1991).</w:t>
      </w:r>
    </w:p>
    <w:p w14:paraId="0917396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12</w:t>
        </w:r>
      </w:fldSimple>
      <w:r>
        <w:t>.  W dniu 28 grudnia 1992 roku, skarżący złożył skargę kasacyjną.</w:t>
      </w:r>
    </w:p>
    <w:p w14:paraId="5B00F35C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13</w:t>
        </w:r>
      </w:fldSimple>
      <w:r>
        <w:t xml:space="preserve">.  Dnia 28 września 1998 roku, Rada Stanu uznała częściowo zasadność skargi i </w:t>
      </w:r>
      <w:r w:rsidR="00800B2A">
        <w:t xml:space="preserve">zwrócił sprawę </w:t>
      </w:r>
      <w:r>
        <w:t>do Apelacyjnego Sądu Administracyjnego (wyrok nr 3552/1998).</w:t>
      </w:r>
    </w:p>
    <w:p w14:paraId="4E85084E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14</w:t>
        </w:r>
      </w:fldSimple>
      <w:r>
        <w:t xml:space="preserve">.  Dnia 27 kwietnia 2000 roku, </w:t>
      </w:r>
      <w:r w:rsidR="00D87BA0">
        <w:t>Apelacyjny Sąd Administracyjny</w:t>
      </w:r>
      <w:r>
        <w:t xml:space="preserve"> odrzucił apelację skarżącego </w:t>
      </w:r>
      <w:r w:rsidR="002847B5">
        <w:t>oraz uwzględnił</w:t>
      </w:r>
      <w:r>
        <w:t xml:space="preserve"> tę wniesioną przez </w:t>
      </w:r>
      <w:r w:rsidR="00004792">
        <w:t>Państwo</w:t>
      </w:r>
      <w:r>
        <w:t xml:space="preserve">. Po zbadaniu na nowo istoty sprawy, Sąd potwierdził słuszność nałożenia grzywien administracyjnych za import bez opłacenia należnych opłat celnych strzelby myśliwskiej, wciągarki i kamery wideo oraz dwunastu urządzeń elektronicznych i zmniejszył kwotę do zapłaty </w:t>
      </w:r>
      <w:r w:rsidR="00003E16">
        <w:t>z tego tytułu</w:t>
      </w:r>
      <w:r>
        <w:t xml:space="preserve"> do kwoty 1 022 633 772 drachm (około 3 001 126 euro). Apelacyjny Sąd Administracyjny podniósł, że wyżej wskazana suma odpowiada trzykrotności sumy, którą </w:t>
      </w:r>
      <w:r w:rsidR="009B177C">
        <w:t>należną od skarżącego</w:t>
      </w:r>
      <w:r>
        <w:t xml:space="preserve"> z tytułu </w:t>
      </w:r>
      <w:r w:rsidR="005C791D">
        <w:t>nieopłaconych</w:t>
      </w:r>
      <w:r>
        <w:t xml:space="preserve"> podatków i należności celnych dotyczących wskazanych przedmiotów.</w:t>
      </w:r>
    </w:p>
    <w:p w14:paraId="609C8A26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15</w:t>
        </w:r>
      </w:fldSimple>
      <w:r>
        <w:t>.  Skarżący przedłożył w Sądzie Administracyjnym wyrok nr 1087/1992 wydany przez Sąd Apelacyjny w Atenach, który uwalniał go od zarzutów przemytu za import tych samych urządzeń elektronicznych. Apelacyjny Sąd Administracyjny uznał w tej kwestii, że wyrok uniewinniający  Sądu Apelacyjnego nie ma wiążącego charakteru dla jego rozstrzygnięcia. Sąd stwierdził</w:t>
      </w:r>
      <w:r w:rsidR="00D87BA0">
        <w:t>,</w:t>
      </w:r>
      <w:r>
        <w:t xml:space="preserve"> że w przedmiotowej sprawie zarówno elementy materialne jak i te dotyczące zamiaru zostały wypełnione, ponieważ skarżący dopuścił się podstępu w celu niezapłacenia należnych podatków (wyrok nr 2090/2000).</w:t>
      </w:r>
    </w:p>
    <w:p w14:paraId="706CD0A2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16</w:t>
        </w:r>
      </w:fldSimple>
      <w:r>
        <w:t>.  W dniu 20 czerwca 2000 roku, skarżący złożył skargę kasacyjną. Podnosił w niej miedzy innymi, że sądy administracyjne nie powinny uznać, że miało miejsce przestępstwo przemytu, ponieważ sądy karne wcześniej uwolniły go od dokładnie tych samych zarzutów.</w:t>
      </w:r>
    </w:p>
    <w:p w14:paraId="198CC839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17</w:t>
        </w:r>
      </w:fldSimple>
      <w:r>
        <w:t>.  Dnia 28 czerwca 2011 roku, Rada Stanu odrzuciła skargę kasacyjną. Najwyższ</w:t>
      </w:r>
      <w:r w:rsidR="00765BA9">
        <w:t>a</w:t>
      </w:r>
      <w:r>
        <w:t xml:space="preserve"> </w:t>
      </w:r>
      <w:r w:rsidR="00A90B2F">
        <w:t>instancja administracyjna</w:t>
      </w:r>
      <w:r>
        <w:t xml:space="preserve"> powołał</w:t>
      </w:r>
      <w:r w:rsidR="00A90B2F">
        <w:t>a</w:t>
      </w:r>
      <w:r>
        <w:t xml:space="preserve"> się na swój wyrok nr 3552/1998, wydany w ramach tej samej sprawy i zauważył</w:t>
      </w:r>
      <w:r w:rsidR="00A90B2F">
        <w:t>a</w:t>
      </w:r>
      <w:r>
        <w:t xml:space="preserve">, że zostało już w nim stwierdzone, że postępowanie administracyjne dotyczące przemytu jest postępowaniem autonomicznym i odrębnym od postępowania karnego. Innymi słowy, </w:t>
      </w:r>
      <w:r w:rsidR="000C5238">
        <w:t>s</w:t>
      </w:r>
      <w:r>
        <w:t xml:space="preserve">ąd </w:t>
      </w:r>
      <w:r w:rsidR="000C5238">
        <w:t>a</w:t>
      </w:r>
      <w:r>
        <w:t xml:space="preserve">dministracyjny nie był związany przez ewentualny wyrok uniewinniający </w:t>
      </w:r>
      <w:r w:rsidR="000C5238">
        <w:t>s</w:t>
      </w:r>
      <w:r>
        <w:t xml:space="preserve">ądu </w:t>
      </w:r>
      <w:r w:rsidR="000C5238">
        <w:t>k</w:t>
      </w:r>
      <w:r>
        <w:t xml:space="preserve">arnego, ale powinien go wziąć pod uwagę. Taka sytuacja wynikała z faktu, że według prawa krajowego, wyłącznie ostateczne wyroki skazujące sądów karnych </w:t>
      </w:r>
      <w:r w:rsidR="00577042">
        <w:t>nadają powagę rzeczy osądzonej</w:t>
      </w:r>
      <w:r>
        <w:t xml:space="preserve"> </w:t>
      </w:r>
      <w:r w:rsidR="00441534">
        <w:t>w odniesieniu do</w:t>
      </w:r>
      <w:r w:rsidR="00577042">
        <w:t xml:space="preserve"> </w:t>
      </w:r>
      <w:r>
        <w:t>sąd</w:t>
      </w:r>
      <w:r w:rsidR="009A32CA">
        <w:t>ów</w:t>
      </w:r>
      <w:r>
        <w:t xml:space="preserve"> administracyj</w:t>
      </w:r>
      <w:r w:rsidR="00577042">
        <w:t>n</w:t>
      </w:r>
      <w:r w:rsidR="009A32CA">
        <w:t>ych</w:t>
      </w:r>
      <w:r>
        <w:t>. Rada Stanu przywołała wywody Apelacyjnego Sądu Administracyjnego i odniosła się do faktu,</w:t>
      </w:r>
      <w:r w:rsidR="00441534">
        <w:t xml:space="preserve"> że</w:t>
      </w:r>
      <w:r>
        <w:t xml:space="preserve"> zgodnie z jego oceną, wyrok nr 1087/1992 był wyrokiem uni</w:t>
      </w:r>
      <w:r w:rsidR="009D3427">
        <w:t>ewinniającym i w związku z tym s</w:t>
      </w:r>
      <w:r>
        <w:t xml:space="preserve">ąd </w:t>
      </w:r>
      <w:r w:rsidR="009D3427">
        <w:t>a</w:t>
      </w:r>
      <w:r>
        <w:t xml:space="preserve">dministracyjny nie był nim </w:t>
      </w:r>
      <w:r>
        <w:lastRenderedPageBreak/>
        <w:t>związany. Rada Stanu zauważyła także, że Apelacyjny Sąd Administracyjny przyznał, że jego decyzja wynikała z innej oceny materiału dowodowego.</w:t>
      </w:r>
    </w:p>
    <w:p w14:paraId="48E9DF70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18</w:t>
        </w:r>
      </w:fldSimple>
      <w:r>
        <w:t xml:space="preserve">.  Rada Stanu stwierdziła, że nie miało miejsca żadne pogwałcenie Konstytucji, ponieważ </w:t>
      </w:r>
      <w:r w:rsidR="00DB256F">
        <w:t>s</w:t>
      </w:r>
      <w:r>
        <w:t xml:space="preserve">ąd </w:t>
      </w:r>
      <w:r w:rsidR="00DB256F">
        <w:t>a</w:t>
      </w:r>
      <w:r>
        <w:t xml:space="preserve">dministracyjny nie był </w:t>
      </w:r>
      <w:r w:rsidR="00DB256F">
        <w:t>związany wyrokiem nr 1087/1992 s</w:t>
      </w:r>
      <w:r>
        <w:t>ądu karnego, przede wszystkim dlatego</w:t>
      </w:r>
      <w:r w:rsidR="00065968">
        <w:t>, iż</w:t>
      </w:r>
      <w:r>
        <w:t xml:space="preserve"> z akt sprawy nie wynikało, że wyrok ten był prawomocny. Ponadto, Rada Stanu powtórzyła, że zgodnie z obowiązującym prawem sąd administracyjn</w:t>
      </w:r>
      <w:r w:rsidR="004F112D">
        <w:t>y jest</w:t>
      </w:r>
      <w:r>
        <w:t xml:space="preserve"> związan</w:t>
      </w:r>
      <w:r w:rsidR="004F112D">
        <w:t>y</w:t>
      </w:r>
      <w:r>
        <w:t xml:space="preserve"> jedynie skazującym wyrokiem sąd</w:t>
      </w:r>
      <w:r w:rsidR="004F112D">
        <w:t>u</w:t>
      </w:r>
      <w:r>
        <w:t xml:space="preserve"> karn</w:t>
      </w:r>
      <w:r w:rsidR="004F112D">
        <w:t>ego</w:t>
      </w:r>
      <w:r>
        <w:t xml:space="preserve">. Poza tym, </w:t>
      </w:r>
      <w:r w:rsidR="004F112D">
        <w:t xml:space="preserve">najwyższa instancja </w:t>
      </w:r>
      <w:r>
        <w:t xml:space="preserve"> </w:t>
      </w:r>
      <w:r w:rsidR="004F112D">
        <w:t>a</w:t>
      </w:r>
      <w:r>
        <w:t>dministracyjn</w:t>
      </w:r>
      <w:r w:rsidR="004F112D">
        <w:t>a</w:t>
      </w:r>
      <w:r>
        <w:t xml:space="preserve"> przyznał</w:t>
      </w:r>
      <w:r w:rsidR="009C14C5">
        <w:t>a</w:t>
      </w:r>
      <w:r>
        <w:t>, że Apelacyjny Sąd Administracyjny miał prawo inaczej ocenić elem</w:t>
      </w:r>
      <w:r w:rsidR="00065968">
        <w:t>enty materiału dowodowego niż sąd karny, oraz</w:t>
      </w:r>
      <w:r>
        <w:t xml:space="preserve"> że w swoim wyroku podał dostateczne uzasadnienie przyczyn dla których uznał</w:t>
      </w:r>
      <w:r w:rsidR="00065968">
        <w:t>,</w:t>
      </w:r>
      <w:r>
        <w:t xml:space="preserve"> że przestępstwo przemytu zostało popełnione (wyrok nr 1999/2011). Ten wyrok został wydany na piśmie i uwierzytelniony dnia 3 listopada 2011 roku.</w:t>
      </w:r>
    </w:p>
    <w:p w14:paraId="4F2DB663" w14:textId="77777777" w:rsidR="003C2419" w:rsidRDefault="003C2419" w:rsidP="003C2419">
      <w:pPr>
        <w:pStyle w:val="ECHRHeading2"/>
        <w:rPr>
          <w:rFonts w:eastAsia="MS Gothic"/>
        </w:rPr>
      </w:pPr>
      <w:r>
        <w:t>B.  Skarga nr 42941/12</w:t>
      </w:r>
    </w:p>
    <w:p w14:paraId="27BAC09E" w14:textId="77777777" w:rsidR="003C2419" w:rsidRDefault="003C2419" w:rsidP="003C2419">
      <w:pPr>
        <w:pStyle w:val="ECHRHeading3"/>
        <w:rPr>
          <w:rFonts w:eastAsia="MS Mincho"/>
        </w:rPr>
      </w:pPr>
      <w:r>
        <w:t>1.  P</w:t>
      </w:r>
      <w:r w:rsidR="00B123CF">
        <w:t>ostępowanie</w:t>
      </w:r>
      <w:r>
        <w:t xml:space="preserve"> karn</w:t>
      </w:r>
      <w:r w:rsidR="00B123CF">
        <w:t>e</w:t>
      </w:r>
    </w:p>
    <w:p w14:paraId="427C4045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19</w:t>
        </w:r>
      </w:fldSimple>
      <w:r>
        <w:t xml:space="preserve">.  W 1998 roku wszczęto przeciwko skarżącemu postępowanie karne za przemyt. W szczególności został on oskarżony o to, że pomiędzy rokiem 1993 a 1995 sprzedał, będąc właścicielem stacji benzynowej, 110 000 litrów benzyny i 221 000 litrów oleju napędowego bez </w:t>
      </w:r>
      <w:r w:rsidR="00247342">
        <w:t>zaświadczeń</w:t>
      </w:r>
      <w:r>
        <w:t xml:space="preserve"> </w:t>
      </w:r>
      <w:r w:rsidR="00247342">
        <w:t>zakupu</w:t>
      </w:r>
      <w:r>
        <w:t xml:space="preserve">. Dnia 21 czerwca 2000 roku, Sąd Karny w </w:t>
      </w:r>
      <w:proofErr w:type="spellStart"/>
      <w:r>
        <w:t>Patras</w:t>
      </w:r>
      <w:proofErr w:type="spellEnd"/>
      <w:r>
        <w:t xml:space="preserve"> u</w:t>
      </w:r>
      <w:r w:rsidR="00AB7387">
        <w:t>niewinnił</w:t>
      </w:r>
      <w:r>
        <w:t xml:space="preserve"> go od wyżej przedstawionych zarzutów (wyrok nr 2828/2000). Ten wyrok stał się prawomocny.</w:t>
      </w:r>
    </w:p>
    <w:p w14:paraId="33BA6CDC" w14:textId="77777777" w:rsidR="003C2419" w:rsidRPr="00BD469E" w:rsidRDefault="003C2419" w:rsidP="003C2419">
      <w:pPr>
        <w:pStyle w:val="ECHRHeading3"/>
      </w:pPr>
      <w:r>
        <w:t>2.  P</w:t>
      </w:r>
      <w:r w:rsidR="00AB7387">
        <w:t>ostępowanie</w:t>
      </w:r>
      <w:r>
        <w:t xml:space="preserve"> administracyjn</w:t>
      </w:r>
      <w:r w:rsidR="00AB7387">
        <w:t>e</w:t>
      </w:r>
    </w:p>
    <w:p w14:paraId="11EF0CF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20</w:t>
        </w:r>
      </w:fldSimple>
      <w:r w:rsidR="00065968">
        <w:t>.  W między</w:t>
      </w:r>
      <w:r>
        <w:t xml:space="preserve">czasie, dnia 29 września 1996 roku, właściwe organy celne nałożyły na skarżącego obowiązek zapłaty kwot 37 089 905 i 74 180 000 drachm (łącznie około 129 919 euro) z tytułu  grzywien skarbowych za popełnienie przestępstwa skarbowego przemytu w związku ze sprzedażą wyżej wskazanych produktów bez </w:t>
      </w:r>
      <w:r w:rsidR="004E29CF">
        <w:t>zaświadczeń</w:t>
      </w:r>
      <w:r>
        <w:t xml:space="preserve"> zakupu (decyzja nr 120/29.9.1996). Te kwoty stanowi</w:t>
      </w:r>
      <w:r w:rsidR="004E29CF">
        <w:t>ły</w:t>
      </w:r>
      <w:r>
        <w:t xml:space="preserve"> dwukrotność sumy należnej Skarbowi Państwa z tytułu podatków i ceł </w:t>
      </w:r>
      <w:r w:rsidR="002975F6">
        <w:t>od</w:t>
      </w:r>
      <w:r>
        <w:t xml:space="preserve"> sprzedaży produktów, których </w:t>
      </w:r>
      <w:r w:rsidR="003F4ACF">
        <w:t xml:space="preserve">dotyczyła </w:t>
      </w:r>
      <w:r>
        <w:t>sprawa.</w:t>
      </w:r>
    </w:p>
    <w:p w14:paraId="1AD024F0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21</w:t>
        </w:r>
      </w:fldSimple>
      <w:r>
        <w:t xml:space="preserve">.  W bliżej niesprecyzowanej dacie, skarżący wniósł </w:t>
      </w:r>
      <w:r w:rsidR="00DE1932">
        <w:t>do</w:t>
      </w:r>
      <w:r>
        <w:t xml:space="preserve"> Sąd</w:t>
      </w:r>
      <w:r w:rsidR="00DE1932">
        <w:t>u</w:t>
      </w:r>
      <w:r>
        <w:t xml:space="preserve"> Administracyjn</w:t>
      </w:r>
      <w:r w:rsidR="00DE1932">
        <w:t>ego</w:t>
      </w:r>
      <w:r>
        <w:t xml:space="preserve"> w </w:t>
      </w:r>
      <w:proofErr w:type="spellStart"/>
      <w:r>
        <w:t>Patras</w:t>
      </w:r>
      <w:proofErr w:type="spellEnd"/>
      <w:r>
        <w:t xml:space="preserve"> skargę, w której domagał się uchylenia decyzji nr 120/29.9.1996. W bliżej niesprecyzowanej dacie, Sąd Administracyjny w </w:t>
      </w:r>
      <w:proofErr w:type="spellStart"/>
      <w:r>
        <w:t>Patras</w:t>
      </w:r>
      <w:proofErr w:type="spellEnd"/>
      <w:r>
        <w:t xml:space="preserve"> odrzucił skargę (decyzja nr 424/1998).</w:t>
      </w:r>
    </w:p>
    <w:p w14:paraId="3E25C52F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22</w:t>
        </w:r>
      </w:fldSimple>
      <w:r>
        <w:t xml:space="preserve">.  Dnia 20 listopada 1998 roku, skarżący wniósł apelację. Do swoich uwag z dnia 14 stycznia 2003 roku dołączył wyrok nr 2828/2000 Sądu Karnego w </w:t>
      </w:r>
      <w:proofErr w:type="spellStart"/>
      <w:r>
        <w:t>Patras</w:t>
      </w:r>
      <w:proofErr w:type="spellEnd"/>
      <w:r>
        <w:t>.</w:t>
      </w:r>
    </w:p>
    <w:p w14:paraId="4A0A662E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23</w:t>
        </w:r>
      </w:fldSimple>
      <w:r>
        <w:t xml:space="preserve">.  Dnia 23 października 2003 roku, Apelacyjny Sąd Administracyjny w </w:t>
      </w:r>
      <w:proofErr w:type="spellStart"/>
      <w:r>
        <w:t>Patras</w:t>
      </w:r>
      <w:proofErr w:type="spellEnd"/>
      <w:r>
        <w:t xml:space="preserve"> odrzucił apelację i potwierdził decyzję nr</w:t>
      </w:r>
      <w:r w:rsidR="0084366E">
        <w:t xml:space="preserve"> 424/1998. W szczególności Sąd A</w:t>
      </w:r>
      <w:r>
        <w:t>pelacyjny uznał</w:t>
      </w:r>
      <w:r w:rsidR="00065968">
        <w:t>,</w:t>
      </w:r>
      <w:r>
        <w:t xml:space="preserve"> że paliwo o którym mowa, kupowane i sprzedawane przez skarżącego pochodziło z przemytu (wyrok nr 447/2003).</w:t>
      </w:r>
    </w:p>
    <w:p w14:paraId="0BFEBED7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24</w:t>
        </w:r>
      </w:fldSimple>
      <w:r>
        <w:t>.  W dniu 23 marca 2004 roku, skarżący złożył skargę kasacyjną. Podnosił między innymi, że Apelacyjny Sąd Administracyjny nie wziął pod uwag</w:t>
      </w:r>
      <w:r w:rsidR="00954869">
        <w:t>ę wyroku nr 2828/2000, który</w:t>
      </w:r>
      <w:r w:rsidR="00167DFA">
        <w:t>m</w:t>
      </w:r>
      <w:r w:rsidR="00954869">
        <w:t xml:space="preserve"> </w:t>
      </w:r>
      <w:r w:rsidR="00167DFA">
        <w:t>uniewinniono go</w:t>
      </w:r>
      <w:r>
        <w:t xml:space="preserve"> od zarzutu przemytu.</w:t>
      </w:r>
    </w:p>
    <w:p w14:paraId="46EC0690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25</w:t>
        </w:r>
      </w:fldSimple>
      <w:r>
        <w:t>.  Dnia 16 listopada 2011 roku, Rada Stanu odrzuciła jego odwołanie. Najwyższ</w:t>
      </w:r>
      <w:r w:rsidR="00765BA9">
        <w:t>a</w:t>
      </w:r>
      <w:r>
        <w:t xml:space="preserve"> </w:t>
      </w:r>
      <w:r w:rsidR="00765BA9">
        <w:t>instancja</w:t>
      </w:r>
      <w:r>
        <w:t xml:space="preserve"> </w:t>
      </w:r>
      <w:r w:rsidR="00765BA9">
        <w:t>a</w:t>
      </w:r>
      <w:r>
        <w:t>dministracyjn</w:t>
      </w:r>
      <w:r w:rsidR="00765BA9">
        <w:t>a</w:t>
      </w:r>
      <w:r>
        <w:t xml:space="preserve"> </w:t>
      </w:r>
      <w:r w:rsidR="00765BA9">
        <w:t>wskazała</w:t>
      </w:r>
      <w:r>
        <w:t xml:space="preserve">, że artykuł 150 Kodeksu </w:t>
      </w:r>
      <w:r w:rsidR="00765BA9">
        <w:t>p</w:t>
      </w:r>
      <w:r>
        <w:t xml:space="preserve">ostępowania </w:t>
      </w:r>
      <w:r w:rsidR="00765BA9">
        <w:t>a</w:t>
      </w:r>
      <w:r>
        <w:t>dministracyjnego przewid</w:t>
      </w:r>
      <w:r w:rsidR="00765BA9">
        <w:t>ywał</w:t>
      </w:r>
      <w:r>
        <w:t xml:space="preserve">, </w:t>
      </w:r>
      <w:r w:rsidR="00765BA9">
        <w:t>iż</w:t>
      </w:r>
      <w:r>
        <w:t xml:space="preserve"> każdy dokument mający stanowić dowód powinien być przedłożony właściwemu sądowi na dzień przed pierwsz</w:t>
      </w:r>
      <w:r w:rsidR="00E0137E">
        <w:t>ą</w:t>
      </w:r>
      <w:r>
        <w:t xml:space="preserve"> </w:t>
      </w:r>
      <w:r w:rsidR="00E0137E">
        <w:t>rozprawą</w:t>
      </w:r>
      <w:r>
        <w:t xml:space="preserve"> w sprawie. Rada zauważyła, że skarżący z pewnością przedłożył Apelacyjnemu Sądowi Administracyjnemu wyrok nr 2828/2000 wydany przez Sąd Karny w </w:t>
      </w:r>
      <w:proofErr w:type="spellStart"/>
      <w:r>
        <w:t>Patras</w:t>
      </w:r>
      <w:proofErr w:type="spellEnd"/>
      <w:r>
        <w:t xml:space="preserve">, ale po </w:t>
      </w:r>
      <w:r w:rsidR="009111EA">
        <w:t>rozprawie</w:t>
      </w:r>
      <w:r>
        <w:t xml:space="preserve"> w niniejszej sprawie. Rada Stanu podsumowała, że Apelacyjny Sąd Administracyjny nie był zobowiązany wziąć tego wyroku pod uwagę </w:t>
      </w:r>
      <w:proofErr w:type="spellStart"/>
      <w:r w:rsidR="007B521A">
        <w:rPr>
          <w:i/>
        </w:rPr>
        <w:t>proprio</w:t>
      </w:r>
      <w:proofErr w:type="spellEnd"/>
      <w:r w:rsidR="007B521A">
        <w:rPr>
          <w:i/>
        </w:rPr>
        <w:t xml:space="preserve"> </w:t>
      </w:r>
      <w:r>
        <w:rPr>
          <w:i/>
        </w:rPr>
        <w:t xml:space="preserve">motu, </w:t>
      </w:r>
      <w:r>
        <w:t>ponieważ został mu on przedłożony w sposób niedopuszczalny.</w:t>
      </w:r>
    </w:p>
    <w:p w14:paraId="67C48E96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26</w:t>
        </w:r>
      </w:fldSimple>
      <w:r>
        <w:t xml:space="preserve">.  Ponadto, </w:t>
      </w:r>
      <w:r w:rsidR="00C254D3">
        <w:t xml:space="preserve">najwyższa instancja administracyjna </w:t>
      </w:r>
      <w:r>
        <w:t>przyznał</w:t>
      </w:r>
      <w:r w:rsidR="00C254D3">
        <w:t>a</w:t>
      </w:r>
      <w:r>
        <w:t xml:space="preserve">, że Apelacyjny Sąd Administracyjny oparł się na </w:t>
      </w:r>
      <w:r w:rsidR="007D0F6E">
        <w:t>odpowiednich dowodach</w:t>
      </w:r>
      <w:r w:rsidR="00065968">
        <w:t xml:space="preserve"> przy stwierdzeniu, ż</w:t>
      </w:r>
      <w:r>
        <w:t xml:space="preserve">e skarżący popełnił przestępstwo przemytu w przedmiotowej sprawie. Zostało zgłoszone zdanie odrębne dwóch sędziów, którzy podnieśli, że sąd orzekający powinien </w:t>
      </w:r>
      <w:r w:rsidR="00B17748">
        <w:t xml:space="preserve">był </w:t>
      </w:r>
      <w:r>
        <w:t xml:space="preserve">z własnej inicjatywy wziąć pod uwagę wyrok nr 2828/2000 wydany przez Sąd Karny w </w:t>
      </w:r>
      <w:proofErr w:type="spellStart"/>
      <w:r>
        <w:t>Patras</w:t>
      </w:r>
      <w:proofErr w:type="spellEnd"/>
      <w:r>
        <w:t>, ponieważ skarżący powołał się na niego i przedłożył go Sądowi Administracyjnemu w czasie toczącego się przed tym sądem postępowania. Sędziowie zgłaszający zdanie odrębne podnosili, że niezaznajomienie się, zarówn</w:t>
      </w:r>
      <w:r w:rsidR="00156735">
        <w:t>o przez Sąd Administracyjny jak i przez Radę Stanu z</w:t>
      </w:r>
      <w:r>
        <w:t xml:space="preserve"> wcześniejszym uniewinnieniem w postępowaniu karnym za to samo przestępstwo jakie było przedmiotem postępowań przed sądami administracyjnymi, </w:t>
      </w:r>
      <w:r w:rsidR="00A52C15">
        <w:t xml:space="preserve">naruszało </w:t>
      </w:r>
      <w:r>
        <w:t xml:space="preserve"> zasadę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t xml:space="preserve"> </w:t>
      </w:r>
      <w:r w:rsidR="00A52C15">
        <w:t>usankcjonowaną</w:t>
      </w:r>
      <w:r>
        <w:t xml:space="preserve"> przez artykuł 4 Protokołu nr 7 (wyrok nr 3616/2011). Z akt sprawy wynika, że skarżący otrzymał uwierzytelnioną kopię wyroku nr 3616/2011 w dniu 11 stycznia 2012 roku.</w:t>
      </w:r>
    </w:p>
    <w:p w14:paraId="7A9F0D3F" w14:textId="77777777" w:rsidR="003C2419" w:rsidRDefault="003C2419" w:rsidP="003C2419">
      <w:pPr>
        <w:pStyle w:val="ECHRHeading2"/>
        <w:rPr>
          <w:rFonts w:eastAsia="MS Mincho"/>
        </w:rPr>
      </w:pPr>
      <w:r>
        <w:t>C.  Skarga nr 9028/13</w:t>
      </w:r>
    </w:p>
    <w:p w14:paraId="42CC1449" w14:textId="77777777" w:rsidR="003C2419" w:rsidRDefault="003C2419" w:rsidP="003C2419">
      <w:pPr>
        <w:pStyle w:val="ECHRHeading3"/>
        <w:rPr>
          <w:rFonts w:eastAsia="MS Mincho"/>
        </w:rPr>
      </w:pPr>
      <w:r>
        <w:t>1.  </w:t>
      </w:r>
      <w:r w:rsidR="00411C69">
        <w:t>Postępowanie</w:t>
      </w:r>
      <w:r>
        <w:t xml:space="preserve"> karn</w:t>
      </w:r>
      <w:r w:rsidR="00411C69">
        <w:t>e</w:t>
      </w:r>
    </w:p>
    <w:p w14:paraId="2A330BAA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27</w:t>
        </w:r>
      </w:fldSimple>
      <w:r>
        <w:t xml:space="preserve">.  W dacie bliżej nieokreślonej wszczęto przeciwko skarżącemu postępowanie karne za przemyt. Został on oskarżony w szczególności o import do Grecji, w listopadzie 1992 roku, dwóch luksusowych samochodów (marek "Ferrari" i "Mercedes" - model 600SL) bez uiszczenia podatków i należności celnych </w:t>
      </w:r>
      <w:r w:rsidR="00FF0F22">
        <w:t>oraz</w:t>
      </w:r>
      <w:r>
        <w:t xml:space="preserve"> o </w:t>
      </w:r>
      <w:r w:rsidR="00DD6B8E">
        <w:t>przemieszczenie</w:t>
      </w:r>
      <w:r>
        <w:t xml:space="preserve"> </w:t>
      </w:r>
      <w:r w:rsidR="00DD6B8E">
        <w:t xml:space="preserve">ich </w:t>
      </w:r>
      <w:r>
        <w:t xml:space="preserve">bez otrzymania zezwolenia ze strony organów celnych. Został oskarżony również o to, że w </w:t>
      </w:r>
      <w:r>
        <w:lastRenderedPageBreak/>
        <w:t xml:space="preserve">celu </w:t>
      </w:r>
      <w:r w:rsidR="00CB1D20">
        <w:t xml:space="preserve">przemieszczania </w:t>
      </w:r>
      <w:r w:rsidR="00093393">
        <w:t xml:space="preserve">się </w:t>
      </w:r>
      <w:r>
        <w:t>ty</w:t>
      </w:r>
      <w:r w:rsidR="00093393">
        <w:t>mi</w:t>
      </w:r>
      <w:r>
        <w:t xml:space="preserve"> pojazd</w:t>
      </w:r>
      <w:r w:rsidR="00093393">
        <w:t>ami</w:t>
      </w:r>
      <w:r>
        <w:t xml:space="preserve"> po terytorium Grecji, posłużył się podstęp</w:t>
      </w:r>
      <w:r w:rsidR="0031571F">
        <w:t>em</w:t>
      </w:r>
      <w:r>
        <w:t>,</w:t>
      </w:r>
      <w:r w:rsidR="00CB1D20">
        <w:t xml:space="preserve"> takim </w:t>
      </w:r>
      <w:r>
        <w:t>jak zmiana tablic rejestracyjnych.</w:t>
      </w:r>
    </w:p>
    <w:p w14:paraId="035335C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28</w:t>
        </w:r>
      </w:fldSimple>
      <w:r>
        <w:t>.  Dnia 21 maja 1998 roku, skarżący został uniewinniony przez Sąd Karny w Atenach od zarzut</w:t>
      </w:r>
      <w:r w:rsidR="00BA3ADB">
        <w:t>u</w:t>
      </w:r>
      <w:r>
        <w:t xml:space="preserve"> przemytu. W szczególności sąd ten stwierdził,</w:t>
      </w:r>
      <w:r w:rsidR="00156735">
        <w:t xml:space="preserve"> ż</w:t>
      </w:r>
      <w:r>
        <w:t>e skarżący jest stałym rezydentem Włoch i że w związku z tym, miał prawo prowadzić na terytorium Grecji samochody mające zagraniczne tablice rejestracyjne. Ponadto, Sąd Karny uz</w:t>
      </w:r>
      <w:r w:rsidR="00156735">
        <w:t>nał, że nie zostało ustalone, iż</w:t>
      </w:r>
      <w:r>
        <w:t xml:space="preserve"> skarżący dopuścił się podstęp</w:t>
      </w:r>
      <w:r w:rsidR="0031571F">
        <w:t>u</w:t>
      </w:r>
      <w:r>
        <w:t xml:space="preserve">, </w:t>
      </w:r>
      <w:r w:rsidR="004E08A8">
        <w:t>taki</w:t>
      </w:r>
      <w:r w:rsidR="0031571F">
        <w:t>ego</w:t>
      </w:r>
      <w:r w:rsidR="004E08A8">
        <w:t xml:space="preserve"> </w:t>
      </w:r>
      <w:r>
        <w:t>jak zmiana tablic rejestracyjnych (wyrok nr 36398/1998). Ten wyrok stał się prawomocny.</w:t>
      </w:r>
    </w:p>
    <w:p w14:paraId="2A41DB0C" w14:textId="77777777" w:rsidR="003C2419" w:rsidRDefault="003C2419" w:rsidP="003C2419">
      <w:pPr>
        <w:pStyle w:val="ECHRHeading3"/>
        <w:rPr>
          <w:rFonts w:eastAsia="MS Mincho"/>
        </w:rPr>
      </w:pPr>
      <w:r>
        <w:t>2.  P</w:t>
      </w:r>
      <w:r w:rsidR="004E08A8">
        <w:t>ostępowanie</w:t>
      </w:r>
      <w:r>
        <w:t xml:space="preserve"> administracyjn</w:t>
      </w:r>
      <w:r w:rsidR="004E08A8">
        <w:t>e</w:t>
      </w:r>
    </w:p>
    <w:p w14:paraId="3B7D1C1A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29</w:t>
        </w:r>
      </w:fldSimple>
      <w:r>
        <w:t>.  W 2001 roku właściwe organy administracyjne nałożyły na skarżącego grzywny administracyjne za import</w:t>
      </w:r>
      <w:r w:rsidR="00156735">
        <w:t xml:space="preserve"> </w:t>
      </w:r>
      <w:r>
        <w:t>i poruszanie się</w:t>
      </w:r>
      <w:r w:rsidR="00156735">
        <w:t xml:space="preserve"> </w:t>
      </w:r>
      <w:r>
        <w:t>po terytorium Grecji, w listopadzie 1992 roku, bez uiszczenia podatków i ceł, dw</w:t>
      </w:r>
      <w:r w:rsidR="00FD56BA">
        <w:t>oma</w:t>
      </w:r>
      <w:r>
        <w:t xml:space="preserve"> wyżej wskazany</w:t>
      </w:r>
      <w:r w:rsidR="00FD56BA">
        <w:t>mi</w:t>
      </w:r>
      <w:r>
        <w:t xml:space="preserve"> </w:t>
      </w:r>
      <w:r w:rsidR="00FD56BA">
        <w:t xml:space="preserve">luksusowymi </w:t>
      </w:r>
      <w:r>
        <w:t>samochod</w:t>
      </w:r>
      <w:r w:rsidR="00FD56BA">
        <w:t>ami</w:t>
      </w:r>
      <w:r>
        <w:t>. Zostały na niego nałożone dwie grzywny na kwoty 240 724 548 drachm (około 706 455,019 euro) i 266 284,304 drachm (około 781 465,308 euro) (decyzja nr 33/96/1.3.2001). Grzywny stanowiły dwukrotność sumy z tytułu podatków i ceł należnych w związku z importem dwóch samochodów.</w:t>
      </w:r>
    </w:p>
    <w:p w14:paraId="49ABD987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30</w:t>
        </w:r>
      </w:fldSimple>
      <w:r>
        <w:t xml:space="preserve">.  Dnia 4 kwietnia 2001 roku, skarżący wniósł </w:t>
      </w:r>
      <w:r w:rsidR="00D452AB">
        <w:t>do</w:t>
      </w:r>
      <w:r>
        <w:t xml:space="preserve"> Sąd</w:t>
      </w:r>
      <w:r w:rsidR="00D452AB">
        <w:t>u</w:t>
      </w:r>
      <w:r>
        <w:t xml:space="preserve"> Administracyjn</w:t>
      </w:r>
      <w:r w:rsidR="00D452AB">
        <w:t>ego</w:t>
      </w:r>
      <w:r>
        <w:t xml:space="preserve"> w Pireusie s</w:t>
      </w:r>
      <w:r w:rsidR="00D452AB">
        <w:t>kargę</w:t>
      </w:r>
      <w:r>
        <w:t xml:space="preserve"> </w:t>
      </w:r>
      <w:r w:rsidR="00D452AB">
        <w:t>na</w:t>
      </w:r>
      <w:r>
        <w:t xml:space="preserve"> decyzj</w:t>
      </w:r>
      <w:r w:rsidR="00D452AB">
        <w:t>ę</w:t>
      </w:r>
      <w:r>
        <w:t xml:space="preserve"> nr 33/96/1.3.2001.</w:t>
      </w:r>
    </w:p>
    <w:p w14:paraId="60C4DFD7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31</w:t>
        </w:r>
      </w:fldSimple>
      <w:r>
        <w:t>.  W dniu 29 listopada 2002 roku, Sąd Administracyjny w Pireusie o</w:t>
      </w:r>
      <w:r w:rsidR="00156735">
        <w:t>drzucił skargę. Stwierdził on, ż</w:t>
      </w:r>
      <w:r>
        <w:t>e wyrok 36398/1998 wydany przez Sąd Karny w Atenach, który</w:t>
      </w:r>
      <w:r w:rsidR="00D46EBD">
        <w:t>m</w:t>
      </w:r>
      <w:r>
        <w:t xml:space="preserve"> uniewinni</w:t>
      </w:r>
      <w:r w:rsidR="00D46EBD">
        <w:t>ono</w:t>
      </w:r>
      <w:r>
        <w:t xml:space="preserve"> skarżącego od zarzutu przestępstwa przemytu nie jest wiążący dla sądów administracyjnych. Stwierdził też, że w przedmiotowej sprawie zarówno elementy materialne jak i te odnoszące się do zamiaru zostały </w:t>
      </w:r>
      <w:r w:rsidR="00F156ED">
        <w:t>spełnione</w:t>
      </w:r>
      <w:r>
        <w:t xml:space="preserve"> i niezależnie od tego czy skarżący był stałym rezydentem Grecji czy innego kraju, z akt sprawy wynika, że dopuścił się on podstęp</w:t>
      </w:r>
      <w:r w:rsidR="00083A5F">
        <w:t>u</w:t>
      </w:r>
      <w:r>
        <w:t>, między innymi zmian</w:t>
      </w:r>
      <w:r w:rsidR="0070195B">
        <w:t>y</w:t>
      </w:r>
      <w:r>
        <w:t xml:space="preserve"> tablic rejestracyjnych, w celu uniknięcia zapłaty należności celnych (decyzja nr 2814/2002).</w:t>
      </w:r>
    </w:p>
    <w:p w14:paraId="7BCC261A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32</w:t>
        </w:r>
      </w:fldSimple>
      <w:r>
        <w:t>.  Dnia 13 czerwca 2003 roku, skarżący wniósł apelację. Podniósł między innymi, że Sąd Administracyjny powinie</w:t>
      </w:r>
      <w:r w:rsidR="00A31CDD">
        <w:t>n zastosować właściwe przepisy n</w:t>
      </w:r>
      <w:r w:rsidR="00B3791D">
        <w:t>owego Kodeksu c</w:t>
      </w:r>
      <w:r>
        <w:t>elnego, któr</w:t>
      </w:r>
      <w:r w:rsidR="00B3791D">
        <w:t>e</w:t>
      </w:r>
      <w:r>
        <w:t xml:space="preserve"> przewid</w:t>
      </w:r>
      <w:r w:rsidR="00B3791D">
        <w:t>ywały</w:t>
      </w:r>
      <w:r>
        <w:t xml:space="preserve"> łagodniejsze kary za przemyt</w:t>
      </w:r>
      <w:r w:rsidR="00B3791D">
        <w:t xml:space="preserve"> </w:t>
      </w:r>
      <w:r>
        <w:t xml:space="preserve">niż </w:t>
      </w:r>
      <w:r w:rsidR="00B3791D">
        <w:t xml:space="preserve">przepisy </w:t>
      </w:r>
      <w:r>
        <w:t>poprzedni</w:t>
      </w:r>
      <w:r w:rsidR="00B3791D">
        <w:t>ego</w:t>
      </w:r>
      <w:r>
        <w:t xml:space="preserve"> Kodeks</w:t>
      </w:r>
      <w:r w:rsidR="00B3791D">
        <w:t>u</w:t>
      </w:r>
      <w:r w:rsidR="00E03A3F">
        <w:t>,</w:t>
      </w:r>
      <w:r>
        <w:t xml:space="preserve"> mając</w:t>
      </w:r>
      <w:r w:rsidR="00E03A3F">
        <w:t>ego</w:t>
      </w:r>
      <w:r>
        <w:t xml:space="preserve"> zastosowanie w chwili zajścia spornych zdarzeń. Zarzucał on również Sądowi Administracyjnemu, że nie wziął on pod uwagę wyroku uniewinniającego nr 36398/1998 i że nie zachował zasady proporcjonalności w ocenie grzywien administracyjnych, których sprawa dotyczy.</w:t>
      </w:r>
    </w:p>
    <w:p w14:paraId="61DE9BF8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33</w:t>
        </w:r>
      </w:fldSimple>
      <w:r>
        <w:t>.  Dnia 15 września 2008 roku, Apelacyjny Sąd Administracyjny w Pireusie odrzucił odwołanie i podtrzymał argumentację Sądu Administracyjnego. Jeżeli chodzi w szczególności o zarzut wywiedziony z zasady proporcjonalności odnośnie nałożonych na skarżącego kwot, Apelacyjny Sąd Administracyjny zauważył, że kwoty te wyn</w:t>
      </w:r>
      <w:r w:rsidR="00D8315D">
        <w:t xml:space="preserve">iosły </w:t>
      </w:r>
      <w:r>
        <w:t xml:space="preserve"> </w:t>
      </w:r>
      <w:r>
        <w:lastRenderedPageBreak/>
        <w:t>dwukrotność sumy jaką skarżący powinien uiścić z t</w:t>
      </w:r>
      <w:r w:rsidR="00156735">
        <w:t>ytułu opłat celnych i podatków oraz</w:t>
      </w:r>
      <w:r>
        <w:t xml:space="preserve"> że zasada proporcjonalności nie ma zastosowania w rozpatrywanym przypadku (wyrok nr 1461/2008).</w:t>
      </w:r>
    </w:p>
    <w:p w14:paraId="341261EB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34</w:t>
        </w:r>
      </w:fldSimple>
      <w:r>
        <w:t xml:space="preserve">.  Dnia 20 listopada 2009 roku, skarżący wniósł skargę kasacyjną przeciwko wyrokowi nr 1461/2008. Podnosił w niej między innymi, że wyrok Apelacyjnego Sądu Administracyjnego narusza zasady domniemania niewinności zawartej w zasadzie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t xml:space="preserve"> oraz działania wstecz łagodniejszej kar</w:t>
      </w:r>
      <w:r w:rsidR="001C56F0">
        <w:t>y</w:t>
      </w:r>
      <w:r>
        <w:t>.</w:t>
      </w:r>
    </w:p>
    <w:p w14:paraId="404352A2" w14:textId="77777777" w:rsidR="003C2419" w:rsidRDefault="003C2419" w:rsidP="003C2419">
      <w:pPr>
        <w:pStyle w:val="ECHRPara"/>
        <w:rPr>
          <w:rFonts w:eastAsia="MS Mincho"/>
          <w:szCs w:val="24"/>
        </w:rPr>
      </w:pPr>
      <w:fldSimple w:instr=" SEQ level0 \*arabic ">
        <w:r w:rsidR="00355195">
          <w:rPr>
            <w:noProof/>
          </w:rPr>
          <w:t>35</w:t>
        </w:r>
      </w:fldSimple>
      <w:r>
        <w:t>.  Dnia 19 lutego 2012 roku, Rada Stanu odrzuciła odwołanie. Odnosząc się do artykułu 13</w:t>
      </w:r>
      <w:r w:rsidR="00A31CDD">
        <w:t>7 Γ. § 7 (ustawy nr 2960/2001) n</w:t>
      </w:r>
      <w:r w:rsidR="00EE71DA">
        <w:t>owego Kodeksu c</w:t>
      </w:r>
      <w:r>
        <w:t xml:space="preserve">elnego, podniosła, że w badanym przypadku nie </w:t>
      </w:r>
      <w:r w:rsidR="00EE71DA">
        <w:t>było</w:t>
      </w:r>
      <w:r>
        <w:t xml:space="preserve"> żadnego powodu do jego zastosowania</w:t>
      </w:r>
      <w:r w:rsidR="00156735">
        <w:t>,</w:t>
      </w:r>
      <w:r>
        <w:t xml:space="preserve"> ponieważ przewiduje on ten sam </w:t>
      </w:r>
      <w:r w:rsidR="00903F5E">
        <w:t>reżim prawny</w:t>
      </w:r>
      <w:r>
        <w:t xml:space="preserve"> i taką samą sankcję jak dawny Kodeks </w:t>
      </w:r>
      <w:r w:rsidR="00690184">
        <w:t>c</w:t>
      </w:r>
      <w:r>
        <w:t>elny odnośnie importu pojazdów be</w:t>
      </w:r>
      <w:r w:rsidR="00BD041C">
        <w:t>z opłacenia należnych podatków oraz</w:t>
      </w:r>
      <w:r>
        <w:t xml:space="preserve"> ceł </w:t>
      </w:r>
      <w:r w:rsidR="00690184">
        <w:t>oraz</w:t>
      </w:r>
      <w:r>
        <w:t xml:space="preserve"> użycia podstęp</w:t>
      </w:r>
      <w:r w:rsidR="00690184">
        <w:t>ów</w:t>
      </w:r>
      <w:r>
        <w:t>. Rada Stanu podsumowała, że rozpatrywana decyzja nie mogła zostać, jak to utrzymywał skarżący, zakwalifikowana jako zwykł</w:t>
      </w:r>
      <w:r w:rsidR="005266ED">
        <w:t>e</w:t>
      </w:r>
      <w:r>
        <w:t xml:space="preserve"> </w:t>
      </w:r>
      <w:r w:rsidR="005266ED">
        <w:t>wykroczenie</w:t>
      </w:r>
      <w:r>
        <w:t xml:space="preserve"> celn</w:t>
      </w:r>
      <w:r w:rsidR="005266ED">
        <w:t>e</w:t>
      </w:r>
      <w:r>
        <w:t xml:space="preserve"> </w:t>
      </w:r>
      <w:r w:rsidR="005266ED">
        <w:t>według</w:t>
      </w:r>
      <w:r>
        <w:t xml:space="preserve"> nowego Kodeksu. Ponadto, </w:t>
      </w:r>
      <w:r w:rsidR="005266ED">
        <w:t>najwyższa instancja administracyjna</w:t>
      </w:r>
      <w:r>
        <w:t xml:space="preserve"> przyznał</w:t>
      </w:r>
      <w:r w:rsidR="005266ED">
        <w:t>a</w:t>
      </w:r>
      <w:r>
        <w:t xml:space="preserve">, że postępowanie administracyjne dotyczące nałożenia grzywien administracyjnych za przemyt jest autonomiczne w stosunku do postępowania karnego z tego tytułu. Zdaniem Rady Stanu, ze względu na autonomię tych dwóch postępowań, sądy administracyjne nie były związane przez </w:t>
      </w:r>
      <w:r w:rsidR="007650A7">
        <w:t>ustalenia s</w:t>
      </w:r>
      <w:r>
        <w:t>ąd</w:t>
      </w:r>
      <w:r w:rsidR="007650A7">
        <w:t>ów</w:t>
      </w:r>
      <w:r>
        <w:t xml:space="preserve"> </w:t>
      </w:r>
      <w:r w:rsidR="007650A7">
        <w:t>k</w:t>
      </w:r>
      <w:r>
        <w:t>arny</w:t>
      </w:r>
      <w:r w:rsidR="007650A7">
        <w:t>ch</w:t>
      </w:r>
      <w:r>
        <w:t xml:space="preserve"> w razie uniewinnienia </w:t>
      </w:r>
      <w:r w:rsidR="00B5068C">
        <w:t>danej osoby</w:t>
      </w:r>
      <w:r>
        <w:t>. Rada Stanu odwołała się do orzecznictwa Trybunału w kwestii domniemania niewinności</w:t>
      </w:r>
      <w:r w:rsidR="000F67F8">
        <w:t>,</w:t>
      </w:r>
      <w:r>
        <w:t xml:space="preserve"> a w szczególności do wyroku </w:t>
      </w:r>
      <w:proofErr w:type="spellStart"/>
      <w:r>
        <w:rPr>
          <w:i/>
        </w:rPr>
        <w:t>Vassilios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Stavropoulos</w:t>
      </w:r>
      <w:proofErr w:type="spellEnd"/>
      <w:r>
        <w:rPr>
          <w:i/>
        </w:rPr>
        <w:t xml:space="preserve"> przeciwko Grecji</w:t>
      </w:r>
      <w:r>
        <w:t xml:space="preserve"> (nr 35522/04, 27 września 2007). Rada uznała, że to orzecznictwo nie może znaleźć zastosowania w przypadku, gdzie </w:t>
      </w:r>
      <w:r w:rsidR="003025CD">
        <w:t xml:space="preserve">czyn </w:t>
      </w:r>
      <w:r>
        <w:t>zarzucan</w:t>
      </w:r>
      <w:r w:rsidR="003025CD">
        <w:t>y</w:t>
      </w:r>
      <w:r>
        <w:t xml:space="preserve"> podsądnemu stanowi jednocześnie </w:t>
      </w:r>
      <w:r w:rsidR="00763B26">
        <w:t>przestępstwo</w:t>
      </w:r>
      <w:r>
        <w:t xml:space="preserve"> karn</w:t>
      </w:r>
      <w:r w:rsidR="00763B26">
        <w:t>e</w:t>
      </w:r>
      <w:r>
        <w:t xml:space="preserve"> jak i administracyjn</w:t>
      </w:r>
      <w:r w:rsidR="00763B26">
        <w:t>e</w:t>
      </w:r>
      <w:r>
        <w:t>. Według</w:t>
      </w:r>
      <w:r w:rsidR="007B5F5D">
        <w:t xml:space="preserve"> najwyższej instancji administracyjnej</w:t>
      </w:r>
      <w:r>
        <w:t xml:space="preserve"> ta sytuacja wymaga</w:t>
      </w:r>
      <w:r w:rsidR="00687F71">
        <w:t>ła</w:t>
      </w:r>
      <w:r>
        <w:t xml:space="preserve"> raczej postawienia pytania w odniesieniu do zasady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rPr>
          <w:i/>
        </w:rPr>
        <w:t xml:space="preserve">. </w:t>
      </w:r>
      <w:r>
        <w:t>Ponadto, Rada przyznała</w:t>
      </w:r>
      <w:r w:rsidR="00BD041C">
        <w:t>,</w:t>
      </w:r>
      <w:r>
        <w:t xml:space="preserve"> że w każdym przypadku </w:t>
      </w:r>
      <w:r w:rsidR="004721C9">
        <w:t>s</w:t>
      </w:r>
      <w:r>
        <w:t xml:space="preserve">ąd </w:t>
      </w:r>
      <w:r w:rsidR="004721C9">
        <w:t>a</w:t>
      </w:r>
      <w:r>
        <w:t>dministracyjny pozostaje kompetentny do rozpatrzenia danej sprawy, opi</w:t>
      </w:r>
      <w:r w:rsidR="00BD041C">
        <w:t>erając się na innych elementach</w:t>
      </w:r>
      <w:r>
        <w:t xml:space="preserve"> niż te</w:t>
      </w:r>
      <w:r w:rsidR="00BD041C">
        <w:t>,</w:t>
      </w:r>
      <w:r>
        <w:t xml:space="preserve"> które zostały podniesione przez sąd karny. W przeciwnym razie, </w:t>
      </w:r>
      <w:r w:rsidR="00DA7B9C">
        <w:t>s</w:t>
      </w:r>
      <w:r>
        <w:t xml:space="preserve">ąd </w:t>
      </w:r>
      <w:r w:rsidR="00DA7B9C">
        <w:t>a</w:t>
      </w:r>
      <w:r>
        <w:t xml:space="preserve">dministracyjny byłby pozbawiony możliwości, która została mu powierzona przez Konstytucję, badania tej kategorii spraw leżących w zakresie jego kompetencji. W rozpatrywanej sprawie Rada Stanu uznała, że Apelacyjny Sąd Administracyjny wziął pod uwagę wyrok nr 36398/1998, bez </w:t>
      </w:r>
      <w:r w:rsidR="0053505B">
        <w:t>wiązania się</w:t>
      </w:r>
      <w:r>
        <w:t xml:space="preserve"> jego ustaleniami i w wystarczający sposób uzasadnił swoją decyzję stwierdzającą, że skarżący popełnił przestępstwo przemytu (wyrok nr 3457/2012). Ten wyrok został wydany na piśmie i uwierzytelniony dnia 16 stycznia 2013 roku.</w:t>
      </w:r>
    </w:p>
    <w:p w14:paraId="71C5D7A8" w14:textId="77777777" w:rsidR="003C2419" w:rsidRDefault="003C2419" w:rsidP="003C2419">
      <w:pPr>
        <w:pStyle w:val="ECHRHeading1"/>
        <w:rPr>
          <w:rFonts w:eastAsia="MS Gothic"/>
        </w:rPr>
      </w:pPr>
      <w:r>
        <w:lastRenderedPageBreak/>
        <w:t>II.  </w:t>
      </w:r>
      <w:r w:rsidR="000707F8">
        <w:t xml:space="preserve">WŁAŚCIWE </w:t>
      </w:r>
      <w:r>
        <w:t>PRAWO KRAJOWE I PRAKTYKA</w:t>
      </w:r>
    </w:p>
    <w:p w14:paraId="4DEF3AD2" w14:textId="77777777" w:rsidR="003C2419" w:rsidRDefault="003C2419" w:rsidP="003C2419">
      <w:pPr>
        <w:pStyle w:val="ECHRHeading2"/>
        <w:rPr>
          <w:rFonts w:eastAsia="MS Gothic"/>
        </w:rPr>
      </w:pPr>
      <w:r>
        <w:t>A.  Prawo krajowe</w:t>
      </w:r>
    </w:p>
    <w:p w14:paraId="6DB06E9E" w14:textId="77777777" w:rsidR="003C2419" w:rsidRDefault="003C2419" w:rsidP="003C2419">
      <w:pPr>
        <w:pStyle w:val="ECHRHeading3"/>
        <w:rPr>
          <w:rFonts w:eastAsia="MS Gothic"/>
        </w:rPr>
      </w:pPr>
      <w:r>
        <w:t>1.  Konstytucja</w:t>
      </w:r>
    </w:p>
    <w:p w14:paraId="2490858E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36</w:t>
        </w:r>
      </w:fldSimple>
      <w:r>
        <w:t>.  Artykuł 94 § 1 Konstytucji greckiej stanowi że "Spory administracyjne są rozpatrywane przez powszechne sądy administracyjne oraz Radę Stanu, zgodnie z obowiązującym prawem". Z kolei artykuł 96 § 1 Konstytucji stanowi że "do kompetencji powszechnych sądów karnych należy karanie za przestępstwa i podejmowanie wszelkich środków przepisanych przez ustawy karne".</w:t>
      </w:r>
    </w:p>
    <w:p w14:paraId="5760707A" w14:textId="77777777" w:rsidR="003C2419" w:rsidRDefault="003C2419" w:rsidP="003C2419">
      <w:pPr>
        <w:pStyle w:val="ECHRHeading3"/>
        <w:rPr>
          <w:rFonts w:eastAsia="MS Gothic"/>
        </w:rPr>
      </w:pPr>
      <w:r>
        <w:t>2.  Właściwe prawodawstwo</w:t>
      </w:r>
    </w:p>
    <w:p w14:paraId="29C7D4A2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37</w:t>
        </w:r>
      </w:fldSimple>
      <w:r>
        <w:t xml:space="preserve">.  Zgodnie z ustawą nr 2081/1939 sądy karne zostały wskazane jako jedyny porządek jurysdykcyjny właściwy do ścigania przestępstwa przemytu i </w:t>
      </w:r>
      <w:r w:rsidR="00380688">
        <w:t>rozpoznawania</w:t>
      </w:r>
      <w:r>
        <w:t xml:space="preserve"> wniosków o odszkodowanie ze strony Państwa. Następnie, ustawa nr 1514/1950, wprowadzająca zmiany do ustawy nr 1165/1918 ponownie wprowadziła grzywnę administracyjną (</w:t>
      </w:r>
      <w:r>
        <w:rPr>
          <w:i/>
        </w:rPr>
        <w:t>π</w:t>
      </w:r>
      <w:proofErr w:type="spellStart"/>
      <w:r>
        <w:rPr>
          <w:i/>
        </w:rPr>
        <w:t>ολλ</w:t>
      </w:r>
      <w:proofErr w:type="spellEnd"/>
      <w:r>
        <w:rPr>
          <w:i/>
        </w:rPr>
        <w:t xml:space="preserve">απλούν </w:t>
      </w:r>
      <w:proofErr w:type="spellStart"/>
      <w:r>
        <w:rPr>
          <w:i/>
        </w:rPr>
        <w:t>τέλος</w:t>
      </w:r>
      <w:proofErr w:type="spellEnd"/>
      <w:r>
        <w:t>) za przestępstwo przemytu.</w:t>
      </w:r>
    </w:p>
    <w:p w14:paraId="72351C4C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38</w:t>
        </w:r>
      </w:fldSimple>
      <w:r>
        <w:t>.  Odpowiednie przepis</w:t>
      </w:r>
      <w:r w:rsidR="00835318">
        <w:t>y ustawy nr 1165/1918 (Kodeks c</w:t>
      </w:r>
      <w:r>
        <w:t>eln</w:t>
      </w:r>
      <w:r w:rsidR="00835318">
        <w:t>y</w:t>
      </w:r>
      <w:r>
        <w:t>), w kształcie mającym zastosowanie w tamtym czasie stanowią co następuje:</w:t>
      </w:r>
    </w:p>
    <w:p w14:paraId="7A8B7A74" w14:textId="77777777" w:rsidR="003C2419" w:rsidRPr="000D3564" w:rsidRDefault="003C2419" w:rsidP="003C2419">
      <w:pPr>
        <w:pStyle w:val="ECHRTitleCentre3"/>
        <w:rPr>
          <w:rFonts w:eastAsia="MS Mincho"/>
        </w:rPr>
      </w:pPr>
      <w:r>
        <w:t>Artykuł 89</w:t>
      </w:r>
    </w:p>
    <w:p w14:paraId="53E5B517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"(...)</w:t>
      </w:r>
    </w:p>
    <w:p w14:paraId="2E61246C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2.  Jako przestępstwa celn</w:t>
      </w:r>
      <w:r w:rsidR="009F3CC3">
        <w:t>e</w:t>
      </w:r>
      <w:r>
        <w:t xml:space="preserve"> są również kwalifikowane wszelkie sposoby, spośród tych przewidzianych przez artykuł 100, unikania lub prób</w:t>
      </w:r>
      <w:r w:rsidR="00F66E24">
        <w:t>y</w:t>
      </w:r>
      <w:r>
        <w:t xml:space="preserve"> unikania zapłaty podatków i należności przysługujących Państwu, a także fakt nie przestrzegania procedury przewidzianej przez artykuł 100. Winni </w:t>
      </w:r>
      <w:r w:rsidR="004F7F10">
        <w:t>zostają skazani na</w:t>
      </w:r>
      <w:r>
        <w:t xml:space="preserve"> zapłat</w:t>
      </w:r>
      <w:r w:rsidR="004F7F10">
        <w:t>ę</w:t>
      </w:r>
      <w:r>
        <w:t xml:space="preserve"> grzywny </w:t>
      </w:r>
      <w:r>
        <w:rPr>
          <w:i/>
        </w:rPr>
        <w:t>(π</w:t>
      </w:r>
      <w:proofErr w:type="spellStart"/>
      <w:r>
        <w:rPr>
          <w:i/>
        </w:rPr>
        <w:t>ολλ</w:t>
      </w:r>
      <w:proofErr w:type="spellEnd"/>
      <w:r>
        <w:rPr>
          <w:i/>
        </w:rPr>
        <w:t xml:space="preserve">απλούν </w:t>
      </w:r>
      <w:proofErr w:type="spellStart"/>
      <w:r>
        <w:rPr>
          <w:i/>
        </w:rPr>
        <w:t>τέλος</w:t>
      </w:r>
      <w:proofErr w:type="spellEnd"/>
      <w:r>
        <w:rPr>
          <w:i/>
        </w:rPr>
        <w:t xml:space="preserve">) </w:t>
      </w:r>
      <w:r>
        <w:t xml:space="preserve">ustalonej według przepisów niniejszej ustawy, nawet w przypadku, kiedy </w:t>
      </w:r>
      <w:r w:rsidR="004F7F10">
        <w:t>konstytutywne</w:t>
      </w:r>
      <w:r>
        <w:t xml:space="preserve"> elementy przestępstwa przemy</w:t>
      </w:r>
      <w:r w:rsidR="004F7F10">
        <w:t>tu nie zostały spełnione</w:t>
      </w:r>
      <w:r>
        <w:t>. "</w:t>
      </w:r>
    </w:p>
    <w:p w14:paraId="5FBF20BE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(...)</w:t>
      </w:r>
    </w:p>
    <w:p w14:paraId="42580D3D" w14:textId="77777777" w:rsidR="003C2419" w:rsidRPr="000D3564" w:rsidRDefault="003C2419" w:rsidP="003C2419">
      <w:pPr>
        <w:pStyle w:val="ECHRTitleCentre3"/>
      </w:pPr>
      <w:r>
        <w:t>Artykuł 97</w:t>
      </w:r>
    </w:p>
    <w:p w14:paraId="4700AC6F" w14:textId="77777777" w:rsidR="003C2419" w:rsidRDefault="003C2419" w:rsidP="003C2419">
      <w:pPr>
        <w:pStyle w:val="ECHRParaQuote"/>
        <w:rPr>
          <w:rFonts w:eastAsia="MS Mincho"/>
        </w:rPr>
      </w:pPr>
      <w:r>
        <w:t>"(...)</w:t>
      </w:r>
    </w:p>
    <w:p w14:paraId="7FE3FEE7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3.  Nakłada się grzywnę (</w:t>
      </w:r>
      <w:r>
        <w:rPr>
          <w:i/>
        </w:rPr>
        <w:t>π</w:t>
      </w:r>
      <w:proofErr w:type="spellStart"/>
      <w:r>
        <w:rPr>
          <w:i/>
        </w:rPr>
        <w:t>ολλ</w:t>
      </w:r>
      <w:proofErr w:type="spellEnd"/>
      <w:r>
        <w:rPr>
          <w:i/>
        </w:rPr>
        <w:t xml:space="preserve">απλούν </w:t>
      </w:r>
      <w:proofErr w:type="spellStart"/>
      <w:r>
        <w:rPr>
          <w:i/>
        </w:rPr>
        <w:t>τέλος</w:t>
      </w:r>
      <w:proofErr w:type="spellEnd"/>
      <w:r>
        <w:t xml:space="preserve">) w wysokości oscylującej pomiędzy dwukrotnością a dziesięciokrotnością opłat celnych, podatkowych i innych należności </w:t>
      </w:r>
      <w:r w:rsidR="00B721CE">
        <w:t xml:space="preserve">należnych </w:t>
      </w:r>
      <w:r>
        <w:t xml:space="preserve">z tytułu zarzucanego wykroczenia, indywidualnie </w:t>
      </w:r>
      <w:r w:rsidR="00C110FE">
        <w:t>i</w:t>
      </w:r>
      <w:r>
        <w:t xml:space="preserve"> </w:t>
      </w:r>
      <w:r w:rsidR="00C110FE">
        <w:t>wspólnie</w:t>
      </w:r>
      <w:r w:rsidR="00B0093B">
        <w:t>, na każdą osobę biorącą udział</w:t>
      </w:r>
      <w:r>
        <w:t xml:space="preserve"> w przestępstw</w:t>
      </w:r>
      <w:r w:rsidR="00B0093B">
        <w:t>ie</w:t>
      </w:r>
      <w:r>
        <w:t xml:space="preserve"> celn</w:t>
      </w:r>
      <w:r w:rsidR="00B0093B">
        <w:t>ym</w:t>
      </w:r>
      <w:r>
        <w:t xml:space="preserve"> opisan</w:t>
      </w:r>
      <w:r w:rsidR="00B0093B">
        <w:t>ym</w:t>
      </w:r>
      <w:r>
        <w:t xml:space="preserve"> w artykule 89 § 2, w zależności od stopnia jej udziału. Grzywna, o której mowa jest nakładana niezależnie od odpowiedzialności karnej osób popełniających przestępstwo. "</w:t>
      </w:r>
    </w:p>
    <w:p w14:paraId="68B6E94A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(...)</w:t>
      </w:r>
    </w:p>
    <w:p w14:paraId="4C20A202" w14:textId="77777777" w:rsidR="003C2419" w:rsidRDefault="003C2419" w:rsidP="003C2419">
      <w:pPr>
        <w:pStyle w:val="ECHRTitleCentre3"/>
        <w:rPr>
          <w:rFonts w:eastAsia="MS Mincho"/>
        </w:rPr>
      </w:pPr>
      <w:r>
        <w:lastRenderedPageBreak/>
        <w:t>Artykuł 102</w:t>
      </w:r>
    </w:p>
    <w:p w14:paraId="1AF416AC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 xml:space="preserve">" 1.  Przestępstwo przemytu, w rozumieniu artykułu 100 podlega karze a) więzienia w wymiarze co najmniej sześciu miesięcy. Jednakże, kiedy przedmiot przemytu nie </w:t>
      </w:r>
      <w:r w:rsidR="00FF0D95">
        <w:t>jest istotny</w:t>
      </w:r>
      <w:r>
        <w:t xml:space="preserve"> lub kiedy jest przeznaczony do użytku osobistego przez osobę popełniającą przestępstwo, minimalny wymiar kary zostaje zmniejszony o połowę.</w:t>
      </w:r>
    </w:p>
    <w:p w14:paraId="21168633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(...) "</w:t>
      </w:r>
    </w:p>
    <w:p w14:paraId="78271177" w14:textId="77777777" w:rsidR="003C2419" w:rsidRDefault="003C2419" w:rsidP="003C2419">
      <w:pPr>
        <w:pStyle w:val="ECHRTitleCentre3"/>
        <w:rPr>
          <w:rFonts w:eastAsia="MS Mincho"/>
        </w:rPr>
      </w:pPr>
      <w:r>
        <w:t>Artykuł 103</w:t>
      </w:r>
    </w:p>
    <w:p w14:paraId="0DD5F240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"Nie wszczyna się postępowania karnego, jeżeli kwota z tytułu c</w:t>
      </w:r>
      <w:r w:rsidR="00B721CE">
        <w:t>e</w:t>
      </w:r>
      <w:r>
        <w:t>ł, podatków lub innych należn</w:t>
      </w:r>
      <w:r w:rsidR="00B721CE">
        <w:t>ości na rzecz Państwa, odnosząca</w:t>
      </w:r>
      <w:r>
        <w:t xml:space="preserve"> </w:t>
      </w:r>
      <w:r w:rsidR="00B721CE">
        <w:t>się do przemytu nie przekracza</w:t>
      </w:r>
      <w:r>
        <w:t xml:space="preserve"> 5 000 000 drachm [około 15 000 euro] (...) "</w:t>
      </w:r>
    </w:p>
    <w:p w14:paraId="63BB4A01" w14:textId="77777777" w:rsidR="003C2419" w:rsidRPr="000F1243" w:rsidRDefault="003C2419" w:rsidP="003C2419">
      <w:pPr>
        <w:pStyle w:val="ECHRPara"/>
        <w:rPr>
          <w:rFonts w:eastAsia="MS Mincho"/>
          <w:lang w:bidi="en-US"/>
        </w:rPr>
      </w:pPr>
      <w:fldSimple w:instr=" SEQ level0 \*arabic ">
        <w:r w:rsidR="00355195">
          <w:rPr>
            <w:noProof/>
          </w:rPr>
          <w:t>39</w:t>
        </w:r>
      </w:fldSimple>
      <w:r>
        <w:t>.  Artykuł 137 Γ. § 7 ustawy nr 2960/2001 stanowi co następuje :</w:t>
      </w:r>
    </w:p>
    <w:p w14:paraId="2312F084" w14:textId="77777777" w:rsidR="003C2419" w:rsidRPr="000F1243" w:rsidRDefault="003C2419" w:rsidP="003C2419">
      <w:pPr>
        <w:pStyle w:val="ECHRParaQuote"/>
        <w:rPr>
          <w:rFonts w:eastAsia="MS Mincho"/>
          <w:lang w:bidi="en-US"/>
        </w:rPr>
      </w:pPr>
      <w:r>
        <w:t xml:space="preserve">" Dyspozycje (...) dotyczące przemytu zawarte w artykułach 142 i następnych niniejszego Kodeksu mają zastosowanie w przypadkach </w:t>
      </w:r>
      <w:r w:rsidR="008E090D">
        <w:t>podania nieprawdziwych danych</w:t>
      </w:r>
      <w:r>
        <w:t xml:space="preserve"> lub użycia podstępu, </w:t>
      </w:r>
      <w:r w:rsidR="008E090D">
        <w:t xml:space="preserve">w szczególności </w:t>
      </w:r>
      <w:r>
        <w:t>mają</w:t>
      </w:r>
      <w:r w:rsidR="008E090D">
        <w:t>cych</w:t>
      </w:r>
      <w:r>
        <w:t xml:space="preserve"> za skutek nie zapłacenie lub  częściowe zapłacenie należnych podatków lub ceł. "</w:t>
      </w:r>
    </w:p>
    <w:p w14:paraId="28A1BDDD" w14:textId="77777777" w:rsidR="003C2419" w:rsidRDefault="003C2419" w:rsidP="003C2419">
      <w:pPr>
        <w:pStyle w:val="ECHRPara"/>
        <w:rPr>
          <w:rFonts w:eastAsia="MS Mincho"/>
          <w:lang w:bidi="en-US"/>
        </w:rPr>
      </w:pPr>
      <w:fldSimple w:instr=" SEQ level0 \*arabic ">
        <w:r w:rsidR="00355195">
          <w:rPr>
            <w:noProof/>
          </w:rPr>
          <w:t>40</w:t>
        </w:r>
      </w:fldSimple>
      <w:r w:rsidR="00F1455A">
        <w:t>.  Artykuł 5 Kodeksu p</w:t>
      </w:r>
      <w:r>
        <w:t xml:space="preserve">ostępowania </w:t>
      </w:r>
      <w:r w:rsidR="00F1455A">
        <w:t>a</w:t>
      </w:r>
      <w:r>
        <w:t>dministracyjnego (ustawa nr 2717/1999) stanowi:</w:t>
      </w:r>
    </w:p>
    <w:p w14:paraId="5FFD8CD1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" 1.  Sądy [administracyjne] są związane decyzjami innych sądów administracyjnych o ile te decyzje korzystają z powagi rzeczy osądzonej, w rozumieniu właściwych przepisów.</w:t>
      </w:r>
    </w:p>
    <w:p w14:paraId="1D101D59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2.  Sądy [administracyjne] są także związane decyzjami sądów cywilnych, które zgodnie z właściwymi przepisami mają zastosowanie wobec wszystkich oraz decyzjami skazującymi i ostatecznymi sądów karnych w kwestii winy osoby popełniającej przestępstwo. "</w:t>
      </w:r>
    </w:p>
    <w:p w14:paraId="0E4296A2" w14:textId="77777777" w:rsidR="003C2419" w:rsidRDefault="003C2419" w:rsidP="003C2419">
      <w:pPr>
        <w:pStyle w:val="ECHRPara"/>
        <w:rPr>
          <w:rFonts w:eastAsia="MS Mincho"/>
          <w:lang w:bidi="en-US"/>
        </w:rPr>
      </w:pPr>
      <w:fldSimple w:instr=" SEQ level0 \*arabic ">
        <w:r w:rsidR="00355195">
          <w:rPr>
            <w:noProof/>
          </w:rPr>
          <w:t>41</w:t>
        </w:r>
      </w:fldSimple>
      <w:r>
        <w:t xml:space="preserve">.  Odpowiednie przepisy Kodeksu </w:t>
      </w:r>
      <w:r w:rsidR="00F1455A">
        <w:t>p</w:t>
      </w:r>
      <w:r>
        <w:t xml:space="preserve">ostępowania </w:t>
      </w:r>
      <w:r w:rsidR="00F1455A">
        <w:t>k</w:t>
      </w:r>
      <w:r>
        <w:t>arnego, przewidują co następuje:</w:t>
      </w:r>
    </w:p>
    <w:p w14:paraId="2B997A47" w14:textId="77777777" w:rsidR="003C2419" w:rsidRDefault="003C2419" w:rsidP="003C2419">
      <w:pPr>
        <w:pStyle w:val="ECHRTitleCentre3"/>
        <w:rPr>
          <w:rFonts w:eastAsia="MS Mincho"/>
        </w:rPr>
      </w:pPr>
      <w:r>
        <w:t>Artykuł 473</w:t>
      </w:r>
    </w:p>
    <w:p w14:paraId="39F4BCD3" w14:textId="77777777" w:rsidR="003C2419" w:rsidRDefault="003C2419" w:rsidP="003C2419">
      <w:pPr>
        <w:pStyle w:val="ECHRParaQuote"/>
      </w:pPr>
      <w:r>
        <w:t xml:space="preserve">" 1.  W przypadku, kiedy ustawa nie przewiduje konkretnego terminu, termin do wniesienia </w:t>
      </w:r>
      <w:r w:rsidR="00CF6AC8">
        <w:t>wewnętrznego</w:t>
      </w:r>
      <w:r>
        <w:t xml:space="preserve"> środka odwoławczego wynosi dziesięć dni licząc od dnia ogłoszenia wyroku. Jeżeli osoba zainteresowana nie jest obecna na ogłoszeniu wyroku, wyżej wspomniany termin również wynosi dziesięć dni, z wyjątkiem przypadku, kiedy osoba ta </w:t>
      </w:r>
      <w:r w:rsidR="003C687E">
        <w:t xml:space="preserve">zamieszkuje </w:t>
      </w:r>
      <w:r>
        <w:t>za granicą lub miejsce jej zamieszkania nie jest znane; w takim przypadku termin ten wynosi trzydzieści dni i biegnie licząc od dnia powiadomienia o orzeczeniu (...).</w:t>
      </w:r>
    </w:p>
    <w:p w14:paraId="7CFCCBFB" w14:textId="77777777" w:rsidR="003C2419" w:rsidRPr="009A0B2E" w:rsidRDefault="003C2419" w:rsidP="003C2419">
      <w:pPr>
        <w:pStyle w:val="ECHRParaQuote"/>
      </w:pPr>
      <w:r>
        <w:t xml:space="preserve">2.  Skarga kasacyjna przeciwko decyzji skazującej może być złożona przez osobę skazaną (...) w terminie dwudziestu </w:t>
      </w:r>
      <w:r w:rsidR="00842224">
        <w:t xml:space="preserve">dni, którego początek ma miejsce tak </w:t>
      </w:r>
      <w:r>
        <w:t xml:space="preserve">jak </w:t>
      </w:r>
      <w:r w:rsidR="00842224">
        <w:t xml:space="preserve">to </w:t>
      </w:r>
      <w:r>
        <w:t>wskazano w paragrafie 1 (...).</w:t>
      </w:r>
    </w:p>
    <w:p w14:paraId="092A5A84" w14:textId="77777777" w:rsidR="003C2419" w:rsidRPr="009A0B2E" w:rsidRDefault="003C2419" w:rsidP="003C2419">
      <w:pPr>
        <w:pStyle w:val="ECHRParaQuote"/>
      </w:pPr>
      <w:r>
        <w:t>3.  Termin do wniesienia skargi kasacyjnej biegnie począwszy od czasu transkrypcji ostatecznej</w:t>
      </w:r>
      <w:r w:rsidR="003C719F">
        <w:t xml:space="preserve"> decyzji, wydania jej na piśmie, </w:t>
      </w:r>
      <w:r>
        <w:t>w specjalnym rejestrze kancelarii sądu karnego. Decyzja musi być wydana na piśmie w terminie pię</w:t>
      </w:r>
      <w:r w:rsidR="00842224">
        <w:t>tnastu dni, w przeciwnym razie P</w:t>
      </w:r>
      <w:r>
        <w:t>rzewodniczący sądu karnego pon</w:t>
      </w:r>
      <w:r w:rsidR="003C719F">
        <w:t>osi</w:t>
      </w:r>
      <w:r>
        <w:t xml:space="preserve"> odpowiedzialność dyscyplinarną. "</w:t>
      </w:r>
    </w:p>
    <w:p w14:paraId="38DF36DF" w14:textId="77777777" w:rsidR="003C2419" w:rsidRDefault="003C2419" w:rsidP="003C2419">
      <w:pPr>
        <w:pStyle w:val="ECHRTitleCentre3"/>
        <w:rPr>
          <w:rFonts w:eastAsia="MS Mincho"/>
        </w:rPr>
      </w:pPr>
      <w:r>
        <w:lastRenderedPageBreak/>
        <w:t>Artykuł 486 § 1</w:t>
      </w:r>
    </w:p>
    <w:p w14:paraId="6648D656" w14:textId="77777777" w:rsidR="003C2419" w:rsidRDefault="003C2419" w:rsidP="003C2419">
      <w:pPr>
        <w:pStyle w:val="ECHRParaQuote"/>
      </w:pPr>
      <w:r>
        <w:t xml:space="preserve">"Jeżeli chodzi o </w:t>
      </w:r>
      <w:r w:rsidR="006240CD">
        <w:t>przestępstwa</w:t>
      </w:r>
      <w:r>
        <w:t>, apelacja od wyroku uniewinniającego (...) może być wniesiona : a) przez oskarżonego, jeżeli został uniewinniony z uwagi na wysiłki na rzecz naprawienia spowodowanej szkody (...) ; b) jeżeli ten</w:t>
      </w:r>
      <w:r w:rsidR="00842224">
        <w:t>,</w:t>
      </w:r>
      <w:r>
        <w:t xml:space="preserve"> który wniósł skargę został skazany na zapłatę odszkodowania pieniężnego i na pokrycie kosztów postępowania c) przez prokuratora przy sądzie karnym przeciwko wyrokom sądów policyjnych lub sądów karnych (...) oraz </w:t>
      </w:r>
      <w:r w:rsidR="00D91C18">
        <w:t xml:space="preserve">przez </w:t>
      </w:r>
      <w:r>
        <w:t>prokurator</w:t>
      </w:r>
      <w:r w:rsidR="00D91C18">
        <w:t>a</w:t>
      </w:r>
      <w:r>
        <w:t xml:space="preserve"> przy sądzie apelacyjnym przeciwko wyrokom sądów karnych podlegających jego kompetencji ;</w:t>
      </w:r>
    </w:p>
    <w:p w14:paraId="13538C78" w14:textId="77777777" w:rsidR="003C2419" w:rsidRPr="009A0B2E" w:rsidRDefault="003C2419" w:rsidP="003C2419">
      <w:pPr>
        <w:pStyle w:val="ECHRParaQuote"/>
      </w:pPr>
      <w:r>
        <w:rPr>
          <w:sz w:val="18"/>
        </w:rPr>
        <w:t>(...) "</w:t>
      </w:r>
    </w:p>
    <w:p w14:paraId="0740884D" w14:textId="77777777" w:rsidR="003C2419" w:rsidRDefault="003C2419" w:rsidP="003C2419">
      <w:pPr>
        <w:pStyle w:val="ECHRTitleCentre3"/>
        <w:rPr>
          <w:rFonts w:eastAsia="MS Mincho"/>
        </w:rPr>
      </w:pPr>
      <w:r>
        <w:t>Artykuł 506</w:t>
      </w:r>
    </w:p>
    <w:p w14:paraId="51B9A7FF" w14:textId="77777777" w:rsidR="003C2419" w:rsidRDefault="003C2419" w:rsidP="003C2419">
      <w:pPr>
        <w:pStyle w:val="ECHRParaQuote"/>
      </w:pPr>
      <w:r>
        <w:t xml:space="preserve">"Skarga kasacyjna przeciwko wyrokowi uniewinniającemu może być wniesiona a) przez oskarżonego, jeśli został uniewinniony (...) ; b) przez </w:t>
      </w:r>
      <w:bookmarkStart w:id="2" w:name="HIT12"/>
      <w:bookmarkEnd w:id="2"/>
      <w:r>
        <w:t xml:space="preserve">prokuratora </w:t>
      </w:r>
      <w:r w:rsidR="00FD423E">
        <w:t>przy s</w:t>
      </w:r>
      <w:r>
        <w:t xml:space="preserve">ądzie </w:t>
      </w:r>
      <w:r w:rsidR="00FD423E">
        <w:t>k</w:t>
      </w:r>
      <w:r>
        <w:t xml:space="preserve">arnym (...) ; c) jeżeli uniewinnienie nastąpiło na skutek błędnego zastosowania lub błędnej wykładni przepisu karnego lub nadużycia władzy (...) </w:t>
      </w:r>
      <w:r w:rsidR="006443CD">
        <w:t>oraz</w:t>
      </w:r>
      <w:r>
        <w:t xml:space="preserve"> d) jeżeli ten, kto złożył skargę został skazany na zapłatę odszkodowania pieniężnego i na pokrycie kosztów postępowania (artykuł 71). "</w:t>
      </w:r>
    </w:p>
    <w:p w14:paraId="5A6EBA0D" w14:textId="77777777" w:rsidR="003C2419" w:rsidRDefault="003C2419" w:rsidP="003C2419">
      <w:pPr>
        <w:pStyle w:val="ECHRTitleCentre3"/>
        <w:rPr>
          <w:rFonts w:eastAsia="MS Mincho"/>
        </w:rPr>
      </w:pPr>
      <w:r>
        <w:t>Artykuł 546</w:t>
      </w:r>
    </w:p>
    <w:p w14:paraId="64E46B73" w14:textId="77777777" w:rsidR="003C2419" w:rsidRDefault="003C2419" w:rsidP="003C2419">
      <w:pPr>
        <w:pStyle w:val="ECHRParaQuote"/>
        <w:rPr>
          <w:rFonts w:eastAsia="MS Mincho"/>
          <w:lang w:bidi="en-US"/>
        </w:rPr>
      </w:pPr>
      <w:r>
        <w:t>"(...)</w:t>
      </w:r>
    </w:p>
    <w:p w14:paraId="29FAF5BE" w14:textId="77777777" w:rsidR="003C2419" w:rsidRPr="009A0B2E" w:rsidRDefault="003C2419" w:rsidP="003C2419">
      <w:pPr>
        <w:pStyle w:val="ECHRParaQuote"/>
        <w:rPr>
          <w:rFonts w:eastAsia="MS Mincho"/>
          <w:lang w:bidi="en-US"/>
        </w:rPr>
      </w:pPr>
      <w:r>
        <w:t>2.  Za prawomocną uznaje się decyzję, od której nie przysługuje odwołanie lub taką, od której się nie odwołano w przewidzianym terminie lub taką, co do której</w:t>
      </w:r>
      <w:r w:rsidR="00560293">
        <w:t xml:space="preserve"> wniesiony</w:t>
      </w:r>
      <w:r>
        <w:t xml:space="preserve"> środek odwoławczy został odrzucony. "</w:t>
      </w:r>
    </w:p>
    <w:p w14:paraId="1BB24122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42</w:t>
        </w:r>
      </w:fldSimple>
      <w:r>
        <w:t>.  Ustawa nr 4055/2012 pod nazwą "</w:t>
      </w:r>
      <w:r w:rsidR="00C1749D">
        <w:t>rzetelny</w:t>
      </w:r>
      <w:r>
        <w:t xml:space="preserve"> proces i rozsądny termin", weszła w życie w dniu 2 kwietnia 2012 roku. Artykuły 53 i 58 </w:t>
      </w:r>
      <w:r w:rsidR="00C1749D">
        <w:t>wymienionej</w:t>
      </w:r>
      <w:r>
        <w:t xml:space="preserve"> ustawy wprowadzają nowe roszczenie odszkodowawcze mające na celu przyznanie sprawiedliwego zadośćuczynienia za nieuzasadnioną przewlekłość postępowania administracyjnego. Artykuł 55 § 1 stanowi:</w:t>
      </w:r>
    </w:p>
    <w:p w14:paraId="2079774A" w14:textId="77777777" w:rsidR="003C2419" w:rsidRPr="004F17CD" w:rsidRDefault="003C2419" w:rsidP="003C2419">
      <w:pPr>
        <w:pStyle w:val="ECHRParaQuote"/>
      </w:pPr>
      <w:r>
        <w:t>"Każdy wniosek o sprawiedliwe zadośćuczynienie musi być złożony do każdej instancji sądowej oddzielnie. Wniosek taki musi być złożony w terminie sześciu miesięcy od dnia publikacji ostatecznej decyzji sądu, przed którym zdaniem skarżącego miała miejsce przewlekłość postępowania (...). "</w:t>
      </w:r>
    </w:p>
    <w:p w14:paraId="6EE225BA" w14:textId="77777777" w:rsidR="003C2419" w:rsidRDefault="003C2419" w:rsidP="003C2419">
      <w:pPr>
        <w:pStyle w:val="ECHRHeading2"/>
        <w:rPr>
          <w:rFonts w:eastAsia="MS Gothic"/>
        </w:rPr>
      </w:pPr>
      <w:r>
        <w:t>B. Odpowiednie orzecznictwo Rady Stanu</w:t>
      </w:r>
    </w:p>
    <w:p w14:paraId="74CE3439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43</w:t>
        </w:r>
      </w:fldSimple>
      <w:r>
        <w:t>.  W swoim wyroku nr 2067/2001, Rada Stanu przyznała między innymi, ż</w:t>
      </w:r>
      <w:r w:rsidR="00532A48">
        <w:t>e odpowiednie przepisy Kodeksu c</w:t>
      </w:r>
      <w:r>
        <w:t xml:space="preserve">elnego i Kodeksu </w:t>
      </w:r>
      <w:r w:rsidR="00532A48">
        <w:t>postępowania a</w:t>
      </w:r>
      <w:r>
        <w:t>dministracyjnego, interpretowane współzależenie, oznaczają, że procedura nałożenia grzywny administracyjnej (</w:t>
      </w:r>
      <w:r>
        <w:rPr>
          <w:i/>
        </w:rPr>
        <w:t>π</w:t>
      </w:r>
      <w:proofErr w:type="spellStart"/>
      <w:r>
        <w:rPr>
          <w:i/>
        </w:rPr>
        <w:t>ολλ</w:t>
      </w:r>
      <w:proofErr w:type="spellEnd"/>
      <w:r>
        <w:rPr>
          <w:i/>
        </w:rPr>
        <w:t xml:space="preserve">απλό </w:t>
      </w:r>
      <w:proofErr w:type="spellStart"/>
      <w:r>
        <w:rPr>
          <w:i/>
        </w:rPr>
        <w:t>τέλος</w:t>
      </w:r>
      <w:proofErr w:type="spellEnd"/>
      <w:r>
        <w:t xml:space="preserve">) za przestępstwo celne przemytu jest autonomiczna w stosunku do odpowiedniej procedury karnej. Kiedy </w:t>
      </w:r>
      <w:r w:rsidR="00532A48">
        <w:t>s</w:t>
      </w:r>
      <w:r>
        <w:t xml:space="preserve">ąd </w:t>
      </w:r>
      <w:r w:rsidR="00532A48">
        <w:t>a</w:t>
      </w:r>
      <w:r>
        <w:t>dministracyjny orzeka w kwestii nałożenia grzywny administracyjnej (</w:t>
      </w:r>
      <w:r>
        <w:rPr>
          <w:i/>
        </w:rPr>
        <w:t>π</w:t>
      </w:r>
      <w:proofErr w:type="spellStart"/>
      <w:r>
        <w:rPr>
          <w:i/>
        </w:rPr>
        <w:t>ολλ</w:t>
      </w:r>
      <w:proofErr w:type="spellEnd"/>
      <w:r>
        <w:rPr>
          <w:i/>
        </w:rPr>
        <w:t xml:space="preserve">απλό </w:t>
      </w:r>
      <w:proofErr w:type="spellStart"/>
      <w:r>
        <w:rPr>
          <w:i/>
        </w:rPr>
        <w:t>τέλος</w:t>
      </w:r>
      <w:proofErr w:type="spellEnd"/>
      <w:r>
        <w:t>) za przemyt, nie jest on związany</w:t>
      </w:r>
      <w:r w:rsidR="00634991">
        <w:t xml:space="preserve"> ewentualnym orzeczeniem</w:t>
      </w:r>
      <w:r>
        <w:t xml:space="preserve"> wydan</w:t>
      </w:r>
      <w:r w:rsidR="00634991">
        <w:t>ym</w:t>
      </w:r>
      <w:r>
        <w:t xml:space="preserve"> wcześniej przez </w:t>
      </w:r>
      <w:r w:rsidR="00634991">
        <w:t>s</w:t>
      </w:r>
      <w:r>
        <w:t xml:space="preserve">ąd </w:t>
      </w:r>
      <w:r w:rsidR="00634991">
        <w:t>k</w:t>
      </w:r>
      <w:r>
        <w:t xml:space="preserve">arny, chyba że </w:t>
      </w:r>
      <w:r>
        <w:lastRenderedPageBreak/>
        <w:t xml:space="preserve">jest to wyrok skazujący. Sąd </w:t>
      </w:r>
      <w:r w:rsidR="0097257C">
        <w:t>a</w:t>
      </w:r>
      <w:r>
        <w:t xml:space="preserve">dministracyjny ma jedynie obowiązek wziąć pod rozwagę wyrok </w:t>
      </w:r>
      <w:r w:rsidR="0097257C">
        <w:t>s</w:t>
      </w:r>
      <w:r>
        <w:t xml:space="preserve">ądu </w:t>
      </w:r>
      <w:r w:rsidR="0097257C">
        <w:t>k</w:t>
      </w:r>
      <w:r>
        <w:t>arnego.</w:t>
      </w:r>
    </w:p>
    <w:p w14:paraId="25B65EE0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44</w:t>
        </w:r>
      </w:fldSimple>
      <w:r w:rsidR="00CA5957">
        <w:t xml:space="preserve">.  Najwyższa instancja administracyjna </w:t>
      </w:r>
      <w:r>
        <w:t>stwierdził</w:t>
      </w:r>
      <w:r w:rsidR="00CA5957">
        <w:t>a</w:t>
      </w:r>
      <w:r>
        <w:t xml:space="preserve"> również, że zasada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rPr>
          <w:i/>
        </w:rPr>
        <w:t xml:space="preserve"> </w:t>
      </w:r>
      <w:r>
        <w:t xml:space="preserve">nie </w:t>
      </w:r>
      <w:r w:rsidR="00461819">
        <w:t>wydaje się być</w:t>
      </w:r>
      <w:r>
        <w:t xml:space="preserve"> naruszona, jeżeli podsądny </w:t>
      </w:r>
      <w:r w:rsidR="00461819">
        <w:t>od początku</w:t>
      </w:r>
      <w:r>
        <w:t xml:space="preserve"> wie,</w:t>
      </w:r>
      <w:r w:rsidR="00461819">
        <w:t xml:space="preserve"> </w:t>
      </w:r>
      <w:r>
        <w:t xml:space="preserve">że z powodu obowiązującego systemu sądowego część jego odpowiedzialności prawnej będzie badana </w:t>
      </w:r>
      <w:r w:rsidR="002A1631">
        <w:t>w jednym</w:t>
      </w:r>
      <w:r>
        <w:t xml:space="preserve"> porządku </w:t>
      </w:r>
      <w:r w:rsidR="00E47348">
        <w:t>prawnym</w:t>
      </w:r>
      <w:r w:rsidR="00842224">
        <w:t>,</w:t>
      </w:r>
      <w:r>
        <w:t xml:space="preserve"> a pozostała część tej odpowiedzialności </w:t>
      </w:r>
      <w:r w:rsidR="00E47348">
        <w:t>w innym</w:t>
      </w:r>
      <w:r>
        <w:t xml:space="preserve">, tak jak </w:t>
      </w:r>
      <w:r w:rsidR="00DB631B">
        <w:t>odbywa się to</w:t>
      </w:r>
      <w:r>
        <w:t xml:space="preserve"> w Grecji od wielu dziesięcioleci. Co więcej, </w:t>
      </w:r>
      <w:r w:rsidR="00842224">
        <w:t>co do treści</w:t>
      </w:r>
      <w:r>
        <w:t xml:space="preserve"> artykuł</w:t>
      </w:r>
      <w:r w:rsidR="00842224">
        <w:t>u 4 Protokołu nr 7 odnoszących</w:t>
      </w:r>
      <w:r>
        <w:t xml:space="preserve"> się do "karnego" skazania i ścigania, a także do "postępowania karnego" </w:t>
      </w:r>
      <w:r w:rsidR="000D4B0A">
        <w:t>Państw</w:t>
      </w:r>
      <w:r>
        <w:t xml:space="preserve">, Grecja nie mogła przewidzieć, że z uwagi na </w:t>
      </w:r>
      <w:r w:rsidR="00242BCE">
        <w:t xml:space="preserve">ewoluujące </w:t>
      </w:r>
      <w:r>
        <w:t>sta</w:t>
      </w:r>
      <w:r w:rsidR="00242BCE">
        <w:t>l</w:t>
      </w:r>
      <w:r>
        <w:t xml:space="preserve">e orzecznictwo Trybunału, będzie zobowiązana do przestrzegania obowiązków międzynarodowych będących w sprzeczności </w:t>
      </w:r>
      <w:r w:rsidR="00D159E9">
        <w:t>z</w:t>
      </w:r>
      <w:r>
        <w:t xml:space="preserve"> jej dobrze zakorzeniony</w:t>
      </w:r>
      <w:r w:rsidR="00D159E9">
        <w:t>mi</w:t>
      </w:r>
      <w:r>
        <w:t xml:space="preserve"> tradycj</w:t>
      </w:r>
      <w:r w:rsidR="00D159E9">
        <w:t>ami</w:t>
      </w:r>
      <w:r>
        <w:t xml:space="preserve"> prawny</w:t>
      </w:r>
      <w:r w:rsidR="00D159E9">
        <w:t>mi</w:t>
      </w:r>
      <w:r>
        <w:t xml:space="preserve"> i </w:t>
      </w:r>
      <w:r w:rsidR="00D159E9">
        <w:t>z</w:t>
      </w:r>
      <w:r>
        <w:t xml:space="preserve"> sam</w:t>
      </w:r>
      <w:r w:rsidR="00D159E9">
        <w:t>ą</w:t>
      </w:r>
      <w:r>
        <w:t xml:space="preserve"> Konstytucj</w:t>
      </w:r>
      <w:r w:rsidR="00D159E9">
        <w:t>ą</w:t>
      </w:r>
      <w:r>
        <w:t xml:space="preserve">. W każdym przypadku, nawet zakładając, że orzeczenie Trybunału w sprawie </w:t>
      </w:r>
      <w:proofErr w:type="spellStart"/>
      <w:r>
        <w:rPr>
          <w:i/>
        </w:rPr>
        <w:t>Sergueï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Zolotoukhine</w:t>
      </w:r>
      <w:proofErr w:type="spellEnd"/>
      <w:r>
        <w:rPr>
          <w:i/>
        </w:rPr>
        <w:t xml:space="preserve"> </w:t>
      </w:r>
      <w:r>
        <w:t xml:space="preserve">ma zastosowanie w </w:t>
      </w:r>
      <w:r w:rsidR="00D54F11">
        <w:t>niniejszym przypadku</w:t>
      </w:r>
      <w:r>
        <w:t>, to powinno się ono odnosić do spraw powstałych po jego publikacji a nie przed nią. Jest to uzasadnione choćby czasem jaki powinny mieć Państwa aby dostosować swoje prawodawstwo i ewentualnie swoje Konstytucje do ewolucji orzecznictwa Trybunału. Ponadto, potencjalni przemytnicy nie mogli uniknąć sankcji przewidzianych przez system prawny, który znają od dawna prz</w:t>
      </w:r>
      <w:r w:rsidR="008329CC">
        <w:t>ez powołanie się na orzecznictwo</w:t>
      </w:r>
      <w:r>
        <w:t xml:space="preserve"> Trybunału. W każdym przypadku, artykuł 4 Protokołu nr 7, tak jak jest on interpretowany przez Trybunał, nie mógł znaleźć zastosowania w przedmiotowej sprawie, ponieważ byłoby to sprzeczne z artykułami 94 § 1 i 96 § 1 Konstytucji. W szczególności artykuł 4 Protokołu nr 7, pozbawiałby sąd administracyjny lub karny jego obowiązku, wynikającego z Konstytucji, do rozstrzygnięcia spr</w:t>
      </w:r>
      <w:r w:rsidR="00762991">
        <w:t>awy administracyjnej lub karnej</w:t>
      </w:r>
      <w:r>
        <w:t>; w przypadku sądu administracyjnego, tak by się stało jeżeli ten sąd musiałby anulować grzywn</w:t>
      </w:r>
      <w:r w:rsidR="001D40EC">
        <w:t>ę</w:t>
      </w:r>
      <w:r>
        <w:t xml:space="preserve"> administracyjn</w:t>
      </w:r>
      <w:r w:rsidR="001D40EC">
        <w:t>ą</w:t>
      </w:r>
      <w:r>
        <w:t xml:space="preserve"> (</w:t>
      </w:r>
      <w:r>
        <w:rPr>
          <w:i/>
        </w:rPr>
        <w:t>π</w:t>
      </w:r>
      <w:proofErr w:type="spellStart"/>
      <w:r>
        <w:rPr>
          <w:i/>
        </w:rPr>
        <w:t>ολλ</w:t>
      </w:r>
      <w:proofErr w:type="spellEnd"/>
      <w:r>
        <w:rPr>
          <w:i/>
        </w:rPr>
        <w:t xml:space="preserve">απλό </w:t>
      </w:r>
      <w:proofErr w:type="spellStart"/>
      <w:r>
        <w:rPr>
          <w:i/>
        </w:rPr>
        <w:t>τέλος</w:t>
      </w:r>
      <w:proofErr w:type="spellEnd"/>
      <w:r>
        <w:t>) w związku z wydanym wyrokiem uniewinniając</w:t>
      </w:r>
      <w:r w:rsidR="008127BE">
        <w:t xml:space="preserve">ym lub skazującym sądu karnego, </w:t>
      </w:r>
      <w:r>
        <w:t>tak samo byłoby w przypadku sądu karnego.</w:t>
      </w:r>
    </w:p>
    <w:p w14:paraId="60628E1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45</w:t>
        </w:r>
      </w:fldSimple>
      <w:r>
        <w:t xml:space="preserve">.  Według odrębnej opinii jednej </w:t>
      </w:r>
      <w:r w:rsidR="00D57F1A">
        <w:t>doradcy</w:t>
      </w:r>
      <w:r>
        <w:t xml:space="preserve"> Rząd</w:t>
      </w:r>
      <w:r w:rsidR="00D57F1A">
        <w:t>u</w:t>
      </w:r>
      <w:r>
        <w:t>, to właśnie dualność  postępowań, administracyjnego i karnego, które mają w tej sprawie zastosowanie powoduje wejście w sferę zastosowania artykułu 4 Protokołu nr 7. Biorąc pod uwagę, że Konwencja ma charakter nadrzędny w stosunku do greckiego ustawodawstwa krajowego, kiedy pierwsze postępowanie kończy się decyzją skazującą lub uniewinniającą drugie postępowanie powinno się zakończyć. Poza tym, według tej samej odręb</w:t>
      </w:r>
      <w:r w:rsidR="00933AFA">
        <w:t>nej opinii, fakt, że sądy jednego</w:t>
      </w:r>
      <w:r>
        <w:t xml:space="preserve"> porządku prawnego są związane decyzjami </w:t>
      </w:r>
      <w:r w:rsidR="00933AFA">
        <w:t xml:space="preserve">wydanymi w </w:t>
      </w:r>
      <w:r>
        <w:t xml:space="preserve"> </w:t>
      </w:r>
      <w:r w:rsidR="00933AFA">
        <w:t xml:space="preserve">innym </w:t>
      </w:r>
      <w:r>
        <w:t>porządku prawn</w:t>
      </w:r>
      <w:r w:rsidR="00933AFA">
        <w:t>ym</w:t>
      </w:r>
      <w:r>
        <w:t xml:space="preserve"> nie jest sprzeczne z artykułami 94 § 1 i 96 § 1 Konstytucji. Przeciwnie</w:t>
      </w:r>
      <w:r w:rsidR="00933AFA">
        <w:t>,</w:t>
      </w:r>
      <w:r>
        <w:t xml:space="preserve"> jest to zgodne z artykułem 20 § 1 Konstytucji, którego </w:t>
      </w:r>
      <w:r w:rsidR="00933AFA">
        <w:t>dyspozycja</w:t>
      </w:r>
      <w:r>
        <w:t xml:space="preserve"> przewiduje sądową ochronę prawną.</w:t>
      </w:r>
    </w:p>
    <w:p w14:paraId="3FF10216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46</w:t>
        </w:r>
      </w:fldSimple>
      <w:r>
        <w:t xml:space="preserve">.  W swoim wyroku nr 4662/2012 (plenarnym) Rada Stanu uznała, miedzy innymi, że w świetle zasady autonomii postępowania dyscyplinarnego w odniesieniu do procesu karnego, organy dyscyplinarne </w:t>
      </w:r>
      <w:r>
        <w:lastRenderedPageBreak/>
        <w:t xml:space="preserve">nie mają obowiązku zwolnić </w:t>
      </w:r>
      <w:r w:rsidR="0060252F">
        <w:t xml:space="preserve">podlegającej mu </w:t>
      </w:r>
      <w:r>
        <w:t>osob</w:t>
      </w:r>
      <w:r w:rsidR="0060252F">
        <w:t xml:space="preserve">y </w:t>
      </w:r>
      <w:r>
        <w:t xml:space="preserve">z postępowania dyscyplinarnego </w:t>
      </w:r>
      <w:r w:rsidR="000E13D9">
        <w:t xml:space="preserve">tylko </w:t>
      </w:r>
      <w:r>
        <w:t xml:space="preserve">z </w:t>
      </w:r>
      <w:r w:rsidR="008329CC">
        <w:t>t</w:t>
      </w:r>
      <w:r w:rsidR="000E13D9">
        <w:t>ego</w:t>
      </w:r>
      <w:r w:rsidR="008329CC">
        <w:t xml:space="preserve"> </w:t>
      </w:r>
      <w:r>
        <w:t>powodu</w:t>
      </w:r>
      <w:r w:rsidR="008329CC">
        <w:t>,</w:t>
      </w:r>
      <w:r>
        <w:t xml:space="preserve"> że osoba ta została uprzednio uniewinniona przez sąd karny. Organ dyscyplinarny jest związany </w:t>
      </w:r>
      <w:r w:rsidR="0060252F">
        <w:t xml:space="preserve">wyłącznie </w:t>
      </w:r>
      <w:r>
        <w:t xml:space="preserve">oceną </w:t>
      </w:r>
      <w:r w:rsidR="007836F0">
        <w:t>s</w:t>
      </w:r>
      <w:r>
        <w:t xml:space="preserve">ądu </w:t>
      </w:r>
      <w:r w:rsidR="007836F0">
        <w:t>k</w:t>
      </w:r>
      <w:r>
        <w:t xml:space="preserve">arnego co do istnienia okoliczności, które stanowią element materialny </w:t>
      </w:r>
      <w:r w:rsidR="007836F0">
        <w:t>przewinie</w:t>
      </w:r>
      <w:r>
        <w:t xml:space="preserve">nia dyscyplinarnego, o którym mowa. </w:t>
      </w:r>
      <w:r w:rsidR="00A84831">
        <w:t>Poza tym</w:t>
      </w:r>
      <w:r>
        <w:t xml:space="preserve">, decyzja </w:t>
      </w:r>
      <w:r w:rsidR="00A84831">
        <w:t>s</w:t>
      </w:r>
      <w:r>
        <w:t xml:space="preserve">ądu </w:t>
      </w:r>
      <w:r w:rsidR="00A84831">
        <w:t>k</w:t>
      </w:r>
      <w:r>
        <w:t>arnego jest brana pod uwagę przez organ dyscyplinarny, który może dojść do innych wnio</w:t>
      </w:r>
      <w:r w:rsidR="008329CC">
        <w:t>sków niż te wyciągnięte przez sąd</w:t>
      </w:r>
      <w:r>
        <w:t xml:space="preserve"> karny, opierając się na innych uwarunkowaniach przewidzianych przez prawo dyscyplinarne w celu ustalenia istnienia odpowiedzialności dyscyplinarnej.</w:t>
      </w:r>
    </w:p>
    <w:p w14:paraId="1BE9CCA7" w14:textId="77777777" w:rsidR="003C2419" w:rsidRPr="00BD469E" w:rsidRDefault="003C2419" w:rsidP="003C2419">
      <w:pPr>
        <w:pStyle w:val="ECHRHeading1"/>
      </w:pPr>
      <w:r>
        <w:t>III.  ORZECZNICTWO TRYBUNAŁU SPRAWIEDLIWOŚCI UNII EUROPEJSKIEJ</w:t>
      </w:r>
    </w:p>
    <w:bookmarkStart w:id="3" w:name="point32"/>
    <w:p w14:paraId="735CE128" w14:textId="77777777" w:rsidR="003C2419" w:rsidRDefault="003C2419" w:rsidP="003C2419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355195">
        <w:rPr>
          <w:noProof/>
        </w:rPr>
        <w:t>47</w:t>
      </w:r>
      <w:r>
        <w:fldChar w:fldCharType="end"/>
      </w:r>
      <w:r>
        <w:t xml:space="preserve">.  W swoim orzeczeniu w sprawie </w:t>
      </w:r>
      <w:r>
        <w:rPr>
          <w:i/>
        </w:rPr>
        <w:t xml:space="preserve">Hans </w:t>
      </w:r>
      <w:proofErr w:type="spellStart"/>
      <w:r>
        <w:rPr>
          <w:i/>
        </w:rPr>
        <w:t>Åkerberg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Fransson</w:t>
      </w:r>
      <w:proofErr w:type="spellEnd"/>
      <w:r>
        <w:t xml:space="preserve"> (Sprawa C-617/10), z dnia 26 lutego 2013 roku, Trybunał Sprawiedliwości Unii Europejskiej (Wielk</w:t>
      </w:r>
      <w:r w:rsidR="00E52F62">
        <w:t>a</w:t>
      </w:r>
      <w:r>
        <w:t xml:space="preserve"> Izb</w:t>
      </w:r>
      <w:r w:rsidR="00E52F62">
        <w:t>a</w:t>
      </w:r>
      <w:r>
        <w:t>) stwierdził co następuje :</w:t>
      </w:r>
    </w:p>
    <w:p w14:paraId="4D36A81A" w14:textId="77777777" w:rsidR="003C2419" w:rsidRPr="00AF131B" w:rsidRDefault="003C2419" w:rsidP="003C2419">
      <w:pPr>
        <w:pStyle w:val="ECHRParaQuote"/>
      </w:pPr>
      <w:r>
        <w:t>"(...)</w:t>
      </w:r>
    </w:p>
    <w:p w14:paraId="44DBCEED" w14:textId="77777777" w:rsidR="003C2419" w:rsidRPr="00AF131B" w:rsidRDefault="003C2419" w:rsidP="003C2419">
      <w:pPr>
        <w:pStyle w:val="ECHRParaQuote"/>
      </w:pPr>
      <w:r>
        <w:t>32</w:t>
      </w:r>
      <w:bookmarkEnd w:id="3"/>
      <w:r>
        <w:t>.  </w:t>
      </w:r>
      <w:r w:rsidR="00237DD6">
        <w:t>W swoich</w:t>
      </w:r>
      <w:r>
        <w:t xml:space="preserve"> pytania</w:t>
      </w:r>
      <w:r w:rsidR="00237DD6">
        <w:t>ch</w:t>
      </w:r>
      <w:r>
        <w:t xml:space="preserve">, na które należy odpowiedzieć łącznie, </w:t>
      </w:r>
      <w:proofErr w:type="spellStart"/>
      <w:r>
        <w:t>Haparanda</w:t>
      </w:r>
      <w:proofErr w:type="spellEnd"/>
      <w:r>
        <w:t xml:space="preserve"> </w:t>
      </w:r>
      <w:proofErr w:type="spellStart"/>
      <w:r>
        <w:t>tingsrätt</w:t>
      </w:r>
      <w:proofErr w:type="spellEnd"/>
      <w:r>
        <w:t xml:space="preserve"> pyta zasadniczo Trybunał czy należy interpretować zasadę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t xml:space="preserve"> wyrażoną w artykule 50 Karty w ten sposób, że sprzeciwia się on</w:t>
      </w:r>
      <w:r w:rsidR="008329CC">
        <w:t>a</w:t>
      </w:r>
      <w:r>
        <w:t xml:space="preserve"> temu aby </w:t>
      </w:r>
      <w:r w:rsidR="008329CC">
        <w:t xml:space="preserve">za </w:t>
      </w:r>
      <w:r>
        <w:t xml:space="preserve">oszustwa skarbowe  wszczynana była procedura karna przeciwko </w:t>
      </w:r>
      <w:r w:rsidR="00EE686D">
        <w:t>podejrzanemu</w:t>
      </w:r>
      <w:r>
        <w:t>, w przypadku gdy została już</w:t>
      </w:r>
      <w:r w:rsidR="001E2834">
        <w:t xml:space="preserve"> na niego</w:t>
      </w:r>
      <w:r>
        <w:t xml:space="preserve"> nałożona sankcja skarbowa za te same czyny polegające na składaniu fałszywych oświadczeń.</w:t>
      </w:r>
    </w:p>
    <w:p w14:paraId="3F9E4000" w14:textId="77777777" w:rsidR="003C2419" w:rsidRPr="00AF131B" w:rsidRDefault="003C2419" w:rsidP="003C2419">
      <w:pPr>
        <w:pStyle w:val="ECHRParaQuote"/>
      </w:pPr>
      <w:bookmarkStart w:id="4" w:name="point33"/>
      <w:r>
        <w:t>33</w:t>
      </w:r>
      <w:bookmarkEnd w:id="4"/>
      <w:r>
        <w:t xml:space="preserve">.  Jeżeli chodzi o zastosowanie zasady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 w:rsidR="008329CC">
        <w:t xml:space="preserve"> wyrażonej</w:t>
      </w:r>
      <w:r>
        <w:t xml:space="preserve"> w artykule 50 Karty odnośnie ścigania na drodze karnej</w:t>
      </w:r>
      <w:r w:rsidR="008329CC">
        <w:t xml:space="preserve"> za nadużycia fiskalne</w:t>
      </w:r>
      <w:r>
        <w:t xml:space="preserve">, które są przedmiotem głównego sporu, </w:t>
      </w:r>
      <w:r w:rsidR="00F47F52">
        <w:t>przyjmuje,</w:t>
      </w:r>
      <w:r>
        <w:t xml:space="preserve"> że środki, które zostały już zastosowane w stosunku do podsądnego za pomocą decyzji, która stała się ostateczna mają charakter karny.</w:t>
      </w:r>
    </w:p>
    <w:p w14:paraId="350A1B0A" w14:textId="77777777" w:rsidR="003C2419" w:rsidRPr="00AF131B" w:rsidRDefault="003C2419" w:rsidP="003C2419">
      <w:pPr>
        <w:pStyle w:val="ECHRParaQuote"/>
      </w:pPr>
      <w:bookmarkStart w:id="5" w:name="point34"/>
      <w:r>
        <w:t>34</w:t>
      </w:r>
      <w:bookmarkEnd w:id="5"/>
      <w:r>
        <w:t>.  W tej kwestii należy również podnieść, że ar</w:t>
      </w:r>
      <w:r w:rsidR="00F47F52">
        <w:t>tykuł 50 Karty</w:t>
      </w:r>
      <w:r>
        <w:t xml:space="preserve"> nie sprzeciwia się temu aby Państwo Członkowskie nakładało za te same czyny </w:t>
      </w:r>
      <w:r w:rsidR="00F66AAB">
        <w:t xml:space="preserve">polegające na </w:t>
      </w:r>
      <w:r>
        <w:t>nie przestrzegani</w:t>
      </w:r>
      <w:r w:rsidR="00F66AAB">
        <w:t>u</w:t>
      </w:r>
      <w:r>
        <w:t xml:space="preserve"> obowiązków deklaracyjny</w:t>
      </w:r>
      <w:r w:rsidR="00F66AAB">
        <w:t>ch</w:t>
      </w:r>
      <w:r>
        <w:t xml:space="preserve"> w kwestii podatku VAT, kombinację sankcji fiskalnych i karnych. W </w:t>
      </w:r>
      <w:r w:rsidR="00B651D9">
        <w:t>efekcie</w:t>
      </w:r>
      <w:r>
        <w:t xml:space="preserve">, w celu zagwarantowania poboru całości dochodu pochodzącego z podatku VAT, a tym samym ochronę interesów finansowych Unii, Kraje Członkowskie dysponują swobodą wyboru sankcji mających zastosowanie (patrz pod tym kątem, wyroki z dnia 21 września 1989, Komisja/Grecja, 68/88, Rec. p. 2965, punkt 24; z dnia 7 grudnia 2000, z </w:t>
      </w:r>
      <w:proofErr w:type="spellStart"/>
      <w:r>
        <w:t>Andrade</w:t>
      </w:r>
      <w:proofErr w:type="spellEnd"/>
      <w:r>
        <w:t>, C</w:t>
      </w:r>
      <w:r>
        <w:noBreakHyphen/>
        <w:t>213/99, Rec. p. I</w:t>
      </w:r>
      <w:r>
        <w:noBreakHyphen/>
        <w:t xml:space="preserve">11083, punkt 19 i z dnia 16 października 2003, </w:t>
      </w:r>
      <w:proofErr w:type="spellStart"/>
      <w:r>
        <w:t>Hannl-Hofstetter</w:t>
      </w:r>
      <w:proofErr w:type="spellEnd"/>
      <w:r>
        <w:t>, C</w:t>
      </w:r>
      <w:r>
        <w:noBreakHyphen/>
        <w:t>91/02, Rec. p. I</w:t>
      </w:r>
      <w:r>
        <w:noBreakHyphen/>
        <w:t>12077, punkt 17). Mogą one przybrać formę sankcji administracyjnych, sankcji karnych lub kombinacji obu rodzajów tych sankcji. Dopiero, gdy sankcja fiskalna przyjmuje charakter karny, w rozumieniu artykułu 50 Karty i staje się ostateczna</w:t>
      </w:r>
      <w:r w:rsidR="00587F62">
        <w:t>,</w:t>
      </w:r>
      <w:r>
        <w:t xml:space="preserve"> wówczas wspomniana dyspozycja przeciwstawia się temu aby postępowanie karne za te same czyny był</w:t>
      </w:r>
      <w:r w:rsidR="00D65817">
        <w:t>o</w:t>
      </w:r>
      <w:r>
        <w:t xml:space="preserve"> wszczęte przeciwko t</w:t>
      </w:r>
      <w:r w:rsidR="00587F62">
        <w:t>ej</w:t>
      </w:r>
      <w:r>
        <w:t xml:space="preserve"> sam</w:t>
      </w:r>
      <w:r w:rsidR="00587F62">
        <w:t>ej</w:t>
      </w:r>
      <w:r>
        <w:t xml:space="preserve"> osob</w:t>
      </w:r>
      <w:r w:rsidR="00587F62">
        <w:t>ie</w:t>
      </w:r>
      <w:r>
        <w:t>.</w:t>
      </w:r>
    </w:p>
    <w:p w14:paraId="5FBC1CB5" w14:textId="77777777" w:rsidR="003C2419" w:rsidRPr="00AF131B" w:rsidRDefault="003C2419" w:rsidP="003C2419">
      <w:pPr>
        <w:pStyle w:val="ECHRParaQuote"/>
      </w:pPr>
      <w:bookmarkStart w:id="6" w:name="point35"/>
      <w:r>
        <w:t>35</w:t>
      </w:r>
      <w:bookmarkEnd w:id="6"/>
      <w:r>
        <w:t xml:space="preserve">.  Następnie należy przypomnieć, że w celu </w:t>
      </w:r>
      <w:r w:rsidR="00414672">
        <w:t>oceny</w:t>
      </w:r>
      <w:r>
        <w:t xml:space="preserve"> charakteru karnego sankcji skarbow</w:t>
      </w:r>
      <w:r w:rsidR="00414672">
        <w:t>ych</w:t>
      </w:r>
      <w:r>
        <w:t xml:space="preserve"> istotne są trzy kryteria. Pierwsze to kwalifikacja prawna naruszenia w prawie krajowym, drugie to </w:t>
      </w:r>
      <w:r w:rsidR="00452C0A">
        <w:t xml:space="preserve">sam charakter naruszenia </w:t>
      </w:r>
      <w:r>
        <w:t xml:space="preserve">i trzecie to </w:t>
      </w:r>
      <w:r w:rsidR="00452C0A">
        <w:t>charakter</w:t>
      </w:r>
      <w:r>
        <w:t xml:space="preserve"> oraz stopień surowości sankcji jaką zagrożony jest podsądny (wyrok z 5 czerwca 2012 roku, Bonda, C</w:t>
      </w:r>
      <w:r>
        <w:noBreakHyphen/>
        <w:t>489/10, punkt 37).</w:t>
      </w:r>
    </w:p>
    <w:p w14:paraId="4EA62FEF" w14:textId="77777777" w:rsidR="003C2419" w:rsidRPr="00AF131B" w:rsidRDefault="003C2419" w:rsidP="003C2419">
      <w:pPr>
        <w:pStyle w:val="ECHRParaQuote"/>
      </w:pPr>
      <w:bookmarkStart w:id="7" w:name="point36"/>
      <w:r>
        <w:lastRenderedPageBreak/>
        <w:t>36</w:t>
      </w:r>
      <w:bookmarkEnd w:id="7"/>
      <w:r>
        <w:t>.  Do sądów należy ocen</w:t>
      </w:r>
      <w:r w:rsidR="00291349">
        <w:t>a</w:t>
      </w:r>
      <w:r>
        <w:t xml:space="preserve">, w świetle tych kryteriów, czy należy przystąpić do łącznego </w:t>
      </w:r>
      <w:r w:rsidR="00F60231">
        <w:t>rozpatrywania</w:t>
      </w:r>
      <w:r>
        <w:t xml:space="preserve"> sankcji skarbowych i karnych przewidzianych przez prawodawstwo krajowe w odniesieniu do standardów krajowych w rozumieniu punktu 29 niniejszego wyroku, co może prowadzić w niek</w:t>
      </w:r>
      <w:r w:rsidR="00D65817">
        <w:t>tórych przypadkach do uznania tego</w:t>
      </w:r>
      <w:r>
        <w:t xml:space="preserve"> </w:t>
      </w:r>
      <w:r w:rsidR="00F60231">
        <w:t>skumulowania</w:t>
      </w:r>
      <w:r>
        <w:t xml:space="preserve"> jako sprzeczne</w:t>
      </w:r>
      <w:r w:rsidR="00D65817">
        <w:t>go</w:t>
      </w:r>
      <w:r>
        <w:t xml:space="preserve"> ze wspomnianymi standardami, pod wa</w:t>
      </w:r>
      <w:r w:rsidR="00D65817">
        <w:t xml:space="preserve">runkiem, że pozostałe sankcje </w:t>
      </w:r>
      <w:r>
        <w:t xml:space="preserve">będą skuteczne, proporcjonalne i odstraszające (patrz pod tym kątem, </w:t>
      </w:r>
      <w:r w:rsidR="005272BF">
        <w:t xml:space="preserve">w </w:t>
      </w:r>
      <w:r>
        <w:t>szczegól</w:t>
      </w:r>
      <w:r w:rsidR="005272BF">
        <w:t>ności,</w:t>
      </w:r>
      <w:r>
        <w:t xml:space="preserve"> wyroki Komisja/Grecja, wyżej cytowany, punkt 24; z dnia 10 lipca 1990, Hansen, C</w:t>
      </w:r>
      <w:r>
        <w:noBreakHyphen/>
        <w:t>326/88, Rec. p. I</w:t>
      </w:r>
      <w:r>
        <w:noBreakHyphen/>
        <w:t xml:space="preserve">2911, punkt 17; z dnia 30 września 2003, </w:t>
      </w:r>
      <w:proofErr w:type="spellStart"/>
      <w:r>
        <w:t>Inspire</w:t>
      </w:r>
      <w:proofErr w:type="spellEnd"/>
      <w:r>
        <w:t xml:space="preserve"> Art, C</w:t>
      </w:r>
      <w:r>
        <w:noBreakHyphen/>
        <w:t>167/01, Rec. p. I</w:t>
      </w:r>
      <w:r>
        <w:noBreakHyphen/>
        <w:t xml:space="preserve">10155, punkt 62; z dnia 15 stycznia 2004, </w:t>
      </w:r>
      <w:proofErr w:type="spellStart"/>
      <w:r>
        <w:t>Penycoed</w:t>
      </w:r>
      <w:proofErr w:type="spellEnd"/>
      <w:r>
        <w:t>, C</w:t>
      </w:r>
      <w:r>
        <w:noBreakHyphen/>
        <w:t>230/01, Rec. p. I</w:t>
      </w:r>
      <w:r>
        <w:noBreakHyphen/>
        <w:t>937, punkt 36, oraz z dnia 3 maja 2005, Berlusconi i inni, C</w:t>
      </w:r>
      <w:r>
        <w:noBreakHyphen/>
        <w:t>387/02, C</w:t>
      </w:r>
      <w:r>
        <w:noBreakHyphen/>
        <w:t>391/02 i C</w:t>
      </w:r>
      <w:r>
        <w:noBreakHyphen/>
        <w:t>403/02, Rec. p. I</w:t>
      </w:r>
      <w:r>
        <w:noBreakHyphen/>
        <w:t>3565, punkt 65).</w:t>
      </w:r>
    </w:p>
    <w:p w14:paraId="5889B80B" w14:textId="77777777" w:rsidR="003C2419" w:rsidRPr="00AF131B" w:rsidRDefault="003C2419" w:rsidP="003C2419">
      <w:pPr>
        <w:pStyle w:val="ECHRParaQuote"/>
      </w:pPr>
      <w:bookmarkStart w:id="8" w:name="point37"/>
      <w:r>
        <w:t>37</w:t>
      </w:r>
      <w:bookmarkEnd w:id="8"/>
      <w:r>
        <w:t xml:space="preserve">.  Z powyższych rozważań płynie wniosek, że na drugie, trzecie i czwarte pytanie należy odpowiedzieć, że zasada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t xml:space="preserve"> wyrażona w artykule 50 Karty nie sprzeciwia się temu aby Państwo Członkowskie nakładało za te same czyny nie przestrzegania obowiązków deklaracyjny</w:t>
      </w:r>
      <w:r w:rsidR="00790CBF">
        <w:t>ch</w:t>
      </w:r>
      <w:r>
        <w:t xml:space="preserve"> w kwestii podatku VAT, sukcesywnie sankcję fiskalną i sankcję karną o ile pierwsza z nich nie przyjmuje charakteru karnego, co </w:t>
      </w:r>
      <w:r w:rsidR="008D4CE0">
        <w:t xml:space="preserve">pozostaje do </w:t>
      </w:r>
      <w:r w:rsidR="00790CBF">
        <w:t>zweryfikowa</w:t>
      </w:r>
      <w:r w:rsidR="008D4CE0">
        <w:t>nia przez</w:t>
      </w:r>
      <w:r>
        <w:t xml:space="preserve"> sądy krajowe.</w:t>
      </w:r>
    </w:p>
    <w:p w14:paraId="36665E21" w14:textId="77777777" w:rsidR="003C2419" w:rsidRPr="00AF131B" w:rsidRDefault="003C2419" w:rsidP="003C2419">
      <w:pPr>
        <w:pStyle w:val="ECHRParaQuote"/>
      </w:pPr>
      <w:r>
        <w:t>(...)</w:t>
      </w:r>
    </w:p>
    <w:p w14:paraId="1035F38E" w14:textId="77777777" w:rsidR="003C2419" w:rsidRPr="00AF131B" w:rsidRDefault="003C2419" w:rsidP="003C2419">
      <w:pPr>
        <w:pStyle w:val="ECHRParaQuote"/>
      </w:pPr>
      <w:r>
        <w:t>Z powyższych względów, Trybunał (</w:t>
      </w:r>
      <w:r w:rsidR="008D4CE0">
        <w:t>W</w:t>
      </w:r>
      <w:r>
        <w:t>ielka Izba) orzeka co następuje:</w:t>
      </w:r>
    </w:p>
    <w:p w14:paraId="00CD40B8" w14:textId="77777777" w:rsidR="003C2419" w:rsidRPr="00AF131B" w:rsidRDefault="008D4CE0" w:rsidP="003C2419">
      <w:pPr>
        <w:pStyle w:val="ECHRParaQuote"/>
      </w:pPr>
      <w:r>
        <w:t xml:space="preserve">1) </w:t>
      </w:r>
      <w:r w:rsidR="003C2419">
        <w:t xml:space="preserve">Zasada </w:t>
      </w:r>
      <w:proofErr w:type="spellStart"/>
      <w:r w:rsidR="003C2419">
        <w:rPr>
          <w:i/>
        </w:rPr>
        <w:t>ne</w:t>
      </w:r>
      <w:proofErr w:type="spellEnd"/>
      <w:r w:rsidR="003C2419">
        <w:rPr>
          <w:i/>
        </w:rPr>
        <w:t xml:space="preserve"> bis in </w:t>
      </w:r>
      <w:proofErr w:type="spellStart"/>
      <w:r w:rsidR="003C2419">
        <w:rPr>
          <w:i/>
        </w:rPr>
        <w:t>idem</w:t>
      </w:r>
      <w:proofErr w:type="spellEnd"/>
      <w:r w:rsidR="003C2419">
        <w:t xml:space="preserve"> wyrażona w artykule 50 Karty Praw Podstawowych Unii Europejskiej nie sprzeciwia się temu aby Państwo Członkowskie nakładało za te same czyny nie przestrzegania obowiązków deklaracyjny</w:t>
      </w:r>
      <w:r w:rsidR="00402BA6">
        <w:t>ch</w:t>
      </w:r>
      <w:r w:rsidR="003C2419">
        <w:t xml:space="preserve"> w kwestii podatku od wartości dodanej, sukcesywnie sankcję fiskalną i sankcję karną o ile pierwsza z nich nie przyjmuje charakteru karnego, </w:t>
      </w:r>
      <w:r w:rsidR="00402BA6" w:rsidRPr="00402BA6">
        <w:t>co pozostaje do zweryfikowania przez sądy krajowe</w:t>
      </w:r>
      <w:r w:rsidR="003C2419">
        <w:t>.</w:t>
      </w:r>
    </w:p>
    <w:p w14:paraId="5D3873D0" w14:textId="77777777" w:rsidR="003C2419" w:rsidRPr="00AF131B" w:rsidRDefault="003C2419" w:rsidP="003C2419">
      <w:pPr>
        <w:pStyle w:val="ECHRParaQuote"/>
      </w:pPr>
      <w:r>
        <w:t xml:space="preserve">2) Prawo Unii nie reguluje stosunków pomiędzy Europejską Konwencją o ochronie praw człowieka i podstawowych wolności, podpisaną w Rzymie dnia 4 listopada 1950 roku i porządkami prawnymi Państw Członkowskich i nie określa również </w:t>
      </w:r>
      <w:r w:rsidR="00106979">
        <w:t>wniosków</w:t>
      </w:r>
      <w:r>
        <w:t xml:space="preserve">, jakie miałby </w:t>
      </w:r>
      <w:r w:rsidR="00106979">
        <w:t>wyciągnąć</w:t>
      </w:r>
      <w:r>
        <w:t xml:space="preserve"> sędzia krajowy w razie konfliktu pomiędzy prawami gwarantowanymi tą Konwencją a zasadami prawa krajowego.</w:t>
      </w:r>
    </w:p>
    <w:p w14:paraId="59BFC968" w14:textId="77777777" w:rsidR="003C2419" w:rsidRPr="009A0B2E" w:rsidRDefault="003C2419" w:rsidP="003C2419">
      <w:pPr>
        <w:pStyle w:val="ECHRParaQuote"/>
      </w:pPr>
      <w:r>
        <w:t>(...) "</w:t>
      </w:r>
    </w:p>
    <w:p w14:paraId="2D9E6DBA" w14:textId="77777777" w:rsidR="003C2419" w:rsidRDefault="003C2419" w:rsidP="003C2419">
      <w:pPr>
        <w:pStyle w:val="ECHRTitle1"/>
        <w:rPr>
          <w:rFonts w:eastAsia="MS Mincho"/>
        </w:rPr>
      </w:pPr>
      <w:r>
        <w:t>PRAW</w:t>
      </w:r>
      <w:r w:rsidR="00350AB1">
        <w:t>O</w:t>
      </w:r>
    </w:p>
    <w:p w14:paraId="31E45555" w14:textId="77777777" w:rsidR="003C2419" w:rsidRDefault="003C2419" w:rsidP="003C2419">
      <w:pPr>
        <w:pStyle w:val="ECHRHeading1"/>
        <w:rPr>
          <w:rFonts w:eastAsia="MS Gothic"/>
        </w:rPr>
      </w:pPr>
      <w:r>
        <w:t>I. POŁĄCZENIE SKARG</w:t>
      </w:r>
    </w:p>
    <w:p w14:paraId="1FAA72C6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48</w:t>
        </w:r>
      </w:fldSimple>
      <w:r>
        <w:t>.  Biorąc pod uwagę podobieństwo niniejszych skarg, zarówno jeśli chodzi o fakty jak i o kwestie istoty spraw, do których się odnoszą, Trybunał decyd</w:t>
      </w:r>
      <w:r w:rsidR="001E636F">
        <w:t>uje</w:t>
      </w:r>
      <w:r>
        <w:t xml:space="preserve"> o ich połączeniu i ich wspólnym rozpoznaniu w jednym wyroku.</w:t>
      </w:r>
    </w:p>
    <w:p w14:paraId="6901E80D" w14:textId="77777777" w:rsidR="003C2419" w:rsidRDefault="003C2419" w:rsidP="003C2419">
      <w:pPr>
        <w:pStyle w:val="ECHRHeading1"/>
        <w:rPr>
          <w:rFonts w:eastAsia="MS Gothic"/>
        </w:rPr>
      </w:pPr>
      <w:r>
        <w:lastRenderedPageBreak/>
        <w:t>II.  </w:t>
      </w:r>
      <w:r w:rsidR="00971E15">
        <w:t>RZEKOME</w:t>
      </w:r>
      <w:r>
        <w:t xml:space="preserve"> NARUSZENI</w:t>
      </w:r>
      <w:r w:rsidR="003342B2">
        <w:t>E</w:t>
      </w:r>
      <w:r>
        <w:t xml:space="preserve"> ARTYKUŁ</w:t>
      </w:r>
      <w:r w:rsidR="00796DA6">
        <w:t>U</w:t>
      </w:r>
      <w:r>
        <w:t xml:space="preserve"> 6 § 2 KONWENCJI ORAZ </w:t>
      </w:r>
      <w:r w:rsidR="00796DA6">
        <w:t xml:space="preserve">ARTYKUŁU </w:t>
      </w:r>
      <w:r>
        <w:t>4 PROTOKOŁU NR 7</w:t>
      </w:r>
    </w:p>
    <w:p w14:paraId="09301790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49</w:t>
        </w:r>
      </w:fldSimple>
      <w:r>
        <w:t xml:space="preserve">.  We wszystkich trzech skargach, skarżący podnosili, że poprzez nie wzięcie pod uwagę ich uniewinnienia przez sądy karne, sądy administracyjne naruszyły zasadę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t xml:space="preserve"> oraz zasadę domniemania niewinności. Przywołali artykuły 4 Protokołu nr 7 oraz 6 § 2 Konwencji, </w:t>
      </w:r>
      <w:r w:rsidR="00971E15">
        <w:t>przepisy</w:t>
      </w:r>
      <w:r>
        <w:t xml:space="preserve"> o następującej treści:</w:t>
      </w:r>
    </w:p>
    <w:p w14:paraId="1504A4D0" w14:textId="77777777" w:rsidR="003C2419" w:rsidRDefault="003C2419" w:rsidP="003C2419">
      <w:pPr>
        <w:pStyle w:val="ECHRTitleCentre3"/>
        <w:rPr>
          <w:rFonts w:eastAsia="MS Mincho"/>
        </w:rPr>
      </w:pPr>
      <w:r>
        <w:t>Artykuł 4 Protokołu nr 7</w:t>
      </w:r>
    </w:p>
    <w:p w14:paraId="6E338D8F" w14:textId="77777777" w:rsidR="003C2419" w:rsidRDefault="003C2419" w:rsidP="003C2419">
      <w:pPr>
        <w:pStyle w:val="ECHRParaQuote"/>
        <w:rPr>
          <w:rFonts w:eastAsia="MS Mincho"/>
        </w:rPr>
      </w:pPr>
      <w:r>
        <w:t>" 1.  Nikt nie może być ponownie sądzony lub ukarany w postępowaniu przed sądem tego samego państwa za przestępstwo, za które został uprzednio skazany prawomocnym wyrokiem lub uniewinniony zgodnie z ustawą i zasadami postępowania karnego tego państwa.</w:t>
      </w:r>
    </w:p>
    <w:p w14:paraId="4ACAAA86" w14:textId="77777777" w:rsidR="003C2419" w:rsidRPr="009A0B2E" w:rsidRDefault="003C2419" w:rsidP="003C2419">
      <w:pPr>
        <w:pStyle w:val="ECHRParaQuote"/>
        <w:rPr>
          <w:rFonts w:eastAsia="MS Mincho"/>
        </w:rPr>
      </w:pPr>
      <w:r>
        <w:t>2.  Postanowienia poprzedniego ustępu nie stoją na przeszkodzie wznowieniu postępowania zgodnie z ustawą i zasadami postępowania karnego danego państwa, jeśli zaistnieją nowe lub nowo ujawnione fakty lub jeśli w poprzednim postępowaniu dopuszczono się rażącego uchybienia, które mogło mieć wpływ na wynik sprawy.</w:t>
      </w:r>
    </w:p>
    <w:p w14:paraId="5BFCAF05" w14:textId="77777777" w:rsidR="003C2419" w:rsidRPr="009A0B2E" w:rsidRDefault="003C2419" w:rsidP="003C2419">
      <w:pPr>
        <w:pStyle w:val="ECHRParaQuote"/>
        <w:rPr>
          <w:rFonts w:eastAsia="MS Mincho"/>
        </w:rPr>
      </w:pPr>
      <w:r>
        <w:t>3.  Żadne z postanowień niniejszego artykułu nie może być uchylone na podstawie artykułu 15 Konwencji. "</w:t>
      </w:r>
    </w:p>
    <w:p w14:paraId="07D33294" w14:textId="77777777" w:rsidR="003C2419" w:rsidRDefault="003C2419" w:rsidP="003C2419">
      <w:pPr>
        <w:pStyle w:val="ECHRTitleCentre3"/>
        <w:rPr>
          <w:rFonts w:eastAsia="MS Mincho"/>
        </w:rPr>
      </w:pPr>
      <w:r>
        <w:t>Artykuł 6 § 2</w:t>
      </w:r>
    </w:p>
    <w:p w14:paraId="4C48107C" w14:textId="77777777" w:rsidR="003C2419" w:rsidRDefault="003C2419" w:rsidP="003C2419">
      <w:pPr>
        <w:pStyle w:val="ECHRParaQuote"/>
        <w:rPr>
          <w:rFonts w:eastAsia="MS Mincho"/>
        </w:rPr>
      </w:pPr>
      <w:r>
        <w:t>"(...)</w:t>
      </w:r>
    </w:p>
    <w:p w14:paraId="03AD5225" w14:textId="77777777" w:rsidR="003C2419" w:rsidRPr="009A0B2E" w:rsidRDefault="003C2419" w:rsidP="003C2419">
      <w:pPr>
        <w:pStyle w:val="ECHRParaQuote"/>
        <w:rPr>
          <w:rFonts w:eastAsia="MS Mincho"/>
        </w:rPr>
      </w:pPr>
      <w:r>
        <w:t>2.  Każdego oskarżonego o popełnienie czynu zagrożonego karą uważa się za niewinnego do czasu udowodnienia mu winy zgodnie z ustawą.</w:t>
      </w:r>
    </w:p>
    <w:p w14:paraId="2B351AE7" w14:textId="77777777" w:rsidR="003C2419" w:rsidRPr="009A0B2E" w:rsidRDefault="003C2419" w:rsidP="003C2419">
      <w:pPr>
        <w:pStyle w:val="ECHRParaQuote"/>
        <w:rPr>
          <w:rFonts w:eastAsia="MS Mincho"/>
        </w:rPr>
      </w:pPr>
      <w:r>
        <w:t>(...) "</w:t>
      </w:r>
    </w:p>
    <w:p w14:paraId="2F55D202" w14:textId="77777777" w:rsidR="003C2419" w:rsidRDefault="003C2419" w:rsidP="003C2419">
      <w:pPr>
        <w:pStyle w:val="ECHRHeading2"/>
        <w:rPr>
          <w:rFonts w:eastAsia="MS Gothic"/>
        </w:rPr>
      </w:pPr>
      <w:r>
        <w:t xml:space="preserve">A. </w:t>
      </w:r>
      <w:r w:rsidR="003342B2">
        <w:t>Rzekome</w:t>
      </w:r>
      <w:r>
        <w:t xml:space="preserve"> naruszeni</w:t>
      </w:r>
      <w:r w:rsidR="003342B2">
        <w:t>e</w:t>
      </w:r>
      <w:r>
        <w:t xml:space="preserve"> artykułu 4 Protokołu nr 7</w:t>
      </w:r>
    </w:p>
    <w:p w14:paraId="0A665226" w14:textId="77777777" w:rsidR="003C2419" w:rsidRDefault="003C2419" w:rsidP="003C2419">
      <w:pPr>
        <w:pStyle w:val="ECHRHeading3"/>
        <w:rPr>
          <w:rFonts w:eastAsia="MS Gothic"/>
        </w:rPr>
      </w:pPr>
      <w:r>
        <w:t>1.  Dopuszczalność</w:t>
      </w:r>
    </w:p>
    <w:p w14:paraId="126A30DB" w14:textId="77777777" w:rsidR="003C2419" w:rsidRDefault="003342B2" w:rsidP="003C2419">
      <w:pPr>
        <w:pStyle w:val="ECHRHeading4"/>
        <w:rPr>
          <w:rFonts w:eastAsia="MS Gothic"/>
        </w:rPr>
      </w:pPr>
      <w:r>
        <w:t>a)  Stanowiska</w:t>
      </w:r>
      <w:r w:rsidR="003C2419">
        <w:t xml:space="preserve"> stron</w:t>
      </w:r>
    </w:p>
    <w:p w14:paraId="0EE10C1E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50</w:t>
        </w:r>
      </w:fldSimple>
      <w:r>
        <w:t>.  Rząd odnosi się do orzecznictwa Trybunału odnośnie kryteriów</w:t>
      </w:r>
      <w:r w:rsidR="00E51810">
        <w:t>,</w:t>
      </w:r>
      <w:r>
        <w:t xml:space="preserve"> jakie należy wziąć pod rozwagę aby rozstrzygnąć kwestię czy postępowanie przed sądami krajowymi dotyczy "oskarżenia z zakresu prawa karnego" w rozumieniu artykułu 6 Konwencji. Podnosi również autonomię postępowania administracyjnego w stosunku do procesu karnego odnośnie przestępstwa przemytu i potwierdza, że celem pierwszego z nich nie jest </w:t>
      </w:r>
      <w:r w:rsidR="00C45615">
        <w:t>represja</w:t>
      </w:r>
      <w:r>
        <w:t xml:space="preserve"> karn</w:t>
      </w:r>
      <w:r w:rsidR="00C45615">
        <w:t>a</w:t>
      </w:r>
      <w:r>
        <w:t xml:space="preserve"> </w:t>
      </w:r>
      <w:r w:rsidR="00C45615">
        <w:t xml:space="preserve">za to </w:t>
      </w:r>
      <w:r>
        <w:t>przestępstw</w:t>
      </w:r>
      <w:r w:rsidR="00C45615">
        <w:t>o</w:t>
      </w:r>
      <w:r>
        <w:t xml:space="preserve">. Z drugiej strony, nałożenie grzywny administracyjnej ma na celu, zgodnie z greckim prawem, zagwarantowanie </w:t>
      </w:r>
      <w:r w:rsidR="000D782E">
        <w:t xml:space="preserve">przez Państwo </w:t>
      </w:r>
      <w:r>
        <w:t xml:space="preserve">wpływu środków pieniężnych należnych z tytułu cła </w:t>
      </w:r>
      <w:r w:rsidR="0051401E">
        <w:t xml:space="preserve">oraz </w:t>
      </w:r>
      <w:r w:rsidR="00E51810">
        <w:t xml:space="preserve"> efekt odstraszając</w:t>
      </w:r>
      <w:r w:rsidR="0051401E">
        <w:t>y</w:t>
      </w:r>
      <w:r w:rsidR="00E51810">
        <w:t xml:space="preserve"> od</w:t>
      </w:r>
      <w:r>
        <w:t xml:space="preserve"> popełniania przemytu.</w:t>
      </w:r>
    </w:p>
    <w:p w14:paraId="6A9A841B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51</w:t>
        </w:r>
      </w:fldSimple>
      <w:r>
        <w:t xml:space="preserve">.  Skarżący twierdzą, że artykuł 4 Protokołu nr 7 miał zastosowanie w przedmiotowej sprawie ponieważ postępowania przed sądami administracyjnymi </w:t>
      </w:r>
      <w:r w:rsidR="00B929A7">
        <w:t>miały charakter</w:t>
      </w:r>
      <w:r>
        <w:t xml:space="preserve"> karn</w:t>
      </w:r>
      <w:r w:rsidR="00B929A7">
        <w:t>y</w:t>
      </w:r>
      <w:r>
        <w:t>.</w:t>
      </w:r>
    </w:p>
    <w:p w14:paraId="44CAFC44" w14:textId="77777777" w:rsidR="003C2419" w:rsidRDefault="003C2419" w:rsidP="003C2419">
      <w:pPr>
        <w:pStyle w:val="ECHRHeading4"/>
        <w:rPr>
          <w:rFonts w:eastAsia="MS Gothic"/>
        </w:rPr>
      </w:pPr>
      <w:r>
        <w:t>b)  Ocena Trybunału</w:t>
      </w:r>
    </w:p>
    <w:bookmarkStart w:id="9" w:name="jurisprudence"/>
    <w:bookmarkEnd w:id="9"/>
    <w:p w14:paraId="3A3C8B3B" w14:textId="77777777" w:rsidR="003C2419" w:rsidRDefault="003C2419" w:rsidP="003C2419">
      <w:pPr>
        <w:pStyle w:val="ECHRPara"/>
        <w:rPr>
          <w:rFonts w:eastAsia="MS Mincho"/>
        </w:rPr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355195">
        <w:rPr>
          <w:noProof/>
        </w:rPr>
        <w:t>52</w:t>
      </w:r>
      <w:r>
        <w:fldChar w:fldCharType="end"/>
      </w:r>
      <w:r>
        <w:t>.  Trybunał przypomina swoją stałą li</w:t>
      </w:r>
      <w:r w:rsidR="003B5F1B">
        <w:t>nię orzeczniczą</w:t>
      </w:r>
      <w:r w:rsidR="007D4D50">
        <w:t>,</w:t>
      </w:r>
      <w:r w:rsidR="003B5F1B">
        <w:t xml:space="preserve"> zgodnie z którą</w:t>
      </w:r>
      <w:r>
        <w:t xml:space="preserve"> aby ustalić istnie</w:t>
      </w:r>
      <w:r w:rsidR="00D8073F">
        <w:t>nie "oskarżenia o charakterze karnym</w:t>
      </w:r>
      <w:r>
        <w:t xml:space="preserve">" należy rozważyć trzy kryteria: kwalifikację prawną spornego środka w prawie krajowym, </w:t>
      </w:r>
      <w:r w:rsidR="00B929A7">
        <w:t>charakter</w:t>
      </w:r>
      <w:r>
        <w:t xml:space="preserve"> tego środka oraz </w:t>
      </w:r>
      <w:r w:rsidR="00392C14">
        <w:t>charakter</w:t>
      </w:r>
      <w:r>
        <w:t xml:space="preserve"> i surowość "sankcji" (</w:t>
      </w:r>
      <w:proofErr w:type="spellStart"/>
      <w:r>
        <w:rPr>
          <w:i/>
        </w:rPr>
        <w:t>Engel</w:t>
      </w:r>
      <w:proofErr w:type="spellEnd"/>
      <w:r>
        <w:rPr>
          <w:i/>
        </w:rPr>
        <w:t xml:space="preserve"> i inni przeciwko Holandii</w:t>
      </w:r>
      <w:r>
        <w:t>,</w:t>
      </w:r>
      <w:r w:rsidR="00D8073F">
        <w:t xml:space="preserve"> 8 czerwca 1976, § 82, seria A nr</w:t>
      </w:r>
      <w:r>
        <w:rPr>
          <w:vertAlign w:val="superscript"/>
        </w:rPr>
        <w:t> </w:t>
      </w:r>
      <w:r>
        <w:t xml:space="preserve">22). </w:t>
      </w:r>
      <w:r w:rsidR="007412D5">
        <w:t>Te</w:t>
      </w:r>
      <w:r>
        <w:t xml:space="preserve"> kryteria są </w:t>
      </w:r>
      <w:r w:rsidR="0001207A">
        <w:t xml:space="preserve"> ponadto </w:t>
      </w:r>
      <w:r>
        <w:t>alternatywne</w:t>
      </w:r>
      <w:r w:rsidR="00D8073F">
        <w:t>,</w:t>
      </w:r>
      <w:r>
        <w:t xml:space="preserve"> a nie łączne: aby stwierdzić istnienie "oskarżenia </w:t>
      </w:r>
      <w:r w:rsidR="00D8073F">
        <w:t>o charakterze karnym</w:t>
      </w:r>
      <w:r>
        <w:t>", wystarczy żeby przestępstwo</w:t>
      </w:r>
      <w:r w:rsidR="00D8073F">
        <w:t>,</w:t>
      </w:r>
      <w:r>
        <w:t xml:space="preserve"> o którym mowa było z natury "karne" z punktu widzenia Konwencji, lub naraża</w:t>
      </w:r>
      <w:r w:rsidR="00D8073F">
        <w:t>ło</w:t>
      </w:r>
      <w:r>
        <w:t xml:space="preserve"> osobę zainteresowaną na sankcję, która </w:t>
      </w:r>
      <w:r w:rsidR="007C2AE8">
        <w:t>poprzez swój charakter</w:t>
      </w:r>
      <w:r>
        <w:t xml:space="preserve"> i stop</w:t>
      </w:r>
      <w:r w:rsidR="007C2AE8">
        <w:t>ień</w:t>
      </w:r>
      <w:r>
        <w:t xml:space="preserve"> surowości należy ogólnie do "zakresu prawa karnego". Nie stoi to na przeszkodzie aby przyjąć podejście łączne</w:t>
      </w:r>
      <w:r w:rsidR="00D8073F">
        <w:t>,</w:t>
      </w:r>
      <w:r>
        <w:t xml:space="preserve"> jeżeli oddzielna analiza każdego z kryteriów nie pozwala na dojście do jasnego wniosku w kwestii istnienia "oskarżenia </w:t>
      </w:r>
      <w:r w:rsidR="00D8073F">
        <w:t>o charakterze karnym</w:t>
      </w:r>
      <w:r>
        <w:t>" (</w:t>
      </w:r>
      <w:bookmarkStart w:id="10" w:name="HIT1"/>
      <w:bookmarkEnd w:id="10"/>
      <w:proofErr w:type="spellStart"/>
      <w:r>
        <w:rPr>
          <w:i/>
        </w:rPr>
        <w:t>Jussila</w:t>
      </w:r>
      <w:proofErr w:type="spellEnd"/>
      <w:r>
        <w:rPr>
          <w:i/>
        </w:rPr>
        <w:t xml:space="preserve"> przeciwko Finlandii</w:t>
      </w:r>
      <w:r>
        <w:t xml:space="preserve"> [GC], nr 73053/01, §§ 30 i 31, CEDH 2006-XIII </w:t>
      </w:r>
      <w:r w:rsidR="00C26AA4">
        <w:t xml:space="preserve">oraz </w:t>
      </w:r>
      <w:proofErr w:type="spellStart"/>
      <w:r>
        <w:rPr>
          <w:i/>
        </w:rPr>
        <w:t>Zaicevs</w:t>
      </w:r>
      <w:proofErr w:type="spellEnd"/>
      <w:r>
        <w:rPr>
          <w:i/>
        </w:rPr>
        <w:t xml:space="preserve"> przeciwko Łotwie</w:t>
      </w:r>
      <w:r>
        <w:t>, nr 65022/01, § 31, CEDH 2007-IX (fragmenty)).</w:t>
      </w:r>
    </w:p>
    <w:p w14:paraId="3FB617B2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53</w:t>
        </w:r>
      </w:fldSimple>
      <w:r>
        <w:t>.  Ponadto, Trybunał zauważ</w:t>
      </w:r>
      <w:r w:rsidR="009B5DB0">
        <w:t>a</w:t>
      </w:r>
      <w:r>
        <w:t xml:space="preserve">, że w sprawie </w:t>
      </w:r>
      <w:proofErr w:type="spellStart"/>
      <w:r>
        <w:rPr>
          <w:i/>
        </w:rPr>
        <w:t>Mamidakis</w:t>
      </w:r>
      <w:proofErr w:type="spellEnd"/>
      <w:r>
        <w:rPr>
          <w:i/>
        </w:rPr>
        <w:t xml:space="preserve"> przeciwko Grecji </w:t>
      </w:r>
      <w:r>
        <w:t>(nr 35533/04, wyrok z dnia 11 stycznia 2007 roku), który dotyczył nałożenia na skarżącego grzywny administracyjnej z</w:t>
      </w:r>
      <w:r w:rsidR="00BA4C99">
        <w:t>a naruszenie przepisów Kodeksu c</w:t>
      </w:r>
      <w:r>
        <w:t xml:space="preserve">elnego podczas sprzedaży produktów naftowych, </w:t>
      </w:r>
      <w:r w:rsidR="00F43E0E">
        <w:t>uznał za ustalone</w:t>
      </w:r>
      <w:r>
        <w:t xml:space="preserve"> istnienie "os</w:t>
      </w:r>
      <w:r w:rsidR="00D8073F">
        <w:t>karżenia o charakterze karnym</w:t>
      </w:r>
      <w:r>
        <w:t>" w rozumieniu artykułu 6 Konwencji. W szczególności Trybunał rozważył co następuje:</w:t>
      </w:r>
    </w:p>
    <w:p w14:paraId="47B7E985" w14:textId="77777777" w:rsidR="003C2419" w:rsidRDefault="003C2419" w:rsidP="003C2419">
      <w:pPr>
        <w:pStyle w:val="ECHRParaQuote"/>
        <w:rPr>
          <w:rFonts w:eastAsia="MS Mincho"/>
        </w:rPr>
      </w:pPr>
      <w:r>
        <w:t xml:space="preserve">"(...) grzywna nałożona na skarżącego była przewidziana przez przepisy Kodeksu </w:t>
      </w:r>
      <w:r w:rsidR="004624D3">
        <w:t>c</w:t>
      </w:r>
      <w:r>
        <w:t>elnego i nie była kwalifikowana przez prawo krajowe jako sankcja karna. Jednakże, ze względu na poważną naturę przestępstwa przemytu, na odstraszający i represyjny charakter nałożonej sankcji, a także na bardzo wysoką kwotę grzywny, Trybunał uzn</w:t>
      </w:r>
      <w:r w:rsidR="00706CC0">
        <w:t>aje</w:t>
      </w:r>
      <w:r>
        <w:t>, że stawka dla skarżącego w przedmiotowej sprawie była wystarczająco wysoka aby uzasadnić, że aspekt karny artykułu 6 ma zastosowanie w przedmiotowej sprawie. " (</w:t>
      </w:r>
      <w:proofErr w:type="spellStart"/>
      <w:r>
        <w:rPr>
          <w:i/>
        </w:rPr>
        <w:t>Mamidakis</w:t>
      </w:r>
      <w:proofErr w:type="spellEnd"/>
      <w:r>
        <w:t>, wyżej cytowany</w:t>
      </w:r>
      <w:r w:rsidR="005A0B28">
        <w:t>,</w:t>
      </w:r>
      <w:r>
        <w:t xml:space="preserve"> § 21)</w:t>
      </w:r>
    </w:p>
    <w:p w14:paraId="758675B2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54</w:t>
        </w:r>
      </w:fldSimple>
      <w:r>
        <w:t>.  Trybunał stwierdz</w:t>
      </w:r>
      <w:r w:rsidR="004624D3">
        <w:t>a</w:t>
      </w:r>
      <w:r w:rsidR="005A0B28">
        <w:t>, że podobnie jak w niniejszych</w:t>
      </w:r>
      <w:r>
        <w:t xml:space="preserve"> spraw</w:t>
      </w:r>
      <w:r w:rsidR="005A0B28">
        <w:t>ach</w:t>
      </w:r>
      <w:r>
        <w:t xml:space="preserve">, wyrok </w:t>
      </w:r>
      <w:proofErr w:type="spellStart"/>
      <w:r>
        <w:rPr>
          <w:i/>
        </w:rPr>
        <w:t>Mamidakis</w:t>
      </w:r>
      <w:proofErr w:type="spellEnd"/>
      <w:r>
        <w:rPr>
          <w:i/>
        </w:rPr>
        <w:t xml:space="preserve"> </w:t>
      </w:r>
      <w:r w:rsidR="00FC3EE0">
        <w:t>dotyczył</w:t>
      </w:r>
      <w:r>
        <w:t xml:space="preserve"> zastosowania przepisów Kodeksu </w:t>
      </w:r>
      <w:r w:rsidR="00FC3EE0">
        <w:t>c</w:t>
      </w:r>
      <w:r>
        <w:t>elnego przewidujących nałożenie grzyw</w:t>
      </w:r>
      <w:r w:rsidR="00FC3EE0">
        <w:t>ien</w:t>
      </w:r>
      <w:r>
        <w:t xml:space="preserve"> </w:t>
      </w:r>
      <w:r w:rsidR="00675D1D">
        <w:t xml:space="preserve">w wysokości </w:t>
      </w:r>
      <w:r>
        <w:t xml:space="preserve">od dwukrotności do dziesięciokrotności </w:t>
      </w:r>
      <w:r w:rsidR="00844D94">
        <w:t xml:space="preserve">kwoty </w:t>
      </w:r>
      <w:r>
        <w:t xml:space="preserve">podatków dotyczących przedmiotu przestępstwa administracyjnego (patrz </w:t>
      </w:r>
      <w:proofErr w:type="spellStart"/>
      <w:r>
        <w:rPr>
          <w:i/>
        </w:rPr>
        <w:t>Mamidakis</w:t>
      </w:r>
      <w:proofErr w:type="spellEnd"/>
      <w:r>
        <w:rPr>
          <w:i/>
        </w:rPr>
        <w:t xml:space="preserve">, </w:t>
      </w:r>
      <w:r>
        <w:t xml:space="preserve">wyżej cytowany, § 7). Trybunał nie </w:t>
      </w:r>
      <w:r w:rsidR="00844D94">
        <w:t>znajduje</w:t>
      </w:r>
      <w:r>
        <w:t xml:space="preserve"> więc żadnego powodu aby zdystansować się od swoich wniosków zamieszczonych w wyżej cytowanym wyroku </w:t>
      </w:r>
      <w:proofErr w:type="spellStart"/>
      <w:r>
        <w:rPr>
          <w:i/>
        </w:rPr>
        <w:t>Mamidakis</w:t>
      </w:r>
      <w:proofErr w:type="spellEnd"/>
      <w:r>
        <w:rPr>
          <w:i/>
        </w:rPr>
        <w:t xml:space="preserve">, </w:t>
      </w:r>
      <w:r>
        <w:t>a mianowicie, że sankcje administracyjne, o których mowa należ</w:t>
      </w:r>
      <w:r w:rsidR="00252070">
        <w:t>ały</w:t>
      </w:r>
      <w:r>
        <w:t xml:space="preserve"> do zakresu prawa karnego.</w:t>
      </w:r>
    </w:p>
    <w:p w14:paraId="425E1A76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55</w:t>
        </w:r>
      </w:fldSimple>
      <w:r>
        <w:t xml:space="preserve">.  W tym miejscu Trybunał uważa za konieczne podkreślić, że grzywny, o których mowa nie zostały nałożone w maksymalnych zakresie; </w:t>
      </w:r>
      <w:r>
        <w:lastRenderedPageBreak/>
        <w:t xml:space="preserve">oscylowały </w:t>
      </w:r>
      <w:r w:rsidR="00AB175F">
        <w:t xml:space="preserve">one </w:t>
      </w:r>
      <w:r>
        <w:t xml:space="preserve">między dwukrotnością a trzykrotnością należnych podatków i ceł. Równocześnie wynosiły one </w:t>
      </w:r>
      <w:r w:rsidR="00EF2E85">
        <w:t xml:space="preserve">około </w:t>
      </w:r>
      <w:r>
        <w:t>st</w:t>
      </w:r>
      <w:r w:rsidR="00EF2E85">
        <w:t>u</w:t>
      </w:r>
      <w:r>
        <w:t xml:space="preserve"> trzydzie</w:t>
      </w:r>
      <w:r w:rsidR="00EF2E85">
        <w:t>stu</w:t>
      </w:r>
      <w:r>
        <w:t xml:space="preserve"> tysięcy euro w przypadku drugiego skarżącego i </w:t>
      </w:r>
      <w:r w:rsidR="00FF17A2">
        <w:t>kilkaset</w:t>
      </w:r>
      <w:r>
        <w:t xml:space="preserve"> tysięcy euro w przypadku pozostałych skarżących. Zatem, grzywny były ze względu na ich wysokość bezsprzecznie surowe i powodowały </w:t>
      </w:r>
      <w:r w:rsidR="00AD3D05">
        <w:t xml:space="preserve">dla </w:t>
      </w:r>
      <w:r>
        <w:t>osób fizycznych, których dotyczyły</w:t>
      </w:r>
      <w:r w:rsidR="00AB175F">
        <w:t xml:space="preserve">, bardzo istotne skutki </w:t>
      </w:r>
      <w:r>
        <w:t>majątkowe.</w:t>
      </w:r>
      <w:r>
        <w:fldChar w:fldCharType="begin"/>
      </w:r>
      <w:r>
        <w:instrText xml:space="preserve"> REF jurisprudence \h  \* MERGEFORMAT </w:instrText>
      </w:r>
      <w:r>
        <w:fldChar w:fldCharType="end"/>
      </w:r>
      <w:r>
        <w:fldChar w:fldCharType="begin"/>
      </w:r>
      <w:r>
        <w:instrText xml:space="preserve"> REF jurisprudence \h  \* MERGEFORMAT </w:instrText>
      </w:r>
      <w:r>
        <w:fldChar w:fldCharType="end"/>
      </w:r>
      <w:r>
        <w:fldChar w:fldCharType="begin"/>
      </w:r>
      <w:r>
        <w:instrText xml:space="preserve"> REF jurisprudence \h  \* MERGEFORMAT </w:instrText>
      </w:r>
      <w:r>
        <w:fldChar w:fldCharType="end"/>
      </w:r>
      <w:r>
        <w:fldChar w:fldCharType="begin"/>
      </w:r>
      <w:r>
        <w:instrText xml:space="preserve"> REF jurisprudence \h  \* MERGEFORMAT </w:instrText>
      </w:r>
      <w:r>
        <w:fldChar w:fldCharType="end"/>
      </w:r>
      <w:r>
        <w:fldChar w:fldCharType="begin"/>
      </w:r>
      <w:r>
        <w:instrText xml:space="preserve"> REF jurisprudence \h  \* MERGEFORMAT </w:instrText>
      </w:r>
      <w:r>
        <w:fldChar w:fldCharType="end"/>
      </w:r>
      <w:r>
        <w:rPr>
          <w:i/>
        </w:rPr>
        <w:t xml:space="preserve"> </w:t>
      </w:r>
      <w:r>
        <w:t>Ponadto, Trybunał przypomina, że zabarwienie karne postępowania zależy od stopnia surowości sankcji,  której a priori podlega osoba, której sprawa dotyczy (</w:t>
      </w:r>
      <w:proofErr w:type="spellStart"/>
      <w:r>
        <w:rPr>
          <w:i/>
        </w:rPr>
        <w:t>Engel</w:t>
      </w:r>
      <w:proofErr w:type="spellEnd"/>
      <w:r>
        <w:rPr>
          <w:i/>
        </w:rPr>
        <w:t xml:space="preserve"> i inni</w:t>
      </w:r>
      <w:r>
        <w:t xml:space="preserve">, wyżej cytowany, § 82), a nie od surowości sankcji </w:t>
      </w:r>
      <w:r w:rsidR="00373AFE">
        <w:t>ostatecznie</w:t>
      </w:r>
      <w:r>
        <w:t xml:space="preserve"> wymierzonej (</w:t>
      </w:r>
      <w:proofErr w:type="spellStart"/>
      <w:r>
        <w:rPr>
          <w:i/>
        </w:rPr>
        <w:t>Dubus</w:t>
      </w:r>
      <w:proofErr w:type="spellEnd"/>
      <w:r>
        <w:rPr>
          <w:i/>
        </w:rPr>
        <w:t xml:space="preserve"> S.A. przeciwko Francji</w:t>
      </w:r>
      <w:r>
        <w:t xml:space="preserve">, nr 5242/04, § 37, 11 czerwiec 2009). W rozpatrywanym przypadku, artykuł 97 </w:t>
      </w:r>
      <w:r w:rsidR="00E9253B">
        <w:t>ustawy nr 1165/1918 przewidywał</w:t>
      </w:r>
      <w:r>
        <w:t xml:space="preserve">, że nałożona grzywna mogła osiągnąć dziesięciokrotność sumy będącej przedmiotem należnych podatków lub ceł. Jeżeli tak by </w:t>
      </w:r>
      <w:r w:rsidR="009C6BB0">
        <w:t xml:space="preserve">się stało </w:t>
      </w:r>
      <w:r>
        <w:t>w przedmiotowej sprawie, jest</w:t>
      </w:r>
      <w:r w:rsidR="009C6BB0">
        <w:t xml:space="preserve"> oczywiste</w:t>
      </w:r>
      <w:r>
        <w:t>, że wpływ na sytuację majątkową skarżących byłyby jeszcze poważn</w:t>
      </w:r>
      <w:r w:rsidR="009C6BB0">
        <w:t>iejszy</w:t>
      </w:r>
      <w:r>
        <w:t>.</w:t>
      </w:r>
    </w:p>
    <w:p w14:paraId="2F29F0D1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56</w:t>
        </w:r>
      </w:fldSimple>
      <w:r>
        <w:t>.  W świetle powyższego i biorąc pod uwagę wysokie kwoty nałożonych grzywien i tych na jakie skarżą</w:t>
      </w:r>
      <w:r w:rsidR="007846CD">
        <w:t>cy byli narażeni, Trybunał uznaje</w:t>
      </w:r>
      <w:r>
        <w:t>, że rozpatrywane sankcje należą</w:t>
      </w:r>
      <w:r w:rsidR="007846CD">
        <w:t>,</w:t>
      </w:r>
      <w:r>
        <w:t xml:space="preserve"> z uwagi na ich surowość oraz odstraszający charakter</w:t>
      </w:r>
      <w:r w:rsidR="007846CD">
        <w:t>,</w:t>
      </w:r>
      <w:r>
        <w:t xml:space="preserve"> do zakresu prawa karnego (patrz, </w:t>
      </w:r>
      <w:r>
        <w:rPr>
          <w:i/>
        </w:rPr>
        <w:t>Grande Stevens</w:t>
      </w:r>
      <w:r>
        <w:t xml:space="preserve"> </w:t>
      </w:r>
      <w:r>
        <w:rPr>
          <w:i/>
        </w:rPr>
        <w:t>i inni przeciwko Włochom</w:t>
      </w:r>
      <w:r>
        <w:t xml:space="preserve">, nr 18640/10, 18647/10, 18663/10, 18668/10 i 18698/10, § 99, 4 marca 2014 roku </w:t>
      </w:r>
      <w:r w:rsidR="007846CD">
        <w:t>oraz</w:t>
      </w:r>
      <w:r>
        <w:t xml:space="preserve">, </w:t>
      </w:r>
      <w:r>
        <w:rPr>
          <w:i/>
        </w:rPr>
        <w:t>a contrario</w:t>
      </w:r>
      <w:r>
        <w:t xml:space="preserve">, </w:t>
      </w:r>
      <w:proofErr w:type="spellStart"/>
      <w:r>
        <w:rPr>
          <w:i/>
        </w:rPr>
        <w:t>Inocêncio</w:t>
      </w:r>
      <w:proofErr w:type="spellEnd"/>
      <w:r>
        <w:rPr>
          <w:i/>
        </w:rPr>
        <w:t xml:space="preserve"> przeciwko Portuga</w:t>
      </w:r>
      <w:r w:rsidR="007846CD">
        <w:rPr>
          <w:i/>
        </w:rPr>
        <w:t>lii</w:t>
      </w:r>
      <w:r>
        <w:t xml:space="preserve"> (decyzja), nr 43862/98, CEDH 2001</w:t>
      </w:r>
      <w:r>
        <w:noBreakHyphen/>
        <w:t>I).</w:t>
      </w:r>
      <w:r w:rsidR="00E9253B">
        <w:t xml:space="preserve"> Należy więc odrzucić zarzut</w:t>
      </w:r>
      <w:r>
        <w:t xml:space="preserve"> Rządu </w:t>
      </w:r>
      <w:r w:rsidR="00E9253B">
        <w:t>odnośnie tego punktu</w:t>
      </w:r>
      <w:r>
        <w:t>.</w:t>
      </w:r>
    </w:p>
    <w:p w14:paraId="7708547E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57</w:t>
        </w:r>
      </w:fldSimple>
      <w:r>
        <w:t xml:space="preserve">.  Dodatkowo, Trybunał stwierdza, że skarga </w:t>
      </w:r>
      <w:r w:rsidR="00F25CED">
        <w:t xml:space="preserve">ta </w:t>
      </w:r>
      <w:r>
        <w:t xml:space="preserve">nie jest oczywiście bezzasadna w rozumieniu artykułu 35 § </w:t>
      </w:r>
      <w:r w:rsidR="00671741">
        <w:t>3 a) Konwencji. Podnosi również</w:t>
      </w:r>
      <w:r>
        <w:t>, że skarga nie jest również niedopuszczalna na żadnej innej podstawie. Należy więc uznać ją za dopuszczalną.</w:t>
      </w:r>
    </w:p>
    <w:p w14:paraId="159E6C6C" w14:textId="77777777" w:rsidR="003C2419" w:rsidRDefault="003C2419" w:rsidP="003C2419">
      <w:pPr>
        <w:pStyle w:val="ECHRHeading3"/>
        <w:rPr>
          <w:rFonts w:eastAsia="MS Gothic"/>
        </w:rPr>
      </w:pPr>
      <w:r>
        <w:t>2.  </w:t>
      </w:r>
      <w:r w:rsidR="008C6B13">
        <w:t>Meritum</w:t>
      </w:r>
    </w:p>
    <w:p w14:paraId="79B22E71" w14:textId="77777777" w:rsidR="003C2419" w:rsidRDefault="003C2419" w:rsidP="003C2419">
      <w:pPr>
        <w:pStyle w:val="ECHRHeading4"/>
        <w:rPr>
          <w:rFonts w:eastAsia="MS Gothic"/>
        </w:rPr>
      </w:pPr>
      <w:r>
        <w:t>a)  </w:t>
      </w:r>
      <w:r w:rsidR="008C6B13">
        <w:t>Stanowiska</w:t>
      </w:r>
      <w:r>
        <w:t xml:space="preserve"> stron</w:t>
      </w:r>
    </w:p>
    <w:p w14:paraId="43ACA2A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58</w:t>
        </w:r>
      </w:fldSimple>
      <w:r>
        <w:t xml:space="preserve">.  Rząd podnosi przede wszystkim, że kwestia odnosząca się do istnienia drugiego przestępstwa, mająca u źródła zdarzenia, które w swojej istocie są tymi samymi zdarzeniami jak te, których dotyczył pierwszy wyrok uniewinniający lub skazujący, nie mogłaby być </w:t>
      </w:r>
      <w:r w:rsidR="007849BC">
        <w:t>od</w:t>
      </w:r>
      <w:r>
        <w:t xml:space="preserve">dzielona od </w:t>
      </w:r>
      <w:r w:rsidR="007849BC">
        <w:t>celu realizowanego</w:t>
      </w:r>
      <w:r>
        <w:t xml:space="preserve"> </w:t>
      </w:r>
      <w:r w:rsidR="007849BC">
        <w:t xml:space="preserve">w </w:t>
      </w:r>
      <w:r>
        <w:t xml:space="preserve">wewnętrznym porządku prawnym, </w:t>
      </w:r>
      <w:r w:rsidR="007849BC">
        <w:t>w zakresie</w:t>
      </w:r>
      <w:r>
        <w:t xml:space="preserve"> karani</w:t>
      </w:r>
      <w:r w:rsidR="007849BC">
        <w:t>a</w:t>
      </w:r>
      <w:r>
        <w:t xml:space="preserve"> za przemyt. Zdaniem Rządu, istnienie procedury administracyjnej, która toczy się równolegle z procedura karną nie pozostaje w sprzeczności </w:t>
      </w:r>
      <w:r w:rsidR="007849BC">
        <w:t>z</w:t>
      </w:r>
      <w:r>
        <w:t xml:space="preserve"> artykuł</w:t>
      </w:r>
      <w:r w:rsidR="007849BC">
        <w:t>em</w:t>
      </w:r>
      <w:r>
        <w:t xml:space="preserve"> 4 Protokołu nr 7, o ile pozwala ona na </w:t>
      </w:r>
      <w:r w:rsidR="00610A6F">
        <w:t>rozstrzygnięcie o</w:t>
      </w:r>
      <w:r>
        <w:t xml:space="preserve"> odpowiedzialności administracyjnej osoby popełniającej </w:t>
      </w:r>
      <w:r w:rsidR="008E2B51">
        <w:t>przestępstwo</w:t>
      </w:r>
      <w:r>
        <w:t>.</w:t>
      </w:r>
    </w:p>
    <w:p w14:paraId="50E7E4D0" w14:textId="77777777" w:rsidR="003C2419" w:rsidRPr="002C5351" w:rsidRDefault="003C2419" w:rsidP="00500767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59</w:t>
        </w:r>
      </w:fldSimple>
      <w:r>
        <w:t xml:space="preserve">.  Rząd dodaje, że to do </w:t>
      </w:r>
      <w:r w:rsidR="001E490F">
        <w:t>Państw</w:t>
      </w:r>
      <w:r>
        <w:t xml:space="preserve"> należy wybór najbardziej skutecznych środków do ścigania przestępstwa przemytu w ramach ich przepisów wewnętrznych. Zgodnie z jego zdaniem, jeżeli chodzi o prawo greckie, postępowanie karne ma na celu </w:t>
      </w:r>
      <w:r w:rsidR="00610A6F">
        <w:t>rozstrzygnięcie o</w:t>
      </w:r>
      <w:r>
        <w:t xml:space="preserve"> odpowiedzialności karnej </w:t>
      </w:r>
      <w:r w:rsidR="00610A6F">
        <w:lastRenderedPageBreak/>
        <w:t>domniemanego</w:t>
      </w:r>
      <w:r>
        <w:t xml:space="preserve"> sprawcy przemytu, podczas gdy postępowanie administracyjne zapewnia jedynie zapłatę </w:t>
      </w:r>
      <w:r w:rsidR="00143B20">
        <w:t xml:space="preserve">należnych </w:t>
      </w:r>
      <w:r>
        <w:t xml:space="preserve">podatków, </w:t>
      </w:r>
      <w:r w:rsidR="00143B20">
        <w:t xml:space="preserve">opłat i </w:t>
      </w:r>
      <w:r>
        <w:t xml:space="preserve">ceł. Rząd poczynił obszerne odniesienie do wyroku nr 2076/2011 Rady Stanu, w którym między innymi przyznano, że zastosowanie zasady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rPr>
          <w:i/>
        </w:rPr>
        <w:t xml:space="preserve">, </w:t>
      </w:r>
      <w:r>
        <w:t xml:space="preserve"> zgodnie z artykułem 4 Protokołu nr 7, stałoby w sprzec</w:t>
      </w:r>
      <w:r w:rsidR="00671741">
        <w:t>zności z autonomią</w:t>
      </w:r>
      <w:r>
        <w:t xml:space="preserve"> procedury administracyjnej w stosunku do postępowania karnego, tak jak to jest przewidziane w artykułach 94 § 1 i 96 § 1 Konstytucji. Wspomniane orzeczenie stwierdza również, że Rząd grecki nie mógł przewidzieć, że z powodu </w:t>
      </w:r>
      <w:r w:rsidR="00500767">
        <w:t>ewolucyjnego</w:t>
      </w:r>
      <w:r>
        <w:t xml:space="preserve"> orzecznictwa Trybunału odnośnie artykułu 4 Protokołu nr 7, </w:t>
      </w:r>
      <w:r w:rsidR="003835AC">
        <w:t>zobowiąże się</w:t>
      </w:r>
      <w:r>
        <w:t xml:space="preserve"> do przestrzegania zobowiązań międzynarodowych przeciwnych </w:t>
      </w:r>
      <w:r w:rsidR="003835AC">
        <w:t xml:space="preserve">dobrze zakorzenionym </w:t>
      </w:r>
      <w:r>
        <w:t>grecki</w:t>
      </w:r>
      <w:r w:rsidR="003835AC">
        <w:t>m</w:t>
      </w:r>
      <w:r>
        <w:t xml:space="preserve"> tradycj</w:t>
      </w:r>
      <w:r w:rsidR="003835AC">
        <w:t>om</w:t>
      </w:r>
      <w:r>
        <w:t xml:space="preserve"> prawny</w:t>
      </w:r>
      <w:r w:rsidR="003835AC">
        <w:t>m</w:t>
      </w:r>
      <w:r>
        <w:t xml:space="preserve"> oraz samej Konstytucji.</w:t>
      </w:r>
    </w:p>
    <w:p w14:paraId="6B41CFBC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60</w:t>
        </w:r>
      </w:fldSimple>
      <w:r>
        <w:t xml:space="preserve">.  Ponadto, Rząd </w:t>
      </w:r>
      <w:r w:rsidR="00CD3076">
        <w:t>s</w:t>
      </w:r>
      <w:r>
        <w:t xml:space="preserve">twierdza, że zgodnie z artykułem 4 protokołu nr 7, </w:t>
      </w:r>
      <w:r w:rsidR="002652FE">
        <w:t>do kiedy</w:t>
      </w:r>
      <w:r>
        <w:t xml:space="preserve"> </w:t>
      </w:r>
      <w:r w:rsidR="009510D1">
        <w:t xml:space="preserve">powaga rzeczy osądzonej nie zostanie nadana </w:t>
      </w:r>
      <w:r>
        <w:t>pierwsz</w:t>
      </w:r>
      <w:r w:rsidR="009510D1">
        <w:t>emu</w:t>
      </w:r>
      <w:r>
        <w:t xml:space="preserve"> wyrok</w:t>
      </w:r>
      <w:r w:rsidR="009510D1">
        <w:t>owi</w:t>
      </w:r>
      <w:r>
        <w:t xml:space="preserve"> karn</w:t>
      </w:r>
      <w:r w:rsidR="009510D1">
        <w:t>emu</w:t>
      </w:r>
      <w:r>
        <w:t>, rozpoczęcie nowego postępowania karnego przeciwko tej same</w:t>
      </w:r>
      <w:r w:rsidR="00671741">
        <w:t>j osobie za to samo działanie</w:t>
      </w:r>
      <w:r>
        <w:t xml:space="preserve"> nie jest zabronione. Jeżeli chodzi o przedmiotową sprawę, Rząd utrzymuje, że z akt sprawy nie wynika, że pierwszy skarżący potwierdził podczas toczącego się postępowania przed Apelacyjnym Sądem Administracyjnym zakończonym wyrokiem nr 2090/2000, że wyrok uniewinniający nr 1087/1992 Sądu Apelacyjnego w Atenach stał się prawomocny. Ponadto, jeśli chodzi o drugiego skarżącego, Rząd </w:t>
      </w:r>
      <w:r w:rsidR="00CD3076">
        <w:t>s</w:t>
      </w:r>
      <w:r>
        <w:t>twierdza, że nie dowiódł przed sądami administracyjnymi</w:t>
      </w:r>
      <w:r w:rsidR="00671741">
        <w:t>,</w:t>
      </w:r>
      <w:r>
        <w:t xml:space="preserve"> że wyr</w:t>
      </w:r>
      <w:r w:rsidR="00671741">
        <w:t>ok uniewinniający nr 2828/2000 Sądu K</w:t>
      </w:r>
      <w:r>
        <w:t xml:space="preserve">arnego w </w:t>
      </w:r>
      <w:proofErr w:type="spellStart"/>
      <w:r>
        <w:t>Patras</w:t>
      </w:r>
      <w:proofErr w:type="spellEnd"/>
      <w:r>
        <w:t xml:space="preserve"> był prawomocny. Co więcej, jak stwierdziła Rada Stanu, wspomniany wyrok nie został w prawidłowy sposób przedłożony przed Administracyjnym Sądem Administracyjnym.</w:t>
      </w:r>
    </w:p>
    <w:p w14:paraId="56CB46C6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61</w:t>
        </w:r>
      </w:fldSimple>
      <w:r>
        <w:t xml:space="preserve">.  Skarżący ripostują, że zasada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rPr>
          <w:i/>
        </w:rPr>
        <w:t xml:space="preserve"> </w:t>
      </w:r>
      <w:r>
        <w:t>została wyraźnie  naruszona w przed</w:t>
      </w:r>
      <w:r w:rsidR="006B466D">
        <w:t>miotowej sprawie poprzez fakt, ż</w:t>
      </w:r>
      <w:r>
        <w:t xml:space="preserve">e zostali oni "skazani" przez sądy administracyjne </w:t>
      </w:r>
      <w:r w:rsidR="006B466D">
        <w:t>za przestępstwa przewidziane w K</w:t>
      </w:r>
      <w:r>
        <w:t xml:space="preserve">odeksie </w:t>
      </w:r>
      <w:r w:rsidR="00DC292F">
        <w:t>c</w:t>
      </w:r>
      <w:r>
        <w:t>elnym, pomimo ich wcześniejszego uniewinnienia przez sądy karne odnoszące się do identycznych faktów i kwalifikacji.</w:t>
      </w:r>
    </w:p>
    <w:p w14:paraId="4F66EDEC" w14:textId="77777777" w:rsidR="003C2419" w:rsidRDefault="003C2419" w:rsidP="003C2419">
      <w:pPr>
        <w:pStyle w:val="ECHRHeading4"/>
        <w:rPr>
          <w:rFonts w:eastAsia="MS Gothic"/>
        </w:rPr>
      </w:pPr>
      <w:r>
        <w:t>b)  Ocena Trybunału</w:t>
      </w:r>
    </w:p>
    <w:p w14:paraId="3AC26854" w14:textId="77777777" w:rsidR="003C2419" w:rsidRDefault="003C2419" w:rsidP="003C2419">
      <w:pPr>
        <w:pStyle w:val="ECHRHeading5"/>
      </w:pPr>
      <w:r>
        <w:t>i.  Zasady ogólne</w:t>
      </w:r>
    </w:p>
    <w:p w14:paraId="4F292014" w14:textId="77777777" w:rsidR="003C2419" w:rsidRDefault="003C2419" w:rsidP="003C2419">
      <w:pPr>
        <w:pStyle w:val="ECHRPara"/>
        <w:rPr>
          <w:rFonts w:eastAsia="MS Mincho"/>
          <w:i/>
        </w:rPr>
      </w:pPr>
      <w:fldSimple w:instr=" SEQ level0 \*arabic ">
        <w:r w:rsidR="00355195">
          <w:rPr>
            <w:noProof/>
          </w:rPr>
          <w:t>62</w:t>
        </w:r>
      </w:fldSimple>
      <w:r>
        <w:t>.  Trybunał przypomniał, że artykuł 4 Protokołu 7 musi być rozumiany jako zabraniający ścigania czy sądzenia osoby za drugie "przestępstwo" o ile ma ono za źródło w faktach, które są w swojej istocie tymi samymi faktami (</w:t>
      </w:r>
      <w:proofErr w:type="spellStart"/>
      <w:r>
        <w:rPr>
          <w:i/>
        </w:rPr>
        <w:t>Sergueï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Zolotoukhine</w:t>
      </w:r>
      <w:proofErr w:type="spellEnd"/>
      <w:r>
        <w:rPr>
          <w:i/>
        </w:rPr>
        <w:t xml:space="preserve"> przeciwko Rosji</w:t>
      </w:r>
      <w:r>
        <w:t xml:space="preserve"> [GC], nr 14939/03, § 82, CEDH 2009).</w:t>
      </w:r>
    </w:p>
    <w:p w14:paraId="77C076A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63</w:t>
        </w:r>
      </w:fldSimple>
      <w:r>
        <w:t>.  Gwarancja wyrażona w artykule 4 Protokoł</w:t>
      </w:r>
      <w:r w:rsidR="006B466D">
        <w:t>u nr 7 ma zastosowanie jeżeli są</w:t>
      </w:r>
      <w:r>
        <w:t xml:space="preserve"> wszczynane nowe </w:t>
      </w:r>
      <w:r w:rsidR="002F0008">
        <w:t>postępowania,</w:t>
      </w:r>
      <w:r>
        <w:t xml:space="preserve"> a wcześniejsza decyzja uniewinniająca lub skazująca korzysta już z powagi rzeczy osądzonej. Na tym etapie, </w:t>
      </w:r>
      <w:r w:rsidR="00A8026B">
        <w:t>materiały</w:t>
      </w:r>
      <w:r>
        <w:t xml:space="preserve"> zgromadzone w aktach sprawy będą z pewnością </w:t>
      </w:r>
      <w:r>
        <w:lastRenderedPageBreak/>
        <w:t>zawierały decyzję</w:t>
      </w:r>
      <w:r w:rsidR="006B466D">
        <w:t>,</w:t>
      </w:r>
      <w:r>
        <w:t xml:space="preserve"> na mocy której zakończyło się pierwsze "postępowanie karne" oraz listę </w:t>
      </w:r>
      <w:r w:rsidR="00A8026B">
        <w:t>zarzutów</w:t>
      </w:r>
      <w:r>
        <w:t xml:space="preserve"> wniesionych przeciw skarżącemu w nowym postępowaniu. Zazwyczaj, te elementy będą zawierały </w:t>
      </w:r>
      <w:r w:rsidR="004A4F19">
        <w:t xml:space="preserve">opis </w:t>
      </w:r>
      <w:r>
        <w:t>stan</w:t>
      </w:r>
      <w:r w:rsidR="004A4F19">
        <w:t>u</w:t>
      </w:r>
      <w:r>
        <w:t xml:space="preserve"> faktyczn</w:t>
      </w:r>
      <w:r w:rsidR="004A4F19">
        <w:t>ego</w:t>
      </w:r>
      <w:r>
        <w:t xml:space="preserve"> </w:t>
      </w:r>
      <w:r w:rsidR="004A4F19">
        <w:t>d</w:t>
      </w:r>
      <w:r>
        <w:t xml:space="preserve">otyczący przestępstwa, za które skarżący był już sądzony i drugi </w:t>
      </w:r>
      <w:r w:rsidR="000605B3">
        <w:t>opis</w:t>
      </w:r>
      <w:r>
        <w:t xml:space="preserve"> odnoszący się do drugiego przestępstwa, o które jest oskarżony. Te </w:t>
      </w:r>
      <w:r w:rsidR="000605B3">
        <w:t>opisy</w:t>
      </w:r>
      <w:r>
        <w:t xml:space="preserve"> stanowią użyteczny punkt wyjścia do zbadania przez Trybunał kwestii czy </w:t>
      </w:r>
      <w:r w:rsidR="00814362">
        <w:t>fakty</w:t>
      </w:r>
      <w:r>
        <w:t xml:space="preserve"> badane w obu postępowaniach są identyczne lub czy są zasadniczo takie same. Nie ma znaczenia jakie elementy spośród tych nowych oskarżeń będą finalnie </w:t>
      </w:r>
      <w:r w:rsidR="00E5244D">
        <w:t xml:space="preserve">podtrzymane </w:t>
      </w:r>
      <w:r>
        <w:t>lub oddalone w przyszłym postępowaniu, ponieważ artykuł 4 Protokołu nr 7 wyraża gwarancję chroniącą przed nowym ściganiem lub ryzykiem nowego ścigania</w:t>
      </w:r>
      <w:r w:rsidR="00E5244D">
        <w:t>,</w:t>
      </w:r>
      <w:r>
        <w:t xml:space="preserve"> a nie zakaz kolejnego skazania czy kolejnego uniewinnienia (</w:t>
      </w:r>
      <w:proofErr w:type="spellStart"/>
      <w:r>
        <w:rPr>
          <w:i/>
        </w:rPr>
        <w:t>Sergueï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Zolotoukhine</w:t>
      </w:r>
      <w:proofErr w:type="spellEnd"/>
      <w:r>
        <w:rPr>
          <w:i/>
        </w:rPr>
        <w:t>,</w:t>
      </w:r>
      <w:r>
        <w:t xml:space="preserve"> wyżej cytowany, § 83).</w:t>
      </w:r>
    </w:p>
    <w:p w14:paraId="2D93F6C0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64</w:t>
        </w:r>
      </w:fldSimple>
      <w:r>
        <w:t xml:space="preserve">.  Trybunał musi zatem zająć się zbadaniem faktów </w:t>
      </w:r>
      <w:r w:rsidR="00253337">
        <w:t>przedstawionych</w:t>
      </w:r>
      <w:r>
        <w:t xml:space="preserve"> w </w:t>
      </w:r>
      <w:r w:rsidR="00253337">
        <w:t xml:space="preserve">tych opisach </w:t>
      </w:r>
      <w:r>
        <w:t>stanu faktycznego, któr</w:t>
      </w:r>
      <w:r w:rsidR="00253337">
        <w:t>e</w:t>
      </w:r>
      <w:r>
        <w:t xml:space="preserve"> </w:t>
      </w:r>
      <w:r w:rsidR="00253337">
        <w:t>tworzą razem</w:t>
      </w:r>
      <w:r>
        <w:t xml:space="preserve"> zespół konkretnych okoliczności faktycznych dotyczących tego samego sprawcy naruszenia i nierozerwalnie powiązanych między sobą w czasie i przestrzeni. Istnienie tych okoliczności musi być wykazane po to</w:t>
      </w:r>
      <w:r w:rsidR="001450FD">
        <w:t>,</w:t>
      </w:r>
      <w:r>
        <w:t xml:space="preserve"> aby skazanie mogło być orzeczone lub aby mogło być wszczęte ściganie na gruncie prawa karnego (</w:t>
      </w:r>
      <w:proofErr w:type="spellStart"/>
      <w:r>
        <w:rPr>
          <w:i/>
        </w:rPr>
        <w:t>Sergueï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Zolotoukhine</w:t>
      </w:r>
      <w:proofErr w:type="spellEnd"/>
      <w:r>
        <w:rPr>
          <w:i/>
        </w:rPr>
        <w:t>,</w:t>
      </w:r>
      <w:r>
        <w:t xml:space="preserve"> wyżej cytowany, § 84).</w:t>
      </w:r>
    </w:p>
    <w:p w14:paraId="206DEBC2" w14:textId="77777777" w:rsidR="003C2419" w:rsidRDefault="003C2419" w:rsidP="003C2419">
      <w:pPr>
        <w:pStyle w:val="ECHRHeading5"/>
      </w:pPr>
      <w:r>
        <w:t>ii.  Zastosowanie wyżej wskazanych zasad w przedmiotowej sprawie</w:t>
      </w:r>
    </w:p>
    <w:p w14:paraId="33FA3A4F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65</w:t>
        </w:r>
      </w:fldSimple>
      <w:r>
        <w:t>.  Stosując te zasady w przedmiotowej sprawie, Trybunał zauważa, po pierwsze, że doszedł do wniosku</w:t>
      </w:r>
      <w:r w:rsidR="006B466D">
        <w:t>,</w:t>
      </w:r>
      <w:r>
        <w:t xml:space="preserve"> </w:t>
      </w:r>
      <w:r w:rsidR="006B466D">
        <w:t>i</w:t>
      </w:r>
      <w:r>
        <w:t>ż należy stwierdzić</w:t>
      </w:r>
      <w:r w:rsidR="006B466D">
        <w:t>,</w:t>
      </w:r>
      <w:r>
        <w:t xml:space="preserve"> że postępowania przed sądami administracyjnymi obejmowały "oskarżenie </w:t>
      </w:r>
      <w:r w:rsidR="006B466D">
        <w:t>o charakterze karnym</w:t>
      </w:r>
      <w:r>
        <w:t>" przeciwko skarżącym (paragraf 55 powyżej). Po drugie, Trybunał zauważ</w:t>
      </w:r>
      <w:r w:rsidR="000B7F9F">
        <w:t>a</w:t>
      </w:r>
      <w:r>
        <w:t xml:space="preserve">, że skarżący zostali uniewinnieni w postępowaniach karnych </w:t>
      </w:r>
      <w:r w:rsidR="005F309B">
        <w:t>wyrokami</w:t>
      </w:r>
      <w:r>
        <w:t xml:space="preserve"> sąd</w:t>
      </w:r>
      <w:r w:rsidR="005F309B">
        <w:t>u</w:t>
      </w:r>
      <w:r>
        <w:t xml:space="preserve"> </w:t>
      </w:r>
      <w:r w:rsidR="005F309B">
        <w:t xml:space="preserve">apelacyjnego i </w:t>
      </w:r>
      <w:r w:rsidR="006B466D">
        <w:t xml:space="preserve">sądu karnego. </w:t>
      </w:r>
      <w:r w:rsidR="005F309B">
        <w:t>W szczególności</w:t>
      </w:r>
      <w:r>
        <w:t>, pierwszy skarżący został uniewinniony dnia 12 listopada 1992 roku, wyrok</w:t>
      </w:r>
      <w:r w:rsidR="005F309B">
        <w:t>iem</w:t>
      </w:r>
      <w:r>
        <w:t xml:space="preserve"> nr 1087/1992 Sądu Apelacyjnego w Atenach ; drugi skarżący został uniewinniony dnia 21 czerwca 2000 roku, na mocy wyroku nr 2828/2000 Sądu Karnego w </w:t>
      </w:r>
      <w:proofErr w:type="spellStart"/>
      <w:r>
        <w:t>Patras</w:t>
      </w:r>
      <w:proofErr w:type="spellEnd"/>
      <w:r>
        <w:t> ; jeżeli chodzi o trzeciego skarżącego</w:t>
      </w:r>
      <w:r w:rsidR="007955B2">
        <w:t>,</w:t>
      </w:r>
      <w:r>
        <w:t xml:space="preserve"> został on uniewinniony dnia 21 maja 1998 roku, wyrok</w:t>
      </w:r>
      <w:r w:rsidR="007955B2">
        <w:t>iem</w:t>
      </w:r>
      <w:r>
        <w:t xml:space="preserve"> nr 36398/1998 Sądu Karnego w Atenach. Ponieważ, jak to wynika z akt sprawy, żaden środek odwoławczy nie został wniesiony od wyżej wskazanych wyroków, stały się one ostateczne zgodnie z artykułem 473 Kodeksu </w:t>
      </w:r>
      <w:r w:rsidR="00E40168">
        <w:t>p</w:t>
      </w:r>
      <w:r>
        <w:t xml:space="preserve">ostępowania </w:t>
      </w:r>
      <w:r w:rsidR="00E40168">
        <w:t>k</w:t>
      </w:r>
      <w:r>
        <w:t>arnego odpowiednio w 1992, 2000 i 1998 roku</w:t>
      </w:r>
      <w:r w:rsidR="006B466D">
        <w:t>,</w:t>
      </w:r>
      <w:r>
        <w:t xml:space="preserve"> a więc korzystały z powagi rzeczy osądzonej.</w:t>
      </w:r>
    </w:p>
    <w:p w14:paraId="219BB175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66</w:t>
        </w:r>
      </w:fldSimple>
      <w:r>
        <w:t xml:space="preserve">.  Trybunał odnotowuje w tym punkcie argument Rządu, a mianowicie, że w niektórych z rozpatrywanych postępowań, skarżący przed </w:t>
      </w:r>
      <w:r w:rsidR="0046197C">
        <w:t xml:space="preserve">właściwymi </w:t>
      </w:r>
      <w:r>
        <w:t>sądami administracyjnymi nie powołali się w odpowiedni sposób albo na wyroki uniewinniające sądów karnych albo na fakt, że wyroki te stały się w międzyczasie prawomocne. Zdaniem Rządu, sądy administracyjne nie byłby wobec tego zobligowane bra</w:t>
      </w:r>
      <w:r w:rsidR="00A70545">
        <w:t>ć</w:t>
      </w:r>
      <w:r>
        <w:t xml:space="preserve"> pod </w:t>
      </w:r>
      <w:r w:rsidR="00A70545">
        <w:t>u</w:t>
      </w:r>
      <w:r>
        <w:t xml:space="preserve">wagę </w:t>
      </w:r>
      <w:r>
        <w:lastRenderedPageBreak/>
        <w:t>wyroków uniewinniających sądów karnych. Z akt spraw</w:t>
      </w:r>
      <w:r w:rsidR="009769F6">
        <w:t>y</w:t>
      </w:r>
      <w:r>
        <w:t xml:space="preserve"> jasno wynika, że we wszystkich tych sprawach skarżący powołali i przedłożyli wyroki uniewinniające, któr</w:t>
      </w:r>
      <w:r w:rsidR="00157E60">
        <w:t>e</w:t>
      </w:r>
      <w:r>
        <w:t xml:space="preserve"> </w:t>
      </w:r>
      <w:r w:rsidR="00157E60">
        <w:t xml:space="preserve">uzyskały </w:t>
      </w:r>
      <w:r>
        <w:t>już powag</w:t>
      </w:r>
      <w:r w:rsidR="00157E60">
        <w:t>ę</w:t>
      </w:r>
      <w:r>
        <w:t xml:space="preserve"> rzeczy osądzone</w:t>
      </w:r>
      <w:r w:rsidR="0046197C">
        <w:t xml:space="preserve">j, zarówno w sądach pierwszej i </w:t>
      </w:r>
      <w:r>
        <w:t>drugiej instancji</w:t>
      </w:r>
      <w:r w:rsidR="0046197C">
        <w:t>,</w:t>
      </w:r>
      <w:r>
        <w:t xml:space="preserve"> jak i w ostatniej instancji przed Radą Stanu. W opinii Trybunału, począwszy od tego momentu, to znaczy od powołania się przez sądami administracyjnymi na pierwsze postępowanie karne, to do sądu administracyjnego rozpatrującego sprawę należało pochylenie się z własnej inicjatywy nad skutkiem jaki wyroki uniewinniające, o których mowa</w:t>
      </w:r>
      <w:r w:rsidR="00BF6FD5">
        <w:t>,</w:t>
      </w:r>
      <w:r>
        <w:t xml:space="preserve"> mogły mieć w ramach toczącego się postępowania administracyjnego. W przeciwnym razie, fakt nie wzięcia pod uwagę elementu pierwszego "postępowania karnego" oznaczałoby </w:t>
      </w:r>
      <w:r w:rsidR="001A799B">
        <w:t>rozmyślne</w:t>
      </w:r>
      <w:r>
        <w:t xml:space="preserve"> tolerowanie sytuacji w ramach wewnętrznego porządku prawnego, któr</w:t>
      </w:r>
      <w:r w:rsidR="00B619C9">
        <w:t>a</w:t>
      </w:r>
      <w:r>
        <w:t xml:space="preserve"> m</w:t>
      </w:r>
      <w:r w:rsidR="00B619C9">
        <w:t>o</w:t>
      </w:r>
      <w:r>
        <w:t>gł</w:t>
      </w:r>
      <w:r w:rsidR="00B619C9">
        <w:t>a</w:t>
      </w:r>
      <w:r>
        <w:t xml:space="preserve">by naruszać zasadę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t>.</w:t>
      </w:r>
    </w:p>
    <w:p w14:paraId="6CF3974A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67</w:t>
        </w:r>
      </w:fldSimple>
      <w:r>
        <w:t>.  W świetle poprzednich rozważań, Trybunał stwierdza, że począwszy od momentu, kiedy wyroki uniewinniające w pierwszych postępowaniach karnych nabrały powagi rzeczy osądzonej, czyli odpowiednio w latach 1992, 2000 i 1</w:t>
      </w:r>
      <w:r w:rsidR="0046197C">
        <w:t>998, skarżący powinni być traktowani</w:t>
      </w:r>
      <w:r>
        <w:t xml:space="preserve"> jako osoby będące "już uniewinnione prawomocnym wyrokiem" w </w:t>
      </w:r>
      <w:r w:rsidR="008D2269">
        <w:t>rozumieniu</w:t>
      </w:r>
      <w:r>
        <w:t xml:space="preserve"> artykułu 4 Protokołu nr 7. Pomimo tego, nowe "postępowania karne", które zostały przeciwko nim wszczęte nie zostały </w:t>
      </w:r>
      <w:r w:rsidR="00F1453D">
        <w:t>ws</w:t>
      </w:r>
      <w:r>
        <w:t>trzymane po tym jak sądy, które prowadziły te pos</w:t>
      </w:r>
      <w:r w:rsidR="0046197C">
        <w:t>tępowania dowiedziały się o tych uniewinnieniach</w:t>
      </w:r>
      <w:r>
        <w:t xml:space="preserve">. W </w:t>
      </w:r>
      <w:r w:rsidR="00230B58">
        <w:t>efekcie</w:t>
      </w:r>
      <w:r>
        <w:t xml:space="preserve"> były one kontynuowane i zakończone wiele lat po zamknięciu postępowań karnych, w momencie wydania wyroków Rady Stanu, odpowiednio w 2011 i w 2012 roku, w ostatniej instancji.</w:t>
      </w:r>
    </w:p>
    <w:p w14:paraId="57FFDE27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68</w:t>
        </w:r>
      </w:fldSimple>
      <w:r>
        <w:t>.  Pozostaje ustalić czy u źródeł nowych postępowań były f</w:t>
      </w:r>
      <w:r w:rsidR="0046197C">
        <w:t>akty, które były co do istoty te</w:t>
      </w:r>
      <w:r>
        <w:t xml:space="preserve"> same jak te, które były przedmiotem prawomocnego uniewinnienia. W tej kwestii, Trybunał stwierdza, że jak to wynika z </w:t>
      </w:r>
      <w:r w:rsidR="00E14602">
        <w:t>materiałów</w:t>
      </w:r>
      <w:r>
        <w:t xml:space="preserve"> zgromadzonych w aktach</w:t>
      </w:r>
      <w:r w:rsidR="00E14602">
        <w:t>,</w:t>
      </w:r>
      <w:r>
        <w:t xml:space="preserve"> w kwestii skargi nr 3453/12, przedmiotem obu "postępowań karnych" był import przez skarżącego w latach 1985 i 1986, dwunastu urządzeń elektronicznych oraz strzelby myśliwskiej, wciągarki i kamery wideo bez uiszczenia </w:t>
      </w:r>
      <w:r w:rsidR="00E14602">
        <w:t xml:space="preserve">przewidzianych </w:t>
      </w:r>
      <w:r>
        <w:t>należności celnych. W skardze nr 42941/12 przedmiotem dwóch rozpatrywanych postępowań była sprzedaż przez drugiego skarżącego, pomiędzy rokiem 1993 i 1995</w:t>
      </w:r>
      <w:r w:rsidR="007C2BC8">
        <w:t>,</w:t>
      </w:r>
      <w:r>
        <w:t xml:space="preserve"> 110 000 litrów benzyny i 221 000 litrów oleju napędowego bez </w:t>
      </w:r>
      <w:r w:rsidR="007C2BC8">
        <w:t>zaświadczeń</w:t>
      </w:r>
      <w:r>
        <w:t xml:space="preserve"> zakupu. Wreszcie odnośnie skargi nr 9028/13</w:t>
      </w:r>
      <w:r w:rsidR="00A21E72">
        <w:t>,</w:t>
      </w:r>
      <w:r>
        <w:t xml:space="preserve"> przedmiotem "dwóch postępowań karnych" był import do Grecji przez trzeciego skarżącego, w listopadzie 1992 roku</w:t>
      </w:r>
      <w:r w:rsidR="00A21E72">
        <w:t>,</w:t>
      </w:r>
      <w:r>
        <w:t xml:space="preserve"> dwóch luksusowych samochodów bez zapłacenia podatków i ceł </w:t>
      </w:r>
      <w:r w:rsidR="00406AE2">
        <w:t>oraz</w:t>
      </w:r>
      <w:r>
        <w:t xml:space="preserve"> wprowadzenie ich do ruchu bez wcześniejszego otrzymania pozwoleń ze strony władz celnych. W konsekwencji, czyny zarzucane skarżąc</w:t>
      </w:r>
      <w:r w:rsidR="00085DB0">
        <w:t>y</w:t>
      </w:r>
      <w:r>
        <w:t>m przed sądami karnymi i administracyjnymi odnosiły się do dokładnie tych samych zachowań mających miejsce w tym samym okresie czasu.</w:t>
      </w:r>
    </w:p>
    <w:p w14:paraId="0DFA6A25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69</w:t>
        </w:r>
      </w:fldSimple>
      <w:r w:rsidR="009563D7">
        <w:t>.  Ponadto, Trybunał zauważa</w:t>
      </w:r>
      <w:r>
        <w:t>, że Rząd nie neguje faktu, że zarówno</w:t>
      </w:r>
      <w:r w:rsidR="009563D7">
        <w:t xml:space="preserve"> przedmiotowe</w:t>
      </w:r>
      <w:r>
        <w:t xml:space="preserve"> postępowania karne, jak i administracyjne dotyczyły tych </w:t>
      </w:r>
      <w:r w:rsidR="00BA6A5C">
        <w:lastRenderedPageBreak/>
        <w:t xml:space="preserve">samych </w:t>
      </w:r>
      <w:r>
        <w:t xml:space="preserve">okoliczności faktycznych. </w:t>
      </w:r>
      <w:r w:rsidR="00446343">
        <w:t xml:space="preserve">W </w:t>
      </w:r>
      <w:r w:rsidR="001F730B">
        <w:t>istocie</w:t>
      </w:r>
      <w:r>
        <w:t xml:space="preserve"> Rząd koncentruje się na dwóch bardziej ogólnych elementach, podniesionych miedzy innymi w wyroku nr 2067/2011 Rady Stanu, do którego obszernie się odnosi w swoich uwagach</w:t>
      </w:r>
      <w:r w:rsidR="00446343">
        <w:t>:</w:t>
      </w:r>
      <w:r>
        <w:t xml:space="preserve"> po pierwsze, fakt że Państwo greckie nie mogło przewidzieć </w:t>
      </w:r>
      <w:r w:rsidR="00293F53">
        <w:t>ewolucji</w:t>
      </w:r>
      <w:r>
        <w:t xml:space="preserve"> orzecznictwa odnoszącego się do artykułu 4 Protokołu nr 7 odnośnie pojęcia "postępowania karnego", które będzie kwes</w:t>
      </w:r>
      <w:r w:rsidR="00BA6A5C">
        <w:t xml:space="preserve">tionowało tradycyjną dualność systemu sądowego w kwestiach </w:t>
      </w:r>
      <w:r>
        <w:t xml:space="preserve">dotyczących przestępstw przewidzianych przez Kodeks </w:t>
      </w:r>
      <w:r w:rsidR="005B2BAC">
        <w:t>c</w:t>
      </w:r>
      <w:r>
        <w:t>elny. Po drugie, sposób</w:t>
      </w:r>
      <w:r w:rsidR="00BA6A5C">
        <w:t>,</w:t>
      </w:r>
      <w:r>
        <w:t xml:space="preserve"> w jaki Trybunał postrzega zasadę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t xml:space="preserve"> stałby w sprzeczności z autonomią, przewidzianą w prawie krajowym dla sądów administracyjnych w stosunku do sądowego porządku karnego i </w:t>
      </w:r>
      <w:r>
        <w:rPr>
          <w:i/>
        </w:rPr>
        <w:t xml:space="preserve">a </w:t>
      </w:r>
      <w:proofErr w:type="spellStart"/>
      <w:r>
        <w:rPr>
          <w:i/>
        </w:rPr>
        <w:t>fortiori</w:t>
      </w:r>
      <w:proofErr w:type="spellEnd"/>
      <w:r>
        <w:t xml:space="preserve"> kompetencją sędziego administracyjnego do dojścia do innej oceny tego samego spornego postępowania, które było wcześniej przedmiotem procesu karnego.</w:t>
      </w:r>
    </w:p>
    <w:p w14:paraId="5AC6B71A" w14:textId="77777777" w:rsidR="003C2419" w:rsidRPr="00FF00D3" w:rsidRDefault="003C2419" w:rsidP="003C2419">
      <w:pPr>
        <w:pStyle w:val="ECHRPara"/>
      </w:pPr>
      <w:fldSimple w:instr=" SEQ level0 \*arabic ">
        <w:r w:rsidR="00355195">
          <w:rPr>
            <w:noProof/>
          </w:rPr>
          <w:t>70</w:t>
        </w:r>
      </w:fldSimple>
      <w:r>
        <w:t xml:space="preserve">.  Trybunał przypomina przede wszystkim, że odmiennie od międzynarodowych traktatów klasycznego typu, stosowanie Konwencji przekracza ramy prostej wzajemności pomiędzy Państwami nią związanymi. Oprócz wzajemnej, dwustronnej sieci </w:t>
      </w:r>
      <w:r w:rsidR="002C43A1">
        <w:t>powinności</w:t>
      </w:r>
      <w:r>
        <w:t xml:space="preserve">, tworzy ona obiektywne obowiązki, które zgodnie z treścią preambuły Konwencji, korzystają ze "zbiorowej gwarancji" (patrz, </w:t>
      </w:r>
      <w:r>
        <w:rPr>
          <w:i/>
        </w:rPr>
        <w:t>Irlandia przeciwko Zjednoczonemu Królestwu</w:t>
      </w:r>
      <w:r>
        <w:t xml:space="preserve">, 18 styczeń 1978, § 239, seria A nr 25, i </w:t>
      </w:r>
      <w:proofErr w:type="spellStart"/>
      <w:r>
        <w:rPr>
          <w:i/>
        </w:rPr>
        <w:t>Mamatkoulov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Askarov</w:t>
      </w:r>
      <w:proofErr w:type="spellEnd"/>
      <w:r>
        <w:rPr>
          <w:i/>
        </w:rPr>
        <w:t xml:space="preserve"> przeciwko Turcji </w:t>
      </w:r>
      <w:r>
        <w:t>[GC], nr 46827/99 i 46951/99, § 100, CEDH 2005</w:t>
      </w:r>
      <w:r>
        <w:noBreakHyphen/>
        <w:t>I). Dodatkowo, wszelka interpretacja wymienionych w Konwencji praw i wolności musi być w zgodzie z "ogólnym duchem [Konwencji], mającym na celu zachowanie i promowanie ideałów i wartości demokratycznego społeczeństwa" (</w:t>
      </w:r>
      <w:proofErr w:type="spellStart"/>
      <w:r>
        <w:rPr>
          <w:i/>
        </w:rPr>
        <w:t>Soering</w:t>
      </w:r>
      <w:proofErr w:type="spellEnd"/>
      <w:r>
        <w:rPr>
          <w:i/>
        </w:rPr>
        <w:t xml:space="preserve"> przeciwko Zjednoczonemu Królestwu</w:t>
      </w:r>
      <w:r>
        <w:t>, 7 lipiec 1989, § 87, seria A nr 161,</w:t>
      </w:r>
      <w:r>
        <w:rPr>
          <w:i/>
        </w:rPr>
        <w:t xml:space="preserve"> </w:t>
      </w:r>
      <w:r>
        <w:t xml:space="preserve">i, </w:t>
      </w:r>
      <w:r>
        <w:rPr>
          <w:i/>
        </w:rPr>
        <w:t>mutatis mutandis</w:t>
      </w:r>
      <w:r>
        <w:t xml:space="preserve">, </w:t>
      </w:r>
      <w:proofErr w:type="spellStart"/>
      <w:r>
        <w:rPr>
          <w:i/>
        </w:rPr>
        <w:t>Klass</w:t>
      </w:r>
      <w:proofErr w:type="spellEnd"/>
      <w:r>
        <w:rPr>
          <w:i/>
        </w:rPr>
        <w:t xml:space="preserve"> i inni przeciwko Niemcom</w:t>
      </w:r>
      <w:r>
        <w:t xml:space="preserve">, 6 wrzesień 1978, § 34, seria A nr 28). Poza tym, Trybunał podnosi, że "kryteria </w:t>
      </w:r>
      <w:proofErr w:type="spellStart"/>
      <w:r>
        <w:rPr>
          <w:i/>
        </w:rPr>
        <w:t>Engel</w:t>
      </w:r>
      <w:proofErr w:type="spellEnd"/>
      <w:r>
        <w:t xml:space="preserve">", właściwe dla ustalenia istnienia "oskarżenia </w:t>
      </w:r>
      <w:r w:rsidR="00BA6A5C">
        <w:t>o charakterze karnym</w:t>
      </w:r>
      <w:r>
        <w:t>", zostały wprowadzone do orzecznictwa w 1976 roku (patrz paragraf 51 powyżej). Biorą</w:t>
      </w:r>
      <w:r w:rsidR="00BA6A5C">
        <w:t>c</w:t>
      </w:r>
      <w:r>
        <w:t xml:space="preserve"> pod uwagę, że Grecja uznała w dniu 20 listopada 1985 roku prawo do indywidualne</w:t>
      </w:r>
      <w:r w:rsidR="009A5D23">
        <w:t>j</w:t>
      </w:r>
      <w:r>
        <w:t xml:space="preserve"> </w:t>
      </w:r>
      <w:r w:rsidR="009A5D23">
        <w:t>skargi</w:t>
      </w:r>
      <w:r>
        <w:t>, była już więc uprzedzona</w:t>
      </w:r>
      <w:r w:rsidR="00BA6A5C">
        <w:t>,</w:t>
      </w:r>
      <w:r>
        <w:t xml:space="preserve"> zarówno o jednostkowym charakterze "ducha ogólnego" Konwencji jako traktatu zbiorowych gwarancji praw człowieka, stworzonych by chronić jednostkę (patrz </w:t>
      </w:r>
      <w:proofErr w:type="spellStart"/>
      <w:r>
        <w:rPr>
          <w:i/>
        </w:rPr>
        <w:t>Mamatkoulov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Askarov</w:t>
      </w:r>
      <w:proofErr w:type="spellEnd"/>
      <w:r w:rsidR="009A5D23">
        <w:rPr>
          <w:i/>
        </w:rPr>
        <w:t xml:space="preserve"> </w:t>
      </w:r>
      <w:r w:rsidR="009A5D23" w:rsidRPr="009A5D23">
        <w:t>oraz</w:t>
      </w:r>
      <w:r w:rsidRPr="009A5D23">
        <w:t xml:space="preserve"> </w:t>
      </w:r>
      <w:proofErr w:type="spellStart"/>
      <w:r>
        <w:rPr>
          <w:i/>
        </w:rPr>
        <w:t>Klass</w:t>
      </w:r>
      <w:proofErr w:type="spellEnd"/>
      <w:r>
        <w:rPr>
          <w:i/>
        </w:rPr>
        <w:t xml:space="preserve"> i inni,</w:t>
      </w:r>
      <w:r>
        <w:t xml:space="preserve"> </w:t>
      </w:r>
      <w:proofErr w:type="spellStart"/>
      <w:r>
        <w:rPr>
          <w:i/>
        </w:rPr>
        <w:t>loc</w:t>
      </w:r>
      <w:proofErr w:type="spellEnd"/>
      <w:r>
        <w:rPr>
          <w:i/>
        </w:rPr>
        <w:t>. cit.</w:t>
      </w:r>
      <w:r>
        <w:t xml:space="preserve">) jak i </w:t>
      </w:r>
      <w:r w:rsidR="00BA6A5C">
        <w:t xml:space="preserve">o </w:t>
      </w:r>
      <w:r>
        <w:t>autonomicznym sposobie</w:t>
      </w:r>
      <w:r w:rsidR="00BA6A5C">
        <w:t>,</w:t>
      </w:r>
      <w:r>
        <w:t xml:space="preserve"> w jaki Trybunał postrzega pojęcie "oskarżenia o charakterze karnym". </w:t>
      </w:r>
      <w:r w:rsidR="00A26CA0">
        <w:t>Wreszcie</w:t>
      </w:r>
      <w:r>
        <w:t xml:space="preserve">, Trybunał zauważa, że </w:t>
      </w:r>
      <w:r w:rsidR="00F00EDA">
        <w:t xml:space="preserve">jakkolwiek </w:t>
      </w:r>
      <w:r>
        <w:t>Rząd przywołuje dualność systemu sądowego w kwestii dotyczącej przestępstwa przemytu, jako tradycję, dobrze zakorzenioną w wewnętrznym porządku prawnym, ustawa nr 2081/1939 wprowadzała jedną procedurę karną dotyczącą wspomnianego przestępstwa, która obowiązywała do 1950 roku (patrz paragraf 37 powyżej).</w:t>
      </w:r>
    </w:p>
    <w:p w14:paraId="146B39FD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71</w:t>
        </w:r>
      </w:fldSimple>
      <w:r>
        <w:t>.  Jeżeli chodzi o argument Rządu wywiedziony z autonomii administracyjn</w:t>
      </w:r>
      <w:r w:rsidR="00BA6A5C">
        <w:t>ego porządku sądowego w stosunku</w:t>
      </w:r>
      <w:r>
        <w:t xml:space="preserve"> do sądów karnych, Trybunał uznaje za konieczne przypomnieć, że prawo krajowe nie stosuje </w:t>
      </w:r>
      <w:r>
        <w:lastRenderedPageBreak/>
        <w:t xml:space="preserve">we wszystkich przypadkach zasady bezwzględnej autonomii dziedziny administracyjnej i karnej, ale przewiduje wyjątki od wspomnianej zasady. W </w:t>
      </w:r>
      <w:r w:rsidR="00A43936">
        <w:t>istocie</w:t>
      </w:r>
      <w:r>
        <w:t>, artykuł 5 § </w:t>
      </w:r>
      <w:r w:rsidR="00A43936">
        <w:t xml:space="preserve"> </w:t>
      </w:r>
      <w:r>
        <w:t xml:space="preserve">2 Kodeksu </w:t>
      </w:r>
      <w:r w:rsidR="00A43936">
        <w:t>p</w:t>
      </w:r>
      <w:r>
        <w:t xml:space="preserve">ostępowania </w:t>
      </w:r>
      <w:r w:rsidR="00A43936">
        <w:t>a</w:t>
      </w:r>
      <w:r>
        <w:t>dministracyjnego  stanowi, że sądy administracyjne są związane prawomocnymi decyzjami  skazującymi sądów karnych w kwestii dotyczącej winy osoby popełniającej przestępstwo (patrz paragraf 39 powyżej).</w:t>
      </w:r>
    </w:p>
    <w:p w14:paraId="709C54B5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72</w:t>
        </w:r>
      </w:fldSimple>
      <w:r>
        <w:t>.  Ponadto Trybunał zauważa, że artykuł 4 protokołu nr 7 nie zakazuje co do zasady nałożenia kary pozbawienia wolności i grzywny za t</w:t>
      </w:r>
      <w:r w:rsidR="000F6018">
        <w:t>e</w:t>
      </w:r>
      <w:r>
        <w:t xml:space="preserve"> sam</w:t>
      </w:r>
      <w:r w:rsidR="000F6018">
        <w:t>e</w:t>
      </w:r>
      <w:r>
        <w:t xml:space="preserve"> sporne </w:t>
      </w:r>
      <w:r w:rsidR="000F6018">
        <w:t>działania</w:t>
      </w:r>
      <w:r>
        <w:t xml:space="preserve">, pod warunkiem, ze zasada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rPr>
          <w:i/>
        </w:rPr>
        <w:t xml:space="preserve"> </w:t>
      </w:r>
      <w:r>
        <w:t>będzie przestrzegana. W ten sposób, w przypadku karania za przestępstwo przemytu, ta zasada nie byłaby naruszona, w przypadku</w:t>
      </w:r>
      <w:r w:rsidR="00BA6A5C">
        <w:t>,</w:t>
      </w:r>
      <w:r>
        <w:t xml:space="preserve"> jeżeli obie sankcje, pozbawiania wolności i pieniężna, byłyby nałożone w ramach jednego postępowania sądowego. Poza tym, fakt że w skargach nr 3453/12 i 42941/12,</w:t>
      </w:r>
      <w:r>
        <w:rPr>
          <w:i/>
        </w:rPr>
        <w:t xml:space="preserve"> </w:t>
      </w:r>
      <w:r>
        <w:t xml:space="preserve">postępowanie karne nie było jeszcze zakończone podczas wszczęcia postępowania administracyjnego, nie jest samo w sobie problematyczne z punktu widzenia zasady </w:t>
      </w:r>
      <w:proofErr w:type="spellStart"/>
      <w:r w:rsidR="00B10B53">
        <w:rPr>
          <w:i/>
        </w:rPr>
        <w:t>ne</w:t>
      </w:r>
      <w:proofErr w:type="spellEnd"/>
      <w:r w:rsidR="00B10B53">
        <w:rPr>
          <w:i/>
        </w:rPr>
        <w:t xml:space="preserve"> bis in </w:t>
      </w:r>
      <w:proofErr w:type="spellStart"/>
      <w:r w:rsidR="00B10B53">
        <w:rPr>
          <w:i/>
        </w:rPr>
        <w:t>idem</w:t>
      </w:r>
      <w:proofErr w:type="spellEnd"/>
      <w:r w:rsidR="00B10B53">
        <w:rPr>
          <w:i/>
        </w:rPr>
        <w:t>.</w:t>
      </w:r>
      <w:r>
        <w:rPr>
          <w:i/>
        </w:rPr>
        <w:t xml:space="preserve"> </w:t>
      </w:r>
      <w:r>
        <w:t>Poszanowanie tej zasady byłoby zapewnione</w:t>
      </w:r>
      <w:r w:rsidR="00B10B53">
        <w:t>,</w:t>
      </w:r>
      <w:r>
        <w:t xml:space="preserve"> gdyby sędzia karny zawiesił postępowanie po rozpoczęciu postępowania administracyjnego, a następnie </w:t>
      </w:r>
      <w:r w:rsidR="000D6F0C">
        <w:t>zakończył ściganie karne</w:t>
      </w:r>
      <w:r>
        <w:t xml:space="preserve"> po ostatecznym </w:t>
      </w:r>
      <w:r w:rsidR="00AA0C17">
        <w:t>za</w:t>
      </w:r>
      <w:r>
        <w:t>twierdzeniu grzywny, o której mowa</w:t>
      </w:r>
      <w:r w:rsidR="00AA0C17">
        <w:t>,</w:t>
      </w:r>
      <w:r>
        <w:t xml:space="preserve"> przez Radę Stanu (patrz </w:t>
      </w:r>
      <w:proofErr w:type="spellStart"/>
      <w:r>
        <w:rPr>
          <w:i/>
        </w:rPr>
        <w:t>Glantz</w:t>
      </w:r>
      <w:proofErr w:type="spellEnd"/>
      <w:r>
        <w:rPr>
          <w:i/>
        </w:rPr>
        <w:t xml:space="preserve"> przeciwko Finlandii</w:t>
      </w:r>
      <w:r>
        <w:t>, nr 37394/11, §§ 59-60, 20 maj</w:t>
      </w:r>
      <w:r w:rsidR="00AA0C17">
        <w:t>a</w:t>
      </w:r>
      <w:r>
        <w:t xml:space="preserve"> 2014 ; </w:t>
      </w:r>
      <w:proofErr w:type="spellStart"/>
      <w:r>
        <w:rPr>
          <w:i/>
        </w:rPr>
        <w:t>Häkkä</w:t>
      </w:r>
      <w:proofErr w:type="spellEnd"/>
      <w:r>
        <w:rPr>
          <w:i/>
        </w:rPr>
        <w:t xml:space="preserve"> przeciwko Finlandii</w:t>
      </w:r>
      <w:r>
        <w:t>, nr 758/11, §§ 48</w:t>
      </w:r>
      <w:r>
        <w:noBreakHyphen/>
        <w:t>49, 20 maj</w:t>
      </w:r>
      <w:r w:rsidR="00AA0C17">
        <w:t>a</w:t>
      </w:r>
      <w:r>
        <w:t xml:space="preserve"> 2014, i </w:t>
      </w:r>
      <w:proofErr w:type="spellStart"/>
      <w:r>
        <w:rPr>
          <w:i/>
        </w:rPr>
        <w:t>Nykänen</w:t>
      </w:r>
      <w:proofErr w:type="spellEnd"/>
      <w:r>
        <w:rPr>
          <w:i/>
        </w:rPr>
        <w:t xml:space="preserve"> przeciwko Finlandii</w:t>
      </w:r>
      <w:r>
        <w:t>, nr 11828/11</w:t>
      </w:r>
      <w:r>
        <w:rPr>
          <w:color w:val="000000"/>
        </w:rPr>
        <w:t>, § 49-50, 20 maj</w:t>
      </w:r>
      <w:r w:rsidR="00AA0C17">
        <w:rPr>
          <w:color w:val="000000"/>
        </w:rPr>
        <w:t>a</w:t>
      </w:r>
      <w:r>
        <w:rPr>
          <w:color w:val="000000"/>
        </w:rPr>
        <w:t xml:space="preserve"> 2014</w:t>
      </w:r>
      <w:r>
        <w:t>). Podobnie w skardze nr 9028/13</w:t>
      </w:r>
      <w:r w:rsidR="000B1378">
        <w:t>,</w:t>
      </w:r>
      <w:r>
        <w:t xml:space="preserve"> w związku z ostatecznym uniewinnieniem skarżącego, grzywny administracyjne</w:t>
      </w:r>
      <w:r w:rsidR="000B1378">
        <w:t>,</w:t>
      </w:r>
      <w:r>
        <w:t xml:space="preserve"> o których mowa</w:t>
      </w:r>
      <w:r w:rsidR="000B1378">
        <w:t>,</w:t>
      </w:r>
      <w:r>
        <w:t xml:space="preserve"> nie powinny </w:t>
      </w:r>
      <w:r w:rsidR="000B1378">
        <w:t>były zostać</w:t>
      </w:r>
      <w:r>
        <w:t xml:space="preserve"> na niego nałożone.</w:t>
      </w:r>
    </w:p>
    <w:p w14:paraId="386A8DA1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73</w:t>
        </w:r>
      </w:fldSimple>
      <w:r>
        <w:t>.  </w:t>
      </w:r>
      <w:r w:rsidR="00B10B53">
        <w:t>Na koniec, Trybunał podnosi, ż</w:t>
      </w:r>
      <w:r>
        <w:t xml:space="preserve">e w swoim wyroku </w:t>
      </w:r>
      <w:r>
        <w:rPr>
          <w:i/>
        </w:rPr>
        <w:t xml:space="preserve">Hans </w:t>
      </w:r>
      <w:proofErr w:type="spellStart"/>
      <w:r>
        <w:rPr>
          <w:i/>
        </w:rPr>
        <w:t>Åkerberg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Fransson</w:t>
      </w:r>
      <w:proofErr w:type="spellEnd"/>
      <w:r>
        <w:t>, cytowanym wyżej i wspomnianym przez Rząd w jego uwagach, Tryb</w:t>
      </w:r>
      <w:r w:rsidR="00B10B53">
        <w:t>unał Sprawiedliwości</w:t>
      </w:r>
      <w:r w:rsidR="0030267A">
        <w:t xml:space="preserve"> Unii Europejskiej</w:t>
      </w:r>
      <w:r w:rsidR="00B10B53">
        <w:t xml:space="preserve"> uściślił, ż</w:t>
      </w:r>
      <w:r>
        <w:t xml:space="preserve">e w świetle zasady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t xml:space="preserve">, Państwo może nałożyć podwójną sankcję (fiskalną i karną) za to samo </w:t>
      </w:r>
      <w:r w:rsidR="00EB6D09">
        <w:t>działanie</w:t>
      </w:r>
      <w:r>
        <w:t xml:space="preserve"> jedynie pod warunkiem, że pierwsza z sankcji nie przyjmuje charakteru karnego. Trybunał zauważa w tym punkcie, że podczas oceny </w:t>
      </w:r>
      <w:r w:rsidR="00BC5975">
        <w:t xml:space="preserve">charakteru </w:t>
      </w:r>
      <w:r>
        <w:t>karne</w:t>
      </w:r>
      <w:r w:rsidR="00BC5975">
        <w:t>go</w:t>
      </w:r>
      <w:r>
        <w:t xml:space="preserve"> sankcji fiskalnej TS</w:t>
      </w:r>
      <w:r w:rsidR="00BC5975">
        <w:t>UE</w:t>
      </w:r>
      <w:r>
        <w:t xml:space="preserve"> op</w:t>
      </w:r>
      <w:r w:rsidR="008B1BC4">
        <w:t>iera</w:t>
      </w:r>
      <w:r>
        <w:t xml:space="preserve"> się na trzech kryteriach zastosowanych przez Trybunał w wyroku </w:t>
      </w:r>
      <w:proofErr w:type="spellStart"/>
      <w:r>
        <w:rPr>
          <w:i/>
        </w:rPr>
        <w:t>Engel</w:t>
      </w:r>
      <w:proofErr w:type="spellEnd"/>
      <w:r>
        <w:rPr>
          <w:i/>
        </w:rPr>
        <w:t xml:space="preserve"> i inni </w:t>
      </w:r>
      <w:r>
        <w:t xml:space="preserve">(patrz paragrafy 47 i 52 powyżej). W konsekwencji, Trybunał podnosi zbieżność dwóch jurysdykcji w ocenie charakteru karnego postępowania skarbowego i </w:t>
      </w:r>
      <w:r w:rsidRPr="00B10B53">
        <w:rPr>
          <w:i/>
        </w:rPr>
        <w:t xml:space="preserve">a </w:t>
      </w:r>
      <w:proofErr w:type="spellStart"/>
      <w:r w:rsidRPr="00B10B53">
        <w:rPr>
          <w:i/>
        </w:rPr>
        <w:t>fortiori</w:t>
      </w:r>
      <w:proofErr w:type="spellEnd"/>
      <w:r>
        <w:t xml:space="preserve">, co do </w:t>
      </w:r>
      <w:r w:rsidR="004949AF">
        <w:t>warunków</w:t>
      </w:r>
      <w:r>
        <w:t xml:space="preserve"> stosowania zasady </w:t>
      </w:r>
      <w:proofErr w:type="spellStart"/>
      <w:r>
        <w:t>ne</w:t>
      </w:r>
      <w:proofErr w:type="spellEnd"/>
      <w:r>
        <w:t xml:space="preserve"> bis in </w:t>
      </w:r>
      <w:proofErr w:type="spellStart"/>
      <w:r>
        <w:t>idem</w:t>
      </w:r>
      <w:proofErr w:type="spellEnd"/>
      <w:r>
        <w:t xml:space="preserve"> w sprawach skarbowych i karnych (patrz pod tym kątem, Grande Stevens i inni, wyżej cytowany, § 229).</w:t>
      </w:r>
    </w:p>
    <w:p w14:paraId="6AC8264A" w14:textId="77777777" w:rsidR="003C2419" w:rsidRPr="00AF131B" w:rsidRDefault="003C2419" w:rsidP="003C2419">
      <w:pPr>
        <w:pStyle w:val="ECHRHeading5"/>
      </w:pPr>
      <w:r>
        <w:t>iii.  Konkluzja</w:t>
      </w:r>
    </w:p>
    <w:p w14:paraId="1B71C5B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74</w:t>
        </w:r>
      </w:fldSimple>
      <w:r>
        <w:t xml:space="preserve">.  W świetle powyższego, Trybunał </w:t>
      </w:r>
      <w:r w:rsidR="006F51AE">
        <w:t>uznaje</w:t>
      </w:r>
      <w:r>
        <w:t>, że postępowania administracyjne, o których mowa</w:t>
      </w:r>
      <w:r w:rsidR="006F51AE">
        <w:t>,</w:t>
      </w:r>
      <w:r>
        <w:t xml:space="preserve"> dotyczyły kolejnego "przestępstwa" mającego za źródło identyczne fakty jak te, które były przedmiotem pierwszych wyroków uniewinniających, które stały się prawomocne.</w:t>
      </w:r>
    </w:p>
    <w:bookmarkStart w:id="11" w:name="constviol4prot7"/>
    <w:p w14:paraId="76B9E4D9" w14:textId="77777777" w:rsidR="003C2419" w:rsidRDefault="003C2419" w:rsidP="003C2419">
      <w:pPr>
        <w:pStyle w:val="ECHRPara"/>
        <w:rPr>
          <w:rFonts w:eastAsia="MS Mincho"/>
        </w:rPr>
      </w:pPr>
      <w:r>
        <w:lastRenderedPageBreak/>
        <w:fldChar w:fldCharType="begin"/>
      </w:r>
      <w:r>
        <w:instrText xml:space="preserve"> SEQ level0 \*arabic </w:instrText>
      </w:r>
      <w:r>
        <w:fldChar w:fldCharType="separate"/>
      </w:r>
      <w:r w:rsidR="00355195">
        <w:rPr>
          <w:noProof/>
        </w:rPr>
        <w:t>75</w:t>
      </w:r>
      <w:r>
        <w:fldChar w:fldCharType="end"/>
      </w:r>
      <w:bookmarkEnd w:id="11"/>
      <w:r>
        <w:t xml:space="preserve">.  To stwierdzenie wystarcza aby </w:t>
      </w:r>
      <w:r w:rsidR="006F51AE">
        <w:t>stwierdzić</w:t>
      </w:r>
      <w:r>
        <w:t>, że miało miejsce naruszenie artykułu 4 Protokołu nr 7.</w:t>
      </w:r>
    </w:p>
    <w:p w14:paraId="548D58F5" w14:textId="77777777" w:rsidR="003C2419" w:rsidRDefault="003C2419" w:rsidP="003C2419">
      <w:pPr>
        <w:pStyle w:val="ECHRHeading2"/>
        <w:rPr>
          <w:rFonts w:eastAsia="MS Gothic"/>
        </w:rPr>
      </w:pPr>
      <w:r>
        <w:t xml:space="preserve">A. </w:t>
      </w:r>
      <w:r w:rsidR="003C5014">
        <w:t>Rzekome</w:t>
      </w:r>
      <w:r>
        <w:t xml:space="preserve"> naruszeni</w:t>
      </w:r>
      <w:r w:rsidR="003C5014">
        <w:t>e</w:t>
      </w:r>
      <w:r>
        <w:t xml:space="preserve"> artykułu 6 § 2</w:t>
      </w:r>
    </w:p>
    <w:p w14:paraId="4D9AA012" w14:textId="77777777" w:rsidR="003C2419" w:rsidRDefault="003C2419" w:rsidP="003C2419">
      <w:pPr>
        <w:pStyle w:val="ECHRHeading3"/>
        <w:rPr>
          <w:rFonts w:eastAsia="MS Gothic"/>
        </w:rPr>
      </w:pPr>
      <w:r>
        <w:t>1.  Dopuszczalność</w:t>
      </w:r>
    </w:p>
    <w:p w14:paraId="3FFBB00D" w14:textId="77777777" w:rsidR="003C2419" w:rsidRDefault="003C5014" w:rsidP="003C2419">
      <w:pPr>
        <w:pStyle w:val="ECHRHeading4"/>
        <w:rPr>
          <w:rFonts w:eastAsia="MS Gothic"/>
        </w:rPr>
      </w:pPr>
      <w:r>
        <w:t>a)  Stanowiska</w:t>
      </w:r>
      <w:r w:rsidR="003C2419">
        <w:t xml:space="preserve"> stron</w:t>
      </w:r>
    </w:p>
    <w:p w14:paraId="359DB093" w14:textId="77777777" w:rsidR="003C2419" w:rsidRDefault="003C2419" w:rsidP="003C2419">
      <w:pPr>
        <w:pStyle w:val="ECHRPara"/>
        <w:rPr>
          <w:rFonts w:eastAsia="MS Gothic"/>
        </w:rPr>
      </w:pPr>
      <w:fldSimple w:instr=" SEQ level0 \*arabic ">
        <w:r w:rsidR="00355195">
          <w:rPr>
            <w:noProof/>
          </w:rPr>
          <w:t>76</w:t>
        </w:r>
      </w:fldSimple>
      <w:r>
        <w:t>.  W kwestii stosowa</w:t>
      </w:r>
      <w:r w:rsidR="00FC2CE3">
        <w:t>lności</w:t>
      </w:r>
      <w:r>
        <w:t xml:space="preserve"> artykułu 6 § 2, Rząd powtarz</w:t>
      </w:r>
      <w:r w:rsidR="00B10B53">
        <w:t>a swój argument, a mianowicie, ż</w:t>
      </w:r>
      <w:r>
        <w:t xml:space="preserve">e postępowanie przed sądami administracyjnymi nie dotyczyło oskarżenia </w:t>
      </w:r>
      <w:r w:rsidR="006030F8">
        <w:t>o charakterze</w:t>
      </w:r>
      <w:r>
        <w:t xml:space="preserve"> karn</w:t>
      </w:r>
      <w:r w:rsidR="006030F8">
        <w:t>ym</w:t>
      </w:r>
      <w:r>
        <w:t xml:space="preserve">, w </w:t>
      </w:r>
      <w:r w:rsidR="006030F8">
        <w:t>rozumieniu</w:t>
      </w:r>
      <w:r>
        <w:t xml:space="preserve"> artykułu 6 Konwencji.</w:t>
      </w:r>
    </w:p>
    <w:p w14:paraId="7D8BC6AC" w14:textId="77777777" w:rsidR="003C2419" w:rsidRDefault="003C2419" w:rsidP="003C2419">
      <w:pPr>
        <w:pStyle w:val="ECHRPara"/>
        <w:rPr>
          <w:rFonts w:eastAsia="MS Gothic"/>
        </w:rPr>
      </w:pPr>
      <w:fldSimple w:instr=" SEQ level0 \*arabic ">
        <w:r w:rsidR="00355195">
          <w:rPr>
            <w:noProof/>
          </w:rPr>
          <w:t>77</w:t>
        </w:r>
      </w:fldSimple>
      <w:r>
        <w:t>.  Skarżący ripostują, że byli "oskarżeni o przestępstwo" przed sądami administracyjnymi</w:t>
      </w:r>
      <w:r w:rsidR="006030F8">
        <w:t>, a</w:t>
      </w:r>
      <w:r>
        <w:t xml:space="preserve"> zatem </w:t>
      </w:r>
      <w:r w:rsidR="008A2137">
        <w:t xml:space="preserve">w przedmiotowej sprawie wchodzi w grę automatycznie </w:t>
      </w:r>
      <w:r>
        <w:t>zasada domniemania niewinności.</w:t>
      </w:r>
    </w:p>
    <w:p w14:paraId="7651BB6D" w14:textId="77777777" w:rsidR="003C2419" w:rsidRDefault="003C2419" w:rsidP="003C2419">
      <w:pPr>
        <w:pStyle w:val="ECHRHeading4"/>
        <w:rPr>
          <w:rFonts w:eastAsia="MS Gothic"/>
        </w:rPr>
      </w:pPr>
      <w:r>
        <w:t>b)  Ocena Trybunału</w:t>
      </w:r>
    </w:p>
    <w:p w14:paraId="38904A0C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78</w:t>
        </w:r>
      </w:fldSimple>
      <w:r>
        <w:t xml:space="preserve">.  Jak </w:t>
      </w:r>
      <w:r w:rsidR="00524436">
        <w:t xml:space="preserve">na </w:t>
      </w:r>
      <w:r>
        <w:t>to wskazuje wyraźnie użyte sformułowanie, artykuł 6 § 2 ma zastosowanie</w:t>
      </w:r>
      <w:r w:rsidR="00276582">
        <w:t>,</w:t>
      </w:r>
      <w:r>
        <w:t xml:space="preserve"> kiedy osoba jest "oskarżona o przestępstwo". Trybunał odsyła do swojej analizy, przedstawionej powyżej, dotyczącej kryteriów użytych do określenia czy sporne postępowanie d</w:t>
      </w:r>
      <w:r w:rsidR="00276582">
        <w:t xml:space="preserve">otyczyło </w:t>
      </w:r>
      <w:r w:rsidR="003D4A53">
        <w:t>co do meritum</w:t>
      </w:r>
      <w:r w:rsidR="00276582">
        <w:t xml:space="preserve"> </w:t>
      </w:r>
      <w:r w:rsidR="003D4A53">
        <w:t xml:space="preserve">oskarżenia o charakterze </w:t>
      </w:r>
      <w:r>
        <w:t>karn</w:t>
      </w:r>
      <w:r w:rsidR="003D4A53">
        <w:t>ym</w:t>
      </w:r>
      <w:r>
        <w:t>, w rozumieniu orzecznictwa Trybunału (patrz paragraf 51 powyżej).</w:t>
      </w:r>
    </w:p>
    <w:p w14:paraId="1275752B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79</w:t>
        </w:r>
      </w:fldSimple>
      <w:r>
        <w:t xml:space="preserve">.  W tym przypadku, Trybunał stwierdził już, w ramach badania skargi wywiedzionej z artykułu 4 Protokołu nr 7, że kolejne postępowania administracyjne po zamknięciu postępowań karnych o których mowa, </w:t>
      </w:r>
      <w:r w:rsidR="000D4936">
        <w:t>doprowadziły do nowych oskarżeń o charakterze karnym</w:t>
      </w:r>
      <w:r>
        <w:t>. Wynika z tego, że art</w:t>
      </w:r>
      <w:r w:rsidR="00276582">
        <w:t>ykuł 6 § 2 znajduje zastosowanie</w:t>
      </w:r>
      <w:r>
        <w:t xml:space="preserve"> w przypadku </w:t>
      </w:r>
      <w:r w:rsidR="005F1FCF">
        <w:t>przedmiotowych</w:t>
      </w:r>
      <w:r>
        <w:t xml:space="preserve"> postępowań administracyjnych. Dodatkowo, Trybunał stwierdza, że niniejsza skarga nie jest oczywiście bezzasadna w rozumieniu artykułu 35 § 3 a) Konwencji. Podnosi również, że skarga nie jest również niedopuszczalna na żadnej innej podstawie. Należy więc uznać ją za dopuszczalną.</w:t>
      </w:r>
    </w:p>
    <w:p w14:paraId="3F1CBF0C" w14:textId="77777777" w:rsidR="003C2419" w:rsidRDefault="003C2419" w:rsidP="003C2419">
      <w:pPr>
        <w:pStyle w:val="ECHRHeading3"/>
        <w:rPr>
          <w:rFonts w:eastAsia="MS Gothic"/>
        </w:rPr>
      </w:pPr>
      <w:r>
        <w:t>2.  </w:t>
      </w:r>
      <w:r w:rsidR="005F1FCF">
        <w:t>Meritum</w:t>
      </w:r>
    </w:p>
    <w:p w14:paraId="4CDA13B0" w14:textId="77777777" w:rsidR="003C2419" w:rsidRDefault="003C2419" w:rsidP="003C2419">
      <w:pPr>
        <w:pStyle w:val="ECHRHeading4"/>
        <w:rPr>
          <w:rFonts w:eastAsia="MS Gothic"/>
        </w:rPr>
      </w:pPr>
      <w:r>
        <w:t>a)  </w:t>
      </w:r>
      <w:r w:rsidR="005F1FCF">
        <w:t>Stanowiska</w:t>
      </w:r>
      <w:r>
        <w:t xml:space="preserve"> stron</w:t>
      </w:r>
    </w:p>
    <w:p w14:paraId="65322917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80</w:t>
        </w:r>
      </w:fldSimple>
      <w:r>
        <w:t xml:space="preserve">.  Rząd utrzymuje </w:t>
      </w:r>
      <w:r w:rsidR="00C82542">
        <w:t>w szczególności</w:t>
      </w:r>
      <w:r>
        <w:t>, że artykuł 6 § 2 nie zabrania nałożenia sankcji za to samo postępowanie na podstawie dwóch postępowań sądowych</w:t>
      </w:r>
      <w:r w:rsidR="00C82542">
        <w:t>,</w:t>
      </w:r>
      <w:r>
        <w:t xml:space="preserve"> karnego i administracyjnego. Odnosząc się między innymi do orzecznictwa Trybunału dotyczącego nakładania się na siebie postępowania karnego i dyscyplinarnego w ramach artykułu 6 § 2 (</w:t>
      </w:r>
      <w:proofErr w:type="spellStart"/>
      <w:r>
        <w:rPr>
          <w:i/>
        </w:rPr>
        <w:t>Vanjak</w:t>
      </w:r>
      <w:proofErr w:type="spellEnd"/>
      <w:r>
        <w:rPr>
          <w:i/>
        </w:rPr>
        <w:t xml:space="preserve"> przeciwko Chorwacji</w:t>
      </w:r>
      <w:r>
        <w:t>, nr 29889/04, 14 stycz</w:t>
      </w:r>
      <w:r w:rsidR="00F73A5F">
        <w:t>nia</w:t>
      </w:r>
      <w:r>
        <w:t xml:space="preserve"> 2010 ; </w:t>
      </w:r>
      <w:proofErr w:type="spellStart"/>
      <w:r>
        <w:rPr>
          <w:i/>
        </w:rPr>
        <w:t>Hrdalo</w:t>
      </w:r>
      <w:proofErr w:type="spellEnd"/>
      <w:r>
        <w:rPr>
          <w:i/>
        </w:rPr>
        <w:t xml:space="preserve"> przeciwko Chorwacji</w:t>
      </w:r>
      <w:r>
        <w:t>, nr 23272/07, 27 wrze</w:t>
      </w:r>
      <w:r w:rsidR="00F73A5F">
        <w:t>śnia</w:t>
      </w:r>
      <w:r>
        <w:t xml:space="preserve"> 2011), Rząd podtrzymuje, że przeważającym </w:t>
      </w:r>
      <w:r>
        <w:lastRenderedPageBreak/>
        <w:t xml:space="preserve">elementem w tych przypadkach jest wybór </w:t>
      </w:r>
      <w:r w:rsidR="001C4AB3">
        <w:t>form</w:t>
      </w:r>
      <w:r>
        <w:t xml:space="preserve"> </w:t>
      </w:r>
      <w:r w:rsidR="001C4AB3">
        <w:t xml:space="preserve">działania </w:t>
      </w:r>
      <w:r>
        <w:t>stosowanych przez właściwe władze, które mogłyby naruszać zasadę domniemania niewinności.</w:t>
      </w:r>
    </w:p>
    <w:p w14:paraId="505F559C" w14:textId="77777777" w:rsidR="003C2419" w:rsidRDefault="003C2419" w:rsidP="006218BE">
      <w:pPr>
        <w:pStyle w:val="ECHRPara"/>
      </w:pPr>
      <w:fldSimple w:instr=" SEQ level0 \*arabic ">
        <w:r w:rsidR="00355195">
          <w:rPr>
            <w:noProof/>
          </w:rPr>
          <w:t>81</w:t>
        </w:r>
      </w:fldSimple>
      <w:r>
        <w:t xml:space="preserve">.  Skarżący </w:t>
      </w:r>
      <w:r w:rsidR="001C4AB3">
        <w:t>u</w:t>
      </w:r>
      <w:r>
        <w:t xml:space="preserve">trzymują, że wyroki sądów administracyjnych, </w:t>
      </w:r>
      <w:r w:rsidR="00276582">
        <w:t xml:space="preserve">które </w:t>
      </w:r>
      <w:r w:rsidR="0000077B">
        <w:t>za</w:t>
      </w:r>
      <w:r w:rsidR="00276582">
        <w:t xml:space="preserve">twierdziły </w:t>
      </w:r>
      <w:r>
        <w:t>grzywny administracyjne</w:t>
      </w:r>
      <w:r w:rsidR="00BD3425">
        <w:t xml:space="preserve"> </w:t>
      </w:r>
      <w:r>
        <w:t>nałożone z powodu narusze</w:t>
      </w:r>
      <w:r w:rsidR="00337085">
        <w:t xml:space="preserve">ń  </w:t>
      </w:r>
      <w:r>
        <w:t xml:space="preserve"> Kodeksu </w:t>
      </w:r>
      <w:r w:rsidR="00337085">
        <w:t>c</w:t>
      </w:r>
      <w:r>
        <w:t xml:space="preserve">elnego bezpośrednio </w:t>
      </w:r>
      <w:r w:rsidR="00900D91">
        <w:t>złama</w:t>
      </w:r>
      <w:r>
        <w:t xml:space="preserve">ły zasadę domniemania niewinności </w:t>
      </w:r>
      <w:r w:rsidR="006218BE">
        <w:t>wynikającej</w:t>
      </w:r>
      <w:r>
        <w:t xml:space="preserve"> z decyzji sądów karnych nr 1087/1992, 2828/2000</w:t>
      </w:r>
      <w:r w:rsidR="006218BE">
        <w:t xml:space="preserve"> </w:t>
      </w:r>
      <w:r>
        <w:t>i 36398/1998.</w:t>
      </w:r>
    </w:p>
    <w:p w14:paraId="74641DFB" w14:textId="77777777" w:rsidR="003C2419" w:rsidRDefault="003C2419" w:rsidP="003C2419">
      <w:pPr>
        <w:pStyle w:val="ECHRHeading4"/>
        <w:rPr>
          <w:rFonts w:eastAsia="MS Gothic"/>
        </w:rPr>
      </w:pPr>
      <w:r>
        <w:t>b)  Ocena Trybunału</w:t>
      </w:r>
    </w:p>
    <w:p w14:paraId="3FDF1DFF" w14:textId="77777777" w:rsidR="003C2419" w:rsidRDefault="003C2419" w:rsidP="003C2419">
      <w:pPr>
        <w:pStyle w:val="ECHRHeading5"/>
      </w:pPr>
      <w:r>
        <w:t>i.  Zasady ogólne</w:t>
      </w:r>
    </w:p>
    <w:p w14:paraId="6D8E8432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82</w:t>
        </w:r>
      </w:fldSimple>
      <w:r>
        <w:t>.  Artykuł 6 § 2 chroni prawo k</w:t>
      </w:r>
      <w:r w:rsidR="00161748">
        <w:t>ażdej osoby do "domniemania jej</w:t>
      </w:r>
      <w:r>
        <w:t xml:space="preserve"> niewinności, dopóki </w:t>
      </w:r>
      <w:r w:rsidR="00F92667">
        <w:t xml:space="preserve">jej </w:t>
      </w:r>
      <w:r>
        <w:t>wina nie zostanie prawn</w:t>
      </w:r>
      <w:r w:rsidR="00F92667">
        <w:t>ie ustalona</w:t>
      </w:r>
      <w:r>
        <w:t>". Uznane za gwarancję proceduralną w ramach samego postępowania karn</w:t>
      </w:r>
      <w:r w:rsidR="008A7F30">
        <w:t>ego, domniemanie niewinności ustala warunki</w:t>
      </w:r>
      <w:r>
        <w:t xml:space="preserve"> dotyczące w szczególności ciężaru dowodu (</w:t>
      </w:r>
      <w:proofErr w:type="spellStart"/>
      <w:r>
        <w:rPr>
          <w:i/>
        </w:rPr>
        <w:t>Barberà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Messegué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Jabardo</w:t>
      </w:r>
      <w:proofErr w:type="spellEnd"/>
      <w:r>
        <w:rPr>
          <w:i/>
        </w:rPr>
        <w:t xml:space="preserve"> przeciwko Hiszpanii</w:t>
      </w:r>
      <w:r>
        <w:t xml:space="preserve">, 6 grudnia 1988, § 77, seria A nr 146, i </w:t>
      </w:r>
      <w:proofErr w:type="spellStart"/>
      <w:r>
        <w:rPr>
          <w:i/>
        </w:rPr>
        <w:t>Telfner</w:t>
      </w:r>
      <w:proofErr w:type="spellEnd"/>
      <w:r>
        <w:rPr>
          <w:i/>
        </w:rPr>
        <w:t xml:space="preserve"> przeciwko Austrii</w:t>
      </w:r>
      <w:r>
        <w:t>, nr 33501/96, § 15, 20 marc</w:t>
      </w:r>
      <w:r w:rsidR="00FA67A9">
        <w:t>a</w:t>
      </w:r>
      <w:r>
        <w:t xml:space="preserve"> 2001); domniemań faktycznych i prawnych (</w:t>
      </w:r>
      <w:proofErr w:type="spellStart"/>
      <w:r>
        <w:rPr>
          <w:i/>
        </w:rPr>
        <w:t>Salabiaku</w:t>
      </w:r>
      <w:proofErr w:type="spellEnd"/>
      <w:r>
        <w:rPr>
          <w:i/>
        </w:rPr>
        <w:t xml:space="preserve"> przeciwko Francji</w:t>
      </w:r>
      <w:r>
        <w:t>, 7 październik</w:t>
      </w:r>
      <w:r w:rsidR="00FA67A9">
        <w:t>a</w:t>
      </w:r>
      <w:r>
        <w:t xml:space="preserve"> 1988, § 28, seria A nr 141</w:t>
      </w:r>
      <w:r>
        <w:noBreakHyphen/>
        <w:t xml:space="preserve">A, i </w:t>
      </w:r>
      <w:r>
        <w:rPr>
          <w:i/>
        </w:rPr>
        <w:t>Radio France i inni przeciwko Francji</w:t>
      </w:r>
      <w:r>
        <w:t>, nr 53984/00, § 24, CEDH 2004</w:t>
      </w:r>
      <w:r>
        <w:noBreakHyphen/>
        <w:t xml:space="preserve">II); prawa  </w:t>
      </w:r>
      <w:r w:rsidR="00F87372">
        <w:t>do nie</w:t>
      </w:r>
      <w:r>
        <w:t>obciąża</w:t>
      </w:r>
      <w:r w:rsidR="00F87372">
        <w:t>nia</w:t>
      </w:r>
      <w:r>
        <w:t xml:space="preserve"> samego siebie (</w:t>
      </w:r>
      <w:proofErr w:type="spellStart"/>
      <w:r>
        <w:rPr>
          <w:i/>
        </w:rPr>
        <w:t>Saunders</w:t>
      </w:r>
      <w:proofErr w:type="spellEnd"/>
      <w:r>
        <w:rPr>
          <w:i/>
        </w:rPr>
        <w:t xml:space="preserve"> przeciwko Zjednoczonemu Królestwu</w:t>
      </w:r>
      <w:r>
        <w:t xml:space="preserve">, 17 grudnia 1996, § 68, </w:t>
      </w:r>
      <w:r>
        <w:rPr>
          <w:i/>
        </w:rPr>
        <w:t xml:space="preserve">Zbiór wyroków i decyzji </w:t>
      </w:r>
      <w:r>
        <w:t>1996</w:t>
      </w:r>
      <w:r>
        <w:noBreakHyphen/>
        <w:t xml:space="preserve">VI, </w:t>
      </w:r>
      <w:r w:rsidR="003254A3">
        <w:t>oraz</w:t>
      </w:r>
      <w:r>
        <w:t xml:space="preserve"> </w:t>
      </w:r>
      <w:proofErr w:type="spellStart"/>
      <w:r>
        <w:rPr>
          <w:i/>
        </w:rPr>
        <w:t>Heaney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McGuinness</w:t>
      </w:r>
      <w:proofErr w:type="spellEnd"/>
      <w:r>
        <w:rPr>
          <w:i/>
        </w:rPr>
        <w:t xml:space="preserve"> przeciwko Irlandii</w:t>
      </w:r>
      <w:r>
        <w:t>, nr 34720/97, § 40, CEDH 2000</w:t>
      </w:r>
      <w:r>
        <w:noBreakHyphen/>
        <w:t>XII); rozgłosu jakiego może nabrać sprawa</w:t>
      </w:r>
      <w:r w:rsidR="00D906FF">
        <w:t xml:space="preserve"> przed rozpoczęciem procesu</w:t>
      </w:r>
      <w:r>
        <w:t xml:space="preserve"> (</w:t>
      </w:r>
      <w:proofErr w:type="spellStart"/>
      <w:r>
        <w:rPr>
          <w:i/>
        </w:rPr>
        <w:t>Akay</w:t>
      </w:r>
      <w:proofErr w:type="spellEnd"/>
      <w:r>
        <w:rPr>
          <w:i/>
        </w:rPr>
        <w:t xml:space="preserve"> przeciwko Turcji</w:t>
      </w:r>
      <w:r w:rsidR="003254A3">
        <w:rPr>
          <w:i/>
        </w:rPr>
        <w:t xml:space="preserve"> </w:t>
      </w:r>
      <w:r>
        <w:t xml:space="preserve">(decyzja), nr 34501/97, 19 luty 2002, i </w:t>
      </w:r>
      <w:r>
        <w:rPr>
          <w:i/>
        </w:rPr>
        <w:t>G.C.P. przeciwko Rumunii</w:t>
      </w:r>
      <w:r>
        <w:t>, nr 20899/03, § 46, 20 grud</w:t>
      </w:r>
      <w:r w:rsidR="00D906FF">
        <w:t>nia</w:t>
      </w:r>
      <w:r>
        <w:t xml:space="preserve"> 2011); formułowania przez sędziego prowadzącego sprawę lub każdą inną władzę publiczną przedwczesnych oświadczeń dotyczących winy oskarżonego (</w:t>
      </w:r>
      <w:proofErr w:type="spellStart"/>
      <w:r>
        <w:rPr>
          <w:i/>
        </w:rPr>
        <w:t>Allenet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Ribemont</w:t>
      </w:r>
      <w:proofErr w:type="spellEnd"/>
      <w:r>
        <w:rPr>
          <w:i/>
        </w:rPr>
        <w:t xml:space="preserve"> przeciwko Francji</w:t>
      </w:r>
      <w:r w:rsidR="00915A96">
        <w:t>, 10 lutego</w:t>
      </w:r>
      <w:r>
        <w:t xml:space="preserve"> 1995, § § 35-36, seria A nr 308, i </w:t>
      </w:r>
      <w:proofErr w:type="spellStart"/>
      <w:r>
        <w:rPr>
          <w:i/>
        </w:rPr>
        <w:t>Nešťák</w:t>
      </w:r>
      <w:proofErr w:type="spellEnd"/>
      <w:r>
        <w:rPr>
          <w:i/>
        </w:rPr>
        <w:t xml:space="preserve"> przeciwko Słowacji</w:t>
      </w:r>
      <w:r>
        <w:t>, nr 65559/01, § 88, 27 lut</w:t>
      </w:r>
      <w:r w:rsidR="00915A96">
        <w:t>ego</w:t>
      </w:r>
      <w:r>
        <w:t xml:space="preserve"> 2007).</w:t>
      </w:r>
    </w:p>
    <w:p w14:paraId="0F7253B9" w14:textId="77777777" w:rsidR="003C2419" w:rsidRDefault="003C2419" w:rsidP="003C2419">
      <w:pPr>
        <w:pStyle w:val="ECHRPara"/>
        <w:rPr>
          <w:i/>
        </w:rPr>
      </w:pPr>
      <w:fldSimple w:instr=" SEQ level0 \*arabic ">
        <w:r w:rsidR="00355195">
          <w:rPr>
            <w:noProof/>
          </w:rPr>
          <w:t>83</w:t>
        </w:r>
      </w:fldSimple>
      <w:r>
        <w:t xml:space="preserve">.  Biorąc pod uwagę konieczność czuwania nad tym aby prawo zagwarantowane przez artykuł 6 § 2 było realne i skuteczne, domniemanie niewinności obejmuje także inny aspekt. Jego ogólny cel, w ramach tego drugiego </w:t>
      </w:r>
      <w:r w:rsidR="00F4513D">
        <w:t>aspektu</w:t>
      </w:r>
      <w:r>
        <w:t xml:space="preserve">, polega na zapobieganiu temu aby osoby, które zostały uniewinnione lub odstąpiono w stosunku do nich od ścigania </w:t>
      </w:r>
      <w:r w:rsidR="00E84DCC">
        <w:t xml:space="preserve">nie </w:t>
      </w:r>
      <w:r>
        <w:t xml:space="preserve">były traktowane przez </w:t>
      </w:r>
      <w:r w:rsidR="00515153">
        <w:t>urzędników</w:t>
      </w:r>
      <w:r>
        <w:t xml:space="preserve"> lub władze publiczne, tak jakby były w rzeczywistości winne przestępstwa, które zostały im zarzucone (</w:t>
      </w:r>
      <w:r>
        <w:rPr>
          <w:i/>
        </w:rPr>
        <w:t xml:space="preserve">Allen przeciwko Zjednoczonemu Królestwu </w:t>
      </w:r>
      <w:r>
        <w:t>[GC], nr 25424/09, § 94, CEDH 2013). Jest to spowodowane faktem, że domniemanie niewinności, jako prawo procesowe, dotyczy głównie przestrzegania praw</w:t>
      </w:r>
      <w:r w:rsidR="001C4733">
        <w:t>a</w:t>
      </w:r>
      <w:r>
        <w:t xml:space="preserve"> do obrony i sprzyja w tym samym czasie poszanowaniu czci i godności osoby ściganej (</w:t>
      </w:r>
      <w:proofErr w:type="spellStart"/>
      <w:r>
        <w:rPr>
          <w:i/>
        </w:rPr>
        <w:t>Konstas</w:t>
      </w:r>
      <w:proofErr w:type="spellEnd"/>
      <w:r>
        <w:rPr>
          <w:i/>
        </w:rPr>
        <w:t xml:space="preserve"> przeciwko Grecji</w:t>
      </w:r>
      <w:r>
        <w:t>, nr 53466/07, § 32, 24 maj</w:t>
      </w:r>
      <w:r w:rsidR="001C4733">
        <w:t>a</w:t>
      </w:r>
      <w:r>
        <w:t xml:space="preserve"> 2011). W takich przypadkach, domniemanie niewinności pozwoliło już - poprzez </w:t>
      </w:r>
      <w:r>
        <w:lastRenderedPageBreak/>
        <w:t>zastosowanie podczas postępowania rożnych wymagań nierozerwalnie związanych z gwarancjami procesowymi jakie oferuje to domniemanie – zapobiec temu aby zostało orzeczone niesprawiedliwe skazanie karne. Bez</w:t>
      </w:r>
      <w:r w:rsidR="00620F95">
        <w:t xml:space="preserve"> ochrony służącej do zapewnienia</w:t>
      </w:r>
      <w:r>
        <w:t xml:space="preserve"> </w:t>
      </w:r>
      <w:r w:rsidR="00620F95">
        <w:t>respektowania</w:t>
      </w:r>
      <w:r>
        <w:t xml:space="preserve"> w każdym późniejszym postępowaniu uniewinnienia lub decyzji o zaprzestaniu ścigania, gwarancje dotyczące </w:t>
      </w:r>
      <w:r w:rsidR="00443C2E">
        <w:t>rzetelnego</w:t>
      </w:r>
      <w:r>
        <w:t xml:space="preserve"> procesu wyrażone w artykule 6 § 2 mogłyby się stać teoretyczne i pozorne. </w:t>
      </w:r>
      <w:r w:rsidR="00A207B7">
        <w:t xml:space="preserve">Dotyczy to również </w:t>
      </w:r>
      <w:r>
        <w:t>reputacj</w:t>
      </w:r>
      <w:r w:rsidR="00A207B7">
        <w:t>i</w:t>
      </w:r>
      <w:r w:rsidR="00E84DCC">
        <w:t xml:space="preserve"> osoby zainteresowanej i sposobu,</w:t>
      </w:r>
      <w:r>
        <w:t xml:space="preserve"> w jaki osoba </w:t>
      </w:r>
      <w:r w:rsidR="00E84DCC">
        <w:t>ta jest postrzegana przez opinię</w:t>
      </w:r>
      <w:r>
        <w:t xml:space="preserve"> publiczną po zakończeniu postępowania karnego. W pewnym stopniu ochrona oferowana przez artykuł 6 § 2 w tej kwestii może się pokrywać z tą, którą niesie artykuł 8 (patrz, na przykład, </w:t>
      </w:r>
      <w:proofErr w:type="spellStart"/>
      <w:r>
        <w:rPr>
          <w:i/>
        </w:rPr>
        <w:t>Zollmann</w:t>
      </w:r>
      <w:proofErr w:type="spellEnd"/>
      <w:r>
        <w:rPr>
          <w:i/>
        </w:rPr>
        <w:t xml:space="preserve"> przeciwko Zjednoczonemu Królestwu </w:t>
      </w:r>
      <w:r w:rsidR="00A31CDD">
        <w:t>(decyzja</w:t>
      </w:r>
      <w:r>
        <w:t>), nr 62902/00, CEDH 2003</w:t>
      </w:r>
      <w:r>
        <w:noBreakHyphen/>
        <w:t xml:space="preserve">XII, i </w:t>
      </w:r>
      <w:proofErr w:type="spellStart"/>
      <w:r>
        <w:rPr>
          <w:i/>
        </w:rPr>
        <w:t>Taliadorou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Stylianou</w:t>
      </w:r>
      <w:proofErr w:type="spellEnd"/>
      <w:r>
        <w:t xml:space="preserve"> </w:t>
      </w:r>
      <w:r>
        <w:rPr>
          <w:i/>
        </w:rPr>
        <w:t>przeciwko Cyprowi</w:t>
      </w:r>
      <w:r>
        <w:t>, n</w:t>
      </w:r>
      <w:r>
        <w:rPr>
          <w:vertAlign w:val="superscript"/>
        </w:rPr>
        <w:t>os</w:t>
      </w:r>
      <w:r>
        <w:t> 39627/05 et 3963</w:t>
      </w:r>
      <w:r w:rsidR="00E84DCC">
        <w:t>1/05, §§ 27 et 56-59, 16 październik</w:t>
      </w:r>
      <w:r w:rsidR="005E3710">
        <w:t>a</w:t>
      </w:r>
      <w:r>
        <w:t xml:space="preserve"> 2008).</w:t>
      </w:r>
    </w:p>
    <w:p w14:paraId="3002A6B7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84</w:t>
        </w:r>
      </w:fldSimple>
      <w:r>
        <w:t xml:space="preserve">.  W tej kwestii Trybunał przypomina, że nie istnieje jeden sposób ustalenia okoliczności, w których następuje naruszenie artykułu 6 § 2 w kontekście późniejszego postępowania w stosunku do zakończonego już postępowania karnego. Jak pokazuje to orzecznictwo Trybunału, zależy to przede wszystkim od </w:t>
      </w:r>
      <w:r w:rsidR="00352F88">
        <w:t>charakteru</w:t>
      </w:r>
      <w:r>
        <w:t xml:space="preserve"> i kontekstu postępowania, w ramach którego zapada sporna decyzja. W każdym przypadku i niezależnie od przyjętego podejścia, </w:t>
      </w:r>
      <w:r w:rsidR="00D771A7">
        <w:t>środki</w:t>
      </w:r>
      <w:r>
        <w:t xml:space="preserve"> zastosowane przez władzę, która w danej sprawie orzeka, przyjmują zasadniczy stopień ważności, kiedy chodzi o ocenę zgodności z artykułem 6 § 2 decyzji i </w:t>
      </w:r>
      <w:r w:rsidR="00D03B45">
        <w:t>jej uzasadnienia</w:t>
      </w:r>
      <w:r>
        <w:t xml:space="preserve"> (</w:t>
      </w:r>
      <w:r>
        <w:rPr>
          <w:i/>
        </w:rPr>
        <w:t>Allen</w:t>
      </w:r>
      <w:r>
        <w:t>, cytowany, § 125).</w:t>
      </w:r>
    </w:p>
    <w:p w14:paraId="70C29165" w14:textId="77777777" w:rsidR="003C2419" w:rsidRPr="004266D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85</w:t>
        </w:r>
      </w:fldSimple>
      <w:r>
        <w:t xml:space="preserve">.  Trybunał stwierdził już, że po zaprzestaniu ścigania na drodze karnej, domniemanie niewinności wymaga by brać pod uwagę, w każdym przyszłym postępowaniu, bez względu na jego </w:t>
      </w:r>
      <w:r w:rsidR="00F36F68">
        <w:t>charakter</w:t>
      </w:r>
      <w:r>
        <w:t>, fakt że zainteresowany nie został skazany (</w:t>
      </w:r>
      <w:proofErr w:type="spellStart"/>
      <w:r>
        <w:rPr>
          <w:i/>
        </w:rPr>
        <w:t>Vanjak</w:t>
      </w:r>
      <w:proofErr w:type="spellEnd"/>
      <w:r>
        <w:t xml:space="preserve">, wyżej cytowany, § 41). Trybunał wskazał również, że dyspozycja zawarta w wyroku uniewinniającym musi być </w:t>
      </w:r>
      <w:r w:rsidR="00F36F68">
        <w:t>respektowa</w:t>
      </w:r>
      <w:r>
        <w:t>na przez każdy organ władzy, który się w danej sprawie wypowiada, w sposób bezpośredni lub incydentalny</w:t>
      </w:r>
      <w:r w:rsidR="00FC2192">
        <w:t>,</w:t>
      </w:r>
      <w:r>
        <w:t xml:space="preserve"> co do odpowiedzialności karnej zainteresowanego (</w:t>
      </w:r>
      <w:proofErr w:type="spellStart"/>
      <w:r>
        <w:rPr>
          <w:i/>
        </w:rPr>
        <w:t>Vassilios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Stavropoulos</w:t>
      </w:r>
      <w:proofErr w:type="spellEnd"/>
      <w:r>
        <w:rPr>
          <w:i/>
        </w:rPr>
        <w:t xml:space="preserve"> przeciwko Grecji</w:t>
      </w:r>
      <w:r>
        <w:t>, nr 35522/04, § 39, 27 wrze</w:t>
      </w:r>
      <w:r w:rsidR="00FC2192">
        <w:t>śnia</w:t>
      </w:r>
      <w:r>
        <w:t xml:space="preserve"> 2007). Podsumowując,</w:t>
      </w:r>
      <w:r w:rsidR="00FC2192">
        <w:t xml:space="preserve"> </w:t>
      </w:r>
      <w:r>
        <w:t xml:space="preserve">domniemanie niewinności oznacza, że jeżeli zostało wniesione oskarżenie o charakterze karnym i </w:t>
      </w:r>
      <w:r w:rsidR="000E4004">
        <w:t xml:space="preserve">postępowanie </w:t>
      </w:r>
      <w:r>
        <w:t>zakończyło się uniewinnieniem, osoba, której dotyczyło to postępowanie jest uzna</w:t>
      </w:r>
      <w:r w:rsidR="000E4004">
        <w:t>wa</w:t>
      </w:r>
      <w:r>
        <w:t xml:space="preserve">na za niewinną w świetle prawa i musi być tak traktowana. </w:t>
      </w:r>
      <w:r w:rsidR="00566D6A">
        <w:t>W tym wymiarze</w:t>
      </w:r>
      <w:r w:rsidR="00A2487C">
        <w:t xml:space="preserve"> więc,</w:t>
      </w:r>
      <w:r w:rsidR="00566D6A">
        <w:t xml:space="preserve"> </w:t>
      </w:r>
      <w:r>
        <w:t xml:space="preserve">domniemanie niewinności </w:t>
      </w:r>
      <w:r w:rsidR="00566D6A">
        <w:t>trwa</w:t>
      </w:r>
      <w:r>
        <w:t xml:space="preserve"> po zamknięciu postępowania karnego, co pozwala na </w:t>
      </w:r>
      <w:r w:rsidR="00A2487C">
        <w:t>respektowanie</w:t>
      </w:r>
      <w:r>
        <w:t xml:space="preserve"> niewinności zainteresowanego odnośnie wszelkich oskarżeń których zasadność nie została udowodniona</w:t>
      </w:r>
      <w:r w:rsidR="00040654">
        <w:t xml:space="preserve"> (</w:t>
      </w:r>
      <w:r w:rsidR="00040654" w:rsidRPr="00A2487C">
        <w:rPr>
          <w:i/>
        </w:rPr>
        <w:t>Allen</w:t>
      </w:r>
      <w:r w:rsidR="00040654">
        <w:t xml:space="preserve">, </w:t>
      </w:r>
      <w:r w:rsidR="00F23D8D">
        <w:t xml:space="preserve">wyżej </w:t>
      </w:r>
      <w:r w:rsidR="00AE2230">
        <w:t>cytowany</w:t>
      </w:r>
      <w:r w:rsidR="00040654">
        <w:t>, § 103).</w:t>
      </w:r>
    </w:p>
    <w:p w14:paraId="7350C480" w14:textId="77777777" w:rsidR="003C2419" w:rsidRDefault="003C2419" w:rsidP="003C2419">
      <w:pPr>
        <w:pStyle w:val="ECHRHeading5"/>
      </w:pPr>
      <w:r>
        <w:t>ii.  Zastosowanie wyżej wskazanych zasad w przedmiotowej sprawie</w:t>
      </w:r>
    </w:p>
    <w:p w14:paraId="7C8F6998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86</w:t>
        </w:r>
      </w:fldSimple>
      <w:r>
        <w:t xml:space="preserve">.  Trybunał od samego początku zauważa, że w kwestii dotyczącej </w:t>
      </w:r>
      <w:r w:rsidR="00924FE0">
        <w:t xml:space="preserve">charakteru </w:t>
      </w:r>
      <w:r>
        <w:t xml:space="preserve">postępowań administracyjnych i kontekstu, w jakim decyzje </w:t>
      </w:r>
      <w:r>
        <w:lastRenderedPageBreak/>
        <w:t xml:space="preserve">sądów administracyjnych zostały przyjęte, odnosiły się one do materii karnej (patrz paragraf 74 powyżej). Innymi słowy, poprzez postępowania następujące po uniewinnieniu skarżących przez sądy karne, sądy administracyjne </w:t>
      </w:r>
      <w:r w:rsidR="001B5BC2">
        <w:t>rozpatrywały</w:t>
      </w:r>
      <w:r>
        <w:t xml:space="preserve">, w </w:t>
      </w:r>
      <w:r w:rsidR="001B5BC2">
        <w:t>rozumieniu</w:t>
      </w:r>
      <w:r>
        <w:t xml:space="preserve"> Konwencji</w:t>
      </w:r>
      <w:r w:rsidR="001B5BC2">
        <w:t xml:space="preserve">, </w:t>
      </w:r>
      <w:r>
        <w:t>"zasadność" oskarżeń o charakterze karnym; w obu rodzajach postępowań, karnych i administracyjnych</w:t>
      </w:r>
      <w:r w:rsidR="00E7698A">
        <w:t>,</w:t>
      </w:r>
      <w:r>
        <w:t xml:space="preserve"> przewidziane sankcje miały charakter karny. Dodatkowo, jak to wynika z akt sprawy, </w:t>
      </w:r>
      <w:r w:rsidR="00E00692">
        <w:t>czyny</w:t>
      </w:r>
      <w:r>
        <w:t xml:space="preserve"> przypisane skarżącym był</w:t>
      </w:r>
      <w:r w:rsidR="00E00692">
        <w:t>y</w:t>
      </w:r>
      <w:r>
        <w:t xml:space="preserve"> identyczne</w:t>
      </w:r>
      <w:r w:rsidR="00556CAF">
        <w:t>,</w:t>
      </w:r>
      <w:r>
        <w:t xml:space="preserve"> </w:t>
      </w:r>
      <w:r w:rsidR="00556CAF">
        <w:t>a</w:t>
      </w:r>
      <w:r>
        <w:t xml:space="preserve"> elementy</w:t>
      </w:r>
      <w:r w:rsidR="00556CAF">
        <w:t xml:space="preserve"> konstytutywne</w:t>
      </w:r>
      <w:r>
        <w:t xml:space="preserve"> rozpatrywanych przestępstw były te same.</w:t>
      </w:r>
    </w:p>
    <w:p w14:paraId="24D2D93E" w14:textId="77777777" w:rsidR="003C2419" w:rsidRPr="001B0624" w:rsidRDefault="003C2419" w:rsidP="003C2419">
      <w:pPr>
        <w:pStyle w:val="ECHRPara"/>
      </w:pPr>
      <w:fldSimple w:instr=" SEQ level0 \*arabic ">
        <w:r w:rsidR="00355195">
          <w:rPr>
            <w:noProof/>
          </w:rPr>
          <w:t>87</w:t>
        </w:r>
      </w:fldSimple>
      <w:r>
        <w:t xml:space="preserve">.  Niniejsza sprawa odróżnia się w ten sposób wyraźnie od spraw </w:t>
      </w:r>
      <w:r w:rsidR="00D92D28">
        <w:t>rozpoznawa</w:t>
      </w:r>
      <w:r>
        <w:t xml:space="preserve">nych </w:t>
      </w:r>
      <w:r w:rsidR="009A731D">
        <w:t>wcześniej</w:t>
      </w:r>
      <w:r>
        <w:t xml:space="preserve"> przez Trybunał, w których władze administracyjne wyposażone w uprawnienia dyscyplinarne nałożył</w:t>
      </w:r>
      <w:r w:rsidR="00D92D28">
        <w:t>y</w:t>
      </w:r>
      <w:r>
        <w:t xml:space="preserve"> sankcję za zarzucane czyny na funkcjonariusza publicznego po jego uniewinnieniu w postępowaniu karnym (patrz </w:t>
      </w:r>
      <w:proofErr w:type="spellStart"/>
      <w:r>
        <w:rPr>
          <w:i/>
        </w:rPr>
        <w:t>Moullet</w:t>
      </w:r>
      <w:proofErr w:type="spellEnd"/>
      <w:r>
        <w:rPr>
          <w:i/>
        </w:rPr>
        <w:t xml:space="preserve"> przeciwko Francji</w:t>
      </w:r>
      <w:r>
        <w:t xml:space="preserve"> (decyzja), nr 27521/04, 13 wrze</w:t>
      </w:r>
      <w:r w:rsidR="00D92D28">
        <w:t>śnia</w:t>
      </w:r>
      <w:r>
        <w:t xml:space="preserve"> 2007). W tych przypadkach, postępowanie dyscyplinarne cechowało się pewną autonomią w stosunku do postępowania karnego</w:t>
      </w:r>
      <w:r w:rsidR="007E4F8F">
        <w:t>,</w:t>
      </w:r>
      <w:r>
        <w:t xml:space="preserve"> w szczególności </w:t>
      </w:r>
      <w:r w:rsidR="00571AAB">
        <w:t xml:space="preserve">dotyczącą </w:t>
      </w:r>
      <w:r>
        <w:t>warunk</w:t>
      </w:r>
      <w:r w:rsidR="00571AAB">
        <w:t>ów</w:t>
      </w:r>
      <w:r>
        <w:t xml:space="preserve"> jego</w:t>
      </w:r>
      <w:r w:rsidR="003D686C">
        <w:t xml:space="preserve"> </w:t>
      </w:r>
      <w:r w:rsidR="00571AAB">
        <w:t>prowadzenia</w:t>
      </w:r>
      <w:r w:rsidR="003D686C">
        <w:t xml:space="preserve"> oraz jego</w:t>
      </w:r>
      <w:r>
        <w:t xml:space="preserve"> nie represyjnego celu (patrz, pod tym kątem, </w:t>
      </w:r>
      <w:proofErr w:type="spellStart"/>
      <w:r>
        <w:rPr>
          <w:i/>
        </w:rPr>
        <w:t>Vagenas</w:t>
      </w:r>
      <w:proofErr w:type="spellEnd"/>
      <w:r>
        <w:rPr>
          <w:i/>
        </w:rPr>
        <w:t xml:space="preserve"> przeciwko Grecji</w:t>
      </w:r>
      <w:r>
        <w:t xml:space="preserve"> (decyzja), nr 53372/07, 23 sierp</w:t>
      </w:r>
      <w:r w:rsidR="00571AAB">
        <w:t>nia</w:t>
      </w:r>
      <w:r>
        <w:t xml:space="preserve"> 2011). Z powodu tej autonomii, nałożenie sankcji administracyjnej na funkcjonariusza, którego sprawa dotyczy</w:t>
      </w:r>
      <w:r w:rsidR="00FD702A">
        <w:t>,</w:t>
      </w:r>
      <w:r>
        <w:t xml:space="preserve"> nie zostało samo w sobie uznane za naruszenie zasady domniemania niewinności, o ile decyzja sądu administracyjnego nie </w:t>
      </w:r>
      <w:r w:rsidR="00BD7ABD">
        <w:t>zawiera</w:t>
      </w:r>
      <w:r w:rsidR="004379EA">
        <w:t>ła</w:t>
      </w:r>
      <w:r>
        <w:t xml:space="preserve"> </w:t>
      </w:r>
      <w:r w:rsidR="00BD7ABD">
        <w:t xml:space="preserve">stwierdzenia, przypisującego </w:t>
      </w:r>
      <w:r>
        <w:t>skarżące</w:t>
      </w:r>
      <w:r w:rsidR="00BD7ABD">
        <w:t>mu</w:t>
      </w:r>
      <w:r>
        <w:t xml:space="preserve"> odpowiedzialnoś</w:t>
      </w:r>
      <w:r w:rsidR="00161EDC">
        <w:t>ć</w:t>
      </w:r>
      <w:r>
        <w:t xml:space="preserve"> karn</w:t>
      </w:r>
      <w:r w:rsidR="00161EDC">
        <w:t>ą</w:t>
      </w:r>
      <w:r>
        <w:t xml:space="preserve"> (patrz </w:t>
      </w:r>
      <w:proofErr w:type="spellStart"/>
      <w:r>
        <w:rPr>
          <w:i/>
        </w:rPr>
        <w:t>Vanjak</w:t>
      </w:r>
      <w:proofErr w:type="spellEnd"/>
      <w:r>
        <w:t xml:space="preserve">, wyżej cytowany, §§ 69-72; </w:t>
      </w:r>
      <w:proofErr w:type="spellStart"/>
      <w:r>
        <w:rPr>
          <w:i/>
        </w:rPr>
        <w:t>Hrdalo</w:t>
      </w:r>
      <w:proofErr w:type="spellEnd"/>
      <w:r>
        <w:t>, wyżej cytowany, §§ 54</w:t>
      </w:r>
      <w:r>
        <w:noBreakHyphen/>
        <w:t>55).</w:t>
      </w:r>
    </w:p>
    <w:p w14:paraId="47E4DE17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88</w:t>
        </w:r>
      </w:fldSimple>
      <w:r>
        <w:t xml:space="preserve">.  W tym przypadku, sądy administracyjne rozpatrujące sprawę uznały, po przeprowadzeniu </w:t>
      </w:r>
      <w:r w:rsidR="0097371B">
        <w:t xml:space="preserve">odmiennej </w:t>
      </w:r>
      <w:r>
        <w:t xml:space="preserve">oceny </w:t>
      </w:r>
      <w:r w:rsidR="000F5DB1">
        <w:t>materiał</w:t>
      </w:r>
      <w:r>
        <w:t xml:space="preserve">ów zgromadzonych w </w:t>
      </w:r>
      <w:r w:rsidR="0097371B">
        <w:t xml:space="preserve">aktach </w:t>
      </w:r>
      <w:r>
        <w:t xml:space="preserve"> </w:t>
      </w:r>
      <w:r w:rsidR="0097371B">
        <w:t>od</w:t>
      </w:r>
      <w:r>
        <w:t xml:space="preserve"> tej zastosowanej przez sądy karne, że skarżący popełnili te same przestępstwa przemytu</w:t>
      </w:r>
      <w:r w:rsidR="00F20831">
        <w:t>,</w:t>
      </w:r>
      <w:r>
        <w:t xml:space="preserve"> </w:t>
      </w:r>
      <w:r w:rsidR="00F20831">
        <w:t>od</w:t>
      </w:r>
      <w:r>
        <w:t xml:space="preserve"> jaki</w:t>
      </w:r>
      <w:r w:rsidR="00F20831">
        <w:t>ch</w:t>
      </w:r>
      <w:r>
        <w:t xml:space="preserve"> zostali wcześniej uniewinnieni przez sądy karne. Te rozważania zostały następnie </w:t>
      </w:r>
      <w:r w:rsidR="00F20831">
        <w:t>za</w:t>
      </w:r>
      <w:r>
        <w:t xml:space="preserve">twierdzone, w ostatniej instancji, przez Radę Stanu. Biorąc pod uwagę identyczność natury obu rodzajów postępowań, o których mowa, spornych faktów oraz </w:t>
      </w:r>
      <w:r w:rsidR="009C76BD">
        <w:t>elementów konstytutywnych</w:t>
      </w:r>
      <w:r>
        <w:t xml:space="preserve"> przestępstw</w:t>
      </w:r>
      <w:r w:rsidR="007E4F8F">
        <w:t>,</w:t>
      </w:r>
      <w:r>
        <w:t xml:space="preserve"> których dotyczyły postępowania, Trybunał stwierdza, że wyżej przywołan</w:t>
      </w:r>
      <w:r w:rsidR="009C76BD">
        <w:t>a</w:t>
      </w:r>
      <w:r>
        <w:t xml:space="preserve"> </w:t>
      </w:r>
      <w:r w:rsidR="009C76BD">
        <w:t>konkluzja</w:t>
      </w:r>
      <w:r>
        <w:t xml:space="preserve"> sądów administracyjnych naruszył</w:t>
      </w:r>
      <w:r w:rsidR="00632E92">
        <w:t>a</w:t>
      </w:r>
      <w:r>
        <w:t xml:space="preserve"> zasadę domniemania niewinności skarżących </w:t>
      </w:r>
      <w:r w:rsidR="002E1E12">
        <w:t>ustalonej</w:t>
      </w:r>
      <w:r>
        <w:t xml:space="preserve"> </w:t>
      </w:r>
      <w:r w:rsidR="009A731D">
        <w:t xml:space="preserve">wcześniej </w:t>
      </w:r>
      <w:r>
        <w:t xml:space="preserve">  wyrok</w:t>
      </w:r>
      <w:r w:rsidR="002E1E12">
        <w:t>ami</w:t>
      </w:r>
      <w:r>
        <w:t xml:space="preserve"> uniewinniając</w:t>
      </w:r>
      <w:r w:rsidR="002E1E12">
        <w:t>ymi</w:t>
      </w:r>
      <w:r>
        <w:t xml:space="preserve"> sądów karnych. Zatem miało miejsce naruszenie artykułu 6 § 2 Konwencji.</w:t>
      </w:r>
    </w:p>
    <w:p w14:paraId="3228E588" w14:textId="77777777" w:rsidR="003C2419" w:rsidRDefault="003C2419" w:rsidP="003C2419">
      <w:pPr>
        <w:pStyle w:val="ECHRHeading1"/>
        <w:rPr>
          <w:rFonts w:eastAsia="MS Gothic"/>
        </w:rPr>
      </w:pPr>
      <w:r>
        <w:t>III.  </w:t>
      </w:r>
      <w:r w:rsidR="008076F4">
        <w:t>RZEKOME</w:t>
      </w:r>
      <w:r>
        <w:t xml:space="preserve"> NARUSZENI</w:t>
      </w:r>
      <w:r w:rsidR="008076F4">
        <w:t>E</w:t>
      </w:r>
      <w:r>
        <w:t xml:space="preserve"> ARTYKUŁÓW 6 § 1 I 13 KONWENCJI W KWESTII DOTYCZĄCEJ CZASU TRWANIA POSTĘPOWANIA</w:t>
      </w:r>
    </w:p>
    <w:p w14:paraId="65FA6FB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89</w:t>
        </w:r>
      </w:fldSimple>
      <w:r>
        <w:t xml:space="preserve">.  W skardze nr 3453/12, skarżący podnosi, że czas trwania postępowania naruszył zasadę "rozsądnego terminu" w kształcie przewidzianym przez artykuł 6 § 1 Konwencji. </w:t>
      </w:r>
      <w:r w:rsidR="00176DD7">
        <w:t>S</w:t>
      </w:r>
      <w:r>
        <w:t xml:space="preserve">twierdza również, że w </w:t>
      </w:r>
      <w:r w:rsidR="00176DD7">
        <w:lastRenderedPageBreak/>
        <w:t xml:space="preserve">tym </w:t>
      </w:r>
      <w:r>
        <w:t>czasie nie istniał w Grecji żaden skute</w:t>
      </w:r>
      <w:r w:rsidR="007E4F8F">
        <w:t>czny środek zaskarżenia</w:t>
      </w:r>
      <w:r>
        <w:t xml:space="preserve"> przewlekłości postępowania. Przywołuje artykuły 6 § 1 i 13 Konwencji, </w:t>
      </w:r>
      <w:r w:rsidR="00573646">
        <w:t>przepisy,</w:t>
      </w:r>
      <w:r>
        <w:t xml:space="preserve"> których istotne fragmenty są sformułowane w następujący sposób :</w:t>
      </w:r>
    </w:p>
    <w:p w14:paraId="539BB89C" w14:textId="77777777" w:rsidR="003C2419" w:rsidRDefault="003C2419" w:rsidP="003C2419">
      <w:pPr>
        <w:pStyle w:val="ECHRTitleCentre3"/>
        <w:rPr>
          <w:rFonts w:eastAsia="MS Mincho"/>
        </w:rPr>
      </w:pPr>
      <w:r>
        <w:t>Artykuł 6 § 1</w:t>
      </w:r>
    </w:p>
    <w:p w14:paraId="18061450" w14:textId="77777777" w:rsidR="003C2419" w:rsidRDefault="003C2419" w:rsidP="003C2419">
      <w:pPr>
        <w:pStyle w:val="ECHRParaQuote"/>
        <w:rPr>
          <w:rFonts w:eastAsia="MS Mincho"/>
        </w:rPr>
      </w:pPr>
      <w:r>
        <w:t>"Każdy ma prawo do (...) rozpatrzenia jego sprawy w rozsądnym terminie przez (...) sąd (...) przy rozstrzyganiu o jego prawach i obowiązkach o charakterze cywilnym (...) "</w:t>
      </w:r>
    </w:p>
    <w:p w14:paraId="3C45FA29" w14:textId="77777777" w:rsidR="003C2419" w:rsidRPr="000D3564" w:rsidRDefault="003C2419" w:rsidP="003C2419">
      <w:pPr>
        <w:pStyle w:val="ECHRTitleCentre3"/>
      </w:pPr>
      <w:r>
        <w:t>Artykuł 13</w:t>
      </w:r>
    </w:p>
    <w:p w14:paraId="639ABA1A" w14:textId="77777777" w:rsidR="003C2419" w:rsidRDefault="003C2419" w:rsidP="003C2419">
      <w:pPr>
        <w:pStyle w:val="ECHRParaQuote"/>
        <w:rPr>
          <w:rFonts w:eastAsia="MS Mincho"/>
        </w:rPr>
      </w:pPr>
      <w:r>
        <w:t>"Każdy, kogo prawa i wolności zawarte w (...) Konwe</w:t>
      </w:r>
      <w:r w:rsidR="007E4F8F">
        <w:t>ncji</w:t>
      </w:r>
      <w:r>
        <w:t xml:space="preserve"> zostały naruszone, ma prawo do skutecznego środka odwoławczego do właściwego organu państwowego także wówczas, gdy naruszenia dokonały osoby wykonujące swoje funkcje urzędowe. "</w:t>
      </w:r>
    </w:p>
    <w:p w14:paraId="41E27506" w14:textId="77777777" w:rsidR="003C2419" w:rsidRDefault="003C2419" w:rsidP="003C2419">
      <w:pPr>
        <w:pStyle w:val="ECHRHeading2"/>
        <w:rPr>
          <w:rFonts w:eastAsia="MS Gothic"/>
        </w:rPr>
      </w:pPr>
      <w:r>
        <w:t>A. Dopuszczalność</w:t>
      </w:r>
    </w:p>
    <w:p w14:paraId="27B0518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90</w:t>
        </w:r>
      </w:fldSimple>
      <w:r>
        <w:t xml:space="preserve">.  Trybunał stwierdza, że skargi </w:t>
      </w:r>
      <w:r w:rsidR="00C27821">
        <w:t xml:space="preserve">te </w:t>
      </w:r>
      <w:r>
        <w:t>nie są oczywiście bezzasadne w rozumieniu artykułu 35 § 3 a) Konwencji. Podnosi również , że skargi nie są również niedopuszczalne na żadnej innej podstawie. Należy więc uznać je za dopuszczaln</w:t>
      </w:r>
      <w:r w:rsidR="00C27821">
        <w:t>e</w:t>
      </w:r>
      <w:r>
        <w:t>.</w:t>
      </w:r>
    </w:p>
    <w:p w14:paraId="3233920A" w14:textId="77777777" w:rsidR="003C2419" w:rsidRDefault="003C2419" w:rsidP="003C2419">
      <w:pPr>
        <w:pStyle w:val="ECHRHeading2"/>
        <w:rPr>
          <w:rFonts w:eastAsia="MS Gothic"/>
        </w:rPr>
      </w:pPr>
      <w:r>
        <w:t xml:space="preserve">B. </w:t>
      </w:r>
      <w:r w:rsidR="00A54885">
        <w:t>Meritum</w:t>
      </w:r>
    </w:p>
    <w:p w14:paraId="7F764ABE" w14:textId="77777777" w:rsidR="003C2419" w:rsidRDefault="003C2419" w:rsidP="003C2419">
      <w:pPr>
        <w:pStyle w:val="ECHRHeading3"/>
        <w:rPr>
          <w:rFonts w:eastAsia="MS Gothic"/>
        </w:rPr>
      </w:pPr>
      <w:r>
        <w:t>1.  Odnośnie czasu trwania postępowania</w:t>
      </w:r>
    </w:p>
    <w:p w14:paraId="781E554E" w14:textId="77777777" w:rsidR="003C2419" w:rsidRDefault="003C2419" w:rsidP="003C2419">
      <w:pPr>
        <w:pStyle w:val="ECHRHeading4"/>
        <w:rPr>
          <w:rFonts w:eastAsia="MS Gothic"/>
        </w:rPr>
      </w:pPr>
      <w:r>
        <w:t>a) Okres, który należy wziąć pod uwagę</w:t>
      </w:r>
    </w:p>
    <w:p w14:paraId="3EBB7BF6" w14:textId="77777777" w:rsidR="003C2419" w:rsidRDefault="003C2419" w:rsidP="003C2419">
      <w:pPr>
        <w:pStyle w:val="ECHRPara"/>
        <w:rPr>
          <w:rFonts w:eastAsia="MS Mincho"/>
          <w:color w:val="000000"/>
        </w:rPr>
      </w:pPr>
      <w:fldSimple w:instr=" SEQ level0 \*arabic ">
        <w:r w:rsidR="00355195">
          <w:rPr>
            <w:noProof/>
          </w:rPr>
          <w:t>91</w:t>
        </w:r>
      </w:fldSimple>
      <w:r>
        <w:t xml:space="preserve">.  Okres, który należy wziąć pod uwagę rozpoczął się 3 listopada 1989 roku, w chwili wniesienia sprawy do Sądu Administracyjnego w Atenach </w:t>
      </w:r>
      <w:r w:rsidR="005659CB">
        <w:br/>
      </w:r>
      <w:r>
        <w:t>i zakończył się 3 listopada 2011 roku, w dacie</w:t>
      </w:r>
      <w:r w:rsidR="006F39A6">
        <w:t>, w której</w:t>
      </w:r>
      <w:r>
        <w:t xml:space="preserve"> wyroku nr 1999/2011 Rad</w:t>
      </w:r>
      <w:r w:rsidR="006F39A6">
        <w:t>y</w:t>
      </w:r>
      <w:r>
        <w:t xml:space="preserve"> Stanu </w:t>
      </w:r>
      <w:r w:rsidR="006F39A6">
        <w:t>został wydany na piśmie i</w:t>
      </w:r>
      <w:r>
        <w:t xml:space="preserve"> uwierzytelnion</w:t>
      </w:r>
      <w:r w:rsidR="006F39A6">
        <w:t>y</w:t>
      </w:r>
      <w:r>
        <w:t>. Okres ten trwał więc dwadzieścia dwa lata w trzech instancjach.</w:t>
      </w:r>
    </w:p>
    <w:p w14:paraId="398F5220" w14:textId="77777777" w:rsidR="003C2419" w:rsidRDefault="003C2419" w:rsidP="003C2419">
      <w:pPr>
        <w:pStyle w:val="ECHRHeading4"/>
        <w:rPr>
          <w:rFonts w:eastAsia="MS Gothic"/>
        </w:rPr>
      </w:pPr>
      <w:r>
        <w:t xml:space="preserve">b) Rozsądny </w:t>
      </w:r>
      <w:r w:rsidR="00FE3D90">
        <w:t>charakter</w:t>
      </w:r>
      <w:r>
        <w:t xml:space="preserve"> postępowania</w:t>
      </w:r>
    </w:p>
    <w:p w14:paraId="4A4E7396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92</w:t>
        </w:r>
      </w:fldSimple>
      <w:r>
        <w:t xml:space="preserve">.  Rząd powołuje się na złożoność postępowania przed Radą Stanu. Ponadto, stwierdza, że to na skarżącym ciąży odpowiedzialność za odroczenie, jakie miało miejsce przed </w:t>
      </w:r>
      <w:r w:rsidR="00270ABD">
        <w:t>najwyższą instancją administracyjną</w:t>
      </w:r>
      <w:r>
        <w:t>.</w:t>
      </w:r>
    </w:p>
    <w:p w14:paraId="3EB512CA" w14:textId="77777777" w:rsidR="003C2419" w:rsidRDefault="003C2419" w:rsidP="003C2419">
      <w:pPr>
        <w:pStyle w:val="ECHRPara"/>
        <w:rPr>
          <w:rFonts w:eastAsia="MS Mincho"/>
          <w:iCs/>
        </w:rPr>
      </w:pPr>
      <w:fldSimple w:instr=" SEQ level0 \*arabic ">
        <w:r w:rsidR="00355195">
          <w:rPr>
            <w:noProof/>
          </w:rPr>
          <w:t>93</w:t>
        </w:r>
      </w:fldSimple>
      <w:r>
        <w:t xml:space="preserve">.  Trybunał przypomina, że rozsądny charakter czasu trwania </w:t>
      </w:r>
      <w:r w:rsidR="00D17C6D">
        <w:t>postępowania</w:t>
      </w:r>
      <w:r>
        <w:t xml:space="preserve"> jest oceniany w zależności od okoliczności sprawy i zgodnie z kryteriami wyznaczonymi przez orzecznictwo Trybunału, w szczególności złożonoś</w:t>
      </w:r>
      <w:r w:rsidR="00D17C6D">
        <w:t>cią</w:t>
      </w:r>
      <w:r>
        <w:t xml:space="preserve"> sprawy, zachowanie</w:t>
      </w:r>
      <w:r w:rsidR="00D17C6D">
        <w:t>m</w:t>
      </w:r>
      <w:r>
        <w:t xml:space="preserve"> skarżąceg</w:t>
      </w:r>
      <w:r w:rsidR="00AF6BE1">
        <w:t>o i właściwych władz oraz stawką</w:t>
      </w:r>
      <w:r w:rsidR="007B65A1">
        <w:t>,</w:t>
      </w:r>
      <w:r>
        <w:t xml:space="preserve"> jaką spór stanowi dla zainteresowanego (patrz, pośród wielu innych,</w:t>
      </w:r>
      <w:r>
        <w:rPr>
          <w:i/>
        </w:rPr>
        <w:t xml:space="preserve"> </w:t>
      </w:r>
      <w:proofErr w:type="spellStart"/>
      <w:r>
        <w:rPr>
          <w:i/>
        </w:rPr>
        <w:lastRenderedPageBreak/>
        <w:t>Vassilios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Athanasiou</w:t>
      </w:r>
      <w:proofErr w:type="spellEnd"/>
      <w:r>
        <w:rPr>
          <w:i/>
        </w:rPr>
        <w:t xml:space="preserve"> i inni przeciwko Grecji</w:t>
      </w:r>
      <w:r>
        <w:t>, nr 50973/08, 21 grud</w:t>
      </w:r>
      <w:r w:rsidR="007B65A1">
        <w:t>nia</w:t>
      </w:r>
      <w:r>
        <w:t xml:space="preserve"> 2010).</w:t>
      </w:r>
    </w:p>
    <w:p w14:paraId="439EAC4B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94</w:t>
        </w:r>
      </w:fldSimple>
      <w:r>
        <w:t xml:space="preserve">.  Trybunał wielokrotnie rozpatrywał sprawy podnoszące podobne kwestie do tej rozpatrywanej w </w:t>
      </w:r>
      <w:r w:rsidR="004329A4">
        <w:t>niniejszej</w:t>
      </w:r>
      <w:r w:rsidR="00AF6BE1">
        <w:t xml:space="preserve"> sprawie i stwierdzał</w:t>
      </w:r>
      <w:r>
        <w:t xml:space="preserve"> naruszenie artykułu 6 § 1 Konwencji (patrz </w:t>
      </w:r>
      <w:proofErr w:type="spellStart"/>
      <w:r>
        <w:rPr>
          <w:i/>
        </w:rPr>
        <w:t>Vassilios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Athanasiou</w:t>
      </w:r>
      <w:proofErr w:type="spellEnd"/>
      <w:r>
        <w:rPr>
          <w:i/>
        </w:rPr>
        <w:t xml:space="preserve"> i inni,</w:t>
      </w:r>
      <w:r>
        <w:t xml:space="preserve"> wcześniej cytowany).</w:t>
      </w:r>
    </w:p>
    <w:p w14:paraId="39449C14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95</w:t>
        </w:r>
      </w:fldSimple>
      <w:r>
        <w:t>.  Zakładając nawet, że skarżący jest odpowiedzialny za odroczenie rozprawy przed Radą Stanu i że postępowanie przed tym sądem odznaczało się pewną złożonością, Trybunał stwierdza, że całość postępowania rozciągnęła się na dwadzieścia dwa lata w trzech instancjach. Biorąc pod uwagę swoje orzecznictwo w tej kwestii, Trybunał stwierdza, że w przedmiotowej sprawie długość spornego postępowania była nadmierna i nie spełnia wymog</w:t>
      </w:r>
      <w:r w:rsidR="009F654E">
        <w:t>u</w:t>
      </w:r>
      <w:r>
        <w:t xml:space="preserve"> "rozsądnego terminu".</w:t>
      </w:r>
    </w:p>
    <w:p w14:paraId="18247526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96</w:t>
        </w:r>
      </w:fldSimple>
      <w:r>
        <w:t xml:space="preserve">.  Zatem, jeżeli chodzi o skargę nr 3453/12, miało miejsce naruszenie artykułu 6 § 1 </w:t>
      </w:r>
      <w:r w:rsidR="009F654E">
        <w:t>w zakresie</w:t>
      </w:r>
      <w:r>
        <w:t xml:space="preserve"> </w:t>
      </w:r>
      <w:r w:rsidR="009F654E">
        <w:t>długości</w:t>
      </w:r>
      <w:r>
        <w:t xml:space="preserve"> postępowania.</w:t>
      </w:r>
    </w:p>
    <w:p w14:paraId="49AEEA07" w14:textId="77777777" w:rsidR="003C2419" w:rsidRDefault="003C2419" w:rsidP="003C2419">
      <w:pPr>
        <w:pStyle w:val="ECHRHeading3"/>
        <w:rPr>
          <w:rFonts w:eastAsia="MS Gothic"/>
        </w:rPr>
      </w:pPr>
      <w:r>
        <w:t xml:space="preserve">2.  Odnośnie istnienia skutecznego środka odwoławczego </w:t>
      </w:r>
      <w:r w:rsidR="000C5B95">
        <w:t>w zakresie</w:t>
      </w:r>
      <w:r>
        <w:t xml:space="preserve"> </w:t>
      </w:r>
      <w:r w:rsidR="000C5B95">
        <w:t>długości</w:t>
      </w:r>
      <w:r>
        <w:t xml:space="preserve"> postępowania</w:t>
      </w:r>
    </w:p>
    <w:p w14:paraId="5654E35C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97</w:t>
        </w:r>
      </w:fldSimple>
      <w:r>
        <w:t xml:space="preserve">.  Trybunał przypomina, że artykuł 13 gwarantuje skuteczny środek </w:t>
      </w:r>
      <w:r w:rsidR="00A002F8">
        <w:t xml:space="preserve">odwoławczego </w:t>
      </w:r>
      <w:r w:rsidR="00045EFB">
        <w:t>przed</w:t>
      </w:r>
      <w:r>
        <w:t xml:space="preserve"> instancj</w:t>
      </w:r>
      <w:r w:rsidR="00045EFB">
        <w:t>ą</w:t>
      </w:r>
      <w:r>
        <w:t xml:space="preserve"> krajow</w:t>
      </w:r>
      <w:r w:rsidR="00045EFB">
        <w:t>ą</w:t>
      </w:r>
      <w:r>
        <w:t xml:space="preserve"> pozwalający zaskarżyć naruszenie obowiązku nałożonego przez artykuł 6 § 1, rozpatrzenia spraw w rozsądnym terminie  (patrz </w:t>
      </w:r>
      <w:r>
        <w:rPr>
          <w:i/>
        </w:rPr>
        <w:t xml:space="preserve">Kudła przeciwko Polsce </w:t>
      </w:r>
      <w:r>
        <w:t>[GC], nr</w:t>
      </w:r>
      <w:r>
        <w:rPr>
          <w:vertAlign w:val="superscript"/>
        </w:rPr>
        <w:t xml:space="preserve"> </w:t>
      </w:r>
      <w:r>
        <w:t>30210/96, § 156, CEDH 2000</w:t>
      </w:r>
      <w:r>
        <w:noBreakHyphen/>
        <w:t>XI).</w:t>
      </w:r>
    </w:p>
    <w:p w14:paraId="11A331F1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98</w:t>
        </w:r>
      </w:fldSimple>
      <w:r>
        <w:t>.  Ponadto, Trybunał miał już okazję stwierdzić, że grecki porządek prawny nie oferował zainteresowanym skutecznego środka odwoławczego w rozumieniu a</w:t>
      </w:r>
      <w:r w:rsidR="00AF6BE1">
        <w:t xml:space="preserve">rtykułu 13 Konwencji </w:t>
      </w:r>
      <w:r w:rsidR="00961321">
        <w:t>pozwalającego</w:t>
      </w:r>
      <w:r>
        <w:t xml:space="preserve"> im złożyć skargę na </w:t>
      </w:r>
      <w:r w:rsidR="00961321">
        <w:t>długość</w:t>
      </w:r>
      <w:r>
        <w:t xml:space="preserve"> postępowania (patrz pośród wielu innych wyroków również </w:t>
      </w:r>
      <w:proofErr w:type="spellStart"/>
      <w:r>
        <w:rPr>
          <w:i/>
        </w:rPr>
        <w:t>Vassilios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Athanasiou</w:t>
      </w:r>
      <w:proofErr w:type="spellEnd"/>
      <w:r>
        <w:rPr>
          <w:i/>
        </w:rPr>
        <w:t xml:space="preserve"> i inni,</w:t>
      </w:r>
      <w:r>
        <w:t xml:space="preserve"> wyżej cytowany, §§ 33-35).</w:t>
      </w:r>
    </w:p>
    <w:p w14:paraId="3CBFA525" w14:textId="77777777" w:rsidR="003C2419" w:rsidRDefault="003C2419" w:rsidP="003C2419">
      <w:pPr>
        <w:pStyle w:val="ECHRPara"/>
        <w:rPr>
          <w:rFonts w:eastAsia="MS Mincho"/>
          <w:color w:val="000000"/>
          <w:szCs w:val="24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SEQ level0 \*arabic </w:instrText>
      </w:r>
      <w:r>
        <w:rPr>
          <w:color w:val="000000"/>
        </w:rPr>
        <w:fldChar w:fldCharType="separate"/>
      </w:r>
      <w:r w:rsidR="00355195">
        <w:rPr>
          <w:noProof/>
          <w:color w:val="000000"/>
        </w:rPr>
        <w:t>99</w:t>
      </w:r>
      <w:r>
        <w:rPr>
          <w:color w:val="000000"/>
        </w:rPr>
        <w:fldChar w:fldCharType="end"/>
      </w:r>
      <w:r>
        <w:rPr>
          <w:color w:val="000000"/>
        </w:rPr>
        <w:t>.  </w:t>
      </w:r>
      <w:r>
        <w:t xml:space="preserve">Trybunał </w:t>
      </w:r>
      <w:r w:rsidR="00BF6926">
        <w:t>zaznacza</w:t>
      </w:r>
      <w:r>
        <w:t xml:space="preserve">, że 12 marca 2012 roku została opublikowana ustawa nr 4055/2012 dotycząca </w:t>
      </w:r>
      <w:r w:rsidR="00500A34">
        <w:t>rzetelno</w:t>
      </w:r>
      <w:r>
        <w:t>ści i rozsądnego terminu postępowania sądowego, która weszła w życie 2 kwietnia 2012 roku.</w:t>
      </w:r>
      <w:r>
        <w:rPr>
          <w:color w:val="000000"/>
        </w:rPr>
        <w:t xml:space="preserve"> Zgodnie z artykułami 53 i następne wyżej cytowanej ustawy, został wprowadzony nowy środek odwoławczy, pozwalający zainteresowanemu zaskarżyć długość postępowania w każdej instancji postępowania administracyjnego w terminie sześciu miesięcy począwszy od daty publikacji </w:t>
      </w:r>
      <w:r w:rsidR="00F7729C">
        <w:rPr>
          <w:color w:val="000000"/>
        </w:rPr>
        <w:t xml:space="preserve">odpowiedniej </w:t>
      </w:r>
      <w:r>
        <w:rPr>
          <w:color w:val="000000"/>
        </w:rPr>
        <w:t>decyzji</w:t>
      </w:r>
      <w:r w:rsidR="00F7729C">
        <w:rPr>
          <w:color w:val="000000"/>
        </w:rPr>
        <w:t xml:space="preserve"> </w:t>
      </w:r>
      <w:r>
        <w:rPr>
          <w:color w:val="000000"/>
        </w:rPr>
        <w:t xml:space="preserve">(patrz paragraf 41 powyżej). </w:t>
      </w:r>
      <w:r>
        <w:t>Swoją decyzją</w:t>
      </w:r>
      <w:r w:rsidR="00F7729C">
        <w:t xml:space="preserve"> w sprawie</w:t>
      </w:r>
      <w:r>
        <w:t xml:space="preserve"> </w:t>
      </w:r>
      <w:r>
        <w:rPr>
          <w:i/>
          <w:color w:val="000000"/>
        </w:rPr>
        <w:t xml:space="preserve">Techniki </w:t>
      </w:r>
      <w:proofErr w:type="spellStart"/>
      <w:r>
        <w:rPr>
          <w:i/>
          <w:color w:val="000000"/>
        </w:rPr>
        <w:t>Olympiaki</w:t>
      </w:r>
      <w:proofErr w:type="spellEnd"/>
      <w:r>
        <w:rPr>
          <w:i/>
          <w:color w:val="000000"/>
        </w:rPr>
        <w:t xml:space="preserve"> A.E. przeciwko Grecji,</w:t>
      </w:r>
      <w:r>
        <w:rPr>
          <w:color w:val="000000"/>
        </w:rPr>
        <w:t xml:space="preserve"> Trybunał uznał, że </w:t>
      </w:r>
      <w:r w:rsidR="00F70106">
        <w:rPr>
          <w:color w:val="000000"/>
        </w:rPr>
        <w:t xml:space="preserve">ten </w:t>
      </w:r>
      <w:r>
        <w:rPr>
          <w:color w:val="000000"/>
        </w:rPr>
        <w:t>środek odwoławczy jest skuteczny w rozumieniu artykułu 13 Konwencji (</w:t>
      </w:r>
      <w:r>
        <w:rPr>
          <w:i/>
          <w:color w:val="000000"/>
        </w:rPr>
        <w:t xml:space="preserve">Techniki </w:t>
      </w:r>
      <w:proofErr w:type="spellStart"/>
      <w:r>
        <w:rPr>
          <w:i/>
          <w:color w:val="000000"/>
        </w:rPr>
        <w:t>Olympiaki</w:t>
      </w:r>
      <w:proofErr w:type="spellEnd"/>
      <w:r>
        <w:rPr>
          <w:i/>
          <w:color w:val="000000"/>
        </w:rPr>
        <w:t xml:space="preserve"> A.E. przeciwko Grecji </w:t>
      </w:r>
      <w:r>
        <w:rPr>
          <w:color w:val="000000"/>
        </w:rPr>
        <w:t>(decyzja), n</w:t>
      </w:r>
      <w:r>
        <w:t>r</w:t>
      </w:r>
      <w:r>
        <w:rPr>
          <w:color w:val="000000"/>
        </w:rPr>
        <w:t xml:space="preserve"> 40547/10, </w:t>
      </w:r>
      <w:r w:rsidR="00F70106">
        <w:rPr>
          <w:color w:val="000000"/>
        </w:rPr>
        <w:br/>
      </w:r>
      <w:r>
        <w:rPr>
          <w:color w:val="000000"/>
        </w:rPr>
        <w:t>1</w:t>
      </w:r>
      <w:r w:rsidR="00AF6BE1">
        <w:rPr>
          <w:color w:val="000000"/>
          <w:vertAlign w:val="superscript"/>
        </w:rPr>
        <w:t xml:space="preserve"> </w:t>
      </w:r>
      <w:r w:rsidR="00AF6BE1">
        <w:rPr>
          <w:color w:val="000000"/>
        </w:rPr>
        <w:t>października</w:t>
      </w:r>
      <w:r>
        <w:rPr>
          <w:color w:val="000000"/>
        </w:rPr>
        <w:t xml:space="preserve"> 2013, § 58). </w:t>
      </w:r>
      <w:r w:rsidR="00F9012E">
        <w:rPr>
          <w:color w:val="000000"/>
        </w:rPr>
        <w:t>Jednakże</w:t>
      </w:r>
      <w:r>
        <w:rPr>
          <w:color w:val="000000"/>
        </w:rPr>
        <w:t xml:space="preserve"> Trybunał zauważ</w:t>
      </w:r>
      <w:r w:rsidR="00F9012E">
        <w:rPr>
          <w:color w:val="000000"/>
        </w:rPr>
        <w:t>a</w:t>
      </w:r>
      <w:r>
        <w:rPr>
          <w:color w:val="000000"/>
        </w:rPr>
        <w:t xml:space="preserve">, że ta ustawa nie </w:t>
      </w:r>
      <w:r w:rsidR="00F9012E">
        <w:rPr>
          <w:color w:val="000000"/>
        </w:rPr>
        <w:t xml:space="preserve">ma </w:t>
      </w:r>
      <w:r w:rsidR="00364F75">
        <w:rPr>
          <w:color w:val="000000"/>
        </w:rPr>
        <w:t>działania</w:t>
      </w:r>
      <w:r w:rsidR="00F9012E">
        <w:rPr>
          <w:color w:val="000000"/>
        </w:rPr>
        <w:t xml:space="preserve"> retroaktywnego</w:t>
      </w:r>
      <w:r>
        <w:rPr>
          <w:color w:val="000000"/>
        </w:rPr>
        <w:t>. W konsekwencji, ustawa ta nie przewiduje takiego środka zaskarżenia dla spraw zakończonych sześć miesięcy przed jej wejściem w życie.</w:t>
      </w:r>
    </w:p>
    <w:p w14:paraId="1F2F57EE" w14:textId="77777777" w:rsidR="003C2419" w:rsidRDefault="003C2419" w:rsidP="003C2419">
      <w:pPr>
        <w:pStyle w:val="ECHRPara"/>
        <w:rPr>
          <w:rFonts w:eastAsia="MS Mincho"/>
          <w:color w:val="000000"/>
          <w:szCs w:val="24"/>
        </w:rPr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SEQ level0 \*arabic </w:instrText>
      </w:r>
      <w:r>
        <w:rPr>
          <w:color w:val="000000"/>
        </w:rPr>
        <w:fldChar w:fldCharType="separate"/>
      </w:r>
      <w:r w:rsidR="00355195">
        <w:rPr>
          <w:noProof/>
          <w:color w:val="000000"/>
        </w:rPr>
        <w:t>100</w:t>
      </w:r>
      <w:r>
        <w:rPr>
          <w:color w:val="000000"/>
        </w:rPr>
        <w:fldChar w:fldCharType="end"/>
      </w:r>
      <w:r>
        <w:rPr>
          <w:color w:val="000000"/>
        </w:rPr>
        <w:t>.  </w:t>
      </w:r>
      <w:r>
        <w:t xml:space="preserve">W przedmiotowej sprawie, wyrok nr 1999/2011 Rady Stanu został opublikowany dnia 28 czerwca 2011 roku, czyli ponad sześć miesięcy przed wejściem w życie ustawy nr </w:t>
      </w:r>
      <w:r>
        <w:rPr>
          <w:color w:val="000000"/>
        </w:rPr>
        <w:t>4055/2012. Wobec tego skarżący nie mógł skorzystać ze wskazanego środka odwoła</w:t>
      </w:r>
      <w:r w:rsidR="001A0675">
        <w:rPr>
          <w:color w:val="000000"/>
        </w:rPr>
        <w:t>wczego</w:t>
      </w:r>
      <w:r>
        <w:rPr>
          <w:color w:val="000000"/>
        </w:rPr>
        <w:t xml:space="preserve">. </w:t>
      </w:r>
      <w:r>
        <w:t>W świetle powyższych rozważań, Trybunał oceni</w:t>
      </w:r>
      <w:r w:rsidR="001A0675">
        <w:t>a</w:t>
      </w:r>
      <w:r w:rsidR="00AF6BE1">
        <w:t>,</w:t>
      </w:r>
      <w:r>
        <w:t xml:space="preserve"> że miało miejsce naruszenie artykułu 13 Konwencji z powodu braku w prawie krajowym, w </w:t>
      </w:r>
      <w:r w:rsidR="001A0675">
        <w:t>tamtym czasie</w:t>
      </w:r>
      <w:r>
        <w:t xml:space="preserve">, środka odwoławczego, który </w:t>
      </w:r>
      <w:r w:rsidR="00830883">
        <w:t>pozwoliłby</w:t>
      </w:r>
      <w:r>
        <w:t xml:space="preserve"> skarżące</w:t>
      </w:r>
      <w:r w:rsidR="00AF6BE1">
        <w:t>mu w skardze nr 3453/12, uzyska</w:t>
      </w:r>
      <w:r w:rsidR="00830883">
        <w:t>ć</w:t>
      </w:r>
      <w:r w:rsidR="00AF6BE1">
        <w:t xml:space="preserve"> </w:t>
      </w:r>
      <w:r w:rsidR="00157127">
        <w:t>potwierdzenia</w:t>
      </w:r>
      <w:r>
        <w:t xml:space="preserve"> przysługującego mu prawa </w:t>
      </w:r>
      <w:r w:rsidR="00262D7F">
        <w:t>rozpatrzenia jego</w:t>
      </w:r>
      <w:r>
        <w:t xml:space="preserve"> spraw</w:t>
      </w:r>
      <w:r w:rsidR="00262D7F">
        <w:t>y</w:t>
      </w:r>
      <w:r>
        <w:t xml:space="preserve"> w rozsądnym terminie, w rozumieniu artykułu 6 § 1 Konwencji.</w:t>
      </w:r>
    </w:p>
    <w:p w14:paraId="764D16FB" w14:textId="77777777" w:rsidR="003C2419" w:rsidRDefault="003C2419" w:rsidP="003C2419">
      <w:pPr>
        <w:pStyle w:val="ECHRHeading1"/>
        <w:rPr>
          <w:rFonts w:eastAsia="MS Gothic"/>
        </w:rPr>
      </w:pPr>
      <w:r>
        <w:t>IV.  </w:t>
      </w:r>
      <w:r w:rsidR="00B67BEE">
        <w:t>RZEKOME</w:t>
      </w:r>
      <w:r>
        <w:t xml:space="preserve"> NARUSZENI</w:t>
      </w:r>
      <w:r w:rsidR="00B67BEE">
        <w:t>E</w:t>
      </w:r>
      <w:r>
        <w:t xml:space="preserve"> ARTYKUŁU 1 PROTOKOŁU NR 1</w:t>
      </w:r>
    </w:p>
    <w:p w14:paraId="06778D01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101</w:t>
        </w:r>
      </w:fldSimple>
      <w:r>
        <w:t>.  W skargach nr 42941/12 i 9028/13, skarżący utrzymują, że nałożone za przestępstwo przemytu grzywny administracyjne były nadmiernie wygórowane, nie respektowały zasady proporcjonalności i wobec tego naruszały prawo do ochrony własności. Powołują się na artykuł 1 Protokołu nr 1, o następującej treści :</w:t>
      </w:r>
    </w:p>
    <w:p w14:paraId="33690F8B" w14:textId="77777777" w:rsidR="003C2419" w:rsidRDefault="003C2419" w:rsidP="003C2419">
      <w:pPr>
        <w:pStyle w:val="ECHRParaQuote"/>
      </w:pPr>
      <w:r>
        <w:t>Każda osoba fizyczna i prawna ma prawo do poszanowania swego mienia. Nikt nie może być pozbawiony swojej własności, chyba że w interesie publicznym i na warunkach przewidzianych przez ustawę oraz zgodnie z ogólnymi zasadami prawa międzynarodowego.</w:t>
      </w:r>
    </w:p>
    <w:p w14:paraId="60861977" w14:textId="77777777" w:rsidR="003C2419" w:rsidRPr="009A0B2E" w:rsidRDefault="003C2419" w:rsidP="003C2419">
      <w:pPr>
        <w:pStyle w:val="ECHRParaQuote"/>
      </w:pPr>
      <w:r>
        <w:t>Powyższe postanowienia nie będą jednak w żaden sposób naruszać prawa państwa do stosowania takich ustaw, jakie uzna za konieczne do uregulowania sposobu korzystania z własności zgodnie z interesem powszechnym lub w celu zabezpieczenia uiszczania podatków bądź innych należności lub kar pieniężnych. "</w:t>
      </w:r>
    </w:p>
    <w:p w14:paraId="138BDF7F" w14:textId="77777777" w:rsidR="003C2419" w:rsidRDefault="003C2419" w:rsidP="003C2419">
      <w:pPr>
        <w:pStyle w:val="ECHRHeading2"/>
        <w:rPr>
          <w:rFonts w:eastAsia="MS Mincho"/>
        </w:rPr>
      </w:pPr>
      <w:r>
        <w:t>Dopuszczalność</w:t>
      </w:r>
    </w:p>
    <w:p w14:paraId="7809C8E0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102</w:t>
        </w:r>
      </w:fldSimple>
      <w:r>
        <w:t>.  Rząd powoł</w:t>
      </w:r>
      <w:r w:rsidR="00EE4D60">
        <w:t>uje</w:t>
      </w:r>
      <w:r>
        <w:t xml:space="preserve"> </w:t>
      </w:r>
      <w:r w:rsidR="00AF6BE1">
        <w:t xml:space="preserve">się na </w:t>
      </w:r>
      <w:r>
        <w:t xml:space="preserve">nie wyczerpanie krajowych środków odwoławczych. Podnosi, że w powyższych skargach, skarżący nie powołali się przed sądami administracyjnymi na naruszenie prawa </w:t>
      </w:r>
      <w:r w:rsidR="003E0BCD">
        <w:t xml:space="preserve">do </w:t>
      </w:r>
      <w:r>
        <w:t>ochrony</w:t>
      </w:r>
      <w:r w:rsidR="003E0BCD">
        <w:t xml:space="preserve"> ich własności</w:t>
      </w:r>
      <w:r>
        <w:t xml:space="preserve"> z uwagi na nałożenie grzywien administracyjnych, o których mowa.</w:t>
      </w:r>
    </w:p>
    <w:p w14:paraId="2A6C2CFE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103</w:t>
        </w:r>
      </w:fldSimple>
      <w:r>
        <w:t>.  Skarżący ripostują, że grzywny o których mowa</w:t>
      </w:r>
      <w:r w:rsidR="00DF7E1F">
        <w:t>,</w:t>
      </w:r>
      <w:r>
        <w:t xml:space="preserve"> stanowiły nieproporcjonalną</w:t>
      </w:r>
      <w:r w:rsidR="00870343">
        <w:t xml:space="preserve"> restrykcję</w:t>
      </w:r>
      <w:r>
        <w:t xml:space="preserve"> w stosunku do ich prawa ochrony </w:t>
      </w:r>
      <w:r w:rsidR="007B7157">
        <w:t>własności</w:t>
      </w:r>
      <w:r>
        <w:t xml:space="preserve">. Trzeci skarżący podnosi w szczególności, że poprzez swoją skargę opartą o zasadę </w:t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rPr>
          <w:i/>
        </w:rPr>
        <w:t xml:space="preserve">, </w:t>
      </w:r>
      <w:r w:rsidR="001F41C8">
        <w:t>kwestionował</w:t>
      </w:r>
      <w:r>
        <w:t xml:space="preserve"> nałożenie surowej, podwójnej kary za te same czyny.</w:t>
      </w:r>
    </w:p>
    <w:p w14:paraId="1306CA3E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104</w:t>
        </w:r>
      </w:fldSimple>
      <w:r>
        <w:t>.  Trybunał przypomina, że fundament zasady wyczerpania krajowych dróg odwoławczych wyrażonej w artykule 35 § 1 Konwencji polega na tym, aby przed zwróceniem się do sądu mię</w:t>
      </w:r>
      <w:r w:rsidR="00283FDC">
        <w:t>dzynarodowego, skarżący dał</w:t>
      </w:r>
      <w:r>
        <w:t xml:space="preserve"> Państwu odpowiedzialnemu możliwość naprawienia domniemanych naruszeń poprzez środki krajowe, przy użyciu zasobów sądowych oferowanych przez krajowy system prawny, o ile są one </w:t>
      </w:r>
      <w:r>
        <w:lastRenderedPageBreak/>
        <w:t>skute</w:t>
      </w:r>
      <w:r w:rsidR="007B43CF">
        <w:t>czne i wystarczające (patrz, mię</w:t>
      </w:r>
      <w:r>
        <w:t xml:space="preserve">dzy innymi, </w:t>
      </w:r>
      <w:proofErr w:type="spellStart"/>
      <w:r>
        <w:rPr>
          <w:i/>
        </w:rPr>
        <w:t>Fressoz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Roire</w:t>
      </w:r>
      <w:proofErr w:type="spellEnd"/>
      <w:r>
        <w:rPr>
          <w:i/>
        </w:rPr>
        <w:t xml:space="preserve"> przeciwko Francji</w:t>
      </w:r>
      <w:r>
        <w:t xml:space="preserve"> [GC], nr 29183/95, § 37, CEDH 1999–I). W </w:t>
      </w:r>
      <w:r w:rsidR="007B43CF">
        <w:t>istocie</w:t>
      </w:r>
      <w:r>
        <w:t xml:space="preserve"> artykuł 35 § 1 Konwencji mówi o </w:t>
      </w:r>
      <w:r w:rsidR="00126043">
        <w:t xml:space="preserve">jedynie o </w:t>
      </w:r>
      <w:r>
        <w:t>wyczerpaniu środków odwoławczych</w:t>
      </w:r>
      <w:r w:rsidR="00126043">
        <w:t xml:space="preserve">, które </w:t>
      </w:r>
      <w:r>
        <w:t xml:space="preserve"> odnoszą się do penalizowanych naruszeń, </w:t>
      </w:r>
      <w:r w:rsidR="006347BF">
        <w:t xml:space="preserve">są </w:t>
      </w:r>
      <w:r>
        <w:t>dostępn</w:t>
      </w:r>
      <w:r w:rsidR="006347BF">
        <w:t>e</w:t>
      </w:r>
      <w:r>
        <w:t xml:space="preserve"> i odpowiedni</w:t>
      </w:r>
      <w:r w:rsidR="006347BF">
        <w:t>e</w:t>
      </w:r>
      <w:r>
        <w:t>. Muszą istnieć środki o wystarczającym stopniu pewności, nie tylko w teorii ale także w praktyce, bez czego brak im będzie wymaganej skuteczności i dostępności ; na pozwanym Państwie spoczywa obowiązek wykazania</w:t>
      </w:r>
      <w:r w:rsidR="00283FDC">
        <w:t>,</w:t>
      </w:r>
      <w:r>
        <w:t xml:space="preserve"> że te wymagania są spełnione (patrz, wśród wielu innych, </w:t>
      </w:r>
      <w:r>
        <w:rPr>
          <w:i/>
        </w:rPr>
        <w:t>Dalia przeciwko Francji</w:t>
      </w:r>
      <w:r>
        <w:t>, 19 lut</w:t>
      </w:r>
      <w:r w:rsidR="006F0071">
        <w:t>ego</w:t>
      </w:r>
      <w:r>
        <w:t xml:space="preserve"> 1998, § 38, </w:t>
      </w:r>
      <w:r>
        <w:rPr>
          <w:i/>
        </w:rPr>
        <w:t xml:space="preserve">Zbiór </w:t>
      </w:r>
      <w:r>
        <w:t xml:space="preserve">1998-I, i </w:t>
      </w:r>
      <w:proofErr w:type="spellStart"/>
      <w:r>
        <w:rPr>
          <w:i/>
        </w:rPr>
        <w:t>Fix</w:t>
      </w:r>
      <w:proofErr w:type="spellEnd"/>
      <w:r>
        <w:rPr>
          <w:i/>
        </w:rPr>
        <w:t xml:space="preserve"> przeciwko Grecji</w:t>
      </w:r>
      <w:r>
        <w:t>, nr 1001/09, § 51, 12 lipc</w:t>
      </w:r>
      <w:r w:rsidR="006F0071">
        <w:t>a</w:t>
      </w:r>
      <w:r>
        <w:t xml:space="preserve"> 2011). Tymczasem, tylko fakt posiadania obaw co do perspektyw </w:t>
      </w:r>
      <w:r w:rsidR="006F0071">
        <w:t>sukcesu</w:t>
      </w:r>
      <w:r>
        <w:t xml:space="preserve"> danego środka odwoławczego, który nie jest w oczywisty sposób skazany na niepowodzenie, nie stanowi dostatecznego powodu aby uzasadnić niewykorzystanie krajowego środka odwoławczego (</w:t>
      </w:r>
      <w:proofErr w:type="spellStart"/>
      <w:r>
        <w:rPr>
          <w:i/>
        </w:rPr>
        <w:t>Brusco</w:t>
      </w:r>
      <w:proofErr w:type="spellEnd"/>
      <w:r>
        <w:rPr>
          <w:i/>
        </w:rPr>
        <w:t xml:space="preserve"> przeciwko Włochom</w:t>
      </w:r>
      <w:r>
        <w:t xml:space="preserve"> (decyzja), n</w:t>
      </w:r>
      <w:r w:rsidR="00095431">
        <w:t>r</w:t>
      </w:r>
      <w:r>
        <w:rPr>
          <w:vertAlign w:val="superscript"/>
        </w:rPr>
        <w:t> </w:t>
      </w:r>
      <w:r>
        <w:t xml:space="preserve">69789/01, CEDH 2001-IX, i </w:t>
      </w:r>
      <w:proofErr w:type="spellStart"/>
      <w:r>
        <w:rPr>
          <w:i/>
        </w:rPr>
        <w:t>Pellegriti</w:t>
      </w:r>
      <w:proofErr w:type="spellEnd"/>
      <w:r>
        <w:rPr>
          <w:i/>
        </w:rPr>
        <w:t xml:space="preserve"> przeciwko Włochom </w:t>
      </w:r>
      <w:r>
        <w:t>(decyzja), nr 77363/01, 26 maj</w:t>
      </w:r>
      <w:r w:rsidR="00095431">
        <w:t>a</w:t>
      </w:r>
      <w:r>
        <w:t xml:space="preserve"> 2005).</w:t>
      </w:r>
    </w:p>
    <w:p w14:paraId="06896852" w14:textId="77777777" w:rsidR="003C2419" w:rsidRDefault="003C2419" w:rsidP="003C2419">
      <w:pPr>
        <w:pStyle w:val="ECHRPara"/>
        <w:rPr>
          <w:snapToGrid w:val="0"/>
          <w:szCs w:val="24"/>
        </w:rPr>
      </w:pPr>
      <w:fldSimple w:instr=" SEQ level0 \*arabic ">
        <w:r w:rsidR="00355195">
          <w:rPr>
            <w:noProof/>
          </w:rPr>
          <w:t>105</w:t>
        </w:r>
      </w:fldSimple>
      <w:r>
        <w:t>.  W ty</w:t>
      </w:r>
      <w:r w:rsidR="00283FDC">
        <w:t>m przypadku, Trybunał zauważa, ż</w:t>
      </w:r>
      <w:r>
        <w:t xml:space="preserve">e w kwestii dotyczącej skargi nr 42941/12 z akt </w:t>
      </w:r>
      <w:r w:rsidR="00C311E1">
        <w:t>sprawy</w:t>
      </w:r>
      <w:r>
        <w:t xml:space="preserve"> wynika, że skarżący na żadnym etapie postępowania przed sądami administracyjnymi nie powołał się na prawo</w:t>
      </w:r>
      <w:r w:rsidR="00C311E1">
        <w:t xml:space="preserve"> do </w:t>
      </w:r>
      <w:r>
        <w:t xml:space="preserve"> ochrony </w:t>
      </w:r>
      <w:r w:rsidR="009550AF">
        <w:t xml:space="preserve">swojej </w:t>
      </w:r>
      <w:r w:rsidR="00C311E1">
        <w:t>własności</w:t>
      </w:r>
      <w:r>
        <w:t xml:space="preserve"> i na ewentualnie wygórowany charakter nałożonych grzywien. Jeżeli chodzi o skargę nr 9028/13, z wyroku nr 1461/2008 Apelacyjnego Sądu Administracyjnego w Pireusie wynika, że skarżący zakwestionował przed tym sądem</w:t>
      </w:r>
      <w:r w:rsidR="00283FDC">
        <w:t>,</w:t>
      </w:r>
      <w:r>
        <w:t xml:space="preserve"> w szczególności</w:t>
      </w:r>
      <w:r w:rsidR="00283FDC">
        <w:t>,</w:t>
      </w:r>
      <w:r>
        <w:t xml:space="preserve"> wysokość kwoty nałożonej z tytułu grzywny. Ze swej strony, wspomniany sąd  od</w:t>
      </w:r>
      <w:r w:rsidR="0084376D">
        <w:t>rzucił tę skargę stwierdzając, ż</w:t>
      </w:r>
      <w:r>
        <w:t xml:space="preserve">e nałożona grzywna nie naruszała zasady proporcjonalności, gdyż stanowiła </w:t>
      </w:r>
      <w:r w:rsidR="0084376D">
        <w:t xml:space="preserve">jedynie </w:t>
      </w:r>
      <w:r>
        <w:t>dwukrotność niezapłaconych podatków i ceł. Natomiast skarżący nie zakwestionował t</w:t>
      </w:r>
      <w:r w:rsidR="0037075D">
        <w:t>ej</w:t>
      </w:r>
      <w:r>
        <w:t xml:space="preserve"> </w:t>
      </w:r>
      <w:r w:rsidR="0037075D">
        <w:t xml:space="preserve">konkluzji </w:t>
      </w:r>
      <w:r>
        <w:t xml:space="preserve"> Apelacyjn</w:t>
      </w:r>
      <w:r w:rsidR="0037075D">
        <w:t>ego</w:t>
      </w:r>
      <w:r>
        <w:t xml:space="preserve"> Sąd</w:t>
      </w:r>
      <w:r w:rsidR="0037075D">
        <w:t>u</w:t>
      </w:r>
      <w:r>
        <w:t xml:space="preserve"> Administracyjn</w:t>
      </w:r>
      <w:r w:rsidR="0037075D">
        <w:t>ego</w:t>
      </w:r>
      <w:r>
        <w:t xml:space="preserve"> w swojej skardze kasacy</w:t>
      </w:r>
      <w:r w:rsidR="00283FDC">
        <w:t xml:space="preserve">jnej </w:t>
      </w:r>
      <w:r w:rsidR="00214AE4">
        <w:t>przed</w:t>
      </w:r>
      <w:r w:rsidR="00283FDC">
        <w:t xml:space="preserve"> Rad</w:t>
      </w:r>
      <w:r w:rsidR="00214AE4">
        <w:t>ą</w:t>
      </w:r>
      <w:r w:rsidR="00283FDC">
        <w:t xml:space="preserve"> Stanu. Postępując w</w:t>
      </w:r>
      <w:r>
        <w:t xml:space="preserve"> ten sposób nie dał </w:t>
      </w:r>
      <w:r w:rsidR="00214AE4">
        <w:t>najwyższej instancji administracyjnej</w:t>
      </w:r>
      <w:r w:rsidR="00283FDC">
        <w:t xml:space="preserve"> możliwości podjęcia środków zaradczych wobec sytuacji,</w:t>
      </w:r>
      <w:r>
        <w:t xml:space="preserve"> co do której skarży się obecnie w niniejszej sprawie (</w:t>
      </w:r>
      <w:r>
        <w:rPr>
          <w:i/>
        </w:rPr>
        <w:t>patrz Stowarzyszenie Świadków Jehowy przeciwko Francji</w:t>
      </w:r>
      <w:r>
        <w:t xml:space="preserve"> (decyzja), nr 8916/05, 21 września 2010).</w:t>
      </w:r>
    </w:p>
    <w:p w14:paraId="6073C351" w14:textId="77777777" w:rsidR="003C2419" w:rsidRDefault="003C2419" w:rsidP="003C2419">
      <w:pPr>
        <w:pStyle w:val="ECHRPara"/>
        <w:rPr>
          <w:rFonts w:eastAsia="MS Gothic"/>
          <w:bCs/>
          <w:szCs w:val="28"/>
        </w:rPr>
      </w:pPr>
      <w:fldSimple w:instr=" SEQ level0 \*arabic ">
        <w:r w:rsidR="00355195">
          <w:rPr>
            <w:noProof/>
          </w:rPr>
          <w:t>106</w:t>
        </w:r>
      </w:fldSimple>
      <w:r>
        <w:t>.  Biorąc po</w:t>
      </w:r>
      <w:r w:rsidR="00DE54F1">
        <w:t>d uwagę powyższe, Trybunał uznaje</w:t>
      </w:r>
      <w:r>
        <w:t>, że skarżący w skargach nr 42941/12 i 9028/13, nie</w:t>
      </w:r>
      <w:r w:rsidR="00283FDC">
        <w:t xml:space="preserve"> dali pozwanemu</w:t>
      </w:r>
      <w:r>
        <w:t xml:space="preserve"> Państwu moż</w:t>
      </w:r>
      <w:r w:rsidR="00A40277">
        <w:t>n</w:t>
      </w:r>
      <w:r>
        <w:t xml:space="preserve">ości zaradzenia </w:t>
      </w:r>
      <w:r w:rsidR="00A40277">
        <w:t>rzekomym</w:t>
      </w:r>
      <w:r>
        <w:t xml:space="preserve"> naruszeni</w:t>
      </w:r>
      <w:r w:rsidR="00A40277">
        <w:t>om</w:t>
      </w:r>
      <w:r>
        <w:t xml:space="preserve"> praw</w:t>
      </w:r>
      <w:r w:rsidR="001B3AA4">
        <w:t>a do</w:t>
      </w:r>
      <w:r>
        <w:t xml:space="preserve"> ochrony </w:t>
      </w:r>
      <w:r w:rsidR="001B3AA4">
        <w:t>własności</w:t>
      </w:r>
      <w:r>
        <w:t>,</w:t>
      </w:r>
      <w:r w:rsidR="001B3AA4">
        <w:t xml:space="preserve"> poprzez </w:t>
      </w:r>
      <w:r>
        <w:t xml:space="preserve"> wykorzyst</w:t>
      </w:r>
      <w:r w:rsidR="001B3AA4">
        <w:t>anie</w:t>
      </w:r>
      <w:r>
        <w:t xml:space="preserve"> środk</w:t>
      </w:r>
      <w:r w:rsidR="001B3AA4">
        <w:t>ów</w:t>
      </w:r>
      <w:r>
        <w:t xml:space="preserve"> prawn</w:t>
      </w:r>
      <w:r w:rsidR="001B3AA4">
        <w:t>ych</w:t>
      </w:r>
      <w:r>
        <w:t xml:space="preserve"> </w:t>
      </w:r>
      <w:r w:rsidR="001B3AA4">
        <w:t>oferowanych przez</w:t>
      </w:r>
      <w:r>
        <w:t xml:space="preserve"> praw</w:t>
      </w:r>
      <w:r w:rsidR="001B3AA4">
        <w:t>o</w:t>
      </w:r>
      <w:r>
        <w:t xml:space="preserve"> krajow</w:t>
      </w:r>
      <w:r w:rsidR="001B3AA4">
        <w:t>e</w:t>
      </w:r>
      <w:r>
        <w:t xml:space="preserve">. Wobec tego, ta skarga musi zostać odrzucona z powodu nie wyczerpania krajowych środków odwoławczych, </w:t>
      </w:r>
      <w:r w:rsidR="005D7ACA">
        <w:t>przy zastosowaniu</w:t>
      </w:r>
      <w:r>
        <w:t xml:space="preserve"> artykuł</w:t>
      </w:r>
      <w:r w:rsidR="005D7ACA">
        <w:t>u</w:t>
      </w:r>
      <w:r>
        <w:t xml:space="preserve"> 35 §§ 1 i 4 Konwencji.</w:t>
      </w:r>
    </w:p>
    <w:p w14:paraId="5418D6BD" w14:textId="77777777" w:rsidR="003C2419" w:rsidRDefault="005D7ACA" w:rsidP="003C2419">
      <w:pPr>
        <w:pStyle w:val="ECHRHeading1"/>
        <w:rPr>
          <w:rFonts w:eastAsia="MS Gothic"/>
        </w:rPr>
      </w:pPr>
      <w:r>
        <w:t xml:space="preserve">V. RZEKOME INNE </w:t>
      </w:r>
      <w:r w:rsidR="003C2419">
        <w:t>NARUSZE</w:t>
      </w:r>
      <w:r>
        <w:t>NIA</w:t>
      </w:r>
    </w:p>
    <w:p w14:paraId="57F2E21B" w14:textId="77777777" w:rsidR="003C2419" w:rsidRDefault="003C2419" w:rsidP="003C2419">
      <w:pPr>
        <w:pStyle w:val="ECHRPara"/>
        <w:rPr>
          <w:rFonts w:eastAsia="MS Mincho"/>
        </w:rPr>
      </w:pPr>
      <w:fldSimple w:instr=" SEQ level0 \*arabic ">
        <w:r w:rsidR="00355195">
          <w:rPr>
            <w:noProof/>
          </w:rPr>
          <w:t>107</w:t>
        </w:r>
      </w:fldSimple>
      <w:r>
        <w:t>.  Przywołując artykuły 6 § 1 i 13 Konwencji, skarżący skarżą się na nie</w:t>
      </w:r>
      <w:r w:rsidR="00982AB6">
        <w:t>rzetelność</w:t>
      </w:r>
      <w:r>
        <w:t xml:space="preserve"> postępow</w:t>
      </w:r>
      <w:r w:rsidR="00283FDC">
        <w:t>ania, w szczególności na fakt, ż</w:t>
      </w:r>
      <w:r>
        <w:t xml:space="preserve">e sądy </w:t>
      </w:r>
      <w:r>
        <w:lastRenderedPageBreak/>
        <w:t xml:space="preserve">administracyjne nie przestrzegały zasad domniemania niewinności </w:t>
      </w:r>
      <w:r w:rsidR="00982AB6">
        <w:t>oraz</w:t>
      </w:r>
      <w:r w:rsidR="00283FDC">
        <w:t xml:space="preserve"> </w:t>
      </w:r>
      <w:r w:rsidR="00982AB6">
        <w:br/>
      </w:r>
      <w:proofErr w:type="spellStart"/>
      <w:r>
        <w:rPr>
          <w:i/>
        </w:rPr>
        <w:t>ne</w:t>
      </w:r>
      <w:proofErr w:type="spellEnd"/>
      <w:r>
        <w:rPr>
          <w:i/>
        </w:rPr>
        <w:t xml:space="preserve"> bis in </w:t>
      </w:r>
      <w:proofErr w:type="spellStart"/>
      <w:r>
        <w:rPr>
          <w:i/>
        </w:rPr>
        <w:t>idem</w:t>
      </w:r>
      <w:proofErr w:type="spellEnd"/>
      <w:r>
        <w:rPr>
          <w:i/>
        </w:rPr>
        <w:t xml:space="preserve">. </w:t>
      </w:r>
      <w:r>
        <w:t xml:space="preserve">Ponadto, w skardze nr 9028/13, skarżący przywołuje artykuł 7 Konwencji. Potwierdza, że sądy administracyjne powinny były w przedmiotowej sprawie zastosować </w:t>
      </w:r>
      <w:r w:rsidR="00564B7A">
        <w:t>retroaktywnie</w:t>
      </w:r>
      <w:r>
        <w:t xml:space="preserve"> nowy Kodeks </w:t>
      </w:r>
      <w:r w:rsidR="00564B7A">
        <w:t>c</w:t>
      </w:r>
      <w:r>
        <w:t>elny (ustawa nr 2960/2001), któr</w:t>
      </w:r>
      <w:r w:rsidR="00D7125A">
        <w:t>y</w:t>
      </w:r>
      <w:r>
        <w:t xml:space="preserve"> wsz</w:t>
      </w:r>
      <w:r w:rsidR="00D7125A">
        <w:t>ed</w:t>
      </w:r>
      <w:r>
        <w:t xml:space="preserve">ł w życie po popełnieniu </w:t>
      </w:r>
      <w:r w:rsidR="00D7125A">
        <w:t>zarzucanego czynu</w:t>
      </w:r>
      <w:r>
        <w:t xml:space="preserve">. Podnosi, iż w tym przypadku </w:t>
      </w:r>
      <w:r w:rsidR="00D061F0">
        <w:t>czyn</w:t>
      </w:r>
      <w:r>
        <w:t>, o któr</w:t>
      </w:r>
      <w:r w:rsidR="00D061F0">
        <w:t>ym</w:t>
      </w:r>
      <w:r>
        <w:t xml:space="preserve"> mowa</w:t>
      </w:r>
      <w:r w:rsidR="00D061F0">
        <w:t>,</w:t>
      </w:r>
      <w:r>
        <w:t xml:space="preserve"> powin</w:t>
      </w:r>
      <w:r w:rsidR="00D061F0">
        <w:t>ien</w:t>
      </w:r>
      <w:r>
        <w:t xml:space="preserve"> </w:t>
      </w:r>
      <w:r w:rsidR="00D061F0">
        <w:t>zostać</w:t>
      </w:r>
      <w:r>
        <w:t xml:space="preserve"> zakwalifikowan</w:t>
      </w:r>
      <w:r w:rsidR="00D061F0">
        <w:t>y</w:t>
      </w:r>
      <w:r>
        <w:t xml:space="preserve"> jako zwykłe wykroczenie celne, co pociąg</w:t>
      </w:r>
      <w:r w:rsidR="00D061F0">
        <w:t>nę</w:t>
      </w:r>
      <w:r>
        <w:t xml:space="preserve">łoby za sobą </w:t>
      </w:r>
      <w:r w:rsidR="00D061F0">
        <w:t xml:space="preserve">wymierzenie </w:t>
      </w:r>
      <w:r w:rsidR="007C714A">
        <w:t>niższej grzywny</w:t>
      </w:r>
      <w:r>
        <w:t>.</w:t>
      </w:r>
    </w:p>
    <w:p w14:paraId="1BD910A9" w14:textId="77777777" w:rsidR="003C2419" w:rsidRDefault="003C2419" w:rsidP="003C2419">
      <w:pPr>
        <w:pStyle w:val="ECHRHeading2"/>
        <w:rPr>
          <w:rFonts w:eastAsia="MS Mincho"/>
        </w:rPr>
      </w:pPr>
      <w:r>
        <w:t>Dopuszczalność</w:t>
      </w:r>
    </w:p>
    <w:p w14:paraId="7160D79E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108</w:t>
        </w:r>
      </w:fldSimple>
      <w:r>
        <w:t>.  Jeżeli chodzi o skargi wywiedzione z artykułów 6 § 1 i 13 Konwencji, Trybunał zauważa, że skarżący po</w:t>
      </w:r>
      <w:r w:rsidR="00291186">
        <w:t>wtarzają</w:t>
      </w:r>
      <w:r>
        <w:t xml:space="preserve"> </w:t>
      </w:r>
      <w:r w:rsidR="00E379BE">
        <w:t xml:space="preserve">de facto </w:t>
      </w:r>
      <w:r>
        <w:t xml:space="preserve">swoje </w:t>
      </w:r>
      <w:r w:rsidR="00C33257">
        <w:t xml:space="preserve">twierdzenia </w:t>
      </w:r>
      <w:r w:rsidR="00291186">
        <w:t>rozważone</w:t>
      </w:r>
      <w:r>
        <w:t xml:space="preserve"> </w:t>
      </w:r>
      <w:r w:rsidR="00291186">
        <w:t>wcześniej</w:t>
      </w:r>
      <w:r w:rsidR="00E379BE">
        <w:t xml:space="preserve"> </w:t>
      </w:r>
      <w:r>
        <w:t xml:space="preserve">przez Trybunał w ramach artykułów 6 § 2 Konwencji </w:t>
      </w:r>
      <w:r w:rsidR="002F271E">
        <w:t xml:space="preserve">oraz </w:t>
      </w:r>
      <w:r>
        <w:t xml:space="preserve">4 Protokołu nr 7. </w:t>
      </w:r>
      <w:r w:rsidR="003E5AC3">
        <w:t>W zakresie, w jakim</w:t>
      </w:r>
      <w:r>
        <w:t xml:space="preserve"> poprzez te skargi kwestionują oni </w:t>
      </w:r>
      <w:r w:rsidR="002F271E">
        <w:t>rzetelność</w:t>
      </w:r>
      <w:r>
        <w:t xml:space="preserve"> postępowania przed sądami administracyjnymi, Trybunał nie stwierdz</w:t>
      </w:r>
      <w:r w:rsidR="003E5AC3">
        <w:t>a</w:t>
      </w:r>
      <w:r>
        <w:t xml:space="preserve"> żadnego </w:t>
      </w:r>
      <w:r w:rsidR="00615B9B">
        <w:t xml:space="preserve">przejawu </w:t>
      </w:r>
      <w:r>
        <w:t>arbitraln</w:t>
      </w:r>
      <w:r w:rsidR="00615B9B">
        <w:t>ości</w:t>
      </w:r>
      <w:r>
        <w:t xml:space="preserve"> w przebiegu tych postępowań, które zapewniły poszanowanie praw</w:t>
      </w:r>
      <w:r w:rsidR="00615B9B">
        <w:t>a</w:t>
      </w:r>
      <w:r>
        <w:t xml:space="preserve"> dostępu do sądu. Ponadto sporne wyroki były dostatecznie uzasadnione. Zatem, ta część skargi </w:t>
      </w:r>
      <w:r w:rsidR="00F100A5">
        <w:t>jest oczywiście bezzasadna</w:t>
      </w:r>
      <w:r>
        <w:t xml:space="preserve"> i musi być odrzucona </w:t>
      </w:r>
      <w:r w:rsidR="00F100A5">
        <w:t>przy zastosowaniu</w:t>
      </w:r>
      <w:r>
        <w:t xml:space="preserve"> artykuł</w:t>
      </w:r>
      <w:r w:rsidR="00F100A5">
        <w:t>u</w:t>
      </w:r>
      <w:r>
        <w:t xml:space="preserve"> 35 §§ 3 a) i 4 Konwencji.</w:t>
      </w:r>
    </w:p>
    <w:p w14:paraId="2B3CB964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109</w:t>
        </w:r>
      </w:fldSimple>
      <w:r>
        <w:t xml:space="preserve">.  Ponadto, jeżeli chodzi o skargę wywiedzioną z artykułu 7 Konwencji, Trybunał zauważa, że Rada Stanu pochyliła się nad kwestią wstecznego zastosowania nowego Kodeksu </w:t>
      </w:r>
      <w:r w:rsidR="002570EC">
        <w:t>c</w:t>
      </w:r>
      <w:r>
        <w:t xml:space="preserve">elnego. Rada </w:t>
      </w:r>
      <w:r w:rsidR="002570EC">
        <w:t>wskazała</w:t>
      </w:r>
      <w:r>
        <w:t xml:space="preserve">, że badana sprawa podnosiła specyficzną kwestię użycia przez skarżącego podstępu w celu uchylenia się od zapłaty należności celnych podczas importu spornych pojazdów. Na tej podstawie, Rada uznała, że zgodnie z artykułem 137 Γ. § 7 nowego Kodeksu </w:t>
      </w:r>
      <w:r w:rsidR="005152A7">
        <w:t>c</w:t>
      </w:r>
      <w:r>
        <w:t xml:space="preserve">elnego, </w:t>
      </w:r>
      <w:r w:rsidR="005152A7">
        <w:t xml:space="preserve">przedmiotowy czyn </w:t>
      </w:r>
      <w:r>
        <w:t xml:space="preserve"> zostałby również zakwalifikowan</w:t>
      </w:r>
      <w:r w:rsidR="005152A7">
        <w:t>y</w:t>
      </w:r>
      <w:r>
        <w:t xml:space="preserve"> jako przemyt </w:t>
      </w:r>
      <w:r w:rsidR="00823F91">
        <w:t>oraz</w:t>
      </w:r>
      <w:r>
        <w:t xml:space="preserve"> że, w konsekwencji</w:t>
      </w:r>
      <w:r w:rsidR="00823F91">
        <w:t>,</w:t>
      </w:r>
      <w:r>
        <w:t xml:space="preserve"> oba Kodeksy stosują "ten sam system prawny", włącznie z przewidzianą sankcją. W tych warunkach, Rada Stanu </w:t>
      </w:r>
      <w:r w:rsidR="00823F91">
        <w:t>stwierdziła</w:t>
      </w:r>
      <w:r>
        <w:t>, że nie było żadne</w:t>
      </w:r>
      <w:r w:rsidR="00610CF6">
        <w:t>go</w:t>
      </w:r>
      <w:r>
        <w:t xml:space="preserve"> p</w:t>
      </w:r>
      <w:r w:rsidR="00610CF6">
        <w:t>owodu,</w:t>
      </w:r>
      <w:r>
        <w:t xml:space="preserve"> aby zastosować nowy Kodeks </w:t>
      </w:r>
      <w:r w:rsidR="002E7F9C">
        <w:t>c</w:t>
      </w:r>
      <w:r>
        <w:t xml:space="preserve">elny. </w:t>
      </w:r>
      <w:r w:rsidR="008271F1">
        <w:t>Trybunał uzna</w:t>
      </w:r>
      <w:r w:rsidR="0007702F">
        <w:t>je</w:t>
      </w:r>
      <w:r w:rsidR="008271F1">
        <w:t>, że t</w:t>
      </w:r>
      <w:r w:rsidR="0007702F">
        <w:t>a</w:t>
      </w:r>
      <w:r w:rsidR="008271F1">
        <w:t xml:space="preserve"> </w:t>
      </w:r>
      <w:r w:rsidR="0007702F">
        <w:t>konkluzja</w:t>
      </w:r>
      <w:r w:rsidR="008271F1">
        <w:t xml:space="preserve"> R</w:t>
      </w:r>
      <w:r>
        <w:t>ady Stanu był</w:t>
      </w:r>
      <w:r w:rsidR="0007702F">
        <w:t>a</w:t>
      </w:r>
      <w:r>
        <w:t xml:space="preserve"> rozsądn</w:t>
      </w:r>
      <w:r w:rsidR="0007702F">
        <w:t>a</w:t>
      </w:r>
      <w:r>
        <w:t xml:space="preserve"> i wystarczająco uzasadnion</w:t>
      </w:r>
      <w:r w:rsidR="0007702F">
        <w:t>a oraz, że</w:t>
      </w:r>
      <w:r>
        <w:t xml:space="preserve"> </w:t>
      </w:r>
      <w:r w:rsidR="009D7429">
        <w:t>jakiekolwiek</w:t>
      </w:r>
      <w:r w:rsidR="00CC72C0">
        <w:t xml:space="preserve"> naruszenie artykułu 7</w:t>
      </w:r>
      <w:r>
        <w:t xml:space="preserve"> </w:t>
      </w:r>
      <w:r w:rsidR="00CC72C0">
        <w:t xml:space="preserve">nie wynika z </w:t>
      </w:r>
      <w:r>
        <w:t>okoliczności</w:t>
      </w:r>
      <w:r w:rsidR="00AD6D6F">
        <w:t xml:space="preserve"> sprawy</w:t>
      </w:r>
      <w:r>
        <w:t>. W św</w:t>
      </w:r>
      <w:r w:rsidR="008C6098">
        <w:t>ietle powyższego, Trybunał uznaje</w:t>
      </w:r>
      <w:r>
        <w:t xml:space="preserve">, że ta skarga jest w </w:t>
      </w:r>
      <w:r w:rsidR="008C6098">
        <w:t>oczywiście bezzasadna</w:t>
      </w:r>
      <w:r>
        <w:t xml:space="preserve"> i musi być odrzucona </w:t>
      </w:r>
      <w:r w:rsidR="008C6098">
        <w:t>przy zastosowaniu</w:t>
      </w:r>
      <w:r>
        <w:t xml:space="preserve"> artykuł</w:t>
      </w:r>
      <w:r w:rsidR="008C6098">
        <w:t>u</w:t>
      </w:r>
      <w:r>
        <w:t xml:space="preserve"> 35 §§ 3 a) i 4 Konwencji.</w:t>
      </w:r>
    </w:p>
    <w:p w14:paraId="53A107DF" w14:textId="77777777" w:rsidR="003C2419" w:rsidRDefault="003C2419" w:rsidP="003C2419">
      <w:pPr>
        <w:pStyle w:val="ECHRHeading1"/>
        <w:rPr>
          <w:rFonts w:eastAsia="MS Gothic"/>
        </w:rPr>
      </w:pPr>
      <w:r>
        <w:t>VI.  ZASTOSOWANIE ARTYKUŁU 41 KONWENCJI</w:t>
      </w:r>
    </w:p>
    <w:p w14:paraId="63B7C7FB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110</w:t>
        </w:r>
      </w:fldSimple>
      <w:r>
        <w:t>.  </w:t>
      </w:r>
      <w:r w:rsidR="00A30B5E">
        <w:t>Według a</w:t>
      </w:r>
      <w:r>
        <w:t>rtykuł</w:t>
      </w:r>
      <w:r w:rsidR="00A30B5E">
        <w:t>u</w:t>
      </w:r>
      <w:r>
        <w:t xml:space="preserve"> 41 Konwencji,</w:t>
      </w:r>
    </w:p>
    <w:p w14:paraId="1C7FDD73" w14:textId="77777777" w:rsidR="003C2419" w:rsidRDefault="003C2419" w:rsidP="003C2419">
      <w:pPr>
        <w:pStyle w:val="ECHRParaQuote"/>
      </w:pPr>
      <w:r>
        <w:t xml:space="preserve">„Jeśli Trybunał stwierdzi, że nastąpiło naruszenie Konwencji lub jej Protokołów, oraz jeśli prawo wewnętrzne zainteresowanej Wysokiej Układającej się Strony pozwala tylko na częściowe usunięcie konsekwencji tego naruszenia, Trybunał </w:t>
      </w:r>
      <w:r>
        <w:lastRenderedPageBreak/>
        <w:t xml:space="preserve">orzeka, gdy zachodzi </w:t>
      </w:r>
      <w:r w:rsidR="005E156E">
        <w:t xml:space="preserve">taka </w:t>
      </w:r>
      <w:r>
        <w:t xml:space="preserve">potrzeba, </w:t>
      </w:r>
      <w:r w:rsidR="00E50C2B">
        <w:t xml:space="preserve">o przyznaniu </w:t>
      </w:r>
      <w:r>
        <w:t>słuszne</w:t>
      </w:r>
      <w:r w:rsidR="00E50C2B">
        <w:t>go</w:t>
      </w:r>
      <w:r>
        <w:t xml:space="preserve"> zadośćuczynieni</w:t>
      </w:r>
      <w:r w:rsidR="00E50C2B">
        <w:t>a</w:t>
      </w:r>
      <w:r>
        <w:t xml:space="preserve"> </w:t>
      </w:r>
      <w:r w:rsidR="008271F1">
        <w:t xml:space="preserve"> pokrzywdzonej stron</w:t>
      </w:r>
      <w:r w:rsidR="00E50C2B">
        <w:t>ie</w:t>
      </w:r>
      <w:r>
        <w:t>. "</w:t>
      </w:r>
    </w:p>
    <w:p w14:paraId="705F4284" w14:textId="77777777" w:rsidR="003C2419" w:rsidRDefault="003C2419" w:rsidP="003C2419">
      <w:pPr>
        <w:pStyle w:val="ECHRHeading2"/>
      </w:pPr>
      <w:r>
        <w:t>A.  Szkoda</w:t>
      </w:r>
    </w:p>
    <w:p w14:paraId="1187B592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111</w:t>
        </w:r>
      </w:fldSimple>
      <w:r>
        <w:t xml:space="preserve">.  Pierwszy skarżący domaga się 19 165 820 euro (EUR), drugi 586 259,29 EUR a trzeci 164 167,23 EUR z tytułu szkód </w:t>
      </w:r>
      <w:r w:rsidR="007369D6">
        <w:t>majątkowych,</w:t>
      </w:r>
      <w:r>
        <w:t xml:space="preserve"> jakie ponieśli z powodu </w:t>
      </w:r>
      <w:r w:rsidR="007369D6">
        <w:t>rzekomych</w:t>
      </w:r>
      <w:r w:rsidR="008271F1">
        <w:t xml:space="preserve"> narusze</w:t>
      </w:r>
      <w:r w:rsidR="007369D6">
        <w:t>ń</w:t>
      </w:r>
      <w:r w:rsidR="008271F1">
        <w:t xml:space="preserve"> Konwencji. Odnoszą</w:t>
      </w:r>
      <w:r>
        <w:t xml:space="preserve"> się w szczególno</w:t>
      </w:r>
      <w:r w:rsidR="00E40853">
        <w:t>ści do utraconego zysku i szkody</w:t>
      </w:r>
      <w:r w:rsidR="008271F1">
        <w:t xml:space="preserve"> ekonomiczn</w:t>
      </w:r>
      <w:r w:rsidR="00E40853">
        <w:t>ej</w:t>
      </w:r>
      <w:r>
        <w:t xml:space="preserve">, jakie poniosły ich przedsiębiorstwa z powodu spornej sytuacji. Ponadto, </w:t>
      </w:r>
      <w:r w:rsidR="00815DFB">
        <w:t xml:space="preserve">żądają </w:t>
      </w:r>
      <w:r>
        <w:t xml:space="preserve"> odpowiednio 300 000, 50 000 i 300 000 EUR, z tytułu </w:t>
      </w:r>
      <w:r w:rsidR="00815DFB">
        <w:t>krzywdy</w:t>
      </w:r>
      <w:r>
        <w:t xml:space="preserve"> moraln</w:t>
      </w:r>
      <w:r w:rsidR="00815DFB">
        <w:t>ej</w:t>
      </w:r>
      <w:r>
        <w:t>.</w:t>
      </w:r>
    </w:p>
    <w:p w14:paraId="1E4D6002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112</w:t>
        </w:r>
      </w:fldSimple>
      <w:r w:rsidR="000B09DF">
        <w:t xml:space="preserve">.  Rząd </w:t>
      </w:r>
      <w:r w:rsidR="00226286">
        <w:t>u</w:t>
      </w:r>
      <w:r w:rsidR="000B09DF">
        <w:t>trzymuje</w:t>
      </w:r>
      <w:r w:rsidR="00226286">
        <w:t>,</w:t>
      </w:r>
      <w:r>
        <w:t xml:space="preserve"> </w:t>
      </w:r>
      <w:r w:rsidR="00226286">
        <w:t>że te kwoty są zbyt wygórowane oraz, że</w:t>
      </w:r>
      <w:r>
        <w:t xml:space="preserve"> nie są</w:t>
      </w:r>
      <w:r w:rsidR="00226286">
        <w:t xml:space="preserve"> one</w:t>
      </w:r>
      <w:r>
        <w:t xml:space="preserve"> uzasadnione przez okoliczności sprawy. </w:t>
      </w:r>
      <w:r w:rsidR="00226286">
        <w:t>S</w:t>
      </w:r>
      <w:r>
        <w:t>twierdza, że nie istnieje żad</w:t>
      </w:r>
      <w:r w:rsidR="00B647E8">
        <w:t>e</w:t>
      </w:r>
      <w:r>
        <w:t xml:space="preserve">n </w:t>
      </w:r>
      <w:r w:rsidR="00B647E8">
        <w:t>związek</w:t>
      </w:r>
      <w:r>
        <w:t xml:space="preserve"> przyczynow</w:t>
      </w:r>
      <w:r w:rsidR="00B647E8">
        <w:t>y</w:t>
      </w:r>
      <w:r>
        <w:t xml:space="preserve"> pomiędzy żądanymi kwotami a </w:t>
      </w:r>
      <w:r w:rsidR="00B3256E">
        <w:t>rzekomymi</w:t>
      </w:r>
      <w:r>
        <w:t xml:space="preserve"> naruszeniami Konwencji. Zdaniem Rządu, stwierdzenie naruszenia Konwencji stanowiłoby samo przez się s</w:t>
      </w:r>
      <w:r w:rsidR="00B647E8">
        <w:t>łuszne</w:t>
      </w:r>
      <w:r>
        <w:t xml:space="preserve"> zadośćuczynienie w przedmiotowej sprawie w </w:t>
      </w:r>
      <w:r w:rsidR="00B647E8">
        <w:t>rozumieniu</w:t>
      </w:r>
      <w:r>
        <w:t xml:space="preserve"> artykułu 41 Konwencji.</w:t>
      </w:r>
    </w:p>
    <w:p w14:paraId="1968E886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113</w:t>
        </w:r>
      </w:fldSimple>
      <w:r w:rsidR="00552F42">
        <w:t>.  Podobnie jak</w:t>
      </w:r>
      <w:r>
        <w:t xml:space="preserve"> Rząd, Trybunał nie dopatrzył się związku przyczynowego pomiędzy kwotami </w:t>
      </w:r>
      <w:r w:rsidR="00552F42">
        <w:t xml:space="preserve">żądanymi </w:t>
      </w:r>
      <w:r>
        <w:t>z tytułu szk</w:t>
      </w:r>
      <w:r w:rsidR="00552F42">
        <w:t>o</w:t>
      </w:r>
      <w:r>
        <w:t>d</w:t>
      </w:r>
      <w:r w:rsidR="00552F42">
        <w:t>y</w:t>
      </w:r>
      <w:r>
        <w:t xml:space="preserve"> materialn</w:t>
      </w:r>
      <w:r w:rsidR="00552F42">
        <w:t>ej</w:t>
      </w:r>
      <w:r>
        <w:t xml:space="preserve"> </w:t>
      </w:r>
      <w:r w:rsidR="00552F42">
        <w:t>a</w:t>
      </w:r>
      <w:r>
        <w:t xml:space="preserve"> stwierdzonymi naruszeniami Konwencji. Z drugiej strony, Trybunał uznaje, że skarżący muszą otrzymać </w:t>
      </w:r>
      <w:r w:rsidR="00FC6B58">
        <w:t>zadośćuczynienie</w:t>
      </w:r>
      <w:r>
        <w:t xml:space="preserve"> za </w:t>
      </w:r>
      <w:r w:rsidR="00E62311">
        <w:t>doznaną</w:t>
      </w:r>
      <w:r>
        <w:t xml:space="preserve"> </w:t>
      </w:r>
      <w:r w:rsidR="00FC6B58">
        <w:t>krzywdę</w:t>
      </w:r>
      <w:r>
        <w:t xml:space="preserve"> </w:t>
      </w:r>
      <w:r w:rsidR="00E628A9">
        <w:t>moralną</w:t>
      </w:r>
      <w:r>
        <w:t>, w związku z cierpieniem spowodowanym naruszeni</w:t>
      </w:r>
      <w:r w:rsidR="00E628A9">
        <w:t>a</w:t>
      </w:r>
      <w:r>
        <w:t>m</w:t>
      </w:r>
      <w:r w:rsidR="00E628A9">
        <w:t>i</w:t>
      </w:r>
      <w:r>
        <w:t xml:space="preserve"> Konwencji stwierdzonym</w:t>
      </w:r>
      <w:r w:rsidR="00E628A9">
        <w:t>i</w:t>
      </w:r>
      <w:r>
        <w:t xml:space="preserve"> w niniejszej sprawie. Orzekając w oparciu o zasadę słuszności, zgodnie z art. 41 Konwencji, Trybunał </w:t>
      </w:r>
      <w:r w:rsidR="00012567">
        <w:t>uznaje</w:t>
      </w:r>
      <w:r>
        <w:t xml:space="preserve">, że należy przyznać pierwszemu skarżącemu kwotę 14 000 EUR </w:t>
      </w:r>
      <w:r w:rsidR="00012567">
        <w:t>oraz</w:t>
      </w:r>
      <w:r>
        <w:t xml:space="preserve"> po 5 000 EUR drugiemu i trzeciemu ze skarżących z tytułu </w:t>
      </w:r>
      <w:r w:rsidR="00E62311">
        <w:t>doznan</w:t>
      </w:r>
      <w:r>
        <w:t xml:space="preserve">ej </w:t>
      </w:r>
      <w:r w:rsidR="00E62311">
        <w:t>krzywdy moralnej</w:t>
      </w:r>
      <w:r>
        <w:t>, plus wszelkie kwoty</w:t>
      </w:r>
      <w:r w:rsidR="006447A2">
        <w:t>,</w:t>
      </w:r>
      <w:r>
        <w:t xml:space="preserve"> jakie mogą ich obciążać z tytułu </w:t>
      </w:r>
      <w:r w:rsidR="00E06810">
        <w:t xml:space="preserve">należnych </w:t>
      </w:r>
      <w:r>
        <w:t>podatków.</w:t>
      </w:r>
    </w:p>
    <w:p w14:paraId="68AD0E35" w14:textId="77777777" w:rsidR="003C2419" w:rsidRDefault="003C2419" w:rsidP="003C2419">
      <w:pPr>
        <w:pStyle w:val="ECHRHeading2"/>
      </w:pPr>
      <w:r>
        <w:t>B.  Koszty i wydatki</w:t>
      </w:r>
    </w:p>
    <w:p w14:paraId="5206E391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114</w:t>
        </w:r>
      </w:fldSimple>
      <w:r>
        <w:t>.  Pierwszy ze skarżących domaga się kwoty 2 460 EUR, z tytułu kosztów i wydatków poniesionych przed Trybunałem i załącza faktury potwierdzające te koszty. Drugi ze skarżących domaga się w sumie kwoty 6 680 EUR z tytułu kosztów i wydatków poniesionych sądami krajowym</w:t>
      </w:r>
      <w:r w:rsidR="00A31CDD">
        <w:t>i i Trybunałem. Przedłożył kopię</w:t>
      </w:r>
      <w:r>
        <w:t xml:space="preserve"> umowy pomiędzy nim i jego </w:t>
      </w:r>
      <w:r w:rsidR="00457A33">
        <w:t>pełnomocnikami</w:t>
      </w:r>
      <w:r>
        <w:t xml:space="preserve">, na </w:t>
      </w:r>
      <w:r w:rsidR="00457A33">
        <w:t>podstawie</w:t>
      </w:r>
      <w:r>
        <w:t xml:space="preserve"> której zapłaci swoim adwokatom po zakończeniu postępowania. Wnosi o to</w:t>
      </w:r>
      <w:r w:rsidR="00076B09">
        <w:t>,</w:t>
      </w:r>
      <w:r>
        <w:t xml:space="preserve"> aby cał</w:t>
      </w:r>
      <w:r w:rsidR="00FA178E">
        <w:t>a suma</w:t>
      </w:r>
      <w:r>
        <w:t xml:space="preserve"> </w:t>
      </w:r>
      <w:r w:rsidR="00076B09">
        <w:t>zwrotu kosztów</w:t>
      </w:r>
      <w:r>
        <w:t>, któr</w:t>
      </w:r>
      <w:r w:rsidR="00FA178E">
        <w:t>a</w:t>
      </w:r>
      <w:r>
        <w:t xml:space="preserve"> został</w:t>
      </w:r>
      <w:r w:rsidR="00FA178E">
        <w:t>a</w:t>
      </w:r>
      <w:r>
        <w:t>by mu przyznan</w:t>
      </w:r>
      <w:r w:rsidR="00FA178E">
        <w:t>a</w:t>
      </w:r>
      <w:r>
        <w:t xml:space="preserve"> z tego tytułu została przelana bezpośrednio na konto bankowe </w:t>
      </w:r>
      <w:r w:rsidR="00FA178E">
        <w:t>Pana</w:t>
      </w:r>
      <w:r>
        <w:t xml:space="preserve"> </w:t>
      </w:r>
      <w:proofErr w:type="spellStart"/>
      <w:r>
        <w:t>Farmakidis-Markou</w:t>
      </w:r>
      <w:proofErr w:type="spellEnd"/>
      <w:r>
        <w:t>. Trzeci ze skarżących domaga się kwoty 1 000 EUR, z tytułu kosztów i wydatków poniesionych przed Trybunałem i załącza faktury potwierdzające te koszty.</w:t>
      </w:r>
    </w:p>
    <w:p w14:paraId="6D55031F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115</w:t>
        </w:r>
      </w:fldSimple>
      <w:r>
        <w:t>.  Rząd pod</w:t>
      </w:r>
      <w:r w:rsidR="003A3528">
        <w:t>nosi</w:t>
      </w:r>
      <w:r>
        <w:t>, że jeżeli chodzi o drugiego skarżącego</w:t>
      </w:r>
      <w:r w:rsidR="003A3528">
        <w:t>,</w:t>
      </w:r>
      <w:r>
        <w:t xml:space="preserve"> to kwota jakiej się on domaga z tytułu kosztów i wydatków jest nadmierna</w:t>
      </w:r>
      <w:r w:rsidR="003A3528">
        <w:t>,</w:t>
      </w:r>
      <w:r>
        <w:t xml:space="preserve"> i żądanie to musi zostać odrzucone.</w:t>
      </w:r>
    </w:p>
    <w:p w14:paraId="7165A71B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116</w:t>
        </w:r>
      </w:fldSimple>
      <w:r>
        <w:t>.  Zgodnie z orzecznictwem Trybunału, skarżący może uzyskać zwrot kosztów i wydatków jedynie w zakresie w jakim rzeczywiście je poniósł, w jakim były one niezbędne i o ile ich wysokość ma rozsądny charakter (</w:t>
      </w:r>
      <w:proofErr w:type="spellStart"/>
      <w:r>
        <w:rPr>
          <w:i/>
        </w:rPr>
        <w:t>Creangă</w:t>
      </w:r>
      <w:proofErr w:type="spellEnd"/>
      <w:r>
        <w:rPr>
          <w:i/>
        </w:rPr>
        <w:t xml:space="preserve"> przeciwko Rumunii </w:t>
      </w:r>
      <w:r>
        <w:t>[GC], n</w:t>
      </w:r>
      <w:r w:rsidR="005638C3">
        <w:t>r</w:t>
      </w:r>
      <w:r>
        <w:rPr>
          <w:vertAlign w:val="superscript"/>
        </w:rPr>
        <w:t> </w:t>
      </w:r>
      <w:r>
        <w:t>29226/03, § 130, 23 lut</w:t>
      </w:r>
      <w:r w:rsidR="005638C3">
        <w:t>ego</w:t>
      </w:r>
      <w:r>
        <w:t xml:space="preserve"> 2012). Biorąc pod uwagę dokumenty będące w </w:t>
      </w:r>
      <w:r w:rsidR="006B47F6">
        <w:t>posiadaniu</w:t>
      </w:r>
      <w:r>
        <w:t xml:space="preserve"> Trybunału oraz wyżej wymienione</w:t>
      </w:r>
      <w:r w:rsidR="00A31CDD">
        <w:t xml:space="preserve"> kryteria, Trybunał stwierdza, ż</w:t>
      </w:r>
      <w:r>
        <w:t xml:space="preserve">e należy przyznać pierwszemu i trzeciemu </w:t>
      </w:r>
      <w:r w:rsidR="00A31CDD">
        <w:t>ze skarżących</w:t>
      </w:r>
      <w:r>
        <w:t xml:space="preserve"> wnioskowane kwoty, a mianowicie 2 460 EUR pierwszemu skarżącemu i 1 000 EUR trzeciemu skarżącemu, plus wszelkie kwoty</w:t>
      </w:r>
      <w:r w:rsidR="00A31CDD">
        <w:t>,</w:t>
      </w:r>
      <w:r>
        <w:t xml:space="preserve"> jakie mogą ich obciążać z tytułu należnych podatków.</w:t>
      </w:r>
    </w:p>
    <w:p w14:paraId="63C8B7C2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117</w:t>
        </w:r>
      </w:fldSimple>
      <w:r>
        <w:t xml:space="preserve">.  Poza tym, jeżeli chodzi o drugiego skarżącego, Trybunał uznaje za ustalone, że w sposób rzeczywisty przedstawił koszty, dotyczące postępowania przed sądami krajowymi i </w:t>
      </w:r>
      <w:r w:rsidR="0030676F">
        <w:t xml:space="preserve">przed Trybunałem, </w:t>
      </w:r>
      <w:r>
        <w:t xml:space="preserve">jako klient podjął zobowiązanie prawne zapłaty swoim </w:t>
      </w:r>
      <w:r w:rsidR="00802E94">
        <w:t>pełnomocnikom</w:t>
      </w:r>
      <w:r>
        <w:t xml:space="preserve"> na </w:t>
      </w:r>
      <w:r w:rsidR="00802E94">
        <w:t>uzgodnionych zasadach</w:t>
      </w:r>
      <w:r>
        <w:t xml:space="preserve"> (patrz, </w:t>
      </w:r>
      <w:r>
        <w:rPr>
          <w:i/>
        </w:rPr>
        <w:t xml:space="preserve">mutatis mutandis, </w:t>
      </w:r>
      <w:proofErr w:type="spellStart"/>
      <w:r>
        <w:rPr>
          <w:i/>
        </w:rPr>
        <w:t>Sanoma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Uitgevers</w:t>
      </w:r>
      <w:proofErr w:type="spellEnd"/>
      <w:r>
        <w:rPr>
          <w:i/>
        </w:rPr>
        <w:t xml:space="preserve"> B.V. przeciwko Holandii</w:t>
      </w:r>
      <w:r>
        <w:t>, n</w:t>
      </w:r>
      <w:r w:rsidR="00391350">
        <w:t>r</w:t>
      </w:r>
      <w:r>
        <w:rPr>
          <w:vertAlign w:val="superscript"/>
        </w:rPr>
        <w:t> </w:t>
      </w:r>
      <w:r>
        <w:t>38224/03, § 110, 31 marc</w:t>
      </w:r>
      <w:r w:rsidR="00391350">
        <w:t>a</w:t>
      </w:r>
      <w:r>
        <w:t xml:space="preserve"> 2009, oraz </w:t>
      </w:r>
      <w:proofErr w:type="spellStart"/>
      <w:r>
        <w:rPr>
          <w:i/>
          <w:color w:val="000000"/>
        </w:rPr>
        <w:t>Vallianatos</w:t>
      </w:r>
      <w:proofErr w:type="spellEnd"/>
      <w:r>
        <w:rPr>
          <w:b/>
          <w:i/>
          <w:color w:val="000000"/>
        </w:rPr>
        <w:t xml:space="preserve"> </w:t>
      </w:r>
      <w:r>
        <w:rPr>
          <w:i/>
        </w:rPr>
        <w:t xml:space="preserve">i inni przeciwko Grecji </w:t>
      </w:r>
      <w:r>
        <w:t xml:space="preserve">[GC], nr 29381/09 i 32684/09, § 103, CEDH 2013 (fragmenty)). Trybunał </w:t>
      </w:r>
      <w:r w:rsidR="00391350">
        <w:t>uznaje</w:t>
      </w:r>
      <w:r>
        <w:t>, że należy mu przyznać kwotę 2 500 EUR, plus wszelkie kwoty</w:t>
      </w:r>
      <w:r w:rsidR="00A31CDD">
        <w:t>,</w:t>
      </w:r>
      <w:r>
        <w:t xml:space="preserve"> jakie mogą go obciążać z tytułu należnych podatków, która zostanie przelana bezpośrednio na konto bankowe jego </w:t>
      </w:r>
      <w:r w:rsidR="00397C32">
        <w:t xml:space="preserve">pełnomocnika </w:t>
      </w:r>
      <w:r>
        <w:t xml:space="preserve"> (patrz, pod tym kątem, </w:t>
      </w:r>
      <w:proofErr w:type="spellStart"/>
      <w:r>
        <w:rPr>
          <w:i/>
        </w:rPr>
        <w:t>Carabulea</w:t>
      </w:r>
      <w:proofErr w:type="spellEnd"/>
      <w:r>
        <w:rPr>
          <w:i/>
        </w:rPr>
        <w:t xml:space="preserve"> przeciwko Rumunii</w:t>
      </w:r>
      <w:r>
        <w:t>, nr 45661/99, § 180, 13 lipc</w:t>
      </w:r>
      <w:r w:rsidR="00397C32">
        <w:t>a</w:t>
      </w:r>
      <w:r>
        <w:t xml:space="preserve"> 2010).</w:t>
      </w:r>
    </w:p>
    <w:p w14:paraId="263E7E8C" w14:textId="77777777" w:rsidR="003C2419" w:rsidRDefault="003C2419" w:rsidP="003C2419">
      <w:pPr>
        <w:pStyle w:val="ECHRHeading2"/>
      </w:pPr>
      <w:r>
        <w:t xml:space="preserve">C.  Odsetki </w:t>
      </w:r>
      <w:r w:rsidR="001300C6">
        <w:t>za zwłokę</w:t>
      </w:r>
    </w:p>
    <w:p w14:paraId="46897802" w14:textId="77777777" w:rsidR="003C2419" w:rsidRDefault="003C2419" w:rsidP="003C2419">
      <w:pPr>
        <w:pStyle w:val="ECHRPara"/>
      </w:pPr>
      <w:fldSimple w:instr=" SEQ level0 \*arabic ">
        <w:r w:rsidR="00355195">
          <w:rPr>
            <w:noProof/>
          </w:rPr>
          <w:t>118</w:t>
        </w:r>
      </w:fldSimple>
      <w:r>
        <w:t xml:space="preserve">.  Trybunał </w:t>
      </w:r>
      <w:r w:rsidR="001300C6">
        <w:t>uznaje</w:t>
      </w:r>
      <w:r>
        <w:t xml:space="preserve"> za właściwe naliczenie należnych odsetek </w:t>
      </w:r>
      <w:r w:rsidR="001300C6">
        <w:t>za zwłokę</w:t>
      </w:r>
      <w:r>
        <w:t xml:space="preserve"> według marginalnej stop</w:t>
      </w:r>
      <w:r w:rsidR="0034328F">
        <w:t>y</w:t>
      </w:r>
      <w:r>
        <w:t xml:space="preserve"> procentowej Europejskiego Banku Centralnego, powiększonej o trzy punkty procentowe.</w:t>
      </w:r>
    </w:p>
    <w:p w14:paraId="22CDB294" w14:textId="77777777" w:rsidR="003C2419" w:rsidRDefault="003C2419" w:rsidP="003C2419">
      <w:pPr>
        <w:pStyle w:val="ECHRTitle1"/>
        <w:rPr>
          <w:rFonts w:eastAsia="MS Mincho"/>
        </w:rPr>
      </w:pPr>
      <w:r>
        <w:t>Z TYCH PRZYCZYN, TRYBUNAŁ JEDNOMYŚLNIE</w:t>
      </w:r>
    </w:p>
    <w:p w14:paraId="4848A70A" w14:textId="77777777" w:rsidR="003C2419" w:rsidRDefault="003C2419" w:rsidP="003C2419">
      <w:pPr>
        <w:pStyle w:val="JuList"/>
      </w:pPr>
      <w:r>
        <w:t>1.  Postanawia połączyć skargi ;</w:t>
      </w:r>
    </w:p>
    <w:p w14:paraId="263D0B38" w14:textId="77777777" w:rsidR="003C2419" w:rsidRDefault="003C2419" w:rsidP="003C2419">
      <w:pPr>
        <w:pStyle w:val="JuList"/>
        <w:rPr>
          <w:rFonts w:eastAsia="MS Mincho"/>
        </w:rPr>
      </w:pPr>
    </w:p>
    <w:p w14:paraId="0EE41BFE" w14:textId="689C7446" w:rsidR="003C2419" w:rsidRDefault="003C2419" w:rsidP="003C2419">
      <w:pPr>
        <w:pStyle w:val="JuList"/>
        <w:rPr>
          <w:rFonts w:eastAsia="MS Mincho"/>
        </w:rPr>
      </w:pPr>
      <w:r>
        <w:t>2.  Uznaje skargę nr 3453/12 za dopuszczalną jeż</w:t>
      </w:r>
      <w:r w:rsidR="001B2355">
        <w:t>eli chodzi o zarzuty</w:t>
      </w:r>
      <w:r>
        <w:t xml:space="preserve"> wywiedzione z artykułów 6 § 1 i 13 Konwencji w kwestii dotyczącej czasu trwania postępowania i braku skutecznego środka odwoławczego w tym zakresie, a także jeżeli chodzi o </w:t>
      </w:r>
      <w:r w:rsidR="001B2355">
        <w:t xml:space="preserve">zarzuty </w:t>
      </w:r>
      <w:r>
        <w:t>wywiedzione z artykuł</w:t>
      </w:r>
      <w:r w:rsidR="001B2355">
        <w:t>u</w:t>
      </w:r>
      <w:r>
        <w:t xml:space="preserve"> 6 § 2 Konwencji i </w:t>
      </w:r>
      <w:r w:rsidR="001B2355">
        <w:t xml:space="preserve">artykułu </w:t>
      </w:r>
      <w:r>
        <w:t xml:space="preserve">4 Protokołu nr 7 </w:t>
      </w:r>
      <w:r w:rsidR="00C0582D">
        <w:t>oraz</w:t>
      </w:r>
      <w:r>
        <w:t xml:space="preserve"> </w:t>
      </w:r>
      <w:r w:rsidR="00C0582D">
        <w:t xml:space="preserve">za </w:t>
      </w:r>
      <w:r>
        <w:t>niedopuszczaln</w:t>
      </w:r>
      <w:r w:rsidR="00C0582D">
        <w:t>ą</w:t>
      </w:r>
      <w:r w:rsidR="001B2355">
        <w:t xml:space="preserve"> w pozostałym zakresie</w:t>
      </w:r>
      <w:r>
        <w:t>;</w:t>
      </w:r>
    </w:p>
    <w:p w14:paraId="60129F09" w14:textId="77777777" w:rsidR="003C2419" w:rsidRDefault="003C2419" w:rsidP="003C2419">
      <w:pPr>
        <w:pStyle w:val="JuList"/>
        <w:rPr>
          <w:rFonts w:eastAsia="MS Mincho"/>
        </w:rPr>
      </w:pPr>
    </w:p>
    <w:p w14:paraId="456C0C36" w14:textId="7A3B2E92" w:rsidR="003C2419" w:rsidRDefault="003C2419" w:rsidP="003C2419">
      <w:pPr>
        <w:pStyle w:val="JuList"/>
        <w:rPr>
          <w:rFonts w:eastAsia="MS Mincho"/>
        </w:rPr>
      </w:pPr>
      <w:r>
        <w:t>3.  </w:t>
      </w:r>
      <w:r>
        <w:rPr>
          <w:i/>
        </w:rPr>
        <w:t>Uznaje</w:t>
      </w:r>
      <w:r>
        <w:t xml:space="preserve"> skargi nr 52941/12 i 9028/13 za dopuszczalne, jeżeli chodzi o </w:t>
      </w:r>
      <w:r w:rsidR="001B2355">
        <w:t xml:space="preserve">zarzuty </w:t>
      </w:r>
      <w:r>
        <w:t>wywiedzione z artykuł</w:t>
      </w:r>
      <w:r w:rsidR="001B2355">
        <w:t>u</w:t>
      </w:r>
      <w:r>
        <w:t xml:space="preserve"> 6 § </w:t>
      </w:r>
      <w:r w:rsidR="00977C3C">
        <w:t xml:space="preserve">2 Konwencji i </w:t>
      </w:r>
      <w:r w:rsidR="001B2355">
        <w:t xml:space="preserve">artykułu </w:t>
      </w:r>
      <w:r w:rsidR="00977C3C">
        <w:t>4 Protokołu nr 7 oraz</w:t>
      </w:r>
      <w:r>
        <w:t xml:space="preserve"> </w:t>
      </w:r>
      <w:r w:rsidR="00977C3C">
        <w:t xml:space="preserve">za </w:t>
      </w:r>
      <w:r>
        <w:t>niedop</w:t>
      </w:r>
      <w:r w:rsidR="001B2355">
        <w:t>uszczalne w pozostałym zakresie</w:t>
      </w:r>
      <w:r>
        <w:t>;</w:t>
      </w:r>
    </w:p>
    <w:p w14:paraId="5D1D5BB1" w14:textId="77777777" w:rsidR="003C2419" w:rsidRDefault="003C2419" w:rsidP="003C2419">
      <w:pPr>
        <w:pStyle w:val="JuList"/>
        <w:rPr>
          <w:rFonts w:eastAsia="MS Mincho"/>
        </w:rPr>
      </w:pPr>
    </w:p>
    <w:p w14:paraId="4A537A9B" w14:textId="4B767E37" w:rsidR="003C2419" w:rsidRDefault="003C2419" w:rsidP="003C2419">
      <w:pPr>
        <w:pStyle w:val="JuList"/>
        <w:rPr>
          <w:rFonts w:eastAsia="MS Mincho"/>
        </w:rPr>
      </w:pPr>
      <w:r>
        <w:t>4.  Stwierdza, że jeżeli chodzi o skargę nr 3453/12, miało miejsce naruszenie artykułów 6 § 1 i 13 Konwencji;</w:t>
      </w:r>
    </w:p>
    <w:p w14:paraId="7F9355F6" w14:textId="77777777" w:rsidR="003C2419" w:rsidRDefault="003C2419" w:rsidP="003C2419">
      <w:pPr>
        <w:pStyle w:val="JuList"/>
        <w:rPr>
          <w:rFonts w:eastAsia="MS Mincho"/>
        </w:rPr>
      </w:pPr>
    </w:p>
    <w:p w14:paraId="5255AD69" w14:textId="5100CAF1" w:rsidR="003C2419" w:rsidRDefault="003C2419" w:rsidP="003C2419">
      <w:pPr>
        <w:pStyle w:val="JuList"/>
        <w:rPr>
          <w:rFonts w:eastAsia="MS Mincho"/>
        </w:rPr>
      </w:pPr>
      <w:r>
        <w:t>5.  Stwierdza, że jeżeli chodzi o wszystkie skargi, miało miejsce naruszenie artykuł</w:t>
      </w:r>
      <w:r w:rsidR="001B2355">
        <w:t>u</w:t>
      </w:r>
      <w:r>
        <w:t xml:space="preserve"> 6 § 2 Konwencji i </w:t>
      </w:r>
      <w:r w:rsidR="001B2355">
        <w:t>artykułu 4 Protokołu nr 7</w:t>
      </w:r>
      <w:r>
        <w:t>;</w:t>
      </w:r>
    </w:p>
    <w:p w14:paraId="3BEA7654" w14:textId="77777777" w:rsidR="003C2419" w:rsidRDefault="003C2419" w:rsidP="003C2419">
      <w:pPr>
        <w:pStyle w:val="JuList"/>
        <w:rPr>
          <w:rFonts w:eastAsia="MS Mincho"/>
        </w:rPr>
      </w:pPr>
    </w:p>
    <w:p w14:paraId="2CCA3E8C" w14:textId="77777777" w:rsidR="003C2419" w:rsidRDefault="003C2419" w:rsidP="003C2419">
      <w:pPr>
        <w:pStyle w:val="JuList"/>
        <w:rPr>
          <w:rFonts w:eastAsia="MS Mincho"/>
        </w:rPr>
      </w:pPr>
      <w:r>
        <w:t>6.  </w:t>
      </w:r>
      <w:r>
        <w:rPr>
          <w:i/>
        </w:rPr>
        <w:t>Stwierdza</w:t>
      </w:r>
    </w:p>
    <w:p w14:paraId="65CE4604" w14:textId="77777777" w:rsidR="003C2419" w:rsidRDefault="003C2419" w:rsidP="003C2419">
      <w:pPr>
        <w:pStyle w:val="JuLista"/>
      </w:pPr>
      <w:r>
        <w:t>a) że pozwane Państwo ma zapłacić, w ciągu trzech miesięcy od daty, w której wyrok stanie się ostateczny zgodnie z artykułem 44 § 2 Konwencji</w:t>
      </w:r>
      <w:r w:rsidR="00DE2DF1">
        <w:t>,</w:t>
      </w:r>
      <w:r>
        <w:t xml:space="preserve"> następujące kwoty:</w:t>
      </w:r>
    </w:p>
    <w:p w14:paraId="3560FA65" w14:textId="77777777" w:rsidR="003C2419" w:rsidRDefault="003C2419" w:rsidP="003C2419">
      <w:pPr>
        <w:pStyle w:val="JuListi"/>
      </w:pPr>
      <w:r>
        <w:t xml:space="preserve">i)  14 000 EUR (czternaście tysięcy euro) pierwszemu skarżącemu </w:t>
      </w:r>
      <w:r w:rsidR="00DE2DF1">
        <w:br/>
      </w:r>
      <w:r>
        <w:t xml:space="preserve">i po 5 000 EUR (pięć tysięcy euro) drugiemu i trzeciemu </w:t>
      </w:r>
      <w:r w:rsidR="00A31CDD">
        <w:t>ze skarżących</w:t>
      </w:r>
      <w:r>
        <w:t>, plus wszelkie kwoty</w:t>
      </w:r>
      <w:r w:rsidR="00A31CDD">
        <w:t>,</w:t>
      </w:r>
      <w:r>
        <w:t xml:space="preserve"> jakie mogą ich obciążać z tytułu należnych podatków, tytułem zadośćuczynienia za </w:t>
      </w:r>
      <w:r w:rsidR="00C2338E">
        <w:t>krzywdę moralną</w:t>
      </w:r>
      <w:r>
        <w:t xml:space="preserve"> ;</w:t>
      </w:r>
    </w:p>
    <w:p w14:paraId="6472C098" w14:textId="267665FB" w:rsidR="003C2419" w:rsidRDefault="003C2419" w:rsidP="003C2419">
      <w:pPr>
        <w:pStyle w:val="JuListi"/>
      </w:pPr>
      <w:r>
        <w:t>ii)  2 460 EUR (dwa tysiące czterysta sześćdziesiąt euro) pierwszemu skarżącemu, 2 500 EUR (dwa tysiące pięćset euro) drugiemu skarżącemu i 1 000 EUR (tysiąc euro) trzeciemu skarżącemu, plus wszelkie kwoty</w:t>
      </w:r>
      <w:r w:rsidR="00A31CDD">
        <w:t>,</w:t>
      </w:r>
      <w:r>
        <w:t xml:space="preserve"> jakie mogą ich obciążać z tytułu należnych podatków, tytułem kosztów i wydatków;</w:t>
      </w:r>
    </w:p>
    <w:p w14:paraId="21536123" w14:textId="27330D46" w:rsidR="003C2419" w:rsidRDefault="003C2419" w:rsidP="003C2419">
      <w:pPr>
        <w:pStyle w:val="JuLista"/>
      </w:pPr>
      <w:r>
        <w:t xml:space="preserve">b) że od momentu upływu wyżej wskazanego terminu trzech miesięcy aż do momentu </w:t>
      </w:r>
      <w:r w:rsidR="00FA3B06">
        <w:t>zapłaty</w:t>
      </w:r>
      <w:r>
        <w:t>, należne będą odsetki zwykłe od określonych powyżej kwot, naliczone według stopy równej marginalnej stopie procentowej Europejskiego Banku Centralnego obowiązującej w tym okresie, powiększonej o trzy punkty procentowe;</w:t>
      </w:r>
    </w:p>
    <w:p w14:paraId="16C22DFF" w14:textId="77777777" w:rsidR="003C2419" w:rsidRDefault="003C2419" w:rsidP="003C2419">
      <w:pPr>
        <w:pStyle w:val="JuLista"/>
      </w:pPr>
    </w:p>
    <w:p w14:paraId="326B3E8B" w14:textId="77777777" w:rsidR="003C2419" w:rsidRDefault="003C2419" w:rsidP="003C2419">
      <w:pPr>
        <w:pStyle w:val="JuList"/>
        <w:rPr>
          <w:rFonts w:eastAsia="MS Mincho"/>
        </w:rPr>
      </w:pPr>
      <w:r>
        <w:t>7.  </w:t>
      </w:r>
      <w:r>
        <w:rPr>
          <w:i/>
        </w:rPr>
        <w:t xml:space="preserve">Odrzuca </w:t>
      </w:r>
      <w:r w:rsidR="005E7BF5">
        <w:t>żądanie</w:t>
      </w:r>
      <w:r>
        <w:t xml:space="preserve"> słuszne</w:t>
      </w:r>
      <w:r w:rsidR="009F2243">
        <w:t>go</w:t>
      </w:r>
      <w:r>
        <w:t xml:space="preserve"> zadośćuczynieni</w:t>
      </w:r>
      <w:r w:rsidR="009F2243">
        <w:t>a</w:t>
      </w:r>
      <w:r w:rsidR="005E7BF5">
        <w:t xml:space="preserve"> w pozostałym zakresie</w:t>
      </w:r>
      <w:r>
        <w:t>.</w:t>
      </w:r>
    </w:p>
    <w:p w14:paraId="574B2918" w14:textId="77777777" w:rsidR="003C2419" w:rsidRDefault="009F2243" w:rsidP="003C2419">
      <w:pPr>
        <w:pStyle w:val="JuParaLast"/>
        <w:rPr>
          <w:rFonts w:eastAsia="MS Mincho"/>
        </w:rPr>
      </w:pPr>
      <w:r>
        <w:t>S</w:t>
      </w:r>
      <w:r w:rsidR="003C2419">
        <w:t>porządzono w języku francuskim, a następnie notyfikowano na piśmie dnia 30 kwietnia 2015 roku, na zasadach artykułu 77 §§ 2 i 3 Regulaminu Trybunału.</w:t>
      </w:r>
    </w:p>
    <w:p w14:paraId="79746C4F" w14:textId="77777777" w:rsidR="003C2419" w:rsidRPr="00C11B45" w:rsidRDefault="003C2419" w:rsidP="003C2419">
      <w:pPr>
        <w:pStyle w:val="JuSigned"/>
        <w:rPr>
          <w:rFonts w:eastAsia="MS Mincho"/>
          <w:lang w:val="de-AT"/>
        </w:rPr>
      </w:pPr>
      <w:r>
        <w:tab/>
      </w:r>
      <w:proofErr w:type="spellStart"/>
      <w:r w:rsidRPr="00C11B45">
        <w:rPr>
          <w:lang w:val="de-AT"/>
        </w:rPr>
        <w:t>Søren</w:t>
      </w:r>
      <w:proofErr w:type="spellEnd"/>
      <w:r w:rsidRPr="00C11B45">
        <w:rPr>
          <w:lang w:val="de-AT"/>
        </w:rPr>
        <w:t xml:space="preserve"> Nielsen</w:t>
      </w:r>
      <w:r w:rsidRPr="00C11B45">
        <w:rPr>
          <w:lang w:val="de-AT"/>
        </w:rPr>
        <w:tab/>
        <w:t>Elisabeth Steiner</w:t>
      </w:r>
      <w:r w:rsidRPr="00C11B45">
        <w:rPr>
          <w:lang w:val="de-AT"/>
        </w:rPr>
        <w:br/>
      </w:r>
      <w:r w:rsidRPr="00C11B45">
        <w:rPr>
          <w:lang w:val="de-AT"/>
        </w:rPr>
        <w:tab/>
      </w:r>
      <w:proofErr w:type="spellStart"/>
      <w:r w:rsidRPr="00C11B45">
        <w:rPr>
          <w:lang w:val="de-AT"/>
        </w:rPr>
        <w:t>Kanclerz</w:t>
      </w:r>
      <w:proofErr w:type="spellEnd"/>
      <w:r w:rsidRPr="00C11B45">
        <w:rPr>
          <w:lang w:val="de-AT"/>
        </w:rPr>
        <w:tab/>
      </w:r>
      <w:proofErr w:type="spellStart"/>
      <w:r w:rsidRPr="00C11B45">
        <w:rPr>
          <w:lang w:val="de-AT"/>
        </w:rPr>
        <w:t>Przewodnicząca</w:t>
      </w:r>
      <w:proofErr w:type="spellEnd"/>
    </w:p>
    <w:p w14:paraId="026C16CD" w14:textId="77777777" w:rsidR="003C2419" w:rsidRPr="00C11B45" w:rsidRDefault="003C2419" w:rsidP="003C2419">
      <w:pPr>
        <w:jc w:val="left"/>
        <w:rPr>
          <w:rFonts w:eastAsia="MS Mincho"/>
          <w:lang w:val="de-AT"/>
        </w:rPr>
      </w:pPr>
    </w:p>
    <w:sectPr w:rsidR="003C2419" w:rsidRPr="00C11B45" w:rsidSect="003C2419">
      <w:headerReference w:type="even" r:id="rId17"/>
      <w:headerReference w:type="default" r:id="rId18"/>
      <w:footerReference w:type="default" r:id="rId19"/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EF4F7" w14:textId="77777777" w:rsidR="00A41277" w:rsidRDefault="00A41277" w:rsidP="003C2419">
      <w:r>
        <w:separator/>
      </w:r>
    </w:p>
  </w:endnote>
  <w:endnote w:type="continuationSeparator" w:id="0">
    <w:p w14:paraId="6C46632A" w14:textId="77777777" w:rsidR="00A41277" w:rsidRDefault="00A41277" w:rsidP="003C2419">
      <w:r>
        <w:continuationSeparator/>
      </w:r>
    </w:p>
  </w:endnote>
  <w:endnote w:type="continuationNotice" w:id="1">
    <w:p w14:paraId="23251711" w14:textId="77777777" w:rsidR="00A41277" w:rsidRDefault="00A41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BB692" w14:textId="77777777" w:rsidR="006D57CC" w:rsidRDefault="006D57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0BBFB" w14:textId="26606EEC" w:rsidR="003C2419" w:rsidRDefault="00C11B45" w:rsidP="003C2419">
    <w:pPr>
      <w:pStyle w:val="Stopka"/>
      <w:jc w:val="center"/>
    </w:pPr>
    <w:r>
      <w:rPr>
        <w:noProof/>
      </w:rPr>
      <w:drawing>
        <wp:inline distT="0" distB="0" distL="0" distR="0" wp14:anchorId="0EA82A4A" wp14:editId="3D48A14A">
          <wp:extent cx="769620" cy="617220"/>
          <wp:effectExtent l="0" t="0" r="0" b="0"/>
          <wp:docPr id="2" name="Obraz 2" descr="ECHR_CoverpageCS61_ECHR_Coverpage_Footer_CO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HR_CoverpageCS61_ECHR_Coverpage_Footer_CO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9F35F" w14:textId="77777777" w:rsidR="006D57CC" w:rsidRDefault="006D57C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47D91" w14:textId="77777777" w:rsidR="003C2419" w:rsidRDefault="003C2419" w:rsidP="003C24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8FB94" w14:textId="77777777" w:rsidR="00A41277" w:rsidRDefault="00A41277" w:rsidP="003C2419">
      <w:r>
        <w:separator/>
      </w:r>
    </w:p>
  </w:footnote>
  <w:footnote w:type="continuationSeparator" w:id="0">
    <w:p w14:paraId="2522ACF9" w14:textId="77777777" w:rsidR="00A41277" w:rsidRDefault="00A41277" w:rsidP="003C2419">
      <w:r>
        <w:continuationSeparator/>
      </w:r>
    </w:p>
  </w:footnote>
  <w:footnote w:type="continuationNotice" w:id="1">
    <w:p w14:paraId="01A61B99" w14:textId="77777777" w:rsidR="00A41277" w:rsidRDefault="00A412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72F2" w14:textId="77777777" w:rsidR="003C2419" w:rsidRPr="006A6E21" w:rsidRDefault="003C2419" w:rsidP="003C2419">
    <w:pPr>
      <w:pStyle w:val="ECHRHeader"/>
    </w:pPr>
    <w:r>
      <w:rPr>
        <w:rStyle w:val="Numerstrony"/>
      </w:rPr>
      <w:tab/>
      <w:t xml:space="preserve">WYROK W SPRAWIE </w:t>
    </w:r>
    <w:r>
      <w:t>KAPETANIOS I INNI przeciwko GRECJI</w:t>
    </w:r>
    <w:r>
      <w:tab/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DD8A" w14:textId="485793C7" w:rsidR="003C2419" w:rsidRPr="00497E5E" w:rsidRDefault="00C11B45" w:rsidP="003C2419">
    <w:pPr>
      <w:pStyle w:val="Nagwek"/>
      <w:jc w:val="center"/>
    </w:pPr>
    <w:r>
      <w:rPr>
        <w:noProof/>
      </w:rPr>
      <w:drawing>
        <wp:inline distT="0" distB="0" distL="0" distR="0" wp14:anchorId="09E77139" wp14:editId="16E0C7A4">
          <wp:extent cx="2964180" cy="1219200"/>
          <wp:effectExtent l="0" t="0" r="7620" b="0"/>
          <wp:docPr id="3" name="Obraz 3" descr="ECHR_CoverpageCS61_ECHR_Coverpage_Header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CHR_CoverpageCS61_ECHR_Coverpage_Header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18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6884" w14:textId="2E21C0BC" w:rsidR="003C2419" w:rsidRDefault="00C11B45" w:rsidP="003C2419">
    <w:pPr>
      <w:pStyle w:val="Nagwek"/>
      <w:jc w:val="center"/>
    </w:pPr>
    <w:r>
      <w:rPr>
        <w:noProof/>
      </w:rPr>
      <w:drawing>
        <wp:inline distT="0" distB="0" distL="0" distR="0" wp14:anchorId="7C91B6E3" wp14:editId="37CF7E01">
          <wp:extent cx="2964180" cy="1219200"/>
          <wp:effectExtent l="0" t="0" r="7620" b="0"/>
          <wp:docPr id="1" name="Obraz 1" descr="ECHR_CoverpageCS61_ECHR_Coverpage_Header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CHR_CoverpageCS61_ECHR_Coverpage_Header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18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4C5B4" w14:textId="77777777" w:rsidR="003C2419" w:rsidRPr="00665D3F" w:rsidRDefault="003C2419" w:rsidP="003C2419">
    <w:pPr>
      <w:pStyle w:val="ECHRHeader"/>
    </w:pPr>
    <w:r>
      <w:fldChar w:fldCharType="begin"/>
    </w:r>
    <w:r>
      <w:instrText xml:space="preserve"> PAGE </w:instrText>
    </w:r>
    <w:r>
      <w:fldChar w:fldCharType="separate"/>
    </w:r>
    <w:r w:rsidR="00D134B3">
      <w:rPr>
        <w:noProof/>
      </w:rPr>
      <w:t>32</w:t>
    </w:r>
    <w:r>
      <w:fldChar w:fldCharType="end"/>
    </w:r>
    <w:r>
      <w:tab/>
      <w:t>WYROK W SPRAWIE KAPETANIOS I INNI PRZECIWKO GRECJI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9C865" w14:textId="77777777" w:rsidR="003C2419" w:rsidRPr="00665D3F" w:rsidRDefault="003C2419" w:rsidP="003C2419">
    <w:pPr>
      <w:pStyle w:val="ECHRHeader"/>
    </w:pPr>
    <w:r>
      <w:tab/>
      <w:t>WYROK W SPRAWIE KAPETANIOS I INNI PRZECIWKO GRECJI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D134B3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A222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189B2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430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268F2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A0A71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38292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8AD30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501D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E43E0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AEA0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8750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7063F0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E460DB"/>
    <w:multiLevelType w:val="hybridMultilevel"/>
    <w:tmpl w:val="F258B774"/>
    <w:lvl w:ilvl="0" w:tplc="C94262DE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AC6D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A0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C0A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CA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6C4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EA8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02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01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D7306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NotTrackMove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AppNatAutre" w:val="0"/>
    <w:docVar w:name="DocVarPREMATURE" w:val="0"/>
    <w:docVar w:name="EMM" w:val="0"/>
    <w:docVar w:name="ETRANSMISSION" w:val="PAR VOIE ÉLECTRONIQUE UNIQUEMENT"/>
    <w:docVar w:name="L4_1Annex" w:val="0"/>
    <w:docVar w:name="L4_1Anonymity" w:val="0"/>
    <w:docVar w:name="NBEMMDOC" w:val="0"/>
    <w:docVar w:name="SignForeName" w:val="0"/>
  </w:docVars>
  <w:rsids>
    <w:rsidRoot w:val="00D5191D"/>
    <w:rsid w:val="0000077B"/>
    <w:rsid w:val="00003E16"/>
    <w:rsid w:val="00004792"/>
    <w:rsid w:val="0001207A"/>
    <w:rsid w:val="00012567"/>
    <w:rsid w:val="00040654"/>
    <w:rsid w:val="00045EFB"/>
    <w:rsid w:val="000522B8"/>
    <w:rsid w:val="000547F6"/>
    <w:rsid w:val="000605B3"/>
    <w:rsid w:val="00065968"/>
    <w:rsid w:val="000707F8"/>
    <w:rsid w:val="00070E92"/>
    <w:rsid w:val="00076B09"/>
    <w:rsid w:val="0007702F"/>
    <w:rsid w:val="00083A5F"/>
    <w:rsid w:val="00085DB0"/>
    <w:rsid w:val="00093393"/>
    <w:rsid w:val="00095431"/>
    <w:rsid w:val="000B09DF"/>
    <w:rsid w:val="000B1378"/>
    <w:rsid w:val="000B7F9F"/>
    <w:rsid w:val="000C5238"/>
    <w:rsid w:val="000C5B95"/>
    <w:rsid w:val="000D0E63"/>
    <w:rsid w:val="000D4936"/>
    <w:rsid w:val="000D4B0A"/>
    <w:rsid w:val="000D6F0C"/>
    <w:rsid w:val="000D7503"/>
    <w:rsid w:val="000D782E"/>
    <w:rsid w:val="000E13D9"/>
    <w:rsid w:val="000E4004"/>
    <w:rsid w:val="000F5DB1"/>
    <w:rsid w:val="000F6018"/>
    <w:rsid w:val="000F67F8"/>
    <w:rsid w:val="00106979"/>
    <w:rsid w:val="00126043"/>
    <w:rsid w:val="001300C6"/>
    <w:rsid w:val="00143B20"/>
    <w:rsid w:val="001450FD"/>
    <w:rsid w:val="00156735"/>
    <w:rsid w:val="00157127"/>
    <w:rsid w:val="00157E60"/>
    <w:rsid w:val="00161748"/>
    <w:rsid w:val="00161EDC"/>
    <w:rsid w:val="00162043"/>
    <w:rsid w:val="00167DFA"/>
    <w:rsid w:val="00176DD7"/>
    <w:rsid w:val="001A0675"/>
    <w:rsid w:val="001A2DF7"/>
    <w:rsid w:val="001A799B"/>
    <w:rsid w:val="001B2355"/>
    <w:rsid w:val="001B3AA4"/>
    <w:rsid w:val="001B5BC2"/>
    <w:rsid w:val="001C4733"/>
    <w:rsid w:val="001C4AB3"/>
    <w:rsid w:val="001C56F0"/>
    <w:rsid w:val="001C6167"/>
    <w:rsid w:val="001C77E4"/>
    <w:rsid w:val="001D40EC"/>
    <w:rsid w:val="001E2834"/>
    <w:rsid w:val="001E490F"/>
    <w:rsid w:val="001E636F"/>
    <w:rsid w:val="001F41C8"/>
    <w:rsid w:val="001F730B"/>
    <w:rsid w:val="00214AE4"/>
    <w:rsid w:val="002175DE"/>
    <w:rsid w:val="00226286"/>
    <w:rsid w:val="00230B58"/>
    <w:rsid w:val="00237DD6"/>
    <w:rsid w:val="00242BCE"/>
    <w:rsid w:val="00247342"/>
    <w:rsid w:val="00252070"/>
    <w:rsid w:val="00253337"/>
    <w:rsid w:val="002570EC"/>
    <w:rsid w:val="00262D7F"/>
    <w:rsid w:val="002652FE"/>
    <w:rsid w:val="00270ABD"/>
    <w:rsid w:val="00276582"/>
    <w:rsid w:val="00283FDC"/>
    <w:rsid w:val="002847B5"/>
    <w:rsid w:val="00291186"/>
    <w:rsid w:val="00291349"/>
    <w:rsid w:val="00293F53"/>
    <w:rsid w:val="002975F6"/>
    <w:rsid w:val="002A1631"/>
    <w:rsid w:val="002C169A"/>
    <w:rsid w:val="002C43A1"/>
    <w:rsid w:val="002E1E12"/>
    <w:rsid w:val="002E7F9C"/>
    <w:rsid w:val="002F0008"/>
    <w:rsid w:val="002F271E"/>
    <w:rsid w:val="002F2BC2"/>
    <w:rsid w:val="003025CD"/>
    <w:rsid w:val="0030267A"/>
    <w:rsid w:val="0030676F"/>
    <w:rsid w:val="00306DDA"/>
    <w:rsid w:val="003132E2"/>
    <w:rsid w:val="0031571F"/>
    <w:rsid w:val="00320AD6"/>
    <w:rsid w:val="003254A3"/>
    <w:rsid w:val="003304BB"/>
    <w:rsid w:val="003342B2"/>
    <w:rsid w:val="00337085"/>
    <w:rsid w:val="0034328F"/>
    <w:rsid w:val="00350AB1"/>
    <w:rsid w:val="00352F88"/>
    <w:rsid w:val="00355195"/>
    <w:rsid w:val="00364F75"/>
    <w:rsid w:val="0036629E"/>
    <w:rsid w:val="0037075D"/>
    <w:rsid w:val="00373AFE"/>
    <w:rsid w:val="00374BF1"/>
    <w:rsid w:val="00380688"/>
    <w:rsid w:val="003828F5"/>
    <w:rsid w:val="003835AC"/>
    <w:rsid w:val="00391350"/>
    <w:rsid w:val="00392C14"/>
    <w:rsid w:val="00397C32"/>
    <w:rsid w:val="003A3528"/>
    <w:rsid w:val="003B5F1B"/>
    <w:rsid w:val="003C2419"/>
    <w:rsid w:val="003C41C9"/>
    <w:rsid w:val="003C5014"/>
    <w:rsid w:val="003C687E"/>
    <w:rsid w:val="003C719F"/>
    <w:rsid w:val="003D4A53"/>
    <w:rsid w:val="003D686C"/>
    <w:rsid w:val="003D7783"/>
    <w:rsid w:val="003E0BCD"/>
    <w:rsid w:val="003E58B6"/>
    <w:rsid w:val="003E5AC3"/>
    <w:rsid w:val="003F4ACF"/>
    <w:rsid w:val="00402BA6"/>
    <w:rsid w:val="00406AE2"/>
    <w:rsid w:val="00411C69"/>
    <w:rsid w:val="00414672"/>
    <w:rsid w:val="004329A4"/>
    <w:rsid w:val="004379EA"/>
    <w:rsid w:val="00441534"/>
    <w:rsid w:val="00443C2E"/>
    <w:rsid w:val="00446343"/>
    <w:rsid w:val="00450BD6"/>
    <w:rsid w:val="00452C0A"/>
    <w:rsid w:val="00457A33"/>
    <w:rsid w:val="00461819"/>
    <w:rsid w:val="0046197C"/>
    <w:rsid w:val="004624D3"/>
    <w:rsid w:val="004721C9"/>
    <w:rsid w:val="00476138"/>
    <w:rsid w:val="004949AF"/>
    <w:rsid w:val="004A4F19"/>
    <w:rsid w:val="004E08A8"/>
    <w:rsid w:val="004E29CF"/>
    <w:rsid w:val="004F112D"/>
    <w:rsid w:val="004F7F10"/>
    <w:rsid w:val="00500767"/>
    <w:rsid w:val="00500A34"/>
    <w:rsid w:val="00501ECD"/>
    <w:rsid w:val="00503455"/>
    <w:rsid w:val="0051401E"/>
    <w:rsid w:val="00515153"/>
    <w:rsid w:val="005152A7"/>
    <w:rsid w:val="00517FF3"/>
    <w:rsid w:val="00522F35"/>
    <w:rsid w:val="00524436"/>
    <w:rsid w:val="005266ED"/>
    <w:rsid w:val="005272BF"/>
    <w:rsid w:val="00532A48"/>
    <w:rsid w:val="0053505B"/>
    <w:rsid w:val="00552F42"/>
    <w:rsid w:val="00556CAF"/>
    <w:rsid w:val="00560293"/>
    <w:rsid w:val="005638C3"/>
    <w:rsid w:val="00564B7A"/>
    <w:rsid w:val="005659CB"/>
    <w:rsid w:val="00566D6A"/>
    <w:rsid w:val="00571AAB"/>
    <w:rsid w:val="00573646"/>
    <w:rsid w:val="00577042"/>
    <w:rsid w:val="00582B4B"/>
    <w:rsid w:val="00587F62"/>
    <w:rsid w:val="005A0B28"/>
    <w:rsid w:val="005B2BAC"/>
    <w:rsid w:val="005C791D"/>
    <w:rsid w:val="005D7ACA"/>
    <w:rsid w:val="005E156E"/>
    <w:rsid w:val="005E3710"/>
    <w:rsid w:val="005E589E"/>
    <w:rsid w:val="005E7BF5"/>
    <w:rsid w:val="005F1FCF"/>
    <w:rsid w:val="005F309B"/>
    <w:rsid w:val="0060252F"/>
    <w:rsid w:val="006030F8"/>
    <w:rsid w:val="00610A6F"/>
    <w:rsid w:val="00610CF6"/>
    <w:rsid w:val="00615B9B"/>
    <w:rsid w:val="00620F95"/>
    <w:rsid w:val="006218BE"/>
    <w:rsid w:val="006240CD"/>
    <w:rsid w:val="00632E92"/>
    <w:rsid w:val="006347BF"/>
    <w:rsid w:val="00634991"/>
    <w:rsid w:val="006366EB"/>
    <w:rsid w:val="006443CD"/>
    <w:rsid w:val="006447A2"/>
    <w:rsid w:val="00646DD0"/>
    <w:rsid w:val="00655F3B"/>
    <w:rsid w:val="00657E3D"/>
    <w:rsid w:val="00671741"/>
    <w:rsid w:val="00675D1D"/>
    <w:rsid w:val="00677691"/>
    <w:rsid w:val="00682A52"/>
    <w:rsid w:val="00687F71"/>
    <w:rsid w:val="00690184"/>
    <w:rsid w:val="006B466D"/>
    <w:rsid w:val="006B47F6"/>
    <w:rsid w:val="006D57CC"/>
    <w:rsid w:val="006D5AEF"/>
    <w:rsid w:val="006F0071"/>
    <w:rsid w:val="006F39A6"/>
    <w:rsid w:val="006F51AE"/>
    <w:rsid w:val="0070195B"/>
    <w:rsid w:val="00706CC0"/>
    <w:rsid w:val="007369D6"/>
    <w:rsid w:val="007412D5"/>
    <w:rsid w:val="007425DE"/>
    <w:rsid w:val="00762991"/>
    <w:rsid w:val="00763A65"/>
    <w:rsid w:val="00763B26"/>
    <w:rsid w:val="007650A7"/>
    <w:rsid w:val="00765BA9"/>
    <w:rsid w:val="0077042A"/>
    <w:rsid w:val="007836F0"/>
    <w:rsid w:val="00783BF7"/>
    <w:rsid w:val="007846CD"/>
    <w:rsid w:val="007849BC"/>
    <w:rsid w:val="00790CBF"/>
    <w:rsid w:val="007955B2"/>
    <w:rsid w:val="00796DA6"/>
    <w:rsid w:val="007B43CF"/>
    <w:rsid w:val="007B474B"/>
    <w:rsid w:val="007B521A"/>
    <w:rsid w:val="007B5F5D"/>
    <w:rsid w:val="007B65A1"/>
    <w:rsid w:val="007B7157"/>
    <w:rsid w:val="007C13FD"/>
    <w:rsid w:val="007C24B6"/>
    <w:rsid w:val="007C2AE8"/>
    <w:rsid w:val="007C2BC8"/>
    <w:rsid w:val="007C6AC7"/>
    <w:rsid w:val="007C714A"/>
    <w:rsid w:val="007D0F6E"/>
    <w:rsid w:val="007D4D50"/>
    <w:rsid w:val="007E4F8F"/>
    <w:rsid w:val="00800B2A"/>
    <w:rsid w:val="00802E94"/>
    <w:rsid w:val="008076F4"/>
    <w:rsid w:val="008106B1"/>
    <w:rsid w:val="008127BE"/>
    <w:rsid w:val="00814362"/>
    <w:rsid w:val="00815DFB"/>
    <w:rsid w:val="008166C9"/>
    <w:rsid w:val="00823F91"/>
    <w:rsid w:val="008271F1"/>
    <w:rsid w:val="00830883"/>
    <w:rsid w:val="008329CC"/>
    <w:rsid w:val="0083444B"/>
    <w:rsid w:val="00835318"/>
    <w:rsid w:val="00842224"/>
    <w:rsid w:val="0084366E"/>
    <w:rsid w:val="0084376D"/>
    <w:rsid w:val="00844D94"/>
    <w:rsid w:val="00850C82"/>
    <w:rsid w:val="008528C3"/>
    <w:rsid w:val="00860B36"/>
    <w:rsid w:val="00870343"/>
    <w:rsid w:val="00872A5F"/>
    <w:rsid w:val="008745AF"/>
    <w:rsid w:val="00884931"/>
    <w:rsid w:val="008905A7"/>
    <w:rsid w:val="008920CF"/>
    <w:rsid w:val="008A2137"/>
    <w:rsid w:val="008A7F30"/>
    <w:rsid w:val="008B1BC4"/>
    <w:rsid w:val="008C6098"/>
    <w:rsid w:val="008C6B13"/>
    <w:rsid w:val="008D2269"/>
    <w:rsid w:val="008D4CE0"/>
    <w:rsid w:val="008D71A0"/>
    <w:rsid w:val="008E090D"/>
    <w:rsid w:val="008E2B51"/>
    <w:rsid w:val="00900D91"/>
    <w:rsid w:val="00903F5E"/>
    <w:rsid w:val="009108A0"/>
    <w:rsid w:val="009111EA"/>
    <w:rsid w:val="00915A96"/>
    <w:rsid w:val="00916B71"/>
    <w:rsid w:val="00924FE0"/>
    <w:rsid w:val="00933AFA"/>
    <w:rsid w:val="00947F83"/>
    <w:rsid w:val="009510D1"/>
    <w:rsid w:val="00954869"/>
    <w:rsid w:val="009550AF"/>
    <w:rsid w:val="009563D7"/>
    <w:rsid w:val="00961321"/>
    <w:rsid w:val="00971E15"/>
    <w:rsid w:val="0097257C"/>
    <w:rsid w:val="0097371B"/>
    <w:rsid w:val="009769F6"/>
    <w:rsid w:val="00977C3C"/>
    <w:rsid w:val="00982AB6"/>
    <w:rsid w:val="009A32CA"/>
    <w:rsid w:val="009A5D23"/>
    <w:rsid w:val="009A731D"/>
    <w:rsid w:val="009B177C"/>
    <w:rsid w:val="009B5DB0"/>
    <w:rsid w:val="009C14C5"/>
    <w:rsid w:val="009C6BB0"/>
    <w:rsid w:val="009C76BD"/>
    <w:rsid w:val="009D3427"/>
    <w:rsid w:val="009D7429"/>
    <w:rsid w:val="009E3106"/>
    <w:rsid w:val="009F2243"/>
    <w:rsid w:val="009F3CC3"/>
    <w:rsid w:val="009F654E"/>
    <w:rsid w:val="00A002F8"/>
    <w:rsid w:val="00A15668"/>
    <w:rsid w:val="00A207B7"/>
    <w:rsid w:val="00A21E72"/>
    <w:rsid w:val="00A2487C"/>
    <w:rsid w:val="00A26260"/>
    <w:rsid w:val="00A26CA0"/>
    <w:rsid w:val="00A30B5E"/>
    <w:rsid w:val="00A31CDD"/>
    <w:rsid w:val="00A40277"/>
    <w:rsid w:val="00A409A9"/>
    <w:rsid w:val="00A41277"/>
    <w:rsid w:val="00A43839"/>
    <w:rsid w:val="00A43936"/>
    <w:rsid w:val="00A43C9C"/>
    <w:rsid w:val="00A44CD2"/>
    <w:rsid w:val="00A52C15"/>
    <w:rsid w:val="00A54885"/>
    <w:rsid w:val="00A70545"/>
    <w:rsid w:val="00A8026B"/>
    <w:rsid w:val="00A84831"/>
    <w:rsid w:val="00A90B2F"/>
    <w:rsid w:val="00AA0C17"/>
    <w:rsid w:val="00AA0FFA"/>
    <w:rsid w:val="00AB175F"/>
    <w:rsid w:val="00AB7387"/>
    <w:rsid w:val="00AD3D05"/>
    <w:rsid w:val="00AD6D6F"/>
    <w:rsid w:val="00AE2230"/>
    <w:rsid w:val="00AF6BE1"/>
    <w:rsid w:val="00B0093B"/>
    <w:rsid w:val="00B10B53"/>
    <w:rsid w:val="00B123CF"/>
    <w:rsid w:val="00B17748"/>
    <w:rsid w:val="00B214B6"/>
    <w:rsid w:val="00B2487B"/>
    <w:rsid w:val="00B3256E"/>
    <w:rsid w:val="00B3689D"/>
    <w:rsid w:val="00B3791D"/>
    <w:rsid w:val="00B5068C"/>
    <w:rsid w:val="00B619C9"/>
    <w:rsid w:val="00B647E8"/>
    <w:rsid w:val="00B651D9"/>
    <w:rsid w:val="00B67BEE"/>
    <w:rsid w:val="00B721CE"/>
    <w:rsid w:val="00B929A7"/>
    <w:rsid w:val="00B9638B"/>
    <w:rsid w:val="00BA3ADB"/>
    <w:rsid w:val="00BA4C99"/>
    <w:rsid w:val="00BA6A5C"/>
    <w:rsid w:val="00BC5975"/>
    <w:rsid w:val="00BD041C"/>
    <w:rsid w:val="00BD3425"/>
    <w:rsid w:val="00BD7ABD"/>
    <w:rsid w:val="00BF6926"/>
    <w:rsid w:val="00BF6FD5"/>
    <w:rsid w:val="00C0582D"/>
    <w:rsid w:val="00C110FE"/>
    <w:rsid w:val="00C11B45"/>
    <w:rsid w:val="00C14C0A"/>
    <w:rsid w:val="00C1749D"/>
    <w:rsid w:val="00C2338E"/>
    <w:rsid w:val="00C254D3"/>
    <w:rsid w:val="00C26AA4"/>
    <w:rsid w:val="00C27821"/>
    <w:rsid w:val="00C311E1"/>
    <w:rsid w:val="00C33257"/>
    <w:rsid w:val="00C45615"/>
    <w:rsid w:val="00C51F15"/>
    <w:rsid w:val="00C81B89"/>
    <w:rsid w:val="00C82542"/>
    <w:rsid w:val="00C84E8D"/>
    <w:rsid w:val="00C9166C"/>
    <w:rsid w:val="00CA5957"/>
    <w:rsid w:val="00CB1D20"/>
    <w:rsid w:val="00CC6F3F"/>
    <w:rsid w:val="00CC72C0"/>
    <w:rsid w:val="00CD3076"/>
    <w:rsid w:val="00CE6E36"/>
    <w:rsid w:val="00CF6AC8"/>
    <w:rsid w:val="00D03B45"/>
    <w:rsid w:val="00D061F0"/>
    <w:rsid w:val="00D134B3"/>
    <w:rsid w:val="00D159E9"/>
    <w:rsid w:val="00D17C6D"/>
    <w:rsid w:val="00D452AB"/>
    <w:rsid w:val="00D45FE3"/>
    <w:rsid w:val="00D46EBD"/>
    <w:rsid w:val="00D5191D"/>
    <w:rsid w:val="00D531BE"/>
    <w:rsid w:val="00D54F11"/>
    <w:rsid w:val="00D57F1A"/>
    <w:rsid w:val="00D65817"/>
    <w:rsid w:val="00D7125A"/>
    <w:rsid w:val="00D771A7"/>
    <w:rsid w:val="00D8073F"/>
    <w:rsid w:val="00D82720"/>
    <w:rsid w:val="00D8315D"/>
    <w:rsid w:val="00D87BA0"/>
    <w:rsid w:val="00D906FF"/>
    <w:rsid w:val="00D91C18"/>
    <w:rsid w:val="00D92D28"/>
    <w:rsid w:val="00D96C68"/>
    <w:rsid w:val="00DA7B9C"/>
    <w:rsid w:val="00DB256F"/>
    <w:rsid w:val="00DB37C5"/>
    <w:rsid w:val="00DB631B"/>
    <w:rsid w:val="00DC292F"/>
    <w:rsid w:val="00DC649B"/>
    <w:rsid w:val="00DD6B8E"/>
    <w:rsid w:val="00DE1932"/>
    <w:rsid w:val="00DE2DF1"/>
    <w:rsid w:val="00DE54F1"/>
    <w:rsid w:val="00DE58DA"/>
    <w:rsid w:val="00DF7E1F"/>
    <w:rsid w:val="00E00692"/>
    <w:rsid w:val="00E0137E"/>
    <w:rsid w:val="00E03A3F"/>
    <w:rsid w:val="00E06810"/>
    <w:rsid w:val="00E14602"/>
    <w:rsid w:val="00E263BC"/>
    <w:rsid w:val="00E379BE"/>
    <w:rsid w:val="00E40039"/>
    <w:rsid w:val="00E40168"/>
    <w:rsid w:val="00E40853"/>
    <w:rsid w:val="00E47348"/>
    <w:rsid w:val="00E50C2B"/>
    <w:rsid w:val="00E51810"/>
    <w:rsid w:val="00E5244D"/>
    <w:rsid w:val="00E52F62"/>
    <w:rsid w:val="00E532C3"/>
    <w:rsid w:val="00E62311"/>
    <w:rsid w:val="00E628A9"/>
    <w:rsid w:val="00E7698A"/>
    <w:rsid w:val="00E84DCC"/>
    <w:rsid w:val="00E92326"/>
    <w:rsid w:val="00E9253B"/>
    <w:rsid w:val="00E942BD"/>
    <w:rsid w:val="00EB6D09"/>
    <w:rsid w:val="00EC3C69"/>
    <w:rsid w:val="00EE4D60"/>
    <w:rsid w:val="00EE686D"/>
    <w:rsid w:val="00EE71DA"/>
    <w:rsid w:val="00EE79EA"/>
    <w:rsid w:val="00EF2E85"/>
    <w:rsid w:val="00F00EDA"/>
    <w:rsid w:val="00F01D18"/>
    <w:rsid w:val="00F04BAC"/>
    <w:rsid w:val="00F100A5"/>
    <w:rsid w:val="00F1453D"/>
    <w:rsid w:val="00F1455A"/>
    <w:rsid w:val="00F156ED"/>
    <w:rsid w:val="00F20831"/>
    <w:rsid w:val="00F23D8D"/>
    <w:rsid w:val="00F25CED"/>
    <w:rsid w:val="00F36F68"/>
    <w:rsid w:val="00F43E0E"/>
    <w:rsid w:val="00F4513D"/>
    <w:rsid w:val="00F47F52"/>
    <w:rsid w:val="00F60231"/>
    <w:rsid w:val="00F66AAB"/>
    <w:rsid w:val="00F66E24"/>
    <w:rsid w:val="00F70106"/>
    <w:rsid w:val="00F73A5F"/>
    <w:rsid w:val="00F758D2"/>
    <w:rsid w:val="00F7729C"/>
    <w:rsid w:val="00F87372"/>
    <w:rsid w:val="00F9012E"/>
    <w:rsid w:val="00F92667"/>
    <w:rsid w:val="00FA178E"/>
    <w:rsid w:val="00FA3B06"/>
    <w:rsid w:val="00FA67A9"/>
    <w:rsid w:val="00FC2192"/>
    <w:rsid w:val="00FC2CE3"/>
    <w:rsid w:val="00FC3EE0"/>
    <w:rsid w:val="00FC6B58"/>
    <w:rsid w:val="00FD423E"/>
    <w:rsid w:val="00FD56BA"/>
    <w:rsid w:val="00FD702A"/>
    <w:rsid w:val="00FE3D90"/>
    <w:rsid w:val="00FF0D95"/>
    <w:rsid w:val="00FF0F22"/>
    <w:rsid w:val="00FF17A2"/>
    <w:rsid w:val="00FF4D90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toa heading" w:unhideWhenUsed="0"/>
    <w:lsdException w:name="List Number" w:unhideWhenUsed="0"/>
    <w:lsdException w:name="List 2" w:unhideWhenUsed="0"/>
    <w:lsdException w:name="Title" w:semiHidden="0" w:unhideWhenUsed="0" w:qFormat="1"/>
    <w:lsdException w:name="Default Paragraph Font" w:uiPriority="1"/>
    <w:lsdException w:name="List Continue 4" w:unhideWhenUsed="0"/>
    <w:lsdException w:name="List Continue 5" w:unhideWhenUsed="0"/>
    <w:lsdException w:name="Message Header" w:unhideWhenUsed="0"/>
    <w:lsdException w:name="Subtitle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nhideWhenUsed="0"/>
    <w:lsdException w:name="TOC Heading" w:qFormat="1"/>
  </w:latentStyles>
  <w:style w:type="paragraph" w:default="1" w:styleId="Normalny">
    <w:name w:val="Normal"/>
    <w:semiHidden/>
    <w:rsid w:val="00DC5AB5"/>
    <w:pPr>
      <w:jc w:val="both"/>
    </w:pPr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C5AB5"/>
    <w:pPr>
      <w:spacing w:before="480"/>
      <w:contextualSpacing/>
      <w:outlineLvl w:val="0"/>
    </w:pPr>
    <w:rPr>
      <w:b/>
      <w:bCs/>
      <w:color w:val="33333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rsid w:val="00DC5AB5"/>
    <w:pPr>
      <w:spacing w:before="200"/>
      <w:outlineLvl w:val="1"/>
    </w:pPr>
    <w:rPr>
      <w:b/>
      <w:bCs/>
      <w:color w:val="4D4D4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rsid w:val="00DC5AB5"/>
    <w:pPr>
      <w:spacing w:before="200" w:line="271" w:lineRule="auto"/>
      <w:outlineLvl w:val="2"/>
    </w:pPr>
    <w:rPr>
      <w:b/>
      <w:bCs/>
      <w:color w:val="5F5F5F"/>
    </w:rPr>
  </w:style>
  <w:style w:type="paragraph" w:styleId="Nagwek4">
    <w:name w:val="heading 4"/>
    <w:basedOn w:val="Normalny"/>
    <w:next w:val="Normalny"/>
    <w:link w:val="Nagwek4Znak"/>
    <w:uiPriority w:val="99"/>
    <w:semiHidden/>
    <w:rsid w:val="00DC5AB5"/>
    <w:pPr>
      <w:spacing w:before="200"/>
      <w:outlineLvl w:val="3"/>
    </w:pPr>
    <w:rPr>
      <w:b/>
      <w:bCs/>
      <w:i/>
      <w:iCs/>
      <w:color w:val="777777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DC5AB5"/>
    <w:pPr>
      <w:spacing w:before="200"/>
      <w:outlineLvl w:val="4"/>
    </w:pPr>
    <w:rPr>
      <w:b/>
      <w:bCs/>
      <w:color w:val="808080"/>
      <w:sz w:val="22"/>
    </w:rPr>
  </w:style>
  <w:style w:type="paragraph" w:styleId="Nagwek6">
    <w:name w:val="heading 6"/>
    <w:basedOn w:val="Normalny"/>
    <w:next w:val="Normalny"/>
    <w:link w:val="Nagwek6Znak"/>
    <w:uiPriority w:val="99"/>
    <w:semiHidden/>
    <w:rsid w:val="00DC5AB5"/>
    <w:pPr>
      <w:spacing w:line="271" w:lineRule="auto"/>
      <w:outlineLvl w:val="5"/>
    </w:pPr>
    <w:rPr>
      <w:b/>
      <w:bCs/>
      <w:i/>
      <w:iCs/>
      <w:color w:val="7F7F7F"/>
      <w:lang w:bidi="en-US"/>
    </w:rPr>
  </w:style>
  <w:style w:type="paragraph" w:styleId="Nagwek7">
    <w:name w:val="heading 7"/>
    <w:basedOn w:val="Normalny"/>
    <w:next w:val="Normalny"/>
    <w:link w:val="Nagwek7Znak"/>
    <w:uiPriority w:val="99"/>
    <w:semiHidden/>
    <w:qFormat/>
    <w:rsid w:val="00DC5AB5"/>
    <w:pPr>
      <w:outlineLvl w:val="6"/>
    </w:pPr>
    <w:rPr>
      <w:i/>
      <w:iCs/>
      <w:sz w:val="22"/>
      <w:lang w:bidi="en-US"/>
    </w:rPr>
  </w:style>
  <w:style w:type="paragraph" w:styleId="Nagwek8">
    <w:name w:val="heading 8"/>
    <w:basedOn w:val="Normalny"/>
    <w:next w:val="Normalny"/>
    <w:link w:val="Nagwek8Znak"/>
    <w:uiPriority w:val="99"/>
    <w:semiHidden/>
    <w:qFormat/>
    <w:rsid w:val="00DC5AB5"/>
    <w:pPr>
      <w:outlineLvl w:val="7"/>
    </w:pPr>
    <w:rPr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9"/>
    <w:semiHidden/>
    <w:qFormat/>
    <w:rsid w:val="00DC5AB5"/>
    <w:pPr>
      <w:outlineLvl w:val="8"/>
    </w:pPr>
    <w:rPr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C5A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5AB5"/>
    <w:rPr>
      <w:rFonts w:ascii="Tahoma" w:eastAsia="Times New Roman" w:hAnsi="Tahoma" w:cs="Tahoma"/>
      <w:sz w:val="16"/>
      <w:szCs w:val="16"/>
      <w:lang w:val="pl-PL" w:eastAsia="pl-PL"/>
    </w:rPr>
  </w:style>
  <w:style w:type="character" w:styleId="Tytuksiki">
    <w:name w:val="Book Title"/>
    <w:uiPriority w:val="99"/>
    <w:semiHidden/>
    <w:qFormat/>
    <w:rsid w:val="00DC5AB5"/>
    <w:rPr>
      <w:i/>
      <w:iCs/>
      <w:smallCaps/>
      <w:spacing w:val="5"/>
      <w:lang w:val="pl-PL" w:eastAsia="pl-PL"/>
    </w:rPr>
  </w:style>
  <w:style w:type="paragraph" w:customStyle="1" w:styleId="ECHRHeader">
    <w:name w:val="ECHR_Header"/>
    <w:aliases w:val="Ju_Header"/>
    <w:basedOn w:val="Nagwek"/>
    <w:uiPriority w:val="4"/>
    <w:qFormat/>
    <w:rsid w:val="00DC5AB5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Stopka"/>
    <w:uiPriority w:val="57"/>
    <w:semiHidden/>
    <w:rsid w:val="00DC5AB5"/>
    <w:pPr>
      <w:jc w:val="left"/>
    </w:pPr>
    <w:rPr>
      <w:sz w:val="8"/>
    </w:rPr>
  </w:style>
  <w:style w:type="character" w:styleId="Pogrubienie">
    <w:name w:val="Strong"/>
    <w:uiPriority w:val="99"/>
    <w:semiHidden/>
    <w:qFormat/>
    <w:rsid w:val="00DC5AB5"/>
    <w:rPr>
      <w:b/>
      <w:bCs/>
      <w:lang w:val="pl-PL" w:eastAsia="pl-PL"/>
    </w:rPr>
  </w:style>
  <w:style w:type="paragraph" w:styleId="Bezodstpw">
    <w:name w:val="No Spacing"/>
    <w:basedOn w:val="Normalny"/>
    <w:link w:val="BezodstpwZnak"/>
    <w:semiHidden/>
    <w:qFormat/>
    <w:rsid w:val="00DC5AB5"/>
    <w:rPr>
      <w:sz w:val="22"/>
    </w:rPr>
  </w:style>
  <w:style w:type="character" w:customStyle="1" w:styleId="BezodstpwZnak">
    <w:name w:val="Bez odstępów Znak"/>
    <w:link w:val="Bezodstpw"/>
    <w:semiHidden/>
    <w:rsid w:val="00DC5AB5"/>
    <w:rPr>
      <w:rFonts w:eastAsia="Times New Roman"/>
      <w:lang w:val="pl-PL" w:eastAsia="pl-PL"/>
    </w:rPr>
  </w:style>
  <w:style w:type="paragraph" w:customStyle="1" w:styleId="ECHRFooterLine">
    <w:name w:val="ECHR_Footer_Line"/>
    <w:aliases w:val="Footer_Line"/>
    <w:basedOn w:val="Normalny"/>
    <w:next w:val="ECHRFooter"/>
    <w:uiPriority w:val="57"/>
    <w:semiHidden/>
    <w:rsid w:val="00DC5AB5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Normalny"/>
    <w:uiPriority w:val="5"/>
    <w:rsid w:val="00DC5AB5"/>
    <w:pPr>
      <w:numPr>
        <w:numId w:val="15"/>
      </w:numPr>
      <w:jc w:val="left"/>
    </w:pPr>
    <w:rPr>
      <w:b/>
    </w:rPr>
  </w:style>
  <w:style w:type="paragraph" w:customStyle="1" w:styleId="OpiPara">
    <w:name w:val="Opi_Para"/>
    <w:basedOn w:val="ECHRPara"/>
    <w:uiPriority w:val="46"/>
    <w:qFormat/>
    <w:rsid w:val="00DC5AB5"/>
  </w:style>
  <w:style w:type="paragraph" w:customStyle="1" w:styleId="JuParaSub">
    <w:name w:val="Ju_Para_Sub"/>
    <w:basedOn w:val="ECHRPara"/>
    <w:uiPriority w:val="13"/>
    <w:qFormat/>
    <w:rsid w:val="00DC5AB5"/>
    <w:pPr>
      <w:ind w:left="284"/>
    </w:pPr>
  </w:style>
  <w:style w:type="paragraph" w:customStyle="1" w:styleId="ECHRTitleCentre3">
    <w:name w:val="ECHR_Title_Centre_3"/>
    <w:aliases w:val="Ju_H_Article"/>
    <w:basedOn w:val="Normalny"/>
    <w:next w:val="ECHRParaQuote"/>
    <w:uiPriority w:val="27"/>
    <w:qFormat/>
    <w:rsid w:val="00DC5AB5"/>
    <w:pPr>
      <w:keepNext/>
      <w:keepLines/>
      <w:spacing w:before="240" w:after="120"/>
      <w:jc w:val="center"/>
      <w:outlineLvl w:val="3"/>
    </w:pPr>
    <w:rPr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ny"/>
    <w:next w:val="OpiPara"/>
    <w:uiPriority w:val="39"/>
    <w:qFormat/>
    <w:rsid w:val="00DC5AB5"/>
    <w:pPr>
      <w:keepNext/>
      <w:keepLines/>
      <w:spacing w:after="240"/>
      <w:jc w:val="center"/>
      <w:outlineLvl w:val="0"/>
    </w:pPr>
    <w:rPr>
      <w:sz w:val="28"/>
    </w:rPr>
  </w:style>
  <w:style w:type="paragraph" w:customStyle="1" w:styleId="JuQuotSub">
    <w:name w:val="Ju_Quot_Sub"/>
    <w:basedOn w:val="ECHRParaQuote"/>
    <w:uiPriority w:val="15"/>
    <w:qFormat/>
    <w:rsid w:val="00DC5AB5"/>
    <w:pPr>
      <w:ind w:left="567"/>
    </w:pPr>
  </w:style>
  <w:style w:type="paragraph" w:customStyle="1" w:styleId="OpiParaSub">
    <w:name w:val="Opi_Para_Sub"/>
    <w:basedOn w:val="JuParaSub"/>
    <w:uiPriority w:val="47"/>
    <w:qFormat/>
    <w:rsid w:val="00DC5AB5"/>
  </w:style>
  <w:style w:type="paragraph" w:customStyle="1" w:styleId="OpiQuot">
    <w:name w:val="Opi_Quot"/>
    <w:basedOn w:val="ECHRParaQuote"/>
    <w:uiPriority w:val="48"/>
    <w:qFormat/>
    <w:rsid w:val="00DC5AB5"/>
  </w:style>
  <w:style w:type="paragraph" w:customStyle="1" w:styleId="OpiQuotSub">
    <w:name w:val="Opi_Quot_Sub"/>
    <w:basedOn w:val="JuQuotSub"/>
    <w:uiPriority w:val="49"/>
    <w:qFormat/>
    <w:rsid w:val="00DC5AB5"/>
  </w:style>
  <w:style w:type="paragraph" w:customStyle="1" w:styleId="ECHRTitleCentre2">
    <w:name w:val="ECHR_Title_Centre_2"/>
    <w:aliases w:val="Dec_H_Case"/>
    <w:basedOn w:val="Normalny"/>
    <w:next w:val="ECHRPara"/>
    <w:uiPriority w:val="8"/>
    <w:rsid w:val="00DC5AB5"/>
    <w:pPr>
      <w:spacing w:after="240"/>
      <w:jc w:val="center"/>
      <w:outlineLvl w:val="0"/>
    </w:pPr>
  </w:style>
  <w:style w:type="paragraph" w:styleId="Tytu">
    <w:name w:val="Title"/>
    <w:basedOn w:val="Normalny"/>
    <w:next w:val="Normalny"/>
    <w:link w:val="TytuZnak"/>
    <w:uiPriority w:val="99"/>
    <w:semiHidden/>
    <w:qFormat/>
    <w:rsid w:val="00DC5AB5"/>
    <w:pPr>
      <w:pBdr>
        <w:bottom w:val="single" w:sz="4" w:space="1" w:color="auto"/>
      </w:pBdr>
      <w:contextualSpacing/>
    </w:pPr>
    <w:rPr>
      <w:spacing w:val="5"/>
      <w:sz w:val="52"/>
      <w:szCs w:val="52"/>
      <w:lang w:bidi="en-US"/>
    </w:rPr>
  </w:style>
  <w:style w:type="character" w:customStyle="1" w:styleId="TytuZnak">
    <w:name w:val="Tytuł Znak"/>
    <w:link w:val="Tytu"/>
    <w:uiPriority w:val="99"/>
    <w:semiHidden/>
    <w:rsid w:val="00DC5AB5"/>
    <w:rPr>
      <w:rFonts w:ascii="Times New Roman" w:eastAsia="Times New Roman" w:hAnsi="Times New Roman" w:cs="Times New Roman"/>
      <w:spacing w:val="5"/>
      <w:sz w:val="52"/>
      <w:szCs w:val="52"/>
      <w:lang w:val="pl-PL" w:eastAsia="pl-PL" w:bidi="en-US"/>
    </w:rPr>
  </w:style>
  <w:style w:type="paragraph" w:customStyle="1" w:styleId="ECHRHeading3">
    <w:name w:val="ECHR_Heading_3"/>
    <w:aliases w:val="Ju_H_1."/>
    <w:basedOn w:val="Nagwek3"/>
    <w:next w:val="ECHRPara"/>
    <w:link w:val="JuH1Char"/>
    <w:uiPriority w:val="21"/>
    <w:qFormat/>
    <w:rsid w:val="00DC5AB5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000000"/>
    </w:rPr>
  </w:style>
  <w:style w:type="paragraph" w:customStyle="1" w:styleId="ECHRHeading4">
    <w:name w:val="ECHR_Heading_4"/>
    <w:aliases w:val="Ju_H_a"/>
    <w:basedOn w:val="Nagwek4"/>
    <w:next w:val="ECHRPara"/>
    <w:link w:val="JuHaChar"/>
    <w:uiPriority w:val="22"/>
    <w:qFormat/>
    <w:rsid w:val="00DC5AB5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000000"/>
      <w:sz w:val="20"/>
    </w:rPr>
  </w:style>
  <w:style w:type="paragraph" w:customStyle="1" w:styleId="ECHRHeading5">
    <w:name w:val="ECHR_Heading_5"/>
    <w:aliases w:val="Ju_H_i"/>
    <w:basedOn w:val="Nagwek5"/>
    <w:next w:val="ECHRPara"/>
    <w:link w:val="JuHiChar"/>
    <w:uiPriority w:val="23"/>
    <w:qFormat/>
    <w:rsid w:val="00DC5AB5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000000"/>
      <w:sz w:val="20"/>
    </w:rPr>
  </w:style>
  <w:style w:type="paragraph" w:customStyle="1" w:styleId="ECHRHeading6">
    <w:name w:val="ECHR_Heading_6"/>
    <w:aliases w:val="Ju_H_alpha"/>
    <w:basedOn w:val="Nagwek6"/>
    <w:next w:val="ECHRPara"/>
    <w:uiPriority w:val="24"/>
    <w:qFormat/>
    <w:rsid w:val="00DC5AB5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000000"/>
      <w:sz w:val="20"/>
    </w:rPr>
  </w:style>
  <w:style w:type="paragraph" w:customStyle="1" w:styleId="ECHRHeading7">
    <w:name w:val="ECHR_Heading_7"/>
    <w:aliases w:val="Ju_H_–"/>
    <w:basedOn w:val="Nagwek7"/>
    <w:next w:val="ECHRPara"/>
    <w:uiPriority w:val="25"/>
    <w:qFormat/>
    <w:rsid w:val="00DC5AB5"/>
    <w:pPr>
      <w:keepNext/>
      <w:keepLines/>
      <w:spacing w:before="240" w:after="120"/>
      <w:ind w:left="1236"/>
    </w:pPr>
    <w:rPr>
      <w:sz w:val="20"/>
    </w:rPr>
  </w:style>
  <w:style w:type="paragraph" w:customStyle="1" w:styleId="JuTitle">
    <w:name w:val="Ju_Title"/>
    <w:basedOn w:val="Normalny"/>
    <w:next w:val="ECHRPara"/>
    <w:uiPriority w:val="3"/>
    <w:rsid w:val="00DC5AB5"/>
    <w:pPr>
      <w:spacing w:before="720" w:after="240"/>
      <w:jc w:val="center"/>
      <w:outlineLvl w:val="0"/>
    </w:pPr>
    <w:rPr>
      <w:b/>
      <w:caps/>
    </w:rPr>
  </w:style>
  <w:style w:type="paragraph" w:customStyle="1" w:styleId="JuInitialled">
    <w:name w:val="Ju_Initialled"/>
    <w:basedOn w:val="Normalny"/>
    <w:uiPriority w:val="31"/>
    <w:qFormat/>
    <w:rsid w:val="00DC5AB5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DC5AB5"/>
    <w:pPr>
      <w:tabs>
        <w:tab w:val="clear" w:pos="357"/>
      </w:tabs>
      <w:outlineLvl w:val="1"/>
    </w:pPr>
    <w:rPr>
      <w:b/>
    </w:rPr>
  </w:style>
  <w:style w:type="paragraph" w:styleId="Nagwek">
    <w:name w:val="header"/>
    <w:basedOn w:val="Normalny"/>
    <w:link w:val="NagwekZnak"/>
    <w:uiPriority w:val="57"/>
    <w:rsid w:val="00DC5A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57"/>
    <w:rsid w:val="00DC5AB5"/>
    <w:rPr>
      <w:sz w:val="24"/>
      <w:lang w:val="pl-PL" w:eastAsia="pl-PL"/>
    </w:rPr>
  </w:style>
  <w:style w:type="character" w:customStyle="1" w:styleId="Nagwek1Znak">
    <w:name w:val="Nagłówek 1 Znak"/>
    <w:link w:val="Nagwek1"/>
    <w:uiPriority w:val="99"/>
    <w:rsid w:val="00DC5AB5"/>
    <w:rPr>
      <w:rFonts w:ascii="Times New Roman" w:eastAsia="Times New Roman" w:hAnsi="Times New Roman" w:cs="Times New Roman"/>
      <w:b/>
      <w:bCs/>
      <w:color w:val="333333"/>
      <w:sz w:val="28"/>
      <w:szCs w:val="28"/>
      <w:lang w:val="pl-PL" w:eastAsia="pl-PL"/>
    </w:rPr>
  </w:style>
  <w:style w:type="paragraph" w:customStyle="1" w:styleId="ECHRHeading1">
    <w:name w:val="ECHR_Heading_1"/>
    <w:aliases w:val="Ju_H_I_Roman"/>
    <w:basedOn w:val="Nagwek1"/>
    <w:next w:val="ECHRPara"/>
    <w:link w:val="JuHIRomanChar"/>
    <w:uiPriority w:val="19"/>
    <w:qFormat/>
    <w:rsid w:val="00DC5AB5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000000"/>
      <w:sz w:val="24"/>
    </w:rPr>
  </w:style>
  <w:style w:type="paragraph" w:customStyle="1" w:styleId="ECHRHeading2">
    <w:name w:val="ECHR_Heading_2"/>
    <w:aliases w:val="Ju_H_A,Head_2"/>
    <w:basedOn w:val="Nagwek2"/>
    <w:next w:val="ECHRPara"/>
    <w:uiPriority w:val="20"/>
    <w:qFormat/>
    <w:rsid w:val="00DC5AB5"/>
    <w:pPr>
      <w:keepNext/>
      <w:keepLines/>
      <w:tabs>
        <w:tab w:val="left" w:pos="584"/>
      </w:tabs>
      <w:spacing w:before="360" w:after="240"/>
      <w:ind w:left="584" w:hanging="352"/>
    </w:pPr>
    <w:rPr>
      <w:color w:val="000000"/>
      <w:sz w:val="24"/>
    </w:rPr>
  </w:style>
  <w:style w:type="character" w:customStyle="1" w:styleId="Nagwek2Znak">
    <w:name w:val="Nagłówek 2 Znak"/>
    <w:link w:val="Nagwek2"/>
    <w:uiPriority w:val="99"/>
    <w:semiHidden/>
    <w:rsid w:val="00DC5AB5"/>
    <w:rPr>
      <w:rFonts w:ascii="Times New Roman" w:eastAsia="Times New Roman" w:hAnsi="Times New Roman" w:cs="Times New Roman"/>
      <w:b/>
      <w:bCs/>
      <w:color w:val="4D4D4D"/>
      <w:sz w:val="26"/>
      <w:szCs w:val="26"/>
      <w:lang w:val="pl-PL" w:eastAsia="pl-PL"/>
    </w:rPr>
  </w:style>
  <w:style w:type="character" w:customStyle="1" w:styleId="JUNAMES">
    <w:name w:val="JU_NAMES"/>
    <w:uiPriority w:val="17"/>
    <w:qFormat/>
    <w:rsid w:val="00DC5AB5"/>
    <w:rPr>
      <w:smallCaps/>
      <w:lang w:val="pl-PL" w:eastAsia="pl-PL"/>
    </w:rPr>
  </w:style>
  <w:style w:type="paragraph" w:customStyle="1" w:styleId="ECHRDecisionBody">
    <w:name w:val="ECHR_Decision_Body"/>
    <w:aliases w:val="Ju_Judges"/>
    <w:basedOn w:val="Normalny"/>
    <w:uiPriority w:val="11"/>
    <w:qFormat/>
    <w:rsid w:val="00DC5AB5"/>
    <w:pPr>
      <w:tabs>
        <w:tab w:val="left" w:pos="567"/>
        <w:tab w:val="left" w:pos="1134"/>
      </w:tabs>
      <w:jc w:val="left"/>
    </w:pPr>
  </w:style>
  <w:style w:type="character" w:customStyle="1" w:styleId="Nagwek3Znak">
    <w:name w:val="Nagłówek 3 Znak"/>
    <w:link w:val="Nagwek3"/>
    <w:uiPriority w:val="99"/>
    <w:semiHidden/>
    <w:rsid w:val="00DC5AB5"/>
    <w:rPr>
      <w:rFonts w:ascii="Times New Roman" w:eastAsia="Times New Roman" w:hAnsi="Times New Roman" w:cs="Times New Roman"/>
      <w:b/>
      <w:bCs/>
      <w:color w:val="5F5F5F"/>
      <w:sz w:val="24"/>
      <w:lang w:val="pl-PL" w:eastAsia="pl-PL"/>
    </w:rPr>
  </w:style>
  <w:style w:type="paragraph" w:customStyle="1" w:styleId="ECHRPara">
    <w:name w:val="ECHR_Para"/>
    <w:aliases w:val="Ju_Para"/>
    <w:basedOn w:val="Normalny"/>
    <w:link w:val="ECHRParaChar"/>
    <w:uiPriority w:val="12"/>
    <w:qFormat/>
    <w:rsid w:val="00DC5AB5"/>
    <w:pPr>
      <w:ind w:firstLine="284"/>
    </w:pPr>
  </w:style>
  <w:style w:type="character" w:customStyle="1" w:styleId="Nagwek4Znak">
    <w:name w:val="Nagłówek 4 Znak"/>
    <w:link w:val="Nagwek4"/>
    <w:uiPriority w:val="99"/>
    <w:semiHidden/>
    <w:rsid w:val="00DC5AB5"/>
    <w:rPr>
      <w:rFonts w:ascii="Times New Roman" w:eastAsia="Times New Roman" w:hAnsi="Times New Roman" w:cs="Times New Roman"/>
      <w:b/>
      <w:bCs/>
      <w:i/>
      <w:iCs/>
      <w:color w:val="777777"/>
      <w:sz w:val="24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rsid w:val="00DC5AB5"/>
    <w:rPr>
      <w:rFonts w:ascii="Times New Roman" w:eastAsia="Times New Roman" w:hAnsi="Times New Roman" w:cs="Times New Roman"/>
      <w:b/>
      <w:bCs/>
      <w:color w:val="808080"/>
      <w:lang w:val="pl-PL" w:eastAsia="pl-PL"/>
    </w:rPr>
  </w:style>
  <w:style w:type="character" w:styleId="Wyrnieniedelikatne">
    <w:name w:val="Subtle Emphasis"/>
    <w:uiPriority w:val="99"/>
    <w:semiHidden/>
    <w:qFormat/>
    <w:rsid w:val="00DC5AB5"/>
    <w:rPr>
      <w:i/>
      <w:iCs/>
      <w:lang w:val="pl-PL" w:eastAsia="pl-PL"/>
    </w:rPr>
  </w:style>
  <w:style w:type="table" w:customStyle="1" w:styleId="ECHRTable">
    <w:name w:val="ECHR_Table"/>
    <w:basedOn w:val="Standardowy"/>
    <w:rsid w:val="00860B03"/>
    <w:rPr>
      <w:lang w:val="en-GB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/>
        <w:b/>
        <w:i w:val="0"/>
        <w:color w:val="474747"/>
        <w:sz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2Horz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</w:style>
  <w:style w:type="table" w:customStyle="1" w:styleId="ECHRTableBoxHeader">
    <w:name w:val="ECHR_Table_Box_Header"/>
    <w:basedOn w:val="Standardowy"/>
    <w:rsid w:val="004C086C"/>
    <w:rPr>
      <w:rFonts w:ascii="Verdana" w:hAnsi="Verdana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/>
    </w:tcPr>
    <w:tblStylePr w:type="firstCol">
      <w:rPr>
        <w:b/>
        <w:color w:val="5F5F5F"/>
      </w:rPr>
    </w:tblStylePr>
  </w:style>
  <w:style w:type="paragraph" w:customStyle="1" w:styleId="ECHRTitle1">
    <w:name w:val="ECHR_Title_1"/>
    <w:aliases w:val="Ju_H_Head,Title_L_1"/>
    <w:basedOn w:val="Normalny"/>
    <w:next w:val="ECHRPara"/>
    <w:uiPriority w:val="18"/>
    <w:qFormat/>
    <w:rsid w:val="00DC5AB5"/>
    <w:pPr>
      <w:keepNext/>
      <w:keepLines/>
      <w:spacing w:before="720" w:after="240"/>
      <w:outlineLvl w:val="0"/>
    </w:pPr>
    <w:rPr>
      <w:sz w:val="28"/>
    </w:rPr>
  </w:style>
  <w:style w:type="character" w:styleId="Uwydatnienie">
    <w:name w:val="Emphasis"/>
    <w:uiPriority w:val="99"/>
    <w:semiHidden/>
    <w:qFormat/>
    <w:rsid w:val="00DC5AB5"/>
    <w:rPr>
      <w:b/>
      <w:bCs/>
      <w:i/>
      <w:iCs/>
      <w:spacing w:val="10"/>
      <w:bdr w:val="none" w:sz="0" w:space="0" w:color="auto"/>
      <w:lang w:val="pl-PL" w:eastAsia="pl-PL"/>
    </w:rPr>
  </w:style>
  <w:style w:type="paragraph" w:styleId="Stopka">
    <w:name w:val="footer"/>
    <w:basedOn w:val="Normalny"/>
    <w:link w:val="StopkaZnak"/>
    <w:uiPriority w:val="57"/>
    <w:semiHidden/>
    <w:rsid w:val="00DC5AB5"/>
    <w:pPr>
      <w:tabs>
        <w:tab w:val="center" w:pos="4536"/>
        <w:tab w:val="right" w:pos="9696"/>
      </w:tabs>
      <w:ind w:left="-680" w:right="-680"/>
    </w:pPr>
  </w:style>
  <w:style w:type="character" w:customStyle="1" w:styleId="StopkaZnak">
    <w:name w:val="Stopka Znak"/>
    <w:link w:val="Stopka"/>
    <w:uiPriority w:val="57"/>
    <w:semiHidden/>
    <w:rsid w:val="00DC5AB5"/>
    <w:rPr>
      <w:sz w:val="24"/>
      <w:lang w:val="pl-PL" w:eastAsia="pl-PL"/>
    </w:rPr>
  </w:style>
  <w:style w:type="character" w:styleId="Odwoanieprzypisudolnego">
    <w:name w:val="footnote reference"/>
    <w:uiPriority w:val="99"/>
    <w:semiHidden/>
    <w:rsid w:val="00DC5AB5"/>
    <w:rPr>
      <w:vertAlign w:val="superscript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C5A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C5AB5"/>
    <w:rPr>
      <w:rFonts w:eastAsia="Times New Roman"/>
      <w:sz w:val="20"/>
      <w:szCs w:val="20"/>
      <w:lang w:val="pl-PL" w:eastAsia="pl-PL"/>
    </w:rPr>
  </w:style>
  <w:style w:type="character" w:customStyle="1" w:styleId="Nagwek6Znak">
    <w:name w:val="Nagłówek 6 Znak"/>
    <w:link w:val="Nagwek6"/>
    <w:uiPriority w:val="99"/>
    <w:semiHidden/>
    <w:rsid w:val="00DC5AB5"/>
    <w:rPr>
      <w:rFonts w:ascii="Times New Roman" w:eastAsia="Times New Roman" w:hAnsi="Times New Roman" w:cs="Times New Roman"/>
      <w:b/>
      <w:bCs/>
      <w:i/>
      <w:iCs/>
      <w:color w:val="7F7F7F"/>
      <w:sz w:val="24"/>
      <w:lang w:val="pl-PL" w:eastAsia="pl-PL" w:bidi="en-US"/>
    </w:rPr>
  </w:style>
  <w:style w:type="character" w:customStyle="1" w:styleId="Nagwek7Znak">
    <w:name w:val="Nagłówek 7 Znak"/>
    <w:link w:val="Nagwek7"/>
    <w:uiPriority w:val="99"/>
    <w:semiHidden/>
    <w:rsid w:val="00DC5AB5"/>
    <w:rPr>
      <w:rFonts w:ascii="Times New Roman" w:eastAsia="Times New Roman" w:hAnsi="Times New Roman" w:cs="Times New Roman"/>
      <w:i/>
      <w:iCs/>
      <w:lang w:val="pl-PL" w:eastAsia="pl-PL" w:bidi="en-US"/>
    </w:rPr>
  </w:style>
  <w:style w:type="character" w:customStyle="1" w:styleId="Nagwek8Znak">
    <w:name w:val="Nagłówek 8 Znak"/>
    <w:link w:val="Nagwek8"/>
    <w:uiPriority w:val="99"/>
    <w:semiHidden/>
    <w:rsid w:val="00DC5AB5"/>
    <w:rPr>
      <w:rFonts w:ascii="Times New Roman" w:eastAsia="Times New Roman" w:hAnsi="Times New Roman" w:cs="Times New Roman"/>
      <w:sz w:val="20"/>
      <w:szCs w:val="20"/>
      <w:lang w:val="pl-PL" w:eastAsia="pl-PL" w:bidi="en-US"/>
    </w:rPr>
  </w:style>
  <w:style w:type="character" w:customStyle="1" w:styleId="Nagwek9Znak">
    <w:name w:val="Nagłówek 9 Znak"/>
    <w:link w:val="Nagwek9"/>
    <w:uiPriority w:val="99"/>
    <w:semiHidden/>
    <w:rsid w:val="00DC5AB5"/>
    <w:rPr>
      <w:rFonts w:ascii="Times New Roman" w:eastAsia="Times New Roman" w:hAnsi="Times New Roman" w:cs="Times New Roman"/>
      <w:i/>
      <w:iCs/>
      <w:spacing w:val="5"/>
      <w:sz w:val="20"/>
      <w:szCs w:val="20"/>
      <w:lang w:val="pl-PL" w:eastAsia="pl-PL" w:bidi="en-US"/>
    </w:rPr>
  </w:style>
  <w:style w:type="character" w:styleId="Hipercze">
    <w:name w:val="Hyperlink"/>
    <w:uiPriority w:val="99"/>
    <w:semiHidden/>
    <w:rsid w:val="00DC5AB5"/>
    <w:rPr>
      <w:color w:val="0072BC"/>
      <w:u w:val="single"/>
      <w:lang w:val="pl-PL" w:eastAsia="pl-PL"/>
    </w:rPr>
  </w:style>
  <w:style w:type="character" w:styleId="Wyrnienieintensywne">
    <w:name w:val="Intense Emphasis"/>
    <w:uiPriority w:val="99"/>
    <w:semiHidden/>
    <w:qFormat/>
    <w:rsid w:val="00DC5AB5"/>
    <w:rPr>
      <w:b/>
      <w:bCs/>
      <w:lang w:val="pl-PL" w:eastAsia="pl-PL"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qFormat/>
    <w:rsid w:val="00DC5AB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CytatintensywnyZnak">
    <w:name w:val="Cytat intensywny Znak"/>
    <w:link w:val="Cytatintensywny"/>
    <w:uiPriority w:val="99"/>
    <w:semiHidden/>
    <w:rsid w:val="00DC5AB5"/>
    <w:rPr>
      <w:rFonts w:eastAsia="Times New Roman"/>
      <w:b/>
      <w:bCs/>
      <w:i/>
      <w:iCs/>
      <w:lang w:val="pl-PL" w:eastAsia="pl-PL" w:bidi="en-US"/>
    </w:rPr>
  </w:style>
  <w:style w:type="character" w:styleId="Odwoanieintensywne">
    <w:name w:val="Intense Reference"/>
    <w:uiPriority w:val="99"/>
    <w:semiHidden/>
    <w:qFormat/>
    <w:rsid w:val="00DC5AB5"/>
    <w:rPr>
      <w:smallCaps/>
      <w:spacing w:val="5"/>
      <w:u w:val="single"/>
      <w:lang w:val="pl-PL" w:eastAsia="pl-PL"/>
    </w:rPr>
  </w:style>
  <w:style w:type="paragraph" w:styleId="Akapitzlist">
    <w:name w:val="List Paragraph"/>
    <w:basedOn w:val="Normalny"/>
    <w:uiPriority w:val="99"/>
    <w:semiHidden/>
    <w:qFormat/>
    <w:rsid w:val="00DC5AB5"/>
    <w:pPr>
      <w:ind w:left="720"/>
      <w:contextualSpacing/>
    </w:pPr>
  </w:style>
  <w:style w:type="table" w:customStyle="1" w:styleId="LtrTableAddress">
    <w:name w:val="Ltr_Table_Address"/>
    <w:basedOn w:val="Standardowy"/>
    <w:uiPriority w:val="99"/>
    <w:rsid w:val="001E6F32"/>
    <w:tblPr>
      <w:tblInd w:w="5103" w:type="dxa"/>
    </w:tblPr>
  </w:style>
  <w:style w:type="paragraph" w:styleId="Cytat">
    <w:name w:val="Quote"/>
    <w:basedOn w:val="Normalny"/>
    <w:next w:val="Normalny"/>
    <w:link w:val="CytatZnak"/>
    <w:uiPriority w:val="99"/>
    <w:semiHidden/>
    <w:qFormat/>
    <w:rsid w:val="00DC5AB5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CytatZnak">
    <w:name w:val="Cytat Znak"/>
    <w:link w:val="Cytat"/>
    <w:uiPriority w:val="99"/>
    <w:semiHidden/>
    <w:rsid w:val="00DC5AB5"/>
    <w:rPr>
      <w:rFonts w:eastAsia="Times New Roman"/>
      <w:i/>
      <w:iCs/>
      <w:lang w:val="pl-PL" w:eastAsia="pl-PL" w:bidi="en-US"/>
    </w:rPr>
  </w:style>
  <w:style w:type="character" w:styleId="Odwoaniedelikatne">
    <w:name w:val="Subtle Reference"/>
    <w:uiPriority w:val="99"/>
    <w:semiHidden/>
    <w:qFormat/>
    <w:rsid w:val="00DC5AB5"/>
    <w:rPr>
      <w:smallCaps/>
      <w:lang w:val="pl-PL" w:eastAsia="pl-PL"/>
    </w:rPr>
  </w:style>
  <w:style w:type="table" w:styleId="Tabela-Siatka">
    <w:name w:val="Table Grid"/>
    <w:basedOn w:val="Standardowy"/>
    <w:uiPriority w:val="59"/>
    <w:semiHidden/>
    <w:rsid w:val="00DC5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99"/>
    <w:semiHidden/>
    <w:rsid w:val="00DC5AB5"/>
    <w:pPr>
      <w:spacing w:before="120" w:after="60"/>
      <w:ind w:left="340" w:right="340" w:hanging="340"/>
    </w:pPr>
    <w:rPr>
      <w:color w:val="0D0D0D"/>
    </w:rPr>
  </w:style>
  <w:style w:type="paragraph" w:styleId="Spistreci2">
    <w:name w:val="toc 2"/>
    <w:basedOn w:val="Normalny"/>
    <w:next w:val="Normalny"/>
    <w:autoRedefine/>
    <w:uiPriority w:val="99"/>
    <w:semiHidden/>
    <w:rsid w:val="00DC5AB5"/>
    <w:pPr>
      <w:spacing w:after="60"/>
      <w:ind w:left="680" w:right="340" w:hanging="340"/>
    </w:pPr>
  </w:style>
  <w:style w:type="paragraph" w:styleId="Spistreci3">
    <w:name w:val="toc 3"/>
    <w:basedOn w:val="Normalny"/>
    <w:next w:val="Normalny"/>
    <w:autoRedefine/>
    <w:uiPriority w:val="99"/>
    <w:semiHidden/>
    <w:rsid w:val="00DC5AB5"/>
    <w:pPr>
      <w:spacing w:after="60"/>
      <w:ind w:left="1020" w:right="340" w:hanging="340"/>
    </w:pPr>
  </w:style>
  <w:style w:type="paragraph" w:styleId="Spistreci4">
    <w:name w:val="toc 4"/>
    <w:basedOn w:val="Normalny"/>
    <w:next w:val="Normalny"/>
    <w:autoRedefine/>
    <w:uiPriority w:val="99"/>
    <w:semiHidden/>
    <w:rsid w:val="00DC5AB5"/>
    <w:pPr>
      <w:tabs>
        <w:tab w:val="right" w:leader="dot" w:pos="9017"/>
      </w:tabs>
      <w:spacing w:after="60"/>
      <w:ind w:left="1361" w:right="340" w:hanging="340"/>
    </w:pPr>
  </w:style>
  <w:style w:type="paragraph" w:styleId="Spistreci5">
    <w:name w:val="toc 5"/>
    <w:basedOn w:val="Normalny"/>
    <w:next w:val="Normalny"/>
    <w:autoRedefine/>
    <w:uiPriority w:val="99"/>
    <w:semiHidden/>
    <w:rsid w:val="00DC5AB5"/>
    <w:pPr>
      <w:spacing w:after="60"/>
      <w:ind w:left="1701" w:right="340" w:hanging="340"/>
    </w:pPr>
  </w:style>
  <w:style w:type="paragraph" w:styleId="Nagwekspisutreci">
    <w:name w:val="TOC Heading"/>
    <w:basedOn w:val="Nagwek1"/>
    <w:next w:val="Normalny"/>
    <w:uiPriority w:val="99"/>
    <w:semiHidden/>
    <w:qFormat/>
    <w:rsid w:val="00DC5AB5"/>
    <w:pPr>
      <w:outlineLvl w:val="9"/>
    </w:pPr>
    <w:rPr>
      <w:color w:val="474747"/>
    </w:rPr>
  </w:style>
  <w:style w:type="table" w:customStyle="1" w:styleId="UGTable">
    <w:name w:val="UG_Table"/>
    <w:basedOn w:val="Standardowy"/>
    <w:uiPriority w:val="99"/>
    <w:rsid w:val="00801300"/>
    <w:rPr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Standardowy"/>
    <w:uiPriority w:val="99"/>
    <w:rsid w:val="00801300"/>
    <w:rPr>
      <w:lang w:val="en-GB" w:eastAsia="en-GB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Standardowy"/>
    <w:uiPriority w:val="99"/>
    <w:rsid w:val="00810B38"/>
    <w:rPr>
      <w:color w:val="000000"/>
      <w:sz w:val="18"/>
    </w:rPr>
    <w:tblPr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Standardowy"/>
    <w:uiPriority w:val="99"/>
    <w:rsid w:val="00893576"/>
    <w:rPr>
      <w:color w:val="000000"/>
    </w:rPr>
    <w:tblPr>
      <w:tblInd w:w="-680" w:type="dxa"/>
      <w:tblBorders>
        <w:insideH w:val="single" w:sz="4" w:space="0" w:color="C6C6C6"/>
        <w:insideV w:val="single" w:sz="4" w:space="0" w:color="C6C6C6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Standardowy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Standardowy"/>
    <w:uiPriority w:val="99"/>
    <w:rsid w:val="0090506B"/>
    <w:tblPr>
      <w:jc w:val="center"/>
      <w:tblBorders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="Times New Roman" w:hAnsi="Times New Roman"/>
        <w:b/>
        <w:i w:val="0"/>
        <w:color w:val="474747"/>
        <w:sz w:val="24"/>
      </w:rPr>
      <w:tblPr/>
      <w:tcPr>
        <w:tcBorders>
          <w:top w:val="single" w:sz="4" w:space="0" w:color="949494"/>
          <w:left w:val="single" w:sz="4" w:space="0" w:color="949494"/>
          <w:bottom w:val="nil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</w:style>
  <w:style w:type="paragraph" w:styleId="Nagwekwykazurde">
    <w:name w:val="toa heading"/>
    <w:basedOn w:val="Normalny"/>
    <w:next w:val="Normalny"/>
    <w:uiPriority w:val="99"/>
    <w:semiHidden/>
    <w:rsid w:val="00DC5AB5"/>
    <w:pPr>
      <w:spacing w:before="120"/>
    </w:pPr>
    <w:rPr>
      <w:b/>
      <w:bCs/>
      <w:color w:val="474747"/>
      <w:szCs w:val="24"/>
    </w:rPr>
  </w:style>
  <w:style w:type="paragraph" w:customStyle="1" w:styleId="ECHRParaQuote">
    <w:name w:val="ECHR_Para_Quote"/>
    <w:aliases w:val="Ju_Quot,Para_Quote"/>
    <w:basedOn w:val="Normalny"/>
    <w:link w:val="JuQuotChar"/>
    <w:uiPriority w:val="14"/>
    <w:qFormat/>
    <w:rsid w:val="00DC5AB5"/>
    <w:pPr>
      <w:spacing w:before="120" w:after="120"/>
      <w:ind w:left="425" w:firstLine="142"/>
    </w:pPr>
    <w:rPr>
      <w:sz w:val="20"/>
    </w:rPr>
  </w:style>
  <w:style w:type="table" w:customStyle="1" w:styleId="ECHRTableSimpleBox">
    <w:name w:val="ECHR_Table_Simple_Box"/>
    <w:basedOn w:val="Standardowy"/>
    <w:uiPriority w:val="99"/>
    <w:rsid w:val="00AE354C"/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Standardowy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="Times New Roman" w:hAnsi="Times New Roman"/>
        <w:b/>
        <w:i w:val="0"/>
        <w:color w:val="474747"/>
        <w:sz w:val="24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firstCol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</w:tcPr>
    </w:tblStylePr>
  </w:style>
  <w:style w:type="table" w:customStyle="1" w:styleId="ECHRTableForInternalUse">
    <w:name w:val="ECHR_Table_For_Internal_Use"/>
    <w:basedOn w:val="Standardowy"/>
    <w:uiPriority w:val="99"/>
    <w:rsid w:val="005474E7"/>
    <w:rPr>
      <w:color w:val="636363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</w:style>
  <w:style w:type="table" w:customStyle="1" w:styleId="ECHRListTable">
    <w:name w:val="ECHR_List_Table"/>
    <w:basedOn w:val="Standardowy"/>
    <w:uiPriority w:val="99"/>
    <w:rsid w:val="00DC5AB5"/>
    <w:tblPr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b/>
        <w:color w:val="474747"/>
      </w:rPr>
      <w:tblPr/>
      <w:trPr>
        <w:tblHeader/>
      </w:trPr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  <w:style w:type="table" w:customStyle="1" w:styleId="ECHRHeaderTable">
    <w:name w:val="ECHR_Header_Table"/>
    <w:basedOn w:val="Standardowy"/>
    <w:uiPriority w:val="99"/>
    <w:rsid w:val="00661971"/>
    <w:tblPr>
      <w:tblInd w:w="-680" w:type="dxa"/>
      <w:tblBorders>
        <w:bottom w:val="single" w:sz="6" w:space="0" w:color="949494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Standardowy"/>
    <w:uiPriority w:val="99"/>
    <w:rsid w:val="00860B03"/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/>
        <w:b/>
        <w:i w:val="0"/>
        <w:color w:val="474747"/>
        <w:sz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1Horz">
      <w:rPr>
        <w:b/>
      </w:rPr>
      <w:tblPr/>
      <w:tcPr>
        <w:shd w:val="clear" w:color="auto" w:fill="DFDFDF"/>
      </w:tcPr>
    </w:tblStylePr>
  </w:style>
  <w:style w:type="table" w:customStyle="1" w:styleId="ECHRHeaderTableReduced">
    <w:name w:val="ECHR_Header_Table_Reduced"/>
    <w:basedOn w:val="Standardowy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Signed">
    <w:name w:val="Ju_Signed"/>
    <w:basedOn w:val="Normalny"/>
    <w:next w:val="JuParaLast"/>
    <w:uiPriority w:val="32"/>
    <w:qFormat/>
    <w:rsid w:val="00DC5AB5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Normalny"/>
    <w:next w:val="ECHRPara"/>
    <w:uiPriority w:val="30"/>
    <w:qFormat/>
    <w:rsid w:val="00DC5AB5"/>
    <w:pPr>
      <w:keepNext/>
      <w:keepLines/>
      <w:spacing w:before="240"/>
      <w:ind w:firstLine="284"/>
    </w:pPr>
  </w:style>
  <w:style w:type="paragraph" w:customStyle="1" w:styleId="JuCase">
    <w:name w:val="Ju_Case"/>
    <w:basedOn w:val="Normalny"/>
    <w:next w:val="ECHRPara"/>
    <w:uiPriority w:val="10"/>
    <w:rsid w:val="00DC5AB5"/>
    <w:pPr>
      <w:ind w:firstLine="284"/>
    </w:pPr>
    <w:rPr>
      <w:b/>
    </w:rPr>
  </w:style>
  <w:style w:type="paragraph" w:customStyle="1" w:styleId="JuList">
    <w:name w:val="Ju_List"/>
    <w:basedOn w:val="Normalny"/>
    <w:uiPriority w:val="28"/>
    <w:qFormat/>
    <w:rsid w:val="00DC5AB5"/>
    <w:pPr>
      <w:ind w:left="340" w:hanging="340"/>
    </w:pPr>
  </w:style>
  <w:style w:type="character" w:customStyle="1" w:styleId="JuITMark">
    <w:name w:val="Ju_ITMark"/>
    <w:uiPriority w:val="38"/>
    <w:qFormat/>
    <w:rsid w:val="00DC5AB5"/>
    <w:rPr>
      <w:color w:val="000000"/>
      <w:sz w:val="14"/>
      <w:lang w:val="pl-PL" w:eastAsia="pl-PL"/>
    </w:rPr>
  </w:style>
  <w:style w:type="character" w:styleId="Numerstrony">
    <w:name w:val="page number"/>
    <w:uiPriority w:val="99"/>
    <w:semiHidden/>
    <w:rsid w:val="00E77CB3"/>
    <w:rPr>
      <w:rFonts w:ascii="Times New Roman" w:hAnsi="Times New Roman" w:cs="Times New Roman"/>
      <w:sz w:val="18"/>
      <w:lang w:val="pl-PL" w:eastAsia="pl-PL"/>
    </w:rPr>
  </w:style>
  <w:style w:type="paragraph" w:customStyle="1" w:styleId="JuLista">
    <w:name w:val="Ju_List_a"/>
    <w:basedOn w:val="JuList"/>
    <w:uiPriority w:val="28"/>
    <w:qFormat/>
    <w:rsid w:val="00DC5AB5"/>
    <w:pPr>
      <w:ind w:left="346" w:firstLine="0"/>
    </w:pPr>
  </w:style>
  <w:style w:type="paragraph" w:customStyle="1" w:styleId="JuListi">
    <w:name w:val="Ju_List_i"/>
    <w:basedOn w:val="Normalny"/>
    <w:next w:val="JuLista"/>
    <w:uiPriority w:val="28"/>
    <w:qFormat/>
    <w:rsid w:val="00DC5AB5"/>
    <w:pPr>
      <w:ind w:left="794"/>
    </w:pPr>
  </w:style>
  <w:style w:type="character" w:styleId="Odwoaniedokomentarza">
    <w:name w:val="annotation reference"/>
    <w:uiPriority w:val="99"/>
    <w:semiHidden/>
    <w:rsid w:val="00E77CB3"/>
    <w:rPr>
      <w:sz w:val="16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77CB3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E77CB3"/>
    <w:rPr>
      <w:rFonts w:eastAsia="Times New Roman"/>
      <w:sz w:val="20"/>
      <w:lang w:val="pl-PL" w:eastAsia="pl-PL"/>
    </w:rPr>
  </w:style>
  <w:style w:type="character" w:styleId="Odwoanieprzypisukocowego">
    <w:name w:val="endnote reference"/>
    <w:uiPriority w:val="99"/>
    <w:semiHidden/>
    <w:rsid w:val="00E77CB3"/>
    <w:rPr>
      <w:rFonts w:ascii="Times New Roman" w:hAnsi="Times New Roman" w:cs="Times New Roman"/>
      <w:vertAlign w:val="superscript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7CB3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77CB3"/>
    <w:rPr>
      <w:rFonts w:eastAsia="Times New Roman"/>
      <w:sz w:val="20"/>
      <w:lang w:val="pl-PL" w:eastAsia="pl-PL"/>
    </w:rPr>
  </w:style>
  <w:style w:type="character" w:styleId="UyteHipercze">
    <w:name w:val="FollowedHyperlink"/>
    <w:uiPriority w:val="99"/>
    <w:semiHidden/>
    <w:rsid w:val="00E77CB3"/>
    <w:rPr>
      <w:rFonts w:ascii="Times New Roman" w:hAnsi="Times New Roman" w:cs="Times New Roman"/>
      <w:color w:val="800080"/>
      <w:u w:val="single"/>
      <w:lang w:val="pl-PL" w:eastAsia="pl-PL"/>
    </w:rPr>
  </w:style>
  <w:style w:type="paragraph" w:styleId="Listapunktowana">
    <w:name w:val="List Bullet"/>
    <w:basedOn w:val="Normalny"/>
    <w:uiPriority w:val="99"/>
    <w:semiHidden/>
    <w:rsid w:val="00E77CB3"/>
    <w:pPr>
      <w:numPr>
        <w:numId w:val="1"/>
      </w:numPr>
    </w:pPr>
  </w:style>
  <w:style w:type="paragraph" w:customStyle="1" w:styleId="OpiTranslation">
    <w:name w:val="Opi_Translation"/>
    <w:basedOn w:val="Normalny"/>
    <w:next w:val="OpiPara"/>
    <w:uiPriority w:val="40"/>
    <w:qFormat/>
    <w:rsid w:val="00DC5AB5"/>
    <w:pPr>
      <w:jc w:val="center"/>
      <w:outlineLvl w:val="0"/>
    </w:pPr>
    <w:rPr>
      <w:i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77C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7CB3"/>
    <w:rPr>
      <w:rFonts w:eastAsia="Times New Roman"/>
      <w:b/>
      <w:bCs/>
      <w:sz w:val="20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E77CB3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link w:val="Mapadokumentu"/>
    <w:uiPriority w:val="99"/>
    <w:semiHidden/>
    <w:rsid w:val="00E77CB3"/>
    <w:rPr>
      <w:rFonts w:ascii="Tahoma" w:eastAsia="Times New Roman" w:hAnsi="Tahoma" w:cs="Tahoma"/>
      <w:sz w:val="20"/>
      <w:lang w:val="pl-PL" w:eastAsia="pl-PL"/>
    </w:rPr>
  </w:style>
  <w:style w:type="paragraph" w:customStyle="1" w:styleId="DecHTitle">
    <w:name w:val="Dec_H_Title"/>
    <w:basedOn w:val="ECHRTitleCentre1"/>
    <w:uiPriority w:val="7"/>
    <w:rsid w:val="00DC5AB5"/>
  </w:style>
  <w:style w:type="paragraph" w:styleId="Podtytu">
    <w:name w:val="Subtitle"/>
    <w:basedOn w:val="Normalny"/>
    <w:next w:val="Normalny"/>
    <w:link w:val="PodtytuZnak"/>
    <w:uiPriority w:val="99"/>
    <w:semiHidden/>
    <w:qFormat/>
    <w:rsid w:val="00DC5AB5"/>
    <w:pPr>
      <w:spacing w:after="600"/>
    </w:pPr>
    <w:rPr>
      <w:i/>
      <w:iCs/>
      <w:spacing w:val="13"/>
      <w:szCs w:val="24"/>
      <w:lang w:bidi="en-US"/>
    </w:rPr>
  </w:style>
  <w:style w:type="character" w:customStyle="1" w:styleId="PodtytuZnak">
    <w:name w:val="Podtytuł Znak"/>
    <w:link w:val="Podtytu"/>
    <w:uiPriority w:val="99"/>
    <w:semiHidden/>
    <w:rsid w:val="00DC5AB5"/>
    <w:rPr>
      <w:rFonts w:ascii="Times New Roman" w:eastAsia="Times New Roman" w:hAnsi="Times New Roman" w:cs="Times New Roman"/>
      <w:i/>
      <w:iCs/>
      <w:spacing w:val="13"/>
      <w:sz w:val="24"/>
      <w:szCs w:val="24"/>
      <w:lang w:val="pl-PL" w:eastAsia="pl-PL" w:bidi="en-US"/>
    </w:rPr>
  </w:style>
  <w:style w:type="numbering" w:styleId="111111">
    <w:name w:val="Outline List 2"/>
    <w:basedOn w:val="Bezlisty"/>
    <w:uiPriority w:val="99"/>
    <w:semiHidden/>
    <w:rsid w:val="00E77CB3"/>
  </w:style>
  <w:style w:type="numbering" w:styleId="1ai">
    <w:name w:val="Outline List 1"/>
    <w:basedOn w:val="Bezlisty"/>
    <w:uiPriority w:val="99"/>
    <w:semiHidden/>
    <w:rsid w:val="00E77CB3"/>
  </w:style>
  <w:style w:type="numbering" w:styleId="Artykusekcja">
    <w:name w:val="Outline List 3"/>
    <w:basedOn w:val="Bezlisty"/>
    <w:uiPriority w:val="99"/>
    <w:semiHidden/>
    <w:rsid w:val="00E77CB3"/>
  </w:style>
  <w:style w:type="paragraph" w:styleId="Bibliografia">
    <w:name w:val="Bibliography"/>
    <w:basedOn w:val="Normalny"/>
    <w:next w:val="Normalny"/>
    <w:uiPriority w:val="99"/>
    <w:semiHidden/>
    <w:unhideWhenUsed/>
    <w:rsid w:val="00E77CB3"/>
  </w:style>
  <w:style w:type="paragraph" w:styleId="Tekstblokowy">
    <w:name w:val="Block Text"/>
    <w:basedOn w:val="Normalny"/>
    <w:uiPriority w:val="99"/>
    <w:semiHidden/>
    <w:rsid w:val="00E77CB3"/>
    <w:pPr>
      <w:pBdr>
        <w:top w:val="single" w:sz="2" w:space="10" w:color="0072BC" w:frame="1"/>
        <w:left w:val="single" w:sz="2" w:space="10" w:color="0072BC" w:frame="1"/>
        <w:bottom w:val="single" w:sz="2" w:space="10" w:color="0072BC" w:frame="1"/>
        <w:right w:val="single" w:sz="2" w:space="10" w:color="0072BC" w:frame="1"/>
      </w:pBdr>
      <w:ind w:left="1152" w:right="1152"/>
    </w:pPr>
    <w:rPr>
      <w:i/>
      <w:iCs/>
      <w:color w:val="0072BC"/>
    </w:rPr>
  </w:style>
  <w:style w:type="paragraph" w:styleId="Tekstpodstawowy">
    <w:name w:val="Body Text"/>
    <w:basedOn w:val="Normalny"/>
    <w:link w:val="TekstpodstawowyZnak"/>
    <w:uiPriority w:val="99"/>
    <w:semiHidden/>
    <w:rsid w:val="00E77CB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77CB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77C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7CB3"/>
    <w:rPr>
      <w:rFonts w:eastAsia="Times New Roman"/>
      <w:sz w:val="16"/>
      <w:szCs w:val="16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77CB3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77CB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E77CB3"/>
    <w:pPr>
      <w:spacing w:after="0"/>
      <w:ind w:left="360"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77C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77C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77CB3"/>
    <w:rPr>
      <w:rFonts w:eastAsia="Times New Roman"/>
      <w:sz w:val="16"/>
      <w:szCs w:val="16"/>
      <w:lang w:val="pl-PL" w:eastAsia="pl-PL"/>
    </w:rPr>
  </w:style>
  <w:style w:type="paragraph" w:styleId="Legenda">
    <w:name w:val="caption"/>
    <w:basedOn w:val="Normalny"/>
    <w:next w:val="Normalny"/>
    <w:uiPriority w:val="99"/>
    <w:semiHidden/>
    <w:qFormat/>
    <w:rsid w:val="00E77CB3"/>
    <w:pPr>
      <w:spacing w:after="200"/>
    </w:pPr>
    <w:rPr>
      <w:b/>
      <w:bCs/>
      <w:color w:val="0072BC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rsid w:val="00E77CB3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E77CB3"/>
    <w:rPr>
      <w:rFonts w:eastAsia="Times New Roman"/>
      <w:sz w:val="24"/>
      <w:lang w:val="pl-PL" w:eastAsia="pl-PL"/>
    </w:rPr>
  </w:style>
  <w:style w:type="table" w:styleId="Kolorowasiatka">
    <w:name w:val="Colorful Grid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0072BC"/>
      </w:rPr>
      <w:tblPr/>
      <w:tcPr>
        <w:shd w:val="clear" w:color="auto" w:fill="000000"/>
      </w:tcPr>
    </w:tblStylePr>
    <w:tblStylePr w:type="lastCol">
      <w:rPr>
        <w:color w:val="0072BC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BEE5FF"/>
    </w:tcPr>
    <w:tblStylePr w:type="firstRow">
      <w:rPr>
        <w:b/>
        <w:bCs/>
      </w:rPr>
      <w:tblPr/>
      <w:tcPr>
        <w:shd w:val="clear" w:color="auto" w:fill="7ECBFF"/>
      </w:tcPr>
    </w:tblStylePr>
    <w:tblStylePr w:type="lastRow">
      <w:rPr>
        <w:b/>
        <w:bCs/>
        <w:color w:val="000000"/>
      </w:rPr>
      <w:tblPr/>
      <w:tcPr>
        <w:shd w:val="clear" w:color="auto" w:fill="7ECBFF"/>
      </w:tcPr>
    </w:tblStylePr>
    <w:tblStylePr w:type="firstCol">
      <w:rPr>
        <w:color w:val="0072BC"/>
      </w:rPr>
      <w:tblPr/>
      <w:tcPr>
        <w:shd w:val="clear" w:color="auto" w:fill="00548C"/>
      </w:tcPr>
    </w:tblStylePr>
    <w:tblStylePr w:type="lastCol">
      <w:rPr>
        <w:color w:val="0072BC"/>
      </w:rPr>
      <w:tblPr/>
      <w:tcPr>
        <w:shd w:val="clear" w:color="auto" w:fill="00548C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styleId="Kolorowasiatkaakcent2">
    <w:name w:val="Colorful Grid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FFBFBF"/>
    </w:tcPr>
    <w:tblStylePr w:type="firstRow">
      <w:rPr>
        <w:b/>
        <w:bCs/>
      </w:rPr>
      <w:tblPr/>
      <w:tcPr>
        <w:shd w:val="clear" w:color="auto" w:fill="FF7F7F"/>
      </w:tcPr>
    </w:tblStylePr>
    <w:tblStylePr w:type="lastRow">
      <w:rPr>
        <w:b/>
        <w:bCs/>
        <w:color w:val="000000"/>
      </w:rPr>
      <w:tblPr/>
      <w:tcPr>
        <w:shd w:val="clear" w:color="auto" w:fill="FF7F7F"/>
      </w:tcPr>
    </w:tblStylePr>
    <w:tblStylePr w:type="firstCol">
      <w:rPr>
        <w:color w:val="0072BC"/>
      </w:rPr>
      <w:tblPr/>
      <w:tcPr>
        <w:shd w:val="clear" w:color="auto" w:fill="8F0000"/>
      </w:tcPr>
    </w:tblStylePr>
    <w:tblStylePr w:type="lastCol">
      <w:rPr>
        <w:color w:val="0072BC"/>
      </w:rPr>
      <w:tblPr/>
      <w:tcPr>
        <w:shd w:val="clear" w:color="auto" w:fill="8F0000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styleId="Kolorowasiatkaakcent3">
    <w:name w:val="Colorful Grid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Kolorowasiatkaakcent4">
    <w:name w:val="Colorful Grid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0072BC"/>
      </w:rPr>
      <w:tblPr/>
      <w:tcPr>
        <w:shd w:val="clear" w:color="auto" w:fill="707070"/>
      </w:tcPr>
    </w:tblStylePr>
    <w:tblStylePr w:type="lastCol">
      <w:rPr>
        <w:color w:val="0072BC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styleId="Kolorowasiatkaakcent5">
    <w:name w:val="Colorful Grid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Kolorowasiatkaakcent6">
    <w:name w:val="Colorful Grid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0072BC"/>
      </w:rPr>
      <w:tblPr/>
      <w:tcPr>
        <w:shd w:val="clear" w:color="auto" w:fill="393939"/>
      </w:tcPr>
    </w:tblStylePr>
    <w:tblStylePr w:type="lastCol">
      <w:rPr>
        <w:color w:val="0072BC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styleId="Kolorowalista">
    <w:name w:val="Colorful List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DFF2F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shd w:val="clear" w:color="auto" w:fill="BEE5FF"/>
      </w:tcPr>
    </w:tblStylePr>
  </w:style>
  <w:style w:type="table" w:styleId="Kolorowalistaakcent2">
    <w:name w:val="Colorful List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FFDFD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shd w:val="clear" w:color="auto" w:fill="FFBFBF"/>
      </w:tcPr>
    </w:tblStylePr>
  </w:style>
  <w:style w:type="table" w:styleId="Kolorowalistaakcent3">
    <w:name w:val="Colorful List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styleId="Kolorowalistaakcent4">
    <w:name w:val="Colorful List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F4F4F4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styleId="Kolorowalistaakcent5">
    <w:name w:val="Colorful List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styleId="Kolorowalistaakcent6">
    <w:name w:val="Colorful List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EDEDED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styleId="Kolorowecieniowanie">
    <w:name w:val="Colorful Shading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72BC"/>
        <w:insideV w:val="single" w:sz="4" w:space="0" w:color="0072BC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0072BC"/>
        <w:bottom w:val="single" w:sz="4" w:space="0" w:color="0072BC"/>
        <w:right w:val="single" w:sz="4" w:space="0" w:color="0072BC"/>
        <w:insideH w:val="single" w:sz="4" w:space="0" w:color="0072BC"/>
        <w:insideV w:val="single" w:sz="4" w:space="0" w:color="0072BC"/>
      </w:tblBorders>
    </w:tblPr>
    <w:tcPr>
      <w:shd w:val="clear" w:color="auto" w:fill="DFF2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447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4470"/>
          <w:insideV w:val="nil"/>
        </w:tcBorders>
        <w:shd w:val="clear" w:color="auto" w:fill="00447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/>
      </w:tcPr>
    </w:tblStylePr>
    <w:tblStylePr w:type="band1Vert">
      <w:tblPr/>
      <w:tcPr>
        <w:shd w:val="clear" w:color="auto" w:fill="7ECBFF"/>
      </w:tcPr>
    </w:tblStylePr>
    <w:tblStylePr w:type="band1Horz">
      <w:tblPr/>
      <w:tcPr>
        <w:shd w:val="clear" w:color="auto" w:fill="5EB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0072BC"/>
        <w:insideV w:val="single" w:sz="4" w:space="0" w:color="0072BC"/>
      </w:tblBorders>
    </w:tblPr>
    <w:tcPr>
      <w:shd w:val="clear" w:color="auto" w:fill="FFDFD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73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730000"/>
          <w:insideV w:val="nil"/>
        </w:tcBorders>
        <w:shd w:val="clear" w:color="auto" w:fill="73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/>
      </w:tcPr>
    </w:tblStylePr>
    <w:tblStylePr w:type="band1Vert">
      <w:tblPr/>
      <w:tcPr>
        <w:shd w:val="clear" w:color="auto" w:fill="FF7F7F"/>
      </w:tcPr>
    </w:tblStylePr>
    <w:tblStylePr w:type="band1Horz">
      <w:tblPr/>
      <w:tcPr>
        <w:shd w:val="clear" w:color="auto" w:fill="FF606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969696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</w:style>
  <w:style w:type="table" w:styleId="Kolorowecieniowanieakcent4">
    <w:name w:val="Colorful Shading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5F5F5F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0072BC"/>
        <w:insideV w:val="single" w:sz="4" w:space="0" w:color="0072BC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5A5A5A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0072BC"/>
        <w:insideV w:val="single" w:sz="4" w:space="0" w:color="0072BC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2E2E2E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iemnalista">
    <w:name w:val="Dark List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0072B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385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548C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</w:style>
  <w:style w:type="table" w:styleId="Ciemnalistaakcent2">
    <w:name w:val="Dark List Accent 2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C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5F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8F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</w:style>
  <w:style w:type="table" w:styleId="Ciemnalistaakcent3">
    <w:name w:val="Dark List Accent 3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styleId="Ciemnalistaakcent4">
    <w:name w:val="Dark List Accent 4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styleId="Ciemnalistaakcent5">
    <w:name w:val="Dark List Accent 5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styleId="Ciemnalistaakcent6">
    <w:name w:val="Dark List Accent 6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rsid w:val="00E77CB3"/>
  </w:style>
  <w:style w:type="character" w:customStyle="1" w:styleId="DataZnak">
    <w:name w:val="Data Znak"/>
    <w:link w:val="Data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Podpise-mail">
    <w:name w:val="E-mail Signature"/>
    <w:basedOn w:val="Normalny"/>
    <w:link w:val="Podpise-mailZnak"/>
    <w:uiPriority w:val="99"/>
    <w:semiHidden/>
    <w:rsid w:val="00E77CB3"/>
  </w:style>
  <w:style w:type="character" w:customStyle="1" w:styleId="Podpise-mailZnak">
    <w:name w:val="Podpis e-mail Znak"/>
    <w:link w:val="Podpise-mail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Adresnakopercie">
    <w:name w:val="envelope address"/>
    <w:basedOn w:val="Normalny"/>
    <w:uiPriority w:val="99"/>
    <w:semiHidden/>
    <w:rsid w:val="00E77CB3"/>
    <w:pPr>
      <w:framePr w:w="7938" w:h="1985" w:hRule="exact" w:hSpace="141" w:wrap="auto" w:hAnchor="page" w:xAlign="center" w:yAlign="bottom"/>
      <w:ind w:left="2835"/>
    </w:pPr>
    <w:rPr>
      <w:szCs w:val="24"/>
    </w:rPr>
  </w:style>
  <w:style w:type="paragraph" w:styleId="Adreszwrotnynakopercie">
    <w:name w:val="envelope return"/>
    <w:basedOn w:val="Normalny"/>
    <w:uiPriority w:val="99"/>
    <w:semiHidden/>
    <w:rsid w:val="00E77CB3"/>
    <w:rPr>
      <w:sz w:val="20"/>
      <w:szCs w:val="20"/>
    </w:rPr>
  </w:style>
  <w:style w:type="character" w:styleId="HTML-akronim">
    <w:name w:val="HTML Acronym"/>
    <w:basedOn w:val="Domylnaczcionkaakapitu"/>
    <w:uiPriority w:val="99"/>
    <w:semiHidden/>
    <w:rsid w:val="00E77CB3"/>
  </w:style>
  <w:style w:type="paragraph" w:styleId="HTML-adres">
    <w:name w:val="HTML Address"/>
    <w:basedOn w:val="Normalny"/>
    <w:link w:val="HTML-adresZnak"/>
    <w:uiPriority w:val="99"/>
    <w:semiHidden/>
    <w:rsid w:val="00E77CB3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E77CB3"/>
    <w:rPr>
      <w:rFonts w:eastAsia="Times New Roman"/>
      <w:i/>
      <w:iCs/>
      <w:sz w:val="24"/>
      <w:lang w:val="pl-PL" w:eastAsia="pl-PL"/>
    </w:rPr>
  </w:style>
  <w:style w:type="character" w:styleId="HTML-cytat">
    <w:name w:val="HTML Cite"/>
    <w:uiPriority w:val="99"/>
    <w:semiHidden/>
    <w:rsid w:val="00E77CB3"/>
    <w:rPr>
      <w:i/>
      <w:iCs/>
      <w:lang w:val="pl-PL" w:eastAsia="pl-PL"/>
    </w:rPr>
  </w:style>
  <w:style w:type="character" w:styleId="HTML-kod">
    <w:name w:val="HTML Code"/>
    <w:uiPriority w:val="99"/>
    <w:semiHidden/>
    <w:rsid w:val="00E77CB3"/>
    <w:rPr>
      <w:rFonts w:ascii="Consolas" w:hAnsi="Consolas" w:cs="Consolas"/>
      <w:sz w:val="20"/>
      <w:szCs w:val="20"/>
      <w:lang w:val="pl-PL" w:eastAsia="pl-PL"/>
    </w:rPr>
  </w:style>
  <w:style w:type="character" w:styleId="HTML-definicja">
    <w:name w:val="HTML Definition"/>
    <w:uiPriority w:val="99"/>
    <w:semiHidden/>
    <w:rsid w:val="00E77CB3"/>
    <w:rPr>
      <w:i/>
      <w:iCs/>
      <w:lang w:val="pl-PL" w:eastAsia="pl-PL"/>
    </w:rPr>
  </w:style>
  <w:style w:type="character" w:styleId="HTML-klawiatura">
    <w:name w:val="HTML Keyboard"/>
    <w:uiPriority w:val="99"/>
    <w:semiHidden/>
    <w:rsid w:val="00E77CB3"/>
    <w:rPr>
      <w:rFonts w:ascii="Consolas" w:hAnsi="Consolas" w:cs="Consolas"/>
      <w:sz w:val="20"/>
      <w:szCs w:val="20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E77CB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77CB3"/>
    <w:rPr>
      <w:rFonts w:ascii="Consolas" w:eastAsia="Times New Roman" w:hAnsi="Consolas" w:cs="Consolas"/>
      <w:sz w:val="20"/>
      <w:szCs w:val="20"/>
      <w:lang w:val="pl-PL" w:eastAsia="pl-PL"/>
    </w:rPr>
  </w:style>
  <w:style w:type="character" w:styleId="HTML-przykad">
    <w:name w:val="HTML Sample"/>
    <w:uiPriority w:val="99"/>
    <w:semiHidden/>
    <w:rsid w:val="00E77CB3"/>
    <w:rPr>
      <w:rFonts w:ascii="Consolas" w:hAnsi="Consolas" w:cs="Consolas"/>
      <w:sz w:val="24"/>
      <w:szCs w:val="24"/>
      <w:lang w:val="pl-PL" w:eastAsia="pl-PL"/>
    </w:rPr>
  </w:style>
  <w:style w:type="character" w:styleId="HTML-staaszeroko">
    <w:name w:val="HTML Typewriter"/>
    <w:uiPriority w:val="99"/>
    <w:semiHidden/>
    <w:rsid w:val="00E77CB3"/>
    <w:rPr>
      <w:rFonts w:ascii="Consolas" w:hAnsi="Consolas" w:cs="Consolas"/>
      <w:sz w:val="20"/>
      <w:szCs w:val="20"/>
      <w:lang w:val="pl-PL" w:eastAsia="pl-PL"/>
    </w:rPr>
  </w:style>
  <w:style w:type="character" w:styleId="HTML-zmienna">
    <w:name w:val="HTML Variable"/>
    <w:uiPriority w:val="99"/>
    <w:semiHidden/>
    <w:rsid w:val="00E77CB3"/>
    <w:rPr>
      <w:i/>
      <w:iCs/>
      <w:lang w:val="pl-PL"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E77CB3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E77CB3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E77CB3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E77CB3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E77CB3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E77CB3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E77CB3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E77CB3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E77CB3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E77CB3"/>
    <w:rPr>
      <w:b/>
      <w:bCs/>
    </w:rPr>
  </w:style>
  <w:style w:type="table" w:styleId="Jasnasiatka">
    <w:name w:val="Light Grid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1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  <w:shd w:val="clear" w:color="auto" w:fill="AFD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  <w:shd w:val="clear" w:color="auto" w:fill="AFDFFF"/>
      </w:tcPr>
    </w:tblStylePr>
    <w:tblStylePr w:type="band2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1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  <w:shd w:val="clear" w:color="auto" w:fill="FFB0B0"/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  <w:shd w:val="clear" w:color="auto" w:fill="FFB0B0"/>
      </w:tcPr>
    </w:tblStylePr>
    <w:tblStylePr w:type="band2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styleId="Jasnalista">
    <w:name w:val="Light List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styleId="Jasnecieniowanie">
    <w:name w:val="Light Shading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semiHidden/>
    <w:rsid w:val="00E77CB3"/>
    <w:rPr>
      <w:color w:val="00548C"/>
      <w:lang w:val="fr-FR" w:eastAsia="fr-FR"/>
    </w:rPr>
    <w:tblPr>
      <w:tblStyleRowBandSize w:val="1"/>
      <w:tblStyleColBandSize w:val="1"/>
      <w:tblBorders>
        <w:top w:val="single" w:sz="8" w:space="0" w:color="0072BC"/>
        <w:bottom w:val="single" w:sz="8" w:space="0" w:color="0072B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</w:style>
  <w:style w:type="table" w:styleId="Jasnecieniowanieakcent2">
    <w:name w:val="Light Shading Accent 2"/>
    <w:basedOn w:val="Standardowy"/>
    <w:uiPriority w:val="99"/>
    <w:semiHidden/>
    <w:rsid w:val="00E77CB3"/>
    <w:rPr>
      <w:color w:val="8F0000"/>
      <w:lang w:val="fr-FR" w:eastAsia="fr-FR"/>
    </w:rPr>
    <w:tblPr>
      <w:tblStyleRowBandSize w:val="1"/>
      <w:tblStyleColBandSize w:val="1"/>
      <w:tblBorders>
        <w:top w:val="single" w:sz="8" w:space="0" w:color="C00000"/>
        <w:bottom w:val="single" w:sz="8" w:space="0" w:color="C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</w:style>
  <w:style w:type="table" w:styleId="Jasnecieniowanieakcent3">
    <w:name w:val="Light Shading Accent 3"/>
    <w:basedOn w:val="Standardowy"/>
    <w:uiPriority w:val="99"/>
    <w:semiHidden/>
    <w:rsid w:val="00E77CB3"/>
    <w:rPr>
      <w:color w:val="474747"/>
      <w:lang w:val="fr-FR"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styleId="Jasnecieniowanieakcent4">
    <w:name w:val="Light Shading Accent 4"/>
    <w:basedOn w:val="Standardowy"/>
    <w:uiPriority w:val="99"/>
    <w:semiHidden/>
    <w:rsid w:val="00E77CB3"/>
    <w:rPr>
      <w:color w:val="707070"/>
      <w:lang w:val="fr-FR" w:eastAsia="fr-FR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styleId="Jasnecieniowanieakcent5">
    <w:name w:val="Light Shading Accent 5"/>
    <w:basedOn w:val="Standardowy"/>
    <w:uiPriority w:val="99"/>
    <w:semiHidden/>
    <w:rsid w:val="00E77CB3"/>
    <w:rPr>
      <w:color w:val="474747"/>
      <w:lang w:val="fr-FR"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styleId="Jasnecieniowanieakcent6">
    <w:name w:val="Light Shading Accent 6"/>
    <w:basedOn w:val="Standardowy"/>
    <w:uiPriority w:val="99"/>
    <w:semiHidden/>
    <w:rsid w:val="00E77CB3"/>
    <w:rPr>
      <w:color w:val="393939"/>
      <w:lang w:val="fr-FR" w:eastAsia="fr-FR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Numerwiersza">
    <w:name w:val="line number"/>
    <w:basedOn w:val="Domylnaczcionkaakapitu"/>
    <w:uiPriority w:val="99"/>
    <w:semiHidden/>
    <w:rsid w:val="00E77CB3"/>
  </w:style>
  <w:style w:type="paragraph" w:styleId="Lista">
    <w:name w:val="List"/>
    <w:basedOn w:val="Normalny"/>
    <w:uiPriority w:val="99"/>
    <w:semiHidden/>
    <w:rsid w:val="00E77CB3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E77CB3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rsid w:val="00E77CB3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E77CB3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rsid w:val="00E77CB3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rsid w:val="00E77CB3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semiHidden/>
    <w:rsid w:val="00E77CB3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semiHidden/>
    <w:rsid w:val="00E77CB3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semiHidden/>
    <w:rsid w:val="00E77CB3"/>
    <w:pPr>
      <w:numPr>
        <w:numId w:val="8"/>
      </w:numPr>
      <w:contextualSpacing/>
    </w:pPr>
  </w:style>
  <w:style w:type="paragraph" w:styleId="Lista-kontynuacja">
    <w:name w:val="List Continue"/>
    <w:basedOn w:val="Normalny"/>
    <w:uiPriority w:val="99"/>
    <w:semiHidden/>
    <w:rsid w:val="00E77CB3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rsid w:val="00E77CB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rsid w:val="00E77CB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rsid w:val="00E77CB3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rsid w:val="00E77CB3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rsid w:val="00E77CB3"/>
    <w:pPr>
      <w:numPr>
        <w:numId w:val="9"/>
      </w:numPr>
      <w:contextualSpacing/>
    </w:pPr>
  </w:style>
  <w:style w:type="paragraph" w:styleId="Listanumerowana2">
    <w:name w:val="List Number 2"/>
    <w:basedOn w:val="Normalny"/>
    <w:uiPriority w:val="99"/>
    <w:semiHidden/>
    <w:rsid w:val="00E77CB3"/>
    <w:pPr>
      <w:numPr>
        <w:numId w:val="10"/>
      </w:numPr>
      <w:contextualSpacing/>
    </w:pPr>
  </w:style>
  <w:style w:type="paragraph" w:styleId="Listanumerowana3">
    <w:name w:val="List Number 3"/>
    <w:basedOn w:val="Normalny"/>
    <w:uiPriority w:val="99"/>
    <w:semiHidden/>
    <w:rsid w:val="00E77CB3"/>
    <w:pPr>
      <w:numPr>
        <w:numId w:val="11"/>
      </w:numPr>
      <w:contextualSpacing/>
    </w:pPr>
  </w:style>
  <w:style w:type="paragraph" w:styleId="Listanumerowana4">
    <w:name w:val="List Number 4"/>
    <w:basedOn w:val="Normalny"/>
    <w:uiPriority w:val="99"/>
    <w:semiHidden/>
    <w:rsid w:val="00E77CB3"/>
    <w:pPr>
      <w:numPr>
        <w:numId w:val="12"/>
      </w:numPr>
      <w:contextualSpacing/>
    </w:pPr>
  </w:style>
  <w:style w:type="paragraph" w:styleId="Listanumerowana5">
    <w:name w:val="List Number 5"/>
    <w:basedOn w:val="Normalny"/>
    <w:uiPriority w:val="99"/>
    <w:semiHidden/>
    <w:rsid w:val="00E77CB3"/>
    <w:pPr>
      <w:numPr>
        <w:numId w:val="13"/>
      </w:numPr>
      <w:contextualSpacing/>
    </w:pPr>
  </w:style>
  <w:style w:type="paragraph" w:styleId="Tekstmakra">
    <w:name w:val="macro"/>
    <w:link w:val="TekstmakraZnak"/>
    <w:uiPriority w:val="99"/>
    <w:semiHidden/>
    <w:rsid w:val="00E77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TekstmakraZnak">
    <w:name w:val="Tekst makra Znak"/>
    <w:link w:val="Tekstmakra"/>
    <w:uiPriority w:val="99"/>
    <w:semiHidden/>
    <w:rsid w:val="00E77CB3"/>
    <w:rPr>
      <w:rFonts w:ascii="Consolas" w:eastAsia="Times New Roman" w:hAnsi="Consolas" w:cs="Consolas"/>
      <w:sz w:val="20"/>
      <w:szCs w:val="20"/>
      <w:lang w:val="pl-PL" w:eastAsia="pl-PL"/>
    </w:rPr>
  </w:style>
  <w:style w:type="table" w:styleId="redniasiatka1">
    <w:name w:val="Medium Grid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  <w:insideV w:val="single" w:sz="8" w:space="0" w:color="0D9FFF"/>
      </w:tblBorders>
    </w:tblPr>
    <w:tcPr>
      <w:shd w:val="clear" w:color="auto" w:fill="AFD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styleId="redniasiatka1akcent2">
    <w:name w:val="Medium Grid 1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  <w:insideV w:val="single" w:sz="8" w:space="0" w:color="FF1010"/>
      </w:tblBorders>
    </w:tblPr>
    <w:tcPr>
      <w:shd w:val="clear" w:color="auto" w:fill="FFB0B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styleId="redniasiatka1akcent3">
    <w:name w:val="Medium Grid 1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redniasiatka1akcent4">
    <w:name w:val="Medium Grid 1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styleId="redniasiatka1akcent5">
    <w:name w:val="Medium Grid 1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redniasiatka1akcent6">
    <w:name w:val="Medium Grid 1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styleId="redniasiatka2">
    <w:name w:val="Medium Grid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0072BC"/>
      </w:tcPr>
    </w:tblStylePr>
  </w:style>
  <w:style w:type="table" w:styleId="redniasiatka2akcent1">
    <w:name w:val="Medium Grid 2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cPr>
      <w:shd w:val="clear" w:color="auto" w:fill="AFDFFF"/>
    </w:tcPr>
    <w:tblStylePr w:type="firstRow">
      <w:rPr>
        <w:b/>
        <w:bCs/>
        <w:color w:val="000000"/>
      </w:rPr>
      <w:tblPr/>
      <w:tcPr>
        <w:shd w:val="clear" w:color="auto" w:fill="DFF2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tcBorders>
          <w:insideH w:val="single" w:sz="6" w:space="0" w:color="0072BC"/>
          <w:insideV w:val="single" w:sz="6" w:space="0" w:color="0072BC"/>
        </w:tcBorders>
        <w:shd w:val="clear" w:color="auto" w:fill="5EBFFF"/>
      </w:tcPr>
    </w:tblStylePr>
    <w:tblStylePr w:type="nwCell">
      <w:tblPr/>
      <w:tcPr>
        <w:shd w:val="clear" w:color="auto" w:fill="0072BC"/>
      </w:tcPr>
    </w:tblStylePr>
  </w:style>
  <w:style w:type="table" w:styleId="redniasiatka2akcent2">
    <w:name w:val="Medium Grid 2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cPr>
      <w:shd w:val="clear" w:color="auto" w:fill="FFB0B0"/>
    </w:tcPr>
    <w:tblStylePr w:type="firstRow">
      <w:rPr>
        <w:b/>
        <w:bCs/>
        <w:color w:val="000000"/>
      </w:rPr>
      <w:tblPr/>
      <w:tcPr>
        <w:shd w:val="clear" w:color="auto" w:fill="FFDFD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tcBorders>
          <w:insideH w:val="single" w:sz="6" w:space="0" w:color="C00000"/>
          <w:insideV w:val="single" w:sz="6" w:space="0" w:color="C00000"/>
        </w:tcBorders>
        <w:shd w:val="clear" w:color="auto" w:fill="FF6060"/>
      </w:tcPr>
    </w:tblStylePr>
    <w:tblStylePr w:type="nwCell">
      <w:tblPr/>
      <w:tcPr>
        <w:shd w:val="clear" w:color="auto" w:fill="0072BC"/>
      </w:tcPr>
    </w:tblStylePr>
  </w:style>
  <w:style w:type="table" w:styleId="redniasiatka2akcent3">
    <w:name w:val="Medium Grid 2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styleId="redniasiatka2akcent4">
    <w:name w:val="Medium Grid 2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0072BC"/>
      </w:tcPr>
    </w:tblStylePr>
  </w:style>
  <w:style w:type="table" w:styleId="redniasiatka2akcent5">
    <w:name w:val="Medium Grid 2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styleId="redniasiatka2akcent6">
    <w:name w:val="Medium Grid 2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0072BC"/>
      </w:tcPr>
    </w:tblStylePr>
  </w:style>
  <w:style w:type="table" w:styleId="redniasiatka3">
    <w:name w:val="Medium Grid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AFDFFF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5EB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5EBFFF"/>
      </w:tcPr>
    </w:tblStylePr>
  </w:style>
  <w:style w:type="table" w:styleId="redniasiatka3akcent2">
    <w:name w:val="Medium Grid 3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FFB0B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FF606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FF6060"/>
      </w:tcPr>
    </w:tblStylePr>
  </w:style>
  <w:style w:type="table" w:styleId="redniasiatka3akcent3">
    <w:name w:val="Medium Grid 3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styleId="redniasiatka3akcent4">
    <w:name w:val="Medium Grid 3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CACACA"/>
      </w:tcPr>
    </w:tblStylePr>
  </w:style>
  <w:style w:type="table" w:styleId="redniasiatka3akcent5">
    <w:name w:val="Medium Grid 3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styleId="redniasiatka3akcent6">
    <w:name w:val="Medium Grid 3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6A6A6"/>
      </w:tcPr>
    </w:tblStylePr>
  </w:style>
  <w:style w:type="table" w:styleId="rednialista1">
    <w:name w:val="Medium Lis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72BC"/>
        <w:bottom w:val="single" w:sz="8" w:space="0" w:color="0072BC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72BC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band1Vert">
      <w:tblPr/>
      <w:tcPr>
        <w:shd w:val="clear" w:color="auto" w:fill="AFDFFF"/>
      </w:tcPr>
    </w:tblStylePr>
    <w:tblStylePr w:type="band1Horz">
      <w:tblPr/>
      <w:tcPr>
        <w:shd w:val="clear" w:color="auto" w:fill="AFDFFF"/>
      </w:tcPr>
    </w:tblStylePr>
  </w:style>
  <w:style w:type="table" w:styleId="rednialista1akcent2">
    <w:name w:val="Medium List 1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C00000"/>
        <w:bottom w:val="single" w:sz="8" w:space="0" w:color="C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band1Vert">
      <w:tblPr/>
      <w:tcPr>
        <w:shd w:val="clear" w:color="auto" w:fill="FFB0B0"/>
      </w:tcPr>
    </w:tblStylePr>
    <w:tblStylePr w:type="band1Horz">
      <w:tblPr/>
      <w:tcPr>
        <w:shd w:val="clear" w:color="auto" w:fill="FFB0B0"/>
      </w:tcPr>
    </w:tblStylePr>
  </w:style>
  <w:style w:type="table" w:styleId="rednialista1akcent3">
    <w:name w:val="Medium List 1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styleId="rednialista1akcent4">
    <w:name w:val="Medium List 1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rednialista1akcent5">
    <w:name w:val="Medium List 1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styleId="rednialista1akcent6">
    <w:name w:val="Medium List 1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styleId="rednialista2">
    <w:name w:val="Medium Lis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C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C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969696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4D4D4D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rsid w:val="00E77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E77CB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rsid w:val="00E77CB3"/>
    <w:rPr>
      <w:szCs w:val="24"/>
    </w:rPr>
  </w:style>
  <w:style w:type="paragraph" w:styleId="Wcicienormalne">
    <w:name w:val="Normal Indent"/>
    <w:basedOn w:val="Normalny"/>
    <w:uiPriority w:val="99"/>
    <w:semiHidden/>
    <w:rsid w:val="00E77CB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E77CB3"/>
  </w:style>
  <w:style w:type="character" w:customStyle="1" w:styleId="NagweknotatkiZnak">
    <w:name w:val="Nagłówek notatki Znak"/>
    <w:link w:val="Nagweknotatki"/>
    <w:uiPriority w:val="99"/>
    <w:semiHidden/>
    <w:rsid w:val="00E77CB3"/>
    <w:rPr>
      <w:rFonts w:eastAsia="Times New Roman"/>
      <w:sz w:val="24"/>
      <w:lang w:val="pl-PL" w:eastAsia="pl-PL"/>
    </w:rPr>
  </w:style>
  <w:style w:type="character" w:styleId="Tekstzastpczy">
    <w:name w:val="Placeholder Text"/>
    <w:uiPriority w:val="99"/>
    <w:semiHidden/>
    <w:rsid w:val="00E77CB3"/>
    <w:rPr>
      <w:color w:val="808080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rsid w:val="00E77CB3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E77CB3"/>
    <w:rPr>
      <w:rFonts w:ascii="Consolas" w:eastAsia="Times New Roman" w:hAnsi="Consolas" w:cs="Consolas"/>
      <w:sz w:val="21"/>
      <w:szCs w:val="21"/>
      <w:lang w:val="pl-PL"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E77CB3"/>
  </w:style>
  <w:style w:type="character" w:customStyle="1" w:styleId="ZwrotgrzecznociowyZnak">
    <w:name w:val="Zwrot grzecznościowy Znak"/>
    <w:link w:val="Zwrotgrzecznociowy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Podpis">
    <w:name w:val="Signature"/>
    <w:basedOn w:val="Normalny"/>
    <w:link w:val="PodpisZnak"/>
    <w:uiPriority w:val="99"/>
    <w:semiHidden/>
    <w:rsid w:val="00E77CB3"/>
    <w:pPr>
      <w:ind w:left="4252"/>
    </w:pPr>
  </w:style>
  <w:style w:type="character" w:customStyle="1" w:styleId="PodpisZnak">
    <w:name w:val="Podpis Znak"/>
    <w:link w:val="Podpis"/>
    <w:uiPriority w:val="99"/>
    <w:semiHidden/>
    <w:rsid w:val="00E77CB3"/>
    <w:rPr>
      <w:rFonts w:eastAsia="Times New Roman"/>
      <w:sz w:val="24"/>
      <w:lang w:val="pl-PL" w:eastAsia="pl-PL"/>
    </w:rPr>
  </w:style>
  <w:style w:type="table" w:styleId="Tabela-Efekty3W1">
    <w:name w:val="Table 3D effects 1"/>
    <w:basedOn w:val="Standardowy"/>
    <w:uiPriority w:val="99"/>
    <w:semiHidden/>
    <w:rsid w:val="00E77CB3"/>
    <w:pPr>
      <w:jc w:val="both"/>
    </w:pPr>
    <w:rPr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E77CB3"/>
    <w:pPr>
      <w:jc w:val="both"/>
    </w:pPr>
    <w:rPr>
      <w:color w:val="00008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rsid w:val="00E77CB3"/>
    <w:pPr>
      <w:jc w:val="both"/>
    </w:pPr>
    <w:rPr>
      <w:color w:val="FFFFFF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E77CB3"/>
    <w:pPr>
      <w:jc w:val="both"/>
    </w:pPr>
    <w:rPr>
      <w:b/>
      <w:bCs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rsid w:val="00E77CB3"/>
    <w:pPr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rsid w:val="00E77CB3"/>
  </w:style>
  <w:style w:type="table" w:styleId="Tabela-Profesjonalny">
    <w:name w:val="Table Professional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E77CB3"/>
    <w:pPr>
      <w:jc w:val="both"/>
    </w:pPr>
    <w:rPr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6">
    <w:name w:val="toc 6"/>
    <w:basedOn w:val="Normalny"/>
    <w:next w:val="Normalny"/>
    <w:autoRedefine/>
    <w:uiPriority w:val="99"/>
    <w:semiHidden/>
    <w:rsid w:val="00E77CB3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E77CB3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E77CB3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E77CB3"/>
    <w:pPr>
      <w:spacing w:after="100"/>
      <w:ind w:left="1920"/>
    </w:pPr>
  </w:style>
  <w:style w:type="character" w:customStyle="1" w:styleId="ECHRParaChar">
    <w:name w:val="ECHR_Para Char"/>
    <w:aliases w:val="Ju_Para Char"/>
    <w:link w:val="ECHRPara"/>
    <w:uiPriority w:val="12"/>
    <w:rsid w:val="00E4114C"/>
    <w:rPr>
      <w:rFonts w:eastAsia="Times New Roman"/>
      <w:sz w:val="24"/>
      <w:lang w:val="pl-PL" w:eastAsia="pl-PL"/>
    </w:rPr>
  </w:style>
  <w:style w:type="character" w:customStyle="1" w:styleId="JuH1Char">
    <w:name w:val="Ju_H_1. Char"/>
    <w:link w:val="ECHRHeading3"/>
    <w:uiPriority w:val="21"/>
    <w:rsid w:val="00E4114C"/>
    <w:rPr>
      <w:rFonts w:ascii="Times New Roman" w:eastAsia="Times New Roman" w:hAnsi="Times New Roman" w:cs="Times New Roman"/>
      <w:bCs/>
      <w:i/>
      <w:sz w:val="24"/>
      <w:lang w:val="pl-PL" w:eastAsia="pl-PL"/>
    </w:rPr>
  </w:style>
  <w:style w:type="character" w:customStyle="1" w:styleId="JuHaChar">
    <w:name w:val="Ju_H_a Char"/>
    <w:link w:val="ECHRHeading4"/>
    <w:uiPriority w:val="22"/>
    <w:rsid w:val="00E4114C"/>
    <w:rPr>
      <w:rFonts w:ascii="Times New Roman" w:eastAsia="Times New Roman" w:hAnsi="Times New Roman" w:cs="Times New Roman"/>
      <w:b/>
      <w:bCs/>
      <w:iCs/>
      <w:sz w:val="20"/>
      <w:lang w:val="pl-PL" w:eastAsia="pl-PL"/>
    </w:rPr>
  </w:style>
  <w:style w:type="paragraph" w:customStyle="1" w:styleId="JuCourt">
    <w:name w:val="Ju_Court"/>
    <w:basedOn w:val="Normalny"/>
    <w:next w:val="Normalny"/>
    <w:uiPriority w:val="16"/>
    <w:qFormat/>
    <w:rsid w:val="00DC5AB5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DecList">
    <w:name w:val="Dec_List"/>
    <w:basedOn w:val="Normalny"/>
    <w:uiPriority w:val="9"/>
    <w:rsid w:val="00DC5AB5"/>
    <w:pPr>
      <w:spacing w:before="240"/>
      <w:ind w:left="284"/>
    </w:pPr>
  </w:style>
  <w:style w:type="paragraph" w:customStyle="1" w:styleId="OpiH1">
    <w:name w:val="Opi_H_1"/>
    <w:basedOn w:val="ECHRHeading2"/>
    <w:uiPriority w:val="42"/>
    <w:qFormat/>
    <w:rsid w:val="00DC5AB5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qFormat/>
    <w:rsid w:val="00DC5AB5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DC5AB5"/>
    <w:pPr>
      <w:ind w:left="1037" w:hanging="357"/>
      <w:outlineLvl w:val="4"/>
    </w:pPr>
    <w:rPr>
      <w:b w:val="0"/>
      <w:i/>
    </w:rPr>
  </w:style>
  <w:style w:type="character" w:customStyle="1" w:styleId="JuHIRomanChar">
    <w:name w:val="Ju_H_I_Roman Char"/>
    <w:link w:val="ECHRHeading1"/>
    <w:uiPriority w:val="19"/>
    <w:rsid w:val="008E20C6"/>
    <w:rPr>
      <w:rFonts w:ascii="Times New Roman" w:eastAsia="Times New Roman" w:hAnsi="Times New Roman" w:cs="Times New Roman"/>
      <w:bCs/>
      <w:sz w:val="24"/>
      <w:szCs w:val="28"/>
      <w:lang w:val="pl-PL" w:eastAsia="pl-PL"/>
    </w:rPr>
  </w:style>
  <w:style w:type="paragraph" w:customStyle="1" w:styleId="DummyStyle">
    <w:name w:val="Dummy_Style"/>
    <w:basedOn w:val="Normalny"/>
    <w:semiHidden/>
    <w:qFormat/>
    <w:rsid w:val="00DC5AB5"/>
    <w:rPr>
      <w:color w:val="00B050"/>
    </w:rPr>
  </w:style>
  <w:style w:type="paragraph" w:customStyle="1" w:styleId="Page">
    <w:name w:val="Page"/>
    <w:basedOn w:val="ECHRHeader"/>
    <w:rsid w:val="004D50F2"/>
  </w:style>
  <w:style w:type="character" w:customStyle="1" w:styleId="JuQuotChar">
    <w:name w:val="Ju_Quot Char"/>
    <w:link w:val="ECHRParaQuote"/>
    <w:uiPriority w:val="14"/>
    <w:rsid w:val="00DC5AB5"/>
    <w:rPr>
      <w:rFonts w:eastAsia="Times New Roman"/>
      <w:sz w:val="20"/>
      <w:lang w:val="pl-PL" w:eastAsia="pl-PL"/>
    </w:rPr>
  </w:style>
  <w:style w:type="table" w:customStyle="1" w:styleId="TableSimple11">
    <w:name w:val="Table Simple 11"/>
    <w:basedOn w:val="Standardowy"/>
    <w:next w:val="Tabela-Prosty1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Standardowy"/>
    <w:next w:val="Tabela-Prosty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Standardowy"/>
    <w:next w:val="Tabela-Prosty3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1">
    <w:name w:val="Table Classic 11"/>
    <w:basedOn w:val="Standardowy"/>
    <w:next w:val="Tabela-Klasyczny1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Standardowy"/>
    <w:next w:val="Tabela-Klasyczny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Standardowy"/>
    <w:next w:val="Tabela-Klasyczny3"/>
    <w:uiPriority w:val="99"/>
    <w:semiHidden/>
    <w:unhideWhenUsed/>
    <w:rsid w:val="009120AB"/>
    <w:pPr>
      <w:jc w:val="both"/>
    </w:pPr>
    <w:rPr>
      <w:color w:val="000080"/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Standardowy"/>
    <w:next w:val="Tabela-Klasyczny4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Standardowy"/>
    <w:next w:val="Tabela-Kolorowy1"/>
    <w:uiPriority w:val="99"/>
    <w:semiHidden/>
    <w:unhideWhenUsed/>
    <w:rsid w:val="009120AB"/>
    <w:pPr>
      <w:jc w:val="both"/>
    </w:pPr>
    <w:rPr>
      <w:color w:val="FFFFFF"/>
      <w:lang w:val="fr-FR" w:eastAsia="fr-FR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Standardowy"/>
    <w:next w:val="Tabela-Kolorowy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Standardowy"/>
    <w:next w:val="Tabela-Kolorowy3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Standardowy"/>
    <w:next w:val="Tabela-Kolumnowy1"/>
    <w:uiPriority w:val="99"/>
    <w:semiHidden/>
    <w:unhideWhenUsed/>
    <w:rsid w:val="009120AB"/>
    <w:pPr>
      <w:jc w:val="both"/>
    </w:pPr>
    <w:rPr>
      <w:b/>
      <w:bCs/>
      <w:lang w:val="fr-FR" w:eastAsia="fr-FR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Standardowy"/>
    <w:next w:val="Tabela-Kolumnowy2"/>
    <w:uiPriority w:val="99"/>
    <w:semiHidden/>
    <w:unhideWhenUsed/>
    <w:rsid w:val="009120AB"/>
    <w:pPr>
      <w:jc w:val="both"/>
    </w:pPr>
    <w:rPr>
      <w:b/>
      <w:bCs/>
      <w:lang w:val="fr-FR"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Standardowy"/>
    <w:next w:val="Tabela-Kolumnowy3"/>
    <w:uiPriority w:val="99"/>
    <w:semiHidden/>
    <w:unhideWhenUsed/>
    <w:rsid w:val="009120AB"/>
    <w:pPr>
      <w:jc w:val="both"/>
    </w:pPr>
    <w:rPr>
      <w:b/>
      <w:bCs/>
      <w:lang w:val="fr-FR" w:eastAsia="fr-FR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Standardowy"/>
    <w:next w:val="Tabela-Kolumnowy4"/>
    <w:uiPriority w:val="99"/>
    <w:semiHidden/>
    <w:unhideWhenUsed/>
    <w:rsid w:val="009120AB"/>
    <w:pPr>
      <w:jc w:val="both"/>
    </w:pPr>
    <w:rPr>
      <w:lang w:val="fr-FR"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Standardowy"/>
    <w:next w:val="Tabela-Kolumnowy5"/>
    <w:uiPriority w:val="99"/>
    <w:semiHidden/>
    <w:unhideWhenUsed/>
    <w:rsid w:val="009120AB"/>
    <w:pPr>
      <w:jc w:val="both"/>
    </w:pPr>
    <w:rPr>
      <w:lang w:val="fr-FR" w:eastAsia="fr-FR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Grid11">
    <w:name w:val="Table Grid 11"/>
    <w:basedOn w:val="Standardowy"/>
    <w:next w:val="Tabela-Siatka1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Standardowy"/>
    <w:next w:val="Tabela-Siatka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Standardowy"/>
    <w:next w:val="Tabela-Siatka3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Standardowy"/>
    <w:next w:val="Tabela-Siatka4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Standardowy"/>
    <w:next w:val="Tabela-Siatka5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Standardowy"/>
    <w:next w:val="Tabela-Siatka6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Standardowy"/>
    <w:next w:val="Tabela-Siatka7"/>
    <w:uiPriority w:val="99"/>
    <w:semiHidden/>
    <w:unhideWhenUsed/>
    <w:rsid w:val="009120AB"/>
    <w:pPr>
      <w:jc w:val="both"/>
    </w:pPr>
    <w:rPr>
      <w:b/>
      <w:bCs/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Standardowy"/>
    <w:next w:val="Tabela-Siatka8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Standardowy"/>
    <w:next w:val="Tabela-Lista1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Standardowy"/>
    <w:next w:val="Tabela-Lista2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Standardowy"/>
    <w:next w:val="Tabela-Lista3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Standardowy"/>
    <w:next w:val="Tabela-Lista4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Standardowy"/>
    <w:next w:val="Tabela-Lista5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Standardowy"/>
    <w:next w:val="Tabela-Lista6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Standardowy"/>
    <w:next w:val="Tabela-Lista7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Standardowy"/>
    <w:next w:val="Tabela-Lista8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3Deffects11">
    <w:name w:val="Table 3D effects 11"/>
    <w:basedOn w:val="Standardowy"/>
    <w:next w:val="Tabela-Efekty3W1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Standardowy"/>
    <w:next w:val="Tabela-Efekty3W2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Standardowy"/>
    <w:next w:val="Tabela-Efekty3W3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ntemporary1">
    <w:name w:val="Table Contemporary1"/>
    <w:basedOn w:val="Standardowy"/>
    <w:next w:val="Tabela-Wspczesny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Standardowy"/>
    <w:next w:val="Tabela-Elegancki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Standardowy"/>
    <w:next w:val="Tabela-Profesjonalny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Standardowy"/>
    <w:next w:val="Tabela-Delikatny1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Standardowy"/>
    <w:next w:val="Tabela-Delikatny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">
    <w:name w:val="Table Web 11"/>
    <w:basedOn w:val="Standardowy"/>
    <w:next w:val="Tabela-SieWeb1"/>
    <w:uiPriority w:val="99"/>
    <w:semiHidden/>
    <w:unhideWhenUsed/>
    <w:rsid w:val="009120AB"/>
    <w:pPr>
      <w:jc w:val="both"/>
    </w:pPr>
    <w:rPr>
      <w:lang w:val="fr-FR" w:eastAsia="fr-FR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Standardowy"/>
    <w:next w:val="Tabela-SieWeb2"/>
    <w:uiPriority w:val="99"/>
    <w:semiHidden/>
    <w:unhideWhenUsed/>
    <w:rsid w:val="009120AB"/>
    <w:pPr>
      <w:jc w:val="both"/>
    </w:pPr>
    <w:rPr>
      <w:lang w:val="fr-FR" w:eastAsia="fr-FR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Standardowy"/>
    <w:next w:val="Tabela-SieWeb3"/>
    <w:uiPriority w:val="99"/>
    <w:semiHidden/>
    <w:unhideWhenUsed/>
    <w:rsid w:val="009120AB"/>
    <w:pPr>
      <w:jc w:val="both"/>
    </w:pPr>
    <w:rPr>
      <w:lang w:val="fr-FR" w:eastAsia="fr-FR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Standardowy"/>
    <w:next w:val="Tabela-Siatka"/>
    <w:uiPriority w:val="99"/>
    <w:rsid w:val="009120AB"/>
    <w:rPr>
      <w:rFonts w:eastAsia="MS Mincho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Standardowy"/>
    <w:next w:val="Tabela-Motyw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Standardowy"/>
    <w:next w:val="Jasnecieniowanie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Standardowy"/>
    <w:next w:val="Jasnalista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1">
    <w:name w:val="Light Grid1"/>
    <w:basedOn w:val="Standardowy"/>
    <w:next w:val="Jasnasiatka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Standardowy"/>
    <w:next w:val="redniecieniowanie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next w:val="redniecieniowanie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Standardowy"/>
    <w:next w:val="rednialista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21">
    <w:name w:val="Medium List 21"/>
    <w:basedOn w:val="Standardowy"/>
    <w:next w:val="rednialista2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Standardowy"/>
    <w:next w:val="redniasiatka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Standardowy"/>
    <w:next w:val="redniasiatka2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1">
    <w:name w:val="Medium Grid 31"/>
    <w:basedOn w:val="Standardowy"/>
    <w:next w:val="redniasiatka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808080"/>
      </w:tcPr>
    </w:tblStylePr>
  </w:style>
  <w:style w:type="table" w:customStyle="1" w:styleId="DarkList1">
    <w:name w:val="Dark List1"/>
    <w:basedOn w:val="Standardowy"/>
    <w:next w:val="Ciemnalista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ColorfulShading1">
    <w:name w:val="Colorful Shading1"/>
    <w:basedOn w:val="Standardowy"/>
    <w:next w:val="Kolorowecieniowanie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C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72BC"/>
        <w:insideV w:val="single" w:sz="4" w:space="0" w:color="0072BC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Standardowy"/>
    <w:next w:val="Kolorowalista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Grid1">
    <w:name w:val="Colorful Grid1"/>
    <w:basedOn w:val="Standardowy"/>
    <w:next w:val="Kolorowasiatka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0072BC"/>
      </w:rPr>
      <w:tblPr/>
      <w:tcPr>
        <w:shd w:val="clear" w:color="auto" w:fill="000000"/>
      </w:tcPr>
    </w:tblStylePr>
    <w:tblStylePr w:type="lastCol">
      <w:rPr>
        <w:color w:val="0072BC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">
    <w:name w:val="Light Shading - Accent 11"/>
    <w:basedOn w:val="Standardowy"/>
    <w:next w:val="Jasnecieniowanieakcent1"/>
    <w:uiPriority w:val="99"/>
    <w:rsid w:val="009120AB"/>
    <w:rPr>
      <w:color w:val="00548C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bottom w:val="single" w:sz="8" w:space="0" w:color="0072BC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</w:style>
  <w:style w:type="table" w:customStyle="1" w:styleId="LightList-Accent11">
    <w:name w:val="Light List - Accent 11"/>
    <w:basedOn w:val="Standardowy"/>
    <w:next w:val="Jasnalista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0072BC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</w:style>
  <w:style w:type="table" w:customStyle="1" w:styleId="LightGrid-Accent11">
    <w:name w:val="Light Grid - Accent 11"/>
    <w:basedOn w:val="Standardowy"/>
    <w:next w:val="Jasnasiatka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1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  <w:shd w:val="clear" w:color="auto" w:fill="AFD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  <w:shd w:val="clear" w:color="auto" w:fill="AFDFFF"/>
      </w:tcPr>
    </w:tblStylePr>
    <w:tblStylePr w:type="band2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</w:tcPr>
    </w:tblStylePr>
  </w:style>
  <w:style w:type="table" w:customStyle="1" w:styleId="MediumShading1-Accent11">
    <w:name w:val="Medium Shading 1 - Accent 11"/>
    <w:basedOn w:val="Standardowy"/>
    <w:next w:val="redniecieniowanie1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  <w:shd w:val="clear" w:color="auto" w:fill="0072BC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next w:val="redniecieniowanie2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Standardowy"/>
    <w:next w:val="rednialista1akcent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bottom w:val="single" w:sz="8" w:space="0" w:color="0072BC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0072BC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band1Vert">
      <w:tblPr/>
      <w:tcPr>
        <w:shd w:val="clear" w:color="auto" w:fill="AFDFFF"/>
      </w:tcPr>
    </w:tblStylePr>
    <w:tblStylePr w:type="band1Horz">
      <w:tblPr/>
      <w:tcPr>
        <w:shd w:val="clear" w:color="auto" w:fill="AFDFFF"/>
      </w:tcPr>
    </w:tblStylePr>
  </w:style>
  <w:style w:type="table" w:customStyle="1" w:styleId="MediumList2-Accent11">
    <w:name w:val="Medium List 2 - Accent 11"/>
    <w:basedOn w:val="Standardowy"/>
    <w:next w:val="rednialista2akcent1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11">
    <w:name w:val="Medium Grid 1 - Accent 11"/>
    <w:basedOn w:val="Standardowy"/>
    <w:next w:val="redniasiatka1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  <w:insideV w:val="single" w:sz="8" w:space="0" w:color="0D9FFF"/>
      </w:tblBorders>
    </w:tblPr>
    <w:tcPr>
      <w:shd w:val="clear" w:color="auto" w:fill="AFD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customStyle="1" w:styleId="MediumGrid2-Accent11">
    <w:name w:val="Medium Grid 2 - Accent 11"/>
    <w:basedOn w:val="Standardowy"/>
    <w:next w:val="redniasiatka2akcent1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cPr>
      <w:shd w:val="clear" w:color="auto" w:fill="AFDFFF"/>
    </w:tcPr>
    <w:tblStylePr w:type="firstRow">
      <w:rPr>
        <w:b/>
        <w:bCs/>
        <w:color w:val="000000"/>
      </w:rPr>
      <w:tblPr/>
      <w:tcPr>
        <w:shd w:val="clear" w:color="auto" w:fill="DFF2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tcBorders>
          <w:insideH w:val="single" w:sz="6" w:space="0" w:color="0072BC"/>
          <w:insideV w:val="single" w:sz="6" w:space="0" w:color="0072BC"/>
        </w:tcBorders>
        <w:shd w:val="clear" w:color="auto" w:fill="5EBFFF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11">
    <w:name w:val="Medium Grid 3 - Accent 11"/>
    <w:basedOn w:val="Standardowy"/>
    <w:next w:val="redniasiatka3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AFDFFF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5EB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5EBFFF"/>
      </w:tcPr>
    </w:tblStylePr>
  </w:style>
  <w:style w:type="table" w:customStyle="1" w:styleId="DarkList-Accent11">
    <w:name w:val="Dark List - Accent 11"/>
    <w:basedOn w:val="Standardowy"/>
    <w:next w:val="Ciemnalista2akcent1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0072B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385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548C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</w:style>
  <w:style w:type="table" w:customStyle="1" w:styleId="ColorfulShading-Accent11">
    <w:name w:val="Colorful Shading - Accent 11"/>
    <w:basedOn w:val="Standardowy"/>
    <w:next w:val="Kolorowecieniowanieakcent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C00000"/>
        <w:left w:val="single" w:sz="4" w:space="0" w:color="0072BC"/>
        <w:bottom w:val="single" w:sz="4" w:space="0" w:color="0072BC"/>
        <w:right w:val="single" w:sz="4" w:space="0" w:color="0072BC"/>
        <w:insideH w:val="single" w:sz="4" w:space="0" w:color="0072BC"/>
        <w:insideV w:val="single" w:sz="4" w:space="0" w:color="0072BC"/>
      </w:tblBorders>
    </w:tblPr>
    <w:tcPr>
      <w:shd w:val="clear" w:color="auto" w:fill="DFF2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447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4470"/>
          <w:insideV w:val="nil"/>
        </w:tcBorders>
        <w:shd w:val="clear" w:color="auto" w:fill="00447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/>
      </w:tcPr>
    </w:tblStylePr>
    <w:tblStylePr w:type="band1Vert">
      <w:tblPr/>
      <w:tcPr>
        <w:shd w:val="clear" w:color="auto" w:fill="7ECBFF"/>
      </w:tcPr>
    </w:tblStylePr>
    <w:tblStylePr w:type="band1Horz">
      <w:tblPr/>
      <w:tcPr>
        <w:shd w:val="clear" w:color="auto" w:fill="5EB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11">
    <w:name w:val="Colorful List - Accent 11"/>
    <w:basedOn w:val="Standardowy"/>
    <w:next w:val="Kolorowalistaakcent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DFF2F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shd w:val="clear" w:color="auto" w:fill="BEE5FF"/>
      </w:tcPr>
    </w:tblStylePr>
  </w:style>
  <w:style w:type="table" w:customStyle="1" w:styleId="ColorfulGrid-Accent11">
    <w:name w:val="Colorful Grid - Accent 11"/>
    <w:basedOn w:val="Standardowy"/>
    <w:next w:val="Kolorowasiatkaakcent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BEE5FF"/>
    </w:tcPr>
    <w:tblStylePr w:type="firstRow">
      <w:rPr>
        <w:b/>
        <w:bCs/>
      </w:rPr>
      <w:tblPr/>
      <w:tcPr>
        <w:shd w:val="clear" w:color="auto" w:fill="7ECBFF"/>
      </w:tcPr>
    </w:tblStylePr>
    <w:tblStylePr w:type="lastRow">
      <w:rPr>
        <w:b/>
        <w:bCs/>
        <w:color w:val="000000"/>
      </w:rPr>
      <w:tblPr/>
      <w:tcPr>
        <w:shd w:val="clear" w:color="auto" w:fill="7ECBFF"/>
      </w:tcPr>
    </w:tblStylePr>
    <w:tblStylePr w:type="firstCol">
      <w:rPr>
        <w:color w:val="0072BC"/>
      </w:rPr>
      <w:tblPr/>
      <w:tcPr>
        <w:shd w:val="clear" w:color="auto" w:fill="00548C"/>
      </w:tcPr>
    </w:tblStylePr>
    <w:tblStylePr w:type="lastCol">
      <w:rPr>
        <w:color w:val="0072BC"/>
      </w:rPr>
      <w:tblPr/>
      <w:tcPr>
        <w:shd w:val="clear" w:color="auto" w:fill="00548C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customStyle="1" w:styleId="LightShading-Accent21">
    <w:name w:val="Light Shading - Accent 21"/>
    <w:basedOn w:val="Standardowy"/>
    <w:next w:val="Jasnecieniowanieakcent2"/>
    <w:uiPriority w:val="99"/>
    <w:rsid w:val="009120AB"/>
    <w:rPr>
      <w:color w:val="8F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bottom w:val="single" w:sz="8" w:space="0" w:color="C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</w:style>
  <w:style w:type="table" w:customStyle="1" w:styleId="LightList-Accent21">
    <w:name w:val="Light List - Accent 21"/>
    <w:basedOn w:val="Standardowy"/>
    <w:next w:val="Jasnalista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C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</w:style>
  <w:style w:type="table" w:customStyle="1" w:styleId="LightGrid-Accent21">
    <w:name w:val="Light Grid - Accent 21"/>
    <w:basedOn w:val="Standardowy"/>
    <w:next w:val="Jasnasiatka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1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  <w:shd w:val="clear" w:color="auto" w:fill="FFB0B0"/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  <w:shd w:val="clear" w:color="auto" w:fill="FFB0B0"/>
      </w:tcPr>
    </w:tblStylePr>
    <w:tblStylePr w:type="band2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</w:tcPr>
    </w:tblStylePr>
  </w:style>
  <w:style w:type="table" w:customStyle="1" w:styleId="MediumShading1-Accent21">
    <w:name w:val="Medium Shading 1 - Accent 21"/>
    <w:basedOn w:val="Standardowy"/>
    <w:next w:val="redniecieniowanie1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  <w:shd w:val="clear" w:color="auto" w:fill="C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Standardowy"/>
    <w:next w:val="redniecieniowanie2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21">
    <w:name w:val="Medium List 1 - Accent 21"/>
    <w:basedOn w:val="Standardowy"/>
    <w:next w:val="rednialista1akcent2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bottom w:val="single" w:sz="8" w:space="0" w:color="C00000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C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band1Vert">
      <w:tblPr/>
      <w:tcPr>
        <w:shd w:val="clear" w:color="auto" w:fill="FFB0B0"/>
      </w:tcPr>
    </w:tblStylePr>
    <w:tblStylePr w:type="band1Horz">
      <w:tblPr/>
      <w:tcPr>
        <w:shd w:val="clear" w:color="auto" w:fill="FFB0B0"/>
      </w:tcPr>
    </w:tblStylePr>
  </w:style>
  <w:style w:type="table" w:customStyle="1" w:styleId="MediumList2-Accent21">
    <w:name w:val="Medium List 2 - Accent 21"/>
    <w:basedOn w:val="Standardowy"/>
    <w:next w:val="rednialista2akcent2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C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C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21">
    <w:name w:val="Medium Grid 1 - Accent 21"/>
    <w:basedOn w:val="Standardowy"/>
    <w:next w:val="redniasiatka1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  <w:insideV w:val="single" w:sz="8" w:space="0" w:color="FF1010"/>
      </w:tblBorders>
    </w:tblPr>
    <w:tcPr>
      <w:shd w:val="clear" w:color="auto" w:fill="FFB0B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customStyle="1" w:styleId="MediumGrid2-Accent21">
    <w:name w:val="Medium Grid 2 - Accent 21"/>
    <w:basedOn w:val="Standardowy"/>
    <w:next w:val="redniasiatka2akcent2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cPr>
      <w:shd w:val="clear" w:color="auto" w:fill="FFB0B0"/>
    </w:tcPr>
    <w:tblStylePr w:type="firstRow">
      <w:rPr>
        <w:b/>
        <w:bCs/>
        <w:color w:val="000000"/>
      </w:rPr>
      <w:tblPr/>
      <w:tcPr>
        <w:shd w:val="clear" w:color="auto" w:fill="FFDFD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tcBorders>
          <w:insideH w:val="single" w:sz="6" w:space="0" w:color="C00000"/>
          <w:insideV w:val="single" w:sz="6" w:space="0" w:color="C00000"/>
        </w:tcBorders>
        <w:shd w:val="clear" w:color="auto" w:fill="FF6060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21">
    <w:name w:val="Medium Grid 3 - Accent 21"/>
    <w:basedOn w:val="Standardowy"/>
    <w:next w:val="redniasiatka3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FFB0B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FF606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FF6060"/>
      </w:tcPr>
    </w:tblStylePr>
  </w:style>
  <w:style w:type="table" w:customStyle="1" w:styleId="DarkList-Accent21">
    <w:name w:val="Dark List - Accent 21"/>
    <w:basedOn w:val="Standardowy"/>
    <w:next w:val="Ciemnalistaakcent2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C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5F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8F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</w:style>
  <w:style w:type="table" w:customStyle="1" w:styleId="ColorfulShading-Accent21">
    <w:name w:val="Colorful Shading - Accent 21"/>
    <w:basedOn w:val="Standardowy"/>
    <w:next w:val="Kolorowecieniowanieakcent2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0072BC"/>
        <w:insideV w:val="single" w:sz="4" w:space="0" w:color="0072BC"/>
      </w:tblBorders>
    </w:tblPr>
    <w:tcPr>
      <w:shd w:val="clear" w:color="auto" w:fill="FFDFD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73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730000"/>
          <w:insideV w:val="nil"/>
        </w:tcBorders>
        <w:shd w:val="clear" w:color="auto" w:fill="73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/>
      </w:tcPr>
    </w:tblStylePr>
    <w:tblStylePr w:type="band1Vert">
      <w:tblPr/>
      <w:tcPr>
        <w:shd w:val="clear" w:color="auto" w:fill="FF7F7F"/>
      </w:tcPr>
    </w:tblStylePr>
    <w:tblStylePr w:type="band1Horz">
      <w:tblPr/>
      <w:tcPr>
        <w:shd w:val="clear" w:color="auto" w:fill="FF606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21">
    <w:name w:val="Colorful List - Accent 21"/>
    <w:basedOn w:val="Standardowy"/>
    <w:next w:val="Kolorowalistaakcent2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FFDFD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shd w:val="clear" w:color="auto" w:fill="FFBFBF"/>
      </w:tcPr>
    </w:tblStylePr>
  </w:style>
  <w:style w:type="table" w:customStyle="1" w:styleId="ColorfulGrid-Accent21">
    <w:name w:val="Colorful Grid - Accent 21"/>
    <w:basedOn w:val="Standardowy"/>
    <w:next w:val="Kolorowasiatkaakcent2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FFBFBF"/>
    </w:tcPr>
    <w:tblStylePr w:type="firstRow">
      <w:rPr>
        <w:b/>
        <w:bCs/>
      </w:rPr>
      <w:tblPr/>
      <w:tcPr>
        <w:shd w:val="clear" w:color="auto" w:fill="FF7F7F"/>
      </w:tcPr>
    </w:tblStylePr>
    <w:tblStylePr w:type="lastRow">
      <w:rPr>
        <w:b/>
        <w:bCs/>
        <w:color w:val="000000"/>
      </w:rPr>
      <w:tblPr/>
      <w:tcPr>
        <w:shd w:val="clear" w:color="auto" w:fill="FF7F7F"/>
      </w:tcPr>
    </w:tblStylePr>
    <w:tblStylePr w:type="firstCol">
      <w:rPr>
        <w:color w:val="0072BC"/>
      </w:rPr>
      <w:tblPr/>
      <w:tcPr>
        <w:shd w:val="clear" w:color="auto" w:fill="8F0000"/>
      </w:tcPr>
    </w:tblStylePr>
    <w:tblStylePr w:type="lastCol">
      <w:rPr>
        <w:color w:val="0072BC"/>
      </w:rPr>
      <w:tblPr/>
      <w:tcPr>
        <w:shd w:val="clear" w:color="auto" w:fill="8F0000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customStyle="1" w:styleId="LightShading-Accent31">
    <w:name w:val="Light Shading - Accent 31"/>
    <w:basedOn w:val="Standardowy"/>
    <w:next w:val="Jasnecieniowanieakcent3"/>
    <w:uiPriority w:val="99"/>
    <w:rsid w:val="009120AB"/>
    <w:rPr>
      <w:color w:val="474747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LightList-Accent31">
    <w:name w:val="Light List - Accent 31"/>
    <w:basedOn w:val="Standardowy"/>
    <w:next w:val="Jasnalista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LightGrid-Accent31">
    <w:name w:val="Light Grid - Accent 31"/>
    <w:basedOn w:val="Standardowy"/>
    <w:next w:val="Jasnasiatka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MediumShading1-Accent31">
    <w:name w:val="Medium Shading 1 - Accent 31"/>
    <w:basedOn w:val="Standardowy"/>
    <w:next w:val="redniecieniowanie1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Standardowy"/>
    <w:next w:val="redniecieniowanie2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Standardowy"/>
    <w:next w:val="rednialista1akcent3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MediumList2-Accent31">
    <w:name w:val="Medium List 2 - Accent 31"/>
    <w:basedOn w:val="Standardowy"/>
    <w:next w:val="rednialista2akcent3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31">
    <w:name w:val="Medium Grid 1 - Accent 31"/>
    <w:basedOn w:val="Standardowy"/>
    <w:next w:val="redniasiatka1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MediumGrid2-Accent31">
    <w:name w:val="Medium Grid 2 - Accent 31"/>
    <w:basedOn w:val="Standardowy"/>
    <w:next w:val="redniasiatka2akcent3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31">
    <w:name w:val="Medium Grid 3 - Accent 31"/>
    <w:basedOn w:val="Standardowy"/>
    <w:next w:val="redniasiatka3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customStyle="1" w:styleId="DarkList-Accent31">
    <w:name w:val="Dark List - Accent 31"/>
    <w:basedOn w:val="Standardowy"/>
    <w:next w:val="Ciemnalistaakcent3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ColorfulShading-Accent31">
    <w:name w:val="Colorful Shading - Accent 31"/>
    <w:basedOn w:val="Standardowy"/>
    <w:next w:val="Kolorowecieniowanieakcent3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969696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</w:style>
  <w:style w:type="table" w:customStyle="1" w:styleId="ColorfulList-Accent31">
    <w:name w:val="Colorful List - Accent 31"/>
    <w:basedOn w:val="Standardowy"/>
    <w:next w:val="Kolorowalistaakcent3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ColorfulGrid-Accent31">
    <w:name w:val="Colorful Grid - Accent 31"/>
    <w:basedOn w:val="Standardowy"/>
    <w:next w:val="Kolorowasiatkaakcent3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LightShading-Accent41">
    <w:name w:val="Light Shading - Accent 41"/>
    <w:basedOn w:val="Standardowy"/>
    <w:next w:val="Jasnecieniowanieakcent4"/>
    <w:uiPriority w:val="99"/>
    <w:rsid w:val="009120AB"/>
    <w:rPr>
      <w:color w:val="70707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LightList-Accent41">
    <w:name w:val="Light List - Accent 41"/>
    <w:basedOn w:val="Standardowy"/>
    <w:next w:val="Jasnalista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96969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customStyle="1" w:styleId="LightGrid-Accent41">
    <w:name w:val="Light Grid - Accent 41"/>
    <w:basedOn w:val="Standardowy"/>
    <w:next w:val="Jasnasiatka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customStyle="1" w:styleId="MediumShading1-Accent41">
    <w:name w:val="Medium Shading 1 - Accent 41"/>
    <w:basedOn w:val="Standardowy"/>
    <w:next w:val="redniecieniowanie1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Standardowy"/>
    <w:next w:val="redniecieniowanie2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41">
    <w:name w:val="Medium List 1 - Accent 41"/>
    <w:basedOn w:val="Standardowy"/>
    <w:next w:val="rednialista1akcent4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MediumList2-Accent41">
    <w:name w:val="Medium List 2 - Accent 41"/>
    <w:basedOn w:val="Standardowy"/>
    <w:next w:val="rednialista2akcent4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969696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41">
    <w:name w:val="Medium Grid 1 - Accent 41"/>
    <w:basedOn w:val="Standardowy"/>
    <w:next w:val="redniasiatka1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MediumGrid2-Accent41">
    <w:name w:val="Medium Grid 2 - Accent 41"/>
    <w:basedOn w:val="Standardowy"/>
    <w:next w:val="redniasiatka2akcent4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41">
    <w:name w:val="Medium Grid 3 - Accent 41"/>
    <w:basedOn w:val="Standardowy"/>
    <w:next w:val="redniasiatka3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CACACA"/>
      </w:tcPr>
    </w:tblStylePr>
  </w:style>
  <w:style w:type="table" w:customStyle="1" w:styleId="DarkList-Accent41">
    <w:name w:val="Dark List - Accent 41"/>
    <w:basedOn w:val="Standardowy"/>
    <w:next w:val="Ciemnalistaakcent4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customStyle="1" w:styleId="ColorfulShading-Accent41">
    <w:name w:val="Colorful Shading - Accent 41"/>
    <w:basedOn w:val="Standardowy"/>
    <w:next w:val="Kolorowecieniowanieakcent4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5F5F5F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0072BC"/>
        <w:insideV w:val="single" w:sz="4" w:space="0" w:color="0072BC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5A5A5A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41">
    <w:name w:val="Colorful List - Accent 41"/>
    <w:basedOn w:val="Standardowy"/>
    <w:next w:val="Kolorowalistaakcent4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F4F4F4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customStyle="1" w:styleId="ColorfulGrid-Accent41">
    <w:name w:val="Colorful Grid - Accent 41"/>
    <w:basedOn w:val="Standardowy"/>
    <w:next w:val="Kolorowasiatkaakcent4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0072BC"/>
      </w:rPr>
      <w:tblPr/>
      <w:tcPr>
        <w:shd w:val="clear" w:color="auto" w:fill="707070"/>
      </w:tcPr>
    </w:tblStylePr>
    <w:tblStylePr w:type="lastCol">
      <w:rPr>
        <w:color w:val="0072BC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LightShading-Accent51">
    <w:name w:val="Light Shading - Accent 51"/>
    <w:basedOn w:val="Standardowy"/>
    <w:next w:val="Jasnecieniowanieakcent5"/>
    <w:uiPriority w:val="99"/>
    <w:rsid w:val="009120AB"/>
    <w:rPr>
      <w:color w:val="474747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LightList-Accent51">
    <w:name w:val="Light List - Accent 51"/>
    <w:basedOn w:val="Standardowy"/>
    <w:next w:val="Jasnalista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LightGrid-Accent51">
    <w:name w:val="Light Grid - Accent 51"/>
    <w:basedOn w:val="Standardowy"/>
    <w:next w:val="Jasnasiatka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MediumShading1-Accent51">
    <w:name w:val="Medium Shading 1 - Accent 51"/>
    <w:basedOn w:val="Standardowy"/>
    <w:next w:val="redniecieniowanie1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Standardowy"/>
    <w:next w:val="redniecieniowanie2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Standardowy"/>
    <w:next w:val="rednialista1akcent5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MediumList2-Accent51">
    <w:name w:val="Medium List 2 - Accent 51"/>
    <w:basedOn w:val="Standardowy"/>
    <w:next w:val="rednialista2akcent5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51">
    <w:name w:val="Medium Grid 1 - Accent 51"/>
    <w:basedOn w:val="Standardowy"/>
    <w:next w:val="redniasiatka1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MediumGrid2-Accent51">
    <w:name w:val="Medium Grid 2 - Accent 51"/>
    <w:basedOn w:val="Standardowy"/>
    <w:next w:val="redniasiatka2akcent5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51">
    <w:name w:val="Medium Grid 3 - Accent 51"/>
    <w:basedOn w:val="Standardowy"/>
    <w:next w:val="redniasiatka3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customStyle="1" w:styleId="DarkList-Accent51">
    <w:name w:val="Dark List - Accent 51"/>
    <w:basedOn w:val="Standardowy"/>
    <w:next w:val="Ciemnalistaakcent5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ColorfulShading-Accent51">
    <w:name w:val="Colorful Shading - Accent 51"/>
    <w:basedOn w:val="Standardowy"/>
    <w:next w:val="Kolorowecieniowanieakcent5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51">
    <w:name w:val="Colorful List - Accent 51"/>
    <w:basedOn w:val="Standardowy"/>
    <w:next w:val="Kolorowalistaakcent5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ColorfulGrid-Accent51">
    <w:name w:val="Colorful Grid - Accent 51"/>
    <w:basedOn w:val="Standardowy"/>
    <w:next w:val="Kolorowasiatkaakcent5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LightShading-Accent61">
    <w:name w:val="Light Shading - Accent 61"/>
    <w:basedOn w:val="Standardowy"/>
    <w:next w:val="Jasnecieniowanieakcent6"/>
    <w:uiPriority w:val="99"/>
    <w:rsid w:val="009120AB"/>
    <w:rPr>
      <w:color w:val="393939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table" w:customStyle="1" w:styleId="LightList-Accent61">
    <w:name w:val="Light List - Accent 61"/>
    <w:basedOn w:val="Standardowy"/>
    <w:next w:val="Jasnalista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4D4D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LightGrid-Accent61">
    <w:name w:val="Light Grid - Accent 61"/>
    <w:basedOn w:val="Standardowy"/>
    <w:next w:val="Jasnasiatka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customStyle="1" w:styleId="MediumShading1-Accent61">
    <w:name w:val="Medium Shading 1 - Accent 61"/>
    <w:basedOn w:val="Standardowy"/>
    <w:next w:val="redniecieniowanie1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Standardowy"/>
    <w:next w:val="redniecieniowanie2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61">
    <w:name w:val="Medium List 1 - Accent 61"/>
    <w:basedOn w:val="Standardowy"/>
    <w:next w:val="rednialista1akcent6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customStyle="1" w:styleId="MediumList2-Accent61">
    <w:name w:val="Medium List 2 - Accent 61"/>
    <w:basedOn w:val="Standardowy"/>
    <w:next w:val="rednialista2akcent6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4D4D4D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61">
    <w:name w:val="Medium Grid 1 - Accent 61"/>
    <w:basedOn w:val="Standardowy"/>
    <w:next w:val="redniasiatka1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MediumGrid2-Accent61">
    <w:name w:val="Medium Grid 2 - Accent 61"/>
    <w:basedOn w:val="Standardowy"/>
    <w:next w:val="redniasiatka2akcent6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61">
    <w:name w:val="Medium Grid 3 - Accent 61"/>
    <w:basedOn w:val="Standardowy"/>
    <w:next w:val="redniasiatka3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6A6A6"/>
      </w:tcPr>
    </w:tblStylePr>
  </w:style>
  <w:style w:type="table" w:customStyle="1" w:styleId="DarkList-Accent61">
    <w:name w:val="Dark List - Accent 61"/>
    <w:basedOn w:val="Standardowy"/>
    <w:next w:val="Ciemnalistaakcent6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table" w:customStyle="1" w:styleId="ColorfulShading-Accent61">
    <w:name w:val="Colorful Shading - Accent 61"/>
    <w:basedOn w:val="Standardowy"/>
    <w:next w:val="Kolorowecieniowanieakcent6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0072BC"/>
        <w:insideV w:val="single" w:sz="4" w:space="0" w:color="0072BC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2E2E2E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61">
    <w:name w:val="Colorful List - Accent 61"/>
    <w:basedOn w:val="Standardowy"/>
    <w:next w:val="Kolorowalistaakcent6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EDEDED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customStyle="1" w:styleId="ColorfulGrid-Accent61">
    <w:name w:val="Colorful Grid - Accent 61"/>
    <w:basedOn w:val="Standardowy"/>
    <w:next w:val="Kolorowasiatkaakcent6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0072BC"/>
      </w:rPr>
      <w:tblPr/>
      <w:tcPr>
        <w:shd w:val="clear" w:color="auto" w:fill="393939"/>
      </w:tcPr>
    </w:tblStylePr>
    <w:tblStylePr w:type="lastCol">
      <w:rPr>
        <w:color w:val="0072BC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ECHRTable1">
    <w:name w:val="ECHR_Table1"/>
    <w:basedOn w:val="Standardowy"/>
    <w:rsid w:val="009120AB"/>
    <w:rPr>
      <w:lang w:val="en-GB"/>
    </w:rPr>
    <w:tblPr>
      <w:tblStyleRowBandSize w:val="1"/>
      <w:tblStyleColBandSize w:val="1"/>
      <w:tblInd w:w="0" w:type="nil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 w:cs="Times New Roman" w:hint="default"/>
        <w:b/>
        <w:i w:val="0"/>
        <w:color w:val="474747"/>
        <w:sz w:val="22"/>
        <w:szCs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2Horz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</w:style>
  <w:style w:type="table" w:customStyle="1" w:styleId="ECHRTableBoxHeader1">
    <w:name w:val="ECHR_Table_Box_Header1"/>
    <w:basedOn w:val="Standardowy"/>
    <w:rsid w:val="009120AB"/>
    <w:rPr>
      <w:rFonts w:ascii="Verdana" w:hAnsi="Verdana"/>
      <w:lang w:val="en-GB"/>
    </w:rPr>
    <w:tblPr>
      <w:tblInd w:w="0" w:type="nil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/>
    </w:tcPr>
    <w:tblStylePr w:type="firstCol">
      <w:rPr>
        <w:b/>
        <w:color w:val="5F5F5F"/>
      </w:rPr>
    </w:tblStylePr>
  </w:style>
  <w:style w:type="table" w:customStyle="1" w:styleId="LtrTableAddress1">
    <w:name w:val="Ltr_Table_Address1"/>
    <w:basedOn w:val="Standardowy"/>
    <w:uiPriority w:val="99"/>
    <w:rsid w:val="009120AB"/>
    <w:tblPr>
      <w:tblInd w:w="0" w:type="nil"/>
    </w:tblPr>
  </w:style>
  <w:style w:type="table" w:customStyle="1" w:styleId="UGTable1">
    <w:name w:val="UG_Table1"/>
    <w:basedOn w:val="Standardowy"/>
    <w:uiPriority w:val="99"/>
    <w:rsid w:val="009120AB"/>
    <w:rPr>
      <w:rFonts w:eastAsia="MS Mincho"/>
      <w:lang w:val="en-GB" w:eastAsia="en-GB"/>
    </w:rPr>
    <w:tblPr>
      <w:tblInd w:w="0" w:type="nil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1">
    <w:name w:val="UG_Table_White_Box1"/>
    <w:basedOn w:val="Standardowy"/>
    <w:uiPriority w:val="99"/>
    <w:rsid w:val="009120AB"/>
    <w:rPr>
      <w:rFonts w:eastAsia="MS Mincho"/>
      <w:lang w:val="en-GB" w:eastAsia="en-GB"/>
    </w:rPr>
    <w:tblPr>
      <w:tblInd w:w="0" w:type="nil"/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1">
    <w:name w:val="PCF_Table_Style1"/>
    <w:basedOn w:val="Standardowy"/>
    <w:uiPriority w:val="99"/>
    <w:rsid w:val="009120AB"/>
    <w:rPr>
      <w:color w:val="000000"/>
      <w:sz w:val="18"/>
    </w:rPr>
    <w:tblPr>
      <w:tblInd w:w="0" w:type="nil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center"/>
      </w:pPr>
      <w:rPr>
        <w:b/>
        <w:i w:val="0"/>
        <w:color w:val="FFFFFF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1">
    <w:name w:val="ECHR_Table_Fax1"/>
    <w:basedOn w:val="Standardowy"/>
    <w:uiPriority w:val="99"/>
    <w:rsid w:val="009120AB"/>
    <w:rPr>
      <w:color w:val="000000"/>
    </w:rPr>
    <w:tblPr>
      <w:tblInd w:w="0" w:type="nil"/>
      <w:tblBorders>
        <w:insideH w:val="single" w:sz="4" w:space="0" w:color="C6C6C6"/>
        <w:insideV w:val="single" w:sz="4" w:space="0" w:color="C6C6C6"/>
      </w:tblBorders>
      <w:tblCellMar>
        <w:top w:w="142" w:type="dxa"/>
        <w:bottom w:w="142" w:type="dxa"/>
      </w:tblCellMar>
    </w:tblPr>
  </w:style>
  <w:style w:type="table" w:customStyle="1" w:styleId="ECHRTableMemo1">
    <w:name w:val="ECHR_Table_Memo1"/>
    <w:basedOn w:val="Standardowy"/>
    <w:uiPriority w:val="99"/>
    <w:rsid w:val="009120AB"/>
    <w:tblPr>
      <w:tblInd w:w="0" w:type="nil"/>
      <w:tblCellMar>
        <w:top w:w="113" w:type="dxa"/>
        <w:left w:w="0" w:type="dxa"/>
        <w:bottom w:w="113" w:type="dxa"/>
        <w:right w:w="0" w:type="dxa"/>
      </w:tblCellMar>
    </w:tblPr>
    <w:tblStylePr w:type="lastRow">
      <w:tblPr/>
      <w:tcPr>
        <w:tcBorders>
          <w:top w:val="nil"/>
          <w:left w:val="nil"/>
          <w:bottom w:val="single" w:sz="4" w:space="0" w:color="949494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DNTable1">
    <w:name w:val="DN_Table1"/>
    <w:basedOn w:val="Standardowy"/>
    <w:uiPriority w:val="99"/>
    <w:rsid w:val="009120AB"/>
    <w:tblPr>
      <w:tblInd w:w="0" w:type="nil"/>
      <w:tblBorders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wordWrap/>
        <w:spacing w:beforeLines="0" w:before="0" w:beforeAutospacing="0"/>
        <w:ind w:leftChars="0" w:left="0"/>
      </w:pPr>
      <w:rPr>
        <w:rFonts w:ascii="Times New Roman" w:hAnsi="Times New Roman" w:cs="Times New Roman" w:hint="default"/>
        <w:b/>
        <w:i w:val="0"/>
        <w:color w:val="474747"/>
        <w:sz w:val="24"/>
        <w:szCs w:val="24"/>
      </w:rPr>
      <w:tblPr/>
      <w:tcPr>
        <w:tcBorders>
          <w:top w:val="single" w:sz="4" w:space="0" w:color="949494"/>
          <w:left w:val="single" w:sz="4" w:space="0" w:color="949494"/>
          <w:bottom w:val="nil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</w:style>
  <w:style w:type="table" w:customStyle="1" w:styleId="ECHRTableSimpleBox1">
    <w:name w:val="ECHR_Table_Simple_Box1"/>
    <w:basedOn w:val="Standardowy"/>
    <w:uiPriority w:val="99"/>
    <w:rsid w:val="009120AB"/>
    <w:tblPr>
      <w:tblInd w:w="0" w:type="nil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</w:tblBorders>
      <w:tblCellMar>
        <w:top w:w="113" w:type="dxa"/>
        <w:bottom w:w="113" w:type="dxa"/>
      </w:tblCellMar>
    </w:tblPr>
  </w:style>
  <w:style w:type="table" w:customStyle="1" w:styleId="ECHRTableNoLines1">
    <w:name w:val="ECHR_Table_No_Lines1"/>
    <w:basedOn w:val="Standardowy"/>
    <w:uiPriority w:val="99"/>
    <w:rsid w:val="009120AB"/>
    <w:tblPr>
      <w:tblInd w:w="0" w:type="nil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="Times New Roman" w:hAnsi="Times New Roman" w:cs="Times New Roman" w:hint="default"/>
        <w:b/>
        <w:i w:val="0"/>
        <w:color w:val="474747"/>
        <w:sz w:val="24"/>
        <w:szCs w:val="24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firstCol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</w:tcPr>
    </w:tblStylePr>
  </w:style>
  <w:style w:type="table" w:customStyle="1" w:styleId="ECHRTableForInternalUse1">
    <w:name w:val="ECHR_Table_For_Internal_Use1"/>
    <w:basedOn w:val="Standardowy"/>
    <w:uiPriority w:val="99"/>
    <w:rsid w:val="009120AB"/>
    <w:rPr>
      <w:color w:val="636363"/>
      <w:sz w:val="18"/>
    </w:rPr>
    <w:tblPr>
      <w:tblStyleColBandSize w:val="1"/>
      <w:tblInd w:w="0" w:type="nil"/>
      <w:tblCellMar>
        <w:top w:w="113" w:type="dxa"/>
        <w:bottom w:w="28" w:type="dxa"/>
      </w:tblCellMar>
    </w:tbl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</w:style>
  <w:style w:type="table" w:customStyle="1" w:styleId="ECHRListTable1">
    <w:name w:val="ECHR_List_Table1"/>
    <w:basedOn w:val="Standardowy"/>
    <w:uiPriority w:val="99"/>
    <w:rsid w:val="009120AB"/>
    <w:tblPr>
      <w:tblInd w:w="0" w:type="nil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b/>
        <w:color w:val="474747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  <w:style w:type="table" w:customStyle="1" w:styleId="ECHRHeaderTable1">
    <w:name w:val="ECHR_Header_Table1"/>
    <w:basedOn w:val="Standardowy"/>
    <w:uiPriority w:val="99"/>
    <w:rsid w:val="009120AB"/>
    <w:tblPr>
      <w:tblInd w:w="0" w:type="nil"/>
      <w:tblBorders>
        <w:bottom w:val="single" w:sz="6" w:space="0" w:color="949494"/>
      </w:tblBorders>
      <w:tblCellMar>
        <w:left w:w="0" w:type="dxa"/>
        <w:bottom w:w="28" w:type="dxa"/>
        <w:right w:w="0" w:type="dxa"/>
      </w:tblCellMar>
    </w:tblPr>
    <w:tcPr>
      <w:vAlign w:val="both"/>
    </w:tcPr>
    <w:tblStylePr w:type="lastCol">
      <w:pPr>
        <w:wordWrap/>
        <w:jc w:val="both"/>
      </w:pPr>
    </w:tblStylePr>
  </w:style>
  <w:style w:type="table" w:customStyle="1" w:styleId="ECHRTableOddBanded1">
    <w:name w:val="ECHR_Table_Odd_Banded1"/>
    <w:basedOn w:val="Standardowy"/>
    <w:uiPriority w:val="99"/>
    <w:rsid w:val="009120AB"/>
    <w:tblPr>
      <w:tblStyleRowBandSize w:val="1"/>
      <w:tblStyleColBandSize w:val="1"/>
      <w:tblInd w:w="0" w:type="nil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 w:cs="Times New Roman" w:hint="default"/>
        <w:b/>
        <w:i w:val="0"/>
        <w:color w:val="474747"/>
        <w:sz w:val="22"/>
        <w:szCs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1Horz">
      <w:rPr>
        <w:b/>
      </w:rPr>
      <w:tblPr/>
      <w:tcPr>
        <w:shd w:val="clear" w:color="auto" w:fill="DFDFDF"/>
      </w:tcPr>
    </w:tblStylePr>
  </w:style>
  <w:style w:type="table" w:customStyle="1" w:styleId="ECHRHeaderTableReduced1">
    <w:name w:val="ECHR_Header_Table_Reduced1"/>
    <w:basedOn w:val="Standardowy"/>
    <w:uiPriority w:val="99"/>
    <w:rsid w:val="009120AB"/>
    <w:tblPr>
      <w:tblInd w:w="0" w:type="nil"/>
      <w:tblCellMar>
        <w:left w:w="0" w:type="dxa"/>
        <w:right w:w="0" w:type="dxa"/>
      </w:tblCellMar>
    </w:tblPr>
    <w:tcPr>
      <w:vAlign w:val="both"/>
    </w:tcPr>
    <w:tblStylePr w:type="firstRow">
      <w:tblPr/>
      <w:tcPr>
        <w:tcBorders>
          <w:top w:val="nil"/>
          <w:left w:val="nil"/>
          <w:bottom w:val="single" w:sz="6" w:space="0" w:color="949494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HiChar">
    <w:name w:val="Ju_H_i Char"/>
    <w:link w:val="ECHRHeading5"/>
    <w:uiPriority w:val="23"/>
    <w:rsid w:val="00DE7391"/>
    <w:rPr>
      <w:rFonts w:ascii="Times New Roman" w:eastAsia="Times New Roman" w:hAnsi="Times New Roman" w:cs="Times New Roman"/>
      <w:bCs/>
      <w:i/>
      <w:sz w:val="20"/>
      <w:lang w:val="pl-PL" w:eastAsia="pl-PL"/>
    </w:rPr>
  </w:style>
  <w:style w:type="paragraph" w:customStyle="1" w:styleId="jupara">
    <w:name w:val="jupara"/>
    <w:basedOn w:val="Normalny"/>
    <w:rsid w:val="003C2190"/>
    <w:pPr>
      <w:ind w:firstLine="284"/>
    </w:pPr>
    <w:rPr>
      <w:szCs w:val="24"/>
    </w:rPr>
  </w:style>
  <w:style w:type="paragraph" w:customStyle="1" w:styleId="jucase0">
    <w:name w:val="jucase"/>
    <w:basedOn w:val="Normalny"/>
    <w:rsid w:val="003C2190"/>
    <w:pPr>
      <w:ind w:firstLine="284"/>
    </w:pPr>
    <w:rPr>
      <w:b/>
      <w:bCs/>
      <w:szCs w:val="24"/>
    </w:rPr>
  </w:style>
  <w:style w:type="character" w:customStyle="1" w:styleId="s4f807e54">
    <w:name w:val="s4f807e54"/>
    <w:basedOn w:val="Domylnaczcionkaakapitu"/>
    <w:uiPriority w:val="99"/>
    <w:rsid w:val="00C11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toa heading" w:unhideWhenUsed="0"/>
    <w:lsdException w:name="List Number" w:unhideWhenUsed="0"/>
    <w:lsdException w:name="List 2" w:unhideWhenUsed="0"/>
    <w:lsdException w:name="Title" w:semiHidden="0" w:unhideWhenUsed="0" w:qFormat="1"/>
    <w:lsdException w:name="Default Paragraph Font" w:uiPriority="1"/>
    <w:lsdException w:name="List Continue 4" w:unhideWhenUsed="0"/>
    <w:lsdException w:name="List Continue 5" w:unhideWhenUsed="0"/>
    <w:lsdException w:name="Message Header" w:unhideWhenUsed="0"/>
    <w:lsdException w:name="Subtitle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nhideWhenUsed="0"/>
    <w:lsdException w:name="TOC Heading" w:qFormat="1"/>
  </w:latentStyles>
  <w:style w:type="paragraph" w:default="1" w:styleId="Normalny">
    <w:name w:val="Normal"/>
    <w:semiHidden/>
    <w:rsid w:val="00DC5AB5"/>
    <w:pPr>
      <w:jc w:val="both"/>
    </w:pPr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C5AB5"/>
    <w:pPr>
      <w:spacing w:before="480"/>
      <w:contextualSpacing/>
      <w:outlineLvl w:val="0"/>
    </w:pPr>
    <w:rPr>
      <w:b/>
      <w:bCs/>
      <w:color w:val="33333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rsid w:val="00DC5AB5"/>
    <w:pPr>
      <w:spacing w:before="200"/>
      <w:outlineLvl w:val="1"/>
    </w:pPr>
    <w:rPr>
      <w:b/>
      <w:bCs/>
      <w:color w:val="4D4D4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rsid w:val="00DC5AB5"/>
    <w:pPr>
      <w:spacing w:before="200" w:line="271" w:lineRule="auto"/>
      <w:outlineLvl w:val="2"/>
    </w:pPr>
    <w:rPr>
      <w:b/>
      <w:bCs/>
      <w:color w:val="5F5F5F"/>
    </w:rPr>
  </w:style>
  <w:style w:type="paragraph" w:styleId="Nagwek4">
    <w:name w:val="heading 4"/>
    <w:basedOn w:val="Normalny"/>
    <w:next w:val="Normalny"/>
    <w:link w:val="Nagwek4Znak"/>
    <w:uiPriority w:val="99"/>
    <w:semiHidden/>
    <w:rsid w:val="00DC5AB5"/>
    <w:pPr>
      <w:spacing w:before="200"/>
      <w:outlineLvl w:val="3"/>
    </w:pPr>
    <w:rPr>
      <w:b/>
      <w:bCs/>
      <w:i/>
      <w:iCs/>
      <w:color w:val="777777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DC5AB5"/>
    <w:pPr>
      <w:spacing w:before="200"/>
      <w:outlineLvl w:val="4"/>
    </w:pPr>
    <w:rPr>
      <w:b/>
      <w:bCs/>
      <w:color w:val="808080"/>
      <w:sz w:val="22"/>
    </w:rPr>
  </w:style>
  <w:style w:type="paragraph" w:styleId="Nagwek6">
    <w:name w:val="heading 6"/>
    <w:basedOn w:val="Normalny"/>
    <w:next w:val="Normalny"/>
    <w:link w:val="Nagwek6Znak"/>
    <w:uiPriority w:val="99"/>
    <w:semiHidden/>
    <w:rsid w:val="00DC5AB5"/>
    <w:pPr>
      <w:spacing w:line="271" w:lineRule="auto"/>
      <w:outlineLvl w:val="5"/>
    </w:pPr>
    <w:rPr>
      <w:b/>
      <w:bCs/>
      <w:i/>
      <w:iCs/>
      <w:color w:val="7F7F7F"/>
      <w:lang w:bidi="en-US"/>
    </w:rPr>
  </w:style>
  <w:style w:type="paragraph" w:styleId="Nagwek7">
    <w:name w:val="heading 7"/>
    <w:basedOn w:val="Normalny"/>
    <w:next w:val="Normalny"/>
    <w:link w:val="Nagwek7Znak"/>
    <w:uiPriority w:val="99"/>
    <w:semiHidden/>
    <w:qFormat/>
    <w:rsid w:val="00DC5AB5"/>
    <w:pPr>
      <w:outlineLvl w:val="6"/>
    </w:pPr>
    <w:rPr>
      <w:i/>
      <w:iCs/>
      <w:sz w:val="22"/>
      <w:lang w:bidi="en-US"/>
    </w:rPr>
  </w:style>
  <w:style w:type="paragraph" w:styleId="Nagwek8">
    <w:name w:val="heading 8"/>
    <w:basedOn w:val="Normalny"/>
    <w:next w:val="Normalny"/>
    <w:link w:val="Nagwek8Znak"/>
    <w:uiPriority w:val="99"/>
    <w:semiHidden/>
    <w:qFormat/>
    <w:rsid w:val="00DC5AB5"/>
    <w:pPr>
      <w:outlineLvl w:val="7"/>
    </w:pPr>
    <w:rPr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9"/>
    <w:semiHidden/>
    <w:qFormat/>
    <w:rsid w:val="00DC5AB5"/>
    <w:pPr>
      <w:outlineLvl w:val="8"/>
    </w:pPr>
    <w:rPr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C5A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5AB5"/>
    <w:rPr>
      <w:rFonts w:ascii="Tahoma" w:eastAsia="Times New Roman" w:hAnsi="Tahoma" w:cs="Tahoma"/>
      <w:sz w:val="16"/>
      <w:szCs w:val="16"/>
      <w:lang w:val="pl-PL" w:eastAsia="pl-PL"/>
    </w:rPr>
  </w:style>
  <w:style w:type="character" w:styleId="Tytuksiki">
    <w:name w:val="Book Title"/>
    <w:uiPriority w:val="99"/>
    <w:semiHidden/>
    <w:qFormat/>
    <w:rsid w:val="00DC5AB5"/>
    <w:rPr>
      <w:i/>
      <w:iCs/>
      <w:smallCaps/>
      <w:spacing w:val="5"/>
      <w:lang w:val="pl-PL" w:eastAsia="pl-PL"/>
    </w:rPr>
  </w:style>
  <w:style w:type="paragraph" w:customStyle="1" w:styleId="ECHRHeader">
    <w:name w:val="ECHR_Header"/>
    <w:aliases w:val="Ju_Header"/>
    <w:basedOn w:val="Nagwek"/>
    <w:uiPriority w:val="4"/>
    <w:qFormat/>
    <w:rsid w:val="00DC5AB5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Stopka"/>
    <w:uiPriority w:val="57"/>
    <w:semiHidden/>
    <w:rsid w:val="00DC5AB5"/>
    <w:pPr>
      <w:jc w:val="left"/>
    </w:pPr>
    <w:rPr>
      <w:sz w:val="8"/>
    </w:rPr>
  </w:style>
  <w:style w:type="character" w:styleId="Pogrubienie">
    <w:name w:val="Strong"/>
    <w:uiPriority w:val="99"/>
    <w:semiHidden/>
    <w:qFormat/>
    <w:rsid w:val="00DC5AB5"/>
    <w:rPr>
      <w:b/>
      <w:bCs/>
      <w:lang w:val="pl-PL" w:eastAsia="pl-PL"/>
    </w:rPr>
  </w:style>
  <w:style w:type="paragraph" w:styleId="Bezodstpw">
    <w:name w:val="No Spacing"/>
    <w:basedOn w:val="Normalny"/>
    <w:link w:val="BezodstpwZnak"/>
    <w:semiHidden/>
    <w:qFormat/>
    <w:rsid w:val="00DC5AB5"/>
    <w:rPr>
      <w:sz w:val="22"/>
    </w:rPr>
  </w:style>
  <w:style w:type="character" w:customStyle="1" w:styleId="BezodstpwZnak">
    <w:name w:val="Bez odstępów Znak"/>
    <w:link w:val="Bezodstpw"/>
    <w:semiHidden/>
    <w:rsid w:val="00DC5AB5"/>
    <w:rPr>
      <w:rFonts w:eastAsia="Times New Roman"/>
      <w:lang w:val="pl-PL" w:eastAsia="pl-PL"/>
    </w:rPr>
  </w:style>
  <w:style w:type="paragraph" w:customStyle="1" w:styleId="ECHRFooterLine">
    <w:name w:val="ECHR_Footer_Line"/>
    <w:aliases w:val="Footer_Line"/>
    <w:basedOn w:val="Normalny"/>
    <w:next w:val="ECHRFooter"/>
    <w:uiPriority w:val="57"/>
    <w:semiHidden/>
    <w:rsid w:val="00DC5AB5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Normalny"/>
    <w:uiPriority w:val="5"/>
    <w:rsid w:val="00DC5AB5"/>
    <w:pPr>
      <w:numPr>
        <w:numId w:val="15"/>
      </w:numPr>
      <w:jc w:val="left"/>
    </w:pPr>
    <w:rPr>
      <w:b/>
    </w:rPr>
  </w:style>
  <w:style w:type="paragraph" w:customStyle="1" w:styleId="OpiPara">
    <w:name w:val="Opi_Para"/>
    <w:basedOn w:val="ECHRPara"/>
    <w:uiPriority w:val="46"/>
    <w:qFormat/>
    <w:rsid w:val="00DC5AB5"/>
  </w:style>
  <w:style w:type="paragraph" w:customStyle="1" w:styleId="JuParaSub">
    <w:name w:val="Ju_Para_Sub"/>
    <w:basedOn w:val="ECHRPara"/>
    <w:uiPriority w:val="13"/>
    <w:qFormat/>
    <w:rsid w:val="00DC5AB5"/>
    <w:pPr>
      <w:ind w:left="284"/>
    </w:pPr>
  </w:style>
  <w:style w:type="paragraph" w:customStyle="1" w:styleId="ECHRTitleCentre3">
    <w:name w:val="ECHR_Title_Centre_3"/>
    <w:aliases w:val="Ju_H_Article"/>
    <w:basedOn w:val="Normalny"/>
    <w:next w:val="ECHRParaQuote"/>
    <w:uiPriority w:val="27"/>
    <w:qFormat/>
    <w:rsid w:val="00DC5AB5"/>
    <w:pPr>
      <w:keepNext/>
      <w:keepLines/>
      <w:spacing w:before="240" w:after="120"/>
      <w:jc w:val="center"/>
      <w:outlineLvl w:val="3"/>
    </w:pPr>
    <w:rPr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ny"/>
    <w:next w:val="OpiPara"/>
    <w:uiPriority w:val="39"/>
    <w:qFormat/>
    <w:rsid w:val="00DC5AB5"/>
    <w:pPr>
      <w:keepNext/>
      <w:keepLines/>
      <w:spacing w:after="240"/>
      <w:jc w:val="center"/>
      <w:outlineLvl w:val="0"/>
    </w:pPr>
    <w:rPr>
      <w:sz w:val="28"/>
    </w:rPr>
  </w:style>
  <w:style w:type="paragraph" w:customStyle="1" w:styleId="JuQuotSub">
    <w:name w:val="Ju_Quot_Sub"/>
    <w:basedOn w:val="ECHRParaQuote"/>
    <w:uiPriority w:val="15"/>
    <w:qFormat/>
    <w:rsid w:val="00DC5AB5"/>
    <w:pPr>
      <w:ind w:left="567"/>
    </w:pPr>
  </w:style>
  <w:style w:type="paragraph" w:customStyle="1" w:styleId="OpiParaSub">
    <w:name w:val="Opi_Para_Sub"/>
    <w:basedOn w:val="JuParaSub"/>
    <w:uiPriority w:val="47"/>
    <w:qFormat/>
    <w:rsid w:val="00DC5AB5"/>
  </w:style>
  <w:style w:type="paragraph" w:customStyle="1" w:styleId="OpiQuot">
    <w:name w:val="Opi_Quot"/>
    <w:basedOn w:val="ECHRParaQuote"/>
    <w:uiPriority w:val="48"/>
    <w:qFormat/>
    <w:rsid w:val="00DC5AB5"/>
  </w:style>
  <w:style w:type="paragraph" w:customStyle="1" w:styleId="OpiQuotSub">
    <w:name w:val="Opi_Quot_Sub"/>
    <w:basedOn w:val="JuQuotSub"/>
    <w:uiPriority w:val="49"/>
    <w:qFormat/>
    <w:rsid w:val="00DC5AB5"/>
  </w:style>
  <w:style w:type="paragraph" w:customStyle="1" w:styleId="ECHRTitleCentre2">
    <w:name w:val="ECHR_Title_Centre_2"/>
    <w:aliases w:val="Dec_H_Case"/>
    <w:basedOn w:val="Normalny"/>
    <w:next w:val="ECHRPara"/>
    <w:uiPriority w:val="8"/>
    <w:rsid w:val="00DC5AB5"/>
    <w:pPr>
      <w:spacing w:after="240"/>
      <w:jc w:val="center"/>
      <w:outlineLvl w:val="0"/>
    </w:pPr>
  </w:style>
  <w:style w:type="paragraph" w:styleId="Tytu">
    <w:name w:val="Title"/>
    <w:basedOn w:val="Normalny"/>
    <w:next w:val="Normalny"/>
    <w:link w:val="TytuZnak"/>
    <w:uiPriority w:val="99"/>
    <w:semiHidden/>
    <w:qFormat/>
    <w:rsid w:val="00DC5AB5"/>
    <w:pPr>
      <w:pBdr>
        <w:bottom w:val="single" w:sz="4" w:space="1" w:color="auto"/>
      </w:pBdr>
      <w:contextualSpacing/>
    </w:pPr>
    <w:rPr>
      <w:spacing w:val="5"/>
      <w:sz w:val="52"/>
      <w:szCs w:val="52"/>
      <w:lang w:bidi="en-US"/>
    </w:rPr>
  </w:style>
  <w:style w:type="character" w:customStyle="1" w:styleId="TytuZnak">
    <w:name w:val="Tytuł Znak"/>
    <w:link w:val="Tytu"/>
    <w:uiPriority w:val="99"/>
    <w:semiHidden/>
    <w:rsid w:val="00DC5AB5"/>
    <w:rPr>
      <w:rFonts w:ascii="Times New Roman" w:eastAsia="Times New Roman" w:hAnsi="Times New Roman" w:cs="Times New Roman"/>
      <w:spacing w:val="5"/>
      <w:sz w:val="52"/>
      <w:szCs w:val="52"/>
      <w:lang w:val="pl-PL" w:eastAsia="pl-PL" w:bidi="en-US"/>
    </w:rPr>
  </w:style>
  <w:style w:type="paragraph" w:customStyle="1" w:styleId="ECHRHeading3">
    <w:name w:val="ECHR_Heading_3"/>
    <w:aliases w:val="Ju_H_1."/>
    <w:basedOn w:val="Nagwek3"/>
    <w:next w:val="ECHRPara"/>
    <w:link w:val="JuH1Char"/>
    <w:uiPriority w:val="21"/>
    <w:qFormat/>
    <w:rsid w:val="00DC5AB5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000000"/>
    </w:rPr>
  </w:style>
  <w:style w:type="paragraph" w:customStyle="1" w:styleId="ECHRHeading4">
    <w:name w:val="ECHR_Heading_4"/>
    <w:aliases w:val="Ju_H_a"/>
    <w:basedOn w:val="Nagwek4"/>
    <w:next w:val="ECHRPara"/>
    <w:link w:val="JuHaChar"/>
    <w:uiPriority w:val="22"/>
    <w:qFormat/>
    <w:rsid w:val="00DC5AB5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000000"/>
      <w:sz w:val="20"/>
    </w:rPr>
  </w:style>
  <w:style w:type="paragraph" w:customStyle="1" w:styleId="ECHRHeading5">
    <w:name w:val="ECHR_Heading_5"/>
    <w:aliases w:val="Ju_H_i"/>
    <w:basedOn w:val="Nagwek5"/>
    <w:next w:val="ECHRPara"/>
    <w:link w:val="JuHiChar"/>
    <w:uiPriority w:val="23"/>
    <w:qFormat/>
    <w:rsid w:val="00DC5AB5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000000"/>
      <w:sz w:val="20"/>
    </w:rPr>
  </w:style>
  <w:style w:type="paragraph" w:customStyle="1" w:styleId="ECHRHeading6">
    <w:name w:val="ECHR_Heading_6"/>
    <w:aliases w:val="Ju_H_alpha"/>
    <w:basedOn w:val="Nagwek6"/>
    <w:next w:val="ECHRPara"/>
    <w:uiPriority w:val="24"/>
    <w:qFormat/>
    <w:rsid w:val="00DC5AB5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000000"/>
      <w:sz w:val="20"/>
    </w:rPr>
  </w:style>
  <w:style w:type="paragraph" w:customStyle="1" w:styleId="ECHRHeading7">
    <w:name w:val="ECHR_Heading_7"/>
    <w:aliases w:val="Ju_H_–"/>
    <w:basedOn w:val="Nagwek7"/>
    <w:next w:val="ECHRPara"/>
    <w:uiPriority w:val="25"/>
    <w:qFormat/>
    <w:rsid w:val="00DC5AB5"/>
    <w:pPr>
      <w:keepNext/>
      <w:keepLines/>
      <w:spacing w:before="240" w:after="120"/>
      <w:ind w:left="1236"/>
    </w:pPr>
    <w:rPr>
      <w:sz w:val="20"/>
    </w:rPr>
  </w:style>
  <w:style w:type="paragraph" w:customStyle="1" w:styleId="JuTitle">
    <w:name w:val="Ju_Title"/>
    <w:basedOn w:val="Normalny"/>
    <w:next w:val="ECHRPara"/>
    <w:uiPriority w:val="3"/>
    <w:rsid w:val="00DC5AB5"/>
    <w:pPr>
      <w:spacing w:before="720" w:after="240"/>
      <w:jc w:val="center"/>
      <w:outlineLvl w:val="0"/>
    </w:pPr>
    <w:rPr>
      <w:b/>
      <w:caps/>
    </w:rPr>
  </w:style>
  <w:style w:type="paragraph" w:customStyle="1" w:styleId="JuInitialled">
    <w:name w:val="Ju_Initialled"/>
    <w:basedOn w:val="Normalny"/>
    <w:uiPriority w:val="31"/>
    <w:qFormat/>
    <w:rsid w:val="00DC5AB5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DC5AB5"/>
    <w:pPr>
      <w:tabs>
        <w:tab w:val="clear" w:pos="357"/>
      </w:tabs>
      <w:outlineLvl w:val="1"/>
    </w:pPr>
    <w:rPr>
      <w:b/>
    </w:rPr>
  </w:style>
  <w:style w:type="paragraph" w:styleId="Nagwek">
    <w:name w:val="header"/>
    <w:basedOn w:val="Normalny"/>
    <w:link w:val="NagwekZnak"/>
    <w:uiPriority w:val="57"/>
    <w:rsid w:val="00DC5A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57"/>
    <w:rsid w:val="00DC5AB5"/>
    <w:rPr>
      <w:sz w:val="24"/>
      <w:lang w:val="pl-PL" w:eastAsia="pl-PL"/>
    </w:rPr>
  </w:style>
  <w:style w:type="character" w:customStyle="1" w:styleId="Nagwek1Znak">
    <w:name w:val="Nagłówek 1 Znak"/>
    <w:link w:val="Nagwek1"/>
    <w:uiPriority w:val="99"/>
    <w:rsid w:val="00DC5AB5"/>
    <w:rPr>
      <w:rFonts w:ascii="Times New Roman" w:eastAsia="Times New Roman" w:hAnsi="Times New Roman" w:cs="Times New Roman"/>
      <w:b/>
      <w:bCs/>
      <w:color w:val="333333"/>
      <w:sz w:val="28"/>
      <w:szCs w:val="28"/>
      <w:lang w:val="pl-PL" w:eastAsia="pl-PL"/>
    </w:rPr>
  </w:style>
  <w:style w:type="paragraph" w:customStyle="1" w:styleId="ECHRHeading1">
    <w:name w:val="ECHR_Heading_1"/>
    <w:aliases w:val="Ju_H_I_Roman"/>
    <w:basedOn w:val="Nagwek1"/>
    <w:next w:val="ECHRPara"/>
    <w:link w:val="JuHIRomanChar"/>
    <w:uiPriority w:val="19"/>
    <w:qFormat/>
    <w:rsid w:val="00DC5AB5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000000"/>
      <w:sz w:val="24"/>
    </w:rPr>
  </w:style>
  <w:style w:type="paragraph" w:customStyle="1" w:styleId="ECHRHeading2">
    <w:name w:val="ECHR_Heading_2"/>
    <w:aliases w:val="Ju_H_A,Head_2"/>
    <w:basedOn w:val="Nagwek2"/>
    <w:next w:val="ECHRPara"/>
    <w:uiPriority w:val="20"/>
    <w:qFormat/>
    <w:rsid w:val="00DC5AB5"/>
    <w:pPr>
      <w:keepNext/>
      <w:keepLines/>
      <w:tabs>
        <w:tab w:val="left" w:pos="584"/>
      </w:tabs>
      <w:spacing w:before="360" w:after="240"/>
      <w:ind w:left="584" w:hanging="352"/>
    </w:pPr>
    <w:rPr>
      <w:color w:val="000000"/>
      <w:sz w:val="24"/>
    </w:rPr>
  </w:style>
  <w:style w:type="character" w:customStyle="1" w:styleId="Nagwek2Znak">
    <w:name w:val="Nagłówek 2 Znak"/>
    <w:link w:val="Nagwek2"/>
    <w:uiPriority w:val="99"/>
    <w:semiHidden/>
    <w:rsid w:val="00DC5AB5"/>
    <w:rPr>
      <w:rFonts w:ascii="Times New Roman" w:eastAsia="Times New Roman" w:hAnsi="Times New Roman" w:cs="Times New Roman"/>
      <w:b/>
      <w:bCs/>
      <w:color w:val="4D4D4D"/>
      <w:sz w:val="26"/>
      <w:szCs w:val="26"/>
      <w:lang w:val="pl-PL" w:eastAsia="pl-PL"/>
    </w:rPr>
  </w:style>
  <w:style w:type="character" w:customStyle="1" w:styleId="JUNAMES">
    <w:name w:val="JU_NAMES"/>
    <w:uiPriority w:val="17"/>
    <w:qFormat/>
    <w:rsid w:val="00DC5AB5"/>
    <w:rPr>
      <w:smallCaps/>
      <w:lang w:val="pl-PL" w:eastAsia="pl-PL"/>
    </w:rPr>
  </w:style>
  <w:style w:type="paragraph" w:customStyle="1" w:styleId="ECHRDecisionBody">
    <w:name w:val="ECHR_Decision_Body"/>
    <w:aliases w:val="Ju_Judges"/>
    <w:basedOn w:val="Normalny"/>
    <w:uiPriority w:val="11"/>
    <w:qFormat/>
    <w:rsid w:val="00DC5AB5"/>
    <w:pPr>
      <w:tabs>
        <w:tab w:val="left" w:pos="567"/>
        <w:tab w:val="left" w:pos="1134"/>
      </w:tabs>
      <w:jc w:val="left"/>
    </w:pPr>
  </w:style>
  <w:style w:type="character" w:customStyle="1" w:styleId="Nagwek3Znak">
    <w:name w:val="Nagłówek 3 Znak"/>
    <w:link w:val="Nagwek3"/>
    <w:uiPriority w:val="99"/>
    <w:semiHidden/>
    <w:rsid w:val="00DC5AB5"/>
    <w:rPr>
      <w:rFonts w:ascii="Times New Roman" w:eastAsia="Times New Roman" w:hAnsi="Times New Roman" w:cs="Times New Roman"/>
      <w:b/>
      <w:bCs/>
      <w:color w:val="5F5F5F"/>
      <w:sz w:val="24"/>
      <w:lang w:val="pl-PL" w:eastAsia="pl-PL"/>
    </w:rPr>
  </w:style>
  <w:style w:type="paragraph" w:customStyle="1" w:styleId="ECHRPara">
    <w:name w:val="ECHR_Para"/>
    <w:aliases w:val="Ju_Para"/>
    <w:basedOn w:val="Normalny"/>
    <w:link w:val="ECHRParaChar"/>
    <w:uiPriority w:val="12"/>
    <w:qFormat/>
    <w:rsid w:val="00DC5AB5"/>
    <w:pPr>
      <w:ind w:firstLine="284"/>
    </w:pPr>
  </w:style>
  <w:style w:type="character" w:customStyle="1" w:styleId="Nagwek4Znak">
    <w:name w:val="Nagłówek 4 Znak"/>
    <w:link w:val="Nagwek4"/>
    <w:uiPriority w:val="99"/>
    <w:semiHidden/>
    <w:rsid w:val="00DC5AB5"/>
    <w:rPr>
      <w:rFonts w:ascii="Times New Roman" w:eastAsia="Times New Roman" w:hAnsi="Times New Roman" w:cs="Times New Roman"/>
      <w:b/>
      <w:bCs/>
      <w:i/>
      <w:iCs/>
      <w:color w:val="777777"/>
      <w:sz w:val="24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rsid w:val="00DC5AB5"/>
    <w:rPr>
      <w:rFonts w:ascii="Times New Roman" w:eastAsia="Times New Roman" w:hAnsi="Times New Roman" w:cs="Times New Roman"/>
      <w:b/>
      <w:bCs/>
      <w:color w:val="808080"/>
      <w:lang w:val="pl-PL" w:eastAsia="pl-PL"/>
    </w:rPr>
  </w:style>
  <w:style w:type="character" w:styleId="Wyrnieniedelikatne">
    <w:name w:val="Subtle Emphasis"/>
    <w:uiPriority w:val="99"/>
    <w:semiHidden/>
    <w:qFormat/>
    <w:rsid w:val="00DC5AB5"/>
    <w:rPr>
      <w:i/>
      <w:iCs/>
      <w:lang w:val="pl-PL" w:eastAsia="pl-PL"/>
    </w:rPr>
  </w:style>
  <w:style w:type="table" w:customStyle="1" w:styleId="ECHRTable">
    <w:name w:val="ECHR_Table"/>
    <w:basedOn w:val="Standardowy"/>
    <w:rsid w:val="00860B03"/>
    <w:rPr>
      <w:lang w:val="en-GB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/>
        <w:b/>
        <w:i w:val="0"/>
        <w:color w:val="474747"/>
        <w:sz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2Horz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</w:style>
  <w:style w:type="table" w:customStyle="1" w:styleId="ECHRTableBoxHeader">
    <w:name w:val="ECHR_Table_Box_Header"/>
    <w:basedOn w:val="Standardowy"/>
    <w:rsid w:val="004C086C"/>
    <w:rPr>
      <w:rFonts w:ascii="Verdana" w:hAnsi="Verdana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/>
    </w:tcPr>
    <w:tblStylePr w:type="firstCol">
      <w:rPr>
        <w:b/>
        <w:color w:val="5F5F5F"/>
      </w:rPr>
    </w:tblStylePr>
  </w:style>
  <w:style w:type="paragraph" w:customStyle="1" w:styleId="ECHRTitle1">
    <w:name w:val="ECHR_Title_1"/>
    <w:aliases w:val="Ju_H_Head,Title_L_1"/>
    <w:basedOn w:val="Normalny"/>
    <w:next w:val="ECHRPara"/>
    <w:uiPriority w:val="18"/>
    <w:qFormat/>
    <w:rsid w:val="00DC5AB5"/>
    <w:pPr>
      <w:keepNext/>
      <w:keepLines/>
      <w:spacing w:before="720" w:after="240"/>
      <w:outlineLvl w:val="0"/>
    </w:pPr>
    <w:rPr>
      <w:sz w:val="28"/>
    </w:rPr>
  </w:style>
  <w:style w:type="character" w:styleId="Uwydatnienie">
    <w:name w:val="Emphasis"/>
    <w:uiPriority w:val="99"/>
    <w:semiHidden/>
    <w:qFormat/>
    <w:rsid w:val="00DC5AB5"/>
    <w:rPr>
      <w:b/>
      <w:bCs/>
      <w:i/>
      <w:iCs/>
      <w:spacing w:val="10"/>
      <w:bdr w:val="none" w:sz="0" w:space="0" w:color="auto"/>
      <w:lang w:val="pl-PL" w:eastAsia="pl-PL"/>
    </w:rPr>
  </w:style>
  <w:style w:type="paragraph" w:styleId="Stopka">
    <w:name w:val="footer"/>
    <w:basedOn w:val="Normalny"/>
    <w:link w:val="StopkaZnak"/>
    <w:uiPriority w:val="57"/>
    <w:semiHidden/>
    <w:rsid w:val="00DC5AB5"/>
    <w:pPr>
      <w:tabs>
        <w:tab w:val="center" w:pos="4536"/>
        <w:tab w:val="right" w:pos="9696"/>
      </w:tabs>
      <w:ind w:left="-680" w:right="-680"/>
    </w:pPr>
  </w:style>
  <w:style w:type="character" w:customStyle="1" w:styleId="StopkaZnak">
    <w:name w:val="Stopka Znak"/>
    <w:link w:val="Stopka"/>
    <w:uiPriority w:val="57"/>
    <w:semiHidden/>
    <w:rsid w:val="00DC5AB5"/>
    <w:rPr>
      <w:sz w:val="24"/>
      <w:lang w:val="pl-PL" w:eastAsia="pl-PL"/>
    </w:rPr>
  </w:style>
  <w:style w:type="character" w:styleId="Odwoanieprzypisudolnego">
    <w:name w:val="footnote reference"/>
    <w:uiPriority w:val="99"/>
    <w:semiHidden/>
    <w:rsid w:val="00DC5AB5"/>
    <w:rPr>
      <w:vertAlign w:val="superscript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C5A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C5AB5"/>
    <w:rPr>
      <w:rFonts w:eastAsia="Times New Roman"/>
      <w:sz w:val="20"/>
      <w:szCs w:val="20"/>
      <w:lang w:val="pl-PL" w:eastAsia="pl-PL"/>
    </w:rPr>
  </w:style>
  <w:style w:type="character" w:customStyle="1" w:styleId="Nagwek6Znak">
    <w:name w:val="Nagłówek 6 Znak"/>
    <w:link w:val="Nagwek6"/>
    <w:uiPriority w:val="99"/>
    <w:semiHidden/>
    <w:rsid w:val="00DC5AB5"/>
    <w:rPr>
      <w:rFonts w:ascii="Times New Roman" w:eastAsia="Times New Roman" w:hAnsi="Times New Roman" w:cs="Times New Roman"/>
      <w:b/>
      <w:bCs/>
      <w:i/>
      <w:iCs/>
      <w:color w:val="7F7F7F"/>
      <w:sz w:val="24"/>
      <w:lang w:val="pl-PL" w:eastAsia="pl-PL" w:bidi="en-US"/>
    </w:rPr>
  </w:style>
  <w:style w:type="character" w:customStyle="1" w:styleId="Nagwek7Znak">
    <w:name w:val="Nagłówek 7 Znak"/>
    <w:link w:val="Nagwek7"/>
    <w:uiPriority w:val="99"/>
    <w:semiHidden/>
    <w:rsid w:val="00DC5AB5"/>
    <w:rPr>
      <w:rFonts w:ascii="Times New Roman" w:eastAsia="Times New Roman" w:hAnsi="Times New Roman" w:cs="Times New Roman"/>
      <w:i/>
      <w:iCs/>
      <w:lang w:val="pl-PL" w:eastAsia="pl-PL" w:bidi="en-US"/>
    </w:rPr>
  </w:style>
  <w:style w:type="character" w:customStyle="1" w:styleId="Nagwek8Znak">
    <w:name w:val="Nagłówek 8 Znak"/>
    <w:link w:val="Nagwek8"/>
    <w:uiPriority w:val="99"/>
    <w:semiHidden/>
    <w:rsid w:val="00DC5AB5"/>
    <w:rPr>
      <w:rFonts w:ascii="Times New Roman" w:eastAsia="Times New Roman" w:hAnsi="Times New Roman" w:cs="Times New Roman"/>
      <w:sz w:val="20"/>
      <w:szCs w:val="20"/>
      <w:lang w:val="pl-PL" w:eastAsia="pl-PL" w:bidi="en-US"/>
    </w:rPr>
  </w:style>
  <w:style w:type="character" w:customStyle="1" w:styleId="Nagwek9Znak">
    <w:name w:val="Nagłówek 9 Znak"/>
    <w:link w:val="Nagwek9"/>
    <w:uiPriority w:val="99"/>
    <w:semiHidden/>
    <w:rsid w:val="00DC5AB5"/>
    <w:rPr>
      <w:rFonts w:ascii="Times New Roman" w:eastAsia="Times New Roman" w:hAnsi="Times New Roman" w:cs="Times New Roman"/>
      <w:i/>
      <w:iCs/>
      <w:spacing w:val="5"/>
      <w:sz w:val="20"/>
      <w:szCs w:val="20"/>
      <w:lang w:val="pl-PL" w:eastAsia="pl-PL" w:bidi="en-US"/>
    </w:rPr>
  </w:style>
  <w:style w:type="character" w:styleId="Hipercze">
    <w:name w:val="Hyperlink"/>
    <w:uiPriority w:val="99"/>
    <w:semiHidden/>
    <w:rsid w:val="00DC5AB5"/>
    <w:rPr>
      <w:color w:val="0072BC"/>
      <w:u w:val="single"/>
      <w:lang w:val="pl-PL" w:eastAsia="pl-PL"/>
    </w:rPr>
  </w:style>
  <w:style w:type="character" w:styleId="Wyrnienieintensywne">
    <w:name w:val="Intense Emphasis"/>
    <w:uiPriority w:val="99"/>
    <w:semiHidden/>
    <w:qFormat/>
    <w:rsid w:val="00DC5AB5"/>
    <w:rPr>
      <w:b/>
      <w:bCs/>
      <w:lang w:val="pl-PL" w:eastAsia="pl-PL"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qFormat/>
    <w:rsid w:val="00DC5AB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CytatintensywnyZnak">
    <w:name w:val="Cytat intensywny Znak"/>
    <w:link w:val="Cytatintensywny"/>
    <w:uiPriority w:val="99"/>
    <w:semiHidden/>
    <w:rsid w:val="00DC5AB5"/>
    <w:rPr>
      <w:rFonts w:eastAsia="Times New Roman"/>
      <w:b/>
      <w:bCs/>
      <w:i/>
      <w:iCs/>
      <w:lang w:val="pl-PL" w:eastAsia="pl-PL" w:bidi="en-US"/>
    </w:rPr>
  </w:style>
  <w:style w:type="character" w:styleId="Odwoanieintensywne">
    <w:name w:val="Intense Reference"/>
    <w:uiPriority w:val="99"/>
    <w:semiHidden/>
    <w:qFormat/>
    <w:rsid w:val="00DC5AB5"/>
    <w:rPr>
      <w:smallCaps/>
      <w:spacing w:val="5"/>
      <w:u w:val="single"/>
      <w:lang w:val="pl-PL" w:eastAsia="pl-PL"/>
    </w:rPr>
  </w:style>
  <w:style w:type="paragraph" w:styleId="Akapitzlist">
    <w:name w:val="List Paragraph"/>
    <w:basedOn w:val="Normalny"/>
    <w:uiPriority w:val="99"/>
    <w:semiHidden/>
    <w:qFormat/>
    <w:rsid w:val="00DC5AB5"/>
    <w:pPr>
      <w:ind w:left="720"/>
      <w:contextualSpacing/>
    </w:pPr>
  </w:style>
  <w:style w:type="table" w:customStyle="1" w:styleId="LtrTableAddress">
    <w:name w:val="Ltr_Table_Address"/>
    <w:basedOn w:val="Standardowy"/>
    <w:uiPriority w:val="99"/>
    <w:rsid w:val="001E6F32"/>
    <w:tblPr>
      <w:tblInd w:w="5103" w:type="dxa"/>
    </w:tblPr>
  </w:style>
  <w:style w:type="paragraph" w:styleId="Cytat">
    <w:name w:val="Quote"/>
    <w:basedOn w:val="Normalny"/>
    <w:next w:val="Normalny"/>
    <w:link w:val="CytatZnak"/>
    <w:uiPriority w:val="99"/>
    <w:semiHidden/>
    <w:qFormat/>
    <w:rsid w:val="00DC5AB5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CytatZnak">
    <w:name w:val="Cytat Znak"/>
    <w:link w:val="Cytat"/>
    <w:uiPriority w:val="99"/>
    <w:semiHidden/>
    <w:rsid w:val="00DC5AB5"/>
    <w:rPr>
      <w:rFonts w:eastAsia="Times New Roman"/>
      <w:i/>
      <w:iCs/>
      <w:lang w:val="pl-PL" w:eastAsia="pl-PL" w:bidi="en-US"/>
    </w:rPr>
  </w:style>
  <w:style w:type="character" w:styleId="Odwoaniedelikatne">
    <w:name w:val="Subtle Reference"/>
    <w:uiPriority w:val="99"/>
    <w:semiHidden/>
    <w:qFormat/>
    <w:rsid w:val="00DC5AB5"/>
    <w:rPr>
      <w:smallCaps/>
      <w:lang w:val="pl-PL" w:eastAsia="pl-PL"/>
    </w:rPr>
  </w:style>
  <w:style w:type="table" w:styleId="Tabela-Siatka">
    <w:name w:val="Table Grid"/>
    <w:basedOn w:val="Standardowy"/>
    <w:uiPriority w:val="59"/>
    <w:semiHidden/>
    <w:rsid w:val="00DC5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99"/>
    <w:semiHidden/>
    <w:rsid w:val="00DC5AB5"/>
    <w:pPr>
      <w:spacing w:before="120" w:after="60"/>
      <w:ind w:left="340" w:right="340" w:hanging="340"/>
    </w:pPr>
    <w:rPr>
      <w:color w:val="0D0D0D"/>
    </w:rPr>
  </w:style>
  <w:style w:type="paragraph" w:styleId="Spistreci2">
    <w:name w:val="toc 2"/>
    <w:basedOn w:val="Normalny"/>
    <w:next w:val="Normalny"/>
    <w:autoRedefine/>
    <w:uiPriority w:val="99"/>
    <w:semiHidden/>
    <w:rsid w:val="00DC5AB5"/>
    <w:pPr>
      <w:spacing w:after="60"/>
      <w:ind w:left="680" w:right="340" w:hanging="340"/>
    </w:pPr>
  </w:style>
  <w:style w:type="paragraph" w:styleId="Spistreci3">
    <w:name w:val="toc 3"/>
    <w:basedOn w:val="Normalny"/>
    <w:next w:val="Normalny"/>
    <w:autoRedefine/>
    <w:uiPriority w:val="99"/>
    <w:semiHidden/>
    <w:rsid w:val="00DC5AB5"/>
    <w:pPr>
      <w:spacing w:after="60"/>
      <w:ind w:left="1020" w:right="340" w:hanging="340"/>
    </w:pPr>
  </w:style>
  <w:style w:type="paragraph" w:styleId="Spistreci4">
    <w:name w:val="toc 4"/>
    <w:basedOn w:val="Normalny"/>
    <w:next w:val="Normalny"/>
    <w:autoRedefine/>
    <w:uiPriority w:val="99"/>
    <w:semiHidden/>
    <w:rsid w:val="00DC5AB5"/>
    <w:pPr>
      <w:tabs>
        <w:tab w:val="right" w:leader="dot" w:pos="9017"/>
      </w:tabs>
      <w:spacing w:after="60"/>
      <w:ind w:left="1361" w:right="340" w:hanging="340"/>
    </w:pPr>
  </w:style>
  <w:style w:type="paragraph" w:styleId="Spistreci5">
    <w:name w:val="toc 5"/>
    <w:basedOn w:val="Normalny"/>
    <w:next w:val="Normalny"/>
    <w:autoRedefine/>
    <w:uiPriority w:val="99"/>
    <w:semiHidden/>
    <w:rsid w:val="00DC5AB5"/>
    <w:pPr>
      <w:spacing w:after="60"/>
      <w:ind w:left="1701" w:right="340" w:hanging="340"/>
    </w:pPr>
  </w:style>
  <w:style w:type="paragraph" w:styleId="Nagwekspisutreci">
    <w:name w:val="TOC Heading"/>
    <w:basedOn w:val="Nagwek1"/>
    <w:next w:val="Normalny"/>
    <w:uiPriority w:val="99"/>
    <w:semiHidden/>
    <w:qFormat/>
    <w:rsid w:val="00DC5AB5"/>
    <w:pPr>
      <w:outlineLvl w:val="9"/>
    </w:pPr>
    <w:rPr>
      <w:color w:val="474747"/>
    </w:rPr>
  </w:style>
  <w:style w:type="table" w:customStyle="1" w:styleId="UGTable">
    <w:name w:val="UG_Table"/>
    <w:basedOn w:val="Standardowy"/>
    <w:uiPriority w:val="99"/>
    <w:rsid w:val="00801300"/>
    <w:rPr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Standardowy"/>
    <w:uiPriority w:val="99"/>
    <w:rsid w:val="00801300"/>
    <w:rPr>
      <w:lang w:val="en-GB" w:eastAsia="en-GB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Standardowy"/>
    <w:uiPriority w:val="99"/>
    <w:rsid w:val="00810B38"/>
    <w:rPr>
      <w:color w:val="000000"/>
      <w:sz w:val="18"/>
    </w:rPr>
    <w:tblPr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Standardowy"/>
    <w:uiPriority w:val="99"/>
    <w:rsid w:val="00893576"/>
    <w:rPr>
      <w:color w:val="000000"/>
    </w:rPr>
    <w:tblPr>
      <w:tblInd w:w="-680" w:type="dxa"/>
      <w:tblBorders>
        <w:insideH w:val="single" w:sz="4" w:space="0" w:color="C6C6C6"/>
        <w:insideV w:val="single" w:sz="4" w:space="0" w:color="C6C6C6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Standardowy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Standardowy"/>
    <w:uiPriority w:val="99"/>
    <w:rsid w:val="0090506B"/>
    <w:tblPr>
      <w:jc w:val="center"/>
      <w:tblBorders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="Times New Roman" w:hAnsi="Times New Roman"/>
        <w:b/>
        <w:i w:val="0"/>
        <w:color w:val="474747"/>
        <w:sz w:val="24"/>
      </w:rPr>
      <w:tblPr/>
      <w:tcPr>
        <w:tcBorders>
          <w:top w:val="single" w:sz="4" w:space="0" w:color="949494"/>
          <w:left w:val="single" w:sz="4" w:space="0" w:color="949494"/>
          <w:bottom w:val="nil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</w:style>
  <w:style w:type="paragraph" w:styleId="Nagwekwykazurde">
    <w:name w:val="toa heading"/>
    <w:basedOn w:val="Normalny"/>
    <w:next w:val="Normalny"/>
    <w:uiPriority w:val="99"/>
    <w:semiHidden/>
    <w:rsid w:val="00DC5AB5"/>
    <w:pPr>
      <w:spacing w:before="120"/>
    </w:pPr>
    <w:rPr>
      <w:b/>
      <w:bCs/>
      <w:color w:val="474747"/>
      <w:szCs w:val="24"/>
    </w:rPr>
  </w:style>
  <w:style w:type="paragraph" w:customStyle="1" w:styleId="ECHRParaQuote">
    <w:name w:val="ECHR_Para_Quote"/>
    <w:aliases w:val="Ju_Quot,Para_Quote"/>
    <w:basedOn w:val="Normalny"/>
    <w:link w:val="JuQuotChar"/>
    <w:uiPriority w:val="14"/>
    <w:qFormat/>
    <w:rsid w:val="00DC5AB5"/>
    <w:pPr>
      <w:spacing w:before="120" w:after="120"/>
      <w:ind w:left="425" w:firstLine="142"/>
    </w:pPr>
    <w:rPr>
      <w:sz w:val="20"/>
    </w:rPr>
  </w:style>
  <w:style w:type="table" w:customStyle="1" w:styleId="ECHRTableSimpleBox">
    <w:name w:val="ECHR_Table_Simple_Box"/>
    <w:basedOn w:val="Standardowy"/>
    <w:uiPriority w:val="99"/>
    <w:rsid w:val="00AE354C"/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Standardowy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="Times New Roman" w:hAnsi="Times New Roman"/>
        <w:b/>
        <w:i w:val="0"/>
        <w:color w:val="474747"/>
        <w:sz w:val="24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firstCol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</w:tcPr>
    </w:tblStylePr>
  </w:style>
  <w:style w:type="table" w:customStyle="1" w:styleId="ECHRTableForInternalUse">
    <w:name w:val="ECHR_Table_For_Internal_Use"/>
    <w:basedOn w:val="Standardowy"/>
    <w:uiPriority w:val="99"/>
    <w:rsid w:val="005474E7"/>
    <w:rPr>
      <w:color w:val="636363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</w:style>
  <w:style w:type="table" w:customStyle="1" w:styleId="ECHRListTable">
    <w:name w:val="ECHR_List_Table"/>
    <w:basedOn w:val="Standardowy"/>
    <w:uiPriority w:val="99"/>
    <w:rsid w:val="00DC5AB5"/>
    <w:tblPr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b/>
        <w:color w:val="474747"/>
      </w:rPr>
      <w:tblPr/>
      <w:trPr>
        <w:tblHeader/>
      </w:trPr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  <w:style w:type="table" w:customStyle="1" w:styleId="ECHRHeaderTable">
    <w:name w:val="ECHR_Header_Table"/>
    <w:basedOn w:val="Standardowy"/>
    <w:uiPriority w:val="99"/>
    <w:rsid w:val="00661971"/>
    <w:tblPr>
      <w:tblInd w:w="-680" w:type="dxa"/>
      <w:tblBorders>
        <w:bottom w:val="single" w:sz="6" w:space="0" w:color="949494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Standardowy"/>
    <w:uiPriority w:val="99"/>
    <w:rsid w:val="00860B03"/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/>
        <w:b/>
        <w:i w:val="0"/>
        <w:color w:val="474747"/>
        <w:sz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1Horz">
      <w:rPr>
        <w:b/>
      </w:rPr>
      <w:tblPr/>
      <w:tcPr>
        <w:shd w:val="clear" w:color="auto" w:fill="DFDFDF"/>
      </w:tcPr>
    </w:tblStylePr>
  </w:style>
  <w:style w:type="table" w:customStyle="1" w:styleId="ECHRHeaderTableReduced">
    <w:name w:val="ECHR_Header_Table_Reduced"/>
    <w:basedOn w:val="Standardowy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Signed">
    <w:name w:val="Ju_Signed"/>
    <w:basedOn w:val="Normalny"/>
    <w:next w:val="JuParaLast"/>
    <w:uiPriority w:val="32"/>
    <w:qFormat/>
    <w:rsid w:val="00DC5AB5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Normalny"/>
    <w:next w:val="ECHRPara"/>
    <w:uiPriority w:val="30"/>
    <w:qFormat/>
    <w:rsid w:val="00DC5AB5"/>
    <w:pPr>
      <w:keepNext/>
      <w:keepLines/>
      <w:spacing w:before="240"/>
      <w:ind w:firstLine="284"/>
    </w:pPr>
  </w:style>
  <w:style w:type="paragraph" w:customStyle="1" w:styleId="JuCase">
    <w:name w:val="Ju_Case"/>
    <w:basedOn w:val="Normalny"/>
    <w:next w:val="ECHRPara"/>
    <w:uiPriority w:val="10"/>
    <w:rsid w:val="00DC5AB5"/>
    <w:pPr>
      <w:ind w:firstLine="284"/>
    </w:pPr>
    <w:rPr>
      <w:b/>
    </w:rPr>
  </w:style>
  <w:style w:type="paragraph" w:customStyle="1" w:styleId="JuList">
    <w:name w:val="Ju_List"/>
    <w:basedOn w:val="Normalny"/>
    <w:uiPriority w:val="28"/>
    <w:qFormat/>
    <w:rsid w:val="00DC5AB5"/>
    <w:pPr>
      <w:ind w:left="340" w:hanging="340"/>
    </w:pPr>
  </w:style>
  <w:style w:type="character" w:customStyle="1" w:styleId="JuITMark">
    <w:name w:val="Ju_ITMark"/>
    <w:uiPriority w:val="38"/>
    <w:qFormat/>
    <w:rsid w:val="00DC5AB5"/>
    <w:rPr>
      <w:color w:val="000000"/>
      <w:sz w:val="14"/>
      <w:lang w:val="pl-PL" w:eastAsia="pl-PL"/>
    </w:rPr>
  </w:style>
  <w:style w:type="character" w:styleId="Numerstrony">
    <w:name w:val="page number"/>
    <w:uiPriority w:val="99"/>
    <w:semiHidden/>
    <w:rsid w:val="00E77CB3"/>
    <w:rPr>
      <w:rFonts w:ascii="Times New Roman" w:hAnsi="Times New Roman" w:cs="Times New Roman"/>
      <w:sz w:val="18"/>
      <w:lang w:val="pl-PL" w:eastAsia="pl-PL"/>
    </w:rPr>
  </w:style>
  <w:style w:type="paragraph" w:customStyle="1" w:styleId="JuLista">
    <w:name w:val="Ju_List_a"/>
    <w:basedOn w:val="JuList"/>
    <w:uiPriority w:val="28"/>
    <w:qFormat/>
    <w:rsid w:val="00DC5AB5"/>
    <w:pPr>
      <w:ind w:left="346" w:firstLine="0"/>
    </w:pPr>
  </w:style>
  <w:style w:type="paragraph" w:customStyle="1" w:styleId="JuListi">
    <w:name w:val="Ju_List_i"/>
    <w:basedOn w:val="Normalny"/>
    <w:next w:val="JuLista"/>
    <w:uiPriority w:val="28"/>
    <w:qFormat/>
    <w:rsid w:val="00DC5AB5"/>
    <w:pPr>
      <w:ind w:left="794"/>
    </w:pPr>
  </w:style>
  <w:style w:type="character" w:styleId="Odwoaniedokomentarza">
    <w:name w:val="annotation reference"/>
    <w:uiPriority w:val="99"/>
    <w:semiHidden/>
    <w:rsid w:val="00E77CB3"/>
    <w:rPr>
      <w:sz w:val="16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77CB3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E77CB3"/>
    <w:rPr>
      <w:rFonts w:eastAsia="Times New Roman"/>
      <w:sz w:val="20"/>
      <w:lang w:val="pl-PL" w:eastAsia="pl-PL"/>
    </w:rPr>
  </w:style>
  <w:style w:type="character" w:styleId="Odwoanieprzypisukocowego">
    <w:name w:val="endnote reference"/>
    <w:uiPriority w:val="99"/>
    <w:semiHidden/>
    <w:rsid w:val="00E77CB3"/>
    <w:rPr>
      <w:rFonts w:ascii="Times New Roman" w:hAnsi="Times New Roman" w:cs="Times New Roman"/>
      <w:vertAlign w:val="superscript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7CB3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77CB3"/>
    <w:rPr>
      <w:rFonts w:eastAsia="Times New Roman"/>
      <w:sz w:val="20"/>
      <w:lang w:val="pl-PL" w:eastAsia="pl-PL"/>
    </w:rPr>
  </w:style>
  <w:style w:type="character" w:styleId="UyteHipercze">
    <w:name w:val="FollowedHyperlink"/>
    <w:uiPriority w:val="99"/>
    <w:semiHidden/>
    <w:rsid w:val="00E77CB3"/>
    <w:rPr>
      <w:rFonts w:ascii="Times New Roman" w:hAnsi="Times New Roman" w:cs="Times New Roman"/>
      <w:color w:val="800080"/>
      <w:u w:val="single"/>
      <w:lang w:val="pl-PL" w:eastAsia="pl-PL"/>
    </w:rPr>
  </w:style>
  <w:style w:type="paragraph" w:styleId="Listapunktowana">
    <w:name w:val="List Bullet"/>
    <w:basedOn w:val="Normalny"/>
    <w:uiPriority w:val="99"/>
    <w:semiHidden/>
    <w:rsid w:val="00E77CB3"/>
    <w:pPr>
      <w:numPr>
        <w:numId w:val="1"/>
      </w:numPr>
    </w:pPr>
  </w:style>
  <w:style w:type="paragraph" w:customStyle="1" w:styleId="OpiTranslation">
    <w:name w:val="Opi_Translation"/>
    <w:basedOn w:val="Normalny"/>
    <w:next w:val="OpiPara"/>
    <w:uiPriority w:val="40"/>
    <w:qFormat/>
    <w:rsid w:val="00DC5AB5"/>
    <w:pPr>
      <w:jc w:val="center"/>
      <w:outlineLvl w:val="0"/>
    </w:pPr>
    <w:rPr>
      <w:i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77C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7CB3"/>
    <w:rPr>
      <w:rFonts w:eastAsia="Times New Roman"/>
      <w:b/>
      <w:bCs/>
      <w:sz w:val="20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E77CB3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link w:val="Mapadokumentu"/>
    <w:uiPriority w:val="99"/>
    <w:semiHidden/>
    <w:rsid w:val="00E77CB3"/>
    <w:rPr>
      <w:rFonts w:ascii="Tahoma" w:eastAsia="Times New Roman" w:hAnsi="Tahoma" w:cs="Tahoma"/>
      <w:sz w:val="20"/>
      <w:lang w:val="pl-PL" w:eastAsia="pl-PL"/>
    </w:rPr>
  </w:style>
  <w:style w:type="paragraph" w:customStyle="1" w:styleId="DecHTitle">
    <w:name w:val="Dec_H_Title"/>
    <w:basedOn w:val="ECHRTitleCentre1"/>
    <w:uiPriority w:val="7"/>
    <w:rsid w:val="00DC5AB5"/>
  </w:style>
  <w:style w:type="paragraph" w:styleId="Podtytu">
    <w:name w:val="Subtitle"/>
    <w:basedOn w:val="Normalny"/>
    <w:next w:val="Normalny"/>
    <w:link w:val="PodtytuZnak"/>
    <w:uiPriority w:val="99"/>
    <w:semiHidden/>
    <w:qFormat/>
    <w:rsid w:val="00DC5AB5"/>
    <w:pPr>
      <w:spacing w:after="600"/>
    </w:pPr>
    <w:rPr>
      <w:i/>
      <w:iCs/>
      <w:spacing w:val="13"/>
      <w:szCs w:val="24"/>
      <w:lang w:bidi="en-US"/>
    </w:rPr>
  </w:style>
  <w:style w:type="character" w:customStyle="1" w:styleId="PodtytuZnak">
    <w:name w:val="Podtytuł Znak"/>
    <w:link w:val="Podtytu"/>
    <w:uiPriority w:val="99"/>
    <w:semiHidden/>
    <w:rsid w:val="00DC5AB5"/>
    <w:rPr>
      <w:rFonts w:ascii="Times New Roman" w:eastAsia="Times New Roman" w:hAnsi="Times New Roman" w:cs="Times New Roman"/>
      <w:i/>
      <w:iCs/>
      <w:spacing w:val="13"/>
      <w:sz w:val="24"/>
      <w:szCs w:val="24"/>
      <w:lang w:val="pl-PL" w:eastAsia="pl-PL" w:bidi="en-US"/>
    </w:rPr>
  </w:style>
  <w:style w:type="numbering" w:styleId="111111">
    <w:name w:val="Outline List 2"/>
    <w:basedOn w:val="Bezlisty"/>
    <w:uiPriority w:val="99"/>
    <w:semiHidden/>
    <w:rsid w:val="00E77CB3"/>
  </w:style>
  <w:style w:type="numbering" w:styleId="1ai">
    <w:name w:val="Outline List 1"/>
    <w:basedOn w:val="Bezlisty"/>
    <w:uiPriority w:val="99"/>
    <w:semiHidden/>
    <w:rsid w:val="00E77CB3"/>
  </w:style>
  <w:style w:type="numbering" w:styleId="Artykusekcja">
    <w:name w:val="Outline List 3"/>
    <w:basedOn w:val="Bezlisty"/>
    <w:uiPriority w:val="99"/>
    <w:semiHidden/>
    <w:rsid w:val="00E77CB3"/>
  </w:style>
  <w:style w:type="paragraph" w:styleId="Bibliografia">
    <w:name w:val="Bibliography"/>
    <w:basedOn w:val="Normalny"/>
    <w:next w:val="Normalny"/>
    <w:uiPriority w:val="99"/>
    <w:semiHidden/>
    <w:unhideWhenUsed/>
    <w:rsid w:val="00E77CB3"/>
  </w:style>
  <w:style w:type="paragraph" w:styleId="Tekstblokowy">
    <w:name w:val="Block Text"/>
    <w:basedOn w:val="Normalny"/>
    <w:uiPriority w:val="99"/>
    <w:semiHidden/>
    <w:rsid w:val="00E77CB3"/>
    <w:pPr>
      <w:pBdr>
        <w:top w:val="single" w:sz="2" w:space="10" w:color="0072BC" w:frame="1"/>
        <w:left w:val="single" w:sz="2" w:space="10" w:color="0072BC" w:frame="1"/>
        <w:bottom w:val="single" w:sz="2" w:space="10" w:color="0072BC" w:frame="1"/>
        <w:right w:val="single" w:sz="2" w:space="10" w:color="0072BC" w:frame="1"/>
      </w:pBdr>
      <w:ind w:left="1152" w:right="1152"/>
    </w:pPr>
    <w:rPr>
      <w:i/>
      <w:iCs/>
      <w:color w:val="0072BC"/>
    </w:rPr>
  </w:style>
  <w:style w:type="paragraph" w:styleId="Tekstpodstawowy">
    <w:name w:val="Body Text"/>
    <w:basedOn w:val="Normalny"/>
    <w:link w:val="TekstpodstawowyZnak"/>
    <w:uiPriority w:val="99"/>
    <w:semiHidden/>
    <w:rsid w:val="00E77CB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77CB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77C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7CB3"/>
    <w:rPr>
      <w:rFonts w:eastAsia="Times New Roman"/>
      <w:sz w:val="16"/>
      <w:szCs w:val="16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77CB3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77CB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E77CB3"/>
    <w:pPr>
      <w:spacing w:after="0"/>
      <w:ind w:left="360"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77C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77C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77CB3"/>
    <w:rPr>
      <w:rFonts w:eastAsia="Times New Roman"/>
      <w:sz w:val="16"/>
      <w:szCs w:val="16"/>
      <w:lang w:val="pl-PL" w:eastAsia="pl-PL"/>
    </w:rPr>
  </w:style>
  <w:style w:type="paragraph" w:styleId="Legenda">
    <w:name w:val="caption"/>
    <w:basedOn w:val="Normalny"/>
    <w:next w:val="Normalny"/>
    <w:uiPriority w:val="99"/>
    <w:semiHidden/>
    <w:qFormat/>
    <w:rsid w:val="00E77CB3"/>
    <w:pPr>
      <w:spacing w:after="200"/>
    </w:pPr>
    <w:rPr>
      <w:b/>
      <w:bCs/>
      <w:color w:val="0072BC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rsid w:val="00E77CB3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E77CB3"/>
    <w:rPr>
      <w:rFonts w:eastAsia="Times New Roman"/>
      <w:sz w:val="24"/>
      <w:lang w:val="pl-PL" w:eastAsia="pl-PL"/>
    </w:rPr>
  </w:style>
  <w:style w:type="table" w:styleId="Kolorowasiatka">
    <w:name w:val="Colorful Grid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0072BC"/>
      </w:rPr>
      <w:tblPr/>
      <w:tcPr>
        <w:shd w:val="clear" w:color="auto" w:fill="000000"/>
      </w:tcPr>
    </w:tblStylePr>
    <w:tblStylePr w:type="lastCol">
      <w:rPr>
        <w:color w:val="0072BC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BEE5FF"/>
    </w:tcPr>
    <w:tblStylePr w:type="firstRow">
      <w:rPr>
        <w:b/>
        <w:bCs/>
      </w:rPr>
      <w:tblPr/>
      <w:tcPr>
        <w:shd w:val="clear" w:color="auto" w:fill="7ECBFF"/>
      </w:tcPr>
    </w:tblStylePr>
    <w:tblStylePr w:type="lastRow">
      <w:rPr>
        <w:b/>
        <w:bCs/>
        <w:color w:val="000000"/>
      </w:rPr>
      <w:tblPr/>
      <w:tcPr>
        <w:shd w:val="clear" w:color="auto" w:fill="7ECBFF"/>
      </w:tcPr>
    </w:tblStylePr>
    <w:tblStylePr w:type="firstCol">
      <w:rPr>
        <w:color w:val="0072BC"/>
      </w:rPr>
      <w:tblPr/>
      <w:tcPr>
        <w:shd w:val="clear" w:color="auto" w:fill="00548C"/>
      </w:tcPr>
    </w:tblStylePr>
    <w:tblStylePr w:type="lastCol">
      <w:rPr>
        <w:color w:val="0072BC"/>
      </w:rPr>
      <w:tblPr/>
      <w:tcPr>
        <w:shd w:val="clear" w:color="auto" w:fill="00548C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styleId="Kolorowasiatkaakcent2">
    <w:name w:val="Colorful Grid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FFBFBF"/>
    </w:tcPr>
    <w:tblStylePr w:type="firstRow">
      <w:rPr>
        <w:b/>
        <w:bCs/>
      </w:rPr>
      <w:tblPr/>
      <w:tcPr>
        <w:shd w:val="clear" w:color="auto" w:fill="FF7F7F"/>
      </w:tcPr>
    </w:tblStylePr>
    <w:tblStylePr w:type="lastRow">
      <w:rPr>
        <w:b/>
        <w:bCs/>
        <w:color w:val="000000"/>
      </w:rPr>
      <w:tblPr/>
      <w:tcPr>
        <w:shd w:val="clear" w:color="auto" w:fill="FF7F7F"/>
      </w:tcPr>
    </w:tblStylePr>
    <w:tblStylePr w:type="firstCol">
      <w:rPr>
        <w:color w:val="0072BC"/>
      </w:rPr>
      <w:tblPr/>
      <w:tcPr>
        <w:shd w:val="clear" w:color="auto" w:fill="8F0000"/>
      </w:tcPr>
    </w:tblStylePr>
    <w:tblStylePr w:type="lastCol">
      <w:rPr>
        <w:color w:val="0072BC"/>
      </w:rPr>
      <w:tblPr/>
      <w:tcPr>
        <w:shd w:val="clear" w:color="auto" w:fill="8F0000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styleId="Kolorowasiatkaakcent3">
    <w:name w:val="Colorful Grid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Kolorowasiatkaakcent4">
    <w:name w:val="Colorful Grid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0072BC"/>
      </w:rPr>
      <w:tblPr/>
      <w:tcPr>
        <w:shd w:val="clear" w:color="auto" w:fill="707070"/>
      </w:tcPr>
    </w:tblStylePr>
    <w:tblStylePr w:type="lastCol">
      <w:rPr>
        <w:color w:val="0072BC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styleId="Kolorowasiatkaakcent5">
    <w:name w:val="Colorful Grid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Kolorowasiatkaakcent6">
    <w:name w:val="Colorful Grid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0072BC"/>
      </w:rPr>
      <w:tblPr/>
      <w:tcPr>
        <w:shd w:val="clear" w:color="auto" w:fill="393939"/>
      </w:tcPr>
    </w:tblStylePr>
    <w:tblStylePr w:type="lastCol">
      <w:rPr>
        <w:color w:val="0072BC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styleId="Kolorowalista">
    <w:name w:val="Colorful List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DFF2F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shd w:val="clear" w:color="auto" w:fill="BEE5FF"/>
      </w:tcPr>
    </w:tblStylePr>
  </w:style>
  <w:style w:type="table" w:styleId="Kolorowalistaakcent2">
    <w:name w:val="Colorful List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FFDFD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shd w:val="clear" w:color="auto" w:fill="FFBFBF"/>
      </w:tcPr>
    </w:tblStylePr>
  </w:style>
  <w:style w:type="table" w:styleId="Kolorowalistaakcent3">
    <w:name w:val="Colorful List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styleId="Kolorowalistaakcent4">
    <w:name w:val="Colorful List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F4F4F4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styleId="Kolorowalistaakcent5">
    <w:name w:val="Colorful List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styleId="Kolorowalistaakcent6">
    <w:name w:val="Colorful List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</w:tblPr>
    <w:tcPr>
      <w:shd w:val="clear" w:color="auto" w:fill="EDEDED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styleId="Kolorowecieniowanie">
    <w:name w:val="Colorful Shading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72BC"/>
        <w:insideV w:val="single" w:sz="4" w:space="0" w:color="0072BC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0072BC"/>
        <w:bottom w:val="single" w:sz="4" w:space="0" w:color="0072BC"/>
        <w:right w:val="single" w:sz="4" w:space="0" w:color="0072BC"/>
        <w:insideH w:val="single" w:sz="4" w:space="0" w:color="0072BC"/>
        <w:insideV w:val="single" w:sz="4" w:space="0" w:color="0072BC"/>
      </w:tblBorders>
    </w:tblPr>
    <w:tcPr>
      <w:shd w:val="clear" w:color="auto" w:fill="DFF2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447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4470"/>
          <w:insideV w:val="nil"/>
        </w:tcBorders>
        <w:shd w:val="clear" w:color="auto" w:fill="00447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/>
      </w:tcPr>
    </w:tblStylePr>
    <w:tblStylePr w:type="band1Vert">
      <w:tblPr/>
      <w:tcPr>
        <w:shd w:val="clear" w:color="auto" w:fill="7ECBFF"/>
      </w:tcPr>
    </w:tblStylePr>
    <w:tblStylePr w:type="band1Horz">
      <w:tblPr/>
      <w:tcPr>
        <w:shd w:val="clear" w:color="auto" w:fill="5EB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0072BC"/>
        <w:insideV w:val="single" w:sz="4" w:space="0" w:color="0072BC"/>
      </w:tblBorders>
    </w:tblPr>
    <w:tcPr>
      <w:shd w:val="clear" w:color="auto" w:fill="FFDFD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73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730000"/>
          <w:insideV w:val="nil"/>
        </w:tcBorders>
        <w:shd w:val="clear" w:color="auto" w:fill="73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/>
      </w:tcPr>
    </w:tblStylePr>
    <w:tblStylePr w:type="band1Vert">
      <w:tblPr/>
      <w:tcPr>
        <w:shd w:val="clear" w:color="auto" w:fill="FF7F7F"/>
      </w:tcPr>
    </w:tblStylePr>
    <w:tblStylePr w:type="band1Horz">
      <w:tblPr/>
      <w:tcPr>
        <w:shd w:val="clear" w:color="auto" w:fill="FF606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969696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</w:style>
  <w:style w:type="table" w:styleId="Kolorowecieniowanieakcent4">
    <w:name w:val="Colorful Shading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5F5F5F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0072BC"/>
        <w:insideV w:val="single" w:sz="4" w:space="0" w:color="0072BC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5A5A5A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0072BC"/>
        <w:insideV w:val="single" w:sz="4" w:space="0" w:color="0072BC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2E2E2E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iemnalista">
    <w:name w:val="Dark List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0072B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385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548C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</w:style>
  <w:style w:type="table" w:styleId="Ciemnalistaakcent2">
    <w:name w:val="Dark List Accent 2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C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5F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8F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</w:style>
  <w:style w:type="table" w:styleId="Ciemnalistaakcent3">
    <w:name w:val="Dark List Accent 3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styleId="Ciemnalistaakcent4">
    <w:name w:val="Dark List Accent 4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styleId="Ciemnalistaakcent5">
    <w:name w:val="Dark List Accent 5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styleId="Ciemnalistaakcent6">
    <w:name w:val="Dark List Accent 6"/>
    <w:basedOn w:val="Standardowy"/>
    <w:uiPriority w:val="99"/>
    <w:semiHidden/>
    <w:rsid w:val="00E77CB3"/>
    <w:rPr>
      <w:color w:val="0072BC"/>
      <w:lang w:val="fr-FR" w:eastAsia="fr-FR"/>
    </w:rPr>
    <w:tblPr>
      <w:tblStyleRowBandSize w:val="1"/>
      <w:tblStyleColBandSize w:val="1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rsid w:val="00E77CB3"/>
  </w:style>
  <w:style w:type="character" w:customStyle="1" w:styleId="DataZnak">
    <w:name w:val="Data Znak"/>
    <w:link w:val="Data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Podpise-mail">
    <w:name w:val="E-mail Signature"/>
    <w:basedOn w:val="Normalny"/>
    <w:link w:val="Podpise-mailZnak"/>
    <w:uiPriority w:val="99"/>
    <w:semiHidden/>
    <w:rsid w:val="00E77CB3"/>
  </w:style>
  <w:style w:type="character" w:customStyle="1" w:styleId="Podpise-mailZnak">
    <w:name w:val="Podpis e-mail Znak"/>
    <w:link w:val="Podpise-mail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Adresnakopercie">
    <w:name w:val="envelope address"/>
    <w:basedOn w:val="Normalny"/>
    <w:uiPriority w:val="99"/>
    <w:semiHidden/>
    <w:rsid w:val="00E77CB3"/>
    <w:pPr>
      <w:framePr w:w="7938" w:h="1985" w:hRule="exact" w:hSpace="141" w:wrap="auto" w:hAnchor="page" w:xAlign="center" w:yAlign="bottom"/>
      <w:ind w:left="2835"/>
    </w:pPr>
    <w:rPr>
      <w:szCs w:val="24"/>
    </w:rPr>
  </w:style>
  <w:style w:type="paragraph" w:styleId="Adreszwrotnynakopercie">
    <w:name w:val="envelope return"/>
    <w:basedOn w:val="Normalny"/>
    <w:uiPriority w:val="99"/>
    <w:semiHidden/>
    <w:rsid w:val="00E77CB3"/>
    <w:rPr>
      <w:sz w:val="20"/>
      <w:szCs w:val="20"/>
    </w:rPr>
  </w:style>
  <w:style w:type="character" w:styleId="HTML-akronim">
    <w:name w:val="HTML Acronym"/>
    <w:basedOn w:val="Domylnaczcionkaakapitu"/>
    <w:uiPriority w:val="99"/>
    <w:semiHidden/>
    <w:rsid w:val="00E77CB3"/>
  </w:style>
  <w:style w:type="paragraph" w:styleId="HTML-adres">
    <w:name w:val="HTML Address"/>
    <w:basedOn w:val="Normalny"/>
    <w:link w:val="HTML-adresZnak"/>
    <w:uiPriority w:val="99"/>
    <w:semiHidden/>
    <w:rsid w:val="00E77CB3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E77CB3"/>
    <w:rPr>
      <w:rFonts w:eastAsia="Times New Roman"/>
      <w:i/>
      <w:iCs/>
      <w:sz w:val="24"/>
      <w:lang w:val="pl-PL" w:eastAsia="pl-PL"/>
    </w:rPr>
  </w:style>
  <w:style w:type="character" w:styleId="HTML-cytat">
    <w:name w:val="HTML Cite"/>
    <w:uiPriority w:val="99"/>
    <w:semiHidden/>
    <w:rsid w:val="00E77CB3"/>
    <w:rPr>
      <w:i/>
      <w:iCs/>
      <w:lang w:val="pl-PL" w:eastAsia="pl-PL"/>
    </w:rPr>
  </w:style>
  <w:style w:type="character" w:styleId="HTML-kod">
    <w:name w:val="HTML Code"/>
    <w:uiPriority w:val="99"/>
    <w:semiHidden/>
    <w:rsid w:val="00E77CB3"/>
    <w:rPr>
      <w:rFonts w:ascii="Consolas" w:hAnsi="Consolas" w:cs="Consolas"/>
      <w:sz w:val="20"/>
      <w:szCs w:val="20"/>
      <w:lang w:val="pl-PL" w:eastAsia="pl-PL"/>
    </w:rPr>
  </w:style>
  <w:style w:type="character" w:styleId="HTML-definicja">
    <w:name w:val="HTML Definition"/>
    <w:uiPriority w:val="99"/>
    <w:semiHidden/>
    <w:rsid w:val="00E77CB3"/>
    <w:rPr>
      <w:i/>
      <w:iCs/>
      <w:lang w:val="pl-PL" w:eastAsia="pl-PL"/>
    </w:rPr>
  </w:style>
  <w:style w:type="character" w:styleId="HTML-klawiatura">
    <w:name w:val="HTML Keyboard"/>
    <w:uiPriority w:val="99"/>
    <w:semiHidden/>
    <w:rsid w:val="00E77CB3"/>
    <w:rPr>
      <w:rFonts w:ascii="Consolas" w:hAnsi="Consolas" w:cs="Consolas"/>
      <w:sz w:val="20"/>
      <w:szCs w:val="20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E77CB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77CB3"/>
    <w:rPr>
      <w:rFonts w:ascii="Consolas" w:eastAsia="Times New Roman" w:hAnsi="Consolas" w:cs="Consolas"/>
      <w:sz w:val="20"/>
      <w:szCs w:val="20"/>
      <w:lang w:val="pl-PL" w:eastAsia="pl-PL"/>
    </w:rPr>
  </w:style>
  <w:style w:type="character" w:styleId="HTML-przykad">
    <w:name w:val="HTML Sample"/>
    <w:uiPriority w:val="99"/>
    <w:semiHidden/>
    <w:rsid w:val="00E77CB3"/>
    <w:rPr>
      <w:rFonts w:ascii="Consolas" w:hAnsi="Consolas" w:cs="Consolas"/>
      <w:sz w:val="24"/>
      <w:szCs w:val="24"/>
      <w:lang w:val="pl-PL" w:eastAsia="pl-PL"/>
    </w:rPr>
  </w:style>
  <w:style w:type="character" w:styleId="HTML-staaszeroko">
    <w:name w:val="HTML Typewriter"/>
    <w:uiPriority w:val="99"/>
    <w:semiHidden/>
    <w:rsid w:val="00E77CB3"/>
    <w:rPr>
      <w:rFonts w:ascii="Consolas" w:hAnsi="Consolas" w:cs="Consolas"/>
      <w:sz w:val="20"/>
      <w:szCs w:val="20"/>
      <w:lang w:val="pl-PL" w:eastAsia="pl-PL"/>
    </w:rPr>
  </w:style>
  <w:style w:type="character" w:styleId="HTML-zmienna">
    <w:name w:val="HTML Variable"/>
    <w:uiPriority w:val="99"/>
    <w:semiHidden/>
    <w:rsid w:val="00E77CB3"/>
    <w:rPr>
      <w:i/>
      <w:iCs/>
      <w:lang w:val="pl-PL"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E77CB3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E77CB3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E77CB3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E77CB3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E77CB3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E77CB3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E77CB3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E77CB3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E77CB3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E77CB3"/>
    <w:rPr>
      <w:b/>
      <w:bCs/>
    </w:rPr>
  </w:style>
  <w:style w:type="table" w:styleId="Jasnasiatka">
    <w:name w:val="Light Grid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1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  <w:shd w:val="clear" w:color="auto" w:fill="AFD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  <w:shd w:val="clear" w:color="auto" w:fill="AFDFFF"/>
      </w:tcPr>
    </w:tblStylePr>
    <w:tblStylePr w:type="band2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1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  <w:shd w:val="clear" w:color="auto" w:fill="FFB0B0"/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  <w:shd w:val="clear" w:color="auto" w:fill="FFB0B0"/>
      </w:tcPr>
    </w:tblStylePr>
    <w:tblStylePr w:type="band2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styleId="Jasnalista">
    <w:name w:val="Light List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styleId="Jasnecieniowanie">
    <w:name w:val="Light Shading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semiHidden/>
    <w:rsid w:val="00E77CB3"/>
    <w:rPr>
      <w:color w:val="00548C"/>
      <w:lang w:val="fr-FR" w:eastAsia="fr-FR"/>
    </w:rPr>
    <w:tblPr>
      <w:tblStyleRowBandSize w:val="1"/>
      <w:tblStyleColBandSize w:val="1"/>
      <w:tblBorders>
        <w:top w:val="single" w:sz="8" w:space="0" w:color="0072BC"/>
        <w:bottom w:val="single" w:sz="8" w:space="0" w:color="0072B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</w:style>
  <w:style w:type="table" w:styleId="Jasnecieniowanieakcent2">
    <w:name w:val="Light Shading Accent 2"/>
    <w:basedOn w:val="Standardowy"/>
    <w:uiPriority w:val="99"/>
    <w:semiHidden/>
    <w:rsid w:val="00E77CB3"/>
    <w:rPr>
      <w:color w:val="8F0000"/>
      <w:lang w:val="fr-FR" w:eastAsia="fr-FR"/>
    </w:rPr>
    <w:tblPr>
      <w:tblStyleRowBandSize w:val="1"/>
      <w:tblStyleColBandSize w:val="1"/>
      <w:tblBorders>
        <w:top w:val="single" w:sz="8" w:space="0" w:color="C00000"/>
        <w:bottom w:val="single" w:sz="8" w:space="0" w:color="C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</w:style>
  <w:style w:type="table" w:styleId="Jasnecieniowanieakcent3">
    <w:name w:val="Light Shading Accent 3"/>
    <w:basedOn w:val="Standardowy"/>
    <w:uiPriority w:val="99"/>
    <w:semiHidden/>
    <w:rsid w:val="00E77CB3"/>
    <w:rPr>
      <w:color w:val="474747"/>
      <w:lang w:val="fr-FR"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styleId="Jasnecieniowanieakcent4">
    <w:name w:val="Light Shading Accent 4"/>
    <w:basedOn w:val="Standardowy"/>
    <w:uiPriority w:val="99"/>
    <w:semiHidden/>
    <w:rsid w:val="00E77CB3"/>
    <w:rPr>
      <w:color w:val="707070"/>
      <w:lang w:val="fr-FR" w:eastAsia="fr-FR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styleId="Jasnecieniowanieakcent5">
    <w:name w:val="Light Shading Accent 5"/>
    <w:basedOn w:val="Standardowy"/>
    <w:uiPriority w:val="99"/>
    <w:semiHidden/>
    <w:rsid w:val="00E77CB3"/>
    <w:rPr>
      <w:color w:val="474747"/>
      <w:lang w:val="fr-FR"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styleId="Jasnecieniowanieakcent6">
    <w:name w:val="Light Shading Accent 6"/>
    <w:basedOn w:val="Standardowy"/>
    <w:uiPriority w:val="99"/>
    <w:semiHidden/>
    <w:rsid w:val="00E77CB3"/>
    <w:rPr>
      <w:color w:val="393939"/>
      <w:lang w:val="fr-FR" w:eastAsia="fr-FR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Numerwiersza">
    <w:name w:val="line number"/>
    <w:basedOn w:val="Domylnaczcionkaakapitu"/>
    <w:uiPriority w:val="99"/>
    <w:semiHidden/>
    <w:rsid w:val="00E77CB3"/>
  </w:style>
  <w:style w:type="paragraph" w:styleId="Lista">
    <w:name w:val="List"/>
    <w:basedOn w:val="Normalny"/>
    <w:uiPriority w:val="99"/>
    <w:semiHidden/>
    <w:rsid w:val="00E77CB3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E77CB3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rsid w:val="00E77CB3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E77CB3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rsid w:val="00E77CB3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rsid w:val="00E77CB3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semiHidden/>
    <w:rsid w:val="00E77CB3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semiHidden/>
    <w:rsid w:val="00E77CB3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semiHidden/>
    <w:rsid w:val="00E77CB3"/>
    <w:pPr>
      <w:numPr>
        <w:numId w:val="8"/>
      </w:numPr>
      <w:contextualSpacing/>
    </w:pPr>
  </w:style>
  <w:style w:type="paragraph" w:styleId="Lista-kontynuacja">
    <w:name w:val="List Continue"/>
    <w:basedOn w:val="Normalny"/>
    <w:uiPriority w:val="99"/>
    <w:semiHidden/>
    <w:rsid w:val="00E77CB3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rsid w:val="00E77CB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rsid w:val="00E77CB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rsid w:val="00E77CB3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rsid w:val="00E77CB3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rsid w:val="00E77CB3"/>
    <w:pPr>
      <w:numPr>
        <w:numId w:val="9"/>
      </w:numPr>
      <w:contextualSpacing/>
    </w:pPr>
  </w:style>
  <w:style w:type="paragraph" w:styleId="Listanumerowana2">
    <w:name w:val="List Number 2"/>
    <w:basedOn w:val="Normalny"/>
    <w:uiPriority w:val="99"/>
    <w:semiHidden/>
    <w:rsid w:val="00E77CB3"/>
    <w:pPr>
      <w:numPr>
        <w:numId w:val="10"/>
      </w:numPr>
      <w:contextualSpacing/>
    </w:pPr>
  </w:style>
  <w:style w:type="paragraph" w:styleId="Listanumerowana3">
    <w:name w:val="List Number 3"/>
    <w:basedOn w:val="Normalny"/>
    <w:uiPriority w:val="99"/>
    <w:semiHidden/>
    <w:rsid w:val="00E77CB3"/>
    <w:pPr>
      <w:numPr>
        <w:numId w:val="11"/>
      </w:numPr>
      <w:contextualSpacing/>
    </w:pPr>
  </w:style>
  <w:style w:type="paragraph" w:styleId="Listanumerowana4">
    <w:name w:val="List Number 4"/>
    <w:basedOn w:val="Normalny"/>
    <w:uiPriority w:val="99"/>
    <w:semiHidden/>
    <w:rsid w:val="00E77CB3"/>
    <w:pPr>
      <w:numPr>
        <w:numId w:val="12"/>
      </w:numPr>
      <w:contextualSpacing/>
    </w:pPr>
  </w:style>
  <w:style w:type="paragraph" w:styleId="Listanumerowana5">
    <w:name w:val="List Number 5"/>
    <w:basedOn w:val="Normalny"/>
    <w:uiPriority w:val="99"/>
    <w:semiHidden/>
    <w:rsid w:val="00E77CB3"/>
    <w:pPr>
      <w:numPr>
        <w:numId w:val="13"/>
      </w:numPr>
      <w:contextualSpacing/>
    </w:pPr>
  </w:style>
  <w:style w:type="paragraph" w:styleId="Tekstmakra">
    <w:name w:val="macro"/>
    <w:link w:val="TekstmakraZnak"/>
    <w:uiPriority w:val="99"/>
    <w:semiHidden/>
    <w:rsid w:val="00E77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TekstmakraZnak">
    <w:name w:val="Tekst makra Znak"/>
    <w:link w:val="Tekstmakra"/>
    <w:uiPriority w:val="99"/>
    <w:semiHidden/>
    <w:rsid w:val="00E77CB3"/>
    <w:rPr>
      <w:rFonts w:ascii="Consolas" w:eastAsia="Times New Roman" w:hAnsi="Consolas" w:cs="Consolas"/>
      <w:sz w:val="20"/>
      <w:szCs w:val="20"/>
      <w:lang w:val="pl-PL" w:eastAsia="pl-PL"/>
    </w:rPr>
  </w:style>
  <w:style w:type="table" w:styleId="redniasiatka1">
    <w:name w:val="Medium Grid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  <w:insideV w:val="single" w:sz="8" w:space="0" w:color="0D9FFF"/>
      </w:tblBorders>
    </w:tblPr>
    <w:tcPr>
      <w:shd w:val="clear" w:color="auto" w:fill="AFD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styleId="redniasiatka1akcent2">
    <w:name w:val="Medium Grid 1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  <w:insideV w:val="single" w:sz="8" w:space="0" w:color="FF1010"/>
      </w:tblBorders>
    </w:tblPr>
    <w:tcPr>
      <w:shd w:val="clear" w:color="auto" w:fill="FFB0B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styleId="redniasiatka1akcent3">
    <w:name w:val="Medium Grid 1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redniasiatka1akcent4">
    <w:name w:val="Medium Grid 1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styleId="redniasiatka1akcent5">
    <w:name w:val="Medium Grid 1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redniasiatka1akcent6">
    <w:name w:val="Medium Grid 1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styleId="redniasiatka2">
    <w:name w:val="Medium Grid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0072BC"/>
      </w:tcPr>
    </w:tblStylePr>
  </w:style>
  <w:style w:type="table" w:styleId="redniasiatka2akcent1">
    <w:name w:val="Medium Grid 2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cPr>
      <w:shd w:val="clear" w:color="auto" w:fill="AFDFFF"/>
    </w:tcPr>
    <w:tblStylePr w:type="firstRow">
      <w:rPr>
        <w:b/>
        <w:bCs/>
        <w:color w:val="000000"/>
      </w:rPr>
      <w:tblPr/>
      <w:tcPr>
        <w:shd w:val="clear" w:color="auto" w:fill="DFF2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tcBorders>
          <w:insideH w:val="single" w:sz="6" w:space="0" w:color="0072BC"/>
          <w:insideV w:val="single" w:sz="6" w:space="0" w:color="0072BC"/>
        </w:tcBorders>
        <w:shd w:val="clear" w:color="auto" w:fill="5EBFFF"/>
      </w:tcPr>
    </w:tblStylePr>
    <w:tblStylePr w:type="nwCell">
      <w:tblPr/>
      <w:tcPr>
        <w:shd w:val="clear" w:color="auto" w:fill="0072BC"/>
      </w:tcPr>
    </w:tblStylePr>
  </w:style>
  <w:style w:type="table" w:styleId="redniasiatka2akcent2">
    <w:name w:val="Medium Grid 2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cPr>
      <w:shd w:val="clear" w:color="auto" w:fill="FFB0B0"/>
    </w:tcPr>
    <w:tblStylePr w:type="firstRow">
      <w:rPr>
        <w:b/>
        <w:bCs/>
        <w:color w:val="000000"/>
      </w:rPr>
      <w:tblPr/>
      <w:tcPr>
        <w:shd w:val="clear" w:color="auto" w:fill="FFDFD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tcBorders>
          <w:insideH w:val="single" w:sz="6" w:space="0" w:color="C00000"/>
          <w:insideV w:val="single" w:sz="6" w:space="0" w:color="C00000"/>
        </w:tcBorders>
        <w:shd w:val="clear" w:color="auto" w:fill="FF6060"/>
      </w:tcPr>
    </w:tblStylePr>
    <w:tblStylePr w:type="nwCell">
      <w:tblPr/>
      <w:tcPr>
        <w:shd w:val="clear" w:color="auto" w:fill="0072BC"/>
      </w:tcPr>
    </w:tblStylePr>
  </w:style>
  <w:style w:type="table" w:styleId="redniasiatka2akcent3">
    <w:name w:val="Medium Grid 2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styleId="redniasiatka2akcent4">
    <w:name w:val="Medium Grid 2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0072BC"/>
      </w:tcPr>
    </w:tblStylePr>
  </w:style>
  <w:style w:type="table" w:styleId="redniasiatka2akcent5">
    <w:name w:val="Medium Grid 2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styleId="redniasiatka2akcent6">
    <w:name w:val="Medium Grid 2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0072BC"/>
      </w:tcPr>
    </w:tblStylePr>
  </w:style>
  <w:style w:type="table" w:styleId="redniasiatka3">
    <w:name w:val="Medium Grid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AFDFFF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5EB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5EBFFF"/>
      </w:tcPr>
    </w:tblStylePr>
  </w:style>
  <w:style w:type="table" w:styleId="redniasiatka3akcent2">
    <w:name w:val="Medium Grid 3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FFB0B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FF606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FF6060"/>
      </w:tcPr>
    </w:tblStylePr>
  </w:style>
  <w:style w:type="table" w:styleId="redniasiatka3akcent3">
    <w:name w:val="Medium Grid 3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styleId="redniasiatka3akcent4">
    <w:name w:val="Medium Grid 3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CACACA"/>
      </w:tcPr>
    </w:tblStylePr>
  </w:style>
  <w:style w:type="table" w:styleId="redniasiatka3akcent5">
    <w:name w:val="Medium Grid 3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styleId="redniasiatka3akcent6">
    <w:name w:val="Medium Grid 3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6A6A6"/>
      </w:tcPr>
    </w:tblStylePr>
  </w:style>
  <w:style w:type="table" w:styleId="rednialista1">
    <w:name w:val="Medium Lis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72BC"/>
        <w:bottom w:val="single" w:sz="8" w:space="0" w:color="0072BC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72BC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band1Vert">
      <w:tblPr/>
      <w:tcPr>
        <w:shd w:val="clear" w:color="auto" w:fill="AFDFFF"/>
      </w:tcPr>
    </w:tblStylePr>
    <w:tblStylePr w:type="band1Horz">
      <w:tblPr/>
      <w:tcPr>
        <w:shd w:val="clear" w:color="auto" w:fill="AFDFFF"/>
      </w:tcPr>
    </w:tblStylePr>
  </w:style>
  <w:style w:type="table" w:styleId="rednialista1akcent2">
    <w:name w:val="Medium List 1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C00000"/>
        <w:bottom w:val="single" w:sz="8" w:space="0" w:color="C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band1Vert">
      <w:tblPr/>
      <w:tcPr>
        <w:shd w:val="clear" w:color="auto" w:fill="FFB0B0"/>
      </w:tcPr>
    </w:tblStylePr>
    <w:tblStylePr w:type="band1Horz">
      <w:tblPr/>
      <w:tcPr>
        <w:shd w:val="clear" w:color="auto" w:fill="FFB0B0"/>
      </w:tcPr>
    </w:tblStylePr>
  </w:style>
  <w:style w:type="table" w:styleId="rednialista1akcent3">
    <w:name w:val="Medium List 1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styleId="rednialista1akcent4">
    <w:name w:val="Medium List 1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rednialista1akcent5">
    <w:name w:val="Medium List 1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styleId="rednialista1akcent6">
    <w:name w:val="Medium List 1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styleId="rednialista2">
    <w:name w:val="Medium Lis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C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C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969696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E77CB3"/>
    <w:rPr>
      <w:color w:val="000000"/>
      <w:lang w:val="fr-FR"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4D4D4D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E77CB3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rsid w:val="00E77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E77CB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rsid w:val="00E77CB3"/>
    <w:rPr>
      <w:szCs w:val="24"/>
    </w:rPr>
  </w:style>
  <w:style w:type="paragraph" w:styleId="Wcicienormalne">
    <w:name w:val="Normal Indent"/>
    <w:basedOn w:val="Normalny"/>
    <w:uiPriority w:val="99"/>
    <w:semiHidden/>
    <w:rsid w:val="00E77CB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E77CB3"/>
  </w:style>
  <w:style w:type="character" w:customStyle="1" w:styleId="NagweknotatkiZnak">
    <w:name w:val="Nagłówek notatki Znak"/>
    <w:link w:val="Nagweknotatki"/>
    <w:uiPriority w:val="99"/>
    <w:semiHidden/>
    <w:rsid w:val="00E77CB3"/>
    <w:rPr>
      <w:rFonts w:eastAsia="Times New Roman"/>
      <w:sz w:val="24"/>
      <w:lang w:val="pl-PL" w:eastAsia="pl-PL"/>
    </w:rPr>
  </w:style>
  <w:style w:type="character" w:styleId="Tekstzastpczy">
    <w:name w:val="Placeholder Text"/>
    <w:uiPriority w:val="99"/>
    <w:semiHidden/>
    <w:rsid w:val="00E77CB3"/>
    <w:rPr>
      <w:color w:val="808080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rsid w:val="00E77CB3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E77CB3"/>
    <w:rPr>
      <w:rFonts w:ascii="Consolas" w:eastAsia="Times New Roman" w:hAnsi="Consolas" w:cs="Consolas"/>
      <w:sz w:val="21"/>
      <w:szCs w:val="21"/>
      <w:lang w:val="pl-PL"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E77CB3"/>
  </w:style>
  <w:style w:type="character" w:customStyle="1" w:styleId="ZwrotgrzecznociowyZnak">
    <w:name w:val="Zwrot grzecznościowy Znak"/>
    <w:link w:val="Zwrotgrzecznociowy"/>
    <w:uiPriority w:val="99"/>
    <w:semiHidden/>
    <w:rsid w:val="00E77CB3"/>
    <w:rPr>
      <w:rFonts w:eastAsia="Times New Roman"/>
      <w:sz w:val="24"/>
      <w:lang w:val="pl-PL" w:eastAsia="pl-PL"/>
    </w:rPr>
  </w:style>
  <w:style w:type="paragraph" w:styleId="Podpis">
    <w:name w:val="Signature"/>
    <w:basedOn w:val="Normalny"/>
    <w:link w:val="PodpisZnak"/>
    <w:uiPriority w:val="99"/>
    <w:semiHidden/>
    <w:rsid w:val="00E77CB3"/>
    <w:pPr>
      <w:ind w:left="4252"/>
    </w:pPr>
  </w:style>
  <w:style w:type="character" w:customStyle="1" w:styleId="PodpisZnak">
    <w:name w:val="Podpis Znak"/>
    <w:link w:val="Podpis"/>
    <w:uiPriority w:val="99"/>
    <w:semiHidden/>
    <w:rsid w:val="00E77CB3"/>
    <w:rPr>
      <w:rFonts w:eastAsia="Times New Roman"/>
      <w:sz w:val="24"/>
      <w:lang w:val="pl-PL" w:eastAsia="pl-PL"/>
    </w:rPr>
  </w:style>
  <w:style w:type="table" w:styleId="Tabela-Efekty3W1">
    <w:name w:val="Table 3D effects 1"/>
    <w:basedOn w:val="Standardowy"/>
    <w:uiPriority w:val="99"/>
    <w:semiHidden/>
    <w:rsid w:val="00E77CB3"/>
    <w:pPr>
      <w:jc w:val="both"/>
    </w:pPr>
    <w:rPr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E77CB3"/>
    <w:pPr>
      <w:jc w:val="both"/>
    </w:pPr>
    <w:rPr>
      <w:color w:val="00008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rsid w:val="00E77CB3"/>
    <w:pPr>
      <w:jc w:val="both"/>
    </w:pPr>
    <w:rPr>
      <w:color w:val="FFFFFF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E77CB3"/>
    <w:pPr>
      <w:jc w:val="both"/>
    </w:pPr>
    <w:rPr>
      <w:b/>
      <w:bCs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E77CB3"/>
    <w:pPr>
      <w:jc w:val="both"/>
    </w:pPr>
    <w:rPr>
      <w:b/>
      <w:bCs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rsid w:val="00E77CB3"/>
    <w:pPr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rsid w:val="00E77CB3"/>
  </w:style>
  <w:style w:type="table" w:styleId="Tabela-Profesjonalny">
    <w:name w:val="Table Professional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E77CB3"/>
    <w:pPr>
      <w:jc w:val="both"/>
    </w:pPr>
    <w:rPr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E77CB3"/>
    <w:pPr>
      <w:jc w:val="both"/>
    </w:pPr>
    <w:rPr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E77CB3"/>
    <w:pPr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rsid w:val="00E77CB3"/>
    <w:pPr>
      <w:jc w:val="both"/>
    </w:pPr>
    <w:rPr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6">
    <w:name w:val="toc 6"/>
    <w:basedOn w:val="Normalny"/>
    <w:next w:val="Normalny"/>
    <w:autoRedefine/>
    <w:uiPriority w:val="99"/>
    <w:semiHidden/>
    <w:rsid w:val="00E77CB3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E77CB3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E77CB3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E77CB3"/>
    <w:pPr>
      <w:spacing w:after="100"/>
      <w:ind w:left="1920"/>
    </w:pPr>
  </w:style>
  <w:style w:type="character" w:customStyle="1" w:styleId="ECHRParaChar">
    <w:name w:val="ECHR_Para Char"/>
    <w:aliases w:val="Ju_Para Char"/>
    <w:link w:val="ECHRPara"/>
    <w:uiPriority w:val="12"/>
    <w:rsid w:val="00E4114C"/>
    <w:rPr>
      <w:rFonts w:eastAsia="Times New Roman"/>
      <w:sz w:val="24"/>
      <w:lang w:val="pl-PL" w:eastAsia="pl-PL"/>
    </w:rPr>
  </w:style>
  <w:style w:type="character" w:customStyle="1" w:styleId="JuH1Char">
    <w:name w:val="Ju_H_1. Char"/>
    <w:link w:val="ECHRHeading3"/>
    <w:uiPriority w:val="21"/>
    <w:rsid w:val="00E4114C"/>
    <w:rPr>
      <w:rFonts w:ascii="Times New Roman" w:eastAsia="Times New Roman" w:hAnsi="Times New Roman" w:cs="Times New Roman"/>
      <w:bCs/>
      <w:i/>
      <w:sz w:val="24"/>
      <w:lang w:val="pl-PL" w:eastAsia="pl-PL"/>
    </w:rPr>
  </w:style>
  <w:style w:type="character" w:customStyle="1" w:styleId="JuHaChar">
    <w:name w:val="Ju_H_a Char"/>
    <w:link w:val="ECHRHeading4"/>
    <w:uiPriority w:val="22"/>
    <w:rsid w:val="00E4114C"/>
    <w:rPr>
      <w:rFonts w:ascii="Times New Roman" w:eastAsia="Times New Roman" w:hAnsi="Times New Roman" w:cs="Times New Roman"/>
      <w:b/>
      <w:bCs/>
      <w:iCs/>
      <w:sz w:val="20"/>
      <w:lang w:val="pl-PL" w:eastAsia="pl-PL"/>
    </w:rPr>
  </w:style>
  <w:style w:type="paragraph" w:customStyle="1" w:styleId="JuCourt">
    <w:name w:val="Ju_Court"/>
    <w:basedOn w:val="Normalny"/>
    <w:next w:val="Normalny"/>
    <w:uiPriority w:val="16"/>
    <w:qFormat/>
    <w:rsid w:val="00DC5AB5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DecList">
    <w:name w:val="Dec_List"/>
    <w:basedOn w:val="Normalny"/>
    <w:uiPriority w:val="9"/>
    <w:rsid w:val="00DC5AB5"/>
    <w:pPr>
      <w:spacing w:before="240"/>
      <w:ind w:left="284"/>
    </w:pPr>
  </w:style>
  <w:style w:type="paragraph" w:customStyle="1" w:styleId="OpiH1">
    <w:name w:val="Opi_H_1"/>
    <w:basedOn w:val="ECHRHeading2"/>
    <w:uiPriority w:val="42"/>
    <w:qFormat/>
    <w:rsid w:val="00DC5AB5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qFormat/>
    <w:rsid w:val="00DC5AB5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DC5AB5"/>
    <w:pPr>
      <w:ind w:left="1037" w:hanging="357"/>
      <w:outlineLvl w:val="4"/>
    </w:pPr>
    <w:rPr>
      <w:b w:val="0"/>
      <w:i/>
    </w:rPr>
  </w:style>
  <w:style w:type="character" w:customStyle="1" w:styleId="JuHIRomanChar">
    <w:name w:val="Ju_H_I_Roman Char"/>
    <w:link w:val="ECHRHeading1"/>
    <w:uiPriority w:val="19"/>
    <w:rsid w:val="008E20C6"/>
    <w:rPr>
      <w:rFonts w:ascii="Times New Roman" w:eastAsia="Times New Roman" w:hAnsi="Times New Roman" w:cs="Times New Roman"/>
      <w:bCs/>
      <w:sz w:val="24"/>
      <w:szCs w:val="28"/>
      <w:lang w:val="pl-PL" w:eastAsia="pl-PL"/>
    </w:rPr>
  </w:style>
  <w:style w:type="paragraph" w:customStyle="1" w:styleId="DummyStyle">
    <w:name w:val="Dummy_Style"/>
    <w:basedOn w:val="Normalny"/>
    <w:semiHidden/>
    <w:qFormat/>
    <w:rsid w:val="00DC5AB5"/>
    <w:rPr>
      <w:color w:val="00B050"/>
    </w:rPr>
  </w:style>
  <w:style w:type="paragraph" w:customStyle="1" w:styleId="Page">
    <w:name w:val="Page"/>
    <w:basedOn w:val="ECHRHeader"/>
    <w:rsid w:val="004D50F2"/>
  </w:style>
  <w:style w:type="character" w:customStyle="1" w:styleId="JuQuotChar">
    <w:name w:val="Ju_Quot Char"/>
    <w:link w:val="ECHRParaQuote"/>
    <w:uiPriority w:val="14"/>
    <w:rsid w:val="00DC5AB5"/>
    <w:rPr>
      <w:rFonts w:eastAsia="Times New Roman"/>
      <w:sz w:val="20"/>
      <w:lang w:val="pl-PL" w:eastAsia="pl-PL"/>
    </w:rPr>
  </w:style>
  <w:style w:type="table" w:customStyle="1" w:styleId="TableSimple11">
    <w:name w:val="Table Simple 11"/>
    <w:basedOn w:val="Standardowy"/>
    <w:next w:val="Tabela-Prosty1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Standardowy"/>
    <w:next w:val="Tabela-Prosty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Standardowy"/>
    <w:next w:val="Tabela-Prosty3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11">
    <w:name w:val="Table Classic 11"/>
    <w:basedOn w:val="Standardowy"/>
    <w:next w:val="Tabela-Klasyczny1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Standardowy"/>
    <w:next w:val="Tabela-Klasyczny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Standardowy"/>
    <w:next w:val="Tabela-Klasyczny3"/>
    <w:uiPriority w:val="99"/>
    <w:semiHidden/>
    <w:unhideWhenUsed/>
    <w:rsid w:val="009120AB"/>
    <w:pPr>
      <w:jc w:val="both"/>
    </w:pPr>
    <w:rPr>
      <w:color w:val="000080"/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Standardowy"/>
    <w:next w:val="Tabela-Klasyczny4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Standardowy"/>
    <w:next w:val="Tabela-Kolorowy1"/>
    <w:uiPriority w:val="99"/>
    <w:semiHidden/>
    <w:unhideWhenUsed/>
    <w:rsid w:val="009120AB"/>
    <w:pPr>
      <w:jc w:val="both"/>
    </w:pPr>
    <w:rPr>
      <w:color w:val="FFFFFF"/>
      <w:lang w:val="fr-FR" w:eastAsia="fr-FR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Standardowy"/>
    <w:next w:val="Tabela-Kolorowy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Standardowy"/>
    <w:next w:val="Tabela-Kolorowy3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Standardowy"/>
    <w:next w:val="Tabela-Kolumnowy1"/>
    <w:uiPriority w:val="99"/>
    <w:semiHidden/>
    <w:unhideWhenUsed/>
    <w:rsid w:val="009120AB"/>
    <w:pPr>
      <w:jc w:val="both"/>
    </w:pPr>
    <w:rPr>
      <w:b/>
      <w:bCs/>
      <w:lang w:val="fr-FR" w:eastAsia="fr-FR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Standardowy"/>
    <w:next w:val="Tabela-Kolumnowy2"/>
    <w:uiPriority w:val="99"/>
    <w:semiHidden/>
    <w:unhideWhenUsed/>
    <w:rsid w:val="009120AB"/>
    <w:pPr>
      <w:jc w:val="both"/>
    </w:pPr>
    <w:rPr>
      <w:b/>
      <w:bCs/>
      <w:lang w:val="fr-FR"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Standardowy"/>
    <w:next w:val="Tabela-Kolumnowy3"/>
    <w:uiPriority w:val="99"/>
    <w:semiHidden/>
    <w:unhideWhenUsed/>
    <w:rsid w:val="009120AB"/>
    <w:pPr>
      <w:jc w:val="both"/>
    </w:pPr>
    <w:rPr>
      <w:b/>
      <w:bCs/>
      <w:lang w:val="fr-FR" w:eastAsia="fr-FR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Standardowy"/>
    <w:next w:val="Tabela-Kolumnowy4"/>
    <w:uiPriority w:val="99"/>
    <w:semiHidden/>
    <w:unhideWhenUsed/>
    <w:rsid w:val="009120AB"/>
    <w:pPr>
      <w:jc w:val="both"/>
    </w:pPr>
    <w:rPr>
      <w:lang w:val="fr-FR"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Standardowy"/>
    <w:next w:val="Tabela-Kolumnowy5"/>
    <w:uiPriority w:val="99"/>
    <w:semiHidden/>
    <w:unhideWhenUsed/>
    <w:rsid w:val="009120AB"/>
    <w:pPr>
      <w:jc w:val="both"/>
    </w:pPr>
    <w:rPr>
      <w:lang w:val="fr-FR" w:eastAsia="fr-FR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Grid11">
    <w:name w:val="Table Grid 11"/>
    <w:basedOn w:val="Standardowy"/>
    <w:next w:val="Tabela-Siatka1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Standardowy"/>
    <w:next w:val="Tabela-Siatka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Standardowy"/>
    <w:next w:val="Tabela-Siatka3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Standardowy"/>
    <w:next w:val="Tabela-Siatka4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Standardowy"/>
    <w:next w:val="Tabela-Siatka5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Standardowy"/>
    <w:next w:val="Tabela-Siatka6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Standardowy"/>
    <w:next w:val="Tabela-Siatka7"/>
    <w:uiPriority w:val="99"/>
    <w:semiHidden/>
    <w:unhideWhenUsed/>
    <w:rsid w:val="009120AB"/>
    <w:pPr>
      <w:jc w:val="both"/>
    </w:pPr>
    <w:rPr>
      <w:b/>
      <w:bCs/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Standardowy"/>
    <w:next w:val="Tabela-Siatka8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Standardowy"/>
    <w:next w:val="Tabela-Lista1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Standardowy"/>
    <w:next w:val="Tabela-Lista2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Standardowy"/>
    <w:next w:val="Tabela-Lista3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Standardowy"/>
    <w:next w:val="Tabela-Lista4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Standardowy"/>
    <w:next w:val="Tabela-Lista5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Standardowy"/>
    <w:next w:val="Tabela-Lista6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Standardowy"/>
    <w:next w:val="Tabela-Lista7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Standardowy"/>
    <w:next w:val="Tabela-Lista8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3Deffects11">
    <w:name w:val="Table 3D effects 11"/>
    <w:basedOn w:val="Standardowy"/>
    <w:next w:val="Tabela-Efekty3W1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Standardowy"/>
    <w:next w:val="Tabela-Efekty3W2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Standardowy"/>
    <w:next w:val="Tabela-Efekty3W3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ntemporary1">
    <w:name w:val="Table Contemporary1"/>
    <w:basedOn w:val="Standardowy"/>
    <w:next w:val="Tabela-Wspczesny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Standardowy"/>
    <w:next w:val="Tabela-Elegancki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Standardowy"/>
    <w:next w:val="Tabela-Profesjonalny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Standardowy"/>
    <w:next w:val="Tabela-Delikatny1"/>
    <w:uiPriority w:val="99"/>
    <w:semiHidden/>
    <w:unhideWhenUsed/>
    <w:rsid w:val="009120AB"/>
    <w:pPr>
      <w:jc w:val="both"/>
    </w:pPr>
    <w:rPr>
      <w:lang w:val="fr-FR" w:eastAsia="fr-FR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Standardowy"/>
    <w:next w:val="Tabela-Delikatny2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">
    <w:name w:val="Table Web 11"/>
    <w:basedOn w:val="Standardowy"/>
    <w:next w:val="Tabela-SieWeb1"/>
    <w:uiPriority w:val="99"/>
    <w:semiHidden/>
    <w:unhideWhenUsed/>
    <w:rsid w:val="009120AB"/>
    <w:pPr>
      <w:jc w:val="both"/>
    </w:pPr>
    <w:rPr>
      <w:lang w:val="fr-FR" w:eastAsia="fr-FR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Standardowy"/>
    <w:next w:val="Tabela-SieWeb2"/>
    <w:uiPriority w:val="99"/>
    <w:semiHidden/>
    <w:unhideWhenUsed/>
    <w:rsid w:val="009120AB"/>
    <w:pPr>
      <w:jc w:val="both"/>
    </w:pPr>
    <w:rPr>
      <w:lang w:val="fr-FR" w:eastAsia="fr-FR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Standardowy"/>
    <w:next w:val="Tabela-SieWeb3"/>
    <w:uiPriority w:val="99"/>
    <w:semiHidden/>
    <w:unhideWhenUsed/>
    <w:rsid w:val="009120AB"/>
    <w:pPr>
      <w:jc w:val="both"/>
    </w:pPr>
    <w:rPr>
      <w:lang w:val="fr-FR" w:eastAsia="fr-FR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Standardowy"/>
    <w:next w:val="Tabela-Siatka"/>
    <w:uiPriority w:val="99"/>
    <w:rsid w:val="009120AB"/>
    <w:rPr>
      <w:rFonts w:eastAsia="MS Mincho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Standardowy"/>
    <w:next w:val="Tabela-Motyw"/>
    <w:uiPriority w:val="99"/>
    <w:semiHidden/>
    <w:unhideWhenUsed/>
    <w:rsid w:val="009120AB"/>
    <w:pPr>
      <w:jc w:val="both"/>
    </w:pPr>
    <w:rPr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Standardowy"/>
    <w:next w:val="Jasnecieniowanie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Standardowy"/>
    <w:next w:val="Jasnalista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1">
    <w:name w:val="Light Grid1"/>
    <w:basedOn w:val="Standardowy"/>
    <w:next w:val="Jasnasiatka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Standardowy"/>
    <w:next w:val="redniecieniowanie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next w:val="redniecieniowanie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Standardowy"/>
    <w:next w:val="rednialista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21">
    <w:name w:val="Medium List 21"/>
    <w:basedOn w:val="Standardowy"/>
    <w:next w:val="rednialista2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Standardowy"/>
    <w:next w:val="redniasiatka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Standardowy"/>
    <w:next w:val="redniasiatka2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1">
    <w:name w:val="Medium Grid 31"/>
    <w:basedOn w:val="Standardowy"/>
    <w:next w:val="redniasiatka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808080"/>
      </w:tcPr>
    </w:tblStylePr>
  </w:style>
  <w:style w:type="table" w:customStyle="1" w:styleId="DarkList1">
    <w:name w:val="Dark List1"/>
    <w:basedOn w:val="Standardowy"/>
    <w:next w:val="Ciemnalista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ColorfulShading1">
    <w:name w:val="Colorful Shading1"/>
    <w:basedOn w:val="Standardowy"/>
    <w:next w:val="Kolorowecieniowanie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C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72BC"/>
        <w:insideV w:val="single" w:sz="4" w:space="0" w:color="0072BC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Standardowy"/>
    <w:next w:val="Kolorowalista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Grid1">
    <w:name w:val="Colorful Grid1"/>
    <w:basedOn w:val="Standardowy"/>
    <w:next w:val="Kolorowasiatka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0072BC"/>
      </w:rPr>
      <w:tblPr/>
      <w:tcPr>
        <w:shd w:val="clear" w:color="auto" w:fill="000000"/>
      </w:tcPr>
    </w:tblStylePr>
    <w:tblStylePr w:type="lastCol">
      <w:rPr>
        <w:color w:val="0072BC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">
    <w:name w:val="Light Shading - Accent 11"/>
    <w:basedOn w:val="Standardowy"/>
    <w:next w:val="Jasnecieniowanieakcent1"/>
    <w:uiPriority w:val="99"/>
    <w:rsid w:val="009120AB"/>
    <w:rPr>
      <w:color w:val="00548C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bottom w:val="single" w:sz="8" w:space="0" w:color="0072BC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</w:style>
  <w:style w:type="table" w:customStyle="1" w:styleId="LightList-Accent11">
    <w:name w:val="Light List - Accent 11"/>
    <w:basedOn w:val="Standardowy"/>
    <w:next w:val="Jasnalista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0072BC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</w:style>
  <w:style w:type="table" w:customStyle="1" w:styleId="LightGrid-Accent11">
    <w:name w:val="Light Grid - Accent 11"/>
    <w:basedOn w:val="Standardowy"/>
    <w:next w:val="Jasnasiatka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1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  <w:shd w:val="clear" w:color="auto" w:fill="AFD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  <w:shd w:val="clear" w:color="auto" w:fill="AFDFFF"/>
      </w:tcPr>
    </w:tblStylePr>
    <w:tblStylePr w:type="band2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</w:tcPr>
    </w:tblStylePr>
  </w:style>
  <w:style w:type="table" w:customStyle="1" w:styleId="MediumShading1-Accent11">
    <w:name w:val="Medium Shading 1 - Accent 11"/>
    <w:basedOn w:val="Standardowy"/>
    <w:next w:val="redniecieniowanie1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  <w:shd w:val="clear" w:color="auto" w:fill="0072BC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next w:val="redniecieniowanie2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Standardowy"/>
    <w:next w:val="rednialista1akcent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bottom w:val="single" w:sz="8" w:space="0" w:color="0072BC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0072BC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band1Vert">
      <w:tblPr/>
      <w:tcPr>
        <w:shd w:val="clear" w:color="auto" w:fill="AFDFFF"/>
      </w:tcPr>
    </w:tblStylePr>
    <w:tblStylePr w:type="band1Horz">
      <w:tblPr/>
      <w:tcPr>
        <w:shd w:val="clear" w:color="auto" w:fill="AFDFFF"/>
      </w:tcPr>
    </w:tblStylePr>
  </w:style>
  <w:style w:type="table" w:customStyle="1" w:styleId="MediumList2-Accent11">
    <w:name w:val="Medium List 2 - Accent 11"/>
    <w:basedOn w:val="Standardowy"/>
    <w:next w:val="rednialista2akcent1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11">
    <w:name w:val="Medium Grid 1 - Accent 11"/>
    <w:basedOn w:val="Standardowy"/>
    <w:next w:val="redniasiatka1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  <w:insideV w:val="single" w:sz="8" w:space="0" w:color="0D9FFF"/>
      </w:tblBorders>
    </w:tblPr>
    <w:tcPr>
      <w:shd w:val="clear" w:color="auto" w:fill="AFD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customStyle="1" w:styleId="MediumGrid2-Accent11">
    <w:name w:val="Medium Grid 2 - Accent 11"/>
    <w:basedOn w:val="Standardowy"/>
    <w:next w:val="redniasiatka2akcent1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cPr>
      <w:shd w:val="clear" w:color="auto" w:fill="AFDFFF"/>
    </w:tcPr>
    <w:tblStylePr w:type="firstRow">
      <w:rPr>
        <w:b/>
        <w:bCs/>
        <w:color w:val="000000"/>
      </w:rPr>
      <w:tblPr/>
      <w:tcPr>
        <w:shd w:val="clear" w:color="auto" w:fill="DFF2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tcBorders>
          <w:insideH w:val="single" w:sz="6" w:space="0" w:color="0072BC"/>
          <w:insideV w:val="single" w:sz="6" w:space="0" w:color="0072BC"/>
        </w:tcBorders>
        <w:shd w:val="clear" w:color="auto" w:fill="5EBFFF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11">
    <w:name w:val="Medium Grid 3 - Accent 11"/>
    <w:basedOn w:val="Standardowy"/>
    <w:next w:val="redniasiatka3akcent1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AFDFFF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5EB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5EBFFF"/>
      </w:tcPr>
    </w:tblStylePr>
  </w:style>
  <w:style w:type="table" w:customStyle="1" w:styleId="DarkList-Accent11">
    <w:name w:val="Dark List - Accent 11"/>
    <w:basedOn w:val="Standardowy"/>
    <w:next w:val="Ciemnalista2akcent1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0072B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385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548C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</w:style>
  <w:style w:type="table" w:customStyle="1" w:styleId="ColorfulShading-Accent11">
    <w:name w:val="Colorful Shading - Accent 11"/>
    <w:basedOn w:val="Standardowy"/>
    <w:next w:val="Kolorowecieniowanieakcent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C00000"/>
        <w:left w:val="single" w:sz="4" w:space="0" w:color="0072BC"/>
        <w:bottom w:val="single" w:sz="4" w:space="0" w:color="0072BC"/>
        <w:right w:val="single" w:sz="4" w:space="0" w:color="0072BC"/>
        <w:insideH w:val="single" w:sz="4" w:space="0" w:color="0072BC"/>
        <w:insideV w:val="single" w:sz="4" w:space="0" w:color="0072BC"/>
      </w:tblBorders>
    </w:tblPr>
    <w:tcPr>
      <w:shd w:val="clear" w:color="auto" w:fill="DFF2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447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4470"/>
          <w:insideV w:val="nil"/>
        </w:tcBorders>
        <w:shd w:val="clear" w:color="auto" w:fill="00447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/>
      </w:tcPr>
    </w:tblStylePr>
    <w:tblStylePr w:type="band1Vert">
      <w:tblPr/>
      <w:tcPr>
        <w:shd w:val="clear" w:color="auto" w:fill="7ECBFF"/>
      </w:tcPr>
    </w:tblStylePr>
    <w:tblStylePr w:type="band1Horz">
      <w:tblPr/>
      <w:tcPr>
        <w:shd w:val="clear" w:color="auto" w:fill="5EB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11">
    <w:name w:val="Colorful List - Accent 11"/>
    <w:basedOn w:val="Standardowy"/>
    <w:next w:val="Kolorowalistaakcent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DFF2F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shd w:val="clear" w:color="auto" w:fill="BEE5FF"/>
      </w:tcPr>
    </w:tblStylePr>
  </w:style>
  <w:style w:type="table" w:customStyle="1" w:styleId="ColorfulGrid-Accent11">
    <w:name w:val="Colorful Grid - Accent 11"/>
    <w:basedOn w:val="Standardowy"/>
    <w:next w:val="Kolorowasiatkaakcent1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BEE5FF"/>
    </w:tcPr>
    <w:tblStylePr w:type="firstRow">
      <w:rPr>
        <w:b/>
        <w:bCs/>
      </w:rPr>
      <w:tblPr/>
      <w:tcPr>
        <w:shd w:val="clear" w:color="auto" w:fill="7ECBFF"/>
      </w:tcPr>
    </w:tblStylePr>
    <w:tblStylePr w:type="lastRow">
      <w:rPr>
        <w:b/>
        <w:bCs/>
        <w:color w:val="000000"/>
      </w:rPr>
      <w:tblPr/>
      <w:tcPr>
        <w:shd w:val="clear" w:color="auto" w:fill="7ECBFF"/>
      </w:tcPr>
    </w:tblStylePr>
    <w:tblStylePr w:type="firstCol">
      <w:rPr>
        <w:color w:val="0072BC"/>
      </w:rPr>
      <w:tblPr/>
      <w:tcPr>
        <w:shd w:val="clear" w:color="auto" w:fill="00548C"/>
      </w:tcPr>
    </w:tblStylePr>
    <w:tblStylePr w:type="lastCol">
      <w:rPr>
        <w:color w:val="0072BC"/>
      </w:rPr>
      <w:tblPr/>
      <w:tcPr>
        <w:shd w:val="clear" w:color="auto" w:fill="00548C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customStyle="1" w:styleId="LightShading-Accent21">
    <w:name w:val="Light Shading - Accent 21"/>
    <w:basedOn w:val="Standardowy"/>
    <w:next w:val="Jasnecieniowanieakcent2"/>
    <w:uiPriority w:val="99"/>
    <w:rsid w:val="009120AB"/>
    <w:rPr>
      <w:color w:val="8F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bottom w:val="single" w:sz="8" w:space="0" w:color="C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</w:style>
  <w:style w:type="table" w:customStyle="1" w:styleId="LightList-Accent21">
    <w:name w:val="Light List - Accent 21"/>
    <w:basedOn w:val="Standardowy"/>
    <w:next w:val="Jasnalista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C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</w:style>
  <w:style w:type="table" w:customStyle="1" w:styleId="LightGrid-Accent21">
    <w:name w:val="Light Grid - Accent 21"/>
    <w:basedOn w:val="Standardowy"/>
    <w:next w:val="Jasnasiatka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1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  <w:shd w:val="clear" w:color="auto" w:fill="FFB0B0"/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  <w:shd w:val="clear" w:color="auto" w:fill="FFB0B0"/>
      </w:tcPr>
    </w:tblStylePr>
    <w:tblStylePr w:type="band2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</w:tcPr>
    </w:tblStylePr>
  </w:style>
  <w:style w:type="table" w:customStyle="1" w:styleId="MediumShading1-Accent21">
    <w:name w:val="Medium Shading 1 - Accent 21"/>
    <w:basedOn w:val="Standardowy"/>
    <w:next w:val="redniecieniowanie1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  <w:shd w:val="clear" w:color="auto" w:fill="C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Standardowy"/>
    <w:next w:val="redniecieniowanie2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21">
    <w:name w:val="Medium List 1 - Accent 21"/>
    <w:basedOn w:val="Standardowy"/>
    <w:next w:val="rednialista1akcent2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bottom w:val="single" w:sz="8" w:space="0" w:color="C00000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C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band1Vert">
      <w:tblPr/>
      <w:tcPr>
        <w:shd w:val="clear" w:color="auto" w:fill="FFB0B0"/>
      </w:tcPr>
    </w:tblStylePr>
    <w:tblStylePr w:type="band1Horz">
      <w:tblPr/>
      <w:tcPr>
        <w:shd w:val="clear" w:color="auto" w:fill="FFB0B0"/>
      </w:tcPr>
    </w:tblStylePr>
  </w:style>
  <w:style w:type="table" w:customStyle="1" w:styleId="MediumList2-Accent21">
    <w:name w:val="Medium List 2 - Accent 21"/>
    <w:basedOn w:val="Standardowy"/>
    <w:next w:val="rednialista2akcent2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C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C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21">
    <w:name w:val="Medium Grid 1 - Accent 21"/>
    <w:basedOn w:val="Standardowy"/>
    <w:next w:val="redniasiatka1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  <w:insideV w:val="single" w:sz="8" w:space="0" w:color="FF1010"/>
      </w:tblBorders>
    </w:tblPr>
    <w:tcPr>
      <w:shd w:val="clear" w:color="auto" w:fill="FFB0B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customStyle="1" w:styleId="MediumGrid2-Accent21">
    <w:name w:val="Medium Grid 2 - Accent 21"/>
    <w:basedOn w:val="Standardowy"/>
    <w:next w:val="redniasiatka2akcent2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cPr>
      <w:shd w:val="clear" w:color="auto" w:fill="FFB0B0"/>
    </w:tcPr>
    <w:tblStylePr w:type="firstRow">
      <w:rPr>
        <w:b/>
        <w:bCs/>
        <w:color w:val="000000"/>
      </w:rPr>
      <w:tblPr/>
      <w:tcPr>
        <w:shd w:val="clear" w:color="auto" w:fill="FFDFD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tcBorders>
          <w:insideH w:val="single" w:sz="6" w:space="0" w:color="C00000"/>
          <w:insideV w:val="single" w:sz="6" w:space="0" w:color="C00000"/>
        </w:tcBorders>
        <w:shd w:val="clear" w:color="auto" w:fill="FF6060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21">
    <w:name w:val="Medium Grid 3 - Accent 21"/>
    <w:basedOn w:val="Standardowy"/>
    <w:next w:val="redniasiatka3akcent2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FFB0B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FF606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FF6060"/>
      </w:tcPr>
    </w:tblStylePr>
  </w:style>
  <w:style w:type="table" w:customStyle="1" w:styleId="DarkList-Accent21">
    <w:name w:val="Dark List - Accent 21"/>
    <w:basedOn w:val="Standardowy"/>
    <w:next w:val="Ciemnalistaakcent2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C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5F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8F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</w:style>
  <w:style w:type="table" w:customStyle="1" w:styleId="ColorfulShading-Accent21">
    <w:name w:val="Colorful Shading - Accent 21"/>
    <w:basedOn w:val="Standardowy"/>
    <w:next w:val="Kolorowecieniowanieakcent2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0072BC"/>
        <w:insideV w:val="single" w:sz="4" w:space="0" w:color="0072BC"/>
      </w:tblBorders>
    </w:tblPr>
    <w:tcPr>
      <w:shd w:val="clear" w:color="auto" w:fill="FFDFD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73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730000"/>
          <w:insideV w:val="nil"/>
        </w:tcBorders>
        <w:shd w:val="clear" w:color="auto" w:fill="73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/>
      </w:tcPr>
    </w:tblStylePr>
    <w:tblStylePr w:type="band1Vert">
      <w:tblPr/>
      <w:tcPr>
        <w:shd w:val="clear" w:color="auto" w:fill="FF7F7F"/>
      </w:tcPr>
    </w:tblStylePr>
    <w:tblStylePr w:type="band1Horz">
      <w:tblPr/>
      <w:tcPr>
        <w:shd w:val="clear" w:color="auto" w:fill="FF606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21">
    <w:name w:val="Colorful List - Accent 21"/>
    <w:basedOn w:val="Standardowy"/>
    <w:next w:val="Kolorowalistaakcent2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FFDFD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shd w:val="clear" w:color="auto" w:fill="FFBFBF"/>
      </w:tcPr>
    </w:tblStylePr>
  </w:style>
  <w:style w:type="table" w:customStyle="1" w:styleId="ColorfulGrid-Accent21">
    <w:name w:val="Colorful Grid - Accent 21"/>
    <w:basedOn w:val="Standardowy"/>
    <w:next w:val="Kolorowasiatkaakcent2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FFBFBF"/>
    </w:tcPr>
    <w:tblStylePr w:type="firstRow">
      <w:rPr>
        <w:b/>
        <w:bCs/>
      </w:rPr>
      <w:tblPr/>
      <w:tcPr>
        <w:shd w:val="clear" w:color="auto" w:fill="FF7F7F"/>
      </w:tcPr>
    </w:tblStylePr>
    <w:tblStylePr w:type="lastRow">
      <w:rPr>
        <w:b/>
        <w:bCs/>
        <w:color w:val="000000"/>
      </w:rPr>
      <w:tblPr/>
      <w:tcPr>
        <w:shd w:val="clear" w:color="auto" w:fill="FF7F7F"/>
      </w:tcPr>
    </w:tblStylePr>
    <w:tblStylePr w:type="firstCol">
      <w:rPr>
        <w:color w:val="0072BC"/>
      </w:rPr>
      <w:tblPr/>
      <w:tcPr>
        <w:shd w:val="clear" w:color="auto" w:fill="8F0000"/>
      </w:tcPr>
    </w:tblStylePr>
    <w:tblStylePr w:type="lastCol">
      <w:rPr>
        <w:color w:val="0072BC"/>
      </w:rPr>
      <w:tblPr/>
      <w:tcPr>
        <w:shd w:val="clear" w:color="auto" w:fill="8F0000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customStyle="1" w:styleId="LightShading-Accent31">
    <w:name w:val="Light Shading - Accent 31"/>
    <w:basedOn w:val="Standardowy"/>
    <w:next w:val="Jasnecieniowanieakcent3"/>
    <w:uiPriority w:val="99"/>
    <w:rsid w:val="009120AB"/>
    <w:rPr>
      <w:color w:val="474747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LightList-Accent31">
    <w:name w:val="Light List - Accent 31"/>
    <w:basedOn w:val="Standardowy"/>
    <w:next w:val="Jasnalista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LightGrid-Accent31">
    <w:name w:val="Light Grid - Accent 31"/>
    <w:basedOn w:val="Standardowy"/>
    <w:next w:val="Jasnasiatka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MediumShading1-Accent31">
    <w:name w:val="Medium Shading 1 - Accent 31"/>
    <w:basedOn w:val="Standardowy"/>
    <w:next w:val="redniecieniowanie1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Standardowy"/>
    <w:next w:val="redniecieniowanie2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Standardowy"/>
    <w:next w:val="rednialista1akcent3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MediumList2-Accent31">
    <w:name w:val="Medium List 2 - Accent 31"/>
    <w:basedOn w:val="Standardowy"/>
    <w:next w:val="rednialista2akcent3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31">
    <w:name w:val="Medium Grid 1 - Accent 31"/>
    <w:basedOn w:val="Standardowy"/>
    <w:next w:val="redniasiatka1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MediumGrid2-Accent31">
    <w:name w:val="Medium Grid 2 - Accent 31"/>
    <w:basedOn w:val="Standardowy"/>
    <w:next w:val="redniasiatka2akcent3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31">
    <w:name w:val="Medium Grid 3 - Accent 31"/>
    <w:basedOn w:val="Standardowy"/>
    <w:next w:val="redniasiatka3akcent3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customStyle="1" w:styleId="DarkList-Accent31">
    <w:name w:val="Dark List - Accent 31"/>
    <w:basedOn w:val="Standardowy"/>
    <w:next w:val="Ciemnalistaakcent3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ColorfulShading-Accent31">
    <w:name w:val="Colorful Shading - Accent 31"/>
    <w:basedOn w:val="Standardowy"/>
    <w:next w:val="Kolorowecieniowanieakcent3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969696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</w:style>
  <w:style w:type="table" w:customStyle="1" w:styleId="ColorfulList-Accent31">
    <w:name w:val="Colorful List - Accent 31"/>
    <w:basedOn w:val="Standardowy"/>
    <w:next w:val="Kolorowalistaakcent3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ColorfulGrid-Accent31">
    <w:name w:val="Colorful Grid - Accent 31"/>
    <w:basedOn w:val="Standardowy"/>
    <w:next w:val="Kolorowasiatkaakcent3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LightShading-Accent41">
    <w:name w:val="Light Shading - Accent 41"/>
    <w:basedOn w:val="Standardowy"/>
    <w:next w:val="Jasnecieniowanieakcent4"/>
    <w:uiPriority w:val="99"/>
    <w:rsid w:val="009120AB"/>
    <w:rPr>
      <w:color w:val="70707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LightList-Accent41">
    <w:name w:val="Light List - Accent 41"/>
    <w:basedOn w:val="Standardowy"/>
    <w:next w:val="Jasnalista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96969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customStyle="1" w:styleId="LightGrid-Accent41">
    <w:name w:val="Light Grid - Accent 41"/>
    <w:basedOn w:val="Standardowy"/>
    <w:next w:val="Jasnasiatka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customStyle="1" w:styleId="MediumShading1-Accent41">
    <w:name w:val="Medium Shading 1 - Accent 41"/>
    <w:basedOn w:val="Standardowy"/>
    <w:next w:val="redniecieniowanie1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Standardowy"/>
    <w:next w:val="redniecieniowanie2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41">
    <w:name w:val="Medium List 1 - Accent 41"/>
    <w:basedOn w:val="Standardowy"/>
    <w:next w:val="rednialista1akcent4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MediumList2-Accent41">
    <w:name w:val="Medium List 2 - Accent 41"/>
    <w:basedOn w:val="Standardowy"/>
    <w:next w:val="rednialista2akcent4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969696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41">
    <w:name w:val="Medium Grid 1 - Accent 41"/>
    <w:basedOn w:val="Standardowy"/>
    <w:next w:val="redniasiatka1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MediumGrid2-Accent41">
    <w:name w:val="Medium Grid 2 - Accent 41"/>
    <w:basedOn w:val="Standardowy"/>
    <w:next w:val="redniasiatka2akcent4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41">
    <w:name w:val="Medium Grid 3 - Accent 41"/>
    <w:basedOn w:val="Standardowy"/>
    <w:next w:val="redniasiatka3akcent4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CACACA"/>
      </w:tcPr>
    </w:tblStylePr>
  </w:style>
  <w:style w:type="table" w:customStyle="1" w:styleId="DarkList-Accent41">
    <w:name w:val="Dark List - Accent 41"/>
    <w:basedOn w:val="Standardowy"/>
    <w:next w:val="Ciemnalistaakcent4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customStyle="1" w:styleId="ColorfulShading-Accent41">
    <w:name w:val="Colorful Shading - Accent 41"/>
    <w:basedOn w:val="Standardowy"/>
    <w:next w:val="Kolorowecieniowanieakcent4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5F5F5F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0072BC"/>
        <w:insideV w:val="single" w:sz="4" w:space="0" w:color="0072BC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5A5A5A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41">
    <w:name w:val="Colorful List - Accent 41"/>
    <w:basedOn w:val="Standardowy"/>
    <w:next w:val="Kolorowalistaakcent4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F4F4F4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customStyle="1" w:styleId="ColorfulGrid-Accent41">
    <w:name w:val="Colorful Grid - Accent 41"/>
    <w:basedOn w:val="Standardowy"/>
    <w:next w:val="Kolorowasiatkaakcent4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0072BC"/>
      </w:rPr>
      <w:tblPr/>
      <w:tcPr>
        <w:shd w:val="clear" w:color="auto" w:fill="707070"/>
      </w:tcPr>
    </w:tblStylePr>
    <w:tblStylePr w:type="lastCol">
      <w:rPr>
        <w:color w:val="0072BC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LightShading-Accent51">
    <w:name w:val="Light Shading - Accent 51"/>
    <w:basedOn w:val="Standardowy"/>
    <w:next w:val="Jasnecieniowanieakcent5"/>
    <w:uiPriority w:val="99"/>
    <w:rsid w:val="009120AB"/>
    <w:rPr>
      <w:color w:val="474747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LightList-Accent51">
    <w:name w:val="Light List - Accent 51"/>
    <w:basedOn w:val="Standardowy"/>
    <w:next w:val="Jasnalista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LightGrid-Accent51">
    <w:name w:val="Light Grid - Accent 51"/>
    <w:basedOn w:val="Standardowy"/>
    <w:next w:val="Jasnasiatka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MediumShading1-Accent51">
    <w:name w:val="Medium Shading 1 - Accent 51"/>
    <w:basedOn w:val="Standardowy"/>
    <w:next w:val="redniecieniowanie1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Standardowy"/>
    <w:next w:val="redniecieniowanie2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Standardowy"/>
    <w:next w:val="rednialista1akcent5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MediumList2-Accent51">
    <w:name w:val="Medium List 2 - Accent 51"/>
    <w:basedOn w:val="Standardowy"/>
    <w:next w:val="rednialista2akcent5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51">
    <w:name w:val="Medium Grid 1 - Accent 51"/>
    <w:basedOn w:val="Standardowy"/>
    <w:next w:val="redniasiatka1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MediumGrid2-Accent51">
    <w:name w:val="Medium Grid 2 - Accent 51"/>
    <w:basedOn w:val="Standardowy"/>
    <w:next w:val="redniasiatka2akcent5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51">
    <w:name w:val="Medium Grid 3 - Accent 51"/>
    <w:basedOn w:val="Standardowy"/>
    <w:next w:val="redniasiatka3akcent5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customStyle="1" w:styleId="DarkList-Accent51">
    <w:name w:val="Dark List - Accent 51"/>
    <w:basedOn w:val="Standardowy"/>
    <w:next w:val="Ciemnalistaakcent5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ColorfulShading-Accent51">
    <w:name w:val="Colorful Shading - Accent 51"/>
    <w:basedOn w:val="Standardowy"/>
    <w:next w:val="Kolorowecieniowanieakcent5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51">
    <w:name w:val="Colorful List - Accent 51"/>
    <w:basedOn w:val="Standardowy"/>
    <w:next w:val="Kolorowalistaakcent5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ColorfulGrid-Accent51">
    <w:name w:val="Colorful Grid - Accent 51"/>
    <w:basedOn w:val="Standardowy"/>
    <w:next w:val="Kolorowasiatkaakcent5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LightShading-Accent61">
    <w:name w:val="Light Shading - Accent 61"/>
    <w:basedOn w:val="Standardowy"/>
    <w:next w:val="Jasnecieniowanieakcent6"/>
    <w:uiPriority w:val="99"/>
    <w:rsid w:val="009120AB"/>
    <w:rPr>
      <w:color w:val="393939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table" w:customStyle="1" w:styleId="LightList-Accent61">
    <w:name w:val="Light List - Accent 61"/>
    <w:basedOn w:val="Standardowy"/>
    <w:next w:val="Jasnalista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shd w:val="clear" w:color="auto" w:fill="4D4D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LightGrid-Accent61">
    <w:name w:val="Light Grid - Accent 61"/>
    <w:basedOn w:val="Standardowy"/>
    <w:next w:val="Jasnasiatka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MS Gothic" w:hAnsi="Times New Roman" w:cs="Times New Roman" w:hint="default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MS Gothic" w:hAnsi="Times New Roman" w:cs="Times New Roman" w:hint="default"/>
        <w:b/>
        <w:bCs/>
      </w:rPr>
    </w:tblStylePr>
    <w:tblStylePr w:type="lastCol">
      <w:rPr>
        <w:rFonts w:ascii="Times New Roman" w:eastAsia="MS Gothic" w:hAnsi="Times New Roman" w:cs="Times New Roman" w:hint="default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customStyle="1" w:styleId="MediumShading1-Accent61">
    <w:name w:val="Medium Shading 1 - Accent 61"/>
    <w:basedOn w:val="Standardowy"/>
    <w:next w:val="redniecieniowanie1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Standardowy"/>
    <w:next w:val="redniecieniowanie2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61">
    <w:name w:val="Medium List 1 - Accent 61"/>
    <w:basedOn w:val="Standardowy"/>
    <w:next w:val="rednialista1akcent6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Times New Roman" w:eastAsia="MS Gothic" w:hAnsi="Times New Roman" w:cs="Times New Roman" w:hint="default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customStyle="1" w:styleId="MediumList2-Accent61">
    <w:name w:val="Medium List 2 - Accent 61"/>
    <w:basedOn w:val="Standardowy"/>
    <w:next w:val="rednialista2akcent6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4D4D4D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61">
    <w:name w:val="Medium Grid 1 - Accent 61"/>
    <w:basedOn w:val="Standardowy"/>
    <w:next w:val="redniasiatka1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MediumGrid2-Accent61">
    <w:name w:val="Medium Grid 2 - Accent 61"/>
    <w:basedOn w:val="Standardowy"/>
    <w:next w:val="redniasiatka2akcent6"/>
    <w:uiPriority w:val="99"/>
    <w:rsid w:val="009120AB"/>
    <w:rPr>
      <w:rFonts w:eastAsia="MS Gothic"/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-Accent61">
    <w:name w:val="Medium Grid 3 - Accent 61"/>
    <w:basedOn w:val="Standardowy"/>
    <w:next w:val="redniasiatka3akcent6"/>
    <w:uiPriority w:val="99"/>
    <w:rsid w:val="009120AB"/>
    <w:rPr>
      <w:lang w:val="fr-FR" w:eastAsia="fr-FR"/>
    </w:rPr>
    <w:tblPr>
      <w:tblStyleRowBandSize w:val="1"/>
      <w:tblStyleColBandSize w:val="1"/>
      <w:tblInd w:w="0" w:type="nil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6A6A6"/>
      </w:tcPr>
    </w:tblStylePr>
  </w:style>
  <w:style w:type="table" w:customStyle="1" w:styleId="DarkList-Accent61">
    <w:name w:val="Dark List - Accent 61"/>
    <w:basedOn w:val="Standardowy"/>
    <w:next w:val="Ciemnalistaakcent6"/>
    <w:uiPriority w:val="99"/>
    <w:rsid w:val="009120AB"/>
    <w:rPr>
      <w:color w:val="0072BC"/>
      <w:lang w:val="fr-FR" w:eastAsia="fr-FR"/>
    </w:rPr>
    <w:tblPr>
      <w:tblStyleRowBandSize w:val="1"/>
      <w:tblStyleColBandSize w:val="1"/>
      <w:tblInd w:w="0" w:type="nil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table" w:customStyle="1" w:styleId="ColorfulShading-Accent61">
    <w:name w:val="Colorful Shading - Accent 61"/>
    <w:basedOn w:val="Standardowy"/>
    <w:next w:val="Kolorowecieniowanieakcent6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0072BC"/>
        <w:insideV w:val="single" w:sz="4" w:space="0" w:color="0072BC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2E2E2E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61">
    <w:name w:val="Colorful List - Accent 61"/>
    <w:basedOn w:val="Standardowy"/>
    <w:next w:val="Kolorowalistaakcent6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</w:tblPr>
    <w:tcPr>
      <w:shd w:val="clear" w:color="auto" w:fill="EDEDED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customStyle="1" w:styleId="ColorfulGrid-Accent61">
    <w:name w:val="Colorful Grid - Accent 61"/>
    <w:basedOn w:val="Standardowy"/>
    <w:next w:val="Kolorowasiatkaakcent6"/>
    <w:uiPriority w:val="99"/>
    <w:rsid w:val="009120AB"/>
    <w:rPr>
      <w:color w:val="000000"/>
      <w:lang w:val="fr-FR" w:eastAsia="fr-FR"/>
    </w:rPr>
    <w:tblPr>
      <w:tblStyleRowBandSize w:val="1"/>
      <w:tblStyleColBandSize w:val="1"/>
      <w:tblInd w:w="0" w:type="nil"/>
      <w:tblBorders>
        <w:insideH w:val="single" w:sz="4" w:space="0" w:color="0072BC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0072BC"/>
      </w:rPr>
      <w:tblPr/>
      <w:tcPr>
        <w:shd w:val="clear" w:color="auto" w:fill="393939"/>
      </w:tcPr>
    </w:tblStylePr>
    <w:tblStylePr w:type="lastCol">
      <w:rPr>
        <w:color w:val="0072BC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ECHRTable1">
    <w:name w:val="ECHR_Table1"/>
    <w:basedOn w:val="Standardowy"/>
    <w:rsid w:val="009120AB"/>
    <w:rPr>
      <w:lang w:val="en-GB"/>
    </w:rPr>
    <w:tblPr>
      <w:tblStyleRowBandSize w:val="1"/>
      <w:tblStyleColBandSize w:val="1"/>
      <w:tblInd w:w="0" w:type="nil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 w:cs="Times New Roman" w:hint="default"/>
        <w:b/>
        <w:i w:val="0"/>
        <w:color w:val="474747"/>
        <w:sz w:val="22"/>
        <w:szCs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2Horz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</w:style>
  <w:style w:type="table" w:customStyle="1" w:styleId="ECHRTableBoxHeader1">
    <w:name w:val="ECHR_Table_Box_Header1"/>
    <w:basedOn w:val="Standardowy"/>
    <w:rsid w:val="009120AB"/>
    <w:rPr>
      <w:rFonts w:ascii="Verdana" w:hAnsi="Verdana"/>
      <w:lang w:val="en-GB"/>
    </w:rPr>
    <w:tblPr>
      <w:tblInd w:w="0" w:type="nil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/>
    </w:tcPr>
    <w:tblStylePr w:type="firstCol">
      <w:rPr>
        <w:b/>
        <w:color w:val="5F5F5F"/>
      </w:rPr>
    </w:tblStylePr>
  </w:style>
  <w:style w:type="table" w:customStyle="1" w:styleId="LtrTableAddress1">
    <w:name w:val="Ltr_Table_Address1"/>
    <w:basedOn w:val="Standardowy"/>
    <w:uiPriority w:val="99"/>
    <w:rsid w:val="009120AB"/>
    <w:tblPr>
      <w:tblInd w:w="0" w:type="nil"/>
    </w:tblPr>
  </w:style>
  <w:style w:type="table" w:customStyle="1" w:styleId="UGTable1">
    <w:name w:val="UG_Table1"/>
    <w:basedOn w:val="Standardowy"/>
    <w:uiPriority w:val="99"/>
    <w:rsid w:val="009120AB"/>
    <w:rPr>
      <w:rFonts w:eastAsia="MS Mincho"/>
      <w:lang w:val="en-GB" w:eastAsia="en-GB"/>
    </w:rPr>
    <w:tblPr>
      <w:tblInd w:w="0" w:type="nil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1">
    <w:name w:val="UG_Table_White_Box1"/>
    <w:basedOn w:val="Standardowy"/>
    <w:uiPriority w:val="99"/>
    <w:rsid w:val="009120AB"/>
    <w:rPr>
      <w:rFonts w:eastAsia="MS Mincho"/>
      <w:lang w:val="en-GB" w:eastAsia="en-GB"/>
    </w:rPr>
    <w:tblPr>
      <w:tblInd w:w="0" w:type="nil"/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1">
    <w:name w:val="PCF_Table_Style1"/>
    <w:basedOn w:val="Standardowy"/>
    <w:uiPriority w:val="99"/>
    <w:rsid w:val="009120AB"/>
    <w:rPr>
      <w:color w:val="000000"/>
      <w:sz w:val="18"/>
    </w:rPr>
    <w:tblPr>
      <w:tblInd w:w="0" w:type="nil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center"/>
      </w:pPr>
      <w:rPr>
        <w:b/>
        <w:i w:val="0"/>
        <w:color w:val="FFFFFF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1">
    <w:name w:val="ECHR_Table_Fax1"/>
    <w:basedOn w:val="Standardowy"/>
    <w:uiPriority w:val="99"/>
    <w:rsid w:val="009120AB"/>
    <w:rPr>
      <w:color w:val="000000"/>
    </w:rPr>
    <w:tblPr>
      <w:tblInd w:w="0" w:type="nil"/>
      <w:tblBorders>
        <w:insideH w:val="single" w:sz="4" w:space="0" w:color="C6C6C6"/>
        <w:insideV w:val="single" w:sz="4" w:space="0" w:color="C6C6C6"/>
      </w:tblBorders>
      <w:tblCellMar>
        <w:top w:w="142" w:type="dxa"/>
        <w:bottom w:w="142" w:type="dxa"/>
      </w:tblCellMar>
    </w:tblPr>
  </w:style>
  <w:style w:type="table" w:customStyle="1" w:styleId="ECHRTableMemo1">
    <w:name w:val="ECHR_Table_Memo1"/>
    <w:basedOn w:val="Standardowy"/>
    <w:uiPriority w:val="99"/>
    <w:rsid w:val="009120AB"/>
    <w:tblPr>
      <w:tblInd w:w="0" w:type="nil"/>
      <w:tblCellMar>
        <w:top w:w="113" w:type="dxa"/>
        <w:left w:w="0" w:type="dxa"/>
        <w:bottom w:w="113" w:type="dxa"/>
        <w:right w:w="0" w:type="dxa"/>
      </w:tblCellMar>
    </w:tblPr>
    <w:tblStylePr w:type="lastRow">
      <w:tblPr/>
      <w:tcPr>
        <w:tcBorders>
          <w:top w:val="nil"/>
          <w:left w:val="nil"/>
          <w:bottom w:val="single" w:sz="4" w:space="0" w:color="949494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DNTable1">
    <w:name w:val="DN_Table1"/>
    <w:basedOn w:val="Standardowy"/>
    <w:uiPriority w:val="99"/>
    <w:rsid w:val="009120AB"/>
    <w:tblPr>
      <w:tblInd w:w="0" w:type="nil"/>
      <w:tblBorders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wordWrap/>
        <w:spacing w:beforeLines="0" w:before="0" w:beforeAutospacing="0"/>
        <w:ind w:leftChars="0" w:left="0"/>
      </w:pPr>
      <w:rPr>
        <w:rFonts w:ascii="Times New Roman" w:hAnsi="Times New Roman" w:cs="Times New Roman" w:hint="default"/>
        <w:b/>
        <w:i w:val="0"/>
        <w:color w:val="474747"/>
        <w:sz w:val="24"/>
        <w:szCs w:val="24"/>
      </w:rPr>
      <w:tblPr/>
      <w:tcPr>
        <w:tcBorders>
          <w:top w:val="single" w:sz="4" w:space="0" w:color="949494"/>
          <w:left w:val="single" w:sz="4" w:space="0" w:color="949494"/>
          <w:bottom w:val="nil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</w:style>
  <w:style w:type="table" w:customStyle="1" w:styleId="ECHRTableSimpleBox1">
    <w:name w:val="ECHR_Table_Simple_Box1"/>
    <w:basedOn w:val="Standardowy"/>
    <w:uiPriority w:val="99"/>
    <w:rsid w:val="009120AB"/>
    <w:tblPr>
      <w:tblInd w:w="0" w:type="nil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</w:tblBorders>
      <w:tblCellMar>
        <w:top w:w="113" w:type="dxa"/>
        <w:bottom w:w="113" w:type="dxa"/>
      </w:tblCellMar>
    </w:tblPr>
  </w:style>
  <w:style w:type="table" w:customStyle="1" w:styleId="ECHRTableNoLines1">
    <w:name w:val="ECHR_Table_No_Lines1"/>
    <w:basedOn w:val="Standardowy"/>
    <w:uiPriority w:val="99"/>
    <w:rsid w:val="009120AB"/>
    <w:tblPr>
      <w:tblInd w:w="0" w:type="nil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="Times New Roman" w:hAnsi="Times New Roman" w:cs="Times New Roman" w:hint="default"/>
        <w:b/>
        <w:i w:val="0"/>
        <w:color w:val="474747"/>
        <w:sz w:val="24"/>
        <w:szCs w:val="24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firstCol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</w:tcPr>
    </w:tblStylePr>
  </w:style>
  <w:style w:type="table" w:customStyle="1" w:styleId="ECHRTableForInternalUse1">
    <w:name w:val="ECHR_Table_For_Internal_Use1"/>
    <w:basedOn w:val="Standardowy"/>
    <w:uiPriority w:val="99"/>
    <w:rsid w:val="009120AB"/>
    <w:rPr>
      <w:color w:val="636363"/>
      <w:sz w:val="18"/>
    </w:rPr>
    <w:tblPr>
      <w:tblStyleColBandSize w:val="1"/>
      <w:tblInd w:w="0" w:type="nil"/>
      <w:tblCellMar>
        <w:top w:w="113" w:type="dxa"/>
        <w:bottom w:w="28" w:type="dxa"/>
      </w:tblCellMar>
    </w:tbl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</w:style>
  <w:style w:type="table" w:customStyle="1" w:styleId="ECHRListTable1">
    <w:name w:val="ECHR_List_Table1"/>
    <w:basedOn w:val="Standardowy"/>
    <w:uiPriority w:val="99"/>
    <w:rsid w:val="009120AB"/>
    <w:tblPr>
      <w:tblInd w:w="0" w:type="nil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b/>
        <w:color w:val="474747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  <w:style w:type="table" w:customStyle="1" w:styleId="ECHRHeaderTable1">
    <w:name w:val="ECHR_Header_Table1"/>
    <w:basedOn w:val="Standardowy"/>
    <w:uiPriority w:val="99"/>
    <w:rsid w:val="009120AB"/>
    <w:tblPr>
      <w:tblInd w:w="0" w:type="nil"/>
      <w:tblBorders>
        <w:bottom w:val="single" w:sz="6" w:space="0" w:color="949494"/>
      </w:tblBorders>
      <w:tblCellMar>
        <w:left w:w="0" w:type="dxa"/>
        <w:bottom w:w="28" w:type="dxa"/>
        <w:right w:w="0" w:type="dxa"/>
      </w:tblCellMar>
    </w:tblPr>
    <w:tcPr>
      <w:vAlign w:val="both"/>
    </w:tcPr>
    <w:tblStylePr w:type="lastCol">
      <w:pPr>
        <w:wordWrap/>
        <w:jc w:val="both"/>
      </w:pPr>
    </w:tblStylePr>
  </w:style>
  <w:style w:type="table" w:customStyle="1" w:styleId="ECHRTableOddBanded1">
    <w:name w:val="ECHR_Table_Odd_Banded1"/>
    <w:basedOn w:val="Standardowy"/>
    <w:uiPriority w:val="99"/>
    <w:rsid w:val="009120AB"/>
    <w:tblPr>
      <w:tblStyleRowBandSize w:val="1"/>
      <w:tblStyleColBandSize w:val="1"/>
      <w:tblInd w:w="0" w:type="nil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 w:cs="Times New Roman" w:hint="default"/>
        <w:b/>
        <w:i w:val="0"/>
        <w:color w:val="474747"/>
        <w:sz w:val="22"/>
        <w:szCs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1Horz">
      <w:rPr>
        <w:b/>
      </w:rPr>
      <w:tblPr/>
      <w:tcPr>
        <w:shd w:val="clear" w:color="auto" w:fill="DFDFDF"/>
      </w:tcPr>
    </w:tblStylePr>
  </w:style>
  <w:style w:type="table" w:customStyle="1" w:styleId="ECHRHeaderTableReduced1">
    <w:name w:val="ECHR_Header_Table_Reduced1"/>
    <w:basedOn w:val="Standardowy"/>
    <w:uiPriority w:val="99"/>
    <w:rsid w:val="009120AB"/>
    <w:tblPr>
      <w:tblInd w:w="0" w:type="nil"/>
      <w:tblCellMar>
        <w:left w:w="0" w:type="dxa"/>
        <w:right w:w="0" w:type="dxa"/>
      </w:tblCellMar>
    </w:tblPr>
    <w:tcPr>
      <w:vAlign w:val="both"/>
    </w:tcPr>
    <w:tblStylePr w:type="firstRow">
      <w:tblPr/>
      <w:tcPr>
        <w:tcBorders>
          <w:top w:val="nil"/>
          <w:left w:val="nil"/>
          <w:bottom w:val="single" w:sz="6" w:space="0" w:color="949494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HiChar">
    <w:name w:val="Ju_H_i Char"/>
    <w:link w:val="ECHRHeading5"/>
    <w:uiPriority w:val="23"/>
    <w:rsid w:val="00DE7391"/>
    <w:rPr>
      <w:rFonts w:ascii="Times New Roman" w:eastAsia="Times New Roman" w:hAnsi="Times New Roman" w:cs="Times New Roman"/>
      <w:bCs/>
      <w:i/>
      <w:sz w:val="20"/>
      <w:lang w:val="pl-PL" w:eastAsia="pl-PL"/>
    </w:rPr>
  </w:style>
  <w:style w:type="paragraph" w:customStyle="1" w:styleId="jupara">
    <w:name w:val="jupara"/>
    <w:basedOn w:val="Normalny"/>
    <w:rsid w:val="003C2190"/>
    <w:pPr>
      <w:ind w:firstLine="284"/>
    </w:pPr>
    <w:rPr>
      <w:szCs w:val="24"/>
    </w:rPr>
  </w:style>
  <w:style w:type="paragraph" w:customStyle="1" w:styleId="jucase0">
    <w:name w:val="jucase"/>
    <w:basedOn w:val="Normalny"/>
    <w:rsid w:val="003C2190"/>
    <w:pPr>
      <w:ind w:firstLine="284"/>
    </w:pPr>
    <w:rPr>
      <w:b/>
      <w:bCs/>
      <w:szCs w:val="24"/>
    </w:rPr>
  </w:style>
  <w:style w:type="character" w:customStyle="1" w:styleId="s4f807e54">
    <w:name w:val="s4f807e54"/>
    <w:basedOn w:val="Domylnaczcionkaakapitu"/>
    <w:uiPriority w:val="99"/>
    <w:rsid w:val="00C1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8038-B87D-4C8C-BDDD-4BD1BCA9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AC3CE6-FC05-4464-BF2B-3D2672A0A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73D41-C1ED-45AC-9686-757E81C6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12353</Words>
  <Characters>74120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2017-06-23T09:53:00Z</dcterms:created>
  <dcterms:modified xsi:type="dcterms:W3CDTF">2017-06-26T09:01:00Z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0x010100558EB02BDB9E204AB350EDD385B68E10</vt:lpwstr>
  </property>
</Properties>
</file>