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Regionalnego Dyrektora Ochrony Środowiska w Bydgoszczy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 w:val="0"/>
          <w:caps w:val="0"/>
          <w:sz w:val="24"/>
        </w:rPr>
        <w:t>z dnia 28 kwietnia 2025 r.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 w:val="0"/>
          <w:caps w:val="0"/>
          <w:sz w:val="22"/>
        </w:rPr>
      </w:pP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 sprawie ustanowienia planu ochrony dla rezerwatu przyrody „Torfowisko Mieleńskie”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19 ust. 6 ustawy z dnia 16 kwietnia 2004 roku o ochronie przyrody (Dz. U. z 2024 r. poz. 1478 i 1940) zarządza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Ustanawia się plan ochrony dla rezerwatu przyrody „Torfowisko Mieleńskie” zwanego dalej „rezerwatem”.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Celem ochrony w rezerwacie jest zachowanie zbiorowisk roślinności o charakterze naturalnym z udziałem rzadkich gatunków reliktowych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Przyrodniczymi  i społecznymi  uwarunkowaniami  realizacji  celu  ochrony,  o którym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 1,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położenie rezerwatu na gruntach należących do Skarbu Państwa, zarządzanych przez Państwowe Gospodarstwo Leśne Lasy Państwowe Nadleśnictwo Skrwilno i gruntach prywatnych;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położenie rezerwatu na terenie obszaru Natura 2000 Torfowisko Mieleńskie PLH040018;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położenie na terenie Obszaru Chronionego Krajobrazu Jezioro Skępskie.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Identyfikację oraz określenie sposobów eliminacji i ograniczania istniejących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potencjalnych zagrożeń wewnętrznych i zewnętrznych oraz ich skutków na obszarze rezerwatu przedstawia tabela stanowiąca załącznik nr 1 do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Ochronie czynnej podlega obszar rezerwatu, który stanowią płaty siedlisk o łącznej powierzchni 0,96 ha, znajdujące się na działkach ewidencyjnych o numerach: 1406, 1431, 1432, 2120/57, 2120/55, obręb Rumunki Skępskie 0020, gmina Skępe – obszar wiejski, a ochronie ścisłej podlega pozostały obszar rezerwatu.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Określenie działań ochronnych na obszarze ochrony czynnej, z podaniem ich rodzaju, zakresu i lokalizacji, przedstawia tabela stanowiąca załącznik nr 2 do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Zarządzenie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 od dnia ogłoszenia.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drawing>
          <wp:inline>
            <wp:extent cx="2655004" cy="1048512"/>
            <wp:docPr id="100001" name="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5004" cy="104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3634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Regionalnego Dyrektora Ochrony Środowiska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Bydgoszczy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Identyfikacja oraz określenie sposobów eliminacji lub ograniczania istniejących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potencjalnych zagrożeń wewnętrznych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zewnętrznych oraz ich skutków na obszarze rezerwatu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48"/>
        <w:gridCol w:w="4944"/>
        <w:gridCol w:w="449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Identyfikacja zagrożeń istniejących i potencjalnych zagrożeń wewnętrznych i zewnętrznych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Sposób eliminacji lub ograniczania istniejących i potencjalnych zagrożeń wewnętrznych i zewnętrznych oraz ich skutków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8"/>
        </w:trPr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Procesy sukcesji krzewów i podrostu drzew na torfowisku przejściowym i nizinnym torfowisku zasadowym (zagrożenie istniejące, wewnętrzne). 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Usuwanie krzewów i podrostu drzew w okresie jesienno-zimowym, za wyjątkiem chronionej brzozy niskiej </w:t>
            </w:r>
            <w:r>
              <w:rPr>
                <w:i/>
              </w:rPr>
              <w:t>Betula humilis</w:t>
            </w:r>
            <w:r>
              <w:t xml:space="preserve"> (wskazany jest nadzór specjalisty) oraz wynoszenie biomasy poza płat siedliska przyrodniczego.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8"/>
        </w:trPr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2.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Pogarszanie się warunków hydrologicznych na obszarze rezerwatu. Nienaturalne przepływy rzeki Mień z powodu prowadzonej hodowli ryb w stawach powyżej torfowiska skutkujące zmianami naturalnego tempa przepływu wód podziemnych przez torfowisko (zarówno przyspieszające tempo jak też spowalniające w trakcie poboru wody bądź jej odprowadzania), a także możliwością dodatkowego dopływu biogenów pochodzących z wód powierzchniowych negatywnie oddziaływujących na siedliska rozwijające się dzięki zasilaniu wodami podziemnymi (zagrożenie istniejące, zewnętrzne). 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Monitoring warunków hydrologicznych za pośrednictwem zainstalowanych piezometrów. Modyfikacja sposobu gospodarowania wodą w rzece Mień polegająca na uwzględnieniu negatywnego wpływu silnie zmienionych przepływów (stawy hodowlane) na stan torfowiska. Szczególnie zrzut wody nie powinien powodować wielokrotnego przekraczania wartości średnich przepływów, w tym celu podjęcie ustaleń z udzielającym pozwolenie wodnoprawne na piętrzenie i pobór wód z rzeki Mień.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drawing>
          <wp:inline>
            <wp:extent cx="2670440" cy="1054608"/>
            <wp:docPr id="100003" name="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0440" cy="105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3634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Regionalnego Dyrektora Ochrony Środowiska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Bydgoszczy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Określenie działań ochronnych na obszarze ochrony czynnej,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podaniem ich rodzaju, zakresu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79"/>
        <w:gridCol w:w="2876"/>
        <w:gridCol w:w="4048"/>
        <w:gridCol w:w="257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Rodzaj działań ochronnych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Zakres działań ochronnych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Lokalizacja działań</w:t>
            </w:r>
          </w:p>
          <w:p>
            <w:pPr>
              <w:jc w:val="left"/>
            </w:pPr>
            <w:r>
              <w:rPr>
                <w:b/>
              </w:rPr>
              <w:t>ochronnych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43"/>
        </w:trPr>
        <w:tc>
          <w:tcPr>
            <w:tcW w:w="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Hamowanie sukcesji roślinności leśnej poprzez systematyczne usuwanie krzewów i podrostu drzew  olszy czarnej </w:t>
            </w:r>
            <w:r>
              <w:rPr>
                <w:i/>
              </w:rPr>
              <w:t xml:space="preserve">Alnus glutinosa, </w:t>
            </w:r>
            <w:r>
              <w:t xml:space="preserve">wierzb </w:t>
            </w:r>
            <w:r>
              <w:rPr>
                <w:i/>
              </w:rPr>
              <w:t>Salix spp.</w:t>
            </w:r>
            <w:r>
              <w:t xml:space="preserve"> z płatu siedliska 7230 Górskie i nizinne torfowiska zasadowe o charakterze młak, turzycowisk i mechowisk i 7140 Torfowiska przejściowe i trzęsawiska (przeważnie z roślinnością z </w:t>
            </w:r>
            <w:r>
              <w:rPr>
                <w:i/>
              </w:rPr>
              <w:t>Scheuchzerio-Caricetea</w:t>
            </w:r>
            <w:r>
              <w:t>).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Wycinanie należy prowadzić (najlepiej poniżej szyi korzeniowej, aby zmniejszyć ilość odrastających pędów), w okresie jesienno-zimowym oraz wynoszenie biomasy poza płat siedliska przyrodniczego (może być pozostawiona do rozkładu w obrębie sąsiadujących zarośli wierzbowo-olszowych jednak w każdym roku w innym miejscu.). Wycinanie  powtarzać każdego roku. Pozostawiać na obszarze torfowiska chronionej brzozy niskiej </w:t>
            </w:r>
            <w:r>
              <w:rPr>
                <w:i/>
              </w:rPr>
              <w:t>Betula humilis</w:t>
            </w:r>
            <w:r>
              <w:t xml:space="preserve"> (wskazany jest nadzór specjalisty).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zasięgu siedlisk 7230 i 7140 na</w:t>
            </w:r>
          </w:p>
          <w:p>
            <w:pPr>
              <w:jc w:val="left"/>
            </w:pPr>
            <w:r>
              <w:t>powierzchni 0,96 ha, zajmującej części działek ewid.: 2120/57,</w:t>
            </w:r>
          </w:p>
          <w:p>
            <w:pPr>
              <w:jc w:val="left"/>
            </w:pPr>
            <w:r>
              <w:t>2120/55, 1406, 1431,</w:t>
            </w:r>
          </w:p>
          <w:p>
            <w:pPr>
              <w:jc w:val="left"/>
            </w:pPr>
            <w:r>
              <w:t>1432, obręb Rumunki Skępskie 0020, gmina Skępe – obszar wiejski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43"/>
        </w:trPr>
        <w:tc>
          <w:tcPr>
            <w:tcW w:w="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Monitoring stanu ochrony walorów przyrodniczych rezerwatu przyrody.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Monitoring stanu ochrony walorów przyrodniczych rezerwatu przyrody  nie rzadziej niż co 5 lat w trakcie obowiązywania planu ochrony.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Cały obszar rezerwatu przyrody 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drawing>
          <wp:inline>
            <wp:extent cx="2670440" cy="1054608"/>
            <wp:docPr id="100005" name="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70440" cy="105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0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2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Plan ochrony dla rezerwatu przyrody „</w:t>
      </w:r>
      <w:r>
        <w:rPr>
          <w:color w:val="000000"/>
          <w:szCs w:val="20"/>
          <w:shd w:val="clear" w:color="auto" w:fill="FFFFFF"/>
        </w:rPr>
        <w:t>Torfowisko Mieleńskie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”</w:t>
      </w:r>
      <w:r>
        <w:rPr>
          <w:color w:val="000000"/>
          <w:szCs w:val="20"/>
          <w:shd w:val="clear" w:color="auto" w:fill="FFFFFF"/>
        </w:rPr>
        <w:t xml:space="preserve"> je</w:t>
      </w:r>
      <w:r>
        <w:rPr>
          <w:color w:val="000000"/>
          <w:szCs w:val="20"/>
          <w:shd w:val="clear" w:color="auto" w:fill="FFFFFF"/>
          <w:lang w:val="x-none" w:eastAsia="en-US" w:bidi="ar-SA"/>
        </w:rPr>
        <w:t>st dokumentem określającym spos</w:t>
      </w:r>
      <w:r>
        <w:rPr>
          <w:color w:val="000000"/>
          <w:szCs w:val="20"/>
          <w:shd w:val="clear" w:color="auto" w:fill="FFFFFF"/>
        </w:rPr>
        <w:t>ób ochrony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zbiorowisk roślinności o charakterze naturalnym z udziałem rzadkich gatunków reliktowych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</w:rPr>
        <w:t xml:space="preserve"> stanowiących przedmiot ochrony w rezerwacie</w:t>
      </w:r>
      <w:r>
        <w:rPr>
          <w:color w:val="000000"/>
          <w:szCs w:val="20"/>
          <w:shd w:val="clear" w:color="auto" w:fill="FFFFFF"/>
          <w:lang w:val="x-none" w:eastAsia="en-US" w:bidi="ar-SA"/>
        </w:rPr>
        <w:t>. Rezerwat przyrody został ustanowiony</w:t>
      </w:r>
      <w:r>
        <w:rPr>
          <w:color w:val="000000"/>
          <w:szCs w:val="20"/>
          <w:shd w:val="clear" w:color="auto" w:fill="FFFFFF"/>
        </w:rPr>
        <w:t xml:space="preserve"> zarządzeniem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Ministra </w:t>
      </w:r>
      <w:r>
        <w:rPr>
          <w:color w:val="000000"/>
          <w:szCs w:val="20"/>
          <w:shd w:val="clear" w:color="auto" w:fill="FFFFFF"/>
        </w:rPr>
        <w:t>Ochrony Środowiska, Zasobów Naturalnych i Leśnictwa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 dnia </w:t>
      </w:r>
      <w:r>
        <w:rPr>
          <w:color w:val="000000"/>
          <w:szCs w:val="20"/>
          <w:shd w:val="clear" w:color="auto" w:fill="FFFFFF"/>
        </w:rPr>
        <w:t>26 listopada 1990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w sprawie uznania za rezerwaty przyrody (M. P. nr </w:t>
      </w:r>
      <w:r>
        <w:rPr>
          <w:color w:val="000000"/>
          <w:szCs w:val="20"/>
          <w:shd w:val="clear" w:color="auto" w:fill="FFFFFF"/>
        </w:rPr>
        <w:t>48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 poz. </w:t>
      </w:r>
      <w:r>
        <w:rPr>
          <w:color w:val="000000"/>
          <w:szCs w:val="20"/>
          <w:shd w:val="clear" w:color="auto" w:fill="FFFFFF"/>
        </w:rPr>
        <w:t>366</w:t>
      </w:r>
      <w:r>
        <w:rPr>
          <w:color w:val="000000"/>
          <w:szCs w:val="20"/>
          <w:shd w:val="clear" w:color="auto" w:fill="FFFFFF"/>
          <w:lang w:val="x-none" w:eastAsia="en-US" w:bidi="ar-SA"/>
        </w:rPr>
        <w:t>)</w:t>
      </w:r>
      <w:r>
        <w:rPr>
          <w:color w:val="000000"/>
          <w:szCs w:val="20"/>
          <w:shd w:val="clear" w:color="auto" w:fill="FFFFFF"/>
        </w:rPr>
        <w:t>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Aktualnie obowiązuje z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arządzenie Regionalnego Dyrektora Ochrony Środowiska w Bydgoszczy z dnia </w:t>
      </w:r>
      <w:r>
        <w:rPr>
          <w:color w:val="000000"/>
          <w:szCs w:val="20"/>
          <w:shd w:val="clear" w:color="auto" w:fill="FFFFFF"/>
        </w:rPr>
        <w:t>3 sierpnia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2016 r. w sprawie rezerwatu przyrody</w:t>
      </w:r>
      <w:r>
        <w:rPr>
          <w:color w:val="000000"/>
          <w:szCs w:val="20"/>
          <w:shd w:val="clear" w:color="auto" w:fill="FFFFFF"/>
        </w:rPr>
        <w:t xml:space="preserve"> Torfowisko Mieleńskie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(Dz. Urz. Woj. Kuj-Pom. poz. </w:t>
      </w:r>
      <w:r>
        <w:rPr>
          <w:color w:val="000000"/>
          <w:szCs w:val="20"/>
          <w:shd w:val="clear" w:color="auto" w:fill="FFFFFF"/>
        </w:rPr>
        <w:t>2867</w:t>
      </w:r>
      <w:r>
        <w:rPr>
          <w:color w:val="000000"/>
          <w:szCs w:val="20"/>
          <w:shd w:val="clear" w:color="auto" w:fill="FFFFFF"/>
          <w:lang w:val="x-none" w:eastAsia="en-US" w:bidi="ar-SA"/>
        </w:rPr>
        <w:t>)</w:t>
      </w:r>
      <w:r>
        <w:rPr>
          <w:color w:val="000000"/>
          <w:szCs w:val="20"/>
          <w:shd w:val="clear" w:color="auto" w:fill="FFFFFF"/>
        </w:rPr>
        <w:t>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2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Dla właściwego funkcjonowania rezerwatu i jego ochrony plan ochrony zgodnie z art. 20 ustawy z dnia 16 kwietnia 2004 roku o ochronie przyrody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(Dz. U. z 202</w:t>
      </w:r>
      <w:r>
        <w:rPr>
          <w:color w:val="000000"/>
          <w:szCs w:val="20"/>
          <w:shd w:val="clear" w:color="auto" w:fill="FFFFFF"/>
        </w:rPr>
        <w:t>4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1</w:t>
      </w:r>
      <w:r>
        <w:rPr>
          <w:color w:val="000000"/>
          <w:szCs w:val="20"/>
          <w:shd w:val="clear" w:color="auto" w:fill="FFFFFF"/>
        </w:rPr>
        <w:t>478 ze zm.</w:t>
      </w:r>
      <w:r>
        <w:rPr>
          <w:color w:val="000000"/>
          <w:szCs w:val="20"/>
          <w:shd w:val="clear" w:color="auto" w:fill="FFFFFF"/>
          <w:lang w:val="x-none" w:eastAsia="en-US" w:bidi="ar-SA"/>
        </w:rPr>
        <w:t>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sporządza się na okres 20 lat. Zgodnie z art. 19 ust. 6 ustawy o ochronie przyrody Regionalny Dyrektor Ochrony Środowiska ustanawia w drodze zarządzenia plan ochrony dla rezerwatu przyrody, sporządzony na podstawie w art. 20 ww. ustawy.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2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Obwieszczeniem z dnia 13 marca 2024 r., znak WOP.6202.5.2024.KLD, Regionalny Dyrektor Ochrony Środowiska w Bydgoszczy zawiadomił o przystąpieniu do sporządzenia projektu planu ochrony dla rezerwatu przyrody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„</w:t>
      </w:r>
      <w:r>
        <w:rPr>
          <w:color w:val="000000"/>
          <w:szCs w:val="20"/>
          <w:shd w:val="clear" w:color="auto" w:fill="FFFFFF"/>
        </w:rPr>
        <w:t>Torfowisko Mieleńskie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”</w:t>
      </w:r>
      <w:r>
        <w:rPr>
          <w:color w:val="000000"/>
          <w:szCs w:val="20"/>
          <w:shd w:val="clear" w:color="auto" w:fill="FFFFFF"/>
        </w:rPr>
        <w:t xml:space="preserve">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2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Obwieszczeniem z dnia</w:t>
      </w:r>
      <w:r>
        <w:rPr>
          <w:color w:val="000000"/>
          <w:szCs w:val="20"/>
          <w:shd w:val="clear" w:color="auto" w:fill="FFFFFF"/>
        </w:rPr>
        <w:t xml:space="preserve"> 10 stycznia 2025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r., znak</w:t>
      </w:r>
      <w:r>
        <w:rPr>
          <w:color w:val="000000"/>
          <w:szCs w:val="20"/>
          <w:shd w:val="clear" w:color="auto" w:fill="FFFFFF"/>
        </w:rPr>
        <w:t xml:space="preserve"> WOP.6202.5.2024.KLD.25</w:t>
      </w:r>
      <w:r>
        <w:rPr>
          <w:color w:val="000000"/>
          <w:szCs w:val="20"/>
          <w:shd w:val="clear" w:color="auto" w:fill="FFFFFF"/>
          <w:lang w:val="x-none" w:eastAsia="en-US" w:bidi="ar-SA"/>
        </w:rPr>
        <w:t>, Regionalny Dyrektor Ochrony Środowiska w Bydgoszczy zawiadomił o możliwości udziału społeczeństwa w postępowaniu poprzez zapoznanie się z projektem planu ochrony i </w:t>
      </w:r>
      <w:r>
        <w:rPr>
          <w:color w:val="000000"/>
          <w:szCs w:val="20"/>
          <w:shd w:val="clear" w:color="auto" w:fill="FFFFFF"/>
        </w:rPr>
        <w:t xml:space="preserve">o </w:t>
      </w:r>
      <w:r>
        <w:rPr>
          <w:color w:val="000000"/>
          <w:szCs w:val="20"/>
          <w:shd w:val="clear" w:color="auto" w:fill="FFFFFF"/>
          <w:lang w:val="x-none" w:eastAsia="en-US" w:bidi="ar-SA"/>
        </w:rPr>
        <w:t>możliwoś</w:t>
      </w:r>
      <w:r>
        <w:rPr>
          <w:color w:val="000000"/>
          <w:szCs w:val="20"/>
          <w:shd w:val="clear" w:color="auto" w:fill="FFFFFF"/>
        </w:rPr>
        <w:t>ci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składania uwag i wniosków. Informacja została podana do publicznej wiadomości zgodnie z</w:t>
      </w:r>
      <w:r>
        <w:rPr>
          <w:color w:val="000000"/>
          <w:szCs w:val="20"/>
          <w:shd w:val="clear" w:color="auto" w:fill="FFFFFF"/>
        </w:rPr>
        <w:t xml:space="preserve"> art. 19 ust. 1a </w:t>
      </w:r>
      <w:r>
        <w:rPr>
          <w:color w:val="000000"/>
          <w:szCs w:val="20"/>
          <w:shd w:val="clear" w:color="auto" w:fill="FFFFFF"/>
          <w:lang w:val="x-none" w:eastAsia="en-US" w:bidi="ar-SA"/>
        </w:rPr>
        <w:t>ustawy z dnia 16 kwietnia 2004 roku o ochronie przyrody (Dz. U. z 202</w:t>
      </w:r>
      <w:r>
        <w:rPr>
          <w:color w:val="000000"/>
          <w:szCs w:val="20"/>
          <w:shd w:val="clear" w:color="auto" w:fill="FFFFFF"/>
        </w:rPr>
        <w:t>4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1</w:t>
      </w:r>
      <w:r>
        <w:rPr>
          <w:color w:val="000000"/>
          <w:szCs w:val="20"/>
          <w:shd w:val="clear" w:color="auto" w:fill="FFFFFF"/>
        </w:rPr>
        <w:t>478 ze zm.</w:t>
      </w:r>
      <w:r>
        <w:rPr>
          <w:color w:val="000000"/>
          <w:szCs w:val="20"/>
          <w:shd w:val="clear" w:color="auto" w:fill="FFFFFF"/>
          <w:lang w:val="x-none" w:eastAsia="en-US" w:bidi="ar-SA"/>
        </w:rPr>
        <w:t>)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art. 3 ust. 1 pkt 11, art. 39 ustawy z dnia 3 października 2008 roku o udostępnieniu informacji o środowisku i jego ochronie, udziale społeczeństwa w ochronie środowiska oraz o ocenach oddziaływania na środowisko </w:t>
      </w:r>
      <w:r>
        <w:rPr>
          <w:color w:val="000000"/>
          <w:szCs w:val="20"/>
          <w:shd w:val="clear" w:color="auto" w:fill="FFFFFF"/>
          <w:lang w:val="en-US" w:eastAsia="en-US" w:bidi="en-US"/>
        </w:rPr>
        <w:t>(Dz. U. z 202</w:t>
      </w:r>
      <w:r>
        <w:rPr>
          <w:color w:val="000000"/>
          <w:szCs w:val="20"/>
          <w:shd w:val="clear" w:color="auto" w:fill="FFFFFF"/>
        </w:rPr>
        <w:t>4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r., poz. 1</w:t>
      </w:r>
      <w:r>
        <w:rPr>
          <w:color w:val="000000"/>
          <w:szCs w:val="20"/>
          <w:shd w:val="clear" w:color="auto" w:fill="FFFFFF"/>
        </w:rPr>
        <w:t>112</w:t>
      </w:r>
      <w:r>
        <w:rPr>
          <w:color w:val="000000"/>
          <w:szCs w:val="20"/>
          <w:shd w:val="clear" w:color="auto" w:fill="FFFFFF"/>
          <w:lang w:val="en-US" w:eastAsia="en-US" w:bidi="en-US"/>
        </w:rPr>
        <w:t>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i rozporządzeniem Ministra Środowiska z dnia 12 maja 2005 r. w sprawie sporządzenia projektu planu ochrony dla parku narodowego, rezerwatu przyrody i parku krajobrazowego, dokonania zmian w tym planie oraz ochrony zasobów, tworów i składników przyrody (Dz. U. Nr 94, poz. 794)</w:t>
      </w:r>
      <w:r>
        <w:rPr>
          <w:color w:val="000000"/>
          <w:szCs w:val="20"/>
          <w:shd w:val="clear" w:color="auto" w:fill="FFFFFF"/>
        </w:rPr>
        <w:t xml:space="preserve"> oraz art. 49 ustawy z dnia 14 czerwca 1960 r. Kodeks postępowania administracyjnego </w:t>
      </w:r>
      <w:r>
        <w:rPr>
          <w:color w:val="000000"/>
          <w:szCs w:val="20"/>
          <w:shd w:val="clear" w:color="auto" w:fill="FFFFFF"/>
          <w:lang w:val="x-none" w:eastAsia="en-US" w:bidi="ar-SA"/>
        </w:rPr>
        <w:t>(t.j. Dz. U. z 2024 r. poz. 572).</w:t>
      </w:r>
      <w:r>
        <w:rPr>
          <w:color w:val="000000"/>
          <w:szCs w:val="20"/>
          <w:shd w:val="clear" w:color="auto" w:fill="FFFFFF"/>
        </w:rPr>
        <w:t xml:space="preserve"> Projekt zarządzenia </w:t>
      </w:r>
      <w:r>
        <w:rPr>
          <w:color w:val="000000"/>
          <w:szCs w:val="20"/>
          <w:shd w:val="clear" w:color="auto" w:fill="FFFFFF"/>
          <w:lang w:val="x-none" w:eastAsia="en-US" w:bidi="ar-SA"/>
        </w:rPr>
        <w:t>był podan</w:t>
      </w:r>
      <w:r>
        <w:rPr>
          <w:color w:val="000000"/>
          <w:szCs w:val="20"/>
          <w:shd w:val="clear" w:color="auto" w:fill="FFFFFF"/>
        </w:rPr>
        <w:t>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 publicznej wiadomości również poprzez ogłoszenie w prasie „</w:t>
      </w:r>
      <w:r>
        <w:rPr>
          <w:color w:val="000000"/>
          <w:szCs w:val="20"/>
          <w:shd w:val="clear" w:color="auto" w:fill="FFFFFF"/>
        </w:rPr>
        <w:t>Gazecie Pomorskiej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”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 odpowiednim do rodzaju dokumentu zasięgu</w:t>
      </w:r>
      <w:r>
        <w:rPr>
          <w:color w:val="000000"/>
          <w:szCs w:val="20"/>
          <w:shd w:val="clear" w:color="auto" w:fill="FFFFFF"/>
        </w:rPr>
        <w:t>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20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Projekt planu ochrony zamieszczono również w publicznie dostępnym wykazie danych na Ekoportalu (nr karty 20/2025).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20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W trakcie przeprowadzonych konsultacji społecznych nie wpłynęły do tut. Urzędu uwagi do przedmiotowego projektu planu ochrony.</w:t>
      </w:r>
    </w:p>
    <w:p>
      <w:pPr>
        <w:keepNext/>
        <w:keepLines w:val="0"/>
        <w:widowControl/>
        <w:numPr>
          <w:ilvl w:val="6"/>
          <w:numId w:val="0"/>
        </w:numPr>
        <w:suppressLineNumbers w:val="0"/>
        <w:shd w:val="clear" w:color="auto" w:fill="auto"/>
        <w:tabs>
          <w:tab w:val="clear" w:pos="0"/>
        </w:tabs>
        <w:suppressAutoHyphens/>
        <w:spacing w:before="0" w:beforeAutospacing="0" w:after="0" w:afterAutospacing="0" w:line="240" w:lineRule="auto"/>
        <w:ind w:left="0" w:right="0" w:firstLine="0"/>
        <w:contextualSpacing w:val="0"/>
        <w:outlineLvl w:val="6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ar-SA" w:eastAsia="ar-SA" w:bidi="ar-SA"/>
        </w:rPr>
        <w:tab/>
        <w:t>P</w:t>
      </w:r>
      <w:r>
        <w:rPr>
          <w:color w:val="000000"/>
          <w:szCs w:val="20"/>
          <w:shd w:val="clear" w:color="auto" w:fill="FFFFFF"/>
        </w:rPr>
        <w:t>rojekt planu ochrony</w:t>
      </w:r>
      <w:r>
        <w:rPr>
          <w:color w:val="000000"/>
          <w:szCs w:val="20"/>
          <w:shd w:val="clear" w:color="auto" w:fill="FFFFFF"/>
          <w:lang w:val="ar-SA" w:eastAsia="ar-SA" w:bidi="ar-SA"/>
        </w:rPr>
        <w:t xml:space="preserve"> dla rezerwatu przyrody </w:t>
      </w:r>
      <w:r>
        <w:rPr>
          <w:color w:val="000000"/>
          <w:szCs w:val="20"/>
          <w:shd w:val="clear" w:color="auto" w:fill="FFFFFF"/>
          <w:lang w:val="ar-SA" w:eastAsia="ar-SA" w:bidi="ar-SA"/>
        </w:rPr>
        <w:t>„</w:t>
      </w:r>
      <w:r>
        <w:rPr>
          <w:color w:val="000000"/>
          <w:szCs w:val="20"/>
          <w:shd w:val="clear" w:color="auto" w:fill="FFFFFF"/>
        </w:rPr>
        <w:t>Torfowisko Mieleńskie</w:t>
      </w:r>
      <w:r>
        <w:rPr>
          <w:color w:val="000000"/>
          <w:szCs w:val="20"/>
          <w:shd w:val="clear" w:color="auto" w:fill="FFFFFF"/>
          <w:lang w:val="ar-SA" w:eastAsia="ar-SA" w:bidi="ar-SA"/>
        </w:rPr>
        <w:t>”</w:t>
      </w:r>
      <w:r>
        <w:rPr>
          <w:color w:val="000000"/>
          <w:szCs w:val="20"/>
          <w:shd w:val="clear" w:color="auto" w:fill="FFFFFF"/>
          <w:lang w:val="ar-SA" w:eastAsia="ar-SA" w:bidi="ar-SA"/>
        </w:rPr>
        <w:t xml:space="preserve"> został zaopiniowan</w:t>
      </w:r>
      <w:r>
        <w:rPr>
          <w:color w:val="000000"/>
          <w:szCs w:val="20"/>
          <w:shd w:val="clear" w:color="auto" w:fill="FFFFFF"/>
        </w:rPr>
        <w:t>y pozytywnie</w:t>
      </w:r>
      <w:r>
        <w:rPr>
          <w:color w:val="000000"/>
          <w:szCs w:val="20"/>
          <w:shd w:val="clear" w:color="auto" w:fill="FFFFFF"/>
          <w:lang w:val="ar-SA" w:eastAsia="ar-SA" w:bidi="ar-SA"/>
        </w:rPr>
        <w:t xml:space="preserve"> przez </w:t>
      </w:r>
      <w:r>
        <w:rPr>
          <w:color w:val="000000"/>
          <w:szCs w:val="20"/>
          <w:shd w:val="clear" w:color="auto" w:fill="FFFFFF"/>
        </w:rPr>
        <w:t>zarządcę terenu rezerwat</w:t>
      </w:r>
      <w:r>
        <w:rPr>
          <w:color w:val="000000"/>
          <w:szCs w:val="20"/>
          <w:shd w:val="clear" w:color="auto" w:fill="FFFFFF"/>
        </w:rPr>
        <w:t>u Państwowe Gospodarstwo Leśne Lasy Państwowe Nadleśnictwo Skrwilno pismem z</w:t>
      </w:r>
      <w:r>
        <w:rPr>
          <w:color w:val="000000"/>
          <w:szCs w:val="20"/>
          <w:shd w:val="clear" w:color="auto" w:fill="FFFFFF"/>
        </w:rPr>
        <w:t xml:space="preserve"> dnia 20 listopada 2024 r., znak ZG.7212.9.2024.</w:t>
      </w:r>
    </w:p>
    <w:p>
      <w:pPr>
        <w:keepNext/>
        <w:keepLines w:val="0"/>
        <w:widowControl/>
        <w:numPr>
          <w:ilvl w:val="6"/>
          <w:numId w:val="0"/>
        </w:numPr>
        <w:suppressLineNumbers w:val="0"/>
        <w:shd w:val="clear" w:color="auto" w:fill="auto"/>
        <w:tabs>
          <w:tab w:val="clear" w:pos="0"/>
        </w:tabs>
        <w:suppressAutoHyphens/>
        <w:spacing w:before="0" w:beforeAutospacing="0" w:after="0" w:afterAutospacing="0" w:line="240" w:lineRule="auto"/>
        <w:ind w:left="0" w:right="0" w:firstLine="0"/>
        <w:contextualSpacing w:val="0"/>
        <w:outlineLvl w:val="6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ar-SA" w:eastAsia="ar-SA" w:bidi="ar-SA"/>
        </w:rPr>
        <w:tab/>
        <w:t>P</w:t>
      </w:r>
      <w:r>
        <w:rPr>
          <w:color w:val="000000"/>
          <w:szCs w:val="20"/>
          <w:shd w:val="clear" w:color="auto" w:fill="FFFFFF"/>
        </w:rPr>
        <w:t>rojekt planu ochrony</w:t>
      </w:r>
      <w:r>
        <w:rPr>
          <w:color w:val="000000"/>
          <w:szCs w:val="20"/>
          <w:shd w:val="clear" w:color="auto" w:fill="FFFFFF"/>
          <w:lang w:val="ar-SA" w:eastAsia="ar-SA" w:bidi="ar-SA"/>
        </w:rPr>
        <w:t xml:space="preserve"> dla rezerwatu przyrody „</w:t>
      </w:r>
      <w:r>
        <w:rPr>
          <w:color w:val="000000"/>
          <w:szCs w:val="20"/>
          <w:shd w:val="clear" w:color="auto" w:fill="FFFFFF"/>
        </w:rPr>
        <w:t>Torfowisko Mieleńskie</w:t>
      </w:r>
      <w:r>
        <w:rPr>
          <w:color w:val="000000"/>
          <w:szCs w:val="20"/>
          <w:shd w:val="clear" w:color="auto" w:fill="FFFFFF"/>
          <w:lang w:val="ar-SA" w:eastAsia="ar-SA" w:bidi="ar-SA"/>
        </w:rPr>
        <w:t>” został zaopiniowan</w:t>
      </w:r>
      <w:r>
        <w:rPr>
          <w:color w:val="000000"/>
          <w:szCs w:val="20"/>
          <w:shd w:val="clear" w:color="auto" w:fill="FFFFFF"/>
        </w:rPr>
        <w:t>y pozytywnie</w:t>
      </w:r>
      <w:r>
        <w:rPr>
          <w:color w:val="000000"/>
          <w:szCs w:val="20"/>
          <w:shd w:val="clear" w:color="auto" w:fill="FFFFFF"/>
          <w:lang w:val="ar-SA" w:eastAsia="ar-SA" w:bidi="ar-SA"/>
        </w:rPr>
        <w:t xml:space="preserve"> przez </w:t>
      </w:r>
      <w:r>
        <w:rPr>
          <w:color w:val="000000"/>
          <w:szCs w:val="20"/>
          <w:shd w:val="clear" w:color="auto" w:fill="FFFFFF"/>
        </w:rPr>
        <w:t>zarządcę terenu rezerwatu Państwowe Gospodarstwo Wodne Wody Polskie Regionalny Zarząd Gospodarki Wodnej w Gdańsku</w:t>
      </w:r>
      <w:r>
        <w:rPr>
          <w:color w:val="000000"/>
          <w:szCs w:val="20"/>
        </w:rPr>
        <w:t xml:space="preserve"> pismem </w:t>
      </w:r>
      <w:r>
        <w:rPr>
          <w:color w:val="000000"/>
          <w:szCs w:val="20"/>
          <w:shd w:val="clear" w:color="auto" w:fill="FFFFFF"/>
        </w:rPr>
        <w:t>z dnia 6 grudnia 2024 r., znak G.RZŚ.492.28.2024.MBC.1.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ab/>
        <w:t>W rezerwacie przyrody „Torfowisko Mieleńskie” wyznaczono obszary ochrony ścisłej i czynnej. Działania ochronne na obszarze ochrony czynnej zaplanowane zostały w celu eliminacji z</w:t>
      </w:r>
      <w:r>
        <w:rPr>
          <w:color w:val="000000"/>
          <w:szCs w:val="20"/>
          <w:shd w:val="clear" w:color="auto" w:fill="FFFFFF"/>
        </w:rPr>
        <w:t>agrożenia jakie stanowią p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rocesy sukcesji krzewów i podrostu drzew na torfowisku przejściowym i nizinnym torfowisku zasadowym (zagrożenie </w:t>
      </w:r>
      <w:r>
        <w:rPr>
          <w:color w:val="000000"/>
          <w:szCs w:val="20"/>
          <w:shd w:val="clear" w:color="auto" w:fill="FFFFFF"/>
        </w:rPr>
        <w:t>istniejące</w:t>
      </w:r>
      <w:r>
        <w:rPr>
          <w:color w:val="000000"/>
          <w:szCs w:val="20"/>
          <w:shd w:val="clear" w:color="auto" w:fill="FFFFFF"/>
          <w:lang w:val="x-none" w:eastAsia="en-US" w:bidi="ar-SA"/>
        </w:rPr>
        <w:t>, wewnętrzne).</w:t>
      </w:r>
      <w:r>
        <w:rPr>
          <w:color w:val="000000"/>
          <w:szCs w:val="20"/>
          <w:shd w:val="clear" w:color="auto" w:fill="FFFFFF"/>
        </w:rPr>
        <w:t xml:space="preserve"> W celu eliminacji tego zagrożenia zaplanowano h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amowanie sukcesji roślinności leśnej poprzez systematyczne usuwanie krzewów i podrostu drzew  olszy czarnej 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 xml:space="preserve">Alnus glutinosa,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wierzb 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Salix spp.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 płatu siedliska 7230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Górskie i nizinne torfowiska zasadowe o charakterze młak, turzycowisk i mechowisk i 7140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Torfowiska przejściowe i trzęsawiska (przeważnie z roślinnością z 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Scheuchzerio-Caricetea</w:t>
      </w:r>
      <w:r>
        <w:rPr>
          <w:color w:val="000000"/>
          <w:szCs w:val="20"/>
          <w:shd w:val="clear" w:color="auto" w:fill="FFFFFF"/>
          <w:lang w:val="x-none" w:eastAsia="en-US" w:bidi="ar-SA"/>
        </w:rPr>
        <w:t>)</w:t>
      </w:r>
      <w:r>
        <w:rPr>
          <w:color w:val="000000"/>
          <w:szCs w:val="20"/>
          <w:shd w:val="clear" w:color="auto" w:fill="FFFFFF"/>
        </w:rPr>
        <w:t xml:space="preserve">.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Wycinanie</w:t>
      </w:r>
      <w:r>
        <w:rPr>
          <w:color w:val="000000"/>
          <w:szCs w:val="20"/>
          <w:shd w:val="clear" w:color="auto" w:fill="FFFFFF"/>
        </w:rPr>
        <w:t xml:space="preserve"> należy prowadzić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(najlepiej poniżej szyi korzeniowej, aby zmniejszyć ilość odrastających pędów), w okresie jesienno-zimowym oraz wynoszenie biomasy poza płat siedliska przyrodniczego (może być pozostawiona do rozkładu w obrębie sąsiadujących zarośli wierzbowo-olszowych jednak w każdym roku w innym miejscu.). Wycinanie  powtarzać każdego roku. Pozostawiać na obszarze torfowiska chronionej brzozy niskiej 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Betula humilis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(wskazany jest nadzór specjalisty)</w:t>
      </w:r>
      <w:r>
        <w:rPr>
          <w:color w:val="000000"/>
          <w:szCs w:val="20"/>
          <w:shd w:val="clear" w:color="auto" w:fill="FFFFFF"/>
        </w:rPr>
        <w:t xml:space="preserve">. Ponadto stwierdzono pogarszanie się warunków hydrologicznych na obszarze rezerwatu. </w:t>
      </w:r>
      <w:r>
        <w:rPr>
          <w:color w:val="000000"/>
          <w:szCs w:val="20"/>
          <w:shd w:val="clear" w:color="auto" w:fill="FFFFFF"/>
          <w:lang w:val="x-none" w:eastAsia="en-US" w:bidi="ar-SA"/>
        </w:rPr>
        <w:t>Nienaturalne przepływy rzeki Mień z powodu prowadzonej hodowli ryb w stawach powyżej torfowiska skutkujące zmianami naturalnego tempa przepływu wód podziemnych przez torfowisko (zarówno przyspieszające to tempo jak też spowalniające w trakcie poboru wody bądź jej odprowadzania), a także możliwością dodatkowego dopływu biogenów pochodzących z wód powierzchniowych negatywnie oddziaływujących na siedliska rozwijające się dzięki zasilaniu wodami podziemnymi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(zagrożenie </w:t>
      </w:r>
      <w:r>
        <w:rPr>
          <w:color w:val="000000"/>
          <w:szCs w:val="20"/>
          <w:shd w:val="clear" w:color="auto" w:fill="FFFFFF"/>
        </w:rPr>
        <w:t>istniejące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 </w:t>
      </w:r>
      <w:r>
        <w:rPr>
          <w:color w:val="000000"/>
          <w:szCs w:val="20"/>
          <w:shd w:val="clear" w:color="auto" w:fill="FFFFFF"/>
        </w:rPr>
        <w:t>zewnętrzne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). </w:t>
      </w:r>
      <w:r>
        <w:rPr>
          <w:color w:val="000000"/>
          <w:szCs w:val="20"/>
          <w:shd w:val="clear" w:color="auto" w:fill="FFFFFF"/>
        </w:rPr>
        <w:t>W celu eliminacji tego zagrożenia zaplanowano monitoring warunków hydrologicznych za pośrednictwem zainstalowanych piezometrów oraz potrzebę m</w:t>
      </w:r>
      <w:r>
        <w:rPr>
          <w:color w:val="000000"/>
          <w:szCs w:val="20"/>
          <w:shd w:val="clear" w:color="auto" w:fill="FFFFFF"/>
          <w:lang w:val="x-none" w:eastAsia="en-US" w:bidi="ar-SA"/>
        </w:rPr>
        <w:t>odyfikacj</w:t>
      </w:r>
      <w:r>
        <w:rPr>
          <w:color w:val="000000"/>
          <w:szCs w:val="20"/>
          <w:shd w:val="clear" w:color="auto" w:fill="FFFFFF"/>
        </w:rPr>
        <w:t>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sposobu gospodarowania wodą w rzece Mień polegając</w:t>
      </w:r>
      <w:r>
        <w:rPr>
          <w:color w:val="000000"/>
          <w:szCs w:val="20"/>
          <w:shd w:val="clear" w:color="auto" w:fill="FFFFFF"/>
        </w:rPr>
        <w:t>ej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na uwzględnieniu negatywnego wpływu silnie zmienionych przepływów (stawy hodowlane) na stan torfowiska. Szczególnie zrzut wody nie powinien powodować wielokrotnego przekraczania wartości średnich przepływó</w:t>
      </w:r>
      <w:r>
        <w:rPr>
          <w:color w:val="000000"/>
          <w:szCs w:val="20"/>
          <w:shd w:val="clear" w:color="auto" w:fill="FFFFFF"/>
        </w:rPr>
        <w:t xml:space="preserve">w, w tym celu należy podjąć ustalenia z udzielającym pozwolenie wodnoprawne na piętrzenie i pobór wód z rzeki Mień. Ponadto zaplanowano monitoring stanu ochrony walorów przyrodniczych rezerwatu przyrody nie rzadziej niż co 5 lat w trakcie obowiązywania planu ochrony. </w:t>
      </w:r>
      <w:r>
        <w:rPr>
          <w:color w:val="000000"/>
          <w:szCs w:val="20"/>
          <w:shd w:val="clear" w:color="auto" w:fill="FFFFFF"/>
        </w:rPr>
        <w:t xml:space="preserve">W załączniku nr 1 do niniejszego zarządzenia „Identyfikacja oraz określenie sposobów eliminacji lub ograniczania istniejących i potencjalnych zagrożeń wewnętrznych i zewnętrznych oraz ich skutków” wskazano zagrożenie „istniejące, </w:t>
      </w:r>
      <w:r>
        <w:rPr>
          <w:color w:val="000000"/>
          <w:szCs w:val="20"/>
          <w:shd w:val="clear" w:color="auto" w:fill="FFFFFF"/>
        </w:rPr>
        <w:t>wewnętrzne</w:t>
      </w:r>
      <w:r>
        <w:rPr>
          <w:color w:val="000000"/>
          <w:szCs w:val="20"/>
          <w:shd w:val="clear" w:color="auto" w:fill="FFFFFF"/>
        </w:rPr>
        <w:t xml:space="preserve">” i </w:t>
      </w:r>
      <w:r>
        <w:rPr>
          <w:color w:val="000000"/>
          <w:szCs w:val="20"/>
          <w:shd w:val="clear" w:color="auto" w:fill="FFFFFF"/>
        </w:rPr>
        <w:t>„istniejące, zewnętrzne”</w:t>
      </w:r>
      <w:r>
        <w:rPr>
          <w:color w:val="000000"/>
          <w:szCs w:val="20"/>
          <w:shd w:val="clear" w:color="auto" w:fill="FFFFFF"/>
        </w:rPr>
        <w:t xml:space="preserve">, ponieważ w trakcie badań terenowych na potrzeby utworzenia planu ochrony dla tego rezerwatu nie zostały zidentyfikowane pozostałe rodzaje zagrożeń.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Ochronę ścisłą zaplanowano</w:t>
      </w:r>
      <w:r>
        <w:rPr>
          <w:color w:val="000000"/>
          <w:szCs w:val="20"/>
          <w:shd w:val="clear" w:color="auto" w:fill="FFFFFF"/>
        </w:rPr>
        <w:t xml:space="preserve"> tam gdzie nie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przewiduje się potrzeby działań ochronnych z zakresu ochrony czynnej i umożliwia się zachodzenie naturalnych procesów w siedliskach</w:t>
      </w:r>
      <w:r>
        <w:rPr>
          <w:color w:val="000000"/>
          <w:szCs w:val="20"/>
          <w:shd w:val="clear" w:color="auto" w:fill="FFFFFF"/>
        </w:rPr>
        <w:t xml:space="preserve"> przyrodniczych </w:t>
      </w:r>
      <w:r>
        <w:rPr>
          <w:color w:val="000000"/>
          <w:szCs w:val="20"/>
          <w:shd w:val="clear" w:color="auto" w:fill="FFFFFF"/>
          <w:lang w:val="x-none" w:eastAsia="en-US" w:bidi="ar-SA"/>
        </w:rPr>
        <w:t>rezerwatu</w:t>
      </w:r>
      <w:r>
        <w:rPr>
          <w:color w:val="000000"/>
          <w:szCs w:val="20"/>
          <w:shd w:val="clear" w:color="auto" w:fill="FFFFFF"/>
        </w:rPr>
        <w:t>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auto"/>
        <w:tabs>
          <w:tab w:val="left" w:pos="0"/>
          <w:tab w:val="clear" w:pos="720"/>
        </w:tabs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</w:t>
        <w:tab/>
        <w:t xml:space="preserve">Ze względu na uwarunkowanie przyrodnicze rezerwatu nie wskazano miejsc, w których może być prowadzona działalność wytwórcza, handlowa i rolnicza, jak również nie wskazano obszarów udostępnianych do celów naukowych, edukacyjnych, rekreacyjnych, sportowych, amatorskiego połowu ryb i rybactwa. Udostępnianie rezerwatu w celu badań naukowych należy rozpatrywać na podstawie art. 15 ust. 1 pkt. 24 ustawy o ochronie przyrody. Uzyskanie indywidualnej zgody na prowadzenie ww. czynności gwarantuje nadzór nad ich rodzajem i metodyką, mając na uwadze dbałość o zachowanie celu ochrony rezerwatu przyrody we właściwym stanie. Udostępnienie rezerwatu przyrody dla </w:t>
      </w:r>
      <w:r>
        <w:rPr>
          <w:color w:val="000000"/>
          <w:szCs w:val="20"/>
          <w:shd w:val="clear" w:color="auto" w:fill="FFFFFF"/>
        </w:rPr>
        <w:t xml:space="preserve">celów edukacyjnych i turystycznych może nastąpić w formie odrębnego zarządzenia na podstawie ar. 15 ust. 1 pkt 15 ustawy z dnia 16 kwietnia 2004 r. o ochronie przyrody, 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>a  także na podstawie art. 15 ust. 5 ww. ustawy w  drodze  indywidualnego  zezwolenia  na odstępstwo od zakazów z ust. 1 dla celów związanych wykonywaniem badań naukowych lub celami edukacyjnymi, kulturowymi, turystycznymi, rekreacyjnymi lub sportowymi lub celami kultu religijnego.</w:t>
      </w:r>
      <w:r>
        <w:rPr>
          <w:color w:val="000000"/>
          <w:szCs w:val="20"/>
          <w:shd w:val="clear" w:color="auto" w:fill="FFFFFF"/>
        </w:rPr>
        <w:tab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auto"/>
        <w:tabs>
          <w:tab w:val="left" w:pos="0"/>
          <w:tab w:val="clear" w:pos="720"/>
        </w:tabs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</w:rPr>
      </w:pPr>
      <w:r>
        <w:rPr>
          <w:color w:val="000000"/>
          <w:szCs w:val="20"/>
          <w:shd w:val="clear" w:color="auto" w:fill="FFFFFF"/>
        </w:rPr>
        <w:tab/>
        <w:t xml:space="preserve">Nie wskazano wymagań ochrony przyrody koniecznych do uwzględnienia w ustaleniach planu ogólnego gminy </w:t>
      </w:r>
      <w:r>
        <w:rPr>
          <w:color w:val="000000"/>
          <w:szCs w:val="20"/>
          <w:shd w:val="clear" w:color="auto" w:fill="FFFFFF"/>
        </w:rPr>
        <w:t>Skępe</w:t>
      </w:r>
      <w:r>
        <w:rPr>
          <w:color w:val="000000"/>
          <w:szCs w:val="20"/>
          <w:shd w:val="clear" w:color="auto" w:fill="FFFFFF"/>
        </w:rPr>
        <w:t>, miejscowych planów zagospodarowania przestrzennego, planów zagospodarowania przestrzennego województwa kujawsko-pomorskiego dotyczących eliminacji lub ograniczenia zagrożeń wewnętrznych i zewnętrznych. Brak wskazań wymagań ochrony przyrody wynika z braku zagrożeń, którym można by przeciwdziałać poprzez ww. wskazania.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680"/>
          <w:tab w:val="left" w:pos="709"/>
        </w:tabs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>Projekt zarządzenia w sprawie ustanowienia planu ochrony dla rezerwatu przyrody „</w:t>
      </w:r>
      <w:r>
        <w:rPr>
          <w:color w:val="000000"/>
          <w:szCs w:val="20"/>
          <w:shd w:val="clear" w:color="auto" w:fill="FFFFFF"/>
        </w:rPr>
        <w:t>Torfowisko Mieleńskie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”</w:t>
      </w:r>
      <w:r>
        <w:rPr>
          <w:color w:val="000000"/>
          <w:szCs w:val="20"/>
          <w:shd w:val="clear" w:color="auto" w:fill="FFFFFF"/>
        </w:rPr>
        <w:t xml:space="preserve"> został zaopiniowany pozytywnie przez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Radę </w:t>
      </w:r>
      <w:r>
        <w:rPr>
          <w:color w:val="000000"/>
          <w:szCs w:val="20"/>
          <w:shd w:val="clear" w:color="auto" w:fill="FFFFFF"/>
        </w:rPr>
        <w:t>Miejską w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Skępem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uchwałą nr XIII/88/2025, z dnia 4 marca 2025 r.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i </w:t>
      </w:r>
      <w:r>
        <w:rPr>
          <w:color w:val="000000"/>
          <w:szCs w:val="20"/>
          <w:shd w:val="clear" w:color="auto" w:fill="FFFFFF"/>
        </w:rPr>
        <w:t xml:space="preserve">pozytywnie przez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Regionalną Radę Ochrony Przyrody w Bydgoszczy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uchwałą </w:t>
      </w:r>
      <w:r>
        <w:rPr>
          <w:color w:val="000000"/>
          <w:szCs w:val="20"/>
          <w:shd w:val="clear" w:color="auto" w:fill="FFFFFF"/>
        </w:rPr>
        <w:t>n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r </w:t>
      </w:r>
      <w:r>
        <w:rPr>
          <w:color w:val="000000"/>
          <w:szCs w:val="20"/>
          <w:shd w:val="clear" w:color="auto" w:fill="FFFFFF"/>
        </w:rPr>
        <w:t>8/2025</w:t>
      </w:r>
      <w:r>
        <w:rPr>
          <w:color w:val="000000"/>
          <w:szCs w:val="20"/>
          <w:shd w:val="clear" w:color="auto" w:fill="FFFFFF"/>
          <w:lang w:val="x-none" w:eastAsia="en-US" w:bidi="ar-SA"/>
        </w:rPr>
        <w:t>, z dnia</w:t>
      </w:r>
      <w:r>
        <w:rPr>
          <w:color w:val="000000"/>
          <w:szCs w:val="20"/>
          <w:shd w:val="clear" w:color="auto" w:fill="FFFFFF"/>
        </w:rPr>
        <w:t xml:space="preserve"> 8 kwietnia 2025 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Na podstawie art. 59 ust. 2 ustawy z dnia 23 stycznia 2009 r. o wojewodzie i administracji rządowej w województwie (Dz. U. z 2023 r., poz. 190) projekt zarządzenia został </w:t>
      </w:r>
      <w:r>
        <w:rPr>
          <w:color w:val="000000"/>
          <w:szCs w:val="20"/>
          <w:shd w:val="clear" w:color="auto" w:fill="FFFFFF"/>
        </w:rPr>
        <w:t xml:space="preserve">pozytywnie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uzgodniony przez Wojewodę Kujawsko-Pomorskiego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pismem znak:</w:t>
      </w:r>
      <w:r>
        <w:rPr>
          <w:color w:val="000000"/>
          <w:szCs w:val="20"/>
          <w:shd w:val="clear" w:color="auto" w:fill="FFFFFF"/>
        </w:rPr>
        <w:t xml:space="preserve"> WRS.II.710.4.2.2025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 z dnia </w:t>
      </w:r>
      <w:r>
        <w:rPr>
          <w:color w:val="000000"/>
          <w:szCs w:val="20"/>
          <w:shd w:val="clear" w:color="auto" w:fill="FFFFFF"/>
        </w:rPr>
        <w:t>23 kwietnia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202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08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Zgodnie z art. 20 ust. 6 ustawy o ochronie przyrody niniejszy plan ochrony dla rezerwatu </w:t>
      </w:r>
      <w:r>
        <w:rPr>
          <w:color w:val="000000"/>
          <w:szCs w:val="20"/>
          <w:shd w:val="clear" w:color="auto" w:fill="FFFFFF"/>
        </w:rPr>
        <w:t xml:space="preserve">nie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zawiera zakres</w:t>
      </w:r>
      <w:r>
        <w:rPr>
          <w:color w:val="000000"/>
          <w:szCs w:val="20"/>
          <w:shd w:val="clear" w:color="auto" w:fill="FFFFFF"/>
        </w:rPr>
        <w:t>u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 planu zadań ochronnych </w:t>
      </w:r>
      <w:r>
        <w:rPr>
          <w:color w:val="000000"/>
          <w:szCs w:val="20"/>
          <w:shd w:val="clear" w:color="auto" w:fill="FFFFFF"/>
        </w:rPr>
        <w:t>obszaru Natura 2000 Torfowisko Mieleńskie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PL</w:t>
      </w:r>
      <w:r>
        <w:rPr>
          <w:color w:val="000000"/>
          <w:szCs w:val="20"/>
          <w:shd w:val="clear" w:color="auto" w:fill="FFFFFF"/>
        </w:rPr>
        <w:t>H040018</w:t>
      </w:r>
      <w:r>
        <w:rPr>
          <w:color w:val="000000"/>
          <w:szCs w:val="20"/>
          <w:shd w:val="clear" w:color="auto" w:fill="FFFFFF"/>
          <w:lang w:val="x-none" w:eastAsia="en-US" w:bidi="ar-SA"/>
        </w:rPr>
        <w:t>, ponieważ dla t</w:t>
      </w:r>
      <w:r>
        <w:rPr>
          <w:color w:val="000000"/>
          <w:szCs w:val="20"/>
          <w:shd w:val="clear" w:color="auto" w:fill="FFFFFF"/>
        </w:rPr>
        <w:t>ego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obszar</w:t>
      </w:r>
      <w:r>
        <w:rPr>
          <w:color w:val="000000"/>
          <w:szCs w:val="20"/>
          <w:shd w:val="clear" w:color="auto" w:fill="FFFFFF"/>
        </w:rPr>
        <w:t>u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Natura 2000 ustanowiono plan zadań ochronnych </w:t>
      </w:r>
      <w:r>
        <w:rPr>
          <w:color w:val="000000"/>
          <w:szCs w:val="20"/>
          <w:shd w:val="clear" w:color="auto" w:fill="FFFFFF"/>
        </w:rPr>
        <w:t>zarządzeniem Nr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0210/28/2013 Regionalnego Dyrektora Ochrony Środowiska w Bydgoszczy z dnia 27 września 2013 r. w sprawie ustanowienia planu zadań ochronnych dla obszaru Natura 2000 Torfowisko Mieleńskie PLH040018</w:t>
      </w:r>
      <w:r>
        <w:rPr>
          <w:color w:val="000000"/>
          <w:szCs w:val="20"/>
          <w:shd w:val="clear" w:color="auto" w:fill="FFFFFF"/>
        </w:rPr>
        <w:t xml:space="preserve"> (Dz. Urz. Woj. Kuj-Pom. poz. 2947).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680"/>
          <w:tab w:val="left" w:pos="709"/>
        </w:tabs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680"/>
          <w:tab w:val="left" w:pos="709"/>
        </w:tabs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shd w:val="clear" w:color="auto" w:fill="FFFFFF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right"/>
        <w:rPr>
          <w:color w:val="000000"/>
          <w:szCs w:val="20"/>
          <w:shd w:val="clear" w:color="auto" w:fill="FFFFFF"/>
          <w:lang w:val="x-none" w:eastAsia="en-US" w:bidi="ar-SA"/>
        </w:rPr>
      </w:pPr>
      <w:r>
        <w:drawing>
          <wp:inline>
            <wp:extent cx="2639060" cy="105219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05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footerReference w:type="default" r:id="rId12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EC79BC32-1321-4636-81FF-6674897E77DB.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EC79BC32-1321-4636-81FF-6674897E77DB.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EC79BC32-1321-4636-81FF-6674897E77DB.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EC79BC32-1321-4636-81FF-6674897E77DB. Uchwalony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suff w:val="nothing"/>
      <w:lvlJc w:val="left"/>
      <w:pPr>
        <w:ind w:left="5472" w:hanging="432"/>
      </w:pPr>
    </w:lvl>
    <w:lvl w:ilvl="1">
      <w:start w:val="1"/>
      <w:numFmt w:val="decimal"/>
      <w:suff w:val="nothing"/>
      <w:lvlJc w:val="left"/>
      <w:pPr>
        <w:ind w:left="5616" w:hanging="576"/>
      </w:pPr>
    </w:lvl>
    <w:lvl w:ilvl="2">
      <w:start w:val="1"/>
      <w:numFmt w:val="decimal"/>
      <w:suff w:val="nothing"/>
      <w:lvlJc w:val="left"/>
      <w:pPr>
        <w:ind w:left="5760" w:hanging="720"/>
      </w:pPr>
    </w:lvl>
    <w:lvl w:ilvl="3">
      <w:start w:val="1"/>
      <w:numFmt w:val="decimal"/>
      <w:suff w:val="nothing"/>
      <w:lvlJc w:val="left"/>
      <w:pPr>
        <w:ind w:left="5904" w:hanging="864"/>
      </w:pPr>
    </w:lvl>
    <w:lvl w:ilvl="4">
      <w:start w:val="1"/>
      <w:numFmt w:val="decimal"/>
      <w:suff w:val="nothing"/>
      <w:lvlJc w:val="left"/>
      <w:pPr>
        <w:ind w:left="6048" w:hanging="1008"/>
      </w:pPr>
    </w:lvl>
    <w:lvl w:ilvl="5">
      <w:start w:val="1"/>
      <w:numFmt w:val="decimal"/>
      <w:suff w:val="nothing"/>
      <w:lvlJc w:val="left"/>
      <w:pPr>
        <w:ind w:left="6192" w:hanging="1152"/>
      </w:pPr>
    </w:lvl>
    <w:lvl w:ilvl="6">
      <w:start w:val="1"/>
      <w:numFmt w:val="decimal"/>
      <w:pStyle w:val="LPNumerowanie"/>
      <w:suff w:val="nothing"/>
      <w:lvlJc w:val="left"/>
      <w:pPr>
        <w:ind w:left="6336" w:hanging="1296"/>
      </w:pPr>
    </w:lvl>
    <w:lvl w:ilvl="7">
      <w:start w:val="1"/>
      <w:numFmt w:val="decimal"/>
      <w:suff w:val="nothing"/>
      <w:lvlJc w:val="left"/>
      <w:pPr>
        <w:ind w:left="6480" w:hanging="1440"/>
      </w:pPr>
    </w:lvl>
    <w:lvl w:ilvl="8">
      <w:start w:val="1"/>
      <w:numFmt w:val="decimal"/>
      <w:suff w:val="nothing"/>
      <w:lvlJc w:val="left"/>
      <w:pPr>
        <w:ind w:left="6624" w:hanging="1584"/>
      </w:pPr>
    </w:lvl>
  </w:abstractNum>
  <w:abstractNum w:abstractNumId="1">
    <w:nsid w:val="027E5015"/>
    <w:multiLevelType w:val="hybridMultilevel"/>
    <w:tmpl w:val="00000000"/>
    <w:lvl w:ilvl="0">
      <w:start w:val="1"/>
      <w:numFmt w:val="decimal"/>
      <w:pStyle w:val="LPNumerowanie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paragraph" w:styleId="Heading7">
    <w:name w:val="heading 7"/>
    <w:basedOn w:val="Normal"/>
    <w:next w:val="Normal"/>
    <w:pPr>
      <w:keepNext/>
      <w:numPr>
        <w:ilvl w:val="6"/>
        <w:numId w:val="1"/>
      </w:numPr>
      <w:tabs>
        <w:tab w:val="left" w:pos="0"/>
      </w:tabs>
      <w:suppressAutoHyphens/>
      <w:spacing w:after="200" w:line="276" w:lineRule="auto"/>
      <w:ind w:left="5664" w:firstLine="6"/>
      <w:jc w:val="left"/>
      <w:outlineLvl w:val="6"/>
    </w:pPr>
    <w:rPr>
      <w:szCs w:val="20"/>
      <w:lang w:val="ar-SA" w:eastAsia="ar-SA" w:bidi="ar-SA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PNumerowanie">
    <w:name w:val="LP_Numerowanie"/>
    <w:basedOn w:val="Normal"/>
    <w:pPr>
      <w:numPr>
        <w:numId w:val="2"/>
      </w:numPr>
      <w:tabs>
        <w:tab w:val="left" w:pos="0"/>
        <w:tab w:val="left" w:pos="720"/>
      </w:tabs>
      <w:spacing w:line="360" w:lineRule="auto"/>
    </w:pPr>
    <w:rPr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image" Target="media/image2.jpeg" /><Relationship Id="rId12" Type="http://schemas.openxmlformats.org/officeDocument/2006/relationships/footer" Target="footer4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Zalacznik5D2DDF77-397E-4696-A68E-4C54D48E9BC6.jpg" TargetMode="External" /><Relationship Id="rId6" Type="http://schemas.openxmlformats.org/officeDocument/2006/relationships/footer" Target="footer1.xml" /><Relationship Id="rId7" Type="http://schemas.openxmlformats.org/officeDocument/2006/relationships/image" Target="ZalacznikAB68411D-0BE5-4513-81EF-0F26C7EE6F45.jpg" TargetMode="External" /><Relationship Id="rId8" Type="http://schemas.openxmlformats.org/officeDocument/2006/relationships/footer" Target="footer2.xml" /><Relationship Id="rId9" Type="http://schemas.openxmlformats.org/officeDocument/2006/relationships/image" Target="Zalacznik1ED0AE4F-56E3-4C5C-9D38-05A3BD473CB9.jp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Regionalny Dyrektor Ochrony Środowiska w Bydgoszczy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28 kwietnia 2025 r.</dc:title>
  <dc:subject>w^sprawie ustanowienia planu ochrony dla rezerwatu przyrody „Torfowisko Mieleńskie”</dc:subject>
  <dc:creator>kleszczynska</dc:creator>
  <cp:lastModifiedBy>kleszczynska</cp:lastModifiedBy>
  <cp:revision>1</cp:revision>
  <dcterms:created xsi:type="dcterms:W3CDTF">2025-05-05T14:55:28Z</dcterms:created>
  <dcterms:modified xsi:type="dcterms:W3CDTF">2025-05-05T14:55:28Z</dcterms:modified>
  <cp:category>Akt prawny</cp:category>
</cp:coreProperties>
</file>