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6 on Linux -->
    <w:p>
      <w:pPr>
        <w:pStyle w:val="TitleStyle"/>
      </w:pPr>
      <w:r>
        <w:t>Przekazywanie gminom dotacji celowej na postępowanie w sprawie zwrotu podatku akcyzowego zawartego w cenie oleju napędowego wykorzystywanego do produkcji rolnej i jego wypłatę.</w:t>
      </w:r>
    </w:p>
    <w:p>
      <w:pPr>
        <w:pStyle w:val="NormalStyle"/>
      </w:pPr>
      <w:r>
        <w:t>Dz.U.2013.1339 t.j. z dnia 2013.11.19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1 września 2023r.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15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7 września 2006 r.</w:t>
      </w:r>
    </w:p>
    <w:p>
      <w:pPr>
        <w:spacing w:after="0"/>
        <w:ind w:left="0"/>
        <w:jc w:val="left"/>
        <w:textAlignment w:val="auto"/>
      </w:pP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6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ROZPORZĄDZENIE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MINISTRA ROLNICTWA I ROZWOJU WSI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 dnia 23 sierpnia 2006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przekazywania gminom dotacji celowej na postępowanie w sprawie zwrotu podatku akcyzowego zawartego w cenie oleju napędowego wykorzystywanego do produkcji rolnej i jego wypłatę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8 ust. 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10 marca 2006 r. o zwrocie podatku akcyzowego zawartego w cenie oleju napędowego wykorzystywanego do produkcji rolnej (Dz. U. Nr 52, poz. 379, z późn. zm.) zarządza się, co następuje: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określa tryb przekazywania gminom dotacji celowej na postępowanie w sprawie zwrotu producentom rolnym podatku akcyzowego zawartego w cenie oleju napędowego wykorzystywanego do produkcji rolnej i jego wypłatę, sposób rozliczania dotacji oraz zakres i tryb składania sprawozdań w tym zakresie.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2.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burmistrz (prezydent miasta) składa do właściwego miejscowo wojewody wniosek o przekazanie gminie dotacji celowej na postępowanie w sprawie zwrotu producentom rolnym podatku akcyzowego zawartego w cenie oleju napędowego wykorzystywanego do produkcji rolnej i jego wypłatę, zwanej dalej "dotacją".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 o przekazanie gminie dotacji zawiera: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nazwę gminy oraz nazwę i adres urzędu gminy lub miasta;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kwotę dotacji, z wyszczególnieniem kwoty przeznaczonej na pokrycie kosztów związanych z postępowaniem w sprawie zwrotu producentom rolnym podatku akcyzowego zawartego w cenie oleju napędowego wykorzystywanego do produkcji rolnej, zwanego dalej "zwrotem podatku", oraz kwoty przeznaczonej na jego wypłatę;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powierzchnię użytków rolnych położonych na obszarze danej gminy,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3a)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bydła,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3b)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świń,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3c)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owiec,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3d)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kóz,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3e)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koni, zgłoszoną przez producentów rolnych we wnioskach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ilość litrów oleju napędowego wykorzystanego do produkcji rolnej wynikającą ze złożonych przez producentów rolnych wniosków o zwrot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łączną kwotę rocznego limitu zwrotu podatku przysługującego producentom rolnym będącym w posiadaniu lub współposiadaniu użytków rolnych położonych na obszarze danej gminy, ustalonego zgodnie 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4 ust.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 z dnia 10 marca 2006 r. o zwrocie podatku akcyzowego zawartego w cenie oleju napędowego wykorzystywanego do produkcji rolnej, zwanej dalej "ustawą";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łączną kwotę limitu zwrotu podatku przysługującego producentom rolnym będącym w posiadaniu lub współposiadaniu użytków rolnych położonych na obszarze danej gminy do wykorzystania w okresie, za który zostały złożone wnioski o zwrot podatku w ramach rocznego limitu, o którym mowa w pkt 5;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numer rachunku bankowego urzędu gminy lub miasta, na który mają zostać przekazane środki z tytułu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pieczęć i podpis wójta, burmistrza (prezydenta miasta).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Wniosek o przekazanie gminie dotacji składa się w terminie: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dnia 18 marca danego roku - w przypadku wniosków o zwrot podatku złożonych przez producentów rolnych w okresie od dnia 1 lutego do ostatniego dnia lutego danego roku;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dnia 18 września danego roku - w przypadku wniosków o zwrot podatku złożonych przez producentów rolnych w okresie od dnia 1 sierpnia do dnia 31 sierpnia danego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3.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Wojewoda na podstawie złożonych przez wójtów, burmistrzów (prezydentów miast) wniosków o przekazanie gminie dotacji występuje do ministra właściwego do spraw rozwoju wsi z wnioskiem o wydanie decyzji budżetowej na dotację. Wniosek o wydanie decyzji budżetowej wojewoda przesyła w Informatycznym Systemie Obsługi Budżetu Państwa, o którym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23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Ministra Finansów z dnia 15 stycznia 2014 r. w sprawie szczegółowego sposobu wykonywania budżetu państwa (Dz. U. z 2018 r. poz. 2225).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1a.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Jeżeli z powodu awarii Informatycznego Systemu Obsługi Budżetu Państwa nie jest możliwe przesłanie przez wojewodę wniosku o wydanie decyzji budżetowej na dotację, wniosek ten składa się w postaci papierowej. Po usunięciu awarii wojewoda niezwłocznie odzwierciedla wniosek o wydanie decyzji budżetowej na dotację złożony w postaci papierowej w Informatycznym Systemie Obsługi Budżetu Państwa.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Wniosek o wydanie decyzji budżetowej na dotację zawiera: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wskazanie wojewody oraz nazwę i adres urzędu wojewódzkiego;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kwotę dotacji wynikającą ze złożonych przez wójtów, burmistrzów (prezydentów miast) wniosków o przekazanie gminie dotacji, z wyszczególnieniem kwoty przeznaczonej na pokrycie kosztów poszczególnych gmin związanych z postępowaniem w sprawie zwrotu podatku oraz kwoty przeznaczonej na jego wypłatę w poszczególnych gminach;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powierzchnię użytków rolnych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3a)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10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bydła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3b)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świń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3c)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owiec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3d)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kóz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3e)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średnią roczną liczbę dużych jednostek przeliczeniowych koni w poszczególnych gminach określoną w złożonych przez wójtów, burmistrzów (prezydentów miast) wnioskach o przekazanie gminie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ilość litrów oleju napędowego wykorzystanego do produkcji rolnej określoną w złożonych przez wójtów, burmistrzów (prezydentów miast) wnioskach o przekazanie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łączną kwotę rocznych limitów zwrotu podatku przysługujących w poszczególnych gminach;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łączną kwotę limitów zwrotu podatku przysługujących w poszczególnych gminach do wykorzystania w okresie, za który zostały złożone wnioski o zwrot podatku w ramach rocznych limitów, o których mowa w pkt 5;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numer rachunku bankowego urzędu wojewódzkiego, na który mają zostać przekazane środki z tytułu dotacji;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pieczęć i podpis wojewody, w przypadku gdy wniosek o wydanie decyzji budżetowej na dotację został złożony w postaci papierowej.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Wniosek o wydanie decyzji budżetowej na dotację składa się nie później niż 5 dni roboczych przed terminem przekazania dotacji na rachunek urzędu wojewódzkiego.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3a.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W przypadku wniosku o wydanie decyzji budżetowej na dotację składanego we wrześniu danego roku, wniosek o wydanie decyzji budżetowej na dotację składa się nie później niż 2 dni robocze przed ostatnim dniem roboczym września danego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Minister właściwy do spraw rozwoju wsi, w terminie 4 dni roboczych od dnia otrzymania wniosku o wydanie decyzji budżetowej na dotację, występuje do ministra właściwego do spraw finansów publicznych z wnioskiem o przekazanie dotacji wojewodom.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5. 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Minister właściwy do spraw finansów publicznych przekazuje na rachunki bankowe urzędów wojewódzkich środki z tytułu dotacji w terminie umożliwiającym terminową wypłatę zwrotu podatku na rzecz producentów rolnych.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6. 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Wojewoda, w terminie 2 dni od dnia otrzymania środków z tytułu dotacji, przekazuje je na rachunki bankowe urzędów gmin lub miast w wysokości określonej we wnioskach o przekazanie dotacji.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4.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W przypadku zmiany, uchylenia albo stwierdzenia nieważności decyzji,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5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ustawy, wójt, burmistrz (prezydent miasta) składa do właściwego miejscowo wojewody dodatkowy wniosek o przekazanie gminie dotacji, w terminie 5 dni od dnia, w którym decyzja przyznająca zwrot podatku wydana odpowiednio w wyniku zmiany, uchylenia albo stwierdzenia nieważności decyzji, o której mowa w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art. 5 ust.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ustawy, stała się ostateczna.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1a.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W przypadku gdy z przyczyn niezależnych od producenta rolnego wójt, burmistrz (prezydent miasta) nie złożył do właściwego miejscowo wojewody wniosku o przekazanie gminie dotacji w terminie, o którym mowa w § 2 ust. 3, wójt, burmistrz (prezydent miasta) składa do właściwego miejscowo wojewody dodatkowy wniosek o przekazanie gminie dotacji, w terminie 5 dni od dnia stwierdzenia wystąpienia tych przyczyn.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20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Wojewoda na podstawie złożonych przez wójtów, burmistrzów (prezydentów miast) wniosków, o których mowa w ust. 1 i 1a, w terminie do 5. dnia roboczego miesiąca następującego po miesiącu, w którym je otrzymał, składa do ministra właściwego do spraw rozwoju wsi dodatkowy wniosek o wydanie decyzji budżetowej na dotację. Dodatkowy wniosek o wydanie decyzji budżetowej na dotację wojewoda przesyła w Informatycznym Systemie Obsługi Budżetu Państwa.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2a.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Jeżeli z powodu awarii Informatycznego Systemu Obsługi Budżetu Państwa nie jest możliwe złożenie przez wojewodę dodatkowego wniosku o wydanie decyzji budżetowej na dotację, wniosek ten składa się w postaci papierowej. Po usunięciu awarii wojewoda niezwłocznie odzwierciedla dodatkowy wniosek o wydanie decyzji budżetowej na dotację złożony w postaci papierowej w Informatycznym Systemie Obsługi Budżetu Państwa.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Do dodatkowego wniosku o przekazanie gminie dotacji oraz dodatkowego wniosku o wydanie decyzji budżetowej na dotację stosuje się odpowiednio przepisy § 2 ust. 2 i § 3 ust. 2.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5.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burmistrz (prezydent miasta) zwraca wojewodzie, w terminie przewidzianym odpowiednio do złożenia okresowego i rocznego rozliczenia dotacji oraz sprawozdania rzeczowo-finansowego z realizacji wypłat zwrotu podatku, kwotę dotacji przekraczającą wysokość: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należnych zwrotów podatku;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kosztów gminy związanych z postępowaniem w sprawie zwrotu podatku i jego wypłatą.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 kwoty dotacji niezwróconej w terminie wskazanym w ust. 1 wójt, burmistrz (prezydent miasta) przekazuje odsetki za zwłokę w wysokości określonej jak dla zaległości podatkowych.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Niewykorzystane w danym roku budżetowym kwoty dotacji podlegają zwrotowi na zasadach określonych w przepisach o finansach publicznych.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6. 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1. 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burmistrz (prezydent miasta) przekazuje właściwemu wojewodzie: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 rozliczenie dotacji oraz okresowe sprawozdanie rzeczowo-finansowe z realizacji wypłat zwrotu podatku dokonanych w okresie: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 dnia 1 kwietnia do dnia 30 kwietnia danego roku - w terminie do dnia 31 maja danego roku,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 dnia 1 października do dnia 31 października danego roku - w terminie do dnia 30 listopada danego roku;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 rozliczenie dotacji oraz roczne sprawozdanie rzeczowo-finansowe z realizacji wypłat zwrotu podatku - w terminie do dnia 31 grudnia danego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Wojewoda przekazuje ministrowi właściwemu do spraw rozwoju wsi oraz ministrowi właściwemu do spraw finansów publicznych: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 zbiorcze rozliczenie dotacji oraz okresowe zbiorcze sprawozdanie rzeczowo-finansowe z realizacji wypłat zwrotu podatku dokonanych w okresie: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 dnia 1 kwietnia do dnia 30 kwietnia danego roku - w terminie do dnia 15 lipca danego roku,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 dnia 1 października do dnia 31 października danego roku - w terminie do dnia 15 stycznia następnego roku;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 zbiorcze rozliczenie dotacji oraz roczne zbiorcze sprawozdanie rzeczowo-finansowe z realizacji wypłat zwrotu podatku dokonanych w danym roku - w terminie do dnia 15 stycznia następnego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3. 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gdy terminy, o których mowa w ust. 1 i 2, są dniami wolnymi od pracy, rozliczenie dotacji oraz sprawozdanie rzeczowo-finansowe z realizacji wypłat zwrotu podatku przekazuje się w pierwszym dniu roboczym po upływie tych terminów.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7.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Określa się wzór: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okresowego rozliczenia dotacji z realizacji wypłat zwrotu podatku, stanowiący załącznik nr 1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okresowego sprawozdania rzeczowo-finansowego z realizacji wypłat zwrotu podatku, stanowiący załącznik nr 2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rocznego rozliczenia dotacji z realizacji wypłat zwrotu podatku, stanowiący załącznik nr 3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rocznego sprawozdania rzeczowo-finansowego z realizacji wypłat zwrotu podatku, stanowiący załącznik nr 4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okresowego zbiorczego rozliczenia dotacji z realizacji wypłat zwrotu podatku, stanowiący załącznik nr 5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okresowego zbiorczego sprawozdania rzeczowo-finansowego z realizacji wypłat zwrotu podatku, stanowiący załącznik nr 6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rocznego zbiorczego rozliczenia dotacji z realizacji wypłat zwrotu podatku, stanowiący załącznik nr 7 do rozporządzenia;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8)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rocznego zbiorczego sprawozdania rzeczowo-finansowego z realizacji wypłat zwrotu podatku, stanowiący załącznik nr 8 do rozporządzenia.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§  8. 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Rozporządzenie wchodzi w życie z dniem ogłoszenia.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ZAŁĄCZNIKI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1 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nazwa i adres urzędu gminy (miasta)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OKRESOWE ROZLICZENIE DOTACJI CELOWEJ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 okres od ...... do 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złotych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66"/>
        <w:gridCol w:w="2302"/>
        <w:gridCol w:w="1278"/>
        <w:gridCol w:w="1902"/>
        <w:gridCol w:w="2303"/>
        <w:gridCol w:w="1279"/>
        <w:gridCol w:w="2303"/>
        <w:gridCol w:w="2047"/>
        <w:gridCol w:w="1279"/>
        <w:gridCol w:w="2559"/>
        <w:gridCol w:w="2815"/>
        <w:gridCol w:w="2559"/>
      </w:tblGrid>
      <w:tr>
        <w:trPr>
          <w:trHeight w:val="45" w:hRule="atLeast"/>
        </w:trPr>
        <w:tc>
          <w:tcPr>
            <w:tcW w:w="766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Lp.</w:t>
            </w:r>
          </w:p>
        </w:tc>
        <w:tc>
          <w:tcPr>
            <w:tcW w:w="2302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zwrotu podatku akcyzowego do wykorzystania w okresie, za który jest składane rozliczenie w ramach rocznego limitu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celowej wykazana we wnioskach złożonych do wojewody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celowej otrzymana od wojewody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Koszty faktycznie poniesione przez gminę na postępowanie w sprawie zwrotu producentom rolnym podatku akcyzowego oraz na jego wypłatę</w:t>
            </w:r>
          </w:p>
        </w:tc>
        <w:tc>
          <w:tcPr>
            <w:tcW w:w="2559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Nadpłata albo niedopłata</w:t>
            </w:r>
          </w:p>
          <w:p>
            <w:pPr>
              <w:spacing w:before="25"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(kol. 6-9)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278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79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79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0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204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dokonanego zwrotu podatku akcyzowego producentom rolnym</w:t>
            </w:r>
          </w:p>
        </w:tc>
        <w:tc>
          <w:tcPr>
            <w:tcW w:w="281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należnej gminie na pokrycie kosztów postępowania w sprawie zwrotu podatku</w:t>
            </w:r>
          </w:p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6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</w:t>
            </w:r>
          </w:p>
        </w:tc>
        <w:tc>
          <w:tcPr>
            <w:tcW w:w="230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2</w:t>
            </w:r>
          </w:p>
        </w:tc>
        <w:tc>
          <w:tcPr>
            <w:tcW w:w="127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3</w:t>
            </w:r>
          </w:p>
        </w:tc>
        <w:tc>
          <w:tcPr>
            <w:tcW w:w="190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4</w:t>
            </w:r>
          </w:p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5</w:t>
            </w:r>
          </w:p>
        </w:tc>
        <w:tc>
          <w:tcPr>
            <w:tcW w:w="127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6</w:t>
            </w:r>
          </w:p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7</w:t>
            </w:r>
          </w:p>
        </w:tc>
        <w:tc>
          <w:tcPr>
            <w:tcW w:w="204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8</w:t>
            </w:r>
          </w:p>
        </w:tc>
        <w:tc>
          <w:tcPr>
            <w:tcW w:w="127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9</w:t>
            </w:r>
          </w:p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10</w:t>
            </w:r>
          </w:p>
        </w:tc>
        <w:tc>
          <w:tcPr>
            <w:tcW w:w="281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11</w:t>
            </w:r>
          </w:p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12</w:t>
            </w:r>
          </w:p>
        </w:tc>
      </w:tr>
      <w:tr>
        <w:trPr>
          <w:trHeight w:val="45" w:hRule="atLeast"/>
        </w:trPr>
        <w:tc>
          <w:tcPr>
            <w:tcW w:w="76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0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4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1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9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sporządził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..........................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pieczęć i czytelny podpis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wójta, burmistrza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(prezydenta miasta)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data sporządzenia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2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23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OKRESOWE SPRAWOZDANIE RZECZOWO-FINANSOWE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3 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nazwa i adres urzędu gminy (miasta)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ROCZNE ROZLICZENIE DOTACJI CELOWEJ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 rok 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złotych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34"/>
        <w:gridCol w:w="2685"/>
        <w:gridCol w:w="1226"/>
        <w:gridCol w:w="1844"/>
        <w:gridCol w:w="1960"/>
        <w:gridCol w:w="1470"/>
        <w:gridCol w:w="1961"/>
        <w:gridCol w:w="2206"/>
        <w:gridCol w:w="1471"/>
        <w:gridCol w:w="2452"/>
        <w:gridCol w:w="2697"/>
        <w:gridCol w:w="2454"/>
      </w:tblGrid>
      <w:tr>
        <w:trPr>
          <w:trHeight w:val="45" w:hRule="atLeast"/>
        </w:trPr>
        <w:tc>
          <w:tcPr>
            <w:tcW w:w="734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Lp.</w:t>
            </w:r>
          </w:p>
        </w:tc>
        <w:tc>
          <w:tcPr>
            <w:tcW w:w="2685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Łączna kwota rocznego limitu zwrotu podatku akcyzowego zgodnie z </w:t>
            </w:r>
            <w:r>
              <w:rPr>
                <w:rFonts w:ascii="Times New Roman"/>
                <w:b w:val="false"/>
                <w:i w:val="false"/>
                <w:color w:val="1b1b1b"/>
                <w:sz w:val="24"/>
                <w:lang w:val="pl-PL"/>
              </w:rPr>
              <w:t>art. 4 ust. 2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 ustawy z dnia 10 marca 2006 r. o zwrocie podatku akcyzowego zawartego w cenie oleju napędowego wykorzystywanego do produkcji rolnej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celowej wykazana we wnioskach złożonych do wojewody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celowej otrzymana od wojewody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Łączne koszty faktycznie poniesione przez gminę na postępowanie w sprawie zwrotu producentom rolnym podatku akcyzowego oraz na jego wypłatę</w:t>
            </w:r>
          </w:p>
        </w:tc>
        <w:tc>
          <w:tcPr>
            <w:tcW w:w="2454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Nadpłata albo niedopłata</w:t>
            </w:r>
          </w:p>
          <w:p>
            <w:pPr>
              <w:spacing w:before="25"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(kol. 6-9)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226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470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471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84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196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220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245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dokonanego zwrotu podatku akcyzowego producentom rolnym</w:t>
            </w:r>
          </w:p>
        </w:tc>
        <w:tc>
          <w:tcPr>
            <w:tcW w:w="26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należnej gminie na pokrycie kosztów postępowania w sprawie zwrotu podatku</w:t>
            </w:r>
          </w:p>
        </w:tc>
        <w:tc>
          <w:tcPr>
            <w:tcW w:w="245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3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</w:t>
            </w:r>
          </w:p>
        </w:tc>
        <w:tc>
          <w:tcPr>
            <w:tcW w:w="268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2</w:t>
            </w:r>
          </w:p>
        </w:tc>
        <w:tc>
          <w:tcPr>
            <w:tcW w:w="122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3</w:t>
            </w:r>
          </w:p>
        </w:tc>
        <w:tc>
          <w:tcPr>
            <w:tcW w:w="184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4</w:t>
            </w:r>
          </w:p>
        </w:tc>
        <w:tc>
          <w:tcPr>
            <w:tcW w:w="196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5</w:t>
            </w:r>
          </w:p>
        </w:tc>
        <w:tc>
          <w:tcPr>
            <w:tcW w:w="147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6</w:t>
            </w:r>
          </w:p>
        </w:tc>
        <w:tc>
          <w:tcPr>
            <w:tcW w:w="19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7</w:t>
            </w:r>
          </w:p>
        </w:tc>
        <w:tc>
          <w:tcPr>
            <w:tcW w:w="220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8</w:t>
            </w:r>
          </w:p>
        </w:tc>
        <w:tc>
          <w:tcPr>
            <w:tcW w:w="147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9</w:t>
            </w:r>
          </w:p>
        </w:tc>
        <w:tc>
          <w:tcPr>
            <w:tcW w:w="245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10</w:t>
            </w:r>
          </w:p>
        </w:tc>
        <w:tc>
          <w:tcPr>
            <w:tcW w:w="26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11</w:t>
            </w:r>
          </w:p>
        </w:tc>
        <w:tc>
          <w:tcPr>
            <w:tcW w:w="245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12</w:t>
            </w:r>
          </w:p>
        </w:tc>
      </w:tr>
      <w:tr>
        <w:trPr>
          <w:trHeight w:val="45" w:hRule="atLeast"/>
        </w:trPr>
        <w:tc>
          <w:tcPr>
            <w:tcW w:w="73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7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5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sporządził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..........................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pieczęć i czytelny podpis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wójta, burmistrza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(prezydenta miasta)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data sporządzenia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4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24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ROCZNE SPRAWOZDANIE RZECZOWO-FINANSOWE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5 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nazwa i adres urzędu wojewódzkiego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OKRESOWE ZBIORCZE ROZLICZENIE DOTACJI CELOWEJ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 okres od ...... do 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złotych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31"/>
        <w:gridCol w:w="1708"/>
        <w:gridCol w:w="2661"/>
        <w:gridCol w:w="1220"/>
        <w:gridCol w:w="1953"/>
        <w:gridCol w:w="2196"/>
        <w:gridCol w:w="1220"/>
        <w:gridCol w:w="1953"/>
        <w:gridCol w:w="2196"/>
        <w:gridCol w:w="1220"/>
        <w:gridCol w:w="1953"/>
        <w:gridCol w:w="2197"/>
        <w:gridCol w:w="1955"/>
      </w:tblGrid>
      <w:tr>
        <w:trPr>
          <w:trHeight w:val="45" w:hRule="atLeast"/>
        </w:trPr>
        <w:tc>
          <w:tcPr>
            <w:tcW w:w="731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Lp.</w:t>
            </w:r>
          </w:p>
        </w:tc>
        <w:tc>
          <w:tcPr>
            <w:tcW w:w="1708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Nazwa gminy</w:t>
            </w:r>
          </w:p>
        </w:tc>
        <w:tc>
          <w:tcPr>
            <w:tcW w:w="2661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Łączna kwota rocznego limitu zwrotu podatku akcyzowego zgodnie z </w:t>
            </w:r>
            <w:r>
              <w:rPr>
                <w:rFonts w:ascii="Times New Roman"/>
                <w:b w:val="false"/>
                <w:i w:val="false"/>
                <w:color w:val="1b1b1b"/>
                <w:sz w:val="24"/>
                <w:lang w:val="pl-PL"/>
              </w:rPr>
              <w:t>art. 4 ust. 2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 ustawy z dnia 10 marca 2006 r. o zwrocie podatku akcyzowego zawartego w cenie oleju napędowego wykorzystywanego do produkcji rolnej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celowej wykazana we wnioskach złożonych przez gminy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celowej przekazana gminie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Koszty faktycznie poniesione przez gminę na postępowanie w sprawie zwrotu producentom rolnym podatku akcyzowego oraz na jego wypłatę</w:t>
            </w:r>
          </w:p>
        </w:tc>
        <w:tc>
          <w:tcPr>
            <w:tcW w:w="1955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Nadpłata albo niedopłata</w:t>
            </w:r>
          </w:p>
          <w:p>
            <w:pPr>
              <w:spacing w:before="25"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(kol. 7-10)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220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20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20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 zwrot podatku akcyzowego producentom rolnym</w:t>
            </w:r>
          </w:p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dokonanego przez gminę zwrotu podatku akcyzowego producentom rolnym</w:t>
            </w:r>
          </w:p>
        </w:tc>
        <w:tc>
          <w:tcPr>
            <w:tcW w:w="21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kwota dotacji należnej gminie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73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</w:t>
            </w:r>
          </w:p>
        </w:tc>
        <w:tc>
          <w:tcPr>
            <w:tcW w:w="170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2</w:t>
            </w:r>
          </w:p>
        </w:tc>
        <w:tc>
          <w:tcPr>
            <w:tcW w:w="26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3</w:t>
            </w:r>
          </w:p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4</w:t>
            </w:r>
          </w:p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5</w:t>
            </w:r>
          </w:p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6</w:t>
            </w:r>
          </w:p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7</w:t>
            </w:r>
          </w:p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8</w:t>
            </w:r>
          </w:p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9</w:t>
            </w:r>
          </w:p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10</w:t>
            </w:r>
          </w:p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11</w:t>
            </w:r>
          </w:p>
        </w:tc>
        <w:tc>
          <w:tcPr>
            <w:tcW w:w="21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12</w:t>
            </w:r>
          </w:p>
        </w:tc>
        <w:tc>
          <w:tcPr>
            <w:tcW w:w="195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13</w:t>
            </w:r>
          </w:p>
        </w:tc>
      </w:tr>
      <w:tr>
        <w:trPr>
          <w:trHeight w:val="45" w:hRule="atLeast"/>
        </w:trPr>
        <w:tc>
          <w:tcPr>
            <w:tcW w:w="73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3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3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61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6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5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sporządził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..........................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pieczęć i czytelny podpis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wojewody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data sporządzenia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6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25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OKRESOWE ZBIORCZE SPRAWOZDANIE RZECZOWO-FINANSOWE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after="0"/>
        <w:ind w:left="0"/>
        <w:jc w:val="left"/>
        <w:textAlignment w:val="auto"/>
      </w:pPr>
    </w:p>
    <w:p>
      <w:pPr>
        <w:spacing w:before="16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ZAŁĄCZNIK Nr  7 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WZÓR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nazwa i adres urzędu wojewódzkiego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ROCZNE ZBIORCZE ROZLICZENIE DOTACJI CELOWEJ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 rok 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w złotych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723"/>
        <w:gridCol w:w="1690"/>
        <w:gridCol w:w="2638"/>
        <w:gridCol w:w="1207"/>
        <w:gridCol w:w="1932"/>
        <w:gridCol w:w="2173"/>
        <w:gridCol w:w="1207"/>
        <w:gridCol w:w="1932"/>
        <w:gridCol w:w="2173"/>
        <w:gridCol w:w="1207"/>
        <w:gridCol w:w="1933"/>
        <w:gridCol w:w="2174"/>
        <w:gridCol w:w="2174"/>
      </w:tblGrid>
      <w:tr>
        <w:trPr>
          <w:trHeight w:val="45" w:hRule="atLeast"/>
        </w:trPr>
        <w:tc>
          <w:tcPr>
            <w:tcW w:w="723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Lp.</w:t>
            </w:r>
          </w:p>
        </w:tc>
        <w:tc>
          <w:tcPr>
            <w:tcW w:w="1690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Nazwa gminy</w:t>
            </w:r>
          </w:p>
        </w:tc>
        <w:tc>
          <w:tcPr>
            <w:tcW w:w="2638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Łączna kwota rocznego limitu zwrotu podatku akcyzowego zgodnie z </w:t>
            </w:r>
            <w:r>
              <w:rPr>
                <w:rFonts w:ascii="Times New Roman"/>
                <w:b w:val="false"/>
                <w:i w:val="false"/>
                <w:color w:val="1b1b1b"/>
                <w:sz w:val="24"/>
                <w:lang w:val="pl-PL"/>
              </w:rPr>
              <w:t>art. 4 ust. 2</w:t>
            </w: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 xml:space="preserve"> ustawy z dnia 10 marca 2006 r. o zwrocie podatku akcyzowego zawartego w cenie oleju napędowego wykorzystywanego do produkcji rolnej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celowej wykazana we wnioskach złożonych przez gminy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celowej przekazana gminie na pokrycie kosztów postępowania w sprawie zwrotu producentom rolnym podatku akcyzowego oraz na jego wypłatę</w:t>
            </w:r>
          </w:p>
        </w:tc>
        <w:tc>
          <w:tcPr>
            <w:tcW w:w="0" w:type="auto"/>
            <w:gridSpan w:val="3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Łączne koszty faktycznie poniesione przez gminę na postępowanie w sprawie zwrotu producentom rolnym podatku akcyzowego oraz na jego wypłatę</w:t>
            </w:r>
          </w:p>
        </w:tc>
        <w:tc>
          <w:tcPr>
            <w:tcW w:w="2174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Nadpłata albo niedopłata</w:t>
            </w:r>
          </w:p>
          <w:p>
            <w:pPr>
              <w:spacing w:before="25"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(kol. 7-10)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207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07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1207" w:type="dxa"/>
            <w:vMerge w:val="restart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ogółem</w:t>
            </w:r>
          </w:p>
        </w:tc>
        <w:tc>
          <w:tcPr>
            <w:tcW w:w="0" w:type="auto"/>
            <w:gridSpan w:val="2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w tym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na zwrot podatku akcyzowego producentom rolnym</w:t>
            </w:r>
          </w:p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na zwrot podatku akcyzowego producentom rolnym</w:t>
            </w:r>
          </w:p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dla gminy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  <w:tc>
          <w:tcPr>
            <w:tcW w:w="193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dokonanego przez gminę zwrotu podatku akcyzowego producentom rolnym</w:t>
            </w:r>
          </w:p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 w:val="false"/>
                <w:i w:val="false"/>
                <w:color w:val="000000"/>
                <w:sz w:val="24"/>
                <w:lang w:val="pl-PL"/>
              </w:rPr>
              <w:t>łączna kwota dotacji należnej gminie na pokrycie kosztów postępowania w sprawie zwrotu podatku</w:t>
            </w:r>
          </w:p>
        </w:tc>
        <w:tc>
          <w:tcPr>
            <w:tcW w:w="0" w:type="auto"/>
            <w:vMerge/>
            <w:tcBorders>
              <w:top w:val="nil"/>
              <w:bottom w:val="single" w:color="000000" w:sz="8"/>
              <w:right w:val="single" w:color="000000" w:sz="8"/>
            </w:tcBorders>
          </w:tcPr>
          <w:p/>
        </w:tc>
      </w:tr>
      <w:tr>
        <w:trPr>
          <w:trHeight w:val="45" w:hRule="atLeast"/>
        </w:trPr>
        <w:tc>
          <w:tcPr>
            <w:tcW w:w="72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</w:t>
            </w:r>
          </w:p>
        </w:tc>
        <w:tc>
          <w:tcPr>
            <w:tcW w:w="169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2</w:t>
            </w:r>
          </w:p>
        </w:tc>
        <w:tc>
          <w:tcPr>
            <w:tcW w:w="263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3</w:t>
            </w:r>
          </w:p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4</w:t>
            </w:r>
          </w:p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5</w:t>
            </w:r>
          </w:p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6</w:t>
            </w:r>
          </w:p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7</w:t>
            </w:r>
          </w:p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8</w:t>
            </w:r>
          </w:p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9</w:t>
            </w:r>
          </w:p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10</w:t>
            </w:r>
          </w:p>
        </w:tc>
        <w:tc>
          <w:tcPr>
            <w:tcW w:w="193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11</w:t>
            </w:r>
          </w:p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12</w:t>
            </w:r>
          </w:p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  <w:textAlignment w:val="auto"/>
            </w:pPr>
            <w:r>
              <w:rPr>
                <w:rFonts w:ascii="Times New Roman"/>
                <w:b/>
                <w:i w:val="false"/>
                <w:color w:val="000000"/>
                <w:sz w:val="24"/>
                <w:lang w:val="pl-PL"/>
              </w:rPr>
              <w:t>13</w:t>
            </w:r>
          </w:p>
        </w:tc>
      </w:tr>
      <w:tr>
        <w:trPr>
          <w:trHeight w:val="45" w:hRule="atLeast"/>
        </w:trPr>
        <w:tc>
          <w:tcPr>
            <w:tcW w:w="72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2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72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90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38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2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7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3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4" w:type="dxa"/>
            <w:tcBorders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sporządził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..........................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pieczęć i czytelny podpis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wojewody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.......................</w:t>
      </w:r>
    </w:p>
    <w:p>
      <w:pPr>
        <w:spacing w:before="25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data sporządzenia</w:t>
      </w:r>
    </w:p>
    <w:p>
      <w:pPr>
        <w:spacing w:after="0"/>
        <w:ind w:left="0"/>
        <w:jc w:val="left"/>
        <w:textAlignment w:val="auto"/>
      </w:pPr>
    </w:p>
    <w:p>
      <w:pPr>
        <w:spacing w:before="89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8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26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WZÓR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ROCZNE ZBIORCZE SPRAWOZDANIE RZECZOWO-FINANSOWE Z REALIZACJI WYPŁAT PRODUCENTOM ROLNYM ZWROTU PODATKU AKCYZOWEGO ZAWARTEGO W CENIE OLEJU NAPĘDOWEGO WYKORZYSTANEGO DO PRODUKCJI ROLNEJ</w:t>
      </w:r>
    </w:p>
    <w:p>
      <w:pPr>
        <w:spacing w:before="25" w:after="0"/>
        <w:ind w:left="0"/>
        <w:jc w:val="both"/>
        <w:textAlignment w:val="auto"/>
      </w:pPr>
      <w:r>
        <w:rPr>
          <w:rFonts w:ascii="Times New Roman"/>
          <w:b w:val="false"/>
          <w:i w:val="false"/>
          <w:color w:val="1b1b1b"/>
          <w:sz w:val="24"/>
          <w:lang w:val="pl-PL"/>
        </w:rPr>
        <w:t>wzór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Minister Rolnictwa i Rozwoju Wsi kieruje działem administracji rządowej - rozwój wsi, na podstawie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ust. 2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Prezesa Rady Ministrów z dnia 18 listopada 2011 r. w sprawie szczegółowego zakresu działania Ministra Rolnictwa i Rozwoju Wsi (Dz. U. Nr 248, poz. 1486).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2 ust. 2 pkt 3a dodany przez § 1 pkt 1 rozporządzenia z dnia 27 lutego 2019 r. (Dz.U.2019.398) zmieniającego nin. rozporządzenie z dniem 1 marca 2019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2 ust. 2 pkt 3b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2 ust. 2 pkt 3c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2 ust. 2 pkt 3d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2 ust. 2 pkt 3e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1: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pkt 2 lit. a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pkt 1 i pkt 2 lit. a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1a dodany przez § 1 pkt 2 lit. b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2 zmieniony przez § 1 pkt 1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10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2 pkt 3a dodany przez § 1 pkt 2 lit. b rozporządzenia z dnia 27 lutego 2019 r. (Dz.U.2019.398) zmieniającego nin. rozporządzenie z dniem 1 marca 2019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3 ust. 2 pkt 3b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3 ust. 2 pkt 3c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3 ust. 2 pkt 3d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 § 3 ust. 2 pkt 3e dodany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2 pkt 8 zmieniony przez § 1 pkt 2 lit. c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3 zmieniony przez § 1 pkt 1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17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3a: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dodany przez § 1 pkt 2 lit. c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pkt 1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18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3 ust. 4 zmieniony przez § 1 pkt 1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19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4 ust. 1a dodany przez § 1 pkt 3 lit. a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20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4 ust. 2: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pkt 3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pkt 3 lit. b rozporządzenia z dnia 12 marca 2021 r. (Dz.U.2021.474) zmieniającego nin. rozporządzenie z dniem 17 marca 2021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rozporządzenia z dnia 17 grudnia 2021 r. (Dz.U.2021.2379) zmieniającego nin. rozporządzenie z dniem 1 stycznia 2022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4 ust. 2a dodany przez § 1 pkt 3 lit. c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22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§ 4 ust. 3 zmieniony przez § 1 pkt 3 lit. d rozporządzenia z dnia 12 marca 2021 r. (Dz.U.2021.474) zmieniającego nin. rozporządzenie z dniem 17 marca 2021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2: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4: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25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6: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26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8: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4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27 lutego 2019 r. (Dz.U.2019.398) zmieniającego nin. rozporządzenie z dniem 1 marca 2019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- zmieniony przez </w:t>
      </w:r>
      <w:r>
        <w:rPr>
          <w:rFonts w:ascii="Times New Roman"/>
          <w:b w:val="false"/>
          <w:i w:val="false"/>
          <w:color w:val="1b1b1b"/>
          <w:sz w:val="24"/>
          <w:lang w:val="pl-PL"/>
        </w:rPr>
        <w:t>§ 1 pkt 3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 rozporządzenia z dnia 11 sierpnia 2023 r. (Dz.U.2023.1699) zmieniającego nin. rozporządzenie z dniem 1 września 2023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