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B9DC" w14:textId="0982E430" w:rsidR="00537404" w:rsidRPr="00354CB4" w:rsidRDefault="00744684" w:rsidP="00354CB4">
      <w:pPr>
        <w:rPr>
          <w:rFonts w:eastAsia="PMingLiU"/>
          <w:sz w:val="22"/>
          <w:szCs w:val="22"/>
          <w:lang w:eastAsia="zh-TW"/>
        </w:rPr>
      </w:pPr>
      <w:r w:rsidRPr="00354CB4">
        <w:rPr>
          <w:rFonts w:eastAsia="PMingLiU"/>
          <w:sz w:val="22"/>
          <w:szCs w:val="22"/>
          <w:lang w:eastAsia="zh-TW"/>
        </w:rPr>
        <w:t xml:space="preserve">Załącznik </w:t>
      </w:r>
      <w:r w:rsidR="00537404" w:rsidRPr="00354CB4">
        <w:rPr>
          <w:rFonts w:eastAsia="PMingLiU"/>
          <w:sz w:val="22"/>
          <w:szCs w:val="22"/>
          <w:lang w:eastAsia="zh-TW"/>
        </w:rPr>
        <w:t>B.4.</w:t>
      </w:r>
    </w:p>
    <w:p w14:paraId="495B0380" w14:textId="39212BB6" w:rsidR="00744684" w:rsidRPr="00354CB4" w:rsidRDefault="00744684" w:rsidP="00354CB4">
      <w:pPr>
        <w:rPr>
          <w:rFonts w:eastAsia="PMingLiU"/>
          <w:sz w:val="22"/>
          <w:szCs w:val="22"/>
          <w:lang w:eastAsia="zh-TW"/>
        </w:rPr>
      </w:pPr>
      <w:r w:rsidRPr="00354CB4">
        <w:rPr>
          <w:rFonts w:eastAsia="PMingLiU"/>
          <w:sz w:val="22"/>
          <w:szCs w:val="22"/>
          <w:lang w:eastAsia="zh-TW"/>
        </w:rPr>
        <w:fldChar w:fldCharType="begin"/>
      </w:r>
      <w:r w:rsidRPr="00354CB4">
        <w:rPr>
          <w:rFonts w:eastAsia="PMingLiU"/>
          <w:sz w:val="22"/>
          <w:szCs w:val="22"/>
          <w:lang w:eastAsia="zh-TW"/>
        </w:rPr>
        <w:instrText xml:space="preserve"> FILENAME   \* MERGEFORMAT </w:instrText>
      </w:r>
      <w:r w:rsidRPr="00354CB4">
        <w:rPr>
          <w:rFonts w:eastAsia="PMingLiU"/>
          <w:sz w:val="22"/>
          <w:szCs w:val="22"/>
          <w:lang w:eastAsia="zh-TW"/>
        </w:rPr>
        <w:fldChar w:fldCharType="end"/>
      </w:r>
    </w:p>
    <w:p w14:paraId="43A20F14" w14:textId="202DEB2C" w:rsidR="00744684" w:rsidRPr="00354CB4" w:rsidRDefault="00744684" w:rsidP="00354CB4">
      <w:pPr>
        <w:spacing w:after="240"/>
        <w:rPr>
          <w:rFonts w:eastAsia="PMingLiU"/>
          <w:b/>
          <w:sz w:val="28"/>
          <w:szCs w:val="28"/>
          <w:lang w:eastAsia="zh-TW"/>
        </w:rPr>
      </w:pPr>
      <w:r w:rsidRPr="00354CB4">
        <w:rPr>
          <w:rFonts w:eastAsia="PMingLiU"/>
          <w:b/>
          <w:sz w:val="28"/>
          <w:szCs w:val="28"/>
          <w:lang w:eastAsia="zh-TW"/>
        </w:rPr>
        <w:t>LECZENIE ZAAWANSOWANEGO RAKA JELITA GRUBEGO (ICD-10</w:t>
      </w:r>
      <w:r w:rsidR="00765458">
        <w:rPr>
          <w:rFonts w:eastAsia="PMingLiU"/>
          <w:b/>
          <w:sz w:val="28"/>
          <w:szCs w:val="28"/>
          <w:lang w:eastAsia="zh-TW"/>
        </w:rPr>
        <w:t>:</w:t>
      </w:r>
      <w:r w:rsidRPr="00354CB4">
        <w:rPr>
          <w:rFonts w:eastAsia="PMingLiU"/>
          <w:b/>
          <w:sz w:val="28"/>
          <w:szCs w:val="28"/>
          <w:lang w:eastAsia="zh-TW"/>
        </w:rPr>
        <w:t xml:space="preserve"> C18 – C20)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4293"/>
        <w:gridCol w:w="4296"/>
      </w:tblGrid>
      <w:tr w:rsidR="00D45995" w:rsidRPr="00D45995" w14:paraId="3C7BA0E9" w14:textId="77777777" w:rsidTr="00A175BB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14:paraId="3B295A57" w14:textId="77777777" w:rsidR="00744684" w:rsidRPr="00637F74" w:rsidRDefault="00744684" w:rsidP="00354C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7F74">
              <w:rPr>
                <w:b/>
                <w:color w:val="000000" w:themeColor="text1"/>
                <w:sz w:val="20"/>
                <w:szCs w:val="20"/>
              </w:rPr>
              <w:t>ZAKRES ŚWIADCZENIA GWARANTOWANEGO</w:t>
            </w:r>
          </w:p>
        </w:tc>
      </w:tr>
      <w:tr w:rsidR="00D45995" w:rsidRPr="00D45995" w14:paraId="47C0A5F7" w14:textId="77777777" w:rsidTr="00E05EF9">
        <w:trPr>
          <w:trHeight w:val="567"/>
          <w:jc w:val="center"/>
        </w:trPr>
        <w:tc>
          <w:tcPr>
            <w:tcW w:w="2209" w:type="pct"/>
            <w:vAlign w:val="center"/>
          </w:tcPr>
          <w:p w14:paraId="6DD8D44C" w14:textId="77777777" w:rsidR="00744684" w:rsidRPr="00637F74" w:rsidRDefault="00744684" w:rsidP="00354C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7F74">
              <w:rPr>
                <w:b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395" w:type="pct"/>
            <w:vAlign w:val="center"/>
          </w:tcPr>
          <w:p w14:paraId="325556A7" w14:textId="77777777" w:rsidR="00744684" w:rsidRPr="00637F74" w:rsidRDefault="00744684" w:rsidP="00354C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7F74">
              <w:rPr>
                <w:b/>
                <w:color w:val="000000" w:themeColor="text1"/>
                <w:sz w:val="20"/>
                <w:szCs w:val="20"/>
              </w:rPr>
              <w:t xml:space="preserve">SCHEMAT DAWKOWANIA LEKÓW </w:t>
            </w:r>
            <w:r w:rsidRPr="00637F74">
              <w:rPr>
                <w:b/>
                <w:color w:val="000000" w:themeColor="text1"/>
                <w:sz w:val="20"/>
                <w:szCs w:val="20"/>
              </w:rPr>
              <w:br/>
              <w:t>W PROGRAMIE</w:t>
            </w:r>
          </w:p>
        </w:tc>
        <w:tc>
          <w:tcPr>
            <w:tcW w:w="1396" w:type="pct"/>
            <w:tcBorders>
              <w:right w:val="single" w:sz="4" w:space="0" w:color="auto"/>
            </w:tcBorders>
            <w:vAlign w:val="center"/>
          </w:tcPr>
          <w:p w14:paraId="0EEA2601" w14:textId="77777777" w:rsidR="00744684" w:rsidRPr="00637F74" w:rsidRDefault="00744684" w:rsidP="00354C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7F74">
              <w:rPr>
                <w:b/>
                <w:color w:val="000000" w:themeColor="text1"/>
                <w:sz w:val="20"/>
                <w:szCs w:val="20"/>
              </w:rPr>
              <w:t>BADANIA DIAGNOSTYCZNE WYKONYWANE W RAMACH PROGRAMU</w:t>
            </w:r>
          </w:p>
        </w:tc>
      </w:tr>
      <w:tr w:rsidR="00A175BB" w:rsidRPr="00D45995" w14:paraId="238A8443" w14:textId="77777777" w:rsidTr="00E05EF9">
        <w:trPr>
          <w:jc w:val="center"/>
        </w:trPr>
        <w:tc>
          <w:tcPr>
            <w:tcW w:w="2209" w:type="pct"/>
          </w:tcPr>
          <w:p w14:paraId="44ABD803" w14:textId="057608F0" w:rsidR="00744684" w:rsidRPr="00EB778D" w:rsidRDefault="00B2755F" w:rsidP="00EB778D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I.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Leczenie pierwszej linii chorych na zaawansowanego raka jelita grubego z wykorzystaniem substancji czynnej</w:t>
            </w:r>
            <w:r w:rsidR="003572AF" w:rsidRPr="00EB77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cetuksymab</w:t>
            </w:r>
          </w:p>
          <w:p w14:paraId="0F8AB86B" w14:textId="77777777" w:rsidR="00744684" w:rsidRPr="00EB778D" w:rsidRDefault="00744684" w:rsidP="00EB77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kwalifikowania</w:t>
            </w:r>
          </w:p>
          <w:p w14:paraId="57D1A5BB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histologicznie potwierdzony rak jelita grubego;</w:t>
            </w:r>
          </w:p>
          <w:p w14:paraId="20CFCE01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uogólnienie nowotworu (IV stopień zaawansowania);</w:t>
            </w:r>
          </w:p>
          <w:p w14:paraId="5F1EB263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niemożliwe radykalne leczenie operacyjne;</w:t>
            </w:r>
          </w:p>
          <w:p w14:paraId="37AE5862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brak wcześniejszego leczenia systemowego z powodu choroby przerzutowej;</w:t>
            </w:r>
          </w:p>
          <w:p w14:paraId="368167F7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nieobecne mutacje w genach KRAS i NRAS (wykluczenie mutacji w eksonach 2., 3. i 4. obu genów) oraz nieobecna mutacja w genie BRAF V600E;</w:t>
            </w:r>
          </w:p>
          <w:p w14:paraId="1D7E49B2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możliwa ocena odpowiedzi na leczenie zmian nowotworowych według klasyfikacji RECIST;</w:t>
            </w:r>
          </w:p>
          <w:p w14:paraId="10DDF8C6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 sprawności w stopniach 0-1według klasyfikacji Zubroda-WHO;</w:t>
            </w:r>
          </w:p>
          <w:p w14:paraId="2E9D85DE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wiek powyżej 18. roku życia;</w:t>
            </w:r>
          </w:p>
          <w:p w14:paraId="6C25697E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wyniki badania morfologii krwi z rozmazem:</w:t>
            </w:r>
          </w:p>
          <w:p w14:paraId="724CEA6D" w14:textId="77777777" w:rsidR="00744684" w:rsidRPr="00EB778D" w:rsidRDefault="00744684" w:rsidP="00EB778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liczba płytek krwi większa lub równa 1,5 x10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EB778D">
              <w:rPr>
                <w:color w:val="000000" w:themeColor="text1"/>
                <w:sz w:val="20"/>
                <w:szCs w:val="20"/>
              </w:rPr>
              <w:t>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BCA47EB" w14:textId="77777777" w:rsidR="00744684" w:rsidRPr="00EB778D" w:rsidRDefault="00744684" w:rsidP="00EB778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bezwzględna liczba neutrofilów większa lub równa1500/mm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>,</w:t>
            </w:r>
          </w:p>
          <w:p w14:paraId="6A35C0A2" w14:textId="77777777" w:rsidR="00744684" w:rsidRPr="00EB778D" w:rsidRDefault="00744684" w:rsidP="00EB778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stężenie hemoglobiny większe lub równe10,0 g/dl; </w:t>
            </w:r>
          </w:p>
          <w:p w14:paraId="2B2C04E2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wskaźniki czynności wątroby i nerek:</w:t>
            </w:r>
          </w:p>
          <w:p w14:paraId="52C41982" w14:textId="77777777" w:rsidR="00744684" w:rsidRPr="00EB778D" w:rsidRDefault="00744684" w:rsidP="00EB778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48136E09" w14:textId="77777777" w:rsidR="00744684" w:rsidRPr="00EB778D" w:rsidRDefault="00744684" w:rsidP="00EB778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aktywność transaminaz (alaninowej i asparaginowej) w surowicy nieprzekraczająca 5-krotnie górnej granicy normy,</w:t>
            </w:r>
          </w:p>
          <w:p w14:paraId="2C7138FF" w14:textId="77777777" w:rsidR="00744684" w:rsidRPr="00EB778D" w:rsidRDefault="00744684" w:rsidP="00EB778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kreatyniny nieprzekraczające 1,5-krotnie górnej granicy normy;</w:t>
            </w:r>
          </w:p>
          <w:p w14:paraId="257139E9" w14:textId="77777777" w:rsidR="0074778E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możliwa do zastosowania (nieobecność przeciwwskazań) chemioterapia wielolekowa według schematu FOLFIRI</w:t>
            </w:r>
            <w:r w:rsidR="00EC3898" w:rsidRPr="00EB778D">
              <w:rPr>
                <w:color w:val="000000" w:themeColor="text1"/>
                <w:sz w:val="20"/>
                <w:szCs w:val="20"/>
              </w:rPr>
              <w:t xml:space="preserve"> lub FOLFOX</w:t>
            </w:r>
            <w:r w:rsidRPr="00EB778D">
              <w:rPr>
                <w:color w:val="000000" w:themeColor="text1"/>
                <w:sz w:val="20"/>
                <w:szCs w:val="20"/>
              </w:rPr>
              <w:t>;</w:t>
            </w:r>
          </w:p>
          <w:p w14:paraId="1D130F60" w14:textId="0815B31E" w:rsidR="00AC568E" w:rsidRPr="00EB778D" w:rsidRDefault="0074778E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  <w:lang w:eastAsia="en-US"/>
              </w:rPr>
              <w:t>12-miesięczny odstęp od zakończenia uzupełniającej chemioterapii pooperacyjnej zawierającej oksaliplatynę</w:t>
            </w:r>
            <w:r w:rsidR="00AC568E" w:rsidRPr="00EB778D">
              <w:rPr>
                <w:color w:val="000000" w:themeColor="text1"/>
                <w:sz w:val="20"/>
                <w:szCs w:val="20"/>
                <w:lang w:eastAsia="en-US"/>
              </w:rPr>
              <w:t xml:space="preserve"> – dotyczy jedynie</w:t>
            </w:r>
            <w:r w:rsidR="002769B0" w:rsidRPr="00EB778D">
              <w:rPr>
                <w:color w:val="000000" w:themeColor="text1"/>
                <w:sz w:val="20"/>
                <w:szCs w:val="20"/>
                <w:lang w:eastAsia="en-US"/>
              </w:rPr>
              <w:t xml:space="preserve"> skojarzenia cetuksymabu z chemioterapią według schematu FOLFOX</w:t>
            </w:r>
            <w:r w:rsidRPr="00EB778D">
              <w:rPr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14:paraId="503B30AE" w14:textId="7365A25F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wykluczenie ciąży;</w:t>
            </w:r>
          </w:p>
          <w:p w14:paraId="09C75423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3EF37CC9" w14:textId="77777777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przeciwwskazania do zastosowania cetuksymabu – niżej wymienione – nieobecne:</w:t>
            </w:r>
          </w:p>
          <w:p w14:paraId="1E06FC18" w14:textId="77777777" w:rsidR="00744684" w:rsidRPr="00EB778D" w:rsidRDefault="00744684" w:rsidP="00EB778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włóknienie płuc lub śródmiąższowe zapalenia płuc,</w:t>
            </w:r>
          </w:p>
          <w:p w14:paraId="0D01ECBA" w14:textId="77777777" w:rsidR="00744684" w:rsidRPr="00EB778D" w:rsidRDefault="00744684" w:rsidP="00EB778D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nadwrażliwość na każdą substancję pomocniczą.</w:t>
            </w:r>
          </w:p>
          <w:p w14:paraId="1DE36467" w14:textId="1DD0A4DB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Wymagane jest spełnienie wszystkich kryteriów wymienionych wyżej (</w:t>
            </w:r>
            <w:r w:rsidRPr="00EB778D">
              <w:rPr>
                <w:color w:val="000000" w:themeColor="text1"/>
                <w:sz w:val="20"/>
                <w:szCs w:val="20"/>
                <w:u w:val="single"/>
              </w:rPr>
              <w:t xml:space="preserve">w przypadku niespełnienia kryteriów – chemioterapia wielolekowa lub jednolekowa bez cetuksymabu </w:t>
            </w:r>
            <w:r w:rsidRPr="00EB778D">
              <w:rPr>
                <w:color w:val="000000" w:themeColor="text1"/>
                <w:sz w:val="20"/>
                <w:szCs w:val="20"/>
              </w:rPr>
              <w:t>).</w:t>
            </w:r>
          </w:p>
          <w:p w14:paraId="68512C70" w14:textId="77777777" w:rsidR="00B2755F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78F8C2D" w14:textId="77777777" w:rsidR="00744684" w:rsidRPr="00EB778D" w:rsidRDefault="00744684" w:rsidP="00EB77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Określenie czasu leczenia</w:t>
            </w:r>
          </w:p>
          <w:p w14:paraId="19015C23" w14:textId="05B182A4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Do czasu podjęcia decyzji o zakończeniu leczenia zgodnie z kryteriami wyłączenia.</w:t>
            </w:r>
          </w:p>
          <w:p w14:paraId="05ED7ECF" w14:textId="77777777" w:rsidR="00B2755F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438709F" w14:textId="77777777" w:rsidR="00744684" w:rsidRPr="00EB778D" w:rsidRDefault="00744684" w:rsidP="00EB778D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wyłączenia z programu</w:t>
            </w:r>
          </w:p>
          <w:p w14:paraId="64456FA8" w14:textId="77777777" w:rsidR="00744684" w:rsidRPr="00EB778D" w:rsidRDefault="00744684" w:rsidP="00EB778D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objawy nadwrażliwości na cetuksymab lub jakikolwiek składnik chemioterapii;</w:t>
            </w:r>
          </w:p>
          <w:p w14:paraId="56D96F73" w14:textId="77777777" w:rsidR="00744684" w:rsidRPr="00EB778D" w:rsidRDefault="00744684" w:rsidP="00EB778D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progresja choroby w trakcie leczenia;</w:t>
            </w:r>
          </w:p>
          <w:p w14:paraId="6E956C6F" w14:textId="77777777" w:rsidR="00744684" w:rsidRPr="00EB778D" w:rsidRDefault="00744684" w:rsidP="00EB778D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756DE079" w14:textId="77777777" w:rsidR="00744684" w:rsidRPr="00EB778D" w:rsidRDefault="00744684" w:rsidP="00EB778D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włóknienie płuc lub śródmiąższowe zapalenie płuc;</w:t>
            </w:r>
          </w:p>
          <w:p w14:paraId="13496F6E" w14:textId="03268BA4" w:rsidR="00744684" w:rsidRPr="00EB778D" w:rsidRDefault="00744684" w:rsidP="00EB778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utrzymujące się pogorszenie stanu sprawności do stopnia 3. lub 4. według klasyfikacji Zubroda-WHO.</w:t>
            </w:r>
          </w:p>
          <w:p w14:paraId="78C7CE25" w14:textId="77777777" w:rsidR="00B2755F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34490FA" w14:textId="50B13717" w:rsidR="00744684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II.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Leczenie pierwszej linii chorych na zaawansowanego raka jelita grubego z wykorzystaniem substancji czynnej bewacyzumab</w:t>
            </w:r>
          </w:p>
          <w:p w14:paraId="787A7B44" w14:textId="77777777" w:rsidR="00744684" w:rsidRPr="00EB778D" w:rsidRDefault="00744684" w:rsidP="00EB77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kwalifikowania</w:t>
            </w:r>
          </w:p>
          <w:p w14:paraId="0DD7E59B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histologicznie potwierdzony rak jelita grubego;</w:t>
            </w:r>
          </w:p>
          <w:p w14:paraId="2E902621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uogólnienie nowotworu (IV stopień zaawansowania);</w:t>
            </w:r>
          </w:p>
          <w:p w14:paraId="6B138A04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niemożliwe radykalne leczenie operacyjne;</w:t>
            </w:r>
          </w:p>
          <w:p w14:paraId="67A2A6F9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brak wcześniejszego leczenia systemowego z powodu choroby przerzutowej;</w:t>
            </w:r>
          </w:p>
          <w:p w14:paraId="65EC9178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wcześniejsze stosowanie chemioterapii uzupełniającej z oksaliplatyną – w przypadku stosowania bewacyzumabu w skojarzeniu z chemioterapią FOLFIRI;</w:t>
            </w:r>
          </w:p>
          <w:p w14:paraId="3F95A1D4" w14:textId="2FD9ED32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bookmarkStart w:id="0" w:name="_Hlk47597865"/>
            <w:r w:rsidRPr="00EB778D">
              <w:rPr>
                <w:color w:val="000000" w:themeColor="text1"/>
                <w:sz w:val="20"/>
                <w:szCs w:val="20"/>
              </w:rPr>
              <w:t xml:space="preserve">potwierdzona obecność mutacji aktywującej genu KRAS lub NRAS (w jednym z eksonów 2.,3. lub 4.) w przypadku </w:t>
            </w:r>
            <w:bookmarkEnd w:id="0"/>
            <w:r w:rsidRPr="00EB778D">
              <w:rPr>
                <w:color w:val="000000" w:themeColor="text1"/>
                <w:sz w:val="20"/>
                <w:szCs w:val="20"/>
              </w:rPr>
              <w:t>stosowania bewacyzumabu w skojarzeniu z chemioter</w:t>
            </w:r>
            <w:r w:rsidR="00405CAB"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z w:val="20"/>
                <w:szCs w:val="20"/>
              </w:rPr>
              <w:t>pią FOLFIRI;</w:t>
            </w:r>
          </w:p>
          <w:p w14:paraId="6A6E17CE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możliwa ocena odpowiedzi na leczenie zmian nowotworowych według klasyfikacji RECIST;</w:t>
            </w:r>
          </w:p>
          <w:p w14:paraId="1C943937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 sprawności w stopniach 0-1według klasyfikacji Zubroda-WHO;</w:t>
            </w:r>
          </w:p>
          <w:p w14:paraId="7D63C4B9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wiek powyżej 18. roku życia;</w:t>
            </w:r>
          </w:p>
          <w:p w14:paraId="777EF3ED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wyniki badania morfologii krwi z rozmazem:</w:t>
            </w:r>
          </w:p>
          <w:p w14:paraId="5C60BBB7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liczba płytek krwi większa lub równa 1,5 x10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EB778D">
              <w:rPr>
                <w:color w:val="000000" w:themeColor="text1"/>
                <w:sz w:val="20"/>
                <w:szCs w:val="20"/>
              </w:rPr>
              <w:t>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>,</w:t>
            </w:r>
          </w:p>
          <w:p w14:paraId="060E35A0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bezwzględna liczba neutrofilów większa lub równa 1500/mm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>,</w:t>
            </w:r>
          </w:p>
          <w:p w14:paraId="6A2BDBF1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hemoglobiny większe lub równe 10,0 g/dl;</w:t>
            </w:r>
          </w:p>
          <w:p w14:paraId="2FA19BD2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wskaźniki czynności wątroby i nerek:</w:t>
            </w:r>
          </w:p>
          <w:p w14:paraId="65E39703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6725321E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aktywność transaminaz (alaninowej i asparaginowej) w surowicy nieprzekraczająca 5-krotnie górnej granicy normy,</w:t>
            </w:r>
          </w:p>
          <w:p w14:paraId="1900958C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kreatyniny w granicach normy;</w:t>
            </w:r>
          </w:p>
          <w:p w14:paraId="4675DDDF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możliwa do zastosowania (nieobecność przeciwwskazań) chemioterapia wielolekowa według schematu FOLFIRI;</w:t>
            </w:r>
          </w:p>
          <w:p w14:paraId="32CD8ED3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wykluczenie ciąży;</w:t>
            </w:r>
          </w:p>
          <w:p w14:paraId="12ED1430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2C2C3F9E" w14:textId="77777777" w:rsidR="00744684" w:rsidRPr="00EB778D" w:rsidRDefault="00744684" w:rsidP="00EB778D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przeciwwskazania do zastosowania bewacyzumabu – niżej wymienione – nieobecne:</w:t>
            </w:r>
          </w:p>
          <w:p w14:paraId="3891637F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nieusunięta pierwotna zmiana nowotworowa w jelicie grubym (chorzy kwalifikowani do leczenia bewacyzumabem muszą mieć wykonaną resekcję pierwotnej zmiany w jelicie grubym),</w:t>
            </w:r>
          </w:p>
          <w:p w14:paraId="3CA2C379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czynna choroba wrzodowa żołądka lub dwunastnicy,</w:t>
            </w:r>
          </w:p>
          <w:p w14:paraId="4B31C59C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niestabilne nadciśnienie tętnicze,</w:t>
            </w:r>
          </w:p>
          <w:p w14:paraId="4F76C48B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niestabilna choroba niedokrwienna serca,</w:t>
            </w:r>
          </w:p>
          <w:p w14:paraId="1A5EDE4B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naczyniowe choroby ośrodkowego układu nerwowego w wywiadzie,</w:t>
            </w:r>
          </w:p>
          <w:p w14:paraId="448295E6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wrodzona skaza krwotoczna lub nabyta koagulopatia,</w:t>
            </w:r>
          </w:p>
          <w:p w14:paraId="60BD6A4D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stany chorobowe przebiegające ze zwiększonym ryzykiem krwawień,</w:t>
            </w:r>
          </w:p>
          <w:p w14:paraId="5DA3EC54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stosowanie leków przeciwkrzepliwych lub antyagregacyjnych (dopuszczalne jest podawanie heparyny drobnocząsteczkowej w dawce profilaktycznej),</w:t>
            </w:r>
          </w:p>
          <w:p w14:paraId="74AE42FB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niegojące się rany,</w:t>
            </w:r>
          </w:p>
          <w:p w14:paraId="5C4C89AC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zabieg operacyjny przebyty w ciągu mniej niż 4 tygodni od momentu kwalifikacji do leczenia,</w:t>
            </w:r>
          </w:p>
          <w:p w14:paraId="7F4A7A4D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białkomocz (z wyjątkiem stopnia 1 wg CTCAE),</w:t>
            </w:r>
          </w:p>
          <w:p w14:paraId="6742CE9C" w14:textId="77777777" w:rsidR="00744684" w:rsidRPr="00EB778D" w:rsidRDefault="00744684" w:rsidP="00EB778D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alergia na lek lub którąkolwiek z substancji pomocniczych.</w:t>
            </w:r>
          </w:p>
          <w:p w14:paraId="08FD3395" w14:textId="34EF55AA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Wymagane jest spełnienie wszystkich kryteriów wymienionych wyżej (</w:t>
            </w:r>
            <w:r w:rsidRPr="00EB778D">
              <w:rPr>
                <w:color w:val="000000" w:themeColor="text1"/>
                <w:sz w:val="20"/>
                <w:szCs w:val="20"/>
                <w:u w:val="single"/>
              </w:rPr>
              <w:t>w przypadku niespełnienia kryteriów – chemioterapia wielolekowa lub jednolekowa bez bewacyzumabu</w:t>
            </w:r>
            <w:r w:rsidRPr="00EB778D">
              <w:rPr>
                <w:color w:val="000000" w:themeColor="text1"/>
                <w:sz w:val="20"/>
                <w:szCs w:val="20"/>
              </w:rPr>
              <w:t>).</w:t>
            </w:r>
          </w:p>
          <w:p w14:paraId="5CB62BFB" w14:textId="77777777" w:rsidR="00B2755F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B086BC" w14:textId="77777777" w:rsidR="00744684" w:rsidRPr="00EB778D" w:rsidRDefault="00744684" w:rsidP="00EB77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Określenie czasu leczenia</w:t>
            </w:r>
          </w:p>
          <w:p w14:paraId="332DCF90" w14:textId="2EB88EBD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Do czasu podjęcia decyzji o zakończeniu leczenia zgodnie z kryteriami wyłączenia.</w:t>
            </w:r>
          </w:p>
          <w:p w14:paraId="7948C724" w14:textId="77777777" w:rsidR="00B2755F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F808520" w14:textId="77777777" w:rsidR="00744684" w:rsidRPr="00EB778D" w:rsidRDefault="00744684" w:rsidP="00EB778D">
            <w:pPr>
              <w:numPr>
                <w:ilvl w:val="0"/>
                <w:numId w:val="2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wyłączenia z programu</w:t>
            </w:r>
          </w:p>
          <w:p w14:paraId="00801736" w14:textId="77777777" w:rsidR="00744684" w:rsidRPr="00EB778D" w:rsidRDefault="00744684" w:rsidP="00EB778D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objawy nadwrażliwości na bewacyzumab lub jakikolwiek składnik chemioterapii;</w:t>
            </w:r>
          </w:p>
          <w:p w14:paraId="4D072C63" w14:textId="77777777" w:rsidR="00744684" w:rsidRPr="00EB778D" w:rsidRDefault="00744684" w:rsidP="00EB778D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progresja choroby w trakcie leczenia;</w:t>
            </w:r>
          </w:p>
          <w:p w14:paraId="273EAD88" w14:textId="77777777" w:rsidR="00744684" w:rsidRPr="00EB778D" w:rsidRDefault="00744684" w:rsidP="00EB778D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długotrwałe i istotne klinicznie działania niepożądane w stopniu równym lub większym niż 3. według klasyfikacji WHO;</w:t>
            </w:r>
          </w:p>
          <w:p w14:paraId="2A93F800" w14:textId="77777777" w:rsidR="00744684" w:rsidRPr="00EB778D" w:rsidRDefault="00744684" w:rsidP="00EB778D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utrzymujący się białkomocz stopnia co najmniej 2. wg CTCAE;</w:t>
            </w:r>
          </w:p>
          <w:p w14:paraId="099DD751" w14:textId="780CB227" w:rsidR="00744684" w:rsidRPr="00EB778D" w:rsidRDefault="00744684" w:rsidP="00EB778D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utrzymujące się pogorszenie stanu sprawności do stopnia 3. lub 4. według klasyfikacji Zubroda-WHO.</w:t>
            </w:r>
          </w:p>
          <w:p w14:paraId="1A1B6899" w14:textId="77777777" w:rsidR="00B2755F" w:rsidRPr="00EB778D" w:rsidRDefault="00B2755F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87F5D0F" w14:textId="07539A75" w:rsidR="00E751B0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III. </w:t>
            </w:r>
            <w:r w:rsidR="00E751B0" w:rsidRPr="00EB778D">
              <w:rPr>
                <w:b/>
                <w:color w:val="000000" w:themeColor="text1"/>
                <w:sz w:val="20"/>
                <w:szCs w:val="20"/>
              </w:rPr>
              <w:t>Leczenie pierwszej linii chorych na zaawansowanego raka jelita grubego z wykorzystaniem substancji czynnej</w:t>
            </w:r>
            <w:r w:rsidR="003572AF" w:rsidRPr="00EB77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751B0" w:rsidRPr="00EB778D">
              <w:rPr>
                <w:b/>
                <w:color w:val="000000" w:themeColor="text1"/>
                <w:sz w:val="20"/>
                <w:szCs w:val="20"/>
              </w:rPr>
              <w:t xml:space="preserve">panitumumab w skojarzeniu z chemioterapią według schematu </w:t>
            </w:r>
            <w:r w:rsidR="0025290F" w:rsidRPr="00EB778D">
              <w:rPr>
                <w:b/>
                <w:color w:val="000000" w:themeColor="text1"/>
                <w:sz w:val="20"/>
                <w:szCs w:val="20"/>
              </w:rPr>
              <w:t>FOLFIRI</w:t>
            </w:r>
          </w:p>
          <w:p w14:paraId="30620F07" w14:textId="77777777" w:rsidR="00BE06EC" w:rsidRPr="00EB778D" w:rsidRDefault="00BE06EC" w:rsidP="00EB77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kwalifikowania</w:t>
            </w:r>
          </w:p>
          <w:p w14:paraId="3CE75CE7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histologicznie potwierdzony rak jelita grubego;</w:t>
            </w:r>
          </w:p>
          <w:p w14:paraId="12E3F033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uogólnienie nowotworu (IV stopień zaawansowania);</w:t>
            </w:r>
          </w:p>
          <w:p w14:paraId="4D8285AE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niemożliwe radykalne leczenie operacyjne;</w:t>
            </w:r>
          </w:p>
          <w:p w14:paraId="234F440C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brak wcześniejszego leczenia systemowego z powodu choroby przerzutowej;</w:t>
            </w:r>
          </w:p>
          <w:p w14:paraId="32F2400D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nieobecne mutacje w genach KRAS i NRAS (wykluczenie mutacji w eksonach 2., 3. i 4. obu genów) oraz nieobecna mutacja w genie BRAF V600E;</w:t>
            </w:r>
          </w:p>
          <w:p w14:paraId="128FF556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możliwa ocena odpowiedzi na leczenie zmian nowotworowych według klasyfikacji RECIST;</w:t>
            </w:r>
          </w:p>
          <w:p w14:paraId="37C3AA14" w14:textId="65A3EB5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 sprawności w stopniach 0-1</w:t>
            </w:r>
            <w:r w:rsidR="00F579BF" w:rsidRPr="00EB77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>według klasyfikacji Zubroda-WHO;</w:t>
            </w:r>
          </w:p>
          <w:p w14:paraId="68607FD4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wiek powyżej 18. roku życia;</w:t>
            </w:r>
          </w:p>
          <w:p w14:paraId="5914DB8E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wyniki badania morfologii krwi z rozmazem:</w:t>
            </w:r>
          </w:p>
          <w:p w14:paraId="1037B3E0" w14:textId="77777777" w:rsidR="00BE06EC" w:rsidRPr="00EB778D" w:rsidRDefault="00BE06EC" w:rsidP="00EB778D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liczba płytek krwi większa lub równa 1,5 x10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EB778D">
              <w:rPr>
                <w:color w:val="000000" w:themeColor="text1"/>
                <w:sz w:val="20"/>
                <w:szCs w:val="20"/>
              </w:rPr>
              <w:t>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43FC5152" w14:textId="5C88576C" w:rsidR="00BE06EC" w:rsidRPr="00EB778D" w:rsidRDefault="00BE06EC" w:rsidP="00EB778D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bezwzględna liczba neutrofilów większa lub równa</w:t>
            </w:r>
            <w:r w:rsidR="00F579BF" w:rsidRPr="00EB77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>1500/mm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>,</w:t>
            </w:r>
          </w:p>
          <w:p w14:paraId="41C8926D" w14:textId="758EBCDF" w:rsidR="00BE06EC" w:rsidRPr="00EB778D" w:rsidRDefault="00BE06EC" w:rsidP="00EB778D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hemoglobiny większe lub równe</w:t>
            </w:r>
            <w:r w:rsidR="00F579BF" w:rsidRPr="00EB77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10,0 g/dl; </w:t>
            </w:r>
          </w:p>
          <w:p w14:paraId="46A63F0E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wskaźniki czynności wątroby i nerek:</w:t>
            </w:r>
          </w:p>
          <w:p w14:paraId="72CDE5A8" w14:textId="77777777" w:rsidR="00BE06EC" w:rsidRPr="00EB778D" w:rsidRDefault="00BE06EC" w:rsidP="00EB778D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5FF05B9C" w14:textId="77777777" w:rsidR="00BE06EC" w:rsidRPr="00EB778D" w:rsidRDefault="00BE06EC" w:rsidP="00EB778D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22F759FF" w14:textId="77777777" w:rsidR="00BE06EC" w:rsidRPr="00EB778D" w:rsidRDefault="00BE06EC" w:rsidP="00EB778D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kreatyniny nieprzekraczające 1,5-krotnie górnej granicy normy;</w:t>
            </w:r>
          </w:p>
          <w:p w14:paraId="06445BD0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możliwa do zastosowania (nieobecność przeciwwskazań) chemioterapia wielolekowa według schematu FOLFIRI;</w:t>
            </w:r>
          </w:p>
          <w:p w14:paraId="7712BE54" w14:textId="77777777" w:rsidR="0074778E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wykluczenie ciąży;</w:t>
            </w:r>
          </w:p>
          <w:p w14:paraId="46FDEFC4" w14:textId="77777777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16E41CD4" w14:textId="1EEE5963" w:rsidR="00BE06EC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przeciwwskazania do zastosowania </w:t>
            </w:r>
            <w:r w:rsidR="00F579BF" w:rsidRPr="00EB778D">
              <w:rPr>
                <w:color w:val="000000" w:themeColor="text1"/>
                <w:sz w:val="20"/>
                <w:szCs w:val="20"/>
              </w:rPr>
              <w:t xml:space="preserve">panitumumabu </w:t>
            </w:r>
            <w:r w:rsidRPr="00EB778D">
              <w:rPr>
                <w:color w:val="000000" w:themeColor="text1"/>
                <w:sz w:val="20"/>
                <w:szCs w:val="20"/>
              </w:rPr>
              <w:t>– niżej wymienione – nieobecne:</w:t>
            </w:r>
          </w:p>
          <w:p w14:paraId="4832B6B3" w14:textId="77777777" w:rsidR="00BE06EC" w:rsidRPr="00EB778D" w:rsidRDefault="00BE06EC" w:rsidP="00EB778D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włóknienie płuc lub śródmiąższowe zapalenia płuc,</w:t>
            </w:r>
          </w:p>
          <w:p w14:paraId="5C97C805" w14:textId="77777777" w:rsidR="00BE06EC" w:rsidRPr="00EB778D" w:rsidRDefault="00BE06EC" w:rsidP="00EB778D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nadwrażliwość na każdą substancję pomocniczą.</w:t>
            </w:r>
          </w:p>
          <w:p w14:paraId="45E13D3C" w14:textId="51A1DA92" w:rsidR="00BE06EC" w:rsidRPr="00EB778D" w:rsidRDefault="00BE06EC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Wymagane jest spełnienie wszystkich kryteriów wymienionych wyżej (</w:t>
            </w:r>
            <w:r w:rsidRPr="00EB778D">
              <w:rPr>
                <w:color w:val="000000" w:themeColor="text1"/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r w:rsidR="00F579BF" w:rsidRPr="00EB778D">
              <w:rPr>
                <w:color w:val="000000" w:themeColor="text1"/>
                <w:sz w:val="20"/>
                <w:szCs w:val="20"/>
                <w:u w:val="single"/>
              </w:rPr>
              <w:t>panitumumabu</w:t>
            </w:r>
            <w:r w:rsidRPr="00EB778D">
              <w:rPr>
                <w:color w:val="000000" w:themeColor="text1"/>
                <w:sz w:val="20"/>
                <w:szCs w:val="20"/>
              </w:rPr>
              <w:t>).</w:t>
            </w:r>
          </w:p>
          <w:p w14:paraId="494B048E" w14:textId="77777777" w:rsidR="00B2755F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F70355" w14:textId="77777777" w:rsidR="00BE06EC" w:rsidRPr="00EB778D" w:rsidRDefault="00BE06EC" w:rsidP="00EB778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Określenie czasu leczenia</w:t>
            </w:r>
          </w:p>
          <w:p w14:paraId="5B47BA3B" w14:textId="2C817CF4" w:rsidR="00BE06EC" w:rsidRPr="00EB778D" w:rsidRDefault="00BE06EC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Do czasu podjęcia decyzji o zakończeniu leczenia zgodnie z kryteriami wyłączenia.</w:t>
            </w:r>
          </w:p>
          <w:p w14:paraId="7EA36205" w14:textId="77777777" w:rsidR="00B2755F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9C04811" w14:textId="77777777" w:rsidR="00BE06EC" w:rsidRPr="00EB778D" w:rsidRDefault="00BE06EC" w:rsidP="00EB778D">
            <w:pPr>
              <w:numPr>
                <w:ilvl w:val="0"/>
                <w:numId w:val="3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wyłączenia z programu</w:t>
            </w:r>
          </w:p>
          <w:p w14:paraId="10999DD4" w14:textId="7C0D8CFC" w:rsidR="00BE06EC" w:rsidRPr="00EB778D" w:rsidRDefault="00BE06EC" w:rsidP="00EB778D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objawy nadwrażliwości na </w:t>
            </w:r>
            <w:r w:rsidR="00F579BF" w:rsidRPr="00EB778D">
              <w:rPr>
                <w:color w:val="000000" w:themeColor="text1"/>
                <w:sz w:val="20"/>
                <w:szCs w:val="20"/>
              </w:rPr>
              <w:t xml:space="preserve">panitumumab </w:t>
            </w:r>
            <w:r w:rsidRPr="00EB778D">
              <w:rPr>
                <w:color w:val="000000" w:themeColor="text1"/>
                <w:sz w:val="20"/>
                <w:szCs w:val="20"/>
              </w:rPr>
              <w:t>lub jakikolwiek składnik chemioterapii;</w:t>
            </w:r>
          </w:p>
          <w:p w14:paraId="704885D6" w14:textId="77777777" w:rsidR="00BE06EC" w:rsidRPr="00EB778D" w:rsidRDefault="00BE06EC" w:rsidP="00EB778D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progresja choroby w trakcie leczenia;</w:t>
            </w:r>
          </w:p>
          <w:p w14:paraId="294348F2" w14:textId="77777777" w:rsidR="00BE06EC" w:rsidRPr="00EB778D" w:rsidRDefault="00BE06EC" w:rsidP="00EB778D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117FAE69" w14:textId="77777777" w:rsidR="00F579BF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włóknienie płuc lub śródmiąższowe zapalenie płuc;</w:t>
            </w:r>
          </w:p>
          <w:p w14:paraId="67ADB833" w14:textId="5CF461A9" w:rsidR="00E751B0" w:rsidRPr="00EB778D" w:rsidRDefault="00BE06EC" w:rsidP="00EB778D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utrzymujące się pogorszenie stanu sprawności do stopnia 3. lub 4. według klasyfikacji Zubroda-WHO</w:t>
            </w:r>
            <w:r w:rsidR="00F579BF" w:rsidRPr="00EB778D">
              <w:rPr>
                <w:color w:val="000000" w:themeColor="text1"/>
                <w:sz w:val="20"/>
                <w:szCs w:val="20"/>
              </w:rPr>
              <w:t>.</w:t>
            </w:r>
          </w:p>
          <w:p w14:paraId="26537660" w14:textId="77777777" w:rsidR="00B2755F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75A0490" w14:textId="02118048" w:rsidR="00744684" w:rsidRPr="00EB778D" w:rsidRDefault="00B2755F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IV.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Leczenie pierwszej linii chorych na zaawansowanego raka jelita grubego z wykorzystaniem substancji czynnej panitumumab</w:t>
            </w:r>
            <w:r w:rsidR="00CF687B" w:rsidRPr="00EB778D">
              <w:rPr>
                <w:b/>
                <w:color w:val="000000" w:themeColor="text1"/>
                <w:sz w:val="20"/>
                <w:szCs w:val="20"/>
              </w:rPr>
              <w:t xml:space="preserve"> w skojarzeniu z chemioterapią według</w:t>
            </w:r>
            <w:r w:rsidR="00E751B0" w:rsidRPr="00EB77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687B" w:rsidRPr="00EB778D">
              <w:rPr>
                <w:b/>
                <w:color w:val="000000" w:themeColor="text1"/>
                <w:sz w:val="20"/>
                <w:szCs w:val="20"/>
              </w:rPr>
              <w:t>schematu FOLFOX</w:t>
            </w:r>
          </w:p>
          <w:p w14:paraId="236DBC64" w14:textId="77777777" w:rsidR="00744684" w:rsidRPr="00EB778D" w:rsidRDefault="00744684" w:rsidP="00EB77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kwalifikowania</w:t>
            </w:r>
          </w:p>
          <w:p w14:paraId="43E10505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histologicznie potwierdzony rak jelita grubego;</w:t>
            </w:r>
          </w:p>
          <w:p w14:paraId="2A8A6F9A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uogólnienie nowotworu (IV stopień zaawansowania);</w:t>
            </w:r>
          </w:p>
          <w:p w14:paraId="1BE8382C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niemożliwe radykalne leczenie operacyjne;</w:t>
            </w:r>
          </w:p>
          <w:p w14:paraId="36BF9F91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brak wcześniejszego leczenia systemowego z powodu choroby przerzutowej;</w:t>
            </w:r>
          </w:p>
          <w:p w14:paraId="70593E43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nieobecne mutacje w genach KRAS i NRAS (wykluczenie mutacji w eksonach 2., 3. i 4. obu genów) oraz nieobecna mutacja BRAF V600E;</w:t>
            </w:r>
          </w:p>
          <w:p w14:paraId="2AB68036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możliwa ocena odpowiedzi na leczenie zmian nowotworowych według klasyfikacji RECIST;</w:t>
            </w:r>
          </w:p>
          <w:p w14:paraId="36615270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 sprawności w stopniach 0-1według klasyfikacji Zubroda-WHO;</w:t>
            </w:r>
          </w:p>
          <w:p w14:paraId="4EA45CB7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wiek powyżej 18. roku życia;</w:t>
            </w:r>
          </w:p>
          <w:p w14:paraId="1285C401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wyniki badania morfologii krwi z rozmazem:</w:t>
            </w:r>
          </w:p>
          <w:p w14:paraId="30BD26F1" w14:textId="77777777" w:rsidR="00744684" w:rsidRPr="00EB778D" w:rsidRDefault="00744684" w:rsidP="00EB778D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liczba płytek krwi większa lub równa 1,5 x10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EB778D">
              <w:rPr>
                <w:color w:val="000000" w:themeColor="text1"/>
                <w:sz w:val="20"/>
                <w:szCs w:val="20"/>
              </w:rPr>
              <w:t>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38BB774" w14:textId="77777777" w:rsidR="00744684" w:rsidRPr="00EB778D" w:rsidRDefault="00744684" w:rsidP="00EB778D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bezwzględna liczba neutrofilów większa lub równa1500/mm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>,</w:t>
            </w:r>
          </w:p>
          <w:p w14:paraId="0209B70F" w14:textId="77777777" w:rsidR="00744684" w:rsidRPr="00EB778D" w:rsidRDefault="00744684" w:rsidP="00EB778D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stężenie hemoglobiny większe lub równe10,0 g/dl; </w:t>
            </w:r>
          </w:p>
          <w:p w14:paraId="49C06CBA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wskaźniki czynności wątroby i nerek:</w:t>
            </w:r>
          </w:p>
          <w:p w14:paraId="7617F0D7" w14:textId="77777777" w:rsidR="00744684" w:rsidRPr="00EB778D" w:rsidRDefault="00744684" w:rsidP="00EB778D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0F7F4DB6" w14:textId="77777777" w:rsidR="00744684" w:rsidRPr="00EB778D" w:rsidRDefault="00744684" w:rsidP="00EB778D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21D4FE49" w14:textId="77777777" w:rsidR="00744684" w:rsidRPr="00EB778D" w:rsidRDefault="00744684" w:rsidP="00EB778D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kreatyniny nieprzekraczające 1,5-krotnie górnej granicy normy;</w:t>
            </w:r>
          </w:p>
          <w:p w14:paraId="032BEEB8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możliwa do zastosowania (nieobecność przeciwwskazań) chemioterapia wielolekowa według schematu FOLFOX;</w:t>
            </w:r>
          </w:p>
          <w:p w14:paraId="756301FB" w14:textId="6F441AE3" w:rsidR="0074778E" w:rsidRPr="00EB778D" w:rsidRDefault="0074778E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  <w:lang w:eastAsia="en-US"/>
              </w:rPr>
              <w:t>12-miesięczny odstęp od zakończenia uzupełniającej chemioterapii pooperacyjnej zawierającej oksaliplatynę;</w:t>
            </w:r>
          </w:p>
          <w:p w14:paraId="72A59833" w14:textId="0E9E9912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wykluczenie ciąży;</w:t>
            </w:r>
          </w:p>
          <w:p w14:paraId="55CCD95B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2EBB6994" w14:textId="77777777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przeciwwskazania do zastosowania panitumumabu – niżej wymienione – nieobecne:</w:t>
            </w:r>
          </w:p>
          <w:p w14:paraId="66CE0D5C" w14:textId="77777777" w:rsidR="00744684" w:rsidRPr="00EB778D" w:rsidRDefault="00744684" w:rsidP="00EB778D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włóknienie płuc lub śródmiąższowe zapalenia płuc,</w:t>
            </w:r>
          </w:p>
          <w:p w14:paraId="09E35DEA" w14:textId="77777777" w:rsidR="00744684" w:rsidRPr="00EB778D" w:rsidRDefault="00744684" w:rsidP="00EB778D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nadwrażliwość na każdą substancję pomocniczą.</w:t>
            </w:r>
          </w:p>
          <w:p w14:paraId="7296852A" w14:textId="0814F9F8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Wymagane jest spełnienie wszystkich kryteriów wymienionych wyżej (</w:t>
            </w:r>
            <w:r w:rsidRPr="00EB778D">
              <w:rPr>
                <w:color w:val="000000" w:themeColor="text1"/>
                <w:sz w:val="20"/>
                <w:szCs w:val="20"/>
                <w:u w:val="single"/>
              </w:rPr>
              <w:t>w przypadku niespełnienia kryteriów – chemioterapia wielolekowa lub jednolekowa bez panitumumabu</w:t>
            </w:r>
            <w:r w:rsidRPr="00EB778D">
              <w:rPr>
                <w:color w:val="000000" w:themeColor="text1"/>
                <w:sz w:val="20"/>
                <w:szCs w:val="20"/>
              </w:rPr>
              <w:t>).</w:t>
            </w:r>
          </w:p>
          <w:p w14:paraId="27C659D7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37F8E14" w14:textId="77777777" w:rsidR="00744684" w:rsidRPr="00EB778D" w:rsidRDefault="00744684" w:rsidP="00EB77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Określenie czasu leczenia</w:t>
            </w:r>
          </w:p>
          <w:p w14:paraId="1F7A4572" w14:textId="4F3390B5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Do czasu podjęcia decyzji o zakończeniu leczenia zgodnie z kryteriami wyłączenia.</w:t>
            </w:r>
          </w:p>
          <w:p w14:paraId="08433DE8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0C6F863" w14:textId="77777777" w:rsidR="00744684" w:rsidRPr="00EB778D" w:rsidRDefault="00744684" w:rsidP="00EB778D">
            <w:pPr>
              <w:numPr>
                <w:ilvl w:val="0"/>
                <w:numId w:val="4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wyłączenia z programu</w:t>
            </w:r>
          </w:p>
          <w:p w14:paraId="5C33BCDD" w14:textId="77777777" w:rsidR="00744684" w:rsidRPr="00EB778D" w:rsidRDefault="00744684" w:rsidP="00EB778D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objawy nadwrażliwości na panitumumab lub jakikolwiek składnik chemioterapii;</w:t>
            </w:r>
          </w:p>
          <w:p w14:paraId="47E14E64" w14:textId="77777777" w:rsidR="00744684" w:rsidRPr="00EB778D" w:rsidRDefault="00744684" w:rsidP="00EB778D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progresja choroby w trakcie leczenia;</w:t>
            </w:r>
          </w:p>
          <w:p w14:paraId="29891F95" w14:textId="77777777" w:rsidR="00744684" w:rsidRPr="00EB778D" w:rsidRDefault="00744684" w:rsidP="00EB778D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0C8D5506" w14:textId="77777777" w:rsidR="00744684" w:rsidRPr="00EB778D" w:rsidRDefault="00744684" w:rsidP="00EB778D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włóknienie płuc lub śródmiąższowe zapalenie płuc;</w:t>
            </w:r>
          </w:p>
          <w:p w14:paraId="25037C02" w14:textId="16AAB211" w:rsidR="00744684" w:rsidRPr="00EB778D" w:rsidRDefault="00744684" w:rsidP="00EB778D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utrzymujące się pogorszenie stanu sprawności do stopnia 3. lub 4. według klasyfikacji Zubroda-WHO.</w:t>
            </w:r>
          </w:p>
          <w:p w14:paraId="2D7E0647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1B90E61" w14:textId="01C112BA" w:rsidR="00744684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V.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Leczenie drugiej linii chorych na zaawansowanego raka jelita grubego z wykorzystaniem substancji czynnej bewacyzumab – wyłącznie u chorych, którzy nie otrzymali wymienionego leku podczas pierwszej linii leczenia.</w:t>
            </w:r>
          </w:p>
          <w:p w14:paraId="036954D1" w14:textId="77777777" w:rsidR="00744684" w:rsidRPr="00EB778D" w:rsidRDefault="00744684" w:rsidP="00EB77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bookmarkStart w:id="1" w:name="_Hlk47598061"/>
            <w:r w:rsidRPr="00EB778D">
              <w:rPr>
                <w:color w:val="000000" w:themeColor="text1"/>
                <w:sz w:val="20"/>
                <w:szCs w:val="20"/>
              </w:rPr>
              <w:t xml:space="preserve">Chemioterapia według schematu FOLFOX-4 z bewacyzumabem w przypadku chorych, którzy otrzymali irynotekan w pierwszej linii leczenia zaawansowanego nowotworu. Do leczenia nie mogą być kwalifikowani chorzy, którzy otrzymali oksaliplatynę podczas uzupełniającej chemioterapii pooperacyjnej </w:t>
            </w:r>
            <w:bookmarkEnd w:id="1"/>
            <w:r w:rsidRPr="00EB778D">
              <w:rPr>
                <w:color w:val="000000" w:themeColor="text1"/>
                <w:sz w:val="20"/>
                <w:szCs w:val="20"/>
              </w:rPr>
              <w:t>(kryterium wyłączenia).</w:t>
            </w:r>
          </w:p>
          <w:p w14:paraId="7AE78487" w14:textId="1060E0AD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Kryteria kwalifikowania – stan sprawności w stopniach 0-2 według klasyfikacji Zubroda-WHO oraz typowe dla chemioterapii i umieszczone w punkcie</w:t>
            </w:r>
            <w:r w:rsidR="00F1486A" w:rsidRPr="00EB77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>1. w przypadku stosowania bewacyzumabu w pierwszej linii z wyjątkiem punktów 4), 5), 6), 8) i 12).</w:t>
            </w:r>
          </w:p>
          <w:p w14:paraId="6F981813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ED42E80" w14:textId="77777777" w:rsidR="00744684" w:rsidRPr="00EB778D" w:rsidRDefault="00744684" w:rsidP="00EB77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Określenie czasu leczenia</w:t>
            </w:r>
          </w:p>
          <w:p w14:paraId="4D0896ED" w14:textId="1048CE83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Do czasu podjęcia decyzji o zakończeniu leczenia zgodnie z kryteriami wyłączenia.</w:t>
            </w:r>
          </w:p>
          <w:p w14:paraId="542736E7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92E54D" w14:textId="77777777" w:rsidR="00744684" w:rsidRPr="00EB778D" w:rsidRDefault="00744684" w:rsidP="00EB778D">
            <w:pPr>
              <w:numPr>
                <w:ilvl w:val="0"/>
                <w:numId w:val="5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wyłączenia z programu</w:t>
            </w:r>
          </w:p>
          <w:p w14:paraId="6773A7B1" w14:textId="77777777" w:rsidR="00744684" w:rsidRPr="00EB778D" w:rsidRDefault="00744684" w:rsidP="00EB778D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objawy nadwrażliwości na bewacyzumab lub jakikolwiek składnik chemioterapii;</w:t>
            </w:r>
          </w:p>
          <w:p w14:paraId="5AF520A5" w14:textId="77777777" w:rsidR="00744684" w:rsidRPr="00EB778D" w:rsidRDefault="00744684" w:rsidP="00EB778D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progresja choroby w trakcie leczenia;</w:t>
            </w:r>
          </w:p>
          <w:p w14:paraId="08F230A3" w14:textId="77777777" w:rsidR="00744684" w:rsidRPr="00EB778D" w:rsidRDefault="00744684" w:rsidP="00EB778D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4E4096C2" w14:textId="77777777" w:rsidR="00744684" w:rsidRPr="00EB778D" w:rsidRDefault="00744684" w:rsidP="00EB778D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utrzymujący się białkomocz stopnia co najmniej 2. wg CTCAE;</w:t>
            </w:r>
          </w:p>
          <w:p w14:paraId="1EE47D80" w14:textId="198A0B51" w:rsidR="00744684" w:rsidRPr="00EB778D" w:rsidRDefault="00744684" w:rsidP="00EB778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utrzymujące się pogorszenie stanu sprawności do stopnia 3. lub 4. według klasyfikacji Zubroda-WHO.</w:t>
            </w:r>
          </w:p>
          <w:p w14:paraId="5FE0E257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EAF55FE" w14:textId="45770D46" w:rsidR="00744684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VI.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Leczenie drugiej linii chorych na zaawansowanego raka jelita grubego z wykorzystaniem substancji czynnej aflibercept</w:t>
            </w:r>
          </w:p>
          <w:p w14:paraId="6782B77B" w14:textId="77777777" w:rsidR="00744684" w:rsidRPr="00EB778D" w:rsidRDefault="00744684" w:rsidP="00EB778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kwalifikowania</w:t>
            </w:r>
          </w:p>
          <w:p w14:paraId="1CC5CB18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histologicznie potwierdzony raka jelita grubego;</w:t>
            </w:r>
          </w:p>
          <w:p w14:paraId="6B0D104A" w14:textId="23C1F97B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potwierdzenie uogólnienia nowotworu, tj. obecności przerzutów w narządach odległych na podstawie wyników badań obrazowych;</w:t>
            </w:r>
          </w:p>
          <w:p w14:paraId="6F36C60A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brak możliwości wykonania radykalnej metastazektomii;</w:t>
            </w:r>
          </w:p>
          <w:p w14:paraId="235861D9" w14:textId="73E078F4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udokumentowana nieskuteczność zastosowanej w zaawansowanym stadium chemioterapii pierwszej linii z udziałem fluoropirymidyny i oksaliplatyny;</w:t>
            </w:r>
          </w:p>
          <w:p w14:paraId="10AE912F" w14:textId="058D0E19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niestosowanie wcześniejszego leczenia z wykorzystaniem irynotekanu lub afliberceptu;</w:t>
            </w:r>
          </w:p>
          <w:p w14:paraId="14047944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potwierdzenie obecności zmiany lub zmian nowotworowych umożliwiających ocenę odpowiedzi na leczenie według klasyfikacji RECIST;</w:t>
            </w:r>
          </w:p>
          <w:p w14:paraId="0AACDA3B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 sprawności ogólnej:</w:t>
            </w:r>
          </w:p>
          <w:p w14:paraId="243CC993" w14:textId="4088B1C2" w:rsidR="00744684" w:rsidRPr="00EB778D" w:rsidRDefault="00744684" w:rsidP="00EB778D">
            <w:pPr>
              <w:pStyle w:val="Akapitzlist"/>
              <w:numPr>
                <w:ilvl w:val="4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0 według klasyfikacji Zubroda-WHO i dowolna liczba</w:t>
            </w:r>
            <w:r w:rsidR="009341E7" w:rsidRPr="00EB77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przerzutów w narządach odległych lub </w:t>
            </w:r>
          </w:p>
          <w:p w14:paraId="4B0DD276" w14:textId="5644D6A4" w:rsidR="00744684" w:rsidRPr="00EB778D" w:rsidRDefault="00744684" w:rsidP="00EB778D">
            <w:pPr>
              <w:pStyle w:val="Akapitzlist"/>
              <w:numPr>
                <w:ilvl w:val="4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1 według klasyfikacji Zubroda-WHO i jedna lokalizacją przerzutu w narządach odległych;</w:t>
            </w:r>
          </w:p>
          <w:p w14:paraId="6C4FCC56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wiek powyżej 18. roku życia;</w:t>
            </w:r>
          </w:p>
          <w:p w14:paraId="4C5EE66B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wyniki badania morfologii krwi z rozmazem:</w:t>
            </w:r>
          </w:p>
          <w:p w14:paraId="6FBA755A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liczba płytek krwi większa lub równa 1,5 x 10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EB778D">
              <w:rPr>
                <w:color w:val="000000" w:themeColor="text1"/>
                <w:sz w:val="20"/>
                <w:szCs w:val="20"/>
              </w:rPr>
              <w:t>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5F34FFC5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bezwzględna liczba neutrofili większa lub równa 1500/mm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F450EFF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hemoglobiny większe lub równe 10,0 g/dl;</w:t>
            </w:r>
          </w:p>
          <w:p w14:paraId="675D0BB9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wskaźniki czynności wątroby i nerek: </w:t>
            </w:r>
          </w:p>
          <w:p w14:paraId="7797B629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bilirubiny całkowitej nieprzekraczające 2-krotnie górnej granicy normy (z wyjątkiem chorych z zespołem Gilberta),</w:t>
            </w:r>
          </w:p>
          <w:p w14:paraId="123429B3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 aktywność transaminaz (alaninowej i asparaginowej) w surowicy nieprzekraczająca 5-krotnie górnej granicy normy, </w:t>
            </w:r>
          </w:p>
          <w:p w14:paraId="76307398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kreatyniny w granicach normy;</w:t>
            </w:r>
          </w:p>
          <w:p w14:paraId="3BCF7792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wykluczenie ciąży;</w:t>
            </w:r>
          </w:p>
          <w:p w14:paraId="212ADE81" w14:textId="7A80B88F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nieobecność przerzutów w mózgu (w przypadku objawó</w:t>
            </w:r>
            <w:r w:rsidR="00564A05" w:rsidRPr="00EB778D">
              <w:rPr>
                <w:color w:val="000000" w:themeColor="text1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klinicznych ze strony ośrodkowego układu nerwowego konieczne jest wykluczenie przerzutów na podstawie badania obrazowego);</w:t>
            </w:r>
          </w:p>
          <w:p w14:paraId="04A6B2C4" w14:textId="01D0A6DF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nieobecność przeciwwskazań do chemioterapii według schematu FOLFIRI;</w:t>
            </w:r>
          </w:p>
          <w:p w14:paraId="0A24A9A7" w14:textId="77777777" w:rsidR="00744684" w:rsidRPr="00EB778D" w:rsidRDefault="00744684" w:rsidP="00EB778D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 nieobecność przeciwwskazań do zastosowania afliberceptu, którymi są:</w:t>
            </w:r>
          </w:p>
          <w:p w14:paraId="3B8D11BB" w14:textId="2CE01404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nieusunięta pierwotna zmiana nowotworowa w jelicie grubym (pacjenci kwalifikowani do leczenia afliberceptem muszą mieć wykonaną resekcję pierwotnej zmiany w jelicie grubym),</w:t>
            </w:r>
          </w:p>
          <w:p w14:paraId="2DEE1744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czynna choroba wrzodowa żołądka lub dwunastnicy,</w:t>
            </w:r>
          </w:p>
          <w:p w14:paraId="21FF4780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 poddające się kontroli nadciśnienie tętnicze,</w:t>
            </w:r>
          </w:p>
          <w:p w14:paraId="5966AB07" w14:textId="2B6CA0E4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zastoinowa niewydolność krążenia klasy III lub IV wg NYHA,</w:t>
            </w:r>
          </w:p>
          <w:p w14:paraId="52BC07DB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tętniczy incydent zatorowo-zakrzepowy,</w:t>
            </w:r>
          </w:p>
          <w:p w14:paraId="12862E02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żylne zdarzenie zakrzepowo-zatorowe zagrażające życiu- stopień IV (w tym zatorowość płucna),</w:t>
            </w:r>
          </w:p>
          <w:p w14:paraId="409FC736" w14:textId="77777777" w:rsidR="00744684" w:rsidRPr="00EB778D" w:rsidRDefault="00744684" w:rsidP="00EB778D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choroby naczyniowe ośrodkowego układu nerwowego w wywiadzie,</w:t>
            </w:r>
          </w:p>
          <w:p w14:paraId="4CAA3D34" w14:textId="77777777" w:rsidR="00744684" w:rsidRPr="00EB778D" w:rsidRDefault="00744684" w:rsidP="00EB778D">
            <w:pPr>
              <w:widowControl w:val="0"/>
              <w:numPr>
                <w:ilvl w:val="3"/>
                <w:numId w:val="6"/>
              </w:numPr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rod</w:t>
            </w:r>
            <w:r w:rsidRPr="00EB778D">
              <w:rPr>
                <w:color w:val="000000" w:themeColor="text1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s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r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z w:val="20"/>
                <w:szCs w:val="20"/>
              </w:rPr>
              <w:t>t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l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u</w:t>
            </w:r>
            <w:r w:rsidRPr="00EB778D">
              <w:rPr>
                <w:color w:val="000000" w:themeColor="text1"/>
                <w:sz w:val="20"/>
                <w:szCs w:val="20"/>
              </w:rPr>
              <w:t>b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4"/>
                <w:sz w:val="20"/>
                <w:szCs w:val="20"/>
              </w:rPr>
              <w:t>b</w:t>
            </w:r>
            <w:r w:rsidRPr="00EB778D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EB778D">
              <w:rPr>
                <w:color w:val="000000" w:themeColor="text1"/>
                <w:sz w:val="20"/>
                <w:szCs w:val="20"/>
              </w:rPr>
              <w:t>ta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g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u</w:t>
            </w:r>
            <w:r w:rsidRPr="00EB778D">
              <w:rPr>
                <w:color w:val="000000" w:themeColor="text1"/>
                <w:sz w:val="20"/>
                <w:szCs w:val="20"/>
              </w:rPr>
              <w:t>l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op</w:t>
            </w:r>
            <w:r w:rsidRPr="00EB778D">
              <w:rPr>
                <w:color w:val="000000" w:themeColor="text1"/>
                <w:sz w:val="20"/>
                <w:szCs w:val="20"/>
              </w:rPr>
              <w:t>atia,</w:t>
            </w:r>
          </w:p>
          <w:p w14:paraId="39FAE4E2" w14:textId="01651097" w:rsidR="00744684" w:rsidRPr="00EB778D" w:rsidRDefault="00744684" w:rsidP="00EB778D">
            <w:pPr>
              <w:widowControl w:val="0"/>
              <w:numPr>
                <w:ilvl w:val="3"/>
                <w:numId w:val="6"/>
              </w:numPr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EB778D">
              <w:rPr>
                <w:color w:val="000000" w:themeColor="text1"/>
                <w:sz w:val="20"/>
                <w:szCs w:val="20"/>
              </w:rPr>
              <w:t>ta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y</w:t>
            </w:r>
            <w:r w:rsidRPr="00EB778D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orob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pacing w:val="-5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pr</w:t>
            </w:r>
            <w:r w:rsidRPr="00EB778D">
              <w:rPr>
                <w:color w:val="000000" w:themeColor="text1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eb</w:t>
            </w:r>
            <w:r w:rsidRPr="00EB778D">
              <w:rPr>
                <w:color w:val="000000" w:themeColor="text1"/>
                <w:sz w:val="20"/>
                <w:szCs w:val="20"/>
              </w:rPr>
              <w:t>ie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g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j</w:t>
            </w:r>
            <w:r w:rsidRPr="00EB778D">
              <w:rPr>
                <w:color w:val="000000" w:themeColor="text1"/>
                <w:sz w:val="20"/>
                <w:szCs w:val="20"/>
              </w:rPr>
              <w:t>ą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>ze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pacing w:val="-5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ę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ks</w:t>
            </w:r>
            <w:r w:rsidRPr="00EB778D">
              <w:rPr>
                <w:color w:val="000000" w:themeColor="text1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ony</w:t>
            </w:r>
            <w:r w:rsidRPr="00EB778D">
              <w:rPr>
                <w:color w:val="000000" w:themeColor="text1"/>
                <w:sz w:val="20"/>
                <w:szCs w:val="20"/>
              </w:rPr>
              <w:t>m</w:t>
            </w:r>
            <w:r w:rsidRPr="00EB778D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r</w:t>
            </w:r>
            <w:r w:rsidRPr="00EB778D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y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m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r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ń</w:t>
            </w:r>
            <w:r w:rsidRPr="00EB778D">
              <w:rPr>
                <w:color w:val="000000" w:themeColor="text1"/>
                <w:sz w:val="20"/>
                <w:szCs w:val="20"/>
              </w:rPr>
              <w:t>,</w:t>
            </w:r>
          </w:p>
          <w:p w14:paraId="692B88A4" w14:textId="77777777" w:rsidR="00744684" w:rsidRPr="00EB778D" w:rsidRDefault="00744684" w:rsidP="00EB778D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ie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g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j</w:t>
            </w:r>
            <w:r w:rsidRPr="00EB778D">
              <w:rPr>
                <w:color w:val="000000" w:themeColor="text1"/>
                <w:sz w:val="20"/>
                <w:szCs w:val="20"/>
              </w:rPr>
              <w:t>ą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EB778D">
              <w:rPr>
                <w:color w:val="000000" w:themeColor="text1"/>
                <w:sz w:val="20"/>
                <w:szCs w:val="20"/>
              </w:rPr>
              <w:t>ię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r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EB778D">
              <w:rPr>
                <w:color w:val="000000" w:themeColor="text1"/>
                <w:sz w:val="20"/>
                <w:szCs w:val="20"/>
              </w:rPr>
              <w:t>,</w:t>
            </w:r>
          </w:p>
          <w:p w14:paraId="4625F3EA" w14:textId="77777777" w:rsidR="00744684" w:rsidRPr="00EB778D" w:rsidRDefault="00744684" w:rsidP="00EB778D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zabieg operacyjny przebyty w ciągu mniej niż 4 tygodni 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EB778D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m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t</w:t>
            </w:r>
            <w:r w:rsidRPr="00EB778D">
              <w:rPr>
                <w:color w:val="000000" w:themeColor="text1"/>
                <w:sz w:val="20"/>
                <w:szCs w:val="20"/>
              </w:rPr>
              <w:t>u</w:t>
            </w:r>
            <w:r w:rsidRPr="00EB778D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lastRenderedPageBreak/>
              <w:t>k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z w:val="20"/>
                <w:szCs w:val="20"/>
              </w:rPr>
              <w:t>l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>f</w:t>
            </w:r>
            <w:r w:rsidRPr="00EB778D">
              <w:rPr>
                <w:color w:val="000000" w:themeColor="text1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j</w:t>
            </w:r>
            <w:r w:rsidRPr="00EB778D">
              <w:rPr>
                <w:color w:val="000000" w:themeColor="text1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d</w:t>
            </w:r>
            <w:r w:rsidRPr="00EB778D">
              <w:rPr>
                <w:color w:val="000000" w:themeColor="text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>lec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ia, </w:t>
            </w:r>
          </w:p>
          <w:p w14:paraId="390B26E8" w14:textId="2AD9A01A" w:rsidR="00744684" w:rsidRPr="00EB778D" w:rsidRDefault="00744684" w:rsidP="00EB778D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białkomocz ≥ 2g/24 godziny oznaczony w dobowej zbiórce moczu - jeśli poprzedzające badanie ogólne moczu było nieprawidłowe,</w:t>
            </w:r>
          </w:p>
          <w:p w14:paraId="7BE07662" w14:textId="76BB45CD" w:rsidR="00744684" w:rsidRPr="00EB778D" w:rsidRDefault="00744684" w:rsidP="00EB778D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nadwrażliwość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>l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l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u</w:t>
            </w:r>
            <w:r w:rsidRPr="00EB778D">
              <w:rPr>
                <w:color w:val="000000" w:themeColor="text1"/>
                <w:sz w:val="20"/>
                <w:szCs w:val="20"/>
              </w:rPr>
              <w:t>b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z w:val="20"/>
                <w:szCs w:val="20"/>
              </w:rPr>
              <w:t>t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ór</w:t>
            </w:r>
            <w:r w:rsidRPr="00EB778D">
              <w:rPr>
                <w:color w:val="000000" w:themeColor="text1"/>
                <w:sz w:val="20"/>
                <w:szCs w:val="20"/>
              </w:rPr>
              <w:t>ą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l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z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su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b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EB778D">
              <w:rPr>
                <w:color w:val="000000" w:themeColor="text1"/>
                <w:sz w:val="20"/>
                <w:szCs w:val="20"/>
              </w:rPr>
              <w:t>ta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j</w:t>
            </w:r>
            <w:r w:rsidRPr="00EB778D">
              <w:rPr>
                <w:color w:val="000000" w:themeColor="text1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ic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z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y</w:t>
            </w:r>
            <w:r w:rsidRPr="00EB778D">
              <w:rPr>
                <w:color w:val="000000" w:themeColor="text1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 xml:space="preserve">h. </w:t>
            </w:r>
          </w:p>
          <w:p w14:paraId="6D2A8137" w14:textId="736317BA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Kryteria kwalifikacji musza być spełnione łącznie.</w:t>
            </w:r>
          </w:p>
          <w:p w14:paraId="3B9240FE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ABFF50" w14:textId="656FE63A" w:rsidR="00744684" w:rsidRPr="00EB778D" w:rsidRDefault="00744684" w:rsidP="00EB778D">
            <w:pPr>
              <w:pStyle w:val="Akapitzlist"/>
              <w:numPr>
                <w:ilvl w:val="0"/>
                <w:numId w:val="6"/>
              </w:numPr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 xml:space="preserve">Określenie czasu leczenia </w:t>
            </w:r>
          </w:p>
          <w:p w14:paraId="6B6E5BEE" w14:textId="7EBE2EF0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Leczenie trwa do czasu podjęcia przez lekarza prowadzącego decyzji o wyłączeniu świadczeniobiorcy z programu, zgodnie z kryteriami wyłączenia.</w:t>
            </w:r>
          </w:p>
          <w:p w14:paraId="611BB8DA" w14:textId="77777777" w:rsidR="009341E7" w:rsidRPr="00EB778D" w:rsidRDefault="009341E7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3C99853" w14:textId="10A292E1" w:rsidR="00744684" w:rsidRPr="00EB778D" w:rsidRDefault="00744684" w:rsidP="00EB778D">
            <w:pPr>
              <w:pStyle w:val="Akapitzlist"/>
              <w:widowControl w:val="0"/>
              <w:numPr>
                <w:ilvl w:val="0"/>
                <w:numId w:val="6"/>
              </w:numPr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wyłączenia z programu</w:t>
            </w:r>
          </w:p>
          <w:p w14:paraId="67E55A21" w14:textId="0971C7F5" w:rsidR="00744684" w:rsidRPr="00EB778D" w:rsidRDefault="00744684" w:rsidP="00EB778D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objawy nadwrażliwości na af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libercept</w:t>
            </w:r>
            <w:r w:rsidRPr="00EB778D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z w:val="20"/>
                <w:szCs w:val="20"/>
              </w:rPr>
              <w:t>l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u</w:t>
            </w:r>
            <w:r w:rsidRPr="00EB778D">
              <w:rPr>
                <w:color w:val="000000" w:themeColor="text1"/>
                <w:sz w:val="20"/>
                <w:szCs w:val="20"/>
              </w:rPr>
              <w:t>b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z w:val="20"/>
                <w:szCs w:val="20"/>
              </w:rPr>
              <w:t>t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ó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r</w:t>
            </w:r>
            <w:r w:rsidRPr="00EB778D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l</w:t>
            </w:r>
            <w:r w:rsidRPr="00EB778D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pacing w:val="4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ek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sk</w:t>
            </w:r>
            <w:r w:rsidRPr="00EB778D">
              <w:rPr>
                <w:color w:val="000000" w:themeColor="text1"/>
                <w:sz w:val="20"/>
                <w:szCs w:val="20"/>
              </w:rPr>
              <w:t>ła</w:t>
            </w:r>
            <w:r w:rsidRPr="00EB778D">
              <w:rPr>
                <w:color w:val="000000" w:themeColor="text1"/>
                <w:spacing w:val="4"/>
                <w:sz w:val="20"/>
                <w:szCs w:val="20"/>
              </w:rPr>
              <w:t>d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EB778D">
              <w:rPr>
                <w:color w:val="000000" w:themeColor="text1"/>
                <w:sz w:val="20"/>
                <w:szCs w:val="20"/>
              </w:rPr>
              <w:t>ik</w:t>
            </w:r>
            <w:r w:rsidRPr="00EB778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m</w:t>
            </w:r>
            <w:r w:rsidRPr="00EB778D">
              <w:rPr>
                <w:color w:val="000000" w:themeColor="text1"/>
                <w:sz w:val="20"/>
                <w:szCs w:val="20"/>
              </w:rPr>
              <w:t>i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EB778D">
              <w:rPr>
                <w:color w:val="000000" w:themeColor="text1"/>
                <w:sz w:val="20"/>
                <w:szCs w:val="20"/>
              </w:rPr>
              <w:t>te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r</w:t>
            </w:r>
            <w:r w:rsidRPr="00EB778D">
              <w:rPr>
                <w:color w:val="000000" w:themeColor="text1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EB778D">
              <w:rPr>
                <w:color w:val="000000" w:themeColor="text1"/>
                <w:sz w:val="20"/>
                <w:szCs w:val="20"/>
              </w:rPr>
              <w:t>ii</w:t>
            </w:r>
            <w:r w:rsidRPr="00EB778D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-5"/>
                <w:sz w:val="20"/>
                <w:szCs w:val="20"/>
              </w:rPr>
              <w:t>w</w:t>
            </w:r>
            <w:r w:rsidRPr="00EB778D">
              <w:rPr>
                <w:color w:val="000000" w:themeColor="text1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d</w:t>
            </w:r>
            <w:r w:rsidRPr="00EB778D">
              <w:rPr>
                <w:color w:val="000000" w:themeColor="text1"/>
                <w:spacing w:val="2"/>
                <w:sz w:val="20"/>
                <w:szCs w:val="20"/>
              </w:rPr>
              <w:t>ł</w:t>
            </w:r>
            <w:r w:rsidRPr="00EB778D">
              <w:rPr>
                <w:color w:val="000000" w:themeColor="text1"/>
                <w:spacing w:val="1"/>
                <w:sz w:val="20"/>
                <w:szCs w:val="20"/>
              </w:rPr>
              <w:t>u</w:t>
            </w:r>
            <w:r w:rsidRPr="00EB778D">
              <w:rPr>
                <w:color w:val="000000" w:themeColor="text1"/>
                <w:sz w:val="20"/>
                <w:szCs w:val="20"/>
              </w:rPr>
              <w:t>g</w:t>
            </w:r>
            <w:r w:rsidRPr="00EB778D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c</w:t>
            </w:r>
            <w:r w:rsidRPr="00EB778D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e</w:t>
            </w:r>
            <w:r w:rsidRPr="00EB778D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EB778D">
              <w:rPr>
                <w:color w:val="000000" w:themeColor="text1"/>
                <w:spacing w:val="3"/>
                <w:sz w:val="20"/>
                <w:szCs w:val="20"/>
              </w:rPr>
              <w:t>a</w:t>
            </w:r>
            <w:r w:rsidRPr="00EB778D">
              <w:rPr>
                <w:color w:val="000000" w:themeColor="text1"/>
                <w:sz w:val="20"/>
                <w:szCs w:val="20"/>
              </w:rPr>
              <w:t>tu</w:t>
            </w:r>
            <w:r w:rsidRPr="00EB778D">
              <w:rPr>
                <w:color w:val="000000" w:themeColor="text1"/>
                <w:spacing w:val="-9"/>
                <w:sz w:val="20"/>
                <w:szCs w:val="20"/>
              </w:rPr>
              <w:t xml:space="preserve"> FOLFIRI;</w:t>
            </w:r>
          </w:p>
          <w:p w14:paraId="64BF83BF" w14:textId="77777777" w:rsidR="00744684" w:rsidRPr="00EB778D" w:rsidRDefault="00744684" w:rsidP="00EB778D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progresja choroby w trakcie leczenia;</w:t>
            </w:r>
          </w:p>
          <w:p w14:paraId="222E1579" w14:textId="77777777" w:rsidR="00744684" w:rsidRPr="00EB778D" w:rsidRDefault="00744684" w:rsidP="00EB778D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długotrwałe działania niepożądane w stopniu równym lub większym od 3 według klasyfikacji WHO;</w:t>
            </w:r>
          </w:p>
          <w:p w14:paraId="5CFA89B0" w14:textId="47E97B82" w:rsidR="00744684" w:rsidRPr="00EB778D" w:rsidRDefault="00744684" w:rsidP="00EB778D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utrzymujące się pogorszenie stanu sprawności według klasyfikacji Zubroda-WHO do stopnia 2 lub wyższych.</w:t>
            </w:r>
          </w:p>
          <w:p w14:paraId="633405CA" w14:textId="77777777" w:rsidR="009341E7" w:rsidRPr="00EB778D" w:rsidRDefault="009341E7" w:rsidP="00EB778D">
            <w:pPr>
              <w:spacing w:after="60" w:line="276" w:lineRule="auto"/>
              <w:ind w:left="454" w:right="-2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8110C3" w14:textId="2B0F1CA5" w:rsidR="00744684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VII.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Leczenie trzeciej linii chorych na zaawansowanego raka jelita grubego z wykorzystaniem substancji czynnej panitumumab lub cetuksymab w monoterapii</w:t>
            </w:r>
            <w:r w:rsidR="00744684" w:rsidRPr="00EB778D">
              <w:rPr>
                <w:color w:val="000000" w:themeColor="text1"/>
                <w:sz w:val="20"/>
                <w:szCs w:val="20"/>
              </w:rPr>
              <w:t>.</w:t>
            </w:r>
          </w:p>
          <w:p w14:paraId="7C6CCAEC" w14:textId="77777777" w:rsidR="00744684" w:rsidRPr="00EB778D" w:rsidRDefault="00744684" w:rsidP="00EB778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kwalifikowania</w:t>
            </w:r>
          </w:p>
          <w:p w14:paraId="74B1C7E0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histologicznie potwierdzony rak jelita grubego;</w:t>
            </w:r>
          </w:p>
          <w:p w14:paraId="634DDE39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uogólnienie nowotworu (IV stopień zaawansowania);</w:t>
            </w:r>
          </w:p>
          <w:p w14:paraId="3D5328AB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niemożliwe radykalne leczenie operacyjne;</w:t>
            </w:r>
          </w:p>
          <w:p w14:paraId="3A4BFA8B" w14:textId="6D10A67E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brak wcześniejszego leczenia panitumumabem lub cetuksymabem z powodu raka jelita grubego;</w:t>
            </w:r>
          </w:p>
          <w:p w14:paraId="0FD778D8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nieobecne mutacje w genach KRAS i NRAS (wykluczenie mutacji w eksonach 2., 3. i 4. obu genów) oraz nieobecna mutacja w genie BRAF V600E;</w:t>
            </w:r>
          </w:p>
          <w:p w14:paraId="5843C1D8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możliwa ocena odpowiedzi na leczenie zmian nowotworowych według klasyfikacji RECIST;</w:t>
            </w:r>
          </w:p>
          <w:p w14:paraId="3A707155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 sprawności w stopniach 0-2 według klasyfikacji Zubroda-WHO;</w:t>
            </w:r>
          </w:p>
          <w:p w14:paraId="06B89902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wiek powyżej 18. roku życia;</w:t>
            </w:r>
          </w:p>
          <w:p w14:paraId="72D28E02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wyniki badania morfologii krwi z rozmazem:</w:t>
            </w:r>
          </w:p>
          <w:p w14:paraId="129EC9FB" w14:textId="77777777" w:rsidR="00744684" w:rsidRPr="00EB778D" w:rsidRDefault="00744684" w:rsidP="00EB778D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liczba płytek krwi większa lub równa 0,75 x 10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EB778D">
              <w:rPr>
                <w:color w:val="000000" w:themeColor="text1"/>
                <w:sz w:val="20"/>
                <w:szCs w:val="20"/>
              </w:rPr>
              <w:t>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0B76158" w14:textId="77777777" w:rsidR="00744684" w:rsidRPr="00EB778D" w:rsidRDefault="00744684" w:rsidP="00EB778D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bezwzględna liczba neutrofilów większa lub równa 1000/mm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EB778D">
              <w:rPr>
                <w:color w:val="000000" w:themeColor="text1"/>
                <w:sz w:val="20"/>
                <w:szCs w:val="20"/>
              </w:rPr>
              <w:t>,</w:t>
            </w:r>
          </w:p>
          <w:p w14:paraId="461E71E4" w14:textId="77777777" w:rsidR="00744684" w:rsidRPr="00EB778D" w:rsidRDefault="00744684" w:rsidP="00EB778D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stężenie hemoglobiny większe lub równe 8,0 g/dl; </w:t>
            </w:r>
          </w:p>
          <w:p w14:paraId="19041AA9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wskaźniki czynności wątroby i nerek:</w:t>
            </w:r>
          </w:p>
          <w:p w14:paraId="4D7F8F46" w14:textId="77777777" w:rsidR="00744684" w:rsidRPr="00EB778D" w:rsidRDefault="00744684" w:rsidP="00EB778D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całkowitej bilirubiny nieprzekraczające 3-krotnie górnej granicy normy (z wyjątkiem chorych z zespołem Gilberta),</w:t>
            </w:r>
          </w:p>
          <w:p w14:paraId="31A84E04" w14:textId="77777777" w:rsidR="00744684" w:rsidRPr="00EB778D" w:rsidRDefault="00744684" w:rsidP="00EB778D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20C5C446" w14:textId="77777777" w:rsidR="00744684" w:rsidRPr="00EB778D" w:rsidRDefault="00744684" w:rsidP="00EB778D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kreatyniny nieprzekraczające 2-krotnie górnej granicy normy;</w:t>
            </w:r>
          </w:p>
          <w:p w14:paraId="5E077C95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wykluczenie ciąży;</w:t>
            </w:r>
          </w:p>
          <w:p w14:paraId="60434116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0F24C47C" w14:textId="77777777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przeciwwskazania do zastosowania cetuksymabu lub panitumumabu – niżej wymienione – nieobecne:</w:t>
            </w:r>
          </w:p>
          <w:p w14:paraId="10927435" w14:textId="77777777" w:rsidR="00744684" w:rsidRPr="00EB778D" w:rsidRDefault="00744684" w:rsidP="00EB778D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włóknienie płuc lub śródmiąższowe zapalenia płuc,</w:t>
            </w:r>
          </w:p>
          <w:p w14:paraId="5D80E0B5" w14:textId="77777777" w:rsidR="00744684" w:rsidRPr="00EB778D" w:rsidRDefault="00744684" w:rsidP="00EB778D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nadwrażliwość na każdą substancję pomocniczą.</w:t>
            </w:r>
          </w:p>
          <w:p w14:paraId="34395639" w14:textId="23071362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Wymagane jest spełnienie wszystkich kryteriów wymienionych wyżej (w przypadku niespełnienia kryteriów – brak standardowego leczenia).</w:t>
            </w:r>
          </w:p>
          <w:p w14:paraId="617F67E6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6AD93B7" w14:textId="77777777" w:rsidR="00744684" w:rsidRPr="00EB778D" w:rsidRDefault="00744684" w:rsidP="00EB778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Określenie czasu leczenia</w:t>
            </w:r>
          </w:p>
          <w:p w14:paraId="1C088024" w14:textId="282D69CA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Do czasu podjęcia decyzji o zakończeniu leczenia zgodnie z kryteriami wyłączenia.</w:t>
            </w:r>
          </w:p>
          <w:p w14:paraId="71403229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28A273" w14:textId="77777777" w:rsidR="00744684" w:rsidRPr="00EB778D" w:rsidRDefault="00744684" w:rsidP="00EB778D">
            <w:pPr>
              <w:numPr>
                <w:ilvl w:val="0"/>
                <w:numId w:val="7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wyłączenia z programu</w:t>
            </w:r>
          </w:p>
          <w:p w14:paraId="6AECC02F" w14:textId="77777777" w:rsidR="00744684" w:rsidRPr="00EB778D" w:rsidRDefault="00744684" w:rsidP="00EB778D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objawy nadwrażliwości na cetuksymab lub panitumumab lub jakikolwiek składnik chemioterapii;</w:t>
            </w:r>
          </w:p>
          <w:p w14:paraId="1795C3F0" w14:textId="77777777" w:rsidR="00744684" w:rsidRPr="00EB778D" w:rsidRDefault="00744684" w:rsidP="00EB778D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progresja choroby w trakcie leczenia;</w:t>
            </w:r>
          </w:p>
          <w:p w14:paraId="678A8136" w14:textId="77777777" w:rsidR="00744684" w:rsidRPr="00EB778D" w:rsidRDefault="00744684" w:rsidP="00EB778D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długotrwałe i istotne działania niepożądane w stopniu równym lub większym niż 3. według klasyfikacji WHO;</w:t>
            </w:r>
          </w:p>
          <w:p w14:paraId="478BE935" w14:textId="46D14F8C" w:rsidR="00744684" w:rsidRPr="00EB778D" w:rsidRDefault="00744684" w:rsidP="00EB778D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utrzymujące się pogorszenie stanu sprawności do stopnia 3. lub 4. według klasyfikacji Zubroda-WHO.</w:t>
            </w:r>
          </w:p>
          <w:p w14:paraId="66E5830D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7E6201" w14:textId="27CDD43C" w:rsidR="00744684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VIII.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Leczenie trzeciej lub czwartej linii chorych na zaawansowanego raka jelita grubego z wykorzystaniem terapii skojarzonej triflurydyną oraz typiracylem.</w:t>
            </w:r>
          </w:p>
          <w:p w14:paraId="5482B2B4" w14:textId="77777777" w:rsidR="00744684" w:rsidRPr="00EB778D" w:rsidRDefault="00744684" w:rsidP="00EB77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kwalifikowania</w:t>
            </w:r>
          </w:p>
          <w:p w14:paraId="350E8446" w14:textId="298F3DF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Potwierdzony histologicznie rak jelita grubego (ICD-10</w:t>
            </w:r>
            <w:r w:rsidR="003572AF" w:rsidRPr="00EB778D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EB778D">
              <w:rPr>
                <w:color w:val="000000" w:themeColor="text1"/>
                <w:sz w:val="20"/>
                <w:szCs w:val="20"/>
              </w:rPr>
              <w:t>C18 - C20)</w:t>
            </w:r>
          </w:p>
          <w:p w14:paraId="08F545F4" w14:textId="7777777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potwierdzenie uogólnienia nowotworu, tj. obecności przerzutów w narządach odległych na podstawie badań obrazowych;</w:t>
            </w:r>
          </w:p>
          <w:p w14:paraId="448950EC" w14:textId="7777777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potwierdzenie obecności zmiany lub zmian nowotworowych umożliwiających ocenę odpowiedzi na leczenie;</w:t>
            </w:r>
          </w:p>
          <w:p w14:paraId="62F238D0" w14:textId="7777777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wiek ≥ 18 rok życia;</w:t>
            </w:r>
          </w:p>
          <w:p w14:paraId="017A5D8E" w14:textId="7777777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 sprawności ogólnej według WHO 0-1;</w:t>
            </w:r>
          </w:p>
          <w:p w14:paraId="4E63C9D5" w14:textId="7777777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wyniki badań laboratoryjnych zgodnie z Charakterystyką Produktu Leczniczego;</w:t>
            </w:r>
          </w:p>
          <w:p w14:paraId="6542C187" w14:textId="5E6D257F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udokumentowana nieskuteczność wcześniejszej chemioterapii opartej na fluoropirymidynie, oksaliplatynie i irynotekanie, terapii z zastosowaniem leków anty-VEGF oraz leków anty-EGFR lub brak możliwości zastosowania wymienionych powyżej metod. </w:t>
            </w:r>
          </w:p>
          <w:p w14:paraId="1C4472E6" w14:textId="77777777" w:rsidR="009341E7" w:rsidRPr="00EB778D" w:rsidRDefault="009341E7" w:rsidP="00EB778D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D07327B" w14:textId="77777777" w:rsidR="00744684" w:rsidRPr="00EB778D" w:rsidRDefault="00744684" w:rsidP="00EB778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Określenie czasu leczenia w programie</w:t>
            </w:r>
          </w:p>
          <w:p w14:paraId="28287BBE" w14:textId="162721B1" w:rsidR="00744684" w:rsidRPr="00EB778D" w:rsidRDefault="00744684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Leczenie triflurydyną/typiracylem kontynuuje się do czasu podjęcia przez lekarza decyzji o wyłączeniu świadczeniobiorcy z programu, zgodnie z kryteriami zakończenia udziału w programie.</w:t>
            </w:r>
          </w:p>
          <w:p w14:paraId="764434D3" w14:textId="77777777" w:rsidR="009341E7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1FE072" w14:textId="77777777" w:rsidR="00744684" w:rsidRPr="00EB778D" w:rsidRDefault="00744684" w:rsidP="00EB778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bCs/>
                <w:color w:val="000000" w:themeColor="text1"/>
                <w:sz w:val="20"/>
                <w:szCs w:val="20"/>
              </w:rPr>
              <w:t>Kryteria zakończenia udziału w programie</w:t>
            </w:r>
          </w:p>
          <w:p w14:paraId="45F246A3" w14:textId="7777777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wystąpienie objawów nadwrażliwości na triflurydynę/typiracyl lub na którąkolwiek substancję pomocniczą;</w:t>
            </w:r>
          </w:p>
          <w:p w14:paraId="7A8CB128" w14:textId="7777777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progresja choroby;</w:t>
            </w:r>
          </w:p>
          <w:p w14:paraId="0275327D" w14:textId="77777777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wystąpienie niemożliwych do zaakceptowania objawów toksyczności;</w:t>
            </w:r>
          </w:p>
          <w:p w14:paraId="651E88B3" w14:textId="31AB8554" w:rsidR="00744684" w:rsidRPr="00EB778D" w:rsidRDefault="00744684" w:rsidP="00EB778D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stan sprawności według WHO 3-4.</w:t>
            </w:r>
          </w:p>
          <w:p w14:paraId="1C26B8F7" w14:textId="77777777" w:rsidR="009341E7" w:rsidRPr="00EB778D" w:rsidRDefault="009341E7" w:rsidP="00EB778D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F6F2A12" w14:textId="53855DDE" w:rsidR="00744684" w:rsidRPr="00EB778D" w:rsidRDefault="009341E7" w:rsidP="00EB778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IX. </w:t>
            </w:r>
            <w:r w:rsidR="00744684" w:rsidRPr="00EB778D">
              <w:rPr>
                <w:b/>
                <w:color w:val="000000" w:themeColor="text1"/>
                <w:sz w:val="20"/>
                <w:szCs w:val="20"/>
              </w:rPr>
              <w:t>Kontynuacja leczenia pacjentów po zakończeniu finansowania w ramach chemioterapii niestandardowej</w:t>
            </w:r>
          </w:p>
          <w:p w14:paraId="46ADECB9" w14:textId="77777777" w:rsidR="00744684" w:rsidRPr="00EB778D" w:rsidRDefault="00744684" w:rsidP="00EB778D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Z dniem 1 kwietnia 2018 roku do programu kwalifikowani mogą być pacjenci, których leczenie było finansowane do tego dnia w ramach programu chemioterapii niestandardowej.</w:t>
            </w:r>
          </w:p>
          <w:p w14:paraId="195F5C89" w14:textId="77777777" w:rsidR="00744684" w:rsidRPr="00EB778D" w:rsidRDefault="00744684" w:rsidP="00EB778D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Kwalifikacja, o której mowa w pkt. 1, dotyczy leczenia tą samą substancją czynną, która była finansowana w ramach programu chemioterapii niestandardowej.</w:t>
            </w:r>
          </w:p>
          <w:p w14:paraId="7A6DB9C0" w14:textId="77777777" w:rsidR="00744684" w:rsidRPr="00EB778D" w:rsidRDefault="00744684" w:rsidP="00EB778D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Pacjenci, o których mowa w pkt. 1 nie muszą spełniać w chwili kwalifikacji, innych kryteriów wymaganych do włączenia do programu.</w:t>
            </w:r>
          </w:p>
          <w:p w14:paraId="0DC5BC94" w14:textId="77777777" w:rsidR="00744684" w:rsidRPr="00EB778D" w:rsidRDefault="00744684" w:rsidP="00EB778D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Pacjenci, o których mowa w pkt. 1 kontynuują leczenie w ramach programu do momentu podjęcia decyzji przez lekarza prowadzącego o zakończeniu leczenia danym lekiem.</w:t>
            </w:r>
          </w:p>
          <w:p w14:paraId="5E7BED9D" w14:textId="505FFEFB" w:rsidR="00B53728" w:rsidRPr="00EB778D" w:rsidRDefault="00B53728" w:rsidP="00EB778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pct"/>
          </w:tcPr>
          <w:p w14:paraId="53578B68" w14:textId="77777777" w:rsidR="00744684" w:rsidRPr="00EB778D" w:rsidRDefault="00744684" w:rsidP="00EB778D">
            <w:pPr>
              <w:spacing w:before="12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Cetuksymab </w:t>
            </w:r>
            <w:r w:rsidRPr="00EB778D">
              <w:rPr>
                <w:color w:val="000000" w:themeColor="text1"/>
                <w:sz w:val="20"/>
                <w:szCs w:val="20"/>
              </w:rPr>
              <w:t>stosowany wg schematu:</w:t>
            </w:r>
          </w:p>
          <w:p w14:paraId="608BF9C8" w14:textId="038208D1" w:rsidR="00744684" w:rsidRPr="00EB778D" w:rsidRDefault="00744684" w:rsidP="00EB778D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400 mg/m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powierzchni ciała dożylnie we wlewie trwającym 2 godziny (pierwsza dawka) oraz 250 mg/m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powierzchni ciała dożylnie we wlewie trwającym 1 godzinę (kolejne dawki). W tym przypadku cetuksymab stosowany jest w odstępach 7-dniowych, lub</w:t>
            </w:r>
          </w:p>
          <w:p w14:paraId="74FA6829" w14:textId="77777777" w:rsidR="00744684" w:rsidRPr="00EB778D" w:rsidRDefault="00744684" w:rsidP="00EB778D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500 mg/m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powierzchni ciała dożylnie we wlewie trwającym 2 godziny wówczas cetuksymab stosowany jest w odstępach 14-dniowych.</w:t>
            </w:r>
          </w:p>
          <w:p w14:paraId="457AEC6C" w14:textId="5BC206E9" w:rsidR="00744684" w:rsidRPr="00EB778D" w:rsidRDefault="00B53728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O </w:t>
            </w:r>
            <w:r w:rsidR="00744684" w:rsidRPr="00EB778D">
              <w:rPr>
                <w:color w:val="000000" w:themeColor="text1"/>
                <w:sz w:val="20"/>
                <w:szCs w:val="20"/>
              </w:rPr>
              <w:t>wyborze schematu dawkowania decyduje lekarz prowadzący.</w:t>
            </w:r>
          </w:p>
          <w:p w14:paraId="417EE7A3" w14:textId="73D0D667" w:rsidR="00C93F83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Cetuksymab stosowany jest w monoterapii (trzecia linia leczenia) lub wraz z chemioterapią według schematu FOLFIRI</w:t>
            </w:r>
            <w:r w:rsidR="00EC3898" w:rsidRPr="00EB778D">
              <w:rPr>
                <w:color w:val="000000" w:themeColor="text1"/>
                <w:sz w:val="20"/>
                <w:szCs w:val="20"/>
              </w:rPr>
              <w:t xml:space="preserve"> lub FOLFOX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(pierwsza linia leczenia) z uwzględnieniem możliwości kontynuowania w monoterapii (bez chemioterapii) w sytuacji potwierdzenia obiektywnej odpowiedzi lub stabilizacji choroby (ocena na podstawie wyników dwóch kolejnych badań obrazowych). </w:t>
            </w:r>
          </w:p>
          <w:p w14:paraId="2697313B" w14:textId="39DF4ACC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Chemioterapia według schematu FOLFIRI</w:t>
            </w:r>
            <w:r w:rsidR="00EC3898" w:rsidRPr="00EB778D">
              <w:rPr>
                <w:color w:val="000000" w:themeColor="text1"/>
                <w:sz w:val="20"/>
                <w:szCs w:val="20"/>
              </w:rPr>
              <w:t xml:space="preserve"> i FOLFOX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– stosowana w odstępach 14-dniowych.</w:t>
            </w:r>
          </w:p>
          <w:p w14:paraId="1148670C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W przypadku wystąpienia działań niepożądanych dawkowanie leku należy dostosować do wytycznych zawartych w Charakterystyce Produktu Leczniczego. Jeżeli przerwano stosowanie cetuksymabu, z powodu działań niepożądanych to maksymalny czas do podania kolejnej dawki nie może być dłuższy niż 8 tygodni.</w:t>
            </w:r>
          </w:p>
          <w:p w14:paraId="11ABB33B" w14:textId="77777777" w:rsidR="00EC3898" w:rsidRPr="00EB778D" w:rsidRDefault="00EC3898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uzasadnionych przypadkach (w szczególności w przypadku wystąpienia polineuropatii) można zredukować dawkę oksaliplatyny do 65 mg/m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EB778D">
              <w:rPr>
                <w:color w:val="000000" w:themeColor="text1"/>
                <w:sz w:val="20"/>
                <w:szCs w:val="20"/>
              </w:rPr>
              <w:t>powierzchni ciała, a także wydłużyć przerwę pomiędzy cyklami leczenia do 3 tygodni (w szczególności w przypadku powikłań hematologicznych).</w:t>
            </w:r>
          </w:p>
          <w:p w14:paraId="21A5FD32" w14:textId="6AF9EF31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lub częściowo (monoterapia fluoropirymidyną) pod warunkiem kontynuowania oceny odpowiedzi zgodnie z zapisami programu. Po stwierdzeniu progresji choroby leczenie może być wznowione, o ile nadal spełnione są kryteria kwalifikowania (z wykluczeniem punktu nr 4 – brak wcześniejszego leczenia systemowego z powodu choroby przerzutowej).</w:t>
            </w:r>
          </w:p>
          <w:p w14:paraId="115A210A" w14:textId="77777777" w:rsidR="00B53728" w:rsidRPr="00EB778D" w:rsidRDefault="00B53728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7EF25BA" w14:textId="7748EA78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Panitumumab </w:t>
            </w:r>
            <w:r w:rsidRPr="00EB778D">
              <w:rPr>
                <w:color w:val="000000" w:themeColor="text1"/>
                <w:sz w:val="20"/>
                <w:szCs w:val="20"/>
              </w:rPr>
              <w:t>– 6 mg/kg masy ciała dożylnie we wlewie trwającym 1 godzinę w monoterapii (trzecia linia leczenia) lub wraz z chemioterapią według schematu FOLFOX</w:t>
            </w:r>
            <w:r w:rsidR="008D4287" w:rsidRPr="00EB778D">
              <w:rPr>
                <w:color w:val="000000" w:themeColor="text1"/>
                <w:sz w:val="20"/>
                <w:szCs w:val="20"/>
              </w:rPr>
              <w:t xml:space="preserve"> lub FOLFIRI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(pierwsza linia leczenia) z uwzględnieniem </w:t>
            </w: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możliwości kontynuowania w monoterapii (bez chemioterapii) w sytuacji potwierdzenia obiektywnej odpowiedzi lub stabilizacji choroby (ocena na podstawie wyników dwóch kolejnych badań obrazowych).</w:t>
            </w:r>
          </w:p>
          <w:p w14:paraId="5F4B3157" w14:textId="77777777" w:rsidR="00C93F83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Chemioterapia według schematu FOLFOX</w:t>
            </w:r>
            <w:r w:rsidR="00A3344E" w:rsidRPr="00EB778D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D22" w:rsidRPr="00EB778D">
              <w:rPr>
                <w:color w:val="000000" w:themeColor="text1"/>
                <w:sz w:val="20"/>
                <w:szCs w:val="20"/>
              </w:rPr>
              <w:t>i</w:t>
            </w:r>
            <w:r w:rsidR="008D4287" w:rsidRPr="00EB778D">
              <w:rPr>
                <w:color w:val="000000" w:themeColor="text1"/>
                <w:sz w:val="20"/>
                <w:szCs w:val="20"/>
              </w:rPr>
              <w:t xml:space="preserve"> FOLFIRI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– stosowana w odstępach 14-dniowych.</w:t>
            </w:r>
          </w:p>
          <w:p w14:paraId="5C4CC39B" w14:textId="74CFB4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Panitumumab – stosowany w odstępach 14-dniowych.</w:t>
            </w:r>
          </w:p>
          <w:p w14:paraId="07F8FE8F" w14:textId="4357F135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przypadku wystąpienia działań niepożądanych dawkowanie leku należy dostosować do wytycznych zawartych w Charakterystyce Produktu Leczniczego. Jeżeli przerwano stosowanie panitumumabu z powodu działań niepożądanych, to maksymalny czas do podania kolejnej dawki nie może być dłuższy niż 8 tygodni.</w:t>
            </w:r>
          </w:p>
          <w:p w14:paraId="764A60FA" w14:textId="1FCD6296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uzasadnionych przypadkach (w szczególności w przypadku wystąpienia polineuropatii) można zredukować dawkę oksaliplatyny do 65 mg/m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EB778D">
              <w:rPr>
                <w:color w:val="000000" w:themeColor="text1"/>
                <w:sz w:val="20"/>
                <w:szCs w:val="20"/>
              </w:rPr>
              <w:t>powierzchni ciała, a także wydłużyć przerwę pomiędzy cyklami leczenia do 3 tygodni (w szczególności w przypadku powikłań hematologicznych).</w:t>
            </w:r>
          </w:p>
          <w:p w14:paraId="1E775D65" w14:textId="49B24863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W przypadku uzyskania w co najmniej dwóch kolejnych ocenach obrazowych obiektywnej odpowiedzi lub stabilizacji na leczenie pierwszej linii, chemioterapię można przerwać całkowicie lub częściowo (monoterapia fluoropirymidyną) pod warunkiem kontynuowania oceny odpowiedzi zgodnie z zapisami programu. Po stwierdzeniu progresji choroby leczenie może być wznowione, o ile nadal spełnione są kryteria kwalifikowania (z </w:t>
            </w: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wykluczeniem punktu 4 - brak wcześniejszego leczenia systemowego z powodu choroby przerzutowej).</w:t>
            </w:r>
          </w:p>
          <w:p w14:paraId="578FC9F1" w14:textId="77777777" w:rsidR="00B53728" w:rsidRPr="00EB778D" w:rsidRDefault="00B53728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446A7DB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Bewacyzumab – </w:t>
            </w:r>
            <w:r w:rsidRPr="00EB778D">
              <w:rPr>
                <w:color w:val="000000" w:themeColor="text1"/>
                <w:sz w:val="20"/>
                <w:szCs w:val="20"/>
              </w:rPr>
              <w:t>10 mg/kg masy ciała dożylnie (schemat FOLFOX-4) lub 5 mg/kg masy ciała dożylnie (schemat FOLFIRI) we wlewie trwającym 30-90 minut (dzień 1.) wraz z chemioterapią według schematów:</w:t>
            </w:r>
          </w:p>
          <w:p w14:paraId="05A2774C" w14:textId="254BD049" w:rsidR="00744684" w:rsidRPr="00EB778D" w:rsidRDefault="00744684" w:rsidP="00EB778D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FOLFIRI – pierwsza linia leczenia;</w:t>
            </w:r>
          </w:p>
          <w:p w14:paraId="44C73FF4" w14:textId="68825869" w:rsidR="00744684" w:rsidRPr="00EB778D" w:rsidRDefault="00744684" w:rsidP="00EB778D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FOLFOX-4 – druga linia leczenia. </w:t>
            </w:r>
          </w:p>
          <w:p w14:paraId="2AED46F6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Bewacyzumab – stosowany w odstępach 14-dniowych z uwzględnieniem możliwości kontynuowania w monoterapii (bez chemioterapii) w sytuacji potwierdzenia obiektywnej odpowiedzi lub stabilizacji choroby w ocenie przeprowadzonej na podstawie wyników dwóch kolejnych badań obrazowych (lek nie może być stosowany w monoterapii w drugiej linii leczenia)</w:t>
            </w:r>
          </w:p>
          <w:p w14:paraId="6BC8249B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przypadku wystąpienia działań niepożądanych dawkowanie leku należy dostosować do wytycznych zawartych w Charakterystyce Produktu Leczniczego. Jeżeli przerwano stosowanie bewacyzumabu, to maksymalny czas do podania kolejnej dawki nie może być dłuższy niż 8 tygodni.</w:t>
            </w:r>
          </w:p>
          <w:p w14:paraId="783134F5" w14:textId="6B869074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uzasadnionych przypadkach (w szczególności w przypadku wystąpienia polineuropatii) można zredukować dawkę oksaliplatyny do 65 mg/m</w:t>
            </w:r>
            <w:r w:rsidRPr="00EB778D">
              <w:rPr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powierzchni ciała, a także wydłużyć przerwę pomiędzy cyklami leczenia do 3 tygodni (w </w:t>
            </w: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szczególności w przypadku powikłań hematologicznych).</w:t>
            </w:r>
          </w:p>
          <w:p w14:paraId="12C99584" w14:textId="5D6DD8DB" w:rsidR="00744684" w:rsidRPr="00EB778D" w:rsidRDefault="00744684" w:rsidP="00EB778D">
            <w:pPr>
              <w:shd w:val="clear" w:color="auto" w:fill="FFFFFF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(bewacyzumab w monoterapii) lub częściowo (bewacyzumab z fluoropirymidyną pod warunkiem kontynuowania oceny odpowiedzi zgodnie z zapisami programu. Po stwierdzeniu progresji choroby leczenie może być wznowione, o ile nadal spełnione są kryteria kwalifikowania (z wykluczeniem punktu nr 4 – brak wcześniejszego leczenia systemowego z powodu choroby przerzutowej).</w:t>
            </w:r>
          </w:p>
          <w:p w14:paraId="5A253993" w14:textId="77777777" w:rsidR="00B53728" w:rsidRPr="00EB778D" w:rsidRDefault="00B53728" w:rsidP="00EB778D">
            <w:pPr>
              <w:shd w:val="clear" w:color="auto" w:fill="FFFFFF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A799BD4" w14:textId="52481815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Aflibercept - </w:t>
            </w:r>
            <w:r w:rsidRPr="00EB778D">
              <w:rPr>
                <w:color w:val="000000" w:themeColor="text1"/>
                <w:sz w:val="20"/>
                <w:szCs w:val="20"/>
              </w:rPr>
              <w:t>4 mg/kg masy ciała dożylnie we wlewie trwającym 1 godzinę (dzień 1) wraz z chemioterapią według schematu FOLFIRI.</w:t>
            </w:r>
          </w:p>
          <w:p w14:paraId="065BFAAC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Cykl leczenia powtarza się co dwa tygodnie.</w:t>
            </w:r>
          </w:p>
          <w:p w14:paraId="11AC461E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przypadku wystąpienia działań niepożądanych dawkowanie leku należy dostosować do wytycznych zawartych w Charakterystyce Produktu Leczniczego. Jeżeli przerwano stosowanie afliberceptu, z powodu działań niepożądanych to maksymalny czas do podania kolejnej dawki nie może być dłuższy niż 8 tygodni.</w:t>
            </w:r>
          </w:p>
          <w:p w14:paraId="190AB821" w14:textId="3F7A5834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Aflibercept nie może być stosowany w monoterapii.</w:t>
            </w:r>
          </w:p>
          <w:p w14:paraId="5396A80B" w14:textId="77777777" w:rsidR="00B53728" w:rsidRPr="00EB778D" w:rsidRDefault="00B53728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B468B8D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Triflurydyna w skojarzeniu z typiracylem - </w:t>
            </w:r>
            <w:r w:rsidRPr="00EB778D">
              <w:rPr>
                <w:color w:val="000000" w:themeColor="text1"/>
                <w:sz w:val="20"/>
                <w:szCs w:val="20"/>
              </w:rPr>
              <w:t>zalecana dawka początkowa u dorosłych to 35 mg/m2 pc./dawkę podawana doustnie dwa razy na dobę od 1. do 5. dnia oraz od 8. do 12. dnia każdego 28-dniowego cyklu, podawana tak długo, jak długo obserwuje się korzyści z leczenia lub do momentu wystąpienia niemożliwych do zaakceptowania objawów toksyczności.</w:t>
            </w:r>
          </w:p>
          <w:p w14:paraId="6C647796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Dawkowanie oblicza się na podstawie powierzchni ciała pacjenta zgodnie z Charakterystyką Produktu Leczniczego. Dawkę należy zaokrąglić do najbliższej wartości zwiększanej o 5 mg. Nie należy przekraczać 80 mg/dawkę. Jeśli dawki pominięto lub wstrzymano, pacjent nie powinien przyjąć pominiętych dawek.</w:t>
            </w:r>
          </w:p>
          <w:p w14:paraId="654CADC0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pct"/>
            <w:tcBorders>
              <w:right w:val="single" w:sz="4" w:space="0" w:color="auto"/>
            </w:tcBorders>
          </w:tcPr>
          <w:p w14:paraId="49B28D1E" w14:textId="77777777" w:rsidR="00744684" w:rsidRPr="00EB778D" w:rsidRDefault="00744684" w:rsidP="00EB778D">
            <w:pPr>
              <w:spacing w:before="120"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lastRenderedPageBreak/>
              <w:t>Badania podczas kwalifikowania do leczenia cetuksymabem lub panitumumabem:</w:t>
            </w:r>
          </w:p>
          <w:p w14:paraId="61DCA717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histologiczne potwierdzenie raka jelita grubego;</w:t>
            </w:r>
          </w:p>
          <w:p w14:paraId="69030C79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ocena stanu genów KRAS i NRAS (wykluczenie obecności mutacji w eksonach 2., 3. i 4. obu genów) oraz wykluczenie mutacji w genie BRAF V600E;</w:t>
            </w:r>
          </w:p>
          <w:p w14:paraId="3502661C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morfologia krwi z rozmazem; </w:t>
            </w:r>
          </w:p>
          <w:p w14:paraId="38140615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405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stężenia:</w:t>
            </w:r>
          </w:p>
          <w:p w14:paraId="733A1929" w14:textId="77777777" w:rsidR="00744684" w:rsidRPr="00EB778D" w:rsidRDefault="00744684" w:rsidP="00EB778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kreatyniny,</w:t>
            </w:r>
          </w:p>
          <w:p w14:paraId="16E42951" w14:textId="77777777" w:rsidR="00744684" w:rsidRPr="00EB778D" w:rsidRDefault="00744684" w:rsidP="00EB778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bilirubiny</w:t>
            </w:r>
          </w:p>
          <w:p w14:paraId="4A11BFCC" w14:textId="6594676A" w:rsidR="00744684" w:rsidRPr="00EB778D" w:rsidRDefault="00B53728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744684" w:rsidRPr="00EB778D">
              <w:rPr>
                <w:color w:val="000000" w:themeColor="text1"/>
                <w:sz w:val="20"/>
                <w:szCs w:val="20"/>
              </w:rPr>
              <w:t>w surowicy;</w:t>
            </w:r>
          </w:p>
          <w:p w14:paraId="25F7D7DE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405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stężenia:</w:t>
            </w:r>
          </w:p>
          <w:p w14:paraId="30212290" w14:textId="77777777" w:rsidR="00744684" w:rsidRPr="00EB778D" w:rsidRDefault="00744684" w:rsidP="00EB778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transaminaz (AspAT, AlAT),</w:t>
            </w:r>
          </w:p>
          <w:p w14:paraId="0237A9A9" w14:textId="77777777" w:rsidR="00744684" w:rsidRPr="00EB778D" w:rsidRDefault="00744684" w:rsidP="00EB778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magnezu</w:t>
            </w:r>
          </w:p>
          <w:p w14:paraId="2C74667A" w14:textId="5A1EB05C" w:rsidR="00744684" w:rsidRPr="00EB778D" w:rsidRDefault="00B53728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</w:t>
            </w:r>
            <w:r w:rsidR="00744684" w:rsidRPr="00EB778D">
              <w:rPr>
                <w:color w:val="000000" w:themeColor="text1"/>
                <w:sz w:val="20"/>
                <w:szCs w:val="20"/>
              </w:rPr>
              <w:t>;</w:t>
            </w:r>
          </w:p>
          <w:p w14:paraId="088C2500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próba ciążowa – u kobiet w okresie prokreacyjnym;</w:t>
            </w:r>
          </w:p>
          <w:p w14:paraId="037430D8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 xml:space="preserve">badanie KT jamy brzusznej oraz innych okolic ciała w zależności od wskazań klinicznych; </w:t>
            </w:r>
          </w:p>
          <w:p w14:paraId="1B8278A8" w14:textId="32D0CA80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KT lub MR mózgu w przypadku wskazań klinicznych w celu wykluczenia przerzutów;</w:t>
            </w:r>
          </w:p>
          <w:p w14:paraId="775B829F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RTG klatki piersiowej – jeżeli nie jest wykonywane badanie KT klatki piersiowej;</w:t>
            </w:r>
          </w:p>
          <w:p w14:paraId="0CAEF371" w14:textId="77777777" w:rsidR="00744684" w:rsidRPr="00EB778D" w:rsidRDefault="00744684" w:rsidP="00EB778D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EKG;</w:t>
            </w:r>
          </w:p>
          <w:p w14:paraId="2EBDFC43" w14:textId="77777777" w:rsidR="00744684" w:rsidRPr="00EB778D" w:rsidRDefault="00744684" w:rsidP="00EB778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inne badania w razie wskazań klinicznych.</w:t>
            </w:r>
          </w:p>
          <w:p w14:paraId="49835162" w14:textId="600D636B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7CABDD87" w14:textId="77777777" w:rsidR="00B53728" w:rsidRPr="00EB778D" w:rsidRDefault="00B53728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DD5FB89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>Badania podczas kwalifikowania do leczenia bewacyzumabem:</w:t>
            </w:r>
          </w:p>
          <w:p w14:paraId="251F95EE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histologiczne potwierdzenie raka jelita grubego;</w:t>
            </w:r>
          </w:p>
          <w:p w14:paraId="47C79929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potwierdzona obecność mutacji aktywującej genu KRAS lub NRAS (w jednym z eksonów 2.,3. lub 4.) w przypadku stosowania bewacyzumabu w skojarzeniu z chemioterpią FOLFIRI;</w:t>
            </w:r>
          </w:p>
          <w:p w14:paraId="4F4BA198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morfologia krwi z rozmazem; </w:t>
            </w:r>
          </w:p>
          <w:p w14:paraId="23832D0C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405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stężenia:</w:t>
            </w:r>
          </w:p>
          <w:p w14:paraId="7A63DD41" w14:textId="77777777" w:rsidR="00744684" w:rsidRPr="00EB778D" w:rsidRDefault="00744684" w:rsidP="00EB778D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kreatyniny,</w:t>
            </w:r>
          </w:p>
          <w:p w14:paraId="642BF3C8" w14:textId="77777777" w:rsidR="00744684" w:rsidRPr="00EB778D" w:rsidRDefault="00744684" w:rsidP="00EB778D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bilirubiny</w:t>
            </w:r>
          </w:p>
          <w:p w14:paraId="05343286" w14:textId="3F0D9609" w:rsidR="00744684" w:rsidRPr="00EB778D" w:rsidRDefault="00B53728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744684" w:rsidRPr="00EB778D">
              <w:rPr>
                <w:color w:val="000000" w:themeColor="text1"/>
                <w:sz w:val="20"/>
                <w:szCs w:val="20"/>
              </w:rPr>
              <w:t>w surowicy;</w:t>
            </w:r>
          </w:p>
          <w:p w14:paraId="3E83039D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405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aktywności:</w:t>
            </w:r>
          </w:p>
          <w:p w14:paraId="432E7C12" w14:textId="77777777" w:rsidR="00744684" w:rsidRPr="00EB778D" w:rsidRDefault="00744684" w:rsidP="00EB778D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transaminaz (AspAT, AlAT),</w:t>
            </w:r>
          </w:p>
          <w:p w14:paraId="695A96CD" w14:textId="77777777" w:rsidR="00744684" w:rsidRPr="00EB778D" w:rsidRDefault="00744684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535835A0" w14:textId="77777777" w:rsidR="00744684" w:rsidRPr="00EB778D" w:rsidRDefault="00744684" w:rsidP="00EB778D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czasu kaolinowo-kefalinowego (APTT);</w:t>
            </w:r>
          </w:p>
          <w:p w14:paraId="7A0E1E54" w14:textId="77777777" w:rsidR="00744684" w:rsidRPr="00EB778D" w:rsidRDefault="00744684" w:rsidP="00EB778D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INR;</w:t>
            </w:r>
          </w:p>
          <w:p w14:paraId="0AAE693D" w14:textId="77777777" w:rsidR="00744684" w:rsidRPr="00EB778D" w:rsidRDefault="00744684" w:rsidP="00EB778D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ogólne moczu;</w:t>
            </w:r>
          </w:p>
          <w:p w14:paraId="60081237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próba ciążowa – u kobiet w okresie prokreacyjnym;</w:t>
            </w:r>
          </w:p>
          <w:p w14:paraId="30AFA5A4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14:paraId="5D72605D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KT lub MR mózgu w przypadku wskazań klinicznych w celu wykluczenia przerzutów;</w:t>
            </w:r>
          </w:p>
          <w:p w14:paraId="07E7BD2F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RTG klatki piersiowej – jeżeli nie jest wykonywane badanie KT klatki piersiowej;</w:t>
            </w:r>
          </w:p>
          <w:p w14:paraId="60516F0B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EKG;</w:t>
            </w:r>
          </w:p>
          <w:p w14:paraId="2F1DD0F7" w14:textId="77777777" w:rsidR="00744684" w:rsidRPr="00EB778D" w:rsidRDefault="00744684" w:rsidP="00EB778D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pomiar ciśnienia tętniczego;</w:t>
            </w:r>
          </w:p>
          <w:p w14:paraId="25E650A6" w14:textId="77777777" w:rsidR="00744684" w:rsidRPr="00EB778D" w:rsidRDefault="00744684" w:rsidP="00EB778D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inne badania w razie wskazań klinicznych.</w:t>
            </w:r>
          </w:p>
          <w:p w14:paraId="0FB0BDA2" w14:textId="43764F50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2CCD8868" w14:textId="77777777" w:rsidR="00B53728" w:rsidRPr="00EB778D" w:rsidRDefault="00B53728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67B4B7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>Badania przy kwalifikacji do leczenia afliberceptem:</w:t>
            </w:r>
          </w:p>
          <w:p w14:paraId="478C812F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histologiczne potwierdzenie raka jelita grubego;</w:t>
            </w:r>
          </w:p>
          <w:p w14:paraId="7444C475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morfologia krwi z rozmazem; </w:t>
            </w:r>
          </w:p>
          <w:p w14:paraId="0D31BB49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oznaczenie stężenia:</w:t>
            </w:r>
          </w:p>
          <w:p w14:paraId="47EA9FE2" w14:textId="77777777" w:rsidR="00744684" w:rsidRPr="00EB778D" w:rsidRDefault="00744684" w:rsidP="00EB778D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kreatyniny,</w:t>
            </w:r>
          </w:p>
          <w:p w14:paraId="0F047C11" w14:textId="77777777" w:rsidR="00744684" w:rsidRPr="00EB778D" w:rsidRDefault="00744684" w:rsidP="00EB778D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bilirubiny</w:t>
            </w:r>
          </w:p>
          <w:p w14:paraId="3A185F49" w14:textId="77777777" w:rsidR="00744684" w:rsidRPr="00EB778D" w:rsidRDefault="00744684" w:rsidP="00EB778D">
            <w:pPr>
              <w:tabs>
                <w:tab w:val="left" w:pos="324"/>
              </w:tabs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540C3575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aktywności:</w:t>
            </w:r>
          </w:p>
          <w:p w14:paraId="736B9D59" w14:textId="77777777" w:rsidR="00744684" w:rsidRPr="00EB778D" w:rsidRDefault="00744684" w:rsidP="00EB778D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transaminaz (AspAT, AlAT),</w:t>
            </w:r>
          </w:p>
          <w:p w14:paraId="028042FE" w14:textId="77777777" w:rsidR="00744684" w:rsidRPr="00EB778D" w:rsidRDefault="00744684" w:rsidP="00EB778D">
            <w:pPr>
              <w:tabs>
                <w:tab w:val="left" w:pos="324"/>
              </w:tabs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0D96ADDE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czasu kaolinowo-kefalinowego (APTT);</w:t>
            </w:r>
          </w:p>
          <w:p w14:paraId="6898DBD7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INR lub czasu protrombinowego (PT);</w:t>
            </w:r>
          </w:p>
          <w:p w14:paraId="4B36AECE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ogólne moczu;</w:t>
            </w:r>
          </w:p>
          <w:p w14:paraId="0BDCFDAA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próba ciążowa – u kobiet w okresie prokreacyjnym;</w:t>
            </w:r>
          </w:p>
          <w:p w14:paraId="37FC1AA8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14:paraId="5D9765D6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KT lub MR mózgu w przypadku wskazań klinicznych w celu wykluczenia przerzutów;</w:t>
            </w:r>
          </w:p>
          <w:p w14:paraId="142AB589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RTG klatki piersiowej – jeżeli nie jest wykonywane KT klatki piersiowej;</w:t>
            </w:r>
          </w:p>
          <w:p w14:paraId="458306BC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EKG;</w:t>
            </w:r>
          </w:p>
          <w:p w14:paraId="4EA63C74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pomiar ciśnienia tętniczego;</w:t>
            </w:r>
          </w:p>
          <w:p w14:paraId="5A6A0608" w14:textId="77777777" w:rsidR="00744684" w:rsidRPr="00EB778D" w:rsidRDefault="00744684" w:rsidP="00EB778D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inne badania w razie wskazań klinicznych.</w:t>
            </w:r>
          </w:p>
          <w:p w14:paraId="30763D38" w14:textId="660B3414" w:rsidR="00744684" w:rsidRPr="00EB778D" w:rsidRDefault="00744684" w:rsidP="00EB778D">
            <w:p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56D9C98B" w14:textId="77777777" w:rsidR="00B53728" w:rsidRPr="00EB778D" w:rsidRDefault="00B53728" w:rsidP="00EB778D">
            <w:p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175ECA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lastRenderedPageBreak/>
              <w:t>Badania przy kwalifikacji do terapii skojarzonej triflurydyną oraz typiracylem:</w:t>
            </w:r>
          </w:p>
          <w:p w14:paraId="729C563A" w14:textId="77777777" w:rsidR="00744684" w:rsidRPr="00EB778D" w:rsidRDefault="00744684" w:rsidP="00EB778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morfologia krwi z rozmazem;</w:t>
            </w:r>
          </w:p>
          <w:p w14:paraId="72A4F005" w14:textId="77777777" w:rsidR="00744684" w:rsidRPr="00EB778D" w:rsidRDefault="00744684" w:rsidP="00EB778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bilirubiny całkowitej;</w:t>
            </w:r>
          </w:p>
          <w:p w14:paraId="3C98E0E2" w14:textId="77777777" w:rsidR="00744684" w:rsidRPr="00EB778D" w:rsidRDefault="00744684" w:rsidP="00EB778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kreatyniny;</w:t>
            </w:r>
          </w:p>
          <w:p w14:paraId="4FF81BB0" w14:textId="77777777" w:rsidR="00744684" w:rsidRPr="00EB778D" w:rsidRDefault="00744684" w:rsidP="00EB778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aktywność transaminaz (AspAT, AlAT);</w:t>
            </w:r>
          </w:p>
          <w:p w14:paraId="7C4B03C1" w14:textId="77777777" w:rsidR="00744684" w:rsidRPr="00EB778D" w:rsidRDefault="00744684" w:rsidP="00EB778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ogólne moczu;</w:t>
            </w:r>
          </w:p>
          <w:p w14:paraId="64DBF4A1" w14:textId="77777777" w:rsidR="00744684" w:rsidRPr="00EB778D" w:rsidRDefault="00744684" w:rsidP="00EB778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tomografii komputerowej jamy brzusznej oraz innych okolic ciała w zależności od wskazań klinicznych;</w:t>
            </w:r>
          </w:p>
          <w:p w14:paraId="6544A585" w14:textId="51F3A999" w:rsidR="00744684" w:rsidRPr="00EB778D" w:rsidRDefault="00744684" w:rsidP="00EB778D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RTG klatki piersiowej – jeżeli nie jest wykonywana tomografia komputerowa tej okolicy.</w:t>
            </w:r>
          </w:p>
          <w:p w14:paraId="0BBE22C2" w14:textId="77777777" w:rsidR="00B53728" w:rsidRPr="00EB778D" w:rsidRDefault="00B53728" w:rsidP="00EB778D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58EC1C6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>Monitorowanie bezpieczeństwa leczenia cetuksymabem lub panitumumabem:</w:t>
            </w:r>
          </w:p>
          <w:p w14:paraId="20AC9655" w14:textId="77777777" w:rsidR="00744684" w:rsidRPr="00EB778D" w:rsidRDefault="00744684" w:rsidP="00EB778D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morfologia krwi z rozmazem;</w:t>
            </w:r>
          </w:p>
          <w:p w14:paraId="181006B6" w14:textId="77777777" w:rsidR="00744684" w:rsidRPr="00EB778D" w:rsidRDefault="00744684" w:rsidP="00EB778D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stężenia:</w:t>
            </w:r>
          </w:p>
          <w:p w14:paraId="39DE20B3" w14:textId="77777777" w:rsidR="00744684" w:rsidRPr="00EB778D" w:rsidRDefault="00744684" w:rsidP="00EB778D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kreatyniny, </w:t>
            </w:r>
          </w:p>
          <w:p w14:paraId="19994FCB" w14:textId="77777777" w:rsidR="00744684" w:rsidRPr="00EB778D" w:rsidRDefault="00744684" w:rsidP="00EB778D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bilirubiny </w:t>
            </w:r>
          </w:p>
          <w:p w14:paraId="2996CD47" w14:textId="77777777" w:rsidR="00744684" w:rsidRPr="00EB778D" w:rsidRDefault="00744684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194DEEEB" w14:textId="77777777" w:rsidR="00744684" w:rsidRPr="00EB778D" w:rsidRDefault="00744684" w:rsidP="00EB778D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stężenia:</w:t>
            </w:r>
          </w:p>
          <w:p w14:paraId="5DD363D8" w14:textId="77777777" w:rsidR="00744684" w:rsidRPr="00EB778D" w:rsidRDefault="00744684" w:rsidP="00EB778D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transaminaz (AspAT, AlAT),</w:t>
            </w:r>
          </w:p>
          <w:p w14:paraId="11AA3156" w14:textId="77777777" w:rsidR="00744684" w:rsidRPr="00EB778D" w:rsidRDefault="00744684" w:rsidP="00EB778D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fosfatazy alkalicznej,</w:t>
            </w:r>
          </w:p>
          <w:p w14:paraId="493357E1" w14:textId="77777777" w:rsidR="00744684" w:rsidRPr="00EB778D" w:rsidRDefault="00744684" w:rsidP="00EB778D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magnezu</w:t>
            </w:r>
          </w:p>
          <w:p w14:paraId="51BF2FF3" w14:textId="77777777" w:rsidR="00744684" w:rsidRPr="00EB778D" w:rsidRDefault="00744684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2E9F559F" w14:textId="77777777" w:rsidR="00744684" w:rsidRPr="00EB778D" w:rsidRDefault="00744684" w:rsidP="00EB778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ocena powikłań skórnych;</w:t>
            </w:r>
          </w:p>
          <w:p w14:paraId="31A46E28" w14:textId="77777777" w:rsidR="00744684" w:rsidRPr="00EB778D" w:rsidRDefault="00744684" w:rsidP="00EB778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inne badanie w razie wskazań klinicznych.</w:t>
            </w:r>
          </w:p>
          <w:p w14:paraId="0C22D39E" w14:textId="6DBBC8E2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 xml:space="preserve">Jeżeli cetuksymab lub panitumumab stosowany jest łącznie z chemioterapią (pierwsza linia leczenia) to badanie morfologii krwi, oznaczenie stężenia kreatyniny oraz ocenę powikłań skórnych wykonuje się przed rozpoczęciem każdego cyklu leczenia, a pozostałe badania przed rozpoczęciem co drugiego cyklu leczenia. </w:t>
            </w:r>
          </w:p>
          <w:p w14:paraId="2F1D1B22" w14:textId="0EF5676C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Jeżeli panitumumab lub cetuksymab stosowane są w monoterapii (trzecia linia leczenia), to ocenę powikłań skórnych wykonuje się przed każdym podaniem leku, a pozostałe badania nie rzadziej niż co miesiąc. </w:t>
            </w:r>
          </w:p>
          <w:p w14:paraId="0AA6ACD0" w14:textId="0CADB576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Badania należy wykonać zawsze w przypadku wskazań klinicznych.</w:t>
            </w:r>
          </w:p>
          <w:p w14:paraId="7F171900" w14:textId="77777777" w:rsidR="00B53728" w:rsidRPr="00EB778D" w:rsidRDefault="00B53728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74069A6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>Monitorowanie bezpieczeństwa leczenia bewacyzumabem:</w:t>
            </w:r>
          </w:p>
          <w:p w14:paraId="3D21E716" w14:textId="77777777" w:rsidR="00744684" w:rsidRPr="00EB778D" w:rsidRDefault="00744684" w:rsidP="00EB778D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morfologia krwi z rozmazem;</w:t>
            </w:r>
          </w:p>
          <w:p w14:paraId="58AB1267" w14:textId="77777777" w:rsidR="00744684" w:rsidRPr="00EB778D" w:rsidRDefault="00744684" w:rsidP="00EB778D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stężenia:</w:t>
            </w:r>
          </w:p>
          <w:p w14:paraId="35EDEA56" w14:textId="77777777" w:rsidR="00744684" w:rsidRPr="00EB778D" w:rsidRDefault="00744684" w:rsidP="00EB778D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kreatyniny, </w:t>
            </w:r>
          </w:p>
          <w:p w14:paraId="0343B4D2" w14:textId="77777777" w:rsidR="00744684" w:rsidRPr="00EB778D" w:rsidRDefault="00744684" w:rsidP="00EB778D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bilirubiny </w:t>
            </w:r>
          </w:p>
          <w:p w14:paraId="577C8C04" w14:textId="77777777" w:rsidR="00744684" w:rsidRPr="00EB778D" w:rsidRDefault="00744684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60146A58" w14:textId="77777777" w:rsidR="00744684" w:rsidRPr="00EB778D" w:rsidRDefault="00744684" w:rsidP="00EB778D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aktywności:</w:t>
            </w:r>
          </w:p>
          <w:p w14:paraId="0A408A3D" w14:textId="77777777" w:rsidR="00744684" w:rsidRPr="00EB778D" w:rsidRDefault="00744684" w:rsidP="00EB778D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transaminaz (AspAT, AlAT),</w:t>
            </w:r>
          </w:p>
          <w:p w14:paraId="6903F896" w14:textId="77777777" w:rsidR="00744684" w:rsidRPr="00EB778D" w:rsidRDefault="00744684" w:rsidP="00EB778D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fosfatazy alkalicznej</w:t>
            </w:r>
          </w:p>
          <w:p w14:paraId="586475B2" w14:textId="77777777" w:rsidR="00744684" w:rsidRPr="00EB778D" w:rsidRDefault="00744684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21041A63" w14:textId="77777777" w:rsidR="00744684" w:rsidRPr="00EB778D" w:rsidRDefault="00744684" w:rsidP="00EB778D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ogólne moczu;</w:t>
            </w:r>
          </w:p>
          <w:p w14:paraId="357510F2" w14:textId="77777777" w:rsidR="00744684" w:rsidRPr="00EB778D" w:rsidRDefault="00744684" w:rsidP="00EB778D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pomiar ciśnienia tętniczego;</w:t>
            </w:r>
          </w:p>
          <w:p w14:paraId="6717EA9B" w14:textId="77777777" w:rsidR="00744684" w:rsidRPr="00EB778D" w:rsidRDefault="00744684" w:rsidP="00EB778D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inne badanie w razie wskazań klinicznych.</w:t>
            </w:r>
          </w:p>
          <w:p w14:paraId="1B901C38" w14:textId="25FF43E3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Badanie morfologii krwi, oznaczenie stężenia kreatyniny oraz pomiar ciśnienia tętniczego wykonuje się przed rozpoczęciem każdego cyklu leczenia, a pozostałe badania przed rozpoczęciem co drugiego cyklu leczenia. Badania należy zawsze wykonać w przypadku wskazań klinicznych.</w:t>
            </w:r>
          </w:p>
          <w:p w14:paraId="4CDC33A8" w14:textId="77777777" w:rsidR="00A175BB" w:rsidRPr="00EB778D" w:rsidRDefault="00A175BB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2975701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>Monitorowanie bezpieczeństwa leczenia afliberceptem:</w:t>
            </w:r>
          </w:p>
          <w:p w14:paraId="02F17FDC" w14:textId="77777777" w:rsidR="00744684" w:rsidRPr="00EB778D" w:rsidRDefault="00744684" w:rsidP="00EB778D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morfologia krwi z rozmazem;</w:t>
            </w:r>
          </w:p>
          <w:p w14:paraId="05C2BAC6" w14:textId="77777777" w:rsidR="00744684" w:rsidRPr="00EB778D" w:rsidRDefault="00744684" w:rsidP="00EB778D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stężenia:</w:t>
            </w:r>
          </w:p>
          <w:p w14:paraId="1A83E99C" w14:textId="77777777" w:rsidR="00744684" w:rsidRPr="00EB778D" w:rsidRDefault="00744684" w:rsidP="00EB778D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kreatyniny, </w:t>
            </w:r>
          </w:p>
          <w:p w14:paraId="51A5D3E9" w14:textId="77777777" w:rsidR="00744684" w:rsidRPr="00EB778D" w:rsidRDefault="00744684" w:rsidP="00EB778D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bilirubiny </w:t>
            </w:r>
          </w:p>
          <w:p w14:paraId="61BF7449" w14:textId="77777777" w:rsidR="00744684" w:rsidRPr="00EB778D" w:rsidRDefault="00744684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08DD0690" w14:textId="77777777" w:rsidR="00744684" w:rsidRPr="00EB778D" w:rsidRDefault="00744684" w:rsidP="00EB778D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oznaczenie aktywności:</w:t>
            </w:r>
          </w:p>
          <w:p w14:paraId="22518753" w14:textId="77777777" w:rsidR="00744684" w:rsidRPr="00EB778D" w:rsidRDefault="00744684" w:rsidP="00EB778D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transaminaz (AspAT, AlAT),</w:t>
            </w:r>
          </w:p>
          <w:p w14:paraId="2CC139CB" w14:textId="77777777" w:rsidR="00744684" w:rsidRPr="00EB778D" w:rsidRDefault="00744684" w:rsidP="00EB778D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fosfatazy alkalicznej</w:t>
            </w:r>
          </w:p>
          <w:p w14:paraId="0BD2F4E5" w14:textId="77777777" w:rsidR="00744684" w:rsidRPr="00EB778D" w:rsidRDefault="00744684" w:rsidP="00EB778D">
            <w:pPr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– w surowicy;</w:t>
            </w:r>
          </w:p>
          <w:p w14:paraId="3709A7FE" w14:textId="77777777" w:rsidR="00744684" w:rsidRPr="00EB778D" w:rsidRDefault="00744684" w:rsidP="00EB778D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ogólne moczu;</w:t>
            </w:r>
          </w:p>
          <w:p w14:paraId="087E9AF6" w14:textId="77777777" w:rsidR="00744684" w:rsidRPr="00EB778D" w:rsidRDefault="00744684" w:rsidP="00EB778D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pomiar ciśnienia tętniczego;</w:t>
            </w:r>
          </w:p>
          <w:p w14:paraId="7C0B811E" w14:textId="77777777" w:rsidR="00744684" w:rsidRPr="00EB778D" w:rsidRDefault="00744684" w:rsidP="00EB778D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inne badanie w razie wskazań klinicznych.</w:t>
            </w:r>
          </w:p>
          <w:p w14:paraId="60654D1D" w14:textId="0F12E946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Morfologię krwi z rozmazem wykonuje się w odstępach 2-tygodniowych lub przed rozpoczęciem kolejnego cyklu leczenia jeżeli podanie leku było opóźnione . Pozostałe badania wykonuje się w odstępach 4-tygodniowych (co drugi cykl leczenia) lub przed rozpoczęciem kolejnego cyklu terapii jeżeli podanie leku było opóźnione lub w przypadku zaistnienia wskazań klinicznych.</w:t>
            </w:r>
          </w:p>
          <w:p w14:paraId="638BDAA0" w14:textId="77777777" w:rsidR="00A175BB" w:rsidRPr="00EB778D" w:rsidRDefault="00A175BB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4C3D0F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>Monitorowanie skuteczności leczenia afliberceptem, bewacyzumabem, cetuksymabem lub panitumumabem:</w:t>
            </w:r>
          </w:p>
          <w:p w14:paraId="6CCF3506" w14:textId="77777777" w:rsidR="00744684" w:rsidRPr="00EB778D" w:rsidRDefault="00744684" w:rsidP="00EB778D">
            <w:pPr>
              <w:numPr>
                <w:ilvl w:val="2"/>
                <w:numId w:val="18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badanie KT odpowiednich obszarów ciała w zależności od wskazań klinicznych; </w:t>
            </w:r>
          </w:p>
          <w:p w14:paraId="64321972" w14:textId="77777777" w:rsidR="00744684" w:rsidRPr="00EB778D" w:rsidRDefault="00744684" w:rsidP="00EB778D">
            <w:pPr>
              <w:numPr>
                <w:ilvl w:val="2"/>
                <w:numId w:val="18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RTG klatki piersiowej – jeżeli nie jest wykonywane badanie KT klatki piersiowej;</w:t>
            </w:r>
          </w:p>
          <w:p w14:paraId="71070466" w14:textId="77777777" w:rsidR="00744684" w:rsidRPr="00EB778D" w:rsidRDefault="00744684" w:rsidP="00EB778D">
            <w:pPr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inne badania w razie wskazań klinicznych.</w:t>
            </w:r>
          </w:p>
          <w:p w14:paraId="3540C307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Badania wykonuje się:</w:t>
            </w:r>
          </w:p>
          <w:p w14:paraId="1086B4B2" w14:textId="77777777" w:rsidR="00744684" w:rsidRPr="00EB778D" w:rsidRDefault="00744684" w:rsidP="00EB778D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nie rzadziej niż w odstępach 12-tygodniowych z możliwością 2-tygodniowego opóźnienia daty wykonania w przypadkach uzasadnionych przesunięć w realizowaniu leczenia;</w:t>
            </w:r>
          </w:p>
          <w:p w14:paraId="1ACEB947" w14:textId="77777777" w:rsidR="00744684" w:rsidRPr="00EB778D" w:rsidRDefault="00744684" w:rsidP="00EB778D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w chwili wyłączenia z programu, o ile nastąpiło z innych przyczyn niż udokumentowana progresja choroby;</w:t>
            </w:r>
          </w:p>
          <w:p w14:paraId="07A69D82" w14:textId="77777777" w:rsidR="00744684" w:rsidRPr="00EB778D" w:rsidRDefault="00744684" w:rsidP="00EB778D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zawsze w przypadku wskazań klinicznych.</w:t>
            </w:r>
          </w:p>
          <w:p w14:paraId="1DF526FF" w14:textId="2535A59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Oceny skuteczności leczenia dokonuje się zgodnie z kryteriami RECIST.</w:t>
            </w:r>
          </w:p>
          <w:p w14:paraId="161E4F86" w14:textId="77777777" w:rsidR="00A175BB" w:rsidRPr="00EB778D" w:rsidRDefault="00A175BB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0E5C2E7" w14:textId="77777777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>Monitorowanie leczenia terapią skojarzoną triflurydyną oraz typiracylem</w:t>
            </w:r>
          </w:p>
          <w:p w14:paraId="6972EF95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Badanie przeprowadzane przed każdym cyklem podania leku:</w:t>
            </w:r>
          </w:p>
          <w:p w14:paraId="795E14E5" w14:textId="77777777" w:rsidR="00744684" w:rsidRPr="00EB778D" w:rsidRDefault="00744684" w:rsidP="00EB778D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morfologia krwi z rozmazem;</w:t>
            </w:r>
          </w:p>
          <w:p w14:paraId="2954995E" w14:textId="77777777" w:rsidR="00744684" w:rsidRPr="00EB778D" w:rsidRDefault="00744684" w:rsidP="00EB778D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bilirubiny całkowitej;</w:t>
            </w:r>
          </w:p>
          <w:p w14:paraId="2D8C6E83" w14:textId="77777777" w:rsidR="00744684" w:rsidRPr="00EB778D" w:rsidRDefault="00744684" w:rsidP="00EB778D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stężenie kreatyniny;</w:t>
            </w:r>
          </w:p>
          <w:p w14:paraId="7F785660" w14:textId="77777777" w:rsidR="00744684" w:rsidRPr="00EB778D" w:rsidRDefault="00744684" w:rsidP="00EB778D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aktywność transaminaz (AspAT, AlAT);</w:t>
            </w:r>
          </w:p>
          <w:p w14:paraId="4696A952" w14:textId="77777777" w:rsidR="00744684" w:rsidRPr="00EB778D" w:rsidRDefault="00744684" w:rsidP="00EB778D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badanie ogólne moczu; </w:t>
            </w:r>
          </w:p>
          <w:p w14:paraId="1CEA7FCA" w14:textId="77777777" w:rsidR="00744684" w:rsidRPr="00EB778D" w:rsidRDefault="00744684" w:rsidP="00EB778D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Odpowiednie badania obrazowe wykonywane nie rzadziej niż co 8 tygodni lub w razie podejrzenia progresji choroby.</w:t>
            </w:r>
          </w:p>
          <w:p w14:paraId="6B35296B" w14:textId="05A29F35" w:rsidR="00744684" w:rsidRPr="00EB778D" w:rsidRDefault="00744684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Monitorowanie skuteczności i bezpieczeństwa leczenia pacjentów, o których mowa w sekcji Świadczeniobiorcy </w:t>
            </w:r>
            <w:r w:rsidR="00A46F15" w:rsidRPr="00EB778D">
              <w:rPr>
                <w:b/>
                <w:color w:val="000000" w:themeColor="text1"/>
                <w:sz w:val="20"/>
                <w:szCs w:val="20"/>
              </w:rPr>
              <w:t>IX</w:t>
            </w:r>
            <w:r w:rsidRPr="00EB778D">
              <w:rPr>
                <w:b/>
                <w:color w:val="000000" w:themeColor="text1"/>
                <w:sz w:val="20"/>
                <w:szCs w:val="20"/>
              </w:rPr>
              <w:t xml:space="preserve"> pkt. 1, powinno być prowadzone jednakowo jak w przypadku pozostałych pacjentów.</w:t>
            </w:r>
          </w:p>
          <w:p w14:paraId="4AC26149" w14:textId="77777777" w:rsidR="00A175BB" w:rsidRPr="00EB778D" w:rsidRDefault="00A175BB" w:rsidP="00EB778D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7182E12F" w14:textId="3C9E72A2" w:rsidR="00744684" w:rsidRPr="00EB778D" w:rsidRDefault="00744684" w:rsidP="00EB778D">
            <w:pPr>
              <w:widowControl w:val="0"/>
              <w:spacing w:after="60" w:line="276" w:lineRule="auto"/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EB778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Monitorowanie programu</w:t>
            </w:r>
          </w:p>
          <w:p w14:paraId="4505B6E5" w14:textId="305E1114" w:rsidR="00744684" w:rsidRPr="00EB778D" w:rsidRDefault="00600A6E" w:rsidP="00EB778D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G</w:t>
            </w:r>
            <w:r w:rsidR="00744684" w:rsidRPr="00EB778D">
              <w:rPr>
                <w:color w:val="000000" w:themeColor="text1"/>
                <w:sz w:val="20"/>
                <w:szCs w:val="20"/>
              </w:rPr>
              <w:t>romadzenie w dokumentacji medycznej danych dotyczących monitorowania leczenia i każdorazowe ich przedstawianie na żądanie kontrolerów Narodowego Funduszu Zdrowia;</w:t>
            </w:r>
          </w:p>
          <w:p w14:paraId="07463B8C" w14:textId="131B3FEB" w:rsidR="00744684" w:rsidRPr="00EB778D" w:rsidRDefault="00600A6E" w:rsidP="00EB778D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U</w:t>
            </w:r>
            <w:r w:rsidR="00744684" w:rsidRPr="00EB778D">
              <w:rPr>
                <w:color w:val="000000" w:themeColor="text1"/>
                <w:sz w:val="20"/>
                <w:szCs w:val="20"/>
              </w:rPr>
              <w:t>zupełnianie danych zawartych w rejestrze (SMPT) dostępnym za pomocą aplikacji internetowej udostępnionej przez OW NFZ, z częstotliwością zgodną z opisem programu oraz na zakończenie leczenia;</w:t>
            </w:r>
          </w:p>
          <w:p w14:paraId="2C6720DC" w14:textId="35D73F69" w:rsidR="00744684" w:rsidRPr="00EB778D" w:rsidRDefault="00600A6E" w:rsidP="00EB778D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>P</w:t>
            </w:r>
            <w:r w:rsidR="00744684" w:rsidRPr="00EB778D">
              <w:rPr>
                <w:color w:val="000000" w:themeColor="text1"/>
                <w:sz w:val="20"/>
                <w:szCs w:val="20"/>
              </w:rPr>
              <w:t>rzekazywanie informacji sprawozdawczo-rozliczeniowych do NFZ (informacje przekazuje się do NFZ w formie papierowej lub w formie elektronicznej) zgodnie z wymaganiami opublikowanymi przez NFZ;</w:t>
            </w:r>
          </w:p>
          <w:p w14:paraId="0B6457D7" w14:textId="0723F31F" w:rsidR="00744684" w:rsidRPr="00EB778D" w:rsidRDefault="00744684" w:rsidP="00EB778D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778D">
              <w:rPr>
                <w:color w:val="000000" w:themeColor="text1"/>
                <w:sz w:val="20"/>
                <w:szCs w:val="20"/>
              </w:rPr>
              <w:t xml:space="preserve">W przypadku pacjentów, o których mowa w sekcji Świadczeniobiorcy </w:t>
            </w:r>
            <w:r w:rsidR="00600A6E" w:rsidRPr="00EB778D">
              <w:rPr>
                <w:color w:val="000000" w:themeColor="text1"/>
                <w:sz w:val="20"/>
                <w:szCs w:val="20"/>
              </w:rPr>
              <w:t>IX</w:t>
            </w:r>
            <w:r w:rsidRPr="00EB778D">
              <w:rPr>
                <w:color w:val="000000" w:themeColor="text1"/>
                <w:sz w:val="20"/>
                <w:szCs w:val="20"/>
              </w:rPr>
              <w:t xml:space="preserve"> pkt. 1, nie jest wymagane uzupełnianie danych i informacji w elektronicznym systemie monitorowania </w:t>
            </w:r>
            <w:r w:rsidRPr="00EB778D">
              <w:rPr>
                <w:color w:val="000000" w:themeColor="text1"/>
                <w:sz w:val="20"/>
                <w:szCs w:val="20"/>
              </w:rPr>
              <w:lastRenderedPageBreak/>
              <w:t>programów lekowych.</w:t>
            </w:r>
          </w:p>
        </w:tc>
      </w:tr>
    </w:tbl>
    <w:p w14:paraId="1400B7D0" w14:textId="77777777" w:rsidR="00221D34" w:rsidRPr="00637F74" w:rsidRDefault="00221D34" w:rsidP="00637F74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</w:p>
    <w:sectPr w:rsidR="00221D34" w:rsidRPr="00637F74" w:rsidSect="00471B0F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8299" w14:textId="77777777" w:rsidR="0083566D" w:rsidRDefault="0083566D" w:rsidP="00BF49D7">
      <w:r>
        <w:separator/>
      </w:r>
    </w:p>
  </w:endnote>
  <w:endnote w:type="continuationSeparator" w:id="0">
    <w:p w14:paraId="43A9CF18" w14:textId="77777777" w:rsidR="0083566D" w:rsidRDefault="0083566D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40AB" w14:textId="77777777" w:rsidR="0083566D" w:rsidRDefault="0083566D" w:rsidP="00BF49D7">
      <w:r>
        <w:separator/>
      </w:r>
    </w:p>
  </w:footnote>
  <w:footnote w:type="continuationSeparator" w:id="0">
    <w:p w14:paraId="123F6AC4" w14:textId="77777777" w:rsidR="0083566D" w:rsidRDefault="0083566D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BB0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D150C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85C2EB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9366C69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A7D72FF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2BA6497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5D21609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AF41CA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F06272D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F6C0F15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FE80FC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6FE723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3EC8462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41C32AB1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48A2350B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4FF53C78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55A30A92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5E482C67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68780DD3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698D0A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5D53FA2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6"/>
  </w:num>
  <w:num w:numId="5">
    <w:abstractNumId w:val="8"/>
  </w:num>
  <w:num w:numId="6">
    <w:abstractNumId w:val="17"/>
  </w:num>
  <w:num w:numId="7">
    <w:abstractNumId w:val="4"/>
  </w:num>
  <w:num w:numId="8">
    <w:abstractNumId w:val="10"/>
  </w:num>
  <w:num w:numId="9">
    <w:abstractNumId w:val="12"/>
  </w:num>
  <w:num w:numId="10">
    <w:abstractNumId w:val="18"/>
  </w:num>
  <w:num w:numId="11">
    <w:abstractNumId w:val="7"/>
  </w:num>
  <w:num w:numId="12">
    <w:abstractNumId w:val="15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2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5927"/>
    <w:rsid w:val="000814F5"/>
    <w:rsid w:val="00084FB8"/>
    <w:rsid w:val="000924C8"/>
    <w:rsid w:val="000A79AC"/>
    <w:rsid w:val="000B7CD7"/>
    <w:rsid w:val="000C0596"/>
    <w:rsid w:val="000C36D5"/>
    <w:rsid w:val="000C4794"/>
    <w:rsid w:val="000D5952"/>
    <w:rsid w:val="00106628"/>
    <w:rsid w:val="00133821"/>
    <w:rsid w:val="001349B5"/>
    <w:rsid w:val="001361F1"/>
    <w:rsid w:val="00144C47"/>
    <w:rsid w:val="001824BF"/>
    <w:rsid w:val="0019143B"/>
    <w:rsid w:val="00196B54"/>
    <w:rsid w:val="001B67B4"/>
    <w:rsid w:val="001E3B74"/>
    <w:rsid w:val="001E3E14"/>
    <w:rsid w:val="001F2F10"/>
    <w:rsid w:val="001F5BC8"/>
    <w:rsid w:val="00207BD0"/>
    <w:rsid w:val="00221D34"/>
    <w:rsid w:val="0025290F"/>
    <w:rsid w:val="002616CC"/>
    <w:rsid w:val="00262C65"/>
    <w:rsid w:val="00265363"/>
    <w:rsid w:val="002769B0"/>
    <w:rsid w:val="0028213B"/>
    <w:rsid w:val="00286C22"/>
    <w:rsid w:val="002B3B8C"/>
    <w:rsid w:val="002B44DE"/>
    <w:rsid w:val="00330EF9"/>
    <w:rsid w:val="00346922"/>
    <w:rsid w:val="003542D8"/>
    <w:rsid w:val="00354CB4"/>
    <w:rsid w:val="003572AF"/>
    <w:rsid w:val="003A00F3"/>
    <w:rsid w:val="003B7CF8"/>
    <w:rsid w:val="003D03C4"/>
    <w:rsid w:val="003F28F7"/>
    <w:rsid w:val="003F4A58"/>
    <w:rsid w:val="00405CAB"/>
    <w:rsid w:val="004311BB"/>
    <w:rsid w:val="00437C4B"/>
    <w:rsid w:val="00471B0F"/>
    <w:rsid w:val="00472B65"/>
    <w:rsid w:val="004853F8"/>
    <w:rsid w:val="00486F50"/>
    <w:rsid w:val="00497A25"/>
    <w:rsid w:val="004A797A"/>
    <w:rsid w:val="004B0757"/>
    <w:rsid w:val="004B4866"/>
    <w:rsid w:val="004D5AE7"/>
    <w:rsid w:val="005026EF"/>
    <w:rsid w:val="00512373"/>
    <w:rsid w:val="00523C92"/>
    <w:rsid w:val="00537404"/>
    <w:rsid w:val="00547315"/>
    <w:rsid w:val="00564A05"/>
    <w:rsid w:val="00565830"/>
    <w:rsid w:val="005E3710"/>
    <w:rsid w:val="00600A6E"/>
    <w:rsid w:val="00604B8D"/>
    <w:rsid w:val="00627BDE"/>
    <w:rsid w:val="006333EE"/>
    <w:rsid w:val="00637F74"/>
    <w:rsid w:val="00642045"/>
    <w:rsid w:val="00642C07"/>
    <w:rsid w:val="00653E18"/>
    <w:rsid w:val="00660EF0"/>
    <w:rsid w:val="0068241A"/>
    <w:rsid w:val="00690FA9"/>
    <w:rsid w:val="006B5357"/>
    <w:rsid w:val="00743C43"/>
    <w:rsid w:val="00744684"/>
    <w:rsid w:val="0074778E"/>
    <w:rsid w:val="00765458"/>
    <w:rsid w:val="00766318"/>
    <w:rsid w:val="00786E34"/>
    <w:rsid w:val="007B34F4"/>
    <w:rsid w:val="007B56D4"/>
    <w:rsid w:val="007C2836"/>
    <w:rsid w:val="007D188D"/>
    <w:rsid w:val="007F66F8"/>
    <w:rsid w:val="008026DC"/>
    <w:rsid w:val="008118B8"/>
    <w:rsid w:val="00830520"/>
    <w:rsid w:val="0083097B"/>
    <w:rsid w:val="0083566D"/>
    <w:rsid w:val="00864948"/>
    <w:rsid w:val="008B6EA7"/>
    <w:rsid w:val="008C3D22"/>
    <w:rsid w:val="008D4287"/>
    <w:rsid w:val="008E4AB6"/>
    <w:rsid w:val="008F26E6"/>
    <w:rsid w:val="009116A6"/>
    <w:rsid w:val="009341E7"/>
    <w:rsid w:val="00936C94"/>
    <w:rsid w:val="009530A8"/>
    <w:rsid w:val="00963F9B"/>
    <w:rsid w:val="00966F29"/>
    <w:rsid w:val="00977709"/>
    <w:rsid w:val="009878D2"/>
    <w:rsid w:val="009A0663"/>
    <w:rsid w:val="009B4469"/>
    <w:rsid w:val="009B538D"/>
    <w:rsid w:val="009F39DF"/>
    <w:rsid w:val="009F538F"/>
    <w:rsid w:val="00A13920"/>
    <w:rsid w:val="00A175BB"/>
    <w:rsid w:val="00A23F3F"/>
    <w:rsid w:val="00A3344E"/>
    <w:rsid w:val="00A46F15"/>
    <w:rsid w:val="00A53D42"/>
    <w:rsid w:val="00A6241F"/>
    <w:rsid w:val="00A643FC"/>
    <w:rsid w:val="00A70DFE"/>
    <w:rsid w:val="00AC568E"/>
    <w:rsid w:val="00AC597A"/>
    <w:rsid w:val="00AF0963"/>
    <w:rsid w:val="00AF4EA2"/>
    <w:rsid w:val="00B11596"/>
    <w:rsid w:val="00B152A6"/>
    <w:rsid w:val="00B2755F"/>
    <w:rsid w:val="00B42D08"/>
    <w:rsid w:val="00B53728"/>
    <w:rsid w:val="00B819C7"/>
    <w:rsid w:val="00B900A4"/>
    <w:rsid w:val="00B90EB7"/>
    <w:rsid w:val="00BB08D1"/>
    <w:rsid w:val="00BC6CF9"/>
    <w:rsid w:val="00BD51B5"/>
    <w:rsid w:val="00BE06EC"/>
    <w:rsid w:val="00BF49D7"/>
    <w:rsid w:val="00C07DA7"/>
    <w:rsid w:val="00C2457C"/>
    <w:rsid w:val="00C2602F"/>
    <w:rsid w:val="00C401F8"/>
    <w:rsid w:val="00C43C2B"/>
    <w:rsid w:val="00C60F36"/>
    <w:rsid w:val="00C71B35"/>
    <w:rsid w:val="00C82603"/>
    <w:rsid w:val="00C93F83"/>
    <w:rsid w:val="00CA491B"/>
    <w:rsid w:val="00CB257E"/>
    <w:rsid w:val="00CB3D45"/>
    <w:rsid w:val="00CB5855"/>
    <w:rsid w:val="00CF4389"/>
    <w:rsid w:val="00CF687B"/>
    <w:rsid w:val="00D1157B"/>
    <w:rsid w:val="00D17E33"/>
    <w:rsid w:val="00D2164A"/>
    <w:rsid w:val="00D24D72"/>
    <w:rsid w:val="00D45995"/>
    <w:rsid w:val="00D46159"/>
    <w:rsid w:val="00D618E1"/>
    <w:rsid w:val="00D81B25"/>
    <w:rsid w:val="00DA24DF"/>
    <w:rsid w:val="00DA6460"/>
    <w:rsid w:val="00DC351C"/>
    <w:rsid w:val="00DD03AB"/>
    <w:rsid w:val="00E05EF9"/>
    <w:rsid w:val="00E23E9D"/>
    <w:rsid w:val="00E248EA"/>
    <w:rsid w:val="00E27612"/>
    <w:rsid w:val="00E331E3"/>
    <w:rsid w:val="00E43594"/>
    <w:rsid w:val="00E555BD"/>
    <w:rsid w:val="00E56687"/>
    <w:rsid w:val="00E751B0"/>
    <w:rsid w:val="00E7549C"/>
    <w:rsid w:val="00EB744E"/>
    <w:rsid w:val="00EB778D"/>
    <w:rsid w:val="00EC0D2A"/>
    <w:rsid w:val="00EC3898"/>
    <w:rsid w:val="00ED6C7A"/>
    <w:rsid w:val="00EE46A8"/>
    <w:rsid w:val="00F1486A"/>
    <w:rsid w:val="00F375E7"/>
    <w:rsid w:val="00F579BF"/>
    <w:rsid w:val="00F67349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C8ABF3"/>
  <w15:docId w15:val="{43EFE97B-0737-4B4E-9299-490AB5B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9845B5521B84E915E5A2165E0F2F3" ma:contentTypeVersion="12" ma:contentTypeDescription="Create a new document." ma:contentTypeScope="" ma:versionID="fc4b521961d5b2544a42b95acdc2153f">
  <xsd:schema xmlns:xsd="http://www.w3.org/2001/XMLSchema" xmlns:xs="http://www.w3.org/2001/XMLSchema" xmlns:p="http://schemas.microsoft.com/office/2006/metadata/properties" xmlns:ns3="ba1578fc-93ab-4f63-be22-2218f9cfb4a7" xmlns:ns4="503145e6-b5dd-4d1d-ad5e-f568aa3c319c" targetNamespace="http://schemas.microsoft.com/office/2006/metadata/properties" ma:root="true" ma:fieldsID="954101eb4452529b26714a2051d2e97b" ns3:_="" ns4:_="">
    <xsd:import namespace="ba1578fc-93ab-4f63-be22-2218f9cfb4a7"/>
    <xsd:import namespace="503145e6-b5dd-4d1d-ad5e-f568aa3c3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78fc-93ab-4f63-be22-2218f9cf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45e6-b5dd-4d1d-ad5e-f568aa3c3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17709-E74D-419D-AD1D-2FD82237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578fc-93ab-4f63-be22-2218f9cfb4a7"/>
    <ds:schemaRef ds:uri="503145e6-b5dd-4d1d-ad5e-f568aa3c3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EF235-A98F-4DC2-B60C-F5177C9BBC9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181328F-5E8C-4662-90F8-13AC95AB1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112F9-B066-4E3F-9604-189854176215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a1578fc-93ab-4f63-be22-2218f9cfb4a7"/>
    <ds:schemaRef ds:uri="http://purl.org/dc/terms/"/>
    <ds:schemaRef ds:uri="http://schemas.microsoft.com/office/2006/metadata/properties"/>
    <ds:schemaRef ds:uri="http://schemas.microsoft.com/office/2006/documentManagement/types"/>
    <ds:schemaRef ds:uri="503145e6-b5dd-4d1d-ad5e-f568aa3c319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099687B-7112-4FF6-A0C1-56BB9A531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4793</Words>
  <Characters>28764</Characters>
  <Application>Microsoft Office Word</Application>
  <DocSecurity>0</DocSecurity>
  <Lines>239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decyzji</vt:lpstr>
      <vt:lpstr>Załącznik do decyzji</vt:lpstr>
    </vt:vector>
  </TitlesOfParts>
  <Company>Ministerstwo Zdrowia</Company>
  <LinksUpToDate>false</LinksUpToDate>
  <CharactersWithSpaces>33491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keywords>*$%PUB-*$%GenBus</cp:keywords>
  <cp:lastModifiedBy>Królak-Buzakowska Joanna</cp:lastModifiedBy>
  <cp:revision>4</cp:revision>
  <cp:lastPrinted>2014-05-08T07:00:00Z</cp:lastPrinted>
  <dcterms:created xsi:type="dcterms:W3CDTF">2021-08-10T09:26:00Z</dcterms:created>
  <dcterms:modified xsi:type="dcterms:W3CDTF">2021-08-16T08:22:00Z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e976d70d-0929-48a1-afa7-2e08859931eb</vt:lpwstr>
  </property>
  <property fmtid="{D5CDD505-2E9C-101B-9397-08002B2CF9AE}" pid="3" name="bjSaver">
    <vt:lpwstr>gvOuDYKqgnC+Ol8ZjbLxz0roa12XtkNn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6" name="bjDocumentSecurityLabel">
    <vt:lpwstr>Public - General Business</vt:lpwstr>
  </property>
  <property fmtid="{D5CDD505-2E9C-101B-9397-08002B2CF9AE}" pid="7" name="ContentTypeId">
    <vt:lpwstr>0x0101001D39845B5521B84E915E5A2165E0F2F3</vt:lpwstr>
  </property>
</Properties>
</file>