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21" w:type="pct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9"/>
        <w:gridCol w:w="7668"/>
      </w:tblGrid>
      <w:tr w:rsidR="005343EC" w:rsidRPr="00A53414" w:rsidTr="00677724">
        <w:trPr>
          <w:trHeight w:hRule="exact" w:val="293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E518C7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5343EC" w:rsidP="007F415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E518C7">
              <w:rPr>
                <w:rFonts w:ascii="Arial" w:hAnsi="Arial" w:cs="Arial"/>
                <w:b/>
                <w:szCs w:val="20"/>
              </w:rPr>
              <w:t>09.4</w:t>
            </w:r>
            <w:r w:rsidR="007F4157" w:rsidRPr="00E518C7">
              <w:rPr>
                <w:rFonts w:ascii="Arial" w:hAnsi="Arial" w:cs="Arial"/>
                <w:b/>
                <w:szCs w:val="20"/>
              </w:rPr>
              <w:t>280</w:t>
            </w:r>
          </w:p>
        </w:tc>
      </w:tr>
      <w:tr w:rsidR="005343EC" w:rsidRPr="00A67844" w:rsidTr="008008AB">
        <w:trPr>
          <w:trHeight w:hRule="exact" w:val="3728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E57269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Kompleksowa umowa gospodarczo-handlowa </w:t>
            </w: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(CETA) między Kanadą, z jednej strony, a Unią Europejską i jej państwami członkowskimi, z drugiej strony, której tymczasowe stosowanie zostało zatwierdzone decyzją Rady (UE) 2017/38</w:t>
            </w:r>
          </w:p>
          <w:p w:rsidR="00E57269" w:rsidRPr="00E518C7" w:rsidRDefault="00E57269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5343EC" w:rsidRPr="00E518C7" w:rsidRDefault="005343EC" w:rsidP="00677724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5343EC" w:rsidRDefault="005343EC" w:rsidP="00677724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E518C7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E518C7">
              <w:rPr>
                <w:rStyle w:val="Hipercze"/>
                <w:rFonts w:ascii="Arial" w:hAnsi="Arial" w:cs="Arial"/>
                <w:color w:val="000000" w:themeColor="text1"/>
                <w:szCs w:val="20"/>
              </w:rPr>
              <w:t>administrowania kontyngentami taryfowymi przy wykorzystaniu pozwoleń.</w:t>
            </w:r>
          </w:p>
          <w:p w:rsidR="008008AB" w:rsidRPr="00E518C7" w:rsidRDefault="008008AB" w:rsidP="00677724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</w:p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5343EC" w:rsidRPr="00A67844" w:rsidTr="008008AB">
        <w:trPr>
          <w:trHeight w:hRule="exact" w:val="681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E57269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stycznia do 31 grudnia</w:t>
            </w:r>
          </w:p>
        </w:tc>
      </w:tr>
      <w:tr w:rsidR="005343EC" w:rsidRPr="00A67844" w:rsidTr="008008AB">
        <w:trPr>
          <w:trHeight w:hRule="exact" w:val="1410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E57269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stycznia do 31 marca</w:t>
            </w: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kwietnia do 30 czerwca</w:t>
            </w: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lipca do 30 września</w:t>
            </w: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października do 31 grudnia</w:t>
            </w:r>
          </w:p>
        </w:tc>
      </w:tr>
      <w:tr w:rsidR="005343EC" w:rsidRPr="00A67844" w:rsidTr="00F33B98">
        <w:trPr>
          <w:trHeight w:hRule="exact" w:val="4459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66739F" w:rsidRPr="0066739F" w:rsidRDefault="0066739F" w:rsidP="0066739F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66739F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 o pozwolenie mogą składać przedsiębiorcy, którzy mają siedzibę </w:t>
            </w:r>
            <w:r w:rsidRPr="0066739F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br/>
              <w:t>i są zarejestrowani do celów podatku VAT w Polsce.</w:t>
            </w:r>
          </w:p>
          <w:p w:rsidR="005343EC" w:rsidRPr="00E518C7" w:rsidRDefault="005343EC" w:rsidP="0067772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Wnioski składa się w ciągu pierwszych siedmiu dni kalendarzowych drugiego miesiąca poprzedzającego każdy z podokresów.</w:t>
            </w:r>
          </w:p>
          <w:p w:rsidR="005343EC" w:rsidRPr="00E518C7" w:rsidRDefault="005343EC" w:rsidP="0067772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Wnioski o pozwolenia, których ważność rozpoczyna się z dniem 1 stycznia, składa się między 23 i 30 listopada roku poprzedzającego. W listopadzie podmioty mogą składać dwa wnioski na każdy kontyngent taryfowy: jeden wniosek o pozwolenie ważny od grudnia i jeden wniosek o pozwolenie ważny od stycznia.</w:t>
            </w:r>
          </w:p>
          <w:p w:rsidR="005343EC" w:rsidRPr="00E518C7" w:rsidRDefault="005343EC" w:rsidP="0067772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5343EC" w:rsidRDefault="005343EC" w:rsidP="00677724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Jeżeli po upływie pierwszego okresu składania wniosków w ramach danego podokresu pozostały dostępne ilości, kwalifikujący się wnioskodawcy mogą składać nowe wnioski o pozwolenie na przywóz w trakcie dwóch kolejnych okresów składania wniosków, zgodnie z art. 6 rozporządzenia 2020/761 z dnia 17 grudnia 2019 r. W takich przypadkach podmioty prowadzące przedsiębiorstwo spożywcze z zakładami zatwierdzonymi zgodnie z art. 4 rozporządzenia (WE) nr 853/2004 mogą składać wnioski bez konieczności przedstawiania dowodu handlu</w:t>
            </w:r>
            <w:r w:rsidR="00BD5275">
              <w:rPr>
                <w:rFonts w:ascii="Arial" w:hAnsi="Arial" w:cs="Arial"/>
                <w:szCs w:val="20"/>
              </w:rPr>
              <w:t>.</w:t>
            </w:r>
          </w:p>
          <w:p w:rsidR="00BD5275" w:rsidRDefault="00BD5275" w:rsidP="00677724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BD5275" w:rsidRPr="00BD5275" w:rsidRDefault="00BD5275" w:rsidP="00677724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BD5275">
              <w:rPr>
                <w:rFonts w:ascii="Arial" w:hAnsi="Arial" w:cs="Arial"/>
              </w:rPr>
              <w:t>Pozwolenia na przywóz wydaje się od 23. dnia miesiąca do końca miesiąca, w którym złożono wniosek.</w:t>
            </w:r>
          </w:p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5343EC" w:rsidRPr="00A67844" w:rsidTr="00E57269">
        <w:trPr>
          <w:trHeight w:hRule="exact" w:val="485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E57269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Mięso z bydła, z wyjątkiem mięsa bizona, świeże lub schłodzone</w:t>
            </w:r>
          </w:p>
        </w:tc>
      </w:tr>
      <w:tr w:rsidR="005343EC" w:rsidRPr="00A67844" w:rsidTr="008008AB">
        <w:trPr>
          <w:trHeight w:hRule="exact" w:val="532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Kanada</w:t>
            </w:r>
          </w:p>
        </w:tc>
      </w:tr>
      <w:tr w:rsidR="005343EC" w:rsidRPr="00A67844" w:rsidTr="00533BE2">
        <w:trPr>
          <w:trHeight w:hRule="exact" w:val="841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BD5275" w:rsidRDefault="00533BE2" w:rsidP="00533BE2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BD5275">
              <w:rPr>
                <w:rStyle w:val="Teksttreci295ptBezpogrubienia"/>
                <w:rFonts w:ascii="Arial" w:hAnsi="Arial" w:cs="Arial"/>
                <w:b w:val="0"/>
              </w:rPr>
              <w:t>Nie</w:t>
            </w:r>
          </w:p>
        </w:tc>
      </w:tr>
      <w:tr w:rsidR="005343EC" w:rsidRPr="001A4605" w:rsidTr="00533BE2">
        <w:trPr>
          <w:trHeight w:hRule="exact" w:val="2622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E518C7" w:rsidRPr="00E518C7" w:rsidRDefault="00533BE2" w:rsidP="001A460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 -</w:t>
            </w:r>
            <w:r w:rsidR="005343EC"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w</w:t>
            </w:r>
            <w:r w:rsidR="001A4605" w:rsidRPr="00E518C7">
              <w:rPr>
                <w:rFonts w:ascii="Arial" w:hAnsi="Arial" w:cs="Arial"/>
                <w:szCs w:val="20"/>
              </w:rPr>
              <w:t>arunkiem dopuszczenia do obrotu w Unii świeżej i mrożonej wołowiny i cielęciny pochodzących z Kanady jest przedłożenie deklaracji pochodzenia. Deklarację pochodzenia umieszcza się na fakturze lub dowolnym innym dokumencie handlowym, który opisuje produkt pochodzący w stopniu wystarczająco szczegółowym, by umożliwić jego identyfikację. Tekst deklaracji pochodzenia musi być zgodny z brzmieniem podanym w załączniku 2 do Protokołu w sprawie reguł pochodzenia i procedur dotyczących pochodzenia załączonego do Kompleksowej umowy gospodarczo-handlowej między Kanadą, z jednej strony, a Unią Europejską i jej państwami członkowskimi, z drugiej strony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1A4605" w:rsidRPr="00E518C7" w:rsidRDefault="001A4605" w:rsidP="001A4605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5343EC" w:rsidRPr="00A67844" w:rsidTr="008008AB">
        <w:trPr>
          <w:trHeight w:hRule="exact" w:val="3852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lastRenderedPageBreak/>
              <w:t>Ilość w kg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E57269" w:rsidRPr="008008AB" w:rsidRDefault="00E57269" w:rsidP="008008AB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wyraża się w kg (ekwiwalentu masy tuszy)</w:t>
            </w:r>
          </w:p>
          <w:p w:rsidR="00E57269" w:rsidRPr="008008AB" w:rsidRDefault="00E57269" w:rsidP="008008AB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 (rok kalendarzowy) 2019:</w:t>
            </w:r>
            <w:r w:rsidR="00E518C7"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19 580 000 kg</w:t>
            </w:r>
          </w:p>
          <w:p w:rsidR="00E57269" w:rsidRPr="008008AB" w:rsidRDefault="00E57269" w:rsidP="008008AB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 (rok kalendarzowy) 2020:</w:t>
            </w:r>
            <w:r w:rsidR="00E518C7"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24 720 000 kg</w:t>
            </w:r>
          </w:p>
          <w:p w:rsidR="00E57269" w:rsidRPr="008008AB" w:rsidRDefault="00E57269" w:rsidP="008008AB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 (rok kalendarzowy) 2021:</w:t>
            </w:r>
            <w:r w:rsidR="00E518C7"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29 860 000 kg</w:t>
            </w:r>
          </w:p>
          <w:p w:rsidR="00E57269" w:rsidRPr="008008AB" w:rsidRDefault="00E57269" w:rsidP="008008AB">
            <w:pPr>
              <w:spacing w:after="0" w:line="36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 (rok kalendarzowy) od roku 2022: 35 000 000 kg</w:t>
            </w:r>
          </w:p>
          <w:p w:rsidR="00E57269" w:rsidRPr="008008AB" w:rsidRDefault="00E57269" w:rsidP="008008AB">
            <w:pPr>
              <w:spacing w:after="0" w:line="36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Roczna ilość jest podzielona następująco:</w:t>
            </w:r>
          </w:p>
          <w:p w:rsidR="005343EC" w:rsidRPr="00E518C7" w:rsidRDefault="00E57269" w:rsidP="008008AB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25 % przypadające na podokres od 1 stycznia do 31 marca</w:t>
            </w: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25 % przypadające na podokres od 1 kwietnia do 30 czerwca</w:t>
            </w: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25 % przypadające na podokres od 1 lipca do 30 września</w:t>
            </w:r>
            <w:r w:rsidRPr="008008A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25 % przypadające na podokres od 1 października do 31 grudnia</w:t>
            </w:r>
          </w:p>
        </w:tc>
      </w:tr>
      <w:tr w:rsidR="005343EC" w:rsidRPr="00F33B98" w:rsidTr="008008AB">
        <w:trPr>
          <w:trHeight w:hRule="exact" w:val="905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533BE2" w:rsidP="00677724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</w:t>
            </w:r>
            <w:r w:rsidR="00E57269"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x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="00E57269"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02 01 10 00;  Ex02 01 20 20;  Ex02 01 20 30;  Ex02 01 20 50;  Ex02 01 20 90;  Ex02 01 30 00;  Ex02 06 10 95</w:t>
            </w:r>
          </w:p>
        </w:tc>
      </w:tr>
      <w:tr w:rsidR="005343EC" w:rsidRPr="00A67844" w:rsidTr="008008AB">
        <w:trPr>
          <w:trHeight w:hRule="exact" w:val="673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Cło w ramach kontyngentu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E57269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5343EC" w:rsidRPr="00A67844" w:rsidTr="008008AB">
        <w:trPr>
          <w:trHeight w:hRule="exact" w:val="1729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8008AB" w:rsidRDefault="008008AB" w:rsidP="00B85D4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5343EC" w:rsidRDefault="00533BE2" w:rsidP="00B85D4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 -</w:t>
            </w:r>
            <w:r w:rsidR="00E57269"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B85D4D" w:rsidRPr="00E518C7">
              <w:rPr>
                <w:rFonts w:ascii="Arial" w:hAnsi="Arial" w:cs="Arial"/>
                <w:szCs w:val="20"/>
              </w:rPr>
              <w:t>podmioty muszą udowodnić, że wywiozły z Unii lub dopuściły do obrotu w Unii co najmniej 25 ton produktów z sektora wołowiny.</w:t>
            </w:r>
          </w:p>
          <w:p w:rsidR="00AD1F2F" w:rsidRPr="00AD1F2F" w:rsidRDefault="00AD1F2F" w:rsidP="00AD1F2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D1F2F">
              <w:rPr>
                <w:rFonts w:ascii="Arial" w:hAnsi="Arial" w:cs="Arial"/>
              </w:rPr>
              <w:t>owód handlu obejmuje: okres 12 miesięcy kończący się na 2 miesiące przed możliwością złożenia pierwszego wniosku w ramach tego kontyngentu taryfowego;</w:t>
            </w:r>
          </w:p>
          <w:p w:rsidR="00AD1F2F" w:rsidRPr="00E518C7" w:rsidRDefault="00AD1F2F" w:rsidP="00B85D4D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5343EC" w:rsidRPr="00A67844" w:rsidTr="008008AB">
        <w:trPr>
          <w:trHeight w:hRule="exact" w:val="574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E57269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9,5 EUR za 100 kg (ekwiwalentu masy tuszy)</w:t>
            </w:r>
          </w:p>
        </w:tc>
      </w:tr>
      <w:tr w:rsidR="005343EC" w:rsidRPr="00A67844" w:rsidTr="008008AB">
        <w:trPr>
          <w:trHeight w:hRule="exact" w:val="1778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533BE2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Pole</w:t>
            </w:r>
            <w:r w:rsidR="005343EC"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8 wniosku o pozwolenie na przywóz i pozwolenia na przywóz wskazuje kraj pochodzenia; należy zaznaczyć pole „tak”.</w:t>
            </w:r>
          </w:p>
          <w:p w:rsidR="008D6BDC" w:rsidRPr="00E518C7" w:rsidRDefault="008D6BDC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Jeżeli wniosek o pozwolenie na przywóz dotyczy większej liczby produktów objętych różnymi kodami CN, wszystkie kody CN oraz ich opisy należy podać w sekcjach 16 i 15, odpowiednio, wniosku o pozwolenie i pozwolenia. Całkowita ilość zostaje przeliczona na ekwiwalent masy tuszy.</w:t>
            </w:r>
          </w:p>
        </w:tc>
      </w:tr>
      <w:tr w:rsidR="005343EC" w:rsidRPr="00A67844" w:rsidTr="008008AB">
        <w:trPr>
          <w:trHeight w:hRule="exact" w:val="3874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8008AB" w:rsidRDefault="008008AB" w:rsidP="00533B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BD5275" w:rsidRDefault="008D6BDC" w:rsidP="00533BE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533BE2">
              <w:rPr>
                <w:rFonts w:ascii="Arial" w:hAnsi="Arial" w:cs="Arial"/>
                <w:szCs w:val="20"/>
              </w:rPr>
              <w:t>Pozwolenia na przywóz są ważne przez pięć miesięcy od daty ich wydania w rozumieniu art. 7 rozporządzenia wykonawczego (UE) 2016/1239 lub od daty rozpoczęcia podokresu, dla którego wydano pozwolenie na przywóz, w zależności od tego, która z tych dat jest późniejsza. Okres ważności pozwolenia na przywóz upływa jednak najpóźniej w dniu 31 grudnia.</w:t>
            </w:r>
            <w:r w:rsidR="00533BE2" w:rsidRPr="00533BE2">
              <w:rPr>
                <w:rFonts w:ascii="Arial" w:eastAsia="Times New Roman" w:hAnsi="Arial" w:cs="Arial"/>
                <w:szCs w:val="20"/>
                <w:lang w:eastAsia="pl-PL"/>
              </w:rPr>
              <w:t> </w:t>
            </w:r>
          </w:p>
          <w:p w:rsidR="00533BE2" w:rsidRPr="00533BE2" w:rsidRDefault="00533BE2" w:rsidP="00BD52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533BE2">
              <w:rPr>
                <w:rFonts w:ascii="Arial" w:eastAsia="Times New Roman" w:hAnsi="Arial" w:cs="Arial"/>
                <w:szCs w:val="20"/>
                <w:lang w:eastAsia="pl-PL"/>
              </w:rPr>
              <w:t>Posiadacze pozwoleń mogą zwrócić niewykorzystane ilości objęte pozwoleniami przed upływem ważności pozwolenia i najpóźniej cztery miesiące przed końcem okresu obowiązywania kontyngentu taryfowego. Każdy posiadacz pozwolenia może zwrócić maksymalnie 30 % ilości objętej jego indywidualnym pozwoleniem.</w:t>
            </w:r>
            <w:r w:rsidR="00BD5275">
              <w:rPr>
                <w:rFonts w:ascii="Arial" w:eastAsia="Times New Roman" w:hAnsi="Arial" w:cs="Arial"/>
                <w:szCs w:val="20"/>
                <w:lang w:eastAsia="pl-PL"/>
              </w:rPr>
              <w:t xml:space="preserve"> </w:t>
            </w:r>
            <w:r w:rsidRPr="00533BE2">
              <w:rPr>
                <w:rFonts w:ascii="Arial" w:eastAsia="Times New Roman" w:hAnsi="Arial" w:cs="Arial"/>
                <w:szCs w:val="20"/>
                <w:lang w:eastAsia="pl-PL"/>
              </w:rPr>
              <w:t>W przypadku zwrotu części ilości obj</w:t>
            </w:r>
            <w:r w:rsidR="00BD5275">
              <w:rPr>
                <w:rFonts w:ascii="Arial" w:eastAsia="Times New Roman" w:hAnsi="Arial" w:cs="Arial"/>
                <w:szCs w:val="20"/>
                <w:lang w:eastAsia="pl-PL"/>
              </w:rPr>
              <w:t xml:space="preserve">ętej pozwoleniem </w:t>
            </w:r>
            <w:r w:rsidRPr="00533BE2">
              <w:rPr>
                <w:rFonts w:ascii="Arial" w:eastAsia="Times New Roman" w:hAnsi="Arial" w:cs="Arial"/>
                <w:szCs w:val="20"/>
                <w:lang w:eastAsia="pl-PL"/>
              </w:rPr>
              <w:t>zwalnia się 60 % odpowiedniego zabezpieczenia.</w:t>
            </w:r>
          </w:p>
          <w:p w:rsidR="008D6BDC" w:rsidRPr="00E518C7" w:rsidRDefault="008D6BDC" w:rsidP="008D6BDC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5343EC" w:rsidRPr="00E518C7" w:rsidRDefault="005343EC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5343EC" w:rsidRPr="00A67844" w:rsidTr="00677724">
        <w:trPr>
          <w:trHeight w:hRule="exact" w:val="282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E57269" w:rsidP="00E57269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343EC" w:rsidRPr="00A67844" w:rsidTr="00677724">
        <w:trPr>
          <w:trHeight w:hRule="exact" w:val="285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343EC" w:rsidRPr="00A67844" w:rsidTr="00677724">
        <w:trPr>
          <w:trHeight w:hRule="exact" w:val="659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Default="005343EC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  <w:p w:rsidR="00E518C7" w:rsidRDefault="00E518C7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E518C7" w:rsidRDefault="00E518C7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E518C7" w:rsidRDefault="00E518C7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E518C7" w:rsidRDefault="00E518C7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E518C7" w:rsidRDefault="00E518C7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E518C7" w:rsidRDefault="00E518C7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E518C7" w:rsidRDefault="00E518C7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E518C7" w:rsidRPr="00E518C7" w:rsidRDefault="00E518C7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5343EC" w:rsidRPr="00A67844" w:rsidTr="00E518C7">
        <w:trPr>
          <w:trHeight w:hRule="exact" w:val="10834"/>
        </w:trPr>
        <w:tc>
          <w:tcPr>
            <w:tcW w:w="1488" w:type="pct"/>
            <w:shd w:val="clear" w:color="auto" w:fill="FFFFFF"/>
            <w:vAlign w:val="center"/>
          </w:tcPr>
          <w:p w:rsidR="005343EC" w:rsidRPr="00E518C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lastRenderedPageBreak/>
              <w:t>Warunki szczególne</w:t>
            </w:r>
          </w:p>
        </w:tc>
        <w:tc>
          <w:tcPr>
            <w:tcW w:w="3512" w:type="pct"/>
            <w:shd w:val="clear" w:color="auto" w:fill="FFFFFF"/>
            <w:vAlign w:val="center"/>
          </w:tcPr>
          <w:p w:rsidR="005343EC" w:rsidRPr="00E518C7" w:rsidRDefault="00E57269" w:rsidP="001A460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Współczynniki przeliczeniowe </w:t>
            </w:r>
            <w:r w:rsidR="001A4605"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(zgodnie z załącznikiem</w:t>
            </w: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XVI do rozporządzenia </w:t>
            </w:r>
            <w:r w:rsidR="001A4605"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wykonawczego Komisji (UE) 220/761)) - </w:t>
            </w: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stosuje się do przeliczenia masy produktu na ekwiwalent masy tuszy dla danych produktów</w:t>
            </w:r>
            <w:r w:rsidR="00DC307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*.</w:t>
            </w:r>
          </w:p>
          <w:p w:rsidR="001A4605" w:rsidRPr="00E518C7" w:rsidRDefault="001A4605" w:rsidP="001A460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818"/>
              <w:gridCol w:w="3820"/>
            </w:tblGrid>
            <w:tr w:rsidR="001A4605" w:rsidRPr="00E518C7" w:rsidTr="001A4605">
              <w:tc>
                <w:tcPr>
                  <w:tcW w:w="3829" w:type="dxa"/>
                </w:tcPr>
                <w:p w:rsidR="001A4605" w:rsidRPr="00E518C7" w:rsidRDefault="001A4605" w:rsidP="001A4605">
                  <w:pPr>
                    <w:spacing w:after="0" w:line="240" w:lineRule="auto"/>
                    <w:rPr>
                      <w:rFonts w:ascii="Arial" w:eastAsia="Cambria" w:hAnsi="Arial" w:cs="Arial"/>
                      <w:bCs/>
                      <w:color w:val="000000"/>
                      <w:spacing w:val="-10"/>
                      <w:szCs w:val="20"/>
                      <w:lang w:eastAsia="pl-PL" w:bidi="pl-PL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Kody CN</w:t>
                  </w:r>
                </w:p>
              </w:tc>
              <w:tc>
                <w:tcPr>
                  <w:tcW w:w="3830" w:type="dxa"/>
                </w:tcPr>
                <w:p w:rsidR="001A4605" w:rsidRPr="00E518C7" w:rsidRDefault="001A4605" w:rsidP="001A4605">
                  <w:pPr>
                    <w:spacing w:after="0" w:line="240" w:lineRule="auto"/>
                    <w:rPr>
                      <w:rFonts w:ascii="Arial" w:eastAsia="Cambria" w:hAnsi="Arial" w:cs="Arial"/>
                      <w:bCs/>
                      <w:color w:val="000000"/>
                      <w:spacing w:val="-10"/>
                      <w:szCs w:val="20"/>
                      <w:lang w:eastAsia="pl-PL" w:bidi="pl-PL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Współczynnik przeliczeniowy</w:t>
                  </w:r>
                </w:p>
              </w:tc>
            </w:tr>
            <w:tr w:rsidR="001A4605" w:rsidRPr="00E518C7" w:rsidTr="001A4605">
              <w:tc>
                <w:tcPr>
                  <w:tcW w:w="3829" w:type="dxa"/>
                </w:tcPr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0201 10 00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0201 20 20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0201 20 30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0201 20 50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0201 20 90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0201 30 00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0206 10 95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0202 10 00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0202 20 10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0202 20 30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0202 20 50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0202 20 90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0202 30 10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0202 30 50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0202 30 90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0206 29 91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0210 20 10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0210 20 90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0210 99 51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0210 99 59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0203 12 11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0203 12 19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0203 19 11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0203 19 13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0203 19 15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0203 19 55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0203 19 59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0203 22 11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0203 22 19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0203 29 11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0203 29 13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0203 29 15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0203 29 55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0203 29 59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0210 11 11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0210 11 19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0210 11 31 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0210 11 39 </w:t>
                  </w:r>
                </w:p>
              </w:tc>
              <w:tc>
                <w:tcPr>
                  <w:tcW w:w="3830" w:type="dxa"/>
                </w:tcPr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130 %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130 %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130 %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130 %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135 %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120 %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120 %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120 %</w:t>
                  </w:r>
                </w:p>
                <w:p w:rsidR="001A4605" w:rsidRPr="00E518C7" w:rsidRDefault="001A4605" w:rsidP="001A460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120 %</w:t>
                  </w:r>
                </w:p>
              </w:tc>
            </w:tr>
          </w:tbl>
          <w:p w:rsidR="001A4605" w:rsidRPr="00E518C7" w:rsidRDefault="00F8555F" w:rsidP="00F8555F">
            <w:pPr>
              <w:pStyle w:val="Akapitzlist"/>
              <w:spacing w:after="0" w:line="240" w:lineRule="auto"/>
              <w:ind w:left="0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E518C7">
              <w:rPr>
                <w:rFonts w:ascii="Arial" w:hAnsi="Arial" w:cs="Arial"/>
                <w:szCs w:val="20"/>
              </w:rPr>
              <w:t>*Kompleksowa umowa gospodarczo-handlowa (CETA) między Kanadą, z jednej strony, a Unią Europejską i jej państwami członkowskimi, z drugiej strony (</w:t>
            </w:r>
            <w:hyperlink r:id="rId7" w:history="1">
              <w:r w:rsidRPr="00F33B98">
                <w:rPr>
                  <w:rFonts w:ascii="Arial" w:hAnsi="Arial" w:cs="Arial"/>
                  <w:szCs w:val="20"/>
                  <w:u w:val="single"/>
                </w:rPr>
                <w:t>Dz.U. L 11 z 14.1.2017, s. 23</w:t>
              </w:r>
            </w:hyperlink>
            <w:r w:rsidRPr="00F33B98">
              <w:rPr>
                <w:rFonts w:ascii="Arial" w:hAnsi="Arial" w:cs="Arial"/>
                <w:szCs w:val="20"/>
              </w:rPr>
              <w:t>).</w:t>
            </w:r>
          </w:p>
        </w:tc>
      </w:tr>
    </w:tbl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DC3075" w:rsidRDefault="00DC3075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DC3075" w:rsidRDefault="00DC3075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DC3075" w:rsidRDefault="00DC3075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Pr="00A67844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/>
    <w:p w:rsidR="004836C4" w:rsidRDefault="004836C4"/>
    <w:sectPr w:rsidR="004836C4" w:rsidSect="00CC6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99" w:right="1418" w:bottom="709" w:left="1560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62C" w:rsidRDefault="0009362C">
      <w:pPr>
        <w:spacing w:after="0" w:line="240" w:lineRule="auto"/>
      </w:pPr>
      <w:r>
        <w:separator/>
      </w:r>
    </w:p>
  </w:endnote>
  <w:endnote w:type="continuationSeparator" w:id="0">
    <w:p w:rsidR="0009362C" w:rsidRDefault="0009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35" w:rsidRDefault="00CC68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35" w:rsidRDefault="00CC68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35" w:rsidRDefault="00CC6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62C" w:rsidRDefault="0009362C">
      <w:pPr>
        <w:spacing w:after="0" w:line="240" w:lineRule="auto"/>
      </w:pPr>
      <w:r>
        <w:separator/>
      </w:r>
    </w:p>
  </w:footnote>
  <w:footnote w:type="continuationSeparator" w:id="0">
    <w:p w:rsidR="0009362C" w:rsidRDefault="0009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35" w:rsidRDefault="00CC68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04" w:rsidRDefault="009C482F" w:rsidP="00CC6835">
    <w:pPr>
      <w:pStyle w:val="Nagwek"/>
      <w:jc w:val="center"/>
      <w:rPr>
        <w:rFonts w:ascii="Arial" w:hAnsi="Arial" w:cs="Arial"/>
      </w:rPr>
    </w:pPr>
    <w:r w:rsidRPr="00CC6835">
      <w:rPr>
        <w:rFonts w:ascii="Arial" w:hAnsi="Arial" w:cs="Arial"/>
      </w:rPr>
      <w:t>Kontyngenty taryfowe w sektorze wołowiny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35" w:rsidRDefault="00CC68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630F3"/>
    <w:multiLevelType w:val="hybridMultilevel"/>
    <w:tmpl w:val="B976682C"/>
    <w:lvl w:ilvl="0" w:tplc="DC1CB1D4">
      <w:start w:val="120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EC"/>
    <w:rsid w:val="0009362C"/>
    <w:rsid w:val="000E0767"/>
    <w:rsid w:val="001A4605"/>
    <w:rsid w:val="00284F43"/>
    <w:rsid w:val="002C63BA"/>
    <w:rsid w:val="003B5D9C"/>
    <w:rsid w:val="004836C4"/>
    <w:rsid w:val="00533BE2"/>
    <w:rsid w:val="005343EC"/>
    <w:rsid w:val="005A2476"/>
    <w:rsid w:val="0066739F"/>
    <w:rsid w:val="00764F51"/>
    <w:rsid w:val="007F4157"/>
    <w:rsid w:val="008008AB"/>
    <w:rsid w:val="008D6BDC"/>
    <w:rsid w:val="008F073A"/>
    <w:rsid w:val="00936DB7"/>
    <w:rsid w:val="009C482F"/>
    <w:rsid w:val="009F6811"/>
    <w:rsid w:val="00AD1F2F"/>
    <w:rsid w:val="00B85D4D"/>
    <w:rsid w:val="00BD5275"/>
    <w:rsid w:val="00BF757E"/>
    <w:rsid w:val="00C57169"/>
    <w:rsid w:val="00CC6835"/>
    <w:rsid w:val="00DC3075"/>
    <w:rsid w:val="00E31AC2"/>
    <w:rsid w:val="00E518C7"/>
    <w:rsid w:val="00E57269"/>
    <w:rsid w:val="00F33B98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F8F7F7-645D-4F43-8794-A9A1DEB8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3EC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5343E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Domylnaczcionkaakapitu"/>
    <w:rsid w:val="005343EC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3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3EC"/>
    <w:rPr>
      <w:rFonts w:ascii="Cambria" w:eastAsiaTheme="minorHAnsi" w:hAnsi="Cambria" w:cstheme="minorBidi"/>
      <w:szCs w:val="22"/>
      <w:lang w:eastAsia="en-US"/>
    </w:rPr>
  </w:style>
  <w:style w:type="character" w:styleId="Hipercze">
    <w:name w:val="Hyperlink"/>
    <w:basedOn w:val="Domylnaczcionkaakapitu"/>
    <w:rsid w:val="005343EC"/>
    <w:rPr>
      <w:color w:val="0000FF"/>
      <w:u w:val="single"/>
    </w:rPr>
  </w:style>
  <w:style w:type="table" w:styleId="Tabela-Siatka">
    <w:name w:val="Table Grid"/>
    <w:basedOn w:val="Standardowy"/>
    <w:uiPriority w:val="59"/>
    <w:rsid w:val="001A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55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5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8C7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AUTO/?uri=OJ:L:2017:011:T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2023-03-14T12:13:00Z</dcterms:created>
  <dcterms:modified xsi:type="dcterms:W3CDTF">2023-03-14T12:13:00Z</dcterms:modified>
</cp:coreProperties>
</file>