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0BC2A" w14:textId="77777777" w:rsidR="00C61EE3" w:rsidRDefault="00C61EE3">
      <w:pPr>
        <w:rPr>
          <w:rFonts w:ascii="Arial" w:hAnsi="Arial" w:cs="Arial"/>
        </w:rPr>
      </w:pPr>
    </w:p>
    <w:p w14:paraId="4B2F70A6" w14:textId="77777777" w:rsidR="00C61EE3" w:rsidRDefault="00C61EE3">
      <w:pPr>
        <w:rPr>
          <w:rFonts w:ascii="Arial" w:hAnsi="Arial" w:cs="Arial"/>
        </w:rPr>
      </w:pPr>
    </w:p>
    <w:p w14:paraId="2D945329" w14:textId="1A35231D" w:rsidR="00C61EE3" w:rsidRPr="00886F21" w:rsidRDefault="00B51A6E">
      <w:pPr>
        <w:rPr>
          <w:rFonts w:ascii="Arial" w:hAnsi="Arial" w:cs="Arial"/>
          <w:b/>
          <w:color w:val="E31837"/>
          <w:sz w:val="40"/>
          <w:szCs w:val="40"/>
        </w:rPr>
      </w:pP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INFORMACJA KWARTALNA </w:t>
      </w:r>
      <w:bookmarkStart w:id="0" w:name="_GoBack"/>
      <w:bookmarkEnd w:id="0"/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O STANIE FINANSÓW PUBLICZNYCH W </w:t>
      </w:r>
      <w:r w:rsidR="0008606D">
        <w:rPr>
          <w:rFonts w:ascii="Arial" w:hAnsi="Arial" w:cs="Arial"/>
          <w:b/>
          <w:color w:val="E31837"/>
          <w:sz w:val="40"/>
          <w:szCs w:val="40"/>
        </w:rPr>
        <w:t>I</w:t>
      </w:r>
      <w:r w:rsidR="009F4A19">
        <w:rPr>
          <w:rFonts w:ascii="Arial" w:hAnsi="Arial" w:cs="Arial"/>
          <w:b/>
          <w:color w:val="E31837"/>
          <w:sz w:val="40"/>
          <w:szCs w:val="40"/>
        </w:rPr>
        <w:t>I</w:t>
      </w:r>
      <w:r w:rsidR="002910FD" w:rsidRPr="00886F21">
        <w:rPr>
          <w:rFonts w:ascii="Arial" w:hAnsi="Arial" w:cs="Arial"/>
          <w:b/>
          <w:color w:val="E31837"/>
          <w:sz w:val="40"/>
          <w:szCs w:val="40"/>
        </w:rPr>
        <w:t>I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KWARTALE 202</w:t>
      </w:r>
      <w:r w:rsidR="00041BF6">
        <w:rPr>
          <w:rFonts w:ascii="Arial" w:hAnsi="Arial" w:cs="Arial"/>
          <w:b/>
          <w:color w:val="E31837"/>
          <w:sz w:val="40"/>
          <w:szCs w:val="40"/>
        </w:rPr>
        <w:t>2</w:t>
      </w:r>
      <w:r w:rsidRPr="00886F21">
        <w:rPr>
          <w:rFonts w:ascii="Arial" w:hAnsi="Arial" w:cs="Arial"/>
          <w:b/>
          <w:color w:val="E31837"/>
          <w:sz w:val="40"/>
          <w:szCs w:val="40"/>
        </w:rPr>
        <w:t xml:space="preserve"> r. </w:t>
      </w:r>
    </w:p>
    <w:p w14:paraId="2E4717F3" w14:textId="2AD3CB90" w:rsidR="00C61EE3" w:rsidRPr="00886F21" w:rsidRDefault="00B51A6E">
      <w:pPr>
        <w:rPr>
          <w:rFonts w:ascii="Arial" w:hAnsi="Arial" w:cs="Arial"/>
          <w:b/>
          <w:color w:val="A6A6A6"/>
          <w:sz w:val="28"/>
          <w:szCs w:val="28"/>
        </w:rPr>
      </w:pP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9F4A19">
        <w:rPr>
          <w:rFonts w:ascii="Arial" w:hAnsi="Arial" w:cs="Arial"/>
          <w:b/>
          <w:color w:val="A6A6A6"/>
          <w:sz w:val="28"/>
          <w:szCs w:val="28"/>
        </w:rPr>
        <w:t>1</w:t>
      </w:r>
      <w:r w:rsidRPr="00886F21">
        <w:rPr>
          <w:rFonts w:ascii="Arial" w:hAnsi="Arial" w:cs="Arial"/>
          <w:b/>
          <w:color w:val="A6A6A6"/>
          <w:sz w:val="28"/>
          <w:szCs w:val="28"/>
        </w:rPr>
        <w:t xml:space="preserve"> / 202</w:t>
      </w:r>
      <w:r w:rsidR="009F4A19">
        <w:rPr>
          <w:rFonts w:ascii="Arial" w:hAnsi="Arial" w:cs="Arial"/>
          <w:b/>
          <w:color w:val="A6A6A6"/>
          <w:sz w:val="28"/>
          <w:szCs w:val="28"/>
        </w:rPr>
        <w:t>3</w:t>
      </w:r>
    </w:p>
    <w:p w14:paraId="786E86C3" w14:textId="77777777" w:rsidR="00C61EE3" w:rsidRDefault="00B51A6E">
      <w:pPr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  <w:r w:rsidRPr="00886F21">
        <w:rPr>
          <w:rFonts w:ascii="Arial" w:hAnsi="Arial" w:cs="Arial"/>
          <w:color w:val="ADAFB2"/>
          <w:sz w:val="40"/>
          <w:szCs w:val="40"/>
        </w:rPr>
        <w:br/>
      </w:r>
    </w:p>
    <w:p w14:paraId="2EC1B414" w14:textId="03D89DA5" w:rsidR="009F4A19" w:rsidRPr="00F04B0A" w:rsidRDefault="009F4A19" w:rsidP="009F4A19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F04B0A">
        <w:rPr>
          <w:rFonts w:ascii="Arial" w:hAnsi="Arial" w:cs="Arial"/>
          <w:b/>
          <w:color w:val="E31837"/>
          <w:sz w:val="28"/>
          <w:szCs w:val="28"/>
        </w:rPr>
        <w:t xml:space="preserve">Podstawowe wskaźniki stanu sektora instytucji rządowych i samorządowych wg ESA2010 w </w:t>
      </w:r>
      <w:r>
        <w:rPr>
          <w:rFonts w:ascii="Arial" w:hAnsi="Arial" w:cs="Arial"/>
          <w:b/>
          <w:color w:val="E31837"/>
          <w:sz w:val="28"/>
          <w:szCs w:val="28"/>
        </w:rPr>
        <w:t>II</w:t>
      </w:r>
      <w:r w:rsidRPr="00F04B0A">
        <w:rPr>
          <w:rFonts w:ascii="Arial" w:hAnsi="Arial" w:cs="Arial"/>
          <w:b/>
          <w:color w:val="E31837"/>
          <w:sz w:val="28"/>
          <w:szCs w:val="28"/>
        </w:rPr>
        <w:t>I</w:t>
      </w:r>
      <w:r>
        <w:rPr>
          <w:rFonts w:ascii="Arial" w:hAnsi="Arial" w:cs="Arial"/>
          <w:b/>
          <w:color w:val="E31837"/>
          <w:sz w:val="28"/>
          <w:szCs w:val="28"/>
        </w:rPr>
        <w:t xml:space="preserve"> kw. 2022</w:t>
      </w:r>
      <w:r w:rsidRPr="00F04B0A">
        <w:rPr>
          <w:rFonts w:ascii="Arial" w:hAnsi="Arial" w:cs="Arial"/>
          <w:b/>
          <w:color w:val="E31837"/>
          <w:sz w:val="28"/>
          <w:szCs w:val="28"/>
        </w:rPr>
        <w:t> r.</w:t>
      </w:r>
    </w:p>
    <w:p w14:paraId="582640B3" w14:textId="065344CB" w:rsidR="009F4A19" w:rsidRPr="008C4231" w:rsidRDefault="005315B3" w:rsidP="009F4A1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Deficyt</w:t>
      </w:r>
      <w:r w:rsidR="009F4A19" w:rsidRPr="00F81F64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="008C4231">
        <w:rPr>
          <w:rFonts w:ascii="Arial" w:hAnsi="Arial" w:cs="Arial"/>
          <w:b/>
          <w:color w:val="ADAFB2"/>
          <w:sz w:val="24"/>
          <w:szCs w:val="24"/>
        </w:rPr>
        <w:t>(</w:t>
      </w:r>
      <w:r>
        <w:rPr>
          <w:rFonts w:ascii="Arial" w:hAnsi="Arial" w:cs="Arial"/>
          <w:b/>
          <w:color w:val="ADAFB2"/>
          <w:sz w:val="24"/>
          <w:szCs w:val="24"/>
        </w:rPr>
        <w:t>NSA</w:t>
      </w:r>
      <w:r w:rsidR="008C4231">
        <w:rPr>
          <w:rFonts w:ascii="Arial" w:hAnsi="Arial" w:cs="Arial"/>
          <w:b/>
          <w:color w:val="ADAFB2"/>
          <w:sz w:val="24"/>
          <w:szCs w:val="24"/>
        </w:rPr>
        <w:t xml:space="preserve">) </w:t>
      </w:r>
      <w:r w:rsidR="009F4A19" w:rsidRPr="00F81F64">
        <w:rPr>
          <w:rFonts w:ascii="Arial" w:hAnsi="Arial" w:cs="Arial"/>
          <w:b/>
          <w:color w:val="ADAFB2"/>
          <w:sz w:val="24"/>
          <w:szCs w:val="24"/>
        </w:rPr>
        <w:t>w I</w:t>
      </w:r>
      <w:r w:rsidR="009F4A19">
        <w:rPr>
          <w:rFonts w:ascii="Arial" w:hAnsi="Arial" w:cs="Arial"/>
          <w:b/>
          <w:color w:val="ADAFB2"/>
          <w:sz w:val="24"/>
          <w:szCs w:val="24"/>
        </w:rPr>
        <w:t>II</w:t>
      </w:r>
      <w:r w:rsidR="009F4A19" w:rsidRPr="00F81F64">
        <w:rPr>
          <w:rFonts w:ascii="Arial" w:hAnsi="Arial" w:cs="Arial"/>
          <w:b/>
          <w:color w:val="ADAFB2"/>
          <w:sz w:val="24"/>
          <w:szCs w:val="24"/>
        </w:rPr>
        <w:t xml:space="preserve"> kw. wyniósł </w:t>
      </w:r>
      <w:r w:rsidR="009F4A19">
        <w:rPr>
          <w:rFonts w:ascii="Arial" w:hAnsi="Arial" w:cs="Arial"/>
          <w:b/>
          <w:color w:val="E31837"/>
          <w:sz w:val="24"/>
          <w:szCs w:val="24"/>
        </w:rPr>
        <w:t>23</w:t>
      </w:r>
      <w:r w:rsidR="009F4A19" w:rsidRPr="0008606D">
        <w:rPr>
          <w:rFonts w:ascii="Arial" w:hAnsi="Arial" w:cs="Arial"/>
          <w:b/>
          <w:color w:val="E31837"/>
          <w:sz w:val="24"/>
          <w:szCs w:val="24"/>
        </w:rPr>
        <w:t>,8</w:t>
      </w:r>
      <w:r w:rsidR="009F4A19" w:rsidRPr="00F81F64">
        <w:rPr>
          <w:rFonts w:ascii="Arial" w:hAnsi="Arial" w:cs="Arial"/>
          <w:b/>
          <w:color w:val="E31837"/>
          <w:sz w:val="24"/>
          <w:szCs w:val="24"/>
        </w:rPr>
        <w:t xml:space="preserve"> mld zł (</w:t>
      </w:r>
      <w:r w:rsidR="009F4A19">
        <w:rPr>
          <w:rFonts w:ascii="Arial" w:hAnsi="Arial" w:cs="Arial"/>
          <w:b/>
          <w:color w:val="E31837"/>
          <w:sz w:val="24"/>
          <w:szCs w:val="24"/>
        </w:rPr>
        <w:t xml:space="preserve">3,1 </w:t>
      </w:r>
      <w:r w:rsidR="009F4A19" w:rsidRPr="00F81F64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0158D676" w14:textId="7ECD99CD" w:rsidR="008C4231" w:rsidRDefault="008C4231" w:rsidP="008C423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W ujęciu roku płynnego deficyt wyniósł </w:t>
      </w:r>
      <w:r w:rsidRPr="008C4231">
        <w:rPr>
          <w:rFonts w:ascii="Arial" w:hAnsi="Arial" w:cs="Arial"/>
          <w:b/>
          <w:color w:val="E31837"/>
          <w:sz w:val="24"/>
          <w:szCs w:val="24"/>
        </w:rPr>
        <w:t>2,3% PKB</w:t>
      </w:r>
    </w:p>
    <w:p w14:paraId="3092582B" w14:textId="03D8034C" w:rsidR="008C4231" w:rsidRPr="008C4231" w:rsidRDefault="008C4231" w:rsidP="008C423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D</w:t>
      </w: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eficyt wyrównany sezonowo </w:t>
      </w:r>
      <w:r>
        <w:rPr>
          <w:rFonts w:ascii="Arial" w:hAnsi="Arial" w:cs="Arial"/>
          <w:b/>
          <w:color w:val="ADAFB2"/>
          <w:sz w:val="24"/>
          <w:szCs w:val="24"/>
        </w:rPr>
        <w:t>(SA)</w:t>
      </w: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Pr="008C4231">
        <w:rPr>
          <w:rFonts w:ascii="Arial" w:hAnsi="Arial" w:cs="Arial"/>
          <w:b/>
          <w:color w:val="E31837"/>
          <w:sz w:val="24"/>
          <w:szCs w:val="24"/>
        </w:rPr>
        <w:t>4,4% PKB</w:t>
      </w:r>
    </w:p>
    <w:p w14:paraId="382B39D9" w14:textId="42817650" w:rsidR="008C4231" w:rsidRPr="008C4231" w:rsidRDefault="008C4231" w:rsidP="008C423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W</w:t>
      </w: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 Unii Europejskiej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8C4231">
        <w:rPr>
          <w:rFonts w:ascii="Arial" w:hAnsi="Arial" w:cs="Arial"/>
          <w:b/>
          <w:color w:val="ADAFB2"/>
          <w:sz w:val="24"/>
          <w:szCs w:val="24"/>
        </w:rPr>
        <w:t>wyrównany sezonowo deficyt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(SA) wyniósł </w:t>
      </w:r>
      <w:r w:rsidR="005315B3">
        <w:rPr>
          <w:rFonts w:ascii="Arial" w:hAnsi="Arial" w:cs="Arial"/>
          <w:b/>
          <w:color w:val="E31837"/>
          <w:sz w:val="24"/>
          <w:szCs w:val="24"/>
        </w:rPr>
        <w:t>3,2</w:t>
      </w:r>
      <w:r w:rsidRPr="008C4231">
        <w:rPr>
          <w:rFonts w:ascii="Arial" w:hAnsi="Arial" w:cs="Arial"/>
          <w:b/>
          <w:color w:val="E31837"/>
          <w:sz w:val="24"/>
          <w:szCs w:val="24"/>
        </w:rPr>
        <w:t>% PKB</w:t>
      </w:r>
      <w:r>
        <w:rPr>
          <w:rFonts w:ascii="Arial" w:hAnsi="Arial" w:cs="Arial"/>
          <w:b/>
          <w:color w:val="E31837"/>
          <w:sz w:val="24"/>
          <w:szCs w:val="24"/>
        </w:rPr>
        <w:t>.</w:t>
      </w:r>
    </w:p>
    <w:p w14:paraId="2E1C5CFF" w14:textId="0B4D3622" w:rsidR="008C4231" w:rsidRPr="008C4231" w:rsidRDefault="008C4231" w:rsidP="008C423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W</w:t>
      </w: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 27 krajach UE</w:t>
      </w:r>
      <w:r w:rsidR="005315B3">
        <w:rPr>
          <w:rFonts w:ascii="Arial" w:hAnsi="Arial" w:cs="Arial"/>
          <w:b/>
          <w:color w:val="ADAFB2"/>
          <w:sz w:val="24"/>
          <w:szCs w:val="24"/>
        </w:rPr>
        <w:t xml:space="preserve"> deficyt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(NSA) </w:t>
      </w: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Pr="008C4231">
        <w:rPr>
          <w:rFonts w:ascii="Arial" w:hAnsi="Arial" w:cs="Arial"/>
          <w:b/>
          <w:color w:val="E31837"/>
          <w:sz w:val="24"/>
          <w:szCs w:val="24"/>
        </w:rPr>
        <w:t>2,7% PKB</w:t>
      </w:r>
    </w:p>
    <w:p w14:paraId="5AB877B0" w14:textId="77777777" w:rsidR="008C4231" w:rsidRPr="00F81F64" w:rsidRDefault="008C4231" w:rsidP="008C4231">
      <w:p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</w:p>
    <w:p w14:paraId="4E8D0046" w14:textId="08865CD8" w:rsidR="009F4A19" w:rsidRPr="008C4231" w:rsidRDefault="009F4A19" w:rsidP="009F4A1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1A3883">
        <w:rPr>
          <w:rFonts w:ascii="Arial" w:hAnsi="Arial" w:cs="Arial"/>
          <w:b/>
          <w:color w:val="ADAFB2"/>
          <w:sz w:val="24"/>
          <w:szCs w:val="24"/>
        </w:rPr>
        <w:t xml:space="preserve">Dług </w:t>
      </w:r>
      <w:r w:rsidRPr="00A96A8D">
        <w:rPr>
          <w:rFonts w:ascii="Arial" w:hAnsi="Arial" w:cs="Arial"/>
          <w:b/>
          <w:color w:val="ADAFB2"/>
          <w:sz w:val="24"/>
          <w:szCs w:val="24"/>
        </w:rPr>
        <w:t xml:space="preserve">EDP na koniec </w:t>
      </w:r>
      <w:r>
        <w:rPr>
          <w:rFonts w:ascii="Arial" w:hAnsi="Arial" w:cs="Arial"/>
          <w:b/>
          <w:color w:val="ADAFB2"/>
          <w:sz w:val="24"/>
          <w:szCs w:val="24"/>
        </w:rPr>
        <w:t>II</w:t>
      </w:r>
      <w:r w:rsidRPr="00A96A8D">
        <w:rPr>
          <w:rFonts w:ascii="Arial" w:hAnsi="Arial" w:cs="Arial"/>
          <w:b/>
          <w:color w:val="ADAFB2"/>
          <w:sz w:val="24"/>
          <w:szCs w:val="24"/>
        </w:rPr>
        <w:t>I kw. 202</w:t>
      </w:r>
      <w:r>
        <w:rPr>
          <w:rFonts w:ascii="Arial" w:hAnsi="Arial" w:cs="Arial"/>
          <w:b/>
          <w:color w:val="ADAFB2"/>
          <w:sz w:val="24"/>
          <w:szCs w:val="24"/>
        </w:rPr>
        <w:t>2</w:t>
      </w:r>
      <w:r w:rsidRPr="00A96A8D">
        <w:rPr>
          <w:rFonts w:ascii="Arial" w:hAnsi="Arial" w:cs="Arial"/>
          <w:b/>
          <w:color w:val="ADAFB2"/>
          <w:sz w:val="24"/>
          <w:szCs w:val="24"/>
        </w:rPr>
        <w:t xml:space="preserve"> r. wyniósł </w:t>
      </w:r>
      <w:r w:rsidRPr="00A96A8D">
        <w:rPr>
          <w:rFonts w:ascii="Arial" w:hAnsi="Arial" w:cs="Arial"/>
          <w:b/>
          <w:color w:val="E31837"/>
          <w:sz w:val="24"/>
          <w:szCs w:val="24"/>
        </w:rPr>
        <w:t>1.</w:t>
      </w:r>
      <w:r w:rsidR="005E7F74">
        <w:rPr>
          <w:rFonts w:ascii="Arial" w:hAnsi="Arial" w:cs="Arial"/>
          <w:b/>
          <w:color w:val="E31837"/>
          <w:sz w:val="24"/>
          <w:szCs w:val="24"/>
        </w:rPr>
        <w:t>479,3</w:t>
      </w:r>
      <w:r w:rsidRPr="00A96A8D">
        <w:rPr>
          <w:rFonts w:ascii="Arial" w:hAnsi="Arial" w:cs="Arial"/>
          <w:b/>
          <w:color w:val="E31837"/>
          <w:sz w:val="24"/>
          <w:szCs w:val="24"/>
        </w:rPr>
        <w:t xml:space="preserve"> mld zł (</w:t>
      </w:r>
      <w:r w:rsidR="005E7F74">
        <w:rPr>
          <w:rFonts w:ascii="Arial" w:hAnsi="Arial" w:cs="Arial"/>
          <w:b/>
          <w:color w:val="E31837"/>
          <w:sz w:val="24"/>
          <w:szCs w:val="24"/>
        </w:rPr>
        <w:t xml:space="preserve">50,3 </w:t>
      </w:r>
      <w:r w:rsidRPr="00A96A8D"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71D4778C" w14:textId="4247573B" w:rsidR="008C4231" w:rsidRPr="001A3883" w:rsidRDefault="008C4231" w:rsidP="009F4A1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W</w:t>
      </w:r>
      <w:r w:rsidRPr="008C4231">
        <w:rPr>
          <w:rFonts w:ascii="Arial" w:hAnsi="Arial" w:cs="Arial"/>
          <w:b/>
          <w:color w:val="ADAFB2"/>
          <w:sz w:val="24"/>
          <w:szCs w:val="24"/>
        </w:rPr>
        <w:t xml:space="preserve"> Unii Europejskiej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dług na koniec września wyniósł </w:t>
      </w:r>
      <w:r w:rsidRPr="008C4231">
        <w:rPr>
          <w:rFonts w:ascii="Arial" w:hAnsi="Arial" w:cs="Arial"/>
          <w:b/>
          <w:color w:val="E31837"/>
          <w:sz w:val="24"/>
          <w:szCs w:val="24"/>
        </w:rPr>
        <w:t>85,1% PKB</w:t>
      </w:r>
      <w:r>
        <w:rPr>
          <w:rFonts w:ascii="Arial" w:hAnsi="Arial" w:cs="Arial"/>
          <w:b/>
          <w:color w:val="ADAFB2"/>
          <w:sz w:val="24"/>
          <w:szCs w:val="24"/>
        </w:rPr>
        <w:t>.</w:t>
      </w:r>
    </w:p>
    <w:p w14:paraId="125050D4" w14:textId="77777777" w:rsidR="009F4A19" w:rsidRPr="00041BF6" w:rsidRDefault="009F4A19" w:rsidP="009F4A19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244A2A16" w14:textId="77777777" w:rsidR="009F4A19" w:rsidRDefault="009F4A19">
      <w:pPr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</w:p>
    <w:p w14:paraId="4C3D5AF1" w14:textId="77777777" w:rsidR="009F4A19" w:rsidRPr="00886F21" w:rsidRDefault="009F4A19">
      <w:pPr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</w:p>
    <w:p w14:paraId="767CAB76" w14:textId="77777777" w:rsidR="00C61EE3" w:rsidRPr="00F04B0A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7CAB738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t>Departament Polityki Makroekonomicznej</w:t>
      </w:r>
    </w:p>
    <w:p w14:paraId="26E3A1CF" w14:textId="77777777" w:rsidR="00C61EE3" w:rsidRPr="00F04B0A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  <w:sectPr w:rsidR="00C61EE3" w:rsidRPr="00F04B0A">
          <w:headerReference w:type="default" r:id="rId11"/>
          <w:footerReference w:type="default" r:id="rId12"/>
          <w:headerReference w:type="first" r:id="rId13"/>
          <w:pgSz w:w="11907" w:h="16839"/>
          <w:pgMar w:top="1418" w:right="992" w:bottom="1134" w:left="3686" w:header="709" w:footer="975" w:gutter="0"/>
          <w:cols w:space="708"/>
          <w:titlePg/>
        </w:sectPr>
      </w:pP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Departament Długu Publicznego </w:t>
      </w:r>
    </w:p>
    <w:p w14:paraId="05C33A19" w14:textId="68D6BE4B" w:rsidR="00C61EE3" w:rsidRPr="00E5572E" w:rsidRDefault="00B51A6E">
      <w:pPr>
        <w:spacing w:after="120" w:line="360" w:lineRule="auto"/>
        <w:jc w:val="both"/>
        <w:rPr>
          <w:rFonts w:ascii="Arial" w:hAnsi="Arial" w:cs="Arial"/>
          <w:b/>
          <w:color w:val="A6A6A6" w:themeColor="background1" w:themeShade="A6"/>
          <w:sz w:val="24"/>
          <w:szCs w:val="24"/>
        </w:rPr>
      </w:pPr>
      <w:r w:rsidRPr="00F04B0A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</w:t>
      </w:r>
      <w:r w:rsidRPr="00AC6133">
        <w:rPr>
          <w:rFonts w:ascii="Arial" w:hAnsi="Arial" w:cs="Arial"/>
          <w:b/>
          <w:i/>
          <w:color w:val="ADAFB2"/>
          <w:sz w:val="24"/>
          <w:szCs w:val="24"/>
        </w:rPr>
        <w:t>Informację kwartalną o stanie finansów publicznych</w:t>
      </w:r>
      <w:r w:rsidRPr="00F04B0A">
        <w:rPr>
          <w:rFonts w:ascii="Arial" w:hAnsi="Arial" w:cs="Arial"/>
          <w:b/>
          <w:color w:val="ADAFB2"/>
          <w:sz w:val="24"/>
          <w:szCs w:val="24"/>
        </w:rPr>
        <w:t xml:space="preserve">. Niniejszy numer zawiera informacje dotyczące 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>I</w:t>
      </w:r>
      <w:r w:rsidR="009F4A19">
        <w:rPr>
          <w:rFonts w:ascii="Arial" w:hAnsi="Arial" w:cs="Arial"/>
          <w:b/>
          <w:color w:val="A6A6A6" w:themeColor="background1" w:themeShade="A6"/>
          <w:sz w:val="24"/>
          <w:szCs w:val="24"/>
        </w:rPr>
        <w:t>I</w:t>
      </w:r>
      <w:r w:rsidR="0008606D">
        <w:rPr>
          <w:rFonts w:ascii="Arial" w:hAnsi="Arial" w:cs="Arial"/>
          <w:b/>
          <w:color w:val="A6A6A6" w:themeColor="background1" w:themeShade="A6"/>
          <w:sz w:val="24"/>
          <w:szCs w:val="24"/>
        </w:rPr>
        <w:t>I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 xml:space="preserve"> kwartału 202</w:t>
      </w:r>
      <w:r w:rsidR="00041BF6">
        <w:rPr>
          <w:rFonts w:ascii="Arial" w:hAnsi="Arial" w:cs="Arial"/>
          <w:b/>
          <w:color w:val="A6A6A6" w:themeColor="background1" w:themeShade="A6"/>
          <w:sz w:val="24"/>
          <w:szCs w:val="24"/>
        </w:rPr>
        <w:t>2</w:t>
      </w:r>
      <w:r w:rsidRPr="00E5572E">
        <w:rPr>
          <w:rFonts w:ascii="Arial" w:hAnsi="Arial" w:cs="Arial"/>
          <w:b/>
          <w:color w:val="A6A6A6" w:themeColor="background1" w:themeShade="A6"/>
          <w:sz w:val="24"/>
          <w:szCs w:val="24"/>
        </w:rPr>
        <w:t xml:space="preserve"> r. </w:t>
      </w:r>
    </w:p>
    <w:p w14:paraId="1CCBD4C5" w14:textId="77777777" w:rsidR="00B1505F" w:rsidRDefault="00B1505F" w:rsidP="009F4A19">
      <w:pPr>
        <w:spacing w:after="0" w:line="360" w:lineRule="auto"/>
        <w:jc w:val="both"/>
        <w:rPr>
          <w:rFonts w:ascii="Arial" w:hAnsi="Arial" w:cs="Arial"/>
          <w:color w:val="ADAFB2"/>
          <w:sz w:val="24"/>
          <w:szCs w:val="24"/>
        </w:rPr>
      </w:pPr>
    </w:p>
    <w:p w14:paraId="58789C54" w14:textId="30909D4E" w:rsidR="009F4A19" w:rsidRPr="005315B3" w:rsidRDefault="009F4A19" w:rsidP="009F4A19">
      <w:pPr>
        <w:spacing w:after="0" w:line="360" w:lineRule="auto"/>
        <w:jc w:val="both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>Podstawowym celem jest zaprezentowanie informacji na temat sektora finansów publicznych:</w:t>
      </w:r>
    </w:p>
    <w:p w14:paraId="062F4FE3" w14:textId="77777777" w:rsidR="005315B3" w:rsidRDefault="009F4A19" w:rsidP="00AC6133">
      <w:pPr>
        <w:tabs>
          <w:tab w:val="left" w:pos="426"/>
        </w:tabs>
        <w:spacing w:after="0" w:line="360" w:lineRule="auto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>•</w:t>
      </w:r>
      <w:r w:rsidRPr="005315B3">
        <w:rPr>
          <w:rFonts w:ascii="Arial" w:hAnsi="Arial" w:cs="Arial"/>
          <w:color w:val="ADAFB2"/>
        </w:rPr>
        <w:tab/>
      </w:r>
      <w:r w:rsidR="00AC6133" w:rsidRPr="005315B3">
        <w:rPr>
          <w:rFonts w:ascii="Arial" w:hAnsi="Arial" w:cs="Arial"/>
          <w:color w:val="ADAFB2"/>
        </w:rPr>
        <w:t xml:space="preserve">dane dotyczące dochodów i wydatków finansów publicznych wg metodyki </w:t>
      </w:r>
      <w:r w:rsidR="005315B3">
        <w:rPr>
          <w:rFonts w:ascii="Arial" w:hAnsi="Arial" w:cs="Arial"/>
          <w:color w:val="ADAFB2"/>
        </w:rPr>
        <w:t>unijnej (</w:t>
      </w:r>
      <w:r w:rsidR="00AC6133" w:rsidRPr="005315B3">
        <w:rPr>
          <w:rFonts w:ascii="Arial" w:hAnsi="Arial" w:cs="Arial"/>
          <w:color w:val="ADAFB2"/>
        </w:rPr>
        <w:t>ESA2010</w:t>
      </w:r>
      <w:r w:rsidR="005315B3">
        <w:rPr>
          <w:rFonts w:ascii="Arial" w:hAnsi="Arial" w:cs="Arial"/>
          <w:color w:val="ADAFB2"/>
        </w:rPr>
        <w:t>)</w:t>
      </w:r>
      <w:r w:rsidR="00AC6133" w:rsidRPr="005315B3">
        <w:rPr>
          <w:rFonts w:ascii="Arial" w:hAnsi="Arial" w:cs="Arial"/>
          <w:color w:val="ADAFB2"/>
        </w:rPr>
        <w:t xml:space="preserve"> są publikowane przez Eurostat</w:t>
      </w:r>
      <w:r w:rsidR="005315B3">
        <w:rPr>
          <w:rFonts w:ascii="Arial" w:hAnsi="Arial" w:cs="Arial"/>
          <w:color w:val="ADAFB2"/>
        </w:rPr>
        <w:t xml:space="preserve"> pod linkiem</w:t>
      </w:r>
      <w:r w:rsidR="00AC6133" w:rsidRPr="005315B3">
        <w:rPr>
          <w:rFonts w:ascii="Arial" w:hAnsi="Arial" w:cs="Arial"/>
          <w:color w:val="ADAFB2"/>
        </w:rPr>
        <w:t>:</w:t>
      </w:r>
    </w:p>
    <w:p w14:paraId="074170C4" w14:textId="6018737B" w:rsidR="00AC6133" w:rsidRPr="005315B3" w:rsidRDefault="00431CCC" w:rsidP="00AC6133">
      <w:pPr>
        <w:tabs>
          <w:tab w:val="left" w:pos="426"/>
        </w:tabs>
        <w:spacing w:after="0" w:line="360" w:lineRule="auto"/>
        <w:rPr>
          <w:rFonts w:ascii="Arial" w:hAnsi="Arial" w:cs="Arial"/>
          <w:color w:val="ADAFB2"/>
        </w:rPr>
      </w:pPr>
      <w:hyperlink r:id="rId14" w:history="1">
        <w:r w:rsidR="00AC6133" w:rsidRPr="005315B3">
          <w:rPr>
            <w:rStyle w:val="Hipercze"/>
            <w:rFonts w:ascii="Arial" w:hAnsi="Arial" w:cs="Arial"/>
          </w:rPr>
          <w:t>https://ec.europa.eu/eurostat/data/database</w:t>
        </w:r>
      </w:hyperlink>
    </w:p>
    <w:p w14:paraId="748FC5F9" w14:textId="77777777" w:rsidR="00AC6133" w:rsidRPr="005315B3" w:rsidRDefault="00AC6133" w:rsidP="00AC613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>Dane te są pogrupowane w obszary tematyczne. W szczególności strona zawiera następujące zestawy danych:</w:t>
      </w:r>
    </w:p>
    <w:p w14:paraId="4AAAD931" w14:textId="2F59B358" w:rsidR="00AC6133" w:rsidRPr="005315B3" w:rsidRDefault="00AC6133" w:rsidP="00AC6133">
      <w:pPr>
        <w:tabs>
          <w:tab w:val="left" w:pos="426"/>
        </w:tabs>
        <w:spacing w:after="0" w:line="360" w:lineRule="auto"/>
        <w:rPr>
          <w:rFonts w:ascii="Arial" w:hAnsi="Arial" w:cs="Arial"/>
          <w:color w:val="ADAFB2"/>
          <w:lang w:val="en-GB"/>
        </w:rPr>
      </w:pPr>
      <w:r w:rsidRPr="005315B3">
        <w:rPr>
          <w:rFonts w:ascii="Arial" w:hAnsi="Arial" w:cs="Arial"/>
          <w:color w:val="ADAFB2"/>
        </w:rPr>
        <w:tab/>
      </w:r>
      <w:r w:rsidRPr="005315B3">
        <w:rPr>
          <w:rFonts w:ascii="Arial" w:hAnsi="Arial" w:cs="Arial"/>
          <w:color w:val="ADAFB2"/>
          <w:lang w:val="en-GB"/>
        </w:rPr>
        <w:t>•</w:t>
      </w:r>
      <w:r w:rsidRPr="005315B3">
        <w:rPr>
          <w:rFonts w:ascii="Arial" w:hAnsi="Arial" w:cs="Arial"/>
          <w:color w:val="ADAFB2"/>
          <w:lang w:val="en-GB"/>
        </w:rPr>
        <w:tab/>
      </w:r>
      <w:proofErr w:type="spellStart"/>
      <w:r w:rsidRPr="005315B3">
        <w:rPr>
          <w:rFonts w:ascii="Arial" w:hAnsi="Arial" w:cs="Arial"/>
          <w:color w:val="ADAFB2"/>
          <w:lang w:val="en-GB"/>
        </w:rPr>
        <w:t>dochody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, </w:t>
      </w:r>
      <w:proofErr w:type="spellStart"/>
      <w:r w:rsidRPr="005315B3">
        <w:rPr>
          <w:rFonts w:ascii="Arial" w:hAnsi="Arial" w:cs="Arial"/>
          <w:color w:val="ADAFB2"/>
          <w:lang w:val="en-GB"/>
        </w:rPr>
        <w:t>wydatki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(Government revenue, expenditure and main aggregates (gov_10a_main))  </w:t>
      </w:r>
      <w:hyperlink r:id="rId15" w:history="1">
        <w:r w:rsidRPr="005315B3">
          <w:rPr>
            <w:rStyle w:val="Hipercze"/>
            <w:rFonts w:ascii="Arial" w:hAnsi="Arial" w:cs="Arial"/>
            <w:lang w:val="en-GB"/>
          </w:rPr>
          <w:t>https://ec.europa.eu/eurostat/databrowser/view/gov_10a_main/default/table?lang=en</w:t>
        </w:r>
      </w:hyperlink>
    </w:p>
    <w:p w14:paraId="175B10D5" w14:textId="1F41FF21" w:rsidR="00AC6133" w:rsidRPr="005315B3" w:rsidRDefault="00AC6133" w:rsidP="00AC6133">
      <w:pPr>
        <w:tabs>
          <w:tab w:val="left" w:pos="426"/>
        </w:tabs>
        <w:spacing w:after="0" w:line="360" w:lineRule="auto"/>
        <w:rPr>
          <w:rFonts w:ascii="Arial" w:hAnsi="Arial" w:cs="Arial"/>
          <w:color w:val="ADAFB2"/>
          <w:lang w:val="en-GB"/>
        </w:rPr>
      </w:pPr>
      <w:r w:rsidRPr="005315B3">
        <w:rPr>
          <w:rFonts w:ascii="Arial" w:hAnsi="Arial" w:cs="Arial"/>
          <w:color w:val="ADAFB2"/>
          <w:lang w:val="en-GB"/>
        </w:rPr>
        <w:tab/>
        <w:t>•</w:t>
      </w:r>
      <w:r w:rsidRPr="005315B3">
        <w:rPr>
          <w:rFonts w:ascii="Arial" w:hAnsi="Arial" w:cs="Arial"/>
          <w:color w:val="ADAFB2"/>
          <w:lang w:val="en-GB"/>
        </w:rPr>
        <w:tab/>
      </w:r>
      <w:proofErr w:type="spellStart"/>
      <w:r w:rsidRPr="005315B3">
        <w:rPr>
          <w:rFonts w:ascii="Arial" w:hAnsi="Arial" w:cs="Arial"/>
          <w:color w:val="ADAFB2"/>
          <w:lang w:val="en-GB"/>
        </w:rPr>
        <w:t>wydatki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</w:t>
      </w:r>
      <w:proofErr w:type="spellStart"/>
      <w:r w:rsidRPr="005315B3">
        <w:rPr>
          <w:rFonts w:ascii="Arial" w:hAnsi="Arial" w:cs="Arial"/>
          <w:color w:val="ADAFB2"/>
          <w:lang w:val="en-GB"/>
        </w:rPr>
        <w:t>wg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</w:t>
      </w:r>
      <w:proofErr w:type="spellStart"/>
      <w:r w:rsidRPr="005315B3">
        <w:rPr>
          <w:rFonts w:ascii="Arial" w:hAnsi="Arial" w:cs="Arial"/>
          <w:color w:val="ADAFB2"/>
          <w:lang w:val="en-GB"/>
        </w:rPr>
        <w:t>funkcji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COFOG (General government expenditure by function (COFOG) (gov_10a_exp)) </w:t>
      </w:r>
      <w:hyperlink r:id="rId16" w:history="1">
        <w:r w:rsidRPr="005315B3">
          <w:rPr>
            <w:rStyle w:val="Hipercze"/>
            <w:rFonts w:ascii="Arial" w:hAnsi="Arial" w:cs="Arial"/>
            <w:lang w:val="en-GB"/>
          </w:rPr>
          <w:t>https://ec.europa.eu/eurostat/databrowser/view/gov_10a_exp/default/table?lang=en</w:t>
        </w:r>
      </w:hyperlink>
    </w:p>
    <w:p w14:paraId="1BA181AA" w14:textId="41E54564" w:rsidR="00AC6133" w:rsidRPr="005315B3" w:rsidRDefault="00AC6133" w:rsidP="00AC6133">
      <w:pPr>
        <w:tabs>
          <w:tab w:val="left" w:pos="426"/>
        </w:tabs>
        <w:spacing w:after="0" w:line="360" w:lineRule="auto"/>
        <w:rPr>
          <w:rFonts w:ascii="Arial" w:hAnsi="Arial" w:cs="Arial"/>
          <w:color w:val="ADAFB2"/>
          <w:lang w:val="en-GB"/>
        </w:rPr>
      </w:pPr>
      <w:r w:rsidRPr="005315B3">
        <w:rPr>
          <w:rFonts w:ascii="Arial" w:hAnsi="Arial" w:cs="Arial"/>
          <w:color w:val="ADAFB2"/>
          <w:lang w:val="en-GB"/>
        </w:rPr>
        <w:tab/>
        <w:t>•</w:t>
      </w:r>
      <w:r w:rsidRPr="005315B3">
        <w:rPr>
          <w:rFonts w:ascii="Arial" w:hAnsi="Arial" w:cs="Arial"/>
          <w:color w:val="ADAFB2"/>
          <w:lang w:val="en-GB"/>
        </w:rPr>
        <w:tab/>
      </w:r>
      <w:proofErr w:type="spellStart"/>
      <w:r w:rsidRPr="005315B3">
        <w:rPr>
          <w:rFonts w:ascii="Arial" w:hAnsi="Arial" w:cs="Arial"/>
          <w:color w:val="ADAFB2"/>
          <w:lang w:val="en-GB"/>
        </w:rPr>
        <w:t>kwartalne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</w:t>
      </w:r>
      <w:proofErr w:type="spellStart"/>
      <w:r w:rsidRPr="005315B3">
        <w:rPr>
          <w:rFonts w:ascii="Arial" w:hAnsi="Arial" w:cs="Arial"/>
          <w:color w:val="ADAFB2"/>
          <w:lang w:val="en-GB"/>
        </w:rPr>
        <w:t>rachunki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</w:t>
      </w:r>
      <w:proofErr w:type="spellStart"/>
      <w:r w:rsidRPr="005315B3">
        <w:rPr>
          <w:rFonts w:ascii="Arial" w:hAnsi="Arial" w:cs="Arial"/>
          <w:color w:val="ADAFB2"/>
          <w:lang w:val="en-GB"/>
        </w:rPr>
        <w:t>niefinansowe</w:t>
      </w:r>
      <w:proofErr w:type="spellEnd"/>
      <w:r w:rsidRPr="005315B3">
        <w:rPr>
          <w:rFonts w:ascii="Arial" w:hAnsi="Arial" w:cs="Arial"/>
          <w:color w:val="ADAFB2"/>
          <w:lang w:val="en-GB"/>
        </w:rPr>
        <w:t xml:space="preserve"> (Quarterly non-financial accounts for general government (gov_10q_ggnfa))  </w:t>
      </w:r>
      <w:hyperlink r:id="rId17" w:history="1">
        <w:r w:rsidRPr="005315B3">
          <w:rPr>
            <w:rStyle w:val="Hipercze"/>
            <w:rFonts w:ascii="Arial" w:hAnsi="Arial" w:cs="Arial"/>
            <w:lang w:val="en-GB"/>
          </w:rPr>
          <w:t>https://ec.europa.eu/eurostat/databrowser/view/gov_10q_ggnfa/default/table?lang=en</w:t>
        </w:r>
      </w:hyperlink>
      <w:r w:rsidRPr="005315B3">
        <w:rPr>
          <w:rFonts w:ascii="Arial" w:hAnsi="Arial" w:cs="Arial"/>
          <w:color w:val="ADAFB2"/>
          <w:lang w:val="en-GB"/>
        </w:rPr>
        <w:t>.</w:t>
      </w:r>
    </w:p>
    <w:p w14:paraId="5CB9705F" w14:textId="6A1E98A1" w:rsidR="00AC6133" w:rsidRPr="005315B3" w:rsidRDefault="009F4A19" w:rsidP="009F4A1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>•</w:t>
      </w:r>
      <w:r w:rsidRPr="005315B3">
        <w:rPr>
          <w:rFonts w:ascii="Arial" w:hAnsi="Arial" w:cs="Arial"/>
          <w:color w:val="ADAFB2"/>
        </w:rPr>
        <w:tab/>
      </w:r>
      <w:r w:rsidR="005315B3">
        <w:rPr>
          <w:rFonts w:ascii="Arial" w:hAnsi="Arial" w:cs="Arial"/>
          <w:color w:val="ADAFB2"/>
        </w:rPr>
        <w:t xml:space="preserve">dane </w:t>
      </w:r>
      <w:r w:rsidRPr="005315B3">
        <w:rPr>
          <w:rFonts w:ascii="Arial" w:hAnsi="Arial" w:cs="Arial"/>
          <w:color w:val="ADAFB2"/>
        </w:rPr>
        <w:t>według standardu Międzynarodowego Funduszu Walutowego GFSM2001 (dane miesięczne obejmujące szczebel centralny, natomiast dane roczne obejmujące cały sektor instytucji rządowych i samorządowych),</w:t>
      </w:r>
      <w:r w:rsidR="00AC6133" w:rsidRPr="005315B3">
        <w:rPr>
          <w:rFonts w:ascii="Arial" w:hAnsi="Arial" w:cs="Arial"/>
          <w:color w:val="ADAFB2"/>
        </w:rPr>
        <w:t xml:space="preserve"> </w:t>
      </w:r>
      <w:r w:rsidR="005315B3">
        <w:rPr>
          <w:rFonts w:ascii="Arial" w:hAnsi="Arial" w:cs="Arial"/>
          <w:color w:val="ADAFB2"/>
        </w:rPr>
        <w:t xml:space="preserve">które </w:t>
      </w:r>
      <w:r w:rsidR="00AC6133" w:rsidRPr="005315B3">
        <w:rPr>
          <w:rFonts w:ascii="Arial" w:hAnsi="Arial" w:cs="Arial"/>
          <w:color w:val="ADAFB2"/>
        </w:rPr>
        <w:t>są publikowane na stronie MF</w:t>
      </w:r>
    </w:p>
    <w:p w14:paraId="32A20151" w14:textId="42948D4B" w:rsidR="00AC6133" w:rsidRPr="005315B3" w:rsidRDefault="00431CCC" w:rsidP="009F4A1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DAFB2"/>
        </w:rPr>
      </w:pPr>
      <w:hyperlink r:id="rId18" w:history="1">
        <w:r w:rsidR="00AC6133" w:rsidRPr="005315B3">
          <w:rPr>
            <w:rStyle w:val="Hipercze"/>
            <w:rFonts w:ascii="Arial" w:hAnsi="Arial" w:cs="Arial"/>
          </w:rPr>
          <w:t>https://www.gov.pl/web/finanse/dane-fiskalne-na-potrzeby-nadzoru-budzetowego-ue</w:t>
        </w:r>
      </w:hyperlink>
    </w:p>
    <w:p w14:paraId="3F88D045" w14:textId="60D7BD73" w:rsidR="00AC6133" w:rsidRPr="005315B3" w:rsidRDefault="009F4A19" w:rsidP="00AC613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>•</w:t>
      </w:r>
      <w:r w:rsidRPr="005315B3">
        <w:rPr>
          <w:rFonts w:ascii="Arial" w:hAnsi="Arial" w:cs="Arial"/>
          <w:color w:val="ADAFB2"/>
        </w:rPr>
        <w:tab/>
      </w:r>
      <w:r w:rsidR="005315B3">
        <w:rPr>
          <w:rFonts w:ascii="Arial" w:hAnsi="Arial" w:cs="Arial"/>
          <w:color w:val="ADAFB2"/>
        </w:rPr>
        <w:t>d</w:t>
      </w:r>
      <w:r w:rsidR="00AC6133" w:rsidRPr="005315B3">
        <w:rPr>
          <w:rFonts w:ascii="Arial" w:hAnsi="Arial" w:cs="Arial"/>
          <w:color w:val="ADAFB2"/>
        </w:rPr>
        <w:t>ane w</w:t>
      </w:r>
      <w:r w:rsidRPr="005315B3">
        <w:rPr>
          <w:rFonts w:ascii="Arial" w:hAnsi="Arial" w:cs="Arial"/>
          <w:color w:val="ADAFB2"/>
        </w:rPr>
        <w:t>edług przepisów krajowych</w:t>
      </w:r>
      <w:r w:rsidR="00AC6133" w:rsidRPr="005315B3">
        <w:rPr>
          <w:rFonts w:ascii="Arial" w:hAnsi="Arial" w:cs="Arial"/>
          <w:color w:val="ADAFB2"/>
        </w:rPr>
        <w:t xml:space="preserve"> publikowane na stronie MF</w:t>
      </w:r>
    </w:p>
    <w:p w14:paraId="6F736346" w14:textId="08160C50" w:rsidR="00AC6133" w:rsidRPr="005315B3" w:rsidRDefault="00AC6133" w:rsidP="00AC6133">
      <w:pPr>
        <w:tabs>
          <w:tab w:val="left" w:pos="426"/>
        </w:tabs>
        <w:spacing w:after="0" w:line="360" w:lineRule="auto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ab/>
        <w:t>•</w:t>
      </w:r>
      <w:r w:rsidRPr="005315B3">
        <w:rPr>
          <w:rFonts w:ascii="Arial" w:hAnsi="Arial" w:cs="Arial"/>
          <w:color w:val="ADAFB2"/>
        </w:rPr>
        <w:tab/>
      </w:r>
      <w:r w:rsidR="009F4A19" w:rsidRPr="005315B3">
        <w:rPr>
          <w:rFonts w:ascii="Arial" w:hAnsi="Arial" w:cs="Arial"/>
          <w:color w:val="ADAFB2"/>
        </w:rPr>
        <w:t>dane miesięczne o budżecie państwa</w:t>
      </w:r>
      <w:r w:rsidRPr="005315B3">
        <w:rPr>
          <w:rFonts w:ascii="Arial" w:hAnsi="Arial" w:cs="Arial"/>
          <w:color w:val="ADAFB2"/>
        </w:rPr>
        <w:t xml:space="preserve"> </w:t>
      </w:r>
      <w:hyperlink r:id="rId19" w:history="1">
        <w:r w:rsidRPr="005315B3">
          <w:rPr>
            <w:rStyle w:val="Hipercze"/>
            <w:rFonts w:ascii="Arial" w:hAnsi="Arial" w:cs="Arial"/>
          </w:rPr>
          <w:t>https://www.gov.pl/web/finanse/szacunkowe-wykonanie-budzetu</w:t>
        </w:r>
      </w:hyperlink>
    </w:p>
    <w:p w14:paraId="2AD6F1A5" w14:textId="7BE6138F" w:rsidR="00AC6133" w:rsidRPr="005315B3" w:rsidRDefault="00431CCC" w:rsidP="009F4A19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color w:val="ADAFB2"/>
        </w:rPr>
      </w:pPr>
      <w:hyperlink r:id="rId20" w:history="1">
        <w:r w:rsidR="00AC6133" w:rsidRPr="005315B3">
          <w:rPr>
            <w:rStyle w:val="Hipercze"/>
            <w:rFonts w:ascii="Arial" w:hAnsi="Arial" w:cs="Arial"/>
          </w:rPr>
          <w:t>https://www.gov.pl/web/finanse/sprawozdania-operatywne-miesieczne</w:t>
        </w:r>
      </w:hyperlink>
    </w:p>
    <w:p w14:paraId="7E9DEBB8" w14:textId="3E5F82C5" w:rsidR="00AC6133" w:rsidRPr="005315B3" w:rsidRDefault="00AC6133" w:rsidP="00AC613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lastRenderedPageBreak/>
        <w:tab/>
        <w:t>•</w:t>
      </w:r>
      <w:r w:rsidRPr="005315B3">
        <w:rPr>
          <w:rFonts w:ascii="Arial" w:hAnsi="Arial" w:cs="Arial"/>
          <w:color w:val="ADAFB2"/>
        </w:rPr>
        <w:tab/>
        <w:t xml:space="preserve">kwartalne dane dotyczące jednostek samorządu terytorialnego i ich związków </w:t>
      </w:r>
    </w:p>
    <w:p w14:paraId="2B811D18" w14:textId="76FD218D" w:rsidR="00AC6133" w:rsidRPr="005315B3" w:rsidRDefault="00431CCC" w:rsidP="00AC6133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color w:val="ADAFB2"/>
        </w:rPr>
      </w:pPr>
      <w:hyperlink r:id="rId21" w:history="1">
        <w:r w:rsidR="00AC6133" w:rsidRPr="005315B3">
          <w:rPr>
            <w:rStyle w:val="Hipercze"/>
            <w:rFonts w:ascii="Arial" w:hAnsi="Arial" w:cs="Arial"/>
          </w:rPr>
          <w:t>https://www.gov.pl/web/finanse/budzety-jst</w:t>
        </w:r>
      </w:hyperlink>
    </w:p>
    <w:p w14:paraId="04133733" w14:textId="0785B28D" w:rsidR="009F4A19" w:rsidRPr="005315B3" w:rsidRDefault="00AC6133" w:rsidP="009F4A19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color w:val="ADAFB2"/>
        </w:rPr>
      </w:pPr>
      <w:r w:rsidRPr="005315B3">
        <w:rPr>
          <w:rFonts w:ascii="Arial" w:hAnsi="Arial" w:cs="Arial"/>
          <w:color w:val="ADAFB2"/>
        </w:rPr>
        <w:t>Ponadto w niniejszym opracowaniu prezentujemy dane</w:t>
      </w:r>
      <w:r w:rsidR="009F4A19" w:rsidRPr="005315B3">
        <w:rPr>
          <w:rFonts w:ascii="Arial" w:hAnsi="Arial" w:cs="Arial"/>
          <w:color w:val="ADAFB2"/>
        </w:rPr>
        <w:t xml:space="preserve"> </w:t>
      </w:r>
      <w:r w:rsidR="005315B3">
        <w:rPr>
          <w:rFonts w:ascii="Arial" w:hAnsi="Arial" w:cs="Arial"/>
          <w:color w:val="ADAFB2"/>
        </w:rPr>
        <w:t xml:space="preserve">dotyczące </w:t>
      </w:r>
      <w:r w:rsidR="009F4A19" w:rsidRPr="005315B3">
        <w:rPr>
          <w:rFonts w:ascii="Arial" w:hAnsi="Arial" w:cs="Arial"/>
          <w:color w:val="ADAFB2"/>
        </w:rPr>
        <w:t>Funduszu Ubezpieczeń Społecznych, Funduszu Emerytalno-Rentowym, Funduszu Pracy, Narodowym Funduszu Zdrowia.</w:t>
      </w:r>
    </w:p>
    <w:p w14:paraId="5207D241" w14:textId="77777777" w:rsidR="00C61EE3" w:rsidRPr="00886F21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1119EBF2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0B0C37D" w14:textId="77777777" w:rsidR="00AC6133" w:rsidRDefault="00AC613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78488B31" w14:textId="77777777" w:rsidR="00AC6133" w:rsidRPr="00886F21" w:rsidRDefault="00AC613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2A7D5EB5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1210CF83" w14:textId="77777777" w:rsidR="00AC6133" w:rsidRPr="00886F21" w:rsidRDefault="00AC613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48FF2A04" w14:textId="77777777" w:rsidR="00C61EE3" w:rsidRPr="00F81F64" w:rsidRDefault="00B51A6E">
      <w:pPr>
        <w:spacing w:after="280" w:line="360" w:lineRule="auto"/>
        <w:jc w:val="both"/>
        <w:rPr>
          <w:rFonts w:ascii="Arial" w:hAnsi="Arial" w:cs="Arial"/>
          <w:b/>
          <w:color w:val="ADAFB2"/>
        </w:rPr>
        <w:sectPr w:rsidR="00C61EE3" w:rsidRPr="00F81F64">
          <w:headerReference w:type="first" r:id="rId22"/>
          <w:footerReference w:type="first" r:id="rId23"/>
          <w:pgSz w:w="11907" w:h="16839"/>
          <w:pgMar w:top="1418" w:right="992" w:bottom="1135" w:left="3686" w:header="709" w:footer="976" w:gutter="0"/>
          <w:cols w:space="708"/>
          <w:titlePg/>
        </w:sectPr>
      </w:pPr>
      <w:r w:rsidRPr="00F81F64">
        <w:rPr>
          <w:rFonts w:ascii="Arial" w:hAnsi="Arial" w:cs="Arial"/>
          <w:b/>
          <w:color w:val="ADAFB2"/>
          <w:sz w:val="20"/>
          <w:szCs w:val="20"/>
        </w:rPr>
        <w:t xml:space="preserve">Niniejszy materiał został opracowany wyłącznie w celach informacyjnych i nie może być traktowany jako oferta lub rekomendacja do zawierania jakichkolwiek transakcji. Informacje zawarte w materiale pochodzą z 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 </w:t>
      </w:r>
    </w:p>
    <w:p w14:paraId="7FFBC805" w14:textId="77777777" w:rsidR="00C61EE3" w:rsidRPr="00041BF6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79356F95" w14:textId="77777777" w:rsidR="00C61EE3" w:rsidRPr="00A96A8D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1206AC6E" w14:textId="77777777" w:rsidR="00C61EE3" w:rsidRPr="00321D0F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321D0F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2511B0D5" w14:textId="77777777" w:rsidR="00C61EE3" w:rsidRPr="00321D0F" w:rsidRDefault="00C61EE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</w:p>
    <w:p w14:paraId="7E10E508" w14:textId="77777777" w:rsidR="00951D99" w:rsidRPr="00951D99" w:rsidRDefault="00B51A6E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321D0F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321D0F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321D0F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126047142" w:history="1">
        <w:r w:rsidR="00951D99" w:rsidRPr="00951D99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III kw. 2022 r.</w:t>
        </w:r>
        <w:r w:rsidR="00951D99"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951D99"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951D99"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_Toc126047142 \h </w:instrText>
        </w:r>
        <w:r w:rsidR="00951D99"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="00951D99"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951D99"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692F526C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3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_Toc126047143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5779F670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4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_Toc126047144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7CF01487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5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_Toc126047145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1508A30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6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_Toc126047146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8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9D212C1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7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_Toc126047147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8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7B263C3E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8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III kwartale 2022 r.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_Toc126047148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8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04E21754" w14:textId="77777777" w:rsidR="00951D99" w:rsidRPr="00951D99" w:rsidRDefault="00951D99" w:rsidP="00951D99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26047149" w:history="1">
        <w:r w:rsidRPr="00951D99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_Toc126047149 \h </w:instrTex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431CCC"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Pr="00951D99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14:paraId="2C132278" w14:textId="77777777" w:rsidR="00C61EE3" w:rsidRPr="00D15951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321D0F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14:paraId="751E0FA9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1D4BBDD5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DBE5C88" w14:textId="77777777" w:rsidR="00C61EE3" w:rsidRPr="00D15951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0AF0CA8A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5296D0CC" w14:textId="77777777" w:rsidR="00C61EE3" w:rsidRPr="00A96A8D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ED4F294" w14:textId="77777777" w:rsidR="00C61EE3" w:rsidRPr="00A96A8D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C61EE3" w:rsidRPr="00A96A8D">
          <w:pgSz w:w="11907" w:h="16839"/>
          <w:pgMar w:top="1418" w:right="992" w:bottom="1135" w:left="3686" w:header="709" w:footer="976" w:gutter="0"/>
          <w:cols w:space="708"/>
          <w:titlePg/>
        </w:sectPr>
      </w:pPr>
    </w:p>
    <w:p w14:paraId="4A6B1B1D" w14:textId="59311301" w:rsidR="00C61EE3" w:rsidRPr="00D424F0" w:rsidRDefault="00B51A6E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126047142"/>
      <w:r w:rsidRPr="00D424F0">
        <w:rPr>
          <w:rFonts w:ascii="Arial" w:hAnsi="Arial" w:cs="Arial"/>
          <w:color w:val="ADAFB2"/>
          <w:sz w:val="28"/>
          <w:szCs w:val="28"/>
        </w:rPr>
        <w:lastRenderedPageBreak/>
        <w:t xml:space="preserve">1. Wynik, dochody </w:t>
      </w:r>
      <w:r w:rsidR="00D5510D" w:rsidRPr="00D424F0">
        <w:rPr>
          <w:rFonts w:ascii="Arial" w:hAnsi="Arial" w:cs="Arial"/>
          <w:color w:val="ADAFB2"/>
          <w:sz w:val="28"/>
          <w:szCs w:val="28"/>
        </w:rPr>
        <w:t xml:space="preserve">oraz wydatki w </w:t>
      </w:r>
      <w:r w:rsidR="0008606D" w:rsidRPr="00D424F0">
        <w:rPr>
          <w:rFonts w:ascii="Arial" w:hAnsi="Arial" w:cs="Arial"/>
          <w:color w:val="ADAFB2"/>
          <w:sz w:val="28"/>
          <w:szCs w:val="28"/>
        </w:rPr>
        <w:t>I</w:t>
      </w:r>
      <w:r w:rsidR="009F4A19">
        <w:rPr>
          <w:rFonts w:ascii="Arial" w:hAnsi="Arial" w:cs="Arial"/>
          <w:color w:val="ADAFB2"/>
          <w:sz w:val="28"/>
          <w:szCs w:val="28"/>
        </w:rPr>
        <w:t>I</w:t>
      </w:r>
      <w:r w:rsidR="00D5510D" w:rsidRPr="00D424F0">
        <w:rPr>
          <w:rFonts w:ascii="Arial" w:hAnsi="Arial" w:cs="Arial"/>
          <w:color w:val="ADAFB2"/>
          <w:sz w:val="28"/>
          <w:szCs w:val="28"/>
        </w:rPr>
        <w:t>I</w:t>
      </w:r>
      <w:r w:rsidRPr="00D424F0">
        <w:rPr>
          <w:rFonts w:ascii="Arial" w:hAnsi="Arial" w:cs="Arial"/>
          <w:color w:val="ADAFB2"/>
          <w:sz w:val="28"/>
          <w:szCs w:val="28"/>
        </w:rPr>
        <w:t xml:space="preserve"> kw. 202</w:t>
      </w:r>
      <w:r w:rsidR="00F81F64" w:rsidRPr="00D424F0">
        <w:rPr>
          <w:rFonts w:ascii="Arial" w:hAnsi="Arial" w:cs="Arial"/>
          <w:color w:val="ADAFB2"/>
          <w:sz w:val="28"/>
          <w:szCs w:val="28"/>
        </w:rPr>
        <w:t>2</w:t>
      </w:r>
      <w:r w:rsidRPr="00D424F0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14:paraId="09FC116A" w14:textId="4AB2E8C7" w:rsidR="00C61EE3" w:rsidRPr="00D424F0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424F0">
        <w:rPr>
          <w:rFonts w:ascii="Times New Roman" w:hAnsi="Times New Roman"/>
          <w:bCs/>
          <w:sz w:val="20"/>
          <w:szCs w:val="20"/>
        </w:rPr>
        <w:t>Poniżej przedstawione zostały podstawowe informacje na temat sytuacji finans</w:t>
      </w:r>
      <w:r w:rsidR="00686575" w:rsidRPr="00D424F0">
        <w:rPr>
          <w:rFonts w:ascii="Times New Roman" w:hAnsi="Times New Roman"/>
          <w:bCs/>
          <w:sz w:val="20"/>
          <w:szCs w:val="20"/>
        </w:rPr>
        <w:t>ów</w:t>
      </w:r>
      <w:r w:rsidRPr="00D424F0">
        <w:rPr>
          <w:rFonts w:ascii="Times New Roman" w:hAnsi="Times New Roman"/>
          <w:bCs/>
          <w:sz w:val="20"/>
          <w:szCs w:val="20"/>
        </w:rPr>
        <w:t xml:space="preserve"> publicznych w I</w:t>
      </w:r>
      <w:r w:rsidR="009F4A19">
        <w:rPr>
          <w:rFonts w:ascii="Times New Roman" w:hAnsi="Times New Roman"/>
          <w:bCs/>
          <w:sz w:val="20"/>
          <w:szCs w:val="20"/>
        </w:rPr>
        <w:t>I</w:t>
      </w:r>
      <w:r w:rsidR="0008606D" w:rsidRPr="00D424F0">
        <w:rPr>
          <w:rFonts w:ascii="Times New Roman" w:hAnsi="Times New Roman"/>
          <w:bCs/>
          <w:sz w:val="20"/>
          <w:szCs w:val="20"/>
        </w:rPr>
        <w:t>I</w:t>
      </w:r>
      <w:r w:rsidR="00F81F64" w:rsidRPr="00D424F0">
        <w:rPr>
          <w:rFonts w:ascii="Times New Roman" w:hAnsi="Times New Roman"/>
          <w:bCs/>
          <w:sz w:val="20"/>
          <w:szCs w:val="20"/>
        </w:rPr>
        <w:t> kw. 2022</w:t>
      </w:r>
      <w:r w:rsidRPr="00D424F0">
        <w:rPr>
          <w:rFonts w:ascii="Times New Roman" w:hAnsi="Times New Roman"/>
          <w:bCs/>
          <w:sz w:val="20"/>
          <w:szCs w:val="20"/>
        </w:rPr>
        <w:t> r.</w:t>
      </w:r>
    </w:p>
    <w:p w14:paraId="2634B5DF" w14:textId="77777777" w:rsidR="00C61EE3" w:rsidRPr="00D424F0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126047143"/>
      <w:r w:rsidRPr="00D424F0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D424F0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4F3205DA" w14:textId="5AA5AF76" w:rsidR="00C61EE3" w:rsidRPr="009A5C0D" w:rsidRDefault="00B51A6E">
      <w:pPr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9A5C0D">
        <w:rPr>
          <w:rFonts w:ascii="Times New Roman" w:hAnsi="Times New Roman" w:cs="Arial"/>
          <w:sz w:val="20"/>
          <w:szCs w:val="20"/>
        </w:rPr>
        <w:t xml:space="preserve">Według danych GUS </w:t>
      </w:r>
      <w:r w:rsidR="001F7A87" w:rsidRPr="009A5C0D">
        <w:rPr>
          <w:rFonts w:ascii="Times New Roman" w:hAnsi="Times New Roman" w:cs="Arial"/>
          <w:sz w:val="20"/>
          <w:szCs w:val="20"/>
        </w:rPr>
        <w:t>deficyt</w:t>
      </w:r>
      <w:r w:rsidRPr="009A5C0D">
        <w:rPr>
          <w:rFonts w:ascii="Times New Roman" w:hAnsi="Times New Roman" w:cs="Arial"/>
          <w:sz w:val="20"/>
          <w:szCs w:val="20"/>
        </w:rPr>
        <w:t xml:space="preserve"> sektora instytuc</w:t>
      </w:r>
      <w:r w:rsidR="001B227C" w:rsidRPr="009A5C0D">
        <w:rPr>
          <w:rFonts w:ascii="Times New Roman" w:hAnsi="Times New Roman" w:cs="Arial"/>
          <w:sz w:val="20"/>
          <w:szCs w:val="20"/>
        </w:rPr>
        <w:t xml:space="preserve">ji rządowych i samorządowych w </w:t>
      </w:r>
      <w:r w:rsidR="0056060C" w:rsidRPr="009A5C0D">
        <w:rPr>
          <w:rFonts w:ascii="Times New Roman" w:hAnsi="Times New Roman" w:cs="Arial"/>
          <w:sz w:val="20"/>
          <w:szCs w:val="20"/>
        </w:rPr>
        <w:t>I</w:t>
      </w:r>
      <w:r w:rsidR="00EE2397" w:rsidRPr="009A5C0D">
        <w:rPr>
          <w:rFonts w:ascii="Times New Roman" w:hAnsi="Times New Roman" w:cs="Arial"/>
          <w:sz w:val="20"/>
          <w:szCs w:val="20"/>
        </w:rPr>
        <w:t>I</w:t>
      </w:r>
      <w:r w:rsidR="00CC1280" w:rsidRPr="009A5C0D">
        <w:rPr>
          <w:rFonts w:ascii="Times New Roman" w:hAnsi="Times New Roman" w:cs="Arial"/>
          <w:sz w:val="20"/>
          <w:szCs w:val="20"/>
        </w:rPr>
        <w:t>I</w:t>
      </w:r>
      <w:r w:rsidR="00027B0D" w:rsidRPr="009A5C0D">
        <w:rPr>
          <w:rFonts w:ascii="Times New Roman" w:hAnsi="Times New Roman" w:cs="Arial"/>
          <w:sz w:val="20"/>
          <w:szCs w:val="20"/>
        </w:rPr>
        <w:t> </w:t>
      </w:r>
      <w:r w:rsidR="0056060C" w:rsidRPr="009A5C0D">
        <w:rPr>
          <w:rFonts w:ascii="Times New Roman" w:hAnsi="Times New Roman" w:cs="Arial"/>
          <w:sz w:val="20"/>
          <w:szCs w:val="20"/>
        </w:rPr>
        <w:t>kw.</w:t>
      </w:r>
      <w:r w:rsidR="00027B0D" w:rsidRPr="009A5C0D">
        <w:rPr>
          <w:rFonts w:ascii="Times New Roman" w:hAnsi="Times New Roman" w:cs="Arial"/>
          <w:sz w:val="20"/>
          <w:szCs w:val="20"/>
        </w:rPr>
        <w:t> </w:t>
      </w:r>
      <w:r w:rsidR="00F81F64" w:rsidRPr="009A5C0D">
        <w:rPr>
          <w:rFonts w:ascii="Times New Roman" w:hAnsi="Times New Roman" w:cs="Arial"/>
          <w:sz w:val="20"/>
          <w:szCs w:val="20"/>
        </w:rPr>
        <w:t>2022</w:t>
      </w:r>
      <w:r w:rsidR="00027B0D" w:rsidRPr="009A5C0D">
        <w:rPr>
          <w:rFonts w:ascii="Times New Roman" w:hAnsi="Times New Roman" w:cs="Arial"/>
          <w:sz w:val="20"/>
          <w:szCs w:val="20"/>
        </w:rPr>
        <w:t> </w:t>
      </w:r>
      <w:r w:rsidR="00CC1280" w:rsidRPr="009A5C0D">
        <w:rPr>
          <w:rFonts w:ascii="Times New Roman" w:hAnsi="Times New Roman" w:cs="Arial"/>
          <w:sz w:val="20"/>
          <w:szCs w:val="20"/>
        </w:rPr>
        <w:t xml:space="preserve">r. </w:t>
      </w:r>
      <w:r w:rsidR="001F7A87" w:rsidRPr="009A5C0D">
        <w:rPr>
          <w:rFonts w:ascii="Times New Roman" w:hAnsi="Times New Roman" w:cs="Arial"/>
          <w:sz w:val="20"/>
          <w:szCs w:val="20"/>
        </w:rPr>
        <w:t>wyniósł </w:t>
      </w:r>
      <w:r w:rsidR="00EE2397" w:rsidRPr="009A5C0D">
        <w:rPr>
          <w:rFonts w:ascii="Times New Roman" w:hAnsi="Times New Roman" w:cs="Arial"/>
          <w:sz w:val="20"/>
          <w:szCs w:val="20"/>
        </w:rPr>
        <w:t>23</w:t>
      </w:r>
      <w:r w:rsidR="00CC1280" w:rsidRPr="009A5C0D">
        <w:rPr>
          <w:rFonts w:ascii="Times New Roman" w:hAnsi="Times New Roman" w:cs="Arial"/>
          <w:sz w:val="20"/>
          <w:szCs w:val="20"/>
        </w:rPr>
        <w:t>,8</w:t>
      </w:r>
      <w:r w:rsidR="001B227C" w:rsidRPr="009A5C0D">
        <w:rPr>
          <w:rFonts w:ascii="Times New Roman" w:hAnsi="Times New Roman" w:cs="Arial"/>
          <w:sz w:val="20"/>
          <w:szCs w:val="20"/>
        </w:rPr>
        <w:t> </w:t>
      </w:r>
      <w:r w:rsidRPr="009A5C0D">
        <w:rPr>
          <w:rFonts w:ascii="Times New Roman" w:hAnsi="Times New Roman" w:cs="Arial"/>
          <w:sz w:val="20"/>
          <w:szCs w:val="20"/>
        </w:rPr>
        <w:t>mld</w:t>
      </w:r>
      <w:r w:rsidR="00A546B2" w:rsidRPr="009A5C0D">
        <w:rPr>
          <w:rFonts w:ascii="Times New Roman" w:hAnsi="Times New Roman" w:cs="Arial"/>
          <w:sz w:val="20"/>
          <w:szCs w:val="20"/>
        </w:rPr>
        <w:t> </w:t>
      </w:r>
      <w:r w:rsidR="00027B0D" w:rsidRPr="009A5C0D">
        <w:rPr>
          <w:rFonts w:ascii="Times New Roman" w:hAnsi="Times New Roman" w:cs="Arial"/>
          <w:sz w:val="20"/>
          <w:szCs w:val="20"/>
        </w:rPr>
        <w:t>zł (tj.</w:t>
      </w:r>
      <w:r w:rsidR="00A546B2" w:rsidRPr="009A5C0D">
        <w:rPr>
          <w:rFonts w:ascii="Times New Roman" w:hAnsi="Times New Roman" w:cs="Arial"/>
          <w:sz w:val="20"/>
          <w:szCs w:val="20"/>
        </w:rPr>
        <w:t> </w:t>
      </w:r>
      <w:r w:rsidR="00EE2397" w:rsidRPr="009A5C0D">
        <w:rPr>
          <w:rFonts w:ascii="Times New Roman" w:hAnsi="Times New Roman" w:cs="Arial"/>
          <w:sz w:val="20"/>
          <w:szCs w:val="20"/>
        </w:rPr>
        <w:t>3,1</w:t>
      </w:r>
      <w:r w:rsidR="00A546B2" w:rsidRPr="009A5C0D">
        <w:rPr>
          <w:rFonts w:ascii="Times New Roman" w:hAnsi="Times New Roman" w:cs="Arial"/>
          <w:sz w:val="20"/>
          <w:szCs w:val="20"/>
        </w:rPr>
        <w:t> </w:t>
      </w:r>
      <w:r w:rsidR="001B227C" w:rsidRPr="009A5C0D">
        <w:rPr>
          <w:rFonts w:ascii="Times New Roman" w:hAnsi="Times New Roman" w:cs="Arial"/>
          <w:sz w:val="20"/>
          <w:szCs w:val="20"/>
        </w:rPr>
        <w:t>%</w:t>
      </w:r>
      <w:r w:rsidR="00A546B2" w:rsidRPr="009A5C0D">
        <w:rPr>
          <w:rFonts w:ascii="Times New Roman" w:hAnsi="Times New Roman" w:cs="Arial"/>
          <w:sz w:val="20"/>
          <w:szCs w:val="20"/>
        </w:rPr>
        <w:t> </w:t>
      </w:r>
      <w:r w:rsidR="001B227C" w:rsidRPr="009A5C0D">
        <w:rPr>
          <w:rFonts w:ascii="Times New Roman" w:hAnsi="Times New Roman" w:cs="Arial"/>
          <w:sz w:val="20"/>
          <w:szCs w:val="20"/>
        </w:rPr>
        <w:t xml:space="preserve">PKB) i w stosunku do </w:t>
      </w:r>
      <w:r w:rsidR="00AF687C" w:rsidRPr="009A5C0D">
        <w:rPr>
          <w:rFonts w:ascii="Times New Roman" w:hAnsi="Times New Roman" w:cs="Arial"/>
          <w:sz w:val="20"/>
          <w:szCs w:val="20"/>
        </w:rPr>
        <w:t>I</w:t>
      </w:r>
      <w:r w:rsidR="00CC1280" w:rsidRPr="009A5C0D">
        <w:rPr>
          <w:rFonts w:ascii="Times New Roman" w:hAnsi="Times New Roman" w:cs="Arial"/>
          <w:sz w:val="20"/>
          <w:szCs w:val="20"/>
        </w:rPr>
        <w:t>I</w:t>
      </w:r>
      <w:r w:rsidR="00EE2397" w:rsidRPr="009A5C0D">
        <w:rPr>
          <w:rFonts w:ascii="Times New Roman" w:hAnsi="Times New Roman" w:cs="Arial"/>
          <w:sz w:val="20"/>
          <w:szCs w:val="20"/>
        </w:rPr>
        <w:t>I</w:t>
      </w:r>
      <w:r w:rsidRPr="009A5C0D">
        <w:rPr>
          <w:rFonts w:ascii="Times New Roman" w:hAnsi="Times New Roman" w:cs="Arial"/>
          <w:sz w:val="20"/>
          <w:szCs w:val="20"/>
        </w:rPr>
        <w:t> kw. roku poprz</w:t>
      </w:r>
      <w:r w:rsidR="00B9045B" w:rsidRPr="009A5C0D">
        <w:rPr>
          <w:rFonts w:ascii="Times New Roman" w:hAnsi="Times New Roman" w:cs="Arial"/>
          <w:sz w:val="20"/>
          <w:szCs w:val="20"/>
        </w:rPr>
        <w:t xml:space="preserve">edniego </w:t>
      </w:r>
      <w:r w:rsidR="001F7A87" w:rsidRPr="009A5C0D">
        <w:rPr>
          <w:rFonts w:ascii="Times New Roman" w:hAnsi="Times New Roman" w:cs="Arial"/>
          <w:sz w:val="20"/>
          <w:szCs w:val="20"/>
        </w:rPr>
        <w:t xml:space="preserve">wynik </w:t>
      </w:r>
      <w:r w:rsidR="00CC1280" w:rsidRPr="009A5C0D">
        <w:rPr>
          <w:rFonts w:ascii="Times New Roman" w:hAnsi="Times New Roman" w:cs="Arial"/>
          <w:sz w:val="20"/>
          <w:szCs w:val="20"/>
        </w:rPr>
        <w:t>pogorszył się</w:t>
      </w:r>
      <w:r w:rsidR="007911A8" w:rsidRPr="009A5C0D">
        <w:rPr>
          <w:rFonts w:ascii="Times New Roman" w:hAnsi="Times New Roman" w:cs="Arial"/>
          <w:sz w:val="20"/>
          <w:szCs w:val="20"/>
        </w:rPr>
        <w:t xml:space="preserve"> o</w:t>
      </w:r>
      <w:r w:rsidR="001F7A87" w:rsidRPr="009A5C0D">
        <w:rPr>
          <w:rFonts w:ascii="Times New Roman" w:hAnsi="Times New Roman" w:cs="Arial"/>
          <w:sz w:val="20"/>
          <w:szCs w:val="20"/>
        </w:rPr>
        <w:t> </w:t>
      </w:r>
      <w:r w:rsidR="007911A8" w:rsidRPr="009A5C0D">
        <w:rPr>
          <w:rFonts w:ascii="Times New Roman" w:hAnsi="Times New Roman" w:cs="Arial"/>
          <w:sz w:val="20"/>
          <w:szCs w:val="20"/>
        </w:rPr>
        <w:t>ok.</w:t>
      </w:r>
      <w:r w:rsidR="00027B0D" w:rsidRPr="009A5C0D">
        <w:rPr>
          <w:rFonts w:ascii="Times New Roman" w:hAnsi="Times New Roman" w:cs="Arial"/>
          <w:sz w:val="20"/>
          <w:szCs w:val="20"/>
        </w:rPr>
        <w:t> </w:t>
      </w:r>
      <w:r w:rsidR="00EE2397" w:rsidRPr="009A5C0D">
        <w:rPr>
          <w:rFonts w:ascii="Times New Roman" w:hAnsi="Times New Roman" w:cs="Arial"/>
          <w:sz w:val="20"/>
          <w:szCs w:val="20"/>
        </w:rPr>
        <w:t>27,1</w:t>
      </w:r>
      <w:r w:rsidRPr="009A5C0D">
        <w:rPr>
          <w:rFonts w:ascii="Times New Roman" w:hAnsi="Times New Roman" w:cs="Arial"/>
          <w:sz w:val="20"/>
          <w:szCs w:val="20"/>
        </w:rPr>
        <w:t> m</w:t>
      </w:r>
      <w:r w:rsidR="00AF687C" w:rsidRPr="009A5C0D">
        <w:rPr>
          <w:rFonts w:ascii="Times New Roman" w:hAnsi="Times New Roman" w:cs="Arial"/>
          <w:sz w:val="20"/>
          <w:szCs w:val="20"/>
        </w:rPr>
        <w:t>ld zł (</w:t>
      </w:r>
      <w:r w:rsidR="00EE2397" w:rsidRPr="009A5C0D">
        <w:rPr>
          <w:rFonts w:ascii="Times New Roman" w:hAnsi="Times New Roman" w:cs="Arial"/>
          <w:sz w:val="20"/>
          <w:szCs w:val="20"/>
        </w:rPr>
        <w:t>pogorszenie</w:t>
      </w:r>
      <w:r w:rsidR="00B9045B" w:rsidRPr="009A5C0D">
        <w:rPr>
          <w:rFonts w:ascii="Times New Roman" w:hAnsi="Times New Roman" w:cs="Arial"/>
          <w:sz w:val="20"/>
          <w:szCs w:val="20"/>
        </w:rPr>
        <w:t xml:space="preserve"> w</w:t>
      </w:r>
      <w:r w:rsidR="00686575" w:rsidRPr="009A5C0D">
        <w:rPr>
          <w:rFonts w:ascii="Times New Roman" w:hAnsi="Times New Roman" w:cs="Arial"/>
          <w:sz w:val="20"/>
          <w:szCs w:val="20"/>
        </w:rPr>
        <w:t> </w:t>
      </w:r>
      <w:r w:rsidR="00B9045B" w:rsidRPr="009A5C0D">
        <w:rPr>
          <w:rFonts w:ascii="Times New Roman" w:hAnsi="Times New Roman" w:cs="Arial"/>
          <w:sz w:val="20"/>
          <w:szCs w:val="20"/>
        </w:rPr>
        <w:t>relacji o</w:t>
      </w:r>
      <w:r w:rsidR="00A546B2" w:rsidRPr="009A5C0D">
        <w:rPr>
          <w:rFonts w:ascii="Times New Roman" w:hAnsi="Times New Roman" w:cs="Arial"/>
          <w:sz w:val="20"/>
          <w:szCs w:val="20"/>
        </w:rPr>
        <w:t> </w:t>
      </w:r>
      <w:r w:rsidR="00EE2397" w:rsidRPr="009A5C0D">
        <w:rPr>
          <w:rFonts w:ascii="Times New Roman" w:hAnsi="Times New Roman" w:cs="Arial"/>
          <w:sz w:val="20"/>
          <w:szCs w:val="20"/>
        </w:rPr>
        <w:t>3,6</w:t>
      </w:r>
      <w:r w:rsidR="00A546B2" w:rsidRPr="009A5C0D">
        <w:rPr>
          <w:rFonts w:ascii="Times New Roman" w:hAnsi="Times New Roman" w:cs="Arial"/>
          <w:sz w:val="20"/>
          <w:szCs w:val="20"/>
        </w:rPr>
        <w:t> </w:t>
      </w:r>
      <w:r w:rsidRPr="009A5C0D">
        <w:rPr>
          <w:rFonts w:ascii="Times New Roman" w:hAnsi="Times New Roman" w:cs="Arial"/>
          <w:sz w:val="20"/>
          <w:szCs w:val="20"/>
        </w:rPr>
        <w:t>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9F4A19" w14:paraId="1213170B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4D174DDE" w14:textId="77777777" w:rsidR="00276689" w:rsidRPr="002F73B6" w:rsidRDefault="00B51A6E" w:rsidP="007820F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1. Wynik sektora instytucji rządowych i samorządowych ( w % PKB).</w:t>
            </w:r>
          </w:p>
        </w:tc>
      </w:tr>
      <w:tr w:rsidR="00C61EE3" w:rsidRPr="009F4A19" w14:paraId="00C5CBAE" w14:textId="77777777" w:rsidTr="002D4E09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0167A8DD" w14:textId="456B264A" w:rsidR="00C61EE3" w:rsidRPr="002F73B6" w:rsidRDefault="002D4E0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AA8B5E2" wp14:editId="3E905357">
                  <wp:extent cx="2838450" cy="2052638"/>
                  <wp:effectExtent l="0" t="0" r="0" b="5080"/>
                  <wp:docPr id="12" name="Wykres 12" descr="Wykres prezentuje wynik sektora instytucji rządowych i samorządowych w % PKB: wynik, wynik wyrównany sezonowo (SA) i wynik w ujęciu roku płynnego w okresie od IV kwartału 2019 do III kwartału 2022 roku. Dane szczegółowe dostępne w Aneksie statystycznym, na końcu opracowania." title="Wykres 1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C61EE3" w:rsidRPr="009F4A19" w14:paraId="4EB8C609" w14:textId="77777777">
        <w:tc>
          <w:tcPr>
            <w:tcW w:w="4680" w:type="dxa"/>
          </w:tcPr>
          <w:p w14:paraId="3F2377D4" w14:textId="77777777" w:rsidR="00C61EE3" w:rsidRPr="002F73B6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14:paraId="21921379" w14:textId="77777777" w:rsidR="00C61EE3" w:rsidRPr="009A5C0D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126047144"/>
      <w:r w:rsidRPr="009A5C0D">
        <w:rPr>
          <w:rFonts w:ascii="Arial" w:hAnsi="Arial" w:cs="Arial"/>
          <w:i w:val="0"/>
          <w:color w:val="E31837"/>
          <w:sz w:val="20"/>
          <w:szCs w:val="20"/>
        </w:rPr>
        <w:t>1.2. Dochody</w:t>
      </w:r>
      <w:bookmarkEnd w:id="3"/>
    </w:p>
    <w:p w14:paraId="7C01D861" w14:textId="151BA3D2" w:rsidR="00C61EE3" w:rsidRPr="009A5C0D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A5C0D">
        <w:rPr>
          <w:rFonts w:ascii="Times New Roman" w:hAnsi="Times New Roman"/>
          <w:bCs/>
          <w:sz w:val="20"/>
          <w:szCs w:val="20"/>
        </w:rPr>
        <w:t xml:space="preserve">W </w:t>
      </w:r>
      <w:r w:rsidR="00FD3247" w:rsidRPr="009A5C0D">
        <w:rPr>
          <w:rFonts w:ascii="Times New Roman" w:hAnsi="Times New Roman"/>
          <w:bCs/>
          <w:sz w:val="20"/>
          <w:szCs w:val="20"/>
        </w:rPr>
        <w:t>I</w:t>
      </w:r>
      <w:r w:rsidRPr="009A5C0D">
        <w:rPr>
          <w:rFonts w:ascii="Times New Roman" w:hAnsi="Times New Roman"/>
          <w:bCs/>
          <w:sz w:val="20"/>
          <w:szCs w:val="20"/>
        </w:rPr>
        <w:t>I</w:t>
      </w:r>
      <w:r w:rsidR="009A5C0D" w:rsidRPr="009A5C0D">
        <w:rPr>
          <w:rFonts w:ascii="Times New Roman" w:hAnsi="Times New Roman"/>
          <w:bCs/>
          <w:sz w:val="20"/>
          <w:szCs w:val="20"/>
        </w:rPr>
        <w:t>I</w:t>
      </w:r>
      <w:r w:rsidR="00F81F64" w:rsidRPr="009A5C0D">
        <w:rPr>
          <w:rFonts w:ascii="Times New Roman" w:hAnsi="Times New Roman"/>
          <w:bCs/>
          <w:sz w:val="20"/>
          <w:szCs w:val="20"/>
        </w:rPr>
        <w:t xml:space="preserve"> kw. 2022</w:t>
      </w:r>
      <w:r w:rsidRPr="009A5C0D">
        <w:rPr>
          <w:rFonts w:ascii="Times New Roman" w:hAnsi="Times New Roman"/>
          <w:bCs/>
          <w:sz w:val="20"/>
          <w:szCs w:val="20"/>
        </w:rPr>
        <w:t xml:space="preserve"> r. dochody sektora instytucji rządowych i samorz</w:t>
      </w:r>
      <w:r w:rsidR="00F81F64" w:rsidRPr="009A5C0D">
        <w:rPr>
          <w:rFonts w:ascii="Times New Roman" w:hAnsi="Times New Roman"/>
          <w:bCs/>
          <w:sz w:val="20"/>
          <w:szCs w:val="20"/>
        </w:rPr>
        <w:t xml:space="preserve">ądowych (ESA2010) wyniosły </w:t>
      </w:r>
      <w:r w:rsidR="009A5C0D" w:rsidRPr="009A5C0D">
        <w:rPr>
          <w:rFonts w:ascii="Times New Roman" w:hAnsi="Times New Roman"/>
          <w:bCs/>
          <w:sz w:val="20"/>
          <w:szCs w:val="20"/>
        </w:rPr>
        <w:t>303,0</w:t>
      </w:r>
      <w:r w:rsidR="00855B0A" w:rsidRPr="009A5C0D">
        <w:rPr>
          <w:rFonts w:ascii="Times New Roman" w:hAnsi="Times New Roman"/>
          <w:bCs/>
          <w:sz w:val="20"/>
          <w:szCs w:val="20"/>
        </w:rPr>
        <w:t> </w:t>
      </w:r>
      <w:r w:rsidR="00EB7384" w:rsidRPr="009A5C0D">
        <w:rPr>
          <w:rFonts w:ascii="Times New Roman" w:hAnsi="Times New Roman"/>
          <w:bCs/>
          <w:sz w:val="20"/>
          <w:szCs w:val="20"/>
        </w:rPr>
        <w:t>mld</w:t>
      </w:r>
      <w:r w:rsidR="00855B0A" w:rsidRPr="009A5C0D">
        <w:rPr>
          <w:rFonts w:ascii="Times New Roman" w:hAnsi="Times New Roman"/>
          <w:bCs/>
          <w:sz w:val="20"/>
          <w:szCs w:val="20"/>
        </w:rPr>
        <w:t> </w:t>
      </w:r>
      <w:r w:rsidR="00EB7384" w:rsidRPr="009A5C0D">
        <w:rPr>
          <w:rFonts w:ascii="Times New Roman" w:hAnsi="Times New Roman"/>
          <w:bCs/>
          <w:sz w:val="20"/>
          <w:szCs w:val="20"/>
        </w:rPr>
        <w:t>z</w:t>
      </w:r>
      <w:r w:rsidR="002E2F22" w:rsidRPr="009A5C0D">
        <w:rPr>
          <w:rFonts w:ascii="Times New Roman" w:hAnsi="Times New Roman"/>
          <w:bCs/>
          <w:sz w:val="20"/>
          <w:szCs w:val="20"/>
        </w:rPr>
        <w:t>ł</w:t>
      </w:r>
      <w:r w:rsidR="00F81F64" w:rsidRPr="009A5C0D">
        <w:rPr>
          <w:rFonts w:ascii="Times New Roman" w:hAnsi="Times New Roman"/>
          <w:bCs/>
          <w:sz w:val="20"/>
          <w:szCs w:val="20"/>
        </w:rPr>
        <w:t xml:space="preserve"> i były nominalnie wyższe o </w:t>
      </w:r>
      <w:r w:rsidR="009A5C0D" w:rsidRPr="009A5C0D">
        <w:rPr>
          <w:rFonts w:ascii="Times New Roman" w:hAnsi="Times New Roman"/>
          <w:bCs/>
          <w:sz w:val="20"/>
          <w:szCs w:val="20"/>
        </w:rPr>
        <w:t>9,9</w:t>
      </w:r>
      <w:r w:rsidR="00F81F64" w:rsidRPr="009A5C0D">
        <w:rPr>
          <w:rFonts w:ascii="Times New Roman" w:hAnsi="Times New Roman"/>
          <w:bCs/>
          <w:sz w:val="20"/>
          <w:szCs w:val="20"/>
        </w:rPr>
        <w:t xml:space="preserve">% r/r, </w:t>
      </w:r>
      <w:r w:rsidR="00BF6CD4" w:rsidRPr="009A5C0D">
        <w:rPr>
          <w:rFonts w:ascii="Times New Roman" w:hAnsi="Times New Roman"/>
          <w:bCs/>
          <w:sz w:val="20"/>
          <w:szCs w:val="20"/>
        </w:rPr>
        <w:t>ale w relacji do PKB spadły</w:t>
      </w:r>
      <w:r w:rsidR="00EB7384" w:rsidRPr="009A5C0D">
        <w:rPr>
          <w:rFonts w:ascii="Times New Roman" w:hAnsi="Times New Roman"/>
          <w:bCs/>
          <w:sz w:val="20"/>
          <w:szCs w:val="20"/>
        </w:rPr>
        <w:t xml:space="preserve"> </w:t>
      </w:r>
      <w:r w:rsidR="00855B0A" w:rsidRPr="009A5C0D">
        <w:rPr>
          <w:rFonts w:ascii="Times New Roman" w:hAnsi="Times New Roman"/>
          <w:bCs/>
          <w:sz w:val="20"/>
          <w:szCs w:val="20"/>
        </w:rPr>
        <w:t xml:space="preserve">r/r </w:t>
      </w:r>
      <w:r w:rsidR="00F81F64" w:rsidRPr="009A5C0D">
        <w:rPr>
          <w:rFonts w:ascii="Times New Roman" w:hAnsi="Times New Roman"/>
          <w:bCs/>
          <w:sz w:val="20"/>
          <w:szCs w:val="20"/>
        </w:rPr>
        <w:t xml:space="preserve">o </w:t>
      </w:r>
      <w:r w:rsidR="009A5C0D" w:rsidRPr="009A5C0D">
        <w:rPr>
          <w:rFonts w:ascii="Times New Roman" w:hAnsi="Times New Roman"/>
          <w:bCs/>
          <w:sz w:val="20"/>
          <w:szCs w:val="20"/>
        </w:rPr>
        <w:t>2</w:t>
      </w:r>
      <w:r w:rsidR="00FD3247" w:rsidRPr="009A5C0D">
        <w:rPr>
          <w:rFonts w:ascii="Times New Roman" w:hAnsi="Times New Roman"/>
          <w:bCs/>
          <w:sz w:val="20"/>
          <w:szCs w:val="20"/>
        </w:rPr>
        <w:t>,</w:t>
      </w:r>
      <w:r w:rsidR="009A5C0D" w:rsidRPr="009A5C0D">
        <w:rPr>
          <w:rFonts w:ascii="Times New Roman" w:hAnsi="Times New Roman"/>
          <w:bCs/>
          <w:sz w:val="20"/>
          <w:szCs w:val="20"/>
        </w:rPr>
        <w:t>6</w:t>
      </w:r>
      <w:r w:rsidRPr="009A5C0D">
        <w:rPr>
          <w:rFonts w:ascii="Times New Roman" w:hAnsi="Times New Roman"/>
          <w:bCs/>
          <w:sz w:val="20"/>
          <w:szCs w:val="20"/>
        </w:rPr>
        <w:t xml:space="preserve"> pkt. proc. </w:t>
      </w:r>
      <w:r w:rsidR="00EB7384" w:rsidRPr="009A5C0D">
        <w:rPr>
          <w:rFonts w:ascii="Times New Roman" w:hAnsi="Times New Roman"/>
          <w:bCs/>
          <w:sz w:val="20"/>
          <w:szCs w:val="20"/>
        </w:rPr>
        <w:t>Dochody podatkowe (ESA2010), mające największy udział w</w:t>
      </w:r>
      <w:r w:rsidR="00855B0A" w:rsidRPr="009A5C0D">
        <w:rPr>
          <w:rFonts w:ascii="Times New Roman" w:hAnsi="Times New Roman"/>
          <w:bCs/>
          <w:sz w:val="20"/>
          <w:szCs w:val="20"/>
        </w:rPr>
        <w:t> </w:t>
      </w:r>
      <w:r w:rsidR="00EB7384" w:rsidRPr="009A5C0D">
        <w:rPr>
          <w:rFonts w:ascii="Times New Roman" w:hAnsi="Times New Roman"/>
          <w:bCs/>
          <w:sz w:val="20"/>
          <w:szCs w:val="20"/>
        </w:rPr>
        <w:t xml:space="preserve">omawianej kategorii, </w:t>
      </w:r>
      <w:r w:rsidR="00F81F64" w:rsidRPr="009A5C0D">
        <w:rPr>
          <w:rFonts w:ascii="Times New Roman" w:hAnsi="Times New Roman"/>
          <w:bCs/>
          <w:sz w:val="20"/>
          <w:szCs w:val="20"/>
        </w:rPr>
        <w:t>nominalnie wzrosły o</w:t>
      </w:r>
      <w:r w:rsidR="009A5C0D" w:rsidRPr="009A5C0D">
        <w:rPr>
          <w:rFonts w:ascii="Times New Roman" w:hAnsi="Times New Roman"/>
          <w:bCs/>
          <w:sz w:val="20"/>
          <w:szCs w:val="20"/>
        </w:rPr>
        <w:t xml:space="preserve"> 3,2</w:t>
      </w:r>
      <w:r w:rsidRPr="009A5C0D">
        <w:rPr>
          <w:rFonts w:ascii="Times New Roman" w:hAnsi="Times New Roman"/>
          <w:bCs/>
          <w:sz w:val="20"/>
          <w:szCs w:val="20"/>
        </w:rPr>
        <w:t>% r/r</w:t>
      </w:r>
      <w:r w:rsidR="00D27CBA" w:rsidRPr="009A5C0D">
        <w:rPr>
          <w:rFonts w:ascii="Times New Roman" w:hAnsi="Times New Roman"/>
          <w:bCs/>
          <w:sz w:val="20"/>
          <w:szCs w:val="20"/>
        </w:rPr>
        <w:t xml:space="preserve">, </w:t>
      </w:r>
      <w:r w:rsidR="00AF687C" w:rsidRPr="009A5C0D">
        <w:rPr>
          <w:rFonts w:ascii="Times New Roman" w:hAnsi="Times New Roman"/>
          <w:bCs/>
          <w:sz w:val="20"/>
          <w:szCs w:val="20"/>
        </w:rPr>
        <w:t xml:space="preserve">na co złożył się wzrost wpływów z </w:t>
      </w:r>
      <w:r w:rsidR="00E77147" w:rsidRPr="009A5C0D">
        <w:rPr>
          <w:rFonts w:ascii="Times New Roman" w:hAnsi="Times New Roman"/>
          <w:bCs/>
          <w:sz w:val="20"/>
          <w:szCs w:val="20"/>
        </w:rPr>
        <w:t xml:space="preserve">podatków </w:t>
      </w:r>
      <w:r w:rsidR="00AF687C" w:rsidRPr="009A5C0D">
        <w:rPr>
          <w:rFonts w:ascii="Times New Roman" w:hAnsi="Times New Roman"/>
          <w:bCs/>
          <w:sz w:val="20"/>
          <w:szCs w:val="20"/>
        </w:rPr>
        <w:t>o</w:t>
      </w:r>
      <w:r w:rsidR="00A86D29" w:rsidRPr="009A5C0D">
        <w:rPr>
          <w:rFonts w:ascii="Times New Roman" w:hAnsi="Times New Roman"/>
          <w:bCs/>
          <w:sz w:val="20"/>
          <w:szCs w:val="20"/>
        </w:rPr>
        <w:t xml:space="preserve">d </w:t>
      </w:r>
      <w:r w:rsidR="00F81F64" w:rsidRPr="009A5C0D">
        <w:rPr>
          <w:rFonts w:ascii="Times New Roman" w:hAnsi="Times New Roman"/>
          <w:bCs/>
          <w:sz w:val="20"/>
          <w:szCs w:val="20"/>
        </w:rPr>
        <w:t xml:space="preserve">produkcji i importu o ok. </w:t>
      </w:r>
      <w:r w:rsidR="009A5C0D" w:rsidRPr="009A5C0D">
        <w:rPr>
          <w:rFonts w:ascii="Times New Roman" w:hAnsi="Times New Roman"/>
          <w:bCs/>
          <w:sz w:val="20"/>
          <w:szCs w:val="20"/>
        </w:rPr>
        <w:t>6,7</w:t>
      </w:r>
      <w:r w:rsidR="00AF687C" w:rsidRPr="009A5C0D">
        <w:rPr>
          <w:rFonts w:ascii="Times New Roman" w:hAnsi="Times New Roman"/>
          <w:bCs/>
          <w:sz w:val="20"/>
          <w:szCs w:val="20"/>
        </w:rPr>
        <w:t>% r/r</w:t>
      </w:r>
      <w:r w:rsidR="00E77147" w:rsidRPr="009A5C0D">
        <w:rPr>
          <w:rFonts w:ascii="Times New Roman" w:hAnsi="Times New Roman"/>
          <w:bCs/>
          <w:sz w:val="20"/>
          <w:szCs w:val="20"/>
        </w:rPr>
        <w:t xml:space="preserve"> </w:t>
      </w:r>
      <w:r w:rsidR="00AF687C" w:rsidRPr="009A5C0D">
        <w:rPr>
          <w:rFonts w:ascii="Times New Roman" w:hAnsi="Times New Roman"/>
          <w:bCs/>
          <w:sz w:val="20"/>
          <w:szCs w:val="20"/>
        </w:rPr>
        <w:t>oraz</w:t>
      </w:r>
      <w:r w:rsidR="00E77147" w:rsidRPr="009A5C0D">
        <w:rPr>
          <w:rFonts w:ascii="Times New Roman" w:hAnsi="Times New Roman"/>
          <w:bCs/>
          <w:sz w:val="20"/>
          <w:szCs w:val="20"/>
        </w:rPr>
        <w:t xml:space="preserve"> </w:t>
      </w:r>
      <w:r w:rsidR="009A5C0D" w:rsidRPr="009A5C0D">
        <w:rPr>
          <w:rFonts w:ascii="Times New Roman" w:hAnsi="Times New Roman"/>
          <w:bCs/>
          <w:sz w:val="20"/>
          <w:szCs w:val="20"/>
        </w:rPr>
        <w:t xml:space="preserve">spadek wpływów z </w:t>
      </w:r>
      <w:r w:rsidR="00E77147" w:rsidRPr="009A5C0D">
        <w:rPr>
          <w:rFonts w:ascii="Times New Roman" w:hAnsi="Times New Roman"/>
          <w:bCs/>
          <w:sz w:val="20"/>
          <w:szCs w:val="20"/>
        </w:rPr>
        <w:t>podatków od dochodu i majątku o</w:t>
      </w:r>
      <w:r w:rsidR="00F81F64" w:rsidRPr="009A5C0D">
        <w:rPr>
          <w:rFonts w:ascii="Times New Roman" w:hAnsi="Times New Roman"/>
          <w:bCs/>
          <w:sz w:val="20"/>
          <w:szCs w:val="20"/>
        </w:rPr>
        <w:t> </w:t>
      </w:r>
      <w:r w:rsidR="009A5C0D" w:rsidRPr="009A5C0D">
        <w:rPr>
          <w:rFonts w:ascii="Times New Roman" w:hAnsi="Times New Roman"/>
          <w:bCs/>
          <w:sz w:val="20"/>
          <w:szCs w:val="20"/>
        </w:rPr>
        <w:t>3,5</w:t>
      </w:r>
      <w:r w:rsidR="00D27CBA" w:rsidRPr="009A5C0D">
        <w:rPr>
          <w:rFonts w:ascii="Times New Roman" w:hAnsi="Times New Roman"/>
          <w:bCs/>
          <w:sz w:val="20"/>
          <w:szCs w:val="20"/>
        </w:rPr>
        <w:t>% r/r.</w:t>
      </w:r>
      <w:r w:rsidR="00B90B21">
        <w:rPr>
          <w:rFonts w:ascii="Times New Roman" w:hAnsi="Times New Roman"/>
          <w:bCs/>
          <w:sz w:val="20"/>
          <w:szCs w:val="20"/>
        </w:rPr>
        <w:t xml:space="preserve"> </w:t>
      </w:r>
    </w:p>
    <w:p w14:paraId="6DD6EFC1" w14:textId="2D2FE450" w:rsidR="00C61EE3" w:rsidRPr="002F73B6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22B1E">
        <w:rPr>
          <w:rFonts w:ascii="Times New Roman" w:hAnsi="Times New Roman"/>
          <w:bCs/>
          <w:sz w:val="20"/>
          <w:szCs w:val="20"/>
        </w:rPr>
        <w:t>Dochody z tytułu składek na ubezpieczenie społeczne w</w:t>
      </w:r>
      <w:r w:rsidR="00855B0A" w:rsidRPr="00422B1E">
        <w:rPr>
          <w:rFonts w:ascii="Times New Roman" w:hAnsi="Times New Roman"/>
          <w:bCs/>
          <w:sz w:val="20"/>
          <w:szCs w:val="20"/>
        </w:rPr>
        <w:t> </w:t>
      </w:r>
      <w:r w:rsidRPr="00422B1E">
        <w:rPr>
          <w:rFonts w:ascii="Times New Roman" w:hAnsi="Times New Roman"/>
          <w:bCs/>
          <w:sz w:val="20"/>
          <w:szCs w:val="20"/>
        </w:rPr>
        <w:t xml:space="preserve">podsektorze ubezpieczeń społecznych </w:t>
      </w:r>
      <w:r w:rsidR="0081581B">
        <w:rPr>
          <w:rFonts w:ascii="Times New Roman" w:hAnsi="Times New Roman"/>
          <w:bCs/>
          <w:sz w:val="20"/>
          <w:szCs w:val="20"/>
        </w:rPr>
        <w:t>(</w:t>
      </w:r>
      <w:r w:rsidRPr="00422B1E">
        <w:rPr>
          <w:rFonts w:ascii="Times New Roman" w:hAnsi="Times New Roman"/>
          <w:bCs/>
          <w:sz w:val="20"/>
          <w:szCs w:val="20"/>
        </w:rPr>
        <w:t>ESA2010</w:t>
      </w:r>
      <w:r w:rsidR="0081581B">
        <w:rPr>
          <w:rFonts w:ascii="Times New Roman" w:hAnsi="Times New Roman"/>
          <w:bCs/>
          <w:sz w:val="20"/>
          <w:szCs w:val="20"/>
        </w:rPr>
        <w:t>)</w:t>
      </w:r>
      <w:r w:rsidRPr="00422B1E">
        <w:rPr>
          <w:rFonts w:ascii="Times New Roman" w:hAnsi="Times New Roman"/>
          <w:bCs/>
          <w:sz w:val="20"/>
          <w:szCs w:val="20"/>
        </w:rPr>
        <w:t xml:space="preserve"> w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F11818" w:rsidRPr="00422B1E">
        <w:rPr>
          <w:rFonts w:ascii="Times New Roman" w:hAnsi="Times New Roman"/>
          <w:bCs/>
          <w:sz w:val="20"/>
          <w:szCs w:val="20"/>
        </w:rPr>
        <w:t>I</w:t>
      </w:r>
      <w:r w:rsidR="00422B1E">
        <w:rPr>
          <w:rFonts w:ascii="Times New Roman" w:hAnsi="Times New Roman"/>
          <w:bCs/>
          <w:sz w:val="20"/>
          <w:szCs w:val="20"/>
        </w:rPr>
        <w:t>I</w:t>
      </w:r>
      <w:r w:rsidR="00854F42" w:rsidRPr="00422B1E">
        <w:rPr>
          <w:rFonts w:ascii="Times New Roman" w:hAnsi="Times New Roman"/>
          <w:bCs/>
          <w:sz w:val="20"/>
          <w:szCs w:val="20"/>
        </w:rPr>
        <w:t>I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854F42" w:rsidRPr="00422B1E">
        <w:rPr>
          <w:rFonts w:ascii="Times New Roman" w:hAnsi="Times New Roman"/>
          <w:bCs/>
          <w:sz w:val="20"/>
          <w:szCs w:val="20"/>
        </w:rPr>
        <w:t>kw.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854F42" w:rsidRPr="00422B1E">
        <w:rPr>
          <w:rFonts w:ascii="Times New Roman" w:hAnsi="Times New Roman"/>
          <w:bCs/>
          <w:sz w:val="20"/>
          <w:szCs w:val="20"/>
        </w:rPr>
        <w:t>2022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422B1E" w:rsidRPr="00422B1E">
        <w:rPr>
          <w:rFonts w:ascii="Times New Roman" w:hAnsi="Times New Roman"/>
          <w:bCs/>
          <w:sz w:val="20"/>
          <w:szCs w:val="20"/>
        </w:rPr>
        <w:t>r. były wyższe o 18,2</w:t>
      </w:r>
      <w:r w:rsidR="00F81F64" w:rsidRPr="00422B1E">
        <w:rPr>
          <w:rFonts w:ascii="Times New Roman" w:hAnsi="Times New Roman"/>
          <w:bCs/>
          <w:sz w:val="20"/>
          <w:szCs w:val="20"/>
        </w:rPr>
        <w:t>% r/r</w:t>
      </w:r>
      <w:r w:rsidR="0013066C" w:rsidRPr="00422B1E">
        <w:rPr>
          <w:rFonts w:ascii="Times New Roman" w:hAnsi="Times New Roman"/>
          <w:bCs/>
          <w:sz w:val="20"/>
          <w:szCs w:val="20"/>
        </w:rPr>
        <w:t>,</w:t>
      </w:r>
      <w:r w:rsidR="00855B0A" w:rsidRPr="00422B1E">
        <w:rPr>
          <w:rFonts w:ascii="Times New Roman" w:hAnsi="Times New Roman"/>
          <w:bCs/>
          <w:sz w:val="20"/>
          <w:szCs w:val="20"/>
        </w:rPr>
        <w:t xml:space="preserve"> </w:t>
      </w:r>
      <w:r w:rsidR="00C55E58" w:rsidRPr="00422B1E">
        <w:rPr>
          <w:rFonts w:ascii="Times New Roman" w:hAnsi="Times New Roman"/>
          <w:bCs/>
          <w:sz w:val="20"/>
          <w:szCs w:val="20"/>
        </w:rPr>
        <w:t xml:space="preserve">tj. </w:t>
      </w:r>
      <w:r w:rsidR="00854F42" w:rsidRPr="00422B1E">
        <w:rPr>
          <w:rFonts w:ascii="Times New Roman" w:hAnsi="Times New Roman"/>
          <w:bCs/>
          <w:sz w:val="20"/>
          <w:szCs w:val="20"/>
        </w:rPr>
        <w:t xml:space="preserve">ukształtowały się </w:t>
      </w:r>
      <w:r w:rsidR="002B4999" w:rsidRPr="00422B1E">
        <w:rPr>
          <w:rFonts w:ascii="Times New Roman" w:hAnsi="Times New Roman"/>
          <w:bCs/>
          <w:sz w:val="20"/>
          <w:szCs w:val="20"/>
        </w:rPr>
        <w:t>powyżej</w:t>
      </w:r>
      <w:r w:rsidR="00855B0A" w:rsidRPr="00422B1E">
        <w:rPr>
          <w:rFonts w:ascii="Times New Roman" w:hAnsi="Times New Roman"/>
          <w:bCs/>
          <w:sz w:val="20"/>
          <w:szCs w:val="20"/>
        </w:rPr>
        <w:t xml:space="preserve"> tempa</w:t>
      </w:r>
      <w:r w:rsidRPr="00422B1E">
        <w:rPr>
          <w:rFonts w:ascii="Times New Roman" w:hAnsi="Times New Roman"/>
          <w:bCs/>
          <w:sz w:val="20"/>
          <w:szCs w:val="20"/>
        </w:rPr>
        <w:t xml:space="preserve"> wzrostu funduszu wynagrodzeń w gospodarce </w:t>
      </w:r>
      <w:r w:rsidRPr="003F1A30">
        <w:rPr>
          <w:rFonts w:ascii="Times New Roman" w:hAnsi="Times New Roman"/>
          <w:bCs/>
          <w:sz w:val="20"/>
          <w:szCs w:val="20"/>
        </w:rPr>
        <w:t>narodowej (bez tzw. jedno</w:t>
      </w:r>
      <w:r w:rsidR="00C45A3C" w:rsidRPr="003F1A30">
        <w:rPr>
          <w:rFonts w:ascii="Times New Roman" w:hAnsi="Times New Roman"/>
          <w:bCs/>
          <w:sz w:val="20"/>
          <w:szCs w:val="20"/>
        </w:rPr>
        <w:t xml:space="preserve">stek małych), które wyniosło </w:t>
      </w:r>
      <w:r w:rsidR="003F1A30" w:rsidRPr="003F1A30">
        <w:rPr>
          <w:rFonts w:ascii="Times New Roman" w:hAnsi="Times New Roman"/>
          <w:bCs/>
          <w:sz w:val="20"/>
          <w:szCs w:val="20"/>
        </w:rPr>
        <w:t>16,1</w:t>
      </w:r>
      <w:r w:rsidR="001A255B" w:rsidRPr="003F1A30">
        <w:rPr>
          <w:rFonts w:ascii="Times New Roman" w:hAnsi="Times New Roman"/>
          <w:bCs/>
          <w:sz w:val="20"/>
          <w:szCs w:val="20"/>
        </w:rPr>
        <w:t>%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1A255B" w:rsidRPr="003F1A30">
        <w:rPr>
          <w:rFonts w:ascii="Times New Roman" w:hAnsi="Times New Roman"/>
          <w:bCs/>
          <w:sz w:val="20"/>
          <w:szCs w:val="20"/>
        </w:rPr>
        <w:t xml:space="preserve">r/r. </w:t>
      </w:r>
      <w:r w:rsidR="0081581B">
        <w:rPr>
          <w:rFonts w:ascii="Times New Roman" w:hAnsi="Times New Roman"/>
          <w:bCs/>
          <w:sz w:val="20"/>
          <w:szCs w:val="20"/>
        </w:rPr>
        <w:t xml:space="preserve">Na wzrost składek w omawianym okresie wpływ miały także </w:t>
      </w:r>
      <w:r w:rsidR="0081581B">
        <w:rPr>
          <w:rFonts w:ascii="Times New Roman" w:hAnsi="Times New Roman"/>
          <w:bCs/>
          <w:sz w:val="20"/>
          <w:szCs w:val="20"/>
        </w:rPr>
        <w:t xml:space="preserve">zwiększone </w:t>
      </w:r>
      <w:r w:rsidR="002D4E8F">
        <w:rPr>
          <w:rFonts w:ascii="Times New Roman" w:hAnsi="Times New Roman"/>
          <w:bCs/>
          <w:sz w:val="20"/>
          <w:szCs w:val="20"/>
        </w:rPr>
        <w:t xml:space="preserve">przychody ze </w:t>
      </w:r>
      <w:r w:rsidR="00787079">
        <w:rPr>
          <w:rFonts w:ascii="Times New Roman" w:hAnsi="Times New Roman"/>
          <w:bCs/>
          <w:sz w:val="20"/>
          <w:szCs w:val="20"/>
        </w:rPr>
        <w:t>składek</w:t>
      </w:r>
      <w:r w:rsidR="002D4E8F">
        <w:rPr>
          <w:rFonts w:ascii="Times New Roman" w:hAnsi="Times New Roman"/>
          <w:bCs/>
          <w:sz w:val="20"/>
          <w:szCs w:val="20"/>
        </w:rPr>
        <w:t xml:space="preserve"> odprowadzanych do Narodowego Funduszu Zdrowia</w:t>
      </w:r>
      <w:r w:rsidR="0081581B">
        <w:rPr>
          <w:rFonts w:ascii="Times New Roman" w:hAnsi="Times New Roman"/>
          <w:bCs/>
          <w:sz w:val="20"/>
          <w:szCs w:val="20"/>
        </w:rPr>
        <w:t xml:space="preserve">, które </w:t>
      </w:r>
      <w:r w:rsidR="00787079">
        <w:rPr>
          <w:rFonts w:ascii="Times New Roman" w:hAnsi="Times New Roman"/>
          <w:bCs/>
          <w:sz w:val="20"/>
          <w:szCs w:val="20"/>
        </w:rPr>
        <w:t>wzrosły o 24,4%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787079">
        <w:rPr>
          <w:rFonts w:ascii="Times New Roman" w:hAnsi="Times New Roman"/>
          <w:bCs/>
          <w:sz w:val="20"/>
          <w:szCs w:val="20"/>
        </w:rPr>
        <w:t>r/r. Wpływ na dynamikę składek na ubezpieczenie zdrowotne niewątpliwie miały zmiany wprowadzone w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="00787079">
        <w:rPr>
          <w:rFonts w:ascii="Times New Roman" w:hAnsi="Times New Roman"/>
          <w:bCs/>
          <w:sz w:val="20"/>
          <w:szCs w:val="20"/>
        </w:rPr>
        <w:t xml:space="preserve">ramach </w:t>
      </w:r>
      <w:r w:rsidR="0081581B">
        <w:rPr>
          <w:rFonts w:ascii="Times New Roman" w:hAnsi="Times New Roman"/>
          <w:bCs/>
          <w:sz w:val="20"/>
          <w:szCs w:val="20"/>
        </w:rPr>
        <w:t>reformy sytemu podatkowego.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2F73B6" w14:paraId="6F1D5D58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69B8BC51" w14:textId="23030C0D" w:rsidR="00C61EE3" w:rsidRPr="002F73B6" w:rsidRDefault="00B51A6E" w:rsidP="00AA0192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2. Struktura dochodów sektora instytuc</w:t>
            </w:r>
            <w:r w:rsidR="004148BD"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ji rządowych i samorządowych w </w:t>
            </w:r>
            <w:r w:rsidR="0008606D"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9E0F0A"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945BEE"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kw. 202</w:t>
            </w:r>
            <w:r w:rsidR="00AA0192"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61EE3" w:rsidRPr="002F73B6" w14:paraId="225D221D" w14:textId="77777777" w:rsidTr="002F73B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14:paraId="5492E4B7" w14:textId="202CFFAE" w:rsidR="00C61EE3" w:rsidRPr="002F73B6" w:rsidRDefault="002F73B6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2F73B6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DF09DD5" wp14:editId="31C91093">
                  <wp:extent cx="2980267" cy="1828800"/>
                  <wp:effectExtent l="0" t="0" r="0" b="0"/>
                  <wp:docPr id="13" name="Obraz 13" descr="Wykres przedstawia strukturę dochodów sektora instytucji rządowych i samorządowych w III kwartale 2022 roku w podziale na: składki na ubezpieczenia społeczne 35,1%, VAT 19,5%; pozostałe podatki 17,2%, podatki dochodowe 17,0%, inne 11,1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312" cy="1835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9F4A19" w14:paraId="1725C5E3" w14:textId="77777777" w:rsidTr="002C37E5">
        <w:tc>
          <w:tcPr>
            <w:tcW w:w="4680" w:type="dxa"/>
            <w:shd w:val="clear" w:color="auto" w:fill="auto"/>
          </w:tcPr>
          <w:p w14:paraId="69F28002" w14:textId="77777777" w:rsidR="00C61EE3" w:rsidRPr="002F73B6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F73B6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 w:rsidRPr="002F73B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</w:tbl>
    <w:p w14:paraId="1F25644B" w14:textId="6CCA37C2" w:rsidR="004148BD" w:rsidRPr="009F4A19" w:rsidRDefault="00292394" w:rsidP="001A3883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292394">
        <w:rPr>
          <w:rFonts w:ascii="Times New Roman" w:hAnsi="Times New Roman"/>
          <w:bCs/>
          <w:sz w:val="20"/>
          <w:szCs w:val="20"/>
        </w:rPr>
        <w:t>Dochody sektora instytucji rządowych i samorządowych z podatku dochodowego od osób fizycznych (ESA2010) w III kw. 2022 r. były niższe o 3,6% w porównaniu z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analogicznym okresem roku poprzedzającego. Głównym powodem tego spadku było słabsze wykonanie dochodów ze skali podatkowej, których dynamika wyniosła zaledwie 85,6%. Zjawisko to miało miejsce przy jednoczesnej wysokiej nominalnej dynamice funduszów wynagrodzeń oraz emerytur i rent, a jego przyczyną były dwie reformy systemu podatkowego, które weszły w życie kolejno na początku stycznia oraz na początku lipca 2022 roku. Zmiany w nich wprowadzone obniżyły obciążenie podatkowe dla większości podatników rozliczających się na skali podatkowej, w tym dla większości osób zatrudnionych, emerytów oraz części przedsiębiorców. W porównaniu z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systemem obowiązującym w 2021 roku, reformy podwyższyły kwotę wolną od podatku z ok. 3 tys. zł dla większości podatników do 30 tys. zł dla wszystkich podatników, podniosły wysokość progu podatkowego z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85 528 zł do 120 tys. zł oraz obniżyły pierwszą stawkę podatkową z 17% do 12%. Skutkowało to mniejszymi zaliczkami na podatek dochodowy płaconymi przez płatników i w efekcie niższymi dochodami sektora z tego tytułu.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92394">
        <w:rPr>
          <w:rFonts w:ascii="Times New Roman" w:hAnsi="Times New Roman"/>
          <w:bCs/>
          <w:sz w:val="20"/>
          <w:szCs w:val="20"/>
        </w:rPr>
        <w:t xml:space="preserve">W III kw. 2022 r. dochody z podatku liniowego spadły o 15,3% r/r, natomiast dochody z ryczałtu od przychodów ewidencjonowanych wzrosły o 195,7% r/r. </w:t>
      </w:r>
      <w:r w:rsidRPr="00292394">
        <w:rPr>
          <w:rFonts w:ascii="Times New Roman" w:hAnsi="Times New Roman"/>
          <w:bCs/>
          <w:sz w:val="20"/>
          <w:szCs w:val="20"/>
        </w:rPr>
        <w:lastRenderedPageBreak/>
        <w:t>Oba te zjawiska również są skutkiem zmian w systemie podatkowo-składkowym, które relatywnie zmniejszyły opłacalność rozliczania się przez przedsiębiorców podatkiem liniowym i tym samym skłoniły ich do zmiany formy opodatkowania na ryczałt od przychodów ewidencjonowanych. W tym samym okresie wpływy podatkowe z ryczałtu od odsetek oraz pozostałych ryczałtów były wyższe o 55,1% w porównaniu z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analogicznym okresem roku poprzedzającego, czego główną przyczyną były wyższe stopy procentowe, które doprowadziły do zwiększenia oprocentowania depozytów i w efekcie do zwiększenia dochodów z tego tytułu.</w:t>
      </w:r>
    </w:p>
    <w:p w14:paraId="78854804" w14:textId="190B449E" w:rsidR="00D27CBA" w:rsidRPr="009F4A19" w:rsidRDefault="0029239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292394">
        <w:rPr>
          <w:rFonts w:ascii="Times New Roman" w:hAnsi="Times New Roman"/>
          <w:bCs/>
          <w:sz w:val="20"/>
          <w:szCs w:val="20"/>
        </w:rPr>
        <w:t>Dochody sektora instytucji rządowych i samorządowych z CIT (ESA2010) w III kw. 2022 r. wyniosły 18,3 mld zł i były wyższe o 26,8% r/r. W III kw. 2022 r. wynik finansowy brutto przedsiębiorstw niefinansowych wzrósł o 20% r/r, a zysk brutto tych podmiotów wzrósł o 23,2%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 xml:space="preserve">r/r. Wynik finansowy brutto banków w III kw. 2022 r. spadł o </w:t>
      </w:r>
      <w:r w:rsidR="0081581B">
        <w:rPr>
          <w:rFonts w:ascii="Times New Roman" w:hAnsi="Times New Roman"/>
          <w:bCs/>
          <w:sz w:val="20"/>
          <w:szCs w:val="20"/>
        </w:rPr>
        <w:t xml:space="preserve">ok. </w:t>
      </w:r>
      <w:r w:rsidRPr="00292394">
        <w:rPr>
          <w:rFonts w:ascii="Times New Roman" w:hAnsi="Times New Roman"/>
          <w:bCs/>
          <w:sz w:val="20"/>
          <w:szCs w:val="20"/>
        </w:rPr>
        <w:t>16% r/r.</w:t>
      </w:r>
    </w:p>
    <w:tbl>
      <w:tblPr>
        <w:tblW w:w="4788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08"/>
        <w:gridCol w:w="4572"/>
        <w:gridCol w:w="108"/>
      </w:tblGrid>
      <w:tr w:rsidR="00C61EE3" w:rsidRPr="00E425B1" w14:paraId="31554A78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C28B931" w14:textId="77777777" w:rsidR="00C61EE3" w:rsidRPr="00E425B1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E425B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3. Dynamika memoriałowych wpływów z podatku VAT (r/r).</w:t>
            </w:r>
          </w:p>
        </w:tc>
      </w:tr>
      <w:tr w:rsidR="00C61EE3" w:rsidRPr="00E425B1" w14:paraId="6F99B0BF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single" w:sz="8" w:space="0" w:color="ADAFB2"/>
            </w:tcBorders>
          </w:tcPr>
          <w:p w14:paraId="3016A3E1" w14:textId="56031872" w:rsidR="00C61EE3" w:rsidRPr="00E425B1" w:rsidRDefault="00E425B1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E425B1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B098A1D" wp14:editId="1F532D6B">
                  <wp:extent cx="2853055" cy="2054225"/>
                  <wp:effectExtent l="0" t="0" r="4445" b="0"/>
                  <wp:docPr id="18" name="Obraz 18" descr="Wykres prezentuje dynamikę memoriałowych wpływów z podatku VAT r/r  w okresie od IV kwartału 2019 do III kwartału 2022 roku. Dane szczegółowe dostępne w Aneksie statystycznym, na końcu opracowania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E425B1" w14:paraId="0D9CC3D9" w14:textId="77777777">
        <w:trPr>
          <w:gridBefore w:val="1"/>
          <w:wBefore w:w="108" w:type="dxa"/>
        </w:trPr>
        <w:tc>
          <w:tcPr>
            <w:tcW w:w="4680" w:type="dxa"/>
            <w:gridSpan w:val="2"/>
          </w:tcPr>
          <w:p w14:paraId="761E908F" w14:textId="77777777" w:rsidR="00C61EE3" w:rsidRPr="00E425B1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E425B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6872C3A1" w14:textId="31E24DBA" w:rsidR="00292394" w:rsidRDefault="00292394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425B1">
        <w:rPr>
          <w:rFonts w:ascii="Times New Roman" w:hAnsi="Times New Roman"/>
          <w:bCs/>
          <w:sz w:val="20"/>
          <w:szCs w:val="20"/>
        </w:rPr>
        <w:t>Dochody z tytułu pod</w:t>
      </w:r>
      <w:r w:rsidRPr="00292394">
        <w:rPr>
          <w:rFonts w:ascii="Times New Roman" w:hAnsi="Times New Roman"/>
          <w:bCs/>
          <w:sz w:val="20"/>
          <w:szCs w:val="20"/>
        </w:rPr>
        <w:t>atku VAT, wg zasad ESA2010, w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III kw. 2022 r. były o 1,3% wyższe niż w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analogicznym okresie 2021 r. Wzrost ten był m.in. wypadkową dokonanych w III kw. zwrotów VAT, które w tym okresie były wyższe o ok. 29% r/r, podczas gdy w</w:t>
      </w:r>
      <w:r w:rsidR="0081581B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III kw. 2022 r. wzrost realny sprzedaży detalicznej wyniósł 2,8% r/r.</w:t>
      </w:r>
    </w:p>
    <w:p w14:paraId="4FCDB0FE" w14:textId="77777777" w:rsidR="00E425B1" w:rsidRDefault="00E425B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10BE97A" w14:textId="77777777" w:rsidR="00E425B1" w:rsidRDefault="00E425B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D4BF40F" w14:textId="15C7D740" w:rsidR="00CC2821" w:rsidRPr="00E425B1" w:rsidRDefault="00CC282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425B1">
        <w:rPr>
          <w:rFonts w:ascii="Times New Roman" w:hAnsi="Times New Roman" w:cs="Arial"/>
          <w:bCs/>
          <w:color w:val="999999"/>
          <w:sz w:val="20"/>
          <w:szCs w:val="20"/>
        </w:rPr>
        <w:t>Wyk. 4. Wpływy z podatku VAT (memoriałowe) w relacji do PKB.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631761" w:rsidRPr="009F4A19" w14:paraId="49397DC9" w14:textId="77777777" w:rsidTr="00CD5FE7">
        <w:tc>
          <w:tcPr>
            <w:tcW w:w="4680" w:type="dxa"/>
            <w:tcBorders>
              <w:top w:val="single" w:sz="8" w:space="0" w:color="ADAFB2"/>
            </w:tcBorders>
          </w:tcPr>
          <w:p w14:paraId="05DEA3AB" w14:textId="13A4A745" w:rsidR="00631761" w:rsidRPr="00E425B1" w:rsidRDefault="00E425B1" w:rsidP="00CD5FE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E425B1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6499B91" wp14:editId="378466F7">
                  <wp:extent cx="2853055" cy="2054225"/>
                  <wp:effectExtent l="0" t="0" r="4445" b="0"/>
                  <wp:docPr id="17" name="Obraz 17" descr="Wykres przedstawia wpływy z podatku VAT (memoriałowe) w relacji do PKB w okresie od IV kwartału 2019 do III kwartału 2022 roku. Dane szczegółowe dostępne w Aneksie statystycznym, na końcu opracowania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761" w:rsidRPr="009F4A19" w14:paraId="0B7398B4" w14:textId="77777777" w:rsidTr="00CD5FE7">
        <w:tc>
          <w:tcPr>
            <w:tcW w:w="4680" w:type="dxa"/>
          </w:tcPr>
          <w:p w14:paraId="3D9B575E" w14:textId="77777777" w:rsidR="00631761" w:rsidRPr="00E425B1" w:rsidRDefault="00631761" w:rsidP="00631761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E425B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6CB5E5EA" w14:textId="1CE23A0B" w:rsidR="0093684B" w:rsidRPr="009F4A19" w:rsidRDefault="00292394" w:rsidP="00B77FAB">
      <w:pPr>
        <w:spacing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292394">
        <w:rPr>
          <w:rFonts w:ascii="Times New Roman" w:hAnsi="Times New Roman"/>
          <w:bCs/>
          <w:sz w:val="20"/>
          <w:szCs w:val="20"/>
        </w:rPr>
        <w:t>Dochody z akcyzy (wg zasad ESA2010) w III kw. 2022</w:t>
      </w:r>
      <w:r w:rsidR="00EB6329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r. były wyższe o 3,4% r/r. Dochody, od wyrobów tytoniowych wzrosły o 9,9% r/r, od wyrobów alkoholowych wzrosły o 8% r/r, od piwa wzrosły 38,2%</w:t>
      </w:r>
      <w:r w:rsidR="00EB6329">
        <w:rPr>
          <w:rFonts w:ascii="Times New Roman" w:hAnsi="Times New Roman"/>
          <w:bCs/>
          <w:sz w:val="20"/>
          <w:szCs w:val="20"/>
        </w:rPr>
        <w:t> </w:t>
      </w:r>
      <w:r w:rsidRPr="00292394">
        <w:rPr>
          <w:rFonts w:ascii="Times New Roman" w:hAnsi="Times New Roman"/>
          <w:bCs/>
          <w:sz w:val="20"/>
          <w:szCs w:val="20"/>
        </w:rPr>
        <w:t>r/r, od wina wzrosły o 14,6% r/r, od samochodów osobowych wzrosły o 29,7% r/r, Spadły dochody od paliw silnikowych o 6,3% r/r oraz od energii elektrycznej o 44,8% r/r.</w:t>
      </w:r>
    </w:p>
    <w:p w14:paraId="19422883" w14:textId="5611FC93" w:rsidR="00C61EE3" w:rsidRPr="006670B9" w:rsidRDefault="00B51A6E" w:rsidP="001B6E19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670B9">
        <w:rPr>
          <w:rFonts w:ascii="Times New Roman" w:hAnsi="Times New Roman"/>
          <w:bCs/>
          <w:sz w:val="20"/>
          <w:szCs w:val="20"/>
        </w:rPr>
        <w:t>Pozostałe dochody sektora instytuc</w:t>
      </w:r>
      <w:r w:rsidR="00DC68E4" w:rsidRPr="006670B9">
        <w:rPr>
          <w:rFonts w:ascii="Times New Roman" w:hAnsi="Times New Roman"/>
          <w:bCs/>
          <w:sz w:val="20"/>
          <w:szCs w:val="20"/>
        </w:rPr>
        <w:t xml:space="preserve">ji rządowych i samorządowych w </w:t>
      </w:r>
      <w:r w:rsidR="00321D0F" w:rsidRPr="006670B9">
        <w:rPr>
          <w:rFonts w:ascii="Times New Roman" w:hAnsi="Times New Roman"/>
          <w:bCs/>
          <w:sz w:val="20"/>
          <w:szCs w:val="20"/>
        </w:rPr>
        <w:t>I</w:t>
      </w:r>
      <w:r w:rsidR="006670B9" w:rsidRPr="006670B9">
        <w:rPr>
          <w:rFonts w:ascii="Times New Roman" w:hAnsi="Times New Roman"/>
          <w:bCs/>
          <w:sz w:val="20"/>
          <w:szCs w:val="20"/>
        </w:rPr>
        <w:t>I</w:t>
      </w:r>
      <w:r w:rsidR="002747EF" w:rsidRPr="006670B9">
        <w:rPr>
          <w:rFonts w:ascii="Times New Roman" w:hAnsi="Times New Roman"/>
          <w:bCs/>
          <w:sz w:val="20"/>
          <w:szCs w:val="20"/>
        </w:rPr>
        <w:t>I</w:t>
      </w:r>
      <w:r w:rsidR="00680D49" w:rsidRPr="006670B9">
        <w:rPr>
          <w:rFonts w:ascii="Times New Roman" w:hAnsi="Times New Roman"/>
          <w:bCs/>
          <w:sz w:val="20"/>
          <w:szCs w:val="20"/>
        </w:rPr>
        <w:t xml:space="preserve"> kw. 2022</w:t>
      </w:r>
      <w:r w:rsidRPr="006670B9">
        <w:rPr>
          <w:rFonts w:ascii="Times New Roman" w:hAnsi="Times New Roman"/>
          <w:bCs/>
          <w:sz w:val="20"/>
          <w:szCs w:val="20"/>
        </w:rPr>
        <w:t xml:space="preserve"> r. </w:t>
      </w:r>
      <w:r w:rsidR="006670B9">
        <w:rPr>
          <w:rFonts w:ascii="Times New Roman" w:hAnsi="Times New Roman"/>
          <w:bCs/>
          <w:sz w:val="20"/>
          <w:szCs w:val="20"/>
        </w:rPr>
        <w:t>wzrosły nominalnie</w:t>
      </w:r>
      <w:r w:rsidR="001F7A87" w:rsidRPr="006670B9">
        <w:rPr>
          <w:rFonts w:ascii="Times New Roman" w:hAnsi="Times New Roman"/>
          <w:bCs/>
          <w:sz w:val="20"/>
          <w:szCs w:val="20"/>
        </w:rPr>
        <w:t xml:space="preserve"> </w:t>
      </w:r>
      <w:r w:rsidR="006670B9" w:rsidRPr="006670B9">
        <w:rPr>
          <w:rFonts w:ascii="Times New Roman" w:hAnsi="Times New Roman"/>
          <w:bCs/>
          <w:sz w:val="20"/>
          <w:szCs w:val="20"/>
        </w:rPr>
        <w:t>o 23,6</w:t>
      </w:r>
      <w:r w:rsidRPr="006670B9">
        <w:rPr>
          <w:rFonts w:ascii="Times New Roman" w:hAnsi="Times New Roman"/>
          <w:bCs/>
          <w:sz w:val="20"/>
          <w:szCs w:val="20"/>
        </w:rPr>
        <w:t>% r/r</w:t>
      </w:r>
      <w:r w:rsidR="00DC68E4" w:rsidRPr="006670B9">
        <w:rPr>
          <w:rFonts w:ascii="Times New Roman" w:hAnsi="Times New Roman"/>
          <w:bCs/>
          <w:sz w:val="20"/>
          <w:szCs w:val="20"/>
        </w:rPr>
        <w:t>, w tym</w:t>
      </w:r>
      <w:r w:rsidR="00D43D86" w:rsidRPr="006670B9">
        <w:rPr>
          <w:rFonts w:ascii="Times New Roman" w:hAnsi="Times New Roman"/>
          <w:bCs/>
          <w:sz w:val="20"/>
          <w:szCs w:val="20"/>
        </w:rPr>
        <w:t xml:space="preserve"> dochody z tytułu własności o</w:t>
      </w:r>
      <w:r w:rsidR="00404509" w:rsidRPr="006670B9">
        <w:rPr>
          <w:rFonts w:ascii="Times New Roman" w:hAnsi="Times New Roman"/>
          <w:bCs/>
          <w:sz w:val="20"/>
          <w:szCs w:val="20"/>
        </w:rPr>
        <w:t> </w:t>
      </w:r>
      <w:r w:rsidR="006670B9" w:rsidRPr="006670B9">
        <w:rPr>
          <w:rFonts w:ascii="Times New Roman" w:hAnsi="Times New Roman"/>
          <w:bCs/>
          <w:sz w:val="20"/>
          <w:szCs w:val="20"/>
        </w:rPr>
        <w:t>47</w:t>
      </w:r>
      <w:r w:rsidR="001F7A87" w:rsidRPr="006670B9">
        <w:rPr>
          <w:rFonts w:ascii="Times New Roman" w:hAnsi="Times New Roman"/>
          <w:bCs/>
          <w:sz w:val="20"/>
          <w:szCs w:val="20"/>
        </w:rPr>
        <w:t>,0% r/r</w:t>
      </w:r>
      <w:r w:rsidR="00672A60" w:rsidRPr="006670B9">
        <w:rPr>
          <w:rFonts w:ascii="Times New Roman" w:hAnsi="Times New Roman"/>
          <w:bCs/>
          <w:sz w:val="20"/>
          <w:szCs w:val="20"/>
        </w:rPr>
        <w:t xml:space="preserve"> (efekt wzrost</w:t>
      </w:r>
      <w:r w:rsidR="006670B9" w:rsidRPr="006670B9">
        <w:rPr>
          <w:rFonts w:ascii="Times New Roman" w:hAnsi="Times New Roman"/>
          <w:bCs/>
          <w:sz w:val="20"/>
          <w:szCs w:val="20"/>
        </w:rPr>
        <w:t>u dochodów odsetkowych o</w:t>
      </w:r>
      <w:r w:rsidR="00EB6329">
        <w:rPr>
          <w:rFonts w:ascii="Times New Roman" w:hAnsi="Times New Roman"/>
          <w:bCs/>
          <w:sz w:val="20"/>
          <w:szCs w:val="20"/>
        </w:rPr>
        <w:t> </w:t>
      </w:r>
      <w:r w:rsidR="006670B9" w:rsidRPr="006670B9">
        <w:rPr>
          <w:rFonts w:ascii="Times New Roman" w:hAnsi="Times New Roman"/>
          <w:bCs/>
          <w:sz w:val="20"/>
          <w:szCs w:val="20"/>
        </w:rPr>
        <w:t>ok.</w:t>
      </w:r>
      <w:r w:rsidR="00EB6329">
        <w:rPr>
          <w:rFonts w:ascii="Times New Roman" w:hAnsi="Times New Roman"/>
          <w:bCs/>
          <w:sz w:val="20"/>
          <w:szCs w:val="20"/>
        </w:rPr>
        <w:t> </w:t>
      </w:r>
      <w:r w:rsidR="006670B9" w:rsidRPr="006670B9">
        <w:rPr>
          <w:rFonts w:ascii="Times New Roman" w:hAnsi="Times New Roman"/>
          <w:bCs/>
          <w:sz w:val="20"/>
          <w:szCs w:val="20"/>
        </w:rPr>
        <w:t>311,0</w:t>
      </w:r>
      <w:r w:rsidR="00672A60" w:rsidRPr="006670B9">
        <w:rPr>
          <w:rFonts w:ascii="Times New Roman" w:hAnsi="Times New Roman"/>
          <w:bCs/>
          <w:sz w:val="20"/>
          <w:szCs w:val="20"/>
        </w:rPr>
        <w:t>% r/r)</w:t>
      </w:r>
    </w:p>
    <w:p w14:paraId="1A18EFA7" w14:textId="77777777" w:rsidR="00C61EE3" w:rsidRPr="006670B9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126047145"/>
      <w:r w:rsidRPr="006670B9">
        <w:rPr>
          <w:rFonts w:ascii="Arial" w:hAnsi="Arial" w:cs="Arial"/>
          <w:i w:val="0"/>
          <w:color w:val="E31837"/>
          <w:sz w:val="20"/>
          <w:szCs w:val="20"/>
        </w:rPr>
        <w:t>1.3. Wydatki</w:t>
      </w:r>
      <w:bookmarkEnd w:id="4"/>
    </w:p>
    <w:p w14:paraId="49AE86C6" w14:textId="3E57D032" w:rsidR="00C61EE3" w:rsidRPr="006670B9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670B9">
        <w:rPr>
          <w:rFonts w:ascii="Times New Roman" w:hAnsi="Times New Roman"/>
          <w:bCs/>
          <w:sz w:val="20"/>
          <w:szCs w:val="20"/>
        </w:rPr>
        <w:t xml:space="preserve">W </w:t>
      </w:r>
      <w:r w:rsidR="00EE6B06" w:rsidRPr="006670B9">
        <w:rPr>
          <w:rFonts w:ascii="Times New Roman" w:hAnsi="Times New Roman"/>
          <w:bCs/>
          <w:sz w:val="20"/>
          <w:szCs w:val="20"/>
        </w:rPr>
        <w:t>I</w:t>
      </w:r>
      <w:r w:rsidR="00321D0F" w:rsidRPr="006670B9">
        <w:rPr>
          <w:rFonts w:ascii="Times New Roman" w:hAnsi="Times New Roman"/>
          <w:bCs/>
          <w:sz w:val="20"/>
          <w:szCs w:val="20"/>
        </w:rPr>
        <w:t>I</w:t>
      </w:r>
      <w:r w:rsidR="006670B9" w:rsidRPr="006670B9">
        <w:rPr>
          <w:rFonts w:ascii="Times New Roman" w:hAnsi="Times New Roman"/>
          <w:bCs/>
          <w:sz w:val="20"/>
          <w:szCs w:val="20"/>
        </w:rPr>
        <w:t>I</w:t>
      </w:r>
      <w:r w:rsidR="00680D49" w:rsidRPr="006670B9">
        <w:rPr>
          <w:rFonts w:ascii="Times New Roman" w:hAnsi="Times New Roman"/>
          <w:bCs/>
          <w:sz w:val="20"/>
          <w:szCs w:val="20"/>
        </w:rPr>
        <w:t xml:space="preserve"> kw. 2022</w:t>
      </w:r>
      <w:r w:rsidRPr="006670B9">
        <w:rPr>
          <w:rFonts w:ascii="Times New Roman" w:hAnsi="Times New Roman"/>
          <w:bCs/>
          <w:sz w:val="20"/>
          <w:szCs w:val="20"/>
        </w:rPr>
        <w:t xml:space="preserve"> r. wydatki sektora instytucji rządowych i samorz</w:t>
      </w:r>
      <w:r w:rsidR="00A6661D" w:rsidRPr="006670B9">
        <w:rPr>
          <w:rFonts w:ascii="Times New Roman" w:hAnsi="Times New Roman"/>
          <w:bCs/>
          <w:sz w:val="20"/>
          <w:szCs w:val="20"/>
        </w:rPr>
        <w:t xml:space="preserve">ądowych (ESA2010) </w:t>
      </w:r>
      <w:r w:rsidR="006670B9" w:rsidRPr="006670B9">
        <w:rPr>
          <w:rFonts w:ascii="Times New Roman" w:hAnsi="Times New Roman"/>
          <w:bCs/>
          <w:sz w:val="20"/>
          <w:szCs w:val="20"/>
        </w:rPr>
        <w:t>wyniosły 326,8</w:t>
      </w:r>
      <w:r w:rsidRPr="006670B9">
        <w:rPr>
          <w:rFonts w:ascii="Times New Roman" w:hAnsi="Times New Roman"/>
          <w:bCs/>
          <w:sz w:val="20"/>
          <w:szCs w:val="20"/>
        </w:rPr>
        <w:t> mld zł</w:t>
      </w:r>
      <w:r w:rsidR="0079656D" w:rsidRPr="006670B9">
        <w:rPr>
          <w:rFonts w:ascii="Times New Roman" w:hAnsi="Times New Roman"/>
          <w:bCs/>
          <w:sz w:val="20"/>
          <w:szCs w:val="20"/>
        </w:rPr>
        <w:t xml:space="preserve"> i były nominalnie wyższe o</w:t>
      </w:r>
      <w:r w:rsidR="006670B9" w:rsidRPr="006670B9">
        <w:rPr>
          <w:rFonts w:ascii="Times New Roman" w:hAnsi="Times New Roman"/>
          <w:bCs/>
          <w:sz w:val="20"/>
          <w:szCs w:val="20"/>
        </w:rPr>
        <w:t xml:space="preserve"> 20,0% r/r (wzrost</w:t>
      </w:r>
      <w:r w:rsidR="00680D49" w:rsidRPr="006670B9">
        <w:rPr>
          <w:rFonts w:ascii="Times New Roman" w:hAnsi="Times New Roman"/>
          <w:bCs/>
          <w:sz w:val="20"/>
          <w:szCs w:val="20"/>
        </w:rPr>
        <w:t xml:space="preserve"> </w:t>
      </w:r>
      <w:r w:rsidR="00B33580" w:rsidRPr="006670B9">
        <w:rPr>
          <w:rFonts w:ascii="Times New Roman" w:hAnsi="Times New Roman"/>
          <w:bCs/>
          <w:sz w:val="20"/>
          <w:szCs w:val="20"/>
        </w:rPr>
        <w:t xml:space="preserve">w </w:t>
      </w:r>
      <w:r w:rsidR="00680D49" w:rsidRPr="006670B9">
        <w:rPr>
          <w:rFonts w:ascii="Times New Roman" w:hAnsi="Times New Roman"/>
          <w:bCs/>
          <w:sz w:val="20"/>
          <w:szCs w:val="20"/>
        </w:rPr>
        <w:t xml:space="preserve">relacji </w:t>
      </w:r>
      <w:r w:rsidR="00B33580" w:rsidRPr="006670B9">
        <w:rPr>
          <w:rFonts w:ascii="Times New Roman" w:hAnsi="Times New Roman"/>
          <w:bCs/>
          <w:sz w:val="20"/>
          <w:szCs w:val="20"/>
        </w:rPr>
        <w:t xml:space="preserve">do PKB </w:t>
      </w:r>
      <w:r w:rsidR="006670B9" w:rsidRPr="006670B9">
        <w:rPr>
          <w:rFonts w:ascii="Times New Roman" w:hAnsi="Times New Roman"/>
          <w:bCs/>
          <w:sz w:val="20"/>
          <w:szCs w:val="20"/>
        </w:rPr>
        <w:t>r/r o 0,9</w:t>
      </w:r>
      <w:r w:rsidR="00B33580" w:rsidRPr="006670B9">
        <w:rPr>
          <w:rFonts w:ascii="Times New Roman" w:hAnsi="Times New Roman"/>
          <w:bCs/>
          <w:sz w:val="20"/>
          <w:szCs w:val="20"/>
        </w:rPr>
        <w:t> pkt. proc.</w:t>
      </w:r>
      <w:r w:rsidRPr="006670B9">
        <w:rPr>
          <w:rFonts w:ascii="Times New Roman" w:hAnsi="Times New Roman"/>
          <w:bCs/>
          <w:sz w:val="20"/>
          <w:szCs w:val="20"/>
        </w:rPr>
        <w:t>)</w:t>
      </w:r>
    </w:p>
    <w:p w14:paraId="4775411B" w14:textId="06916FD3" w:rsidR="00A6661D" w:rsidRPr="007965F5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965F5">
        <w:rPr>
          <w:rFonts w:ascii="Times New Roman" w:hAnsi="Times New Roman"/>
          <w:bCs/>
          <w:sz w:val="20"/>
          <w:szCs w:val="20"/>
        </w:rPr>
        <w:t xml:space="preserve">Największy </w:t>
      </w:r>
      <w:r w:rsidR="0032260F" w:rsidRPr="007965F5">
        <w:rPr>
          <w:rFonts w:ascii="Times New Roman" w:hAnsi="Times New Roman"/>
          <w:bCs/>
          <w:sz w:val="20"/>
          <w:szCs w:val="20"/>
        </w:rPr>
        <w:t>wzrost</w:t>
      </w:r>
      <w:r w:rsidR="00680D49" w:rsidRPr="007965F5">
        <w:rPr>
          <w:rFonts w:ascii="Times New Roman" w:hAnsi="Times New Roman"/>
          <w:bCs/>
          <w:sz w:val="20"/>
          <w:szCs w:val="20"/>
        </w:rPr>
        <w:t xml:space="preserve"> wydatków</w:t>
      </w:r>
      <w:r w:rsidR="00321D0F" w:rsidRPr="007965F5">
        <w:rPr>
          <w:rFonts w:ascii="Times New Roman" w:hAnsi="Times New Roman"/>
          <w:bCs/>
          <w:sz w:val="20"/>
          <w:szCs w:val="20"/>
        </w:rPr>
        <w:t>,</w:t>
      </w:r>
      <w:r w:rsidR="00680D49" w:rsidRPr="007965F5">
        <w:rPr>
          <w:rFonts w:ascii="Times New Roman" w:hAnsi="Times New Roman"/>
          <w:bCs/>
          <w:sz w:val="20"/>
          <w:szCs w:val="20"/>
        </w:rPr>
        <w:t xml:space="preserve"> miał mie</w:t>
      </w:r>
      <w:r w:rsidR="007965F5" w:rsidRPr="007965F5">
        <w:rPr>
          <w:rFonts w:ascii="Times New Roman" w:hAnsi="Times New Roman"/>
          <w:bCs/>
          <w:sz w:val="20"/>
          <w:szCs w:val="20"/>
        </w:rPr>
        <w:t>jsce w kategorii dotacji – wzrost</w:t>
      </w:r>
      <w:r w:rsidR="00B049D4" w:rsidRPr="007965F5">
        <w:rPr>
          <w:rFonts w:ascii="Times New Roman" w:hAnsi="Times New Roman"/>
          <w:bCs/>
          <w:sz w:val="20"/>
          <w:szCs w:val="20"/>
        </w:rPr>
        <w:t xml:space="preserve"> o </w:t>
      </w:r>
      <w:r w:rsidR="007965F5" w:rsidRPr="007965F5">
        <w:rPr>
          <w:rFonts w:ascii="Times New Roman" w:hAnsi="Times New Roman"/>
          <w:bCs/>
          <w:sz w:val="20"/>
          <w:szCs w:val="20"/>
        </w:rPr>
        <w:t>237,1</w:t>
      </w:r>
      <w:r w:rsidR="00A6661D" w:rsidRPr="007965F5">
        <w:rPr>
          <w:rFonts w:ascii="Times New Roman" w:hAnsi="Times New Roman"/>
          <w:bCs/>
          <w:sz w:val="20"/>
          <w:szCs w:val="20"/>
        </w:rPr>
        <w:t>% r/r</w:t>
      </w:r>
      <w:r w:rsidR="00E531D7" w:rsidRPr="007965F5">
        <w:rPr>
          <w:rFonts w:ascii="Times New Roman" w:hAnsi="Times New Roman"/>
          <w:bCs/>
          <w:sz w:val="20"/>
          <w:szCs w:val="20"/>
        </w:rPr>
        <w:t>,</w:t>
      </w:r>
      <w:r w:rsidR="00A6661D" w:rsidRPr="007965F5">
        <w:rPr>
          <w:rFonts w:ascii="Times New Roman" w:hAnsi="Times New Roman"/>
          <w:bCs/>
          <w:sz w:val="20"/>
          <w:szCs w:val="20"/>
        </w:rPr>
        <w:t xml:space="preserve"> tj. o </w:t>
      </w:r>
      <w:r w:rsidR="007965F5" w:rsidRPr="007965F5">
        <w:rPr>
          <w:rFonts w:ascii="Times New Roman" w:hAnsi="Times New Roman"/>
          <w:bCs/>
          <w:sz w:val="20"/>
          <w:szCs w:val="20"/>
        </w:rPr>
        <w:t>ok. 5,0</w:t>
      </w:r>
      <w:r w:rsidR="00045DC9" w:rsidRPr="007965F5">
        <w:rPr>
          <w:rFonts w:ascii="Times New Roman" w:hAnsi="Times New Roman"/>
          <w:bCs/>
          <w:sz w:val="20"/>
          <w:szCs w:val="20"/>
        </w:rPr>
        <w:t> mld </w:t>
      </w:r>
      <w:r w:rsidR="00A6661D" w:rsidRPr="007965F5">
        <w:rPr>
          <w:rFonts w:ascii="Times New Roman" w:hAnsi="Times New Roman"/>
          <w:bCs/>
          <w:sz w:val="20"/>
          <w:szCs w:val="20"/>
        </w:rPr>
        <w:t xml:space="preserve">zł r/r. </w:t>
      </w:r>
      <w:r w:rsidR="005C3E0D" w:rsidRPr="007965F5">
        <w:rPr>
          <w:rFonts w:ascii="Times New Roman" w:hAnsi="Times New Roman"/>
          <w:bCs/>
          <w:sz w:val="20"/>
          <w:szCs w:val="20"/>
        </w:rPr>
        <w:t>Tak wysoki</w:t>
      </w:r>
      <w:r w:rsidR="00B36289" w:rsidRPr="007965F5">
        <w:rPr>
          <w:rFonts w:ascii="Times New Roman" w:hAnsi="Times New Roman"/>
          <w:bCs/>
          <w:sz w:val="20"/>
          <w:szCs w:val="20"/>
        </w:rPr>
        <w:t xml:space="preserve"> </w:t>
      </w:r>
      <w:r w:rsidR="007965F5" w:rsidRPr="007965F5">
        <w:rPr>
          <w:rFonts w:ascii="Times New Roman" w:hAnsi="Times New Roman"/>
          <w:bCs/>
          <w:sz w:val="20"/>
          <w:szCs w:val="20"/>
        </w:rPr>
        <w:t>wzrost</w:t>
      </w:r>
      <w:r w:rsidR="00B36289" w:rsidRPr="007965F5">
        <w:rPr>
          <w:rFonts w:ascii="Times New Roman" w:hAnsi="Times New Roman"/>
          <w:bCs/>
          <w:sz w:val="20"/>
          <w:szCs w:val="20"/>
        </w:rPr>
        <w:t xml:space="preserve"> wydatków na </w:t>
      </w:r>
      <w:r w:rsidR="00B33580" w:rsidRPr="007965F5">
        <w:rPr>
          <w:rFonts w:ascii="Times New Roman" w:hAnsi="Times New Roman"/>
          <w:bCs/>
          <w:sz w:val="20"/>
          <w:szCs w:val="20"/>
        </w:rPr>
        <w:t>dotacje</w:t>
      </w:r>
      <w:r w:rsidR="00B36289" w:rsidRPr="007965F5">
        <w:rPr>
          <w:rFonts w:ascii="Times New Roman" w:hAnsi="Times New Roman"/>
          <w:bCs/>
          <w:sz w:val="20"/>
          <w:szCs w:val="20"/>
        </w:rPr>
        <w:t xml:space="preserve"> dla przedsiębiorców</w:t>
      </w:r>
      <w:r w:rsidR="005C3E0D" w:rsidRPr="007965F5">
        <w:rPr>
          <w:rFonts w:ascii="Times New Roman" w:hAnsi="Times New Roman"/>
          <w:bCs/>
          <w:sz w:val="20"/>
          <w:szCs w:val="20"/>
        </w:rPr>
        <w:t>,</w:t>
      </w:r>
      <w:r w:rsidR="00B36289" w:rsidRPr="007965F5">
        <w:rPr>
          <w:rFonts w:ascii="Times New Roman" w:hAnsi="Times New Roman"/>
          <w:bCs/>
          <w:sz w:val="20"/>
          <w:szCs w:val="20"/>
        </w:rPr>
        <w:t xml:space="preserve"> związany był </w:t>
      </w:r>
      <w:r w:rsidR="007965F5" w:rsidRPr="007965F5">
        <w:rPr>
          <w:rFonts w:ascii="Times New Roman" w:hAnsi="Times New Roman"/>
          <w:bCs/>
          <w:sz w:val="20"/>
          <w:szCs w:val="20"/>
        </w:rPr>
        <w:t>wypłatą rekompensat na podstawie ustawy o szczególnych rozwiązaniach służących ochronie odbiorców paliw gazowych w</w:t>
      </w:r>
      <w:r w:rsidR="00EB6329">
        <w:rPr>
          <w:rFonts w:ascii="Times New Roman" w:hAnsi="Times New Roman"/>
          <w:bCs/>
          <w:sz w:val="20"/>
          <w:szCs w:val="20"/>
        </w:rPr>
        <w:t> </w:t>
      </w:r>
      <w:r w:rsidR="007965F5" w:rsidRPr="007965F5">
        <w:rPr>
          <w:rFonts w:ascii="Times New Roman" w:hAnsi="Times New Roman"/>
          <w:bCs/>
          <w:sz w:val="20"/>
          <w:szCs w:val="20"/>
        </w:rPr>
        <w:t>związku z sytuacją na rynku gazu.</w:t>
      </w:r>
    </w:p>
    <w:p w14:paraId="072573A8" w14:textId="4884E152" w:rsidR="00C84A2B" w:rsidRPr="007965F5" w:rsidRDefault="00C84A2B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965F5">
        <w:rPr>
          <w:rFonts w:ascii="Times New Roman" w:hAnsi="Times New Roman"/>
          <w:bCs/>
          <w:sz w:val="20"/>
          <w:szCs w:val="20"/>
        </w:rPr>
        <w:t xml:space="preserve">Wyraźny wzrost wydatków nastąpił w </w:t>
      </w:r>
      <w:r w:rsidR="006F25F3" w:rsidRPr="007965F5">
        <w:rPr>
          <w:rFonts w:ascii="Times New Roman" w:hAnsi="Times New Roman"/>
          <w:bCs/>
          <w:sz w:val="20"/>
          <w:szCs w:val="20"/>
        </w:rPr>
        <w:t>pozycji odsetki</w:t>
      </w:r>
      <w:r w:rsidR="007965F5" w:rsidRPr="007965F5">
        <w:rPr>
          <w:rFonts w:ascii="Times New Roman" w:hAnsi="Times New Roman"/>
          <w:bCs/>
          <w:sz w:val="20"/>
          <w:szCs w:val="20"/>
        </w:rPr>
        <w:t xml:space="preserve"> (wzrost o 50</w:t>
      </w:r>
      <w:r w:rsidRPr="007965F5">
        <w:rPr>
          <w:rFonts w:ascii="Times New Roman" w:hAnsi="Times New Roman"/>
          <w:bCs/>
          <w:sz w:val="20"/>
          <w:szCs w:val="20"/>
        </w:rPr>
        <w:t>% r/r)</w:t>
      </w:r>
      <w:r w:rsidR="00EB6329">
        <w:rPr>
          <w:rFonts w:ascii="Times New Roman" w:hAnsi="Times New Roman"/>
          <w:bCs/>
          <w:sz w:val="20"/>
          <w:szCs w:val="20"/>
        </w:rPr>
        <w:t>, co związane jest głó</w:t>
      </w:r>
      <w:r w:rsidR="006F25F3" w:rsidRPr="007965F5">
        <w:rPr>
          <w:rFonts w:ascii="Times New Roman" w:hAnsi="Times New Roman"/>
          <w:bCs/>
          <w:sz w:val="20"/>
          <w:szCs w:val="20"/>
        </w:rPr>
        <w:t>wnie ze wzrostem stóp procentowych</w:t>
      </w:r>
      <w:r w:rsidR="00EB6329">
        <w:rPr>
          <w:rFonts w:ascii="Times New Roman" w:hAnsi="Times New Roman"/>
          <w:bCs/>
          <w:sz w:val="20"/>
          <w:szCs w:val="20"/>
        </w:rPr>
        <w:t>.</w:t>
      </w:r>
    </w:p>
    <w:p w14:paraId="784F8737" w14:textId="624ED27A" w:rsidR="00A66CB7" w:rsidRPr="002F73B6" w:rsidRDefault="00B51A6E" w:rsidP="00A66CB7">
      <w:pPr>
        <w:spacing w:before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965F5">
        <w:rPr>
          <w:rFonts w:ascii="Times New Roman" w:hAnsi="Times New Roman"/>
          <w:bCs/>
          <w:sz w:val="20"/>
          <w:szCs w:val="20"/>
        </w:rPr>
        <w:t>W I</w:t>
      </w:r>
      <w:r w:rsidR="007965F5" w:rsidRPr="007965F5">
        <w:rPr>
          <w:rFonts w:ascii="Times New Roman" w:hAnsi="Times New Roman"/>
          <w:bCs/>
          <w:sz w:val="20"/>
          <w:szCs w:val="20"/>
        </w:rPr>
        <w:t>I</w:t>
      </w:r>
      <w:r w:rsidR="00321D0F" w:rsidRPr="007965F5">
        <w:rPr>
          <w:rFonts w:ascii="Times New Roman" w:hAnsi="Times New Roman"/>
          <w:bCs/>
          <w:sz w:val="20"/>
          <w:szCs w:val="20"/>
        </w:rPr>
        <w:t>I</w:t>
      </w:r>
      <w:r w:rsidRPr="007965F5">
        <w:rPr>
          <w:rFonts w:ascii="Times New Roman" w:hAnsi="Times New Roman"/>
          <w:bCs/>
          <w:sz w:val="20"/>
          <w:szCs w:val="20"/>
        </w:rPr>
        <w:t xml:space="preserve"> kw. 2</w:t>
      </w:r>
      <w:r w:rsidR="00680D49" w:rsidRPr="007965F5">
        <w:rPr>
          <w:rFonts w:ascii="Times New Roman" w:hAnsi="Times New Roman"/>
          <w:bCs/>
          <w:sz w:val="20"/>
          <w:szCs w:val="20"/>
        </w:rPr>
        <w:t>022</w:t>
      </w:r>
      <w:r w:rsidRPr="007965F5">
        <w:rPr>
          <w:rFonts w:ascii="Times New Roman" w:hAnsi="Times New Roman"/>
          <w:bCs/>
          <w:sz w:val="20"/>
          <w:szCs w:val="20"/>
        </w:rPr>
        <w:t xml:space="preserve"> r. świadczeni</w:t>
      </w:r>
      <w:r w:rsidR="00394083" w:rsidRPr="007965F5">
        <w:rPr>
          <w:rFonts w:ascii="Times New Roman" w:hAnsi="Times New Roman"/>
          <w:bCs/>
          <w:sz w:val="20"/>
          <w:szCs w:val="20"/>
        </w:rPr>
        <w:t>a soc</w:t>
      </w:r>
      <w:r w:rsidR="00C073FC" w:rsidRPr="007965F5">
        <w:rPr>
          <w:rFonts w:ascii="Times New Roman" w:hAnsi="Times New Roman"/>
          <w:bCs/>
          <w:sz w:val="20"/>
          <w:szCs w:val="20"/>
        </w:rPr>
        <w:t xml:space="preserve">jalne wzrosły nominalnie o </w:t>
      </w:r>
      <w:r w:rsidR="007965F5" w:rsidRPr="007965F5">
        <w:rPr>
          <w:rFonts w:ascii="Times New Roman" w:hAnsi="Times New Roman"/>
          <w:bCs/>
          <w:sz w:val="20"/>
          <w:szCs w:val="20"/>
        </w:rPr>
        <w:t>19,3</w:t>
      </w:r>
      <w:r w:rsidR="00C073FC" w:rsidRPr="007965F5">
        <w:rPr>
          <w:rFonts w:ascii="Times New Roman" w:hAnsi="Times New Roman"/>
          <w:bCs/>
          <w:sz w:val="20"/>
          <w:szCs w:val="20"/>
        </w:rPr>
        <w:t>% r/r</w:t>
      </w:r>
      <w:r w:rsidR="00E531D7" w:rsidRPr="007965F5">
        <w:rPr>
          <w:rFonts w:ascii="Times New Roman" w:hAnsi="Times New Roman"/>
          <w:bCs/>
          <w:sz w:val="20"/>
          <w:szCs w:val="20"/>
        </w:rPr>
        <w:t>,</w:t>
      </w:r>
      <w:r w:rsidR="00321D0F" w:rsidRPr="007965F5">
        <w:rPr>
          <w:rFonts w:ascii="Times New Roman" w:hAnsi="Times New Roman"/>
          <w:bCs/>
          <w:sz w:val="20"/>
          <w:szCs w:val="20"/>
        </w:rPr>
        <w:t xml:space="preserve"> w tym emerytury i renty </w:t>
      </w:r>
      <w:r w:rsidR="00321D0F" w:rsidRPr="007965F5">
        <w:rPr>
          <w:rFonts w:ascii="Times New Roman" w:hAnsi="Times New Roman"/>
          <w:bCs/>
          <w:sz w:val="20"/>
          <w:szCs w:val="20"/>
        </w:rPr>
        <w:lastRenderedPageBreak/>
        <w:t>z</w:t>
      </w:r>
      <w:r w:rsidR="00672A60" w:rsidRPr="007965F5">
        <w:rPr>
          <w:rFonts w:ascii="Times New Roman" w:hAnsi="Times New Roman"/>
          <w:bCs/>
          <w:sz w:val="20"/>
          <w:szCs w:val="20"/>
        </w:rPr>
        <w:t> </w:t>
      </w:r>
      <w:r w:rsidR="00321D0F" w:rsidRPr="007965F5">
        <w:rPr>
          <w:rFonts w:ascii="Times New Roman" w:hAnsi="Times New Roman"/>
          <w:bCs/>
          <w:sz w:val="20"/>
          <w:szCs w:val="20"/>
        </w:rPr>
        <w:t>Fundusz</w:t>
      </w:r>
      <w:r w:rsidR="007965F5" w:rsidRPr="007965F5">
        <w:rPr>
          <w:rFonts w:ascii="Times New Roman" w:hAnsi="Times New Roman"/>
          <w:bCs/>
          <w:sz w:val="20"/>
          <w:szCs w:val="20"/>
        </w:rPr>
        <w:t>u Ubezpieczeń Społecznych o 10,7% r/r.</w:t>
      </w:r>
      <w:r w:rsidR="007965F5">
        <w:rPr>
          <w:rFonts w:ascii="Times New Roman" w:hAnsi="Times New Roman"/>
          <w:bCs/>
          <w:sz w:val="20"/>
          <w:szCs w:val="20"/>
        </w:rPr>
        <w:t xml:space="preserve"> </w:t>
      </w:r>
      <w:r w:rsidR="007965F5" w:rsidRPr="007965F5">
        <w:rPr>
          <w:rFonts w:ascii="Times New Roman" w:hAnsi="Times New Roman"/>
          <w:bCs/>
          <w:sz w:val="20"/>
          <w:szCs w:val="20"/>
        </w:rPr>
        <w:t xml:space="preserve">Tak wysoki wzrost wydatków </w:t>
      </w:r>
      <w:r w:rsidR="007965F5">
        <w:rPr>
          <w:rFonts w:ascii="Times New Roman" w:hAnsi="Times New Roman"/>
          <w:bCs/>
          <w:sz w:val="20"/>
          <w:szCs w:val="20"/>
        </w:rPr>
        <w:t xml:space="preserve">w omawianej kategorii </w:t>
      </w:r>
      <w:r w:rsidR="007965F5" w:rsidRPr="007965F5">
        <w:rPr>
          <w:rFonts w:ascii="Times New Roman" w:hAnsi="Times New Roman"/>
          <w:bCs/>
          <w:sz w:val="20"/>
          <w:szCs w:val="20"/>
        </w:rPr>
        <w:t>związany był</w:t>
      </w:r>
      <w:r w:rsidR="0032260F">
        <w:rPr>
          <w:rFonts w:ascii="Times New Roman" w:hAnsi="Times New Roman"/>
          <w:bCs/>
          <w:sz w:val="20"/>
          <w:szCs w:val="20"/>
        </w:rPr>
        <w:t xml:space="preserve"> </w:t>
      </w:r>
      <w:r w:rsidR="00B347D8">
        <w:rPr>
          <w:rFonts w:ascii="Times New Roman" w:hAnsi="Times New Roman"/>
          <w:bCs/>
          <w:sz w:val="20"/>
          <w:szCs w:val="20"/>
        </w:rPr>
        <w:t xml:space="preserve">z </w:t>
      </w:r>
      <w:r w:rsidR="0032260F">
        <w:rPr>
          <w:rFonts w:ascii="Times New Roman" w:hAnsi="Times New Roman"/>
          <w:bCs/>
          <w:sz w:val="20"/>
          <w:szCs w:val="20"/>
        </w:rPr>
        <w:t xml:space="preserve">realizacją pomocy dla obywateli Ukrainy przebywających na terytorium Polski oraz realizacją działań osłonowych w związku ze wzrostem cen </w:t>
      </w:r>
      <w:r w:rsidR="0032260F" w:rsidRPr="002F73B6">
        <w:rPr>
          <w:rFonts w:ascii="Times New Roman" w:hAnsi="Times New Roman"/>
          <w:bCs/>
          <w:sz w:val="20"/>
          <w:szCs w:val="20"/>
        </w:rPr>
        <w:t>nośników energii.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2F73B6" w14:paraId="7E57EA9D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E034417" w14:textId="46F218E7" w:rsidR="00C61EE3" w:rsidRPr="002F73B6" w:rsidRDefault="00B51A6E" w:rsidP="00AA0192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5. Struktura wydatków sektora instytucji rządowych i samorządowych w </w:t>
            </w:r>
            <w:r w:rsidR="009E0F0A"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="0008606D"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="00222F1F"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kw. 202</w:t>
            </w:r>
            <w:r w:rsidR="00AA0192"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2</w:t>
            </w:r>
            <w:r w:rsidRPr="002F73B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61EE3" w:rsidRPr="002F73B6" w14:paraId="11287DC6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0DD07516" w14:textId="7ECEC103" w:rsidR="00C61EE3" w:rsidRPr="002F73B6" w:rsidRDefault="002F73B6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2F73B6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7E4FD4D" wp14:editId="21A86E0B">
                  <wp:extent cx="2990599" cy="1847850"/>
                  <wp:effectExtent l="0" t="0" r="635" b="0"/>
                  <wp:docPr id="14" name="Obraz 14" descr="Wykres przedstawia strukturę wydatków sektora instytucji rządowych i samorządowych w III kwartale 2022 roku w podziale na: świadczenia socjale 42,3%, koszty pracy 22,3%, zużycie pośrednie 14,1%, inwestycje 8,8%, odsetki 3,7% i pozostałe 8,9%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15" cy="1858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9F4A19" w14:paraId="651B1F07" w14:textId="77777777">
        <w:tc>
          <w:tcPr>
            <w:tcW w:w="4680" w:type="dxa"/>
          </w:tcPr>
          <w:p w14:paraId="596DD1EC" w14:textId="77777777" w:rsidR="00C61EE3" w:rsidRPr="002F73B6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F73B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5C8236A5" w14:textId="18602CDC" w:rsidR="00C61EE3" w:rsidRPr="00A433F4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433F4">
        <w:rPr>
          <w:rFonts w:ascii="Times New Roman" w:hAnsi="Times New Roman"/>
          <w:bCs/>
          <w:sz w:val="20"/>
          <w:szCs w:val="20"/>
        </w:rPr>
        <w:t xml:space="preserve">W </w:t>
      </w:r>
      <w:r w:rsidR="00321D0F" w:rsidRPr="00A433F4">
        <w:rPr>
          <w:rFonts w:ascii="Times New Roman" w:hAnsi="Times New Roman"/>
          <w:bCs/>
          <w:sz w:val="20"/>
          <w:szCs w:val="20"/>
        </w:rPr>
        <w:t>I</w:t>
      </w:r>
      <w:r w:rsidRPr="00A433F4">
        <w:rPr>
          <w:rFonts w:ascii="Times New Roman" w:hAnsi="Times New Roman"/>
          <w:bCs/>
          <w:sz w:val="20"/>
          <w:szCs w:val="20"/>
        </w:rPr>
        <w:t>I</w:t>
      </w:r>
      <w:r w:rsidR="00A433F4" w:rsidRPr="00A433F4">
        <w:rPr>
          <w:rFonts w:ascii="Times New Roman" w:hAnsi="Times New Roman"/>
          <w:bCs/>
          <w:sz w:val="20"/>
          <w:szCs w:val="20"/>
        </w:rPr>
        <w:t>I</w:t>
      </w:r>
      <w:r w:rsidR="00680D49" w:rsidRPr="00A433F4">
        <w:rPr>
          <w:rFonts w:ascii="Times New Roman" w:hAnsi="Times New Roman"/>
          <w:bCs/>
          <w:sz w:val="20"/>
          <w:szCs w:val="20"/>
        </w:rPr>
        <w:t xml:space="preserve"> kw. 2022 r. odnotowano</w:t>
      </w:r>
      <w:r w:rsidR="001601FC" w:rsidRPr="00A433F4">
        <w:rPr>
          <w:rFonts w:ascii="Times New Roman" w:hAnsi="Times New Roman"/>
          <w:bCs/>
          <w:sz w:val="20"/>
          <w:szCs w:val="20"/>
        </w:rPr>
        <w:t xml:space="preserve"> nominalny </w:t>
      </w:r>
      <w:r w:rsidRPr="00A433F4">
        <w:rPr>
          <w:rFonts w:ascii="Times New Roman" w:hAnsi="Times New Roman"/>
          <w:bCs/>
          <w:sz w:val="20"/>
          <w:szCs w:val="20"/>
        </w:rPr>
        <w:t>wzrost wy</w:t>
      </w:r>
      <w:r w:rsidR="00B8744C" w:rsidRPr="00A433F4">
        <w:rPr>
          <w:rFonts w:ascii="Times New Roman" w:hAnsi="Times New Roman"/>
          <w:bCs/>
          <w:sz w:val="20"/>
          <w:szCs w:val="20"/>
        </w:rPr>
        <w:t>datków na</w:t>
      </w:r>
      <w:r w:rsidR="00A433F4" w:rsidRPr="00A433F4">
        <w:rPr>
          <w:rFonts w:ascii="Times New Roman" w:hAnsi="Times New Roman"/>
          <w:bCs/>
          <w:sz w:val="20"/>
          <w:szCs w:val="20"/>
        </w:rPr>
        <w:t xml:space="preserve"> zużycie pośrednie (21</w:t>
      </w:r>
      <w:r w:rsidR="00321D0F" w:rsidRPr="00A433F4">
        <w:rPr>
          <w:rFonts w:ascii="Times New Roman" w:hAnsi="Times New Roman"/>
          <w:bCs/>
          <w:sz w:val="20"/>
          <w:szCs w:val="20"/>
        </w:rPr>
        <w:t>,0</w:t>
      </w:r>
      <w:r w:rsidR="00B8744C" w:rsidRPr="00A433F4">
        <w:rPr>
          <w:rFonts w:ascii="Times New Roman" w:hAnsi="Times New Roman"/>
          <w:bCs/>
          <w:sz w:val="20"/>
          <w:szCs w:val="20"/>
        </w:rPr>
        <w:t xml:space="preserve">% r/r) oraz kosztów </w:t>
      </w:r>
      <w:r w:rsidR="00A433F4" w:rsidRPr="00A433F4">
        <w:rPr>
          <w:rFonts w:ascii="Times New Roman" w:hAnsi="Times New Roman"/>
          <w:bCs/>
          <w:sz w:val="20"/>
          <w:szCs w:val="20"/>
        </w:rPr>
        <w:t>pracy (16,4</w:t>
      </w:r>
      <w:r w:rsidRPr="00A433F4">
        <w:rPr>
          <w:rFonts w:ascii="Times New Roman" w:hAnsi="Times New Roman"/>
          <w:bCs/>
          <w:sz w:val="20"/>
          <w:szCs w:val="20"/>
        </w:rPr>
        <w:t>% r/r) któr</w:t>
      </w:r>
      <w:r w:rsidR="001601FC" w:rsidRPr="00A433F4">
        <w:rPr>
          <w:rFonts w:ascii="Times New Roman" w:hAnsi="Times New Roman"/>
          <w:bCs/>
          <w:sz w:val="20"/>
          <w:szCs w:val="20"/>
        </w:rPr>
        <w:t>e</w:t>
      </w:r>
      <w:r w:rsidRPr="00A433F4">
        <w:rPr>
          <w:rFonts w:ascii="Times New Roman" w:hAnsi="Times New Roman"/>
          <w:bCs/>
          <w:sz w:val="20"/>
          <w:szCs w:val="20"/>
        </w:rPr>
        <w:t xml:space="preserve"> przyczynił</w:t>
      </w:r>
      <w:r w:rsidR="001601FC" w:rsidRPr="00A433F4">
        <w:rPr>
          <w:rFonts w:ascii="Times New Roman" w:hAnsi="Times New Roman"/>
          <w:bCs/>
          <w:sz w:val="20"/>
          <w:szCs w:val="20"/>
        </w:rPr>
        <w:t>y</w:t>
      </w:r>
      <w:r w:rsidRPr="00A433F4">
        <w:rPr>
          <w:rFonts w:ascii="Times New Roman" w:hAnsi="Times New Roman"/>
          <w:bCs/>
          <w:sz w:val="20"/>
          <w:szCs w:val="20"/>
        </w:rPr>
        <w:t xml:space="preserve"> się do wz</w:t>
      </w:r>
      <w:r w:rsidR="00321D0F" w:rsidRPr="00A433F4">
        <w:rPr>
          <w:rFonts w:ascii="Times New Roman" w:hAnsi="Times New Roman"/>
          <w:bCs/>
          <w:sz w:val="20"/>
          <w:szCs w:val="20"/>
        </w:rPr>
        <w:t>rostu spożycia publicznego o 1</w:t>
      </w:r>
      <w:r w:rsidR="00A433F4" w:rsidRPr="00A433F4">
        <w:rPr>
          <w:rFonts w:ascii="Times New Roman" w:hAnsi="Times New Roman"/>
          <w:bCs/>
          <w:sz w:val="20"/>
          <w:szCs w:val="20"/>
        </w:rPr>
        <w:t>5,9% r/r (realnie o spadek o</w:t>
      </w:r>
      <w:r w:rsidR="00EB6329">
        <w:rPr>
          <w:rFonts w:ascii="Times New Roman" w:hAnsi="Times New Roman"/>
          <w:bCs/>
          <w:sz w:val="20"/>
          <w:szCs w:val="20"/>
        </w:rPr>
        <w:t> </w:t>
      </w:r>
      <w:r w:rsidR="00A433F4" w:rsidRPr="00A433F4">
        <w:rPr>
          <w:rFonts w:ascii="Times New Roman" w:hAnsi="Times New Roman"/>
          <w:bCs/>
          <w:sz w:val="20"/>
          <w:szCs w:val="20"/>
        </w:rPr>
        <w:t>0,3% r/r)</w:t>
      </w:r>
      <w:r w:rsidR="0032260F">
        <w:rPr>
          <w:rFonts w:ascii="Times New Roman" w:hAnsi="Times New Roman"/>
          <w:bCs/>
          <w:sz w:val="20"/>
          <w:szCs w:val="20"/>
        </w:rPr>
        <w:t>.</w:t>
      </w:r>
    </w:p>
    <w:p w14:paraId="0A772F63" w14:textId="47F74CC6" w:rsidR="00C61EE3" w:rsidRPr="001A642A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1A642A">
        <w:rPr>
          <w:rFonts w:ascii="Times New Roman" w:hAnsi="Times New Roman"/>
          <w:bCs/>
          <w:sz w:val="20"/>
          <w:szCs w:val="20"/>
        </w:rPr>
        <w:t xml:space="preserve">W </w:t>
      </w:r>
      <w:r w:rsidR="00321D0F" w:rsidRPr="001A642A">
        <w:rPr>
          <w:rFonts w:ascii="Times New Roman" w:hAnsi="Times New Roman"/>
          <w:bCs/>
          <w:sz w:val="20"/>
          <w:szCs w:val="20"/>
        </w:rPr>
        <w:t>I</w:t>
      </w:r>
      <w:r w:rsidR="00D31A44" w:rsidRPr="001A642A">
        <w:rPr>
          <w:rFonts w:ascii="Times New Roman" w:hAnsi="Times New Roman"/>
          <w:bCs/>
          <w:sz w:val="20"/>
          <w:szCs w:val="20"/>
        </w:rPr>
        <w:t>I</w:t>
      </w:r>
      <w:r w:rsidR="00A433F4" w:rsidRPr="001A642A">
        <w:rPr>
          <w:rFonts w:ascii="Times New Roman" w:hAnsi="Times New Roman"/>
          <w:bCs/>
          <w:sz w:val="20"/>
          <w:szCs w:val="20"/>
        </w:rPr>
        <w:t>I</w:t>
      </w:r>
      <w:r w:rsidRPr="001A642A">
        <w:rPr>
          <w:rFonts w:ascii="Times New Roman" w:hAnsi="Times New Roman"/>
          <w:bCs/>
          <w:sz w:val="20"/>
          <w:szCs w:val="20"/>
        </w:rPr>
        <w:t xml:space="preserve"> kw. br., nastąpił</w:t>
      </w:r>
      <w:r w:rsidR="00242C04" w:rsidRPr="001A642A">
        <w:rPr>
          <w:rFonts w:ascii="Times New Roman" w:hAnsi="Times New Roman"/>
          <w:bCs/>
          <w:sz w:val="20"/>
          <w:szCs w:val="20"/>
        </w:rPr>
        <w:t xml:space="preserve"> </w:t>
      </w:r>
      <w:r w:rsidR="00680D49" w:rsidRPr="001A642A">
        <w:rPr>
          <w:rFonts w:ascii="Times New Roman" w:hAnsi="Times New Roman"/>
          <w:bCs/>
          <w:sz w:val="20"/>
          <w:szCs w:val="20"/>
        </w:rPr>
        <w:t xml:space="preserve">wzrost </w:t>
      </w:r>
      <w:r w:rsidRPr="001A642A">
        <w:rPr>
          <w:rFonts w:ascii="Times New Roman" w:hAnsi="Times New Roman"/>
          <w:bCs/>
          <w:sz w:val="20"/>
          <w:szCs w:val="20"/>
        </w:rPr>
        <w:t>wydatków inwestycyjnych sektora instytucji rządowych i</w:t>
      </w:r>
      <w:r w:rsidR="00242C04" w:rsidRPr="001A642A">
        <w:rPr>
          <w:rFonts w:ascii="Times New Roman" w:hAnsi="Times New Roman"/>
          <w:bCs/>
          <w:sz w:val="20"/>
          <w:szCs w:val="20"/>
        </w:rPr>
        <w:t> samorządowych</w:t>
      </w:r>
      <w:r w:rsidR="00326C0B" w:rsidRPr="001A642A">
        <w:rPr>
          <w:rFonts w:ascii="Times New Roman" w:hAnsi="Times New Roman"/>
          <w:bCs/>
          <w:sz w:val="20"/>
          <w:szCs w:val="20"/>
        </w:rPr>
        <w:t xml:space="preserve"> </w:t>
      </w:r>
      <w:r w:rsidR="00242C04" w:rsidRPr="001A642A">
        <w:rPr>
          <w:rFonts w:ascii="Times New Roman" w:hAnsi="Times New Roman"/>
          <w:bCs/>
          <w:sz w:val="20"/>
          <w:szCs w:val="20"/>
        </w:rPr>
        <w:t>o</w:t>
      </w:r>
      <w:r w:rsidR="001601FC" w:rsidRPr="001A642A">
        <w:rPr>
          <w:rFonts w:ascii="Times New Roman" w:hAnsi="Times New Roman"/>
          <w:bCs/>
          <w:sz w:val="20"/>
          <w:szCs w:val="20"/>
        </w:rPr>
        <w:t> </w:t>
      </w:r>
      <w:r w:rsidR="00A433F4" w:rsidRPr="001A642A">
        <w:rPr>
          <w:rFonts w:ascii="Times New Roman" w:hAnsi="Times New Roman"/>
          <w:bCs/>
          <w:sz w:val="20"/>
          <w:szCs w:val="20"/>
        </w:rPr>
        <w:t>8,3</w:t>
      </w:r>
      <w:r w:rsidR="00242C04" w:rsidRPr="001A642A">
        <w:rPr>
          <w:rFonts w:ascii="Times New Roman" w:hAnsi="Times New Roman"/>
          <w:bCs/>
          <w:sz w:val="20"/>
          <w:szCs w:val="20"/>
        </w:rPr>
        <w:t>% </w:t>
      </w:r>
      <w:r w:rsidR="00EB6329">
        <w:rPr>
          <w:rFonts w:ascii="Times New Roman" w:hAnsi="Times New Roman"/>
          <w:bCs/>
          <w:sz w:val="20"/>
          <w:szCs w:val="20"/>
        </w:rPr>
        <w:t xml:space="preserve">r/r, na co wpływ miały głównie wydatki </w:t>
      </w:r>
      <w:r w:rsidR="000D6A91" w:rsidRPr="001A642A">
        <w:rPr>
          <w:rFonts w:ascii="Times New Roman" w:hAnsi="Times New Roman"/>
          <w:bCs/>
          <w:sz w:val="20"/>
          <w:szCs w:val="20"/>
        </w:rPr>
        <w:t xml:space="preserve">inwestycyjne </w:t>
      </w:r>
      <w:r w:rsidR="001601FC" w:rsidRPr="001A642A">
        <w:rPr>
          <w:rFonts w:ascii="Times New Roman" w:hAnsi="Times New Roman"/>
          <w:bCs/>
          <w:sz w:val="20"/>
          <w:szCs w:val="20"/>
        </w:rPr>
        <w:t xml:space="preserve">realizowane przez </w:t>
      </w:r>
      <w:r w:rsidR="00EB6329">
        <w:rPr>
          <w:rFonts w:ascii="Times New Roman" w:hAnsi="Times New Roman"/>
          <w:bCs/>
          <w:sz w:val="20"/>
          <w:szCs w:val="20"/>
        </w:rPr>
        <w:t xml:space="preserve">samorządy (wzrost </w:t>
      </w:r>
      <w:r w:rsidR="00B33580" w:rsidRPr="001A642A">
        <w:rPr>
          <w:rFonts w:ascii="Times New Roman" w:hAnsi="Times New Roman"/>
          <w:bCs/>
          <w:sz w:val="20"/>
          <w:szCs w:val="20"/>
        </w:rPr>
        <w:t>w</w:t>
      </w:r>
      <w:r w:rsidR="008C16E4" w:rsidRPr="001A642A">
        <w:rPr>
          <w:rFonts w:ascii="Times New Roman" w:hAnsi="Times New Roman"/>
          <w:bCs/>
          <w:sz w:val="20"/>
          <w:szCs w:val="20"/>
        </w:rPr>
        <w:t xml:space="preserve"> ujęciu kasowym </w:t>
      </w:r>
      <w:r w:rsidR="00EB6329">
        <w:rPr>
          <w:rFonts w:ascii="Times New Roman" w:hAnsi="Times New Roman"/>
          <w:bCs/>
          <w:sz w:val="20"/>
          <w:szCs w:val="20"/>
        </w:rPr>
        <w:t>o ponad 30% r/r).</w:t>
      </w:r>
    </w:p>
    <w:p w14:paraId="19619B78" w14:textId="77777777" w:rsidR="00C61EE3" w:rsidRPr="00A96A8D" w:rsidRDefault="00B51A6E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A96A8D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50960E67" w14:textId="77777777" w:rsidR="00A5676D" w:rsidRPr="001A3883" w:rsidRDefault="00A5676D" w:rsidP="00A5676D">
      <w:pPr>
        <w:keepNext/>
        <w:spacing w:before="120" w:after="60" w:line="288" w:lineRule="auto"/>
        <w:outlineLvl w:val="0"/>
        <w:rPr>
          <w:rFonts w:ascii="Cambria" w:hAnsi="Cambria"/>
          <w:b/>
          <w:bCs/>
          <w:sz w:val="32"/>
          <w:szCs w:val="32"/>
        </w:rPr>
      </w:pPr>
      <w:bookmarkStart w:id="5" w:name="_Toc378241155"/>
      <w:bookmarkStart w:id="6" w:name="_Toc472594681"/>
      <w:bookmarkStart w:id="7" w:name="_Toc536019015"/>
      <w:bookmarkStart w:id="8" w:name="_Toc126047146"/>
      <w:r w:rsidRPr="001A3883">
        <w:rPr>
          <w:rFonts w:ascii="Arial" w:hAnsi="Arial" w:cs="Arial"/>
          <w:b/>
          <w:bCs/>
          <w:color w:val="ADAFB2"/>
          <w:sz w:val="28"/>
          <w:szCs w:val="28"/>
        </w:rPr>
        <w:lastRenderedPageBreak/>
        <w:t xml:space="preserve">2. </w:t>
      </w:r>
      <w:bookmarkEnd w:id="5"/>
      <w:r w:rsidRPr="001A3883">
        <w:rPr>
          <w:rFonts w:ascii="Arial" w:hAnsi="Arial" w:cs="Arial"/>
          <w:b/>
          <w:bCs/>
          <w:color w:val="ADAFB2"/>
          <w:sz w:val="28"/>
          <w:szCs w:val="28"/>
        </w:rPr>
        <w:t>Dług publiczny oraz potrzeby pożyczkowe</w:t>
      </w:r>
      <w:bookmarkEnd w:id="6"/>
      <w:bookmarkEnd w:id="7"/>
      <w:bookmarkEnd w:id="8"/>
    </w:p>
    <w:p w14:paraId="27B36E05" w14:textId="77777777" w:rsidR="00A5676D" w:rsidRPr="001A3883" w:rsidRDefault="00A5676D" w:rsidP="00A5676D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9" w:name="_Toc472594682"/>
      <w:bookmarkStart w:id="10" w:name="_Toc536019016"/>
      <w:bookmarkStart w:id="11" w:name="_Toc126047147"/>
      <w:r w:rsidRPr="001A3883">
        <w:rPr>
          <w:rFonts w:ascii="Arial" w:hAnsi="Arial" w:cs="Arial"/>
          <w:b/>
          <w:bCs/>
          <w:iCs/>
          <w:color w:val="E31837"/>
          <w:sz w:val="20"/>
          <w:szCs w:val="20"/>
        </w:rPr>
        <w:t>2.1. Dług sektora instytucji rządowych i samorządowych (wg definicji UE)</w:t>
      </w:r>
      <w:bookmarkEnd w:id="9"/>
      <w:bookmarkEnd w:id="10"/>
      <w:bookmarkEnd w:id="11"/>
    </w:p>
    <w:p w14:paraId="29907F2C" w14:textId="0F6E85F3" w:rsidR="00A5676D" w:rsidRPr="009F4A19" w:rsidRDefault="00AC2363" w:rsidP="00A5676D">
      <w:pPr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  <w:highlight w:val="yellow"/>
        </w:rPr>
      </w:pPr>
      <w:r w:rsidRPr="00AC2363">
        <w:rPr>
          <w:rFonts w:ascii="Times New Roman" w:hAnsi="Times New Roman" w:cs="Arial"/>
          <w:sz w:val="20"/>
          <w:szCs w:val="20"/>
        </w:rPr>
        <w:t xml:space="preserve">Na koniec III kwartału 2022 r. dług sektora instytucji rządowych i samorządowych (dług EDP) stanowiący jeden z elementów kryterium fiskalnego z </w:t>
      </w:r>
      <w:proofErr w:type="spellStart"/>
      <w:r w:rsidRPr="00AC2363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AC2363">
        <w:rPr>
          <w:rFonts w:ascii="Times New Roman" w:hAnsi="Times New Roman" w:cs="Arial"/>
          <w:sz w:val="20"/>
          <w:szCs w:val="20"/>
        </w:rPr>
        <w:t xml:space="preserve"> wyniósł 1.479,3 mld zł, co oznaczało wzrost o 25,8 mld zł (+1,8%) w porównaniu z końcem II kwartału 2022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A5676D" w:rsidRPr="009F4A19" w14:paraId="64395FD5" w14:textId="77777777" w:rsidTr="0074106C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76B8E28" w14:textId="77777777" w:rsidR="00A5676D" w:rsidRPr="00AC2363" w:rsidRDefault="00A5676D" w:rsidP="00A5676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AC236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A5676D" w:rsidRPr="009F4A19" w14:paraId="0FED19AE" w14:textId="77777777" w:rsidTr="00374727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081E5D47" w14:textId="1581ABFF" w:rsidR="00A5676D" w:rsidRPr="00AC2363" w:rsidRDefault="00374727" w:rsidP="00A5676D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B00DE9" wp14:editId="6A23BD88">
                  <wp:extent cx="2838450" cy="2038350"/>
                  <wp:effectExtent l="0" t="0" r="0" b="0"/>
                  <wp:docPr id="7" name="Wykres 7" descr="Wykres prezentuje poziom długu sektora instytucji rządowych i samorządowych EDP w mld zł i w relacji do PKB w latach 2010- 2021 oraz na koniec marca, czerwca i września 2022 r. Dane szczegółowe dostępne w Aneksie statystycznym, na końcu opracowania." title="Wykres 6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  <w:tr w:rsidR="00A5676D" w:rsidRPr="009F4A19" w14:paraId="6C1C6DAB" w14:textId="77777777" w:rsidTr="0074106C">
        <w:tc>
          <w:tcPr>
            <w:tcW w:w="4680" w:type="dxa"/>
          </w:tcPr>
          <w:p w14:paraId="15FED41F" w14:textId="77777777" w:rsidR="00A5676D" w:rsidRPr="00AC2363" w:rsidRDefault="00A5676D" w:rsidP="00A5676D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C2363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7B30C8B8" w14:textId="77777777" w:rsidR="00AC2363" w:rsidRPr="00A5676D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256F7">
        <w:rPr>
          <w:rFonts w:ascii="Times New Roman" w:hAnsi="Times New Roman"/>
          <w:sz w:val="20"/>
          <w:szCs w:val="20"/>
        </w:rPr>
        <w:t>Na dług EDP złożyło</w:t>
      </w:r>
      <w:r w:rsidRPr="00A5676D">
        <w:rPr>
          <w:rFonts w:ascii="Times New Roman" w:hAnsi="Times New Roman"/>
          <w:sz w:val="20"/>
          <w:szCs w:val="20"/>
        </w:rPr>
        <w:t xml:space="preserve"> się zadłużenie podsektorów:</w:t>
      </w:r>
    </w:p>
    <w:p w14:paraId="19912E63" w14:textId="77777777" w:rsidR="00AC2363" w:rsidRPr="00F45E87" w:rsidRDefault="00AC2363" w:rsidP="00AC2363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rządowego 1.383,9 mld zł  (wzrost o 27,0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</w:t>
      </w:r>
      <w:r w:rsidRPr="00F45E87">
        <w:rPr>
          <w:rFonts w:ascii="Times New Roman" w:hAnsi="Times New Roman"/>
          <w:sz w:val="20"/>
          <w:szCs w:val="20"/>
        </w:rPr>
        <w:t> kwartale 2022 r.),</w:t>
      </w:r>
    </w:p>
    <w:p w14:paraId="71AD4309" w14:textId="77777777" w:rsidR="00AC2363" w:rsidRPr="00A5676D" w:rsidRDefault="00AC2363" w:rsidP="00AC2363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samorządowego 95,3 mld zł, (spadek o 1,2</w:t>
      </w:r>
      <w:r w:rsidRPr="00A5676D">
        <w:rPr>
          <w:rFonts w:ascii="Times New Roman" w:hAnsi="Times New Roman"/>
          <w:sz w:val="20"/>
          <w:szCs w:val="20"/>
        </w:rPr>
        <w:t xml:space="preserve"> mld zł w 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 kwartale 2022</w:t>
      </w:r>
      <w:r w:rsidRPr="00A5676D">
        <w:rPr>
          <w:rFonts w:ascii="Times New Roman" w:hAnsi="Times New Roman"/>
          <w:sz w:val="20"/>
          <w:szCs w:val="20"/>
        </w:rPr>
        <w:t xml:space="preserve"> r.),</w:t>
      </w:r>
    </w:p>
    <w:p w14:paraId="1EF19D84" w14:textId="77777777" w:rsidR="00AC2363" w:rsidRPr="00A5676D" w:rsidRDefault="00AC2363" w:rsidP="00AC2363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3634A480" w14:textId="77777777" w:rsidR="00AC2363" w:rsidRPr="00A5676D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Zmiana długu EDP w 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I kwartale 2022</w:t>
      </w:r>
      <w:r w:rsidRPr="00A5676D"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14:paraId="1C978A49" w14:textId="77777777" w:rsidR="00AC2363" w:rsidRPr="00CB713B" w:rsidRDefault="00AC2363" w:rsidP="00AC2363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B713B">
        <w:rPr>
          <w:rFonts w:ascii="Times New Roman" w:hAnsi="Times New Roman"/>
          <w:sz w:val="20"/>
          <w:szCs w:val="20"/>
        </w:rPr>
        <w:t>wzrost skonsolidowanego zadłużenia Krajow</w:t>
      </w:r>
      <w:r>
        <w:rPr>
          <w:rFonts w:ascii="Times New Roman" w:hAnsi="Times New Roman"/>
          <w:sz w:val="20"/>
          <w:szCs w:val="20"/>
        </w:rPr>
        <w:t>ego Funduszu Drogowego o 5,6 mld</w:t>
      </w:r>
      <w:r w:rsidRPr="00CB713B">
        <w:rPr>
          <w:rFonts w:ascii="Times New Roman" w:hAnsi="Times New Roman"/>
          <w:sz w:val="20"/>
          <w:szCs w:val="20"/>
        </w:rPr>
        <w:t xml:space="preserve"> zł, Funduszu Prz</w:t>
      </w:r>
      <w:r>
        <w:rPr>
          <w:rFonts w:ascii="Times New Roman" w:hAnsi="Times New Roman"/>
          <w:sz w:val="20"/>
          <w:szCs w:val="20"/>
        </w:rPr>
        <w:t>eciwdziałania COVID-19 o 4,2 mld</w:t>
      </w:r>
      <w:r w:rsidRPr="00CB713B">
        <w:rPr>
          <w:rFonts w:ascii="Times New Roman" w:hAnsi="Times New Roman"/>
          <w:sz w:val="20"/>
          <w:szCs w:val="20"/>
        </w:rPr>
        <w:t xml:space="preserve"> zł oraz Funduszu Pomocy o </w:t>
      </w:r>
      <w:r>
        <w:rPr>
          <w:rFonts w:ascii="Times New Roman" w:hAnsi="Times New Roman"/>
          <w:sz w:val="20"/>
          <w:szCs w:val="20"/>
        </w:rPr>
        <w:t>0,5 mld</w:t>
      </w:r>
      <w:r w:rsidRPr="00CB713B">
        <w:rPr>
          <w:rFonts w:ascii="Times New Roman" w:hAnsi="Times New Roman"/>
          <w:sz w:val="20"/>
          <w:szCs w:val="20"/>
        </w:rPr>
        <w:t xml:space="preserve"> zł,</w:t>
      </w:r>
    </w:p>
    <w:p w14:paraId="7CA0C671" w14:textId="77777777" w:rsidR="00AC2363" w:rsidRPr="00CB713B" w:rsidRDefault="00AC2363" w:rsidP="00AC2363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B713B">
        <w:rPr>
          <w:rFonts w:ascii="Times New Roman" w:hAnsi="Times New Roman"/>
          <w:sz w:val="20"/>
          <w:szCs w:val="20"/>
        </w:rPr>
        <w:t>spadek stanu depozytów na rachunku MF i posiadanych SPW przez  f</w:t>
      </w:r>
      <w:r>
        <w:rPr>
          <w:rFonts w:ascii="Times New Roman" w:hAnsi="Times New Roman"/>
          <w:sz w:val="20"/>
          <w:szCs w:val="20"/>
        </w:rPr>
        <w:t>undusze umiejscowione w BGK o 2,9 mld</w:t>
      </w:r>
      <w:r w:rsidRPr="00CB713B">
        <w:rPr>
          <w:rFonts w:ascii="Times New Roman" w:hAnsi="Times New Roman"/>
          <w:sz w:val="20"/>
          <w:szCs w:val="20"/>
        </w:rPr>
        <w:t xml:space="preserve"> zł, co spowodowało wzrost długu EDP w wyniku spadku konsolidacji wzajemnych zobowiązań,</w:t>
      </w:r>
    </w:p>
    <w:p w14:paraId="3EE9D888" w14:textId="77777777" w:rsidR="00AC2363" w:rsidRPr="00CB713B" w:rsidRDefault="00AC2363" w:rsidP="00AC2363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B713B">
        <w:rPr>
          <w:rFonts w:ascii="Times New Roman" w:hAnsi="Times New Roman"/>
          <w:sz w:val="20"/>
          <w:szCs w:val="20"/>
        </w:rPr>
        <w:t>wzrost wpływu zaliczenia przedsiębiorstw do sektora instytucji rzą</w:t>
      </w:r>
      <w:r>
        <w:rPr>
          <w:rFonts w:ascii="Times New Roman" w:hAnsi="Times New Roman"/>
          <w:sz w:val="20"/>
          <w:szCs w:val="20"/>
        </w:rPr>
        <w:t>dowych i samorządowych o 7,3 mld</w:t>
      </w:r>
      <w:r w:rsidRPr="00CB713B">
        <w:rPr>
          <w:rFonts w:ascii="Times New Roman" w:hAnsi="Times New Roman"/>
          <w:sz w:val="20"/>
          <w:szCs w:val="20"/>
        </w:rPr>
        <w:t xml:space="preserve"> zł, </w:t>
      </w:r>
      <w:r w:rsidRPr="00CB713B">
        <w:rPr>
          <w:rFonts w:ascii="Times New Roman" w:hAnsi="Times New Roman"/>
          <w:sz w:val="20"/>
          <w:szCs w:val="20"/>
        </w:rPr>
        <w:t>w tym</w:t>
      </w:r>
      <w:r>
        <w:rPr>
          <w:rFonts w:ascii="Times New Roman" w:hAnsi="Times New Roman"/>
          <w:sz w:val="20"/>
          <w:szCs w:val="20"/>
        </w:rPr>
        <w:t xml:space="preserve"> wzrost zadłużenia o 2,0 mld</w:t>
      </w:r>
      <w:r w:rsidRPr="00CB713B">
        <w:rPr>
          <w:rFonts w:ascii="Times New Roman" w:hAnsi="Times New Roman"/>
          <w:sz w:val="20"/>
          <w:szCs w:val="20"/>
        </w:rPr>
        <w:t xml:space="preserve"> zł i spadek posiadanych przez te jednostki skarbowych papierów wartości</w:t>
      </w:r>
      <w:r>
        <w:rPr>
          <w:rFonts w:ascii="Times New Roman" w:hAnsi="Times New Roman"/>
          <w:sz w:val="20"/>
          <w:szCs w:val="20"/>
        </w:rPr>
        <w:t>owych o 5,3 mld zł</w:t>
      </w:r>
      <w:r w:rsidRPr="00CB713B">
        <w:rPr>
          <w:rFonts w:ascii="Times New Roman" w:hAnsi="Times New Roman"/>
          <w:sz w:val="20"/>
          <w:szCs w:val="20"/>
        </w:rPr>
        <w:t>.</w:t>
      </w:r>
    </w:p>
    <w:p w14:paraId="2C24C06F" w14:textId="77777777" w:rsidR="00AC2363" w:rsidRPr="00A5676D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Największy udział w </w:t>
      </w:r>
      <w:r w:rsidRPr="00A5676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A5676D">
        <w:rPr>
          <w:rFonts w:ascii="Times New Roman" w:hAnsi="Times New Roman"/>
          <w:sz w:val="20"/>
          <w:szCs w:val="20"/>
        </w:rPr>
        <w:t>dług Skarbu Państwa (SP).</w:t>
      </w:r>
    </w:p>
    <w:p w14:paraId="18F732CD" w14:textId="77777777" w:rsidR="00AC2363" w:rsidRPr="00A5676D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III</w:t>
      </w:r>
      <w:r w:rsidRPr="00A5676D">
        <w:rPr>
          <w:rFonts w:ascii="Times New Roman" w:hAnsi="Times New Roman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w. 2022 r. dług SP wyniósł 1.205,</w:t>
      </w:r>
      <w:r w:rsidRPr="00094906">
        <w:rPr>
          <w:rFonts w:ascii="Times New Roman" w:hAnsi="Times New Roman"/>
          <w:sz w:val="20"/>
          <w:szCs w:val="20"/>
        </w:rPr>
        <w:t>9</w:t>
      </w:r>
      <w:r w:rsidRPr="00A5676D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 zł, co oznaczało wzrost o 7,1 mld zł (0,6</w:t>
      </w:r>
      <w:r w:rsidRPr="00A5676D">
        <w:rPr>
          <w:rFonts w:ascii="Times New Roman" w:hAnsi="Times New Roman"/>
          <w:sz w:val="20"/>
          <w:szCs w:val="20"/>
        </w:rPr>
        <w:t>%) względem poprzedniego kwartału.</w:t>
      </w:r>
    </w:p>
    <w:p w14:paraId="5E649918" w14:textId="77777777" w:rsidR="00AC2363" w:rsidRPr="00A5676D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długu SP w III kw. 2022</w:t>
      </w:r>
      <w:r w:rsidRPr="00A5676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14:paraId="54521784" w14:textId="77777777" w:rsidR="00AC2363" w:rsidRPr="00A5676D" w:rsidRDefault="00AC2363" w:rsidP="00AC2363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potrzeb pożyczko</w:t>
      </w:r>
      <w:r>
        <w:rPr>
          <w:rFonts w:ascii="Times New Roman" w:hAnsi="Times New Roman"/>
          <w:sz w:val="20"/>
          <w:szCs w:val="20"/>
        </w:rPr>
        <w:t>wych netto budżetu państwa (+4,3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6C5D0F13" w14:textId="77777777" w:rsidR="00AC2363" w:rsidRPr="00A5676D" w:rsidRDefault="00AC2363" w:rsidP="00AC2363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mniejszenia</w:t>
      </w:r>
      <w:r w:rsidRPr="00A5676D">
        <w:rPr>
          <w:rFonts w:ascii="Times New Roman" w:hAnsi="Times New Roman"/>
          <w:sz w:val="20"/>
          <w:szCs w:val="20"/>
        </w:rPr>
        <w:t xml:space="preserve"> stanu środków </w:t>
      </w:r>
      <w:r>
        <w:rPr>
          <w:rFonts w:ascii="Times New Roman" w:hAnsi="Times New Roman"/>
          <w:sz w:val="20"/>
          <w:szCs w:val="20"/>
        </w:rPr>
        <w:t>na rachunkach budżetowych (-12,2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491829DD" w14:textId="77777777" w:rsidR="00AC2363" w:rsidRDefault="00AC2363" w:rsidP="00AC2363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zmiany pozostałego długo Skarbu Państwa (+7,1 mld zł),</w:t>
      </w:r>
    </w:p>
    <w:p w14:paraId="3F0AD4BC" w14:textId="77777777" w:rsidR="00AC2363" w:rsidRPr="00E23A8D" w:rsidRDefault="00AC2363" w:rsidP="00AC2363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różnic kursowych (+12,6 mld zł)</w:t>
      </w:r>
      <w:r w:rsidRPr="00E23A8D">
        <w:rPr>
          <w:rFonts w:ascii="Times New Roman" w:hAnsi="Times New Roman"/>
          <w:sz w:val="20"/>
          <w:szCs w:val="20"/>
        </w:rPr>
        <w:t>.</w:t>
      </w:r>
    </w:p>
    <w:p w14:paraId="1D8FF4C9" w14:textId="77777777" w:rsidR="00AC2363" w:rsidRPr="00A5676D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III kw. 2022</w:t>
      </w:r>
      <w:r w:rsidRPr="00A5676D">
        <w:rPr>
          <w:rFonts w:ascii="Times New Roman" w:hAnsi="Times New Roman"/>
          <w:sz w:val="20"/>
          <w:szCs w:val="20"/>
        </w:rPr>
        <w:t xml:space="preserve"> r. udział długu w walutach obcy</w:t>
      </w:r>
      <w:r>
        <w:rPr>
          <w:rFonts w:ascii="Times New Roman" w:hAnsi="Times New Roman"/>
          <w:sz w:val="20"/>
          <w:szCs w:val="20"/>
        </w:rPr>
        <w:t>ch w całym długu SP wyniósł 23,4</w:t>
      </w:r>
      <w:r w:rsidRPr="00A5676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>wzrósł o 1,4</w:t>
      </w:r>
      <w:r w:rsidRPr="0093796D">
        <w:rPr>
          <w:rFonts w:ascii="Times New Roman" w:hAnsi="Times New Roman"/>
          <w:color w:val="000000" w:themeColor="text1"/>
          <w:sz w:val="20"/>
          <w:szCs w:val="20"/>
        </w:rPr>
        <w:t xml:space="preserve"> pp</w:t>
      </w:r>
      <w:r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93796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A5676D">
        <w:rPr>
          <w:rFonts w:ascii="Times New Roman" w:hAnsi="Times New Roman"/>
          <w:sz w:val="20"/>
          <w:szCs w:val="20"/>
        </w:rPr>
        <w:t>w stosunku do poprzedniego kwartału.</w:t>
      </w:r>
    </w:p>
    <w:p w14:paraId="36AE773F" w14:textId="77777777" w:rsidR="00AC2363" w:rsidRDefault="00AC2363" w:rsidP="00AC236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Udział długu wobec nierezydentów w długu ogółem n</w:t>
      </w:r>
      <w:r>
        <w:rPr>
          <w:rFonts w:ascii="Times New Roman" w:hAnsi="Times New Roman"/>
          <w:sz w:val="20"/>
          <w:szCs w:val="20"/>
        </w:rPr>
        <w:t xml:space="preserve">a koniec III kw. 2022 r. wyniósł 33,8% wobec </w:t>
      </w:r>
      <w:r w:rsidRPr="00D4056C">
        <w:rPr>
          <w:rFonts w:ascii="Times New Roman" w:hAnsi="Times New Roman"/>
          <w:sz w:val="20"/>
          <w:szCs w:val="20"/>
        </w:rPr>
        <w:t xml:space="preserve">32,5% </w:t>
      </w:r>
      <w:r w:rsidRPr="00A5676D">
        <w:rPr>
          <w:rFonts w:ascii="Times New Roman" w:hAnsi="Times New Roman"/>
          <w:sz w:val="20"/>
          <w:szCs w:val="20"/>
        </w:rPr>
        <w:t>na</w:t>
      </w:r>
      <w:r w:rsidRPr="00A5676D">
        <w:t xml:space="preserve"> </w:t>
      </w:r>
      <w:r w:rsidRPr="00A5676D">
        <w:rPr>
          <w:rFonts w:ascii="Times New Roman" w:hAnsi="Times New Roman"/>
          <w:sz w:val="20"/>
          <w:szCs w:val="20"/>
        </w:rPr>
        <w:t>koniec poprzedniego kwartału.</w:t>
      </w:r>
    </w:p>
    <w:p w14:paraId="0CD4277B" w14:textId="4C98E4D9" w:rsidR="00A5676D" w:rsidRPr="00AC2363" w:rsidRDefault="00A5676D" w:rsidP="00C83795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12" w:name="_Toc126047148"/>
      <w:r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t>2.2. Potrzeby pożyczkowe budżetu państwa</w:t>
      </w:r>
      <w:r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br/>
        <w:t>i ich finansowanie w I</w:t>
      </w:r>
      <w:r w:rsidR="00E55417"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t>I</w:t>
      </w:r>
      <w:r w:rsidR="009F4A19"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t>I</w:t>
      </w:r>
      <w:r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kwartale 202</w:t>
      </w:r>
      <w:r w:rsidR="001A3883"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t>2</w:t>
      </w:r>
      <w:r w:rsidRPr="00AC2363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 r.</w:t>
      </w:r>
      <w:bookmarkEnd w:id="12"/>
    </w:p>
    <w:p w14:paraId="15EECD46" w14:textId="77777777" w:rsidR="00AC2363" w:rsidRPr="002A3BA1" w:rsidRDefault="00AC2363" w:rsidP="00007B69">
      <w:pPr>
        <w:widowControl w:val="0"/>
        <w:spacing w:before="120" w:after="0" w:line="288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A522D7">
        <w:rPr>
          <w:rFonts w:ascii="Times New Roman" w:hAnsi="Times New Roman"/>
          <w:sz w:val="20"/>
          <w:szCs w:val="20"/>
        </w:rPr>
        <w:t>otrzeb</w:t>
      </w:r>
      <w:r>
        <w:rPr>
          <w:rFonts w:ascii="Times New Roman" w:hAnsi="Times New Roman"/>
          <w:sz w:val="20"/>
          <w:szCs w:val="20"/>
        </w:rPr>
        <w:t>y</w:t>
      </w:r>
      <w:r w:rsidRPr="00A522D7">
        <w:rPr>
          <w:rFonts w:ascii="Times New Roman" w:hAnsi="Times New Roman"/>
          <w:sz w:val="20"/>
          <w:szCs w:val="20"/>
        </w:rPr>
        <w:t xml:space="preserve"> pożyczkow</w:t>
      </w:r>
      <w:r>
        <w:rPr>
          <w:rFonts w:ascii="Times New Roman" w:hAnsi="Times New Roman"/>
          <w:sz w:val="20"/>
          <w:szCs w:val="20"/>
        </w:rPr>
        <w:t>e</w:t>
      </w:r>
      <w:r w:rsidRPr="00A522D7">
        <w:rPr>
          <w:rFonts w:ascii="Times New Roman" w:hAnsi="Times New Roman"/>
          <w:sz w:val="20"/>
          <w:szCs w:val="20"/>
        </w:rPr>
        <w:t xml:space="preserve"> netto budżetu państwa ukształtował</w:t>
      </w:r>
      <w:r>
        <w:rPr>
          <w:rFonts w:ascii="Times New Roman" w:hAnsi="Times New Roman"/>
          <w:sz w:val="20"/>
          <w:szCs w:val="20"/>
        </w:rPr>
        <w:t>y</w:t>
      </w:r>
      <w:r w:rsidRPr="00A522D7">
        <w:rPr>
          <w:rFonts w:ascii="Times New Roman" w:hAnsi="Times New Roman"/>
          <w:sz w:val="20"/>
          <w:szCs w:val="20"/>
        </w:rPr>
        <w:t xml:space="preserve"> się na poziomie 4,3 mld zł. Było to wypadkową:</w:t>
      </w:r>
    </w:p>
    <w:p w14:paraId="0545C03D" w14:textId="77777777" w:rsidR="00AC2363" w:rsidRPr="00C05403" w:rsidRDefault="00AC2363" w:rsidP="00007B69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potrzeb z tytułu </w:t>
      </w:r>
      <w:r w:rsidRPr="00A522D7">
        <w:rPr>
          <w:rFonts w:ascii="Times New Roman" w:hAnsi="Times New Roman"/>
          <w:sz w:val="20"/>
          <w:szCs w:val="20"/>
        </w:rPr>
        <w:t>zarządzania płynnością sektora finansów publicznych (</w:t>
      </w:r>
      <w:r>
        <w:rPr>
          <w:rFonts w:ascii="Times New Roman" w:hAnsi="Times New Roman"/>
          <w:sz w:val="20"/>
          <w:szCs w:val="20"/>
        </w:rPr>
        <w:t>11,3</w:t>
      </w:r>
      <w:r w:rsidRPr="00A522D7">
        <w:rPr>
          <w:rFonts w:ascii="Times New Roman" w:hAnsi="Times New Roman"/>
          <w:sz w:val="20"/>
          <w:szCs w:val="20"/>
        </w:rPr>
        <w:t xml:space="preserve"> mld zł)</w:t>
      </w:r>
      <w:r>
        <w:rPr>
          <w:rFonts w:ascii="Times New Roman" w:hAnsi="Times New Roman"/>
          <w:sz w:val="20"/>
          <w:szCs w:val="20"/>
        </w:rPr>
        <w:t xml:space="preserve">, </w:t>
      </w:r>
      <w:r w:rsidRPr="00A522D7">
        <w:rPr>
          <w:rFonts w:ascii="Times New Roman" w:hAnsi="Times New Roman"/>
          <w:sz w:val="20"/>
          <w:szCs w:val="20"/>
        </w:rPr>
        <w:t>deficyt</w:t>
      </w:r>
      <w:r>
        <w:rPr>
          <w:rFonts w:ascii="Times New Roman" w:hAnsi="Times New Roman"/>
          <w:sz w:val="20"/>
          <w:szCs w:val="20"/>
        </w:rPr>
        <w:t>u</w:t>
      </w:r>
      <w:r w:rsidRPr="00A522D7">
        <w:rPr>
          <w:rFonts w:ascii="Times New Roman" w:hAnsi="Times New Roman"/>
          <w:sz w:val="20"/>
          <w:szCs w:val="20"/>
        </w:rPr>
        <w:t xml:space="preserve"> budżetu państwa</w:t>
      </w:r>
      <w:r>
        <w:rPr>
          <w:rFonts w:ascii="Times New Roman" w:hAnsi="Times New Roman"/>
          <w:sz w:val="20"/>
          <w:szCs w:val="20"/>
        </w:rPr>
        <w:t xml:space="preserve"> (0,3 mld zł) oraz udzielonych </w:t>
      </w:r>
      <w:r w:rsidRPr="00C05403">
        <w:rPr>
          <w:rFonts w:ascii="Times New Roman" w:hAnsi="Times New Roman"/>
          <w:sz w:val="20"/>
          <w:szCs w:val="20"/>
        </w:rPr>
        <w:t>kredyt</w:t>
      </w:r>
      <w:r>
        <w:rPr>
          <w:rFonts w:ascii="Times New Roman" w:hAnsi="Times New Roman"/>
          <w:sz w:val="20"/>
          <w:szCs w:val="20"/>
        </w:rPr>
        <w:t>ów</w:t>
      </w:r>
      <w:r w:rsidRPr="00C05403">
        <w:rPr>
          <w:rFonts w:ascii="Times New Roman" w:hAnsi="Times New Roman"/>
          <w:sz w:val="20"/>
          <w:szCs w:val="20"/>
        </w:rPr>
        <w:t xml:space="preserve"> i pożycz</w:t>
      </w:r>
      <w:r>
        <w:rPr>
          <w:rFonts w:ascii="Times New Roman" w:hAnsi="Times New Roman"/>
          <w:sz w:val="20"/>
          <w:szCs w:val="20"/>
        </w:rPr>
        <w:t>e</w:t>
      </w:r>
      <w:r w:rsidRPr="00C05403">
        <w:rPr>
          <w:rFonts w:ascii="Times New Roman" w:hAnsi="Times New Roman"/>
          <w:sz w:val="20"/>
          <w:szCs w:val="20"/>
        </w:rPr>
        <w:t xml:space="preserve">k </w:t>
      </w:r>
      <w:r>
        <w:rPr>
          <w:rFonts w:ascii="Times New Roman" w:hAnsi="Times New Roman"/>
          <w:sz w:val="20"/>
          <w:szCs w:val="20"/>
        </w:rPr>
        <w:t>(0,1 mld zł)</w:t>
      </w:r>
      <w:r w:rsidRPr="00C05403">
        <w:rPr>
          <w:rFonts w:ascii="Times New Roman" w:hAnsi="Times New Roman"/>
          <w:sz w:val="20"/>
          <w:szCs w:val="20"/>
        </w:rPr>
        <w:t>,</w:t>
      </w:r>
    </w:p>
    <w:p w14:paraId="5FEC946A" w14:textId="77777777" w:rsidR="00AC2363" w:rsidRPr="00A522D7" w:rsidRDefault="00AC2363" w:rsidP="00007B69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</w:t>
      </w:r>
      <w:r w:rsidRPr="00A522D7">
        <w:rPr>
          <w:rFonts w:ascii="Times New Roman" w:hAnsi="Times New Roman"/>
          <w:sz w:val="20"/>
          <w:szCs w:val="20"/>
        </w:rPr>
        <w:t xml:space="preserve">pomniejszenia potrzeb w wysokości 7,3 mld zł w wyniku dodatniego salda zarządzania środkami europejskimi (6,9 mld zł) i pozostałych pozycji (0,4 mld zł).  </w:t>
      </w:r>
    </w:p>
    <w:p w14:paraId="12067F73" w14:textId="77777777" w:rsidR="00AC2363" w:rsidRPr="00F0674C" w:rsidRDefault="00AC2363" w:rsidP="00007B69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CF45ED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59,7 mld zł, w tym krajowego 59,2 mld zł i zagranicznego 0,5 mld zł. </w:t>
      </w:r>
      <w:r w:rsidRPr="00CF45ED">
        <w:rPr>
          <w:rFonts w:ascii="Times New Roman" w:hAnsi="Times New Roman"/>
          <w:b/>
          <w:sz w:val="20"/>
          <w:szCs w:val="20"/>
        </w:rPr>
        <w:t>Potrzeby pożyczkowe brutto</w:t>
      </w:r>
      <w:r w:rsidRPr="00CF45ED">
        <w:rPr>
          <w:rFonts w:ascii="Times New Roman" w:hAnsi="Times New Roman"/>
          <w:sz w:val="20"/>
          <w:szCs w:val="20"/>
        </w:rPr>
        <w:t>, tj. suma potrzeb netto i długu przypadającego do wykupu, wyniosły 64,0 mld zł. Po uwzględnieniu odkupów wykup długu wyniósł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45ED">
        <w:rPr>
          <w:rFonts w:ascii="Times New Roman" w:hAnsi="Times New Roman"/>
          <w:sz w:val="20"/>
          <w:szCs w:val="20"/>
        </w:rPr>
        <w:t>53,7</w:t>
      </w:r>
      <w:r>
        <w:rPr>
          <w:rFonts w:ascii="Times New Roman" w:hAnsi="Times New Roman"/>
          <w:sz w:val="20"/>
          <w:szCs w:val="20"/>
        </w:rPr>
        <w:t> </w:t>
      </w:r>
      <w:r w:rsidRPr="00CF45ED">
        <w:rPr>
          <w:rFonts w:ascii="Times New Roman" w:hAnsi="Times New Roman"/>
          <w:sz w:val="20"/>
          <w:szCs w:val="20"/>
        </w:rPr>
        <w:t>mld</w:t>
      </w:r>
      <w:r>
        <w:rPr>
          <w:rFonts w:ascii="Times New Roman" w:hAnsi="Times New Roman"/>
          <w:sz w:val="20"/>
          <w:szCs w:val="20"/>
        </w:rPr>
        <w:t> </w:t>
      </w:r>
      <w:r w:rsidRPr="00CF45ED">
        <w:rPr>
          <w:rFonts w:ascii="Times New Roman" w:hAnsi="Times New Roman"/>
          <w:sz w:val="20"/>
          <w:szCs w:val="20"/>
        </w:rPr>
        <w:t>zł (w tym krajowego 53,2 mld zł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45ED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 </w:t>
      </w:r>
      <w:r w:rsidRPr="00F0674C">
        <w:rPr>
          <w:rFonts w:ascii="Times New Roman" w:hAnsi="Times New Roman"/>
          <w:sz w:val="20"/>
          <w:szCs w:val="20"/>
        </w:rPr>
        <w:t>zagranicznego 0,5 mld zł).</w:t>
      </w:r>
    </w:p>
    <w:p w14:paraId="1E54298F" w14:textId="77777777" w:rsidR="00AC2363" w:rsidRPr="00F0674C" w:rsidRDefault="00AC2363" w:rsidP="00007B69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F0674C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14:paraId="1DCB1111" w14:textId="77777777" w:rsidR="00AC2363" w:rsidRPr="00F0674C" w:rsidRDefault="00AC2363" w:rsidP="00007B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0674C">
        <w:rPr>
          <w:rFonts w:ascii="Times New Roman" w:hAnsi="Times New Roman"/>
          <w:sz w:val="20"/>
          <w:szCs w:val="20"/>
        </w:rPr>
        <w:lastRenderedPageBreak/>
        <w:t>na rynku krajowym środki pozyskano z emisji:</w:t>
      </w:r>
    </w:p>
    <w:p w14:paraId="125A82E9" w14:textId="77777777" w:rsidR="00AC2363" w:rsidRPr="00F0674C" w:rsidRDefault="00AC2363" w:rsidP="00007B69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0674C">
        <w:rPr>
          <w:rFonts w:ascii="Times New Roman" w:hAnsi="Times New Roman"/>
          <w:sz w:val="20"/>
          <w:szCs w:val="20"/>
        </w:rPr>
        <w:t xml:space="preserve">obligacji hurtowych: 22,5 mld zł, </w:t>
      </w:r>
    </w:p>
    <w:p w14:paraId="355CCDEE" w14:textId="77777777" w:rsidR="00AC2363" w:rsidRPr="00F0674C" w:rsidRDefault="00AC2363" w:rsidP="00007B69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0674C">
        <w:rPr>
          <w:rFonts w:ascii="Times New Roman" w:hAnsi="Times New Roman"/>
          <w:sz w:val="20"/>
          <w:szCs w:val="20"/>
        </w:rPr>
        <w:t>obligacji detalicznych: 18,5 mld zł (bez obligacji sprzedanych i wykupionych w 2022 r.),</w:t>
      </w:r>
    </w:p>
    <w:p w14:paraId="44550086" w14:textId="77777777" w:rsidR="00AC2363" w:rsidRPr="00C9663E" w:rsidRDefault="00AC2363" w:rsidP="00007B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C9663E">
        <w:rPr>
          <w:rFonts w:ascii="Times New Roman" w:hAnsi="Times New Roman"/>
          <w:sz w:val="20"/>
          <w:szCs w:val="20"/>
        </w:rPr>
        <w:t>n</w:t>
      </w:r>
      <w:r w:rsidRPr="00C9663E">
        <w:rPr>
          <w:rFonts w:ascii="Times New Roman" w:hAnsi="Times New Roman" w:cs="Arial"/>
          <w:sz w:val="20"/>
          <w:szCs w:val="20"/>
        </w:rPr>
        <w:t xml:space="preserve">a rynkach </w:t>
      </w:r>
      <w:r w:rsidRPr="00C9663E">
        <w:rPr>
          <w:rFonts w:ascii="Times New Roman" w:hAnsi="Times New Roman"/>
          <w:sz w:val="20"/>
          <w:szCs w:val="20"/>
        </w:rPr>
        <w:t>zagranicznych</w:t>
      </w:r>
      <w:r w:rsidRPr="00C9663E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0C01DF16" w14:textId="77777777" w:rsidR="00AC2363" w:rsidRPr="00C9663E" w:rsidRDefault="00AC2363" w:rsidP="00007B69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C9663E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C9663E">
        <w:rPr>
          <w:rFonts w:ascii="Times New Roman" w:hAnsi="Times New Roman" w:cs="Arial"/>
          <w:sz w:val="20"/>
          <w:szCs w:val="20"/>
        </w:rPr>
        <w:t>: 7,2 mld zł (1,5 mld EUR).</w:t>
      </w:r>
    </w:p>
    <w:p w14:paraId="773AD621" w14:textId="77777777" w:rsidR="00007B69" w:rsidRDefault="00007B69" w:rsidP="00007B69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Y="-51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515"/>
        <w:gridCol w:w="38"/>
      </w:tblGrid>
      <w:tr w:rsidR="00007B69" w:rsidRPr="009F4A19" w14:paraId="4FF306B8" w14:textId="77777777" w:rsidTr="00007B69">
        <w:trPr>
          <w:gridAfter w:val="1"/>
          <w:wAfter w:w="38" w:type="dxa"/>
          <w:trHeight w:val="568"/>
        </w:trPr>
        <w:tc>
          <w:tcPr>
            <w:tcW w:w="4515" w:type="dxa"/>
          </w:tcPr>
          <w:p w14:paraId="0B517B47" w14:textId="77777777" w:rsidR="00007B69" w:rsidRPr="00AC2363" w:rsidRDefault="00007B69" w:rsidP="00007B69">
            <w:pPr>
              <w:keepNext/>
              <w:spacing w:before="120" w:after="0" w:line="288" w:lineRule="auto"/>
              <w:rPr>
                <w:bCs/>
                <w:sz w:val="18"/>
                <w:szCs w:val="18"/>
              </w:rPr>
            </w:pPr>
            <w:r w:rsidRPr="00AC2363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007B69" w:rsidRPr="009F4A19" w14:paraId="2366E565" w14:textId="77777777" w:rsidTr="00007B69">
        <w:trPr>
          <w:trHeight w:val="1736"/>
        </w:trPr>
        <w:tc>
          <w:tcPr>
            <w:tcW w:w="4553" w:type="dxa"/>
            <w:gridSpan w:val="2"/>
          </w:tcPr>
          <w:p w14:paraId="395595F7" w14:textId="77777777" w:rsidR="00007B69" w:rsidRPr="00AC2363" w:rsidRDefault="00007B69" w:rsidP="00007B69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 w:rsidRPr="00AC2363">
              <w:rPr>
                <w:noProof/>
              </w:rPr>
              <w:drawing>
                <wp:inline distT="0" distB="0" distL="0" distR="0" wp14:anchorId="543F0052" wp14:editId="3267C5D8">
                  <wp:extent cx="2802255" cy="1979295"/>
                  <wp:effectExtent l="0" t="0" r="0" b="1905"/>
                  <wp:docPr id="10" name="Obraz 9" descr="Wykres przedstawia rentowności skarbowych papierów wartościowych na rynku wtórnym w podziale na 2-letnie, 5-letnie i 10-letnie, w okresie od października 2020 do września 2022 roku. Dane szczegółowe dostępne w Aneksie statystycznym, na końcu opracowania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55" cy="19792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B69" w:rsidRPr="009F4A19" w14:paraId="38273C3F" w14:textId="77777777" w:rsidTr="00007B69">
        <w:trPr>
          <w:gridAfter w:val="1"/>
          <w:wAfter w:w="38" w:type="dxa"/>
          <w:trHeight w:val="144"/>
        </w:trPr>
        <w:tc>
          <w:tcPr>
            <w:tcW w:w="4515" w:type="dxa"/>
          </w:tcPr>
          <w:p w14:paraId="3D7B242A" w14:textId="77777777" w:rsidR="00007B69" w:rsidRPr="00AC2363" w:rsidRDefault="00007B69" w:rsidP="00007B69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 w:rsidRPr="00AC2363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3ED810A1" w14:textId="77777777" w:rsidR="00AC2363" w:rsidRPr="002A3BA1" w:rsidRDefault="00AC2363" w:rsidP="00007B69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2A3BA1">
        <w:rPr>
          <w:rFonts w:ascii="Times New Roman" w:hAnsi="Times New Roman"/>
          <w:sz w:val="20"/>
          <w:szCs w:val="20"/>
        </w:rPr>
        <w:t>W III kw. 2022 r. nastąpił:</w:t>
      </w:r>
    </w:p>
    <w:p w14:paraId="0202CED4" w14:textId="77777777" w:rsidR="00AC2363" w:rsidRPr="00AB7ED2" w:rsidRDefault="00AC2363" w:rsidP="00007B69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AB7ED2">
        <w:rPr>
          <w:rFonts w:ascii="Times New Roman" w:hAnsi="Times New Roman"/>
          <w:sz w:val="20"/>
          <w:szCs w:val="20"/>
        </w:rPr>
        <w:t>w zakresie sytuacji płynnościowej budżetu państwa:</w:t>
      </w:r>
    </w:p>
    <w:p w14:paraId="40C5426E" w14:textId="77777777" w:rsidR="00AC2363" w:rsidRPr="00F0354C" w:rsidRDefault="00AC2363" w:rsidP="00007B69">
      <w:pPr>
        <w:pStyle w:val="Akapitzlist"/>
        <w:spacing w:after="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AB7ED2">
        <w:rPr>
          <w:rFonts w:ascii="Times New Roman" w:hAnsi="Times New Roman"/>
          <w:sz w:val="20"/>
          <w:szCs w:val="20"/>
        </w:rPr>
        <w:t xml:space="preserve">spadek środków na rachunkach budżetowych </w:t>
      </w:r>
      <w:r w:rsidRPr="00F0354C">
        <w:rPr>
          <w:rFonts w:ascii="Times New Roman" w:hAnsi="Times New Roman"/>
          <w:sz w:val="20"/>
          <w:szCs w:val="20"/>
        </w:rPr>
        <w:t xml:space="preserve">o 11,0 mld zł do 128,5 mld zł, </w:t>
      </w:r>
    </w:p>
    <w:p w14:paraId="6A923E44" w14:textId="77777777" w:rsidR="00AC2363" w:rsidRPr="00F0354C" w:rsidRDefault="00AC2363" w:rsidP="00007B69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0354C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076BB26A" w14:textId="77777777" w:rsidR="00AC2363" w:rsidRPr="00C36597" w:rsidRDefault="00AC2363" w:rsidP="00007B69">
      <w:pPr>
        <w:pStyle w:val="Akapitzlist"/>
        <w:spacing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F0354C">
        <w:rPr>
          <w:rFonts w:ascii="Times New Roman" w:hAnsi="Times New Roman"/>
          <w:sz w:val="20"/>
          <w:szCs w:val="20"/>
        </w:rPr>
        <w:t xml:space="preserve">spadek zadłużenia wobec banków o 20,4 mld zł,  </w:t>
      </w:r>
      <w:r w:rsidRPr="00C36597">
        <w:rPr>
          <w:rFonts w:ascii="Times New Roman" w:hAnsi="Times New Roman"/>
          <w:sz w:val="20"/>
          <w:szCs w:val="20"/>
        </w:rPr>
        <w:t xml:space="preserve">wzrost zadłużenia wobec krajowego sektora </w:t>
      </w:r>
      <w:proofErr w:type="spellStart"/>
      <w:r w:rsidRPr="00C36597">
        <w:rPr>
          <w:rFonts w:ascii="Times New Roman" w:hAnsi="Times New Roman"/>
          <w:sz w:val="20"/>
          <w:szCs w:val="20"/>
        </w:rPr>
        <w:t>pozabankowego</w:t>
      </w:r>
      <w:proofErr w:type="spellEnd"/>
      <w:r w:rsidRPr="00C36597">
        <w:rPr>
          <w:rFonts w:ascii="Times New Roman" w:hAnsi="Times New Roman"/>
          <w:sz w:val="20"/>
          <w:szCs w:val="20"/>
        </w:rPr>
        <w:t xml:space="preserve"> o 7,6 mld zł oraz nierezydentów o 2,0 mld zł,</w:t>
      </w:r>
    </w:p>
    <w:p w14:paraId="49A83BB6" w14:textId="77777777" w:rsidR="00AC2363" w:rsidRPr="00C36597" w:rsidRDefault="00AC2363" w:rsidP="00007B69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C36597">
        <w:rPr>
          <w:rFonts w:ascii="Times New Roman" w:hAnsi="Times New Roman"/>
          <w:sz w:val="20"/>
          <w:szCs w:val="20"/>
        </w:rPr>
        <w:t>na rynku polskich obligacji:</w:t>
      </w:r>
    </w:p>
    <w:p w14:paraId="56079F97" w14:textId="77777777" w:rsidR="00AC2363" w:rsidRPr="00C36597" w:rsidRDefault="00AC2363" w:rsidP="00007B69">
      <w:pPr>
        <w:widowControl w:val="0"/>
        <w:numPr>
          <w:ilvl w:val="0"/>
          <w:numId w:val="12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C36597">
        <w:rPr>
          <w:rFonts w:ascii="Times New Roman" w:hAnsi="Times New Roman"/>
          <w:sz w:val="20"/>
          <w:szCs w:val="20"/>
        </w:rPr>
        <w:t>na rynku krajowym: spadek rentowności obligacji na krótkim końcu krzywej dochodowości, stabilizacja na środku oraz wzrost na długim końcu krzywej - na koniec kwartału rentowności</w:t>
      </w:r>
      <w:r w:rsidRPr="00C36597" w:rsidDel="0064738C">
        <w:rPr>
          <w:rFonts w:ascii="Times New Roman" w:hAnsi="Times New Roman"/>
          <w:sz w:val="20"/>
          <w:szCs w:val="20"/>
        </w:rPr>
        <w:t xml:space="preserve"> </w:t>
      </w:r>
      <w:r w:rsidRPr="00C36597">
        <w:rPr>
          <w:rFonts w:ascii="Times New Roman" w:hAnsi="Times New Roman"/>
          <w:sz w:val="20"/>
          <w:szCs w:val="20"/>
        </w:rPr>
        <w:t>obligacji 2-, 5- i 10-letnich wyniosły odpowiednio 7,4% (</w:t>
      </w:r>
      <w:r w:rsidRPr="00C36597">
        <w:rPr>
          <w:rFonts w:ascii="Times New Roman" w:hAnsi="Times New Roman"/>
          <w:sz w:val="20"/>
          <w:szCs w:val="20"/>
        </w:rPr>
        <w:noBreakHyphen/>
        <w:t xml:space="preserve">0,5 </w:t>
      </w:r>
      <w:proofErr w:type="spellStart"/>
      <w:r w:rsidRPr="00C36597">
        <w:rPr>
          <w:rFonts w:ascii="Times New Roman" w:hAnsi="Times New Roman"/>
          <w:sz w:val="20"/>
          <w:szCs w:val="20"/>
        </w:rPr>
        <w:t>p.p</w:t>
      </w:r>
      <w:proofErr w:type="spellEnd"/>
      <w:r w:rsidRPr="00C36597">
        <w:rPr>
          <w:rFonts w:ascii="Times New Roman" w:hAnsi="Times New Roman"/>
          <w:sz w:val="20"/>
          <w:szCs w:val="20"/>
        </w:rPr>
        <w:t>.), 7,4% (</w:t>
      </w:r>
      <w:proofErr w:type="spellStart"/>
      <w:r w:rsidRPr="00C36597">
        <w:rPr>
          <w:rFonts w:ascii="Times New Roman" w:hAnsi="Times New Roman"/>
          <w:sz w:val="20"/>
          <w:szCs w:val="20"/>
        </w:rPr>
        <w:t>bz</w:t>
      </w:r>
      <w:proofErr w:type="spellEnd"/>
      <w:r w:rsidRPr="00C36597">
        <w:rPr>
          <w:rFonts w:ascii="Times New Roman" w:hAnsi="Times New Roman"/>
          <w:sz w:val="20"/>
          <w:szCs w:val="20"/>
        </w:rPr>
        <w:t xml:space="preserve">) oraz 7,1% (+0,2 </w:t>
      </w:r>
      <w:proofErr w:type="spellStart"/>
      <w:r w:rsidRPr="00C36597">
        <w:rPr>
          <w:rFonts w:ascii="Times New Roman" w:hAnsi="Times New Roman"/>
          <w:sz w:val="20"/>
          <w:szCs w:val="20"/>
        </w:rPr>
        <w:t>p.p</w:t>
      </w:r>
      <w:proofErr w:type="spellEnd"/>
      <w:r w:rsidRPr="00C36597">
        <w:rPr>
          <w:rFonts w:ascii="Times New Roman" w:hAnsi="Times New Roman"/>
          <w:sz w:val="20"/>
          <w:szCs w:val="20"/>
        </w:rPr>
        <w:t>.),</w:t>
      </w:r>
    </w:p>
    <w:p w14:paraId="7D8241F6" w14:textId="77777777" w:rsidR="00AC2363" w:rsidRPr="00C36597" w:rsidRDefault="00AC2363" w:rsidP="00007B69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C36597">
        <w:rPr>
          <w:rFonts w:ascii="Times New Roman" w:hAnsi="Times New Roman"/>
          <w:sz w:val="20"/>
          <w:szCs w:val="20"/>
        </w:rPr>
        <w:t>na rynku obligacji w euro: wzrost rentowności obligacji wzdłuż całej krzywej - na koniec kwartału rentowności obligacji 2</w:t>
      </w:r>
      <w:r w:rsidRPr="00C36597">
        <w:rPr>
          <w:rFonts w:ascii="Times New Roman" w:hAnsi="Times New Roman"/>
          <w:sz w:val="20"/>
          <w:szCs w:val="20"/>
        </w:rPr>
        <w:noBreakHyphen/>
        <w:t>, 5- i 10</w:t>
      </w:r>
      <w:r w:rsidRPr="00C36597">
        <w:rPr>
          <w:rFonts w:ascii="Times New Roman" w:hAnsi="Times New Roman"/>
          <w:sz w:val="20"/>
          <w:szCs w:val="20"/>
        </w:rPr>
        <w:noBreakHyphen/>
        <w:t xml:space="preserve">letnich </w:t>
      </w:r>
      <w:r w:rsidRPr="00C36597">
        <w:rPr>
          <w:rFonts w:ascii="Times New Roman" w:hAnsi="Times New Roman"/>
          <w:sz w:val="20"/>
          <w:szCs w:val="20"/>
        </w:rPr>
        <w:t>wyniosły odpowie</w:t>
      </w:r>
      <w:r w:rsidRPr="00C36597">
        <w:rPr>
          <w:rFonts w:ascii="Times New Roman" w:hAnsi="Times New Roman"/>
          <w:sz w:val="20"/>
          <w:szCs w:val="20"/>
        </w:rPr>
        <w:softHyphen/>
        <w:t xml:space="preserve">dnio 3,5% (+1,2 </w:t>
      </w:r>
      <w:proofErr w:type="spellStart"/>
      <w:r w:rsidRPr="00C36597">
        <w:rPr>
          <w:rFonts w:ascii="Times New Roman" w:hAnsi="Times New Roman"/>
          <w:sz w:val="20"/>
          <w:szCs w:val="20"/>
        </w:rPr>
        <w:t>p.p</w:t>
      </w:r>
      <w:proofErr w:type="spellEnd"/>
      <w:r w:rsidRPr="00C36597">
        <w:rPr>
          <w:rFonts w:ascii="Times New Roman" w:hAnsi="Times New Roman"/>
          <w:sz w:val="20"/>
          <w:szCs w:val="20"/>
        </w:rPr>
        <w:t xml:space="preserve">.), 3,8% (+1,2 </w:t>
      </w:r>
      <w:proofErr w:type="spellStart"/>
      <w:r w:rsidRPr="00C36597">
        <w:rPr>
          <w:rFonts w:ascii="Times New Roman" w:hAnsi="Times New Roman"/>
          <w:sz w:val="20"/>
          <w:szCs w:val="20"/>
        </w:rPr>
        <w:t>p.p</w:t>
      </w:r>
      <w:proofErr w:type="spellEnd"/>
      <w:r w:rsidRPr="00C36597">
        <w:rPr>
          <w:rFonts w:ascii="Times New Roman" w:hAnsi="Times New Roman"/>
          <w:sz w:val="20"/>
          <w:szCs w:val="20"/>
        </w:rPr>
        <w:t xml:space="preserve">.) oraz 4,6% (+1,0 </w:t>
      </w:r>
      <w:proofErr w:type="spellStart"/>
      <w:r w:rsidRPr="00C36597">
        <w:rPr>
          <w:rFonts w:ascii="Times New Roman" w:hAnsi="Times New Roman"/>
          <w:sz w:val="20"/>
          <w:szCs w:val="20"/>
        </w:rPr>
        <w:t>p.p</w:t>
      </w:r>
      <w:proofErr w:type="spellEnd"/>
      <w:r w:rsidRPr="00C36597">
        <w:rPr>
          <w:rFonts w:ascii="Times New Roman" w:hAnsi="Times New Roman"/>
          <w:sz w:val="20"/>
          <w:szCs w:val="20"/>
        </w:rPr>
        <w:t xml:space="preserve">.). </w:t>
      </w:r>
    </w:p>
    <w:p w14:paraId="605334FF" w14:textId="3530DDF6" w:rsidR="00A256F7" w:rsidRPr="009F4A19" w:rsidRDefault="00A256F7" w:rsidP="001A3883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0AF5DD5" w14:textId="77777777" w:rsidR="00275418" w:rsidRPr="00041BF6" w:rsidRDefault="00275418" w:rsidP="00275418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52AF84A0" w14:textId="77777777" w:rsidR="00C61EE3" w:rsidRPr="00041BF6" w:rsidRDefault="00C61EE3">
      <w:pPr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27FDC92" w14:textId="77777777" w:rsidR="00C61EE3" w:rsidRPr="00041BF6" w:rsidRDefault="00C61EE3">
      <w:pPr>
        <w:spacing w:after="0" w:line="288" w:lineRule="auto"/>
        <w:jc w:val="both"/>
        <w:rPr>
          <w:rFonts w:ascii="Arial" w:hAnsi="Arial" w:cs="Arial"/>
          <w:sz w:val="18"/>
          <w:szCs w:val="18"/>
          <w:highlight w:val="yellow"/>
        </w:rPr>
        <w:sectPr w:rsidR="00C61EE3" w:rsidRPr="00041BF6">
          <w:headerReference w:type="default" r:id="rId31"/>
          <w:headerReference w:type="first" r:id="rId32"/>
          <w:pgSz w:w="11907" w:h="16839"/>
          <w:pgMar w:top="1701" w:right="992" w:bottom="1418" w:left="1134" w:header="709" w:footer="975" w:gutter="0"/>
          <w:cols w:num="2" w:space="709"/>
          <w:titlePg/>
        </w:sectPr>
      </w:pPr>
    </w:p>
    <w:p w14:paraId="0F72788B" w14:textId="57B6BB3D" w:rsidR="00C61EE3" w:rsidRPr="0008606D" w:rsidRDefault="002122F5" w:rsidP="0008606D">
      <w:pPr>
        <w:spacing w:after="280"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lastRenderedPageBreak/>
        <w:drawing>
          <wp:inline distT="0" distB="0" distL="0" distR="0" wp14:anchorId="1839F625" wp14:editId="2B3CA327">
            <wp:extent cx="1070904" cy="11201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11" cy="112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73780" w14:textId="53E1E6A1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1F68FC86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19AC5E0C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04A0C323" w14:textId="77777777" w:rsidR="00C61EE3" w:rsidRPr="0008606D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266AC1D9" w14:textId="77777777" w:rsidR="00C61EE3" w:rsidRPr="0008606D" w:rsidRDefault="00B51A6E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3" w:name="_Toc126047149"/>
      <w:r w:rsidRPr="0008606D">
        <w:rPr>
          <w:rFonts w:ascii="Arial" w:hAnsi="Arial" w:cs="Arial"/>
          <w:color w:val="E31837"/>
          <w:sz w:val="40"/>
          <w:szCs w:val="40"/>
        </w:rPr>
        <w:t>ANEKS  STATYSTYCZNY</w:t>
      </w:r>
      <w:bookmarkEnd w:id="13"/>
      <w:r w:rsidRPr="000860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08606D">
        <w:rPr>
          <w:rFonts w:ascii="Arial" w:hAnsi="Arial" w:cs="Arial"/>
          <w:color w:val="E31837"/>
          <w:sz w:val="40"/>
          <w:szCs w:val="40"/>
        </w:rPr>
        <w:br/>
      </w:r>
    </w:p>
    <w:p w14:paraId="689B7B25" w14:textId="77777777" w:rsidR="00C61EE3" w:rsidRPr="0008606D" w:rsidRDefault="00C61EE3"/>
    <w:p w14:paraId="2FD02810" w14:textId="77777777" w:rsidR="00C61EE3" w:rsidRPr="0008606D" w:rsidRDefault="00C61EE3"/>
    <w:p w14:paraId="5F9DBDAF" w14:textId="77777777" w:rsidR="00C61EE3" w:rsidRPr="0008606D" w:rsidRDefault="00C61EE3"/>
    <w:p w14:paraId="4182D48A" w14:textId="77777777" w:rsidR="00C61EE3" w:rsidRPr="0008606D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08606D"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14:paraId="53209689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Podstawowe wskaźniki makroekonomiczne</w:t>
      </w:r>
    </w:p>
    <w:p w14:paraId="243BEEE5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2- 5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ESA 2010) sektor instytucji rządowych i samorządowych</w:t>
      </w:r>
    </w:p>
    <w:p w14:paraId="2A489AF6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6- 9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sprawozdawczości krajowej) budżet państwa</w:t>
      </w:r>
    </w:p>
    <w:p w14:paraId="3E6DAC0E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10- 12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14:paraId="106E6304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13- 19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14:paraId="75D94054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20- 22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metodologii GFSM2001) </w:t>
      </w:r>
    </w:p>
    <w:p w14:paraId="2A85D958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23- 24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Zadłużenie sektora instytucji rządowych i samorządowych (wg. ESA 2010)</w:t>
      </w:r>
    </w:p>
    <w:p w14:paraId="6BEFBE23" w14:textId="77777777" w:rsidR="00C61EE3" w:rsidRPr="0008606D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25- 26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Państwowy Dług Publiczny</w:t>
      </w:r>
    </w:p>
    <w:p w14:paraId="675E3541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08606D">
        <w:rPr>
          <w:rFonts w:ascii="Arial" w:hAnsi="Arial" w:cs="Arial"/>
          <w:b/>
          <w:color w:val="ADAFB2"/>
          <w:sz w:val="20"/>
          <w:szCs w:val="20"/>
        </w:rPr>
        <w:t>Tablice 27- 28</w:t>
      </w:r>
      <w:r w:rsidRPr="0008606D"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Zadłużenie Skarbu Państwa</w:t>
      </w:r>
    </w:p>
    <w:sectPr w:rsidR="00C61EE3">
      <w:pgSz w:w="11907" w:h="16839"/>
      <w:pgMar w:top="1701" w:right="992" w:bottom="1418" w:left="1134" w:header="709" w:footer="975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C4C83" w14:textId="77777777" w:rsidR="00AA528B" w:rsidRDefault="00AA528B">
      <w:pPr>
        <w:spacing w:after="0" w:line="240" w:lineRule="auto"/>
      </w:pPr>
      <w:r>
        <w:separator/>
      </w:r>
    </w:p>
  </w:endnote>
  <w:endnote w:type="continuationSeparator" w:id="0">
    <w:p w14:paraId="36EF9214" w14:textId="77777777" w:rsidR="00AA528B" w:rsidRDefault="00AA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P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AFA4D" w14:textId="77777777" w:rsidR="00C61EE3" w:rsidRDefault="00B51A6E">
    <w:pPr>
      <w:pStyle w:val="Stopka"/>
      <w:rPr>
        <w:color w:val="ADAFB2"/>
      </w:rPr>
    </w:pPr>
    <w:r>
      <w:rPr>
        <w:color w:val="ADAFB2"/>
      </w:rPr>
      <w:t xml:space="preserve">Informacja kwartalna 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431CCC">
      <w:rPr>
        <w:noProof/>
      </w:rPr>
      <w:t>9</w:t>
    </w:r>
    <w:r>
      <w:fldChar w:fldCharType="end"/>
    </w:r>
  </w:p>
  <w:p w14:paraId="7B112EFD" w14:textId="0066D3D1" w:rsidR="00C61EE3" w:rsidRDefault="00B51A6E">
    <w:pPr>
      <w:pStyle w:val="Stopka"/>
      <w:rPr>
        <w:color w:val="ADAFB2"/>
      </w:rPr>
    </w:pPr>
    <w:r>
      <w:rPr>
        <w:color w:val="ADAFB2"/>
      </w:rPr>
      <w:t xml:space="preserve">Nr </w:t>
    </w:r>
    <w:r w:rsidR="009F4A19">
      <w:rPr>
        <w:color w:val="ADAFB2"/>
      </w:rPr>
      <w:t>1</w:t>
    </w:r>
    <w:r>
      <w:rPr>
        <w:color w:val="ADAFB2"/>
      </w:rPr>
      <w:t xml:space="preserve"> / 202</w:t>
    </w:r>
    <w:r w:rsidR="009F4A19">
      <w:rPr>
        <w:color w:val="ADAFB2"/>
      </w:rPr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1C8D3" w14:textId="77777777" w:rsidR="00C61EE3" w:rsidRDefault="00C61EE3">
    <w:pPr>
      <w:pStyle w:val="Stopka"/>
      <w:rPr>
        <w:color w:val="ADAFB2"/>
      </w:rPr>
    </w:pPr>
  </w:p>
  <w:p w14:paraId="1A220E49" w14:textId="77777777" w:rsidR="00C61EE3" w:rsidRDefault="00B51A6E">
    <w:pPr>
      <w:pStyle w:val="Stopka"/>
      <w:rPr>
        <w:color w:val="ADAFB2"/>
      </w:rPr>
    </w:pPr>
    <w:r>
      <w:rPr>
        <w:color w:val="ADAFB2"/>
      </w:rPr>
      <w:t>Informacja kwartalna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431CCC">
      <w:rPr>
        <w:noProof/>
      </w:rPr>
      <w:t>10</w:t>
    </w:r>
    <w:r>
      <w:fldChar w:fldCharType="end"/>
    </w:r>
  </w:p>
  <w:p w14:paraId="278AD2E0" w14:textId="677642C6" w:rsidR="00C61EE3" w:rsidRDefault="00143CBD">
    <w:pPr>
      <w:pStyle w:val="Stopka"/>
      <w:rPr>
        <w:color w:val="ADAFB2"/>
      </w:rPr>
    </w:pPr>
    <w:r>
      <w:rPr>
        <w:color w:val="ADAFB2"/>
      </w:rPr>
      <w:t xml:space="preserve">Nr </w:t>
    </w:r>
    <w:r w:rsidR="009F4A19">
      <w:rPr>
        <w:color w:val="ADAFB2"/>
      </w:rPr>
      <w:t>1</w:t>
    </w:r>
    <w:r>
      <w:rPr>
        <w:color w:val="ADAFB2"/>
      </w:rPr>
      <w:t xml:space="preserve"> / 202</w:t>
    </w:r>
    <w:r w:rsidR="009F4A19">
      <w:rPr>
        <w:color w:val="ADAFB2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A5539" w14:textId="77777777" w:rsidR="00AA528B" w:rsidRDefault="00AA528B">
      <w:pPr>
        <w:spacing w:after="0" w:line="240" w:lineRule="auto"/>
      </w:pPr>
      <w:r>
        <w:separator/>
      </w:r>
    </w:p>
  </w:footnote>
  <w:footnote w:type="continuationSeparator" w:id="0">
    <w:p w14:paraId="79973CFF" w14:textId="77777777" w:rsidR="00AA528B" w:rsidRDefault="00AA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8C49A" w14:textId="77777777" w:rsidR="000A4D4E" w:rsidRDefault="000A4D4E" w:rsidP="000A4D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968" behindDoc="0" locked="0" layoutInCell="1" allowOverlap="1" wp14:anchorId="5D1B1592" wp14:editId="731762C5">
          <wp:simplePos x="0" y="0"/>
          <wp:positionH relativeFrom="column">
            <wp:posOffset>-1692275</wp:posOffset>
          </wp:positionH>
          <wp:positionV relativeFrom="paragraph">
            <wp:posOffset>-635</wp:posOffset>
          </wp:positionV>
          <wp:extent cx="1044000" cy="1090800"/>
          <wp:effectExtent l="0" t="0" r="381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3350C83" wp14:editId="052DDBA1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37C9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tQvgEAAGI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YvOPPCpRV9OkQo&#10;ldk8j2cM1KSsjd9hblBO/ik8gvxBzMNmEL5XJfn5FBK2IKpXkOxQOIMnjY5pa8L3nJrp0gTYVNZx&#10;uq5DTZHJdHl7s+RMpvuPN+8Xd8tlVlOJJpNkaECKnxU4lg8tp4jC9EPcgPdp7YDnAuL4SPEM/AXI&#10;YA9bY23ZvvVsLMXqoojAmi4Hcxphv99YZEeR3s/dNn8XFa/SEA6+OxexPol86Tmf9tCddpjD2UuL&#10;LG1cHl1+Kb/7Jevl11j/B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ATCBtQvgEAAGI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4B4F6164" wp14:editId="3F58121E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4EAD5" w14:textId="77777777" w:rsidR="000A4D4E" w:rsidRDefault="000A4D4E" w:rsidP="000A4D4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21A1EB1C" w14:textId="77777777" w:rsidR="000A4D4E" w:rsidRPr="0008606D" w:rsidRDefault="000A4D4E" w:rsidP="000A4D4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www.gov.pl/finase</w:t>
                          </w:r>
                        </w:p>
                        <w:p w14:paraId="5BC56338" w14:textId="77777777" w:rsidR="000A4D4E" w:rsidRDefault="000A4D4E" w:rsidP="000A4D4E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4F61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" filled="f" stroked="f">
              <v:textbox inset="0,0,0,0">
                <w:txbxContent>
                  <w:p w14:paraId="72B4EAD5" w14:textId="77777777" w:rsidR="000A4D4E" w:rsidRDefault="000A4D4E" w:rsidP="000A4D4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21A1EB1C" w14:textId="77777777" w:rsidR="000A4D4E" w:rsidRPr="0008606D" w:rsidRDefault="000A4D4E" w:rsidP="000A4D4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www.gov.pl/finase</w:t>
                    </w:r>
                  </w:p>
                  <w:p w14:paraId="5BC56338" w14:textId="77777777" w:rsidR="000A4D4E" w:rsidRDefault="000A4D4E" w:rsidP="000A4D4E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E571AC3" w14:textId="18F96374" w:rsidR="00B1505F" w:rsidRDefault="00B1505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B936" w14:textId="77C2E6B9" w:rsidR="00C61EE3" w:rsidRDefault="002122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0465ED80" wp14:editId="728121C6">
          <wp:simplePos x="0" y="0"/>
          <wp:positionH relativeFrom="column">
            <wp:posOffset>-1692275</wp:posOffset>
          </wp:positionH>
          <wp:positionV relativeFrom="paragraph">
            <wp:posOffset>-635</wp:posOffset>
          </wp:positionV>
          <wp:extent cx="1044000" cy="1090800"/>
          <wp:effectExtent l="0" t="0" r="381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A6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522F04" wp14:editId="33E29594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3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FB0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MlvgEAAGM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bfLDnzwqUdfTpE&#10;KKXZPM9nDNSktI3fYe5QTv4pPIL8QczDZhC+VyX5+RQStiCqV5DsUDiDJ42OaWvC95ya6dII2FT2&#10;cbruQ02RyXR5mzXJdP/x5v3ibrnMairRZJIMDUjxswLH8qHlFFGYfogb8D7tHfBcQBwfKZ6BvwAZ&#10;7GFrrC3rt56NpVhdFBFY0+VgTiPs9xuL7CjSA7rb5u+i4lUawsF35yLWJ5EvPefTHrrTDnM4e2mT&#10;pY3Lq8tP5Xe/ZL38G+ufA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fCNMlvgEAAGM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 w:rsidR="00B51A6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255C6E" wp14:editId="5F57BE34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8AD5A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7BF422DE" w14:textId="3CDA61EA" w:rsidR="00C61EE3" w:rsidRPr="0008606D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www.gov.pl</w:t>
                          </w:r>
                          <w:r w:rsidR="0008606D"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/finase</w:t>
                          </w:r>
                        </w:p>
                        <w:p w14:paraId="5FEAA059" w14:textId="77777777" w:rsidR="00C61EE3" w:rsidRDefault="00C61EE3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255C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" filled="f" stroked="f">
              <v:textbox inset="0,0,0,0">
                <w:txbxContent>
                  <w:p w14:paraId="4428AD5A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7BF422DE" w14:textId="3CDA61EA" w:rsidR="00C61EE3" w:rsidRPr="0008606D" w:rsidRDefault="00B51A6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www.gov.pl</w:t>
                    </w:r>
                    <w:r w:rsidR="0008606D"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/finase</w:t>
                    </w:r>
                  </w:p>
                  <w:p w14:paraId="5FEAA059" w14:textId="77777777" w:rsidR="00C61EE3" w:rsidRDefault="00C61EE3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D1054" w14:textId="77777777" w:rsidR="000A4D4E" w:rsidRDefault="000A4D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17A85497" wp14:editId="2FC1D1D0">
          <wp:simplePos x="0" y="0"/>
          <wp:positionH relativeFrom="column">
            <wp:posOffset>-1692275</wp:posOffset>
          </wp:positionH>
          <wp:positionV relativeFrom="paragraph">
            <wp:posOffset>-635</wp:posOffset>
          </wp:positionV>
          <wp:extent cx="1044000" cy="1090800"/>
          <wp:effectExtent l="0" t="0" r="381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9AF1CE" wp14:editId="083B2C21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65B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BjXO/vgEAAGI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61189B9E" wp14:editId="0816EDFE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CC95FD" w14:textId="77777777" w:rsidR="000A4D4E" w:rsidRDefault="000A4D4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45A2EB1E" w14:textId="77777777" w:rsidR="000A4D4E" w:rsidRPr="0008606D" w:rsidRDefault="000A4D4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www.gov.pl/finase</w:t>
                          </w:r>
                        </w:p>
                        <w:p w14:paraId="1622C06F" w14:textId="77777777" w:rsidR="000A4D4E" w:rsidRDefault="000A4D4E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9B9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48.5pt;margin-top:667.8pt;width:107.4pt;height:70.8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" filled="f" stroked="f">
              <v:textbox inset="0,0,0,0">
                <w:txbxContent>
                  <w:p w14:paraId="6ACC95FD" w14:textId="77777777" w:rsidR="000A4D4E" w:rsidRDefault="000A4D4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45A2EB1E" w14:textId="77777777" w:rsidR="000A4D4E" w:rsidRPr="0008606D" w:rsidRDefault="000A4D4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www.gov.pl/finase</w:t>
                    </w:r>
                  </w:p>
                  <w:p w14:paraId="1622C06F" w14:textId="77777777" w:rsidR="000A4D4E" w:rsidRDefault="000A4D4E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07912" w14:textId="32A3C5AA" w:rsidR="000A4D4E" w:rsidRDefault="000A4D4E" w:rsidP="000A4D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064" behindDoc="0" locked="0" layoutInCell="1" allowOverlap="1" wp14:anchorId="72864DBF" wp14:editId="25619764">
          <wp:simplePos x="0" y="0"/>
          <wp:positionH relativeFrom="column">
            <wp:posOffset>-1692275</wp:posOffset>
          </wp:positionH>
          <wp:positionV relativeFrom="paragraph">
            <wp:posOffset>-635</wp:posOffset>
          </wp:positionV>
          <wp:extent cx="1044000" cy="1090800"/>
          <wp:effectExtent l="0" t="0" r="381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62419532" wp14:editId="4FE2DF6D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BFAB7" w14:textId="77777777" w:rsidR="000A4D4E" w:rsidRDefault="000A4D4E" w:rsidP="000A4D4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46EE1FAA" w14:textId="77777777" w:rsidR="000A4D4E" w:rsidRPr="0008606D" w:rsidRDefault="000A4D4E" w:rsidP="000A4D4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08606D"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www.gov.pl/finase</w:t>
                          </w:r>
                        </w:p>
                        <w:p w14:paraId="384186CA" w14:textId="77777777" w:rsidR="000A4D4E" w:rsidRDefault="000A4D4E" w:rsidP="000A4D4E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1953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48.5pt;margin-top:667.8pt;width:107.4pt;height:70.8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" filled="f" stroked="f">
              <v:textbox inset="0,0,0,0">
                <w:txbxContent>
                  <w:p w14:paraId="3C9BFAB7" w14:textId="77777777" w:rsidR="000A4D4E" w:rsidRDefault="000A4D4E" w:rsidP="000A4D4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46EE1FAA" w14:textId="77777777" w:rsidR="000A4D4E" w:rsidRPr="0008606D" w:rsidRDefault="000A4D4E" w:rsidP="000A4D4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08606D"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www.gov.pl/finase</w:t>
                    </w:r>
                  </w:p>
                  <w:p w14:paraId="384186CA" w14:textId="77777777" w:rsidR="000A4D4E" w:rsidRDefault="000A4D4E" w:rsidP="000A4D4E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42CCB" w14:textId="77777777" w:rsidR="00C61EE3" w:rsidRDefault="00C61E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379"/>
    <w:multiLevelType w:val="hybridMultilevel"/>
    <w:tmpl w:val="DD5EF754"/>
    <w:lvl w:ilvl="0" w:tplc="F684E9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D4CACBA" w:tentative="1">
      <w:start w:val="1"/>
      <w:numFmt w:val="lowerLetter"/>
      <w:lvlText w:val="%2."/>
      <w:lvlJc w:val="left"/>
      <w:pPr>
        <w:ind w:left="2160" w:hanging="360"/>
      </w:pPr>
    </w:lvl>
    <w:lvl w:ilvl="2" w:tplc="F5B82D82" w:tentative="1">
      <w:start w:val="1"/>
      <w:numFmt w:val="lowerRoman"/>
      <w:lvlText w:val="%3."/>
      <w:lvlJc w:val="right"/>
      <w:pPr>
        <w:ind w:left="2880" w:hanging="180"/>
      </w:pPr>
    </w:lvl>
    <w:lvl w:ilvl="3" w:tplc="292C0652" w:tentative="1">
      <w:start w:val="1"/>
      <w:numFmt w:val="decimal"/>
      <w:lvlText w:val="%4."/>
      <w:lvlJc w:val="left"/>
      <w:pPr>
        <w:ind w:left="3600" w:hanging="360"/>
      </w:pPr>
    </w:lvl>
    <w:lvl w:ilvl="4" w:tplc="C1E8537C" w:tentative="1">
      <w:start w:val="1"/>
      <w:numFmt w:val="lowerLetter"/>
      <w:lvlText w:val="%5."/>
      <w:lvlJc w:val="left"/>
      <w:pPr>
        <w:ind w:left="4320" w:hanging="360"/>
      </w:pPr>
    </w:lvl>
    <w:lvl w:ilvl="5" w:tplc="2C841B40" w:tentative="1">
      <w:start w:val="1"/>
      <w:numFmt w:val="lowerRoman"/>
      <w:lvlText w:val="%6."/>
      <w:lvlJc w:val="right"/>
      <w:pPr>
        <w:ind w:left="5040" w:hanging="180"/>
      </w:pPr>
    </w:lvl>
    <w:lvl w:ilvl="6" w:tplc="DC0675B4" w:tentative="1">
      <w:start w:val="1"/>
      <w:numFmt w:val="decimal"/>
      <w:lvlText w:val="%7."/>
      <w:lvlJc w:val="left"/>
      <w:pPr>
        <w:ind w:left="5760" w:hanging="360"/>
      </w:pPr>
    </w:lvl>
    <w:lvl w:ilvl="7" w:tplc="F6A49A56" w:tentative="1">
      <w:start w:val="1"/>
      <w:numFmt w:val="lowerLetter"/>
      <w:lvlText w:val="%8."/>
      <w:lvlJc w:val="left"/>
      <w:pPr>
        <w:ind w:left="6480" w:hanging="360"/>
      </w:pPr>
    </w:lvl>
    <w:lvl w:ilvl="8" w:tplc="83E8E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40ABB"/>
    <w:multiLevelType w:val="hybridMultilevel"/>
    <w:tmpl w:val="B3E27444"/>
    <w:lvl w:ilvl="0" w:tplc="F8DE25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B9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FE27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94E0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6ACF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CCF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261D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8ED0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EC617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095A"/>
    <w:multiLevelType w:val="hybridMultilevel"/>
    <w:tmpl w:val="E0EC790A"/>
    <w:lvl w:ilvl="0" w:tplc="DC0EB0D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2185E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7525C3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65A6F36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ADE77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74D04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4FACDF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45AC1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664CD7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0F2169"/>
    <w:multiLevelType w:val="hybridMultilevel"/>
    <w:tmpl w:val="CC1E2930"/>
    <w:lvl w:ilvl="0" w:tplc="91C486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2DE9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8D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A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0E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AA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B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551110"/>
    <w:multiLevelType w:val="hybridMultilevel"/>
    <w:tmpl w:val="93385A44"/>
    <w:lvl w:ilvl="0" w:tplc="51F6A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AF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E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AE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29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CA8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C0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40F0"/>
    <w:multiLevelType w:val="hybridMultilevel"/>
    <w:tmpl w:val="E9AE3F76"/>
    <w:lvl w:ilvl="0" w:tplc="050606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5E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A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C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CF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A1CA9"/>
    <w:multiLevelType w:val="hybridMultilevel"/>
    <w:tmpl w:val="5A46961E"/>
    <w:lvl w:ilvl="0" w:tplc="9D0AEFA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F645D6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9EE0D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9D32F3C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51CF01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758E3C1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21E425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6A2C35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41E53E4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354AA"/>
    <w:multiLevelType w:val="hybridMultilevel"/>
    <w:tmpl w:val="877C07C2"/>
    <w:lvl w:ilvl="0" w:tplc="F6A82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23C16" w:tentative="1">
      <w:start w:val="1"/>
      <w:numFmt w:val="lowerLetter"/>
      <w:lvlText w:val="%2."/>
      <w:lvlJc w:val="left"/>
      <w:pPr>
        <w:ind w:left="1440" w:hanging="360"/>
      </w:pPr>
    </w:lvl>
    <w:lvl w:ilvl="2" w:tplc="6B5C0F28" w:tentative="1">
      <w:start w:val="1"/>
      <w:numFmt w:val="lowerRoman"/>
      <w:lvlText w:val="%3."/>
      <w:lvlJc w:val="right"/>
      <w:pPr>
        <w:ind w:left="2160" w:hanging="180"/>
      </w:pPr>
    </w:lvl>
    <w:lvl w:ilvl="3" w:tplc="C9685004" w:tentative="1">
      <w:start w:val="1"/>
      <w:numFmt w:val="decimal"/>
      <w:lvlText w:val="%4."/>
      <w:lvlJc w:val="left"/>
      <w:pPr>
        <w:ind w:left="2880" w:hanging="360"/>
      </w:pPr>
    </w:lvl>
    <w:lvl w:ilvl="4" w:tplc="07D842D6" w:tentative="1">
      <w:start w:val="1"/>
      <w:numFmt w:val="lowerLetter"/>
      <w:lvlText w:val="%5."/>
      <w:lvlJc w:val="left"/>
      <w:pPr>
        <w:ind w:left="3600" w:hanging="360"/>
      </w:pPr>
    </w:lvl>
    <w:lvl w:ilvl="5" w:tplc="83F23FA8" w:tentative="1">
      <w:start w:val="1"/>
      <w:numFmt w:val="lowerRoman"/>
      <w:lvlText w:val="%6."/>
      <w:lvlJc w:val="right"/>
      <w:pPr>
        <w:ind w:left="4320" w:hanging="180"/>
      </w:pPr>
    </w:lvl>
    <w:lvl w:ilvl="6" w:tplc="7952A650" w:tentative="1">
      <w:start w:val="1"/>
      <w:numFmt w:val="decimal"/>
      <w:lvlText w:val="%7."/>
      <w:lvlJc w:val="left"/>
      <w:pPr>
        <w:ind w:left="5040" w:hanging="360"/>
      </w:pPr>
    </w:lvl>
    <w:lvl w:ilvl="7" w:tplc="E354D414" w:tentative="1">
      <w:start w:val="1"/>
      <w:numFmt w:val="lowerLetter"/>
      <w:lvlText w:val="%8."/>
      <w:lvlJc w:val="left"/>
      <w:pPr>
        <w:ind w:left="5760" w:hanging="360"/>
      </w:pPr>
    </w:lvl>
    <w:lvl w:ilvl="8" w:tplc="AB0C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5DDC"/>
    <w:multiLevelType w:val="multilevel"/>
    <w:tmpl w:val="2B3619E0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69C85E70"/>
    <w:multiLevelType w:val="hybridMultilevel"/>
    <w:tmpl w:val="778E2014"/>
    <w:lvl w:ilvl="0" w:tplc="11BE06E8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47BA3F36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6D8CF7FE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85EA06BA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4C6E9E76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C4D24E16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3564CD14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2427A2A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1ADE19A6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765E3D1E"/>
    <w:multiLevelType w:val="hybridMultilevel"/>
    <w:tmpl w:val="F5C89ADA"/>
    <w:lvl w:ilvl="0" w:tplc="0AE67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8B678B8" w:tentative="1">
      <w:start w:val="1"/>
      <w:numFmt w:val="lowerLetter"/>
      <w:lvlText w:val="%2."/>
      <w:lvlJc w:val="left"/>
      <w:pPr>
        <w:ind w:left="2160" w:hanging="360"/>
      </w:pPr>
    </w:lvl>
    <w:lvl w:ilvl="2" w:tplc="CE949290" w:tentative="1">
      <w:start w:val="1"/>
      <w:numFmt w:val="lowerRoman"/>
      <w:lvlText w:val="%3."/>
      <w:lvlJc w:val="right"/>
      <w:pPr>
        <w:ind w:left="2880" w:hanging="180"/>
      </w:pPr>
    </w:lvl>
    <w:lvl w:ilvl="3" w:tplc="326A612C" w:tentative="1">
      <w:start w:val="1"/>
      <w:numFmt w:val="decimal"/>
      <w:lvlText w:val="%4."/>
      <w:lvlJc w:val="left"/>
      <w:pPr>
        <w:ind w:left="3600" w:hanging="360"/>
      </w:pPr>
    </w:lvl>
    <w:lvl w:ilvl="4" w:tplc="57C6B05A" w:tentative="1">
      <w:start w:val="1"/>
      <w:numFmt w:val="lowerLetter"/>
      <w:lvlText w:val="%5."/>
      <w:lvlJc w:val="left"/>
      <w:pPr>
        <w:ind w:left="4320" w:hanging="360"/>
      </w:pPr>
    </w:lvl>
    <w:lvl w:ilvl="5" w:tplc="F648C1B8" w:tentative="1">
      <w:start w:val="1"/>
      <w:numFmt w:val="lowerRoman"/>
      <w:lvlText w:val="%6."/>
      <w:lvlJc w:val="right"/>
      <w:pPr>
        <w:ind w:left="5040" w:hanging="180"/>
      </w:pPr>
    </w:lvl>
    <w:lvl w:ilvl="6" w:tplc="3D5C454C" w:tentative="1">
      <w:start w:val="1"/>
      <w:numFmt w:val="decimal"/>
      <w:lvlText w:val="%7."/>
      <w:lvlJc w:val="left"/>
      <w:pPr>
        <w:ind w:left="5760" w:hanging="360"/>
      </w:pPr>
    </w:lvl>
    <w:lvl w:ilvl="7" w:tplc="C206FF94" w:tentative="1">
      <w:start w:val="1"/>
      <w:numFmt w:val="lowerLetter"/>
      <w:lvlText w:val="%8."/>
      <w:lvlJc w:val="left"/>
      <w:pPr>
        <w:ind w:left="6480" w:hanging="360"/>
      </w:pPr>
    </w:lvl>
    <w:lvl w:ilvl="8" w:tplc="5D1A114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5FFB"/>
    <w:rsid w:val="000061C6"/>
    <w:rsid w:val="00006E3B"/>
    <w:rsid w:val="00007008"/>
    <w:rsid w:val="000070F3"/>
    <w:rsid w:val="00007AB8"/>
    <w:rsid w:val="00007B69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27B0D"/>
    <w:rsid w:val="00030A43"/>
    <w:rsid w:val="0003235C"/>
    <w:rsid w:val="000404D4"/>
    <w:rsid w:val="000406B8"/>
    <w:rsid w:val="00041977"/>
    <w:rsid w:val="00041BF6"/>
    <w:rsid w:val="00042F8F"/>
    <w:rsid w:val="0004308B"/>
    <w:rsid w:val="00044E4A"/>
    <w:rsid w:val="0004545E"/>
    <w:rsid w:val="00045B28"/>
    <w:rsid w:val="00045CA7"/>
    <w:rsid w:val="00045DC9"/>
    <w:rsid w:val="00050E88"/>
    <w:rsid w:val="00051473"/>
    <w:rsid w:val="00051F46"/>
    <w:rsid w:val="00052018"/>
    <w:rsid w:val="00054C08"/>
    <w:rsid w:val="00054DD0"/>
    <w:rsid w:val="00057BAA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76385"/>
    <w:rsid w:val="00080862"/>
    <w:rsid w:val="000808CE"/>
    <w:rsid w:val="00080F1F"/>
    <w:rsid w:val="000818AF"/>
    <w:rsid w:val="00082590"/>
    <w:rsid w:val="000836F4"/>
    <w:rsid w:val="00083E9F"/>
    <w:rsid w:val="0008606D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4D4E"/>
    <w:rsid w:val="000A57D3"/>
    <w:rsid w:val="000A643B"/>
    <w:rsid w:val="000A6B27"/>
    <w:rsid w:val="000A6CA0"/>
    <w:rsid w:val="000B05F5"/>
    <w:rsid w:val="000B242B"/>
    <w:rsid w:val="000B25E3"/>
    <w:rsid w:val="000B2EB1"/>
    <w:rsid w:val="000B3EAC"/>
    <w:rsid w:val="000B4812"/>
    <w:rsid w:val="000B534A"/>
    <w:rsid w:val="000B570F"/>
    <w:rsid w:val="000C081C"/>
    <w:rsid w:val="000C08CF"/>
    <w:rsid w:val="000C1CCE"/>
    <w:rsid w:val="000C4EF4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A91"/>
    <w:rsid w:val="000D6B6F"/>
    <w:rsid w:val="000E0F93"/>
    <w:rsid w:val="000E16EF"/>
    <w:rsid w:val="000E2D52"/>
    <w:rsid w:val="000E4111"/>
    <w:rsid w:val="000E45AE"/>
    <w:rsid w:val="000E691C"/>
    <w:rsid w:val="000E6C86"/>
    <w:rsid w:val="000F07EE"/>
    <w:rsid w:val="000F1059"/>
    <w:rsid w:val="000F1858"/>
    <w:rsid w:val="000F18B7"/>
    <w:rsid w:val="000F194D"/>
    <w:rsid w:val="000F1AC9"/>
    <w:rsid w:val="000F1B21"/>
    <w:rsid w:val="000F2977"/>
    <w:rsid w:val="000F4F7E"/>
    <w:rsid w:val="000F7C0A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3906"/>
    <w:rsid w:val="00125A96"/>
    <w:rsid w:val="00127D06"/>
    <w:rsid w:val="00130371"/>
    <w:rsid w:val="0013066C"/>
    <w:rsid w:val="00130D8A"/>
    <w:rsid w:val="00130EB1"/>
    <w:rsid w:val="00131D09"/>
    <w:rsid w:val="0013243B"/>
    <w:rsid w:val="00132CD4"/>
    <w:rsid w:val="00133097"/>
    <w:rsid w:val="00135D04"/>
    <w:rsid w:val="00136E7A"/>
    <w:rsid w:val="001379B8"/>
    <w:rsid w:val="00140651"/>
    <w:rsid w:val="00140996"/>
    <w:rsid w:val="0014184F"/>
    <w:rsid w:val="00142BDE"/>
    <w:rsid w:val="00143CBD"/>
    <w:rsid w:val="00144B16"/>
    <w:rsid w:val="00144E4F"/>
    <w:rsid w:val="00147391"/>
    <w:rsid w:val="00147DCE"/>
    <w:rsid w:val="0015152D"/>
    <w:rsid w:val="0015295C"/>
    <w:rsid w:val="0015452B"/>
    <w:rsid w:val="00155BEC"/>
    <w:rsid w:val="00157279"/>
    <w:rsid w:val="001601FC"/>
    <w:rsid w:val="00161044"/>
    <w:rsid w:val="00161969"/>
    <w:rsid w:val="00162265"/>
    <w:rsid w:val="00162356"/>
    <w:rsid w:val="00162480"/>
    <w:rsid w:val="001637DE"/>
    <w:rsid w:val="001642FC"/>
    <w:rsid w:val="0016502F"/>
    <w:rsid w:val="00165075"/>
    <w:rsid w:val="001676EF"/>
    <w:rsid w:val="00176E8C"/>
    <w:rsid w:val="00184FD0"/>
    <w:rsid w:val="001865F1"/>
    <w:rsid w:val="0018746D"/>
    <w:rsid w:val="001900F6"/>
    <w:rsid w:val="00190B87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255B"/>
    <w:rsid w:val="001A3883"/>
    <w:rsid w:val="001A38F9"/>
    <w:rsid w:val="001A4160"/>
    <w:rsid w:val="001A41AF"/>
    <w:rsid w:val="001A422F"/>
    <w:rsid w:val="001A4D91"/>
    <w:rsid w:val="001A4F79"/>
    <w:rsid w:val="001A55F7"/>
    <w:rsid w:val="001A642A"/>
    <w:rsid w:val="001B1928"/>
    <w:rsid w:val="001B227C"/>
    <w:rsid w:val="001B2886"/>
    <w:rsid w:val="001B31A2"/>
    <w:rsid w:val="001B3346"/>
    <w:rsid w:val="001B37FA"/>
    <w:rsid w:val="001B5157"/>
    <w:rsid w:val="001B6E19"/>
    <w:rsid w:val="001C0E44"/>
    <w:rsid w:val="001C13AB"/>
    <w:rsid w:val="001C2702"/>
    <w:rsid w:val="001C3478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FD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4E0B"/>
    <w:rsid w:val="001F7717"/>
    <w:rsid w:val="001F7A8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2F5"/>
    <w:rsid w:val="00212874"/>
    <w:rsid w:val="00214199"/>
    <w:rsid w:val="00214A42"/>
    <w:rsid w:val="00216058"/>
    <w:rsid w:val="00216C9E"/>
    <w:rsid w:val="002170A8"/>
    <w:rsid w:val="00217D67"/>
    <w:rsid w:val="00217DDE"/>
    <w:rsid w:val="002209A3"/>
    <w:rsid w:val="00222F1F"/>
    <w:rsid w:val="00224510"/>
    <w:rsid w:val="00224B34"/>
    <w:rsid w:val="00224FBD"/>
    <w:rsid w:val="0022526B"/>
    <w:rsid w:val="002257DC"/>
    <w:rsid w:val="00225E4E"/>
    <w:rsid w:val="00227E8B"/>
    <w:rsid w:val="00230793"/>
    <w:rsid w:val="00231000"/>
    <w:rsid w:val="002312B6"/>
    <w:rsid w:val="00232120"/>
    <w:rsid w:val="00235554"/>
    <w:rsid w:val="0023661B"/>
    <w:rsid w:val="00236D89"/>
    <w:rsid w:val="00241B7D"/>
    <w:rsid w:val="00241D40"/>
    <w:rsid w:val="00241E37"/>
    <w:rsid w:val="00242355"/>
    <w:rsid w:val="0024278D"/>
    <w:rsid w:val="00242C04"/>
    <w:rsid w:val="002444E6"/>
    <w:rsid w:val="00244B6B"/>
    <w:rsid w:val="0024526D"/>
    <w:rsid w:val="002460E7"/>
    <w:rsid w:val="00250B4B"/>
    <w:rsid w:val="00250EEB"/>
    <w:rsid w:val="002522FD"/>
    <w:rsid w:val="002526AA"/>
    <w:rsid w:val="002529F3"/>
    <w:rsid w:val="00252AE6"/>
    <w:rsid w:val="00254F5B"/>
    <w:rsid w:val="0025554A"/>
    <w:rsid w:val="00261442"/>
    <w:rsid w:val="0026261D"/>
    <w:rsid w:val="00263AA3"/>
    <w:rsid w:val="00266236"/>
    <w:rsid w:val="00266998"/>
    <w:rsid w:val="00270342"/>
    <w:rsid w:val="00270388"/>
    <w:rsid w:val="00272CC6"/>
    <w:rsid w:val="002747EF"/>
    <w:rsid w:val="00275418"/>
    <w:rsid w:val="00276689"/>
    <w:rsid w:val="00276799"/>
    <w:rsid w:val="00280EF7"/>
    <w:rsid w:val="00281853"/>
    <w:rsid w:val="0028194A"/>
    <w:rsid w:val="002826C7"/>
    <w:rsid w:val="002863AE"/>
    <w:rsid w:val="002874B7"/>
    <w:rsid w:val="002903F3"/>
    <w:rsid w:val="002910FD"/>
    <w:rsid w:val="00292394"/>
    <w:rsid w:val="00292DA1"/>
    <w:rsid w:val="00293690"/>
    <w:rsid w:val="00294612"/>
    <w:rsid w:val="002A1316"/>
    <w:rsid w:val="002A17A6"/>
    <w:rsid w:val="002A1BD0"/>
    <w:rsid w:val="002A1FE9"/>
    <w:rsid w:val="002A20F0"/>
    <w:rsid w:val="002A414D"/>
    <w:rsid w:val="002A4951"/>
    <w:rsid w:val="002A5133"/>
    <w:rsid w:val="002A5765"/>
    <w:rsid w:val="002B0128"/>
    <w:rsid w:val="002B447C"/>
    <w:rsid w:val="002B4999"/>
    <w:rsid w:val="002B4E81"/>
    <w:rsid w:val="002C1E7F"/>
    <w:rsid w:val="002C37E5"/>
    <w:rsid w:val="002C5142"/>
    <w:rsid w:val="002D0B26"/>
    <w:rsid w:val="002D2C1E"/>
    <w:rsid w:val="002D3ED6"/>
    <w:rsid w:val="002D42B8"/>
    <w:rsid w:val="002D4E09"/>
    <w:rsid w:val="002D4E8F"/>
    <w:rsid w:val="002D5495"/>
    <w:rsid w:val="002D591E"/>
    <w:rsid w:val="002D6C49"/>
    <w:rsid w:val="002E066A"/>
    <w:rsid w:val="002E22EC"/>
    <w:rsid w:val="002E28B5"/>
    <w:rsid w:val="002E2F22"/>
    <w:rsid w:val="002E3D92"/>
    <w:rsid w:val="002E4402"/>
    <w:rsid w:val="002E5227"/>
    <w:rsid w:val="002E559D"/>
    <w:rsid w:val="002F0668"/>
    <w:rsid w:val="002F06D1"/>
    <w:rsid w:val="002F2D38"/>
    <w:rsid w:val="002F5252"/>
    <w:rsid w:val="002F6658"/>
    <w:rsid w:val="002F699C"/>
    <w:rsid w:val="002F73B6"/>
    <w:rsid w:val="002F7C5D"/>
    <w:rsid w:val="00300147"/>
    <w:rsid w:val="0030155A"/>
    <w:rsid w:val="00304AEF"/>
    <w:rsid w:val="00305BC7"/>
    <w:rsid w:val="00306D0A"/>
    <w:rsid w:val="00306F00"/>
    <w:rsid w:val="003101BB"/>
    <w:rsid w:val="003103D0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D0F"/>
    <w:rsid w:val="00321E3C"/>
    <w:rsid w:val="0032260F"/>
    <w:rsid w:val="00323461"/>
    <w:rsid w:val="003255C0"/>
    <w:rsid w:val="00325BC4"/>
    <w:rsid w:val="003262D7"/>
    <w:rsid w:val="00326306"/>
    <w:rsid w:val="00326C0B"/>
    <w:rsid w:val="003278BA"/>
    <w:rsid w:val="00327D95"/>
    <w:rsid w:val="003344E6"/>
    <w:rsid w:val="00334B4F"/>
    <w:rsid w:val="00335D57"/>
    <w:rsid w:val="00336092"/>
    <w:rsid w:val="00336117"/>
    <w:rsid w:val="00345BEA"/>
    <w:rsid w:val="003474DF"/>
    <w:rsid w:val="003476B9"/>
    <w:rsid w:val="00350D21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4727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2D5B"/>
    <w:rsid w:val="0039302F"/>
    <w:rsid w:val="00393A9E"/>
    <w:rsid w:val="0039404A"/>
    <w:rsid w:val="00394083"/>
    <w:rsid w:val="00394091"/>
    <w:rsid w:val="00396DDA"/>
    <w:rsid w:val="003A1670"/>
    <w:rsid w:val="003A416F"/>
    <w:rsid w:val="003A4E3C"/>
    <w:rsid w:val="003A5078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C5485"/>
    <w:rsid w:val="003D2AF1"/>
    <w:rsid w:val="003D4321"/>
    <w:rsid w:val="003D5AAE"/>
    <w:rsid w:val="003D73E7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1A30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343"/>
    <w:rsid w:val="00404509"/>
    <w:rsid w:val="004047C7"/>
    <w:rsid w:val="004102FE"/>
    <w:rsid w:val="00410A00"/>
    <w:rsid w:val="00410E10"/>
    <w:rsid w:val="004123BE"/>
    <w:rsid w:val="004133A0"/>
    <w:rsid w:val="004140D1"/>
    <w:rsid w:val="004148BD"/>
    <w:rsid w:val="00415A43"/>
    <w:rsid w:val="00416147"/>
    <w:rsid w:val="00416174"/>
    <w:rsid w:val="00417276"/>
    <w:rsid w:val="00420A7F"/>
    <w:rsid w:val="00421EA8"/>
    <w:rsid w:val="00422B1E"/>
    <w:rsid w:val="00424B41"/>
    <w:rsid w:val="00424BBE"/>
    <w:rsid w:val="00424C36"/>
    <w:rsid w:val="00424EBB"/>
    <w:rsid w:val="00425373"/>
    <w:rsid w:val="00425741"/>
    <w:rsid w:val="00425D5D"/>
    <w:rsid w:val="004270E2"/>
    <w:rsid w:val="0042725C"/>
    <w:rsid w:val="00427386"/>
    <w:rsid w:val="004300E2"/>
    <w:rsid w:val="00431CCC"/>
    <w:rsid w:val="00432960"/>
    <w:rsid w:val="00432B4F"/>
    <w:rsid w:val="00433755"/>
    <w:rsid w:val="0043411D"/>
    <w:rsid w:val="0043694A"/>
    <w:rsid w:val="004372A1"/>
    <w:rsid w:val="0043791B"/>
    <w:rsid w:val="00437D9D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62B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5AE8"/>
    <w:rsid w:val="004B6E66"/>
    <w:rsid w:val="004B785A"/>
    <w:rsid w:val="004C002F"/>
    <w:rsid w:val="004C0C17"/>
    <w:rsid w:val="004C28BC"/>
    <w:rsid w:val="004C2C8A"/>
    <w:rsid w:val="004C512A"/>
    <w:rsid w:val="004C5165"/>
    <w:rsid w:val="004C629D"/>
    <w:rsid w:val="004C66BB"/>
    <w:rsid w:val="004D1C88"/>
    <w:rsid w:val="004D21FA"/>
    <w:rsid w:val="004D2522"/>
    <w:rsid w:val="004D32B7"/>
    <w:rsid w:val="004D7F46"/>
    <w:rsid w:val="004E178F"/>
    <w:rsid w:val="004E21DA"/>
    <w:rsid w:val="004E295E"/>
    <w:rsid w:val="004E489A"/>
    <w:rsid w:val="004E5617"/>
    <w:rsid w:val="004E6583"/>
    <w:rsid w:val="004E691F"/>
    <w:rsid w:val="004E73FD"/>
    <w:rsid w:val="004F0702"/>
    <w:rsid w:val="004F083F"/>
    <w:rsid w:val="004F0998"/>
    <w:rsid w:val="004F2624"/>
    <w:rsid w:val="004F2B88"/>
    <w:rsid w:val="004F39F6"/>
    <w:rsid w:val="004F479F"/>
    <w:rsid w:val="004F731B"/>
    <w:rsid w:val="0050039A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07B62"/>
    <w:rsid w:val="00510B6B"/>
    <w:rsid w:val="0051284B"/>
    <w:rsid w:val="00513A65"/>
    <w:rsid w:val="005155AA"/>
    <w:rsid w:val="00515DB5"/>
    <w:rsid w:val="0051655B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5B3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2E5D"/>
    <w:rsid w:val="00553638"/>
    <w:rsid w:val="00557D81"/>
    <w:rsid w:val="00560286"/>
    <w:rsid w:val="0056060C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E0D"/>
    <w:rsid w:val="005C3F4C"/>
    <w:rsid w:val="005C5661"/>
    <w:rsid w:val="005C68EB"/>
    <w:rsid w:val="005C6992"/>
    <w:rsid w:val="005C6B6D"/>
    <w:rsid w:val="005C7E6E"/>
    <w:rsid w:val="005D1A4A"/>
    <w:rsid w:val="005D5990"/>
    <w:rsid w:val="005D673D"/>
    <w:rsid w:val="005D67E2"/>
    <w:rsid w:val="005D6EB3"/>
    <w:rsid w:val="005D76FE"/>
    <w:rsid w:val="005D7BD5"/>
    <w:rsid w:val="005E0081"/>
    <w:rsid w:val="005E052A"/>
    <w:rsid w:val="005E25FB"/>
    <w:rsid w:val="005E3769"/>
    <w:rsid w:val="005E4EA5"/>
    <w:rsid w:val="005E50F3"/>
    <w:rsid w:val="005E7F74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5F7E83"/>
    <w:rsid w:val="006005ED"/>
    <w:rsid w:val="006011F8"/>
    <w:rsid w:val="006069CE"/>
    <w:rsid w:val="00607060"/>
    <w:rsid w:val="00607B5E"/>
    <w:rsid w:val="00610049"/>
    <w:rsid w:val="00610ECB"/>
    <w:rsid w:val="00612DF6"/>
    <w:rsid w:val="00614E93"/>
    <w:rsid w:val="0061552C"/>
    <w:rsid w:val="00620026"/>
    <w:rsid w:val="00620756"/>
    <w:rsid w:val="0062300C"/>
    <w:rsid w:val="00624BA0"/>
    <w:rsid w:val="0062692F"/>
    <w:rsid w:val="0062777B"/>
    <w:rsid w:val="00631761"/>
    <w:rsid w:val="00631CD6"/>
    <w:rsid w:val="00631D74"/>
    <w:rsid w:val="00633D6F"/>
    <w:rsid w:val="006361DB"/>
    <w:rsid w:val="00641436"/>
    <w:rsid w:val="00641571"/>
    <w:rsid w:val="00643AF9"/>
    <w:rsid w:val="00644A61"/>
    <w:rsid w:val="006464BC"/>
    <w:rsid w:val="00650DA0"/>
    <w:rsid w:val="00651167"/>
    <w:rsid w:val="00651D03"/>
    <w:rsid w:val="0065293D"/>
    <w:rsid w:val="00653269"/>
    <w:rsid w:val="00654326"/>
    <w:rsid w:val="006544F1"/>
    <w:rsid w:val="0065494E"/>
    <w:rsid w:val="00654E61"/>
    <w:rsid w:val="00656A63"/>
    <w:rsid w:val="006611F2"/>
    <w:rsid w:val="00662E32"/>
    <w:rsid w:val="00663859"/>
    <w:rsid w:val="006642F6"/>
    <w:rsid w:val="006652AF"/>
    <w:rsid w:val="006652E2"/>
    <w:rsid w:val="00665B00"/>
    <w:rsid w:val="006670B9"/>
    <w:rsid w:val="006670F5"/>
    <w:rsid w:val="006678BB"/>
    <w:rsid w:val="006723E1"/>
    <w:rsid w:val="00672A60"/>
    <w:rsid w:val="00673265"/>
    <w:rsid w:val="0067387A"/>
    <w:rsid w:val="006759B5"/>
    <w:rsid w:val="00675FFE"/>
    <w:rsid w:val="00677B76"/>
    <w:rsid w:val="00680242"/>
    <w:rsid w:val="00680D49"/>
    <w:rsid w:val="00682D29"/>
    <w:rsid w:val="00683539"/>
    <w:rsid w:val="0068356D"/>
    <w:rsid w:val="00683E79"/>
    <w:rsid w:val="00685736"/>
    <w:rsid w:val="00686575"/>
    <w:rsid w:val="00687C2A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5B73"/>
    <w:rsid w:val="006A6AF0"/>
    <w:rsid w:val="006A71E5"/>
    <w:rsid w:val="006B35CC"/>
    <w:rsid w:val="006B5E18"/>
    <w:rsid w:val="006B7091"/>
    <w:rsid w:val="006B7502"/>
    <w:rsid w:val="006B7ADA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912"/>
    <w:rsid w:val="006D7D89"/>
    <w:rsid w:val="006D7FF1"/>
    <w:rsid w:val="006E2E0C"/>
    <w:rsid w:val="006E543B"/>
    <w:rsid w:val="006E5A35"/>
    <w:rsid w:val="006E6B0B"/>
    <w:rsid w:val="006F06DD"/>
    <w:rsid w:val="006F25F3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056BA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1917"/>
    <w:rsid w:val="00722876"/>
    <w:rsid w:val="00722913"/>
    <w:rsid w:val="0072464B"/>
    <w:rsid w:val="0072542A"/>
    <w:rsid w:val="007260DD"/>
    <w:rsid w:val="00726233"/>
    <w:rsid w:val="007262FB"/>
    <w:rsid w:val="00726EA5"/>
    <w:rsid w:val="00730692"/>
    <w:rsid w:val="00730D3C"/>
    <w:rsid w:val="00732846"/>
    <w:rsid w:val="007332A3"/>
    <w:rsid w:val="00734133"/>
    <w:rsid w:val="00734EC9"/>
    <w:rsid w:val="00736726"/>
    <w:rsid w:val="00737ED4"/>
    <w:rsid w:val="00740A4E"/>
    <w:rsid w:val="00740BD1"/>
    <w:rsid w:val="007451A1"/>
    <w:rsid w:val="0074640B"/>
    <w:rsid w:val="00747E6D"/>
    <w:rsid w:val="00750FC7"/>
    <w:rsid w:val="0075115D"/>
    <w:rsid w:val="0075285E"/>
    <w:rsid w:val="00753A40"/>
    <w:rsid w:val="007541BF"/>
    <w:rsid w:val="00754C8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7277"/>
    <w:rsid w:val="007705EA"/>
    <w:rsid w:val="00771493"/>
    <w:rsid w:val="00771D7B"/>
    <w:rsid w:val="007732CA"/>
    <w:rsid w:val="007732CE"/>
    <w:rsid w:val="00775296"/>
    <w:rsid w:val="00775A72"/>
    <w:rsid w:val="007767BA"/>
    <w:rsid w:val="00776A04"/>
    <w:rsid w:val="00780DBC"/>
    <w:rsid w:val="00781699"/>
    <w:rsid w:val="007820FA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87079"/>
    <w:rsid w:val="007910F9"/>
    <w:rsid w:val="007911A8"/>
    <w:rsid w:val="007941D0"/>
    <w:rsid w:val="00794873"/>
    <w:rsid w:val="007959AC"/>
    <w:rsid w:val="00796336"/>
    <w:rsid w:val="0079656D"/>
    <w:rsid w:val="007965F5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3705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1E04"/>
    <w:rsid w:val="008047C8"/>
    <w:rsid w:val="00804B52"/>
    <w:rsid w:val="00804DD1"/>
    <w:rsid w:val="00805778"/>
    <w:rsid w:val="008067D3"/>
    <w:rsid w:val="00807122"/>
    <w:rsid w:val="008079E8"/>
    <w:rsid w:val="008101FD"/>
    <w:rsid w:val="00810AB0"/>
    <w:rsid w:val="00811495"/>
    <w:rsid w:val="0081215C"/>
    <w:rsid w:val="00813C75"/>
    <w:rsid w:val="008153A3"/>
    <w:rsid w:val="0081572C"/>
    <w:rsid w:val="0081581B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247C"/>
    <w:rsid w:val="008534B5"/>
    <w:rsid w:val="00853AF1"/>
    <w:rsid w:val="008549D1"/>
    <w:rsid w:val="00854F42"/>
    <w:rsid w:val="00854F51"/>
    <w:rsid w:val="00854FE4"/>
    <w:rsid w:val="00855988"/>
    <w:rsid w:val="00855B0A"/>
    <w:rsid w:val="00855BA9"/>
    <w:rsid w:val="00855D53"/>
    <w:rsid w:val="00855F2C"/>
    <w:rsid w:val="0085795C"/>
    <w:rsid w:val="00860700"/>
    <w:rsid w:val="008617C4"/>
    <w:rsid w:val="00862AC4"/>
    <w:rsid w:val="00863181"/>
    <w:rsid w:val="00863193"/>
    <w:rsid w:val="0086438F"/>
    <w:rsid w:val="008652A0"/>
    <w:rsid w:val="00865EB2"/>
    <w:rsid w:val="008723B7"/>
    <w:rsid w:val="00872530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6F21"/>
    <w:rsid w:val="00887427"/>
    <w:rsid w:val="00887A20"/>
    <w:rsid w:val="00890205"/>
    <w:rsid w:val="0089065F"/>
    <w:rsid w:val="008907CF"/>
    <w:rsid w:val="008911F5"/>
    <w:rsid w:val="008915CA"/>
    <w:rsid w:val="00892A6C"/>
    <w:rsid w:val="00892ABA"/>
    <w:rsid w:val="0089478B"/>
    <w:rsid w:val="00896847"/>
    <w:rsid w:val="008A0C1C"/>
    <w:rsid w:val="008A0FB4"/>
    <w:rsid w:val="008A1B00"/>
    <w:rsid w:val="008A29E8"/>
    <w:rsid w:val="008A4EBA"/>
    <w:rsid w:val="008A58E9"/>
    <w:rsid w:val="008B2226"/>
    <w:rsid w:val="008B32C9"/>
    <w:rsid w:val="008B3B46"/>
    <w:rsid w:val="008B5118"/>
    <w:rsid w:val="008B591C"/>
    <w:rsid w:val="008B6A98"/>
    <w:rsid w:val="008B6DA0"/>
    <w:rsid w:val="008C05BF"/>
    <w:rsid w:val="008C0E2B"/>
    <w:rsid w:val="008C16E4"/>
    <w:rsid w:val="008C1902"/>
    <w:rsid w:val="008C4018"/>
    <w:rsid w:val="008C4231"/>
    <w:rsid w:val="008C5034"/>
    <w:rsid w:val="008C59F4"/>
    <w:rsid w:val="008C6199"/>
    <w:rsid w:val="008C63BB"/>
    <w:rsid w:val="008C66B7"/>
    <w:rsid w:val="008C68B0"/>
    <w:rsid w:val="008C6D2E"/>
    <w:rsid w:val="008D3305"/>
    <w:rsid w:val="008D3C3A"/>
    <w:rsid w:val="008D4E78"/>
    <w:rsid w:val="008D766C"/>
    <w:rsid w:val="008E0B97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078CD"/>
    <w:rsid w:val="00911000"/>
    <w:rsid w:val="00912D67"/>
    <w:rsid w:val="009133B7"/>
    <w:rsid w:val="009166CE"/>
    <w:rsid w:val="00916915"/>
    <w:rsid w:val="00921E5F"/>
    <w:rsid w:val="00925C6C"/>
    <w:rsid w:val="00930A3C"/>
    <w:rsid w:val="00932B10"/>
    <w:rsid w:val="0093684B"/>
    <w:rsid w:val="00937FFB"/>
    <w:rsid w:val="009436BE"/>
    <w:rsid w:val="00944C34"/>
    <w:rsid w:val="00945BEE"/>
    <w:rsid w:val="0094645D"/>
    <w:rsid w:val="0095058D"/>
    <w:rsid w:val="00951D99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4056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0A25"/>
    <w:rsid w:val="00981401"/>
    <w:rsid w:val="009821D4"/>
    <w:rsid w:val="009846E2"/>
    <w:rsid w:val="00985984"/>
    <w:rsid w:val="00991E4A"/>
    <w:rsid w:val="009921A2"/>
    <w:rsid w:val="00992378"/>
    <w:rsid w:val="00993436"/>
    <w:rsid w:val="00993608"/>
    <w:rsid w:val="00994606"/>
    <w:rsid w:val="00994D79"/>
    <w:rsid w:val="009963D1"/>
    <w:rsid w:val="009969E2"/>
    <w:rsid w:val="00996FFA"/>
    <w:rsid w:val="0099783D"/>
    <w:rsid w:val="009A0522"/>
    <w:rsid w:val="009A2407"/>
    <w:rsid w:val="009A4B72"/>
    <w:rsid w:val="009A53B8"/>
    <w:rsid w:val="009A53CF"/>
    <w:rsid w:val="009A5C0D"/>
    <w:rsid w:val="009A5F05"/>
    <w:rsid w:val="009A6A74"/>
    <w:rsid w:val="009B0357"/>
    <w:rsid w:val="009B1ACF"/>
    <w:rsid w:val="009B273E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3AE"/>
    <w:rsid w:val="009D1E5A"/>
    <w:rsid w:val="009D1EEB"/>
    <w:rsid w:val="009D282C"/>
    <w:rsid w:val="009D2F37"/>
    <w:rsid w:val="009D2F65"/>
    <w:rsid w:val="009D3974"/>
    <w:rsid w:val="009D3D43"/>
    <w:rsid w:val="009D4908"/>
    <w:rsid w:val="009D4A35"/>
    <w:rsid w:val="009D4E91"/>
    <w:rsid w:val="009D57DB"/>
    <w:rsid w:val="009D6445"/>
    <w:rsid w:val="009D6FCC"/>
    <w:rsid w:val="009D7690"/>
    <w:rsid w:val="009D7E4F"/>
    <w:rsid w:val="009E0F0A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4A19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6749"/>
    <w:rsid w:val="00A179B0"/>
    <w:rsid w:val="00A17E6B"/>
    <w:rsid w:val="00A20405"/>
    <w:rsid w:val="00A20953"/>
    <w:rsid w:val="00A20D16"/>
    <w:rsid w:val="00A217A2"/>
    <w:rsid w:val="00A240EA"/>
    <w:rsid w:val="00A2480F"/>
    <w:rsid w:val="00A25459"/>
    <w:rsid w:val="00A256F7"/>
    <w:rsid w:val="00A25CC8"/>
    <w:rsid w:val="00A3142C"/>
    <w:rsid w:val="00A35169"/>
    <w:rsid w:val="00A3524C"/>
    <w:rsid w:val="00A3593D"/>
    <w:rsid w:val="00A3676D"/>
    <w:rsid w:val="00A371AB"/>
    <w:rsid w:val="00A37669"/>
    <w:rsid w:val="00A37E24"/>
    <w:rsid w:val="00A40153"/>
    <w:rsid w:val="00A424A3"/>
    <w:rsid w:val="00A433F4"/>
    <w:rsid w:val="00A43C11"/>
    <w:rsid w:val="00A45DCC"/>
    <w:rsid w:val="00A46899"/>
    <w:rsid w:val="00A501E6"/>
    <w:rsid w:val="00A5223F"/>
    <w:rsid w:val="00A52E00"/>
    <w:rsid w:val="00A536EE"/>
    <w:rsid w:val="00A546B2"/>
    <w:rsid w:val="00A5676D"/>
    <w:rsid w:val="00A569F6"/>
    <w:rsid w:val="00A65128"/>
    <w:rsid w:val="00A6661D"/>
    <w:rsid w:val="00A66CB7"/>
    <w:rsid w:val="00A670FA"/>
    <w:rsid w:val="00A67D59"/>
    <w:rsid w:val="00A70075"/>
    <w:rsid w:val="00A700BC"/>
    <w:rsid w:val="00A707CD"/>
    <w:rsid w:val="00A70EE2"/>
    <w:rsid w:val="00A715D0"/>
    <w:rsid w:val="00A7194A"/>
    <w:rsid w:val="00A7224B"/>
    <w:rsid w:val="00A73257"/>
    <w:rsid w:val="00A74A01"/>
    <w:rsid w:val="00A75E13"/>
    <w:rsid w:val="00A76649"/>
    <w:rsid w:val="00A76F55"/>
    <w:rsid w:val="00A77051"/>
    <w:rsid w:val="00A824B9"/>
    <w:rsid w:val="00A82C2A"/>
    <w:rsid w:val="00A83592"/>
    <w:rsid w:val="00A84924"/>
    <w:rsid w:val="00A8587F"/>
    <w:rsid w:val="00A86D29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A8D"/>
    <w:rsid w:val="00A96E02"/>
    <w:rsid w:val="00A97063"/>
    <w:rsid w:val="00AA0192"/>
    <w:rsid w:val="00AA0E69"/>
    <w:rsid w:val="00AA1929"/>
    <w:rsid w:val="00AA1F08"/>
    <w:rsid w:val="00AA2F88"/>
    <w:rsid w:val="00AA35B7"/>
    <w:rsid w:val="00AA528B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2363"/>
    <w:rsid w:val="00AC374E"/>
    <w:rsid w:val="00AC3C65"/>
    <w:rsid w:val="00AC526E"/>
    <w:rsid w:val="00AC6133"/>
    <w:rsid w:val="00AC6BC5"/>
    <w:rsid w:val="00AC6BFF"/>
    <w:rsid w:val="00AC70AF"/>
    <w:rsid w:val="00AC7548"/>
    <w:rsid w:val="00AD1EC0"/>
    <w:rsid w:val="00AD1FD7"/>
    <w:rsid w:val="00AD3640"/>
    <w:rsid w:val="00AD411F"/>
    <w:rsid w:val="00AD4143"/>
    <w:rsid w:val="00AD5305"/>
    <w:rsid w:val="00AD6455"/>
    <w:rsid w:val="00AD740C"/>
    <w:rsid w:val="00AE031C"/>
    <w:rsid w:val="00AE035B"/>
    <w:rsid w:val="00AE24F3"/>
    <w:rsid w:val="00AE30A8"/>
    <w:rsid w:val="00AE3A0E"/>
    <w:rsid w:val="00AE457B"/>
    <w:rsid w:val="00AE47B7"/>
    <w:rsid w:val="00AE56DD"/>
    <w:rsid w:val="00AE5D48"/>
    <w:rsid w:val="00AE6020"/>
    <w:rsid w:val="00AE637C"/>
    <w:rsid w:val="00AE73ED"/>
    <w:rsid w:val="00AF066D"/>
    <w:rsid w:val="00AF4E30"/>
    <w:rsid w:val="00AF5A1C"/>
    <w:rsid w:val="00AF6608"/>
    <w:rsid w:val="00AF687C"/>
    <w:rsid w:val="00AF6F0F"/>
    <w:rsid w:val="00AF78B3"/>
    <w:rsid w:val="00B0044B"/>
    <w:rsid w:val="00B01B95"/>
    <w:rsid w:val="00B0297B"/>
    <w:rsid w:val="00B0329E"/>
    <w:rsid w:val="00B03A5A"/>
    <w:rsid w:val="00B03B2E"/>
    <w:rsid w:val="00B049D4"/>
    <w:rsid w:val="00B0737B"/>
    <w:rsid w:val="00B07BA5"/>
    <w:rsid w:val="00B11803"/>
    <w:rsid w:val="00B11EF6"/>
    <w:rsid w:val="00B124AF"/>
    <w:rsid w:val="00B13207"/>
    <w:rsid w:val="00B13264"/>
    <w:rsid w:val="00B1505F"/>
    <w:rsid w:val="00B15516"/>
    <w:rsid w:val="00B15560"/>
    <w:rsid w:val="00B15E48"/>
    <w:rsid w:val="00B237A1"/>
    <w:rsid w:val="00B2606E"/>
    <w:rsid w:val="00B26F9F"/>
    <w:rsid w:val="00B32381"/>
    <w:rsid w:val="00B3244B"/>
    <w:rsid w:val="00B33580"/>
    <w:rsid w:val="00B33F99"/>
    <w:rsid w:val="00B346FD"/>
    <w:rsid w:val="00B3471B"/>
    <w:rsid w:val="00B347D8"/>
    <w:rsid w:val="00B355FA"/>
    <w:rsid w:val="00B36289"/>
    <w:rsid w:val="00B3757A"/>
    <w:rsid w:val="00B426D0"/>
    <w:rsid w:val="00B43A47"/>
    <w:rsid w:val="00B46E4D"/>
    <w:rsid w:val="00B47A74"/>
    <w:rsid w:val="00B51A6E"/>
    <w:rsid w:val="00B52806"/>
    <w:rsid w:val="00B53616"/>
    <w:rsid w:val="00B53FB7"/>
    <w:rsid w:val="00B56D8F"/>
    <w:rsid w:val="00B61C5E"/>
    <w:rsid w:val="00B61E9E"/>
    <w:rsid w:val="00B63E77"/>
    <w:rsid w:val="00B646BD"/>
    <w:rsid w:val="00B652B6"/>
    <w:rsid w:val="00B65A41"/>
    <w:rsid w:val="00B6680F"/>
    <w:rsid w:val="00B66C99"/>
    <w:rsid w:val="00B67867"/>
    <w:rsid w:val="00B70CC9"/>
    <w:rsid w:val="00B74521"/>
    <w:rsid w:val="00B74F34"/>
    <w:rsid w:val="00B7510E"/>
    <w:rsid w:val="00B77FAB"/>
    <w:rsid w:val="00B80E07"/>
    <w:rsid w:val="00B81609"/>
    <w:rsid w:val="00B8175F"/>
    <w:rsid w:val="00B83D13"/>
    <w:rsid w:val="00B84874"/>
    <w:rsid w:val="00B84B57"/>
    <w:rsid w:val="00B84FA1"/>
    <w:rsid w:val="00B8744C"/>
    <w:rsid w:val="00B877E6"/>
    <w:rsid w:val="00B87801"/>
    <w:rsid w:val="00B87984"/>
    <w:rsid w:val="00B87F47"/>
    <w:rsid w:val="00B9045B"/>
    <w:rsid w:val="00B90B21"/>
    <w:rsid w:val="00B91BF1"/>
    <w:rsid w:val="00B91E57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7C1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2"/>
    <w:rsid w:val="00BD00E4"/>
    <w:rsid w:val="00BD09D4"/>
    <w:rsid w:val="00BD0D82"/>
    <w:rsid w:val="00BD0FEE"/>
    <w:rsid w:val="00BD129A"/>
    <w:rsid w:val="00BD1ABC"/>
    <w:rsid w:val="00BD3CB9"/>
    <w:rsid w:val="00BD4B23"/>
    <w:rsid w:val="00BD567B"/>
    <w:rsid w:val="00BD7445"/>
    <w:rsid w:val="00BE1DBD"/>
    <w:rsid w:val="00BE2444"/>
    <w:rsid w:val="00BE3EE9"/>
    <w:rsid w:val="00BE533F"/>
    <w:rsid w:val="00BE6EC1"/>
    <w:rsid w:val="00BE7486"/>
    <w:rsid w:val="00BE77B2"/>
    <w:rsid w:val="00BF0DC9"/>
    <w:rsid w:val="00BF2A24"/>
    <w:rsid w:val="00BF2C0F"/>
    <w:rsid w:val="00BF2C94"/>
    <w:rsid w:val="00BF3921"/>
    <w:rsid w:val="00BF5EC6"/>
    <w:rsid w:val="00BF62BE"/>
    <w:rsid w:val="00BF6B4A"/>
    <w:rsid w:val="00BF6CD4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073FC"/>
    <w:rsid w:val="00C102A9"/>
    <w:rsid w:val="00C11498"/>
    <w:rsid w:val="00C1170E"/>
    <w:rsid w:val="00C13281"/>
    <w:rsid w:val="00C13459"/>
    <w:rsid w:val="00C135CF"/>
    <w:rsid w:val="00C13F17"/>
    <w:rsid w:val="00C1464A"/>
    <w:rsid w:val="00C14905"/>
    <w:rsid w:val="00C1521E"/>
    <w:rsid w:val="00C1541D"/>
    <w:rsid w:val="00C1617A"/>
    <w:rsid w:val="00C16616"/>
    <w:rsid w:val="00C169CF"/>
    <w:rsid w:val="00C17DC6"/>
    <w:rsid w:val="00C20AB2"/>
    <w:rsid w:val="00C219F2"/>
    <w:rsid w:val="00C2261E"/>
    <w:rsid w:val="00C23366"/>
    <w:rsid w:val="00C23751"/>
    <w:rsid w:val="00C24958"/>
    <w:rsid w:val="00C2516C"/>
    <w:rsid w:val="00C2517F"/>
    <w:rsid w:val="00C251D0"/>
    <w:rsid w:val="00C254EE"/>
    <w:rsid w:val="00C27B22"/>
    <w:rsid w:val="00C32080"/>
    <w:rsid w:val="00C3419F"/>
    <w:rsid w:val="00C342F9"/>
    <w:rsid w:val="00C36052"/>
    <w:rsid w:val="00C36B9D"/>
    <w:rsid w:val="00C3704D"/>
    <w:rsid w:val="00C400D6"/>
    <w:rsid w:val="00C40135"/>
    <w:rsid w:val="00C416D9"/>
    <w:rsid w:val="00C41924"/>
    <w:rsid w:val="00C42F96"/>
    <w:rsid w:val="00C43A87"/>
    <w:rsid w:val="00C44D15"/>
    <w:rsid w:val="00C44D44"/>
    <w:rsid w:val="00C45A3C"/>
    <w:rsid w:val="00C462DF"/>
    <w:rsid w:val="00C47439"/>
    <w:rsid w:val="00C50DB3"/>
    <w:rsid w:val="00C53F72"/>
    <w:rsid w:val="00C54FF3"/>
    <w:rsid w:val="00C55E58"/>
    <w:rsid w:val="00C56083"/>
    <w:rsid w:val="00C56BD7"/>
    <w:rsid w:val="00C56DD6"/>
    <w:rsid w:val="00C571CA"/>
    <w:rsid w:val="00C61121"/>
    <w:rsid w:val="00C61B95"/>
    <w:rsid w:val="00C61EE3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768"/>
    <w:rsid w:val="00C7287F"/>
    <w:rsid w:val="00C729F3"/>
    <w:rsid w:val="00C7305E"/>
    <w:rsid w:val="00C73890"/>
    <w:rsid w:val="00C7404B"/>
    <w:rsid w:val="00C77036"/>
    <w:rsid w:val="00C8256B"/>
    <w:rsid w:val="00C83795"/>
    <w:rsid w:val="00C83D04"/>
    <w:rsid w:val="00C83F98"/>
    <w:rsid w:val="00C842B8"/>
    <w:rsid w:val="00C84A2B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00"/>
    <w:rsid w:val="00CA659E"/>
    <w:rsid w:val="00CA6BE3"/>
    <w:rsid w:val="00CA70DD"/>
    <w:rsid w:val="00CA71EE"/>
    <w:rsid w:val="00CA781A"/>
    <w:rsid w:val="00CB00FD"/>
    <w:rsid w:val="00CB46DF"/>
    <w:rsid w:val="00CB6175"/>
    <w:rsid w:val="00CB689E"/>
    <w:rsid w:val="00CB70EE"/>
    <w:rsid w:val="00CB78F0"/>
    <w:rsid w:val="00CC11D9"/>
    <w:rsid w:val="00CC1280"/>
    <w:rsid w:val="00CC190C"/>
    <w:rsid w:val="00CC227E"/>
    <w:rsid w:val="00CC2821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D7981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53EC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51"/>
    <w:rsid w:val="00D159EE"/>
    <w:rsid w:val="00D20DC4"/>
    <w:rsid w:val="00D21DB7"/>
    <w:rsid w:val="00D24079"/>
    <w:rsid w:val="00D27499"/>
    <w:rsid w:val="00D277C0"/>
    <w:rsid w:val="00D27CBA"/>
    <w:rsid w:val="00D27E95"/>
    <w:rsid w:val="00D30AC9"/>
    <w:rsid w:val="00D312CA"/>
    <w:rsid w:val="00D31A44"/>
    <w:rsid w:val="00D31A84"/>
    <w:rsid w:val="00D321D9"/>
    <w:rsid w:val="00D32822"/>
    <w:rsid w:val="00D33E09"/>
    <w:rsid w:val="00D37B5A"/>
    <w:rsid w:val="00D400CC"/>
    <w:rsid w:val="00D424F0"/>
    <w:rsid w:val="00D42C00"/>
    <w:rsid w:val="00D4337F"/>
    <w:rsid w:val="00D43CC5"/>
    <w:rsid w:val="00D43D86"/>
    <w:rsid w:val="00D44B43"/>
    <w:rsid w:val="00D46960"/>
    <w:rsid w:val="00D474DD"/>
    <w:rsid w:val="00D47819"/>
    <w:rsid w:val="00D52942"/>
    <w:rsid w:val="00D52C89"/>
    <w:rsid w:val="00D5306A"/>
    <w:rsid w:val="00D5510D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6B5C"/>
    <w:rsid w:val="00D77324"/>
    <w:rsid w:val="00D77A4A"/>
    <w:rsid w:val="00D80F1C"/>
    <w:rsid w:val="00D8162F"/>
    <w:rsid w:val="00D81996"/>
    <w:rsid w:val="00D820D9"/>
    <w:rsid w:val="00D8216D"/>
    <w:rsid w:val="00D82E6E"/>
    <w:rsid w:val="00D833B2"/>
    <w:rsid w:val="00D84F5D"/>
    <w:rsid w:val="00D86E1F"/>
    <w:rsid w:val="00D903E7"/>
    <w:rsid w:val="00D90AA3"/>
    <w:rsid w:val="00D91A53"/>
    <w:rsid w:val="00D95ADB"/>
    <w:rsid w:val="00D95E7C"/>
    <w:rsid w:val="00DA017E"/>
    <w:rsid w:val="00DA07F9"/>
    <w:rsid w:val="00DA28B2"/>
    <w:rsid w:val="00DA4637"/>
    <w:rsid w:val="00DA5168"/>
    <w:rsid w:val="00DA52B8"/>
    <w:rsid w:val="00DA6577"/>
    <w:rsid w:val="00DA6BB2"/>
    <w:rsid w:val="00DB1992"/>
    <w:rsid w:val="00DB2008"/>
    <w:rsid w:val="00DB3193"/>
    <w:rsid w:val="00DB3FE9"/>
    <w:rsid w:val="00DB7B31"/>
    <w:rsid w:val="00DC22C5"/>
    <w:rsid w:val="00DC247F"/>
    <w:rsid w:val="00DC346E"/>
    <w:rsid w:val="00DC4030"/>
    <w:rsid w:val="00DC53D0"/>
    <w:rsid w:val="00DC5F86"/>
    <w:rsid w:val="00DC68E4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6CD1"/>
    <w:rsid w:val="00DE715B"/>
    <w:rsid w:val="00DF0CD2"/>
    <w:rsid w:val="00DF1062"/>
    <w:rsid w:val="00DF31AE"/>
    <w:rsid w:val="00DF3655"/>
    <w:rsid w:val="00E02682"/>
    <w:rsid w:val="00E0439F"/>
    <w:rsid w:val="00E04D15"/>
    <w:rsid w:val="00E05345"/>
    <w:rsid w:val="00E0691F"/>
    <w:rsid w:val="00E0710D"/>
    <w:rsid w:val="00E07464"/>
    <w:rsid w:val="00E1196E"/>
    <w:rsid w:val="00E11A3C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376E"/>
    <w:rsid w:val="00E2488C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5B1"/>
    <w:rsid w:val="00E42F73"/>
    <w:rsid w:val="00E4455D"/>
    <w:rsid w:val="00E449F8"/>
    <w:rsid w:val="00E44C8F"/>
    <w:rsid w:val="00E451E9"/>
    <w:rsid w:val="00E452DB"/>
    <w:rsid w:val="00E45DA5"/>
    <w:rsid w:val="00E530F1"/>
    <w:rsid w:val="00E531D7"/>
    <w:rsid w:val="00E54688"/>
    <w:rsid w:val="00E55417"/>
    <w:rsid w:val="00E5572E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147"/>
    <w:rsid w:val="00E775B6"/>
    <w:rsid w:val="00E81997"/>
    <w:rsid w:val="00E81E8E"/>
    <w:rsid w:val="00E82C40"/>
    <w:rsid w:val="00E8424E"/>
    <w:rsid w:val="00E846A5"/>
    <w:rsid w:val="00E84D42"/>
    <w:rsid w:val="00E86C32"/>
    <w:rsid w:val="00E873CB"/>
    <w:rsid w:val="00E877D1"/>
    <w:rsid w:val="00E87CA4"/>
    <w:rsid w:val="00E913BC"/>
    <w:rsid w:val="00E92219"/>
    <w:rsid w:val="00E9290A"/>
    <w:rsid w:val="00E92BA8"/>
    <w:rsid w:val="00E943AC"/>
    <w:rsid w:val="00E95599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A700C"/>
    <w:rsid w:val="00EB0033"/>
    <w:rsid w:val="00EB04AF"/>
    <w:rsid w:val="00EB05AB"/>
    <w:rsid w:val="00EB0751"/>
    <w:rsid w:val="00EB156F"/>
    <w:rsid w:val="00EB485D"/>
    <w:rsid w:val="00EB54A5"/>
    <w:rsid w:val="00EB6329"/>
    <w:rsid w:val="00EB6D6D"/>
    <w:rsid w:val="00EB7384"/>
    <w:rsid w:val="00EC0826"/>
    <w:rsid w:val="00EC1BF4"/>
    <w:rsid w:val="00EC30F4"/>
    <w:rsid w:val="00EC3BAA"/>
    <w:rsid w:val="00EC4394"/>
    <w:rsid w:val="00EC4A71"/>
    <w:rsid w:val="00EC7E27"/>
    <w:rsid w:val="00ED0B82"/>
    <w:rsid w:val="00ED152E"/>
    <w:rsid w:val="00EE0D93"/>
    <w:rsid w:val="00EE0F3D"/>
    <w:rsid w:val="00EE2397"/>
    <w:rsid w:val="00EE2D24"/>
    <w:rsid w:val="00EE2E25"/>
    <w:rsid w:val="00EE3B03"/>
    <w:rsid w:val="00EE49A6"/>
    <w:rsid w:val="00EE6B06"/>
    <w:rsid w:val="00EF223A"/>
    <w:rsid w:val="00EF3946"/>
    <w:rsid w:val="00EF4CFA"/>
    <w:rsid w:val="00EF6620"/>
    <w:rsid w:val="00EF6CE1"/>
    <w:rsid w:val="00F0001C"/>
    <w:rsid w:val="00F0195E"/>
    <w:rsid w:val="00F04B0A"/>
    <w:rsid w:val="00F064B4"/>
    <w:rsid w:val="00F06B6B"/>
    <w:rsid w:val="00F07090"/>
    <w:rsid w:val="00F07B35"/>
    <w:rsid w:val="00F11818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24F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8FC"/>
    <w:rsid w:val="00F35EA0"/>
    <w:rsid w:val="00F37888"/>
    <w:rsid w:val="00F400FA"/>
    <w:rsid w:val="00F41130"/>
    <w:rsid w:val="00F413DD"/>
    <w:rsid w:val="00F43FB5"/>
    <w:rsid w:val="00F4547B"/>
    <w:rsid w:val="00F47859"/>
    <w:rsid w:val="00F51545"/>
    <w:rsid w:val="00F522D2"/>
    <w:rsid w:val="00F53E73"/>
    <w:rsid w:val="00F54E40"/>
    <w:rsid w:val="00F558B4"/>
    <w:rsid w:val="00F55A59"/>
    <w:rsid w:val="00F60497"/>
    <w:rsid w:val="00F60B82"/>
    <w:rsid w:val="00F60D96"/>
    <w:rsid w:val="00F61920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1F64"/>
    <w:rsid w:val="00F82DB2"/>
    <w:rsid w:val="00F830B1"/>
    <w:rsid w:val="00F84B6D"/>
    <w:rsid w:val="00F86A5E"/>
    <w:rsid w:val="00F875B7"/>
    <w:rsid w:val="00F8772D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A5CDC"/>
    <w:rsid w:val="00FA7074"/>
    <w:rsid w:val="00FA7C26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247"/>
    <w:rsid w:val="00FD38D7"/>
    <w:rsid w:val="00FD5526"/>
    <w:rsid w:val="00FD56B7"/>
    <w:rsid w:val="00FD5FE0"/>
    <w:rsid w:val="00FE0E08"/>
    <w:rsid w:val="00FE19F1"/>
    <w:rsid w:val="00FE2512"/>
    <w:rsid w:val="00FE2837"/>
    <w:rsid w:val="00FE3448"/>
    <w:rsid w:val="00FE3620"/>
    <w:rsid w:val="00FE435B"/>
    <w:rsid w:val="00FE5161"/>
    <w:rsid w:val="00FE55F2"/>
    <w:rsid w:val="00FE6AA0"/>
    <w:rsid w:val="00FF103C"/>
    <w:rsid w:val="00FF133B"/>
    <w:rsid w:val="00FF1D27"/>
    <w:rsid w:val="00FF40BB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4F30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uiPriority w:val="99"/>
  </w:style>
  <w:style w:type="table" w:styleId="Tabela-Siatka">
    <w:name w:val="Table Grid"/>
    <w:basedOn w:val="Standardowy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Calibri" w:hAnsi="Calibri"/>
      <w:lang w:val="pl-PL" w:eastAsia="en-US" w:bidi="ar-SA"/>
    </w:rPr>
  </w:style>
  <w:style w:type="paragraph" w:styleId="Tekstpodstawowy">
    <w:name w:val="Body Text"/>
    <w:basedOn w:val="Normalny"/>
    <w:link w:val="TekstpodstawowyZnak"/>
    <w:uiPriority w:val="99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uiPriority w:val="99"/>
    <w:pPr>
      <w:spacing w:after="120" w:line="480" w:lineRule="auto"/>
    </w:pPr>
  </w:style>
  <w:style w:type="paragraph" w:customStyle="1" w:styleId="Akapit">
    <w:name w:val="Akapit"/>
    <w:basedOn w:val="Normalny"/>
    <w:uiPriority w:val="99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Lines/>
      <w:spacing w:before="480" w:after="0"/>
    </w:pPr>
    <w:rPr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uiPriority w:val="39"/>
    <w:unhideWhenUsed/>
  </w:style>
  <w:style w:type="paragraph" w:styleId="Spistreci2">
    <w:name w:val="toc 2"/>
    <w:basedOn w:val="Normalny"/>
    <w:next w:val="Normalny"/>
    <w:uiPriority w:val="39"/>
    <w:unhideWhenUsed/>
    <w:pPr>
      <w:ind w:left="220"/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rFonts w:eastAsia="Times New Roman"/>
      <w:b/>
      <w:bCs/>
      <w:lang w:eastAsia="en-US"/>
    </w:rPr>
  </w:style>
  <w:style w:type="paragraph" w:styleId="Bezodstpw">
    <w:name w:val="No Spacing"/>
    <w:uiPriority w:val="1"/>
    <w:qFormat/>
  </w:style>
  <w:style w:type="character" w:customStyle="1" w:styleId="Heading1Char">
    <w:name w:val="Heading 1 Char"/>
    <w:basedOn w:val="Domylnaczcionkaakapitu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Poprawka">
    <w:name w:val="Revision"/>
    <w:hidden/>
    <w:uiPriority w:val="99"/>
    <w:semiHidden/>
    <w:rsid w:val="0008606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gov.pl/web/finanse/dane-fiskalne-na-potrzeby-nadzoru-budzetowego-ue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www.gov.pl/web/finanse/budzety-js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ec.europa.eu/eurostat/databrowser/view/gov_10q_ggnfa/default/table?lang=en" TargetMode="External"/><Relationship Id="rId25" Type="http://schemas.openxmlformats.org/officeDocument/2006/relationships/image" Target="media/image2.jpeg"/><Relationship Id="rId33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atabrowser/view/gov_10a_exp/default/table?lang=en" TargetMode="External"/><Relationship Id="rId20" Type="http://schemas.openxmlformats.org/officeDocument/2006/relationships/hyperlink" Target="https://www.gov.pl/web/finanse/sprawozdania-operatywne-miesieczne" TargetMode="External"/><Relationship Id="rId29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chart" Target="charts/chart1.xml"/><Relationship Id="rId32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yperlink" Target="https://ec.europa.eu/eurostat/databrowser/view/gov_10a_main/default/table?lang=en" TargetMode="External"/><Relationship Id="rId23" Type="http://schemas.openxmlformats.org/officeDocument/2006/relationships/footer" Target="footer2.xml"/><Relationship Id="rId28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yperlink" Target="https://www.gov.pl/web/finanse/szacunkowe-wykonanie-budzetu" TargetMode="Externa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eurostat/data/database" TargetMode="External"/><Relationship Id="rId22" Type="http://schemas.openxmlformats.org/officeDocument/2006/relationships/header" Target="header3.xml"/><Relationship Id="rId27" Type="http://schemas.openxmlformats.org/officeDocument/2006/relationships/image" Target="media/image4.png"/><Relationship Id="rId30" Type="http://schemas.openxmlformats.org/officeDocument/2006/relationships/image" Target="media/image6.e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f.gov.pl\SDW\MF\PM\PM8\PRODUKTY\Informacja%20kwartalna%20ca&#322;o&#347;&#263;\2023-01\wk&#322;ady\DP%20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Arkusz1!$M$34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IV kw.</c:v>
                  </c:pt>
                  <c:pt idx="1">
                    <c:v>I kw.</c:v>
                  </c:pt>
                  <c:pt idx="2">
                    <c:v>II kw.</c:v>
                  </c:pt>
                  <c:pt idx="3">
                    <c:v>III kw.</c:v>
                  </c:pt>
                  <c:pt idx="4">
                    <c:v>IV kw.</c:v>
                  </c:pt>
                  <c:pt idx="5">
                    <c:v>I kw.</c:v>
                  </c:pt>
                  <c:pt idx="6">
                    <c:v>II kw.</c:v>
                  </c:pt>
                  <c:pt idx="7">
                    <c:v>III kw.</c:v>
                  </c:pt>
                  <c:pt idx="8">
                    <c:v>IV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5">
                    <c:v>2021</c:v>
                  </c:pt>
                  <c:pt idx="9">
                    <c:v>2022</c:v>
                  </c:pt>
                </c:lvl>
              </c:multiLvlStrCache>
            </c:multiLvlStrRef>
          </c:cat>
          <c:val>
            <c:numRef>
              <c:f>Arkusz1!$M$35:$M$46</c:f>
              <c:numCache>
                <c:formatCode>#\ ##0.0</c:formatCode>
                <c:ptCount val="12"/>
                <c:pt idx="0">
                  <c:v>-4.5999999999999996</c:v>
                </c:pt>
                <c:pt idx="1">
                  <c:v>-2.2999999999999998</c:v>
                </c:pt>
                <c:pt idx="2">
                  <c:v>-16.600000000000001</c:v>
                </c:pt>
                <c:pt idx="3">
                  <c:v>-3.2</c:v>
                </c:pt>
                <c:pt idx="4">
                  <c:v>-6.4</c:v>
                </c:pt>
                <c:pt idx="5">
                  <c:v>-1</c:v>
                </c:pt>
                <c:pt idx="6">
                  <c:v>-0.9</c:v>
                </c:pt>
                <c:pt idx="7">
                  <c:v>0.5</c:v>
                </c:pt>
                <c:pt idx="8">
                  <c:v>-5.4</c:v>
                </c:pt>
                <c:pt idx="9">
                  <c:v>0.1</c:v>
                </c:pt>
                <c:pt idx="10">
                  <c:v>-0.8</c:v>
                </c:pt>
                <c:pt idx="11">
                  <c:v>-3.1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5027416"/>
        <c:axId val="285027808"/>
      </c:barChart>
      <c:lineChart>
        <c:grouping val="standard"/>
        <c:varyColors val="0"/>
        <c:ser>
          <c:idx val="4"/>
          <c:order val="1"/>
          <c:tx>
            <c:strRef>
              <c:f>Arkusz1!$N$34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1 kw</c:v>
                  </c:pt>
                  <c:pt idx="1">
                    <c:v>2 kw</c:v>
                  </c:pt>
                  <c:pt idx="2">
                    <c:v>3 kw</c:v>
                  </c:pt>
                  <c:pt idx="3">
                    <c:v>4 kw</c:v>
                  </c:pt>
                  <c:pt idx="4">
                    <c:v>1 kw</c:v>
                  </c:pt>
                  <c:pt idx="5">
                    <c:v>2 kw</c:v>
                  </c:pt>
                  <c:pt idx="6">
                    <c:v>3 kw</c:v>
                  </c:pt>
                  <c:pt idx="7">
                    <c:v>4 kw</c:v>
                  </c:pt>
                  <c:pt idx="8">
                    <c:v>1 kw</c:v>
                  </c:pt>
                  <c:pt idx="9">
                    <c:v>2 kw</c:v>
                  </c:pt>
                  <c:pt idx="10">
                    <c:v>3 kw</c:v>
                  </c:pt>
                  <c:pt idx="11">
                    <c:v>4 kw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Arkusz1!$N$35:$N$46</c:f>
              <c:numCache>
                <c:formatCode>#\ ##0.0</c:formatCode>
                <c:ptCount val="12"/>
                <c:pt idx="0">
                  <c:v>-0.74328428880540454</c:v>
                </c:pt>
                <c:pt idx="1">
                  <c:v>-1.9231176967336567</c:v>
                </c:pt>
                <c:pt idx="2">
                  <c:v>-5.6452676117039484</c:v>
                </c:pt>
                <c:pt idx="3">
                  <c:v>-6.4196228469418486</c:v>
                </c:pt>
                <c:pt idx="4">
                  <c:v>-6.9229142365420371</c:v>
                </c:pt>
                <c:pt idx="5">
                  <c:v>-6.5315498815758017</c:v>
                </c:pt>
                <c:pt idx="6">
                  <c:v>-2.9423039341722657</c:v>
                </c:pt>
                <c:pt idx="7">
                  <c:v>-1.9928995861755352</c:v>
                </c:pt>
                <c:pt idx="8">
                  <c:v>-1.836736443850344</c:v>
                </c:pt>
                <c:pt idx="9">
                  <c:v>-1.5216994406384707</c:v>
                </c:pt>
                <c:pt idx="10">
                  <c:v>-1.4685284623131993</c:v>
                </c:pt>
                <c:pt idx="11">
                  <c:v>-2.334388455684929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Arkusz1!$O$34</c:f>
              <c:strCache>
                <c:ptCount val="1"/>
                <c:pt idx="0">
                  <c:v>wynik SA</c:v>
                </c:pt>
              </c:strCache>
            </c:strRef>
          </c:tx>
          <c:spPr>
            <a:ln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1 kw</c:v>
                  </c:pt>
                  <c:pt idx="1">
                    <c:v>2 kw</c:v>
                  </c:pt>
                  <c:pt idx="2">
                    <c:v>3 kw</c:v>
                  </c:pt>
                  <c:pt idx="3">
                    <c:v>4 kw</c:v>
                  </c:pt>
                  <c:pt idx="4">
                    <c:v>1 kw</c:v>
                  </c:pt>
                  <c:pt idx="5">
                    <c:v>2 kw</c:v>
                  </c:pt>
                  <c:pt idx="6">
                    <c:v>3 kw</c:v>
                  </c:pt>
                  <c:pt idx="7">
                    <c:v>4 kw</c:v>
                  </c:pt>
                  <c:pt idx="8">
                    <c:v>1 kw</c:v>
                  </c:pt>
                  <c:pt idx="9">
                    <c:v>2 kw</c:v>
                  </c:pt>
                  <c:pt idx="10">
                    <c:v>3 kw</c:v>
                  </c:pt>
                  <c:pt idx="11">
                    <c:v>4 kw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Arkusz1!$O$35:$O$46</c:f>
              <c:numCache>
                <c:formatCode>#\ ##0.0</c:formatCode>
                <c:ptCount val="12"/>
                <c:pt idx="0">
                  <c:v>-1.7</c:v>
                </c:pt>
                <c:pt idx="1">
                  <c:v>-3.8</c:v>
                </c:pt>
                <c:pt idx="2">
                  <c:v>-16.7</c:v>
                </c:pt>
                <c:pt idx="3">
                  <c:v>-4.3</c:v>
                </c:pt>
                <c:pt idx="4">
                  <c:v>-3</c:v>
                </c:pt>
                <c:pt idx="5">
                  <c:v>-2.7</c:v>
                </c:pt>
                <c:pt idx="6">
                  <c:v>-1.4</c:v>
                </c:pt>
                <c:pt idx="7">
                  <c:v>-0.6</c:v>
                </c:pt>
                <c:pt idx="8">
                  <c:v>-2.9</c:v>
                </c:pt>
                <c:pt idx="9">
                  <c:v>-1.2</c:v>
                </c:pt>
                <c:pt idx="10">
                  <c:v>-0.7</c:v>
                </c:pt>
                <c:pt idx="11">
                  <c:v>-4.4000000000000004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5027416"/>
        <c:axId val="285027808"/>
      </c:lineChart>
      <c:catAx>
        <c:axId val="285027416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+mj-lt"/>
                <a:ea typeface="Arial Narrow"/>
                <a:cs typeface="Arial Narrow"/>
              </a:defRPr>
            </a:pPr>
            <a:endParaRPr lang="pl-PL"/>
          </a:p>
        </c:txPr>
        <c:crossAx val="285027808"/>
        <c:crosses val="autoZero"/>
        <c:auto val="1"/>
        <c:lblAlgn val="ctr"/>
        <c:lblOffset val="100"/>
        <c:tickLblSkip val="4"/>
        <c:tickMarkSkip val="1"/>
        <c:noMultiLvlLbl val="0"/>
      </c:catAx>
      <c:valAx>
        <c:axId val="285027808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2850274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+mj-lt"/>
                <a:ea typeface="Arial Narrow"/>
                <a:cs typeface="Arial Narrow"/>
              </a:defRPr>
            </a:pPr>
            <a:endParaRPr lang="pl-PL"/>
          </a:p>
        </c:txPr>
      </c:legendEntry>
      <c:layout>
        <c:manualLayout>
          <c:xMode val="edge"/>
          <c:yMode val="edge"/>
          <c:x val="0.44295302013422821"/>
          <c:y val="0.53497012137551758"/>
          <c:w val="0.53579418344519014"/>
          <c:h val="0.19530574801791645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650" b="0" i="0" u="none" strike="noStrike" baseline="0">
              <a:solidFill>
                <a:srgbClr val="000000"/>
              </a:solidFill>
              <a:latin typeface="+mj-lt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89632107023408E-2"/>
          <c:y val="3.2364206450431102E-2"/>
          <c:w val="0.83534167604049492"/>
          <c:h val="0.88148811431923213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'[DP wykresy.xlsx]dane'!$A$3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'[DP wykresy.xlsx]dane'!$B$1:$O$1</c:f>
              <c:strCache>
                <c:ptCount val="1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I kw. 2022</c:v>
                </c:pt>
                <c:pt idx="12">
                  <c:v>II kw. 2022</c:v>
                </c:pt>
                <c:pt idx="13">
                  <c:v>III kw. 2022</c:v>
                </c:pt>
              </c:strCache>
            </c:strRef>
          </c:cat>
          <c:val>
            <c:numRef>
              <c:f>'[DP wykresy.xlsx]dane'!$B$3:$O$3</c:f>
              <c:numCache>
                <c:formatCode>0.0</c:formatCode>
                <c:ptCount val="14"/>
                <c:pt idx="0">
                  <c:v>856.58017221327907</c:v>
                </c:pt>
                <c:pt idx="1">
                  <c:v>883.52369491030697</c:v>
                </c:pt>
                <c:pt idx="2">
                  <c:v>931.06058173142731</c:v>
                </c:pt>
                <c:pt idx="3">
                  <c:v>873.90875876114706</c:v>
                </c:pt>
                <c:pt idx="4">
                  <c:v>923.41650733267954</c:v>
                </c:pt>
                <c:pt idx="5">
                  <c:v>1010.0218675759083</c:v>
                </c:pt>
                <c:pt idx="6">
                  <c:v>1007.1996172899171</c:v>
                </c:pt>
                <c:pt idx="7">
                  <c:v>1035.7982763932662</c:v>
                </c:pt>
                <c:pt idx="8">
                  <c:v>1046.0222906459735</c:v>
                </c:pt>
                <c:pt idx="9">
                  <c:v>1336.5576435475746</c:v>
                </c:pt>
                <c:pt idx="10">
                  <c:v>1410.4995419253028</c:v>
                </c:pt>
                <c:pt idx="11">
                  <c:v>1415.681854067491</c:v>
                </c:pt>
                <c:pt idx="12">
                  <c:v>1453.4731011117244</c:v>
                </c:pt>
                <c:pt idx="13" formatCode="General">
                  <c:v>1479.2931058568893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717857352"/>
        <c:axId val="717858528"/>
      </c:barChart>
      <c:lineChart>
        <c:grouping val="standard"/>
        <c:varyColors val="0"/>
        <c:ser>
          <c:idx val="1"/>
          <c:order val="0"/>
          <c:tx>
            <c:strRef>
              <c:f>'[DP wykresy.xlsx]dane'!$A$2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'[DP wykresy.xlsx]dane'!$B$1:$O$1</c:f>
              <c:strCache>
                <c:ptCount val="1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I kw. 2022</c:v>
                </c:pt>
                <c:pt idx="12">
                  <c:v>II kw. 2022</c:v>
                </c:pt>
                <c:pt idx="13">
                  <c:v>III kw. 2022</c:v>
                </c:pt>
              </c:strCache>
            </c:strRef>
          </c:cat>
          <c:val>
            <c:numRef>
              <c:f>'[DP wykresy.xlsx]dane'!$B$2:$O$2</c:f>
              <c:numCache>
                <c:formatCode>0.0%</c:formatCode>
                <c:ptCount val="14"/>
                <c:pt idx="0">
                  <c:v>0.55133733113424876</c:v>
                </c:pt>
                <c:pt idx="1">
                  <c:v>0.54784057386996854</c:v>
                </c:pt>
                <c:pt idx="2">
                  <c:v>0.57115865996335691</c:v>
                </c:pt>
                <c:pt idx="3">
                  <c:v>0.51389701966893186</c:v>
                </c:pt>
                <c:pt idx="4">
                  <c:v>0.51344542820587658</c:v>
                </c:pt>
                <c:pt idx="5">
                  <c:v>0.54501359648677206</c:v>
                </c:pt>
                <c:pt idx="6">
                  <c:v>0.50796987346639</c:v>
                </c:pt>
                <c:pt idx="7">
                  <c:v>0.487089165442601</c:v>
                </c:pt>
                <c:pt idx="8">
                  <c:v>0.45707932650052474</c:v>
                </c:pt>
                <c:pt idx="9">
                  <c:v>0.5717473932384578</c:v>
                </c:pt>
                <c:pt idx="10">
                  <c:v>0.53754869025592267</c:v>
                </c:pt>
                <c:pt idx="11">
                  <c:v>0.52026041139337165</c:v>
                </c:pt>
                <c:pt idx="12">
                  <c:v>0.51468896775799888</c:v>
                </c:pt>
                <c:pt idx="13">
                  <c:v>0.50330040647213692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7865584"/>
        <c:axId val="717867544"/>
      </c:lineChart>
      <c:catAx>
        <c:axId val="717857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717858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7858528"/>
        <c:scaling>
          <c:orientation val="minMax"/>
          <c:max val="15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717857352"/>
        <c:crosses val="autoZero"/>
        <c:crossBetween val="between"/>
        <c:majorUnit val="100"/>
      </c:valAx>
      <c:catAx>
        <c:axId val="717865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17867544"/>
        <c:crosses val="autoZero"/>
        <c:auto val="1"/>
        <c:lblAlgn val="ctr"/>
        <c:lblOffset val="100"/>
        <c:noMultiLvlLbl val="0"/>
      </c:catAx>
      <c:valAx>
        <c:axId val="717867544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717865584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34798218413327825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490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5975-755E-42BC-8BCF-8F757D396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CD569C-BA95-43FB-8207-557025EAB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7F1D1-AEC9-47C9-B05C-219BBBF8CE7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E003CAA-1F7C-447F-92FA-B8165BCA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2372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16571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2023-01-17T14:11:00Z</dcterms:created>
  <dcterms:modified xsi:type="dcterms:W3CDTF">2023-01-31T10:20:00Z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MF\asam;Szpak Andrzej</vt:lpwstr>
  </property>
  <property fmtid="{D5CDD505-2E9C-101B-9397-08002B2CF9AE}" pid="5" name="MFClassificationDate">
    <vt:lpwstr>2022-07-06T16:07:14.3794738+02:00</vt:lpwstr>
  </property>
  <property fmtid="{D5CDD505-2E9C-101B-9397-08002B2CF9AE}" pid="6" name="MFClassifiedBySID">
    <vt:lpwstr>MF\S-1-5-21-1525952054-1005573771-2909822258-8800</vt:lpwstr>
  </property>
  <property fmtid="{D5CDD505-2E9C-101B-9397-08002B2CF9AE}" pid="7" name="MFGRNItemId">
    <vt:lpwstr>GRN-d28fdcf2-59fe-4b69-9c56-51f9fc758f31</vt:lpwstr>
  </property>
  <property fmtid="{D5CDD505-2E9C-101B-9397-08002B2CF9AE}" pid="8" name="MFHash">
    <vt:lpwstr>NYdQ3ju9bFgt/47eIDkSaO3dT2rHNCZgW51L0a8E/7E=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