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F1FA" w14:textId="7E45BBC6" w:rsidR="00227884" w:rsidRPr="00EF1379" w:rsidRDefault="00227884" w:rsidP="0060221F">
      <w:pPr>
        <w:spacing w:line="276" w:lineRule="auto"/>
        <w:jc w:val="center"/>
        <w:rPr>
          <w:rFonts w:ascii="Arial" w:eastAsia="Times New Roman" w:hAnsi="Arial" w:cs="Arial"/>
          <w:b/>
          <w:bCs/>
          <w:iCs/>
          <w:sz w:val="17"/>
          <w:szCs w:val="17"/>
        </w:rPr>
      </w:pPr>
      <w:bookmarkStart w:id="0" w:name="_Hlk201563410"/>
      <w:r w:rsidRPr="00EF1379">
        <w:rPr>
          <w:rFonts w:ascii="Arial" w:eastAsia="Times New Roman" w:hAnsi="Arial" w:cs="Arial"/>
          <w:b/>
          <w:bCs/>
          <w:iCs/>
          <w:sz w:val="17"/>
          <w:szCs w:val="17"/>
        </w:rPr>
        <w:t xml:space="preserve">Informacja dla osoby zgłaszającej naruszenia prawa </w:t>
      </w:r>
      <w:r w:rsidR="0060221F" w:rsidRPr="00EF1379">
        <w:rPr>
          <w:rFonts w:ascii="Arial" w:eastAsia="Times New Roman" w:hAnsi="Arial" w:cs="Arial"/>
          <w:b/>
          <w:bCs/>
          <w:iCs/>
          <w:sz w:val="17"/>
          <w:szCs w:val="17"/>
        </w:rPr>
        <w:t>–</w:t>
      </w:r>
      <w:r w:rsidRPr="00EF1379">
        <w:rPr>
          <w:rFonts w:ascii="Arial" w:eastAsia="Times New Roman" w:hAnsi="Arial" w:cs="Arial"/>
          <w:b/>
          <w:bCs/>
          <w:iCs/>
          <w:sz w:val="17"/>
          <w:szCs w:val="17"/>
        </w:rPr>
        <w:t xml:space="preserve"> Sygnalisty</w:t>
      </w:r>
      <w:bookmarkEnd w:id="0"/>
    </w:p>
    <w:p w14:paraId="2122EC23" w14:textId="77777777" w:rsidR="0060221F" w:rsidRPr="00EF1379" w:rsidRDefault="0060221F" w:rsidP="0060221F">
      <w:pPr>
        <w:spacing w:line="276" w:lineRule="auto"/>
        <w:jc w:val="center"/>
        <w:rPr>
          <w:rFonts w:ascii="Arial" w:hAnsi="Arial" w:cs="Arial"/>
          <w:b/>
          <w:bCs/>
          <w:sz w:val="17"/>
          <w:szCs w:val="17"/>
        </w:rPr>
      </w:pPr>
    </w:p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EF1379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99FC3AB" w:rsidR="00D1191D" w:rsidRPr="00EF1379" w:rsidRDefault="0051580B" w:rsidP="0060221F">
            <w:pPr>
              <w:spacing w:after="80" w:line="276" w:lineRule="auto"/>
              <w:ind w:left="-104"/>
              <w:jc w:val="both"/>
              <w:rPr>
                <w:rFonts w:ascii="Arial" w:hAnsi="Arial" w:cs="Arial"/>
                <w:sz w:val="17"/>
                <w:szCs w:val="17"/>
              </w:rPr>
            </w:pPr>
            <w:bookmarkStart w:id="1" w:name="_Hlk201563542"/>
            <w:r w:rsidRPr="00EF1379">
              <w:rPr>
                <w:rFonts w:ascii="Arial" w:hAnsi="Arial" w:cs="Arial"/>
                <w:sz w:val="17"/>
                <w:szCs w:val="17"/>
              </w:rPr>
              <w:t xml:space="preserve">W związku z otrzymanym zgłoszeniem naruszenia na podstawie Regulamin przyjmowania zgłoszeń </w:t>
            </w:r>
            <w:r w:rsidR="00902426" w:rsidRPr="00EF1379">
              <w:rPr>
                <w:rFonts w:ascii="Arial" w:hAnsi="Arial" w:cs="Arial"/>
                <w:sz w:val="17"/>
                <w:szCs w:val="17"/>
              </w:rPr>
              <w:t>W</w:t>
            </w:r>
            <w:r w:rsidRPr="00EF1379">
              <w:rPr>
                <w:rFonts w:ascii="Arial" w:hAnsi="Arial" w:cs="Arial"/>
                <w:sz w:val="17"/>
                <w:szCs w:val="17"/>
              </w:rPr>
              <w:t>ewnętrznych oraz podejmowania działań następczych informujemy, że:</w:t>
            </w:r>
          </w:p>
        </w:tc>
      </w:tr>
      <w:tr w:rsidR="002178BA" w:rsidRPr="00EF1379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EF1379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EF1379" w:rsidRDefault="009715A3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bookmarkStart w:id="2" w:name="_Hlk201050547"/>
            <w:r w:rsidRPr="00EF1379">
              <w:rPr>
                <w:rFonts w:ascii="Arial" w:hAnsi="Arial" w:cs="Arial"/>
                <w:sz w:val="17"/>
                <w:szCs w:val="17"/>
              </w:rPr>
              <w:t>ADMINISTRATOR DANYCH</w:t>
            </w:r>
          </w:p>
          <w:p w14:paraId="2ADB9AF4" w14:textId="100769B1" w:rsidR="006A7F5A" w:rsidRPr="00EF1379" w:rsidRDefault="00000000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>Administratorem Pani/Pana danych jest Państwowy Wojewódzki Inspektor Sanitarny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 xml:space="preserve"> w Bydgoszczy</w:t>
            </w:r>
            <w:r w:rsidRPr="00EF137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77F41" w:rsidRPr="00EF1379">
              <w:rPr>
                <w:rFonts w:ascii="Arial" w:hAnsi="Arial" w:cs="Arial"/>
                <w:sz w:val="17"/>
                <w:szCs w:val="17"/>
              </w:rPr>
              <w:t>/Dyrektor Wojewódzkiej Stacji Sanitarno-Epidemiologicznej z siedzibą</w:t>
            </w:r>
            <w:r w:rsidRPr="00EF1379">
              <w:rPr>
                <w:rFonts w:ascii="Arial" w:hAnsi="Arial" w:cs="Arial"/>
                <w:sz w:val="17"/>
                <w:szCs w:val="17"/>
              </w:rPr>
              <w:t xml:space="preserve"> w 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>Bydgoszczy</w:t>
            </w:r>
            <w:r w:rsidR="00F920C8" w:rsidRPr="00EF1379">
              <w:rPr>
                <w:rFonts w:ascii="Arial" w:hAnsi="Arial" w:cs="Arial"/>
                <w:sz w:val="17"/>
                <w:szCs w:val="17"/>
              </w:rPr>
              <w:t xml:space="preserve"> przy</w:t>
            </w:r>
            <w:r w:rsidRPr="00EF1379">
              <w:rPr>
                <w:rFonts w:ascii="Arial" w:hAnsi="Arial" w:cs="Arial"/>
                <w:sz w:val="17"/>
                <w:szCs w:val="17"/>
              </w:rPr>
              <w:t xml:space="preserve"> ul. 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>Kujawsk</w:t>
            </w:r>
            <w:r w:rsidR="00077F41" w:rsidRPr="00EF1379">
              <w:rPr>
                <w:rFonts w:ascii="Arial" w:hAnsi="Arial" w:cs="Arial"/>
                <w:sz w:val="17"/>
                <w:szCs w:val="17"/>
              </w:rPr>
              <w:t>iej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 xml:space="preserve"> 4</w:t>
            </w:r>
            <w:r w:rsidRPr="00EF137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F920C8" w:rsidRPr="00EF1379">
              <w:rPr>
                <w:rFonts w:ascii="Arial" w:hAnsi="Arial" w:cs="Arial"/>
                <w:sz w:val="17"/>
                <w:szCs w:val="17"/>
              </w:rPr>
              <w:t xml:space="preserve">85-031 Bydgoszcz, </w:t>
            </w:r>
            <w:r w:rsidRPr="00EF1379">
              <w:rPr>
                <w:rFonts w:ascii="Arial" w:hAnsi="Arial" w:cs="Arial"/>
                <w:sz w:val="17"/>
                <w:szCs w:val="17"/>
              </w:rPr>
              <w:t>adres do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> </w:t>
            </w:r>
            <w:proofErr w:type="spellStart"/>
            <w:r w:rsidRPr="00EF1379">
              <w:rPr>
                <w:rFonts w:ascii="Arial" w:hAnsi="Arial" w:cs="Arial"/>
                <w:sz w:val="17"/>
                <w:szCs w:val="17"/>
              </w:rPr>
              <w:t>eDoręczeń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</w:rPr>
              <w:t>:</w:t>
            </w:r>
            <w:r w:rsidR="000B4B1D" w:rsidRPr="00EF1379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907C18" w:rsidRPr="00EF1379">
              <w:rPr>
                <w:rFonts w:ascii="Arial" w:hAnsi="Arial" w:cs="Arial"/>
                <w:sz w:val="17"/>
                <w:szCs w:val="17"/>
              </w:rPr>
              <w:t>AE:PL-67719-88282-SBJJG-23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</w:rPr>
              <w:t xml:space="preserve">; mail: </w:t>
            </w:r>
            <w:hyperlink r:id="rId8" w:history="1">
              <w:r w:rsidR="006A7F5A" w:rsidRPr="00EF1379">
                <w:rPr>
                  <w:rFonts w:ascii="Arial" w:hAnsi="Arial" w:cs="Arial"/>
                  <w:sz w:val="17"/>
                  <w:szCs w:val="17"/>
                </w:rPr>
                <w:t>sekretariat.wsse.bydgoszcz@sanepid.gov.pl</w:t>
              </w:r>
            </w:hyperlink>
            <w:r w:rsidRPr="00EF1379">
              <w:rPr>
                <w:rFonts w:ascii="Arial" w:hAnsi="Arial" w:cs="Arial"/>
                <w:sz w:val="17"/>
                <w:szCs w:val="17"/>
              </w:rPr>
              <w:t>,</w:t>
            </w:r>
            <w:r w:rsidR="006A7F5A" w:rsidRPr="00EF137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F1379">
              <w:rPr>
                <w:rFonts w:ascii="Arial" w:hAnsi="Arial" w:cs="Arial"/>
                <w:sz w:val="17"/>
                <w:szCs w:val="17"/>
              </w:rPr>
              <w:t xml:space="preserve">centrala telefoniczna (+48) </w:t>
            </w:r>
            <w:r w:rsidR="00907C18" w:rsidRPr="00EF1379">
              <w:rPr>
                <w:rFonts w:ascii="Arial" w:hAnsi="Arial" w:cs="Arial"/>
                <w:sz w:val="17"/>
                <w:szCs w:val="17"/>
              </w:rPr>
              <w:t>52 37 618 00</w:t>
            </w:r>
            <w:r w:rsidRPr="00EF1379">
              <w:rPr>
                <w:rFonts w:ascii="Arial" w:hAnsi="Arial" w:cs="Arial"/>
                <w:sz w:val="17"/>
                <w:szCs w:val="17"/>
              </w:rPr>
              <w:t>, strona internetowa:</w:t>
            </w:r>
            <w:r w:rsidR="006A7F5A" w:rsidRPr="00EF1379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9" w:history="1">
              <w:r w:rsidR="006A7F5A" w:rsidRPr="00EF1379">
                <w:rPr>
                  <w:rFonts w:ascii="Arial" w:hAnsi="Arial" w:cs="Arial"/>
                  <w:sz w:val="17"/>
                  <w:szCs w:val="17"/>
                </w:rPr>
                <w:t>https://www.gov.pl/web/wsse-bydgoszcz</w:t>
              </w:r>
            </w:hyperlink>
            <w:bookmarkEnd w:id="2"/>
          </w:p>
        </w:tc>
      </w:tr>
      <w:tr w:rsidR="002178BA" w:rsidRPr="00EF1379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EF1379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EF1379" w:rsidRDefault="009715A3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>INSPEKTOR DANYCH OSOBOWYCH</w:t>
            </w:r>
          </w:p>
          <w:p w14:paraId="20D9F3FE" w14:textId="77777777" w:rsidR="0010788E" w:rsidRPr="00EF1379" w:rsidRDefault="009715A3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Z inspektorem można się kontaktować w każdej kwestii dotyczącej przetwarzania danych.</w:t>
            </w:r>
          </w:p>
          <w:p w14:paraId="032EAC2D" w14:textId="77777777" w:rsidR="0010788E" w:rsidRPr="00EF1379" w:rsidRDefault="00000000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EF1379">
                <w:rPr>
                  <w:rStyle w:val="Hipercze"/>
                  <w:rFonts w:ascii="Arial" w:eastAsia="Tahoma" w:hAnsi="Arial" w:cs="Arial"/>
                  <w:color w:val="auto"/>
                  <w:sz w:val="17"/>
                  <w:szCs w:val="17"/>
                </w:rPr>
                <w:t>iod.wsse.bydgoszcz@sanepid.gov.pl</w:t>
              </w:r>
            </w:hyperlink>
            <w:r w:rsidR="00907C18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lub </w:t>
            </w:r>
          </w:p>
          <w:p w14:paraId="4FC505A2" w14:textId="0604DA13" w:rsidR="005F4DC0" w:rsidRPr="00EF1379" w:rsidRDefault="00000000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wykorzystując dane do korespondencji wskazane w pkt 1 niniejszej Informacji.  </w:t>
            </w:r>
          </w:p>
        </w:tc>
      </w:tr>
      <w:tr w:rsidR="002178BA" w:rsidRPr="00EF1379" w14:paraId="4440F41D" w14:textId="77777777" w:rsidTr="00212198">
        <w:trPr>
          <w:trHeight w:val="1042"/>
        </w:trPr>
        <w:tc>
          <w:tcPr>
            <w:tcW w:w="280" w:type="dxa"/>
          </w:tcPr>
          <w:p w14:paraId="4D1BF595" w14:textId="77777777" w:rsidR="005F4DC0" w:rsidRPr="00EF1379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EF1379" w:rsidRDefault="0010788E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 xml:space="preserve">PODSTAWA I CEL PRZETWARZANIA DANYCH </w:t>
            </w:r>
          </w:p>
          <w:p w14:paraId="2AA98430" w14:textId="0B8F65FD" w:rsidR="00D1191D" w:rsidRPr="00EF1379" w:rsidRDefault="00EF7B67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>Pani/Pana dane osobowe będą przetwarzane w celach związanych ze zgłaszanymi przypadkami naruszenia prawa oraz z</w:t>
            </w:r>
            <w:r w:rsidR="00EF1379">
              <w:rPr>
                <w:rFonts w:ascii="Arial" w:hAnsi="Arial" w:cs="Arial"/>
                <w:sz w:val="17"/>
                <w:szCs w:val="17"/>
              </w:rPr>
              <w:t> </w:t>
            </w:r>
            <w:r w:rsidRPr="00EF1379">
              <w:rPr>
                <w:rFonts w:ascii="Arial" w:hAnsi="Arial" w:cs="Arial"/>
                <w:sz w:val="17"/>
                <w:szCs w:val="17"/>
              </w:rPr>
              <w:t>podejmowanymi działaniami następczymi, na podstawie przepisów prawa zgodnie z art. 6 ust.1 lit. c) RODO, a jeżeli przetwarzanie będzie dotyczyło danych szczególnej kategorii zgodnie z art. 9 ust.2 lit. g) RODO, w powiązaniu z Dyrektywą Parlamentu Europejskiego i Rady (UE) 2019/1937 z dnia 23 października 2019 r. oraz Ustawą z dnia 14 czerwca 2024 r. o ochronie sygnalistów.</w:t>
            </w:r>
          </w:p>
        </w:tc>
      </w:tr>
      <w:tr w:rsidR="002178BA" w:rsidRPr="00EF1379" w14:paraId="2EBD7CAD" w14:textId="77777777" w:rsidTr="00777BF4">
        <w:trPr>
          <w:trHeight w:val="415"/>
        </w:trPr>
        <w:tc>
          <w:tcPr>
            <w:tcW w:w="280" w:type="dxa"/>
          </w:tcPr>
          <w:p w14:paraId="0AE1CBBD" w14:textId="77777777" w:rsidR="005F4DC0" w:rsidRPr="00EF1379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EF1379" w:rsidRDefault="00C71472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INFORMACJA O WYMOGU PODANIA DANYCH</w:t>
            </w:r>
          </w:p>
          <w:p w14:paraId="58DCEEAE" w14:textId="6AC0A3FC" w:rsidR="00AF313A" w:rsidRPr="00EF1379" w:rsidRDefault="00AF313A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Podanie danych jest dobrowolne, jednakże</w:t>
            </w:r>
            <w:r w:rsidR="00DF36C4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niezbędne do przyjęcia i rozpatrzenia zgłoszenia.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  <w:r w:rsidR="00DF36C4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N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iepodanie imienia i nazwiska sprawi, że</w:t>
            </w:r>
            <w:r w:rsidR="00DF36C4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zgłoszenie pozostanie bez rozpoznania, a jeżeli adres do kontaktu nie zostanie wskazany uniemożliwi to nam przekazanie Pani/Panu informacji o toku postępowania oraz podjętych działaniach następczych.</w:t>
            </w:r>
          </w:p>
        </w:tc>
      </w:tr>
      <w:tr w:rsidR="006906C5" w:rsidRPr="00EF1379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EF1379" w:rsidRDefault="006906C5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5</w:t>
            </w:r>
          </w:p>
        </w:tc>
        <w:tc>
          <w:tcPr>
            <w:tcW w:w="10210" w:type="dxa"/>
          </w:tcPr>
          <w:p w14:paraId="7E599A66" w14:textId="77777777" w:rsidR="006906C5" w:rsidRPr="00EF1379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UDOSTĘPNIANE DANYCH</w:t>
            </w:r>
          </w:p>
          <w:p w14:paraId="270596EB" w14:textId="28BF9426" w:rsidR="00AF313A" w:rsidRPr="00EF1379" w:rsidRDefault="00AF313A" w:rsidP="0060221F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23" w:hanging="284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W przypadku podania danych umożliwiających identyfikację Pani/Pana dane osobowe nie podlegają ujawnieniu nieupoważnionym osobom (tzn. osobom spoza zespołu odpowiedzialnego za prowadzenie postępowania w zgłoszonej sprawie), chyba że</w:t>
            </w:r>
            <w:r w:rsid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za</w:t>
            </w:r>
            <w:r w:rsid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Pani/Pana wyraźną zgodą. </w:t>
            </w:r>
          </w:p>
          <w:p w14:paraId="0A1FD474" w14:textId="77777777" w:rsidR="00AF313A" w:rsidRPr="00EF1379" w:rsidRDefault="00AF313A" w:rsidP="0060221F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23" w:hanging="284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Szczególne przypadki, gdy może dojść do ujawnienia danych: </w:t>
            </w:r>
          </w:p>
          <w:p w14:paraId="0A051BD5" w14:textId="1575B448" w:rsidR="00AF313A" w:rsidRPr="00EF1379" w:rsidRDefault="00AF313A" w:rsidP="0060221F">
            <w:pPr>
              <w:pStyle w:val="Akapitzlist"/>
              <w:spacing w:after="60" w:line="276" w:lineRule="auto"/>
              <w:ind w:left="323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W związku z postępowaniami wyjaśniającymi prowadzonymi przez organy publiczne lub postępowaniami przygotowawczymi lub sądowymi prowadzonymi przez sądy, w tym w celu zagwarantowania Pani/Panu prawa do obrony, może dojść do ujawnienia Pani/Pana danych, gdy takie działanie jest koniecznym i proporcjonalnym obowiązkiem wynikającym z przepisów prawa. Przed dokonaniem takiego ujawnienia, właściwy organ publiczny lub właściwy sąd powiadomi Panią/Pana,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  <w:p w14:paraId="261CE371" w14:textId="5D5E5490" w:rsidR="006906C5" w:rsidRPr="00EF1379" w:rsidRDefault="00AF313A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Administrator zapewnia poufność Pani/Pana danych w związku z otrzymanym zgłoszeniem. W związku z tym dane mogą być udostępnione jedynie podmiotom uprawnionym do tego na podstawie przepisów prawa oraz podmiotom, którym Administrator powierzył przetwarzanie danych, tzn.</w:t>
            </w:r>
            <w:r w:rsidR="00EF7B67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podmiotom realizującym wsparcie techniczne lub organizacyjne.</w:t>
            </w:r>
          </w:p>
        </w:tc>
      </w:tr>
      <w:tr w:rsidR="0002156B" w:rsidRPr="00EF1379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590D4A0" w:rsidR="0002156B" w:rsidRPr="00EF1379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EF1379" w:rsidRDefault="00267906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OKRES PRZECHOWYWANIA DANYCH</w:t>
            </w:r>
          </w:p>
          <w:p w14:paraId="18445A5C" w14:textId="6CD9A2E8" w:rsidR="00612663" w:rsidRPr="00EF1379" w:rsidRDefault="00DF36C4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      </w:r>
          </w:p>
        </w:tc>
      </w:tr>
      <w:tr w:rsidR="00393DF0" w:rsidRPr="00EF1379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1302B43B" w:rsidR="00393DF0" w:rsidRPr="00EF1379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EF1379" w:rsidRDefault="00267906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>PRAWA ZWIĄZANE Z PRZETWARZANIEM DANYCH</w:t>
            </w:r>
          </w:p>
          <w:p w14:paraId="2105534A" w14:textId="0C2AA747" w:rsidR="00EF7B67" w:rsidRPr="00EF1379" w:rsidRDefault="00EF7B67" w:rsidP="0060221F">
            <w:pPr>
              <w:spacing w:line="276" w:lineRule="auto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Posiada Pani/Pan prawo, na zasadach określonych w RODO, do:</w:t>
            </w:r>
          </w:p>
          <w:p w14:paraId="64591074" w14:textId="6C84734E" w:rsidR="00EF7B6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od administratora dostępu do treści swoich danych osobowych,</w:t>
            </w:r>
          </w:p>
          <w:p w14:paraId="47D9126C" w14:textId="4513B658" w:rsidR="00EF7B6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ich sprostowania,</w:t>
            </w:r>
          </w:p>
          <w:p w14:paraId="6DA4A2BB" w14:textId="49E2E43C" w:rsidR="00EF7B6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ich usunięcia, chyba, że obowiązujące przepisy prawa nakazują przechowywanie danych,</w:t>
            </w:r>
          </w:p>
          <w:p w14:paraId="6003D68B" w14:textId="19D81D5E" w:rsidR="00EF7B6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ograniczenia ich przetwarzania,</w:t>
            </w:r>
          </w:p>
          <w:p w14:paraId="0E4A8105" w14:textId="23410359" w:rsidR="00EF7B6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wniesienia sprzeciwu wobec przetwarzania,</w:t>
            </w:r>
            <w:r w:rsidR="00DF36C4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przy czym przysługuje ono jedynie w sytuacji, jeżeli dalsze przetwarzanie nie jest niezbędne do</w:t>
            </w:r>
            <w:r w:rsidR="00E90C29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="00DF36C4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wywiązania się przez Administratora z obowiązku prawnego i nie występują inne nadrzędne prawne podstawy przetwarzania.</w:t>
            </w:r>
          </w:p>
          <w:p w14:paraId="59872A63" w14:textId="01987114" w:rsidR="009E6CB7" w:rsidRPr="00EF1379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wniesienia skargi do organu nadzorczego tj. do Prezesa Urzędu Ochrony Danych Osobowych, jeśli uzna Pani/Pan za uzasadnione, że dane osobowe są przetwarzane niezgodnie z Ogólnym Rozporządzeniem o Ochronie Danych.</w:t>
            </w:r>
          </w:p>
        </w:tc>
      </w:tr>
      <w:tr w:rsidR="00610792" w:rsidRPr="00EF1379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5B09A342" w:rsidR="00610792" w:rsidRPr="00EF1379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EF1379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>ZAUTOMATYZOWANE PODEJMOWANIE DECYZJI ORAZ PROFILOWANIE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</w:p>
          <w:p w14:paraId="723382F6" w14:textId="77777777" w:rsidR="00DF36C4" w:rsidRPr="00EF1379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Pana/Pani dane osobowe nie podlegają zautomatyzowanemu podejmowaniu decyzji, w tym profilowaniu.</w:t>
            </w:r>
          </w:p>
          <w:p w14:paraId="27EFB8A8" w14:textId="5441A82B" w:rsidR="006906C5" w:rsidRPr="00EF1379" w:rsidRDefault="00DF36C4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EF1379">
              <w:rPr>
                <w:rFonts w:ascii="Arial" w:hAnsi="Arial" w:cs="Arial"/>
                <w:sz w:val="17"/>
                <w:szCs w:val="17"/>
              </w:rPr>
              <w:t xml:space="preserve"> Pani/Pana dane nie 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będą udostępnione do państwa trzeciego lub organizacji międzynarodowej</w:t>
            </w:r>
            <w:r w:rsidR="0060221F" w:rsidRPr="00EF1379">
              <w:rPr>
                <w:rFonts w:ascii="Arial" w:eastAsia="Tahoma" w:hAnsi="Arial" w:cs="Arial"/>
                <w:color w:val="auto"/>
                <w:sz w:val="17"/>
                <w:szCs w:val="17"/>
              </w:rPr>
              <w:t>.</w:t>
            </w:r>
          </w:p>
          <w:p w14:paraId="491C4D6A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296AA16" w14:textId="47C28654" w:rsidR="00610792" w:rsidRPr="00EF1379" w:rsidRDefault="00610792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</w:p>
        </w:tc>
      </w:tr>
      <w:bookmarkEnd w:id="1"/>
    </w:tbl>
    <w:p w14:paraId="5CABD0BC" w14:textId="77777777" w:rsidR="0060221F" w:rsidRPr="00EF1379" w:rsidRDefault="0060221F" w:rsidP="0060221F">
      <w:pPr>
        <w:spacing w:line="240" w:lineRule="auto"/>
        <w:ind w:left="5103"/>
        <w:jc w:val="both"/>
        <w:rPr>
          <w:rFonts w:ascii="Arial" w:eastAsia="Times New Roman" w:hAnsi="Arial" w:cs="Arial"/>
          <w:color w:val="auto"/>
          <w:kern w:val="0"/>
          <w:sz w:val="17"/>
          <w:szCs w:val="17"/>
          <w14:ligatures w14:val="none"/>
        </w:rPr>
      </w:pPr>
    </w:p>
    <w:tbl>
      <w:tblPr>
        <w:tblStyle w:val="TableGrid1"/>
        <w:tblW w:w="10598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10598"/>
      </w:tblGrid>
      <w:tr w:rsidR="0060221F" w:rsidRPr="00EF1379" w14:paraId="1CF4F493" w14:textId="77777777" w:rsidTr="00525AAA">
        <w:trPr>
          <w:trHeight w:val="372"/>
        </w:trPr>
        <w:tc>
          <w:tcPr>
            <w:tcW w:w="10598" w:type="dxa"/>
          </w:tcPr>
          <w:p w14:paraId="2A983782" w14:textId="77777777" w:rsidR="0060221F" w:rsidRPr="00EF1379" w:rsidRDefault="0060221F" w:rsidP="00E90C29">
            <w:pPr>
              <w:spacing w:line="276" w:lineRule="auto"/>
              <w:ind w:left="-102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  <w:t>Informacja dla osoby trzeciej wskazanej w zgłoszeniu od sygnalisty o zasadach przetwarzania jej danych osobowych</w:t>
            </w:r>
          </w:p>
          <w:p w14:paraId="5D44F4B8" w14:textId="77777777" w:rsidR="0060221F" w:rsidRPr="00EF1379" w:rsidRDefault="0060221F" w:rsidP="00E90C29">
            <w:pPr>
              <w:spacing w:line="240" w:lineRule="auto"/>
              <w:ind w:left="-102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</w:pPr>
          </w:p>
          <w:p w14:paraId="2C964C2C" w14:textId="4A94958B" w:rsidR="0060221F" w:rsidRPr="00EF1379" w:rsidRDefault="0060221F" w:rsidP="0060221F">
            <w:pPr>
              <w:spacing w:after="80" w:line="276" w:lineRule="auto"/>
              <w:ind w:left="-102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W związku z otrzymaniem Pani/Pana danych osobowych podanych przez sygnalistę w zgłoszeniu naruszenia na podstawie Regulamin przyjmowania zgłoszeń </w:t>
            </w:r>
            <w:r w:rsidR="00902426" w:rsidRPr="00EF1379">
              <w:rPr>
                <w:rFonts w:ascii="Arial" w:hAnsi="Arial" w:cs="Arial"/>
                <w:sz w:val="17"/>
                <w:szCs w:val="17"/>
                <w:lang w:eastAsia="en-US"/>
              </w:rPr>
              <w:t>W</w:t>
            </w: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ewnętrznych oraz podejmowania działań następczych informujemy, że:</w:t>
            </w:r>
          </w:p>
        </w:tc>
      </w:tr>
      <w:tr w:rsidR="0060221F" w:rsidRPr="00EF1379" w14:paraId="4B36C463" w14:textId="77777777" w:rsidTr="00525AAA">
        <w:trPr>
          <w:trHeight w:val="933"/>
        </w:trPr>
        <w:tc>
          <w:tcPr>
            <w:tcW w:w="10598" w:type="dxa"/>
          </w:tcPr>
          <w:p w14:paraId="7C5774E7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ADMINISTRATOR DANYCH</w:t>
            </w:r>
          </w:p>
          <w:p w14:paraId="422CC963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Administratorem Pani/Pana danych jest Państwowy Wojewódzki Inspektor Sanitarny w Bydgoszczy /Dyrektor Wojewódzkiej Stacji Sanitarno-Epidemiologicznej z siedzibą w Bydgoszczy przy ul. Kujawskiej 4, 85-031 Bydgoszcz, adres do </w:t>
            </w:r>
            <w:proofErr w:type="spellStart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eDoręczeń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: </w:t>
            </w:r>
            <w:proofErr w:type="spellStart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AE:PL-67719-88282-SBJJG-23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; mail: </w:t>
            </w:r>
            <w:hyperlink r:id="rId11" w:history="1">
              <w:r w:rsidRPr="00EF1379">
                <w:rPr>
                  <w:rFonts w:ascii="Arial" w:hAnsi="Arial" w:cs="Arial"/>
                  <w:sz w:val="17"/>
                  <w:szCs w:val="17"/>
                  <w:lang w:eastAsia="en-US"/>
                </w:rPr>
                <w:t>sekretariat.wsse.bydgoszcz@sanepid.gov.pl</w:t>
              </w:r>
            </w:hyperlink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, centrala telefoniczna (+48) 52 37 618 00, strona internetowa: </w:t>
            </w:r>
            <w:hyperlink r:id="rId12" w:history="1">
              <w:r w:rsidRPr="00EF1379">
                <w:rPr>
                  <w:rFonts w:ascii="Arial" w:hAnsi="Arial" w:cs="Arial"/>
                  <w:sz w:val="17"/>
                  <w:szCs w:val="17"/>
                  <w:lang w:eastAsia="en-US"/>
                </w:rPr>
                <w:t>https://www.gov.pl/web/wsse-bydgoszcz</w:t>
              </w:r>
            </w:hyperlink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.</w:t>
            </w:r>
          </w:p>
        </w:tc>
      </w:tr>
      <w:tr w:rsidR="0060221F" w:rsidRPr="00EF1379" w14:paraId="30E2FC42" w14:textId="77777777" w:rsidTr="00525AAA">
        <w:trPr>
          <w:trHeight w:val="288"/>
        </w:trPr>
        <w:tc>
          <w:tcPr>
            <w:tcW w:w="10598" w:type="dxa"/>
          </w:tcPr>
          <w:p w14:paraId="0F18F99C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INSPEKTOR DANYCH OSOBOWYCH</w:t>
            </w:r>
          </w:p>
          <w:p w14:paraId="4C2CA1E0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Z inspektorem można się kontaktować w każdej kwestii dotyczącej przetwarzania danych.</w:t>
            </w:r>
          </w:p>
          <w:p w14:paraId="674ADDCC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za pośrednictwem poczty elektronicznej, przesyłając informację na adres e-mail: </w:t>
            </w:r>
            <w:hyperlink r:id="rId13" w:history="1">
              <w:r w:rsidRPr="00EF1379">
                <w:rPr>
                  <w:rFonts w:ascii="Arial" w:eastAsia="Tahoma" w:hAnsi="Arial" w:cs="Arial"/>
                  <w:color w:val="auto"/>
                  <w:sz w:val="17"/>
                  <w:szCs w:val="17"/>
                  <w:u w:val="single"/>
                  <w:lang w:eastAsia="en-US"/>
                </w:rPr>
                <w:t>iod.wsse.bydgoszcz@sanepid.gov.pl</w:t>
              </w:r>
            </w:hyperlink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 lub </w:t>
            </w:r>
          </w:p>
          <w:p w14:paraId="3E2BC9A1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wykorzystując dane do korespondencji wskazane w pkt 1 niniejszej Informacji.  </w:t>
            </w:r>
          </w:p>
        </w:tc>
      </w:tr>
      <w:tr w:rsidR="0060221F" w:rsidRPr="00EF1379" w14:paraId="7D18FFED" w14:textId="77777777" w:rsidTr="00525AAA">
        <w:trPr>
          <w:trHeight w:val="1042"/>
        </w:trPr>
        <w:tc>
          <w:tcPr>
            <w:tcW w:w="10598" w:type="dxa"/>
          </w:tcPr>
          <w:p w14:paraId="0EF4307E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PODSTAWA I CEL PRZETWARZANIA DANYCH </w:t>
            </w:r>
          </w:p>
          <w:p w14:paraId="48F5144F" w14:textId="1ECD66C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Pani/Pana dane osobowe będą przetwarzane w celu </w:t>
            </w:r>
            <w:r w:rsidRPr="00EF1379">
              <w:rPr>
                <w:rFonts w:ascii="Arial" w:hAnsi="Arial" w:cs="Arial"/>
                <w:color w:val="auto"/>
                <w:kern w:val="0"/>
                <w:sz w:val="17"/>
                <w:szCs w:val="17"/>
                <w:lang w:eastAsia="en-US"/>
                <w14:ligatures w14:val="none"/>
              </w:rPr>
              <w:t xml:space="preserve">rozpatrzenia zgłoszenia naruszenia prawa pochodzącego od sygnalisty oraz ewentualnego wdrożenia tzw. działań następczych </w:t>
            </w: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 związanych ze zgłaszanymi przypadkami naruszenia prawa oraz z podejmowanymi działaniami następczymi, na podstawie przepisów prawa zgodnie z art. 6 </w:t>
            </w:r>
            <w:proofErr w:type="spellStart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ust.1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lit. c) RODO, a jeżeli przetwarzanie będzie dotyczyło danych szczególnej kategorii, podstawą prawną będzie art. 9 </w:t>
            </w:r>
            <w:proofErr w:type="spellStart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ust.2</w:t>
            </w:r>
            <w:proofErr w:type="spellEnd"/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lit. g) RODO, w powiązaniu z Dyrektywą Parlamentu Europejskiego i Rady (UE) 2019/1937 z dnia 23 października 2019 r. oraz Ustawą z dnia 14 czerwca 2024 r. o ochronie sygnalistów.</w:t>
            </w:r>
          </w:p>
        </w:tc>
      </w:tr>
      <w:tr w:rsidR="0060221F" w:rsidRPr="00EF1379" w14:paraId="41C930DC" w14:textId="77777777" w:rsidTr="00525AAA">
        <w:trPr>
          <w:trHeight w:val="415"/>
        </w:trPr>
        <w:tc>
          <w:tcPr>
            <w:tcW w:w="10598" w:type="dxa"/>
          </w:tcPr>
          <w:p w14:paraId="431F1026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INFORMACJA O POZYSKANIU DANYCH</w:t>
            </w:r>
          </w:p>
          <w:p w14:paraId="19BB4EC2" w14:textId="38B9A98C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Pani/Pana dane osobowe zostały pozyskane od osoby, która dokonała zgłoszenia naruszenia prawa w trybie opisanym w Regulaminie przyjmowania zgłoszeń naruszeń prawa oraz podejmowania działań następczych u Państwowego Wojewódzkiego Inspektora Sanitarnego z siedzibą w Bydgoszczy, Dyrektora Wojewódzkiej Stacji Sanitarno-Epidemiologicznej w Bydgoszczy.</w:t>
            </w:r>
          </w:p>
        </w:tc>
      </w:tr>
      <w:tr w:rsidR="0060221F" w:rsidRPr="00EF1379" w14:paraId="188E6E2C" w14:textId="77777777" w:rsidTr="00525AAA">
        <w:trPr>
          <w:trHeight w:val="1097"/>
        </w:trPr>
        <w:tc>
          <w:tcPr>
            <w:tcW w:w="10598" w:type="dxa"/>
          </w:tcPr>
          <w:p w14:paraId="5E642D3B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UDOSTĘPNIANE DANYCH</w:t>
            </w:r>
          </w:p>
          <w:p w14:paraId="44280AF2" w14:textId="77777777" w:rsidR="0060221F" w:rsidRPr="00EF1379" w:rsidRDefault="0060221F" w:rsidP="00EF1379">
            <w:pPr>
              <w:numPr>
                <w:ilvl w:val="0"/>
                <w:numId w:val="8"/>
              </w:numPr>
              <w:spacing w:after="60" w:line="276" w:lineRule="auto"/>
              <w:ind w:left="324" w:hanging="283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Pani/Pana dane osobowe nie podlegają ujawnieniu nieupoważnionym osobom (tzn. osobom spoza zespołu odpowiedzialnego za prowadzenie postępowania w zgłoszonej sprawie), chyba że za Pani/Pana wyraźną zgodą. </w:t>
            </w:r>
          </w:p>
          <w:p w14:paraId="4F38CFF0" w14:textId="77777777" w:rsidR="0060221F" w:rsidRPr="00EF1379" w:rsidRDefault="0060221F" w:rsidP="00EF1379">
            <w:pPr>
              <w:numPr>
                <w:ilvl w:val="0"/>
                <w:numId w:val="8"/>
              </w:numPr>
              <w:spacing w:after="60" w:line="276" w:lineRule="auto"/>
              <w:ind w:left="323" w:hanging="284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Szczególne przypadki, gdy może dojść do ujawnienia danych: </w:t>
            </w:r>
          </w:p>
          <w:p w14:paraId="518E04DA" w14:textId="77777777" w:rsidR="0060221F" w:rsidRPr="00EF1379" w:rsidRDefault="0060221F" w:rsidP="0060221F">
            <w:pPr>
              <w:spacing w:after="60" w:line="276" w:lineRule="auto"/>
              <w:ind w:left="323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 związku z postępowaniami wyjaśniającymi prowadzonymi przez organy publiczne lub postępowaniami przygotowawczymi lub sądowymi prowadzonymi przez sądy, w tym w celu zagwarantowania Pani/Panu prawa do obrony, może dojść do ujawnienia Pani/Pana danych, gdy takie działanie jest koniecznym i proporcjonalnym obowiązkiem wynikającym z przepisów prawa. Przed dokonaniem takiego ujawnienia, właściwy organ publiczny lub właściwy sąd powiadomi Panią/Pana,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  <w:p w14:paraId="505CF0CB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Administrator zapewnia poufność Pani/Pana danych w związku z otrzymanym zgłoszeniem. W związku z tym dane mogą być udostępnione jedynie podmiotom uprawnionym do tego na podstawie przepisów prawa oraz podmiotom, którym Administrator powierzył przetwarzanie danych, tzn. podmiotom realizującym wsparcie techniczne lub organizacyjne.</w:t>
            </w:r>
          </w:p>
        </w:tc>
      </w:tr>
      <w:tr w:rsidR="0060221F" w:rsidRPr="00EF1379" w14:paraId="48F1B375" w14:textId="77777777" w:rsidTr="00525AAA">
        <w:trPr>
          <w:trHeight w:val="1097"/>
        </w:trPr>
        <w:tc>
          <w:tcPr>
            <w:tcW w:w="10598" w:type="dxa"/>
          </w:tcPr>
          <w:p w14:paraId="2B2539F8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OKRES PRZECHOWYWANIA DANYCH</w:t>
            </w:r>
          </w:p>
          <w:p w14:paraId="4E2DAA79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 są zbierane, a w razie przypadkowego zebrania są niezwłocznie usuwane. Usunięcie tych danych osobowych następuje w terminie 14 dni od chwili ustalenia, że nie mają one znaczenia dla sprawy.</w:t>
            </w:r>
          </w:p>
        </w:tc>
      </w:tr>
      <w:tr w:rsidR="0060221F" w:rsidRPr="00EF1379" w14:paraId="6835A7D5" w14:textId="77777777" w:rsidTr="00525AAA">
        <w:trPr>
          <w:trHeight w:val="372"/>
        </w:trPr>
        <w:tc>
          <w:tcPr>
            <w:tcW w:w="10598" w:type="dxa"/>
          </w:tcPr>
          <w:p w14:paraId="7B7E5EA0" w14:textId="77777777" w:rsidR="0060221F" w:rsidRPr="00EF1379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PRAWA ZWIĄZANE Z PRZETWARZANIEM DANYCH</w:t>
            </w:r>
          </w:p>
          <w:p w14:paraId="3A011923" w14:textId="77777777" w:rsidR="0060221F" w:rsidRPr="00EF1379" w:rsidRDefault="0060221F" w:rsidP="0060221F">
            <w:pPr>
              <w:spacing w:line="276" w:lineRule="auto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Posiada Pani/Pan prawo, na zasadach określonych w RODO, do:</w:t>
            </w:r>
          </w:p>
          <w:p w14:paraId="572E14AD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od administratora dostępu do treści swoich danych osobowych,</w:t>
            </w:r>
          </w:p>
          <w:p w14:paraId="1DDC1D32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ich sprostowania,</w:t>
            </w:r>
          </w:p>
          <w:p w14:paraId="2058D3AB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ich usunięcia, chyba, że obowiązujące przepisy prawa nakazują przechowywanie danych,</w:t>
            </w:r>
          </w:p>
          <w:p w14:paraId="0ABD0C0F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ograniczenia ich przetwarzania,</w:t>
            </w:r>
          </w:p>
          <w:p w14:paraId="11845320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wniesienia sprzeciwu wobec przetwarzania, przy czym przysługuje ono jedynie w sytuacji, jeżeli dalsze przetwarzanie nie jest niezbędne do wywiązania się przez Administratora z obowiązku prawnego i nie występują inne nadrzędne prawne podstawy przetwarzania.</w:t>
            </w:r>
          </w:p>
          <w:p w14:paraId="1C75A488" w14:textId="77777777" w:rsidR="0060221F" w:rsidRPr="00EF1379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wniesienia skargi do organu nadzorczego tj. do Prezesa Urzędu Ochrony Danych Osobowych, jeśli uzna Pani/Pan za uzasadnione, że dane osobowe są przetwarzane niezgodnie z Ogólnym Rozporządzeniem o Ochronie Danych (uodo.gov.pl).</w:t>
            </w:r>
          </w:p>
        </w:tc>
      </w:tr>
      <w:tr w:rsidR="0060221F" w:rsidRPr="00EF1379" w14:paraId="2B8D35E9" w14:textId="77777777" w:rsidTr="00525AAA">
        <w:trPr>
          <w:trHeight w:val="372"/>
        </w:trPr>
        <w:tc>
          <w:tcPr>
            <w:tcW w:w="10598" w:type="dxa"/>
          </w:tcPr>
          <w:p w14:paraId="6D747995" w14:textId="77777777" w:rsidR="0060221F" w:rsidRPr="00EF1379" w:rsidRDefault="0060221F" w:rsidP="002D5177">
            <w:pPr>
              <w:spacing w:before="8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>ZAUTOMATYZOWANE PODEJMOWANIE DECYZJI ORAZ PROFILOWANIE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 </w:t>
            </w:r>
          </w:p>
          <w:p w14:paraId="286935DA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Pana/Pani dane osobowe nie podlegają zautomatyzowanemu podejmowaniu decyzji, w tym profilowaniu.</w:t>
            </w:r>
          </w:p>
          <w:p w14:paraId="6743B540" w14:textId="77777777" w:rsidR="0060221F" w:rsidRPr="00EF1379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EF1379">
              <w:rPr>
                <w:rFonts w:ascii="Arial" w:hAnsi="Arial" w:cs="Arial"/>
                <w:sz w:val="17"/>
                <w:szCs w:val="17"/>
                <w:lang w:eastAsia="en-US"/>
              </w:rPr>
              <w:t xml:space="preserve">Pani/Pana dane nie </w:t>
            </w:r>
            <w:r w:rsidRPr="00EF1379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będą udostępnione do państwa trzeciego lub organizacji międzynarodowej.</w:t>
            </w:r>
          </w:p>
        </w:tc>
      </w:tr>
    </w:tbl>
    <w:p w14:paraId="23485A91" w14:textId="77777777" w:rsidR="0060221F" w:rsidRPr="00FA53A0" w:rsidRDefault="0060221F">
      <w:pPr>
        <w:spacing w:after="80" w:line="240" w:lineRule="auto"/>
        <w:ind w:left="0"/>
        <w:rPr>
          <w:color w:val="auto"/>
          <w:szCs w:val="16"/>
        </w:rPr>
      </w:pPr>
    </w:p>
    <w:sectPr w:rsidR="0060221F" w:rsidRPr="00FA53A0" w:rsidSect="0060221F">
      <w:headerReference w:type="default" r:id="rId14"/>
      <w:footerReference w:type="default" r:id="rId15"/>
      <w:endnotePr>
        <w:numFmt w:val="decimal"/>
      </w:endnotePr>
      <w:type w:val="continuous"/>
      <w:pgSz w:w="11906" w:h="16838"/>
      <w:pgMar w:top="1137" w:right="1440" w:bottom="709" w:left="1440" w:header="420" w:footer="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1F48" w14:textId="77777777" w:rsidR="00781F4B" w:rsidRDefault="00781F4B" w:rsidP="00AF7D44">
      <w:pPr>
        <w:spacing w:line="240" w:lineRule="auto"/>
      </w:pPr>
      <w:r>
        <w:separator/>
      </w:r>
    </w:p>
  </w:endnote>
  <w:endnote w:type="continuationSeparator" w:id="0">
    <w:p w14:paraId="4F3A9153" w14:textId="77777777" w:rsidR="00781F4B" w:rsidRDefault="00781F4B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A33479" w14:textId="31DBDBB4" w:rsidR="00AF7D44" w:rsidRDefault="00AF7D44" w:rsidP="0060221F">
            <w:pPr>
              <w:ind w:left="0"/>
              <w:jc w:val="center"/>
            </w:pPr>
            <w:r w:rsidRPr="00227884">
              <w:rPr>
                <w:sz w:val="18"/>
                <w:szCs w:val="18"/>
              </w:rPr>
              <w:t xml:space="preserve">Strona </w:t>
            </w:r>
            <w:r w:rsidR="00227884">
              <w:rPr>
                <w:sz w:val="18"/>
                <w:szCs w:val="18"/>
              </w:rPr>
              <w:t>1</w:t>
            </w:r>
            <w:r w:rsidRPr="00227884">
              <w:rPr>
                <w:sz w:val="18"/>
                <w:szCs w:val="18"/>
              </w:rPr>
              <w:t xml:space="preserve"> z </w:t>
            </w:r>
            <w:r w:rsidR="00227884">
              <w:rPr>
                <w:sz w:val="18"/>
                <w:szCs w:val="18"/>
              </w:rPr>
              <w:t>1</w:t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977E" w14:textId="77777777" w:rsidR="00781F4B" w:rsidRDefault="00781F4B" w:rsidP="00AF7D44">
      <w:pPr>
        <w:spacing w:line="240" w:lineRule="auto"/>
      </w:pPr>
      <w:r>
        <w:separator/>
      </w:r>
    </w:p>
  </w:footnote>
  <w:footnote w:type="continuationSeparator" w:id="0">
    <w:p w14:paraId="76B74FFB" w14:textId="77777777" w:rsidR="00781F4B" w:rsidRDefault="00781F4B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8BF4C80" w14:textId="77777777" w:rsidR="00AF7D44" w:rsidRDefault="00AF7D44" w:rsidP="00227884">
          <w:pPr>
            <w:jc w:val="center"/>
            <w:rPr>
              <w:rFonts w:eastAsia="Times New Roman"/>
              <w:iCs/>
              <w:sz w:val="24"/>
            </w:rPr>
          </w:pPr>
          <w:bookmarkStart w:id="3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288C688E" w:rsidR="0060221F" w:rsidRPr="0060221F" w:rsidRDefault="0060221F" w:rsidP="0060221F">
          <w:pPr>
            <w:spacing w:line="276" w:lineRule="auto"/>
            <w:jc w:val="center"/>
            <w:rPr>
              <w:rFonts w:ascii="Arial" w:hAnsi="Arial" w:cs="Arial"/>
              <w:b/>
              <w:bCs/>
              <w:szCs w:val="16"/>
            </w:rPr>
          </w:pPr>
          <w:r w:rsidRPr="0060221F">
            <w:rPr>
              <w:rFonts w:ascii="Arial" w:eastAsia="Times New Roman" w:hAnsi="Arial" w:cs="Arial"/>
              <w:b/>
              <w:bCs/>
              <w:iCs/>
              <w:szCs w:val="16"/>
            </w:rPr>
            <w:t>Informacja dla zgł</w:t>
          </w:r>
          <w:r w:rsidR="00C21926">
            <w:rPr>
              <w:rFonts w:ascii="Arial" w:eastAsia="Times New Roman" w:hAnsi="Arial" w:cs="Arial"/>
              <w:b/>
              <w:bCs/>
              <w:iCs/>
              <w:szCs w:val="16"/>
            </w:rPr>
            <w:t>oszeń</w:t>
          </w:r>
          <w:r w:rsidRPr="0060221F">
            <w:rPr>
              <w:rFonts w:ascii="Arial" w:eastAsia="Times New Roman" w:hAnsi="Arial" w:cs="Arial"/>
              <w:b/>
              <w:bCs/>
              <w:iCs/>
              <w:szCs w:val="16"/>
            </w:rPr>
            <w:t xml:space="preserve"> naruszenia prawa</w:t>
          </w:r>
        </w:p>
      </w:tc>
    </w:tr>
    <w:bookmarkEnd w:id="3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2D1"/>
    <w:multiLevelType w:val="hybridMultilevel"/>
    <w:tmpl w:val="EBC81BC2"/>
    <w:lvl w:ilvl="0" w:tplc="C3C02F26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8A46FFC"/>
    <w:multiLevelType w:val="hybridMultilevel"/>
    <w:tmpl w:val="37763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E4F02"/>
    <w:multiLevelType w:val="hybridMultilevel"/>
    <w:tmpl w:val="377639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4"/>
  </w:num>
  <w:num w:numId="2" w16cid:durableId="1461729100">
    <w:abstractNumId w:val="2"/>
  </w:num>
  <w:num w:numId="3" w16cid:durableId="1787459846">
    <w:abstractNumId w:val="3"/>
  </w:num>
  <w:num w:numId="4" w16cid:durableId="1786581508">
    <w:abstractNumId w:val="7"/>
  </w:num>
  <w:num w:numId="5" w16cid:durableId="1638141759">
    <w:abstractNumId w:val="6"/>
  </w:num>
  <w:num w:numId="6" w16cid:durableId="1844976671">
    <w:abstractNumId w:val="0"/>
  </w:num>
  <w:num w:numId="7" w16cid:durableId="801077503">
    <w:abstractNumId w:val="1"/>
  </w:num>
  <w:num w:numId="8" w16cid:durableId="1409041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2156B"/>
    <w:rsid w:val="00030785"/>
    <w:rsid w:val="00077F41"/>
    <w:rsid w:val="000B4B1D"/>
    <w:rsid w:val="000C4A20"/>
    <w:rsid w:val="0010788E"/>
    <w:rsid w:val="001B04B3"/>
    <w:rsid w:val="001D64DD"/>
    <w:rsid w:val="001D72BB"/>
    <w:rsid w:val="00212198"/>
    <w:rsid w:val="002178BA"/>
    <w:rsid w:val="00227884"/>
    <w:rsid w:val="00241ED3"/>
    <w:rsid w:val="00267906"/>
    <w:rsid w:val="002A5104"/>
    <w:rsid w:val="002D5177"/>
    <w:rsid w:val="002F1C51"/>
    <w:rsid w:val="002F6FE3"/>
    <w:rsid w:val="003234D5"/>
    <w:rsid w:val="003478D3"/>
    <w:rsid w:val="00373BA6"/>
    <w:rsid w:val="003840D5"/>
    <w:rsid w:val="00393DF0"/>
    <w:rsid w:val="003949C6"/>
    <w:rsid w:val="003A415E"/>
    <w:rsid w:val="003B57E2"/>
    <w:rsid w:val="003D6069"/>
    <w:rsid w:val="00426EFC"/>
    <w:rsid w:val="00427836"/>
    <w:rsid w:val="00476BDC"/>
    <w:rsid w:val="004A17FD"/>
    <w:rsid w:val="004F7073"/>
    <w:rsid w:val="0051580B"/>
    <w:rsid w:val="00557D26"/>
    <w:rsid w:val="00582E68"/>
    <w:rsid w:val="005F4DC0"/>
    <w:rsid w:val="005F67B6"/>
    <w:rsid w:val="0060221F"/>
    <w:rsid w:val="00610792"/>
    <w:rsid w:val="00612663"/>
    <w:rsid w:val="00644F02"/>
    <w:rsid w:val="006516BD"/>
    <w:rsid w:val="006906C5"/>
    <w:rsid w:val="006A7F5A"/>
    <w:rsid w:val="006B74C9"/>
    <w:rsid w:val="006C3A1C"/>
    <w:rsid w:val="006D66CA"/>
    <w:rsid w:val="00701778"/>
    <w:rsid w:val="00706AE7"/>
    <w:rsid w:val="0071584B"/>
    <w:rsid w:val="00726FA5"/>
    <w:rsid w:val="007355D4"/>
    <w:rsid w:val="007419F5"/>
    <w:rsid w:val="00743AF7"/>
    <w:rsid w:val="00757591"/>
    <w:rsid w:val="00777609"/>
    <w:rsid w:val="00777BF4"/>
    <w:rsid w:val="00781F4B"/>
    <w:rsid w:val="007907FE"/>
    <w:rsid w:val="007A671E"/>
    <w:rsid w:val="007C2DA5"/>
    <w:rsid w:val="007E7AF2"/>
    <w:rsid w:val="00804154"/>
    <w:rsid w:val="00861251"/>
    <w:rsid w:val="008650F3"/>
    <w:rsid w:val="008A4161"/>
    <w:rsid w:val="008A78A2"/>
    <w:rsid w:val="008A7AEF"/>
    <w:rsid w:val="008C767F"/>
    <w:rsid w:val="00902426"/>
    <w:rsid w:val="00907C18"/>
    <w:rsid w:val="009108EB"/>
    <w:rsid w:val="00921F9B"/>
    <w:rsid w:val="009715A3"/>
    <w:rsid w:val="0098485D"/>
    <w:rsid w:val="0099140B"/>
    <w:rsid w:val="009A397B"/>
    <w:rsid w:val="009E6CB7"/>
    <w:rsid w:val="00A652EA"/>
    <w:rsid w:val="00A96270"/>
    <w:rsid w:val="00AA7839"/>
    <w:rsid w:val="00AF313A"/>
    <w:rsid w:val="00AF466B"/>
    <w:rsid w:val="00AF78CD"/>
    <w:rsid w:val="00AF7D44"/>
    <w:rsid w:val="00B60917"/>
    <w:rsid w:val="00B87A47"/>
    <w:rsid w:val="00BC0265"/>
    <w:rsid w:val="00BC18E3"/>
    <w:rsid w:val="00C03EFB"/>
    <w:rsid w:val="00C1203F"/>
    <w:rsid w:val="00C21926"/>
    <w:rsid w:val="00C34FBD"/>
    <w:rsid w:val="00C465BB"/>
    <w:rsid w:val="00C71472"/>
    <w:rsid w:val="00CE1F1A"/>
    <w:rsid w:val="00D1191D"/>
    <w:rsid w:val="00D719EA"/>
    <w:rsid w:val="00D7501F"/>
    <w:rsid w:val="00D84D28"/>
    <w:rsid w:val="00D97BCF"/>
    <w:rsid w:val="00DB2C14"/>
    <w:rsid w:val="00DC238D"/>
    <w:rsid w:val="00DF36C4"/>
    <w:rsid w:val="00E3042E"/>
    <w:rsid w:val="00E64B73"/>
    <w:rsid w:val="00E70C41"/>
    <w:rsid w:val="00E74905"/>
    <w:rsid w:val="00E90C29"/>
    <w:rsid w:val="00EB29D3"/>
    <w:rsid w:val="00ED3202"/>
    <w:rsid w:val="00EF1379"/>
    <w:rsid w:val="00EF7B67"/>
    <w:rsid w:val="00F920C8"/>
    <w:rsid w:val="00FA53A0"/>
    <w:rsid w:val="00FA5FE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3A0"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  <w:style w:type="table" w:customStyle="1" w:styleId="TableGrid1">
    <w:name w:val="TableGrid1"/>
    <w:rsid w:val="0060221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hyperlink" Target="mailto:iod.wsse.bydgosz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wsse-bydgosz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wsse.bydgoszcz@sanepid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3</cp:revision>
  <dcterms:created xsi:type="dcterms:W3CDTF">2025-06-25T08:22:00Z</dcterms:created>
  <dcterms:modified xsi:type="dcterms:W3CDTF">2025-06-25T10:17:00Z</dcterms:modified>
</cp:coreProperties>
</file>