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0558" w14:textId="77777777" w:rsidR="006B757D" w:rsidRPr="00F17C0A" w:rsidRDefault="006B757D"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3A7B1570">
        <w:rPr>
          <w:sz w:val="36"/>
          <w:szCs w:val="36"/>
        </w:rPr>
        <w:t>FORMULARZ</w:t>
      </w:r>
      <w:r w:rsidR="00A214A3" w:rsidRPr="3A7B1570">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sidRPr="3A7B1570">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64170984"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dotyczące projektu (wypełniane</w:t>
      </w:r>
      <w:r w:rsidR="00A33C07">
        <w:t xml:space="preserve"> </w:t>
      </w:r>
      <w:r w:rsidRPr="00231B7A">
        <w:t xml:space="preserve">przez </w:t>
      </w:r>
      <w:bookmarkStart w:id="5" w:name="_Hlk164668040"/>
      <w:r w:rsidR="009B762A">
        <w:t xml:space="preserve"> </w:t>
      </w:r>
      <w:r w:rsidR="007857D1">
        <w:t>w</w:t>
      </w:r>
      <w:r w:rsidR="00E63D39">
        <w:t>nioskodawcę</w:t>
      </w:r>
      <w:r w:rsidR="009B762A">
        <w:t xml:space="preserve"> </w:t>
      </w:r>
      <w:r w:rsidR="00A33C07">
        <w:t>w odniesieniu do zakresu realizowanych prac w projekcie</w:t>
      </w:r>
      <w:bookmarkEnd w:id="5"/>
      <w:r w:rsidR="00B43C25">
        <w:t xml:space="preserve"> przez wszystkich członków </w:t>
      </w:r>
      <w:r w:rsidR="009B762A">
        <w:t xml:space="preserve"> </w:t>
      </w:r>
      <w:r w:rsidR="00B43C25">
        <w:t>konsorcjum</w:t>
      </w:r>
      <w:r w:rsidRPr="00231B7A">
        <w:t>)</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525EBDF1" w:rsidR="004C0E7B" w:rsidRPr="009A174D" w:rsidDel="00026D53" w:rsidRDefault="004C0E7B" w:rsidP="003274C5">
            <w:pPr>
              <w:pStyle w:val="Akapitzlist"/>
              <w:numPr>
                <w:ilvl w:val="0"/>
                <w:numId w:val="52"/>
              </w:numPr>
              <w:jc w:val="both"/>
            </w:pPr>
            <w:r w:rsidRPr="009A174D">
              <w:t xml:space="preserve">Nr </w:t>
            </w:r>
            <w:r w:rsidR="00B1550C" w:rsidRPr="00B1550C">
              <w:t>wniosku o dofinansowanie</w:t>
            </w:r>
            <w:r w:rsidRPr="009A174D">
              <w:t>:</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029391DA" w:rsidR="004C0E7B" w:rsidRPr="009A174D" w:rsidRDefault="004C0E7B" w:rsidP="00AA77B6">
            <w:pPr>
              <w:pStyle w:val="Akapitzlist"/>
              <w:numPr>
                <w:ilvl w:val="0"/>
                <w:numId w:val="52"/>
              </w:numPr>
              <w:jc w:val="both"/>
            </w:pPr>
            <w:r w:rsidRPr="009A174D">
              <w:t xml:space="preserve">Nazwa </w:t>
            </w:r>
            <w:r w:rsidR="007857D1">
              <w:t>w</w:t>
            </w:r>
            <w:r w:rsidR="00E63D39">
              <w:t>nioskodawcy</w:t>
            </w:r>
            <w:r w:rsidRPr="009A174D">
              <w:t>:</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6"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6"/>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7"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7"/>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5EA7A9D6"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7857D1">
              <w:rPr>
                <w:color w:val="auto"/>
              </w:rPr>
              <w:t>w</w:t>
            </w:r>
            <w:r w:rsidR="00E63D39">
              <w:rPr>
                <w:color w:val="auto"/>
              </w:rPr>
              <w:t>nioskodawca</w:t>
            </w:r>
            <w:r w:rsidR="007C3ADC">
              <w:rPr>
                <w:color w:val="auto"/>
              </w:rPr>
              <w:t xml:space="preserve"> </w:t>
            </w:r>
            <w:r w:rsidR="00053DB6">
              <w:rPr>
                <w:color w:val="auto"/>
              </w:rPr>
              <w:t xml:space="preserve">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8" w:name="_Toc125645860"/>
      <w:bookmarkStart w:id="9" w:name="_Toc125710365"/>
      <w:r>
        <w:br w:type="page"/>
      </w:r>
    </w:p>
    <w:p w14:paraId="03840B41" w14:textId="279E823C" w:rsidR="00B72813" w:rsidRDefault="00B72813" w:rsidP="004F087E">
      <w:pPr>
        <w:pStyle w:val="Nagwek1"/>
        <w:spacing w:line="276" w:lineRule="auto"/>
        <w:jc w:val="both"/>
      </w:pPr>
      <w:bookmarkStart w:id="10" w:name="_Toc126237550"/>
      <w:bookmarkStart w:id="11" w:name="_Toc126242044"/>
      <w:bookmarkStart w:id="12" w:name="_Hlk126247128"/>
      <w:r w:rsidRPr="00E43591">
        <w:lastRenderedPageBreak/>
        <w:t>Z</w:t>
      </w:r>
      <w:r w:rsidR="0003017B">
        <w:t>godność projektu z z</w:t>
      </w:r>
      <w:r w:rsidR="0083625B">
        <w:t>asad</w:t>
      </w:r>
      <w:r w:rsidR="0003017B">
        <w:t xml:space="preserve">ami </w:t>
      </w:r>
      <w:r w:rsidR="004E7F56">
        <w:t>horyzontalnymi</w:t>
      </w:r>
      <w:bookmarkEnd w:id="8"/>
      <w:bookmarkEnd w:id="9"/>
      <w:r w:rsidR="004E7F56">
        <w:t xml:space="preserve"> i wymogami </w:t>
      </w:r>
      <w:r w:rsidR="00F70C7F">
        <w:t>ochrony środowiska</w:t>
      </w:r>
      <w:bookmarkEnd w:id="10"/>
      <w:bookmarkEnd w:id="11"/>
      <w:r w:rsidR="004E7F56">
        <w:t xml:space="preserve"> </w:t>
      </w:r>
      <w:r w:rsidR="00724BEC">
        <w:t>(wypełniane</w:t>
      </w:r>
      <w:r w:rsidR="007C3ADC">
        <w:t xml:space="preserve"> </w:t>
      </w:r>
      <w:r w:rsidR="00724BEC">
        <w:t xml:space="preserve">przez </w:t>
      </w:r>
      <w:r w:rsidR="007857D1">
        <w:t>w</w:t>
      </w:r>
      <w:r w:rsidR="00E63D39">
        <w:t>nioskodawcę</w:t>
      </w:r>
      <w:r w:rsidR="007C3ADC">
        <w:t xml:space="preserve"> w odniesieniu do zakresu realizowanych prac w projekcie</w:t>
      </w:r>
      <w:r w:rsidR="00B43C25" w:rsidRPr="00B43C25">
        <w:t xml:space="preserve"> przez wszystkich członków konsorcjum</w:t>
      </w:r>
      <w:r w:rsidR="00724BE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2"/>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25521938"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007857D1">
              <w:t>w</w:t>
            </w:r>
            <w:r w:rsidR="00B43C25">
              <w:t xml:space="preserve">nioskodawca </w:t>
            </w:r>
            <w:r w:rsidRPr="000F503E">
              <w:t>zobowiązuje się do zabezpieczenia sprzętu informatycznego przed cyberatakami</w:t>
            </w:r>
            <w:r>
              <w:t xml:space="preserve">. </w:t>
            </w:r>
          </w:p>
          <w:p w14:paraId="51752357" w14:textId="23E7ADE8"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w:t>
            </w:r>
            <w:r w:rsidR="007857D1">
              <w:t>w</w:t>
            </w:r>
            <w:r w:rsidR="00B43C25">
              <w:t>nioskodawca</w:t>
            </w:r>
            <w:r w:rsidR="00E63D39">
              <w:t xml:space="preserve"> </w:t>
            </w:r>
            <w:r w:rsidR="004D3FF2" w:rsidRPr="001F7A5A">
              <w:t xml:space="preserve">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43B5C65E" w:rsidR="009238ED" w:rsidRPr="00AB0E9E" w:rsidRDefault="000B644A" w:rsidP="004D3FF2">
            <w:pPr>
              <w:pStyle w:val="Akapitzlist"/>
              <w:numPr>
                <w:ilvl w:val="0"/>
                <w:numId w:val="18"/>
              </w:numPr>
              <w:jc w:val="both"/>
            </w:pPr>
            <w:r w:rsidRPr="00AB0E9E">
              <w:t xml:space="preserve">W </w:t>
            </w:r>
            <w:r w:rsidR="004D3FF2" w:rsidRPr="00AB0E9E">
              <w:t>jaki sposób</w:t>
            </w:r>
            <w:r w:rsidR="00506459">
              <w:t xml:space="preserve"> </w:t>
            </w:r>
            <w:r w:rsidR="007857D1">
              <w:t>w</w:t>
            </w:r>
            <w:r w:rsidR="00B43C25">
              <w:t>nioskodawca</w:t>
            </w:r>
            <w:r w:rsidR="00506459">
              <w:t xml:space="preserve"> </w:t>
            </w:r>
            <w:r w:rsidR="004D3FF2" w:rsidRPr="00AB0E9E">
              <w:t>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442D4A85" w:rsidR="004D3FF2" w:rsidRDefault="008430BD" w:rsidP="004D3FF2">
            <w:pPr>
              <w:pStyle w:val="Bezodstpw"/>
              <w:numPr>
                <w:ilvl w:val="0"/>
                <w:numId w:val="37"/>
              </w:numPr>
              <w:spacing w:line="276" w:lineRule="auto"/>
              <w:jc w:val="both"/>
            </w:pPr>
            <w:r>
              <w:t>Na</w:t>
            </w:r>
            <w:r w:rsidR="004D3FF2" w:rsidRPr="00236A7D">
              <w:t xml:space="preserve">leży potwierdzić, że </w:t>
            </w:r>
            <w:r w:rsidR="007857D1">
              <w:t>w</w:t>
            </w:r>
            <w:r w:rsidR="00B43C25">
              <w:t>nioskodawca</w:t>
            </w:r>
            <w:r w:rsidR="004D3FF2" w:rsidRPr="00236A7D">
              <w:t xml:space="preserve">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w:t>
            </w:r>
            <w:r w:rsidR="007857D1">
              <w:t>w</w:t>
            </w:r>
            <w:r w:rsidR="009B762A">
              <w:t>nioskodawca</w:t>
            </w:r>
            <w:r w:rsidR="007C3ADC">
              <w:t xml:space="preserve"> </w:t>
            </w:r>
            <w:r w:rsidR="004D3FF2">
              <w:t>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lastRenderedPageBreak/>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7F02478A"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w:t>
            </w:r>
            <w:r w:rsidR="007857D1">
              <w:t>w</w:t>
            </w:r>
            <w:r w:rsidR="00B43C25">
              <w:t xml:space="preserve">nioskodawca </w:t>
            </w:r>
            <w:r>
              <w:t>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54B81CED" w:rsidR="004D3FF2" w:rsidRPr="000D205F" w:rsidRDefault="00B229B3" w:rsidP="004D3FF2">
            <w:pPr>
              <w:pStyle w:val="Akapitzlist"/>
              <w:numPr>
                <w:ilvl w:val="0"/>
                <w:numId w:val="18"/>
              </w:numPr>
              <w:jc w:val="both"/>
            </w:pPr>
            <w:r w:rsidRPr="000D205F">
              <w:t>C</w:t>
            </w:r>
            <w:r w:rsidR="004D3FF2" w:rsidRPr="000D205F">
              <w:t xml:space="preserve">zy </w:t>
            </w:r>
            <w:r w:rsidR="007857D1">
              <w:t>w</w:t>
            </w:r>
            <w:r w:rsidR="00B43C25">
              <w:t>nioskodawca</w:t>
            </w:r>
            <w:r w:rsidR="004D3FF2" w:rsidRPr="000D205F">
              <w:t xml:space="preserve">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3" w:name="_Toc125645862"/>
      <w:bookmarkStart w:id="14" w:name="_Toc125710367"/>
      <w:r>
        <w:br w:type="page"/>
      </w:r>
    </w:p>
    <w:p w14:paraId="46114F33" w14:textId="32812FA0" w:rsidR="00987A55" w:rsidRDefault="00987A55" w:rsidP="00224494">
      <w:pPr>
        <w:pStyle w:val="Nagwek1"/>
        <w:spacing w:line="276" w:lineRule="auto"/>
        <w:jc w:val="both"/>
        <w:rPr>
          <w:rStyle w:val="Nagwek1Znak"/>
          <w:bCs/>
        </w:rPr>
      </w:pPr>
      <w:bookmarkStart w:id="15" w:name="_Toc126237552"/>
      <w:bookmarkStart w:id="16" w:name="_Toc126242045"/>
      <w:bookmarkStart w:id="17" w:name="_Toc125645863"/>
      <w:bookmarkStart w:id="18" w:name="_Toc125710368"/>
      <w:bookmarkEnd w:id="13"/>
      <w:bookmarkEnd w:id="14"/>
      <w:r w:rsidRPr="00987A55">
        <w:rPr>
          <w:rStyle w:val="Nagwek1Znak"/>
          <w:bCs/>
        </w:rPr>
        <w:lastRenderedPageBreak/>
        <w:t>Szczegółowe informacje (wypełniane</w:t>
      </w:r>
      <w:r w:rsidR="00506459">
        <w:rPr>
          <w:rStyle w:val="Nagwek1Znak"/>
          <w:bCs/>
        </w:rPr>
        <w:t xml:space="preserve"> </w:t>
      </w:r>
      <w:r w:rsidRPr="00987A55">
        <w:rPr>
          <w:rStyle w:val="Nagwek1Znak"/>
          <w:bCs/>
        </w:rPr>
        <w:t>przez</w:t>
      </w:r>
      <w:r w:rsidR="00B1550C">
        <w:rPr>
          <w:rStyle w:val="Nagwek1Znak"/>
          <w:bCs/>
        </w:rPr>
        <w:t xml:space="preserve"> </w:t>
      </w:r>
      <w:r w:rsidR="007857D1">
        <w:rPr>
          <w:rStyle w:val="Nagwek1Znak"/>
          <w:bCs/>
        </w:rPr>
        <w:t>w</w:t>
      </w:r>
      <w:r w:rsidR="00E63D39">
        <w:rPr>
          <w:rStyle w:val="Nagwek1Znak"/>
          <w:bCs/>
        </w:rPr>
        <w:t xml:space="preserve">nioskodawcę </w:t>
      </w:r>
      <w:r w:rsidR="00ED27B9" w:rsidRPr="00ED27B9">
        <w:rPr>
          <w:rStyle w:val="Nagwek1Znak"/>
          <w:bCs/>
        </w:rPr>
        <w:t>w odniesieniu do zakresu realizowanych prac w projekcie</w:t>
      </w:r>
      <w:r w:rsidRPr="00987A55">
        <w:rPr>
          <w:rStyle w:val="Nagwek1Znak"/>
          <w:bCs/>
        </w:rPr>
        <w:t xml:space="preserve"> </w:t>
      </w:r>
      <w:r w:rsidR="00B43C25" w:rsidRPr="00B43C25">
        <w:rPr>
          <w:rStyle w:val="Nagwek1Znak"/>
          <w:bCs/>
        </w:rPr>
        <w:t xml:space="preserve">przez wszystkich członków konsorcjum </w:t>
      </w:r>
      <w:r w:rsidRPr="00987A55">
        <w:rPr>
          <w:rStyle w:val="Nagwek1Znak"/>
          <w:bCs/>
        </w:rPr>
        <w:t>realiz</w:t>
      </w:r>
      <w:r w:rsidR="00417EA9">
        <w:rPr>
          <w:rStyle w:val="Nagwek1Znak"/>
          <w:bCs/>
        </w:rPr>
        <w:t>ujących</w:t>
      </w:r>
      <w:r w:rsidRPr="00987A55">
        <w:rPr>
          <w:rStyle w:val="Nagwek1Znak"/>
          <w:bCs/>
        </w:rPr>
        <w:t xml:space="preserve"> przedsięwzięcia w rozumieniu ustawy OOŚ)</w:t>
      </w:r>
      <w:bookmarkEnd w:id="15"/>
      <w:bookmarkEnd w:id="16"/>
    </w:p>
    <w:p w14:paraId="6A7090FD" w14:textId="4D413C01" w:rsidR="00730265" w:rsidRPr="00F70C7F" w:rsidRDefault="00DD04B0" w:rsidP="00F70C7F">
      <w:pPr>
        <w:pStyle w:val="Nagwek2"/>
      </w:pPr>
      <w:bookmarkStart w:id="19"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20" w:name="_Toc125645864"/>
      <w:r>
        <w:rPr>
          <w:rStyle w:val="Nagwek1Znak"/>
          <w:bCs/>
        </w:rPr>
        <w:br w:type="page"/>
      </w:r>
    </w:p>
    <w:p w14:paraId="4B195844" w14:textId="20BDA0CD" w:rsidR="00730265" w:rsidRPr="00F70C7F" w:rsidRDefault="00CD11EF" w:rsidP="00F70C7F">
      <w:pPr>
        <w:pStyle w:val="Nagwek2"/>
      </w:pPr>
      <w:bookmarkStart w:id="21" w:name="_Toc126237554"/>
      <w:bookmarkStart w:id="22" w:name="_Toc125710369"/>
      <w:r w:rsidRPr="00F70C7F">
        <w:lastRenderedPageBreak/>
        <w:t>Spełnienie postanowień dyrektywy Rady 2011/92/UE w sprawie oceny skutków wywieranych przez niektóre przedsięwzięcia publiczne i prywatne na środowisko naturalne</w:t>
      </w:r>
      <w:bookmarkEnd w:id="21"/>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20"/>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3"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3"/>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467038F3"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7857D1">
              <w:t>w</w:t>
            </w:r>
            <w:r w:rsidR="009B762A">
              <w:t>nioskodawcy</w:t>
            </w:r>
            <w:r w:rsidR="007C3ADC">
              <w:t xml:space="preserve">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4" w:name="_Toc125645865"/>
      <w:bookmarkStart w:id="25" w:name="_Toc125710370"/>
      <w:r>
        <w:rPr>
          <w:rStyle w:val="Nagwek1Znak"/>
          <w:bCs/>
        </w:rPr>
        <w:br w:type="page"/>
      </w:r>
    </w:p>
    <w:p w14:paraId="6C2FD510" w14:textId="7E96F207" w:rsidR="00BB0B80" w:rsidRPr="00F70C7F" w:rsidRDefault="00F17C0A" w:rsidP="00F70C7F">
      <w:pPr>
        <w:pStyle w:val="Nagwek2"/>
      </w:pPr>
      <w:bookmarkStart w:id="26" w:name="_Toc126237555"/>
      <w:r w:rsidRPr="00F70C7F">
        <w:lastRenderedPageBreak/>
        <w:t>Spełnienie postanowień dyrektywy Rady 2011/92/UE w sprawie oceny skutków wywieranych przez niektóre przedsięwzięcia publiczne i prywatne na środowisko naturalne</w:t>
      </w:r>
      <w:bookmarkEnd w:id="26"/>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7" w:name="_Toc125645866"/>
      <w:r>
        <w:br w:type="page"/>
      </w:r>
    </w:p>
    <w:p w14:paraId="63C1A550" w14:textId="54F27974" w:rsidR="006E504D" w:rsidRPr="00F70C7F" w:rsidRDefault="006E504D" w:rsidP="00F70C7F">
      <w:pPr>
        <w:pStyle w:val="Nagwek2"/>
      </w:pPr>
      <w:bookmarkStart w:id="28"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3C5A92DF"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w:t>
            </w:r>
            <w:r w:rsidR="007857D1">
              <w:rPr>
                <w:bCs w:val="0"/>
                <w:sz w:val="16"/>
                <w:szCs w:val="18"/>
              </w:rPr>
              <w:t>w</w:t>
            </w:r>
            <w:r w:rsidR="009B762A">
              <w:rPr>
                <w:bCs w:val="0"/>
                <w:sz w:val="16"/>
                <w:szCs w:val="18"/>
              </w:rPr>
              <w:t>nioskodawcę</w:t>
            </w:r>
            <w:r w:rsidR="007C3ADC">
              <w:rPr>
                <w:bCs w:val="0"/>
                <w:sz w:val="16"/>
                <w:szCs w:val="18"/>
              </w:rPr>
              <w:t xml:space="preserve"> </w:t>
            </w:r>
            <w:r w:rsidRPr="00017D00">
              <w:rPr>
                <w:bCs w:val="0"/>
                <w:sz w:val="16"/>
                <w:szCs w:val="18"/>
              </w:rPr>
              <w:t xml:space="preserve">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28D7EDF1" w:rsidR="00A214A3" w:rsidRDefault="007857D1" w:rsidP="00A214A3">
            <w:pPr>
              <w:pStyle w:val="Akapitzlist"/>
              <w:numPr>
                <w:ilvl w:val="0"/>
                <w:numId w:val="14"/>
              </w:numPr>
              <w:jc w:val="both"/>
              <w:rPr>
                <w:bCs w:val="0"/>
                <w:sz w:val="16"/>
                <w:szCs w:val="18"/>
              </w:rPr>
            </w:pPr>
            <w:r>
              <w:rPr>
                <w:bCs w:val="0"/>
                <w:sz w:val="16"/>
                <w:szCs w:val="18"/>
              </w:rPr>
              <w:t>w</w:t>
            </w:r>
            <w:r w:rsidR="00B43C25">
              <w:rPr>
                <w:bCs w:val="0"/>
                <w:sz w:val="16"/>
                <w:szCs w:val="18"/>
              </w:rPr>
              <w:t xml:space="preserve">nioskodawca </w:t>
            </w:r>
            <w:r w:rsidR="00A214A3" w:rsidRPr="001E61AA">
              <w:rPr>
                <w:bCs w:val="0"/>
                <w:sz w:val="16"/>
                <w:szCs w:val="18"/>
              </w:rPr>
              <w:t xml:space="preserve">zaznacza odpowiedź „NIE”, jeżeli </w:t>
            </w:r>
          </w:p>
          <w:p w14:paraId="303D8EAA" w14:textId="0C685CA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w:t>
            </w:r>
            <w:r w:rsidR="007857D1">
              <w:rPr>
                <w:bCs w:val="0"/>
                <w:sz w:val="16"/>
                <w:szCs w:val="18"/>
              </w:rPr>
              <w:t>w</w:t>
            </w:r>
            <w:r w:rsidR="009B762A">
              <w:rPr>
                <w:bCs w:val="0"/>
                <w:sz w:val="16"/>
                <w:szCs w:val="18"/>
              </w:rPr>
              <w:t>nioskodawcy</w:t>
            </w:r>
            <w:r w:rsidR="00ED27B9">
              <w:rPr>
                <w:bCs w:val="0"/>
                <w:sz w:val="16"/>
                <w:szCs w:val="18"/>
              </w:rPr>
              <w:t xml:space="preserve"> </w:t>
            </w:r>
            <w:r w:rsidRPr="00017D00">
              <w:rPr>
                <w:bCs w:val="0"/>
                <w:sz w:val="16"/>
                <w:szCs w:val="18"/>
              </w:rPr>
              <w:t xml:space="preserve">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01D44D5F" w:rsidR="00A214A3" w:rsidRPr="001E61AA" w:rsidRDefault="007857D1" w:rsidP="00A214A3">
            <w:pPr>
              <w:pStyle w:val="Akapitzlist"/>
              <w:numPr>
                <w:ilvl w:val="0"/>
                <w:numId w:val="14"/>
              </w:numPr>
              <w:jc w:val="both"/>
              <w:rPr>
                <w:bCs w:val="0"/>
                <w:sz w:val="16"/>
                <w:szCs w:val="18"/>
              </w:rPr>
            </w:pPr>
            <w:r>
              <w:rPr>
                <w:bCs w:val="0"/>
                <w:sz w:val="16"/>
                <w:szCs w:val="18"/>
              </w:rPr>
              <w:t>w</w:t>
            </w:r>
            <w:r w:rsidR="00B43C25">
              <w:rPr>
                <w:bCs w:val="0"/>
                <w:sz w:val="16"/>
                <w:szCs w:val="18"/>
              </w:rPr>
              <w:t>nioskodawca</w:t>
            </w:r>
            <w:r w:rsidR="00A214A3" w:rsidRPr="001E61AA">
              <w:rPr>
                <w:bCs w:val="0"/>
                <w:sz w:val="16"/>
                <w:szCs w:val="18"/>
              </w:rPr>
              <w:t xml:space="preserve"> zaznacza odpowiedź „</w:t>
            </w:r>
            <w:r w:rsidR="00A214A3">
              <w:rPr>
                <w:bCs w:val="0"/>
                <w:sz w:val="16"/>
                <w:szCs w:val="18"/>
              </w:rPr>
              <w:t>TAK</w:t>
            </w:r>
            <w:r w:rsidR="00A214A3" w:rsidRPr="001E61AA">
              <w:rPr>
                <w:bCs w:val="0"/>
                <w:sz w:val="16"/>
                <w:szCs w:val="18"/>
              </w:rPr>
              <w:t xml:space="preserve">”, jeżeli </w:t>
            </w:r>
            <w:r w:rsidR="00A214A3">
              <w:rPr>
                <w:bCs w:val="0"/>
                <w:sz w:val="16"/>
                <w:szCs w:val="18"/>
              </w:rPr>
              <w:t xml:space="preserve">przeprowadzono </w:t>
            </w:r>
            <w:r w:rsidR="00A214A3" w:rsidRPr="00D85C65">
              <w:rPr>
                <w:bCs w:val="0"/>
                <w:sz w:val="16"/>
                <w:szCs w:val="18"/>
              </w:rPr>
              <w:t>ocen</w:t>
            </w:r>
            <w:r w:rsidR="00A214A3">
              <w:rPr>
                <w:bCs w:val="0"/>
                <w:sz w:val="16"/>
                <w:szCs w:val="18"/>
              </w:rPr>
              <w:t>ę</w:t>
            </w:r>
            <w:r w:rsidR="00A214A3" w:rsidRPr="00D85C65">
              <w:rPr>
                <w:bCs w:val="0"/>
                <w:sz w:val="16"/>
                <w:szCs w:val="18"/>
              </w:rPr>
              <w:t xml:space="preserve"> oddziaływania na obszary Natura 2000</w:t>
            </w:r>
            <w:r w:rsidR="00A214A3">
              <w:rPr>
                <w:bCs w:val="0"/>
                <w:sz w:val="16"/>
                <w:szCs w:val="18"/>
              </w:rPr>
              <w:t xml:space="preserve"> wynikiem której jest </w:t>
            </w:r>
            <w:r w:rsidR="00A214A3" w:rsidRPr="001F1DEC">
              <w:rPr>
                <w:bCs w:val="0"/>
                <w:sz w:val="16"/>
                <w:szCs w:val="18"/>
              </w:rPr>
              <w:t>uzgodnieni</w:t>
            </w:r>
            <w:r w:rsidR="00A214A3">
              <w:rPr>
                <w:bCs w:val="0"/>
                <w:sz w:val="16"/>
                <w:szCs w:val="18"/>
              </w:rPr>
              <w:t>e</w:t>
            </w:r>
            <w:r w:rsidR="00A214A3" w:rsidRPr="001F1DEC">
              <w:rPr>
                <w:bCs w:val="0"/>
                <w:sz w:val="16"/>
                <w:szCs w:val="18"/>
              </w:rPr>
              <w:t xml:space="preserve"> warunków realizacji przedsięwzięcia w zakresie oddziaływania na obszar Natura 2000</w:t>
            </w:r>
            <w:r w:rsidR="00A214A3">
              <w:rPr>
                <w:bCs w:val="0"/>
                <w:sz w:val="16"/>
                <w:szCs w:val="18"/>
              </w:rPr>
              <w:t xml:space="preserve"> a </w:t>
            </w:r>
            <w:r w:rsidR="00A214A3" w:rsidRPr="001F1DEC">
              <w:rPr>
                <w:bCs w:val="0"/>
                <w:sz w:val="16"/>
                <w:szCs w:val="18"/>
              </w:rPr>
              <w:t xml:space="preserve">z oceny oddziaływania przedsięwzięcia na obszar Natura 2000 wynika, że </w:t>
            </w:r>
            <w:r w:rsidR="00A214A3" w:rsidRPr="001040CC">
              <w:rPr>
                <w:bCs w:val="0"/>
                <w:sz w:val="16"/>
                <w:szCs w:val="18"/>
              </w:rPr>
              <w:t>przedsięwzięcie może znacząco negatywnie oddziaływać na ten obszar, i jednocześnie zachodzą przesłanki, o których mowa w art. 34 ustawy z dnia 16 kwietnia 2004 r. o ochronie przyrody</w:t>
            </w:r>
            <w:r w:rsidR="00A214A3">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9" w:name="_Toc125645867"/>
      <w:bookmarkStart w:id="30"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149CF0F7" w:rsidR="003B6A94" w:rsidRDefault="003B6A94" w:rsidP="00224494">
            <w:pPr>
              <w:pStyle w:val="Bezodstpw"/>
              <w:numPr>
                <w:ilvl w:val="0"/>
                <w:numId w:val="14"/>
              </w:numPr>
              <w:spacing w:line="276" w:lineRule="auto"/>
              <w:jc w:val="both"/>
            </w:pPr>
            <w:r>
              <w:t>W przypadku</w:t>
            </w:r>
            <w:r w:rsidR="008E5946">
              <w:t>,</w:t>
            </w:r>
            <w:r>
              <w:t xml:space="preserve"> gdy </w:t>
            </w:r>
            <w:r w:rsidR="007857D1">
              <w:t>w</w:t>
            </w:r>
            <w:r w:rsidR="009B762A">
              <w:t>nioskodawca</w:t>
            </w:r>
            <w:r w:rsidR="00ED27B9">
              <w:t xml:space="preserve"> </w:t>
            </w:r>
            <w:r>
              <w:t xml:space="preserve">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7A660609"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7857D1">
              <w:t>w</w:t>
            </w:r>
            <w:r w:rsidR="009B762A">
              <w:t>nioskodawca</w:t>
            </w:r>
            <w:r w:rsidR="007C3ADC">
              <w:t xml:space="preserve"> </w:t>
            </w:r>
            <w:r>
              <w:t xml:space="preserve">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48DE97A6" w14:textId="77777777" w:rsidR="007857D1" w:rsidRPr="00D77C0F" w:rsidRDefault="007857D1" w:rsidP="007857D1">
      <w:pPr>
        <w:spacing w:line="276" w:lineRule="auto"/>
        <w:jc w:val="both"/>
        <w:rPr>
          <w:b w:val="0"/>
          <w:bCs w:val="0"/>
          <w:sz w:val="24"/>
          <w:szCs w:val="24"/>
        </w:rPr>
      </w:pPr>
      <w:r w:rsidRPr="00D77C0F">
        <w:rPr>
          <w:b w:val="0"/>
          <w:bCs w:val="0"/>
          <w:sz w:val="24"/>
          <w:szCs w:val="24"/>
        </w:rPr>
        <w:t>Podpis Wnioskodawcy</w:t>
      </w:r>
      <w:r>
        <w:rPr>
          <w:b w:val="0"/>
          <w:bCs w:val="0"/>
          <w:sz w:val="24"/>
          <w:szCs w:val="24"/>
        </w:rPr>
        <w:t>:</w:t>
      </w:r>
      <w:r w:rsidRPr="00D77C0F">
        <w:rPr>
          <w:rStyle w:val="Odwoanieprzypisudolnego"/>
          <w:b w:val="0"/>
          <w:bCs w:val="0"/>
          <w:sz w:val="24"/>
          <w:szCs w:val="24"/>
        </w:rPr>
        <w:footnoteReference w:id="6"/>
      </w:r>
    </w:p>
    <w:p w14:paraId="1E6C893C" w14:textId="77777777" w:rsidR="007857D1" w:rsidRPr="00D77C0F" w:rsidRDefault="007857D1" w:rsidP="007857D1">
      <w:pPr>
        <w:spacing w:line="276" w:lineRule="auto"/>
        <w:jc w:val="both"/>
        <w:rPr>
          <w:b w:val="0"/>
          <w:bCs w:val="0"/>
          <w:sz w:val="24"/>
          <w:szCs w:val="24"/>
        </w:rPr>
      </w:pPr>
      <w:r w:rsidRPr="00D77C0F">
        <w:rPr>
          <w:b w:val="0"/>
          <w:bCs w:val="0"/>
          <w:sz w:val="24"/>
          <w:szCs w:val="24"/>
        </w:rPr>
        <w:t>Data:</w:t>
      </w: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BD21" w14:textId="77777777" w:rsidR="00AB7B55" w:rsidRDefault="00AB7B55" w:rsidP="00C56ABC">
      <w:r>
        <w:separator/>
      </w:r>
    </w:p>
  </w:endnote>
  <w:endnote w:type="continuationSeparator" w:id="0">
    <w:p w14:paraId="2309583B" w14:textId="77777777" w:rsidR="00AB7B55" w:rsidRDefault="00AB7B55" w:rsidP="00C56ABC">
      <w:r>
        <w:continuationSeparator/>
      </w:r>
    </w:p>
  </w:endnote>
  <w:endnote w:type="continuationNotice" w:id="1">
    <w:p w14:paraId="3A3F1798" w14:textId="77777777" w:rsidR="00AB7B55" w:rsidRDefault="00AB7B5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164C0A1C" w:rsidR="004546F5" w:rsidRPr="00977889" w:rsidRDefault="004546F5"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Pr="00977889">
      <w:rPr>
        <w:b w:val="0"/>
        <w:bCs w:val="0"/>
        <w:noProof/>
      </w:rPr>
      <w:t>2</w:t>
    </w:r>
    <w:r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1BF3" w14:textId="77777777" w:rsidR="00AB7B55" w:rsidRDefault="00AB7B55" w:rsidP="00C56ABC">
      <w:r>
        <w:separator/>
      </w:r>
    </w:p>
  </w:footnote>
  <w:footnote w:type="continuationSeparator" w:id="0">
    <w:p w14:paraId="7FE95277" w14:textId="77777777" w:rsidR="00AB7B55" w:rsidRDefault="00AB7B55" w:rsidP="00C56ABC">
      <w:r>
        <w:continuationSeparator/>
      </w:r>
    </w:p>
  </w:footnote>
  <w:footnote w:type="continuationNotice" w:id="1">
    <w:p w14:paraId="6892E115" w14:textId="77777777" w:rsidR="00AB7B55" w:rsidRDefault="00AB7B55"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 w:id="6">
    <w:p w14:paraId="44D972AD" w14:textId="77777777" w:rsidR="007857D1" w:rsidRDefault="007857D1" w:rsidP="007857D1">
      <w:pPr>
        <w:pStyle w:val="Tekstprzypisudolnego"/>
      </w:pPr>
      <w:r>
        <w:rPr>
          <w:rStyle w:val="Odwoanieprzypisudolnego"/>
        </w:rPr>
        <w:footnoteRef/>
      </w:r>
      <w:r>
        <w:t xml:space="preserve"> </w:t>
      </w:r>
      <w:r w:rsidRPr="00562CD0">
        <w:rPr>
          <w:rFonts w:ascii="Calibri" w:hAnsi="Calibri" w:cs="Calibri"/>
          <w:b w:val="0"/>
          <w:bCs w:val="0"/>
          <w:sz w:val="18"/>
          <w:szCs w:val="18"/>
        </w:rPr>
        <w:t>Oświadczenie należy sporządzić i złożyć w postaci elektronicznej opatrzonej kwalifikowanym podpisem elektronicznym, przez osobę/y uprawnioną/e do reprezentowania Wnioskodawcy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6911206">
    <w:abstractNumId w:val="35"/>
  </w:num>
  <w:num w:numId="2" w16cid:durableId="481628971">
    <w:abstractNumId w:val="20"/>
  </w:num>
  <w:num w:numId="3" w16cid:durableId="1594975070">
    <w:abstractNumId w:val="14"/>
  </w:num>
  <w:num w:numId="4" w16cid:durableId="1345592220">
    <w:abstractNumId w:val="8"/>
  </w:num>
  <w:num w:numId="5" w16cid:durableId="1081607933">
    <w:abstractNumId w:val="8"/>
    <w:lvlOverride w:ilvl="0">
      <w:startOverride w:val="1"/>
    </w:lvlOverride>
  </w:num>
  <w:num w:numId="6" w16cid:durableId="1517766189">
    <w:abstractNumId w:val="3"/>
  </w:num>
  <w:num w:numId="7" w16cid:durableId="302271288">
    <w:abstractNumId w:val="39"/>
  </w:num>
  <w:num w:numId="8" w16cid:durableId="443769253">
    <w:abstractNumId w:val="8"/>
    <w:lvlOverride w:ilvl="0">
      <w:startOverride w:val="1"/>
    </w:lvlOverride>
  </w:num>
  <w:num w:numId="9" w16cid:durableId="877741152">
    <w:abstractNumId w:val="4"/>
  </w:num>
  <w:num w:numId="10" w16cid:durableId="1826042913">
    <w:abstractNumId w:val="34"/>
  </w:num>
  <w:num w:numId="11" w16cid:durableId="1276715474">
    <w:abstractNumId w:val="23"/>
  </w:num>
  <w:num w:numId="12" w16cid:durableId="1007748417">
    <w:abstractNumId w:val="16"/>
  </w:num>
  <w:num w:numId="13" w16cid:durableId="1849322590">
    <w:abstractNumId w:val="8"/>
    <w:lvlOverride w:ilvl="0">
      <w:startOverride w:val="1"/>
    </w:lvlOverride>
  </w:num>
  <w:num w:numId="14" w16cid:durableId="34695009">
    <w:abstractNumId w:val="40"/>
  </w:num>
  <w:num w:numId="15" w16cid:durableId="1077509576">
    <w:abstractNumId w:val="5"/>
  </w:num>
  <w:num w:numId="16" w16cid:durableId="1947418219">
    <w:abstractNumId w:val="0"/>
  </w:num>
  <w:num w:numId="17" w16cid:durableId="1232693390">
    <w:abstractNumId w:val="22"/>
  </w:num>
  <w:num w:numId="18" w16cid:durableId="1039742680">
    <w:abstractNumId w:val="42"/>
  </w:num>
  <w:num w:numId="19" w16cid:durableId="127363670">
    <w:abstractNumId w:val="15"/>
  </w:num>
  <w:num w:numId="20" w16cid:durableId="1084303079">
    <w:abstractNumId w:val="37"/>
  </w:num>
  <w:num w:numId="21" w16cid:durableId="489374647">
    <w:abstractNumId w:val="38"/>
  </w:num>
  <w:num w:numId="22" w16cid:durableId="353727736">
    <w:abstractNumId w:val="33"/>
  </w:num>
  <w:num w:numId="23" w16cid:durableId="1905287852">
    <w:abstractNumId w:val="2"/>
  </w:num>
  <w:num w:numId="24" w16cid:durableId="1968850791">
    <w:abstractNumId w:val="17"/>
  </w:num>
  <w:num w:numId="25" w16cid:durableId="193348190">
    <w:abstractNumId w:val="45"/>
  </w:num>
  <w:num w:numId="26" w16cid:durableId="1693720120">
    <w:abstractNumId w:val="6"/>
  </w:num>
  <w:num w:numId="27" w16cid:durableId="1946109991">
    <w:abstractNumId w:val="43"/>
  </w:num>
  <w:num w:numId="28" w16cid:durableId="1681157578">
    <w:abstractNumId w:val="30"/>
  </w:num>
  <w:num w:numId="29" w16cid:durableId="984775449">
    <w:abstractNumId w:val="28"/>
  </w:num>
  <w:num w:numId="30" w16cid:durableId="669676506">
    <w:abstractNumId w:val="12"/>
  </w:num>
  <w:num w:numId="31" w16cid:durableId="2132701982">
    <w:abstractNumId w:val="44"/>
  </w:num>
  <w:num w:numId="32" w16cid:durableId="1192380250">
    <w:abstractNumId w:val="9"/>
  </w:num>
  <w:num w:numId="33" w16cid:durableId="190265537">
    <w:abstractNumId w:val="25"/>
  </w:num>
  <w:num w:numId="34" w16cid:durableId="819156696">
    <w:abstractNumId w:val="36"/>
  </w:num>
  <w:num w:numId="35" w16cid:durableId="1364016847">
    <w:abstractNumId w:val="41"/>
  </w:num>
  <w:num w:numId="36" w16cid:durableId="1348485443">
    <w:abstractNumId w:val="31"/>
  </w:num>
  <w:num w:numId="37" w16cid:durableId="691079009">
    <w:abstractNumId w:val="18"/>
  </w:num>
  <w:num w:numId="38" w16cid:durableId="1115248439">
    <w:abstractNumId w:val="8"/>
  </w:num>
  <w:num w:numId="39" w16cid:durableId="1382634762">
    <w:abstractNumId w:val="8"/>
  </w:num>
  <w:num w:numId="40" w16cid:durableId="1023165530">
    <w:abstractNumId w:val="21"/>
  </w:num>
  <w:num w:numId="41" w16cid:durableId="2047291734">
    <w:abstractNumId w:val="1"/>
  </w:num>
  <w:num w:numId="42" w16cid:durableId="1096101193">
    <w:abstractNumId w:val="11"/>
  </w:num>
  <w:num w:numId="43" w16cid:durableId="1872062510">
    <w:abstractNumId w:val="8"/>
  </w:num>
  <w:num w:numId="44" w16cid:durableId="1006593449">
    <w:abstractNumId w:val="10"/>
  </w:num>
  <w:num w:numId="45" w16cid:durableId="480195549">
    <w:abstractNumId w:val="26"/>
  </w:num>
  <w:num w:numId="46" w16cid:durableId="173232550">
    <w:abstractNumId w:val="24"/>
  </w:num>
  <w:num w:numId="47" w16cid:durableId="758477886">
    <w:abstractNumId w:val="27"/>
  </w:num>
  <w:num w:numId="48" w16cid:durableId="1446655207">
    <w:abstractNumId w:val="7"/>
  </w:num>
  <w:num w:numId="49" w16cid:durableId="1493983528">
    <w:abstractNumId w:val="13"/>
  </w:num>
  <w:num w:numId="50" w16cid:durableId="379013669">
    <w:abstractNumId w:val="8"/>
  </w:num>
  <w:num w:numId="51" w16cid:durableId="719398944">
    <w:abstractNumId w:val="29"/>
  </w:num>
  <w:num w:numId="52" w16cid:durableId="1293905231">
    <w:abstractNumId w:val="32"/>
  </w:num>
  <w:num w:numId="53" w16cid:durableId="207978674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17CA"/>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003"/>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5D9E"/>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6C42"/>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0DD7"/>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2DBB"/>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001"/>
    <w:rsid w:val="004E3C4F"/>
    <w:rsid w:val="004E7F56"/>
    <w:rsid w:val="004E7F76"/>
    <w:rsid w:val="004F087E"/>
    <w:rsid w:val="004F1820"/>
    <w:rsid w:val="004F1DDB"/>
    <w:rsid w:val="004F242E"/>
    <w:rsid w:val="004F4C5D"/>
    <w:rsid w:val="004F7D53"/>
    <w:rsid w:val="005008EB"/>
    <w:rsid w:val="00502826"/>
    <w:rsid w:val="00503F85"/>
    <w:rsid w:val="0050446E"/>
    <w:rsid w:val="00506459"/>
    <w:rsid w:val="00506D30"/>
    <w:rsid w:val="00511BEF"/>
    <w:rsid w:val="00513FAD"/>
    <w:rsid w:val="0051405F"/>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160"/>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1B24"/>
    <w:rsid w:val="00712545"/>
    <w:rsid w:val="00712A08"/>
    <w:rsid w:val="00712D9F"/>
    <w:rsid w:val="0071363E"/>
    <w:rsid w:val="00713D37"/>
    <w:rsid w:val="007145B5"/>
    <w:rsid w:val="00714C38"/>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47A32"/>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57D1"/>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ADC"/>
    <w:rsid w:val="007C3F38"/>
    <w:rsid w:val="007C44FE"/>
    <w:rsid w:val="007C68A5"/>
    <w:rsid w:val="007C716F"/>
    <w:rsid w:val="007C71D8"/>
    <w:rsid w:val="007D0C27"/>
    <w:rsid w:val="007D1910"/>
    <w:rsid w:val="007D1A87"/>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04B"/>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2A"/>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3C07"/>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1550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C25"/>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BF7"/>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3D39"/>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7B9"/>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3BFE3A"/>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3456C60"/>
    <w:rsid w:val="35F9F35D"/>
    <w:rsid w:val="3646A501"/>
    <w:rsid w:val="366F0B37"/>
    <w:rsid w:val="3A7B1570"/>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ED1369B0-FD3F-478F-8104-C43D566081D4}">
  <ds:schemaRefs>
    <ds:schemaRef ds:uri="http://schemas.openxmlformats.org/officeDocument/2006/bibliography"/>
  </ds:schemaRefs>
</ds:datastoreItem>
</file>

<file path=customXml/itemProps4.xml><?xml version="1.0" encoding="utf-8"?>
<ds:datastoreItem xmlns:ds="http://schemas.openxmlformats.org/officeDocument/2006/customXml" ds:itemID="{BF6C10BD-B1F7-4C8F-8184-EF6B1DE7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3560</Words>
  <Characters>27935</Characters>
  <Application>Microsoft Office Word</Application>
  <DocSecurity>0</DocSecurity>
  <Lines>232</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Dorota Mróz-Kaproń</cp:lastModifiedBy>
  <cp:revision>8</cp:revision>
  <cp:lastPrinted>2014-10-20T09:12:00Z</cp:lastPrinted>
  <dcterms:created xsi:type="dcterms:W3CDTF">2025-04-07T09:18:00Z</dcterms:created>
  <dcterms:modified xsi:type="dcterms:W3CDTF">2025-06-20T08:15:00Z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SIP_Label_91e939cc-945f-447d-b5c0-f5a8e3aaa77b_Enabled">
    <vt:lpwstr>true</vt:lpwstr>
  </property>
  <property fmtid="{D5CDD505-2E9C-101B-9397-08002B2CF9AE}" pid="4" name="MSIP_Label_91e939cc-945f-447d-b5c0-f5a8e3aaa77b_SetDate">
    <vt:lpwstr>2023-10-27T11:00:26Z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e4f0ea63-8a37-4795-ac5e-a4cdd2740cfe</vt:lpwstr>
  </property>
  <property fmtid="{D5CDD505-2E9C-101B-9397-08002B2CF9AE}" pid="9" name="MSIP_Label_91e939cc-945f-447d-b5c0-f5a8e3aaa77b_ContentBits">
    <vt:lpwstr>0</vt:lpwstr>
  </property>
  <property fmtid="{D5CDD505-2E9C-101B-9397-08002B2CF9AE}" pid="10" name="MediaServiceImageTags">
    <vt:lpwstr/>
  </property>
</Properties>
</file>