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0A" w:rsidRDefault="00B8190A" w:rsidP="000C6154">
      <w:pPr>
        <w:pStyle w:val="Tekstpodstawowy"/>
        <w:spacing w:line="240" w:lineRule="auto"/>
        <w:jc w:val="center"/>
        <w:rPr>
          <w:b/>
        </w:rPr>
      </w:pPr>
    </w:p>
    <w:p w:rsidR="00B14244" w:rsidRPr="004D44EF" w:rsidRDefault="00026A35" w:rsidP="000C6154">
      <w:pPr>
        <w:pStyle w:val="Tekstpodstawowy"/>
        <w:spacing w:line="240" w:lineRule="auto"/>
        <w:jc w:val="center"/>
        <w:rPr>
          <w:b/>
        </w:rPr>
      </w:pPr>
      <w:r w:rsidRPr="004D44EF">
        <w:rPr>
          <w:b/>
        </w:rPr>
        <w:t xml:space="preserve">Konferencja Wysokiego </w:t>
      </w:r>
      <w:r w:rsidR="002B0C18" w:rsidRPr="004D44EF">
        <w:rPr>
          <w:b/>
        </w:rPr>
        <w:t>Szczebla</w:t>
      </w:r>
    </w:p>
    <w:p w:rsidR="00026A35" w:rsidRPr="004D44EF" w:rsidRDefault="003B3A02" w:rsidP="000C6154">
      <w:pPr>
        <w:pStyle w:val="Tekstpodstawowy"/>
        <w:spacing w:line="240" w:lineRule="auto"/>
        <w:jc w:val="center"/>
        <w:rPr>
          <w:b/>
        </w:rPr>
      </w:pPr>
      <w:r>
        <w:rPr>
          <w:b/>
        </w:rPr>
        <w:t>n</w:t>
      </w:r>
      <w:r w:rsidR="00A110D6" w:rsidRPr="004D44EF">
        <w:rPr>
          <w:b/>
        </w:rPr>
        <w:t>a temat</w:t>
      </w:r>
      <w:r w:rsidR="000C6154">
        <w:rPr>
          <w:b/>
        </w:rPr>
        <w:br/>
      </w:r>
      <w:r w:rsidR="00026A35" w:rsidRPr="004D44EF">
        <w:rPr>
          <w:b/>
        </w:rPr>
        <w:t xml:space="preserve"> „Implementacj</w:t>
      </w:r>
      <w:r w:rsidR="00A110D6" w:rsidRPr="004D44EF">
        <w:rPr>
          <w:b/>
        </w:rPr>
        <w:t>i</w:t>
      </w:r>
      <w:r w:rsidR="00026A35" w:rsidRPr="004D44EF">
        <w:rPr>
          <w:b/>
        </w:rPr>
        <w:t xml:space="preserve"> Konwencji </w:t>
      </w:r>
      <w:r w:rsidR="00934ABD">
        <w:rPr>
          <w:b/>
        </w:rPr>
        <w:t xml:space="preserve">o ochronie </w:t>
      </w:r>
      <w:r w:rsidR="0084319C" w:rsidRPr="004D44EF">
        <w:rPr>
          <w:b/>
        </w:rPr>
        <w:t>praw człowieka</w:t>
      </w:r>
      <w:r w:rsidR="0084319C">
        <w:rPr>
          <w:b/>
        </w:rPr>
        <w:t xml:space="preserve"> </w:t>
      </w:r>
      <w:r w:rsidR="00934ABD">
        <w:rPr>
          <w:b/>
        </w:rPr>
        <w:t>i podstawowych wolności</w:t>
      </w:r>
      <w:r w:rsidR="00026A35" w:rsidRPr="004D44EF">
        <w:rPr>
          <w:b/>
        </w:rPr>
        <w:t xml:space="preserve">, </w:t>
      </w:r>
      <w:r w:rsidR="000C6154">
        <w:rPr>
          <w:b/>
        </w:rPr>
        <w:br/>
      </w:r>
      <w:bookmarkStart w:id="0" w:name="_GoBack"/>
      <w:bookmarkEnd w:id="0"/>
      <w:r w:rsidR="00026A35" w:rsidRPr="004D44EF">
        <w:rPr>
          <w:b/>
        </w:rPr>
        <w:t>nasz</w:t>
      </w:r>
      <w:r w:rsidR="00A110D6" w:rsidRPr="004D44EF">
        <w:rPr>
          <w:b/>
        </w:rPr>
        <w:t>ej</w:t>
      </w:r>
      <w:r w:rsidR="00026A35" w:rsidRPr="004D44EF">
        <w:rPr>
          <w:b/>
        </w:rPr>
        <w:t xml:space="preserve"> wspóln</w:t>
      </w:r>
      <w:r w:rsidR="00A110D6" w:rsidRPr="004D44EF">
        <w:rPr>
          <w:b/>
        </w:rPr>
        <w:t>ej</w:t>
      </w:r>
      <w:r w:rsidR="00026A35" w:rsidRPr="004D44EF">
        <w:rPr>
          <w:b/>
        </w:rPr>
        <w:t xml:space="preserve"> odpowiedzialnoś</w:t>
      </w:r>
      <w:r w:rsidR="00A110D6" w:rsidRPr="004D44EF">
        <w:rPr>
          <w:b/>
        </w:rPr>
        <w:t>ci</w:t>
      </w:r>
      <w:r w:rsidR="00026A35" w:rsidRPr="004D44EF">
        <w:rPr>
          <w:b/>
        </w:rPr>
        <w:t>”</w:t>
      </w:r>
    </w:p>
    <w:p w:rsidR="00026A35" w:rsidRPr="00B8190A" w:rsidRDefault="00021CCF" w:rsidP="000C6154">
      <w:pPr>
        <w:pStyle w:val="Lista"/>
        <w:spacing w:after="120" w:line="240" w:lineRule="auto"/>
        <w:contextualSpacing w:val="0"/>
        <w:jc w:val="center"/>
        <w:rPr>
          <w:b/>
          <w:sz w:val="24"/>
        </w:rPr>
      </w:pPr>
      <w:r w:rsidRPr="00B8190A">
        <w:rPr>
          <w:b/>
          <w:sz w:val="24"/>
        </w:rPr>
        <w:t>Deklaracja</w:t>
      </w:r>
      <w:r w:rsidR="00026A35" w:rsidRPr="00B8190A">
        <w:rPr>
          <w:b/>
          <w:sz w:val="24"/>
        </w:rPr>
        <w:t xml:space="preserve"> z Brukseli</w:t>
      </w:r>
    </w:p>
    <w:p w:rsidR="00026A35" w:rsidRDefault="00026A35" w:rsidP="000C6154">
      <w:pPr>
        <w:pStyle w:val="Lista"/>
        <w:spacing w:after="120" w:line="240" w:lineRule="auto"/>
        <w:contextualSpacing w:val="0"/>
        <w:jc w:val="center"/>
      </w:pPr>
      <w:r w:rsidRPr="004D44EF">
        <w:rPr>
          <w:b/>
        </w:rPr>
        <w:t>27 marca 2015 r</w:t>
      </w:r>
      <w:r w:rsidR="00254247" w:rsidRPr="004D44EF">
        <w:rPr>
          <w:b/>
        </w:rPr>
        <w:t>.</w:t>
      </w:r>
      <w:r w:rsidR="00A110D6">
        <w:br/>
      </w:r>
    </w:p>
    <w:p w:rsidR="00A110D6" w:rsidRPr="00A110D6" w:rsidRDefault="00A110D6" w:rsidP="000C6154">
      <w:pPr>
        <w:pStyle w:val="Lista"/>
        <w:spacing w:after="120" w:line="240" w:lineRule="auto"/>
        <w:contextualSpacing w:val="0"/>
        <w:jc w:val="center"/>
      </w:pPr>
    </w:p>
    <w:p w:rsidR="00026A35" w:rsidRPr="00A110D6" w:rsidRDefault="00026A35" w:rsidP="000C6154">
      <w:pPr>
        <w:pStyle w:val="Tekstpodstawowy"/>
        <w:spacing w:line="240" w:lineRule="auto"/>
        <w:jc w:val="both"/>
        <w:rPr>
          <w:i/>
        </w:rPr>
      </w:pPr>
      <w:r w:rsidRPr="00A110D6">
        <w:rPr>
          <w:i/>
        </w:rPr>
        <w:t>Konferencja Wysokiego Szcze</w:t>
      </w:r>
      <w:r w:rsidR="001227CB" w:rsidRPr="00A110D6">
        <w:rPr>
          <w:i/>
        </w:rPr>
        <w:t>b</w:t>
      </w:r>
      <w:r w:rsidRPr="00A110D6">
        <w:rPr>
          <w:i/>
        </w:rPr>
        <w:t>la zwołana w Brukseli w dniach 26 i 27 marca 201</w:t>
      </w:r>
      <w:r w:rsidR="007A2682">
        <w:rPr>
          <w:i/>
        </w:rPr>
        <w:t>5 roku z inicjatywy belgijskiej prezydencji</w:t>
      </w:r>
      <w:r w:rsidRPr="00A110D6">
        <w:rPr>
          <w:i/>
        </w:rPr>
        <w:t xml:space="preserve"> w Komitecie </w:t>
      </w:r>
      <w:r w:rsidR="00C76EC2" w:rsidRPr="00A110D6">
        <w:rPr>
          <w:i/>
        </w:rPr>
        <w:t>Ministrów</w:t>
      </w:r>
      <w:r w:rsidRPr="00A110D6">
        <w:rPr>
          <w:i/>
        </w:rPr>
        <w:t xml:space="preserve"> Rady Europy („Konferencja”):</w:t>
      </w:r>
    </w:p>
    <w:p w:rsidR="00C76EC2" w:rsidRPr="00A110D6" w:rsidRDefault="00C76EC2" w:rsidP="000C6154">
      <w:pPr>
        <w:pStyle w:val="Tekstpodstawowy"/>
        <w:spacing w:line="240" w:lineRule="auto"/>
        <w:jc w:val="both"/>
      </w:pPr>
      <w:r w:rsidRPr="00A110D6">
        <w:t>Potwierdz</w:t>
      </w:r>
      <w:r w:rsidR="00FA5AE9" w:rsidRPr="00A110D6">
        <w:t xml:space="preserve">a głębokie i stałe </w:t>
      </w:r>
      <w:r w:rsidR="004A4981" w:rsidRPr="002678A4">
        <w:t>z</w:t>
      </w:r>
      <w:r w:rsidR="002678A4" w:rsidRPr="002678A4">
        <w:t>aangażowanie</w:t>
      </w:r>
      <w:r w:rsidR="004A4981" w:rsidRPr="002678A4">
        <w:t xml:space="preserve"> </w:t>
      </w:r>
      <w:r w:rsidR="00FA5AE9" w:rsidRPr="002678A4">
        <w:t xml:space="preserve">Państw–Stron </w:t>
      </w:r>
      <w:r w:rsidR="00A45FA8" w:rsidRPr="002678A4">
        <w:t xml:space="preserve">na </w:t>
      </w:r>
      <w:r w:rsidR="002678A4" w:rsidRPr="002678A4">
        <w:t>rzecz</w:t>
      </w:r>
      <w:r w:rsidR="00FA5AE9" w:rsidRPr="00A110D6">
        <w:t xml:space="preserve"> Konwencji o ochronie praw człowieka i podstawowych wolności</w:t>
      </w:r>
      <w:r w:rsidR="009A2AF9" w:rsidRPr="00A110D6">
        <w:t xml:space="preserve"> („Konwencja”)</w:t>
      </w:r>
      <w:r w:rsidR="008D2102" w:rsidRPr="00A110D6">
        <w:t xml:space="preserve"> </w:t>
      </w:r>
      <w:r w:rsidR="009A2AF9" w:rsidRPr="00A110D6">
        <w:t xml:space="preserve">oraz ich silne </w:t>
      </w:r>
      <w:r w:rsidR="004A4981">
        <w:t xml:space="preserve">przywiązanie do prawa </w:t>
      </w:r>
      <w:r w:rsidR="009A2AF9" w:rsidRPr="00A110D6">
        <w:t xml:space="preserve">do skargi indywidualnej do </w:t>
      </w:r>
      <w:r w:rsidR="008D2102" w:rsidRPr="00A110D6">
        <w:t>Europejskiego</w:t>
      </w:r>
      <w:r w:rsidR="009A2AF9" w:rsidRPr="00A110D6">
        <w:t xml:space="preserve"> </w:t>
      </w:r>
      <w:r w:rsidR="008D2102" w:rsidRPr="00A110D6">
        <w:t>Trybunału</w:t>
      </w:r>
      <w:r w:rsidR="009A2AF9" w:rsidRPr="00A110D6">
        <w:t xml:space="preserve"> Praw </w:t>
      </w:r>
      <w:r w:rsidR="008D2102" w:rsidRPr="00A110D6">
        <w:t>Człowieka</w:t>
      </w:r>
      <w:r w:rsidR="009A2AF9" w:rsidRPr="00A110D6">
        <w:t xml:space="preserve"> („Trybunał”) </w:t>
      </w:r>
      <w:r w:rsidR="008D2102" w:rsidRPr="00A110D6">
        <w:t>jako fundamentu systemu ochrony praw i wolności zawartych w Konwencji;</w:t>
      </w:r>
    </w:p>
    <w:p w:rsidR="008D2102" w:rsidRPr="00A110D6" w:rsidRDefault="00934ABD" w:rsidP="000C6154">
      <w:pPr>
        <w:pStyle w:val="Tekstpodstawowy"/>
        <w:spacing w:line="240" w:lineRule="auto"/>
        <w:jc w:val="both"/>
      </w:pPr>
      <w:r>
        <w:t>Uznaje</w:t>
      </w:r>
      <w:r w:rsidRPr="00A110D6">
        <w:t xml:space="preserve"> </w:t>
      </w:r>
      <w:r w:rsidR="00BB4095" w:rsidRPr="00A110D6">
        <w:t>nadzwyczajny</w:t>
      </w:r>
      <w:r w:rsidR="008D2102" w:rsidRPr="00A110D6">
        <w:t xml:space="preserve"> wkład</w:t>
      </w:r>
      <w:r>
        <w:t xml:space="preserve"> systemu konwencyjnego</w:t>
      </w:r>
      <w:r w:rsidR="00537389">
        <w:t>,</w:t>
      </w:r>
      <w:r>
        <w:t xml:space="preserve"> </w:t>
      </w:r>
      <w:r w:rsidR="00537389" w:rsidRPr="00A110D6">
        <w:t xml:space="preserve">od </w:t>
      </w:r>
      <w:r w:rsidR="00537389">
        <w:t>chwili</w:t>
      </w:r>
      <w:r w:rsidR="00537389" w:rsidRPr="00A110D6">
        <w:t xml:space="preserve"> je</w:t>
      </w:r>
      <w:r w:rsidR="00537389">
        <w:t xml:space="preserve">go ustanowienia, </w:t>
      </w:r>
      <w:r>
        <w:t>na rzecz</w:t>
      </w:r>
      <w:r w:rsidR="008D2102" w:rsidRPr="00A110D6">
        <w:t xml:space="preserve"> ochrony i promowania praw człowieka </w:t>
      </w:r>
      <w:r w:rsidR="00BB4095" w:rsidRPr="00A110D6">
        <w:t xml:space="preserve">w Europie </w:t>
      </w:r>
      <w:r w:rsidR="00A45FA8">
        <w:t xml:space="preserve">oraz potwierdza </w:t>
      </w:r>
      <w:r w:rsidR="00A45FA8" w:rsidRPr="00A45FA8">
        <w:t>jego</w:t>
      </w:r>
      <w:r w:rsidR="00BB4095" w:rsidRPr="00A45FA8">
        <w:t xml:space="preserve"> podstawową</w:t>
      </w:r>
      <w:r w:rsidR="00BB4095" w:rsidRPr="00A110D6">
        <w:t xml:space="preserve"> rolę w utrzymaniu stabilności demokratycznej</w:t>
      </w:r>
      <w:r w:rsidR="0085198A" w:rsidRPr="00A110D6">
        <w:t xml:space="preserve"> na całym Kontynencie;</w:t>
      </w:r>
    </w:p>
    <w:p w:rsidR="0085198A" w:rsidRPr="00A110D6" w:rsidRDefault="0085198A" w:rsidP="000C6154">
      <w:pPr>
        <w:pStyle w:val="Tekstpodstawowy"/>
        <w:spacing w:line="240" w:lineRule="auto"/>
        <w:jc w:val="both"/>
      </w:pPr>
      <w:r w:rsidRPr="00A110D6">
        <w:t>Przy</w:t>
      </w:r>
      <w:r w:rsidR="00A45FA8">
        <w:t>pomina</w:t>
      </w:r>
      <w:r w:rsidRPr="00A110D6">
        <w:t xml:space="preserve"> w </w:t>
      </w:r>
      <w:r w:rsidR="00A45FA8">
        <w:t>tym względzie</w:t>
      </w:r>
      <w:r w:rsidRPr="00A110D6">
        <w:t xml:space="preserve"> współzależność między Konwencją </w:t>
      </w:r>
      <w:r w:rsidR="0095676E">
        <w:t>a</w:t>
      </w:r>
      <w:r w:rsidRPr="00A110D6">
        <w:t xml:space="preserve"> pozostałą </w:t>
      </w:r>
      <w:r w:rsidR="00021CCF" w:rsidRPr="00A110D6">
        <w:t>działalnością</w:t>
      </w:r>
      <w:r w:rsidRPr="00A110D6">
        <w:t xml:space="preserve"> Rady Europy w obszarze praw człowieka, </w:t>
      </w:r>
      <w:r w:rsidR="009A1CCB" w:rsidRPr="00A110D6">
        <w:t>praworządności i demokracj</w:t>
      </w:r>
      <w:r w:rsidR="0095676E">
        <w:t>i</w:t>
      </w:r>
      <w:r w:rsidR="009A1CCB" w:rsidRPr="00A110D6">
        <w:t xml:space="preserve">, </w:t>
      </w:r>
      <w:r w:rsidR="00A45FA8">
        <w:t xml:space="preserve">czego celem </w:t>
      </w:r>
      <w:r w:rsidR="0095676E">
        <w:t>jest rozwój</w:t>
      </w:r>
      <w:r w:rsidR="009A1CCB" w:rsidRPr="00A110D6">
        <w:t xml:space="preserve"> wspólnego obszaru de</w:t>
      </w:r>
      <w:r w:rsidR="00BF5F86" w:rsidRPr="00A110D6">
        <w:t>m</w:t>
      </w:r>
      <w:r w:rsidR="009A1CCB" w:rsidRPr="00A110D6">
        <w:t xml:space="preserve">okracji i prawa zbudowanego </w:t>
      </w:r>
      <w:r w:rsidR="0095676E">
        <w:t>na poszanowaniu</w:t>
      </w:r>
      <w:r w:rsidR="009A1CCB" w:rsidRPr="00A110D6">
        <w:t xml:space="preserve"> praw człowieka i podstawowych wolności;</w:t>
      </w:r>
    </w:p>
    <w:p w:rsidR="009A1CCB" w:rsidRPr="00A110D6" w:rsidRDefault="009A1CCB" w:rsidP="000C6154">
      <w:pPr>
        <w:pStyle w:val="Tekstpodstawowy"/>
        <w:spacing w:line="240" w:lineRule="auto"/>
        <w:jc w:val="both"/>
      </w:pPr>
      <w:r w:rsidRPr="00A110D6">
        <w:t xml:space="preserve">Potwierdza zasady przyjęte w Deklaracjach z </w:t>
      </w:r>
      <w:proofErr w:type="spellStart"/>
      <w:r w:rsidRPr="00A110D6">
        <w:t>Interlaken</w:t>
      </w:r>
      <w:proofErr w:type="spellEnd"/>
      <w:r w:rsidRPr="00A110D6">
        <w:t xml:space="preserve">, Izmiru i </w:t>
      </w:r>
      <w:proofErr w:type="spellStart"/>
      <w:r w:rsidRPr="00A110D6">
        <w:t>Brighton</w:t>
      </w:r>
      <w:proofErr w:type="spellEnd"/>
      <w:r w:rsidRPr="00A110D6">
        <w:t xml:space="preserve"> oraz </w:t>
      </w:r>
      <w:r w:rsidR="002B0C18" w:rsidRPr="00A110D6">
        <w:t xml:space="preserve">z zadowoleniem przyjmuje </w:t>
      </w:r>
      <w:r w:rsidR="00DD3211" w:rsidRPr="00A110D6">
        <w:t xml:space="preserve">bardzo obiecujące rezultaty osiągnięte do dnia </w:t>
      </w:r>
      <w:r w:rsidR="0095676E" w:rsidRPr="00A110D6">
        <w:t xml:space="preserve">dzisiejszego </w:t>
      </w:r>
      <w:r w:rsidR="00DD3211" w:rsidRPr="00A110D6">
        <w:t>przez Radę Europy w ramach reformy systemu konwencyjnego poprzez implementację tych deklaracji;</w:t>
      </w:r>
    </w:p>
    <w:p w:rsidR="00BF5F86" w:rsidRPr="00A110D6" w:rsidRDefault="00BF5F86" w:rsidP="000C6154">
      <w:pPr>
        <w:pStyle w:val="Tekstpodstawowy"/>
        <w:spacing w:line="240" w:lineRule="auto"/>
        <w:jc w:val="both"/>
      </w:pPr>
      <w:r w:rsidRPr="00A110D6">
        <w:t xml:space="preserve">Przyjmuje </w:t>
      </w:r>
      <w:r w:rsidR="00483414" w:rsidRPr="00A110D6">
        <w:t xml:space="preserve">w szczególności </w:t>
      </w:r>
      <w:r w:rsidRPr="00A110D6">
        <w:t xml:space="preserve">z zadowoleniem starania Trybunału </w:t>
      </w:r>
      <w:r w:rsidR="00A45FA8">
        <w:t>związane z szybkim wdrożeniem</w:t>
      </w:r>
      <w:r w:rsidRPr="00A110D6">
        <w:t xml:space="preserve"> Protokołu nr 14 do Konwencji, który </w:t>
      </w:r>
      <w:r w:rsidR="0027041E" w:rsidRPr="00A110D6">
        <w:t>wszedł</w:t>
      </w:r>
      <w:r w:rsidRPr="00A110D6">
        <w:t xml:space="preserve"> w życie w dniu 1 czerwca 2010 r</w:t>
      </w:r>
      <w:r w:rsidR="00483414">
        <w:t>oku</w:t>
      </w:r>
      <w:r w:rsidRPr="00A110D6">
        <w:t xml:space="preserve">, oraz </w:t>
      </w:r>
      <w:r w:rsidR="00A45FA8">
        <w:t xml:space="preserve">spodziewaną </w:t>
      </w:r>
      <w:r w:rsidR="00537389">
        <w:t xml:space="preserve">w 2015 r. </w:t>
      </w:r>
      <w:r w:rsidR="00A45FA8">
        <w:t xml:space="preserve">likwidację </w:t>
      </w:r>
      <w:r w:rsidR="005E40FD" w:rsidRPr="00A110D6">
        <w:t xml:space="preserve">zaległości </w:t>
      </w:r>
      <w:r w:rsidR="00537389">
        <w:t xml:space="preserve">związanych ze </w:t>
      </w:r>
      <w:r w:rsidR="005E40FD" w:rsidRPr="00483414">
        <w:t>skarg</w:t>
      </w:r>
      <w:r w:rsidR="00537389">
        <w:t>ami</w:t>
      </w:r>
      <w:r w:rsidR="005E40FD" w:rsidRPr="00483414">
        <w:t xml:space="preserve"> </w:t>
      </w:r>
      <w:r w:rsidR="00960F21">
        <w:t>w sposób oczywisty</w:t>
      </w:r>
      <w:r w:rsidR="005E40FD" w:rsidRPr="00483414">
        <w:t xml:space="preserve"> </w:t>
      </w:r>
      <w:r w:rsidR="00537389">
        <w:t>niedopuszczalnymi</w:t>
      </w:r>
      <w:r w:rsidR="00A45FA8">
        <w:t>;</w:t>
      </w:r>
      <w:r w:rsidR="005E40FD" w:rsidRPr="00A110D6">
        <w:t xml:space="preserve"> </w:t>
      </w:r>
    </w:p>
    <w:p w:rsidR="00A47680" w:rsidRPr="00A110D6" w:rsidRDefault="00052ABF" w:rsidP="000C6154">
      <w:pPr>
        <w:pStyle w:val="Tekstpodstawowy"/>
        <w:spacing w:line="240" w:lineRule="auto"/>
        <w:jc w:val="both"/>
      </w:pPr>
      <w:r>
        <w:t>W</w:t>
      </w:r>
      <w:r w:rsidRPr="00A110D6">
        <w:t xml:space="preserve"> świetle pozytywnych rezultatów </w:t>
      </w:r>
      <w:r>
        <w:t>p</w:t>
      </w:r>
      <w:r w:rsidR="005E40FD" w:rsidRPr="00A110D6">
        <w:t>rzyjmuj</w:t>
      </w:r>
      <w:r w:rsidR="00483414">
        <w:t>e</w:t>
      </w:r>
      <w:r w:rsidR="005E40FD" w:rsidRPr="00A110D6">
        <w:t xml:space="preserve"> z zadowolenie</w:t>
      </w:r>
      <w:r>
        <w:t>m</w:t>
      </w:r>
      <w:r w:rsidR="005E40FD" w:rsidRPr="00A110D6">
        <w:t xml:space="preserve"> nowe metody pracy Komitetu </w:t>
      </w:r>
      <w:r w:rsidR="0027041E" w:rsidRPr="00A110D6">
        <w:t>Ministrów</w:t>
      </w:r>
      <w:r w:rsidR="005E40FD" w:rsidRPr="00A110D6">
        <w:t xml:space="preserve"> </w:t>
      </w:r>
      <w:r w:rsidR="003F33CD">
        <w:t>w obszarze</w:t>
      </w:r>
      <w:r w:rsidR="003F33CD" w:rsidRPr="00A110D6">
        <w:t xml:space="preserve"> </w:t>
      </w:r>
      <w:r w:rsidR="00960F21">
        <w:t>nadzoru</w:t>
      </w:r>
      <w:r w:rsidR="005E40FD" w:rsidRPr="00A110D6">
        <w:t xml:space="preserve"> nad wykonywaniem wyroków Trybunału</w:t>
      </w:r>
      <w:r w:rsidR="00A47680" w:rsidRPr="00A110D6">
        <w:t xml:space="preserve">, które weszły w </w:t>
      </w:r>
      <w:r>
        <w:t xml:space="preserve">życie w dniu 1 stycznia 2011 r. </w:t>
      </w:r>
      <w:r w:rsidR="00213559">
        <w:t xml:space="preserve">i </w:t>
      </w:r>
      <w:r w:rsidR="00960F21">
        <w:t>między innymi wzmacniają</w:t>
      </w:r>
      <w:r w:rsidR="00A47680" w:rsidRPr="00A110D6">
        <w:t xml:space="preserve"> zasadę subsydiarności;</w:t>
      </w:r>
    </w:p>
    <w:p w:rsidR="00945DC8" w:rsidRPr="00A110D6" w:rsidRDefault="00784B3F" w:rsidP="000C6154">
      <w:pPr>
        <w:pStyle w:val="Tekstpodstawowy"/>
        <w:spacing w:line="240" w:lineRule="auto"/>
        <w:jc w:val="both"/>
      </w:pPr>
      <w:r w:rsidRPr="002678A4">
        <w:t>P</w:t>
      </w:r>
      <w:r w:rsidR="00D06286" w:rsidRPr="002678A4">
        <w:t>rzy</w:t>
      </w:r>
      <w:r w:rsidRPr="002678A4">
        <w:t>pomina</w:t>
      </w:r>
      <w:r w:rsidR="00213559" w:rsidRPr="002678A4">
        <w:t xml:space="preserve"> subsydiarny charakter mechanizmu nadzorczego ustanowionego Konwencją, a także pierwszoplanową rolę władz, </w:t>
      </w:r>
      <w:r w:rsidR="000369AC" w:rsidRPr="002678A4">
        <w:t>mianowicie rząd</w:t>
      </w:r>
      <w:r w:rsidR="00213559" w:rsidRPr="002678A4">
        <w:t>ów</w:t>
      </w:r>
      <w:r w:rsidR="000369AC" w:rsidRPr="002678A4">
        <w:t xml:space="preserve">, </w:t>
      </w:r>
      <w:r w:rsidR="00945DC8" w:rsidRPr="002678A4">
        <w:t>sąd</w:t>
      </w:r>
      <w:r w:rsidR="00213559" w:rsidRPr="002678A4">
        <w:t>ów</w:t>
      </w:r>
      <w:r w:rsidR="00945DC8" w:rsidRPr="002678A4">
        <w:t xml:space="preserve"> i </w:t>
      </w:r>
      <w:r w:rsidR="00C747D9" w:rsidRPr="002678A4">
        <w:t>parlament</w:t>
      </w:r>
      <w:r w:rsidR="00213559" w:rsidRPr="002678A4">
        <w:t>ów</w:t>
      </w:r>
      <w:r w:rsidR="00B90135" w:rsidRPr="002678A4">
        <w:t xml:space="preserve">, </w:t>
      </w:r>
      <w:r w:rsidR="00213559" w:rsidRPr="002678A4">
        <w:t xml:space="preserve">oraz </w:t>
      </w:r>
      <w:r w:rsidR="00945DC8" w:rsidRPr="002678A4">
        <w:t xml:space="preserve">ich margines </w:t>
      </w:r>
      <w:r w:rsidR="003619EF" w:rsidRPr="002678A4">
        <w:t>oceny</w:t>
      </w:r>
      <w:r w:rsidR="00945DC8" w:rsidRPr="002678A4">
        <w:t xml:space="preserve"> </w:t>
      </w:r>
      <w:r w:rsidR="00B90135" w:rsidRPr="002678A4">
        <w:t xml:space="preserve">w odniesieniu do </w:t>
      </w:r>
      <w:r w:rsidR="00213559" w:rsidRPr="002678A4">
        <w:t xml:space="preserve">gwarantowania i </w:t>
      </w:r>
      <w:r w:rsidR="00B90135" w:rsidRPr="002678A4">
        <w:t>ochrony</w:t>
      </w:r>
      <w:r w:rsidR="00945DC8" w:rsidRPr="002678A4">
        <w:t xml:space="preserve"> praw człowieka na </w:t>
      </w:r>
      <w:r w:rsidR="00C747D9" w:rsidRPr="002678A4">
        <w:t>poziomie</w:t>
      </w:r>
      <w:r w:rsidR="00945DC8" w:rsidRPr="002678A4">
        <w:t xml:space="preserve"> </w:t>
      </w:r>
      <w:r w:rsidR="00C747D9" w:rsidRPr="002678A4">
        <w:t>krajowym</w:t>
      </w:r>
      <w:r w:rsidR="00945DC8" w:rsidRPr="002678A4">
        <w:t xml:space="preserve">, </w:t>
      </w:r>
      <w:r w:rsidR="00945DC8" w:rsidRPr="0071107F">
        <w:t xml:space="preserve">przy </w:t>
      </w:r>
      <w:r w:rsidR="008B6361" w:rsidRPr="0071107F">
        <w:t>jednoczesnym włącz</w:t>
      </w:r>
      <w:r w:rsidR="009A35FA" w:rsidRPr="0071107F">
        <w:t>e</w:t>
      </w:r>
      <w:r w:rsidR="008B6361" w:rsidRPr="0071107F">
        <w:t>niu</w:t>
      </w:r>
      <w:r w:rsidR="00945DC8" w:rsidRPr="0071107F">
        <w:t xml:space="preserve">, </w:t>
      </w:r>
      <w:r w:rsidR="003619EF" w:rsidRPr="0071107F">
        <w:t xml:space="preserve">tam gdzie to </w:t>
      </w:r>
      <w:r w:rsidR="00945DC8" w:rsidRPr="0071107F">
        <w:t xml:space="preserve">zasadne, </w:t>
      </w:r>
      <w:r w:rsidR="0084319C" w:rsidRPr="0071107F">
        <w:t xml:space="preserve">krajowych instytucji ochrony praw człowieka </w:t>
      </w:r>
      <w:r w:rsidR="00945DC8" w:rsidRPr="0071107F">
        <w:t>oraz społeczeństwa obywatelskiego;</w:t>
      </w:r>
    </w:p>
    <w:p w:rsidR="00272A49" w:rsidRPr="00A110D6" w:rsidRDefault="00945DC8" w:rsidP="000C6154">
      <w:pPr>
        <w:pStyle w:val="Tekstpodstawowy"/>
        <w:spacing w:line="240" w:lineRule="auto"/>
        <w:jc w:val="both"/>
      </w:pPr>
      <w:r w:rsidRPr="00A110D6">
        <w:t xml:space="preserve">Podkreśla </w:t>
      </w:r>
      <w:r w:rsidR="006B55A3" w:rsidRPr="00A110D6">
        <w:t xml:space="preserve">wynikające z </w:t>
      </w:r>
      <w:r w:rsidR="00B90135">
        <w:t>art.</w:t>
      </w:r>
      <w:r w:rsidR="006B55A3" w:rsidRPr="00A110D6">
        <w:t xml:space="preserve"> 34 Konwencji </w:t>
      </w:r>
      <w:r w:rsidRPr="00A110D6">
        <w:t>zobowiązania Pa</w:t>
      </w:r>
      <w:r w:rsidR="006B55A3">
        <w:t>ń</w:t>
      </w:r>
      <w:r w:rsidRPr="00A110D6">
        <w:t>stw</w:t>
      </w:r>
      <w:r w:rsidR="006B55A3">
        <w:t>-</w:t>
      </w:r>
      <w:r w:rsidR="00CD6FA8" w:rsidRPr="00A110D6">
        <w:t>Stron</w:t>
      </w:r>
      <w:r w:rsidR="009A35FA">
        <w:t xml:space="preserve"> do nieutrudniania </w:t>
      </w:r>
      <w:r w:rsidR="0074004F" w:rsidRPr="00A110D6">
        <w:t>wykonywania prawa do skargi indywidualnej</w:t>
      </w:r>
      <w:r w:rsidR="00C92700" w:rsidRPr="00A110D6">
        <w:t xml:space="preserve">, w tym </w:t>
      </w:r>
      <w:r w:rsidR="009A35FA">
        <w:t>poprzez przestrzeganie</w:t>
      </w:r>
      <w:r w:rsidR="00C92700" w:rsidRPr="00A110D6">
        <w:t xml:space="preserve"> </w:t>
      </w:r>
      <w:r w:rsidR="00B90135">
        <w:t>art.</w:t>
      </w:r>
      <w:r w:rsidR="00C92700" w:rsidRPr="00A110D6">
        <w:t xml:space="preserve"> 39 </w:t>
      </w:r>
      <w:r w:rsidR="006B55A3" w:rsidRPr="00A110D6">
        <w:t>Regulaminu</w:t>
      </w:r>
      <w:r w:rsidR="00C92700" w:rsidRPr="00A110D6">
        <w:t xml:space="preserve"> Trybunału dotyczącego środków tymczasowych oraz </w:t>
      </w:r>
      <w:r w:rsidR="009C7976">
        <w:t>art.</w:t>
      </w:r>
      <w:r w:rsidR="00C92700" w:rsidRPr="00A110D6">
        <w:t xml:space="preserve"> 38 Konwencji </w:t>
      </w:r>
      <w:r w:rsidR="009A35FA">
        <w:t>w sprawie</w:t>
      </w:r>
      <w:r w:rsidR="00272A49" w:rsidRPr="00A110D6">
        <w:t xml:space="preserve"> zapewnienia Trybunałowi wszelkich niezbędnych ułatwień</w:t>
      </w:r>
      <w:r w:rsidR="009A35FA" w:rsidRPr="009A35FA">
        <w:t xml:space="preserve"> </w:t>
      </w:r>
      <w:r w:rsidR="009A35FA" w:rsidRPr="00A110D6">
        <w:t>przy rozpatrywaniu spraw</w:t>
      </w:r>
      <w:r w:rsidR="00272A49" w:rsidRPr="00A110D6">
        <w:t>;</w:t>
      </w:r>
    </w:p>
    <w:p w:rsidR="00DC77D6" w:rsidRPr="00A110D6" w:rsidRDefault="00DC77D6" w:rsidP="000C6154">
      <w:pPr>
        <w:pStyle w:val="Tekstpodstawowy"/>
        <w:spacing w:line="240" w:lineRule="auto"/>
        <w:jc w:val="both"/>
      </w:pPr>
      <w:r w:rsidRPr="00A110D6">
        <w:t xml:space="preserve">Podkreśla </w:t>
      </w:r>
      <w:r w:rsidR="003F33CD" w:rsidRPr="00A110D6">
        <w:t>znaczeni</w:t>
      </w:r>
      <w:r w:rsidR="003F33CD">
        <w:t>e</w:t>
      </w:r>
      <w:r w:rsidR="003F33CD" w:rsidRPr="00A110D6">
        <w:t xml:space="preserve"> </w:t>
      </w:r>
      <w:r w:rsidR="009C7976">
        <w:t>art.</w:t>
      </w:r>
      <w:r w:rsidRPr="00A110D6">
        <w:t xml:space="preserve"> 46 Konwencji dotyczącego mocy obowiązującej wyroków Trybunału, który przewiduje</w:t>
      </w:r>
      <w:r w:rsidR="00B10443">
        <w:t>,</w:t>
      </w:r>
      <w:r w:rsidRPr="00A110D6">
        <w:t xml:space="preserve"> że Pa</w:t>
      </w:r>
      <w:r w:rsidR="006B55A3">
        <w:t>ństwa-</w:t>
      </w:r>
      <w:r w:rsidRPr="00A110D6">
        <w:t xml:space="preserve">Strony </w:t>
      </w:r>
      <w:r w:rsidR="006B55A3" w:rsidRPr="00A110D6">
        <w:t>zobowiązują</w:t>
      </w:r>
      <w:r w:rsidRPr="00A110D6">
        <w:t xml:space="preserve"> się do przestrzegania ostatecznego wyroku </w:t>
      </w:r>
      <w:r w:rsidR="006B55A3" w:rsidRPr="00A110D6">
        <w:t>Trybunału</w:t>
      </w:r>
      <w:r w:rsidR="006B55A3">
        <w:t xml:space="preserve"> we wszystkich sprawach</w:t>
      </w:r>
      <w:r w:rsidR="009C7976">
        <w:t>,</w:t>
      </w:r>
      <w:r w:rsidRPr="00A110D6">
        <w:t xml:space="preserve"> w których </w:t>
      </w:r>
      <w:r w:rsidR="009C7976">
        <w:t>są</w:t>
      </w:r>
      <w:r w:rsidRPr="00A110D6">
        <w:t xml:space="preserve"> stron</w:t>
      </w:r>
      <w:r w:rsidR="009C7976">
        <w:t>ami</w:t>
      </w:r>
      <w:r w:rsidRPr="00A110D6">
        <w:t>;</w:t>
      </w:r>
    </w:p>
    <w:p w:rsidR="00945DC8" w:rsidRPr="00A110D6" w:rsidRDefault="00DC77D6" w:rsidP="000C6154">
      <w:pPr>
        <w:pStyle w:val="Tekstpodstawowy"/>
        <w:spacing w:line="240" w:lineRule="auto"/>
        <w:jc w:val="both"/>
      </w:pPr>
      <w:r w:rsidRPr="00A110D6">
        <w:lastRenderedPageBreak/>
        <w:t xml:space="preserve">Kładzie nacisk na </w:t>
      </w:r>
      <w:r w:rsidR="002F43CE">
        <w:t>doniosłość</w:t>
      </w:r>
      <w:r w:rsidRPr="00A110D6">
        <w:t xml:space="preserve"> dalsze</w:t>
      </w:r>
      <w:r w:rsidR="009C7976">
        <w:t>go</w:t>
      </w:r>
      <w:r w:rsidRPr="00A110D6">
        <w:t xml:space="preserve"> </w:t>
      </w:r>
      <w:r w:rsidR="009C7976">
        <w:t>promowania</w:t>
      </w:r>
      <w:r w:rsidR="00054743" w:rsidRPr="00A110D6">
        <w:t xml:space="preserve"> wiedzy </w:t>
      </w:r>
      <w:r w:rsidR="00BC1A19" w:rsidRPr="00A110D6">
        <w:t xml:space="preserve">na temat </w:t>
      </w:r>
      <w:r w:rsidR="003F33CD" w:rsidRPr="00A110D6">
        <w:t xml:space="preserve">Konwencji </w:t>
      </w:r>
      <w:r w:rsidR="009C7976">
        <w:t xml:space="preserve">oraz </w:t>
      </w:r>
      <w:r w:rsidR="003F33CD">
        <w:t xml:space="preserve">jej </w:t>
      </w:r>
      <w:r w:rsidR="00BC1A19" w:rsidRPr="00A110D6">
        <w:t>przestrzegania przez wszystkie instytucj</w:t>
      </w:r>
      <w:r w:rsidR="002F43CE">
        <w:t>e</w:t>
      </w:r>
      <w:r w:rsidR="00BC1A19" w:rsidRPr="00A110D6">
        <w:t xml:space="preserve"> Państw</w:t>
      </w:r>
      <w:r w:rsidR="002F43CE">
        <w:t>-</w:t>
      </w:r>
      <w:r w:rsidR="00BC1A19" w:rsidRPr="00A110D6">
        <w:t xml:space="preserve">Stron, włączając w to sądy i </w:t>
      </w:r>
      <w:r w:rsidR="002F43CE" w:rsidRPr="00A110D6">
        <w:t>parlamenty</w:t>
      </w:r>
      <w:r w:rsidR="00BC1A19" w:rsidRPr="00A110D6">
        <w:t xml:space="preserve">, zgodnie z zasadą </w:t>
      </w:r>
      <w:r w:rsidR="002F43CE" w:rsidRPr="00A110D6">
        <w:t>subsydiarności</w:t>
      </w:r>
      <w:r w:rsidR="00BC1A19" w:rsidRPr="00A110D6">
        <w:t xml:space="preserve">; </w:t>
      </w:r>
    </w:p>
    <w:p w:rsidR="00BC1A19" w:rsidRPr="00A110D6" w:rsidRDefault="00BC1A19" w:rsidP="000C6154">
      <w:pPr>
        <w:pStyle w:val="Tekstpodstawowy"/>
        <w:spacing w:line="240" w:lineRule="auto"/>
        <w:jc w:val="both"/>
      </w:pPr>
      <w:r w:rsidRPr="00A110D6">
        <w:t>Przy</w:t>
      </w:r>
      <w:r w:rsidR="009C7976">
        <w:t>pomina</w:t>
      </w:r>
      <w:r w:rsidRPr="00A110D6">
        <w:t xml:space="preserve"> w </w:t>
      </w:r>
      <w:r w:rsidR="009C7976">
        <w:t>tym kontekście</w:t>
      </w:r>
      <w:r w:rsidRPr="00A110D6">
        <w:t>, że wykonywani</w:t>
      </w:r>
      <w:r w:rsidR="002F43CE">
        <w:t>e</w:t>
      </w:r>
      <w:r w:rsidRPr="00A110D6">
        <w:t xml:space="preserve"> wyroków </w:t>
      </w:r>
      <w:r w:rsidR="00B16250" w:rsidRPr="00A110D6">
        <w:t>Trybunału</w:t>
      </w:r>
      <w:r w:rsidRPr="00A110D6">
        <w:t xml:space="preserve"> może wymagać </w:t>
      </w:r>
      <w:r w:rsidR="00B16250" w:rsidRPr="00A110D6">
        <w:t>zaangażowania</w:t>
      </w:r>
      <w:r w:rsidRPr="00A110D6">
        <w:t xml:space="preserve"> sądownictwa i parlamentów</w:t>
      </w:r>
      <w:r w:rsidR="002F43CE">
        <w:t>;</w:t>
      </w:r>
      <w:r w:rsidR="000A1B8B" w:rsidRPr="00A110D6">
        <w:t xml:space="preserve"> </w:t>
      </w:r>
    </w:p>
    <w:p w:rsidR="00BC1A19" w:rsidRPr="00A110D6" w:rsidRDefault="00BC1A19" w:rsidP="00FC0A64">
      <w:pPr>
        <w:pStyle w:val="Tekstpodstawowy"/>
        <w:spacing w:after="240" w:line="240" w:lineRule="auto"/>
        <w:jc w:val="both"/>
      </w:pPr>
      <w:r w:rsidRPr="00A110D6">
        <w:t xml:space="preserve">Zauważając </w:t>
      </w:r>
      <w:r w:rsidR="009A35FA" w:rsidRPr="00A110D6">
        <w:t xml:space="preserve">postęp </w:t>
      </w:r>
      <w:r w:rsidR="00B16250" w:rsidRPr="00A110D6">
        <w:t>osiągnięty</w:t>
      </w:r>
      <w:r w:rsidR="00B16250">
        <w:t xml:space="preserve"> przez Państwa-</w:t>
      </w:r>
      <w:r w:rsidR="00B16250" w:rsidRPr="00A110D6">
        <w:t xml:space="preserve">Strony </w:t>
      </w:r>
      <w:r w:rsidRPr="00A110D6">
        <w:t>w</w:t>
      </w:r>
      <w:r w:rsidR="00B16250">
        <w:t xml:space="preserve"> </w:t>
      </w:r>
      <w:r w:rsidR="009A35FA">
        <w:t xml:space="preserve">odniesieniu do </w:t>
      </w:r>
      <w:r w:rsidR="000A1B8B" w:rsidRPr="00A110D6">
        <w:t>wy</w:t>
      </w:r>
      <w:r w:rsidRPr="00A110D6">
        <w:t>konywani</w:t>
      </w:r>
      <w:r w:rsidR="009A35FA">
        <w:t>a</w:t>
      </w:r>
      <w:r w:rsidRPr="00A110D6">
        <w:t xml:space="preserve"> wyroków</w:t>
      </w:r>
      <w:r w:rsidR="009C7976">
        <w:t>,</w:t>
      </w:r>
      <w:r w:rsidR="000A1B8B" w:rsidRPr="00A110D6">
        <w:t xml:space="preserve"> podkreśla znaczenie </w:t>
      </w:r>
      <w:r w:rsidR="00B16250" w:rsidRPr="00A110D6">
        <w:t>pełnego</w:t>
      </w:r>
      <w:r w:rsidR="000A1B8B" w:rsidRPr="00A110D6">
        <w:t xml:space="preserve">, skutecznego i szybkiego wykonywania wyroków oraz </w:t>
      </w:r>
      <w:r w:rsidR="00B16250">
        <w:t>silnego</w:t>
      </w:r>
      <w:r w:rsidR="000A1B8B" w:rsidRPr="00A110D6">
        <w:t xml:space="preserve"> </w:t>
      </w:r>
      <w:r w:rsidR="009A35FA" w:rsidRPr="009A35FA">
        <w:t>zaangażowania</w:t>
      </w:r>
      <w:r w:rsidR="009A35FA" w:rsidRPr="00A110D6">
        <w:t xml:space="preserve"> </w:t>
      </w:r>
      <w:r w:rsidR="000A1B8B" w:rsidRPr="00A110D6">
        <w:t>politycznego Państw</w:t>
      </w:r>
      <w:r w:rsidR="00B16250">
        <w:t>-</w:t>
      </w:r>
      <w:r w:rsidR="000A1B8B" w:rsidRPr="00A110D6">
        <w:t>Stron w tym względzie, a tym samym wzmocnieni</w:t>
      </w:r>
      <w:r w:rsidR="009A35FA">
        <w:t>a</w:t>
      </w:r>
      <w:r w:rsidR="000A1B8B" w:rsidRPr="00A110D6">
        <w:t xml:space="preserve"> ogólnej wiarygodności systemu konwencyjnego i Trybunału;</w:t>
      </w:r>
    </w:p>
    <w:p w:rsidR="00E00316" w:rsidRPr="00A110D6" w:rsidRDefault="000A1B8B" w:rsidP="000C6154">
      <w:pPr>
        <w:pStyle w:val="Tekstpodstawowy"/>
        <w:spacing w:line="240" w:lineRule="auto"/>
        <w:jc w:val="both"/>
      </w:pPr>
      <w:r w:rsidRPr="00A110D6">
        <w:t>Jest przekonana</w:t>
      </w:r>
      <w:r w:rsidR="00465945">
        <w:t>,</w:t>
      </w:r>
      <w:r w:rsidRPr="00A110D6">
        <w:t xml:space="preserve"> że </w:t>
      </w:r>
      <w:r w:rsidR="009C7976" w:rsidRPr="0071107F">
        <w:t>oprócz</w:t>
      </w:r>
      <w:r w:rsidR="009C7976">
        <w:t xml:space="preserve"> już przeprowadzonych</w:t>
      </w:r>
      <w:r w:rsidR="00B16250">
        <w:t xml:space="preserve"> </w:t>
      </w:r>
      <w:r w:rsidR="009C7976">
        <w:t>ulepszeń</w:t>
      </w:r>
      <w:r w:rsidRPr="00A110D6">
        <w:t xml:space="preserve"> </w:t>
      </w:r>
      <w:r w:rsidR="009A35FA">
        <w:t xml:space="preserve">należy </w:t>
      </w:r>
      <w:r w:rsidR="00B16250" w:rsidRPr="00A110D6">
        <w:t xml:space="preserve">położyć </w:t>
      </w:r>
      <w:r w:rsidRPr="00A110D6">
        <w:t>nacisk na obecne wyzwania, w</w:t>
      </w:r>
      <w:r w:rsidR="00B16250">
        <w:t xml:space="preserve"> </w:t>
      </w:r>
      <w:r w:rsidR="00B16250" w:rsidRPr="00A110D6">
        <w:t>szczególności</w:t>
      </w:r>
      <w:r w:rsidR="009A35FA">
        <w:t xml:space="preserve">: </w:t>
      </w:r>
      <w:r w:rsidRPr="00A110D6">
        <w:t xml:space="preserve">skargi </w:t>
      </w:r>
      <w:r w:rsidR="009A35FA">
        <w:t xml:space="preserve">powtarzalne </w:t>
      </w:r>
      <w:r w:rsidRPr="00A110D6">
        <w:t>wynikające z niewykonywania wyroków Trybunału, czas</w:t>
      </w:r>
      <w:r w:rsidR="000700D8">
        <w:t>, jaki zajmuje</w:t>
      </w:r>
      <w:r w:rsidRPr="00A110D6">
        <w:t xml:space="preserve"> Trybunałowi rozpatrzenie i </w:t>
      </w:r>
      <w:r w:rsidR="000700D8">
        <w:t xml:space="preserve">wydanie orzeczeń </w:t>
      </w:r>
      <w:r w:rsidRPr="00A110D6">
        <w:t xml:space="preserve">w </w:t>
      </w:r>
      <w:r w:rsidR="000700D8">
        <w:t>odniesieniu do s</w:t>
      </w:r>
      <w:r w:rsidR="00D75E9C">
        <w:t>karg</w:t>
      </w:r>
      <w:r w:rsidR="000700D8">
        <w:t xml:space="preserve"> potencjalnie </w:t>
      </w:r>
      <w:r w:rsidR="00D75E9C">
        <w:t>zasadnych</w:t>
      </w:r>
      <w:r w:rsidRPr="00A110D6">
        <w:t xml:space="preserve">, </w:t>
      </w:r>
      <w:r w:rsidR="00B16250" w:rsidRPr="00A110D6">
        <w:t>zwiększająca</w:t>
      </w:r>
      <w:r w:rsidRPr="00A110D6">
        <w:t xml:space="preserve"> się liczba wyroków pod </w:t>
      </w:r>
      <w:r w:rsidR="00B16250" w:rsidRPr="00A110D6">
        <w:t>nadzorem</w:t>
      </w:r>
      <w:r w:rsidRPr="00A110D6">
        <w:t xml:space="preserve"> Komitetu </w:t>
      </w:r>
      <w:r w:rsidR="00B16250" w:rsidRPr="00A110D6">
        <w:t>Ministrów</w:t>
      </w:r>
      <w:r w:rsidRPr="00A110D6">
        <w:t xml:space="preserve"> oraz </w:t>
      </w:r>
      <w:r w:rsidR="00413F1C" w:rsidRPr="00A110D6">
        <w:t>trudności</w:t>
      </w:r>
      <w:r w:rsidRPr="00A110D6">
        <w:t xml:space="preserve"> w </w:t>
      </w:r>
      <w:r w:rsidR="00413F1C" w:rsidRPr="00A110D6">
        <w:t>wykonaniu</w:t>
      </w:r>
      <w:r w:rsidRPr="00A110D6">
        <w:t xml:space="preserve"> przez Państwa</w:t>
      </w:r>
      <w:r w:rsidR="00413F1C">
        <w:t>-</w:t>
      </w:r>
      <w:r w:rsidR="00413F1C" w:rsidRPr="00A110D6">
        <w:t>Strony</w:t>
      </w:r>
      <w:r w:rsidRPr="00A110D6">
        <w:t xml:space="preserve"> niektórych wyroków ze względu na skalę, charakter lub koszty związane </w:t>
      </w:r>
      <w:r w:rsidRPr="00413F1C">
        <w:t>ze stwierdzonymi</w:t>
      </w:r>
      <w:r w:rsidRPr="00A110D6">
        <w:t xml:space="preserve"> problemami. </w:t>
      </w:r>
      <w:r w:rsidR="00D1543B" w:rsidRPr="00A110D6">
        <w:t xml:space="preserve">W związku z tym konieczne </w:t>
      </w:r>
      <w:r w:rsidR="003F33CD">
        <w:t>jest zapewnienie</w:t>
      </w:r>
      <w:r w:rsidR="00E00316" w:rsidRPr="00A110D6">
        <w:t xml:space="preserve"> </w:t>
      </w:r>
      <w:r w:rsidR="00413F1C" w:rsidRPr="00A110D6">
        <w:t>dodatkow</w:t>
      </w:r>
      <w:r w:rsidR="003F33CD">
        <w:t>ych</w:t>
      </w:r>
      <w:r w:rsidR="00E00316" w:rsidRPr="00A110D6">
        <w:t xml:space="preserve"> środk</w:t>
      </w:r>
      <w:r w:rsidR="003F33CD">
        <w:t>ów</w:t>
      </w:r>
      <w:r w:rsidR="00E00316" w:rsidRPr="00A110D6">
        <w:t xml:space="preserve"> </w:t>
      </w:r>
      <w:r w:rsidR="00D96861">
        <w:t>zmierzających do</w:t>
      </w:r>
      <w:r w:rsidR="00E00316" w:rsidRPr="00A110D6">
        <w:t>:</w:t>
      </w:r>
    </w:p>
    <w:p w:rsidR="000A1B8B" w:rsidRPr="00A110D6" w:rsidRDefault="00D75E9C" w:rsidP="000C6154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</w:pPr>
      <w:r w:rsidRPr="002678A4">
        <w:t>k</w:t>
      </w:r>
      <w:r w:rsidR="000700D8" w:rsidRPr="002678A4">
        <w:t>ontynuowania</w:t>
      </w:r>
      <w:r w:rsidR="000700D8">
        <w:t xml:space="preserve"> działań </w:t>
      </w:r>
      <w:r w:rsidR="009A35FA">
        <w:t>mających na celu umożliwienie</w:t>
      </w:r>
      <w:r w:rsidR="000700D8">
        <w:t xml:space="preserve"> </w:t>
      </w:r>
      <w:r w:rsidR="00267A2E" w:rsidRPr="00A110D6">
        <w:t>Trybunałowi</w:t>
      </w:r>
      <w:r w:rsidR="00267A2E">
        <w:t xml:space="preserve"> </w:t>
      </w:r>
      <w:r w:rsidR="00E00316" w:rsidRPr="00A110D6">
        <w:t xml:space="preserve">zmniejszania zaległości </w:t>
      </w:r>
      <w:r>
        <w:t xml:space="preserve">spraw </w:t>
      </w:r>
      <w:r w:rsidR="00E00316" w:rsidRPr="00A110D6">
        <w:t xml:space="preserve">zasadnych i </w:t>
      </w:r>
      <w:r w:rsidR="00267A2E">
        <w:t>powtarzalnych</w:t>
      </w:r>
      <w:r w:rsidR="00E00316" w:rsidRPr="00A110D6">
        <w:t xml:space="preserve"> oraz orzekania </w:t>
      </w:r>
      <w:r w:rsidR="00267A2E" w:rsidRPr="00A110D6">
        <w:t xml:space="preserve">w </w:t>
      </w:r>
      <w:r>
        <w:t xml:space="preserve">rozsądnym terminie </w:t>
      </w:r>
      <w:r w:rsidR="00E00316" w:rsidRPr="00A110D6">
        <w:t xml:space="preserve">w </w:t>
      </w:r>
      <w:r>
        <w:t xml:space="preserve">odniesieniu do </w:t>
      </w:r>
      <w:r w:rsidR="00E00316" w:rsidRPr="00A110D6">
        <w:t>nowych</w:t>
      </w:r>
      <w:r w:rsidR="00917FA5">
        <w:t>,</w:t>
      </w:r>
      <w:r w:rsidR="00E00316" w:rsidRPr="00A110D6">
        <w:t xml:space="preserve"> </w:t>
      </w:r>
      <w:r>
        <w:t>potencjalnie zasadnych spraw</w:t>
      </w:r>
      <w:r w:rsidR="00E00316" w:rsidRPr="00A110D6">
        <w:t>, w szczególności dotyczących poważnych naruszeń praw człowieka;</w:t>
      </w:r>
    </w:p>
    <w:p w:rsidR="00E00316" w:rsidRPr="00A110D6" w:rsidRDefault="00D75E9C" w:rsidP="000C6154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</w:pPr>
      <w:r w:rsidRPr="00A110D6">
        <w:t xml:space="preserve">zapewnienia </w:t>
      </w:r>
      <w:r w:rsidR="00267A2E" w:rsidRPr="00A110D6">
        <w:t>pełne</w:t>
      </w:r>
      <w:r w:rsidR="00267A2E">
        <w:t>g</w:t>
      </w:r>
      <w:r w:rsidR="00267A2E" w:rsidRPr="00A110D6">
        <w:t>o</w:t>
      </w:r>
      <w:r w:rsidR="00E00316" w:rsidRPr="00A110D6">
        <w:t>, skutecznego i szybkiego wykonywania wyroków Trybunału;</w:t>
      </w:r>
    </w:p>
    <w:p w:rsidR="00E00316" w:rsidRPr="00A110D6" w:rsidRDefault="00D75E9C" w:rsidP="00B8190A">
      <w:pPr>
        <w:pStyle w:val="Akapitzlist"/>
        <w:numPr>
          <w:ilvl w:val="0"/>
          <w:numId w:val="1"/>
        </w:numPr>
        <w:spacing w:after="480" w:line="240" w:lineRule="auto"/>
        <w:contextualSpacing w:val="0"/>
        <w:jc w:val="both"/>
      </w:pPr>
      <w:r w:rsidRPr="00A110D6">
        <w:t xml:space="preserve">zagwarantowania </w:t>
      </w:r>
      <w:r w:rsidR="00E00316" w:rsidRPr="00A110D6">
        <w:t xml:space="preserve">pełnego i </w:t>
      </w:r>
      <w:r w:rsidR="00267A2E" w:rsidRPr="00A110D6">
        <w:t>skutecznego</w:t>
      </w:r>
      <w:r w:rsidR="00E00316" w:rsidRPr="00A110D6">
        <w:t xml:space="preserve"> nadzoru </w:t>
      </w:r>
      <w:r>
        <w:t xml:space="preserve">Komitetu Ministrów nad wykonaniem wszystkich </w:t>
      </w:r>
      <w:r w:rsidR="00E00316" w:rsidRPr="00A110D6">
        <w:t xml:space="preserve">wyroków oraz </w:t>
      </w:r>
      <w:r w:rsidR="00917FA5">
        <w:t>rozwinięcia</w:t>
      </w:r>
      <w:r w:rsidR="00E00316" w:rsidRPr="00A110D6">
        <w:t xml:space="preserve">, </w:t>
      </w:r>
      <w:r w:rsidR="00917FA5">
        <w:t>we</w:t>
      </w:r>
      <w:r w:rsidR="00E00316" w:rsidRPr="00A110D6">
        <w:t xml:space="preserve"> współpracy </w:t>
      </w:r>
      <w:r w:rsidR="00917FA5">
        <w:t xml:space="preserve">z </w:t>
      </w:r>
      <w:r w:rsidR="00E00316" w:rsidRPr="00A110D6">
        <w:t>Państw</w:t>
      </w:r>
      <w:r w:rsidR="00917FA5">
        <w:t>ami</w:t>
      </w:r>
      <w:r w:rsidR="00267A2E">
        <w:t>-</w:t>
      </w:r>
      <w:r w:rsidR="00E00316" w:rsidRPr="00A110D6">
        <w:t>Stron</w:t>
      </w:r>
      <w:r w:rsidR="00917FA5">
        <w:t>ami</w:t>
      </w:r>
      <w:r w:rsidR="00E00316" w:rsidRPr="00A110D6">
        <w:t xml:space="preserve">, dialogu </w:t>
      </w:r>
      <w:r w:rsidR="00917FA5" w:rsidRPr="00A110D6">
        <w:t xml:space="preserve">dwustronnego </w:t>
      </w:r>
      <w:r w:rsidR="00E00316" w:rsidRPr="00A110D6">
        <w:t>oraz wsparcia Rady Europy w procesie wykonywania.</w:t>
      </w:r>
    </w:p>
    <w:p w:rsidR="00E00316" w:rsidRPr="00A110D6" w:rsidRDefault="00E00316" w:rsidP="000C6154">
      <w:pPr>
        <w:pStyle w:val="Tekstpodstawowy"/>
        <w:spacing w:line="240" w:lineRule="auto"/>
        <w:jc w:val="both"/>
      </w:pPr>
      <w:r w:rsidRPr="00A110D6">
        <w:t>Wobec powyższego Konferencja:</w:t>
      </w:r>
    </w:p>
    <w:p w:rsidR="00B07776" w:rsidRPr="00A110D6" w:rsidRDefault="00B07776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t xml:space="preserve">Potwierdza </w:t>
      </w:r>
      <w:r w:rsidR="00267A2E">
        <w:t>silne</w:t>
      </w:r>
      <w:r w:rsidRPr="00A110D6">
        <w:t xml:space="preserve"> </w:t>
      </w:r>
      <w:r w:rsidR="00D75E9C">
        <w:t>przywiązanie</w:t>
      </w:r>
      <w:r w:rsidRPr="00A110D6">
        <w:t xml:space="preserve"> Państw-Stron Konwencji </w:t>
      </w:r>
      <w:r w:rsidR="00D75E9C">
        <w:t xml:space="preserve">do </w:t>
      </w:r>
      <w:r w:rsidRPr="00A110D6">
        <w:t>prawa do skargi indywidualnej;</w:t>
      </w:r>
    </w:p>
    <w:p w:rsidR="00E00316" w:rsidRPr="00A110D6" w:rsidRDefault="00B07776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t xml:space="preserve">Ponawia stanowczą determinację </w:t>
      </w:r>
      <w:r w:rsidR="00267A2E" w:rsidRPr="00A110D6">
        <w:t>Państw</w:t>
      </w:r>
      <w:r w:rsidRPr="00A110D6">
        <w:t>-Stron w wykonywani</w:t>
      </w:r>
      <w:r w:rsidR="00267A2E">
        <w:t>e</w:t>
      </w:r>
      <w:r w:rsidRPr="00A110D6">
        <w:t xml:space="preserve"> </w:t>
      </w:r>
      <w:r w:rsidR="00144EFE">
        <w:t xml:space="preserve">ich pierwszoplanowego obowiązku zapewnienia, </w:t>
      </w:r>
      <w:r w:rsidRPr="00A110D6">
        <w:t xml:space="preserve">aby prawa i wolności </w:t>
      </w:r>
      <w:r w:rsidR="00267A2E">
        <w:t>przewidziane w</w:t>
      </w:r>
      <w:r w:rsidRPr="00A110D6">
        <w:t xml:space="preserve"> </w:t>
      </w:r>
      <w:r w:rsidR="00267A2E" w:rsidRPr="00A110D6">
        <w:t>Konwencji</w:t>
      </w:r>
      <w:r w:rsidRPr="00A110D6">
        <w:t xml:space="preserve"> i jej protokołach były w pełni </w:t>
      </w:r>
      <w:r w:rsidR="004F237F">
        <w:t>zagwarantowane</w:t>
      </w:r>
      <w:r w:rsidR="00061162" w:rsidRPr="00A110D6">
        <w:t xml:space="preserve"> na </w:t>
      </w:r>
      <w:r w:rsidR="00267A2E" w:rsidRPr="00A110D6">
        <w:t>poziomie</w:t>
      </w:r>
      <w:r w:rsidR="00061162" w:rsidRPr="00A110D6">
        <w:t xml:space="preserve"> krajowym </w:t>
      </w:r>
      <w:r w:rsidR="00267A2E">
        <w:t>zgodnie</w:t>
      </w:r>
      <w:r w:rsidR="00061162" w:rsidRPr="00A110D6">
        <w:t xml:space="preserve"> z zasadą subsydiarności;</w:t>
      </w:r>
    </w:p>
    <w:p w:rsidR="00061162" w:rsidRPr="00A110D6" w:rsidRDefault="00144EFE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>
        <w:t xml:space="preserve">Zaprasza </w:t>
      </w:r>
      <w:r w:rsidR="00061162" w:rsidRPr="00A110D6">
        <w:t xml:space="preserve">wszystkich </w:t>
      </w:r>
      <w:r w:rsidR="00061162" w:rsidRPr="0071107F">
        <w:t>partnerów</w:t>
      </w:r>
      <w:r w:rsidR="00061162" w:rsidRPr="00D96861">
        <w:t xml:space="preserve"> do </w:t>
      </w:r>
      <w:r w:rsidR="00303251" w:rsidRPr="00D96861">
        <w:t>zapewnienia</w:t>
      </w:r>
      <w:r w:rsidR="00061162" w:rsidRPr="00D96861">
        <w:t xml:space="preserve"> </w:t>
      </w:r>
      <w:r w:rsidR="00303251" w:rsidRPr="00D96861">
        <w:t>środków</w:t>
      </w:r>
      <w:r w:rsidR="00061162" w:rsidRPr="00D96861">
        <w:t xml:space="preserve"> </w:t>
      </w:r>
      <w:r w:rsidR="00E50A0A" w:rsidRPr="00D96861">
        <w:t xml:space="preserve">niezbędnych </w:t>
      </w:r>
      <w:r w:rsidR="00D96861" w:rsidRPr="00D96861">
        <w:t>d</w:t>
      </w:r>
      <w:r w:rsidR="00D96861">
        <w:t>o</w:t>
      </w:r>
      <w:r w:rsidR="00D96861" w:rsidRPr="00D96861">
        <w:t xml:space="preserve"> </w:t>
      </w:r>
      <w:r w:rsidR="00303251" w:rsidRPr="00D96861">
        <w:t>wypełnienia</w:t>
      </w:r>
      <w:r w:rsidR="00061162" w:rsidRPr="00D96861">
        <w:t xml:space="preserve"> </w:t>
      </w:r>
      <w:r w:rsidRPr="00D96861">
        <w:t xml:space="preserve">ich roli w </w:t>
      </w:r>
      <w:r w:rsidR="00E50A0A" w:rsidRPr="00D96861">
        <w:t xml:space="preserve">odniesieniu do </w:t>
      </w:r>
      <w:r w:rsidRPr="00D96861">
        <w:t>implementacji</w:t>
      </w:r>
      <w:r w:rsidR="00061162" w:rsidRPr="00A110D6">
        <w:t xml:space="preserve"> </w:t>
      </w:r>
      <w:r w:rsidR="00303251" w:rsidRPr="00A110D6">
        <w:t>Konwencji</w:t>
      </w:r>
      <w:r w:rsidR="00061162" w:rsidRPr="00A110D6">
        <w:t>, zgodnie z Konwencj</w:t>
      </w:r>
      <w:r w:rsidR="00D81BF5">
        <w:t>ą</w:t>
      </w:r>
      <w:r w:rsidR="00061162" w:rsidRPr="00A110D6">
        <w:t xml:space="preserve"> </w:t>
      </w:r>
      <w:r>
        <w:t xml:space="preserve">przewidującą </w:t>
      </w:r>
      <w:r w:rsidR="00061162" w:rsidRPr="00A110D6">
        <w:t>współodpowiedz</w:t>
      </w:r>
      <w:r w:rsidR="00D81BF5">
        <w:t>ia</w:t>
      </w:r>
      <w:r w:rsidR="00061162" w:rsidRPr="00A110D6">
        <w:t>lność Państw-Stron, Trybunału i Komitetu Ministrów;</w:t>
      </w:r>
    </w:p>
    <w:p w:rsidR="00061162" w:rsidRPr="00A110D6" w:rsidRDefault="00061162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t>Z zadowoleniem przyjmuje działania podjęte przez Trybunał</w:t>
      </w:r>
      <w:r w:rsidR="00725C44">
        <w:t>,</w:t>
      </w:r>
      <w:r w:rsidRPr="00A110D6">
        <w:t xml:space="preserve"> w szczególności </w:t>
      </w:r>
      <w:r w:rsidR="00D81BF5">
        <w:t>związane</w:t>
      </w:r>
      <w:r w:rsidRPr="00A110D6">
        <w:t xml:space="preserve"> </w:t>
      </w:r>
      <w:r w:rsidR="00D81BF5">
        <w:t xml:space="preserve">z </w:t>
      </w:r>
      <w:r w:rsidR="00E50A0A">
        <w:t>u</w:t>
      </w:r>
      <w:r w:rsidR="00D81BF5" w:rsidRPr="00A110D6">
        <w:t>powszechnieni</w:t>
      </w:r>
      <w:r w:rsidR="00D81BF5">
        <w:t>em</w:t>
      </w:r>
      <w:r w:rsidRPr="00A110D6">
        <w:t xml:space="preserve"> </w:t>
      </w:r>
      <w:r w:rsidR="00144EFE">
        <w:t xml:space="preserve">jego </w:t>
      </w:r>
      <w:r w:rsidR="00430F22">
        <w:t>wyroków i decyzji</w:t>
      </w:r>
      <w:r w:rsidRPr="00A110D6">
        <w:t xml:space="preserve"> </w:t>
      </w:r>
      <w:r w:rsidR="00144EFE">
        <w:t xml:space="preserve">poprzez </w:t>
      </w:r>
      <w:r w:rsidR="006B4A18">
        <w:t>noty informacyjne</w:t>
      </w:r>
      <w:r w:rsidRPr="00A110D6">
        <w:t xml:space="preserve">, </w:t>
      </w:r>
      <w:r w:rsidR="00144EFE">
        <w:t xml:space="preserve">praktyczny </w:t>
      </w:r>
      <w:r w:rsidR="00590888" w:rsidRPr="00A110D6">
        <w:t>przewodnik</w:t>
      </w:r>
      <w:r w:rsidRPr="00A110D6">
        <w:t xml:space="preserve"> </w:t>
      </w:r>
      <w:r w:rsidR="00590888" w:rsidRPr="00A110D6">
        <w:t>w sprawie kryteriów</w:t>
      </w:r>
      <w:r w:rsidRPr="00A110D6">
        <w:t xml:space="preserve"> </w:t>
      </w:r>
      <w:r w:rsidR="00590888" w:rsidRPr="00A110D6">
        <w:t>dopuszczalności</w:t>
      </w:r>
      <w:r w:rsidR="00D81BF5">
        <w:t>,</w:t>
      </w:r>
      <w:r w:rsidR="00590888" w:rsidRPr="00A110D6">
        <w:t xml:space="preserve"> jak </w:t>
      </w:r>
      <w:r w:rsidR="00144EFE">
        <w:t>również</w:t>
      </w:r>
      <w:r w:rsidR="00590888" w:rsidRPr="00A110D6">
        <w:t xml:space="preserve"> poprzez przewodniki </w:t>
      </w:r>
      <w:r w:rsidR="00E50A0A">
        <w:t>na temat orzecznictwa</w:t>
      </w:r>
      <w:r w:rsidR="00590888" w:rsidRPr="00A110D6">
        <w:t xml:space="preserve"> oraz zestawie</w:t>
      </w:r>
      <w:r w:rsidR="00D81BF5">
        <w:t>nia</w:t>
      </w:r>
      <w:r w:rsidR="00590888" w:rsidRPr="00A110D6">
        <w:t xml:space="preserve"> tematyczn</w:t>
      </w:r>
      <w:r w:rsidR="00D81BF5">
        <w:t>e</w:t>
      </w:r>
      <w:r w:rsidR="00433723" w:rsidRPr="00A110D6">
        <w:t>;</w:t>
      </w:r>
    </w:p>
    <w:p w:rsidR="00433723" w:rsidRPr="00A110D6" w:rsidRDefault="00725C44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>
        <w:t>Potwierdza</w:t>
      </w:r>
      <w:r w:rsidR="00433723" w:rsidRPr="00A110D6">
        <w:t xml:space="preserve"> konieczność utrzymania </w:t>
      </w:r>
      <w:r w:rsidRPr="00A110D6">
        <w:t>niezawisłośc</w:t>
      </w:r>
      <w:r>
        <w:t>i s</w:t>
      </w:r>
      <w:r w:rsidR="00433723" w:rsidRPr="00A110D6">
        <w:t xml:space="preserve">ędziów oraz </w:t>
      </w:r>
      <w:r w:rsidR="001D6EC4" w:rsidRPr="00A110D6">
        <w:t>zachowa</w:t>
      </w:r>
      <w:r>
        <w:t>nia</w:t>
      </w:r>
      <w:r w:rsidR="001D6EC4" w:rsidRPr="00A110D6">
        <w:t xml:space="preserve"> </w:t>
      </w:r>
      <w:r w:rsidRPr="00A110D6">
        <w:t>niezależnośc</w:t>
      </w:r>
      <w:r>
        <w:t>i</w:t>
      </w:r>
      <w:r w:rsidR="001D6EC4" w:rsidRPr="00A110D6">
        <w:t xml:space="preserve">, </w:t>
      </w:r>
      <w:r w:rsidRPr="00A110D6">
        <w:t>jakośc</w:t>
      </w:r>
      <w:r>
        <w:t>i</w:t>
      </w:r>
      <w:r w:rsidR="001D6EC4" w:rsidRPr="00A110D6">
        <w:t xml:space="preserve"> oraz </w:t>
      </w:r>
      <w:r w:rsidR="006407B4">
        <w:t>autorytetu</w:t>
      </w:r>
      <w:r w:rsidR="001D6EC4" w:rsidRPr="00A110D6">
        <w:t xml:space="preserve"> Trybunału;</w:t>
      </w:r>
    </w:p>
    <w:p w:rsidR="001D6EC4" w:rsidRPr="00A110D6" w:rsidRDefault="001D6EC4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t xml:space="preserve">Uznaje rolę Kancelarii Trybunału w utrzymaniu najwyższej wydajności </w:t>
      </w:r>
      <w:r w:rsidR="006407B4">
        <w:t>zarządzania</w:t>
      </w:r>
      <w:r w:rsidRPr="00A110D6">
        <w:t xml:space="preserve"> skargami oraz implementacji procesu reform;</w:t>
      </w:r>
    </w:p>
    <w:p w:rsidR="001D6EC4" w:rsidRPr="00C60D4B" w:rsidRDefault="001D6EC4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C60D4B">
        <w:t xml:space="preserve">Wzywa </w:t>
      </w:r>
      <w:r w:rsidR="00CD0BDE" w:rsidRPr="00C60D4B">
        <w:t>Trybunał</w:t>
      </w:r>
      <w:r w:rsidR="00357A5C" w:rsidRPr="00C60D4B">
        <w:t>, aby stał na straży</w:t>
      </w:r>
      <w:r w:rsidR="00330FDB" w:rsidRPr="00C60D4B">
        <w:t xml:space="preserve"> </w:t>
      </w:r>
      <w:r w:rsidRPr="00C60D4B">
        <w:t xml:space="preserve">marginesu </w:t>
      </w:r>
      <w:r w:rsidR="004655D4" w:rsidRPr="00C60D4B">
        <w:t>oceny</w:t>
      </w:r>
      <w:r w:rsidRPr="00C60D4B">
        <w:t xml:space="preserve"> Państw-Str</w:t>
      </w:r>
      <w:r w:rsidR="00CD0BDE" w:rsidRPr="00C60D4B">
        <w:t>o</w:t>
      </w:r>
      <w:r w:rsidRPr="00C60D4B">
        <w:t>n;</w:t>
      </w:r>
    </w:p>
    <w:p w:rsidR="001D6EC4" w:rsidRPr="00A110D6" w:rsidRDefault="00D400BB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lastRenderedPageBreak/>
        <w:t xml:space="preserve">Podkreśla potrzebę znalezienia, zarówno na poziomie </w:t>
      </w:r>
      <w:r w:rsidR="00CD0BDE" w:rsidRPr="00A110D6">
        <w:t>Trybunału</w:t>
      </w:r>
      <w:r w:rsidRPr="00A110D6">
        <w:t xml:space="preserve"> jak i w ramach wykonywania wyroków, skutecznych rozwiązań dotyczących spraw </w:t>
      </w:r>
      <w:r w:rsidR="00CD0BDE">
        <w:t>powtarzalnyc</w:t>
      </w:r>
      <w:r w:rsidRPr="00A110D6">
        <w:t>h;</w:t>
      </w:r>
    </w:p>
    <w:p w:rsidR="00D400BB" w:rsidRPr="00A110D6" w:rsidRDefault="00D400BB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t>Zachęca w tym względzie Państwa-Strony do nadania priorytetu alternatywnym procedurom postępowania, takim jak ugody oraz deklaracje jednostronne;</w:t>
      </w:r>
    </w:p>
    <w:p w:rsidR="00D400BB" w:rsidRPr="00A110D6" w:rsidRDefault="00CD0BDE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t>Przywołując</w:t>
      </w:r>
      <w:r>
        <w:t xml:space="preserve"> </w:t>
      </w:r>
      <w:r w:rsidR="006407B4">
        <w:t>art.</w:t>
      </w:r>
      <w:r>
        <w:t xml:space="preserve"> 46 Konwencji</w:t>
      </w:r>
      <w:r w:rsidR="00B55AA1" w:rsidRPr="00A110D6">
        <w:t xml:space="preserve"> podkreśla, że pełn</w:t>
      </w:r>
      <w:r w:rsidR="006407B4">
        <w:t>e</w:t>
      </w:r>
      <w:r w:rsidR="00B55AA1" w:rsidRPr="00A110D6">
        <w:t>, skuteczn</w:t>
      </w:r>
      <w:r>
        <w:t>e</w:t>
      </w:r>
      <w:r w:rsidR="00B55AA1" w:rsidRPr="00A110D6">
        <w:t xml:space="preserve"> i szybkie wykonywanie przez Państwa-</w:t>
      </w:r>
      <w:r w:rsidRPr="00A110D6">
        <w:t>Strony</w:t>
      </w:r>
      <w:r w:rsidR="00B55AA1" w:rsidRPr="00A110D6">
        <w:t xml:space="preserve"> prawomocnych wyroków Trybunału ma charakter zasadniczy;</w:t>
      </w:r>
    </w:p>
    <w:p w:rsidR="00B476B4" w:rsidRPr="00A110D6" w:rsidRDefault="00CD0BDE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>
        <w:t>Przypomina</w:t>
      </w:r>
      <w:r w:rsidR="00B476B4" w:rsidRPr="00A110D6">
        <w:t xml:space="preserve"> znaczenie</w:t>
      </w:r>
      <w:r w:rsidR="006407B4">
        <w:t xml:space="preserve"> poszanowania przez Komitet</w:t>
      </w:r>
      <w:r w:rsidR="00B476B4" w:rsidRPr="00A110D6">
        <w:t xml:space="preserve"> Ministrów swobody wyboru </w:t>
      </w:r>
      <w:r w:rsidR="006407B4">
        <w:t xml:space="preserve">przez Państwa-Strony </w:t>
      </w:r>
      <w:r w:rsidR="00B476B4" w:rsidRPr="00A110D6">
        <w:t xml:space="preserve">środków mających na celu pełne i skuteczne </w:t>
      </w:r>
      <w:r w:rsidRPr="00A110D6">
        <w:t>wykonanie</w:t>
      </w:r>
      <w:r w:rsidR="00B476B4" w:rsidRPr="00A110D6">
        <w:t xml:space="preserve"> wyroków Trybunału;</w:t>
      </w:r>
    </w:p>
    <w:p w:rsidR="00B55AA1" w:rsidRPr="00A110D6" w:rsidRDefault="00B55AA1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t xml:space="preserve">Wzywa do </w:t>
      </w:r>
      <w:r w:rsidR="00271525">
        <w:t>poprawienia</w:t>
      </w:r>
      <w:r w:rsidRPr="00A110D6">
        <w:t xml:space="preserve"> na poziomi</w:t>
      </w:r>
      <w:r w:rsidR="00271525">
        <w:t>e</w:t>
      </w:r>
      <w:r w:rsidRPr="00A110D6">
        <w:t xml:space="preserve"> zarówno Komitetu Ministrów</w:t>
      </w:r>
      <w:r w:rsidR="00E50A0A">
        <w:t>,</w:t>
      </w:r>
      <w:r w:rsidRPr="00A110D6">
        <w:t xml:space="preserve"> jak i </w:t>
      </w:r>
      <w:r w:rsidR="00271525" w:rsidRPr="00A110D6">
        <w:t>Państw</w:t>
      </w:r>
      <w:r w:rsidRPr="00A110D6">
        <w:t>-Str</w:t>
      </w:r>
      <w:r w:rsidR="006407B4">
        <w:t>o</w:t>
      </w:r>
      <w:r w:rsidRPr="00A110D6">
        <w:t xml:space="preserve">n, w zgodności z zasadą </w:t>
      </w:r>
      <w:r w:rsidR="00FF76D5" w:rsidRPr="00A110D6">
        <w:t>subsydiarności</w:t>
      </w:r>
      <w:r w:rsidRPr="00A110D6">
        <w:t xml:space="preserve">, skuteczności systemu nadzoru </w:t>
      </w:r>
      <w:r w:rsidR="006407B4">
        <w:t>nad wykonywaniem</w:t>
      </w:r>
      <w:r w:rsidRPr="00A110D6">
        <w:t xml:space="preserve"> wyroków Trybunału;</w:t>
      </w:r>
    </w:p>
    <w:p w:rsidR="00B55AA1" w:rsidRPr="00A110D6" w:rsidRDefault="00B55AA1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t>Zachęca organy Rady Europy do zwiększenia oraz udoskonalenia swoich działań związanych ze współ</w:t>
      </w:r>
      <w:r w:rsidR="006407B4">
        <w:t>pracą</w:t>
      </w:r>
      <w:r w:rsidRPr="00A110D6">
        <w:t xml:space="preserve"> oraz dialogiem dwustronnym z </w:t>
      </w:r>
      <w:r w:rsidR="00FF76D5" w:rsidRPr="00A110D6">
        <w:t>Państwa</w:t>
      </w:r>
      <w:r w:rsidR="00271525">
        <w:t>mi</w:t>
      </w:r>
      <w:r w:rsidRPr="00A110D6">
        <w:t>-Str</w:t>
      </w:r>
      <w:r w:rsidR="006407B4">
        <w:t>o</w:t>
      </w:r>
      <w:r w:rsidRPr="00A110D6">
        <w:t xml:space="preserve">nami </w:t>
      </w:r>
      <w:r w:rsidR="00271525">
        <w:t>dotyczącymi</w:t>
      </w:r>
      <w:r w:rsidRPr="00A110D6">
        <w:t xml:space="preserve"> </w:t>
      </w:r>
      <w:r w:rsidR="00FF76D5" w:rsidRPr="00A110D6">
        <w:t>implementacji</w:t>
      </w:r>
      <w:r w:rsidRPr="00A110D6">
        <w:t xml:space="preserve"> Konwencji, w tym </w:t>
      </w:r>
      <w:r w:rsidR="00F75C06">
        <w:t>poprzez ułatwienie</w:t>
      </w:r>
      <w:r w:rsidRPr="00A110D6">
        <w:t xml:space="preserve"> dostępu do informacji na temat dobrych praktyk, </w:t>
      </w:r>
      <w:r w:rsidR="00FF76D5" w:rsidRPr="00A110D6">
        <w:t>oraz</w:t>
      </w:r>
      <w:r w:rsidRPr="00A110D6">
        <w:t xml:space="preserve"> wzywa Państwa-</w:t>
      </w:r>
      <w:r w:rsidR="00FF76D5" w:rsidRPr="00A110D6">
        <w:t>Strony</w:t>
      </w:r>
      <w:r w:rsidRPr="00A110D6">
        <w:t xml:space="preserve"> do pełnego wykorzystania powyższych działań;</w:t>
      </w:r>
    </w:p>
    <w:p w:rsidR="00B476B4" w:rsidRPr="00A110D6" w:rsidRDefault="00B476B4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t>Wzywa Państwa-</w:t>
      </w:r>
      <w:r w:rsidR="00FF76D5" w:rsidRPr="00A110D6">
        <w:t>Strony</w:t>
      </w:r>
      <w:r w:rsidRPr="00A110D6">
        <w:t xml:space="preserve"> do podpisania i ratyfikowania</w:t>
      </w:r>
      <w:r w:rsidR="00271525">
        <w:t>,</w:t>
      </w:r>
      <w:r w:rsidRPr="00A110D6">
        <w:t xml:space="preserve"> </w:t>
      </w:r>
      <w:r w:rsidR="00271525" w:rsidRPr="00A110D6">
        <w:t>tak szybko jak to możliwe</w:t>
      </w:r>
      <w:r w:rsidR="00271525">
        <w:t>,</w:t>
      </w:r>
      <w:r w:rsidR="00271525" w:rsidRPr="00A110D6">
        <w:t xml:space="preserve"> </w:t>
      </w:r>
      <w:r w:rsidRPr="00A110D6">
        <w:t xml:space="preserve">Protokołu Nr 15 </w:t>
      </w:r>
      <w:r w:rsidR="00FF76D5" w:rsidRPr="00A110D6">
        <w:t>zmieniającego</w:t>
      </w:r>
      <w:r w:rsidRPr="00A110D6">
        <w:t xml:space="preserve"> Konwencję oraz do rozważenia podpisania </w:t>
      </w:r>
      <w:r w:rsidR="00271525">
        <w:t>i</w:t>
      </w:r>
      <w:r w:rsidRPr="00A110D6">
        <w:t xml:space="preserve"> ratyfikowania Protokołu </w:t>
      </w:r>
      <w:r w:rsidR="009745A0">
        <w:t>N</w:t>
      </w:r>
      <w:r w:rsidR="009745A0" w:rsidRPr="00A110D6">
        <w:t xml:space="preserve">r </w:t>
      </w:r>
      <w:r w:rsidRPr="00A110D6">
        <w:t>16;</w:t>
      </w:r>
    </w:p>
    <w:p w:rsidR="00B476B4" w:rsidRPr="00A110D6" w:rsidRDefault="00FF76D5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A110D6">
        <w:t>Potwierdza</w:t>
      </w:r>
      <w:r w:rsidR="00B476B4" w:rsidRPr="00A110D6">
        <w:t xml:space="preserve"> znaczenie akcesji Unii Europejskiej do Konwencji oraz </w:t>
      </w:r>
      <w:r w:rsidR="00F75C06">
        <w:t>zachęca</w:t>
      </w:r>
      <w:r w:rsidR="00B476B4" w:rsidRPr="00A110D6">
        <w:t xml:space="preserve"> do zakończenia tego procesu przy najbliższej okazji;</w:t>
      </w:r>
    </w:p>
    <w:p w:rsidR="003102F4" w:rsidRPr="00A110D6" w:rsidRDefault="00F75C06" w:rsidP="00430F22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>
        <w:t>Odnotowuje prowadzone</w:t>
      </w:r>
      <w:r w:rsidR="00B476B4" w:rsidRPr="00A110D6">
        <w:t xml:space="preserve"> </w:t>
      </w:r>
      <w:r w:rsidR="00226BA5" w:rsidRPr="00A110D6">
        <w:t xml:space="preserve">obecnie </w:t>
      </w:r>
      <w:r>
        <w:t xml:space="preserve">prace </w:t>
      </w:r>
      <w:r w:rsidR="00B476B4" w:rsidRPr="00A110D6">
        <w:t>Komitet</w:t>
      </w:r>
      <w:r>
        <w:t>u Sterującego</w:t>
      </w:r>
      <w:r w:rsidR="00B476B4" w:rsidRPr="00A110D6">
        <w:t xml:space="preserve"> Praw Człowieka (CDDH</w:t>
      </w:r>
      <w:r w:rsidR="003102F4" w:rsidRPr="00A110D6">
        <w:t xml:space="preserve">) </w:t>
      </w:r>
      <w:r w:rsidR="006F389E">
        <w:t>mając</w:t>
      </w:r>
      <w:r w:rsidR="00226BA5">
        <w:t>e</w:t>
      </w:r>
      <w:r w:rsidR="006F389E">
        <w:t xml:space="preserve"> na celu </w:t>
      </w:r>
      <w:r w:rsidR="006F389E" w:rsidRPr="00A110D6">
        <w:t>wdr</w:t>
      </w:r>
      <w:r w:rsidR="006F389E">
        <w:t>o</w:t>
      </w:r>
      <w:r w:rsidR="006F389E" w:rsidRPr="00A110D6">
        <w:t>że</w:t>
      </w:r>
      <w:r w:rsidR="006F389E">
        <w:t>n</w:t>
      </w:r>
      <w:r w:rsidR="006F389E" w:rsidRPr="00A110D6">
        <w:t>ie</w:t>
      </w:r>
      <w:r w:rsidR="003102F4" w:rsidRPr="00A110D6">
        <w:t xml:space="preserve"> </w:t>
      </w:r>
      <w:r w:rsidR="00587312" w:rsidRPr="00A110D6">
        <w:t>Deklaracji</w:t>
      </w:r>
      <w:r w:rsidR="003102F4" w:rsidRPr="00A110D6">
        <w:t xml:space="preserve"> z Brighton</w:t>
      </w:r>
      <w:r w:rsidR="00281850">
        <w:t>,</w:t>
      </w:r>
      <w:r w:rsidR="003102F4" w:rsidRPr="00A110D6">
        <w:t xml:space="preserve"> dotyczące reformy </w:t>
      </w:r>
      <w:r w:rsidR="00587312" w:rsidRPr="00A110D6">
        <w:t>systemu</w:t>
      </w:r>
      <w:r w:rsidR="003102F4" w:rsidRPr="00A110D6">
        <w:t xml:space="preserve"> konwencyjnego oraz jego przyszłości</w:t>
      </w:r>
      <w:r w:rsidRPr="00F75C06">
        <w:t xml:space="preserve"> </w:t>
      </w:r>
      <w:r w:rsidRPr="00A110D6">
        <w:t>długoterminowej</w:t>
      </w:r>
      <w:r w:rsidR="003102F4" w:rsidRPr="00A110D6">
        <w:t xml:space="preserve">, rezultaty </w:t>
      </w:r>
      <w:r w:rsidR="00281850">
        <w:t>których</w:t>
      </w:r>
      <w:r w:rsidR="00281850" w:rsidRPr="00A110D6">
        <w:t xml:space="preserve"> </w:t>
      </w:r>
      <w:r w:rsidR="003102F4" w:rsidRPr="00A110D6">
        <w:t>są oczekiwane w grudniu 2015 r</w:t>
      </w:r>
      <w:r w:rsidR="009745A0">
        <w:t>oku</w:t>
      </w:r>
      <w:r w:rsidR="003102F4" w:rsidRPr="00A110D6">
        <w:t>;</w:t>
      </w:r>
    </w:p>
    <w:p w:rsidR="003102F4" w:rsidRPr="00A110D6" w:rsidRDefault="00587312" w:rsidP="00FC0A64">
      <w:pPr>
        <w:pStyle w:val="Akapitzlist"/>
        <w:numPr>
          <w:ilvl w:val="0"/>
          <w:numId w:val="2"/>
        </w:numPr>
        <w:spacing w:after="480" w:line="240" w:lineRule="auto"/>
        <w:contextualSpacing w:val="0"/>
        <w:jc w:val="both"/>
      </w:pPr>
      <w:r w:rsidRPr="00A110D6">
        <w:t xml:space="preserve">Przyjmuje niniejszą Deklarację w celu nadania </w:t>
      </w:r>
      <w:r w:rsidR="00281850">
        <w:t xml:space="preserve">politycznego </w:t>
      </w:r>
      <w:r w:rsidR="00F75C06" w:rsidRPr="00630FDE">
        <w:t xml:space="preserve">impulsu </w:t>
      </w:r>
      <w:r w:rsidRPr="00630FDE">
        <w:t>bieżącemu</w:t>
      </w:r>
      <w:r w:rsidRPr="00A110D6">
        <w:t xml:space="preserve"> procesowi reformy </w:t>
      </w:r>
      <w:r w:rsidR="00281850">
        <w:t>mającemu</w:t>
      </w:r>
      <w:r w:rsidR="006F389E">
        <w:t xml:space="preserve"> na celu</w:t>
      </w:r>
      <w:r w:rsidRPr="00A110D6">
        <w:t xml:space="preserve"> </w:t>
      </w:r>
      <w:r w:rsidR="006F389E">
        <w:t xml:space="preserve">zapewnienie </w:t>
      </w:r>
      <w:r w:rsidRPr="00A110D6">
        <w:t>długoterminow</w:t>
      </w:r>
      <w:r w:rsidR="006F389E">
        <w:t>ej</w:t>
      </w:r>
      <w:r w:rsidRPr="00A110D6">
        <w:t xml:space="preserve"> skutecznoś</w:t>
      </w:r>
      <w:r w:rsidR="006F389E">
        <w:t>ci</w:t>
      </w:r>
      <w:r w:rsidRPr="00A110D6">
        <w:t xml:space="preserve"> systemu konwencyjnego.</w:t>
      </w:r>
    </w:p>
    <w:p w:rsidR="00587312" w:rsidRPr="00B8190A" w:rsidRDefault="00445CE3" w:rsidP="00FC0A64">
      <w:pPr>
        <w:pStyle w:val="Nagwek1"/>
        <w:spacing w:before="720" w:after="360" w:line="240" w:lineRule="auto"/>
        <w:jc w:val="both"/>
        <w:rPr>
          <w:rFonts w:asciiTheme="minorHAnsi" w:hAnsiTheme="minorHAnsi"/>
          <w:i/>
          <w:color w:val="auto"/>
          <w:sz w:val="24"/>
          <w:szCs w:val="24"/>
        </w:rPr>
      </w:pPr>
      <w:r w:rsidRPr="00B8190A">
        <w:rPr>
          <w:rFonts w:asciiTheme="minorHAnsi" w:hAnsiTheme="minorHAnsi"/>
          <w:i/>
          <w:color w:val="auto"/>
          <w:sz w:val="24"/>
          <w:szCs w:val="24"/>
        </w:rPr>
        <w:t>Plan Działania</w:t>
      </w:r>
      <w:r w:rsidR="002901B0" w:rsidRPr="00B8190A">
        <w:rPr>
          <w:rFonts w:asciiTheme="minorHAnsi" w:hAnsiTheme="minorHAnsi"/>
          <w:i/>
          <w:color w:val="auto"/>
          <w:sz w:val="24"/>
          <w:szCs w:val="24"/>
        </w:rPr>
        <w:t>:</w:t>
      </w:r>
    </w:p>
    <w:p w:rsidR="00F15B45" w:rsidRPr="002901B0" w:rsidRDefault="00F15B45" w:rsidP="000C6154">
      <w:pPr>
        <w:pStyle w:val="Akapitzlist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b/>
        </w:rPr>
      </w:pPr>
      <w:r w:rsidRPr="002901B0">
        <w:rPr>
          <w:b/>
        </w:rPr>
        <w:t>Interpretacja oraz stosowanie Konwencji przez Trybunał</w:t>
      </w:r>
    </w:p>
    <w:p w:rsidR="00F15B45" w:rsidRDefault="007449F0" w:rsidP="000C6154">
      <w:pPr>
        <w:pStyle w:val="Akapitzlist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</w:pPr>
      <w:r w:rsidRPr="00A110D6">
        <w:t xml:space="preserve">Mając na uwadze </w:t>
      </w:r>
      <w:r w:rsidR="002146CA">
        <w:t>kompetencję</w:t>
      </w:r>
      <w:r w:rsidRPr="00A110D6">
        <w:t xml:space="preserve"> Trybunału do interpretowania i stosowania </w:t>
      </w:r>
      <w:r w:rsidR="00695F49" w:rsidRPr="00A110D6">
        <w:t>Konwencji</w:t>
      </w:r>
      <w:r w:rsidRPr="00A110D6">
        <w:t>, Konferencja podkreśla znaczenie jasnego i spójnego orzecznictwa</w:t>
      </w:r>
      <w:r w:rsidR="00281850">
        <w:t>,</w:t>
      </w:r>
      <w:r w:rsidRPr="00A110D6">
        <w:t xml:space="preserve"> jak</w:t>
      </w:r>
      <w:r w:rsidR="002901B0">
        <w:t xml:space="preserve"> </w:t>
      </w:r>
      <w:r w:rsidR="00F75C06">
        <w:t>również</w:t>
      </w:r>
      <w:r w:rsidRPr="00A110D6">
        <w:t xml:space="preserve"> interakcji Trybunału z władzami krajowymi oraz Komitetem Ministrów, a w </w:t>
      </w:r>
      <w:r w:rsidR="00695F49" w:rsidRPr="00A110D6">
        <w:t>związku</w:t>
      </w:r>
      <w:r w:rsidRPr="00A110D6">
        <w:t xml:space="preserve"> z tym:</w:t>
      </w:r>
    </w:p>
    <w:p w:rsidR="002901B0" w:rsidRDefault="003A5F49" w:rsidP="000C6154">
      <w:pPr>
        <w:pStyle w:val="Akapitzlist"/>
        <w:numPr>
          <w:ilvl w:val="0"/>
          <w:numId w:val="5"/>
        </w:numPr>
        <w:spacing w:after="120" w:line="240" w:lineRule="auto"/>
        <w:ind w:left="1134" w:hanging="567"/>
        <w:contextualSpacing w:val="0"/>
        <w:jc w:val="both"/>
      </w:pPr>
      <w:r>
        <w:t>z</w:t>
      </w:r>
      <w:r w:rsidR="00695F49" w:rsidRPr="00A110D6">
        <w:t xml:space="preserve">achęca Trybunał do </w:t>
      </w:r>
      <w:r w:rsidR="00F75C06">
        <w:t xml:space="preserve">dalszego </w:t>
      </w:r>
      <w:r w:rsidR="00695F49" w:rsidRPr="00A110D6">
        <w:t>roz</w:t>
      </w:r>
      <w:r w:rsidR="00F75C06">
        <w:t>wijania</w:t>
      </w:r>
      <w:r w:rsidR="00695F49" w:rsidRPr="00A110D6">
        <w:t xml:space="preserve"> regularnej współpracy oraz wymiany informacji z Państwami–Stronami oraz Komitetem Ministrów, w szczególności w </w:t>
      </w:r>
      <w:r w:rsidR="00C07A10" w:rsidRPr="00A110D6">
        <w:t>odniesieniu</w:t>
      </w:r>
      <w:r w:rsidR="00695F49" w:rsidRPr="00A110D6">
        <w:t xml:space="preserve"> do skarg </w:t>
      </w:r>
      <w:r w:rsidR="002901B0">
        <w:t>powtarzalnych</w:t>
      </w:r>
      <w:r w:rsidR="00695F49" w:rsidRPr="00A110D6">
        <w:t xml:space="preserve"> </w:t>
      </w:r>
      <w:r w:rsidR="0044726B">
        <w:t xml:space="preserve">oraz </w:t>
      </w:r>
      <w:r w:rsidR="002901B0">
        <w:t xml:space="preserve">skarg </w:t>
      </w:r>
      <w:r w:rsidR="0044726B">
        <w:t>zawisłych</w:t>
      </w:r>
      <w:r w:rsidR="00695F49" w:rsidRPr="00A110D6">
        <w:t>;</w:t>
      </w:r>
    </w:p>
    <w:p w:rsidR="002901B0" w:rsidRDefault="003A5F49" w:rsidP="000C6154">
      <w:pPr>
        <w:pStyle w:val="Akapitzlist"/>
        <w:numPr>
          <w:ilvl w:val="0"/>
          <w:numId w:val="5"/>
        </w:numPr>
        <w:spacing w:after="120" w:line="240" w:lineRule="auto"/>
        <w:ind w:left="1134" w:hanging="567"/>
        <w:contextualSpacing w:val="0"/>
        <w:jc w:val="both"/>
      </w:pPr>
      <w:r>
        <w:t>z</w:t>
      </w:r>
      <w:r w:rsidR="00AC1A20" w:rsidRPr="00A110D6">
        <w:t xml:space="preserve"> zadowoleniem przyjmuje prowadzenie przez </w:t>
      </w:r>
      <w:r w:rsidR="00C07A10" w:rsidRPr="00A110D6">
        <w:t>Trybunał</w:t>
      </w:r>
      <w:r w:rsidR="00AC1A20" w:rsidRPr="00A110D6">
        <w:t xml:space="preserve"> dialogu z najwyższymi </w:t>
      </w:r>
      <w:r w:rsidR="0044726B" w:rsidRPr="00A110D6">
        <w:t xml:space="preserve">sądami </w:t>
      </w:r>
      <w:r w:rsidR="00AC1A20" w:rsidRPr="00A110D6">
        <w:t xml:space="preserve">krajowymi oraz </w:t>
      </w:r>
      <w:r w:rsidR="0044726B">
        <w:t>utworzenie sieci ułatwiającej</w:t>
      </w:r>
      <w:r w:rsidR="00AC1A20" w:rsidRPr="00A110D6">
        <w:t xml:space="preserve"> wymianę </w:t>
      </w:r>
      <w:r w:rsidR="00FE54EB" w:rsidRPr="00A110D6">
        <w:t xml:space="preserve">informacji </w:t>
      </w:r>
      <w:r w:rsidR="00281850" w:rsidRPr="00A110D6">
        <w:t xml:space="preserve">z sądami krajowymi </w:t>
      </w:r>
      <w:r w:rsidR="00AC1A20" w:rsidRPr="00A110D6">
        <w:t xml:space="preserve">na temat wyroków oraz decyzji Trybunału, </w:t>
      </w:r>
      <w:r w:rsidR="002901B0">
        <w:t>a także</w:t>
      </w:r>
      <w:r w:rsidR="00AC1A20" w:rsidRPr="00A110D6">
        <w:t xml:space="preserve"> zachęca Trybunał do dalszego pogłębiania tego dialogu;</w:t>
      </w:r>
    </w:p>
    <w:p w:rsidR="002901B0" w:rsidRDefault="003A5F49" w:rsidP="000C6154">
      <w:pPr>
        <w:pStyle w:val="Akapitzlist"/>
        <w:numPr>
          <w:ilvl w:val="0"/>
          <w:numId w:val="5"/>
        </w:numPr>
        <w:spacing w:after="120" w:line="240" w:lineRule="auto"/>
        <w:ind w:left="1134" w:hanging="567"/>
        <w:contextualSpacing w:val="0"/>
        <w:jc w:val="both"/>
      </w:pPr>
      <w:r>
        <w:t>z</w:t>
      </w:r>
      <w:r w:rsidR="00AC1A20" w:rsidRPr="00A110D6">
        <w:t xml:space="preserve"> zadowoleniem przyjmuje wyrażoną przez Trybunał </w:t>
      </w:r>
      <w:r w:rsidR="002754C9" w:rsidRPr="00A110D6">
        <w:t xml:space="preserve">intencję </w:t>
      </w:r>
      <w:r w:rsidR="00AC1A20" w:rsidRPr="00A110D6">
        <w:t>sporządzania zwięzłych uzasadnień decyzji o niedopuszczalności wyda</w:t>
      </w:r>
      <w:r w:rsidR="002754C9">
        <w:t>wa</w:t>
      </w:r>
      <w:r w:rsidR="00AC1A20" w:rsidRPr="00A110D6">
        <w:t>nych przez jednego sędziego oraz zachęca do rozpoczęcia t</w:t>
      </w:r>
      <w:r w:rsidR="0044726B">
        <w:t xml:space="preserve">akiej praktyki </w:t>
      </w:r>
      <w:r w:rsidR="00AC1A20" w:rsidRPr="00A110D6">
        <w:t>od stycznia 2016 r</w:t>
      </w:r>
      <w:r w:rsidR="002754C9">
        <w:t>oku</w:t>
      </w:r>
      <w:r w:rsidR="00AC1A20" w:rsidRPr="00A110D6">
        <w:t>;</w:t>
      </w:r>
    </w:p>
    <w:p w:rsidR="00AC1A20" w:rsidRPr="00A110D6" w:rsidRDefault="003A5F49" w:rsidP="00B8190A">
      <w:pPr>
        <w:pStyle w:val="Akapitzlist"/>
        <w:numPr>
          <w:ilvl w:val="0"/>
          <w:numId w:val="5"/>
        </w:numPr>
        <w:spacing w:after="360" w:line="240" w:lineRule="auto"/>
        <w:ind w:left="1134" w:hanging="567"/>
        <w:contextualSpacing w:val="0"/>
        <w:jc w:val="both"/>
      </w:pPr>
      <w:r>
        <w:lastRenderedPageBreak/>
        <w:t>z</w:t>
      </w:r>
      <w:r w:rsidR="00AC1A20" w:rsidRPr="00A110D6">
        <w:t xml:space="preserve">achęca </w:t>
      </w:r>
      <w:r w:rsidR="00C07A10" w:rsidRPr="00A110D6">
        <w:t>Trybunał</w:t>
      </w:r>
      <w:r w:rsidR="00AC1A20" w:rsidRPr="00A110D6">
        <w:t xml:space="preserve"> do rozważenia </w:t>
      </w:r>
      <w:r w:rsidR="00C07A10" w:rsidRPr="00A110D6">
        <w:t xml:space="preserve">sporządzania </w:t>
      </w:r>
      <w:r w:rsidR="00C45909" w:rsidRPr="00A110D6">
        <w:t xml:space="preserve">zwięzłych </w:t>
      </w:r>
      <w:r w:rsidR="00C07A10" w:rsidRPr="00A110D6">
        <w:t xml:space="preserve">uzasadnień </w:t>
      </w:r>
      <w:r w:rsidR="00C519F5">
        <w:t>swoich</w:t>
      </w:r>
      <w:r w:rsidR="00C45909" w:rsidRPr="00A110D6">
        <w:t xml:space="preserve"> decyzji odnoszących się do środków tymczasowych oraz decyzji panelu pięciu sędziów dotyczących </w:t>
      </w:r>
      <w:r w:rsidR="00700A94" w:rsidRPr="00A110D6">
        <w:t>nieuwzględnienia</w:t>
      </w:r>
      <w:r w:rsidR="00C45909" w:rsidRPr="00A110D6">
        <w:t xml:space="preserve"> wniosków o przekazanie</w:t>
      </w:r>
      <w:r w:rsidR="00700A94">
        <w:t xml:space="preserve"> sprawy</w:t>
      </w:r>
      <w:r w:rsidR="00C45909" w:rsidRPr="00A110D6">
        <w:t>.</w:t>
      </w:r>
    </w:p>
    <w:p w:rsidR="00C45909" w:rsidRPr="00A110D6" w:rsidRDefault="00C45909" w:rsidP="000C6154">
      <w:pPr>
        <w:pStyle w:val="Akapitzlist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</w:pPr>
      <w:r w:rsidRPr="00A110D6">
        <w:t>P</w:t>
      </w:r>
      <w:r w:rsidR="00D93DD8">
        <w:t>rzywołu</w:t>
      </w:r>
      <w:r w:rsidRPr="00A110D6">
        <w:t xml:space="preserve">jąc pozostałe wyzwania, w tym sprawy </w:t>
      </w:r>
      <w:r w:rsidR="003A5F49">
        <w:t>powtarzaln</w:t>
      </w:r>
      <w:r w:rsidRPr="00A110D6">
        <w:t xml:space="preserve">e, </w:t>
      </w:r>
      <w:r w:rsidR="00D93DD8" w:rsidRPr="00A110D6">
        <w:t>Konferencja</w:t>
      </w:r>
      <w:r w:rsidRPr="00A110D6">
        <w:t xml:space="preserve"> </w:t>
      </w:r>
      <w:r w:rsidR="00D93DD8" w:rsidRPr="00A110D6">
        <w:t>podkreśla</w:t>
      </w:r>
      <w:r w:rsidRPr="00A110D6">
        <w:t xml:space="preserve"> znaczenie skutecznej </w:t>
      </w:r>
      <w:r w:rsidR="00D93DD8" w:rsidRPr="00A110D6">
        <w:t>kontroli</w:t>
      </w:r>
      <w:r w:rsidRPr="00A110D6">
        <w:t xml:space="preserve"> </w:t>
      </w:r>
      <w:r w:rsidR="00D93DD8" w:rsidRPr="00A110D6">
        <w:t>wypełniania</w:t>
      </w:r>
      <w:r w:rsidRPr="00A110D6">
        <w:t xml:space="preserve"> przez Państwa-Strony zobowiązań </w:t>
      </w:r>
      <w:r w:rsidR="00D93DD8" w:rsidRPr="00A110D6">
        <w:t>wynikających</w:t>
      </w:r>
      <w:r w:rsidRPr="00A110D6">
        <w:t xml:space="preserve"> z Konwencji </w:t>
      </w:r>
      <w:r w:rsidR="00D93DD8" w:rsidRPr="00A110D6">
        <w:t>oraz</w:t>
      </w:r>
      <w:r w:rsidRPr="00A110D6">
        <w:t xml:space="preserve"> w związku z tym popiera:</w:t>
      </w:r>
    </w:p>
    <w:p w:rsidR="003A5F49" w:rsidRDefault="003A5F49" w:rsidP="000C6154">
      <w:pPr>
        <w:pStyle w:val="Akapitzlist"/>
        <w:numPr>
          <w:ilvl w:val="0"/>
          <w:numId w:val="6"/>
        </w:numPr>
        <w:spacing w:after="120" w:line="240" w:lineRule="auto"/>
        <w:ind w:left="1134" w:hanging="567"/>
        <w:contextualSpacing w:val="0"/>
        <w:jc w:val="both"/>
      </w:pPr>
      <w:r>
        <w:t>d</w:t>
      </w:r>
      <w:r w:rsidR="00C45909" w:rsidRPr="00A110D6">
        <w:t>alsze</w:t>
      </w:r>
      <w:r w:rsidR="0044726B">
        <w:t xml:space="preserve"> </w:t>
      </w:r>
      <w:r w:rsidR="00E853A8">
        <w:t>poszukiwanie</w:t>
      </w:r>
      <w:r w:rsidR="0044726B">
        <w:t xml:space="preserve"> oraz </w:t>
      </w:r>
      <w:r w:rsidR="00641C8A">
        <w:t>wykorzystywanie</w:t>
      </w:r>
      <w:r w:rsidR="00C45909" w:rsidRPr="00A110D6">
        <w:t xml:space="preserve"> skutecznych praktyk zarządzan</w:t>
      </w:r>
      <w:r w:rsidR="00745207" w:rsidRPr="00A110D6">
        <w:t xml:space="preserve">ia </w:t>
      </w:r>
      <w:r w:rsidR="003979FC" w:rsidRPr="00A110D6">
        <w:t>sprawami</w:t>
      </w:r>
      <w:r w:rsidR="00745207" w:rsidRPr="00A110D6">
        <w:t xml:space="preserve"> przez Trybunał</w:t>
      </w:r>
      <w:r w:rsidR="00D93DD8">
        <w:t>, w tym w szczególności pri</w:t>
      </w:r>
      <w:r w:rsidR="00745207" w:rsidRPr="00A110D6">
        <w:t>or</w:t>
      </w:r>
      <w:r w:rsidR="00D93DD8">
        <w:t>y</w:t>
      </w:r>
      <w:r w:rsidR="00745207" w:rsidRPr="00A110D6">
        <w:t>t</w:t>
      </w:r>
      <w:r w:rsidR="00D93DD8">
        <w:t>etyzacji</w:t>
      </w:r>
      <w:r w:rsidR="00281850">
        <w:t xml:space="preserve"> kategorii rozpatrywanych</w:t>
      </w:r>
      <w:r w:rsidR="00745207" w:rsidRPr="00A110D6">
        <w:t xml:space="preserve"> spraw, </w:t>
      </w:r>
      <w:r>
        <w:t>między innymi</w:t>
      </w:r>
      <w:r w:rsidR="003979FC" w:rsidRPr="00A110D6">
        <w:t xml:space="preserve"> </w:t>
      </w:r>
      <w:r w:rsidR="0044726B">
        <w:t xml:space="preserve">według </w:t>
      </w:r>
      <w:r w:rsidR="003979FC" w:rsidRPr="00A110D6">
        <w:t xml:space="preserve">ich znaczenia </w:t>
      </w:r>
      <w:r w:rsidR="0044726B">
        <w:t>i</w:t>
      </w:r>
      <w:r w:rsidR="003979FC" w:rsidRPr="00A110D6">
        <w:t xml:space="preserve"> pilności</w:t>
      </w:r>
      <w:r>
        <w:t>,</w:t>
      </w:r>
      <w:r w:rsidR="003979FC" w:rsidRPr="00A110D6">
        <w:t xml:space="preserve"> oraz </w:t>
      </w:r>
      <w:r w:rsidRPr="00A110D6">
        <w:t>procedur</w:t>
      </w:r>
      <w:r w:rsidR="00E853A8">
        <w:t>y</w:t>
      </w:r>
      <w:r w:rsidR="003979FC" w:rsidRPr="00A110D6">
        <w:t xml:space="preserve"> wyroku pilotażowego;</w:t>
      </w:r>
    </w:p>
    <w:p w:rsidR="003A5F49" w:rsidRDefault="00281850" w:rsidP="000C6154">
      <w:pPr>
        <w:pStyle w:val="Akapitzlist"/>
        <w:numPr>
          <w:ilvl w:val="0"/>
          <w:numId w:val="6"/>
        </w:numPr>
        <w:spacing w:after="120" w:line="240" w:lineRule="auto"/>
        <w:ind w:left="1134" w:hanging="567"/>
        <w:contextualSpacing w:val="0"/>
        <w:jc w:val="both"/>
      </w:pPr>
      <w:r>
        <w:t>d</w:t>
      </w:r>
      <w:r w:rsidRPr="00A110D6">
        <w:t xml:space="preserve">alsze rozważenie przez Trybunał </w:t>
      </w:r>
      <w:r>
        <w:t xml:space="preserve">– </w:t>
      </w:r>
      <w:r w:rsidR="00B50FE8" w:rsidRPr="00A110D6">
        <w:t xml:space="preserve">w </w:t>
      </w:r>
      <w:r w:rsidR="00641C8A">
        <w:t>konsultacji</w:t>
      </w:r>
      <w:r w:rsidR="00B50FE8" w:rsidRPr="00A110D6">
        <w:t xml:space="preserve"> z Komitetem Ministrów oraz Państwami-Str</w:t>
      </w:r>
      <w:r w:rsidR="00FE54EB">
        <w:t>o</w:t>
      </w:r>
      <w:r w:rsidR="00B50FE8" w:rsidRPr="00A110D6">
        <w:t>nami, w szczególności poprzez agentów rz</w:t>
      </w:r>
      <w:r>
        <w:t>ądowych oraz ekspertów prawnych –</w:t>
      </w:r>
      <w:r w:rsidR="00B50FE8" w:rsidRPr="00A110D6">
        <w:t xml:space="preserve"> </w:t>
      </w:r>
      <w:r w:rsidR="00BD3B00" w:rsidRPr="00A110D6">
        <w:t xml:space="preserve">ulepszenia jego funkcjonowania, w tym </w:t>
      </w:r>
      <w:r w:rsidR="00641C8A">
        <w:t xml:space="preserve">w odniesieniu do </w:t>
      </w:r>
      <w:r w:rsidR="003A5F49" w:rsidRPr="00A110D6">
        <w:t>odpowiedniego</w:t>
      </w:r>
      <w:r w:rsidR="00BD3B00" w:rsidRPr="00A110D6">
        <w:t xml:space="preserve"> </w:t>
      </w:r>
      <w:r w:rsidR="003A5F49" w:rsidRPr="00A110D6">
        <w:t>załatwiania</w:t>
      </w:r>
      <w:r w:rsidR="00BD3B00" w:rsidRPr="00A110D6">
        <w:t xml:space="preserve"> spraw </w:t>
      </w:r>
      <w:r w:rsidR="003A5F49">
        <w:t>powtarzaln</w:t>
      </w:r>
      <w:r w:rsidR="00BD3B00" w:rsidRPr="00A110D6">
        <w:t>ych</w:t>
      </w:r>
      <w:r w:rsidR="00641C8A">
        <w:t>,</w:t>
      </w:r>
      <w:r w:rsidR="00BD3B00" w:rsidRPr="00A110D6">
        <w:t xml:space="preserve"> </w:t>
      </w:r>
      <w:r w:rsidR="003A5F49" w:rsidRPr="00A110D6">
        <w:t>zapewni</w:t>
      </w:r>
      <w:r w:rsidR="00641C8A">
        <w:t>ając</w:t>
      </w:r>
      <w:r w:rsidR="00BD3B00" w:rsidRPr="00A110D6">
        <w:t xml:space="preserve"> </w:t>
      </w:r>
      <w:r w:rsidR="00641C8A">
        <w:t xml:space="preserve">jednocześnie </w:t>
      </w:r>
      <w:r w:rsidR="00BD3B00" w:rsidRPr="00A110D6">
        <w:t>rozpatrywani</w:t>
      </w:r>
      <w:r w:rsidR="00641C8A">
        <w:t>e</w:t>
      </w:r>
      <w:r w:rsidR="00BD3B00" w:rsidRPr="00A110D6">
        <w:t xml:space="preserve"> w odpowiednim czasie </w:t>
      </w:r>
      <w:r>
        <w:t xml:space="preserve">spraw </w:t>
      </w:r>
      <w:r w:rsidR="00BD3B00" w:rsidRPr="00A110D6">
        <w:t>z</w:t>
      </w:r>
      <w:r>
        <w:t>asadnych i</w:t>
      </w:r>
      <w:r w:rsidR="00BD3B00" w:rsidRPr="00A110D6">
        <w:t xml:space="preserve"> </w:t>
      </w:r>
      <w:r w:rsidR="003A5F49" w:rsidRPr="00A110D6">
        <w:t>niepowtarzalnych</w:t>
      </w:r>
      <w:r w:rsidR="00BD3B00" w:rsidRPr="00A110D6">
        <w:t>;</w:t>
      </w:r>
    </w:p>
    <w:p w:rsidR="00BD3B00" w:rsidRPr="00A110D6" w:rsidRDefault="00641C8A" w:rsidP="00B8190A">
      <w:pPr>
        <w:pStyle w:val="Akapitzlist"/>
        <w:numPr>
          <w:ilvl w:val="0"/>
          <w:numId w:val="6"/>
        </w:numPr>
        <w:spacing w:after="480" w:line="240" w:lineRule="auto"/>
        <w:ind w:left="1134" w:hanging="567"/>
        <w:contextualSpacing w:val="0"/>
        <w:jc w:val="both"/>
      </w:pPr>
      <w:r>
        <w:t>w</w:t>
      </w:r>
      <w:r w:rsidR="00EC564C" w:rsidRPr="00A110D6">
        <w:t xml:space="preserve">iększą </w:t>
      </w:r>
      <w:r>
        <w:t xml:space="preserve">przejrzystość informacji nt. </w:t>
      </w:r>
      <w:r w:rsidR="00EC564C" w:rsidRPr="00A110D6">
        <w:t xml:space="preserve">stanu postępowań toczących się </w:t>
      </w:r>
      <w:r w:rsidR="003A5F49" w:rsidRPr="00A110D6">
        <w:t>przed</w:t>
      </w:r>
      <w:r w:rsidR="00EC564C" w:rsidRPr="00A110D6">
        <w:t xml:space="preserve"> Trybunałem</w:t>
      </w:r>
      <w:r>
        <w:t>,</w:t>
      </w:r>
      <w:r w:rsidR="00EC564C" w:rsidRPr="00A110D6">
        <w:t xml:space="preserve"> tak aby strony miały lepszą wiedzę na temat </w:t>
      </w:r>
      <w:r w:rsidR="004F48FC">
        <w:t>postępu procedury</w:t>
      </w:r>
      <w:r w:rsidR="008249CB">
        <w:t>.</w:t>
      </w:r>
    </w:p>
    <w:p w:rsidR="00EC564C" w:rsidRPr="00F7072F" w:rsidRDefault="00F3777A" w:rsidP="000C6154">
      <w:pPr>
        <w:pStyle w:val="Akapitzlist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b/>
        </w:rPr>
      </w:pPr>
      <w:r w:rsidRPr="00F7072F">
        <w:rPr>
          <w:b/>
        </w:rPr>
        <w:t>Implementacja</w:t>
      </w:r>
      <w:r w:rsidR="00EC564C" w:rsidRPr="00F7072F">
        <w:rPr>
          <w:b/>
        </w:rPr>
        <w:t xml:space="preserve"> Konwencji na poziomie krajowym</w:t>
      </w:r>
    </w:p>
    <w:p w:rsidR="00EC564C" w:rsidRPr="00A110D6" w:rsidRDefault="00EC564C" w:rsidP="000C6154">
      <w:pPr>
        <w:pStyle w:val="Tekstpodstawowyzwciciem2"/>
        <w:spacing w:after="120" w:line="240" w:lineRule="auto"/>
        <w:ind w:left="0" w:firstLine="0"/>
        <w:jc w:val="both"/>
      </w:pPr>
      <w:r w:rsidRPr="00A110D6">
        <w:t>Konferencja przy</w:t>
      </w:r>
      <w:r w:rsidR="00F7072F">
        <w:t>pomina</w:t>
      </w:r>
      <w:r w:rsidRPr="00A110D6">
        <w:t xml:space="preserve"> </w:t>
      </w:r>
      <w:r w:rsidR="00F7072F">
        <w:t>główną</w:t>
      </w:r>
      <w:r w:rsidR="00F3777A" w:rsidRPr="00A110D6">
        <w:t xml:space="preserve"> odpowiedzialność Państw-Stron </w:t>
      </w:r>
      <w:r w:rsidR="00F7072F">
        <w:t>za</w:t>
      </w:r>
      <w:r w:rsidR="00561A15" w:rsidRPr="00A110D6">
        <w:t xml:space="preserve"> </w:t>
      </w:r>
      <w:r w:rsidR="006B15A7" w:rsidRPr="00A110D6">
        <w:t>zapewnieni</w:t>
      </w:r>
      <w:r w:rsidR="00F7072F">
        <w:t>e</w:t>
      </w:r>
      <w:r w:rsidR="00561A15" w:rsidRPr="00A110D6">
        <w:t xml:space="preserve"> stosowania oraz skuteczn</w:t>
      </w:r>
      <w:r w:rsidR="009F0F8C">
        <w:t>ą implementację</w:t>
      </w:r>
      <w:r w:rsidR="00561A15" w:rsidRPr="00A110D6">
        <w:t xml:space="preserve"> Konwencji </w:t>
      </w:r>
      <w:r w:rsidR="006B15A7">
        <w:t>i</w:t>
      </w:r>
      <w:r w:rsidR="00561A15" w:rsidRPr="00A110D6">
        <w:t xml:space="preserve"> w związku z tym </w:t>
      </w:r>
      <w:r w:rsidR="006B15A7" w:rsidRPr="00A110D6">
        <w:t>potwierdza</w:t>
      </w:r>
      <w:r w:rsidR="006B15A7">
        <w:t>,</w:t>
      </w:r>
      <w:r w:rsidR="00561A15" w:rsidRPr="00A110D6">
        <w:t xml:space="preserve"> że władze krajowe</w:t>
      </w:r>
      <w:r w:rsidR="006B15A7">
        <w:t>,</w:t>
      </w:r>
      <w:r w:rsidR="00561A15" w:rsidRPr="00A110D6">
        <w:t xml:space="preserve"> </w:t>
      </w:r>
      <w:r w:rsidR="006B15A7">
        <w:t>a</w:t>
      </w:r>
      <w:r w:rsidR="00561A15" w:rsidRPr="00A110D6">
        <w:t xml:space="preserve"> w szczególności sądy</w:t>
      </w:r>
      <w:r w:rsidR="006B15A7">
        <w:t>,</w:t>
      </w:r>
      <w:r w:rsidR="00561A15" w:rsidRPr="00A110D6">
        <w:t xml:space="preserve"> są </w:t>
      </w:r>
      <w:r w:rsidR="00F7072F">
        <w:t>pierwszymi</w:t>
      </w:r>
      <w:r w:rsidR="00561A15" w:rsidRPr="00A110D6">
        <w:t xml:space="preserve"> strażnikami praw człowieka </w:t>
      </w:r>
      <w:r w:rsidR="00F7072F">
        <w:t>gwarantującymi</w:t>
      </w:r>
      <w:r w:rsidR="00561A15" w:rsidRPr="00A110D6">
        <w:t xml:space="preserve"> pełne, </w:t>
      </w:r>
      <w:r w:rsidR="006B15A7" w:rsidRPr="00A110D6">
        <w:t>skuteczne</w:t>
      </w:r>
      <w:r w:rsidR="00561A15" w:rsidRPr="00A110D6">
        <w:t xml:space="preserve"> i bezpośredni</w:t>
      </w:r>
      <w:r w:rsidR="006B15A7">
        <w:t>e</w:t>
      </w:r>
      <w:r w:rsidR="00561A15" w:rsidRPr="00A110D6">
        <w:t xml:space="preserve"> stosowanie </w:t>
      </w:r>
      <w:r w:rsidR="006B15A7" w:rsidRPr="00A110D6">
        <w:t>Konwencji</w:t>
      </w:r>
      <w:r w:rsidR="00561A15" w:rsidRPr="00A110D6">
        <w:t xml:space="preserve"> – w świetle </w:t>
      </w:r>
      <w:r w:rsidR="006B15A7" w:rsidRPr="00A110D6">
        <w:t>orzecznictwa</w:t>
      </w:r>
      <w:r w:rsidR="00561A15" w:rsidRPr="00A110D6">
        <w:t xml:space="preserve"> </w:t>
      </w:r>
      <w:r w:rsidR="006B15A7" w:rsidRPr="00A110D6">
        <w:t>Trybunału</w:t>
      </w:r>
      <w:r w:rsidR="00561A15" w:rsidRPr="00A110D6">
        <w:t xml:space="preserve"> – w ich narodowych systemach pra</w:t>
      </w:r>
      <w:r w:rsidR="00F7072F">
        <w:t>w</w:t>
      </w:r>
      <w:r w:rsidR="00561A15" w:rsidRPr="00A110D6">
        <w:t xml:space="preserve">nych, </w:t>
      </w:r>
      <w:r w:rsidR="00F7072F">
        <w:t>zgodnie z zasadą</w:t>
      </w:r>
      <w:r w:rsidR="00561A15" w:rsidRPr="00A110D6">
        <w:t xml:space="preserve"> subsydiarności. </w:t>
      </w:r>
    </w:p>
    <w:p w:rsidR="00561A15" w:rsidRPr="00A110D6" w:rsidRDefault="00561A15" w:rsidP="000C6154">
      <w:pPr>
        <w:pStyle w:val="Tekstpodstawowywcity"/>
        <w:spacing w:line="240" w:lineRule="auto"/>
        <w:ind w:left="0"/>
        <w:jc w:val="both"/>
      </w:pPr>
      <w:r w:rsidRPr="00A110D6">
        <w:t>Konferencja wzywa Państwa-</w:t>
      </w:r>
      <w:r w:rsidR="006B15A7" w:rsidRPr="00A110D6">
        <w:t>Strony</w:t>
      </w:r>
      <w:r w:rsidRPr="00A110D6">
        <w:t xml:space="preserve"> do:</w:t>
      </w:r>
    </w:p>
    <w:p w:rsidR="00561A15" w:rsidRPr="00357A5C" w:rsidRDefault="000C6154" w:rsidP="000C6154">
      <w:pPr>
        <w:pStyle w:val="Akapitzlist"/>
        <w:numPr>
          <w:ilvl w:val="0"/>
          <w:numId w:val="9"/>
        </w:numPr>
        <w:spacing w:after="120" w:line="240" w:lineRule="auto"/>
        <w:ind w:left="567" w:hanging="567"/>
        <w:contextualSpacing w:val="0"/>
        <w:jc w:val="both"/>
      </w:pPr>
      <w:r w:rsidRPr="00357A5C">
        <w:t>Na etapie przed rozpatrzeniem spraw przez Trybunał i niezależnie od tego rozpatrzenia</w:t>
      </w:r>
      <w:r w:rsidR="004578C3" w:rsidRPr="00357A5C">
        <w:t>:</w:t>
      </w:r>
    </w:p>
    <w:p w:rsidR="00363D7C" w:rsidRDefault="006A1DA5" w:rsidP="000C6154">
      <w:pPr>
        <w:pStyle w:val="Akapitzlist"/>
        <w:numPr>
          <w:ilvl w:val="0"/>
          <w:numId w:val="10"/>
        </w:numPr>
        <w:spacing w:after="120" w:line="240" w:lineRule="auto"/>
        <w:ind w:left="1134" w:hanging="567"/>
        <w:contextualSpacing w:val="0"/>
        <w:jc w:val="both"/>
      </w:pPr>
      <w:r>
        <w:t>z</w:t>
      </w:r>
      <w:r w:rsidRPr="00A110D6">
        <w:t>apewnienia</w:t>
      </w:r>
      <w:r w:rsidR="002F6BB8">
        <w:t>,</w:t>
      </w:r>
      <w:r w:rsidR="004578C3" w:rsidRPr="00A110D6">
        <w:t xml:space="preserve"> aby potencjalni skarżący mieli dostęp do in</w:t>
      </w:r>
      <w:r w:rsidR="00F813DE">
        <w:t>for</w:t>
      </w:r>
      <w:r w:rsidR="004578C3" w:rsidRPr="00A110D6">
        <w:t xml:space="preserve">macji na temat Konwencji oraz </w:t>
      </w:r>
      <w:r w:rsidR="00F813DE" w:rsidRPr="00A110D6">
        <w:t>Trybunału</w:t>
      </w:r>
      <w:r w:rsidR="004578C3" w:rsidRPr="00A110D6">
        <w:t xml:space="preserve">, w szczególności na </w:t>
      </w:r>
      <w:r w:rsidR="00F813DE" w:rsidRPr="00A110D6">
        <w:t>temat</w:t>
      </w:r>
      <w:r w:rsidR="004578C3" w:rsidRPr="00A110D6">
        <w:t xml:space="preserve"> zakresu i ograniczeń ochrony gwarantowanej </w:t>
      </w:r>
      <w:r w:rsidR="00F813DE" w:rsidRPr="00A110D6">
        <w:t>Konwencją</w:t>
      </w:r>
      <w:r w:rsidR="004578C3" w:rsidRPr="00A110D6">
        <w:t xml:space="preserve">, </w:t>
      </w:r>
      <w:r w:rsidR="002F6BB8">
        <w:t xml:space="preserve">właściwości </w:t>
      </w:r>
      <w:r w:rsidR="004578C3" w:rsidRPr="00A110D6">
        <w:t xml:space="preserve">Trybunału oraz </w:t>
      </w:r>
      <w:r w:rsidR="00F813DE" w:rsidRPr="00A110D6">
        <w:t>kryteriów</w:t>
      </w:r>
      <w:r w:rsidR="004578C3" w:rsidRPr="00A110D6">
        <w:t xml:space="preserve"> </w:t>
      </w:r>
      <w:r w:rsidR="00F813DE" w:rsidRPr="00A110D6">
        <w:t>dopuszczalności</w:t>
      </w:r>
      <w:r w:rsidR="004578C3" w:rsidRPr="00A110D6">
        <w:t>;</w:t>
      </w:r>
    </w:p>
    <w:p w:rsidR="00363D7C" w:rsidRDefault="00363D7C" w:rsidP="000C6154">
      <w:pPr>
        <w:pStyle w:val="Akapitzlist"/>
        <w:numPr>
          <w:ilvl w:val="0"/>
          <w:numId w:val="10"/>
        </w:numPr>
        <w:spacing w:after="120" w:line="240" w:lineRule="auto"/>
        <w:ind w:left="1134" w:hanging="567"/>
        <w:contextualSpacing w:val="0"/>
        <w:jc w:val="both"/>
      </w:pPr>
      <w:r>
        <w:t>z</w:t>
      </w:r>
      <w:r w:rsidRPr="00A110D6">
        <w:t>więks</w:t>
      </w:r>
      <w:r>
        <w:t>zenia</w:t>
      </w:r>
      <w:r w:rsidR="000610DA" w:rsidRPr="00A110D6">
        <w:t xml:space="preserve"> </w:t>
      </w:r>
      <w:r w:rsidR="006A1DA5" w:rsidRPr="00A110D6">
        <w:t>wysiłk</w:t>
      </w:r>
      <w:r w:rsidR="006A1DA5">
        <w:t>ów</w:t>
      </w:r>
      <w:r w:rsidR="006A1DA5" w:rsidRPr="00A110D6">
        <w:t xml:space="preserve"> </w:t>
      </w:r>
      <w:r w:rsidRPr="00A110D6">
        <w:t>na poziomie krajowym</w:t>
      </w:r>
      <w:r w:rsidR="006A1DA5">
        <w:t xml:space="preserve"> w celu</w:t>
      </w:r>
      <w:r w:rsidRPr="00A110D6">
        <w:t xml:space="preserve"> </w:t>
      </w:r>
      <w:r w:rsidR="009F0F8C">
        <w:t>podniesienia</w:t>
      </w:r>
      <w:r w:rsidR="006A1DA5">
        <w:t xml:space="preserve"> świadomości</w:t>
      </w:r>
      <w:r w:rsidR="000610DA" w:rsidRPr="00A110D6">
        <w:t xml:space="preserve"> </w:t>
      </w:r>
      <w:r w:rsidRPr="00A110D6">
        <w:t>wśród</w:t>
      </w:r>
      <w:r w:rsidR="000610DA" w:rsidRPr="00A110D6">
        <w:t xml:space="preserve"> członków </w:t>
      </w:r>
      <w:r w:rsidRPr="00A110D6">
        <w:t>parlamentu</w:t>
      </w:r>
      <w:r w:rsidR="006A1DA5">
        <w:t>,</w:t>
      </w:r>
      <w:r w:rsidR="000610DA" w:rsidRPr="00A110D6">
        <w:t xml:space="preserve"> </w:t>
      </w:r>
      <w:r w:rsidR="006A1DA5">
        <w:t>a także udoskonalenia</w:t>
      </w:r>
      <w:r w:rsidR="009F0F8C">
        <w:t xml:space="preserve"> szkolenia</w:t>
      </w:r>
      <w:r w:rsidR="000610DA" w:rsidRPr="00A110D6">
        <w:t xml:space="preserve"> </w:t>
      </w:r>
      <w:r w:rsidRPr="00A110D6">
        <w:t>sędziów</w:t>
      </w:r>
      <w:r w:rsidR="000610DA" w:rsidRPr="00A110D6">
        <w:t xml:space="preserve">, prokuratorów, prawników </w:t>
      </w:r>
      <w:r>
        <w:t xml:space="preserve">i </w:t>
      </w:r>
      <w:r w:rsidR="000610DA" w:rsidRPr="00A110D6">
        <w:t xml:space="preserve">urzędników państwowych </w:t>
      </w:r>
      <w:r>
        <w:t>n</w:t>
      </w:r>
      <w:r w:rsidR="000610DA" w:rsidRPr="00A110D6">
        <w:t xml:space="preserve">a temat Konwencji oraz jej implementacji, w tym </w:t>
      </w:r>
      <w:r>
        <w:t xml:space="preserve">w </w:t>
      </w:r>
      <w:r w:rsidRPr="00A110D6">
        <w:t>kwesti</w:t>
      </w:r>
      <w:r>
        <w:t>ach</w:t>
      </w:r>
      <w:r w:rsidR="000610DA" w:rsidRPr="00A110D6">
        <w:t xml:space="preserve"> dotyczących wykonywania wyroków, poprzez zapewnienie że stanowi</w:t>
      </w:r>
      <w:r w:rsidR="006A1DA5">
        <w:t xml:space="preserve"> </w:t>
      </w:r>
      <w:r w:rsidR="009F0F8C">
        <w:t>o</w:t>
      </w:r>
      <w:r w:rsidR="00346B29">
        <w:t>no</w:t>
      </w:r>
      <w:r w:rsidR="000610DA" w:rsidRPr="00A110D6">
        <w:t xml:space="preserve"> integralną część szkolenia zawodo</w:t>
      </w:r>
      <w:r>
        <w:t xml:space="preserve">wego oraz </w:t>
      </w:r>
      <w:r w:rsidR="006A1DA5">
        <w:t>ustawicznego</w:t>
      </w:r>
      <w:r w:rsidR="009F0F8C">
        <w:t>, w tym także</w:t>
      </w:r>
      <w:r>
        <w:t xml:space="preserve">, </w:t>
      </w:r>
      <w:r w:rsidR="009F0F8C">
        <w:t>tam gdzie jest to właściwe</w:t>
      </w:r>
      <w:r w:rsidR="000610DA" w:rsidRPr="00A110D6">
        <w:t xml:space="preserve">, </w:t>
      </w:r>
      <w:r w:rsidR="006A1DA5">
        <w:t>poprzez posiłkowanie</w:t>
      </w:r>
      <w:r w:rsidR="008D5466" w:rsidRPr="00A110D6">
        <w:t xml:space="preserve"> się </w:t>
      </w:r>
      <w:r w:rsidR="00777AD8" w:rsidRPr="00753A17">
        <w:t>Europejski</w:t>
      </w:r>
      <w:r w:rsidR="00753A17" w:rsidRPr="00753A17">
        <w:t>m</w:t>
      </w:r>
      <w:r w:rsidR="00777AD8" w:rsidRPr="00753A17">
        <w:t xml:space="preserve"> Program</w:t>
      </w:r>
      <w:r w:rsidR="00753A17" w:rsidRPr="00753A17">
        <w:t>em</w:t>
      </w:r>
      <w:r w:rsidR="00777AD8" w:rsidRPr="00753A17">
        <w:t xml:space="preserve"> Edukacji w zakresie Praw Człowieka dla Prawników (Program</w:t>
      </w:r>
      <w:r w:rsidR="00753A17" w:rsidRPr="00753A17">
        <w:t>em</w:t>
      </w:r>
      <w:r w:rsidR="00777AD8" w:rsidRPr="00753A17">
        <w:t xml:space="preserve"> HELP)</w:t>
      </w:r>
      <w:r w:rsidR="008D5466" w:rsidRPr="00A110D6">
        <w:t xml:space="preserve">, a także programami </w:t>
      </w:r>
      <w:r>
        <w:t xml:space="preserve">szkoleniowymi </w:t>
      </w:r>
      <w:r w:rsidRPr="00A110D6">
        <w:t>Trybunału</w:t>
      </w:r>
      <w:r w:rsidR="008D5466" w:rsidRPr="00A110D6">
        <w:t xml:space="preserve"> oraz jego publikacjami;</w:t>
      </w:r>
    </w:p>
    <w:p w:rsidR="00363D7C" w:rsidRDefault="00363D7C" w:rsidP="000C6154">
      <w:pPr>
        <w:pStyle w:val="Akapitzlist"/>
        <w:numPr>
          <w:ilvl w:val="0"/>
          <w:numId w:val="10"/>
        </w:numPr>
        <w:spacing w:after="120" w:line="240" w:lineRule="auto"/>
        <w:ind w:left="1134" w:hanging="567"/>
        <w:contextualSpacing w:val="0"/>
        <w:jc w:val="both"/>
      </w:pPr>
      <w:r>
        <w:t>p</w:t>
      </w:r>
      <w:r w:rsidR="008D5466" w:rsidRPr="00A110D6">
        <w:t>romowa</w:t>
      </w:r>
      <w:r>
        <w:t>nia</w:t>
      </w:r>
      <w:r w:rsidR="008D5466" w:rsidRPr="00A110D6">
        <w:t xml:space="preserve"> </w:t>
      </w:r>
      <w:r w:rsidR="004D3560">
        <w:t>w tym względzie</w:t>
      </w:r>
      <w:r w:rsidR="008D5466" w:rsidRPr="00A110D6">
        <w:t xml:space="preserve"> wizyt studyjn</w:t>
      </w:r>
      <w:r>
        <w:t>ych oraz staży w</w:t>
      </w:r>
      <w:r w:rsidR="008D5466" w:rsidRPr="00A110D6">
        <w:t xml:space="preserve"> Trybunale d</w:t>
      </w:r>
      <w:r>
        <w:t>l</w:t>
      </w:r>
      <w:r w:rsidR="008D5466" w:rsidRPr="00A110D6">
        <w:t xml:space="preserve">a </w:t>
      </w:r>
      <w:r w:rsidRPr="00A110D6">
        <w:t>sędziów</w:t>
      </w:r>
      <w:r w:rsidR="008D5466" w:rsidRPr="00A110D6">
        <w:t>, prawników or</w:t>
      </w:r>
      <w:r>
        <w:t>az urzędników krajowych w celu podnoszenia</w:t>
      </w:r>
      <w:r w:rsidR="008D5466" w:rsidRPr="00A110D6">
        <w:t xml:space="preserve"> ich</w:t>
      </w:r>
      <w:r>
        <w:t xml:space="preserve"> </w:t>
      </w:r>
      <w:r w:rsidR="008D5466" w:rsidRPr="00A110D6">
        <w:t>wiedzy na tema</w:t>
      </w:r>
      <w:r>
        <w:t>t</w:t>
      </w:r>
      <w:r w:rsidR="008D5466" w:rsidRPr="00A110D6">
        <w:t xml:space="preserve"> systemu konwencyjnego;</w:t>
      </w:r>
    </w:p>
    <w:p w:rsidR="00363D7C" w:rsidRDefault="001A22A4" w:rsidP="000C6154">
      <w:pPr>
        <w:pStyle w:val="Akapitzlist"/>
        <w:numPr>
          <w:ilvl w:val="0"/>
          <w:numId w:val="10"/>
        </w:numPr>
        <w:spacing w:after="120" w:line="240" w:lineRule="auto"/>
        <w:ind w:left="1134" w:hanging="567"/>
        <w:contextualSpacing w:val="0"/>
        <w:jc w:val="both"/>
      </w:pPr>
      <w:r>
        <w:t>podjęcia</w:t>
      </w:r>
      <w:r w:rsidR="00363D7C">
        <w:t xml:space="preserve"> odpowiedni</w:t>
      </w:r>
      <w:r>
        <w:t>ch</w:t>
      </w:r>
      <w:r w:rsidR="00363D7C">
        <w:t xml:space="preserve"> krok</w:t>
      </w:r>
      <w:r>
        <w:t>ów</w:t>
      </w:r>
      <w:r w:rsidR="00363D7C">
        <w:t xml:space="preserve"> </w:t>
      </w:r>
      <w:r>
        <w:t>w</w:t>
      </w:r>
      <w:r w:rsidR="008D5466" w:rsidRPr="00A110D6">
        <w:t xml:space="preserve"> celu </w:t>
      </w:r>
      <w:r w:rsidR="0071107F">
        <w:t xml:space="preserve">lepszej </w:t>
      </w:r>
      <w:r w:rsidR="009153F3">
        <w:t>weryfikacji</w:t>
      </w:r>
      <w:r w:rsidR="009153F3" w:rsidRPr="00A110D6">
        <w:t xml:space="preserve"> </w:t>
      </w:r>
      <w:r w:rsidR="008D5466" w:rsidRPr="00A110D6">
        <w:t xml:space="preserve">projektów aktów prawnych, obowiązujących aktów prawnych oraz wewnętrznych </w:t>
      </w:r>
      <w:r w:rsidR="00363D7C" w:rsidRPr="00A110D6">
        <w:t>prakty</w:t>
      </w:r>
      <w:r w:rsidR="00363D7C">
        <w:t>k</w:t>
      </w:r>
      <w:r w:rsidR="008D5466" w:rsidRPr="00A110D6">
        <w:t xml:space="preserve"> administracyjnych pod wzg</w:t>
      </w:r>
      <w:r w:rsidR="009F0F8C">
        <w:t>lędem ich zgodności z Konwencją</w:t>
      </w:r>
      <w:r w:rsidR="008D5466" w:rsidRPr="00A110D6">
        <w:t xml:space="preserve"> w świetle </w:t>
      </w:r>
      <w:r w:rsidR="00363D7C" w:rsidRPr="00A110D6">
        <w:t>orzecznictwa</w:t>
      </w:r>
      <w:r w:rsidR="008D5466" w:rsidRPr="00A110D6">
        <w:t xml:space="preserve"> Trybunału;</w:t>
      </w:r>
    </w:p>
    <w:p w:rsidR="00363D7C" w:rsidRDefault="001A22A4" w:rsidP="000C6154">
      <w:pPr>
        <w:pStyle w:val="Akapitzlist"/>
        <w:numPr>
          <w:ilvl w:val="0"/>
          <w:numId w:val="10"/>
        </w:numPr>
        <w:spacing w:after="120" w:line="240" w:lineRule="auto"/>
        <w:ind w:left="1134" w:hanging="567"/>
        <w:contextualSpacing w:val="0"/>
        <w:jc w:val="both"/>
      </w:pPr>
      <w:r>
        <w:lastRenderedPageBreak/>
        <w:t>z</w:t>
      </w:r>
      <w:r w:rsidR="008D5466" w:rsidRPr="00A110D6">
        <w:t>apewni</w:t>
      </w:r>
      <w:r>
        <w:t>enia</w:t>
      </w:r>
      <w:r w:rsidR="008D5466" w:rsidRPr="00A110D6">
        <w:t xml:space="preserve"> </w:t>
      </w:r>
      <w:r w:rsidRPr="00A110D6">
        <w:t xml:space="preserve">na poziomie krajowym </w:t>
      </w:r>
      <w:r w:rsidR="008D5466" w:rsidRPr="00A110D6">
        <w:t>skuteczn</w:t>
      </w:r>
      <w:r>
        <w:t>ej</w:t>
      </w:r>
      <w:r w:rsidR="008D5466" w:rsidRPr="00A110D6">
        <w:t xml:space="preserve"> implementacj</w:t>
      </w:r>
      <w:r>
        <w:t>i</w:t>
      </w:r>
      <w:r w:rsidR="008D5466" w:rsidRPr="00A110D6">
        <w:t xml:space="preserve"> </w:t>
      </w:r>
      <w:r>
        <w:t>K</w:t>
      </w:r>
      <w:r w:rsidRPr="00A110D6">
        <w:t>onwencji</w:t>
      </w:r>
      <w:r w:rsidR="008D5466" w:rsidRPr="00A110D6">
        <w:t>, podj</w:t>
      </w:r>
      <w:r>
        <w:t>ęcia</w:t>
      </w:r>
      <w:r w:rsidR="008D5466" w:rsidRPr="00A110D6">
        <w:t xml:space="preserve"> skuteczn</w:t>
      </w:r>
      <w:r>
        <w:t>ych</w:t>
      </w:r>
      <w:r w:rsidR="008D5466" w:rsidRPr="00A110D6">
        <w:t xml:space="preserve"> </w:t>
      </w:r>
      <w:r w:rsidR="00844E72">
        <w:t>środków w</w:t>
      </w:r>
      <w:r w:rsidR="008D5466" w:rsidRPr="00A110D6">
        <w:t xml:space="preserve"> celu zapobie</w:t>
      </w:r>
      <w:r>
        <w:t>żenia</w:t>
      </w:r>
      <w:r w:rsidR="008D5466" w:rsidRPr="00A110D6">
        <w:t xml:space="preserve"> naruszeniom oraz </w:t>
      </w:r>
      <w:r w:rsidRPr="00A110D6">
        <w:t>zapewnienia</w:t>
      </w:r>
      <w:r w:rsidR="008D5466" w:rsidRPr="00A110D6">
        <w:t xml:space="preserve"> skutecznych krajowych środków odwoławczych </w:t>
      </w:r>
      <w:r w:rsidR="00362EAE">
        <w:t>odnoszących się do z</w:t>
      </w:r>
      <w:r w:rsidR="00D13BAA">
        <w:t>arzucanych naruszeń</w:t>
      </w:r>
      <w:r w:rsidR="00CA34BC" w:rsidRPr="00A110D6">
        <w:t xml:space="preserve"> Konwencji;</w:t>
      </w:r>
    </w:p>
    <w:p w:rsidR="00363D7C" w:rsidRDefault="001A22A4" w:rsidP="000C6154">
      <w:pPr>
        <w:pStyle w:val="Akapitzlist"/>
        <w:numPr>
          <w:ilvl w:val="0"/>
          <w:numId w:val="10"/>
        </w:numPr>
        <w:spacing w:after="120" w:line="240" w:lineRule="auto"/>
        <w:ind w:left="1134" w:hanging="567"/>
        <w:contextualSpacing w:val="0"/>
        <w:jc w:val="both"/>
      </w:pPr>
      <w:r>
        <w:t>r</w:t>
      </w:r>
      <w:r w:rsidR="00CA34BC" w:rsidRPr="00A110D6">
        <w:t xml:space="preserve">ozważenia przekazania </w:t>
      </w:r>
      <w:r w:rsidR="00775B1A">
        <w:t xml:space="preserve">wpłat </w:t>
      </w:r>
      <w:r w:rsidR="00CA34BC" w:rsidRPr="00A110D6">
        <w:t xml:space="preserve">dobrowolnych na Fundusz </w:t>
      </w:r>
      <w:r w:rsidRPr="00A110D6">
        <w:t>Powierniczy</w:t>
      </w:r>
      <w:r w:rsidR="00CA34BC" w:rsidRPr="00A110D6">
        <w:t xml:space="preserve"> Praw Człowieka oraz na specjalne konto Trybunału</w:t>
      </w:r>
      <w:r>
        <w:t>,</w:t>
      </w:r>
      <w:r w:rsidR="00CA34BC" w:rsidRPr="00A110D6">
        <w:t xml:space="preserve"> aby umożliwić mu </w:t>
      </w:r>
      <w:r w:rsidRPr="00A110D6">
        <w:t>załatwienie</w:t>
      </w:r>
      <w:r w:rsidR="00CA34BC" w:rsidRPr="00A110D6">
        <w:t xml:space="preserve"> </w:t>
      </w:r>
      <w:r w:rsidRPr="00A110D6">
        <w:t>zaległości</w:t>
      </w:r>
      <w:r w:rsidR="00CA34BC" w:rsidRPr="00A110D6">
        <w:t xml:space="preserve"> w rozpatrywaniu zasadnych spraw, oraz </w:t>
      </w:r>
      <w:r w:rsidR="00736043">
        <w:t xml:space="preserve">promowania </w:t>
      </w:r>
      <w:r w:rsidR="00CA34BC" w:rsidRPr="00A110D6">
        <w:t>czasowych delegacji do Kancelarii Trybunału;</w:t>
      </w:r>
    </w:p>
    <w:p w:rsidR="00CA34BC" w:rsidRDefault="001A22A4" w:rsidP="00B8190A">
      <w:pPr>
        <w:pStyle w:val="Akapitzlist"/>
        <w:numPr>
          <w:ilvl w:val="0"/>
          <w:numId w:val="10"/>
        </w:numPr>
        <w:spacing w:after="360" w:line="240" w:lineRule="auto"/>
        <w:ind w:left="1134" w:hanging="567"/>
        <w:contextualSpacing w:val="0"/>
        <w:jc w:val="both"/>
      </w:pPr>
      <w:r>
        <w:t>r</w:t>
      </w:r>
      <w:r w:rsidRPr="00A110D6">
        <w:t>ozważ</w:t>
      </w:r>
      <w:r w:rsidR="00AF0673">
        <w:t>e</w:t>
      </w:r>
      <w:r w:rsidRPr="00A110D6">
        <w:t>nia</w:t>
      </w:r>
      <w:r w:rsidR="00CA34BC" w:rsidRPr="00A110D6">
        <w:t xml:space="preserve"> utworzenia </w:t>
      </w:r>
      <w:r w:rsidR="00CA34BC" w:rsidRPr="003A04BF">
        <w:t xml:space="preserve">niezależnej Krajowej </w:t>
      </w:r>
      <w:r w:rsidRPr="003A04BF">
        <w:t>Instytucji</w:t>
      </w:r>
      <w:r w:rsidR="00CA34BC" w:rsidRPr="003A04BF">
        <w:t xml:space="preserve"> Praw Człowieka</w:t>
      </w:r>
      <w:r w:rsidRPr="003A04BF">
        <w:t>.</w:t>
      </w:r>
    </w:p>
    <w:p w:rsidR="00CA34BC" w:rsidRPr="00A110D6" w:rsidRDefault="00CA34BC" w:rsidP="000C6154">
      <w:pPr>
        <w:pStyle w:val="Akapitzlist"/>
        <w:numPr>
          <w:ilvl w:val="0"/>
          <w:numId w:val="9"/>
        </w:numPr>
        <w:spacing w:after="120" w:line="240" w:lineRule="auto"/>
        <w:ind w:left="567" w:hanging="567"/>
        <w:contextualSpacing w:val="0"/>
        <w:jc w:val="both"/>
      </w:pPr>
      <w:r w:rsidRPr="00A110D6">
        <w:t>Po wydaniu przez Trybunał wyroków:</w:t>
      </w:r>
    </w:p>
    <w:p w:rsidR="00363D7C" w:rsidRDefault="00362EAE" w:rsidP="000C6154">
      <w:pPr>
        <w:pStyle w:val="Akapitzlist"/>
        <w:numPr>
          <w:ilvl w:val="0"/>
          <w:numId w:val="11"/>
        </w:numPr>
        <w:spacing w:after="120" w:line="240" w:lineRule="auto"/>
        <w:ind w:left="1134" w:hanging="567"/>
        <w:contextualSpacing w:val="0"/>
        <w:jc w:val="both"/>
      </w:pPr>
      <w:r>
        <w:t>dalszego</w:t>
      </w:r>
      <w:r w:rsidR="00CA34BC" w:rsidRPr="00A110D6">
        <w:t xml:space="preserve"> </w:t>
      </w:r>
      <w:r w:rsidR="001A22A4" w:rsidRPr="00A110D6">
        <w:t>zwiększa</w:t>
      </w:r>
      <w:r w:rsidR="001A22A4">
        <w:t>nia</w:t>
      </w:r>
      <w:r w:rsidR="00CA34BC" w:rsidRPr="00A110D6">
        <w:t xml:space="preserve"> </w:t>
      </w:r>
      <w:r w:rsidR="001A22A4" w:rsidRPr="00A110D6">
        <w:t>s</w:t>
      </w:r>
      <w:r w:rsidR="001A22A4">
        <w:t>tarań</w:t>
      </w:r>
      <w:r>
        <w:t xml:space="preserve">, by </w:t>
      </w:r>
      <w:r w:rsidR="00CA34BC" w:rsidRPr="00A110D6">
        <w:t>przedkłada</w:t>
      </w:r>
      <w:r>
        <w:t>ć</w:t>
      </w:r>
      <w:r w:rsidR="00CA34BC" w:rsidRPr="00A110D6">
        <w:t xml:space="preserve"> w określonych terminach </w:t>
      </w:r>
      <w:r w:rsidR="00736043">
        <w:t>całościowe</w:t>
      </w:r>
      <w:r>
        <w:t xml:space="preserve"> </w:t>
      </w:r>
      <w:r w:rsidR="00736043">
        <w:t xml:space="preserve">plany </w:t>
      </w:r>
      <w:r w:rsidR="0084319C">
        <w:t xml:space="preserve">działań </w:t>
      </w:r>
      <w:r w:rsidR="00736043">
        <w:t xml:space="preserve">i raporty </w:t>
      </w:r>
      <w:r w:rsidR="0084319C">
        <w:t>z wykonania [wyroków Trybunału</w:t>
      </w:r>
      <w:r w:rsidR="00266F4E">
        <w:t xml:space="preserve"> – przyp. tłum.</w:t>
      </w:r>
      <w:r w:rsidR="0084319C">
        <w:t>]</w:t>
      </w:r>
      <w:r w:rsidR="00736043">
        <w:t xml:space="preserve">, </w:t>
      </w:r>
      <w:r w:rsidR="009D2A57">
        <w:t xml:space="preserve">które stanowią </w:t>
      </w:r>
      <w:r w:rsidR="00CA34BC" w:rsidRPr="00A110D6">
        <w:t xml:space="preserve">kluczowy instrument dialogu między Komitetem </w:t>
      </w:r>
      <w:r w:rsidR="001A22A4">
        <w:t>M</w:t>
      </w:r>
      <w:r w:rsidR="00CA34BC" w:rsidRPr="00A110D6">
        <w:t xml:space="preserve">inistrów a Państwami-Stronami, </w:t>
      </w:r>
      <w:r w:rsidR="00FA0FF3" w:rsidRPr="00A110D6">
        <w:t xml:space="preserve">co może </w:t>
      </w:r>
      <w:r w:rsidR="009D2A57">
        <w:t xml:space="preserve">się </w:t>
      </w:r>
      <w:r w:rsidR="00FA0FF3" w:rsidRPr="00A110D6">
        <w:t xml:space="preserve">również </w:t>
      </w:r>
      <w:r w:rsidR="009D2A57">
        <w:t xml:space="preserve">przyczynić do poprawy </w:t>
      </w:r>
      <w:r w:rsidR="001A22A4" w:rsidRPr="00A110D6">
        <w:t>dialog</w:t>
      </w:r>
      <w:r w:rsidR="009D2A57">
        <w:t>u</w:t>
      </w:r>
      <w:r w:rsidR="00FA0FF3" w:rsidRPr="00A110D6">
        <w:t xml:space="preserve"> z </w:t>
      </w:r>
      <w:r w:rsidR="00FA0FF3" w:rsidRPr="001A22A4">
        <w:t xml:space="preserve">innymi </w:t>
      </w:r>
      <w:r w:rsidR="001A22A4" w:rsidRPr="001A22A4">
        <w:t>partnerami</w:t>
      </w:r>
      <w:r w:rsidR="00FA0FF3" w:rsidRPr="001A22A4">
        <w:t>,</w:t>
      </w:r>
      <w:r w:rsidR="00FA0FF3" w:rsidRPr="00A110D6">
        <w:t xml:space="preserve"> takimi jak Trybunał, parlam</w:t>
      </w:r>
      <w:r w:rsidR="001A22A4">
        <w:t>enty</w:t>
      </w:r>
      <w:r w:rsidR="00FA0FF3" w:rsidRPr="00A110D6">
        <w:t xml:space="preserve"> </w:t>
      </w:r>
      <w:r w:rsidRPr="00A110D6">
        <w:t>krajow</w:t>
      </w:r>
      <w:r>
        <w:t>e</w:t>
      </w:r>
      <w:r w:rsidRPr="00A110D6">
        <w:t xml:space="preserve"> </w:t>
      </w:r>
      <w:r w:rsidR="00FA0FF3" w:rsidRPr="00A110D6">
        <w:t xml:space="preserve">lub </w:t>
      </w:r>
      <w:r w:rsidR="0084319C" w:rsidRPr="00A110D6">
        <w:t>krajow</w:t>
      </w:r>
      <w:r w:rsidR="0084319C">
        <w:t>e</w:t>
      </w:r>
      <w:r w:rsidR="0084319C" w:rsidRPr="00A110D6">
        <w:t xml:space="preserve"> instytucj</w:t>
      </w:r>
      <w:r w:rsidR="0084319C">
        <w:t>e</w:t>
      </w:r>
      <w:r w:rsidR="0084319C" w:rsidRPr="00A110D6">
        <w:t xml:space="preserve"> praw człowieka</w:t>
      </w:r>
      <w:r w:rsidR="00FA0FF3" w:rsidRPr="00A110D6">
        <w:t>;</w:t>
      </w:r>
    </w:p>
    <w:p w:rsidR="00363D7C" w:rsidRDefault="00FA0FF3" w:rsidP="000C6154">
      <w:pPr>
        <w:pStyle w:val="Akapitzlist"/>
        <w:numPr>
          <w:ilvl w:val="0"/>
          <w:numId w:val="11"/>
        </w:numPr>
        <w:spacing w:after="120" w:line="240" w:lineRule="auto"/>
        <w:ind w:left="1134" w:hanging="567"/>
        <w:contextualSpacing w:val="0"/>
        <w:jc w:val="both"/>
      </w:pPr>
      <w:r w:rsidRPr="00A110D6">
        <w:t>wdroż</w:t>
      </w:r>
      <w:r w:rsidR="00B670F0">
        <w:t>enia</w:t>
      </w:r>
      <w:r w:rsidRPr="00A110D6">
        <w:t xml:space="preserve"> na </w:t>
      </w:r>
      <w:r w:rsidR="00B670F0" w:rsidRPr="00A110D6">
        <w:t>poziomie</w:t>
      </w:r>
      <w:r w:rsidRPr="00A110D6">
        <w:t xml:space="preserve"> </w:t>
      </w:r>
      <w:r w:rsidR="00B670F0" w:rsidRPr="00A110D6">
        <w:t>krajowym</w:t>
      </w:r>
      <w:r w:rsidR="00266758" w:rsidRPr="00266758">
        <w:t xml:space="preserve"> </w:t>
      </w:r>
      <w:r w:rsidR="00266758" w:rsidRPr="00A110D6">
        <w:t>w odpowiednim czasie</w:t>
      </w:r>
      <w:r w:rsidR="00266758">
        <w:t>,</w:t>
      </w:r>
      <w:r w:rsidRPr="00A110D6">
        <w:t xml:space="preserve"> </w:t>
      </w:r>
      <w:r w:rsidR="00266758">
        <w:t>zgodnie</w:t>
      </w:r>
      <w:r w:rsidR="00266758" w:rsidRPr="00A110D6">
        <w:t xml:space="preserve"> z krajowym porządkiem prawnym, </w:t>
      </w:r>
      <w:r w:rsidRPr="00A110D6">
        <w:t>skuteczn</w:t>
      </w:r>
      <w:r w:rsidR="00266758">
        <w:t>ych</w:t>
      </w:r>
      <w:r w:rsidRPr="00A110D6">
        <w:t xml:space="preserve"> środk</w:t>
      </w:r>
      <w:r w:rsidR="00266758">
        <w:t>ów</w:t>
      </w:r>
      <w:r w:rsidRPr="00A110D6">
        <w:t xml:space="preserve"> odnosząc</w:t>
      </w:r>
      <w:r w:rsidR="00266758">
        <w:t>ych</w:t>
      </w:r>
      <w:r w:rsidRPr="00A110D6">
        <w:t xml:space="preserve"> się do stwierdzonych przez Trybunał naruszeń </w:t>
      </w:r>
      <w:r w:rsidR="00266758" w:rsidRPr="00A110D6">
        <w:t>Konwencji</w:t>
      </w:r>
      <w:r w:rsidRPr="00A110D6">
        <w:t>;</w:t>
      </w:r>
    </w:p>
    <w:p w:rsidR="00363D7C" w:rsidRDefault="00E4235E" w:rsidP="000C6154">
      <w:pPr>
        <w:pStyle w:val="Akapitzlist"/>
        <w:numPr>
          <w:ilvl w:val="0"/>
          <w:numId w:val="11"/>
        </w:numPr>
        <w:spacing w:after="120" w:line="240" w:lineRule="auto"/>
        <w:ind w:left="1134" w:hanging="567"/>
        <w:contextualSpacing w:val="0"/>
        <w:jc w:val="both"/>
      </w:pPr>
      <w:r w:rsidRPr="001F4497">
        <w:t>r</w:t>
      </w:r>
      <w:r w:rsidR="003608F5" w:rsidRPr="001F4497">
        <w:t>ozw</w:t>
      </w:r>
      <w:r w:rsidR="00352992" w:rsidRPr="001F4497">
        <w:t>inięcia</w:t>
      </w:r>
      <w:r w:rsidR="003608F5" w:rsidRPr="001F4497">
        <w:t xml:space="preserve"> i </w:t>
      </w:r>
      <w:r w:rsidR="00362EAE" w:rsidRPr="001F4497">
        <w:t>prz</w:t>
      </w:r>
      <w:r w:rsidR="009D2A57" w:rsidRPr="001F4497">
        <w:t>yznania</w:t>
      </w:r>
      <w:r w:rsidR="00362EAE" w:rsidRPr="001F4497">
        <w:t xml:space="preserve"> </w:t>
      </w:r>
      <w:r w:rsidR="003608F5" w:rsidRPr="009153F3">
        <w:t>wyst</w:t>
      </w:r>
      <w:r w:rsidR="00412084" w:rsidRPr="009153F3">
        <w:t>a</w:t>
      </w:r>
      <w:r w:rsidR="003608F5" w:rsidRPr="006C33F4">
        <w:t>rczając</w:t>
      </w:r>
      <w:r w:rsidRPr="006C33F4">
        <w:t>ych</w:t>
      </w:r>
      <w:r w:rsidR="003608F5" w:rsidRPr="006C33F4">
        <w:t xml:space="preserve"> </w:t>
      </w:r>
      <w:r w:rsidR="00362EAE" w:rsidRPr="006C33F4">
        <w:t>zasobów</w:t>
      </w:r>
      <w:r w:rsidR="003608F5" w:rsidRPr="006C33F4">
        <w:t xml:space="preserve"> na </w:t>
      </w:r>
      <w:r w:rsidRPr="006C33F4">
        <w:t>poziomie</w:t>
      </w:r>
      <w:r w:rsidR="003608F5" w:rsidRPr="006C33F4">
        <w:t xml:space="preserve"> krajowym w celu pełnego i skutecznego wykonywania wyroków oraz </w:t>
      </w:r>
      <w:r w:rsidR="00362EAE" w:rsidRPr="006C33F4">
        <w:t xml:space="preserve">przyznania </w:t>
      </w:r>
      <w:r w:rsidR="003608F5" w:rsidRPr="006C33F4">
        <w:t xml:space="preserve">odpowiednich środków i </w:t>
      </w:r>
      <w:r w:rsidR="009153F3" w:rsidRPr="0071107F">
        <w:t>umocowa</w:t>
      </w:r>
      <w:r w:rsidR="009153F3">
        <w:t>ń</w:t>
      </w:r>
      <w:r w:rsidR="009153F3" w:rsidRPr="009153F3">
        <w:t xml:space="preserve"> </w:t>
      </w:r>
      <w:r w:rsidR="003608F5" w:rsidRPr="009153F3">
        <w:t>agentom</w:t>
      </w:r>
      <w:r w:rsidR="003608F5" w:rsidRPr="00A110D6">
        <w:t xml:space="preserve"> rządowym </w:t>
      </w:r>
      <w:r w:rsidR="00352992">
        <w:t>lub</w:t>
      </w:r>
      <w:r w:rsidR="003608F5" w:rsidRPr="00A110D6">
        <w:t xml:space="preserve"> innym urzędnikom odpowiedzialnym za koordynację wykonywania wyroków;</w:t>
      </w:r>
    </w:p>
    <w:p w:rsidR="00363D7C" w:rsidRDefault="00E4235E" w:rsidP="000C6154">
      <w:pPr>
        <w:pStyle w:val="Akapitzlist"/>
        <w:numPr>
          <w:ilvl w:val="0"/>
          <w:numId w:val="11"/>
        </w:numPr>
        <w:spacing w:after="120" w:line="240" w:lineRule="auto"/>
        <w:ind w:left="1134" w:hanging="567"/>
        <w:contextualSpacing w:val="0"/>
        <w:jc w:val="both"/>
      </w:pPr>
      <w:r>
        <w:t>przyznania</w:t>
      </w:r>
      <w:r w:rsidR="003608F5" w:rsidRPr="00A110D6">
        <w:t xml:space="preserve"> </w:t>
      </w:r>
      <w:r w:rsidR="00412084">
        <w:t>szczególnego</w:t>
      </w:r>
      <w:r w:rsidR="003608F5" w:rsidRPr="00A110D6">
        <w:t xml:space="preserve"> znaczeni</w:t>
      </w:r>
      <w:r>
        <w:t>a</w:t>
      </w:r>
      <w:r w:rsidR="003608F5" w:rsidRPr="00A110D6">
        <w:t xml:space="preserve"> </w:t>
      </w:r>
      <w:r w:rsidRPr="00A110D6">
        <w:t>pełne</w:t>
      </w:r>
      <w:r w:rsidR="00412084">
        <w:t>mu, skutecznemu i szybkiemu</w:t>
      </w:r>
      <w:r w:rsidR="003608F5" w:rsidRPr="00A110D6">
        <w:t xml:space="preserve"> </w:t>
      </w:r>
      <w:r w:rsidR="009D2A57">
        <w:t>działaniu w odniesieniu do wyroków wskazując</w:t>
      </w:r>
      <w:r w:rsidR="005A70F3">
        <w:t>y</w:t>
      </w:r>
      <w:r w:rsidR="009D2A57">
        <w:t>ch</w:t>
      </w:r>
      <w:r w:rsidR="003608F5" w:rsidRPr="00A110D6">
        <w:t xml:space="preserve"> na problemy systemowe, które mogą </w:t>
      </w:r>
      <w:r>
        <w:t>również</w:t>
      </w:r>
      <w:r w:rsidR="003608F5" w:rsidRPr="00A110D6">
        <w:t xml:space="preserve"> dotyczyć innych Państw-Stron;</w:t>
      </w:r>
    </w:p>
    <w:p w:rsidR="00363D7C" w:rsidRDefault="00412084" w:rsidP="000C6154">
      <w:pPr>
        <w:pStyle w:val="Akapitzlist"/>
        <w:numPr>
          <w:ilvl w:val="0"/>
          <w:numId w:val="11"/>
        </w:numPr>
        <w:spacing w:after="120" w:line="240" w:lineRule="auto"/>
        <w:ind w:left="1134" w:hanging="567"/>
        <w:contextualSpacing w:val="0"/>
        <w:jc w:val="both"/>
      </w:pPr>
      <w:r>
        <w:t>popierania</w:t>
      </w:r>
      <w:r w:rsidR="00B61ACE" w:rsidRPr="00A110D6">
        <w:t xml:space="preserve"> </w:t>
      </w:r>
      <w:r w:rsidR="00E4235E" w:rsidRPr="00A110D6">
        <w:t>wymian</w:t>
      </w:r>
      <w:r>
        <w:t xml:space="preserve">y </w:t>
      </w:r>
      <w:r w:rsidR="00E4235E" w:rsidRPr="00A110D6">
        <w:t xml:space="preserve">z innymi Państwami-Stronami </w:t>
      </w:r>
      <w:r w:rsidR="00B61ACE" w:rsidRPr="00A110D6">
        <w:t xml:space="preserve">informacji oraz najlepszych praktyk, w </w:t>
      </w:r>
      <w:r w:rsidR="00E4235E" w:rsidRPr="00A110D6">
        <w:t>szczególności</w:t>
      </w:r>
      <w:r w:rsidR="00B61ACE" w:rsidRPr="00A110D6">
        <w:t xml:space="preserve"> w celu implementacji środków generalnych;</w:t>
      </w:r>
    </w:p>
    <w:p w:rsidR="00B61ACE" w:rsidRPr="00A110D6" w:rsidRDefault="00E4235E" w:rsidP="000C6154">
      <w:pPr>
        <w:pStyle w:val="Akapitzlist"/>
        <w:numPr>
          <w:ilvl w:val="0"/>
          <w:numId w:val="11"/>
        </w:numPr>
        <w:spacing w:after="120" w:line="240" w:lineRule="auto"/>
        <w:ind w:left="1134" w:hanging="567"/>
        <w:contextualSpacing w:val="0"/>
        <w:jc w:val="both"/>
      </w:pPr>
      <w:r>
        <w:t>p</w:t>
      </w:r>
      <w:r w:rsidR="00B61ACE" w:rsidRPr="00A110D6">
        <w:t>romowa</w:t>
      </w:r>
      <w:r>
        <w:t>nia</w:t>
      </w:r>
      <w:r w:rsidR="00B61ACE" w:rsidRPr="00A110D6">
        <w:t xml:space="preserve"> dostęp</w:t>
      </w:r>
      <w:r w:rsidR="005A70F3">
        <w:t>ności</w:t>
      </w:r>
      <w:r w:rsidR="00B61ACE" w:rsidRPr="00A110D6">
        <w:t xml:space="preserve"> wyroków Trybunału, planów </w:t>
      </w:r>
      <w:r w:rsidR="000900AC">
        <w:t xml:space="preserve">działań </w:t>
      </w:r>
      <w:r w:rsidR="00B61ACE" w:rsidRPr="00A110D6">
        <w:t xml:space="preserve">i raportów </w:t>
      </w:r>
      <w:r w:rsidR="000900AC">
        <w:t>z wykonania</w:t>
      </w:r>
      <w:r w:rsidR="0084319C">
        <w:t xml:space="preserve"> [wyroków Trybunału</w:t>
      </w:r>
      <w:r w:rsidR="0042173F">
        <w:t xml:space="preserve"> – przyp. tłum.</w:t>
      </w:r>
      <w:r w:rsidR="0084319C">
        <w:t>]</w:t>
      </w:r>
      <w:r w:rsidR="000900AC">
        <w:t xml:space="preserve">, </w:t>
      </w:r>
      <w:r w:rsidR="005A70F3">
        <w:t>a także</w:t>
      </w:r>
      <w:r w:rsidR="00B61ACE" w:rsidRPr="00A110D6">
        <w:t xml:space="preserve"> decyzji i rezolucji Komitetu Ministrów poprzez:</w:t>
      </w:r>
    </w:p>
    <w:p w:rsidR="00B61ACE" w:rsidRPr="00A110D6" w:rsidRDefault="000900AC" w:rsidP="000C6154">
      <w:pPr>
        <w:pStyle w:val="Akapitzlist"/>
        <w:spacing w:after="120" w:line="240" w:lineRule="auto"/>
        <w:ind w:left="1425"/>
        <w:contextualSpacing w:val="0"/>
        <w:jc w:val="both"/>
      </w:pPr>
      <w:r>
        <w:t>- rozwi</w:t>
      </w:r>
      <w:r w:rsidR="005A70F3">
        <w:t>j</w:t>
      </w:r>
      <w:r>
        <w:t>anie [działań w celu]</w:t>
      </w:r>
      <w:r w:rsidR="00B61ACE" w:rsidRPr="00A110D6">
        <w:t xml:space="preserve"> ich publikacji oraz </w:t>
      </w:r>
      <w:r w:rsidR="005A70F3">
        <w:t>upowszechniania</w:t>
      </w:r>
      <w:r w:rsidR="00B61ACE" w:rsidRPr="00A110D6">
        <w:t xml:space="preserve"> wśród </w:t>
      </w:r>
      <w:r>
        <w:t>właściwych podmiotów</w:t>
      </w:r>
      <w:r w:rsidR="00B61ACE" w:rsidRPr="00A110D6">
        <w:t xml:space="preserve"> (w szczególności, władzy wykonawczej, parlamentów oraz sądów, a także,</w:t>
      </w:r>
      <w:r w:rsidR="00E4235E">
        <w:t xml:space="preserve"> </w:t>
      </w:r>
      <w:r w:rsidR="005A70F3">
        <w:t xml:space="preserve">tam </w:t>
      </w:r>
      <w:r>
        <w:t>gdzie</w:t>
      </w:r>
      <w:r w:rsidR="00B61ACE" w:rsidRPr="00A110D6">
        <w:t xml:space="preserve"> to wskazane, </w:t>
      </w:r>
      <w:r w:rsidR="0084319C" w:rsidRPr="00A110D6">
        <w:t xml:space="preserve">krajowych instytucji praw człowieka </w:t>
      </w:r>
      <w:r w:rsidR="00B61ACE" w:rsidRPr="00A110D6">
        <w:t xml:space="preserve">oraz przedstawicieli społeczeństwa obywatelskiego), tak aby </w:t>
      </w:r>
      <w:r>
        <w:t xml:space="preserve">w większym stopniu </w:t>
      </w:r>
      <w:r w:rsidR="00E4235E">
        <w:t>zaangażować</w:t>
      </w:r>
      <w:r w:rsidR="00B61ACE" w:rsidRPr="00A110D6">
        <w:t xml:space="preserve"> ich</w:t>
      </w:r>
      <w:r w:rsidR="006C33F4">
        <w:t xml:space="preserve"> w</w:t>
      </w:r>
      <w:r w:rsidR="00B61ACE" w:rsidRPr="00A110D6">
        <w:t xml:space="preserve"> proces wykonywania wyroków;</w:t>
      </w:r>
    </w:p>
    <w:p w:rsidR="00B61ACE" w:rsidRPr="00A110D6" w:rsidRDefault="00B61ACE" w:rsidP="000C6154">
      <w:pPr>
        <w:pStyle w:val="Akapitzlist"/>
        <w:spacing w:after="120" w:line="240" w:lineRule="auto"/>
        <w:ind w:left="1425"/>
        <w:contextualSpacing w:val="0"/>
        <w:jc w:val="both"/>
      </w:pPr>
      <w:r w:rsidRPr="00A110D6">
        <w:t xml:space="preserve">- dokonywanie tłumaczeń lub streszczeń </w:t>
      </w:r>
      <w:r w:rsidR="00E4235E" w:rsidRPr="00A110D6">
        <w:t>odpowiednich</w:t>
      </w:r>
      <w:r w:rsidRPr="00A110D6">
        <w:t xml:space="preserve"> dokumentów, w tym</w:t>
      </w:r>
      <w:r w:rsidR="00E4235E" w:rsidRPr="00A110D6">
        <w:t xml:space="preserve">, </w:t>
      </w:r>
      <w:r w:rsidR="000900AC">
        <w:t xml:space="preserve">gdzie </w:t>
      </w:r>
      <w:r w:rsidR="00E4235E" w:rsidRPr="00A110D6">
        <w:t xml:space="preserve">to </w:t>
      </w:r>
      <w:r w:rsidR="000900AC">
        <w:t>wymagane</w:t>
      </w:r>
      <w:r w:rsidR="00E4235E">
        <w:t>,</w:t>
      </w:r>
      <w:r w:rsidRPr="00A110D6">
        <w:t xml:space="preserve"> ważnych wyroków Trybunału;</w:t>
      </w:r>
    </w:p>
    <w:p w:rsidR="00266586" w:rsidRDefault="00B61ACE" w:rsidP="000C6154">
      <w:pPr>
        <w:pStyle w:val="Akapitzlist"/>
        <w:numPr>
          <w:ilvl w:val="0"/>
          <w:numId w:val="11"/>
        </w:numPr>
        <w:spacing w:after="120" w:line="240" w:lineRule="auto"/>
        <w:ind w:left="1134" w:hanging="567"/>
        <w:contextualSpacing w:val="0"/>
        <w:jc w:val="both"/>
      </w:pPr>
      <w:r w:rsidRPr="00A110D6">
        <w:t xml:space="preserve">w ramach </w:t>
      </w:r>
      <w:r w:rsidR="00697059" w:rsidRPr="00A110D6">
        <w:t>tych</w:t>
      </w:r>
      <w:r w:rsidRPr="00A110D6">
        <w:t xml:space="preserve"> działań, utrzymywa</w:t>
      </w:r>
      <w:r w:rsidR="00422CFC">
        <w:t>nia</w:t>
      </w:r>
      <w:r w:rsidRPr="00A110D6">
        <w:t xml:space="preserve"> i zwiększa</w:t>
      </w:r>
      <w:r w:rsidR="00422CFC">
        <w:t>nia</w:t>
      </w:r>
      <w:r w:rsidRPr="00A110D6">
        <w:t xml:space="preserve"> środk</w:t>
      </w:r>
      <w:r w:rsidR="00422CFC">
        <w:t>ów</w:t>
      </w:r>
      <w:r w:rsidRPr="00A110D6">
        <w:t xml:space="preserve"> finansow</w:t>
      </w:r>
      <w:r w:rsidR="00422CFC">
        <w:t>ych,</w:t>
      </w:r>
      <w:r w:rsidRPr="00A110D6">
        <w:t xml:space="preserve"> </w:t>
      </w:r>
      <w:r w:rsidR="00697059" w:rsidRPr="00A110D6">
        <w:t>które</w:t>
      </w:r>
      <w:r w:rsidRPr="00A110D6">
        <w:t xml:space="preserve"> </w:t>
      </w:r>
      <w:r w:rsidR="00697059" w:rsidRPr="00A110D6">
        <w:t>umożliwiły</w:t>
      </w:r>
      <w:r w:rsidR="00422CFC">
        <w:t xml:space="preserve"> Radzie Europy </w:t>
      </w:r>
      <w:r w:rsidRPr="00A110D6">
        <w:t xml:space="preserve">przetłumaczenie </w:t>
      </w:r>
      <w:r w:rsidR="00422CFC" w:rsidRPr="00A110D6">
        <w:t xml:space="preserve">od 2010 r. </w:t>
      </w:r>
      <w:r w:rsidRPr="00A110D6">
        <w:t xml:space="preserve">dużej </w:t>
      </w:r>
      <w:r w:rsidR="000900AC">
        <w:t xml:space="preserve">liczby </w:t>
      </w:r>
      <w:r w:rsidRPr="00A110D6">
        <w:t xml:space="preserve">wyroków na języki </w:t>
      </w:r>
      <w:r w:rsidR="00266586">
        <w:t>narodow</w:t>
      </w:r>
      <w:r w:rsidRPr="00A110D6">
        <w:t>e;</w:t>
      </w:r>
    </w:p>
    <w:p w:rsidR="00266586" w:rsidRDefault="00B61ACE" w:rsidP="000C6154">
      <w:pPr>
        <w:pStyle w:val="Akapitzlist"/>
        <w:numPr>
          <w:ilvl w:val="0"/>
          <w:numId w:val="11"/>
        </w:numPr>
        <w:spacing w:after="120" w:line="240" w:lineRule="auto"/>
        <w:ind w:left="1134" w:hanging="567"/>
        <w:contextualSpacing w:val="0"/>
        <w:jc w:val="both"/>
      </w:pPr>
      <w:r w:rsidRPr="00A110D6">
        <w:t xml:space="preserve">w szczególności, </w:t>
      </w:r>
      <w:r w:rsidR="000900AC">
        <w:t>zachęcani</w:t>
      </w:r>
      <w:r w:rsidR="00910E7B">
        <w:t>a</w:t>
      </w:r>
      <w:r w:rsidR="000900AC">
        <w:t xml:space="preserve"> </w:t>
      </w:r>
      <w:r w:rsidR="00862436" w:rsidRPr="00A110D6">
        <w:t>zaangażowani</w:t>
      </w:r>
      <w:r w:rsidR="00266586">
        <w:t>a</w:t>
      </w:r>
      <w:r w:rsidR="00862436" w:rsidRPr="00A110D6">
        <w:t xml:space="preserve"> </w:t>
      </w:r>
      <w:r w:rsidR="000900AC">
        <w:t xml:space="preserve">parlamentów krajowych </w:t>
      </w:r>
      <w:r w:rsidR="00266586" w:rsidRPr="00A110D6">
        <w:t>w proces wykonywania wyroków</w:t>
      </w:r>
      <w:r w:rsidR="00910E7B">
        <w:t xml:space="preserve"> –</w:t>
      </w:r>
      <w:r w:rsidR="00862436" w:rsidRPr="00A110D6">
        <w:t xml:space="preserve"> </w:t>
      </w:r>
      <w:r w:rsidR="000900AC">
        <w:t xml:space="preserve">tam, gdzie </w:t>
      </w:r>
      <w:r w:rsidR="00910E7B">
        <w:t xml:space="preserve">jest </w:t>
      </w:r>
      <w:r w:rsidR="00862436" w:rsidRPr="00A110D6">
        <w:t>to wskazane</w:t>
      </w:r>
      <w:r w:rsidR="00910E7B">
        <w:t xml:space="preserve"> –</w:t>
      </w:r>
      <w:r w:rsidR="00862436" w:rsidRPr="00A110D6">
        <w:t xml:space="preserve"> na przykład poprzez przekazywanie im </w:t>
      </w:r>
      <w:r w:rsidR="000900AC">
        <w:t xml:space="preserve">raportów </w:t>
      </w:r>
      <w:r w:rsidR="00862436" w:rsidRPr="00A110D6">
        <w:t xml:space="preserve">rocznych </w:t>
      </w:r>
      <w:r w:rsidR="000900AC">
        <w:t>lub</w:t>
      </w:r>
      <w:r w:rsidR="00862436" w:rsidRPr="00A110D6">
        <w:t xml:space="preserve"> tematycznych</w:t>
      </w:r>
      <w:r w:rsidR="00910E7B">
        <w:t>,</w:t>
      </w:r>
      <w:r w:rsidR="00862436" w:rsidRPr="00A110D6">
        <w:t xml:space="preserve"> lub </w:t>
      </w:r>
      <w:r w:rsidR="000900AC">
        <w:t xml:space="preserve">organizowanie </w:t>
      </w:r>
      <w:r w:rsidR="00862436" w:rsidRPr="00A110D6">
        <w:t xml:space="preserve">debaty z władzami wykonawczymi na </w:t>
      </w:r>
      <w:r w:rsidR="00266586" w:rsidRPr="00A110D6">
        <w:t>temat</w:t>
      </w:r>
      <w:r w:rsidR="00862436" w:rsidRPr="00A110D6">
        <w:t xml:space="preserve"> implementacji niektórych wyroków;</w:t>
      </w:r>
    </w:p>
    <w:p w:rsidR="00266586" w:rsidRPr="004E4DC2" w:rsidRDefault="00C86147" w:rsidP="000C6154">
      <w:pPr>
        <w:pStyle w:val="Akapitzlist"/>
        <w:numPr>
          <w:ilvl w:val="0"/>
          <w:numId w:val="11"/>
        </w:numPr>
        <w:spacing w:after="120" w:line="240" w:lineRule="auto"/>
        <w:ind w:left="1134" w:hanging="567"/>
        <w:contextualSpacing w:val="0"/>
        <w:jc w:val="both"/>
      </w:pPr>
      <w:r w:rsidRPr="00A110D6">
        <w:lastRenderedPageBreak/>
        <w:t>utworz</w:t>
      </w:r>
      <w:r w:rsidR="00266586">
        <w:t>enia</w:t>
      </w:r>
      <w:r w:rsidR="00910E7B">
        <w:t xml:space="preserve"> –</w:t>
      </w:r>
      <w:r w:rsidR="00266586" w:rsidRPr="00A110D6">
        <w:t xml:space="preserve"> </w:t>
      </w:r>
      <w:r w:rsidR="00266586">
        <w:t>tam</w:t>
      </w:r>
      <w:r w:rsidR="00357F96">
        <w:t>,</w:t>
      </w:r>
      <w:r w:rsidR="00266586">
        <w:t xml:space="preserve"> </w:t>
      </w:r>
      <w:r w:rsidR="00910E7B">
        <w:t>gdzie jest to wskazane -</w:t>
      </w:r>
      <w:r w:rsidR="00266586" w:rsidRPr="00A110D6">
        <w:t xml:space="preserve"> </w:t>
      </w:r>
      <w:r w:rsidRPr="00A110D6">
        <w:t>„</w:t>
      </w:r>
      <w:r w:rsidR="00266586" w:rsidRPr="00A110D6">
        <w:t>punkt</w:t>
      </w:r>
      <w:r w:rsidR="00266586">
        <w:t>ów</w:t>
      </w:r>
      <w:r w:rsidRPr="00A110D6">
        <w:t xml:space="preserve"> </w:t>
      </w:r>
      <w:r w:rsidR="00266586" w:rsidRPr="00A110D6">
        <w:t>kontaktow</w:t>
      </w:r>
      <w:r w:rsidR="00266586">
        <w:t>ych</w:t>
      </w:r>
      <w:r w:rsidRPr="00A110D6">
        <w:t>”</w:t>
      </w:r>
      <w:r w:rsidR="00266586">
        <w:t xml:space="preserve"> </w:t>
      </w:r>
      <w:r w:rsidRPr="00A110D6">
        <w:t xml:space="preserve">do spraw </w:t>
      </w:r>
      <w:r w:rsidR="00BF4BE0">
        <w:t xml:space="preserve">praw </w:t>
      </w:r>
      <w:r w:rsidRPr="00A110D6">
        <w:t xml:space="preserve">człowieka w </w:t>
      </w:r>
      <w:r w:rsidR="00BF4BE0">
        <w:t>ramach właściwych</w:t>
      </w:r>
      <w:r w:rsidRPr="00A110D6">
        <w:t xml:space="preserve"> </w:t>
      </w:r>
      <w:r w:rsidR="00BF4BE0">
        <w:t>władz wykonawczych, sądowych lub ustawodawczych</w:t>
      </w:r>
      <w:r w:rsidRPr="00A110D6">
        <w:t>, oraz stworzeni</w:t>
      </w:r>
      <w:r w:rsidR="00266586">
        <w:t>a</w:t>
      </w:r>
      <w:r w:rsidRPr="00A110D6">
        <w:t xml:space="preserve"> </w:t>
      </w:r>
      <w:r w:rsidR="00697059" w:rsidRPr="00A110D6">
        <w:t xml:space="preserve">między </w:t>
      </w:r>
      <w:r w:rsidR="00697059" w:rsidRPr="004E4DC2">
        <w:t xml:space="preserve">nimi </w:t>
      </w:r>
      <w:r w:rsidR="00266586" w:rsidRPr="004E4DC2">
        <w:t>sieci współpracy</w:t>
      </w:r>
      <w:r w:rsidR="00697059" w:rsidRPr="004E4DC2">
        <w:t xml:space="preserve"> poprzez </w:t>
      </w:r>
      <w:r w:rsidR="00266586" w:rsidRPr="004E4DC2">
        <w:t xml:space="preserve">organizowanie </w:t>
      </w:r>
      <w:r w:rsidR="00697059" w:rsidRPr="004E4DC2">
        <w:t>spotka</w:t>
      </w:r>
      <w:r w:rsidR="00266586" w:rsidRPr="004E4DC2">
        <w:t>ń</w:t>
      </w:r>
      <w:r w:rsidR="00452904" w:rsidRPr="004E4DC2">
        <w:t>, wymiany</w:t>
      </w:r>
      <w:r w:rsidR="00697059" w:rsidRPr="004E4DC2">
        <w:t xml:space="preserve"> informacji,</w:t>
      </w:r>
      <w:r w:rsidR="00266586" w:rsidRPr="004E4DC2">
        <w:t xml:space="preserve"> udział</w:t>
      </w:r>
      <w:r w:rsidR="00452904" w:rsidRPr="004E4DC2">
        <w:t>u</w:t>
      </w:r>
      <w:r w:rsidR="00266586" w:rsidRPr="004E4DC2">
        <w:t xml:space="preserve"> w posiedzeniach</w:t>
      </w:r>
      <w:r w:rsidR="00697059" w:rsidRPr="004E4DC2">
        <w:t xml:space="preserve"> lub</w:t>
      </w:r>
      <w:r w:rsidR="00452904" w:rsidRPr="004E4DC2">
        <w:t xml:space="preserve"> przekazywania</w:t>
      </w:r>
      <w:r w:rsidR="00697059" w:rsidRPr="004E4DC2">
        <w:t xml:space="preserve"> rocznych </w:t>
      </w:r>
      <w:r w:rsidR="00266586" w:rsidRPr="004E4DC2">
        <w:t xml:space="preserve">lub tematycznych </w:t>
      </w:r>
      <w:r w:rsidR="00697059" w:rsidRPr="004E4DC2">
        <w:t>raportów i newsletterów;</w:t>
      </w:r>
    </w:p>
    <w:p w:rsidR="00697059" w:rsidRPr="00A110D6" w:rsidRDefault="00697059" w:rsidP="00B8190A">
      <w:pPr>
        <w:pStyle w:val="Akapitzlist"/>
        <w:numPr>
          <w:ilvl w:val="0"/>
          <w:numId w:val="11"/>
        </w:numPr>
        <w:spacing w:after="480" w:line="240" w:lineRule="auto"/>
        <w:ind w:left="1065" w:hanging="567"/>
        <w:contextualSpacing w:val="0"/>
        <w:jc w:val="both"/>
      </w:pPr>
      <w:r w:rsidRPr="00A110D6">
        <w:t>rozważ</w:t>
      </w:r>
      <w:r w:rsidR="00266586">
        <w:t>enia</w:t>
      </w:r>
      <w:r w:rsidRPr="00A110D6">
        <w:t>, zgodnie z zasadą subsydiarności, prowadzani</w:t>
      </w:r>
      <w:r w:rsidR="00266586">
        <w:t>a</w:t>
      </w:r>
      <w:r w:rsidRPr="00A110D6">
        <w:t xml:space="preserve"> </w:t>
      </w:r>
      <w:r w:rsidR="00266586" w:rsidRPr="00A110D6">
        <w:t xml:space="preserve">na poziomie krajowym </w:t>
      </w:r>
      <w:r w:rsidRPr="00A110D6">
        <w:t xml:space="preserve">regularnych debat na temat wykonywania wyroków </w:t>
      </w:r>
      <w:r w:rsidR="009F2146">
        <w:t>z udziałem władzy</w:t>
      </w:r>
      <w:r w:rsidRPr="00A110D6">
        <w:t xml:space="preserve"> </w:t>
      </w:r>
      <w:r w:rsidR="009F2146">
        <w:t>wykonawczej i sądowniczej</w:t>
      </w:r>
      <w:r w:rsidR="00266586">
        <w:t>,</w:t>
      </w:r>
      <w:r w:rsidRPr="00A110D6">
        <w:t xml:space="preserve"> jak </w:t>
      </w:r>
      <w:r w:rsidR="009F2146">
        <w:t xml:space="preserve">również </w:t>
      </w:r>
      <w:r w:rsidRPr="00A110D6">
        <w:t>członków parlamentu</w:t>
      </w:r>
      <w:r w:rsidR="00266586">
        <w:t>,</w:t>
      </w:r>
      <w:r w:rsidR="009F2146">
        <w:t xml:space="preserve"> a także włączając</w:t>
      </w:r>
      <w:r w:rsidR="00910E7B">
        <w:t xml:space="preserve"> –</w:t>
      </w:r>
      <w:r w:rsidR="009F2146">
        <w:t xml:space="preserve"> tam</w:t>
      </w:r>
      <w:r w:rsidR="00910E7B">
        <w:t xml:space="preserve">, </w:t>
      </w:r>
      <w:r w:rsidR="009F2146">
        <w:t xml:space="preserve">gdzie </w:t>
      </w:r>
      <w:r w:rsidR="00910E7B">
        <w:t xml:space="preserve">jest </w:t>
      </w:r>
      <w:r w:rsidR="00266586" w:rsidRPr="00A110D6">
        <w:t>to wskazane</w:t>
      </w:r>
      <w:r w:rsidR="00910E7B">
        <w:t xml:space="preserve"> –</w:t>
      </w:r>
      <w:r w:rsidR="00266586" w:rsidRPr="00A110D6">
        <w:t xml:space="preserve"> </w:t>
      </w:r>
      <w:r w:rsidRPr="00A110D6">
        <w:t xml:space="preserve">przedstawicieli Krajowych Instytucji Praw </w:t>
      </w:r>
      <w:r w:rsidR="00A91A77" w:rsidRPr="00A110D6">
        <w:t>Człowieka</w:t>
      </w:r>
      <w:r w:rsidRPr="00A110D6">
        <w:t xml:space="preserve"> oraz społeczeństwa obywatelskiego.</w:t>
      </w:r>
    </w:p>
    <w:p w:rsidR="00CC66FC" w:rsidRPr="000D0297" w:rsidRDefault="00697059" w:rsidP="000C6154">
      <w:pPr>
        <w:pStyle w:val="Akapitzlist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b/>
        </w:rPr>
      </w:pPr>
      <w:r w:rsidRPr="000D0297">
        <w:rPr>
          <w:b/>
        </w:rPr>
        <w:t>Nadzór nad wykonywaniem wyroków</w:t>
      </w:r>
    </w:p>
    <w:p w:rsidR="00697059" w:rsidRPr="00A110D6" w:rsidRDefault="00A91A77" w:rsidP="000C6154">
      <w:pPr>
        <w:spacing w:after="120" w:line="240" w:lineRule="auto"/>
        <w:jc w:val="both"/>
      </w:pPr>
      <w:r w:rsidRPr="00A110D6">
        <w:t xml:space="preserve">Konferencja </w:t>
      </w:r>
      <w:r w:rsidR="009A7A42" w:rsidRPr="00A110D6">
        <w:t>podkreśla</w:t>
      </w:r>
      <w:r w:rsidRPr="00A110D6">
        <w:t xml:space="preserve"> znaczenie </w:t>
      </w:r>
      <w:r w:rsidR="000D0297">
        <w:t>efektywnego</w:t>
      </w:r>
      <w:r w:rsidRPr="00A110D6">
        <w:t xml:space="preserve"> nadzoru nad wykonywaniem wyroków w celu </w:t>
      </w:r>
      <w:r w:rsidR="009A7A42" w:rsidRPr="00A110D6">
        <w:t>zapewnienia</w:t>
      </w:r>
      <w:r w:rsidRPr="00A110D6">
        <w:t xml:space="preserve"> długoterminowego i </w:t>
      </w:r>
      <w:r w:rsidR="009A7A42" w:rsidRPr="00A110D6">
        <w:t>wiarygodnego</w:t>
      </w:r>
      <w:r w:rsidRPr="00A110D6">
        <w:t xml:space="preserve"> systemu konwencyjnego</w:t>
      </w:r>
      <w:r w:rsidR="00910E7B">
        <w:t>,</w:t>
      </w:r>
      <w:r w:rsidRPr="00A110D6">
        <w:t xml:space="preserve"> i w tym celu:</w:t>
      </w:r>
    </w:p>
    <w:p w:rsidR="00A91A77" w:rsidRPr="00A110D6" w:rsidRDefault="00A91A77" w:rsidP="000C6154">
      <w:pPr>
        <w:pStyle w:val="Akapitzlist"/>
        <w:numPr>
          <w:ilvl w:val="0"/>
          <w:numId w:val="14"/>
        </w:numPr>
        <w:spacing w:after="120" w:line="240" w:lineRule="auto"/>
        <w:ind w:left="567" w:hanging="567"/>
        <w:contextualSpacing w:val="0"/>
        <w:jc w:val="both"/>
      </w:pPr>
      <w:r w:rsidRPr="00A110D6">
        <w:t>Zachęca Komitet Ministrów do:</w:t>
      </w:r>
    </w:p>
    <w:p w:rsidR="00CC66FC" w:rsidRDefault="00C74101" w:rsidP="000C6154">
      <w:pPr>
        <w:pStyle w:val="Akapitzlist"/>
        <w:numPr>
          <w:ilvl w:val="0"/>
          <w:numId w:val="15"/>
        </w:numPr>
        <w:spacing w:after="120" w:line="240" w:lineRule="auto"/>
        <w:ind w:left="1134" w:hanging="567"/>
        <w:contextualSpacing w:val="0"/>
        <w:jc w:val="both"/>
      </w:pPr>
      <w:r>
        <w:t>k</w:t>
      </w:r>
      <w:r w:rsidR="00910E7B">
        <w:t>ontynuowania wy</w:t>
      </w:r>
      <w:r w:rsidR="00517F0A">
        <w:t>k</w:t>
      </w:r>
      <w:r w:rsidR="00A91A77" w:rsidRPr="00A110D6">
        <w:t>orzyst</w:t>
      </w:r>
      <w:r w:rsidR="00910E7B">
        <w:t>yw</w:t>
      </w:r>
      <w:r w:rsidR="00A91A77" w:rsidRPr="00A110D6">
        <w:t>ania</w:t>
      </w:r>
      <w:r w:rsidR="00910E7B">
        <w:t xml:space="preserve"> –</w:t>
      </w:r>
      <w:r w:rsidR="00910E7B" w:rsidRPr="00A110D6">
        <w:t xml:space="preserve"> </w:t>
      </w:r>
      <w:r w:rsidR="00910E7B" w:rsidRPr="00357F96">
        <w:t>stopniowo</w:t>
      </w:r>
      <w:r w:rsidR="00910E7B" w:rsidRPr="006C33F4">
        <w:t xml:space="preserve"> </w:t>
      </w:r>
      <w:r w:rsidR="00910E7B" w:rsidRPr="00357F96">
        <w:t xml:space="preserve">zwiększając </w:t>
      </w:r>
      <w:r w:rsidR="00137F72">
        <w:t>środki</w:t>
      </w:r>
      <w:r w:rsidR="00910E7B">
        <w:t xml:space="preserve"> –</w:t>
      </w:r>
      <w:r w:rsidR="00910E7B" w:rsidRPr="00A110D6">
        <w:t xml:space="preserve"> </w:t>
      </w:r>
      <w:r w:rsidR="00833AC5" w:rsidRPr="00A110D6">
        <w:t xml:space="preserve">wszelkich </w:t>
      </w:r>
      <w:r w:rsidR="009A7A42" w:rsidRPr="00A110D6">
        <w:t>dostępnych</w:t>
      </w:r>
      <w:r w:rsidR="00833AC5" w:rsidRPr="00A110D6">
        <w:t xml:space="preserve"> </w:t>
      </w:r>
      <w:r w:rsidR="009A7A42" w:rsidRPr="00A110D6">
        <w:t>instrumentów</w:t>
      </w:r>
      <w:r w:rsidR="00833AC5" w:rsidRPr="00A110D6">
        <w:t xml:space="preserve">, w tym </w:t>
      </w:r>
      <w:r w:rsidR="009A7A42" w:rsidRPr="00A110D6">
        <w:t>rezolucji</w:t>
      </w:r>
      <w:r w:rsidR="000D0297">
        <w:t xml:space="preserve"> tymczasowych</w:t>
      </w:r>
      <w:r w:rsidR="00833AC5" w:rsidRPr="00A110D6">
        <w:t xml:space="preserve">, oraz </w:t>
      </w:r>
      <w:r w:rsidR="00910E7B">
        <w:t xml:space="preserve">do </w:t>
      </w:r>
      <w:r w:rsidR="00833AC5" w:rsidRPr="00A110D6">
        <w:t xml:space="preserve">rozważenia </w:t>
      </w:r>
      <w:r w:rsidR="009A7A42" w:rsidRPr="00A110D6">
        <w:t>skorzystania</w:t>
      </w:r>
      <w:r w:rsidR="00833AC5" w:rsidRPr="00A110D6">
        <w:t xml:space="preserve"> w razie potrzeby z procedur przewidzianych w </w:t>
      </w:r>
      <w:r w:rsidR="00311AB6">
        <w:t xml:space="preserve">art. </w:t>
      </w:r>
      <w:r w:rsidR="00833AC5" w:rsidRPr="00A110D6">
        <w:t xml:space="preserve">46 </w:t>
      </w:r>
      <w:r w:rsidR="009A7A42">
        <w:t>Konwencji</w:t>
      </w:r>
      <w:r w:rsidR="00311AB6">
        <w:t>, jeśli</w:t>
      </w:r>
      <w:r w:rsidR="00833AC5" w:rsidRPr="00A110D6">
        <w:t xml:space="preserve"> </w:t>
      </w:r>
      <w:r w:rsidR="009A7A42" w:rsidRPr="00A110D6">
        <w:t xml:space="preserve">zostaną spełnione </w:t>
      </w:r>
      <w:r w:rsidR="00B311C3" w:rsidRPr="00A110D6">
        <w:t>przesłanki;</w:t>
      </w:r>
    </w:p>
    <w:p w:rsidR="00CC66FC" w:rsidRDefault="006607E4" w:rsidP="000C6154">
      <w:pPr>
        <w:pStyle w:val="Akapitzlist"/>
        <w:numPr>
          <w:ilvl w:val="0"/>
          <w:numId w:val="15"/>
        </w:numPr>
        <w:spacing w:after="120" w:line="240" w:lineRule="auto"/>
        <w:ind w:left="1134" w:hanging="567"/>
        <w:contextualSpacing w:val="0"/>
        <w:jc w:val="both"/>
      </w:pPr>
      <w:r>
        <w:t>r</w:t>
      </w:r>
      <w:r w:rsidR="00B311C3" w:rsidRPr="00A110D6">
        <w:t>ozw</w:t>
      </w:r>
      <w:r w:rsidR="00517F0A">
        <w:t>ijania</w:t>
      </w:r>
      <w:r w:rsidR="00B311C3" w:rsidRPr="00A110D6">
        <w:t xml:space="preserve"> w tym względzie dostępnych </w:t>
      </w:r>
      <w:r w:rsidR="00517F0A">
        <w:t xml:space="preserve">zasobów </w:t>
      </w:r>
      <w:r w:rsidR="00B311C3" w:rsidRPr="00A110D6">
        <w:t xml:space="preserve">i instrumentów, </w:t>
      </w:r>
      <w:r w:rsidR="002D0814" w:rsidRPr="00A110D6">
        <w:t>w</w:t>
      </w:r>
      <w:r w:rsidR="00517F0A">
        <w:t xml:space="preserve"> tym </w:t>
      </w:r>
      <w:r w:rsidR="00910E7B">
        <w:t>poprzez uzupełnianie</w:t>
      </w:r>
      <w:r w:rsidR="00517F0A">
        <w:t xml:space="preserve"> wsparcia</w:t>
      </w:r>
      <w:r w:rsidR="00517F0A" w:rsidRPr="00A110D6">
        <w:t xml:space="preserve"> techniczne</w:t>
      </w:r>
      <w:r w:rsidR="00517F0A">
        <w:t>go odpowiednim</w:t>
      </w:r>
      <w:r w:rsidR="00B311C3" w:rsidRPr="00A110D6">
        <w:t xml:space="preserve"> </w:t>
      </w:r>
      <w:r w:rsidR="00517F0A">
        <w:t>naciskiem</w:t>
      </w:r>
      <w:r w:rsidR="00B311C3" w:rsidRPr="00A110D6">
        <w:t xml:space="preserve"> </w:t>
      </w:r>
      <w:r w:rsidR="00517F0A">
        <w:t xml:space="preserve">politycznym, </w:t>
      </w:r>
      <w:r w:rsidR="005D1022">
        <w:t>w celu zaradzenia</w:t>
      </w:r>
      <w:r w:rsidR="00910E7B">
        <w:t xml:space="preserve"> przypadkom</w:t>
      </w:r>
      <w:r w:rsidR="00C17F12">
        <w:t xml:space="preserve"> braku wykonania wyroków</w:t>
      </w:r>
      <w:r w:rsidR="006C33F4">
        <w:t>;</w:t>
      </w:r>
    </w:p>
    <w:p w:rsidR="00CC66FC" w:rsidRPr="006C33F4" w:rsidRDefault="006607E4" w:rsidP="000C6154">
      <w:pPr>
        <w:pStyle w:val="Akapitzlist"/>
        <w:numPr>
          <w:ilvl w:val="0"/>
          <w:numId w:val="15"/>
        </w:numPr>
        <w:spacing w:after="120" w:line="240" w:lineRule="auto"/>
        <w:ind w:left="1134" w:hanging="567"/>
        <w:contextualSpacing w:val="0"/>
        <w:jc w:val="both"/>
      </w:pPr>
      <w:r w:rsidRPr="006C33F4">
        <w:t>p</w:t>
      </w:r>
      <w:r w:rsidR="00000F3D" w:rsidRPr="006C33F4">
        <w:t>romowa</w:t>
      </w:r>
      <w:r w:rsidRPr="006C33F4">
        <w:t>nia</w:t>
      </w:r>
      <w:r w:rsidR="00000F3D" w:rsidRPr="006C33F4">
        <w:t xml:space="preserve"> rozw</w:t>
      </w:r>
      <w:r w:rsidR="005D1022" w:rsidRPr="006C33F4">
        <w:t>ijania</w:t>
      </w:r>
      <w:r w:rsidR="00000F3D" w:rsidRPr="006C33F4">
        <w:t xml:space="preserve"> </w:t>
      </w:r>
      <w:r w:rsidR="005D1022" w:rsidRPr="006C33F4">
        <w:t>lepszego</w:t>
      </w:r>
      <w:r w:rsidR="00000F3D" w:rsidRPr="006C33F4">
        <w:t xml:space="preserve"> </w:t>
      </w:r>
      <w:r w:rsidRPr="006C33F4">
        <w:t>współdziałania</w:t>
      </w:r>
      <w:r w:rsidR="00000F3D" w:rsidRPr="006C33F4">
        <w:t xml:space="preserve"> z innymi </w:t>
      </w:r>
      <w:r w:rsidR="00000F3D" w:rsidRPr="001F4497">
        <w:t>partnerami</w:t>
      </w:r>
      <w:r w:rsidR="00000F3D" w:rsidRPr="006C33F4">
        <w:t xml:space="preserve"> </w:t>
      </w:r>
      <w:r w:rsidR="00C17F12" w:rsidRPr="006C33F4">
        <w:t xml:space="preserve">z </w:t>
      </w:r>
      <w:r w:rsidR="00000F3D" w:rsidRPr="006C33F4">
        <w:t xml:space="preserve">Rady Europy w ramach ich kompetencji – w pierwszej kolejności </w:t>
      </w:r>
      <w:r w:rsidRPr="006C33F4">
        <w:t xml:space="preserve">z </w:t>
      </w:r>
      <w:r w:rsidR="00000F3D" w:rsidRPr="006C33F4">
        <w:t xml:space="preserve">Trybunałem, </w:t>
      </w:r>
      <w:r w:rsidRPr="006C33F4">
        <w:t>Zgromadzeniem</w:t>
      </w:r>
      <w:r w:rsidR="00000F3D" w:rsidRPr="006C33F4">
        <w:t xml:space="preserve"> </w:t>
      </w:r>
      <w:r w:rsidR="00C17F12" w:rsidRPr="006C33F4">
        <w:t>Parlamentarnym</w:t>
      </w:r>
      <w:r w:rsidR="00000F3D" w:rsidRPr="006C33F4">
        <w:t xml:space="preserve"> oraz Komisarzem Praw Człowieka;</w:t>
      </w:r>
    </w:p>
    <w:p w:rsidR="00CC66FC" w:rsidRDefault="00384B5D" w:rsidP="000C6154">
      <w:pPr>
        <w:pStyle w:val="Akapitzlist"/>
        <w:numPr>
          <w:ilvl w:val="0"/>
          <w:numId w:val="15"/>
        </w:numPr>
        <w:spacing w:after="120" w:line="240" w:lineRule="auto"/>
        <w:ind w:left="1134" w:hanging="567"/>
        <w:contextualSpacing w:val="0"/>
        <w:jc w:val="both"/>
      </w:pPr>
      <w:r>
        <w:t>poszukiwania</w:t>
      </w:r>
      <w:r w:rsidR="00E11CE7" w:rsidRPr="00A110D6">
        <w:t xml:space="preserve"> możliwości dalszego </w:t>
      </w:r>
      <w:r w:rsidR="006C33F4">
        <w:t>podnoszenia</w:t>
      </w:r>
      <w:r w:rsidR="006C33F4" w:rsidRPr="00A110D6">
        <w:t xml:space="preserve"> </w:t>
      </w:r>
      <w:r w:rsidR="00C17F12">
        <w:t xml:space="preserve">efektywności </w:t>
      </w:r>
      <w:r>
        <w:t>posiedzeń</w:t>
      </w:r>
      <w:r w:rsidR="00E11CE7" w:rsidRPr="00A110D6">
        <w:t xml:space="preserve"> ds. Praw </w:t>
      </w:r>
      <w:r w:rsidRPr="00A110D6">
        <w:t>Człowieka</w:t>
      </w:r>
      <w:r w:rsidR="00E11CE7" w:rsidRPr="00A110D6">
        <w:t xml:space="preserve">, w tym również, </w:t>
      </w:r>
      <w:r w:rsidR="00C17F12">
        <w:t xml:space="preserve">choć nie jedynie, w odniesieniu do </w:t>
      </w:r>
      <w:r w:rsidR="00E11CE7" w:rsidRPr="00A110D6">
        <w:t>pr</w:t>
      </w:r>
      <w:r w:rsidR="00FC4652">
        <w:t>ezydencji</w:t>
      </w:r>
      <w:r w:rsidR="00C17F12">
        <w:t>,</w:t>
      </w:r>
      <w:r w:rsidR="00E11CE7" w:rsidRPr="00A110D6">
        <w:t xml:space="preserve"> </w:t>
      </w:r>
      <w:r w:rsidR="00EA2425">
        <w:t xml:space="preserve">a także </w:t>
      </w:r>
      <w:r w:rsidR="00E11CE7" w:rsidRPr="00A110D6">
        <w:t>długoś</w:t>
      </w:r>
      <w:r>
        <w:t>ci</w:t>
      </w:r>
      <w:r w:rsidR="00E11CE7" w:rsidRPr="00A110D6">
        <w:t xml:space="preserve"> oraz częstotliwoś</w:t>
      </w:r>
      <w:r>
        <w:t>ci</w:t>
      </w:r>
      <w:r w:rsidR="00E11CE7" w:rsidRPr="00A110D6">
        <w:t xml:space="preserve"> </w:t>
      </w:r>
      <w:r>
        <w:t>posiedzeń</w:t>
      </w:r>
      <w:r w:rsidR="00E11CE7" w:rsidRPr="00A110D6">
        <w:t xml:space="preserve">, </w:t>
      </w:r>
      <w:r w:rsidR="005D1022">
        <w:t>jednocześnie zapewniając międzyrządowy charakter</w:t>
      </w:r>
      <w:r w:rsidR="00E11CE7" w:rsidRPr="00A110D6">
        <w:t xml:space="preserve"> tego procesu;</w:t>
      </w:r>
    </w:p>
    <w:p w:rsidR="00CC66FC" w:rsidRDefault="00384B5D" w:rsidP="000C6154">
      <w:pPr>
        <w:pStyle w:val="Akapitzlist"/>
        <w:numPr>
          <w:ilvl w:val="0"/>
          <w:numId w:val="15"/>
        </w:numPr>
        <w:spacing w:after="120" w:line="240" w:lineRule="auto"/>
        <w:ind w:left="1134" w:hanging="567"/>
        <w:contextualSpacing w:val="0"/>
        <w:jc w:val="both"/>
      </w:pPr>
      <w:r>
        <w:t>rozważenia</w:t>
      </w:r>
      <w:r w:rsidR="00E11CE7" w:rsidRPr="00A110D6">
        <w:t xml:space="preserve"> </w:t>
      </w:r>
      <w:r w:rsidRPr="00A110D6">
        <w:t>rozszerzenia</w:t>
      </w:r>
      <w:r w:rsidR="00E11CE7" w:rsidRPr="00A110D6">
        <w:t xml:space="preserve"> </w:t>
      </w:r>
      <w:r w:rsidR="00357F96">
        <w:t xml:space="preserve">zakresu przedmiotowego </w:t>
      </w:r>
      <w:r w:rsidR="00E11CE7" w:rsidRPr="00A110D6">
        <w:t>„</w:t>
      </w:r>
      <w:r w:rsidR="00C17F12" w:rsidRPr="00357F96">
        <w:t>art.</w:t>
      </w:r>
      <w:r w:rsidR="00C17F12">
        <w:t xml:space="preserve"> </w:t>
      </w:r>
      <w:r w:rsidR="00E11CE7" w:rsidRPr="00A110D6">
        <w:t xml:space="preserve">9” </w:t>
      </w:r>
      <w:r w:rsidR="00BE0363" w:rsidRPr="00A110D6">
        <w:t xml:space="preserve">swojego </w:t>
      </w:r>
      <w:r w:rsidRPr="00A110D6">
        <w:t>Regulaminu</w:t>
      </w:r>
      <w:r w:rsidR="00E11CE7" w:rsidRPr="00A110D6">
        <w:t xml:space="preserve"> </w:t>
      </w:r>
      <w:r w:rsidR="00BE0363" w:rsidRPr="00A110D6">
        <w:t xml:space="preserve">w sprawie </w:t>
      </w:r>
      <w:r w:rsidR="00E11CE7" w:rsidRPr="00A110D6">
        <w:t>nadzor</w:t>
      </w:r>
      <w:r w:rsidR="00BE0363" w:rsidRPr="00A110D6">
        <w:t>owania</w:t>
      </w:r>
      <w:r w:rsidR="00E11CE7" w:rsidRPr="00A110D6">
        <w:t xml:space="preserve"> wykonywani</w:t>
      </w:r>
      <w:r w:rsidR="00BE0363" w:rsidRPr="00A110D6">
        <w:t>a</w:t>
      </w:r>
      <w:r w:rsidR="00E11CE7" w:rsidRPr="00A110D6">
        <w:t xml:space="preserve"> wyroków oraz </w:t>
      </w:r>
      <w:r w:rsidR="00BE0363" w:rsidRPr="00A110D6">
        <w:t>warunków ugód</w:t>
      </w:r>
      <w:r w:rsidR="005D1022">
        <w:t>,</w:t>
      </w:r>
      <w:r w:rsidR="007A4DF9" w:rsidRPr="00A110D6">
        <w:t xml:space="preserve"> poprzez </w:t>
      </w:r>
      <w:r w:rsidR="005D1022">
        <w:t>dodanie</w:t>
      </w:r>
      <w:r w:rsidR="007A4DF9" w:rsidRPr="00A110D6">
        <w:t xml:space="preserve"> komunikacji </w:t>
      </w:r>
      <w:r w:rsidR="005D1022" w:rsidRPr="00A110D6">
        <w:t>pisemnych</w:t>
      </w:r>
      <w:r w:rsidR="005D1022">
        <w:t xml:space="preserve"> </w:t>
      </w:r>
      <w:r w:rsidR="00C17F12">
        <w:t xml:space="preserve">od </w:t>
      </w:r>
      <w:r w:rsidR="007A4DF9" w:rsidRPr="00A110D6">
        <w:t xml:space="preserve">organizacji </w:t>
      </w:r>
      <w:r w:rsidR="00C17F12" w:rsidRPr="00A110D6">
        <w:t xml:space="preserve">międzynarodowych </w:t>
      </w:r>
      <w:r w:rsidR="007A4DF9" w:rsidRPr="00A110D6">
        <w:t xml:space="preserve">lub </w:t>
      </w:r>
      <w:r w:rsidRPr="00A110D6">
        <w:t>organów</w:t>
      </w:r>
      <w:r w:rsidR="007A4DF9" w:rsidRPr="00A110D6">
        <w:t xml:space="preserve"> </w:t>
      </w:r>
      <w:r w:rsidR="00C17F12">
        <w:t xml:space="preserve">wskazanych </w:t>
      </w:r>
      <w:r w:rsidR="007A4DF9" w:rsidRPr="00A110D6">
        <w:t xml:space="preserve">w tym celu przez </w:t>
      </w:r>
      <w:r w:rsidRPr="00A110D6">
        <w:t>Komitet</w:t>
      </w:r>
      <w:r w:rsidR="007A4DF9" w:rsidRPr="00A110D6">
        <w:t xml:space="preserve"> </w:t>
      </w:r>
      <w:r>
        <w:t>M</w:t>
      </w:r>
      <w:r w:rsidR="007A4DF9" w:rsidRPr="00A110D6">
        <w:t xml:space="preserve">inistrów, </w:t>
      </w:r>
      <w:r w:rsidR="005D1022">
        <w:t>jednocześnie odpowiednio</w:t>
      </w:r>
      <w:r w:rsidR="007A4DF9" w:rsidRPr="00A110D6">
        <w:t xml:space="preserve"> </w:t>
      </w:r>
      <w:r w:rsidR="009C7E19" w:rsidRPr="00A110D6">
        <w:t>zapewni</w:t>
      </w:r>
      <w:r w:rsidR="005D1022">
        <w:t>ając</w:t>
      </w:r>
      <w:r w:rsidR="007A4DF9" w:rsidRPr="00A110D6">
        <w:t xml:space="preserve"> </w:t>
      </w:r>
      <w:r w:rsidR="009C7E19" w:rsidRPr="00A110D6">
        <w:t>rządom</w:t>
      </w:r>
      <w:r w:rsidR="007A4DF9" w:rsidRPr="00A110D6">
        <w:t xml:space="preserve"> praw</w:t>
      </w:r>
      <w:r w:rsidR="005D1022">
        <w:t>o</w:t>
      </w:r>
      <w:r w:rsidR="007A4DF9" w:rsidRPr="00A110D6">
        <w:t xml:space="preserve"> do</w:t>
      </w:r>
      <w:r w:rsidR="00C17F12">
        <w:t xml:space="preserve"> odpowiedzi</w:t>
      </w:r>
      <w:r w:rsidR="007A4DF9" w:rsidRPr="00A110D6">
        <w:t>;</w:t>
      </w:r>
    </w:p>
    <w:p w:rsidR="00CC66FC" w:rsidRDefault="009C7E19" w:rsidP="000C6154">
      <w:pPr>
        <w:pStyle w:val="Akapitzlist"/>
        <w:numPr>
          <w:ilvl w:val="0"/>
          <w:numId w:val="15"/>
        </w:numPr>
        <w:spacing w:after="120" w:line="240" w:lineRule="auto"/>
        <w:ind w:left="1134" w:hanging="567"/>
        <w:contextualSpacing w:val="0"/>
        <w:jc w:val="both"/>
      </w:pPr>
      <w:r>
        <w:t>z</w:t>
      </w:r>
      <w:r w:rsidR="007A4DF9" w:rsidRPr="00A110D6">
        <w:t xml:space="preserve">achęcania, </w:t>
      </w:r>
      <w:r w:rsidR="00C17F12">
        <w:t xml:space="preserve">gdy </w:t>
      </w:r>
      <w:r w:rsidR="009E072C">
        <w:t>to wymagane</w:t>
      </w:r>
      <w:r w:rsidR="007A4DF9" w:rsidRPr="00A110D6">
        <w:t xml:space="preserve">, do </w:t>
      </w:r>
      <w:r w:rsidRPr="00A110D6">
        <w:t>obecności</w:t>
      </w:r>
      <w:r w:rsidR="007A4DF9" w:rsidRPr="00A110D6">
        <w:t xml:space="preserve"> </w:t>
      </w:r>
      <w:r w:rsidR="009E072C">
        <w:t xml:space="preserve">na </w:t>
      </w:r>
      <w:r>
        <w:t>posiedzeniach</w:t>
      </w:r>
      <w:r w:rsidR="007A4DF9" w:rsidRPr="00A110D6">
        <w:t xml:space="preserve"> ds. Praw </w:t>
      </w:r>
      <w:r w:rsidRPr="00A110D6">
        <w:t>Człowieka</w:t>
      </w:r>
      <w:r w:rsidR="007A4DF9" w:rsidRPr="00A110D6">
        <w:t xml:space="preserve"> przedstawicieli władz</w:t>
      </w:r>
      <w:r w:rsidR="009E072C" w:rsidRPr="009E072C">
        <w:t xml:space="preserve"> </w:t>
      </w:r>
      <w:r w:rsidR="009E072C" w:rsidRPr="00A110D6">
        <w:t>krajowych</w:t>
      </w:r>
      <w:r w:rsidR="007A4DF9" w:rsidRPr="00A110D6">
        <w:t xml:space="preserve"> posiadających kompetencje, umocowanie oraz </w:t>
      </w:r>
      <w:r w:rsidR="005D1022">
        <w:t xml:space="preserve">wysoką </w:t>
      </w:r>
      <w:r w:rsidR="007A4DF9" w:rsidRPr="005D1022">
        <w:t>wiedzę</w:t>
      </w:r>
      <w:r w:rsidR="007A4DF9" w:rsidRPr="00A110D6">
        <w:t xml:space="preserve"> na </w:t>
      </w:r>
      <w:r w:rsidRPr="00A110D6">
        <w:t>tematy</w:t>
      </w:r>
      <w:r w:rsidR="007A4DF9" w:rsidRPr="00A110D6">
        <w:t xml:space="preserve"> poddane dyskusji;</w:t>
      </w:r>
    </w:p>
    <w:p w:rsidR="00CC66FC" w:rsidRDefault="009C7E19" w:rsidP="000C6154">
      <w:pPr>
        <w:pStyle w:val="Akapitzlist"/>
        <w:numPr>
          <w:ilvl w:val="0"/>
          <w:numId w:val="15"/>
        </w:numPr>
        <w:spacing w:after="120" w:line="240" w:lineRule="auto"/>
        <w:ind w:left="1134" w:hanging="567"/>
        <w:contextualSpacing w:val="0"/>
        <w:jc w:val="both"/>
      </w:pPr>
      <w:r>
        <w:t>r</w:t>
      </w:r>
      <w:r w:rsidR="007A4DF9" w:rsidRPr="00A110D6">
        <w:t xml:space="preserve">ozważenia przeprowadzania </w:t>
      </w:r>
      <w:r w:rsidRPr="00A110D6">
        <w:t>d</w:t>
      </w:r>
      <w:r>
        <w:t>ebat</w:t>
      </w:r>
      <w:r w:rsidR="007A4DF9" w:rsidRPr="00A110D6">
        <w:t xml:space="preserve"> </w:t>
      </w:r>
      <w:r w:rsidR="009E072C" w:rsidRPr="00A110D6">
        <w:t xml:space="preserve">tematycznych </w:t>
      </w:r>
      <w:r w:rsidR="007A4DF9" w:rsidRPr="00A110D6">
        <w:t xml:space="preserve">na temat </w:t>
      </w:r>
      <w:r w:rsidR="009E072C">
        <w:t>głównych</w:t>
      </w:r>
      <w:r w:rsidR="007A4DF9" w:rsidRPr="00A110D6">
        <w:t xml:space="preserve"> kwestii związanych z wykonaniem </w:t>
      </w:r>
      <w:r w:rsidR="005D1022">
        <w:t>licznych</w:t>
      </w:r>
      <w:r w:rsidR="007A4DF9" w:rsidRPr="00A110D6">
        <w:t xml:space="preserve"> wyroków, tak aby wesprzeć wymianę dobrych praktyk między </w:t>
      </w:r>
      <w:r w:rsidRPr="00A110D6">
        <w:t>Państwami</w:t>
      </w:r>
      <w:r w:rsidR="007A4DF9" w:rsidRPr="00A110D6">
        <w:t>–Stronami borykającymi się z podobnymi trudnościami;</w:t>
      </w:r>
    </w:p>
    <w:p w:rsidR="00CC66FC" w:rsidRDefault="00A80851" w:rsidP="000C6154">
      <w:pPr>
        <w:pStyle w:val="Akapitzlist"/>
        <w:numPr>
          <w:ilvl w:val="0"/>
          <w:numId w:val="15"/>
        </w:numPr>
        <w:spacing w:after="120" w:line="240" w:lineRule="auto"/>
        <w:ind w:left="1134" w:hanging="567"/>
        <w:contextualSpacing w:val="0"/>
        <w:jc w:val="both"/>
      </w:pPr>
      <w:r>
        <w:t>s</w:t>
      </w:r>
      <w:r w:rsidR="00FD1B33" w:rsidRPr="00A110D6">
        <w:t>zer</w:t>
      </w:r>
      <w:r w:rsidR="009C7E19">
        <w:t>s</w:t>
      </w:r>
      <w:r w:rsidR="00FD1B33" w:rsidRPr="00A110D6">
        <w:t>zego uwzględnienia</w:t>
      </w:r>
      <w:r w:rsidR="005D1022">
        <w:t xml:space="preserve"> –</w:t>
      </w:r>
      <w:r w:rsidR="00FD1B33" w:rsidRPr="00A110D6">
        <w:t xml:space="preserve"> </w:t>
      </w:r>
      <w:r w:rsidR="009E072C">
        <w:t>tam</w:t>
      </w:r>
      <w:r w:rsidR="005D1022">
        <w:t>,</w:t>
      </w:r>
      <w:r w:rsidR="009E072C">
        <w:t xml:space="preserve"> gdzie </w:t>
      </w:r>
      <w:r w:rsidR="005D1022">
        <w:t xml:space="preserve">jest </w:t>
      </w:r>
      <w:r w:rsidR="00FD1B33" w:rsidRPr="00A110D6">
        <w:t xml:space="preserve">to </w:t>
      </w:r>
      <w:r w:rsidR="00D247BD">
        <w:t>stosowne</w:t>
      </w:r>
      <w:r w:rsidR="005D1022">
        <w:t xml:space="preserve"> –</w:t>
      </w:r>
      <w:r w:rsidR="00FD1B33" w:rsidRPr="00A110D6">
        <w:t xml:space="preserve"> </w:t>
      </w:r>
      <w:r w:rsidR="009E072C">
        <w:t xml:space="preserve">prac </w:t>
      </w:r>
      <w:r w:rsidR="00FD1B33" w:rsidRPr="00A110D6">
        <w:t xml:space="preserve">innych organów </w:t>
      </w:r>
      <w:r w:rsidRPr="00A110D6">
        <w:t>monitor</w:t>
      </w:r>
      <w:r w:rsidR="009E072C">
        <w:t>ingowych</w:t>
      </w:r>
      <w:r w:rsidR="00FD1B33" w:rsidRPr="00A110D6">
        <w:t xml:space="preserve"> lub</w:t>
      </w:r>
      <w:r w:rsidR="009E072C">
        <w:t xml:space="preserve"> doradczych</w:t>
      </w:r>
      <w:r w:rsidR="00FD1B33" w:rsidRPr="00A110D6">
        <w:t>;</w:t>
      </w:r>
    </w:p>
    <w:p w:rsidR="00CC66FC" w:rsidRPr="005D1022" w:rsidRDefault="005D1022" w:rsidP="000C6154">
      <w:pPr>
        <w:pStyle w:val="Akapitzlist"/>
        <w:numPr>
          <w:ilvl w:val="0"/>
          <w:numId w:val="15"/>
        </w:numPr>
        <w:spacing w:after="120" w:line="240" w:lineRule="auto"/>
        <w:ind w:left="1134" w:hanging="567"/>
        <w:contextualSpacing w:val="0"/>
        <w:jc w:val="both"/>
      </w:pPr>
      <w:r w:rsidRPr="005D1022">
        <w:t xml:space="preserve">kontynuowania działań w celu </w:t>
      </w:r>
      <w:r w:rsidR="00A80851" w:rsidRPr="005D1022">
        <w:t>z</w:t>
      </w:r>
      <w:r w:rsidR="00FD1B33" w:rsidRPr="005D1022">
        <w:t xml:space="preserve">większania </w:t>
      </w:r>
      <w:r w:rsidR="00E527DD" w:rsidRPr="005D1022">
        <w:t xml:space="preserve">przejrzystości </w:t>
      </w:r>
      <w:r w:rsidR="00FD1B33" w:rsidRPr="005D1022">
        <w:t>procesu wykonywania wyroków w celu promo</w:t>
      </w:r>
      <w:r w:rsidR="00E527DD" w:rsidRPr="005D1022">
        <w:t>wania</w:t>
      </w:r>
      <w:r w:rsidR="00FD1B33" w:rsidRPr="005D1022">
        <w:t xml:space="preserve"> </w:t>
      </w:r>
      <w:r w:rsidR="00A80851" w:rsidRPr="005D1022">
        <w:t>dalszej wymiany informacji między zaangażowanymi stronami;</w:t>
      </w:r>
      <w:r w:rsidR="00FD1B33" w:rsidRPr="005D1022">
        <w:t xml:space="preserve"> </w:t>
      </w:r>
    </w:p>
    <w:p w:rsidR="0036378D" w:rsidRDefault="00A80851" w:rsidP="00B8190A">
      <w:pPr>
        <w:pStyle w:val="Akapitzlist"/>
        <w:numPr>
          <w:ilvl w:val="0"/>
          <w:numId w:val="15"/>
        </w:numPr>
        <w:spacing w:after="360" w:line="240" w:lineRule="auto"/>
        <w:ind w:left="1134" w:hanging="567"/>
        <w:contextualSpacing w:val="0"/>
        <w:jc w:val="both"/>
      </w:pPr>
      <w:r>
        <w:lastRenderedPageBreak/>
        <w:t>w</w:t>
      </w:r>
      <w:r w:rsidR="0036378D" w:rsidRPr="00A110D6">
        <w:t xml:space="preserve">spierania </w:t>
      </w:r>
      <w:r w:rsidRPr="00A110D6">
        <w:t>zwiększania</w:t>
      </w:r>
      <w:r w:rsidR="0036378D" w:rsidRPr="00A110D6">
        <w:t xml:space="preserve"> </w:t>
      </w:r>
      <w:r w:rsidR="00E527DD">
        <w:t>zasobów</w:t>
      </w:r>
      <w:r>
        <w:t xml:space="preserve"> </w:t>
      </w:r>
      <w:r w:rsidR="0036378D" w:rsidRPr="00A110D6">
        <w:t>Departament</w:t>
      </w:r>
      <w:r w:rsidR="00E527DD">
        <w:t>u Wykonywania Wyroków</w:t>
      </w:r>
      <w:r w:rsidR="0036378D" w:rsidRPr="00A110D6">
        <w:t xml:space="preserve"> w celu umożliwienia mu wypeł</w:t>
      </w:r>
      <w:r>
        <w:t>niania</w:t>
      </w:r>
      <w:r w:rsidR="0036378D" w:rsidRPr="00A110D6">
        <w:t xml:space="preserve"> jego </w:t>
      </w:r>
      <w:r w:rsidRPr="00A110D6">
        <w:t>głównej</w:t>
      </w:r>
      <w:r w:rsidR="0036378D" w:rsidRPr="00A110D6">
        <w:t xml:space="preserve"> roli, w tym </w:t>
      </w:r>
      <w:r w:rsidR="005D1022">
        <w:t xml:space="preserve">jego </w:t>
      </w:r>
      <w:r w:rsidR="0036378D" w:rsidRPr="00A110D6">
        <w:t>funkcji</w:t>
      </w:r>
      <w:r w:rsidR="00E527DD">
        <w:t xml:space="preserve"> doradczych</w:t>
      </w:r>
      <w:r>
        <w:t>,</w:t>
      </w:r>
      <w:r w:rsidR="0036378D" w:rsidRPr="00A110D6">
        <w:t xml:space="preserve"> oraz </w:t>
      </w:r>
      <w:r>
        <w:t>za</w:t>
      </w:r>
      <w:r w:rsidR="00E527DD">
        <w:t>pewnienia</w:t>
      </w:r>
      <w:r w:rsidR="0036378D" w:rsidRPr="00A110D6">
        <w:t xml:space="preserve"> współpracy oraz dialogu </w:t>
      </w:r>
      <w:r w:rsidR="00E527DD" w:rsidRPr="00A110D6">
        <w:t xml:space="preserve">dwustronnego </w:t>
      </w:r>
      <w:r w:rsidR="0036378D" w:rsidRPr="00A110D6">
        <w:t xml:space="preserve">z Państwami-Stronami, poprzez </w:t>
      </w:r>
      <w:r w:rsidRPr="00A110D6">
        <w:t>zapewni</w:t>
      </w:r>
      <w:r>
        <w:t>e</w:t>
      </w:r>
      <w:r w:rsidRPr="00A110D6">
        <w:t>nie</w:t>
      </w:r>
      <w:r w:rsidR="0036378D" w:rsidRPr="00A110D6">
        <w:t xml:space="preserve"> </w:t>
      </w:r>
      <w:r w:rsidR="00E527DD">
        <w:t xml:space="preserve">liczniejszego </w:t>
      </w:r>
      <w:r w:rsidR="0036378D" w:rsidRPr="00A110D6">
        <w:t>stałego personelu</w:t>
      </w:r>
      <w:r w:rsidR="00E527DD">
        <w:t>,</w:t>
      </w:r>
      <w:r w:rsidR="0036378D" w:rsidRPr="00A110D6">
        <w:t xml:space="preserve"> </w:t>
      </w:r>
      <w:r w:rsidRPr="00A110D6">
        <w:t>którego</w:t>
      </w:r>
      <w:r w:rsidR="0036378D" w:rsidRPr="00A110D6">
        <w:t xml:space="preserve"> </w:t>
      </w:r>
      <w:r w:rsidR="006E20CC">
        <w:t>kwalifikacje</w:t>
      </w:r>
      <w:r w:rsidR="0036378D" w:rsidRPr="00A110D6">
        <w:t xml:space="preserve"> obejmowałyby krajowe systemy prawne, jak</w:t>
      </w:r>
      <w:r>
        <w:t xml:space="preserve"> </w:t>
      </w:r>
      <w:r w:rsidR="006E20CC">
        <w:t>też zachęcanie</w:t>
      </w:r>
      <w:r w:rsidR="0036378D" w:rsidRPr="00A110D6">
        <w:t xml:space="preserve"> Państw-Stron do </w:t>
      </w:r>
      <w:r w:rsidRPr="00A110D6">
        <w:t>rozważenia</w:t>
      </w:r>
      <w:r w:rsidR="0036378D" w:rsidRPr="00A110D6">
        <w:t xml:space="preserve"> </w:t>
      </w:r>
      <w:r w:rsidRPr="00A110D6">
        <w:t>oddelegowywania</w:t>
      </w:r>
      <w:r w:rsidR="0036378D" w:rsidRPr="00A110D6">
        <w:t xml:space="preserve"> krajowych sędziów i urzędników</w:t>
      </w:r>
      <w:r>
        <w:t>.</w:t>
      </w:r>
    </w:p>
    <w:p w:rsidR="0036378D" w:rsidRPr="00A110D6" w:rsidRDefault="00A80851" w:rsidP="000C6154">
      <w:pPr>
        <w:pStyle w:val="Akapitzlist"/>
        <w:numPr>
          <w:ilvl w:val="0"/>
          <w:numId w:val="14"/>
        </w:numPr>
        <w:spacing w:after="120" w:line="240" w:lineRule="auto"/>
        <w:ind w:left="567" w:hanging="567"/>
        <w:contextualSpacing w:val="0"/>
        <w:jc w:val="both"/>
      </w:pPr>
      <w:r w:rsidRPr="00A110D6">
        <w:t>Zachęca</w:t>
      </w:r>
      <w:r w:rsidR="0036378D" w:rsidRPr="00A110D6">
        <w:t xml:space="preserve"> Sekretarza Generalnego </w:t>
      </w:r>
      <w:r>
        <w:t>o</w:t>
      </w:r>
      <w:r w:rsidR="0036378D" w:rsidRPr="00A110D6">
        <w:t xml:space="preserve">raz, za jego </w:t>
      </w:r>
      <w:r w:rsidRPr="00A110D6">
        <w:t>pośrednictwem</w:t>
      </w:r>
      <w:r w:rsidR="0036378D" w:rsidRPr="00A110D6">
        <w:t xml:space="preserve">, </w:t>
      </w:r>
      <w:r w:rsidRPr="00A110D6">
        <w:t>Departament</w:t>
      </w:r>
      <w:r w:rsidR="0036378D" w:rsidRPr="00A110D6">
        <w:t xml:space="preserve"> </w:t>
      </w:r>
      <w:r w:rsidRPr="00A110D6">
        <w:t>Wykonywania</w:t>
      </w:r>
      <w:r w:rsidR="0036378D" w:rsidRPr="00A110D6">
        <w:t xml:space="preserve"> Wyroków do:</w:t>
      </w:r>
    </w:p>
    <w:p w:rsidR="00CC66FC" w:rsidRDefault="004F30E6" w:rsidP="000C6154">
      <w:pPr>
        <w:pStyle w:val="Akapitzlist"/>
        <w:numPr>
          <w:ilvl w:val="0"/>
          <w:numId w:val="16"/>
        </w:numPr>
        <w:spacing w:after="120" w:line="240" w:lineRule="auto"/>
        <w:ind w:left="1134" w:hanging="567"/>
        <w:contextualSpacing w:val="0"/>
        <w:jc w:val="both"/>
      </w:pPr>
      <w:r>
        <w:t>u</w:t>
      </w:r>
      <w:r w:rsidR="0036378D" w:rsidRPr="00A110D6">
        <w:t>łatwienia dostęp</w:t>
      </w:r>
      <w:r w:rsidR="00D90241">
        <w:t>u</w:t>
      </w:r>
      <w:r w:rsidR="0036378D" w:rsidRPr="00A110D6">
        <w:t xml:space="preserve"> </w:t>
      </w:r>
      <w:r>
        <w:t xml:space="preserve">do </w:t>
      </w:r>
      <w:r w:rsidRPr="00A110D6">
        <w:t>regularnie aktualizowanej informacji</w:t>
      </w:r>
      <w:r>
        <w:t xml:space="preserve"> </w:t>
      </w:r>
      <w:r w:rsidR="0036378D" w:rsidRPr="00A110D6">
        <w:t>na tema</w:t>
      </w:r>
      <w:r>
        <w:t>t</w:t>
      </w:r>
      <w:r w:rsidR="0036378D" w:rsidRPr="00A110D6">
        <w:t xml:space="preserve"> stanu </w:t>
      </w:r>
      <w:r w:rsidRPr="00A110D6">
        <w:t>wykonywania</w:t>
      </w:r>
      <w:r w:rsidR="0036378D" w:rsidRPr="00A110D6">
        <w:t xml:space="preserve"> wyroków </w:t>
      </w:r>
      <w:r w:rsidRPr="00A110D6">
        <w:t>pop</w:t>
      </w:r>
      <w:r>
        <w:t>rzez</w:t>
      </w:r>
      <w:r w:rsidR="0036378D" w:rsidRPr="00A110D6">
        <w:t xml:space="preserve"> ulepszenie </w:t>
      </w:r>
      <w:r w:rsidRPr="00A110D6">
        <w:t>instrument</w:t>
      </w:r>
      <w:r>
        <w:t>ów</w:t>
      </w:r>
      <w:r w:rsidR="006E20CC">
        <w:t xml:space="preserve"> IT, w tym </w:t>
      </w:r>
      <w:r w:rsidR="0036378D" w:rsidRPr="00A110D6">
        <w:t>baz danych</w:t>
      </w:r>
      <w:r w:rsidR="006E20CC">
        <w:t>,</w:t>
      </w:r>
      <w:r w:rsidR="0036378D" w:rsidRPr="00A110D6">
        <w:t xml:space="preserve"> oraz</w:t>
      </w:r>
      <w:r w:rsidR="006E20CC">
        <w:t xml:space="preserve"> -</w:t>
      </w:r>
      <w:r w:rsidR="0036378D" w:rsidRPr="00A110D6">
        <w:t xml:space="preserve"> </w:t>
      </w:r>
      <w:r w:rsidR="006E20CC">
        <w:t xml:space="preserve"> </w:t>
      </w:r>
      <w:r w:rsidR="0036378D" w:rsidRPr="00A110D6">
        <w:t>t</w:t>
      </w:r>
      <w:r>
        <w:t>ak</w:t>
      </w:r>
      <w:r w:rsidR="006E20CC">
        <w:t xml:space="preserve"> jak to uczynił Trybunał – </w:t>
      </w:r>
      <w:r w:rsidR="0036378D" w:rsidRPr="00A110D6">
        <w:t>sporządza</w:t>
      </w:r>
      <w:r w:rsidR="006E20CC">
        <w:t>nia</w:t>
      </w:r>
      <w:r w:rsidR="0036378D" w:rsidRPr="00A110D6">
        <w:t xml:space="preserve"> </w:t>
      </w:r>
      <w:r w:rsidR="00D90241">
        <w:t xml:space="preserve">zestawień </w:t>
      </w:r>
      <w:r w:rsidR="0036378D" w:rsidRPr="00A110D6">
        <w:t xml:space="preserve">tematycznych lub odnoszących się </w:t>
      </w:r>
      <w:r w:rsidR="00D90241">
        <w:t xml:space="preserve">do danych </w:t>
      </w:r>
      <w:r w:rsidR="0036378D" w:rsidRPr="00A110D6">
        <w:t>państw;</w:t>
      </w:r>
    </w:p>
    <w:p w:rsidR="00CC66FC" w:rsidRPr="006E20CC" w:rsidRDefault="006E20CC" w:rsidP="000C6154">
      <w:pPr>
        <w:pStyle w:val="Akapitzlist"/>
        <w:numPr>
          <w:ilvl w:val="0"/>
          <w:numId w:val="16"/>
        </w:numPr>
        <w:spacing w:after="120" w:line="240" w:lineRule="auto"/>
        <w:ind w:left="1134" w:hanging="567"/>
        <w:contextualSpacing w:val="0"/>
        <w:jc w:val="both"/>
      </w:pPr>
      <w:r>
        <w:t xml:space="preserve">rozpowszechnienia </w:t>
      </w:r>
      <w:r w:rsidR="0036378D" w:rsidRPr="00A110D6">
        <w:t>podręcznika wspom</w:t>
      </w:r>
      <w:r w:rsidR="00DB0763">
        <w:t>agającego</w:t>
      </w:r>
      <w:r w:rsidR="0036378D" w:rsidRPr="00A110D6">
        <w:t xml:space="preserve"> Państwa-Strony w przygotowywaniu </w:t>
      </w:r>
      <w:r w:rsidR="0036378D" w:rsidRPr="006E20CC">
        <w:t>planów i raportów działań;</w:t>
      </w:r>
    </w:p>
    <w:p w:rsidR="00CC66FC" w:rsidRPr="006E20CC" w:rsidRDefault="00DB0763" w:rsidP="000C6154">
      <w:pPr>
        <w:pStyle w:val="Akapitzlist"/>
        <w:numPr>
          <w:ilvl w:val="0"/>
          <w:numId w:val="16"/>
        </w:numPr>
        <w:spacing w:after="120" w:line="240" w:lineRule="auto"/>
        <w:ind w:left="1134" w:hanging="567"/>
        <w:contextualSpacing w:val="0"/>
        <w:jc w:val="both"/>
      </w:pPr>
      <w:r w:rsidRPr="006E20CC">
        <w:t xml:space="preserve">prowadzenia dalszej refleksji </w:t>
      </w:r>
      <w:r w:rsidR="004F30E6" w:rsidRPr="006E20CC">
        <w:t xml:space="preserve">na temat </w:t>
      </w:r>
      <w:r w:rsidR="00E946C0" w:rsidRPr="006E20CC">
        <w:t xml:space="preserve">rekomendacji Audytu </w:t>
      </w:r>
      <w:r w:rsidR="004F30E6" w:rsidRPr="006E20CC">
        <w:t>Zewnętrznego</w:t>
      </w:r>
      <w:r w:rsidR="00E946C0" w:rsidRPr="006E20CC">
        <w:t>;</w:t>
      </w:r>
    </w:p>
    <w:p w:rsidR="00CC66FC" w:rsidRPr="006E20CC" w:rsidRDefault="004F30E6" w:rsidP="00B8190A">
      <w:pPr>
        <w:pStyle w:val="Akapitzlist"/>
        <w:numPr>
          <w:ilvl w:val="0"/>
          <w:numId w:val="16"/>
        </w:numPr>
        <w:spacing w:after="360" w:line="240" w:lineRule="auto"/>
        <w:ind w:left="1134" w:hanging="567"/>
        <w:contextualSpacing w:val="0"/>
        <w:jc w:val="both"/>
      </w:pPr>
      <w:r w:rsidRPr="006E20CC">
        <w:t>u</w:t>
      </w:r>
      <w:r w:rsidR="00E946C0" w:rsidRPr="006E20CC">
        <w:t>sprawni</w:t>
      </w:r>
      <w:r w:rsidRPr="006E20CC">
        <w:t>enia</w:t>
      </w:r>
      <w:r w:rsidR="00E946C0" w:rsidRPr="006E20CC">
        <w:t>, o ile to konieczne, dialog</w:t>
      </w:r>
      <w:r w:rsidRPr="006E20CC">
        <w:t>u</w:t>
      </w:r>
      <w:r w:rsidR="00E946C0" w:rsidRPr="006E20CC">
        <w:t xml:space="preserve"> </w:t>
      </w:r>
      <w:r w:rsidR="006E20CC" w:rsidRPr="006E20CC">
        <w:t xml:space="preserve">dwustronnego </w:t>
      </w:r>
      <w:r w:rsidR="00E946C0" w:rsidRPr="006E20CC">
        <w:t>z Państwami-Str</w:t>
      </w:r>
      <w:r w:rsidR="006E20CC" w:rsidRPr="006E20CC">
        <w:t>o</w:t>
      </w:r>
      <w:r w:rsidR="00E946C0" w:rsidRPr="006E20CC">
        <w:t xml:space="preserve">nami, w szczególności poprzez </w:t>
      </w:r>
      <w:r w:rsidRPr="006E20CC">
        <w:t xml:space="preserve">dokonywanie </w:t>
      </w:r>
      <w:r w:rsidR="00DB0763" w:rsidRPr="006E20CC">
        <w:t xml:space="preserve">na wczesnym etapie </w:t>
      </w:r>
      <w:r w:rsidR="00E946C0" w:rsidRPr="006E20CC">
        <w:t>ocen</w:t>
      </w:r>
      <w:r w:rsidRPr="006E20CC">
        <w:t>y</w:t>
      </w:r>
      <w:r w:rsidR="00E946C0" w:rsidRPr="006E20CC">
        <w:t xml:space="preserve"> planów </w:t>
      </w:r>
      <w:r w:rsidR="006E20CC" w:rsidRPr="006E20CC">
        <w:t xml:space="preserve">działań </w:t>
      </w:r>
      <w:r w:rsidR="00E946C0" w:rsidRPr="006E20CC">
        <w:t xml:space="preserve">i raportów </w:t>
      </w:r>
      <w:r w:rsidR="006E20CC" w:rsidRPr="006E20CC">
        <w:t>z działań</w:t>
      </w:r>
      <w:r w:rsidR="00E946C0" w:rsidRPr="006E20CC">
        <w:t xml:space="preserve"> </w:t>
      </w:r>
      <w:r w:rsidR="001264B1" w:rsidRPr="006E20CC">
        <w:t>oraz poprzez spotkania robocze</w:t>
      </w:r>
      <w:r w:rsidR="00DB0763" w:rsidRPr="006E20CC">
        <w:t xml:space="preserve"> z udziałem</w:t>
      </w:r>
      <w:r w:rsidR="001264B1" w:rsidRPr="006E20CC">
        <w:t xml:space="preserve"> </w:t>
      </w:r>
      <w:r w:rsidRPr="006E20CC">
        <w:t>wszystkich</w:t>
      </w:r>
      <w:r w:rsidR="001264B1" w:rsidRPr="006E20CC">
        <w:t xml:space="preserve"> </w:t>
      </w:r>
      <w:r w:rsidRPr="006E20CC">
        <w:t>odpowiednich</w:t>
      </w:r>
      <w:r w:rsidR="001264B1" w:rsidRPr="006E20CC">
        <w:t xml:space="preserve"> </w:t>
      </w:r>
      <w:r w:rsidR="00A91C7C" w:rsidRPr="006E20CC">
        <w:t>partnerów krajowych,</w:t>
      </w:r>
      <w:r w:rsidRPr="006E20CC">
        <w:t xml:space="preserve"> w celu </w:t>
      </w:r>
      <w:r w:rsidR="00A91C7C" w:rsidRPr="006E20CC">
        <w:t>promowa</w:t>
      </w:r>
      <w:r w:rsidRPr="006E20CC">
        <w:t>nia wspólnego</w:t>
      </w:r>
      <w:r w:rsidR="00A91C7C" w:rsidRPr="006E20CC">
        <w:t xml:space="preserve"> podejści</w:t>
      </w:r>
      <w:r w:rsidRPr="006E20CC">
        <w:t>a</w:t>
      </w:r>
      <w:r w:rsidR="00A91C7C" w:rsidRPr="006E20CC">
        <w:t xml:space="preserve"> w </w:t>
      </w:r>
      <w:r w:rsidRPr="006E20CC">
        <w:t>odniesieniu</w:t>
      </w:r>
      <w:r w:rsidR="00A91C7C" w:rsidRPr="006E20CC">
        <w:t xml:space="preserve"> do </w:t>
      </w:r>
      <w:r w:rsidRPr="006E20CC">
        <w:t xml:space="preserve">środków koniecznych do wykonania </w:t>
      </w:r>
      <w:r w:rsidR="00A91C7C" w:rsidRPr="006E20CC">
        <w:t>wyroków</w:t>
      </w:r>
      <w:r w:rsidR="00966F7A" w:rsidRPr="006E20CC">
        <w:t>, przy pełnym poszanowaniu zasady subsydiarności</w:t>
      </w:r>
      <w:r w:rsidRPr="006E20CC">
        <w:t>.</w:t>
      </w:r>
    </w:p>
    <w:p w:rsidR="00A91C7C" w:rsidRDefault="00A91C7C" w:rsidP="000C6154">
      <w:pPr>
        <w:pStyle w:val="Akapitzlist"/>
        <w:numPr>
          <w:ilvl w:val="0"/>
          <w:numId w:val="14"/>
        </w:numPr>
        <w:spacing w:after="120" w:line="240" w:lineRule="auto"/>
        <w:ind w:left="567" w:hanging="567"/>
        <w:contextualSpacing w:val="0"/>
        <w:jc w:val="both"/>
      </w:pPr>
      <w:r w:rsidRPr="00A110D6">
        <w:t>Ponadto zachęca:</w:t>
      </w:r>
    </w:p>
    <w:p w:rsidR="00A91C7C" w:rsidRPr="00F20C6B" w:rsidRDefault="00B14244" w:rsidP="000C6154">
      <w:pPr>
        <w:pStyle w:val="Akapitzlist"/>
        <w:numPr>
          <w:ilvl w:val="0"/>
          <w:numId w:val="17"/>
        </w:numPr>
        <w:spacing w:after="120" w:line="240" w:lineRule="auto"/>
        <w:ind w:left="1134" w:hanging="567"/>
        <w:contextualSpacing w:val="0"/>
        <w:jc w:val="both"/>
      </w:pPr>
      <w:r>
        <w:t>w</w:t>
      </w:r>
      <w:r w:rsidR="00A91C7C" w:rsidRPr="00A110D6">
        <w:t>sz</w:t>
      </w:r>
      <w:r>
        <w:t>ys</w:t>
      </w:r>
      <w:r w:rsidR="00A91C7C" w:rsidRPr="00A110D6">
        <w:t xml:space="preserve">tkich </w:t>
      </w:r>
      <w:r w:rsidR="00DB0763" w:rsidRPr="00F20C6B">
        <w:t xml:space="preserve">właściwych </w:t>
      </w:r>
      <w:r w:rsidR="00A91C7C" w:rsidRPr="00F20C6B">
        <w:t xml:space="preserve">partnerów </w:t>
      </w:r>
      <w:r w:rsidR="00DB0763" w:rsidRPr="00F20C6B">
        <w:t xml:space="preserve">w </w:t>
      </w:r>
      <w:r w:rsidR="00A91C7C" w:rsidRPr="00F20C6B">
        <w:t>Rad</w:t>
      </w:r>
      <w:r w:rsidR="00DB0763" w:rsidRPr="00F20C6B">
        <w:t>zie</w:t>
      </w:r>
      <w:r w:rsidR="00A91C7C" w:rsidRPr="00F20C6B">
        <w:t xml:space="preserve"> Europy do </w:t>
      </w:r>
      <w:r w:rsidRPr="00F20C6B">
        <w:t>szerszego</w:t>
      </w:r>
      <w:r w:rsidR="00A91C7C" w:rsidRPr="00F20C6B">
        <w:t xml:space="preserve"> uwzględnienia </w:t>
      </w:r>
      <w:r w:rsidRPr="00F20C6B">
        <w:t>kwestii</w:t>
      </w:r>
      <w:r w:rsidR="00A91C7C" w:rsidRPr="00F20C6B">
        <w:t xml:space="preserve"> dotyczących </w:t>
      </w:r>
      <w:r w:rsidRPr="00F20C6B">
        <w:t>wykonywania</w:t>
      </w:r>
      <w:r w:rsidR="00A91C7C" w:rsidRPr="00F20C6B">
        <w:t xml:space="preserve"> wyroków w ramach </w:t>
      </w:r>
      <w:r w:rsidR="00DB0763" w:rsidRPr="00F20C6B">
        <w:t>s</w:t>
      </w:r>
      <w:r w:rsidR="00A91C7C" w:rsidRPr="00F20C6B">
        <w:t xml:space="preserve">woich </w:t>
      </w:r>
      <w:r w:rsidR="006E20CC">
        <w:t xml:space="preserve">działań i </w:t>
      </w:r>
      <w:r w:rsidR="00A91C7C" w:rsidRPr="00F20C6B">
        <w:t xml:space="preserve">programów </w:t>
      </w:r>
      <w:r w:rsidR="00A54BBA" w:rsidRPr="00F20C6B">
        <w:t xml:space="preserve">współpracy </w:t>
      </w:r>
      <w:r w:rsidR="00A91C7C" w:rsidRPr="00F20C6B">
        <w:t>oraz odpowi</w:t>
      </w:r>
      <w:r w:rsidRPr="00F20C6B">
        <w:t>ed</w:t>
      </w:r>
      <w:r w:rsidR="00A54BBA" w:rsidRPr="00F20C6B">
        <w:t>niego</w:t>
      </w:r>
      <w:r w:rsidR="00A91C7C" w:rsidRPr="00F20C6B">
        <w:t xml:space="preserve"> </w:t>
      </w:r>
      <w:r w:rsidR="00A54BBA" w:rsidRPr="00F20C6B">
        <w:t xml:space="preserve">kontaktowania się </w:t>
      </w:r>
      <w:r w:rsidR="00966F7A" w:rsidRPr="00F20C6B">
        <w:t xml:space="preserve">w tym celu </w:t>
      </w:r>
      <w:r w:rsidR="00A91C7C" w:rsidRPr="00F20C6B">
        <w:t>z Departamentem Wykonywania Wyroków;</w:t>
      </w:r>
    </w:p>
    <w:p w:rsidR="00A91C7C" w:rsidRPr="00F20C6B" w:rsidRDefault="00B14244" w:rsidP="000C6154">
      <w:pPr>
        <w:pStyle w:val="Akapitzlist"/>
        <w:numPr>
          <w:ilvl w:val="0"/>
          <w:numId w:val="17"/>
        </w:numPr>
        <w:spacing w:after="120" w:line="240" w:lineRule="auto"/>
        <w:ind w:left="1134" w:hanging="567"/>
        <w:contextualSpacing w:val="0"/>
        <w:jc w:val="both"/>
      </w:pPr>
      <w:r w:rsidRPr="00F20C6B">
        <w:t>wszystkie</w:t>
      </w:r>
      <w:r w:rsidR="00A91C7C" w:rsidRPr="00F20C6B">
        <w:t xml:space="preserve"> komitety </w:t>
      </w:r>
      <w:r w:rsidR="00634FAF" w:rsidRPr="00F20C6B">
        <w:t xml:space="preserve">międzyrządowe </w:t>
      </w:r>
      <w:r w:rsidR="00A91C7C" w:rsidRPr="00F20C6B">
        <w:t xml:space="preserve">Rady Europy do </w:t>
      </w:r>
      <w:r w:rsidR="00634FAF" w:rsidRPr="00F20C6B">
        <w:t xml:space="preserve">uwzględnienia </w:t>
      </w:r>
      <w:r w:rsidR="006C33F4" w:rsidRPr="00F20C6B">
        <w:t xml:space="preserve">w swoich działaniach tematycznych </w:t>
      </w:r>
      <w:r w:rsidR="006E20CC" w:rsidRPr="00F20C6B">
        <w:t>istotnych aspektów Konwencji</w:t>
      </w:r>
      <w:r w:rsidR="00A91C7C" w:rsidRPr="00F20C6B">
        <w:t>;</w:t>
      </w:r>
    </w:p>
    <w:p w:rsidR="00A91C7C" w:rsidRPr="00A110D6" w:rsidRDefault="00A91C7C" w:rsidP="000C6154">
      <w:pPr>
        <w:pStyle w:val="Akapitzlist"/>
        <w:numPr>
          <w:ilvl w:val="0"/>
          <w:numId w:val="17"/>
        </w:numPr>
        <w:spacing w:after="120" w:line="240" w:lineRule="auto"/>
        <w:ind w:left="1134" w:hanging="567"/>
        <w:contextualSpacing w:val="0"/>
        <w:jc w:val="both"/>
      </w:pPr>
      <w:r w:rsidRPr="00F20C6B">
        <w:t xml:space="preserve">Sekretarza </w:t>
      </w:r>
      <w:r w:rsidR="00B14244" w:rsidRPr="00F20C6B">
        <w:t>Generalnego</w:t>
      </w:r>
      <w:r w:rsidRPr="00F20C6B">
        <w:t xml:space="preserve"> do </w:t>
      </w:r>
      <w:r w:rsidR="006E20CC">
        <w:t>ewaluacji</w:t>
      </w:r>
      <w:r w:rsidRPr="00A110D6">
        <w:t xml:space="preserve"> </w:t>
      </w:r>
      <w:r w:rsidR="0082629F">
        <w:t xml:space="preserve">działań </w:t>
      </w:r>
      <w:r w:rsidR="0082629F" w:rsidRPr="00A110D6">
        <w:t xml:space="preserve">Rady Europy </w:t>
      </w:r>
      <w:r w:rsidR="0082629F">
        <w:t xml:space="preserve">w zakresie </w:t>
      </w:r>
      <w:r w:rsidRPr="00A110D6">
        <w:t xml:space="preserve">współpracy </w:t>
      </w:r>
      <w:r w:rsidR="00B14244">
        <w:t>o</w:t>
      </w:r>
      <w:r w:rsidRPr="00A110D6">
        <w:t xml:space="preserve">raz </w:t>
      </w:r>
      <w:r w:rsidR="0082629F">
        <w:t>wsparcia w odniesieniu do wykonywania</w:t>
      </w:r>
      <w:r w:rsidRPr="00A110D6">
        <w:t xml:space="preserve"> </w:t>
      </w:r>
      <w:r w:rsidR="00B14244" w:rsidRPr="00A110D6">
        <w:t>wyroków</w:t>
      </w:r>
      <w:r w:rsidR="0082629F">
        <w:t>,</w:t>
      </w:r>
      <w:r w:rsidRPr="00A110D6">
        <w:t xml:space="preserve"> </w:t>
      </w:r>
      <w:r w:rsidR="00B14244">
        <w:t xml:space="preserve">tak aby </w:t>
      </w:r>
      <w:r w:rsidR="0082629F">
        <w:t>współpraca stała się bardziej ukierunkowana</w:t>
      </w:r>
      <w:r w:rsidR="00B14244">
        <w:t xml:space="preserve"> i z</w:t>
      </w:r>
      <w:r w:rsidRPr="00A110D6">
        <w:t>instytucjonalizowan</w:t>
      </w:r>
      <w:r w:rsidR="0082629F">
        <w:t>a</w:t>
      </w:r>
      <w:r w:rsidRPr="00A110D6">
        <w:t>;</w:t>
      </w:r>
    </w:p>
    <w:p w:rsidR="00FA2A76" w:rsidRPr="00A110D6" w:rsidRDefault="00B14244" w:rsidP="000C6154">
      <w:pPr>
        <w:pStyle w:val="Akapitzlist"/>
        <w:numPr>
          <w:ilvl w:val="0"/>
          <w:numId w:val="17"/>
        </w:numPr>
        <w:spacing w:after="120" w:line="240" w:lineRule="auto"/>
        <w:ind w:left="1134" w:hanging="567"/>
        <w:contextualSpacing w:val="0"/>
        <w:jc w:val="both"/>
      </w:pPr>
      <w:r w:rsidRPr="00A110D6">
        <w:t>Sekretarza</w:t>
      </w:r>
      <w:r w:rsidR="00FA2A76" w:rsidRPr="00A110D6">
        <w:t xml:space="preserve"> </w:t>
      </w:r>
      <w:r w:rsidRPr="00A110D6">
        <w:t>Generalnego</w:t>
      </w:r>
      <w:r w:rsidR="00FA2A76" w:rsidRPr="00A110D6">
        <w:t xml:space="preserve"> do </w:t>
      </w:r>
      <w:r w:rsidR="006E20CC">
        <w:t xml:space="preserve">kontynuowania </w:t>
      </w:r>
      <w:r>
        <w:t>wykorzystywania swoich uprawnień</w:t>
      </w:r>
      <w:r w:rsidR="00FA2A76" w:rsidRPr="00A110D6">
        <w:t xml:space="preserve"> </w:t>
      </w:r>
      <w:r w:rsidR="00FA63C1">
        <w:t xml:space="preserve">– w oparciu o ocenę potrzeb w poszczególnych sprawach </w:t>
      </w:r>
      <w:r w:rsidR="00966F7A">
        <w:t>–</w:t>
      </w:r>
      <w:r w:rsidR="00FA63C1">
        <w:t xml:space="preserve"> </w:t>
      </w:r>
      <w:r w:rsidR="006E20CC">
        <w:t xml:space="preserve">mających na </w:t>
      </w:r>
      <w:r w:rsidR="00FA63C1">
        <w:t xml:space="preserve">celu </w:t>
      </w:r>
      <w:r w:rsidR="00FA2A76" w:rsidRPr="00A110D6">
        <w:t>ułatwi</w:t>
      </w:r>
      <w:r>
        <w:t>a</w:t>
      </w:r>
      <w:r w:rsidR="006E20CC">
        <w:t>nie</w:t>
      </w:r>
      <w:r w:rsidR="00FA2A76" w:rsidRPr="00A110D6">
        <w:t xml:space="preserve"> wykon</w:t>
      </w:r>
      <w:r>
        <w:t>yw</w:t>
      </w:r>
      <w:r w:rsidR="00FA2A76" w:rsidRPr="00A110D6">
        <w:t xml:space="preserve">ania </w:t>
      </w:r>
      <w:r w:rsidR="00FA63C1">
        <w:t xml:space="preserve">wyroków </w:t>
      </w:r>
      <w:r w:rsidR="00082DED">
        <w:t>poruszających kwestie złożone</w:t>
      </w:r>
      <w:r w:rsidR="00FA2A76" w:rsidRPr="00A110D6">
        <w:t xml:space="preserve"> lub</w:t>
      </w:r>
      <w:r w:rsidR="00082DED">
        <w:t xml:space="preserve"> wrażliwe na poziomie krajowym</w:t>
      </w:r>
      <w:r w:rsidR="00FA2A76" w:rsidRPr="00A110D6">
        <w:t>, w tym</w:t>
      </w:r>
      <w:r>
        <w:t xml:space="preserve"> </w:t>
      </w:r>
      <w:r w:rsidR="00082DED">
        <w:t xml:space="preserve">poprzez </w:t>
      </w:r>
      <w:r w:rsidR="00FA2A76" w:rsidRPr="00A110D6">
        <w:t>wykonywani</w:t>
      </w:r>
      <w:r w:rsidR="00082DED">
        <w:t>e</w:t>
      </w:r>
      <w:r w:rsidR="00FA2A76" w:rsidRPr="00A110D6">
        <w:t xml:space="preserve"> </w:t>
      </w:r>
      <w:r>
        <w:t>uprawnień</w:t>
      </w:r>
      <w:r w:rsidR="00FA2A76" w:rsidRPr="00A110D6">
        <w:t xml:space="preserve"> przekazan</w:t>
      </w:r>
      <w:r>
        <w:t>ych</w:t>
      </w:r>
      <w:r w:rsidR="00FA2A76" w:rsidRPr="00A110D6">
        <w:t xml:space="preserve"> mu/jej na podstawie </w:t>
      </w:r>
      <w:r w:rsidR="00082DED">
        <w:t xml:space="preserve">art. </w:t>
      </w:r>
      <w:r w:rsidR="00FA2A76" w:rsidRPr="00A110D6">
        <w:t xml:space="preserve">52 </w:t>
      </w:r>
      <w:r w:rsidRPr="00A110D6">
        <w:t>Konwencji</w:t>
      </w:r>
      <w:r w:rsidR="00FA2A76" w:rsidRPr="00A110D6">
        <w:t xml:space="preserve">; </w:t>
      </w:r>
    </w:p>
    <w:p w:rsidR="00C04C74" w:rsidRPr="00A110D6" w:rsidRDefault="00EA45C5" w:rsidP="000C6154">
      <w:pPr>
        <w:pStyle w:val="Akapitzlist"/>
        <w:numPr>
          <w:ilvl w:val="0"/>
          <w:numId w:val="17"/>
        </w:numPr>
        <w:spacing w:after="120" w:line="240" w:lineRule="auto"/>
        <w:ind w:left="1134" w:hanging="567"/>
        <w:contextualSpacing w:val="0"/>
        <w:jc w:val="both"/>
      </w:pPr>
      <w:r>
        <w:t>Komisarza Praw Człowieka –</w:t>
      </w:r>
      <w:r w:rsidR="00FA2A76" w:rsidRPr="00A110D6">
        <w:t xml:space="preserve"> </w:t>
      </w:r>
      <w:r>
        <w:t xml:space="preserve">przy wykonywaniu swoich funkcji, </w:t>
      </w:r>
      <w:r w:rsidR="00FA2A76" w:rsidRPr="00A110D6">
        <w:t xml:space="preserve">a w szczególności w ramach jego/jej </w:t>
      </w:r>
      <w:r w:rsidR="00B14244" w:rsidRPr="00A110D6">
        <w:t>wizyt</w:t>
      </w:r>
      <w:r w:rsidR="00FA2A76" w:rsidRPr="00A110D6">
        <w:t xml:space="preserve"> krajowych – do kontynuowania </w:t>
      </w:r>
      <w:r w:rsidR="006C52A5" w:rsidRPr="00EA45C5">
        <w:t>kierowania</w:t>
      </w:r>
      <w:r w:rsidR="006C52A5">
        <w:t xml:space="preserve"> do Państw-St</w:t>
      </w:r>
      <w:r w:rsidR="00C04C74" w:rsidRPr="00A110D6">
        <w:t>r</w:t>
      </w:r>
      <w:r w:rsidR="006C52A5">
        <w:t>o</w:t>
      </w:r>
      <w:r w:rsidR="00C04C74" w:rsidRPr="00A110D6">
        <w:t xml:space="preserve">n </w:t>
      </w:r>
      <w:r w:rsidR="006C52A5">
        <w:t xml:space="preserve">– w oparciu o ocenę potrzeb w poszczególnych sprawach </w:t>
      </w:r>
      <w:r w:rsidR="00966F7A">
        <w:t>–</w:t>
      </w:r>
      <w:r w:rsidR="00C04C74" w:rsidRPr="00A110D6">
        <w:t xml:space="preserve"> kwestii związanych z wykonywaniem wyroków;</w:t>
      </w:r>
    </w:p>
    <w:p w:rsidR="00C04C74" w:rsidRPr="00A110D6" w:rsidRDefault="00C04C74" w:rsidP="00FC0A64">
      <w:pPr>
        <w:pStyle w:val="Akapitzlist"/>
        <w:numPr>
          <w:ilvl w:val="0"/>
          <w:numId w:val="17"/>
        </w:numPr>
        <w:spacing w:after="480" w:line="240" w:lineRule="auto"/>
        <w:ind w:left="1134" w:hanging="567"/>
        <w:contextualSpacing w:val="0"/>
        <w:jc w:val="both"/>
      </w:pPr>
      <w:r w:rsidRPr="00A110D6">
        <w:t xml:space="preserve">Zgromadzenie Parlamentarne Rady Europy do </w:t>
      </w:r>
      <w:r w:rsidR="00B14244" w:rsidRPr="00A110D6">
        <w:t>kontynuowania</w:t>
      </w:r>
      <w:r w:rsidRPr="00A110D6">
        <w:t xml:space="preserve"> sporządzania </w:t>
      </w:r>
      <w:r w:rsidR="00B14244" w:rsidRPr="00A110D6">
        <w:t>raportów</w:t>
      </w:r>
      <w:r w:rsidRPr="00A110D6">
        <w:t xml:space="preserve"> na temat wykonywania wyroków, </w:t>
      </w:r>
      <w:r w:rsidR="00B14244" w:rsidRPr="00A110D6">
        <w:t>organizowania</w:t>
      </w:r>
      <w:r w:rsidRPr="00A110D6">
        <w:t xml:space="preserve"> działa</w:t>
      </w:r>
      <w:r w:rsidR="006C52A5">
        <w:t>ń mających</w:t>
      </w:r>
      <w:r w:rsidRPr="00A110D6">
        <w:t xml:space="preserve"> na celu zwiększenie świadomości członków </w:t>
      </w:r>
      <w:r w:rsidR="00B14244" w:rsidRPr="00A110D6">
        <w:t>parlamentów</w:t>
      </w:r>
      <w:r w:rsidRPr="00A110D6">
        <w:t xml:space="preserve"> </w:t>
      </w:r>
      <w:r w:rsidR="006C52A5" w:rsidRPr="00A110D6">
        <w:t xml:space="preserve">krajowych </w:t>
      </w:r>
      <w:r w:rsidRPr="00A110D6">
        <w:t xml:space="preserve">na temat implementacji </w:t>
      </w:r>
      <w:r w:rsidR="00B14244" w:rsidRPr="00A110D6">
        <w:t>Konwencji</w:t>
      </w:r>
      <w:r w:rsidRPr="00A110D6">
        <w:t xml:space="preserve"> oraz </w:t>
      </w:r>
      <w:r w:rsidRPr="00A110D6">
        <w:lastRenderedPageBreak/>
        <w:t xml:space="preserve">zachęcania </w:t>
      </w:r>
      <w:r w:rsidR="00B14244" w:rsidRPr="00A110D6">
        <w:t>parlamentów</w:t>
      </w:r>
      <w:r w:rsidRPr="00A110D6">
        <w:t xml:space="preserve"> </w:t>
      </w:r>
      <w:r w:rsidR="006C52A5" w:rsidRPr="00A110D6">
        <w:t xml:space="preserve">krajowych </w:t>
      </w:r>
      <w:r w:rsidRPr="00A110D6">
        <w:t>do śledzeni</w:t>
      </w:r>
      <w:r w:rsidR="00B14244">
        <w:t>a</w:t>
      </w:r>
      <w:r w:rsidRPr="00A110D6">
        <w:t xml:space="preserve"> </w:t>
      </w:r>
      <w:r w:rsidR="00B14244" w:rsidRPr="00A110D6">
        <w:t xml:space="preserve">wykonywania wyroków </w:t>
      </w:r>
      <w:r w:rsidRPr="00A110D6">
        <w:t xml:space="preserve">w </w:t>
      </w:r>
      <w:r w:rsidR="00B14244" w:rsidRPr="00A110D6">
        <w:t>sposób</w:t>
      </w:r>
      <w:r w:rsidRPr="00A110D6">
        <w:t xml:space="preserve"> regularny i skuteczny.</w:t>
      </w:r>
    </w:p>
    <w:p w:rsidR="00C04C74" w:rsidRPr="00B8190A" w:rsidRDefault="00E30BF0" w:rsidP="000C6154">
      <w:pPr>
        <w:spacing w:after="120" w:line="240" w:lineRule="auto"/>
        <w:jc w:val="both"/>
        <w:rPr>
          <w:b/>
          <w:i/>
          <w:sz w:val="24"/>
        </w:rPr>
      </w:pPr>
      <w:r w:rsidRPr="00B8190A">
        <w:rPr>
          <w:b/>
          <w:i/>
          <w:sz w:val="24"/>
        </w:rPr>
        <w:t>Wdrożenie</w:t>
      </w:r>
      <w:r w:rsidR="00C04C74" w:rsidRPr="00B8190A">
        <w:rPr>
          <w:b/>
          <w:i/>
          <w:sz w:val="24"/>
        </w:rPr>
        <w:t xml:space="preserve"> Planu </w:t>
      </w:r>
      <w:r w:rsidR="00EA45C5" w:rsidRPr="00B8190A">
        <w:rPr>
          <w:b/>
          <w:i/>
          <w:sz w:val="24"/>
        </w:rPr>
        <w:t>Działania</w:t>
      </w:r>
      <w:r w:rsidR="00C04C74" w:rsidRPr="00B8190A">
        <w:rPr>
          <w:b/>
          <w:i/>
          <w:sz w:val="24"/>
        </w:rPr>
        <w:t>:</w:t>
      </w:r>
    </w:p>
    <w:p w:rsidR="00C04C74" w:rsidRPr="00A110D6" w:rsidRDefault="00C04C74" w:rsidP="000C6154">
      <w:pPr>
        <w:spacing w:after="120" w:line="240" w:lineRule="auto"/>
        <w:jc w:val="both"/>
      </w:pPr>
      <w:r w:rsidRPr="00A110D6">
        <w:t xml:space="preserve">W celu </w:t>
      </w:r>
      <w:r w:rsidR="00B14244" w:rsidRPr="00A110D6">
        <w:t>implementacji</w:t>
      </w:r>
      <w:r w:rsidRPr="00A110D6">
        <w:t xml:space="preserve"> Plan</w:t>
      </w:r>
      <w:r w:rsidR="00E30BF0">
        <w:t>u</w:t>
      </w:r>
      <w:r w:rsidRPr="00A110D6">
        <w:t xml:space="preserve"> Działania, </w:t>
      </w:r>
      <w:r w:rsidR="00B14244" w:rsidRPr="00A110D6">
        <w:t>Konferencja</w:t>
      </w:r>
      <w:r w:rsidRPr="00A110D6">
        <w:t>:</w:t>
      </w:r>
    </w:p>
    <w:p w:rsidR="00C04C74" w:rsidRPr="00A110D6" w:rsidRDefault="00B14244" w:rsidP="000C6154">
      <w:pPr>
        <w:pStyle w:val="Akapitzlist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</w:pPr>
      <w:r>
        <w:t>p</w:t>
      </w:r>
      <w:r w:rsidR="00E92875" w:rsidRPr="00A110D6">
        <w:t>o pierwsze i w szczególności wzywa Państwa-</w:t>
      </w:r>
      <w:r w:rsidRPr="00A110D6">
        <w:t>Strony</w:t>
      </w:r>
      <w:r w:rsidR="00E92875" w:rsidRPr="00A110D6">
        <w:t xml:space="preserve">, Komitet </w:t>
      </w:r>
      <w:r w:rsidRPr="00A110D6">
        <w:t>Ministrów</w:t>
      </w:r>
      <w:r w:rsidR="00E92875" w:rsidRPr="00A110D6">
        <w:t xml:space="preserve">, Sekretarza </w:t>
      </w:r>
      <w:r>
        <w:t>G</w:t>
      </w:r>
      <w:r w:rsidR="00E92875" w:rsidRPr="00A110D6">
        <w:t xml:space="preserve">eneralnego oraz Trybunał do </w:t>
      </w:r>
      <w:r w:rsidR="00E30BF0">
        <w:t xml:space="preserve">pełnego wdrożenia niniejszego </w:t>
      </w:r>
      <w:r w:rsidRPr="00A110D6">
        <w:t>pla</w:t>
      </w:r>
      <w:r w:rsidR="0087341D">
        <w:t>n</w:t>
      </w:r>
      <w:r w:rsidR="00E30BF0">
        <w:t>u</w:t>
      </w:r>
      <w:r w:rsidR="00E92875" w:rsidRPr="00A110D6">
        <w:t>;</w:t>
      </w:r>
    </w:p>
    <w:p w:rsidR="00E92875" w:rsidRPr="00A110D6" w:rsidRDefault="001B0D00" w:rsidP="000C6154">
      <w:pPr>
        <w:pStyle w:val="Akapitzlist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</w:pPr>
      <w:r>
        <w:t>w</w:t>
      </w:r>
      <w:r w:rsidR="00E92875" w:rsidRPr="00A110D6">
        <w:t xml:space="preserve">zywa </w:t>
      </w:r>
      <w:r w:rsidR="00B14244" w:rsidRPr="00A110D6">
        <w:t>Komitet</w:t>
      </w:r>
      <w:r w:rsidR="00E92875" w:rsidRPr="00A110D6">
        <w:t xml:space="preserve"> </w:t>
      </w:r>
      <w:r w:rsidR="00B14244" w:rsidRPr="00A110D6">
        <w:t>Ministrów</w:t>
      </w:r>
      <w:r w:rsidR="00E92875" w:rsidRPr="00A110D6">
        <w:t xml:space="preserve"> do podjęcia decyzji na </w:t>
      </w:r>
      <w:r w:rsidR="00EA45C5" w:rsidRPr="00A110D6">
        <w:t xml:space="preserve">sesji ministerialnej </w:t>
      </w:r>
      <w:r w:rsidR="00E92875" w:rsidRPr="00A110D6">
        <w:t>w dniu 19 maja 2015 r</w:t>
      </w:r>
      <w:r w:rsidR="006C33F4">
        <w:t>oku</w:t>
      </w:r>
      <w:r w:rsidR="00E92875" w:rsidRPr="00A110D6">
        <w:t xml:space="preserve"> </w:t>
      </w:r>
      <w:r w:rsidR="0087341D">
        <w:t>w sprawie podsumowania stanu implementacji oraz zebrania dobrych praktyk dotyczących Zalecenia nr CM/</w:t>
      </w:r>
      <w:proofErr w:type="spellStart"/>
      <w:r w:rsidR="0087341D">
        <w:t>Rec</w:t>
      </w:r>
      <w:proofErr w:type="spellEnd"/>
      <w:r w:rsidR="0087341D">
        <w:t xml:space="preserve">(2008)2 </w:t>
      </w:r>
      <w:r w:rsidR="00EA45C5">
        <w:t xml:space="preserve">w sprawie </w:t>
      </w:r>
      <w:r w:rsidR="0087341D" w:rsidRPr="0087341D">
        <w:t>skutecznej zdolności krajowej do szybkiego wykonywania wyroków Europej</w:t>
      </w:r>
      <w:r w:rsidR="00EA45C5">
        <w:t>skiego Trybunału Praw Człowieka</w:t>
      </w:r>
      <w:r w:rsidR="0087341D" w:rsidRPr="0087341D">
        <w:t>, oraz</w:t>
      </w:r>
      <w:r w:rsidR="00D756F0">
        <w:t xml:space="preserve"> –</w:t>
      </w:r>
      <w:r w:rsidR="0087341D" w:rsidRPr="0087341D">
        <w:t xml:space="preserve"> j</w:t>
      </w:r>
      <w:r w:rsidR="00D756F0">
        <w:t>eśli to stosowne –</w:t>
      </w:r>
      <w:r w:rsidR="0087341D" w:rsidRPr="0087341D">
        <w:t xml:space="preserve"> do przygotowania aktualizacji Zalecenia w świetle praktyk rozwiniętych przez </w:t>
      </w:r>
      <w:r w:rsidR="006C33F4" w:rsidRPr="0087341D">
        <w:t>Państwa</w:t>
      </w:r>
      <w:r w:rsidR="006C33F4">
        <w:t>-</w:t>
      </w:r>
      <w:r w:rsidR="0087341D" w:rsidRPr="0087341D">
        <w:t>Strony,</w:t>
      </w:r>
      <w:r w:rsidR="0087341D">
        <w:rPr>
          <w:rFonts w:cs="Arial"/>
          <w:b/>
        </w:rPr>
        <w:t xml:space="preserve"> </w:t>
      </w:r>
    </w:p>
    <w:p w:rsidR="00E92875" w:rsidRPr="00A110D6" w:rsidRDefault="001B0D00" w:rsidP="000C6154">
      <w:pPr>
        <w:pStyle w:val="Akapitzlist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</w:pPr>
      <w:r>
        <w:t>w</w:t>
      </w:r>
      <w:r w:rsidR="00B14244" w:rsidRPr="00A110D6">
        <w:t>zywa</w:t>
      </w:r>
      <w:r w:rsidR="00583FAB" w:rsidRPr="00A110D6">
        <w:t xml:space="preserve"> Państwa-</w:t>
      </w:r>
      <w:r w:rsidR="00B14244" w:rsidRPr="00A110D6">
        <w:t>Strony</w:t>
      </w:r>
      <w:r w:rsidR="00583FAB" w:rsidRPr="00A110D6">
        <w:t xml:space="preserve"> do przyjęcia, w </w:t>
      </w:r>
      <w:r w:rsidR="00B14244" w:rsidRPr="00A110D6">
        <w:t>ś</w:t>
      </w:r>
      <w:r w:rsidR="00B14244">
        <w:t>wietle</w:t>
      </w:r>
      <w:r w:rsidR="00583FAB" w:rsidRPr="00A110D6">
        <w:t xml:space="preserve"> niniejszego Planu Działania, </w:t>
      </w:r>
      <w:r w:rsidR="00EA45C5">
        <w:t>możliwych</w:t>
      </w:r>
      <w:r w:rsidR="00583FAB" w:rsidRPr="00A110D6">
        <w:t xml:space="preserve"> nowych środków mających na celu usprawnienie </w:t>
      </w:r>
      <w:r w:rsidR="00B14244" w:rsidRPr="00A110D6">
        <w:t>procesu</w:t>
      </w:r>
      <w:r w:rsidR="00583FAB" w:rsidRPr="00A110D6">
        <w:t xml:space="preserve"> wykonywania przez nie wyroków</w:t>
      </w:r>
      <w:r w:rsidR="00EA45C5">
        <w:t>,</w:t>
      </w:r>
      <w:r w:rsidR="00583FAB" w:rsidRPr="00A110D6">
        <w:t xml:space="preserve"> oraz </w:t>
      </w:r>
      <w:r w:rsidR="00EA45C5">
        <w:t xml:space="preserve">do </w:t>
      </w:r>
      <w:r w:rsidR="00F079ED">
        <w:t>przekazania</w:t>
      </w:r>
      <w:r w:rsidR="00583FAB" w:rsidRPr="00A110D6">
        <w:t xml:space="preserve"> </w:t>
      </w:r>
      <w:r w:rsidR="00F079ED" w:rsidRPr="00A110D6">
        <w:t xml:space="preserve">informacji </w:t>
      </w:r>
      <w:r w:rsidR="00F079ED">
        <w:t xml:space="preserve">w tym względzie </w:t>
      </w:r>
      <w:r w:rsidR="00B14244" w:rsidRPr="00A110D6">
        <w:t>Komitetowi</w:t>
      </w:r>
      <w:r w:rsidR="00583FAB" w:rsidRPr="00A110D6">
        <w:t xml:space="preserve"> Ministrów </w:t>
      </w:r>
      <w:r w:rsidR="00F079ED" w:rsidRPr="00A110D6">
        <w:t>przed końcem 2016 roku</w:t>
      </w:r>
      <w:r w:rsidR="00583FAB" w:rsidRPr="00A110D6">
        <w:t>;</w:t>
      </w:r>
    </w:p>
    <w:p w:rsidR="00583FAB" w:rsidRPr="00A110D6" w:rsidRDefault="003909BF" w:rsidP="000C6154">
      <w:pPr>
        <w:pStyle w:val="Akapitzlist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</w:pPr>
      <w:r w:rsidRPr="00A110D6">
        <w:t>zachęca wszystkie Państwa-Strony do</w:t>
      </w:r>
      <w:r w:rsidR="00F079ED">
        <w:t xml:space="preserve"> zbadania</w:t>
      </w:r>
      <w:r w:rsidRPr="00A110D6">
        <w:t xml:space="preserve">, razem z Departamentem </w:t>
      </w:r>
      <w:r w:rsidR="00B14244" w:rsidRPr="00A110D6">
        <w:t>Wykowywana</w:t>
      </w:r>
      <w:r w:rsidRPr="00A110D6">
        <w:t xml:space="preserve"> Wyroków, </w:t>
      </w:r>
      <w:r w:rsidR="00B14244" w:rsidRPr="00A110D6">
        <w:t>wszy</w:t>
      </w:r>
      <w:r w:rsidR="00B14244">
        <w:t>s</w:t>
      </w:r>
      <w:r w:rsidR="00B14244" w:rsidRPr="00A110D6">
        <w:t>tkich</w:t>
      </w:r>
      <w:r w:rsidRPr="00A110D6">
        <w:t xml:space="preserve"> </w:t>
      </w:r>
      <w:r w:rsidR="00EA45C5">
        <w:t xml:space="preserve">ich </w:t>
      </w:r>
      <w:r w:rsidR="00F079ED">
        <w:t>zawisłych</w:t>
      </w:r>
      <w:r w:rsidRPr="00A110D6">
        <w:t xml:space="preserve"> spraw, wskazania tych</w:t>
      </w:r>
      <w:r w:rsidR="00F079ED">
        <w:t>,</w:t>
      </w:r>
      <w:r w:rsidRPr="00A110D6">
        <w:t xml:space="preserve"> które można zamknąć</w:t>
      </w:r>
      <w:r w:rsidR="00F079ED">
        <w:t>,</w:t>
      </w:r>
      <w:r w:rsidRPr="00A110D6">
        <w:t xml:space="preserve"> oraz pozostałych </w:t>
      </w:r>
      <w:r w:rsidR="00B14244">
        <w:t>prze</w:t>
      </w:r>
      <w:r w:rsidR="00D756F0">
        <w:t>d</w:t>
      </w:r>
      <w:r w:rsidR="00B14244">
        <w:t>stawiających większe</w:t>
      </w:r>
      <w:r w:rsidRPr="00A110D6">
        <w:t xml:space="preserve"> problem</w:t>
      </w:r>
      <w:r w:rsidR="00B14244">
        <w:t>y</w:t>
      </w:r>
      <w:r w:rsidRPr="00A110D6">
        <w:t xml:space="preserve">, a </w:t>
      </w:r>
      <w:r w:rsidR="00B41D29">
        <w:t xml:space="preserve">na podstawie tej analizy, </w:t>
      </w:r>
      <w:r w:rsidR="00EA45C5">
        <w:t xml:space="preserve">do </w:t>
      </w:r>
      <w:r w:rsidR="00B41D29">
        <w:t>podjęcia działań zmierzających</w:t>
      </w:r>
      <w:r w:rsidRPr="00A110D6">
        <w:t xml:space="preserve"> do stopniowego zmniejszania </w:t>
      </w:r>
      <w:r w:rsidR="00B14244" w:rsidRPr="00A110D6">
        <w:t>zaległości</w:t>
      </w:r>
      <w:r w:rsidRPr="00A110D6">
        <w:t xml:space="preserve"> </w:t>
      </w:r>
      <w:r w:rsidR="00B41D29">
        <w:t>zawisłych</w:t>
      </w:r>
      <w:r w:rsidRPr="00A110D6">
        <w:t xml:space="preserve"> spraw;</w:t>
      </w:r>
    </w:p>
    <w:p w:rsidR="003909BF" w:rsidRPr="00A110D6" w:rsidRDefault="00B14244" w:rsidP="000C6154">
      <w:pPr>
        <w:pStyle w:val="Akapitzlist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</w:pPr>
      <w:r w:rsidRPr="00A110D6">
        <w:t>wzywa</w:t>
      </w:r>
      <w:r w:rsidR="00DE6956" w:rsidRPr="00A110D6">
        <w:t xml:space="preserve"> w szczególności </w:t>
      </w:r>
      <w:r w:rsidRPr="00A110D6">
        <w:t>Komitet</w:t>
      </w:r>
      <w:r w:rsidR="00DE6956" w:rsidRPr="00A110D6">
        <w:t xml:space="preserve"> Ministrów oraz Państwa-Strony do zaangażowani</w:t>
      </w:r>
      <w:r>
        <w:t>a</w:t>
      </w:r>
      <w:r w:rsidR="00C97630">
        <w:t xml:space="preserve"> </w:t>
      </w:r>
      <w:r w:rsidR="00F77EC3" w:rsidRPr="00A110D6">
        <w:t xml:space="preserve">w </w:t>
      </w:r>
      <w:r w:rsidR="00C97630">
        <w:t xml:space="preserve">proces </w:t>
      </w:r>
      <w:r w:rsidR="00F77EC3" w:rsidRPr="00A110D6">
        <w:t>implementacj</w:t>
      </w:r>
      <w:r w:rsidR="00C97630">
        <w:t>i</w:t>
      </w:r>
      <w:r w:rsidR="00F77EC3" w:rsidRPr="00A110D6">
        <w:t xml:space="preserve"> Planu Działania</w:t>
      </w:r>
      <w:r w:rsidR="00EA45C5">
        <w:t xml:space="preserve"> –</w:t>
      </w:r>
      <w:r w:rsidR="00C97630">
        <w:t xml:space="preserve"> tam</w:t>
      </w:r>
      <w:r w:rsidR="00EA45C5">
        <w:t>,</w:t>
      </w:r>
      <w:r w:rsidR="00C97630">
        <w:t xml:space="preserve"> gdzie</w:t>
      </w:r>
      <w:r w:rsidR="00DE6956" w:rsidRPr="00A110D6">
        <w:t xml:space="preserve"> </w:t>
      </w:r>
      <w:r w:rsidR="00EA45C5">
        <w:t xml:space="preserve">jest </w:t>
      </w:r>
      <w:r w:rsidR="00F77EC3">
        <w:t>to wskazane</w:t>
      </w:r>
      <w:r w:rsidR="00EA45C5">
        <w:t xml:space="preserve"> –</w:t>
      </w:r>
      <w:r w:rsidR="00DE6956" w:rsidRPr="00A110D6">
        <w:t xml:space="preserve"> społeczeństw</w:t>
      </w:r>
      <w:r w:rsidR="00C97630">
        <w:t>a obywatelskiego oraz Krajowych Instytucji</w:t>
      </w:r>
      <w:r w:rsidR="00DE6956" w:rsidRPr="00A110D6">
        <w:t xml:space="preserve"> Praw </w:t>
      </w:r>
      <w:r w:rsidR="00F77EC3" w:rsidRPr="00A110D6">
        <w:t>Człowieka</w:t>
      </w:r>
      <w:r w:rsidR="00DE6956" w:rsidRPr="00A110D6">
        <w:t>;</w:t>
      </w:r>
    </w:p>
    <w:p w:rsidR="007340D3" w:rsidRPr="00A110D6" w:rsidRDefault="007340D3" w:rsidP="000C6154">
      <w:pPr>
        <w:pStyle w:val="Akapitzlist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</w:pPr>
      <w:r w:rsidRPr="00A110D6">
        <w:t xml:space="preserve">zachęca Komitet Ministrów do dokonania oceny, przy </w:t>
      </w:r>
      <w:r w:rsidR="00F77EC3">
        <w:t>uwzględnieniu</w:t>
      </w:r>
      <w:r w:rsidRPr="00A110D6">
        <w:t xml:space="preserve"> </w:t>
      </w:r>
      <w:r w:rsidR="00A31792">
        <w:t xml:space="preserve">kalendarza działań </w:t>
      </w:r>
      <w:r w:rsidR="00F77EC3" w:rsidRPr="00A110D6">
        <w:t>określone</w:t>
      </w:r>
      <w:r w:rsidR="00A31792">
        <w:t>go</w:t>
      </w:r>
      <w:r w:rsidRPr="00A110D6">
        <w:t xml:space="preserve"> w Deklaracji z </w:t>
      </w:r>
      <w:proofErr w:type="spellStart"/>
      <w:r w:rsidRPr="00A110D6">
        <w:t>Interlaken</w:t>
      </w:r>
      <w:proofErr w:type="spellEnd"/>
      <w:r w:rsidRPr="00A110D6">
        <w:t xml:space="preserve">, zakresu, w jakim </w:t>
      </w:r>
      <w:r w:rsidR="00EA45C5">
        <w:t xml:space="preserve">wdrożenie </w:t>
      </w:r>
      <w:r w:rsidRPr="00A110D6">
        <w:t xml:space="preserve">niniejszego Planu Działania </w:t>
      </w:r>
      <w:r w:rsidR="00F77EC3" w:rsidRPr="00A110D6">
        <w:t>zwiększył</w:t>
      </w:r>
      <w:r w:rsidR="00D756F0">
        <w:t>o</w:t>
      </w:r>
      <w:r w:rsidR="00F77EC3">
        <w:t xml:space="preserve"> skuteczność</w:t>
      </w:r>
      <w:r w:rsidRPr="00A110D6">
        <w:t xml:space="preserve"> sytemu konwencyjnego. Na podstawie powyższej oceny</w:t>
      </w:r>
      <w:r w:rsidR="00F77EC3" w:rsidRPr="00F77EC3">
        <w:t xml:space="preserve"> </w:t>
      </w:r>
      <w:r w:rsidR="00F77EC3" w:rsidRPr="00A110D6">
        <w:t>przed końcem 2019 roku</w:t>
      </w:r>
      <w:r w:rsidR="00F77EC3">
        <w:t xml:space="preserve"> </w:t>
      </w:r>
      <w:r w:rsidRPr="00A110D6">
        <w:t xml:space="preserve">Komitet </w:t>
      </w:r>
      <w:r w:rsidR="00F77EC3" w:rsidRPr="00A110D6">
        <w:t>Ministrów</w:t>
      </w:r>
      <w:r w:rsidRPr="00A110D6">
        <w:t xml:space="preserve"> </w:t>
      </w:r>
      <w:r w:rsidR="00A31792">
        <w:t>powinien zdecydować,</w:t>
      </w:r>
      <w:r w:rsidRPr="00A110D6">
        <w:t xml:space="preserve"> czy konieczne będą dalej idące zmiany;</w:t>
      </w:r>
    </w:p>
    <w:p w:rsidR="00CC66FC" w:rsidRDefault="007340D3" w:rsidP="000C6154">
      <w:pPr>
        <w:pStyle w:val="Akapitzlist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</w:pPr>
      <w:r w:rsidRPr="00A110D6">
        <w:t xml:space="preserve">zwraca się do </w:t>
      </w:r>
      <w:r w:rsidR="002D283F">
        <w:t xml:space="preserve">prezydencji belgijskiej </w:t>
      </w:r>
      <w:r w:rsidRPr="00A110D6">
        <w:t xml:space="preserve">o </w:t>
      </w:r>
      <w:r w:rsidRPr="00D2473E">
        <w:t xml:space="preserve">przekazanie Komitetowi Ministrów niniejszej Deklaracji oraz </w:t>
      </w:r>
      <w:r w:rsidR="00D2473E" w:rsidRPr="00D2473E">
        <w:t>p</w:t>
      </w:r>
      <w:r w:rsidR="00F77EC3" w:rsidRPr="00D2473E">
        <w:t xml:space="preserve">rotokołu </w:t>
      </w:r>
      <w:r w:rsidR="00D2473E" w:rsidRPr="00D2473E">
        <w:t xml:space="preserve">obrad </w:t>
      </w:r>
      <w:r w:rsidR="00F77EC3" w:rsidRPr="00D2473E">
        <w:t>Konferencji Brukselskiej</w:t>
      </w:r>
      <w:r w:rsidRPr="00D2473E">
        <w:t>;</w:t>
      </w:r>
    </w:p>
    <w:p w:rsidR="007340D3" w:rsidRPr="00A110D6" w:rsidRDefault="007340D3" w:rsidP="000C6154">
      <w:pPr>
        <w:pStyle w:val="Akapitzlist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</w:pPr>
      <w:r w:rsidRPr="00A110D6">
        <w:t xml:space="preserve">zachęca przyszłe </w:t>
      </w:r>
      <w:r w:rsidR="002D283F">
        <w:t xml:space="preserve">prezydencje </w:t>
      </w:r>
      <w:r w:rsidRPr="00A110D6">
        <w:t>w Komitecie Ministrów do monitorowania implementacji niniejszego P</w:t>
      </w:r>
      <w:r w:rsidR="00F77EC3">
        <w:t>l</w:t>
      </w:r>
      <w:r w:rsidRPr="00A110D6">
        <w:t>anu Działa</w:t>
      </w:r>
      <w:r w:rsidR="00F77EC3">
        <w:t>nia</w:t>
      </w:r>
      <w:r w:rsidRPr="00A110D6">
        <w:t>.</w:t>
      </w:r>
    </w:p>
    <w:sectPr w:rsidR="007340D3" w:rsidRPr="00A110D6" w:rsidSect="002B2D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C3" w:rsidRDefault="005D24C3" w:rsidP="00695F49">
      <w:pPr>
        <w:spacing w:after="0" w:line="240" w:lineRule="auto"/>
      </w:pPr>
      <w:r>
        <w:separator/>
      </w:r>
    </w:p>
  </w:endnote>
  <w:endnote w:type="continuationSeparator" w:id="0">
    <w:p w:rsidR="005D24C3" w:rsidRDefault="005D24C3" w:rsidP="0069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86" w:rsidRDefault="00F761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384291"/>
      <w:docPartObj>
        <w:docPartGallery w:val="Page Numbers (Bottom of Page)"/>
        <w:docPartUnique/>
      </w:docPartObj>
    </w:sdtPr>
    <w:sdtEndPr/>
    <w:sdtContent>
      <w:p w:rsidR="007B576C" w:rsidRDefault="007B57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17A">
          <w:rPr>
            <w:noProof/>
          </w:rPr>
          <w:t>8</w:t>
        </w:r>
        <w:r>
          <w:fldChar w:fldCharType="end"/>
        </w:r>
      </w:p>
    </w:sdtContent>
  </w:sdt>
  <w:p w:rsidR="002146CA" w:rsidRDefault="002146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86" w:rsidRDefault="00F761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C3" w:rsidRDefault="005D24C3" w:rsidP="00695F49">
      <w:pPr>
        <w:spacing w:after="0" w:line="240" w:lineRule="auto"/>
      </w:pPr>
      <w:r>
        <w:separator/>
      </w:r>
    </w:p>
  </w:footnote>
  <w:footnote w:type="continuationSeparator" w:id="0">
    <w:p w:rsidR="005D24C3" w:rsidRDefault="005D24C3" w:rsidP="0069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86" w:rsidRDefault="00F761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86" w:rsidRDefault="00F761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8E" w:rsidRDefault="00C6328E" w:rsidP="00C6328E">
    <w:pPr>
      <w:pStyle w:val="Nagwek"/>
      <w:jc w:val="right"/>
      <w:rPr>
        <w:i/>
        <w:sz w:val="16"/>
        <w:u w:val="single"/>
      </w:rPr>
    </w:pPr>
  </w:p>
  <w:p w:rsidR="00C6328E" w:rsidRDefault="00C6328E" w:rsidP="00C6328E">
    <w:pPr>
      <w:pStyle w:val="Nagwek"/>
      <w:jc w:val="right"/>
      <w:rPr>
        <w:i/>
        <w:sz w:val="16"/>
        <w:u w:val="single"/>
      </w:rPr>
    </w:pPr>
    <w:r w:rsidRPr="00C6328E">
      <w:rPr>
        <w:i/>
        <w:sz w:val="16"/>
        <w:u w:val="single"/>
      </w:rPr>
      <w:t>Nieoficjalne tłumaczenie na język polski przygotowane przez Ministerstwo Spraw Zagranicznych</w:t>
    </w:r>
  </w:p>
  <w:p w:rsidR="00C6328E" w:rsidRPr="00C6328E" w:rsidRDefault="00C6328E" w:rsidP="00C6328E">
    <w:pPr>
      <w:pStyle w:val="Nagwek"/>
      <w:jc w:val="right"/>
      <w:rPr>
        <w:i/>
        <w:sz w:val="16"/>
        <w:u w:val="single"/>
      </w:rPr>
    </w:pPr>
  </w:p>
  <w:p w:rsidR="00C6328E" w:rsidRDefault="00C632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04DD"/>
    <w:multiLevelType w:val="hybridMultilevel"/>
    <w:tmpl w:val="9F46CDB4"/>
    <w:lvl w:ilvl="0" w:tplc="17DCA6C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5AB6F34"/>
    <w:multiLevelType w:val="hybridMultilevel"/>
    <w:tmpl w:val="DC8A2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38"/>
    <w:multiLevelType w:val="hybridMultilevel"/>
    <w:tmpl w:val="4760C382"/>
    <w:lvl w:ilvl="0" w:tplc="5EAC5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12A8"/>
    <w:multiLevelType w:val="hybridMultilevel"/>
    <w:tmpl w:val="1DA6CA6E"/>
    <w:lvl w:ilvl="0" w:tplc="7EC4C0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537B9A"/>
    <w:multiLevelType w:val="hybridMultilevel"/>
    <w:tmpl w:val="5AEA23B4"/>
    <w:lvl w:ilvl="0" w:tplc="48A8C0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F565418"/>
    <w:multiLevelType w:val="hybridMultilevel"/>
    <w:tmpl w:val="4222A480"/>
    <w:lvl w:ilvl="0" w:tplc="15666D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25BC4712"/>
    <w:multiLevelType w:val="hybridMultilevel"/>
    <w:tmpl w:val="94E0DF74"/>
    <w:lvl w:ilvl="0" w:tplc="97AE7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35FCD"/>
    <w:multiLevelType w:val="hybridMultilevel"/>
    <w:tmpl w:val="4E70A11E"/>
    <w:lvl w:ilvl="0" w:tplc="41388B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9140AB"/>
    <w:multiLevelType w:val="hybridMultilevel"/>
    <w:tmpl w:val="ACB87BA2"/>
    <w:lvl w:ilvl="0" w:tplc="6984659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386071F1"/>
    <w:multiLevelType w:val="hybridMultilevel"/>
    <w:tmpl w:val="0D9EBC3C"/>
    <w:lvl w:ilvl="0" w:tplc="61BA77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BE3BA2"/>
    <w:multiLevelType w:val="hybridMultilevel"/>
    <w:tmpl w:val="D6B0D024"/>
    <w:lvl w:ilvl="0" w:tplc="8BC68BF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4DDD62D9"/>
    <w:multiLevelType w:val="hybridMultilevel"/>
    <w:tmpl w:val="6EAE7112"/>
    <w:lvl w:ilvl="0" w:tplc="BD62D498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7202C10"/>
    <w:multiLevelType w:val="hybridMultilevel"/>
    <w:tmpl w:val="095A117E"/>
    <w:lvl w:ilvl="0" w:tplc="4C34DD4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3A446CA"/>
    <w:multiLevelType w:val="hybridMultilevel"/>
    <w:tmpl w:val="A41AEA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60E5E"/>
    <w:multiLevelType w:val="hybridMultilevel"/>
    <w:tmpl w:val="40CAE116"/>
    <w:lvl w:ilvl="0" w:tplc="784C6BD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757E3521"/>
    <w:multiLevelType w:val="hybridMultilevel"/>
    <w:tmpl w:val="ACF22D16"/>
    <w:lvl w:ilvl="0" w:tplc="9F82E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EC723A"/>
    <w:multiLevelType w:val="hybridMultilevel"/>
    <w:tmpl w:val="1E423738"/>
    <w:lvl w:ilvl="0" w:tplc="B9CE8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5142C3"/>
    <w:multiLevelType w:val="hybridMultilevel"/>
    <w:tmpl w:val="9AD67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5"/>
  </w:num>
  <w:num w:numId="5">
    <w:abstractNumId w:val="7"/>
  </w:num>
  <w:num w:numId="6">
    <w:abstractNumId w:val="9"/>
  </w:num>
  <w:num w:numId="7">
    <w:abstractNumId w:val="17"/>
  </w:num>
  <w:num w:numId="8">
    <w:abstractNumId w:val="16"/>
  </w:num>
  <w:num w:numId="9">
    <w:abstractNumId w:val="4"/>
  </w:num>
  <w:num w:numId="10">
    <w:abstractNumId w:val="14"/>
  </w:num>
  <w:num w:numId="11">
    <w:abstractNumId w:val="10"/>
  </w:num>
  <w:num w:numId="12">
    <w:abstractNumId w:val="1"/>
  </w:num>
  <w:num w:numId="13">
    <w:abstractNumId w:val="6"/>
  </w:num>
  <w:num w:numId="14">
    <w:abstractNumId w:val="3"/>
  </w:num>
  <w:num w:numId="15">
    <w:abstractNumId w:val="0"/>
  </w:num>
  <w:num w:numId="16">
    <w:abstractNumId w:val="8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35"/>
    <w:rsid w:val="00000F3D"/>
    <w:rsid w:val="00007514"/>
    <w:rsid w:val="00021CCF"/>
    <w:rsid w:val="00026A35"/>
    <w:rsid w:val="000369AC"/>
    <w:rsid w:val="000510C7"/>
    <w:rsid w:val="00052ABF"/>
    <w:rsid w:val="00054743"/>
    <w:rsid w:val="00056DAB"/>
    <w:rsid w:val="000610DA"/>
    <w:rsid w:val="00061162"/>
    <w:rsid w:val="000638B3"/>
    <w:rsid w:val="000700D8"/>
    <w:rsid w:val="00082DED"/>
    <w:rsid w:val="000900AC"/>
    <w:rsid w:val="000A1B8B"/>
    <w:rsid w:val="000B5DD3"/>
    <w:rsid w:val="000C6154"/>
    <w:rsid w:val="000D0297"/>
    <w:rsid w:val="000D5613"/>
    <w:rsid w:val="000E36C3"/>
    <w:rsid w:val="000E67E6"/>
    <w:rsid w:val="000F645A"/>
    <w:rsid w:val="001227CB"/>
    <w:rsid w:val="001264B1"/>
    <w:rsid w:val="00134EB9"/>
    <w:rsid w:val="00137F72"/>
    <w:rsid w:val="00144EFE"/>
    <w:rsid w:val="001A22A4"/>
    <w:rsid w:val="001A5B74"/>
    <w:rsid w:val="001B0D00"/>
    <w:rsid w:val="001C0481"/>
    <w:rsid w:val="001D6EC4"/>
    <w:rsid w:val="001E1054"/>
    <w:rsid w:val="001E5B79"/>
    <w:rsid w:val="001F4497"/>
    <w:rsid w:val="00213559"/>
    <w:rsid w:val="002146CA"/>
    <w:rsid w:val="00226BA5"/>
    <w:rsid w:val="00254247"/>
    <w:rsid w:val="0026416B"/>
    <w:rsid w:val="00266586"/>
    <w:rsid w:val="00266758"/>
    <w:rsid w:val="00266F4E"/>
    <w:rsid w:val="002678A4"/>
    <w:rsid w:val="00267A2E"/>
    <w:rsid w:val="0027041E"/>
    <w:rsid w:val="00271525"/>
    <w:rsid w:val="00272A49"/>
    <w:rsid w:val="002754C9"/>
    <w:rsid w:val="00281850"/>
    <w:rsid w:val="002901B0"/>
    <w:rsid w:val="002B0C18"/>
    <w:rsid w:val="002B2A77"/>
    <w:rsid w:val="002B2D65"/>
    <w:rsid w:val="002D0814"/>
    <w:rsid w:val="002D283F"/>
    <w:rsid w:val="002F43CE"/>
    <w:rsid w:val="002F6BB8"/>
    <w:rsid w:val="00303251"/>
    <w:rsid w:val="003102F4"/>
    <w:rsid w:val="00311AB6"/>
    <w:rsid w:val="00330FDB"/>
    <w:rsid w:val="00346B29"/>
    <w:rsid w:val="00352992"/>
    <w:rsid w:val="00357A5C"/>
    <w:rsid w:val="00357F96"/>
    <w:rsid w:val="003608F5"/>
    <w:rsid w:val="003619EF"/>
    <w:rsid w:val="00362EAE"/>
    <w:rsid w:val="0036378D"/>
    <w:rsid w:val="00363D7C"/>
    <w:rsid w:val="00384B5D"/>
    <w:rsid w:val="003909BF"/>
    <w:rsid w:val="003979FC"/>
    <w:rsid w:val="003A04BF"/>
    <w:rsid w:val="003A5F49"/>
    <w:rsid w:val="003B3A02"/>
    <w:rsid w:val="003B7EFE"/>
    <w:rsid w:val="003F33CD"/>
    <w:rsid w:val="004007D0"/>
    <w:rsid w:val="00403C70"/>
    <w:rsid w:val="00412084"/>
    <w:rsid w:val="00413F1C"/>
    <w:rsid w:val="0042173F"/>
    <w:rsid w:val="00422CFC"/>
    <w:rsid w:val="0042517A"/>
    <w:rsid w:val="00430622"/>
    <w:rsid w:val="00430F22"/>
    <w:rsid w:val="00433723"/>
    <w:rsid w:val="00445CE3"/>
    <w:rsid w:val="0044726B"/>
    <w:rsid w:val="00452904"/>
    <w:rsid w:val="004578C3"/>
    <w:rsid w:val="004655D4"/>
    <w:rsid w:val="00465945"/>
    <w:rsid w:val="00483414"/>
    <w:rsid w:val="004A4981"/>
    <w:rsid w:val="004D3560"/>
    <w:rsid w:val="004D44EF"/>
    <w:rsid w:val="004E4DC2"/>
    <w:rsid w:val="004F237F"/>
    <w:rsid w:val="004F30E6"/>
    <w:rsid w:val="004F48FC"/>
    <w:rsid w:val="00517F0A"/>
    <w:rsid w:val="00537389"/>
    <w:rsid w:val="00561A15"/>
    <w:rsid w:val="00583FAB"/>
    <w:rsid w:val="00587312"/>
    <w:rsid w:val="00590888"/>
    <w:rsid w:val="005A70F3"/>
    <w:rsid w:val="005B09C0"/>
    <w:rsid w:val="005C4C0D"/>
    <w:rsid w:val="005D1022"/>
    <w:rsid w:val="005D24C3"/>
    <w:rsid w:val="005D293F"/>
    <w:rsid w:val="005E40FD"/>
    <w:rsid w:val="006200B3"/>
    <w:rsid w:val="00630FDE"/>
    <w:rsid w:val="00634FAF"/>
    <w:rsid w:val="00636D0B"/>
    <w:rsid w:val="006407B4"/>
    <w:rsid w:val="00641C8A"/>
    <w:rsid w:val="006607E4"/>
    <w:rsid w:val="00695F49"/>
    <w:rsid w:val="00697059"/>
    <w:rsid w:val="006A1DA5"/>
    <w:rsid w:val="006B15A7"/>
    <w:rsid w:val="006B4A18"/>
    <w:rsid w:val="006B55A3"/>
    <w:rsid w:val="006C33F4"/>
    <w:rsid w:val="006C52A5"/>
    <w:rsid w:val="006E20CC"/>
    <w:rsid w:val="006F389E"/>
    <w:rsid w:val="00700A94"/>
    <w:rsid w:val="0071107F"/>
    <w:rsid w:val="00725C44"/>
    <w:rsid w:val="007340D3"/>
    <w:rsid w:val="00736043"/>
    <w:rsid w:val="0074004F"/>
    <w:rsid w:val="007449F0"/>
    <w:rsid w:val="00745207"/>
    <w:rsid w:val="00753A17"/>
    <w:rsid w:val="00775B1A"/>
    <w:rsid w:val="00775CE6"/>
    <w:rsid w:val="00777AD8"/>
    <w:rsid w:val="00784B3F"/>
    <w:rsid w:val="007A2682"/>
    <w:rsid w:val="007A2D7F"/>
    <w:rsid w:val="007A4DF9"/>
    <w:rsid w:val="007B23FC"/>
    <w:rsid w:val="007B576C"/>
    <w:rsid w:val="007B6BBB"/>
    <w:rsid w:val="008249CB"/>
    <w:rsid w:val="0082629F"/>
    <w:rsid w:val="00833AC5"/>
    <w:rsid w:val="0084319C"/>
    <w:rsid w:val="00844E72"/>
    <w:rsid w:val="0085198A"/>
    <w:rsid w:val="00862436"/>
    <w:rsid w:val="0087341D"/>
    <w:rsid w:val="00893CF5"/>
    <w:rsid w:val="0089489E"/>
    <w:rsid w:val="008A756F"/>
    <w:rsid w:val="008B6361"/>
    <w:rsid w:val="008D2102"/>
    <w:rsid w:val="008D5466"/>
    <w:rsid w:val="008F2A65"/>
    <w:rsid w:val="00904DF3"/>
    <w:rsid w:val="0090790A"/>
    <w:rsid w:val="00910E7B"/>
    <w:rsid w:val="009153F3"/>
    <w:rsid w:val="00916C4E"/>
    <w:rsid w:val="00917FA5"/>
    <w:rsid w:val="00934ABD"/>
    <w:rsid w:val="00945DC8"/>
    <w:rsid w:val="0095676E"/>
    <w:rsid w:val="00960F21"/>
    <w:rsid w:val="00966F7A"/>
    <w:rsid w:val="00973A96"/>
    <w:rsid w:val="009745A0"/>
    <w:rsid w:val="009A1CCB"/>
    <w:rsid w:val="009A2AF9"/>
    <w:rsid w:val="009A35FA"/>
    <w:rsid w:val="009A7A42"/>
    <w:rsid w:val="009C0D6F"/>
    <w:rsid w:val="009C7976"/>
    <w:rsid w:val="009C7E19"/>
    <w:rsid w:val="009D2A57"/>
    <w:rsid w:val="009E072C"/>
    <w:rsid w:val="009F0F8C"/>
    <w:rsid w:val="009F2146"/>
    <w:rsid w:val="00A110D6"/>
    <w:rsid w:val="00A31792"/>
    <w:rsid w:val="00A45FA8"/>
    <w:rsid w:val="00A47680"/>
    <w:rsid w:val="00A47C31"/>
    <w:rsid w:val="00A54022"/>
    <w:rsid w:val="00A54BBA"/>
    <w:rsid w:val="00A65937"/>
    <w:rsid w:val="00A80851"/>
    <w:rsid w:val="00A91A77"/>
    <w:rsid w:val="00A91C7C"/>
    <w:rsid w:val="00AC1A20"/>
    <w:rsid w:val="00AF0673"/>
    <w:rsid w:val="00B07776"/>
    <w:rsid w:val="00B10443"/>
    <w:rsid w:val="00B14244"/>
    <w:rsid w:val="00B16250"/>
    <w:rsid w:val="00B3111B"/>
    <w:rsid w:val="00B311C3"/>
    <w:rsid w:val="00B365D4"/>
    <w:rsid w:val="00B41D29"/>
    <w:rsid w:val="00B4255E"/>
    <w:rsid w:val="00B476B4"/>
    <w:rsid w:val="00B50FE8"/>
    <w:rsid w:val="00B55AA1"/>
    <w:rsid w:val="00B61ACE"/>
    <w:rsid w:val="00B670F0"/>
    <w:rsid w:val="00B8190A"/>
    <w:rsid w:val="00B90135"/>
    <w:rsid w:val="00BA6B61"/>
    <w:rsid w:val="00BA6ED8"/>
    <w:rsid w:val="00BB4095"/>
    <w:rsid w:val="00BC1A19"/>
    <w:rsid w:val="00BD3B00"/>
    <w:rsid w:val="00BD7785"/>
    <w:rsid w:val="00BE0363"/>
    <w:rsid w:val="00BF4BE0"/>
    <w:rsid w:val="00BF5F86"/>
    <w:rsid w:val="00C04C74"/>
    <w:rsid w:val="00C07A10"/>
    <w:rsid w:val="00C1343D"/>
    <w:rsid w:val="00C17F12"/>
    <w:rsid w:val="00C45909"/>
    <w:rsid w:val="00C519F5"/>
    <w:rsid w:val="00C60D4B"/>
    <w:rsid w:val="00C6328E"/>
    <w:rsid w:val="00C74101"/>
    <w:rsid w:val="00C747D9"/>
    <w:rsid w:val="00C76EC2"/>
    <w:rsid w:val="00C86147"/>
    <w:rsid w:val="00C92700"/>
    <w:rsid w:val="00C97630"/>
    <w:rsid w:val="00CA34BC"/>
    <w:rsid w:val="00CC66FC"/>
    <w:rsid w:val="00CD0BDE"/>
    <w:rsid w:val="00CD6FA8"/>
    <w:rsid w:val="00D06286"/>
    <w:rsid w:val="00D13BAA"/>
    <w:rsid w:val="00D1543B"/>
    <w:rsid w:val="00D20FC4"/>
    <w:rsid w:val="00D2473E"/>
    <w:rsid w:val="00D247BD"/>
    <w:rsid w:val="00D314D8"/>
    <w:rsid w:val="00D400BB"/>
    <w:rsid w:val="00D60428"/>
    <w:rsid w:val="00D609D0"/>
    <w:rsid w:val="00D756F0"/>
    <w:rsid w:val="00D75E9C"/>
    <w:rsid w:val="00D81BF5"/>
    <w:rsid w:val="00D90241"/>
    <w:rsid w:val="00D93DD8"/>
    <w:rsid w:val="00D95B64"/>
    <w:rsid w:val="00D96861"/>
    <w:rsid w:val="00DB0763"/>
    <w:rsid w:val="00DC77D6"/>
    <w:rsid w:val="00DD3211"/>
    <w:rsid w:val="00DE6956"/>
    <w:rsid w:val="00DF4573"/>
    <w:rsid w:val="00E00316"/>
    <w:rsid w:val="00E11CE7"/>
    <w:rsid w:val="00E30BF0"/>
    <w:rsid w:val="00E33154"/>
    <w:rsid w:val="00E4235E"/>
    <w:rsid w:val="00E50A0A"/>
    <w:rsid w:val="00E527DD"/>
    <w:rsid w:val="00E81BD2"/>
    <w:rsid w:val="00E85108"/>
    <w:rsid w:val="00E853A8"/>
    <w:rsid w:val="00E92875"/>
    <w:rsid w:val="00E946C0"/>
    <w:rsid w:val="00EA2425"/>
    <w:rsid w:val="00EA45B2"/>
    <w:rsid w:val="00EA45C5"/>
    <w:rsid w:val="00EA639D"/>
    <w:rsid w:val="00EC564C"/>
    <w:rsid w:val="00ED0C48"/>
    <w:rsid w:val="00F01B4F"/>
    <w:rsid w:val="00F079ED"/>
    <w:rsid w:val="00F15B45"/>
    <w:rsid w:val="00F20C6B"/>
    <w:rsid w:val="00F27360"/>
    <w:rsid w:val="00F3777A"/>
    <w:rsid w:val="00F43BC2"/>
    <w:rsid w:val="00F7072F"/>
    <w:rsid w:val="00F75C06"/>
    <w:rsid w:val="00F76186"/>
    <w:rsid w:val="00F77EC3"/>
    <w:rsid w:val="00F813DE"/>
    <w:rsid w:val="00FA0FF3"/>
    <w:rsid w:val="00FA2A76"/>
    <w:rsid w:val="00FA5AE9"/>
    <w:rsid w:val="00FA63C1"/>
    <w:rsid w:val="00FC0A64"/>
    <w:rsid w:val="00FC4652"/>
    <w:rsid w:val="00FD1B33"/>
    <w:rsid w:val="00FE1198"/>
    <w:rsid w:val="00FE2E7D"/>
    <w:rsid w:val="00FE54EB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3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F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F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F4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33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833AC5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33A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AC5"/>
  </w:style>
  <w:style w:type="paragraph" w:styleId="Tekstpodstawowywcity">
    <w:name w:val="Body Text Indent"/>
    <w:basedOn w:val="Normalny"/>
    <w:link w:val="TekstpodstawowywcityZnak"/>
    <w:uiPriority w:val="99"/>
    <w:unhideWhenUsed/>
    <w:rsid w:val="00833A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33AC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33AC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33AC5"/>
  </w:style>
  <w:style w:type="paragraph" w:styleId="Nagwek">
    <w:name w:val="header"/>
    <w:basedOn w:val="Normalny"/>
    <w:link w:val="NagwekZnak"/>
    <w:uiPriority w:val="99"/>
    <w:unhideWhenUsed/>
    <w:rsid w:val="0021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6CA"/>
  </w:style>
  <w:style w:type="paragraph" w:styleId="Stopka">
    <w:name w:val="footer"/>
    <w:basedOn w:val="Normalny"/>
    <w:link w:val="StopkaZnak"/>
    <w:uiPriority w:val="99"/>
    <w:unhideWhenUsed/>
    <w:rsid w:val="0021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6CA"/>
  </w:style>
  <w:style w:type="paragraph" w:styleId="Tekstdymka">
    <w:name w:val="Balloon Text"/>
    <w:basedOn w:val="Normalny"/>
    <w:link w:val="TekstdymkaZnak"/>
    <w:uiPriority w:val="99"/>
    <w:semiHidden/>
    <w:unhideWhenUsed/>
    <w:rsid w:val="0053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38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C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C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C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3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F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F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F4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33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833AC5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33A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AC5"/>
  </w:style>
  <w:style w:type="paragraph" w:styleId="Tekstpodstawowywcity">
    <w:name w:val="Body Text Indent"/>
    <w:basedOn w:val="Normalny"/>
    <w:link w:val="TekstpodstawowywcityZnak"/>
    <w:uiPriority w:val="99"/>
    <w:unhideWhenUsed/>
    <w:rsid w:val="00833A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33AC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33AC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33AC5"/>
  </w:style>
  <w:style w:type="paragraph" w:styleId="Nagwek">
    <w:name w:val="header"/>
    <w:basedOn w:val="Normalny"/>
    <w:link w:val="NagwekZnak"/>
    <w:uiPriority w:val="99"/>
    <w:unhideWhenUsed/>
    <w:rsid w:val="0021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6CA"/>
  </w:style>
  <w:style w:type="paragraph" w:styleId="Stopka">
    <w:name w:val="footer"/>
    <w:basedOn w:val="Normalny"/>
    <w:link w:val="StopkaZnak"/>
    <w:uiPriority w:val="99"/>
    <w:unhideWhenUsed/>
    <w:rsid w:val="0021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6CA"/>
  </w:style>
  <w:style w:type="paragraph" w:styleId="Tekstdymka">
    <w:name w:val="Balloon Text"/>
    <w:basedOn w:val="Normalny"/>
    <w:link w:val="TekstdymkaZnak"/>
    <w:uiPriority w:val="99"/>
    <w:semiHidden/>
    <w:unhideWhenUsed/>
    <w:rsid w:val="0053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38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C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C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C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8AC7-EBE2-46D0-8A44-EFA73F67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3219</Words>
  <Characters>19318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2016-08-30T10:31:00Z</dcterms:created>
  <dcterms:modified xsi:type="dcterms:W3CDTF">2016-08-30T10:31:00Z</dcterms:modified>
</cp:coreProperties>
</file>