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4776" w14:textId="77777777" w:rsidR="007044D7" w:rsidRDefault="00000000">
      <w:pPr>
        <w:ind w:left="8327"/>
        <w:rPr>
          <w:rFonts w:ascii="Times New Roman"/>
          <w:sz w:val="20"/>
        </w:rPr>
      </w:pPr>
      <w:r>
        <w:rPr>
          <w:rFonts w:ascii="Times New Roman"/>
          <w:noProof/>
          <w:sz w:val="20"/>
        </w:rPr>
        <w:drawing>
          <wp:inline distT="0" distB="0" distL="0" distR="0" wp14:anchorId="781A032A" wp14:editId="18F852CE">
            <wp:extent cx="1431702" cy="37185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31702" cy="371855"/>
                    </a:xfrm>
                    <a:prstGeom prst="rect">
                      <a:avLst/>
                    </a:prstGeom>
                  </pic:spPr>
                </pic:pic>
              </a:graphicData>
            </a:graphic>
          </wp:inline>
        </w:drawing>
      </w:r>
    </w:p>
    <w:p w14:paraId="331751AF" w14:textId="77777777" w:rsidR="007044D7" w:rsidRDefault="007044D7">
      <w:pPr>
        <w:pStyle w:val="Tekstpodstawowy"/>
        <w:rPr>
          <w:rFonts w:ascii="Times New Roman"/>
          <w:sz w:val="18"/>
        </w:rPr>
      </w:pPr>
    </w:p>
    <w:p w14:paraId="20A57BEB" w14:textId="77777777" w:rsidR="007044D7" w:rsidRDefault="007044D7">
      <w:pPr>
        <w:pStyle w:val="Tekstpodstawowy"/>
        <w:rPr>
          <w:rFonts w:ascii="Times New Roman"/>
          <w:sz w:val="18"/>
        </w:rPr>
      </w:pPr>
    </w:p>
    <w:p w14:paraId="078FBBF1" w14:textId="77777777" w:rsidR="007044D7" w:rsidRDefault="007044D7">
      <w:pPr>
        <w:pStyle w:val="Tekstpodstawowy"/>
        <w:rPr>
          <w:rFonts w:ascii="Times New Roman"/>
          <w:sz w:val="18"/>
        </w:rPr>
      </w:pPr>
    </w:p>
    <w:p w14:paraId="3029D0A9" w14:textId="77777777" w:rsidR="007044D7" w:rsidRDefault="007044D7">
      <w:pPr>
        <w:pStyle w:val="Tekstpodstawowy"/>
        <w:spacing w:before="61"/>
        <w:rPr>
          <w:rFonts w:ascii="Times New Roman"/>
          <w:sz w:val="18"/>
        </w:rPr>
      </w:pPr>
    </w:p>
    <w:p w14:paraId="4F36C181" w14:textId="77777777" w:rsidR="007044D7" w:rsidRPr="006D571B" w:rsidRDefault="00000000">
      <w:pPr>
        <w:spacing w:before="1"/>
        <w:ind w:right="85"/>
        <w:jc w:val="right"/>
        <w:rPr>
          <w:sz w:val="18"/>
          <w:lang w:val="pl-PL"/>
        </w:rPr>
      </w:pPr>
      <w:r>
        <w:rPr>
          <w:noProof/>
          <w:sz w:val="18"/>
        </w:rPr>
        <mc:AlternateContent>
          <mc:Choice Requires="wps">
            <w:drawing>
              <wp:anchor distT="0" distB="0" distL="0" distR="0" simplePos="0" relativeHeight="251659264" behindDoc="1" locked="0" layoutInCell="1" allowOverlap="1" wp14:anchorId="098D55B9" wp14:editId="0E1E461E">
                <wp:simplePos x="0" y="0"/>
                <wp:positionH relativeFrom="page">
                  <wp:posOffset>465453</wp:posOffset>
                </wp:positionH>
                <wp:positionV relativeFrom="paragraph">
                  <wp:posOffset>174923</wp:posOffset>
                </wp:positionV>
                <wp:extent cx="66294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15236B50" id="Graphic 2" o:spid="_x0000_s1026" style="position:absolute;margin-left:36.65pt;margin-top:13.75pt;width:52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" path="m,l6629400,e" filled="f" strokecolor="gray">
                <v:path arrowok="t"/>
                <w10:wrap type="topAndBottom" anchorx="page"/>
              </v:shape>
            </w:pict>
          </mc:Fallback>
        </mc:AlternateContent>
      </w:r>
      <w:r>
        <w:rPr>
          <w:noProof/>
          <w:sz w:val="18"/>
        </w:rPr>
        <w:drawing>
          <wp:anchor distT="0" distB="0" distL="0" distR="0" simplePos="0" relativeHeight="251658240" behindDoc="0" locked="0" layoutInCell="1" allowOverlap="1" wp14:anchorId="3A74B14F" wp14:editId="29C2F752">
            <wp:simplePos x="0" y="0"/>
            <wp:positionH relativeFrom="page">
              <wp:posOffset>442594</wp:posOffset>
            </wp:positionH>
            <wp:positionV relativeFrom="paragraph">
              <wp:posOffset>-823436</wp:posOffset>
            </wp:positionV>
            <wp:extent cx="2390772" cy="885818"/>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90772" cy="885818"/>
                    </a:xfrm>
                    <a:prstGeom prst="rect">
                      <a:avLst/>
                    </a:prstGeom>
                  </pic:spPr>
                </pic:pic>
              </a:graphicData>
            </a:graphic>
          </wp:anchor>
        </w:drawing>
      </w:r>
      <w:r w:rsidRPr="006D571B">
        <w:rPr>
          <w:w w:val="125"/>
          <w:sz w:val="17"/>
          <w:lang w:val="pl-PL"/>
        </w:rPr>
        <w:t xml:space="preserve">Arkusz informacyjny – Nadzór w </w:t>
      </w:r>
      <w:r w:rsidRPr="006D571B">
        <w:rPr>
          <w:spacing w:val="-2"/>
          <w:w w:val="125"/>
          <w:sz w:val="17"/>
          <w:lang w:val="pl-PL"/>
        </w:rPr>
        <w:t>miejscu pracy</w:t>
      </w:r>
    </w:p>
    <w:p w14:paraId="02AA511A" w14:textId="77777777" w:rsidR="007044D7" w:rsidRPr="006D571B" w:rsidRDefault="007044D7">
      <w:pPr>
        <w:pStyle w:val="Tekstpodstawowy"/>
        <w:spacing w:before="18"/>
        <w:rPr>
          <w:sz w:val="18"/>
          <w:lang w:val="pl-PL"/>
        </w:rPr>
      </w:pPr>
    </w:p>
    <w:p w14:paraId="5AF600C0" w14:textId="77777777" w:rsidR="007044D7" w:rsidRPr="006D571B" w:rsidRDefault="00000000">
      <w:pPr>
        <w:spacing w:before="1"/>
        <w:ind w:left="4387" w:right="449" w:firstLine="4072"/>
        <w:rPr>
          <w:sz w:val="18"/>
          <w:lang w:val="pl-PL"/>
        </w:rPr>
      </w:pPr>
      <w:r w:rsidRPr="006D571B">
        <w:rPr>
          <w:color w:val="EB7E12"/>
          <w:w w:val="120"/>
          <w:sz w:val="17"/>
          <w:lang w:val="pl-PL"/>
        </w:rPr>
        <w:t xml:space="preserve">Grudzień 2022 Niniejsza nota informacyjna nie jest wiążąca dla Trybunału i nie ma </w:t>
      </w:r>
      <w:r w:rsidRPr="006D571B">
        <w:rPr>
          <w:color w:val="EB7E12"/>
          <w:spacing w:val="-2"/>
          <w:w w:val="120"/>
          <w:sz w:val="17"/>
          <w:lang w:val="pl-PL"/>
        </w:rPr>
        <w:t>charakteru wyczerpującego.</w:t>
      </w:r>
    </w:p>
    <w:p w14:paraId="2A87A955" w14:textId="77777777" w:rsidR="007044D7" w:rsidRPr="006D571B" w:rsidRDefault="007044D7">
      <w:pPr>
        <w:pStyle w:val="Tekstpodstawowy"/>
        <w:spacing w:before="36"/>
        <w:rPr>
          <w:sz w:val="18"/>
          <w:lang w:val="pl-PL"/>
        </w:rPr>
      </w:pPr>
    </w:p>
    <w:p w14:paraId="3177FBB8" w14:textId="77777777" w:rsidR="007044D7" w:rsidRDefault="00000000">
      <w:pPr>
        <w:pStyle w:val="Tytu"/>
      </w:pPr>
      <w:r>
        <w:rPr>
          <w:color w:val="0071BB"/>
          <w:w w:val="120"/>
          <w:sz w:val="47"/>
        </w:rPr>
        <w:t xml:space="preserve">Nadzór w </w:t>
      </w:r>
      <w:r>
        <w:rPr>
          <w:color w:val="0071BB"/>
          <w:spacing w:val="-2"/>
          <w:w w:val="120"/>
          <w:sz w:val="47"/>
        </w:rPr>
        <w:t>miejscu pracy</w:t>
      </w:r>
    </w:p>
    <w:p w14:paraId="63009384" w14:textId="77777777" w:rsidR="007044D7" w:rsidRDefault="00000000">
      <w:pPr>
        <w:spacing w:line="60" w:lineRule="exact"/>
        <w:ind w:left="845"/>
        <w:rPr>
          <w:sz w:val="6"/>
        </w:rPr>
      </w:pPr>
      <w:r>
        <w:rPr>
          <w:noProof/>
          <w:sz w:val="6"/>
        </w:rPr>
        <mc:AlternateContent>
          <mc:Choice Requires="wpg">
            <w:drawing>
              <wp:inline distT="0" distB="0" distL="0" distR="0" wp14:anchorId="3796D38A" wp14:editId="303E2B4D">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2F624DCB"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28280858" w14:textId="77777777" w:rsidR="007044D7" w:rsidRDefault="00000000">
      <w:pPr>
        <w:pStyle w:val="Tekstpodstawowy"/>
        <w:spacing w:before="88"/>
      </w:pPr>
      <w:r>
        <w:rPr>
          <w:noProof/>
        </w:rPr>
        <mc:AlternateContent>
          <mc:Choice Requires="wps">
            <w:drawing>
              <wp:anchor distT="0" distB="0" distL="0" distR="0" simplePos="0" relativeHeight="251661312" behindDoc="1" locked="0" layoutInCell="1" allowOverlap="1" wp14:anchorId="5C0FFE77" wp14:editId="6CA1FEBC">
                <wp:simplePos x="0" y="0"/>
                <wp:positionH relativeFrom="page">
                  <wp:posOffset>842772</wp:posOffset>
                </wp:positionH>
                <wp:positionV relativeFrom="paragraph">
                  <wp:posOffset>229524</wp:posOffset>
                </wp:positionV>
                <wp:extent cx="5875020" cy="2303145"/>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875020" cy="2303145"/>
                        </a:xfrm>
                        <a:prstGeom prst="rect">
                          <a:avLst/>
                        </a:prstGeom>
                        <a:solidFill>
                          <a:srgbClr val="F3F3F3"/>
                        </a:solidFill>
                        <a:ln w="6096">
                          <a:solidFill>
                            <a:srgbClr val="000000"/>
                          </a:solidFill>
                          <a:prstDash val="dot"/>
                        </a:ln>
                      </wps:spPr>
                      <wps:txbx>
                        <w:txbxContent>
                          <w:p w14:paraId="14C4C00F" w14:textId="0A58B30F" w:rsidR="007044D7" w:rsidRPr="006D571B" w:rsidRDefault="00000000">
                            <w:pPr>
                              <w:spacing w:before="31" w:line="249" w:lineRule="auto"/>
                              <w:ind w:left="107" w:right="108"/>
                              <w:jc w:val="both"/>
                              <w:rPr>
                                <w:color w:val="000000"/>
                                <w:sz w:val="20"/>
                                <w:lang w:val="pl-PL"/>
                              </w:rPr>
                            </w:pPr>
                            <w:r w:rsidRPr="006D571B">
                              <w:rPr>
                                <w:rFonts w:ascii="Arial"/>
                                <w:b/>
                                <w:color w:val="404040"/>
                                <w:w w:val="120"/>
                                <w:sz w:val="19"/>
                                <w:lang w:val="pl-PL"/>
                              </w:rPr>
                              <w:t>Artyku</w:t>
                            </w:r>
                            <w:r w:rsidRPr="006D571B">
                              <w:rPr>
                                <w:rFonts w:ascii="Arial"/>
                                <w:b/>
                                <w:color w:val="404040"/>
                                <w:w w:val="120"/>
                                <w:sz w:val="19"/>
                                <w:lang w:val="pl-PL"/>
                              </w:rPr>
                              <w:t>ł</w:t>
                            </w:r>
                            <w:r w:rsidRPr="006D571B">
                              <w:rPr>
                                <w:rFonts w:ascii="Arial"/>
                                <w:b/>
                                <w:color w:val="404040"/>
                                <w:w w:val="120"/>
                                <w:sz w:val="19"/>
                                <w:lang w:val="pl-PL"/>
                              </w:rPr>
                              <w:t xml:space="preserve"> 8 (prawo do poszanowania </w:t>
                            </w:r>
                            <w:r w:rsidRPr="006D571B">
                              <w:rPr>
                                <w:rFonts w:ascii="Arial"/>
                                <w:b/>
                                <w:color w:val="4D4D4D"/>
                                <w:w w:val="120"/>
                                <w:sz w:val="19"/>
                                <w:lang w:val="pl-PL"/>
                              </w:rPr>
                              <w:t>ż</w:t>
                            </w:r>
                            <w:r w:rsidRPr="006D571B">
                              <w:rPr>
                                <w:rFonts w:ascii="Arial"/>
                                <w:b/>
                                <w:color w:val="4D4D4D"/>
                                <w:w w:val="120"/>
                                <w:sz w:val="19"/>
                                <w:lang w:val="pl-PL"/>
                              </w:rPr>
                              <w:t xml:space="preserve">ycia </w:t>
                            </w:r>
                            <w:r w:rsidRPr="006D571B">
                              <w:rPr>
                                <w:rFonts w:ascii="Arial"/>
                                <w:b/>
                                <w:color w:val="404040"/>
                                <w:w w:val="120"/>
                                <w:sz w:val="19"/>
                                <w:lang w:val="pl-PL"/>
                              </w:rPr>
                              <w:t>prywatnego</w:t>
                            </w:r>
                            <w:r w:rsidR="0032645C" w:rsidRPr="006D571B">
                              <w:rPr>
                                <w:rFonts w:ascii="Arial"/>
                                <w:b/>
                                <w:color w:val="404040"/>
                                <w:w w:val="120"/>
                                <w:sz w:val="19"/>
                                <w:lang w:val="pl-PL"/>
                              </w:rPr>
                              <w:t>,</w:t>
                            </w:r>
                            <w:r w:rsidRPr="006D571B">
                              <w:rPr>
                                <w:rFonts w:ascii="Arial"/>
                                <w:b/>
                                <w:color w:val="404040"/>
                                <w:w w:val="120"/>
                                <w:sz w:val="19"/>
                                <w:lang w:val="pl-PL"/>
                              </w:rPr>
                              <w:t xml:space="preserve"> rodzinnego</w:t>
                            </w:r>
                            <w:r w:rsidRPr="006D571B">
                              <w:rPr>
                                <w:rFonts w:ascii="Arial"/>
                                <w:b/>
                                <w:color w:val="4D4D4D"/>
                                <w:w w:val="120"/>
                                <w:sz w:val="19"/>
                                <w:lang w:val="pl-PL"/>
                              </w:rPr>
                              <w:t xml:space="preserve">, domu i korespondencji) </w:t>
                            </w:r>
                            <w:hyperlink r:id="rId9">
                              <w:r w:rsidR="007044D7" w:rsidRPr="006D571B">
                                <w:rPr>
                                  <w:rFonts w:ascii="Arial"/>
                                  <w:b/>
                                  <w:color w:val="0071BB"/>
                                  <w:w w:val="120"/>
                                  <w:sz w:val="19"/>
                                  <w:u w:val="dotted" w:color="0071BB"/>
                                  <w:lang w:val="pl-PL"/>
                                </w:rPr>
                                <w:t>Europejskiej konwencji praw cz</w:t>
                              </w:r>
                              <w:r w:rsidR="007044D7" w:rsidRPr="006D571B">
                                <w:rPr>
                                  <w:rFonts w:ascii="Arial"/>
                                  <w:b/>
                                  <w:color w:val="0071BB"/>
                                  <w:w w:val="120"/>
                                  <w:sz w:val="19"/>
                                  <w:u w:val="dotted" w:color="0071BB"/>
                                  <w:lang w:val="pl-PL"/>
                                </w:rPr>
                                <w:t>ł</w:t>
                              </w:r>
                              <w:r w:rsidR="007044D7" w:rsidRPr="006D571B">
                                <w:rPr>
                                  <w:rFonts w:ascii="Arial"/>
                                  <w:b/>
                                  <w:color w:val="0071BB"/>
                                  <w:w w:val="120"/>
                                  <w:sz w:val="19"/>
                                  <w:u w:val="dotted" w:color="0071BB"/>
                                  <w:lang w:val="pl-PL"/>
                                </w:rPr>
                                <w:t>owieka</w:t>
                              </w:r>
                            </w:hyperlink>
                            <w:r w:rsidRPr="006D571B">
                              <w:rPr>
                                <w:color w:val="404040"/>
                                <w:w w:val="120"/>
                                <w:sz w:val="19"/>
                                <w:lang w:val="pl-PL"/>
                              </w:rPr>
                              <w:t xml:space="preserve"> stanowi, że:</w:t>
                            </w:r>
                          </w:p>
                          <w:p w14:paraId="5B08B9E4" w14:textId="77777777" w:rsidR="007044D7" w:rsidRPr="006D571B" w:rsidRDefault="00000000">
                            <w:pPr>
                              <w:spacing w:before="51"/>
                              <w:ind w:left="107" w:right="107" w:firstLine="141"/>
                              <w:jc w:val="both"/>
                              <w:rPr>
                                <w:i/>
                                <w:color w:val="000000"/>
                                <w:sz w:val="20"/>
                                <w:lang w:val="pl-PL"/>
                              </w:rPr>
                            </w:pPr>
                            <w:r w:rsidRPr="006D571B">
                              <w:rPr>
                                <w:i/>
                                <w:color w:val="404040"/>
                                <w:w w:val="125"/>
                                <w:sz w:val="19"/>
                                <w:lang w:val="pl-PL"/>
                              </w:rPr>
                              <w:t xml:space="preserve">„1. Każdy ma prawo do poszanowania swojego życia prywatnego i rodzinnego, swojego domu i swojej </w:t>
                            </w:r>
                            <w:r w:rsidRPr="006D571B">
                              <w:rPr>
                                <w:i/>
                                <w:color w:val="404040"/>
                                <w:spacing w:val="-2"/>
                                <w:w w:val="125"/>
                                <w:sz w:val="19"/>
                                <w:lang w:val="pl-PL"/>
                              </w:rPr>
                              <w:t>korespondencji.</w:t>
                            </w:r>
                          </w:p>
                          <w:p w14:paraId="78D053BD" w14:textId="77777777" w:rsidR="007044D7" w:rsidRPr="006D571B" w:rsidRDefault="00000000">
                            <w:pPr>
                              <w:spacing w:before="37"/>
                              <w:ind w:left="107" w:right="104" w:firstLine="139"/>
                              <w:jc w:val="both"/>
                              <w:rPr>
                                <w:i/>
                                <w:color w:val="000000"/>
                                <w:sz w:val="20"/>
                                <w:lang w:val="pl-PL"/>
                              </w:rPr>
                            </w:pPr>
                            <w:r w:rsidRPr="006D571B">
                              <w:rPr>
                                <w:i/>
                                <w:color w:val="404040"/>
                                <w:w w:val="120"/>
                                <w:sz w:val="19"/>
                                <w:lang w:val="pl-PL"/>
                              </w:rPr>
                              <w:t>2. Władze publiczne nie mogą ingerować w wykonywanie tego prawa, z wyjątkiem przypadków zgodnych z prawem i niezbędnych w demokratycznym społeczeństwie w interesie bezpieczeństwa narodowego, bezpieczeństwa publicznego lub dobrobytu gospodarczego kraju, w celu zapobiegania zakłóceniom porządku lub przestępstwom, w celu ochrony zdrowia lub moralności lub w celu ochrony praw i wolności innych osób.</w:t>
                            </w:r>
                          </w:p>
                          <w:p w14:paraId="6B2979C9" w14:textId="77777777" w:rsidR="007044D7" w:rsidRPr="006D571B" w:rsidRDefault="00000000">
                            <w:pPr>
                              <w:pStyle w:val="Tekstpodstawowy"/>
                              <w:spacing w:before="75"/>
                              <w:ind w:left="107" w:right="104"/>
                              <w:jc w:val="both"/>
                              <w:rPr>
                                <w:color w:val="000000"/>
                                <w:lang w:val="pl-PL"/>
                              </w:rPr>
                            </w:pPr>
                            <w:r w:rsidRPr="006D571B">
                              <w:rPr>
                                <w:color w:val="404040"/>
                                <w:w w:val="120"/>
                                <w:sz w:val="19"/>
                                <w:lang w:val="pl-PL"/>
                              </w:rPr>
                              <w:t>W celu ustalenia, czy ingerencja władz w życie prywatne lub korespondencję skarżących była konieczna w demokratycznym społeczeństwie i czy osiągnięto właściwą równowagę między różnymi interesami, Europejski Trybunał Praw Człowieka bada, czy ingerencja była zgodna z prawem, miała uzasadniony cel lub cele i była proporcjonalna do zamierzonego celu lub celów.</w:t>
                            </w:r>
                          </w:p>
                        </w:txbxContent>
                      </wps:txbx>
                      <wps:bodyPr wrap="square" lIns="0" tIns="0" rIns="0" bIns="0" rtlCol="0"/>
                    </wps:wsp>
                  </a:graphicData>
                </a:graphic>
              </wp:anchor>
            </w:drawing>
          </mc:Choice>
          <mc:Fallback>
            <w:pict>
              <v:shapetype w14:anchorId="5C0FFE77" id="_x0000_t202" coordsize="21600,21600" o:spt="202" path="m,l,21600r21600,l21600,xe">
                <v:stroke joinstyle="miter"/>
                <v:path gradientshapeok="t" o:connecttype="rect"/>
              </v:shapetype>
              <v:shape id="Textbox 6" o:spid="_x0000_s1026" type="#_x0000_t202" style="position:absolute;margin-left:66.35pt;margin-top:18.05pt;width:462.6pt;height:181.3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" fillcolor="#f3f3f3" strokeweight=".48pt">
                <v:stroke dashstyle="dot"/>
                <v:textbox inset="0,0,0,0">
                  <w:txbxContent>
                    <w:p w14:paraId="14C4C00F" w14:textId="0A58B30F" w:rsidR="007044D7" w:rsidRPr="006D571B" w:rsidRDefault="00000000">
                      <w:pPr>
                        <w:spacing w:before="31" w:line="249" w:lineRule="auto"/>
                        <w:ind w:left="107" w:right="108"/>
                        <w:jc w:val="both"/>
                        <w:rPr>
                          <w:color w:val="000000"/>
                          <w:sz w:val="20"/>
                          <w:lang w:val="pl-PL"/>
                        </w:rPr>
                      </w:pPr>
                      <w:r w:rsidRPr="006D571B">
                        <w:rPr>
                          <w:rFonts w:ascii="Arial"/>
                          <w:b/>
                          <w:color w:val="404040"/>
                          <w:w w:val="120"/>
                          <w:sz w:val="19"/>
                          <w:lang w:val="pl-PL"/>
                        </w:rPr>
                        <w:t>Artyku</w:t>
                      </w:r>
                      <w:r w:rsidRPr="006D571B">
                        <w:rPr>
                          <w:rFonts w:ascii="Arial"/>
                          <w:b/>
                          <w:color w:val="404040"/>
                          <w:w w:val="120"/>
                          <w:sz w:val="19"/>
                          <w:lang w:val="pl-PL"/>
                        </w:rPr>
                        <w:t>ł</w:t>
                      </w:r>
                      <w:r w:rsidRPr="006D571B">
                        <w:rPr>
                          <w:rFonts w:ascii="Arial"/>
                          <w:b/>
                          <w:color w:val="404040"/>
                          <w:w w:val="120"/>
                          <w:sz w:val="19"/>
                          <w:lang w:val="pl-PL"/>
                        </w:rPr>
                        <w:t xml:space="preserve"> 8 (prawo do poszanowania </w:t>
                      </w:r>
                      <w:r w:rsidRPr="006D571B">
                        <w:rPr>
                          <w:rFonts w:ascii="Arial"/>
                          <w:b/>
                          <w:color w:val="4D4D4D"/>
                          <w:w w:val="120"/>
                          <w:sz w:val="19"/>
                          <w:lang w:val="pl-PL"/>
                        </w:rPr>
                        <w:t>ż</w:t>
                      </w:r>
                      <w:r w:rsidRPr="006D571B">
                        <w:rPr>
                          <w:rFonts w:ascii="Arial"/>
                          <w:b/>
                          <w:color w:val="4D4D4D"/>
                          <w:w w:val="120"/>
                          <w:sz w:val="19"/>
                          <w:lang w:val="pl-PL"/>
                        </w:rPr>
                        <w:t xml:space="preserve">ycia </w:t>
                      </w:r>
                      <w:r w:rsidRPr="006D571B">
                        <w:rPr>
                          <w:rFonts w:ascii="Arial"/>
                          <w:b/>
                          <w:color w:val="404040"/>
                          <w:w w:val="120"/>
                          <w:sz w:val="19"/>
                          <w:lang w:val="pl-PL"/>
                        </w:rPr>
                        <w:t>prywatnego</w:t>
                      </w:r>
                      <w:r w:rsidR="0032645C" w:rsidRPr="006D571B">
                        <w:rPr>
                          <w:rFonts w:ascii="Arial"/>
                          <w:b/>
                          <w:color w:val="404040"/>
                          <w:w w:val="120"/>
                          <w:sz w:val="19"/>
                          <w:lang w:val="pl-PL"/>
                        </w:rPr>
                        <w:t>,</w:t>
                      </w:r>
                      <w:r w:rsidRPr="006D571B">
                        <w:rPr>
                          <w:rFonts w:ascii="Arial"/>
                          <w:b/>
                          <w:color w:val="404040"/>
                          <w:w w:val="120"/>
                          <w:sz w:val="19"/>
                          <w:lang w:val="pl-PL"/>
                        </w:rPr>
                        <w:t xml:space="preserve"> rodzinnego</w:t>
                      </w:r>
                      <w:r w:rsidRPr="006D571B">
                        <w:rPr>
                          <w:rFonts w:ascii="Arial"/>
                          <w:b/>
                          <w:color w:val="4D4D4D"/>
                          <w:w w:val="120"/>
                          <w:sz w:val="19"/>
                          <w:lang w:val="pl-PL"/>
                        </w:rPr>
                        <w:t xml:space="preserve">, domu i korespondencji) </w:t>
                      </w:r>
                      <w:hyperlink r:id="rId10">
                        <w:r w:rsidR="007044D7" w:rsidRPr="006D571B">
                          <w:rPr>
                            <w:rFonts w:ascii="Arial"/>
                            <w:b/>
                            <w:color w:val="0071BB"/>
                            <w:w w:val="120"/>
                            <w:sz w:val="19"/>
                            <w:u w:val="dotted" w:color="0071BB"/>
                            <w:lang w:val="pl-PL"/>
                          </w:rPr>
                          <w:t>Europejskiej konwencji praw cz</w:t>
                        </w:r>
                        <w:r w:rsidR="007044D7" w:rsidRPr="006D571B">
                          <w:rPr>
                            <w:rFonts w:ascii="Arial"/>
                            <w:b/>
                            <w:color w:val="0071BB"/>
                            <w:w w:val="120"/>
                            <w:sz w:val="19"/>
                            <w:u w:val="dotted" w:color="0071BB"/>
                            <w:lang w:val="pl-PL"/>
                          </w:rPr>
                          <w:t>ł</w:t>
                        </w:r>
                        <w:r w:rsidR="007044D7" w:rsidRPr="006D571B">
                          <w:rPr>
                            <w:rFonts w:ascii="Arial"/>
                            <w:b/>
                            <w:color w:val="0071BB"/>
                            <w:w w:val="120"/>
                            <w:sz w:val="19"/>
                            <w:u w:val="dotted" w:color="0071BB"/>
                            <w:lang w:val="pl-PL"/>
                          </w:rPr>
                          <w:t>owieka</w:t>
                        </w:r>
                      </w:hyperlink>
                      <w:r w:rsidRPr="006D571B">
                        <w:rPr>
                          <w:color w:val="404040"/>
                          <w:w w:val="120"/>
                          <w:sz w:val="19"/>
                          <w:lang w:val="pl-PL"/>
                        </w:rPr>
                        <w:t xml:space="preserve"> stanowi, że:</w:t>
                      </w:r>
                    </w:p>
                    <w:p w14:paraId="5B08B9E4" w14:textId="77777777" w:rsidR="007044D7" w:rsidRPr="006D571B" w:rsidRDefault="00000000">
                      <w:pPr>
                        <w:spacing w:before="51"/>
                        <w:ind w:left="107" w:right="107" w:firstLine="141"/>
                        <w:jc w:val="both"/>
                        <w:rPr>
                          <w:i/>
                          <w:color w:val="000000"/>
                          <w:sz w:val="20"/>
                          <w:lang w:val="pl-PL"/>
                        </w:rPr>
                      </w:pPr>
                      <w:r w:rsidRPr="006D571B">
                        <w:rPr>
                          <w:i/>
                          <w:color w:val="404040"/>
                          <w:w w:val="125"/>
                          <w:sz w:val="19"/>
                          <w:lang w:val="pl-PL"/>
                        </w:rPr>
                        <w:t xml:space="preserve">„1. Każdy ma prawo do poszanowania swojego życia prywatnego i rodzinnego, swojego domu i swojej </w:t>
                      </w:r>
                      <w:r w:rsidRPr="006D571B">
                        <w:rPr>
                          <w:i/>
                          <w:color w:val="404040"/>
                          <w:spacing w:val="-2"/>
                          <w:w w:val="125"/>
                          <w:sz w:val="19"/>
                          <w:lang w:val="pl-PL"/>
                        </w:rPr>
                        <w:t>korespondencji.</w:t>
                      </w:r>
                    </w:p>
                    <w:p w14:paraId="78D053BD" w14:textId="77777777" w:rsidR="007044D7" w:rsidRPr="006D571B" w:rsidRDefault="00000000">
                      <w:pPr>
                        <w:spacing w:before="37"/>
                        <w:ind w:left="107" w:right="104" w:firstLine="139"/>
                        <w:jc w:val="both"/>
                        <w:rPr>
                          <w:i/>
                          <w:color w:val="000000"/>
                          <w:sz w:val="20"/>
                          <w:lang w:val="pl-PL"/>
                        </w:rPr>
                      </w:pPr>
                      <w:r w:rsidRPr="006D571B">
                        <w:rPr>
                          <w:i/>
                          <w:color w:val="404040"/>
                          <w:w w:val="120"/>
                          <w:sz w:val="19"/>
                          <w:lang w:val="pl-PL"/>
                        </w:rPr>
                        <w:t>2. Władze publiczne nie mogą ingerować w wykonywanie tego prawa, z wyjątkiem przypadków zgodnych z prawem i niezbędnych w demokratycznym społeczeństwie w interesie bezpieczeństwa narodowego, bezpieczeństwa publicznego lub dobrobytu gospodarczego kraju, w celu zapobiegania zakłóceniom porządku lub przestępstwom, w celu ochrony zdrowia lub moralności lub w celu ochrony praw i wolności innych osób.</w:t>
                      </w:r>
                    </w:p>
                    <w:p w14:paraId="6B2979C9" w14:textId="77777777" w:rsidR="007044D7" w:rsidRPr="006D571B" w:rsidRDefault="00000000">
                      <w:pPr>
                        <w:pStyle w:val="Tekstpodstawowy"/>
                        <w:spacing w:before="75"/>
                        <w:ind w:left="107" w:right="104"/>
                        <w:jc w:val="both"/>
                        <w:rPr>
                          <w:color w:val="000000"/>
                          <w:lang w:val="pl-PL"/>
                        </w:rPr>
                      </w:pPr>
                      <w:r w:rsidRPr="006D571B">
                        <w:rPr>
                          <w:color w:val="404040"/>
                          <w:w w:val="120"/>
                          <w:sz w:val="19"/>
                          <w:lang w:val="pl-PL"/>
                        </w:rPr>
                        <w:t>W celu ustalenia, czy ingerencja władz w życie prywatne lub korespondencję skarżących była konieczna w demokratycznym społeczeństwie i czy osiągnięto właściwą równowagę między różnymi interesami, Europejski Trybunał Praw Człowieka bada, czy ingerencja była zgodna z prawem, miała uzasadniony cel lub cele i była proporcjonalna do zamierzonego celu lub celów.</w:t>
                      </w:r>
                    </w:p>
                  </w:txbxContent>
                </v:textbox>
                <w10:wrap type="topAndBottom" anchorx="page"/>
              </v:shape>
            </w:pict>
          </mc:Fallback>
        </mc:AlternateContent>
      </w:r>
    </w:p>
    <w:p w14:paraId="22D4E632" w14:textId="77777777" w:rsidR="007044D7" w:rsidRDefault="007044D7">
      <w:pPr>
        <w:pStyle w:val="Tekstpodstawowy"/>
        <w:spacing w:before="42"/>
        <w:rPr>
          <w:sz w:val="28"/>
        </w:rPr>
      </w:pPr>
    </w:p>
    <w:p w14:paraId="5C8FD7EA" w14:textId="77777777" w:rsidR="007044D7" w:rsidRPr="006D571B" w:rsidRDefault="00000000">
      <w:pPr>
        <w:pStyle w:val="Nagwek1"/>
        <w:jc w:val="left"/>
        <w:rPr>
          <w:lang w:val="pl-PL"/>
        </w:rPr>
      </w:pPr>
      <w:r w:rsidRPr="006D571B">
        <w:rPr>
          <w:color w:val="0071BB"/>
          <w:w w:val="120"/>
          <w:sz w:val="27"/>
          <w:lang w:val="pl-PL"/>
        </w:rPr>
        <w:t xml:space="preserve">Monitorowanie </w:t>
      </w:r>
      <w:r w:rsidRPr="006D571B">
        <w:rPr>
          <w:color w:val="0071BB"/>
          <w:spacing w:val="-5"/>
          <w:w w:val="120"/>
          <w:sz w:val="27"/>
          <w:lang w:val="pl-PL"/>
        </w:rPr>
        <w:t xml:space="preserve">korzystania </w:t>
      </w:r>
      <w:r w:rsidRPr="006D571B">
        <w:rPr>
          <w:color w:val="0071BB"/>
          <w:w w:val="120"/>
          <w:sz w:val="27"/>
          <w:lang w:val="pl-PL"/>
        </w:rPr>
        <w:t>z telefonu i Internetu</w:t>
      </w:r>
    </w:p>
    <w:p w14:paraId="155B1E5A" w14:textId="77777777" w:rsidR="007044D7" w:rsidRPr="006D571B" w:rsidRDefault="00000000">
      <w:pPr>
        <w:pStyle w:val="Tekstpodstawowy"/>
        <w:spacing w:before="12"/>
        <w:rPr>
          <w:sz w:val="7"/>
          <w:lang w:val="pl-PL"/>
        </w:rPr>
      </w:pPr>
      <w:r>
        <w:rPr>
          <w:noProof/>
          <w:sz w:val="7"/>
        </w:rPr>
        <mc:AlternateContent>
          <mc:Choice Requires="wps">
            <w:drawing>
              <wp:anchor distT="0" distB="0" distL="0" distR="0" simplePos="0" relativeHeight="251663360" behindDoc="1" locked="0" layoutInCell="1" allowOverlap="1" wp14:anchorId="1DB65488" wp14:editId="76D59DF9">
                <wp:simplePos x="0" y="0"/>
                <wp:positionH relativeFrom="page">
                  <wp:posOffset>896111</wp:posOffset>
                </wp:positionH>
                <wp:positionV relativeFrom="paragraph">
                  <wp:posOffset>77219</wp:posOffset>
                </wp:positionV>
                <wp:extent cx="5768340" cy="18415"/>
                <wp:effectExtent l="0" t="0" r="0" b="0"/>
                <wp:wrapTopAndBottom/>
                <wp:docPr id="7" name="Graphic 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518EB352" id="Graphic 7" o:spid="_x0000_s1026" style="position:absolute;margin-left:70.55pt;margin-top:6.1pt;width:454.2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" path="m5768340,l,,,18287r5768340,l5768340,xe" fillcolor="#999" stroked="f">
                <v:path arrowok="t"/>
                <w10:wrap type="topAndBottom" anchorx="page"/>
              </v:shape>
            </w:pict>
          </mc:Fallback>
        </mc:AlternateContent>
      </w:r>
    </w:p>
    <w:p w14:paraId="63A81D36" w14:textId="77777777" w:rsidR="007044D7" w:rsidRPr="006D571B" w:rsidRDefault="007044D7">
      <w:pPr>
        <w:pStyle w:val="Nagwek2"/>
        <w:rPr>
          <w:u w:val="none"/>
          <w:lang w:val="pl-PL"/>
        </w:rPr>
      </w:pPr>
      <w:hyperlink r:id="rId11">
        <w:r w:rsidRPr="006D571B">
          <w:rPr>
            <w:color w:val="0071BB"/>
            <w:w w:val="120"/>
            <w:sz w:val="19"/>
            <w:u w:val="dotted" w:color="0071BB"/>
            <w:lang w:val="pl-PL"/>
          </w:rPr>
          <w:t xml:space="preserve">Halford przeciwko Zjednoczonemu </w:t>
        </w:r>
        <w:r w:rsidRPr="006D571B">
          <w:rPr>
            <w:color w:val="0071BB"/>
            <w:spacing w:val="-2"/>
            <w:w w:val="120"/>
            <w:sz w:val="19"/>
            <w:u w:val="dotted" w:color="0071BB"/>
            <w:lang w:val="pl-PL"/>
          </w:rPr>
          <w:t>Królestwu</w:t>
        </w:r>
      </w:hyperlink>
    </w:p>
    <w:p w14:paraId="43759B80" w14:textId="77777777" w:rsidR="007044D7" w:rsidRPr="006D571B" w:rsidRDefault="00000000">
      <w:pPr>
        <w:spacing w:before="67"/>
        <w:ind w:left="874"/>
        <w:jc w:val="both"/>
        <w:rPr>
          <w:sz w:val="18"/>
          <w:lang w:val="pl-PL"/>
        </w:rPr>
      </w:pPr>
      <w:r w:rsidRPr="006D571B">
        <w:rPr>
          <w:color w:val="808080"/>
          <w:w w:val="125"/>
          <w:sz w:val="17"/>
          <w:lang w:val="pl-PL"/>
        </w:rPr>
        <w:t xml:space="preserve">25 czerwca 1997 r. </w:t>
      </w:r>
      <w:r w:rsidRPr="006D571B">
        <w:rPr>
          <w:color w:val="808080"/>
          <w:spacing w:val="-2"/>
          <w:w w:val="125"/>
          <w:sz w:val="17"/>
          <w:lang w:val="pl-PL"/>
        </w:rPr>
        <w:t>(wyrok)</w:t>
      </w:r>
    </w:p>
    <w:p w14:paraId="11DB5325" w14:textId="39F5911F" w:rsidR="007044D7" w:rsidRPr="006D571B" w:rsidRDefault="006D571B">
      <w:pPr>
        <w:pStyle w:val="Tekstpodstawowy"/>
        <w:spacing w:before="4"/>
        <w:ind w:left="873" w:right="730"/>
        <w:jc w:val="both"/>
        <w:rPr>
          <w:lang w:val="pl-PL"/>
        </w:rPr>
      </w:pPr>
      <w:r>
        <w:rPr>
          <w:w w:val="120"/>
          <w:sz w:val="19"/>
          <w:lang w:val="pl-PL"/>
        </w:rPr>
        <w:t>Skarżąca</w:t>
      </w:r>
      <w:r w:rsidR="00000000" w:rsidRPr="006D571B">
        <w:rPr>
          <w:w w:val="120"/>
          <w:sz w:val="19"/>
          <w:lang w:val="pl-PL"/>
        </w:rPr>
        <w:t>, która była najwyższ</w:t>
      </w:r>
      <w:r>
        <w:rPr>
          <w:w w:val="120"/>
          <w:sz w:val="19"/>
          <w:lang w:val="pl-PL"/>
        </w:rPr>
        <w:t>a</w:t>
      </w:r>
      <w:r w:rsidR="00000000" w:rsidRPr="006D571B">
        <w:rPr>
          <w:w w:val="120"/>
          <w:sz w:val="19"/>
          <w:lang w:val="pl-PL"/>
        </w:rPr>
        <w:t xml:space="preserve"> rangą kobietą w brytyjskiej policji, wniosła sprawę o dyskryminację po tym, jak przez siedem lat odmawiano jej awansu na stanowisko zastępcy komendanta głównego policji. Przed Europejskim Trybunałem Praw Człowieka twierdziła w szczególności, że jej rozmowy telefoniczne w biurze i w domu były podsłuchiwane w celu uzyskania informacji, które mogłyby zostać wykorzystane przeciwko niej w trakcie postępowania.</w:t>
      </w:r>
    </w:p>
    <w:p w14:paraId="26117D85" w14:textId="02F157DA" w:rsidR="007044D7" w:rsidRPr="006D571B" w:rsidRDefault="00000000">
      <w:pPr>
        <w:pStyle w:val="Tekstpodstawowy"/>
        <w:ind w:left="873" w:right="727"/>
        <w:jc w:val="both"/>
        <w:rPr>
          <w:rFonts w:asciiTheme="minorHAnsi" w:hAnsiTheme="minorHAnsi" w:cstheme="minorHAnsi"/>
          <w:lang w:val="pl-PL"/>
        </w:rPr>
      </w:pPr>
      <w:r w:rsidRPr="006D571B">
        <w:rPr>
          <w:color w:val="0071BB"/>
          <w:w w:val="120"/>
          <w:sz w:val="19"/>
          <w:lang w:val="pl-PL"/>
        </w:rPr>
        <w:t xml:space="preserve">Europejski Trybunał Praw Człowieka uznał, że doszło </w:t>
      </w:r>
      <w:r w:rsidRPr="006D571B">
        <w:rPr>
          <w:rFonts w:ascii="Arial" w:hAnsi="Arial"/>
          <w:b/>
          <w:color w:val="0071BC"/>
          <w:w w:val="120"/>
          <w:sz w:val="19"/>
          <w:lang w:val="pl-PL"/>
        </w:rPr>
        <w:t>do naruszenia art</w:t>
      </w:r>
      <w:r w:rsidRPr="006D571B">
        <w:rPr>
          <w:color w:val="0071BC"/>
          <w:w w:val="120"/>
          <w:sz w:val="19"/>
          <w:lang w:val="pl-PL"/>
        </w:rPr>
        <w:t>.</w:t>
      </w:r>
      <w:r w:rsidRPr="006D571B">
        <w:rPr>
          <w:rFonts w:ascii="Arial" w:hAnsi="Arial"/>
          <w:b/>
          <w:color w:val="0071BC"/>
          <w:w w:val="120"/>
          <w:sz w:val="19"/>
          <w:lang w:val="pl-PL"/>
        </w:rPr>
        <w:t xml:space="preserve"> 8 </w:t>
      </w:r>
      <w:r w:rsidRPr="006D571B">
        <w:rPr>
          <w:color w:val="0071BC"/>
          <w:w w:val="120"/>
          <w:sz w:val="19"/>
          <w:lang w:val="pl-PL"/>
        </w:rPr>
        <w:t>Europejskiej konwencji praw człowieka w odniesieniu do przechwytywania rozmów telefonicznych prowadzonych z telefonów służbowych skarżącej. Trybunał stwierdził najpierw, że rozmowy prowadzone przez skarżącą z telefonów służbowych wchodzą w zakres pojęć „życia prywatnego” i „korespondencji”, a zatem art. 8 konwencji ma zastosowanie do tej części skargi.</w:t>
      </w:r>
      <w:r w:rsidRPr="006D571B">
        <w:rPr>
          <w:color w:val="0071BC"/>
          <w:spacing w:val="40"/>
          <w:w w:val="120"/>
          <w:sz w:val="19"/>
          <w:lang w:val="pl-PL"/>
        </w:rPr>
        <w:t xml:space="preserve"> </w:t>
      </w:r>
      <w:r w:rsidR="00A72736" w:rsidRPr="006D571B">
        <w:rPr>
          <w:color w:val="0071BC"/>
          <w:w w:val="120"/>
          <w:sz w:val="19"/>
          <w:lang w:val="pl-PL"/>
        </w:rPr>
        <w:t>Trybunał zauważył również, że istniało uzasadnione prawdopodobieństwo, iż rozmowy prowadzone przez skarżącą z jej biura były podsłuchiwane przez policję, której głównym celem było zebranie materiału wspierającego w postępowaniu dotyczącym dyskryminacji ze względu na płeć, wytoczonym przeciwko nim. Takie podsłuchiwanie stanowiło ingerencję organu publicznego w wykonywanie przez skarżącą prawa do poszanowania życia prywatnego i korespondencji.</w:t>
      </w:r>
      <w:r w:rsidRPr="006D571B">
        <w:rPr>
          <w:color w:val="0071BC"/>
          <w:w w:val="120"/>
          <w:sz w:val="19"/>
          <w:lang w:val="pl-PL"/>
        </w:rPr>
        <w:t xml:space="preserve"> Wreszcie Trybunał zauważył, że ustawa o przechwytywaniu komunikacji z 1985 r. nie miała zastosowania do wewnętrznych systemów komunikacyjnych obsługiwanych przez organy publiczne i że </w:t>
      </w:r>
      <w:r w:rsidR="00784932" w:rsidRPr="006D571B">
        <w:rPr>
          <w:color w:val="0071BC"/>
          <w:w w:val="120"/>
          <w:sz w:val="19"/>
          <w:lang w:val="pl-PL"/>
        </w:rPr>
        <w:t xml:space="preserve">nie istniały inne przepisy krajowe regulujące podsłuchiwanie rozmów telefonicznych prowadzonych </w:t>
      </w:r>
      <w:r w:rsidRPr="006D571B">
        <w:rPr>
          <w:color w:val="0071BC"/>
          <w:w w:val="120"/>
          <w:sz w:val="19"/>
          <w:lang w:val="pl-PL"/>
        </w:rPr>
        <w:t>za pośrednictwem takich systemów.</w:t>
      </w:r>
      <w:r w:rsidRPr="006D571B">
        <w:rPr>
          <w:color w:val="0071BC"/>
          <w:spacing w:val="40"/>
          <w:w w:val="120"/>
          <w:sz w:val="19"/>
          <w:lang w:val="pl-PL"/>
        </w:rPr>
        <w:t xml:space="preserve"> </w:t>
      </w:r>
      <w:r w:rsidRPr="006D571B">
        <w:rPr>
          <w:color w:val="0071BC"/>
          <w:w w:val="120"/>
          <w:sz w:val="19"/>
          <w:lang w:val="pl-PL"/>
        </w:rPr>
        <w:t xml:space="preserve">Nie można zatem stwierdzić, że ingerencja była „zgodna z prawem”, ponieważ prawo krajowe nie zapewniało skarżącej odpowiedniej ochrony przed ingerencją policji w jej prawo do poszanowania życia prywatnego i korespondencji. W tej sprawie Trybunał stwierdził również, </w:t>
      </w:r>
      <w:r w:rsidR="003D75A7" w:rsidRPr="006D571B">
        <w:rPr>
          <w:color w:val="0071BC"/>
          <w:w w:val="120"/>
          <w:sz w:val="19"/>
          <w:lang w:val="pl-PL"/>
        </w:rPr>
        <w:t xml:space="preserve">że doszło </w:t>
      </w:r>
      <w:r w:rsidR="003D75A7" w:rsidRPr="006D571B">
        <w:rPr>
          <w:rFonts w:asciiTheme="minorHAnsi" w:hAnsiTheme="minorHAnsi" w:cstheme="minorHAnsi"/>
          <w:b/>
          <w:color w:val="0071BC"/>
          <w:w w:val="120"/>
          <w:sz w:val="19"/>
          <w:lang w:val="pl-PL"/>
        </w:rPr>
        <w:t>do</w:t>
      </w:r>
      <w:r w:rsidR="003D75A7" w:rsidRPr="006D571B">
        <w:rPr>
          <w:rFonts w:asciiTheme="minorHAnsi" w:hAnsiTheme="minorHAnsi" w:cstheme="minorHAnsi"/>
          <w:color w:val="0071BC"/>
          <w:w w:val="120"/>
          <w:sz w:val="19"/>
          <w:lang w:val="pl-PL"/>
        </w:rPr>
        <w:t xml:space="preserve"> </w:t>
      </w:r>
      <w:r w:rsidR="003D75A7" w:rsidRPr="006D571B">
        <w:rPr>
          <w:rFonts w:asciiTheme="minorHAnsi" w:hAnsiTheme="minorHAnsi" w:cstheme="minorHAnsi"/>
          <w:b/>
          <w:color w:val="0071BC"/>
          <w:w w:val="120"/>
          <w:sz w:val="19"/>
          <w:lang w:val="pl-PL"/>
        </w:rPr>
        <w:t>naruszenia art. 13</w:t>
      </w:r>
    </w:p>
    <w:p w14:paraId="0809314F" w14:textId="77777777" w:rsidR="007044D7" w:rsidRPr="006D571B" w:rsidRDefault="00000000">
      <w:pPr>
        <w:pStyle w:val="Tekstpodstawowy"/>
        <w:spacing w:before="5"/>
        <w:rPr>
          <w:sz w:val="15"/>
          <w:lang w:val="pl-PL"/>
        </w:rPr>
      </w:pPr>
      <w:r>
        <w:rPr>
          <w:noProof/>
          <w:sz w:val="15"/>
        </w:rPr>
        <w:drawing>
          <wp:anchor distT="0" distB="0" distL="0" distR="0" simplePos="0" relativeHeight="251665408" behindDoc="1" locked="0" layoutInCell="1" allowOverlap="1" wp14:anchorId="7C1A5EFA" wp14:editId="1ABA9109">
            <wp:simplePos x="0" y="0"/>
            <wp:positionH relativeFrom="page">
              <wp:posOffset>3399154</wp:posOffset>
            </wp:positionH>
            <wp:positionV relativeFrom="paragraph">
              <wp:posOffset>135165</wp:posOffset>
            </wp:positionV>
            <wp:extent cx="738806" cy="590550"/>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38806" cy="590550"/>
                    </a:xfrm>
                    <a:prstGeom prst="rect">
                      <a:avLst/>
                    </a:prstGeom>
                  </pic:spPr>
                </pic:pic>
              </a:graphicData>
            </a:graphic>
          </wp:anchor>
        </w:drawing>
      </w:r>
    </w:p>
    <w:p w14:paraId="63B55CF1" w14:textId="77777777" w:rsidR="007044D7" w:rsidRPr="006D571B" w:rsidRDefault="007044D7">
      <w:pPr>
        <w:pStyle w:val="Tekstpodstawowy"/>
        <w:rPr>
          <w:sz w:val="15"/>
          <w:lang w:val="pl-PL"/>
        </w:rPr>
        <w:sectPr w:rsidR="007044D7" w:rsidRPr="006D571B">
          <w:type w:val="continuous"/>
          <w:pgSz w:w="11910" w:h="16840"/>
          <w:pgMar w:top="720" w:right="708" w:bottom="280" w:left="566" w:header="708" w:footer="708" w:gutter="0"/>
          <w:cols w:space="708"/>
        </w:sectPr>
      </w:pPr>
    </w:p>
    <w:p w14:paraId="3FBB8110" w14:textId="50913E54" w:rsidR="007044D7" w:rsidRPr="006D571B" w:rsidRDefault="00000000">
      <w:pPr>
        <w:pStyle w:val="Tekstpodstawowy"/>
        <w:spacing w:before="240"/>
        <w:ind w:left="874" w:right="729"/>
        <w:jc w:val="both"/>
        <w:rPr>
          <w:lang w:val="pl-PL"/>
        </w:rPr>
      </w:pPr>
      <w:r w:rsidRPr="006D571B">
        <w:rPr>
          <w:color w:val="0071BC"/>
          <w:w w:val="120"/>
          <w:sz w:val="19"/>
          <w:lang w:val="pl-PL"/>
        </w:rPr>
        <w:lastRenderedPageBreak/>
        <w:t xml:space="preserve">(prawo do skutecznego środka odwoławczego) Konwencji, uznając, że skarżąca nie miała możliwości dochodzenia zadośćuczynienia na szczeblu krajowym w związku ze swoją skargą dotyczącą telefonów służbowych. Z drugiej strony Trybunał uznał, że </w:t>
      </w:r>
      <w:r w:rsidRPr="006D571B">
        <w:rPr>
          <w:rFonts w:asciiTheme="minorHAnsi" w:hAnsiTheme="minorHAnsi" w:cstheme="minorHAnsi"/>
          <w:b/>
          <w:color w:val="0071BC"/>
          <w:w w:val="120"/>
          <w:sz w:val="19"/>
          <w:lang w:val="pl-PL"/>
        </w:rPr>
        <w:t xml:space="preserve">nie </w:t>
      </w:r>
      <w:r w:rsidRPr="006D571B">
        <w:rPr>
          <w:rFonts w:asciiTheme="minorHAnsi" w:hAnsiTheme="minorHAnsi" w:cstheme="minorHAnsi"/>
          <w:color w:val="0071BC"/>
          <w:w w:val="120"/>
          <w:sz w:val="19"/>
          <w:lang w:val="pl-PL"/>
        </w:rPr>
        <w:t xml:space="preserve">doszło </w:t>
      </w:r>
      <w:r w:rsidRPr="006D571B">
        <w:rPr>
          <w:rFonts w:asciiTheme="minorHAnsi" w:hAnsiTheme="minorHAnsi" w:cstheme="minorHAnsi"/>
          <w:b/>
          <w:color w:val="0071BC"/>
          <w:w w:val="120"/>
          <w:sz w:val="19"/>
          <w:lang w:val="pl-PL"/>
        </w:rPr>
        <w:t>do naruszenia</w:t>
      </w:r>
      <w:r w:rsidRPr="006D571B">
        <w:rPr>
          <w:rFonts w:ascii="Arial" w:hAnsi="Arial"/>
          <w:b/>
          <w:color w:val="0071BC"/>
          <w:w w:val="120"/>
          <w:sz w:val="19"/>
          <w:lang w:val="pl-PL"/>
        </w:rPr>
        <w:t xml:space="preserve"> art. 8 </w:t>
      </w:r>
      <w:r w:rsidRPr="006D571B">
        <w:rPr>
          <w:color w:val="0071BC"/>
          <w:w w:val="120"/>
          <w:sz w:val="19"/>
          <w:lang w:val="pl-PL"/>
        </w:rPr>
        <w:t xml:space="preserve">ani </w:t>
      </w:r>
      <w:r w:rsidRPr="006D571B">
        <w:rPr>
          <w:rFonts w:ascii="Arial" w:hAnsi="Arial"/>
          <w:b/>
          <w:color w:val="0071BC"/>
          <w:w w:val="120"/>
          <w:sz w:val="19"/>
          <w:lang w:val="pl-PL"/>
        </w:rPr>
        <w:t xml:space="preserve">art. 13 </w:t>
      </w:r>
      <w:r w:rsidRPr="006D571B">
        <w:rPr>
          <w:color w:val="0071BC"/>
          <w:w w:val="120"/>
          <w:sz w:val="19"/>
          <w:lang w:val="pl-PL"/>
        </w:rPr>
        <w:t xml:space="preserve">Konwencji w odniesieniu do połączeń wykonywanych z domu skarżącej, ponieważ w szczególności nie </w:t>
      </w:r>
      <w:r w:rsidR="006D571B" w:rsidRPr="006D571B">
        <w:rPr>
          <w:color w:val="0071BC"/>
          <w:w w:val="120"/>
          <w:sz w:val="19"/>
          <w:lang w:val="pl-PL"/>
        </w:rPr>
        <w:t>stwierdzono</w:t>
      </w:r>
      <w:r w:rsidRPr="006D571B">
        <w:rPr>
          <w:color w:val="0071BC"/>
          <w:w w:val="120"/>
          <w:sz w:val="19"/>
          <w:lang w:val="pl-PL"/>
        </w:rPr>
        <w:t xml:space="preserve">, aby </w:t>
      </w:r>
      <w:r w:rsidR="00784932" w:rsidRPr="006D571B">
        <w:rPr>
          <w:color w:val="0071BC"/>
          <w:w w:val="120"/>
          <w:sz w:val="19"/>
          <w:lang w:val="pl-PL"/>
        </w:rPr>
        <w:t>doszło do ingerencji w t</w:t>
      </w:r>
      <w:r w:rsidR="006D571B">
        <w:rPr>
          <w:color w:val="0071BC"/>
          <w:w w:val="120"/>
          <w:sz w:val="19"/>
          <w:lang w:val="pl-PL"/>
        </w:rPr>
        <w:t>ą</w:t>
      </w:r>
      <w:r w:rsidR="00784932" w:rsidRPr="006D571B">
        <w:rPr>
          <w:color w:val="0071BC"/>
          <w:w w:val="120"/>
          <w:sz w:val="19"/>
          <w:lang w:val="pl-PL"/>
        </w:rPr>
        <w:t xml:space="preserve"> komunikacj</w:t>
      </w:r>
      <w:r w:rsidR="006D571B">
        <w:rPr>
          <w:color w:val="0071BC"/>
          <w:w w:val="120"/>
          <w:sz w:val="19"/>
          <w:lang w:val="pl-PL"/>
        </w:rPr>
        <w:t>ę</w:t>
      </w:r>
      <w:r w:rsidR="00784932" w:rsidRPr="006D571B">
        <w:rPr>
          <w:color w:val="0071BC"/>
          <w:w w:val="120"/>
          <w:sz w:val="19"/>
          <w:lang w:val="pl-PL"/>
        </w:rPr>
        <w:t>.</w:t>
      </w:r>
    </w:p>
    <w:p w14:paraId="175311CA" w14:textId="77777777" w:rsidR="007044D7" w:rsidRPr="006D571B" w:rsidRDefault="007044D7">
      <w:pPr>
        <w:pStyle w:val="Nagwek2"/>
        <w:spacing w:before="116"/>
        <w:rPr>
          <w:u w:val="none"/>
          <w:lang w:val="pl-PL"/>
        </w:rPr>
      </w:pPr>
      <w:hyperlink r:id="rId13">
        <w:r w:rsidRPr="006D571B">
          <w:rPr>
            <w:color w:val="0071BB"/>
            <w:w w:val="115"/>
            <w:sz w:val="19"/>
            <w:u w:color="0071BB"/>
            <w:lang w:val="pl-PL"/>
          </w:rPr>
          <w:t xml:space="preserve">Copland przeciwko Zjednoczonemu </w:t>
        </w:r>
        <w:r w:rsidRPr="006D571B">
          <w:rPr>
            <w:color w:val="0071BB"/>
            <w:spacing w:val="-2"/>
            <w:w w:val="115"/>
            <w:sz w:val="19"/>
            <w:u w:color="0071BB"/>
            <w:lang w:val="pl-PL"/>
          </w:rPr>
          <w:t>Królestwu</w:t>
        </w:r>
      </w:hyperlink>
    </w:p>
    <w:p w14:paraId="68DE3717" w14:textId="77777777" w:rsidR="007044D7" w:rsidRPr="006D571B" w:rsidRDefault="00000000">
      <w:pPr>
        <w:spacing w:before="69"/>
        <w:ind w:left="874"/>
        <w:jc w:val="both"/>
        <w:rPr>
          <w:sz w:val="18"/>
          <w:lang w:val="pl-PL"/>
        </w:rPr>
      </w:pPr>
      <w:r w:rsidRPr="006D571B">
        <w:rPr>
          <w:color w:val="808080"/>
          <w:w w:val="125"/>
          <w:sz w:val="17"/>
          <w:lang w:val="pl-PL"/>
        </w:rPr>
        <w:t>3 kwietnia 2007 r</w:t>
      </w:r>
      <w:r w:rsidRPr="006D571B">
        <w:rPr>
          <w:color w:val="808080"/>
          <w:spacing w:val="4"/>
          <w:w w:val="125"/>
          <w:sz w:val="17"/>
          <w:lang w:val="pl-PL"/>
        </w:rPr>
        <w:t xml:space="preserve">. </w:t>
      </w:r>
      <w:r w:rsidRPr="006D571B">
        <w:rPr>
          <w:color w:val="808080"/>
          <w:spacing w:val="-2"/>
          <w:w w:val="125"/>
          <w:sz w:val="17"/>
          <w:lang w:val="pl-PL"/>
        </w:rPr>
        <w:t>(wyrok)</w:t>
      </w:r>
    </w:p>
    <w:p w14:paraId="2FF45CDA" w14:textId="515C3334" w:rsidR="007044D7" w:rsidRPr="00EF4C7E" w:rsidRDefault="006D571B" w:rsidP="00EF4C7E">
      <w:pPr>
        <w:pStyle w:val="Tekstpodstawowy"/>
        <w:spacing w:before="1"/>
        <w:ind w:left="874" w:right="729"/>
        <w:jc w:val="both"/>
        <w:rPr>
          <w:w w:val="120"/>
          <w:sz w:val="19"/>
          <w:lang w:val="pl-PL"/>
        </w:rPr>
      </w:pPr>
      <w:r>
        <w:rPr>
          <w:w w:val="120"/>
          <w:sz w:val="19"/>
          <w:lang w:val="pl-PL"/>
        </w:rPr>
        <w:t>Skarżąca</w:t>
      </w:r>
      <w:r w:rsidR="00000000" w:rsidRPr="006D571B">
        <w:rPr>
          <w:w w:val="120"/>
          <w:sz w:val="19"/>
          <w:lang w:val="pl-PL"/>
        </w:rPr>
        <w:t xml:space="preserve"> była zatrudniona w Carmarthenshire College, organie ustawowym zarządzanym przez państwo. W 1995 r. została osobistą asystentką dyrektora uczelni i musiała ściśle współpracować z nowo mianowanym zastępcą dyrektora. Przed sądem skarżyła się, że podczas</w:t>
      </w:r>
      <w:r w:rsidR="00EF4C7E" w:rsidRPr="006D571B">
        <w:rPr>
          <w:w w:val="120"/>
          <w:sz w:val="19"/>
          <w:lang w:val="pl-PL"/>
        </w:rPr>
        <w:t xml:space="preserve"> jej</w:t>
      </w:r>
      <w:r w:rsidR="00000000" w:rsidRPr="006D571B">
        <w:rPr>
          <w:w w:val="120"/>
          <w:sz w:val="19"/>
          <w:lang w:val="pl-PL"/>
        </w:rPr>
        <w:t xml:space="preserve"> zatrudnienia </w:t>
      </w:r>
      <w:r w:rsidR="00EF4C7E" w:rsidRPr="006D571B">
        <w:rPr>
          <w:w w:val="120"/>
          <w:sz w:val="19"/>
          <w:lang w:val="pl-PL"/>
        </w:rPr>
        <w:t xml:space="preserve">na uczelni, </w:t>
      </w:r>
      <w:r w:rsidR="00EF4C7E" w:rsidRPr="00EF4C7E">
        <w:rPr>
          <w:w w:val="120"/>
          <w:sz w:val="19"/>
          <w:lang w:val="pl-PL"/>
        </w:rPr>
        <w:t>na polecenie wicedyrektora, monitorowano jej korzystanie z telefonu, poczty elektronicznej</w:t>
      </w:r>
      <w:r w:rsidR="00EF4C7E">
        <w:rPr>
          <w:w w:val="120"/>
          <w:sz w:val="19"/>
          <w:lang w:val="pl-PL"/>
        </w:rPr>
        <w:t xml:space="preserve"> oraz</w:t>
      </w:r>
      <w:r w:rsidR="00EF4C7E" w:rsidRPr="00EF4C7E">
        <w:rPr>
          <w:w w:val="120"/>
          <w:sz w:val="19"/>
          <w:lang w:val="pl-PL"/>
        </w:rPr>
        <w:t xml:space="preserve"> internetu.</w:t>
      </w:r>
    </w:p>
    <w:p w14:paraId="4C9AD576" w14:textId="63FA394C" w:rsidR="007044D7" w:rsidRPr="006D571B" w:rsidRDefault="00000000" w:rsidP="00C95E8F">
      <w:pPr>
        <w:pStyle w:val="Tekstpodstawowy"/>
        <w:ind w:left="874" w:right="728"/>
        <w:jc w:val="both"/>
        <w:rPr>
          <w:color w:val="0071BC"/>
          <w:w w:val="120"/>
          <w:sz w:val="19"/>
          <w:lang w:val="pl-PL"/>
        </w:rPr>
      </w:pPr>
      <w:r w:rsidRPr="006D571B">
        <w:rPr>
          <w:color w:val="0071BC"/>
          <w:w w:val="120"/>
          <w:sz w:val="19"/>
          <w:lang w:val="pl-PL"/>
        </w:rPr>
        <w:t xml:space="preserve">Trybunał uznał, że doszło </w:t>
      </w:r>
      <w:r w:rsidRPr="00186085">
        <w:rPr>
          <w:rFonts w:asciiTheme="minorHAnsi" w:hAnsiTheme="minorHAnsi" w:cstheme="minorHAnsi"/>
          <w:b/>
          <w:color w:val="0071BC"/>
          <w:w w:val="120"/>
          <w:sz w:val="19"/>
          <w:lang w:val="pl-PL"/>
        </w:rPr>
        <w:t>do</w:t>
      </w:r>
      <w:r w:rsidRPr="00186085">
        <w:rPr>
          <w:rFonts w:asciiTheme="minorHAnsi" w:hAnsiTheme="minorHAnsi" w:cstheme="minorHAnsi"/>
          <w:color w:val="0071BC"/>
          <w:w w:val="120"/>
          <w:sz w:val="19"/>
          <w:lang w:val="pl-PL"/>
        </w:rPr>
        <w:t xml:space="preserve"> </w:t>
      </w:r>
      <w:r w:rsidRPr="00186085">
        <w:rPr>
          <w:rFonts w:asciiTheme="minorHAnsi" w:hAnsiTheme="minorHAnsi" w:cstheme="minorHAnsi"/>
          <w:b/>
          <w:color w:val="0071BC"/>
          <w:w w:val="120"/>
          <w:sz w:val="19"/>
          <w:lang w:val="pl-PL"/>
        </w:rPr>
        <w:t>naruszenia art</w:t>
      </w:r>
      <w:r w:rsidRPr="00186085">
        <w:rPr>
          <w:rFonts w:asciiTheme="minorHAnsi" w:hAnsiTheme="minorHAnsi" w:cstheme="minorHAnsi"/>
          <w:color w:val="0071BC"/>
          <w:w w:val="120"/>
          <w:sz w:val="19"/>
          <w:lang w:val="pl-PL"/>
        </w:rPr>
        <w:t>.</w:t>
      </w:r>
      <w:r w:rsidRPr="00186085">
        <w:rPr>
          <w:rFonts w:asciiTheme="minorHAnsi" w:hAnsiTheme="minorHAnsi" w:cstheme="minorHAnsi"/>
          <w:b/>
          <w:color w:val="0071BC"/>
          <w:w w:val="120"/>
          <w:sz w:val="19"/>
          <w:lang w:val="pl-PL"/>
        </w:rPr>
        <w:t xml:space="preserve"> 8</w:t>
      </w:r>
      <w:r w:rsidRPr="006D571B">
        <w:rPr>
          <w:rFonts w:ascii="Arial" w:hAnsi="Arial"/>
          <w:b/>
          <w:color w:val="0071BC"/>
          <w:w w:val="120"/>
          <w:sz w:val="19"/>
          <w:lang w:val="pl-PL"/>
        </w:rPr>
        <w:t xml:space="preserve"> </w:t>
      </w:r>
      <w:r w:rsidRPr="006D571B">
        <w:rPr>
          <w:color w:val="0071BC"/>
          <w:w w:val="120"/>
          <w:sz w:val="19"/>
          <w:lang w:val="pl-PL"/>
        </w:rPr>
        <w:t xml:space="preserve">Konwencji. Przypomniał w szczególności, że zgodnie z jego orzecznictwem rozmowy telefoniczne prowadzone z pomieszczeń służbowych są </w:t>
      </w:r>
      <w:r w:rsidRPr="006D571B">
        <w:rPr>
          <w:i/>
          <w:color w:val="0071BC"/>
          <w:w w:val="120"/>
          <w:sz w:val="19"/>
          <w:lang w:val="pl-PL"/>
        </w:rPr>
        <w:t xml:space="preserve">prima facie </w:t>
      </w:r>
      <w:r w:rsidRPr="006D571B">
        <w:rPr>
          <w:color w:val="0071BC"/>
          <w:w w:val="120"/>
          <w:sz w:val="19"/>
          <w:lang w:val="pl-PL"/>
        </w:rPr>
        <w:t>objęte pojęciami „życia prywatnego” i „korespondencji”.</w:t>
      </w:r>
      <w:r w:rsidR="00CF1261" w:rsidRPr="006D571B">
        <w:rPr>
          <w:color w:val="0071BC"/>
          <w:w w:val="120"/>
          <w:sz w:val="19"/>
          <w:lang w:val="pl-PL"/>
        </w:rPr>
        <w:t xml:space="preserve"> </w:t>
      </w:r>
      <w:r w:rsidR="00625B10" w:rsidRPr="006D571B">
        <w:rPr>
          <w:color w:val="0071BC"/>
          <w:w w:val="120"/>
          <w:sz w:val="19"/>
          <w:lang w:val="pl-PL"/>
        </w:rPr>
        <w:t>Wynika z tego logicznie, że podobnej ochronie powinny podlegać e-maile wysyłane z miejsca pracy, jak również informacje uzyskane w wyniku monitorowania prywatnego korzystania z Internetu</w:t>
      </w:r>
      <w:r w:rsidR="00CF1261" w:rsidRPr="00CF1261">
        <w:rPr>
          <w:color w:val="0071BC"/>
          <w:w w:val="120"/>
          <w:sz w:val="19"/>
          <w:lang w:val="pl-PL"/>
        </w:rPr>
        <w:t>.</w:t>
      </w:r>
      <w:r w:rsidR="005A45E7" w:rsidRPr="005A45E7">
        <w:rPr>
          <w:rFonts w:ascii="inherit" w:eastAsia="Times New Roman" w:hAnsi="inherit" w:cs="Courier New"/>
          <w:color w:val="1F1F1F"/>
          <w:sz w:val="42"/>
          <w:szCs w:val="42"/>
          <w:lang w:val="pl-PL" w:eastAsia="pl-PL"/>
        </w:rPr>
        <w:t xml:space="preserve"> </w:t>
      </w:r>
      <w:r w:rsidR="005A45E7" w:rsidRPr="005A45E7">
        <w:rPr>
          <w:color w:val="0071BC"/>
          <w:w w:val="120"/>
          <w:sz w:val="19"/>
          <w:lang w:val="pl-PL"/>
        </w:rPr>
        <w:t xml:space="preserve">Skarżąca nie została jednak ostrzeżona, że ​​jej rozmowy będą mogły być monitorowane, a zatem miała uzasadnione oczekiwania co do prywatności połączeń wykonywanych z telefonu służbowego. Takie same oczekiwania powinny dotyczyć jej poczty elektronicznej i korzystania z </w:t>
      </w:r>
      <w:r w:rsidR="002C31BF" w:rsidRPr="005A45E7">
        <w:rPr>
          <w:color w:val="0071BC"/>
          <w:w w:val="120"/>
          <w:sz w:val="19"/>
          <w:lang w:val="pl-PL"/>
        </w:rPr>
        <w:t>Internetu</w:t>
      </w:r>
      <w:r w:rsidR="005A45E7" w:rsidRPr="005A45E7">
        <w:rPr>
          <w:color w:val="0071BC"/>
          <w:w w:val="120"/>
          <w:sz w:val="19"/>
          <w:lang w:val="pl-PL"/>
        </w:rPr>
        <w:t>. Sąd zauważył również, że sam fakt, iż dane mogły zostać legalnie uzyskane przez uczelnię w formie rachunków telefonicznych, nie stanowi przeszkody dla stwierdzenia ingerencji.</w:t>
      </w:r>
      <w:r w:rsidR="005A45E7">
        <w:rPr>
          <w:color w:val="0071BC"/>
          <w:w w:val="120"/>
          <w:sz w:val="19"/>
          <w:lang w:val="pl-PL"/>
        </w:rPr>
        <w:t xml:space="preserve"> </w:t>
      </w:r>
      <w:r w:rsidRPr="006D571B">
        <w:rPr>
          <w:color w:val="0071BC"/>
          <w:w w:val="120"/>
          <w:sz w:val="19"/>
          <w:lang w:val="pl-PL"/>
        </w:rPr>
        <w:t>Nie miało również znaczenia, że dane te nie zostały ujawnione osobom trzecim ani wykorzystane przeciwko skarżącej w postępowaniu dyscyplinarnym lub innym</w:t>
      </w:r>
      <w:r w:rsidR="00C95E8F" w:rsidRPr="006D571B">
        <w:rPr>
          <w:color w:val="0071BC"/>
          <w:w w:val="120"/>
          <w:sz w:val="19"/>
          <w:lang w:val="pl-PL"/>
        </w:rPr>
        <w:t xml:space="preserve">. </w:t>
      </w:r>
      <w:r w:rsidRPr="006D571B">
        <w:rPr>
          <w:color w:val="0071BC"/>
          <w:w w:val="120"/>
          <w:sz w:val="19"/>
          <w:lang w:val="pl-PL"/>
        </w:rPr>
        <w:t>Trybunał uznał zatem, że gromadzenie i przechowywanie danych osobowych dotyczących korzystania przez skarżącą z telefonu, poczty elektronicznej i Internetu bez jej wiedzy stanowiło ingerencję w jej prawo do poszanowania życia prywatnego i korespondencji.</w:t>
      </w:r>
      <w:r w:rsidRPr="006D571B">
        <w:rPr>
          <w:color w:val="0071BC"/>
          <w:spacing w:val="40"/>
          <w:w w:val="120"/>
          <w:sz w:val="19"/>
          <w:lang w:val="pl-PL"/>
        </w:rPr>
        <w:t xml:space="preserve"> </w:t>
      </w:r>
      <w:r w:rsidR="00625B10" w:rsidRPr="006D571B">
        <w:rPr>
          <w:color w:val="0071BC"/>
          <w:w w:val="120"/>
          <w:sz w:val="19"/>
          <w:lang w:val="pl-PL"/>
        </w:rPr>
        <w:t xml:space="preserve">W niniejszej sprawie, pozostawiając otwartą </w:t>
      </w:r>
      <w:proofErr w:type="gramStart"/>
      <w:r w:rsidR="00625B10" w:rsidRPr="006D571B">
        <w:rPr>
          <w:color w:val="0071BC"/>
          <w:w w:val="120"/>
          <w:sz w:val="19"/>
          <w:lang w:val="pl-PL"/>
        </w:rPr>
        <w:t>kwestię,</w:t>
      </w:r>
      <w:proofErr w:type="gramEnd"/>
      <w:r w:rsidR="00625B10" w:rsidRPr="006D571B">
        <w:rPr>
          <w:color w:val="0071BC"/>
          <w:w w:val="120"/>
          <w:sz w:val="19"/>
          <w:lang w:val="pl-PL"/>
        </w:rPr>
        <w:t xml:space="preserve"> czy monitorowanie korzystania przez pracownika z telefonu, poczty elektronicznej lub Internetu w miejscu pracy mogłoby w pewnych sytuacjach być uznane za „konieczne w demokratycznym społeczeństwie” w realizacji uzasadnionego celu, Trybunał doszedł do wniosku, że w braku jakiegokolwiek prawa krajowego regulującego monitoring w czasie, którego sprawa dotyczyła, ingerencja nie była „zgodna z prawem”.</w:t>
      </w:r>
      <w:r w:rsidR="002C31BF">
        <w:rPr>
          <w:color w:val="0071BC"/>
          <w:w w:val="120"/>
          <w:sz w:val="19"/>
          <w:lang w:val="pl-PL"/>
        </w:rPr>
        <w:t xml:space="preserve"> </w:t>
      </w:r>
      <w:r w:rsidRPr="006D571B">
        <w:rPr>
          <w:color w:val="0071BC"/>
          <w:w w:val="120"/>
          <w:sz w:val="19"/>
          <w:lang w:val="pl-PL"/>
        </w:rPr>
        <w:t xml:space="preserve">Wreszcie, biorąc pod uwagę swoją decyzję w sprawie art. 8 Konwencji, Trybunał </w:t>
      </w:r>
      <w:r w:rsidRPr="002C31BF">
        <w:rPr>
          <w:rFonts w:asciiTheme="minorHAnsi" w:hAnsiTheme="minorHAnsi" w:cstheme="minorHAnsi"/>
          <w:b/>
          <w:color w:val="0071BC"/>
          <w:w w:val="120"/>
          <w:sz w:val="19"/>
          <w:lang w:val="pl-PL"/>
        </w:rPr>
        <w:t>nie</w:t>
      </w:r>
      <w:r w:rsidRPr="002C31BF">
        <w:rPr>
          <w:rFonts w:asciiTheme="minorHAnsi" w:hAnsiTheme="minorHAnsi" w:cstheme="minorHAnsi"/>
          <w:color w:val="0071BC"/>
          <w:w w:val="120"/>
          <w:sz w:val="19"/>
          <w:lang w:val="pl-PL"/>
        </w:rPr>
        <w:t xml:space="preserve"> uznał za </w:t>
      </w:r>
      <w:r w:rsidRPr="002C31BF">
        <w:rPr>
          <w:rFonts w:asciiTheme="minorHAnsi" w:hAnsiTheme="minorHAnsi" w:cstheme="minorHAnsi"/>
          <w:b/>
          <w:color w:val="0071BC"/>
          <w:w w:val="120"/>
          <w:sz w:val="19"/>
          <w:lang w:val="pl-PL"/>
        </w:rPr>
        <w:t xml:space="preserve">konieczne </w:t>
      </w:r>
      <w:r w:rsidRPr="002C31BF">
        <w:rPr>
          <w:rFonts w:asciiTheme="minorHAnsi" w:hAnsiTheme="minorHAnsi" w:cstheme="minorHAnsi"/>
          <w:color w:val="0071BC"/>
          <w:w w:val="120"/>
          <w:sz w:val="19"/>
          <w:lang w:val="pl-PL"/>
        </w:rPr>
        <w:t xml:space="preserve">w niniejszej sprawie </w:t>
      </w:r>
      <w:r w:rsidRPr="002C31BF">
        <w:rPr>
          <w:rFonts w:asciiTheme="minorHAnsi" w:hAnsiTheme="minorHAnsi" w:cstheme="minorHAnsi"/>
          <w:b/>
          <w:color w:val="0071BC"/>
          <w:w w:val="120"/>
          <w:sz w:val="19"/>
          <w:lang w:val="pl-PL"/>
        </w:rPr>
        <w:t xml:space="preserve">zbadania </w:t>
      </w:r>
      <w:r w:rsidRPr="002C31BF">
        <w:rPr>
          <w:rFonts w:asciiTheme="minorHAnsi" w:hAnsiTheme="minorHAnsi" w:cstheme="minorHAnsi"/>
          <w:color w:val="0071BC"/>
          <w:w w:val="120"/>
          <w:sz w:val="19"/>
          <w:lang w:val="pl-PL"/>
        </w:rPr>
        <w:t xml:space="preserve">skargi skarżącej również </w:t>
      </w:r>
      <w:r w:rsidRPr="002C31BF">
        <w:rPr>
          <w:rFonts w:asciiTheme="minorHAnsi" w:hAnsiTheme="minorHAnsi" w:cstheme="minorHAnsi"/>
          <w:b/>
          <w:color w:val="0071BC"/>
          <w:w w:val="120"/>
          <w:sz w:val="19"/>
          <w:lang w:val="pl-PL"/>
        </w:rPr>
        <w:t xml:space="preserve">na podstawie art. 13 </w:t>
      </w:r>
      <w:r w:rsidRPr="006D571B">
        <w:rPr>
          <w:color w:val="0071BC"/>
          <w:w w:val="120"/>
          <w:sz w:val="19"/>
          <w:lang w:val="pl-PL"/>
        </w:rPr>
        <w:t>(prawo do skutecznego środka odwoławczego) Konwencji.</w:t>
      </w:r>
    </w:p>
    <w:p w14:paraId="6AFBE788" w14:textId="77777777" w:rsidR="007044D7" w:rsidRPr="006D571B" w:rsidRDefault="007044D7">
      <w:pPr>
        <w:pStyle w:val="Nagwek2"/>
        <w:spacing w:before="94"/>
        <w:rPr>
          <w:u w:val="none"/>
          <w:lang w:val="pl-PL"/>
        </w:rPr>
      </w:pPr>
      <w:hyperlink r:id="rId14">
        <w:r w:rsidRPr="006D571B">
          <w:rPr>
            <w:color w:val="0071BB"/>
            <w:w w:val="115"/>
            <w:sz w:val="19"/>
            <w:u w:val="thick" w:color="0071BB"/>
            <w:lang w:val="pl-PL"/>
          </w:rPr>
          <w:t xml:space="preserve">Bărbulescu przeciwko </w:t>
        </w:r>
        <w:r w:rsidRPr="006D571B">
          <w:rPr>
            <w:color w:val="0071BB"/>
            <w:spacing w:val="-2"/>
            <w:w w:val="115"/>
            <w:sz w:val="19"/>
            <w:u w:val="thick" w:color="0071BB"/>
            <w:lang w:val="pl-PL"/>
          </w:rPr>
          <w:t>Rumunii</w:t>
        </w:r>
      </w:hyperlink>
    </w:p>
    <w:p w14:paraId="5CEE3A2D" w14:textId="77777777" w:rsidR="007044D7" w:rsidRPr="006D571B" w:rsidRDefault="00000000">
      <w:pPr>
        <w:spacing w:before="67"/>
        <w:ind w:left="874"/>
        <w:jc w:val="both"/>
        <w:rPr>
          <w:sz w:val="18"/>
          <w:lang w:val="pl-PL"/>
        </w:rPr>
      </w:pPr>
      <w:r w:rsidRPr="006D571B">
        <w:rPr>
          <w:color w:val="808080"/>
          <w:w w:val="125"/>
          <w:sz w:val="17"/>
          <w:lang w:val="pl-PL"/>
        </w:rPr>
        <w:t>5 września 2017 r</w:t>
      </w:r>
      <w:r w:rsidRPr="006D571B">
        <w:rPr>
          <w:color w:val="808080"/>
          <w:spacing w:val="2"/>
          <w:w w:val="125"/>
          <w:sz w:val="17"/>
          <w:lang w:val="pl-PL"/>
        </w:rPr>
        <w:t xml:space="preserve">. </w:t>
      </w:r>
      <w:r w:rsidRPr="006D571B">
        <w:rPr>
          <w:color w:val="808080"/>
          <w:w w:val="125"/>
          <w:sz w:val="17"/>
          <w:lang w:val="pl-PL"/>
        </w:rPr>
        <w:t xml:space="preserve">(Wielka Izba – </w:t>
      </w:r>
      <w:r w:rsidRPr="006D571B">
        <w:rPr>
          <w:color w:val="808080"/>
          <w:spacing w:val="-2"/>
          <w:w w:val="125"/>
          <w:sz w:val="17"/>
          <w:lang w:val="pl-PL"/>
        </w:rPr>
        <w:t>wyrok)</w:t>
      </w:r>
    </w:p>
    <w:p w14:paraId="3A3AAE3C" w14:textId="7DC48E51" w:rsidR="007044D7" w:rsidRPr="006D571B" w:rsidRDefault="00D24EA9">
      <w:pPr>
        <w:pStyle w:val="Tekstpodstawowy"/>
        <w:spacing w:before="1"/>
        <w:ind w:left="873" w:right="731"/>
        <w:jc w:val="both"/>
        <w:rPr>
          <w:lang w:val="pl-PL"/>
        </w:rPr>
      </w:pPr>
      <w:r w:rsidRPr="006D571B">
        <w:rPr>
          <w:w w:val="120"/>
          <w:sz w:val="19"/>
          <w:lang w:val="pl-PL"/>
        </w:rPr>
        <w:t xml:space="preserve">Ta sprawa dotyczyła decyzji prywatnej firmy o zwolnieniu pracownika – </w:t>
      </w:r>
      <w:r w:rsidR="00EC5FE9">
        <w:rPr>
          <w:w w:val="120"/>
          <w:sz w:val="19"/>
          <w:lang w:val="pl-PL"/>
        </w:rPr>
        <w:t>skarżącego</w:t>
      </w:r>
      <w:r w:rsidRPr="006D571B">
        <w:rPr>
          <w:w w:val="120"/>
          <w:sz w:val="19"/>
          <w:lang w:val="pl-PL"/>
        </w:rPr>
        <w:t xml:space="preserve"> – po monitorowaniu jego komunikacji elektronicznej i uzyskaniu dostępu do jej treści. Skarżący twierdził, że decyzja pracodawcy została podjęta w wyniku naruszenia jego prywatności, a sądy krajowe nie zapewniły mu ochrony prawa do poszanowania życia prywatnego i korespondencji.</w:t>
      </w:r>
    </w:p>
    <w:p w14:paraId="4EFC8670" w14:textId="77777777" w:rsidR="007044D7" w:rsidRPr="006D571B" w:rsidRDefault="00000000" w:rsidP="00D24EA9">
      <w:pPr>
        <w:pStyle w:val="Tekstpodstawowy"/>
        <w:ind w:left="873" w:right="729"/>
        <w:jc w:val="both"/>
        <w:rPr>
          <w:lang w:val="pl-PL"/>
        </w:rPr>
      </w:pPr>
      <w:r w:rsidRPr="006D571B">
        <w:rPr>
          <w:color w:val="0071BB"/>
          <w:w w:val="120"/>
          <w:sz w:val="19"/>
          <w:lang w:val="pl-PL"/>
        </w:rPr>
        <w:t xml:space="preserve">Wielka Izba uznała, stosunkiem głosów 11 do 6, że doszło </w:t>
      </w:r>
      <w:r w:rsidRPr="00EC5FE9">
        <w:rPr>
          <w:rFonts w:asciiTheme="minorHAnsi" w:hAnsiTheme="minorHAnsi" w:cstheme="minorHAnsi"/>
          <w:b/>
          <w:color w:val="0071BB"/>
          <w:w w:val="120"/>
          <w:sz w:val="19"/>
          <w:lang w:val="pl-PL"/>
        </w:rPr>
        <w:t>do</w:t>
      </w:r>
      <w:r w:rsidRPr="00EC5FE9">
        <w:rPr>
          <w:rFonts w:asciiTheme="minorHAnsi" w:hAnsiTheme="minorHAnsi" w:cstheme="minorHAnsi"/>
          <w:color w:val="0071BB"/>
          <w:w w:val="120"/>
          <w:sz w:val="19"/>
          <w:lang w:val="pl-PL"/>
        </w:rPr>
        <w:t xml:space="preserve"> </w:t>
      </w:r>
      <w:r w:rsidRPr="00EC5FE9">
        <w:rPr>
          <w:rFonts w:asciiTheme="minorHAnsi" w:hAnsiTheme="minorHAnsi" w:cstheme="minorHAnsi"/>
          <w:b/>
          <w:color w:val="0071BB"/>
          <w:w w:val="120"/>
          <w:sz w:val="19"/>
          <w:lang w:val="pl-PL"/>
        </w:rPr>
        <w:t>naruszenia art. 8</w:t>
      </w:r>
      <w:r w:rsidRPr="006D571B">
        <w:rPr>
          <w:rFonts w:ascii="Arial" w:hAnsi="Arial"/>
          <w:b/>
          <w:color w:val="0071BB"/>
          <w:w w:val="120"/>
          <w:sz w:val="19"/>
          <w:lang w:val="pl-PL"/>
        </w:rPr>
        <w:t xml:space="preserve"> </w:t>
      </w:r>
      <w:r w:rsidRPr="006D571B">
        <w:rPr>
          <w:color w:val="0071BB"/>
          <w:w w:val="120"/>
          <w:sz w:val="19"/>
          <w:lang w:val="pl-PL"/>
        </w:rPr>
        <w:t>Konwencji, stwierdzając, że władze rumuńskie nie zapewniły skarżącemu odpowiedniej ochrony prawa do poszanowania życia prywatnego i korespondencji. W konsekwencji nie udało im się osiągnąć właściwej równowagi między interesami stron. W szczególności sądy krajowe nie ustaliły, czy skarżący został wcześniej poinformowany przez swojego pracodawcę o możliwości monitorowania jego korespondencji; nie wzięły również pod uwagę faktu, że nie został on poinformowany o charakterze ani zakresie monitorowania, ani o stopniu ingerencji w jego życie prywatne i korespondencję. Ponadto sądy krajowe nie ustaliły, po pierwsze, konkretnych powodów uzasadniających wprowadzenie środków monitorowania, a po drugie,</w:t>
      </w:r>
      <w:r w:rsidR="00D24EA9" w:rsidRPr="006D571B">
        <w:rPr>
          <w:color w:val="0071BB"/>
          <w:w w:val="120"/>
          <w:sz w:val="19"/>
          <w:lang w:val="pl-PL"/>
        </w:rPr>
        <w:t xml:space="preserve"> czy pracodawca</w:t>
      </w:r>
      <w:r w:rsidR="00D24EA9" w:rsidRPr="006D571B">
        <w:rPr>
          <w:lang w:val="pl-PL"/>
        </w:rPr>
        <w:t xml:space="preserve"> </w:t>
      </w:r>
    </w:p>
    <w:p w14:paraId="0A33F2A9" w14:textId="316C4355" w:rsidR="00D24EA9" w:rsidRPr="006D571B" w:rsidRDefault="00D24EA9" w:rsidP="00D24EA9">
      <w:pPr>
        <w:pStyle w:val="Tekstpodstawowy"/>
        <w:ind w:left="873" w:right="729"/>
        <w:jc w:val="both"/>
        <w:rPr>
          <w:lang w:val="pl-PL"/>
        </w:rPr>
        <w:sectPr w:rsidR="00D24EA9" w:rsidRPr="006D571B">
          <w:headerReference w:type="default" r:id="rId15"/>
          <w:footerReference w:type="default" r:id="rId16"/>
          <w:pgSz w:w="11910" w:h="16840"/>
          <w:pgMar w:top="1480" w:right="708" w:bottom="680" w:left="566" w:header="730" w:footer="497" w:gutter="0"/>
          <w:pgNumType w:start="2"/>
          <w:cols w:space="708"/>
        </w:sectPr>
      </w:pPr>
    </w:p>
    <w:p w14:paraId="05F0F991" w14:textId="215FE687" w:rsidR="007044D7" w:rsidRPr="006D571B" w:rsidRDefault="00000000">
      <w:pPr>
        <w:pStyle w:val="Tekstpodstawowy"/>
        <w:spacing w:before="240"/>
        <w:ind w:left="874" w:right="730"/>
        <w:jc w:val="both"/>
        <w:rPr>
          <w:lang w:val="pl-PL"/>
        </w:rPr>
      </w:pPr>
      <w:r w:rsidRPr="006D571B">
        <w:rPr>
          <w:color w:val="0071BB"/>
          <w:w w:val="120"/>
          <w:sz w:val="19"/>
          <w:lang w:val="pl-PL"/>
        </w:rPr>
        <w:lastRenderedPageBreak/>
        <w:t>mógł zastosować środki w mniejszym stopniu naruszające prywatność i korespondencję skarżącego; oraz po trzecie, czy dostęp do korespondencji mógł zostać uzyskany bez jego wiedzy.</w:t>
      </w:r>
    </w:p>
    <w:p w14:paraId="08A2DDAF" w14:textId="77777777" w:rsidR="007044D7" w:rsidRPr="006D571B" w:rsidRDefault="007044D7">
      <w:pPr>
        <w:pStyle w:val="Nagwek2"/>
        <w:spacing w:before="120"/>
        <w:rPr>
          <w:u w:val="none"/>
          <w:lang w:val="pl-PL"/>
        </w:rPr>
      </w:pPr>
      <w:hyperlink r:id="rId17">
        <w:r w:rsidRPr="006D571B">
          <w:rPr>
            <w:color w:val="0071BB"/>
            <w:w w:val="115"/>
            <w:sz w:val="19"/>
            <w:u w:color="0071BB"/>
            <w:lang w:val="pl-PL"/>
          </w:rPr>
          <w:t xml:space="preserve">Adomaitis przeciwko </w:t>
        </w:r>
        <w:r w:rsidRPr="006D571B">
          <w:rPr>
            <w:color w:val="0071BB"/>
            <w:spacing w:val="-2"/>
            <w:w w:val="115"/>
            <w:sz w:val="19"/>
            <w:u w:color="0071BB"/>
            <w:lang w:val="pl-PL"/>
          </w:rPr>
          <w:t>Litwie</w:t>
        </w:r>
      </w:hyperlink>
    </w:p>
    <w:p w14:paraId="6B1F4A47" w14:textId="77777777" w:rsidR="007044D7" w:rsidRPr="006D571B" w:rsidRDefault="00000000">
      <w:pPr>
        <w:spacing w:before="67"/>
        <w:ind w:left="874"/>
        <w:jc w:val="both"/>
        <w:rPr>
          <w:sz w:val="18"/>
          <w:lang w:val="pl-PL"/>
        </w:rPr>
      </w:pPr>
      <w:r w:rsidRPr="006D571B">
        <w:rPr>
          <w:color w:val="808080"/>
          <w:w w:val="125"/>
          <w:sz w:val="17"/>
          <w:lang w:val="pl-PL"/>
        </w:rPr>
        <w:t>18 stycznia 2022 r</w:t>
      </w:r>
      <w:r w:rsidRPr="006D571B">
        <w:rPr>
          <w:color w:val="808080"/>
          <w:spacing w:val="9"/>
          <w:w w:val="125"/>
          <w:sz w:val="17"/>
          <w:lang w:val="pl-PL"/>
        </w:rPr>
        <w:t xml:space="preserve">. </w:t>
      </w:r>
      <w:r w:rsidRPr="006D571B">
        <w:rPr>
          <w:color w:val="808080"/>
          <w:spacing w:val="-2"/>
          <w:w w:val="125"/>
          <w:sz w:val="17"/>
          <w:lang w:val="pl-PL"/>
        </w:rPr>
        <w:t>(wyrok)</w:t>
      </w:r>
    </w:p>
    <w:p w14:paraId="2A717F7A" w14:textId="77777777" w:rsidR="007044D7" w:rsidRPr="006D571B" w:rsidRDefault="00000000">
      <w:pPr>
        <w:pStyle w:val="Tekstpodstawowy"/>
        <w:spacing w:before="4"/>
        <w:ind w:left="873" w:right="728"/>
        <w:jc w:val="both"/>
        <w:rPr>
          <w:lang w:val="pl-PL"/>
        </w:rPr>
      </w:pPr>
      <w:r w:rsidRPr="006D571B">
        <w:rPr>
          <w:w w:val="120"/>
          <w:sz w:val="19"/>
          <w:lang w:val="pl-PL"/>
        </w:rPr>
        <w:t>Sprawa dotyczyła postępowania karnego wszczętego wobec skarżącego (byłego naczelnika więzienia) pod zarzutem zapewniania osadzonym lepszych warunków w zamian za wynagrodzenie oraz przyznawania im dodatkowych korzyści. Przez rok monitorowano i przechwytywano jego rozmowy telefoniczne, po czym postępowanie karne zostało umorzone z powodu braku dowodów obciążających. Niemniej jednak wykorzystanie zebranych informacji zostało dopuszczone w postępowaniu dyscyplinarnym, które ostatecznie doprowadziło do jego zwolnienia.</w:t>
      </w:r>
    </w:p>
    <w:p w14:paraId="5F34448F" w14:textId="77777777" w:rsidR="007044D7" w:rsidRPr="006D571B" w:rsidRDefault="00000000">
      <w:pPr>
        <w:pStyle w:val="Tekstpodstawowy"/>
        <w:spacing w:line="237" w:lineRule="auto"/>
        <w:ind w:left="874" w:right="726"/>
        <w:jc w:val="both"/>
        <w:rPr>
          <w:lang w:val="pl-PL"/>
        </w:rPr>
      </w:pPr>
      <w:r w:rsidRPr="006D571B">
        <w:rPr>
          <w:color w:val="0071BB"/>
          <w:w w:val="120"/>
          <w:sz w:val="19"/>
          <w:lang w:val="pl-PL"/>
        </w:rPr>
        <w:t xml:space="preserve">Trybunał uznał, że w niniejszej sprawie </w:t>
      </w:r>
      <w:r w:rsidRPr="00EC5FE9">
        <w:rPr>
          <w:rFonts w:asciiTheme="minorHAnsi" w:hAnsiTheme="minorHAnsi" w:cstheme="minorHAnsi"/>
          <w:b/>
          <w:color w:val="0071BB"/>
          <w:w w:val="120"/>
          <w:sz w:val="19"/>
          <w:lang w:val="pl-PL"/>
        </w:rPr>
        <w:t xml:space="preserve">nie </w:t>
      </w:r>
      <w:r w:rsidRPr="00EC5FE9">
        <w:rPr>
          <w:rFonts w:asciiTheme="minorHAnsi" w:hAnsiTheme="minorHAnsi" w:cstheme="minorHAnsi"/>
          <w:color w:val="0071BB"/>
          <w:w w:val="120"/>
          <w:sz w:val="19"/>
          <w:lang w:val="pl-PL"/>
        </w:rPr>
        <w:t xml:space="preserve">doszło </w:t>
      </w:r>
      <w:r w:rsidRPr="00EC5FE9">
        <w:rPr>
          <w:rFonts w:asciiTheme="minorHAnsi" w:hAnsiTheme="minorHAnsi" w:cstheme="minorHAnsi"/>
          <w:b/>
          <w:color w:val="0071BB"/>
          <w:w w:val="120"/>
          <w:sz w:val="19"/>
          <w:lang w:val="pl-PL"/>
        </w:rPr>
        <w:t>do naruszenia art. 8</w:t>
      </w:r>
      <w:r w:rsidRPr="006D571B">
        <w:rPr>
          <w:rFonts w:ascii="Arial" w:hAnsi="Arial"/>
          <w:b/>
          <w:color w:val="0071BB"/>
          <w:w w:val="120"/>
          <w:sz w:val="19"/>
          <w:lang w:val="pl-PL"/>
        </w:rPr>
        <w:t xml:space="preserve"> </w:t>
      </w:r>
      <w:r w:rsidRPr="006D571B">
        <w:rPr>
          <w:color w:val="0071BB"/>
          <w:w w:val="120"/>
          <w:sz w:val="19"/>
          <w:lang w:val="pl-PL"/>
        </w:rPr>
        <w:t>Konwencji, stwierdzając, że ingerencja w prawo skarżącego do poszanowania życia prywatnego, a mianowicie podsłuchiwanie jego rozmów telefonicznych, przechowywanie tych informacji i ujawnienie ich w postępowaniu dyscyplinarnym, które ostatecznie doprowadziło do jego zwolnienia, mogła zostać uznana za konieczną i proporcjonalną. Trybunał zwrócił szczególną uwagę na stanowisko skarżącego jako dyrektora więzienia oraz na powagę czynów, które były przedmiotem dochodzenia.</w:t>
      </w:r>
    </w:p>
    <w:p w14:paraId="73370899" w14:textId="77777777" w:rsidR="007044D7" w:rsidRPr="006D571B" w:rsidRDefault="007044D7">
      <w:pPr>
        <w:pStyle w:val="Tekstpodstawowy"/>
        <w:spacing w:before="3"/>
        <w:rPr>
          <w:lang w:val="pl-PL"/>
        </w:rPr>
      </w:pPr>
    </w:p>
    <w:p w14:paraId="2151CFF1" w14:textId="77777777" w:rsidR="007044D7" w:rsidRPr="006D571B" w:rsidRDefault="00000000">
      <w:pPr>
        <w:pStyle w:val="Nagwek1"/>
        <w:rPr>
          <w:lang w:val="pl-PL"/>
        </w:rPr>
      </w:pPr>
      <w:r w:rsidRPr="006D571B">
        <w:rPr>
          <w:color w:val="0071BB"/>
          <w:w w:val="120"/>
          <w:sz w:val="27"/>
          <w:lang w:val="pl-PL"/>
        </w:rPr>
        <w:t xml:space="preserve">Otwarcie plików osobistych przechowywanych na </w:t>
      </w:r>
      <w:r w:rsidRPr="006D571B">
        <w:rPr>
          <w:color w:val="0071BB"/>
          <w:spacing w:val="-2"/>
          <w:w w:val="120"/>
          <w:sz w:val="27"/>
          <w:lang w:val="pl-PL"/>
        </w:rPr>
        <w:t xml:space="preserve">komputerze </w:t>
      </w:r>
      <w:r w:rsidRPr="006D571B">
        <w:rPr>
          <w:color w:val="0071BB"/>
          <w:w w:val="120"/>
          <w:sz w:val="27"/>
          <w:lang w:val="pl-PL"/>
        </w:rPr>
        <w:t>służbowym</w:t>
      </w:r>
    </w:p>
    <w:p w14:paraId="5AA31BDA" w14:textId="77777777" w:rsidR="007044D7" w:rsidRPr="006D571B" w:rsidRDefault="00000000">
      <w:pPr>
        <w:pStyle w:val="Tekstpodstawowy"/>
        <w:spacing w:before="10"/>
        <w:rPr>
          <w:sz w:val="7"/>
          <w:lang w:val="pl-PL"/>
        </w:rPr>
      </w:pPr>
      <w:r>
        <w:rPr>
          <w:noProof/>
          <w:sz w:val="7"/>
        </w:rPr>
        <mc:AlternateContent>
          <mc:Choice Requires="wps">
            <w:drawing>
              <wp:anchor distT="0" distB="0" distL="0" distR="0" simplePos="0" relativeHeight="251666432" behindDoc="1" locked="0" layoutInCell="1" allowOverlap="1" wp14:anchorId="025AD59F" wp14:editId="71C1F5F2">
                <wp:simplePos x="0" y="0"/>
                <wp:positionH relativeFrom="page">
                  <wp:posOffset>896111</wp:posOffset>
                </wp:positionH>
                <wp:positionV relativeFrom="paragraph">
                  <wp:posOffset>76154</wp:posOffset>
                </wp:positionV>
                <wp:extent cx="5768340" cy="18415"/>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A9C6071" id="Graphic 13" o:spid="_x0000_s1026" style="position:absolute;margin-left:70.55pt;margin-top:6pt;width:454.2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" path="m5768340,l,,,18287r5768340,l5768340,xe" fillcolor="#999" stroked="f">
                <v:path arrowok="t"/>
                <w10:wrap type="topAndBottom" anchorx="page"/>
              </v:shape>
            </w:pict>
          </mc:Fallback>
        </mc:AlternateContent>
      </w:r>
    </w:p>
    <w:p w14:paraId="3E706917" w14:textId="77777777" w:rsidR="007044D7" w:rsidRPr="006D571B" w:rsidRDefault="007044D7">
      <w:pPr>
        <w:pStyle w:val="Nagwek2"/>
        <w:rPr>
          <w:u w:val="none"/>
          <w:lang w:val="pl-PL"/>
        </w:rPr>
      </w:pPr>
      <w:hyperlink r:id="rId18">
        <w:r w:rsidRPr="006D571B">
          <w:rPr>
            <w:color w:val="0071BB"/>
            <w:w w:val="120"/>
            <w:sz w:val="19"/>
            <w:u w:val="thick" w:color="0071BB"/>
            <w:lang w:val="pl-PL"/>
          </w:rPr>
          <w:t xml:space="preserve">Libert przeciwko </w:t>
        </w:r>
        <w:r w:rsidRPr="006D571B">
          <w:rPr>
            <w:color w:val="0071BB"/>
            <w:spacing w:val="-2"/>
            <w:w w:val="120"/>
            <w:sz w:val="19"/>
            <w:u w:val="thick" w:color="0071BB"/>
            <w:lang w:val="pl-PL"/>
          </w:rPr>
          <w:t>Francji</w:t>
        </w:r>
      </w:hyperlink>
    </w:p>
    <w:p w14:paraId="797C6A99" w14:textId="77777777" w:rsidR="007044D7" w:rsidRPr="006D571B" w:rsidRDefault="00000000">
      <w:pPr>
        <w:spacing w:before="67"/>
        <w:ind w:left="874"/>
        <w:jc w:val="both"/>
        <w:rPr>
          <w:sz w:val="18"/>
          <w:lang w:val="pl-PL"/>
        </w:rPr>
      </w:pPr>
      <w:r w:rsidRPr="006D571B">
        <w:rPr>
          <w:color w:val="808080"/>
          <w:w w:val="125"/>
          <w:sz w:val="17"/>
          <w:lang w:val="pl-PL"/>
        </w:rPr>
        <w:t>22 lutego 2018 r</w:t>
      </w:r>
      <w:r w:rsidRPr="006D571B">
        <w:rPr>
          <w:color w:val="808080"/>
          <w:spacing w:val="2"/>
          <w:w w:val="125"/>
          <w:sz w:val="17"/>
          <w:lang w:val="pl-PL"/>
        </w:rPr>
        <w:t xml:space="preserve">. </w:t>
      </w:r>
      <w:r w:rsidRPr="006D571B">
        <w:rPr>
          <w:color w:val="808080"/>
          <w:spacing w:val="-2"/>
          <w:w w:val="125"/>
          <w:sz w:val="17"/>
          <w:lang w:val="pl-PL"/>
        </w:rPr>
        <w:t>(wyrok)</w:t>
      </w:r>
    </w:p>
    <w:p w14:paraId="35126838" w14:textId="77777777" w:rsidR="007044D7" w:rsidRPr="006D571B" w:rsidRDefault="00000000">
      <w:pPr>
        <w:pStyle w:val="Tekstpodstawowy"/>
        <w:spacing w:before="4"/>
        <w:ind w:left="874" w:right="729"/>
        <w:jc w:val="both"/>
        <w:rPr>
          <w:lang w:val="pl-PL"/>
        </w:rPr>
      </w:pPr>
      <w:r w:rsidRPr="006D571B">
        <w:rPr>
          <w:w w:val="120"/>
          <w:sz w:val="19"/>
          <w:lang w:val="pl-PL"/>
        </w:rPr>
        <w:t>Sprawa dotyczyła zwolnienia pracownika SNCF (francuskiej państwowej spółki kolejowej) po tym, jak podczas przeszukania jego komputera służbowego znaleziono pliki pornograficzne oraz sfałszowane certyfikaty wystawione na osoby trzecie. Skarżący zarzucał w szczególności, że jego pracodawca otworzył w jego nieobecności pliki osobiste przechowywane na dysku twardym jego komputera służbowego.</w:t>
      </w:r>
    </w:p>
    <w:p w14:paraId="1E34F0E8" w14:textId="77777777" w:rsidR="007044D7" w:rsidRPr="006D571B" w:rsidRDefault="00000000">
      <w:pPr>
        <w:pStyle w:val="Tekstpodstawowy"/>
        <w:ind w:left="873" w:right="727"/>
        <w:jc w:val="both"/>
        <w:rPr>
          <w:lang w:val="pl-PL"/>
        </w:rPr>
      </w:pPr>
      <w:r w:rsidRPr="006D571B">
        <w:rPr>
          <w:color w:val="0071BB"/>
          <w:w w:val="120"/>
          <w:sz w:val="19"/>
          <w:lang w:val="pl-PL"/>
        </w:rPr>
        <w:t xml:space="preserve">Trybunał uznał, że </w:t>
      </w:r>
      <w:r w:rsidRPr="00EC5FE9">
        <w:rPr>
          <w:rFonts w:asciiTheme="minorHAnsi" w:hAnsiTheme="minorHAnsi" w:cstheme="minorHAnsi"/>
          <w:b/>
          <w:color w:val="0071BB"/>
          <w:w w:val="120"/>
          <w:sz w:val="19"/>
          <w:lang w:val="pl-PL"/>
        </w:rPr>
        <w:t xml:space="preserve">nie </w:t>
      </w:r>
      <w:r w:rsidRPr="00EC5FE9">
        <w:rPr>
          <w:rFonts w:asciiTheme="minorHAnsi" w:hAnsiTheme="minorHAnsi" w:cstheme="minorHAnsi"/>
          <w:color w:val="0071BB"/>
          <w:w w:val="120"/>
          <w:sz w:val="19"/>
          <w:lang w:val="pl-PL"/>
        </w:rPr>
        <w:t xml:space="preserve">doszło </w:t>
      </w:r>
      <w:r w:rsidRPr="00EC5FE9">
        <w:rPr>
          <w:rFonts w:asciiTheme="minorHAnsi" w:hAnsiTheme="minorHAnsi" w:cstheme="minorHAnsi"/>
          <w:b/>
          <w:color w:val="0071BB"/>
          <w:w w:val="120"/>
          <w:sz w:val="19"/>
          <w:lang w:val="pl-PL"/>
        </w:rPr>
        <w:t>do naruszenia art. 8</w:t>
      </w:r>
      <w:r w:rsidRPr="006D571B">
        <w:rPr>
          <w:rFonts w:ascii="Arial" w:hAnsi="Arial"/>
          <w:b/>
          <w:color w:val="0071BB"/>
          <w:w w:val="120"/>
          <w:sz w:val="19"/>
          <w:lang w:val="pl-PL"/>
        </w:rPr>
        <w:t xml:space="preserve"> </w:t>
      </w:r>
      <w:r w:rsidRPr="006D571B">
        <w:rPr>
          <w:color w:val="0071BB"/>
          <w:w w:val="120"/>
          <w:sz w:val="19"/>
          <w:lang w:val="pl-PL"/>
        </w:rPr>
        <w:t>Konwencji, stwierdzając, że w niniejszej sprawie władze francuskie nie przekroczyły przysługującego im marginesu oceny. Trybunał zwrócił w szczególności uwagę, że wgląd w akta przez pracodawcę skarżącego miał na celu realizację uzasadnionego celu, jakim jest ochrona praw pracodawców, którzy mogą zgodnie z prawem chcieć zapewnić, aby ich pracownicy korzystali z udostępnionych im urządzeń komputerowych zgodnie z ich zobowiązaniami umownymi i obowiązującymi przepisami. Trybunał zauważył również, że prawo francuskie zawiera mechanizm ochrony prywatności, który pozwala pracodawcom na otwieranie akt służbowych, chociaż nie mogą oni potajemnie otwierać akt oznaczonych jako osobiste. Tego ostatniego rodzaju akta mogą być otwierane wyłącznie w obecności pracownika. Sądy krajowe orzekły, że wspomniany mechanizm nie uniemożliwiłby pracodawcy otwarcia spornych akt, ponieważ nie zostały one należycie oznaczone jako prywatne. Wreszcie Trybunał uznał, że sądy krajowe właściwie oceniły zarzut skarżącego dotyczący naruszenia jego prawa do poszanowania życia prywatnego, a orzeczenia tych sądów opierały się na istotnych i wystarczających podstawach.</w:t>
      </w:r>
    </w:p>
    <w:p w14:paraId="700AAF79" w14:textId="77777777" w:rsidR="007044D7" w:rsidRPr="006D571B" w:rsidRDefault="00000000">
      <w:pPr>
        <w:pStyle w:val="Nagwek1"/>
        <w:spacing w:before="222"/>
        <w:rPr>
          <w:lang w:val="pl-PL"/>
        </w:rPr>
      </w:pPr>
      <w:r w:rsidRPr="006D571B">
        <w:rPr>
          <w:color w:val="0071BB"/>
          <w:spacing w:val="-2"/>
          <w:w w:val="120"/>
          <w:sz w:val="27"/>
          <w:lang w:val="pl-PL"/>
        </w:rPr>
        <w:t xml:space="preserve">Monitoring </w:t>
      </w:r>
      <w:r w:rsidRPr="006D571B">
        <w:rPr>
          <w:color w:val="0071BB"/>
          <w:w w:val="120"/>
          <w:sz w:val="27"/>
          <w:lang w:val="pl-PL"/>
        </w:rPr>
        <w:t>wizyjny</w:t>
      </w:r>
    </w:p>
    <w:p w14:paraId="64FAA1D3" w14:textId="77777777" w:rsidR="007044D7" w:rsidRPr="006D571B" w:rsidRDefault="00000000">
      <w:pPr>
        <w:pStyle w:val="Tekstpodstawowy"/>
        <w:rPr>
          <w:sz w:val="8"/>
          <w:lang w:val="pl-PL"/>
        </w:rPr>
      </w:pPr>
      <w:r>
        <w:rPr>
          <w:noProof/>
          <w:sz w:val="8"/>
        </w:rPr>
        <mc:AlternateContent>
          <mc:Choice Requires="wps">
            <w:drawing>
              <wp:anchor distT="0" distB="0" distL="0" distR="0" simplePos="0" relativeHeight="251668480" behindDoc="1" locked="0" layoutInCell="1" allowOverlap="1" wp14:anchorId="3905462B" wp14:editId="1A61B6C4">
                <wp:simplePos x="0" y="0"/>
                <wp:positionH relativeFrom="page">
                  <wp:posOffset>896111</wp:posOffset>
                </wp:positionH>
                <wp:positionV relativeFrom="paragraph">
                  <wp:posOffset>77650</wp:posOffset>
                </wp:positionV>
                <wp:extent cx="5768340" cy="18415"/>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81938AF" id="Graphic 14" o:spid="_x0000_s1026" style="position:absolute;margin-left:70.55pt;margin-top:6.1pt;width:454.2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" path="m5768340,l,,,18287r5768340,l5768340,xe" fillcolor="#999" stroked="f">
                <v:path arrowok="t"/>
                <w10:wrap type="topAndBottom" anchorx="page"/>
              </v:shape>
            </w:pict>
          </mc:Fallback>
        </mc:AlternateContent>
      </w:r>
    </w:p>
    <w:p w14:paraId="7E1F1901" w14:textId="77777777" w:rsidR="007044D7" w:rsidRPr="006D571B" w:rsidRDefault="007044D7">
      <w:pPr>
        <w:pStyle w:val="Nagwek2"/>
        <w:rPr>
          <w:u w:val="none"/>
          <w:lang w:val="pl-PL"/>
        </w:rPr>
      </w:pPr>
      <w:hyperlink r:id="rId19">
        <w:r w:rsidRPr="006D571B">
          <w:rPr>
            <w:color w:val="0071BB"/>
            <w:w w:val="115"/>
            <w:sz w:val="19"/>
            <w:u w:color="0071BB"/>
            <w:lang w:val="pl-PL"/>
          </w:rPr>
          <w:t xml:space="preserve">Köpke przeciwko </w:t>
        </w:r>
        <w:r w:rsidRPr="006D571B">
          <w:rPr>
            <w:color w:val="0071BB"/>
            <w:spacing w:val="-2"/>
            <w:w w:val="115"/>
            <w:sz w:val="19"/>
            <w:u w:color="0071BB"/>
            <w:lang w:val="pl-PL"/>
          </w:rPr>
          <w:t>Niemcom</w:t>
        </w:r>
      </w:hyperlink>
    </w:p>
    <w:p w14:paraId="0A0F3726" w14:textId="47A35CC8" w:rsidR="007044D7" w:rsidRPr="006D571B" w:rsidRDefault="00000000">
      <w:pPr>
        <w:spacing w:before="67"/>
        <w:ind w:left="874"/>
        <w:jc w:val="both"/>
        <w:rPr>
          <w:sz w:val="18"/>
          <w:lang w:val="pl-PL"/>
        </w:rPr>
      </w:pPr>
      <w:r w:rsidRPr="006D571B">
        <w:rPr>
          <w:color w:val="808080"/>
          <w:w w:val="120"/>
          <w:sz w:val="17"/>
          <w:lang w:val="pl-PL"/>
        </w:rPr>
        <w:t>5 października 2010 r</w:t>
      </w:r>
      <w:r w:rsidRPr="006D571B">
        <w:rPr>
          <w:color w:val="808080"/>
          <w:spacing w:val="16"/>
          <w:w w:val="120"/>
          <w:sz w:val="17"/>
          <w:lang w:val="pl-PL"/>
        </w:rPr>
        <w:t xml:space="preserve">. </w:t>
      </w:r>
      <w:r w:rsidRPr="006D571B">
        <w:rPr>
          <w:color w:val="808080"/>
          <w:w w:val="120"/>
          <w:sz w:val="17"/>
          <w:lang w:val="pl-PL"/>
        </w:rPr>
        <w:t>(</w:t>
      </w:r>
      <w:r w:rsidR="00E27461">
        <w:rPr>
          <w:color w:val="808080"/>
          <w:w w:val="120"/>
          <w:sz w:val="17"/>
          <w:lang w:val="pl-PL"/>
        </w:rPr>
        <w:t>decyzja</w:t>
      </w:r>
      <w:r w:rsidRPr="006D571B">
        <w:rPr>
          <w:color w:val="808080"/>
          <w:w w:val="120"/>
          <w:sz w:val="17"/>
          <w:lang w:val="pl-PL"/>
        </w:rPr>
        <w:t xml:space="preserve"> w sprawie </w:t>
      </w:r>
      <w:r w:rsidRPr="006D571B">
        <w:rPr>
          <w:color w:val="808080"/>
          <w:spacing w:val="-2"/>
          <w:w w:val="120"/>
          <w:sz w:val="17"/>
          <w:lang w:val="pl-PL"/>
        </w:rPr>
        <w:t>dopuszczalności)</w:t>
      </w:r>
    </w:p>
    <w:p w14:paraId="04C362FB" w14:textId="3E64BDA2" w:rsidR="007044D7" w:rsidRPr="006D571B" w:rsidRDefault="00E27461">
      <w:pPr>
        <w:pStyle w:val="Tekstpodstawowy"/>
        <w:spacing w:before="1"/>
        <w:ind w:left="874" w:right="729"/>
        <w:jc w:val="both"/>
        <w:rPr>
          <w:lang w:val="pl-PL"/>
        </w:rPr>
      </w:pPr>
      <w:r>
        <w:rPr>
          <w:w w:val="120"/>
          <w:sz w:val="19"/>
          <w:lang w:val="pl-PL"/>
        </w:rPr>
        <w:t>Skarżąca</w:t>
      </w:r>
      <w:r w:rsidR="00000000" w:rsidRPr="006D571B">
        <w:rPr>
          <w:w w:val="120"/>
          <w:sz w:val="19"/>
          <w:lang w:val="pl-PL"/>
        </w:rPr>
        <w:t>, kasjerka w supermarkecie, została zwolniona bez wypowiedzenia</w:t>
      </w:r>
      <w:r w:rsidR="00A21978" w:rsidRPr="006D571B">
        <w:rPr>
          <w:w w:val="120"/>
          <w:sz w:val="19"/>
          <w:lang w:val="pl-PL"/>
        </w:rPr>
        <w:t>,</w:t>
      </w:r>
      <w:r w:rsidR="00000000" w:rsidRPr="006D571B">
        <w:rPr>
          <w:w w:val="120"/>
          <w:sz w:val="19"/>
          <w:lang w:val="pl-PL"/>
        </w:rPr>
        <w:t xml:space="preserve"> za kradzież w wyniku </w:t>
      </w:r>
      <w:r w:rsidR="002E01BF" w:rsidRPr="006D571B">
        <w:rPr>
          <w:w w:val="120"/>
          <w:sz w:val="19"/>
          <w:lang w:val="pl-PL"/>
        </w:rPr>
        <w:t>poufnej</w:t>
      </w:r>
      <w:r w:rsidR="00000000" w:rsidRPr="006D571B">
        <w:rPr>
          <w:w w:val="120"/>
          <w:sz w:val="19"/>
          <w:lang w:val="pl-PL"/>
        </w:rPr>
        <w:t xml:space="preserve"> operacji monitoringu wi</w:t>
      </w:r>
      <w:r w:rsidR="002E01BF" w:rsidRPr="006D571B">
        <w:rPr>
          <w:w w:val="120"/>
          <w:sz w:val="19"/>
          <w:lang w:val="pl-PL"/>
        </w:rPr>
        <w:t>deo</w:t>
      </w:r>
      <w:r w:rsidR="00000000" w:rsidRPr="006D571B">
        <w:rPr>
          <w:w w:val="120"/>
          <w:sz w:val="19"/>
          <w:lang w:val="pl-PL"/>
        </w:rPr>
        <w:t xml:space="preserve"> przeprowadzonej przez jej pracodawcę z pomocą prywatnej agencji detektywistycznej. Bezskutecznie </w:t>
      </w:r>
      <w:r w:rsidR="00A21978" w:rsidRPr="006D571B">
        <w:rPr>
          <w:w w:val="120"/>
          <w:sz w:val="19"/>
          <w:lang w:val="pl-PL"/>
        </w:rPr>
        <w:t xml:space="preserve">kwestionowała </w:t>
      </w:r>
      <w:r w:rsidR="00000000" w:rsidRPr="006D571B">
        <w:rPr>
          <w:w w:val="120"/>
          <w:sz w:val="19"/>
          <w:lang w:val="pl-PL"/>
        </w:rPr>
        <w:t>swoje zwolnienie przed są</w:t>
      </w:r>
      <w:r w:rsidR="00AF3C5C" w:rsidRPr="006D571B">
        <w:rPr>
          <w:w w:val="120"/>
          <w:sz w:val="19"/>
          <w:lang w:val="pl-PL"/>
        </w:rPr>
        <w:t>dem</w:t>
      </w:r>
      <w:r w:rsidR="00000000" w:rsidRPr="006D571B">
        <w:rPr>
          <w:w w:val="120"/>
          <w:sz w:val="19"/>
          <w:lang w:val="pl-PL"/>
        </w:rPr>
        <w:t xml:space="preserve"> pracy. Jej skarga konstytucyjna również została oddalona.</w:t>
      </w:r>
    </w:p>
    <w:p w14:paraId="56B8F72C" w14:textId="77777777" w:rsidR="007044D7" w:rsidRPr="006D571B" w:rsidRDefault="007044D7">
      <w:pPr>
        <w:pStyle w:val="Tekstpodstawowy"/>
        <w:jc w:val="both"/>
        <w:rPr>
          <w:lang w:val="pl-PL"/>
        </w:rPr>
        <w:sectPr w:rsidR="007044D7" w:rsidRPr="006D571B">
          <w:pgSz w:w="11910" w:h="16840"/>
          <w:pgMar w:top="1480" w:right="708" w:bottom="680" w:left="566" w:header="730" w:footer="497" w:gutter="0"/>
          <w:cols w:space="708"/>
        </w:sectPr>
      </w:pPr>
    </w:p>
    <w:p w14:paraId="10EF3179" w14:textId="3BACC899" w:rsidR="007044D7" w:rsidRPr="002D224D" w:rsidRDefault="00000000" w:rsidP="002D224D">
      <w:pPr>
        <w:pStyle w:val="Tekstpodstawowy"/>
        <w:spacing w:before="240"/>
        <w:ind w:left="873" w:right="728"/>
        <w:jc w:val="both"/>
        <w:rPr>
          <w:color w:val="0071BB"/>
          <w:w w:val="120"/>
          <w:sz w:val="19"/>
          <w:lang w:val="pl-PL"/>
        </w:rPr>
      </w:pPr>
      <w:r w:rsidRPr="006D571B">
        <w:rPr>
          <w:color w:val="0071BB"/>
          <w:w w:val="120"/>
          <w:sz w:val="19"/>
          <w:lang w:val="pl-PL"/>
        </w:rPr>
        <w:lastRenderedPageBreak/>
        <w:t>Trybunał uznał za</w:t>
      </w:r>
      <w:r w:rsidRPr="006D571B">
        <w:rPr>
          <w:rFonts w:ascii="Arial" w:hAnsi="Arial"/>
          <w:b/>
          <w:color w:val="0071BB"/>
          <w:w w:val="120"/>
          <w:sz w:val="19"/>
          <w:lang w:val="pl-PL"/>
        </w:rPr>
        <w:t xml:space="preserve"> </w:t>
      </w:r>
      <w:r w:rsidRPr="0006419B">
        <w:rPr>
          <w:rFonts w:asciiTheme="minorHAnsi" w:hAnsiTheme="minorHAnsi" w:cstheme="minorHAnsi"/>
          <w:b/>
          <w:color w:val="0071BB"/>
          <w:w w:val="120"/>
          <w:sz w:val="19"/>
          <w:lang w:val="pl-PL"/>
        </w:rPr>
        <w:t>niedopuszczalną</w:t>
      </w:r>
      <w:r w:rsidRPr="0006419B">
        <w:rPr>
          <w:rFonts w:asciiTheme="minorHAnsi" w:hAnsiTheme="minorHAnsi" w:cstheme="minorHAnsi"/>
          <w:color w:val="0071BB"/>
          <w:w w:val="120"/>
          <w:sz w:val="19"/>
          <w:lang w:val="pl-PL"/>
        </w:rPr>
        <w:t>,</w:t>
      </w:r>
      <w:r w:rsidRPr="006D571B">
        <w:rPr>
          <w:color w:val="0071BB"/>
          <w:w w:val="120"/>
          <w:sz w:val="19"/>
          <w:lang w:val="pl-PL"/>
        </w:rPr>
        <w:t xml:space="preserve"> jako oczywiście bezzasadną, skargę na podstawie art. 8 Konwencji, stwierdzając, że władze krajowe osiągnęły właściwą równowagę między prawem pracownicy do poszanowania jej życia prywatnego, interesem pracodawcy w zakresie ochrony jego praw własności oraz interesem publicznym w zakresie prawidłowego wymiaru sprawiedliwości.</w:t>
      </w:r>
      <w:r w:rsidRPr="006D571B">
        <w:rPr>
          <w:color w:val="0071BB"/>
          <w:spacing w:val="40"/>
          <w:w w:val="120"/>
          <w:sz w:val="19"/>
          <w:lang w:val="pl-PL"/>
        </w:rPr>
        <w:t xml:space="preserve"> </w:t>
      </w:r>
      <w:r w:rsidRPr="006D571B">
        <w:rPr>
          <w:color w:val="0071BB"/>
          <w:w w:val="120"/>
          <w:sz w:val="19"/>
          <w:lang w:val="pl-PL"/>
        </w:rPr>
        <w:t>Trybunał zwrócił szczególną uwagę na fakt, że środek, którego dotyczyła skarga, był ograniczony czasowo (do dwóch tygodni) i obejmował wyłącznie obszar wokół kasy, dostępny dla ogółu społeczeństwa. Uzyskane dane wizualne były przetwarzane przez ograniczoną liczbę osób zatrudnionych w agencji detektywistycznej oraz przez pracowników pracodawcy</w:t>
      </w:r>
      <w:r w:rsidR="002D224D" w:rsidRPr="006D571B">
        <w:rPr>
          <w:color w:val="0071BB"/>
          <w:w w:val="120"/>
          <w:sz w:val="19"/>
          <w:lang w:val="pl-PL"/>
        </w:rPr>
        <w:t xml:space="preserve">. </w:t>
      </w:r>
      <w:r w:rsidR="002D224D" w:rsidRPr="002D224D">
        <w:rPr>
          <w:color w:val="0071BB"/>
          <w:w w:val="120"/>
          <w:sz w:val="19"/>
          <w:lang w:val="pl-PL"/>
        </w:rPr>
        <w:t xml:space="preserve">Zostały one wykorzystane wyłącznie w związku z rozwiązaniem </w:t>
      </w:r>
      <w:r w:rsidR="002D224D">
        <w:rPr>
          <w:color w:val="0071BB"/>
          <w:w w:val="120"/>
          <w:sz w:val="19"/>
          <w:lang w:val="pl-PL"/>
        </w:rPr>
        <w:t xml:space="preserve">umowy o </w:t>
      </w:r>
      <w:r w:rsidR="002D224D" w:rsidRPr="002D224D">
        <w:rPr>
          <w:color w:val="0071BB"/>
          <w:w w:val="120"/>
          <w:sz w:val="19"/>
          <w:lang w:val="pl-PL"/>
        </w:rPr>
        <w:t>prac</w:t>
      </w:r>
      <w:r w:rsidR="0006419B">
        <w:rPr>
          <w:color w:val="0071BB"/>
          <w:w w:val="120"/>
          <w:sz w:val="19"/>
          <w:lang w:val="pl-PL"/>
        </w:rPr>
        <w:t>ę</w:t>
      </w:r>
      <w:r w:rsidR="002D224D" w:rsidRPr="002D224D">
        <w:rPr>
          <w:color w:val="0071BB"/>
          <w:w w:val="120"/>
          <w:sz w:val="19"/>
          <w:lang w:val="pl-PL"/>
        </w:rPr>
        <w:t xml:space="preserve"> i postępowaniem przed sądami pracy</w:t>
      </w:r>
      <w:r w:rsidR="002D224D">
        <w:rPr>
          <w:color w:val="0071BB"/>
          <w:w w:val="120"/>
          <w:sz w:val="19"/>
          <w:lang w:val="pl-PL"/>
        </w:rPr>
        <w:t>.</w:t>
      </w:r>
      <w:r w:rsidR="002D224D" w:rsidRPr="002D224D">
        <w:rPr>
          <w:rFonts w:ascii="inherit" w:eastAsia="Times New Roman" w:hAnsi="inherit" w:cs="Courier New"/>
          <w:color w:val="1F1F1F"/>
          <w:sz w:val="42"/>
          <w:szCs w:val="42"/>
          <w:lang w:val="pl-PL" w:eastAsia="pl-PL"/>
        </w:rPr>
        <w:t xml:space="preserve"> </w:t>
      </w:r>
      <w:r w:rsidR="002D224D" w:rsidRPr="002D224D">
        <w:rPr>
          <w:color w:val="0071BB"/>
          <w:w w:val="120"/>
          <w:sz w:val="19"/>
          <w:lang w:val="pl-PL"/>
        </w:rPr>
        <w:t>W związku z tym Trybunał stwierdził, że ingerencja w życie prywatne skarżące</w:t>
      </w:r>
      <w:r w:rsidR="0006419B">
        <w:rPr>
          <w:color w:val="0071BB"/>
          <w:w w:val="120"/>
          <w:sz w:val="19"/>
          <w:lang w:val="pl-PL"/>
        </w:rPr>
        <w:t>j</w:t>
      </w:r>
      <w:r w:rsidR="002D224D" w:rsidRPr="002D224D">
        <w:rPr>
          <w:color w:val="0071BB"/>
          <w:w w:val="120"/>
          <w:sz w:val="19"/>
          <w:lang w:val="pl-PL"/>
        </w:rPr>
        <w:t xml:space="preserve"> została ograniczona do tego, co było konieczne do osiągnięcia celów monitoringu wizyjnego</w:t>
      </w:r>
      <w:r w:rsidRPr="006D571B">
        <w:rPr>
          <w:color w:val="0071BB"/>
          <w:w w:val="120"/>
          <w:sz w:val="19"/>
          <w:lang w:val="pl-PL"/>
        </w:rPr>
        <w:t>. Trybunał zauważył jednak, że w przyszłości konkurujące interesy mogą być rozpatrywane w inny sposób, biorąc pod uwagę zakres, w jakim nowe, coraz bardziej zaawansowane technologie umożliwiają ingerencję w życie prywatne.</w:t>
      </w:r>
    </w:p>
    <w:p w14:paraId="4349A44E" w14:textId="77777777" w:rsidR="007044D7" w:rsidRPr="006D571B" w:rsidRDefault="007044D7">
      <w:pPr>
        <w:pStyle w:val="Nagwek2"/>
        <w:spacing w:before="107"/>
        <w:ind w:left="873"/>
        <w:rPr>
          <w:u w:val="none"/>
          <w:lang w:val="pl-PL"/>
        </w:rPr>
      </w:pPr>
      <w:hyperlink r:id="rId20">
        <w:r w:rsidRPr="006D571B">
          <w:rPr>
            <w:color w:val="0071BB"/>
            <w:w w:val="115"/>
            <w:sz w:val="19"/>
            <w:u w:val="thick" w:color="0071BB"/>
            <w:lang w:val="pl-PL"/>
          </w:rPr>
          <w:t xml:space="preserve">Antović i Mirković przeciwko </w:t>
        </w:r>
        <w:r w:rsidRPr="006D571B">
          <w:rPr>
            <w:color w:val="0071BB"/>
            <w:spacing w:val="-2"/>
            <w:w w:val="115"/>
            <w:sz w:val="19"/>
            <w:u w:val="thick" w:color="0071BB"/>
            <w:lang w:val="pl-PL"/>
          </w:rPr>
          <w:t>Czarnogórze</w:t>
        </w:r>
      </w:hyperlink>
    </w:p>
    <w:p w14:paraId="7B312AC2" w14:textId="77777777" w:rsidR="007044D7" w:rsidRPr="006D571B" w:rsidRDefault="00000000">
      <w:pPr>
        <w:spacing w:before="67"/>
        <w:ind w:left="874"/>
        <w:jc w:val="both"/>
        <w:rPr>
          <w:sz w:val="18"/>
          <w:lang w:val="pl-PL"/>
        </w:rPr>
      </w:pPr>
      <w:r w:rsidRPr="006D571B">
        <w:rPr>
          <w:color w:val="808080"/>
          <w:w w:val="125"/>
          <w:sz w:val="17"/>
          <w:lang w:val="pl-PL"/>
        </w:rPr>
        <w:t>28 listopada 2017 r</w:t>
      </w:r>
      <w:r w:rsidRPr="006D571B">
        <w:rPr>
          <w:color w:val="808080"/>
          <w:spacing w:val="-4"/>
          <w:w w:val="125"/>
          <w:sz w:val="17"/>
          <w:lang w:val="pl-PL"/>
        </w:rPr>
        <w:t xml:space="preserve">. </w:t>
      </w:r>
      <w:r w:rsidRPr="006D571B">
        <w:rPr>
          <w:color w:val="808080"/>
          <w:spacing w:val="-2"/>
          <w:w w:val="125"/>
          <w:sz w:val="17"/>
          <w:lang w:val="pl-PL"/>
        </w:rPr>
        <w:t>(wyrok)</w:t>
      </w:r>
    </w:p>
    <w:p w14:paraId="7F9F9088" w14:textId="77777777" w:rsidR="00AE2F15" w:rsidRPr="006D571B" w:rsidRDefault="00AE2F15">
      <w:pPr>
        <w:pStyle w:val="Tekstpodstawowy"/>
        <w:ind w:left="874" w:right="730"/>
        <w:jc w:val="both"/>
        <w:rPr>
          <w:w w:val="120"/>
          <w:sz w:val="19"/>
          <w:lang w:val="pl-PL"/>
        </w:rPr>
      </w:pPr>
      <w:r w:rsidRPr="006D571B">
        <w:rPr>
          <w:w w:val="120"/>
          <w:sz w:val="19"/>
          <w:lang w:val="pl-PL"/>
        </w:rPr>
        <w:t>Sprawa dotyczyła skargi dwóch profesorów z Wydziału Matematyki Uniwersytetu Czarnogóry na naruszenie prywatności po zainstalowaniu monitoringu wideo w miejscach, w których prowadzili zajęcia. Profesorowie twierdzili, że nie mieli skutecznej kontroli nad gromadzonymi danymi i że monitoring był niezgodny z prawem. Krajowe sądy oddaliły jednak roszczenie o odszkodowanie, uznając, że kwestia życia prywatnego nie była w tym przypadku problemem, ponieważ sale, w których wykładali wnioskodawcy, były miejscami publicznymi.</w:t>
      </w:r>
    </w:p>
    <w:p w14:paraId="73521CB0" w14:textId="5CE94D37" w:rsidR="00AE2F15" w:rsidRPr="00AE2F15" w:rsidRDefault="00000000" w:rsidP="00AE2F15">
      <w:pPr>
        <w:pStyle w:val="Tekstpodstawowy"/>
        <w:ind w:left="874" w:right="730"/>
        <w:jc w:val="both"/>
        <w:rPr>
          <w:color w:val="0071BB"/>
          <w:w w:val="120"/>
          <w:sz w:val="19"/>
          <w:lang w:val="pl-PL"/>
        </w:rPr>
      </w:pPr>
      <w:r w:rsidRPr="006D571B">
        <w:rPr>
          <w:color w:val="0071BB"/>
          <w:w w:val="120"/>
          <w:sz w:val="19"/>
          <w:lang w:val="pl-PL"/>
        </w:rPr>
        <w:t xml:space="preserve">Trybunał uznał, że doszło </w:t>
      </w:r>
      <w:r w:rsidRPr="00482A6E">
        <w:rPr>
          <w:rFonts w:asciiTheme="minorHAnsi" w:hAnsiTheme="minorHAnsi" w:cstheme="minorHAnsi"/>
          <w:b/>
          <w:color w:val="0071BB"/>
          <w:w w:val="120"/>
          <w:sz w:val="19"/>
          <w:lang w:val="pl-PL"/>
        </w:rPr>
        <w:t>do</w:t>
      </w:r>
      <w:r w:rsidRPr="00482A6E">
        <w:rPr>
          <w:rFonts w:asciiTheme="minorHAnsi" w:hAnsiTheme="minorHAnsi" w:cstheme="minorHAnsi"/>
          <w:color w:val="0071BB"/>
          <w:w w:val="120"/>
          <w:sz w:val="19"/>
          <w:lang w:val="pl-PL"/>
        </w:rPr>
        <w:t xml:space="preserve"> </w:t>
      </w:r>
      <w:r w:rsidRPr="00482A6E">
        <w:rPr>
          <w:rFonts w:asciiTheme="minorHAnsi" w:hAnsiTheme="minorHAnsi" w:cstheme="minorHAnsi"/>
          <w:b/>
          <w:color w:val="0071BB"/>
          <w:w w:val="120"/>
          <w:sz w:val="19"/>
          <w:lang w:val="pl-PL"/>
        </w:rPr>
        <w:t>naruszenia art</w:t>
      </w:r>
      <w:r w:rsidRPr="00482A6E">
        <w:rPr>
          <w:rFonts w:asciiTheme="minorHAnsi" w:hAnsiTheme="minorHAnsi" w:cstheme="minorHAnsi"/>
          <w:color w:val="0071BB"/>
          <w:w w:val="120"/>
          <w:sz w:val="19"/>
          <w:lang w:val="pl-PL"/>
        </w:rPr>
        <w:t>.</w:t>
      </w:r>
      <w:r w:rsidRPr="00482A6E">
        <w:rPr>
          <w:rFonts w:asciiTheme="minorHAnsi" w:hAnsiTheme="minorHAnsi" w:cstheme="minorHAnsi"/>
          <w:b/>
          <w:color w:val="0071BB"/>
          <w:w w:val="120"/>
          <w:sz w:val="19"/>
          <w:lang w:val="pl-PL"/>
        </w:rPr>
        <w:t xml:space="preserve"> 8</w:t>
      </w:r>
      <w:r w:rsidRPr="006D571B">
        <w:rPr>
          <w:rFonts w:ascii="Arial" w:hAnsi="Arial"/>
          <w:b/>
          <w:color w:val="0071BB"/>
          <w:w w:val="120"/>
          <w:sz w:val="19"/>
          <w:lang w:val="pl-PL"/>
        </w:rPr>
        <w:t xml:space="preserve"> </w:t>
      </w:r>
      <w:r w:rsidRPr="006D571B">
        <w:rPr>
          <w:color w:val="0071BB"/>
          <w:w w:val="120"/>
          <w:sz w:val="19"/>
          <w:lang w:val="pl-PL"/>
        </w:rPr>
        <w:t>Konwencji, stwierdzając</w:t>
      </w:r>
      <w:r w:rsidR="00AE2F15" w:rsidRPr="00AE2F15">
        <w:rPr>
          <w:color w:val="0071BB"/>
          <w:w w:val="120"/>
          <w:sz w:val="19"/>
          <w:lang w:val="pl-PL"/>
        </w:rPr>
        <w:t xml:space="preserve">, że monitoring kamerowy nie był zgodny z prawem. Najpierw odrzucił argument rządu, że sprawa jest niedopuszczalna, ponieważ nie doszło do naruszenia prywatności, gdyż obszar objęty nadzorem był miejscem publicznym i służbowym. Trybunał zauważył w tym kontekście, że wcześniej uznawał, iż życie prywatne może obejmować także działalność zawodową i uznał, że ma to również zastosowanie do </w:t>
      </w:r>
      <w:r w:rsidR="00482A6E">
        <w:rPr>
          <w:color w:val="0071BB"/>
          <w:w w:val="120"/>
          <w:sz w:val="19"/>
          <w:lang w:val="pl-PL"/>
        </w:rPr>
        <w:t>skarżących</w:t>
      </w:r>
      <w:r w:rsidR="00AE2F15" w:rsidRPr="00AE2F15">
        <w:rPr>
          <w:color w:val="0071BB"/>
          <w:w w:val="120"/>
          <w:sz w:val="19"/>
          <w:lang w:val="pl-PL"/>
        </w:rPr>
        <w:t>. W związku z tym artykuł 8 miał zastosowanie.</w:t>
      </w:r>
    </w:p>
    <w:p w14:paraId="30238A6B" w14:textId="50439D70" w:rsidR="00AE2F15" w:rsidRPr="00AE2F15" w:rsidRDefault="00AE2F15" w:rsidP="00AE2F15">
      <w:pPr>
        <w:pStyle w:val="Tekstpodstawowy"/>
        <w:ind w:left="874" w:right="730"/>
        <w:jc w:val="both"/>
        <w:rPr>
          <w:color w:val="0071BB"/>
          <w:w w:val="120"/>
          <w:sz w:val="19"/>
          <w:lang w:val="pl-PL"/>
        </w:rPr>
      </w:pPr>
      <w:r w:rsidRPr="00AE2F15">
        <w:rPr>
          <w:color w:val="0071BB"/>
          <w:w w:val="120"/>
          <w:sz w:val="19"/>
          <w:lang w:val="pl-PL"/>
        </w:rPr>
        <w:t xml:space="preserve">Co do meritum sprawy, Trybunał stwierdził, że monitoring kamerowy stanowił ingerencję w prawo </w:t>
      </w:r>
      <w:r w:rsidR="00482A6E">
        <w:rPr>
          <w:color w:val="0071BB"/>
          <w:w w:val="120"/>
          <w:sz w:val="19"/>
          <w:lang w:val="pl-PL"/>
        </w:rPr>
        <w:t>skarżących</w:t>
      </w:r>
      <w:r w:rsidRPr="00AE2F15">
        <w:rPr>
          <w:color w:val="0071BB"/>
          <w:w w:val="120"/>
          <w:sz w:val="19"/>
          <w:lang w:val="pl-PL"/>
        </w:rPr>
        <w:t xml:space="preserve"> do prywatności, a dowody wykazały, że nadzór ten naruszył przepisy prawa krajowego. Rzeczywiście, sądy krajowe nawet nie rozważyły żadnej prawnej podstawy dla monitoringu, ponieważ od samego początku uznały, że nie doszło do naruszenia prywatności.</w:t>
      </w:r>
    </w:p>
    <w:p w14:paraId="1574F4FD" w14:textId="5E81F5B9" w:rsidR="007044D7" w:rsidRPr="006D571B" w:rsidRDefault="007044D7">
      <w:pPr>
        <w:pStyle w:val="Tekstpodstawowy"/>
        <w:ind w:left="874" w:right="730"/>
        <w:jc w:val="both"/>
        <w:rPr>
          <w:lang w:val="pl-PL"/>
        </w:rPr>
      </w:pPr>
    </w:p>
    <w:p w14:paraId="42E75C49" w14:textId="77777777" w:rsidR="007044D7" w:rsidRPr="006D571B" w:rsidRDefault="007044D7">
      <w:pPr>
        <w:pStyle w:val="Nagwek2"/>
        <w:spacing w:before="104"/>
        <w:rPr>
          <w:u w:val="none"/>
          <w:lang w:val="pl-PL"/>
        </w:rPr>
      </w:pPr>
      <w:hyperlink r:id="rId21">
        <w:r w:rsidRPr="006D571B">
          <w:rPr>
            <w:color w:val="0071BB"/>
            <w:w w:val="115"/>
            <w:sz w:val="19"/>
            <w:u w:val="thick" w:color="0071BB"/>
            <w:lang w:val="pl-PL"/>
          </w:rPr>
          <w:t xml:space="preserve">López Ribalda i inni przeciwko </w:t>
        </w:r>
        <w:r w:rsidRPr="006D571B">
          <w:rPr>
            <w:color w:val="0071BB"/>
            <w:spacing w:val="-4"/>
            <w:w w:val="115"/>
            <w:sz w:val="19"/>
            <w:u w:val="thick" w:color="0071BB"/>
            <w:lang w:val="pl-PL"/>
          </w:rPr>
          <w:t>Hiszpanii</w:t>
        </w:r>
      </w:hyperlink>
    </w:p>
    <w:p w14:paraId="40CC3635" w14:textId="77777777" w:rsidR="007044D7" w:rsidRPr="006D571B" w:rsidRDefault="00000000">
      <w:pPr>
        <w:spacing w:before="69"/>
        <w:ind w:left="874"/>
        <w:jc w:val="both"/>
        <w:rPr>
          <w:sz w:val="18"/>
          <w:lang w:val="pl-PL"/>
        </w:rPr>
      </w:pPr>
      <w:r w:rsidRPr="006D571B">
        <w:rPr>
          <w:color w:val="808080"/>
          <w:w w:val="125"/>
          <w:sz w:val="17"/>
          <w:lang w:val="pl-PL"/>
        </w:rPr>
        <w:t>17 października 2019 r</w:t>
      </w:r>
      <w:r w:rsidRPr="006D571B">
        <w:rPr>
          <w:color w:val="808080"/>
          <w:spacing w:val="-1"/>
          <w:w w:val="125"/>
          <w:sz w:val="17"/>
          <w:lang w:val="pl-PL"/>
        </w:rPr>
        <w:t xml:space="preserve">. </w:t>
      </w:r>
      <w:r w:rsidRPr="006D571B">
        <w:rPr>
          <w:color w:val="808080"/>
          <w:w w:val="125"/>
          <w:sz w:val="17"/>
          <w:lang w:val="pl-PL"/>
        </w:rPr>
        <w:t xml:space="preserve">(Wielka </w:t>
      </w:r>
      <w:r w:rsidRPr="006D571B">
        <w:rPr>
          <w:color w:val="808080"/>
          <w:spacing w:val="-2"/>
          <w:w w:val="125"/>
          <w:sz w:val="17"/>
          <w:lang w:val="pl-PL"/>
        </w:rPr>
        <w:t>Izba)</w:t>
      </w:r>
    </w:p>
    <w:p w14:paraId="75487959" w14:textId="77777777" w:rsidR="007044D7" w:rsidRPr="006D571B" w:rsidRDefault="00000000">
      <w:pPr>
        <w:pStyle w:val="Tekstpodstawowy"/>
        <w:spacing w:before="2"/>
        <w:ind w:left="873" w:right="725"/>
        <w:jc w:val="both"/>
        <w:rPr>
          <w:lang w:val="pl-PL"/>
        </w:rPr>
      </w:pPr>
      <w:r w:rsidRPr="006D571B">
        <w:rPr>
          <w:w w:val="120"/>
          <w:sz w:val="19"/>
          <w:lang w:val="pl-PL"/>
        </w:rPr>
        <w:t>Sprawa dotyczyła potajemnej inwigilacji pracowników za pomocą kamer, która doprowadziła do ich zwolnienia. Skarżący zarzucali potajemną inwigilację oraz wykorzystanie przez hiszpańskie sądy uzyskanych w ten sposób danych do stwierdzenia, że ich zwolnienia były uzasadnione. Skarżący, którzy podpisali ugody, zarzucali również, że ugody te zostały zawarte pod przymusem wynikającym z istnienia materiału wideo i nie powinny były zostać przyjęte jako dowód uzasadniający ich zwolnienia.</w:t>
      </w:r>
    </w:p>
    <w:p w14:paraId="416E7CAD" w14:textId="352AD7EC" w:rsidR="00704461" w:rsidRPr="006D571B" w:rsidRDefault="00000000" w:rsidP="00704461">
      <w:pPr>
        <w:pStyle w:val="Tekstpodstawowy"/>
        <w:ind w:left="873" w:right="729"/>
        <w:jc w:val="both"/>
        <w:rPr>
          <w:color w:val="0071BB"/>
          <w:w w:val="120"/>
          <w:sz w:val="19"/>
          <w:lang w:val="pl-PL"/>
        </w:rPr>
      </w:pPr>
      <w:r w:rsidRPr="006D571B">
        <w:rPr>
          <w:color w:val="0071BB"/>
          <w:w w:val="120"/>
          <w:sz w:val="19"/>
          <w:lang w:val="pl-PL"/>
        </w:rPr>
        <w:t xml:space="preserve">Wielka Izba uznała, że </w:t>
      </w:r>
      <w:r w:rsidRPr="00CD35E6">
        <w:rPr>
          <w:rFonts w:asciiTheme="minorHAnsi" w:hAnsiTheme="minorHAnsi" w:cstheme="minorHAnsi"/>
          <w:b/>
          <w:color w:val="0071BB"/>
          <w:w w:val="120"/>
          <w:sz w:val="19"/>
          <w:lang w:val="pl-PL"/>
        </w:rPr>
        <w:t xml:space="preserve">nie </w:t>
      </w:r>
      <w:r w:rsidRPr="00CD35E6">
        <w:rPr>
          <w:rFonts w:asciiTheme="minorHAnsi" w:hAnsiTheme="minorHAnsi" w:cstheme="minorHAnsi"/>
          <w:color w:val="0071BB"/>
          <w:w w:val="120"/>
          <w:sz w:val="19"/>
          <w:lang w:val="pl-PL"/>
        </w:rPr>
        <w:t xml:space="preserve">doszło </w:t>
      </w:r>
      <w:r w:rsidRPr="00CD35E6">
        <w:rPr>
          <w:rFonts w:asciiTheme="minorHAnsi" w:hAnsiTheme="minorHAnsi" w:cstheme="minorHAnsi"/>
          <w:b/>
          <w:color w:val="0071BB"/>
          <w:w w:val="120"/>
          <w:sz w:val="19"/>
          <w:lang w:val="pl-PL"/>
        </w:rPr>
        <w:t>do naruszenia art. 8</w:t>
      </w:r>
      <w:r w:rsidRPr="006D571B">
        <w:rPr>
          <w:rFonts w:ascii="Arial" w:hAnsi="Arial"/>
          <w:b/>
          <w:color w:val="0071BB"/>
          <w:w w:val="120"/>
          <w:sz w:val="19"/>
          <w:lang w:val="pl-PL"/>
        </w:rPr>
        <w:t xml:space="preserve"> </w:t>
      </w:r>
      <w:r w:rsidRPr="006D571B">
        <w:rPr>
          <w:color w:val="0071BB"/>
          <w:w w:val="120"/>
          <w:sz w:val="19"/>
          <w:lang w:val="pl-PL"/>
        </w:rPr>
        <w:t>Konwencji w odniesieniu do pięciu skarżących</w:t>
      </w:r>
      <w:r w:rsidR="00CD35E6">
        <w:rPr>
          <w:color w:val="0071BB"/>
          <w:w w:val="120"/>
          <w:sz w:val="19"/>
          <w:lang w:val="pl-PL"/>
        </w:rPr>
        <w:t>.</w:t>
      </w:r>
      <w:r w:rsidR="00704461" w:rsidRPr="006D571B">
        <w:rPr>
          <w:sz w:val="22"/>
          <w:szCs w:val="22"/>
          <w:lang w:val="pl-PL"/>
        </w:rPr>
        <w:t xml:space="preserve"> </w:t>
      </w:r>
      <w:r w:rsidR="00704461" w:rsidRPr="006D571B">
        <w:rPr>
          <w:color w:val="0071BB"/>
          <w:w w:val="120"/>
          <w:sz w:val="19"/>
          <w:lang w:val="pl-PL"/>
        </w:rPr>
        <w:t>Trybunał uznał w szczególności, że sądy hiszpańskie dokładnie wyważyły prawa skarżących – pracowników supermarketu podejrzanych o kradzież – oraz prawa pracodawcy, a także przeprowadziły szczegółową analizę uzasadnienia stosowania monitoringu wideo. Kluczowym argumentem skarżących było to, że nie zostali oni wcześniej poinformowani o monitoringu, mimo że taki obowiązek wynikał z przepisów prawa.</w:t>
      </w:r>
      <w:r w:rsidRPr="006D571B">
        <w:rPr>
          <w:color w:val="0071BB"/>
          <w:w w:val="120"/>
          <w:sz w:val="19"/>
          <w:lang w:val="pl-PL"/>
        </w:rPr>
        <w:t xml:space="preserve"> </w:t>
      </w:r>
      <w:r w:rsidR="00CD35E6">
        <w:rPr>
          <w:color w:val="0071BB"/>
          <w:w w:val="120"/>
          <w:sz w:val="19"/>
          <w:lang w:val="pl-PL"/>
        </w:rPr>
        <w:t>T</w:t>
      </w:r>
      <w:r w:rsidR="00704461" w:rsidRPr="006D571B">
        <w:rPr>
          <w:color w:val="0071BB"/>
          <w:w w:val="120"/>
          <w:sz w:val="19"/>
          <w:lang w:val="pl-PL"/>
        </w:rPr>
        <w:t xml:space="preserve">rybunał stwierdził jednak, że istniało wyraźne uzasadnienie dla zastosowania tego środka, ze względu na uzasadnione podejrzenie poważnego wykroczenia i związane z tym straty, biorąc pod uwagę zakres i konsekwencje środka. W niniejszej sprawie </w:t>
      </w:r>
      <w:r w:rsidR="00CD35E6">
        <w:rPr>
          <w:color w:val="0071BB"/>
          <w:w w:val="120"/>
          <w:sz w:val="19"/>
          <w:lang w:val="pl-PL"/>
        </w:rPr>
        <w:t>s</w:t>
      </w:r>
      <w:r w:rsidR="00704461" w:rsidRPr="006D571B">
        <w:rPr>
          <w:color w:val="0071BB"/>
          <w:w w:val="120"/>
          <w:sz w:val="19"/>
          <w:lang w:val="pl-PL"/>
        </w:rPr>
        <w:t>ądy krajowe nie przekroczyły zatem swoich uprawnień dyskrecjonalnych</w:t>
      </w:r>
    </w:p>
    <w:p w14:paraId="3BDD8B11" w14:textId="7AF91A2F" w:rsidR="007044D7" w:rsidRPr="006D571B" w:rsidRDefault="00704461" w:rsidP="00704461">
      <w:pPr>
        <w:pStyle w:val="Tekstpodstawowy"/>
        <w:ind w:left="873" w:right="729"/>
        <w:jc w:val="both"/>
        <w:rPr>
          <w:lang w:val="pl-PL"/>
        </w:rPr>
        <w:sectPr w:rsidR="007044D7" w:rsidRPr="006D571B">
          <w:pgSz w:w="11910" w:h="16840"/>
          <w:pgMar w:top="1480" w:right="708" w:bottom="680" w:left="566" w:header="730" w:footer="497" w:gutter="0"/>
          <w:cols w:space="708"/>
        </w:sectPr>
      </w:pPr>
      <w:r w:rsidRPr="006D571B">
        <w:rPr>
          <w:lang w:val="pl-PL"/>
        </w:rPr>
        <w:t xml:space="preserve"> </w:t>
      </w:r>
    </w:p>
    <w:p w14:paraId="3D2CE504" w14:textId="77777777" w:rsidR="007044D7" w:rsidRPr="006D571B" w:rsidRDefault="00000000">
      <w:pPr>
        <w:pStyle w:val="Tekstpodstawowy"/>
        <w:spacing w:before="240"/>
        <w:ind w:left="873" w:right="728"/>
        <w:jc w:val="both"/>
        <w:rPr>
          <w:lang w:val="pl-PL"/>
        </w:rPr>
      </w:pPr>
      <w:r w:rsidRPr="006D571B">
        <w:rPr>
          <w:color w:val="0071BB"/>
          <w:w w:val="120"/>
          <w:sz w:val="19"/>
          <w:lang w:val="pl-PL"/>
        </w:rPr>
        <w:lastRenderedPageBreak/>
        <w:t xml:space="preserve">(„margines oceny”) uznając monitorowanie za proporcjonalne i uzasadnione. Trybunał stwierdził również, że </w:t>
      </w:r>
      <w:r w:rsidRPr="00CD35E6">
        <w:rPr>
          <w:rFonts w:asciiTheme="minorHAnsi" w:hAnsiTheme="minorHAnsi" w:cstheme="minorHAnsi"/>
          <w:b/>
          <w:color w:val="0071BB"/>
          <w:w w:val="120"/>
          <w:sz w:val="19"/>
          <w:lang w:val="pl-PL"/>
        </w:rPr>
        <w:t xml:space="preserve">nie </w:t>
      </w:r>
      <w:r w:rsidRPr="00CD35E6">
        <w:rPr>
          <w:rFonts w:asciiTheme="minorHAnsi" w:hAnsiTheme="minorHAnsi" w:cstheme="minorHAnsi"/>
          <w:color w:val="0071BB"/>
          <w:w w:val="120"/>
          <w:sz w:val="19"/>
          <w:lang w:val="pl-PL"/>
        </w:rPr>
        <w:t xml:space="preserve">doszło </w:t>
      </w:r>
      <w:r w:rsidRPr="00CD35E6">
        <w:rPr>
          <w:rFonts w:asciiTheme="minorHAnsi" w:hAnsiTheme="minorHAnsi" w:cstheme="minorHAnsi"/>
          <w:b/>
          <w:color w:val="0071BB"/>
          <w:w w:val="120"/>
          <w:sz w:val="19"/>
          <w:lang w:val="pl-PL"/>
        </w:rPr>
        <w:t>do naruszenia art. 6 § 1</w:t>
      </w:r>
      <w:r w:rsidRPr="006D571B">
        <w:rPr>
          <w:rFonts w:ascii="Arial" w:hAnsi="Arial"/>
          <w:b/>
          <w:color w:val="0071BB"/>
          <w:w w:val="120"/>
          <w:sz w:val="19"/>
          <w:lang w:val="pl-PL"/>
        </w:rPr>
        <w:t xml:space="preserve"> </w:t>
      </w:r>
      <w:r w:rsidRPr="006D571B">
        <w:rPr>
          <w:color w:val="0071BB"/>
          <w:w w:val="120"/>
          <w:sz w:val="19"/>
          <w:lang w:val="pl-PL"/>
        </w:rPr>
        <w:t>(prawo do rzetelnego procesu sądowego) Konwencji, uznając w szczególności, że wykorzystanie materiału wideo jako dowodu nie naruszyło rzetelności procesu.</w:t>
      </w:r>
    </w:p>
    <w:p w14:paraId="7E5A9C1F" w14:textId="77777777" w:rsidR="007044D7" w:rsidRPr="006D571B" w:rsidRDefault="00000000">
      <w:pPr>
        <w:pStyle w:val="Nagwek1"/>
        <w:spacing w:before="241"/>
        <w:rPr>
          <w:lang w:val="pl-PL"/>
        </w:rPr>
      </w:pPr>
      <w:r>
        <w:rPr>
          <w:noProof/>
        </w:rPr>
        <mc:AlternateContent>
          <mc:Choice Requires="wps">
            <w:drawing>
              <wp:anchor distT="0" distB="0" distL="0" distR="0" simplePos="0" relativeHeight="251670528" behindDoc="1" locked="0" layoutInCell="1" allowOverlap="1" wp14:anchorId="31AD3A32" wp14:editId="5D9E6475">
                <wp:simplePos x="0" y="0"/>
                <wp:positionH relativeFrom="page">
                  <wp:posOffset>896111</wp:posOffset>
                </wp:positionH>
                <wp:positionV relativeFrom="paragraph">
                  <wp:posOffset>409391</wp:posOffset>
                </wp:positionV>
                <wp:extent cx="5768340" cy="18415"/>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EE4EBF7" id="Graphic 15" o:spid="_x0000_s1026" style="position:absolute;margin-left:70.55pt;margin-top:32.25pt;width:454.2pt;height:1.4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" path="m5768340,l,,,18288r5768340,l5768340,xe" fillcolor="#999" stroked="f">
                <v:path arrowok="t"/>
                <w10:wrap type="topAndBottom" anchorx="page"/>
              </v:shape>
            </w:pict>
          </mc:Fallback>
        </mc:AlternateContent>
      </w:r>
      <w:r w:rsidRPr="006D571B">
        <w:rPr>
          <w:color w:val="0071BB"/>
          <w:spacing w:val="-2"/>
          <w:w w:val="130"/>
          <w:sz w:val="27"/>
          <w:lang w:val="pl-PL"/>
        </w:rPr>
        <w:t xml:space="preserve">System </w:t>
      </w:r>
      <w:r w:rsidRPr="006D571B">
        <w:rPr>
          <w:color w:val="0071BB"/>
          <w:w w:val="130"/>
          <w:sz w:val="27"/>
          <w:lang w:val="pl-PL"/>
        </w:rPr>
        <w:t>GPS</w:t>
      </w:r>
    </w:p>
    <w:p w14:paraId="75245103" w14:textId="77777777" w:rsidR="007044D7" w:rsidRPr="006D571B" w:rsidRDefault="007044D7">
      <w:pPr>
        <w:pStyle w:val="Nagwek2"/>
        <w:rPr>
          <w:u w:val="none"/>
          <w:lang w:val="pl-PL"/>
        </w:rPr>
      </w:pPr>
      <w:hyperlink r:id="rId22">
        <w:r w:rsidRPr="006D571B">
          <w:rPr>
            <w:color w:val="0071BB"/>
            <w:w w:val="115"/>
            <w:sz w:val="19"/>
            <w:u w:val="thick" w:color="0071BB"/>
            <w:lang w:val="pl-PL"/>
          </w:rPr>
          <w:t xml:space="preserve">Florindo de Almeida Vasconcelos Gramaxo przeciwko </w:t>
        </w:r>
        <w:r w:rsidRPr="006D571B">
          <w:rPr>
            <w:color w:val="0071BB"/>
            <w:spacing w:val="-2"/>
            <w:w w:val="115"/>
            <w:sz w:val="19"/>
            <w:u w:val="thick" w:color="0071BB"/>
            <w:lang w:val="pl-PL"/>
          </w:rPr>
          <w:t>Portugalii</w:t>
        </w:r>
      </w:hyperlink>
    </w:p>
    <w:p w14:paraId="0D44D4C2" w14:textId="77777777" w:rsidR="007044D7" w:rsidRPr="006D571B" w:rsidRDefault="00000000">
      <w:pPr>
        <w:spacing w:before="64"/>
        <w:ind w:left="874"/>
        <w:jc w:val="both"/>
        <w:rPr>
          <w:position w:val="6"/>
          <w:sz w:val="12"/>
          <w:lang w:val="pl-PL"/>
        </w:rPr>
      </w:pPr>
      <w:r w:rsidRPr="006D571B">
        <w:rPr>
          <w:color w:val="808080"/>
          <w:w w:val="125"/>
          <w:sz w:val="17"/>
          <w:lang w:val="pl-PL"/>
        </w:rPr>
        <w:t>13 grudnia 2022 r</w:t>
      </w:r>
      <w:r w:rsidRPr="006D571B">
        <w:rPr>
          <w:color w:val="808080"/>
          <w:spacing w:val="-2"/>
          <w:w w:val="125"/>
          <w:sz w:val="17"/>
          <w:lang w:val="pl-PL"/>
        </w:rPr>
        <w:t>. (wyrok)</w:t>
      </w:r>
      <w:hyperlink w:anchor="_bookmark0" w:history="1">
        <w:r w:rsidR="007044D7" w:rsidRPr="006D571B">
          <w:rPr>
            <w:color w:val="808080"/>
            <w:spacing w:val="-2"/>
            <w:w w:val="125"/>
            <w:position w:val="6"/>
            <w:sz w:val="11"/>
            <w:lang w:val="pl-PL"/>
          </w:rPr>
          <w:t>1</w:t>
        </w:r>
      </w:hyperlink>
    </w:p>
    <w:p w14:paraId="24A2C2E9" w14:textId="3AEBA860" w:rsidR="007044D7" w:rsidRPr="006D571B" w:rsidRDefault="00000000">
      <w:pPr>
        <w:pStyle w:val="Tekstpodstawowy"/>
        <w:spacing w:before="4"/>
        <w:ind w:left="873" w:right="728"/>
        <w:jc w:val="both"/>
        <w:rPr>
          <w:lang w:val="pl-PL"/>
        </w:rPr>
      </w:pPr>
      <w:r w:rsidRPr="006D571B">
        <w:rPr>
          <w:w w:val="120"/>
          <w:sz w:val="19"/>
          <w:lang w:val="pl-PL"/>
        </w:rPr>
        <w:t xml:space="preserve">Sprawa dotyczyła zwolnienia </w:t>
      </w:r>
      <w:r w:rsidR="00CD35E6">
        <w:rPr>
          <w:w w:val="120"/>
          <w:sz w:val="19"/>
          <w:lang w:val="pl-PL"/>
        </w:rPr>
        <w:t>skarżącego</w:t>
      </w:r>
      <w:r w:rsidRPr="006D571B">
        <w:rPr>
          <w:w w:val="120"/>
          <w:sz w:val="19"/>
          <w:lang w:val="pl-PL"/>
        </w:rPr>
        <w:t xml:space="preserve"> na podstawie danych uzyskanych z systemu geolokalizacji zainstalowanego w samochodzie, który pracodawca udostępnił mu do celów wykonywania pracy jako przedstawiciel medyczny.</w:t>
      </w:r>
      <w:r w:rsidRPr="006D571B">
        <w:rPr>
          <w:spacing w:val="78"/>
          <w:w w:val="120"/>
          <w:sz w:val="19"/>
          <w:lang w:val="pl-PL"/>
        </w:rPr>
        <w:t xml:space="preserve"> </w:t>
      </w:r>
      <w:r w:rsidR="00CD35E6">
        <w:rPr>
          <w:w w:val="120"/>
          <w:sz w:val="19"/>
          <w:lang w:val="pl-PL"/>
        </w:rPr>
        <w:t>Skarżący</w:t>
      </w:r>
      <w:r w:rsidRPr="006D571B">
        <w:rPr>
          <w:w w:val="120"/>
          <w:sz w:val="19"/>
          <w:lang w:val="pl-PL"/>
        </w:rPr>
        <w:t xml:space="preserve"> twierdził, że przetwarzanie danych geolokalizacyjnych uzyskanych z systemu GPS zainstalowanego w jego samochodzie służbowym oraz wykorzystanie tych danych jako podstawy do jego zwolnienia stanowiło naruszenie jego prawa do poszanowania życia prywatnego. Skarżył się również, że postępowanie przed sądami krajowymi było niesprawiedliwe, ponieważ orzeczenia sądów opierały się prawie wyłącznie na niezgodnych z prawem dowodach uzyskanych za pomocą systemu GPS zainstalowanego w jego samochodzie służbowym.</w:t>
      </w:r>
    </w:p>
    <w:p w14:paraId="131C3379" w14:textId="4EA5D2A0" w:rsidR="007044D7" w:rsidRPr="006D571B" w:rsidRDefault="00000000">
      <w:pPr>
        <w:pStyle w:val="Tekstpodstawowy"/>
        <w:ind w:left="874" w:right="727"/>
        <w:jc w:val="both"/>
        <w:rPr>
          <w:lang w:val="pl-PL"/>
        </w:rPr>
      </w:pPr>
      <w:r w:rsidRPr="006D571B">
        <w:rPr>
          <w:color w:val="0071BB"/>
          <w:w w:val="120"/>
          <w:sz w:val="19"/>
          <w:lang w:val="pl-PL"/>
        </w:rPr>
        <w:t xml:space="preserve">Trybunał uznał, że </w:t>
      </w:r>
      <w:r w:rsidRPr="00CD35E6">
        <w:rPr>
          <w:rFonts w:asciiTheme="minorHAnsi" w:hAnsiTheme="minorHAnsi" w:cstheme="minorHAnsi"/>
          <w:b/>
          <w:color w:val="0071BB"/>
          <w:w w:val="120"/>
          <w:sz w:val="19"/>
          <w:lang w:val="pl-PL"/>
        </w:rPr>
        <w:t xml:space="preserve">nie </w:t>
      </w:r>
      <w:r w:rsidRPr="00CD35E6">
        <w:rPr>
          <w:rFonts w:asciiTheme="minorHAnsi" w:hAnsiTheme="minorHAnsi" w:cstheme="minorHAnsi"/>
          <w:color w:val="0071BB"/>
          <w:w w:val="120"/>
          <w:sz w:val="19"/>
          <w:lang w:val="pl-PL"/>
        </w:rPr>
        <w:t xml:space="preserve">doszło </w:t>
      </w:r>
      <w:r w:rsidRPr="00CD35E6">
        <w:rPr>
          <w:rFonts w:asciiTheme="minorHAnsi" w:hAnsiTheme="minorHAnsi" w:cstheme="minorHAnsi"/>
          <w:b/>
          <w:color w:val="0071BB"/>
          <w:w w:val="120"/>
          <w:sz w:val="19"/>
          <w:lang w:val="pl-PL"/>
        </w:rPr>
        <w:t>do naruszenia art</w:t>
      </w:r>
      <w:r w:rsidRPr="00CD35E6">
        <w:rPr>
          <w:rFonts w:asciiTheme="minorHAnsi" w:hAnsiTheme="minorHAnsi" w:cstheme="minorHAnsi"/>
          <w:color w:val="0071BB"/>
          <w:w w:val="120"/>
          <w:sz w:val="19"/>
          <w:lang w:val="pl-PL"/>
        </w:rPr>
        <w:t>.</w:t>
      </w:r>
      <w:r w:rsidRPr="00CD35E6">
        <w:rPr>
          <w:rFonts w:asciiTheme="minorHAnsi" w:hAnsiTheme="minorHAnsi" w:cstheme="minorHAnsi"/>
          <w:b/>
          <w:color w:val="0071BB"/>
          <w:w w:val="120"/>
          <w:sz w:val="19"/>
          <w:lang w:val="pl-PL"/>
        </w:rPr>
        <w:t xml:space="preserve"> 8</w:t>
      </w:r>
      <w:r w:rsidRPr="006D571B">
        <w:rPr>
          <w:rFonts w:ascii="Arial" w:hAnsi="Arial"/>
          <w:b/>
          <w:color w:val="0071BB"/>
          <w:w w:val="120"/>
          <w:sz w:val="19"/>
          <w:lang w:val="pl-PL"/>
        </w:rPr>
        <w:t xml:space="preserve"> </w:t>
      </w:r>
      <w:r w:rsidRPr="006D571B">
        <w:rPr>
          <w:color w:val="0071BB"/>
          <w:w w:val="120"/>
          <w:sz w:val="19"/>
          <w:lang w:val="pl-PL"/>
        </w:rPr>
        <w:t xml:space="preserve">Konwencji, stwierdzając, że władze krajowe nie uchybiły swojemu pozytywnemu obowiązkowi ochrony prawa skarżącego do poszanowania życia prywatnego. Na wstępie zauważył, że skarżący był świadomy, iż firma zainstalowała w jego pojeździe system GPS w celu monitorowania odległości pokonywanych w ramach jego działalności zawodowej </w:t>
      </w:r>
      <w:r w:rsidR="00CD35E6" w:rsidRPr="006D571B">
        <w:rPr>
          <w:color w:val="0071BB"/>
          <w:w w:val="120"/>
          <w:sz w:val="19"/>
          <w:lang w:val="pl-PL"/>
        </w:rPr>
        <w:t>oraz</w:t>
      </w:r>
      <w:r w:rsidRPr="006D571B">
        <w:rPr>
          <w:color w:val="0071BB"/>
          <w:w w:val="120"/>
          <w:sz w:val="19"/>
          <w:lang w:val="pl-PL"/>
        </w:rPr>
        <w:t xml:space="preserve"> w stosownych przypadkach, podczas podróży prywatnych. Zauważył również, że biorąc pod uwagę wyłącznie dane geolokalizacyjne dotyczące przejechanych odległości, Sąd Apelacyjny ograniczył zakres ingerencji w życie prywatne skarżącego do tego, co było absolutnie konieczne do osiągnięcia uzasadnionego celu, jakim było monitorowanie wydatków przedsiębiorstwa. W sprawie skarżącego Trybunał uznał, że Sąd Apelacyjny dokonał szczegółowej oceny równowagi między prawem skarżącego do poszanowania życia prywatnego a prawem jego pracodawcy do zapewnienia sprawnego funkcjonowania przedsiębiorstwa, biorąc pod uwagę uzasadniony cel realizowany przez przedsiębiorstwo, a mianowicie prawo do monitorowania swoich wydatków. W związku z tym państwo nie przekroczyło w niniejszej sprawie zakresu swojej swobody oceny.</w:t>
      </w:r>
      <w:r w:rsidRPr="006D571B">
        <w:rPr>
          <w:color w:val="0071BB"/>
          <w:spacing w:val="80"/>
          <w:w w:val="120"/>
          <w:sz w:val="19"/>
          <w:lang w:val="pl-PL"/>
        </w:rPr>
        <w:t xml:space="preserve"> </w:t>
      </w:r>
      <w:r w:rsidRPr="006D571B">
        <w:rPr>
          <w:color w:val="0071BB"/>
          <w:w w:val="120"/>
          <w:sz w:val="19"/>
          <w:lang w:val="pl-PL"/>
        </w:rPr>
        <w:t xml:space="preserve">Trybunał uznał również, że </w:t>
      </w:r>
      <w:r w:rsidRPr="00CD35E6">
        <w:rPr>
          <w:rFonts w:asciiTheme="minorHAnsi" w:hAnsiTheme="minorHAnsi" w:cstheme="minorHAnsi"/>
          <w:b/>
          <w:color w:val="0071BB"/>
          <w:w w:val="120"/>
          <w:sz w:val="19"/>
          <w:lang w:val="pl-PL"/>
        </w:rPr>
        <w:t xml:space="preserve">nie </w:t>
      </w:r>
      <w:r w:rsidRPr="00CD35E6">
        <w:rPr>
          <w:rFonts w:asciiTheme="minorHAnsi" w:hAnsiTheme="minorHAnsi" w:cstheme="minorHAnsi"/>
          <w:color w:val="0071BB"/>
          <w:w w:val="120"/>
          <w:sz w:val="19"/>
          <w:lang w:val="pl-PL"/>
        </w:rPr>
        <w:t xml:space="preserve">doszło </w:t>
      </w:r>
      <w:r w:rsidRPr="00CD35E6">
        <w:rPr>
          <w:rFonts w:asciiTheme="minorHAnsi" w:hAnsiTheme="minorHAnsi" w:cstheme="minorHAnsi"/>
          <w:b/>
          <w:color w:val="0071BB"/>
          <w:w w:val="120"/>
          <w:sz w:val="19"/>
          <w:lang w:val="pl-PL"/>
        </w:rPr>
        <w:t xml:space="preserve">do naruszenia art. 6 § 1 </w:t>
      </w:r>
      <w:r w:rsidRPr="006D571B">
        <w:rPr>
          <w:color w:val="0071BB"/>
          <w:w w:val="120"/>
          <w:sz w:val="19"/>
          <w:lang w:val="pl-PL"/>
        </w:rPr>
        <w:t>(prawo do rzetelnego procesu sądowego) Konwencji, stwierdzając, że wykorzystanie jako dowodu danych geolokalizacyjnych dotyczących odległości przejechanych przez skarżącego pojazdem służbowym nie naruszyło rzetelności postępowania w niniejszej sprawie.</w:t>
      </w:r>
    </w:p>
    <w:p w14:paraId="3BEF5FBB" w14:textId="77777777" w:rsidR="007044D7" w:rsidRPr="006D571B" w:rsidRDefault="00000000">
      <w:pPr>
        <w:pStyle w:val="Nagwek1"/>
        <w:spacing w:before="215"/>
        <w:rPr>
          <w:lang w:val="pl-PL"/>
        </w:rPr>
      </w:pPr>
      <w:r>
        <w:rPr>
          <w:noProof/>
        </w:rPr>
        <mc:AlternateContent>
          <mc:Choice Requires="wps">
            <w:drawing>
              <wp:anchor distT="0" distB="0" distL="0" distR="0" simplePos="0" relativeHeight="251672576" behindDoc="1" locked="0" layoutInCell="1" allowOverlap="1" wp14:anchorId="2080C39C" wp14:editId="06DCE8C1">
                <wp:simplePos x="0" y="0"/>
                <wp:positionH relativeFrom="page">
                  <wp:posOffset>896111</wp:posOffset>
                </wp:positionH>
                <wp:positionV relativeFrom="paragraph">
                  <wp:posOffset>392953</wp:posOffset>
                </wp:positionV>
                <wp:extent cx="5768340" cy="18415"/>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75B72E2C" id="Graphic 16" o:spid="_x0000_s1026" style="position:absolute;margin-left:70.55pt;margin-top:30.95pt;width:454.2pt;height:1.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" path="m5768340,l,,,18287r5768340,l5768340,xe" fillcolor="#999" stroked="f">
                <v:path arrowok="t"/>
                <w10:wrap type="topAndBottom" anchorx="page"/>
              </v:shape>
            </w:pict>
          </mc:Fallback>
        </mc:AlternateContent>
      </w:r>
      <w:r w:rsidRPr="006D571B">
        <w:rPr>
          <w:color w:val="0071BB"/>
          <w:w w:val="120"/>
          <w:sz w:val="27"/>
          <w:lang w:val="pl-PL"/>
        </w:rPr>
        <w:t xml:space="preserve">Więcej </w:t>
      </w:r>
      <w:r w:rsidRPr="006D571B">
        <w:rPr>
          <w:color w:val="0071BB"/>
          <w:spacing w:val="-2"/>
          <w:w w:val="120"/>
          <w:sz w:val="27"/>
          <w:lang w:val="pl-PL"/>
        </w:rPr>
        <w:t>informacji</w:t>
      </w:r>
    </w:p>
    <w:p w14:paraId="69385A4E" w14:textId="77777777" w:rsidR="007044D7" w:rsidRPr="006D571B" w:rsidRDefault="007044D7">
      <w:pPr>
        <w:pStyle w:val="Tekstpodstawowy"/>
        <w:spacing w:before="9"/>
        <w:rPr>
          <w:lang w:val="pl-PL"/>
        </w:rPr>
      </w:pPr>
    </w:p>
    <w:p w14:paraId="31ED4637" w14:textId="77777777" w:rsidR="007044D7" w:rsidRPr="006D571B" w:rsidRDefault="00000000">
      <w:pPr>
        <w:pStyle w:val="Tekstpodstawowy"/>
        <w:ind w:left="874"/>
        <w:rPr>
          <w:lang w:val="pl-PL"/>
        </w:rPr>
      </w:pPr>
      <w:r w:rsidRPr="006D571B">
        <w:rPr>
          <w:w w:val="125"/>
          <w:sz w:val="19"/>
          <w:lang w:val="pl-PL"/>
        </w:rPr>
        <w:t xml:space="preserve">Zobacz w </w:t>
      </w:r>
      <w:r w:rsidRPr="006D571B">
        <w:rPr>
          <w:spacing w:val="-2"/>
          <w:w w:val="125"/>
          <w:sz w:val="19"/>
          <w:lang w:val="pl-PL"/>
        </w:rPr>
        <w:t>szczególności:</w:t>
      </w:r>
    </w:p>
    <w:p w14:paraId="76AB8AB0" w14:textId="77777777" w:rsidR="007044D7" w:rsidRPr="006D571B" w:rsidRDefault="007044D7">
      <w:pPr>
        <w:pStyle w:val="Akapitzlist"/>
        <w:numPr>
          <w:ilvl w:val="0"/>
          <w:numId w:val="1"/>
        </w:numPr>
        <w:tabs>
          <w:tab w:val="left" w:pos="1300"/>
        </w:tabs>
        <w:spacing w:before="205"/>
        <w:ind w:left="1300" w:hanging="285"/>
        <w:rPr>
          <w:sz w:val="20"/>
          <w:lang w:val="pl-PL"/>
        </w:rPr>
      </w:pPr>
      <w:hyperlink r:id="rId23">
        <w:r w:rsidRPr="006D571B">
          <w:rPr>
            <w:rFonts w:ascii="Arial" w:hAnsi="Arial"/>
            <w:b/>
            <w:color w:val="0071BB"/>
            <w:w w:val="120"/>
            <w:sz w:val="19"/>
            <w:u w:val="thick" w:color="0071BB"/>
            <w:lang w:val="pl-PL"/>
          </w:rPr>
          <w:t>„Ochrona danych osobowych”</w:t>
        </w:r>
        <w:r w:rsidRPr="006D571B">
          <w:rPr>
            <w:w w:val="120"/>
            <w:sz w:val="19"/>
            <w:lang w:val="pl-PL"/>
          </w:rPr>
          <w:t>,</w:t>
        </w:r>
      </w:hyperlink>
      <w:r w:rsidRPr="006D571B">
        <w:rPr>
          <w:w w:val="120"/>
          <w:sz w:val="19"/>
          <w:lang w:val="pl-PL"/>
        </w:rPr>
        <w:t xml:space="preserve"> nota informacyjna przygotowana przez </w:t>
      </w:r>
      <w:r w:rsidRPr="006D571B">
        <w:rPr>
          <w:spacing w:val="-4"/>
          <w:w w:val="120"/>
          <w:sz w:val="19"/>
          <w:lang w:val="pl-PL"/>
        </w:rPr>
        <w:t xml:space="preserve">jednostkę </w:t>
      </w:r>
      <w:r w:rsidRPr="006D571B">
        <w:rPr>
          <w:w w:val="120"/>
          <w:sz w:val="19"/>
          <w:lang w:val="pl-PL"/>
        </w:rPr>
        <w:t>prasową Trybunału</w:t>
      </w:r>
    </w:p>
    <w:p w14:paraId="2DF4728E" w14:textId="77777777" w:rsidR="007044D7" w:rsidRPr="006D571B" w:rsidRDefault="007044D7">
      <w:pPr>
        <w:pStyle w:val="Akapitzlist"/>
        <w:numPr>
          <w:ilvl w:val="0"/>
          <w:numId w:val="1"/>
        </w:numPr>
        <w:tabs>
          <w:tab w:val="left" w:pos="1301"/>
        </w:tabs>
        <w:ind w:right="731"/>
        <w:rPr>
          <w:sz w:val="20"/>
          <w:lang w:val="pl-PL"/>
        </w:rPr>
      </w:pPr>
      <w:hyperlink r:id="rId24">
        <w:r w:rsidRPr="006D571B">
          <w:rPr>
            <w:rFonts w:ascii="Arial" w:hAnsi="Arial"/>
            <w:b/>
            <w:color w:val="0071BB"/>
            <w:w w:val="120"/>
            <w:sz w:val="19"/>
            <w:u w:val="thick" w:color="0071BB"/>
            <w:lang w:val="pl-PL"/>
          </w:rPr>
          <w:t>Podręcznik dotyczący europejskiego prawa o ochronie danych</w:t>
        </w:r>
        <w:r w:rsidRPr="006D571B">
          <w:rPr>
            <w:w w:val="120"/>
            <w:sz w:val="19"/>
            <w:lang w:val="pl-PL"/>
          </w:rPr>
          <w:t>,</w:t>
        </w:r>
      </w:hyperlink>
      <w:r w:rsidRPr="006D571B">
        <w:rPr>
          <w:w w:val="120"/>
          <w:sz w:val="19"/>
          <w:lang w:val="pl-PL"/>
        </w:rPr>
        <w:t xml:space="preserve"> Agencja Praw Podstawowych Unii Europejskiej / Rada Europy, 2014 r.</w:t>
      </w:r>
    </w:p>
    <w:p w14:paraId="15DB8BBA" w14:textId="77777777" w:rsidR="007044D7" w:rsidRPr="006D571B" w:rsidRDefault="007044D7">
      <w:pPr>
        <w:pStyle w:val="Akapitzlist"/>
        <w:numPr>
          <w:ilvl w:val="0"/>
          <w:numId w:val="1"/>
        </w:numPr>
        <w:tabs>
          <w:tab w:val="left" w:pos="1300"/>
        </w:tabs>
        <w:spacing w:before="59"/>
        <w:ind w:left="1300" w:hanging="285"/>
        <w:rPr>
          <w:sz w:val="20"/>
          <w:lang w:val="pl-PL"/>
        </w:rPr>
      </w:pPr>
      <w:hyperlink r:id="rId25">
        <w:r w:rsidRPr="006D571B">
          <w:rPr>
            <w:rFonts w:ascii="Arial" w:hAnsi="Arial"/>
            <w:b/>
            <w:color w:val="0071BB"/>
            <w:w w:val="120"/>
            <w:sz w:val="19"/>
            <w:u w:val="thick" w:color="0071BB"/>
            <w:lang w:val="pl-PL"/>
          </w:rPr>
          <w:t>Strona internetowa</w:t>
        </w:r>
      </w:hyperlink>
      <w:r w:rsidRPr="006D571B">
        <w:rPr>
          <w:w w:val="120"/>
          <w:sz w:val="19"/>
          <w:lang w:val="pl-PL"/>
        </w:rPr>
        <w:t xml:space="preserve"> Rady Europy poświęcona </w:t>
      </w:r>
      <w:r w:rsidRPr="006D571B">
        <w:rPr>
          <w:spacing w:val="-2"/>
          <w:w w:val="120"/>
          <w:sz w:val="19"/>
          <w:lang w:val="pl-PL"/>
        </w:rPr>
        <w:t xml:space="preserve">ochronie </w:t>
      </w:r>
      <w:r w:rsidRPr="006D571B">
        <w:rPr>
          <w:w w:val="120"/>
          <w:sz w:val="19"/>
          <w:lang w:val="pl-PL"/>
        </w:rPr>
        <w:t>danych</w:t>
      </w:r>
    </w:p>
    <w:p w14:paraId="228C25C1" w14:textId="77777777" w:rsidR="007044D7" w:rsidRPr="006D571B" w:rsidRDefault="00000000">
      <w:pPr>
        <w:pStyle w:val="Tekstpodstawowy"/>
        <w:spacing w:before="5"/>
        <w:rPr>
          <w:sz w:val="18"/>
          <w:lang w:val="pl-PL"/>
        </w:rPr>
      </w:pPr>
      <w:r>
        <w:rPr>
          <w:noProof/>
          <w:sz w:val="18"/>
        </w:rPr>
        <mc:AlternateContent>
          <mc:Choice Requires="wps">
            <w:drawing>
              <wp:anchor distT="0" distB="0" distL="0" distR="0" simplePos="0" relativeHeight="251674624" behindDoc="1" locked="0" layoutInCell="1" allowOverlap="1" wp14:anchorId="63D9E69D" wp14:editId="3970FF36">
                <wp:simplePos x="0" y="0"/>
                <wp:positionH relativeFrom="page">
                  <wp:posOffset>896111</wp:posOffset>
                </wp:positionH>
                <wp:positionV relativeFrom="paragraph">
                  <wp:posOffset>158099</wp:posOffset>
                </wp:positionV>
                <wp:extent cx="5768340" cy="1270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79"/>
                              </a:lnTo>
                              <a:lnTo>
                                <a:pt x="5768340" y="12179"/>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0D33DFE" id="Graphic 17" o:spid="_x0000_s1026" style="position:absolute;margin-left:70.55pt;margin-top:12.45pt;width:454.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" path="m5768340,l,,,12179r5768340,l5768340,xe" fillcolor="#999" stroked="f">
                <v:path arrowok="t"/>
                <w10:wrap type="topAndBottom" anchorx="page"/>
              </v:shape>
            </w:pict>
          </mc:Fallback>
        </mc:AlternateContent>
      </w:r>
    </w:p>
    <w:p w14:paraId="75912604" w14:textId="77777777" w:rsidR="007044D7" w:rsidRPr="006D571B" w:rsidRDefault="007044D7">
      <w:pPr>
        <w:pStyle w:val="Tekstpodstawowy"/>
        <w:spacing w:before="132"/>
        <w:rPr>
          <w:lang w:val="pl-PL"/>
        </w:rPr>
      </w:pPr>
    </w:p>
    <w:p w14:paraId="5C6C5D8A" w14:textId="77777777" w:rsidR="007044D7" w:rsidRPr="006D571B" w:rsidRDefault="00000000">
      <w:pPr>
        <w:pStyle w:val="Nagwek2"/>
        <w:spacing w:before="0"/>
        <w:ind w:left="141" w:right="3"/>
        <w:jc w:val="center"/>
        <w:rPr>
          <w:u w:val="none"/>
          <w:lang w:val="pl-PL"/>
        </w:rPr>
      </w:pPr>
      <w:r w:rsidRPr="006D571B">
        <w:rPr>
          <w:color w:val="808080"/>
          <w:spacing w:val="-2"/>
          <w:w w:val="115"/>
          <w:sz w:val="19"/>
          <w:u w:val="none"/>
          <w:lang w:val="pl-PL"/>
        </w:rPr>
        <w:t xml:space="preserve">Kontakt </w:t>
      </w:r>
      <w:r w:rsidRPr="006D571B">
        <w:rPr>
          <w:color w:val="808080"/>
          <w:w w:val="115"/>
          <w:sz w:val="19"/>
          <w:u w:val="none"/>
          <w:lang w:val="pl-PL"/>
        </w:rPr>
        <w:t>dla mediów</w:t>
      </w:r>
      <w:r w:rsidRPr="006D571B">
        <w:rPr>
          <w:color w:val="808080"/>
          <w:spacing w:val="-2"/>
          <w:w w:val="115"/>
          <w:sz w:val="19"/>
          <w:u w:val="none"/>
          <w:lang w:val="pl-PL"/>
        </w:rPr>
        <w:t>:</w:t>
      </w:r>
    </w:p>
    <w:p w14:paraId="444D5B2A" w14:textId="77777777" w:rsidR="007044D7" w:rsidRPr="006D571B" w:rsidRDefault="00000000">
      <w:pPr>
        <w:pStyle w:val="Tekstpodstawowy"/>
        <w:spacing w:before="10"/>
        <w:ind w:left="141"/>
        <w:jc w:val="center"/>
        <w:rPr>
          <w:lang w:val="pl-PL"/>
        </w:rPr>
      </w:pPr>
      <w:r w:rsidRPr="006D571B">
        <w:rPr>
          <w:color w:val="808080"/>
          <w:w w:val="130"/>
          <w:sz w:val="19"/>
          <w:lang w:val="pl-PL"/>
        </w:rPr>
        <w:t>Tel.: +33 (0)3 90 21 42</w:t>
      </w:r>
      <w:r w:rsidRPr="006D571B">
        <w:rPr>
          <w:color w:val="808080"/>
          <w:spacing w:val="-5"/>
          <w:w w:val="130"/>
          <w:sz w:val="19"/>
          <w:lang w:val="pl-PL"/>
        </w:rPr>
        <w:t xml:space="preserve"> 08</w:t>
      </w:r>
    </w:p>
    <w:p w14:paraId="66AF208A" w14:textId="77777777" w:rsidR="007044D7" w:rsidRPr="006D571B" w:rsidRDefault="007044D7">
      <w:pPr>
        <w:pStyle w:val="Tekstpodstawowy"/>
        <w:rPr>
          <w:lang w:val="pl-PL"/>
        </w:rPr>
      </w:pPr>
    </w:p>
    <w:p w14:paraId="67803681" w14:textId="77777777" w:rsidR="007044D7" w:rsidRPr="006D571B" w:rsidRDefault="00000000">
      <w:pPr>
        <w:pStyle w:val="Tekstpodstawowy"/>
        <w:spacing w:before="180"/>
        <w:rPr>
          <w:lang w:val="pl-PL"/>
        </w:rPr>
      </w:pPr>
      <w:r>
        <w:rPr>
          <w:noProof/>
        </w:rPr>
        <mc:AlternateContent>
          <mc:Choice Requires="wps">
            <w:drawing>
              <wp:anchor distT="0" distB="0" distL="0" distR="0" simplePos="0" relativeHeight="251676672" behindDoc="1" locked="0" layoutInCell="1" allowOverlap="1" wp14:anchorId="3EFB7CDB" wp14:editId="50F1A6EA">
                <wp:simplePos x="0" y="0"/>
                <wp:positionH relativeFrom="page">
                  <wp:posOffset>914400</wp:posOffset>
                </wp:positionH>
                <wp:positionV relativeFrom="paragraph">
                  <wp:posOffset>284732</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4A3B036" id="Graphic 18" o:spid="_x0000_s1026" style="position:absolute;margin-left:1in;margin-top:22.4pt;width:2in;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" path="m1828800,l,,,7620r1828800,l1828800,xe" fillcolor="black" stroked="f">
                <v:path arrowok="t"/>
                <w10:wrap type="topAndBottom" anchorx="page"/>
              </v:shape>
            </w:pict>
          </mc:Fallback>
        </mc:AlternateContent>
      </w:r>
    </w:p>
    <w:p w14:paraId="3CB7F40A" w14:textId="15733A4A" w:rsidR="007044D7" w:rsidRPr="006D571B" w:rsidRDefault="00000000">
      <w:pPr>
        <w:spacing w:before="104"/>
        <w:ind w:left="873" w:right="449"/>
        <w:rPr>
          <w:sz w:val="16"/>
          <w:lang w:val="pl-PL"/>
        </w:rPr>
      </w:pPr>
      <w:bookmarkStart w:id="0" w:name="_bookmark0"/>
      <w:bookmarkEnd w:id="0"/>
      <w:r w:rsidRPr="006D571B">
        <w:rPr>
          <w:w w:val="125"/>
          <w:sz w:val="15"/>
          <w:vertAlign w:val="superscript"/>
          <w:lang w:val="pl-PL"/>
        </w:rPr>
        <w:t>1</w:t>
      </w:r>
      <w:r w:rsidRPr="006D571B">
        <w:rPr>
          <w:w w:val="125"/>
          <w:sz w:val="15"/>
          <w:lang w:val="pl-PL"/>
        </w:rPr>
        <w:t xml:space="preserve">. Wyrok ten stanie się prawomocny w okolicznościach określonych w art. 44 § 2 (wyroki prawomocne) </w:t>
      </w:r>
      <w:hyperlink r:id="rId26">
        <w:r w:rsidR="007044D7" w:rsidRPr="006D571B">
          <w:rPr>
            <w:color w:val="0071BB"/>
            <w:w w:val="125"/>
            <w:sz w:val="15"/>
            <w:u w:val="single" w:color="0071BB"/>
            <w:lang w:val="pl-PL"/>
          </w:rPr>
          <w:t>Europejskiej konwencji praw człowieka</w:t>
        </w:r>
        <w:r w:rsidR="007044D7" w:rsidRPr="006D571B">
          <w:rPr>
            <w:w w:val="125"/>
            <w:sz w:val="15"/>
            <w:lang w:val="pl-PL"/>
          </w:rPr>
          <w:t>.</w:t>
        </w:r>
      </w:hyperlink>
    </w:p>
    <w:sectPr w:rsidR="007044D7" w:rsidRPr="006D571B">
      <w:pgSz w:w="11910" w:h="16840"/>
      <w:pgMar w:top="1480" w:right="708" w:bottom="680" w:left="566" w:header="73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3703" w14:textId="77777777" w:rsidR="00527B28" w:rsidRDefault="00527B28">
      <w:r>
        <w:separator/>
      </w:r>
    </w:p>
  </w:endnote>
  <w:endnote w:type="continuationSeparator" w:id="0">
    <w:p w14:paraId="72A52D79" w14:textId="77777777" w:rsidR="00527B28" w:rsidRDefault="0052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90CA" w14:textId="77777777" w:rsidR="007044D7" w:rsidRDefault="00000000">
    <w:pPr>
      <w:pStyle w:val="Tekstpodstawowy"/>
      <w:spacing w:line="14" w:lineRule="auto"/>
    </w:pPr>
    <w:r>
      <w:rPr>
        <w:noProof/>
      </w:rPr>
      <mc:AlternateContent>
        <mc:Choice Requires="wps">
          <w:drawing>
            <wp:anchor distT="0" distB="0" distL="0" distR="0" simplePos="0" relativeHeight="251659264" behindDoc="1" locked="0" layoutInCell="1" allowOverlap="1" wp14:anchorId="43D3A348" wp14:editId="292BEA35">
              <wp:simplePos x="0" y="0"/>
              <wp:positionH relativeFrom="page">
                <wp:posOffset>3701796</wp:posOffset>
              </wp:positionH>
              <wp:positionV relativeFrom="page">
                <wp:posOffset>10237044</wp:posOffset>
              </wp:positionV>
              <wp:extent cx="169545" cy="1797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69545" cy="179705"/>
                      </a:xfrm>
                      <a:prstGeom prst="rect">
                        <a:avLst/>
                      </a:prstGeom>
                    </wps:spPr>
                    <wps:txbx>
                      <w:txbxContent>
                        <w:p w14:paraId="419DCEB6" w14:textId="77777777" w:rsidR="007044D7" w:rsidRDefault="00000000">
                          <w:pPr>
                            <w:pStyle w:val="Tekstpodstawowy"/>
                            <w:spacing w:before="30"/>
                            <w:ind w:left="60"/>
                          </w:pPr>
                          <w:r>
                            <w:rPr>
                              <w:spacing w:val="-10"/>
                              <w:w w:val="125"/>
                            </w:rPr>
                            <w:fldChar w:fldCharType="begin"/>
                          </w:r>
                          <w:r>
                            <w:rPr>
                              <w:spacing w:val="-10"/>
                              <w:w w:val="125"/>
                              <w:sz w:val="19"/>
                            </w:rPr>
                            <w:instrText xml:space="preserve"> PAGE </w:instrText>
                          </w:r>
                          <w:r>
                            <w:rPr>
                              <w:spacing w:val="-10"/>
                              <w:w w:val="125"/>
                            </w:rPr>
                            <w:fldChar w:fldCharType="separate"/>
                          </w:r>
                          <w:r>
                            <w:rPr>
                              <w:spacing w:val="-10"/>
                              <w:w w:val="125"/>
                              <w:sz w:val="19"/>
                            </w:rPr>
                            <w:t>5</w:t>
                          </w:r>
                          <w:r>
                            <w:rPr>
                              <w:spacing w:val="-10"/>
                              <w:w w:val="125"/>
                            </w:rPr>
                            <w:fldChar w:fldCharType="end"/>
                          </w:r>
                        </w:p>
                      </w:txbxContent>
                    </wps:txbx>
                    <wps:bodyPr wrap="square" lIns="0" tIns="0" rIns="0" bIns="0" rtlCol="0"/>
                  </wps:wsp>
                </a:graphicData>
              </a:graphic>
            </wp:anchor>
          </w:drawing>
        </mc:Choice>
        <mc:Fallback>
          <w:pict>
            <v:shapetype w14:anchorId="43D3A348" id="_x0000_t202" coordsize="21600,21600" o:spt="202" path="m,l,21600r21600,l21600,xe">
              <v:stroke joinstyle="miter"/>
              <v:path gradientshapeok="t" o:connecttype="rect"/>
            </v:shapetype>
            <v:shape id="Textbox 12" o:spid="_x0000_s1028" type="#_x0000_t202" style="position:absolute;margin-left:291.5pt;margin-top:806.05pt;width:13.3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" filled="f" stroked="f">
              <v:textbox inset="0,0,0,0">
                <w:txbxContent>
                  <w:p w14:paraId="419DCEB6" w14:textId="77777777" w:rsidR="007044D7" w:rsidRDefault="00000000">
                    <w:pPr>
                      <w:pStyle w:val="Tekstpodstawowy"/>
                      <w:spacing w:before="30"/>
                      <w:ind w:left="60"/>
                    </w:pPr>
                    <w:r>
                      <w:rPr>
                        <w:spacing w:val="-10"/>
                        <w:w w:val="125"/>
                      </w:rPr>
                      <w:fldChar w:fldCharType="begin"/>
                    </w:r>
                    <w:r>
                      <w:rPr>
                        <w:spacing w:val="-10"/>
                        <w:w w:val="125"/>
                        <w:sz w:val="19"/>
                      </w:rPr>
                      <w:instrText xml:space="preserve"> PAGE </w:instrText>
                    </w:r>
                    <w:r>
                      <w:rPr>
                        <w:spacing w:val="-10"/>
                        <w:w w:val="125"/>
                      </w:rPr>
                      <w:fldChar w:fldCharType="separate"/>
                    </w:r>
                    <w:r>
                      <w:rPr>
                        <w:spacing w:val="-10"/>
                        <w:w w:val="125"/>
                        <w:sz w:val="19"/>
                      </w:rPr>
                      <w:t>5</w:t>
                    </w:r>
                    <w:r>
                      <w:rPr>
                        <w:spacing w:val="-10"/>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EE99" w14:textId="77777777" w:rsidR="00527B28" w:rsidRDefault="00527B28">
      <w:r>
        <w:separator/>
      </w:r>
    </w:p>
  </w:footnote>
  <w:footnote w:type="continuationSeparator" w:id="0">
    <w:p w14:paraId="21215696" w14:textId="77777777" w:rsidR="00527B28" w:rsidRDefault="0052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710" w14:textId="77777777" w:rsidR="007044D7" w:rsidRDefault="00000000">
    <w:pPr>
      <w:pStyle w:val="Tekstpodstawowy"/>
      <w:spacing w:line="14" w:lineRule="auto"/>
    </w:pPr>
    <w:r>
      <w:rPr>
        <w:noProof/>
      </w:rPr>
      <w:drawing>
        <wp:anchor distT="0" distB="0" distL="0" distR="0" simplePos="0" relativeHeight="251655168" behindDoc="1" locked="0" layoutInCell="1" allowOverlap="1" wp14:anchorId="7F9EAD94" wp14:editId="0575FE35">
          <wp:simplePos x="0" y="0"/>
          <wp:positionH relativeFrom="page">
            <wp:posOffset>5684520</wp:posOffset>
          </wp:positionH>
          <wp:positionV relativeFrom="page">
            <wp:posOffset>463550</wp:posOffset>
          </wp:positionV>
          <wp:extent cx="1409698" cy="371474"/>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409698" cy="371474"/>
                  </a:xfrm>
                  <a:prstGeom prst="rect">
                    <a:avLst/>
                  </a:prstGeom>
                </pic:spPr>
              </pic:pic>
            </a:graphicData>
          </a:graphic>
        </wp:anchor>
      </w:drawing>
    </w:r>
    <w:r>
      <w:rPr>
        <w:noProof/>
      </w:rPr>
      <mc:AlternateContent>
        <mc:Choice Requires="wps">
          <w:drawing>
            <wp:anchor distT="0" distB="0" distL="0" distR="0" simplePos="0" relativeHeight="251656192" behindDoc="1" locked="0" layoutInCell="1" allowOverlap="1" wp14:anchorId="1AA5D90D" wp14:editId="67847820">
              <wp:simplePos x="0" y="0"/>
              <wp:positionH relativeFrom="page">
                <wp:posOffset>465453</wp:posOffset>
              </wp:positionH>
              <wp:positionV relativeFrom="page">
                <wp:posOffset>946928</wp:posOffset>
              </wp:positionV>
              <wp:extent cx="6629400" cy="1270"/>
              <wp:effectExtent l="0" t="0" r="0" b="0"/>
              <wp:wrapNone/>
              <wp:docPr id="10" name="Graphic 10"/>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22F8ED2B" id="Graphic 10" o:spid="_x0000_s1026" style="position:absolute;margin-left:36.65pt;margin-top:74.55pt;width:52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" path="m,l6629400,e" filled="f" strokecolor="gray">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0014A80" wp14:editId="2C93F967">
              <wp:simplePos x="0" y="0"/>
              <wp:positionH relativeFrom="page">
                <wp:posOffset>436880</wp:posOffset>
              </wp:positionH>
              <wp:positionV relativeFrom="page">
                <wp:posOffset>754781</wp:posOffset>
              </wp:positionV>
              <wp:extent cx="2200275" cy="16446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00275" cy="164465"/>
                      </a:xfrm>
                      <a:prstGeom prst="rect">
                        <a:avLst/>
                      </a:prstGeom>
                    </wps:spPr>
                    <wps:txbx>
                      <w:txbxContent>
                        <w:p w14:paraId="7B9BA85D" w14:textId="77777777" w:rsidR="007044D7" w:rsidRPr="006D571B" w:rsidRDefault="00000000">
                          <w:pPr>
                            <w:spacing w:before="29"/>
                            <w:ind w:left="20"/>
                            <w:rPr>
                              <w:sz w:val="18"/>
                              <w:lang w:val="pl-PL"/>
                            </w:rPr>
                          </w:pPr>
                          <w:r w:rsidRPr="006D571B">
                            <w:rPr>
                              <w:w w:val="125"/>
                              <w:sz w:val="17"/>
                              <w:lang w:val="pl-PL"/>
                            </w:rPr>
                            <w:t xml:space="preserve">Arkusz informacyjny – Nadzór w </w:t>
                          </w:r>
                          <w:r w:rsidRPr="006D571B">
                            <w:rPr>
                              <w:spacing w:val="-2"/>
                              <w:w w:val="125"/>
                              <w:sz w:val="17"/>
                              <w:lang w:val="pl-PL"/>
                            </w:rPr>
                            <w:t>miejscu pracy</w:t>
                          </w:r>
                        </w:p>
                      </w:txbxContent>
                    </wps:txbx>
                    <wps:bodyPr wrap="square" lIns="0" tIns="0" rIns="0" bIns="0" rtlCol="0"/>
                  </wps:wsp>
                </a:graphicData>
              </a:graphic>
            </wp:anchor>
          </w:drawing>
        </mc:Choice>
        <mc:Fallback>
          <w:pict>
            <v:shapetype w14:anchorId="60014A80" id="_x0000_t202" coordsize="21600,21600" o:spt="202" path="m,l,21600r21600,l21600,xe">
              <v:stroke joinstyle="miter"/>
              <v:path gradientshapeok="t" o:connecttype="rect"/>
            </v:shapetype>
            <v:shape id="Textbox 11" o:spid="_x0000_s1027" type="#_x0000_t202" style="position:absolute;margin-left:34.4pt;margin-top:59.45pt;width:173.25pt;height:12.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" filled="f" stroked="f">
              <v:textbox inset="0,0,0,0">
                <w:txbxContent>
                  <w:p w14:paraId="7B9BA85D" w14:textId="77777777" w:rsidR="007044D7" w:rsidRPr="006D571B" w:rsidRDefault="00000000">
                    <w:pPr>
                      <w:spacing w:before="29"/>
                      <w:ind w:left="20"/>
                      <w:rPr>
                        <w:sz w:val="18"/>
                        <w:lang w:val="pl-PL"/>
                      </w:rPr>
                    </w:pPr>
                    <w:r w:rsidRPr="006D571B">
                      <w:rPr>
                        <w:w w:val="125"/>
                        <w:sz w:val="17"/>
                        <w:lang w:val="pl-PL"/>
                      </w:rPr>
                      <w:t xml:space="preserve">Arkusz informacyjny – Nadzór w </w:t>
                    </w:r>
                    <w:r w:rsidRPr="006D571B">
                      <w:rPr>
                        <w:spacing w:val="-2"/>
                        <w:w w:val="125"/>
                        <w:sz w:val="17"/>
                        <w:lang w:val="pl-PL"/>
                      </w:rPr>
                      <w:t>miejscu pracy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8DD3E"/>
    <w:multiLevelType w:val="hybridMultilevel"/>
    <w:tmpl w:val="00000000"/>
    <w:lvl w:ilvl="0" w:tplc="BDD2ABDA">
      <w:numFmt w:val="bullet"/>
      <w:lvlText w:val="-"/>
      <w:lvlJc w:val="left"/>
      <w:pPr>
        <w:ind w:left="1301" w:hanging="286"/>
      </w:pPr>
      <w:rPr>
        <w:rFonts w:ascii="Calibri" w:eastAsia="Calibri" w:hAnsi="Calibri" w:cs="Calibri" w:hint="default"/>
        <w:b w:val="0"/>
        <w:bCs w:val="0"/>
        <w:i w:val="0"/>
        <w:iCs w:val="0"/>
        <w:spacing w:val="0"/>
        <w:w w:val="147"/>
        <w:sz w:val="20"/>
        <w:szCs w:val="20"/>
        <w:lang w:val="en-US" w:eastAsia="en-US" w:bidi="ar-SA"/>
      </w:rPr>
    </w:lvl>
    <w:lvl w:ilvl="1" w:tplc="52A035B6">
      <w:numFmt w:val="bullet"/>
      <w:lvlText w:val="•"/>
      <w:lvlJc w:val="left"/>
      <w:pPr>
        <w:ind w:left="2233" w:hanging="286"/>
      </w:pPr>
      <w:rPr>
        <w:rFonts w:hint="default"/>
        <w:lang w:val="en-US" w:eastAsia="en-US" w:bidi="ar-SA"/>
      </w:rPr>
    </w:lvl>
    <w:lvl w:ilvl="2" w:tplc="12744614">
      <w:numFmt w:val="bullet"/>
      <w:lvlText w:val="•"/>
      <w:lvlJc w:val="left"/>
      <w:pPr>
        <w:ind w:left="3166" w:hanging="286"/>
      </w:pPr>
      <w:rPr>
        <w:rFonts w:hint="default"/>
        <w:lang w:val="en-US" w:eastAsia="en-US" w:bidi="ar-SA"/>
      </w:rPr>
    </w:lvl>
    <w:lvl w:ilvl="3" w:tplc="BC20A720">
      <w:numFmt w:val="bullet"/>
      <w:lvlText w:val="•"/>
      <w:lvlJc w:val="left"/>
      <w:pPr>
        <w:ind w:left="4099" w:hanging="286"/>
      </w:pPr>
      <w:rPr>
        <w:rFonts w:hint="default"/>
        <w:lang w:val="en-US" w:eastAsia="en-US" w:bidi="ar-SA"/>
      </w:rPr>
    </w:lvl>
    <w:lvl w:ilvl="4" w:tplc="E9E81FA8">
      <w:numFmt w:val="bullet"/>
      <w:lvlText w:val="•"/>
      <w:lvlJc w:val="left"/>
      <w:pPr>
        <w:ind w:left="5032" w:hanging="286"/>
      </w:pPr>
      <w:rPr>
        <w:rFonts w:hint="default"/>
        <w:lang w:val="en-US" w:eastAsia="en-US" w:bidi="ar-SA"/>
      </w:rPr>
    </w:lvl>
    <w:lvl w:ilvl="5" w:tplc="F934DFA6">
      <w:numFmt w:val="bullet"/>
      <w:lvlText w:val="•"/>
      <w:lvlJc w:val="left"/>
      <w:pPr>
        <w:ind w:left="5966" w:hanging="286"/>
      </w:pPr>
      <w:rPr>
        <w:rFonts w:hint="default"/>
        <w:lang w:val="en-US" w:eastAsia="en-US" w:bidi="ar-SA"/>
      </w:rPr>
    </w:lvl>
    <w:lvl w:ilvl="6" w:tplc="646CDB0E">
      <w:numFmt w:val="bullet"/>
      <w:lvlText w:val="•"/>
      <w:lvlJc w:val="left"/>
      <w:pPr>
        <w:ind w:left="6899" w:hanging="286"/>
      </w:pPr>
      <w:rPr>
        <w:rFonts w:hint="default"/>
        <w:lang w:val="en-US" w:eastAsia="en-US" w:bidi="ar-SA"/>
      </w:rPr>
    </w:lvl>
    <w:lvl w:ilvl="7" w:tplc="6BEC9B64">
      <w:numFmt w:val="bullet"/>
      <w:lvlText w:val="•"/>
      <w:lvlJc w:val="left"/>
      <w:pPr>
        <w:ind w:left="7832" w:hanging="286"/>
      </w:pPr>
      <w:rPr>
        <w:rFonts w:hint="default"/>
        <w:lang w:val="en-US" w:eastAsia="en-US" w:bidi="ar-SA"/>
      </w:rPr>
    </w:lvl>
    <w:lvl w:ilvl="8" w:tplc="C0425194">
      <w:numFmt w:val="bullet"/>
      <w:lvlText w:val="•"/>
      <w:lvlJc w:val="left"/>
      <w:pPr>
        <w:ind w:left="8765" w:hanging="286"/>
      </w:pPr>
      <w:rPr>
        <w:rFonts w:hint="default"/>
        <w:lang w:val="en-US" w:eastAsia="en-US" w:bidi="ar-SA"/>
      </w:rPr>
    </w:lvl>
  </w:abstractNum>
  <w:num w:numId="1" w16cid:durableId="49002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D7"/>
    <w:rsid w:val="0006419B"/>
    <w:rsid w:val="00186085"/>
    <w:rsid w:val="00193F17"/>
    <w:rsid w:val="002C31BF"/>
    <w:rsid w:val="002D224D"/>
    <w:rsid w:val="002E01BF"/>
    <w:rsid w:val="0032645C"/>
    <w:rsid w:val="003D75A7"/>
    <w:rsid w:val="00410F91"/>
    <w:rsid w:val="00482A6E"/>
    <w:rsid w:val="00486B03"/>
    <w:rsid w:val="004E79B0"/>
    <w:rsid w:val="004F7B29"/>
    <w:rsid w:val="00527B28"/>
    <w:rsid w:val="005A45E7"/>
    <w:rsid w:val="00625B10"/>
    <w:rsid w:val="00692248"/>
    <w:rsid w:val="006D571B"/>
    <w:rsid w:val="00704461"/>
    <w:rsid w:val="007044D7"/>
    <w:rsid w:val="00784932"/>
    <w:rsid w:val="00895719"/>
    <w:rsid w:val="00A21978"/>
    <w:rsid w:val="00A72736"/>
    <w:rsid w:val="00AE2F15"/>
    <w:rsid w:val="00AF3C5C"/>
    <w:rsid w:val="00B022E7"/>
    <w:rsid w:val="00B50051"/>
    <w:rsid w:val="00C304E8"/>
    <w:rsid w:val="00C95E8F"/>
    <w:rsid w:val="00CD35E6"/>
    <w:rsid w:val="00CD62D0"/>
    <w:rsid w:val="00CF1261"/>
    <w:rsid w:val="00D24EA9"/>
    <w:rsid w:val="00E27461"/>
    <w:rsid w:val="00EC5FE9"/>
    <w:rsid w:val="00EF4C7E"/>
    <w:rsid w:val="00F13B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90FF"/>
  <w15:docId w15:val="{0BB7D725-052C-4457-8CA8-9E46A794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74"/>
      <w:jc w:val="both"/>
      <w:outlineLvl w:val="0"/>
    </w:pPr>
    <w:rPr>
      <w:sz w:val="28"/>
      <w:szCs w:val="28"/>
    </w:rPr>
  </w:style>
  <w:style w:type="paragraph" w:styleId="Nagwek2">
    <w:name w:val="heading 2"/>
    <w:basedOn w:val="Normalny"/>
    <w:uiPriority w:val="1"/>
    <w:qFormat/>
    <w:pPr>
      <w:spacing w:before="136"/>
      <w:ind w:left="874"/>
      <w:jc w:val="both"/>
      <w:outlineLvl w:val="1"/>
    </w:pPr>
    <w:rPr>
      <w:rFonts w:ascii="Arial" w:eastAsia="Arial" w:hAnsi="Arial" w:cs="Arial"/>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ind w:left="874"/>
    </w:pPr>
    <w:rPr>
      <w:sz w:val="48"/>
      <w:szCs w:val="48"/>
    </w:rPr>
  </w:style>
  <w:style w:type="paragraph" w:styleId="Akapitzlist">
    <w:name w:val="List Paragraph"/>
    <w:basedOn w:val="Normalny"/>
    <w:uiPriority w:val="1"/>
    <w:qFormat/>
    <w:pPr>
      <w:spacing w:before="58"/>
      <w:ind w:left="1300" w:hanging="285"/>
    </w:pPr>
  </w:style>
  <w:style w:type="paragraph" w:customStyle="1" w:styleId="TableParagraph">
    <w:name w:val="Table Paragraph"/>
    <w:basedOn w:val="Normalny"/>
    <w:uiPriority w:val="1"/>
    <w:qFormat/>
  </w:style>
  <w:style w:type="paragraph" w:styleId="HTML-wstpniesformatowany">
    <w:name w:val="HTML Preformatted"/>
    <w:basedOn w:val="Normalny"/>
    <w:link w:val="HTML-wstpniesformatowanyZnak"/>
    <w:uiPriority w:val="99"/>
    <w:semiHidden/>
    <w:unhideWhenUsed/>
    <w:rsid w:val="00EF4C7E"/>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EF4C7E"/>
    <w:rPr>
      <w:rFonts w:ascii="Consolas" w:eastAsia="Calibri" w:hAnsi="Consolas" w:cs="Calibri"/>
      <w:sz w:val="20"/>
      <w:szCs w:val="20"/>
    </w:rPr>
  </w:style>
  <w:style w:type="paragraph" w:styleId="NormalnyWeb">
    <w:name w:val="Normal (Web)"/>
    <w:basedOn w:val="Normalny"/>
    <w:uiPriority w:val="99"/>
    <w:semiHidden/>
    <w:unhideWhenUsed/>
    <w:rsid w:val="00AE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udoc.echr.coe.int/eng?i=001-79996" TargetMode="External"/><Relationship Id="rId18" Type="http://schemas.openxmlformats.org/officeDocument/2006/relationships/hyperlink" Target="http://hudoc.echr.coe.int/eng-press?i=003-6014614-7713110" TargetMode="External"/><Relationship Id="rId26" Type="http://schemas.openxmlformats.org/officeDocument/2006/relationships/hyperlink" Target="http://www.echr.coe.int/Documents/Convention_ENG.pdf" TargetMode="External"/><Relationship Id="rId3" Type="http://schemas.openxmlformats.org/officeDocument/2006/relationships/settings" Target="settings.xml"/><Relationship Id="rId21" Type="http://schemas.openxmlformats.org/officeDocument/2006/relationships/hyperlink" Target="http://hudoc.echr.coe.int/eng-press?i=003-6538808-8642219"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hudoc.echr.coe.int/eng?i=001-215168" TargetMode="External"/><Relationship Id="rId25" Type="http://schemas.openxmlformats.org/officeDocument/2006/relationships/hyperlink" Target="http://www.coe.int/t/dghl/standardsetting/dataprotection/default_EN.asp"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hudoc.echr.coe.int/eng-press?i=003-5927767-75714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doc.echr.coe.int/sites/eng/pages/search.aspx?i=001-58039" TargetMode="External"/><Relationship Id="rId24" Type="http://schemas.openxmlformats.org/officeDocument/2006/relationships/hyperlink" Target="http://www.echr.coe.int/Documents/Handbook_data_protection_ENG.pdf"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echr.coe.int/Documents/FS_Data_ENG.pdf" TargetMode="External"/><Relationship Id="rId28" Type="http://schemas.openxmlformats.org/officeDocument/2006/relationships/theme" Target="theme/theme1.xml"/><Relationship Id="rId10" Type="http://schemas.openxmlformats.org/officeDocument/2006/relationships/hyperlink" Target="http://www.echr.coe.int/Documents/Convention_ENG.pdf" TargetMode="External"/><Relationship Id="rId19" Type="http://schemas.openxmlformats.org/officeDocument/2006/relationships/hyperlink" Target="http://hudoc.echr.coe.int/sites/eng/pages/search.aspx?i=002-782" TargetMode="External"/><Relationship Id="rId4" Type="http://schemas.openxmlformats.org/officeDocument/2006/relationships/webSettings" Target="webSettings.xml"/><Relationship Id="rId9" Type="http://schemas.openxmlformats.org/officeDocument/2006/relationships/hyperlink" Target="http://www.echr.coe.int/Documents/Convention_ENG.pdf" TargetMode="External"/><Relationship Id="rId14" Type="http://schemas.openxmlformats.org/officeDocument/2006/relationships/hyperlink" Target="http://hudoc.echr.coe.int/eng-press?i=003-5825428-7419362" TargetMode="External"/><Relationship Id="rId22" Type="http://schemas.openxmlformats.org/officeDocument/2006/relationships/hyperlink" Target="https://hudoc.echr.coe.int/eng-press?i=003-7520329-1032281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2571</Words>
  <Characters>15426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FS_New_technologies_ENG</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FS_New_technologies_ENG</dc:title>
  <dc:subject>FS_New_technologies_ENG</dc:subject>
  <dc:creator>ECHR/CEDH</dc:creator>
  <cp:keywords>, docId:1EABACB2B82DF37E1A812B622ABB9715</cp:keywords>
  <cp:lastModifiedBy>Szponar Paweł  (DWMPC)</cp:lastModifiedBy>
  <cp:revision>7</cp:revision>
  <dcterms:created xsi:type="dcterms:W3CDTF">2026-01-02T11:30:00Z</dcterms:created>
  <dcterms:modified xsi:type="dcterms:W3CDTF">2026-01-13T10:20:00Z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Acrobat PDFMaker 22 for Word</vt:lpwstr>
  </property>
  <property fmtid="{D5CDD505-2E9C-101B-9397-08002B2CF9AE}" pid="4" name="eDOCS AutoSave">
    <vt:lpwstr>20221213093917966</vt:lpwstr>
  </property>
  <property fmtid="{D5CDD505-2E9C-101B-9397-08002B2CF9AE}" pid="5" name="LastSaved">
    <vt:filetime>2026-01-02T00:00:00Z</vt:filetime>
  </property>
  <property fmtid="{D5CDD505-2E9C-101B-9397-08002B2CF9AE}" pid="6" name="OrigTemp">
    <vt:lpwstr>NEW_ Press_Country_Files.dot</vt:lpwstr>
  </property>
  <property fmtid="{D5CDD505-2E9C-101B-9397-08002B2CF9AE}" pid="7" name="Producer">
    <vt:lpwstr>Adobe PDF Library 22.3.58</vt:lpwstr>
  </property>
  <property fmtid="{D5CDD505-2E9C-101B-9397-08002B2CF9AE}" pid="8" name="SourceModified">
    <vt:lpwstr>D:20221213090659</vt:lpwstr>
  </property>
</Properties>
</file>