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16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2215-26-010551</w:t>
      </w:r>
      <w:r>
        <w:rPr/>
        <w:fldChar w:fldCharType="end"/>
      </w:r>
    </w:p>
    <w:p>
      <w:pPr>
        <w:pStyle w:val="MetrykapismaKAS"/>
        <w:rPr/>
      </w:pPr>
      <w:r>
        <w:rPr>
          <w:b w:val="false"/>
          <w:bCs w:val="false"/>
        </w:rPr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2215-SEE.7112.1.42.2025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cs="Calibri" w:ascii="Calibri" w:hAnsi="Calibri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val="000000" w:themeColor="text1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Niezabudowane nieruchomości gruntowe położone w Żarnowcu, stanowiące działki nr 315 oraz nr 316, o powierzchni odpowiednio 6260 m² oraz 11961 m</w:t>
      </w:r>
      <w:r>
        <w:rPr>
          <w:rFonts w:eastAsia="" w:cs="Calibri" w:eastAsiaTheme="majorEastAsia"/>
          <w:color w:val="auto"/>
          <w:lang w:val="fr-FR"/>
        </w:rPr>
        <w:t>²</w:t>
      </w:r>
      <w:r>
        <w:rPr>
          <w:rFonts w:eastAsia="" w:cs="Calibri" w:eastAsiaTheme="majorEastAsia"/>
          <w:color w:val="auto"/>
          <w:lang w:val="fr-FR"/>
        </w:rPr>
        <w:t>, dla których Sąd Rejonowy w Wejherowie IV Wydział Ksiąg Wieczystych prowadzi księgę wieczystą nr GD2W/00021355/0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color w:val="auto"/>
        </w:rPr>
      </w:pPr>
      <w:r>
        <w:rPr>
          <w:rFonts w:eastAsia="" w:cs="Calibri" w:eastAsiaTheme="majorEastAsia"/>
          <w:color w:val="auto"/>
          <w:lang w:val="fr-FR"/>
        </w:rPr>
        <w:t xml:space="preserve">rozpocznie się w dniu </w:t>
      </w:r>
      <w:r>
        <w:rPr>
          <w:rFonts w:eastAsia="" w:cs="Calibri" w:eastAsiaTheme="majorEastAsia"/>
          <w:color w:val="auto"/>
          <w:lang w:val="fr-FR"/>
        </w:rPr>
        <w:t>01</w:t>
      </w:r>
      <w:r>
        <w:rPr>
          <w:rFonts w:eastAsia="" w:cs="Calibri" w:eastAsiaTheme="majorEastAsia"/>
          <w:color w:val="auto"/>
          <w:lang w:val="fr-FR"/>
        </w:rPr>
        <w:t>.0</w:t>
      </w:r>
      <w:r>
        <w:rPr>
          <w:rFonts w:eastAsia="" w:cs="Calibri" w:eastAsiaTheme="majorEastAsia"/>
          <w:color w:val="auto"/>
          <w:lang w:val="fr-FR"/>
        </w:rPr>
        <w:t>4</w:t>
      </w:r>
      <w:r>
        <w:rPr>
          <w:rFonts w:eastAsia="" w:cs="Calibri" w:eastAsiaTheme="majorEastAsia"/>
          <w:color w:val="auto"/>
          <w:lang w:val="fr-FR"/>
        </w:rPr>
        <w:t>.2026 r. o godz. 1</w:t>
      </w:r>
      <w:r>
        <w:rPr>
          <w:rFonts w:eastAsia="" w:cs="Calibri" w:eastAsiaTheme="majorEastAsia"/>
          <w:color w:val="auto"/>
          <w:lang w:val="fr-FR"/>
        </w:rPr>
        <w:t>0</w:t>
      </w:r>
      <w:r>
        <w:rPr>
          <w:rFonts w:eastAsia="" w:cs="Calibri" w:eastAsiaTheme="majorEastAsia"/>
          <w:color w:val="auto"/>
          <w:lang w:val="fr-FR"/>
        </w:rPr>
        <w:t>:</w:t>
      </w:r>
      <w:r>
        <w:rPr>
          <w:rFonts w:eastAsia="" w:cs="Calibri" w:eastAsiaTheme="majorEastAsia"/>
          <w:color w:val="auto"/>
          <w:lang w:val="fr-FR"/>
        </w:rPr>
        <w:t>0</w:t>
      </w:r>
      <w:r>
        <w:rPr>
          <w:rFonts w:eastAsia="" w:cs="Calibri" w:eastAsiaTheme="majorEastAsia"/>
          <w:color w:val="auto"/>
          <w:lang w:val="fr-FR"/>
        </w:rPr>
        <w:t xml:space="preserve">0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color w:val="auto"/>
        </w:rPr>
      </w:pPr>
      <w:r>
        <w:rPr>
          <w:rFonts w:eastAsia="" w:cs="Calibri" w:eastAsiaTheme="majorEastAsia"/>
          <w:color w:val="auto"/>
          <w:lang w:val="fr-FR"/>
        </w:rPr>
        <w:t xml:space="preserve">zakończy się w dniu  </w:t>
      </w:r>
      <w:r>
        <w:rPr>
          <w:rFonts w:eastAsia="" w:cs="Calibri" w:eastAsiaTheme="majorEastAsia"/>
          <w:color w:val="auto"/>
          <w:lang w:val="fr-FR"/>
        </w:rPr>
        <w:t>17</w:t>
      </w:r>
      <w:r>
        <w:rPr>
          <w:rFonts w:eastAsia="Arial" w:cs="Courier New"/>
          <w:color w:val="auto"/>
          <w:lang w:val="fr-FR"/>
        </w:rPr>
        <w:t>.06.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Wzywam każdego, kto rości sobie prawa do nieruchomości lub jej przynależności, aby przed ukończeniem opisu tj. </w:t>
      </w:r>
      <w:r>
        <w:rPr>
          <w:bCs/>
          <w:color w:val="auto"/>
        </w:rPr>
        <w:t>17</w:t>
      </w:r>
      <w:r>
        <w:rPr>
          <w:bCs/>
          <w:color w:val="auto"/>
        </w:rPr>
        <w:t>.06.2026</w:t>
      </w:r>
      <w:r>
        <w:rPr>
          <w:bCs/>
          <w:color w:val="auto"/>
        </w:rPr>
        <w:t xml:space="preserve">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01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.0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7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.2026 r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 w:themeShade="bf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  <w:color w:val="365F91" w:themeColor="accent1" w:themeShade="bf"/>
          <w:lang w:eastAsia="pl-PL"/>
        </w:rPr>
      </w:pPr>
      <w:r>
        <w:rPr>
          <w:color w:val="365F91" w:themeColor="accent1" w:themeShade="bf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val="365F91" w:themeColor="accent1" w:themeShade="bf"/>
        </w:rPr>
      </w:pPr>
      <w:r>
        <w:rPr>
          <w:color w:val="365F91" w:themeColor="accent1" w:themeShade="bf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val="C00000"/>
          <w:szCs w:val="28"/>
          <w:lang w:eastAsia="pl-PL"/>
        </w:rPr>
      </w:pPr>
      <w:r>
        <w:rPr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auto"/>
          <w:lang w:eastAsia="pl-PL"/>
        </w:rPr>
        <w:t xml:space="preserve">(t.j. 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tru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LibreOffice/7.3.0.3$Windows_X86_64 LibreOffice_project/0f246aa12d0eee4a0f7adcefbf7c878fc2238db3</Application>
  <AppVersion>15.0000</AppVersion>
  <Pages>2</Pages>
  <Words>417</Words>
  <Characters>2694</Characters>
  <CharactersWithSpaces>3095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2026-02-16T13:22:07Z</dcterms:modified>
  <cp:revision>11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2026-02-16</vt:lpwstr>
  </property>
  <property fmtid="{D5CDD505-2E9C-101B-9397-08002B2CF9AE}" pid="3" name="AktualnaDataSlownie">
    <vt:lpwstr>16 lutego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- opis i oszacowanie wartości nieruchomości dot Kostrzak Mariusz P: 55082402457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2215-26-010551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2215-SEE.7112.1.42.2025.9</vt:lpwstr>
  </property>
  <property fmtid="{D5CDD505-2E9C-101B-9397-08002B2CF9AE}" pid="70" name="ZnakSprawy">
    <vt:lpwstr>2215-SEE.7112.1.42.2025</vt:lpwstr>
  </property>
  <property fmtid="{D5CDD505-2E9C-101B-9397-08002B2CF9AE}" pid="71" name="ZnakSprawy2">
    <vt:lpwstr>Znak sprawy: 2215-SEE.7112.1.42.2025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>MARIUSZ</vt:lpwstr>
  </property>
  <property fmtid="{D5CDD505-2E9C-101B-9397-08002B2CF9AE}" pid="75" name="adresKodPocztowy">
    <vt:lpwstr>81-198</vt:lpwstr>
  </property>
  <property fmtid="{D5CDD505-2E9C-101B-9397-08002B2CF9AE}" pid="76" name="adresMiejscowosc">
    <vt:lpwstr>KOSAKOWO</vt:lpwstr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>KOSTRZAK</vt:lpwstr>
  </property>
  <property fmtid="{D5CDD505-2E9C-101B-9397-08002B2CF9AE}" pid="80" name="adresNrDomu">
    <vt:lpwstr>5A</vt:lpwstr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>KOSAKOWO</vt:lpwstr>
  </property>
  <property fmtid="{D5CDD505-2E9C-101B-9397-08002B2CF9AE}" pid="85" name="adresTypUlicy">
    <vt:lpwstr/>
  </property>
  <property fmtid="{D5CDD505-2E9C-101B-9397-08002B2CF9AE}" pid="86" name="adresUlica">
    <vt:lpwstr>SŁONECZNIKOWA</vt:lpwstr>
  </property>
  <property fmtid="{D5CDD505-2E9C-101B-9397-08002B2CF9AE}" pid="87" name="adresaciDW">
    <vt:lpwstr>MAŁGORZATA WYSIŃSKA;URZĄD GMINY KROKOWA;STANISŁAW KOSTRZAK;ZAKŁAD UBEZPIECZEŃ SPOŁECZNYCH ODDZIAŁ W GDAŃSKU;BNP PARIBAS BANK POLSKA SPÓŁKA AKCYJNA</vt:lpwstr>
  </property>
  <property fmtid="{D5CDD505-2E9C-101B-9397-08002B2CF9AE}" pid="88" name="adresaciDW2">
    <vt:lpwstr>MAŁGORZATA WYSIŃSKA, MARII SKŁODOWSKIEJ-CURIE 38C \ 5, 83-400 KOŚCIERZYNA;  URZĄD GMINY KROKOWA, ŻARNOWIECKA 29, 84-110 KROKOWA;  STANISŁAW KOSTRZAK, SŁONECZNIKOWA 7, 81-198 KOSAKOWO;  ZAKŁAD UBEZPIECZEŃ SPOŁECZNYCH ODDZIAŁ W GDAŃSKU, CHMIELNA 27/33, 80-748 GDAŃSK;  BNP PARIBAS BANK POLSKA SPÓŁKA AKCYJNA, MARCINA KASPRZAKA 2, 01-211 WARSZAWA;  </vt:lpwstr>
  </property>
</Properties>
</file>