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00A0DD5B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  <w:r w:rsidR="00624ECA">
        <w:rPr>
          <w:rFonts w:ascii="Proxima Nova" w:hAnsi="Proxima Nova"/>
          <w:b/>
          <w:sz w:val="44"/>
          <w:szCs w:val="44"/>
        </w:rPr>
        <w:t xml:space="preserve"> (aktualizacja)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6A62E5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6A62E5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6A62E5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6A62E5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6A62E5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6A62E5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09B6C677" w:rsidR="00982F91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4835A9D8" w14:textId="77777777" w:rsidR="00624ECA" w:rsidRDefault="00624ECA" w:rsidP="00725178">
      <w:pPr>
        <w:pStyle w:val="Nagwek1"/>
        <w:spacing w:before="120" w:after="0"/>
        <w:rPr>
          <w:rFonts w:eastAsiaTheme="minorHAnsi"/>
          <w:color w:val="4DAE46"/>
        </w:rPr>
      </w:pPr>
    </w:p>
    <w:p w14:paraId="19679EB5" w14:textId="2AEFAFBD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6A62E5">
      <w:pPr>
        <w:pStyle w:val="punkty"/>
        <w:numPr>
          <w:ilvl w:val="0"/>
          <w:numId w:val="5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6A62E5">
      <w:pPr>
        <w:pStyle w:val="Akapitzlist"/>
        <w:numPr>
          <w:ilvl w:val="0"/>
          <w:numId w:val="5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6A62E5">
      <w:pPr>
        <w:pStyle w:val="punkty"/>
        <w:numPr>
          <w:ilvl w:val="0"/>
          <w:numId w:val="5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6A62E5">
      <w:pPr>
        <w:pStyle w:val="punkty"/>
        <w:numPr>
          <w:ilvl w:val="0"/>
          <w:numId w:val="5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6A62E5">
      <w:pPr>
        <w:pStyle w:val="punkty"/>
        <w:numPr>
          <w:ilvl w:val="0"/>
          <w:numId w:val="5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6A62E5">
      <w:pPr>
        <w:pStyle w:val="punkty"/>
        <w:numPr>
          <w:ilvl w:val="0"/>
          <w:numId w:val="6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6A62E5">
      <w:pPr>
        <w:pStyle w:val="punkty"/>
        <w:numPr>
          <w:ilvl w:val="0"/>
          <w:numId w:val="6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6A62E5">
      <w:pPr>
        <w:pStyle w:val="punkty"/>
        <w:numPr>
          <w:ilvl w:val="0"/>
          <w:numId w:val="6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6A62E5">
      <w:pPr>
        <w:pStyle w:val="punkty"/>
        <w:numPr>
          <w:ilvl w:val="0"/>
          <w:numId w:val="6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6A62E5">
      <w:pPr>
        <w:pStyle w:val="punkty"/>
        <w:numPr>
          <w:ilvl w:val="0"/>
          <w:numId w:val="5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6A62E5">
      <w:pPr>
        <w:pStyle w:val="punkty"/>
        <w:numPr>
          <w:ilvl w:val="0"/>
          <w:numId w:val="5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6A62E5">
      <w:pPr>
        <w:pStyle w:val="punkty"/>
        <w:numPr>
          <w:ilvl w:val="0"/>
          <w:numId w:val="5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6A62E5">
      <w:pPr>
        <w:pStyle w:val="punkty"/>
        <w:numPr>
          <w:ilvl w:val="0"/>
          <w:numId w:val="5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6A62E5">
      <w:pPr>
        <w:pStyle w:val="punkty"/>
        <w:numPr>
          <w:ilvl w:val="0"/>
          <w:numId w:val="5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6A62E5">
      <w:pPr>
        <w:pStyle w:val="punkty"/>
        <w:numPr>
          <w:ilvl w:val="0"/>
          <w:numId w:val="5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6A62E5">
      <w:pPr>
        <w:pStyle w:val="punkty"/>
        <w:numPr>
          <w:ilvl w:val="0"/>
          <w:numId w:val="5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6A62E5">
      <w:pPr>
        <w:pStyle w:val="punkty"/>
        <w:numPr>
          <w:ilvl w:val="0"/>
          <w:numId w:val="5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6A62E5">
      <w:pPr>
        <w:pStyle w:val="punkty"/>
        <w:numPr>
          <w:ilvl w:val="0"/>
          <w:numId w:val="7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6A62E5">
      <w:pPr>
        <w:pStyle w:val="punkty"/>
        <w:numPr>
          <w:ilvl w:val="0"/>
          <w:numId w:val="7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6A62E5">
      <w:pPr>
        <w:pStyle w:val="punkty"/>
        <w:numPr>
          <w:ilvl w:val="0"/>
          <w:numId w:val="7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6A62E5">
      <w:pPr>
        <w:pStyle w:val="punkty"/>
        <w:numPr>
          <w:ilvl w:val="0"/>
          <w:numId w:val="7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6A62E5">
      <w:pPr>
        <w:pStyle w:val="punkty"/>
        <w:numPr>
          <w:ilvl w:val="0"/>
          <w:numId w:val="5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6A62E5">
      <w:pPr>
        <w:numPr>
          <w:ilvl w:val="0"/>
          <w:numId w:val="5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6A62E5">
      <w:pPr>
        <w:numPr>
          <w:ilvl w:val="0"/>
          <w:numId w:val="7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6A62E5">
      <w:pPr>
        <w:numPr>
          <w:ilvl w:val="0"/>
          <w:numId w:val="7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6A62E5">
      <w:pPr>
        <w:numPr>
          <w:ilvl w:val="0"/>
          <w:numId w:val="7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6A62E5">
      <w:pPr>
        <w:numPr>
          <w:ilvl w:val="0"/>
          <w:numId w:val="7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6A62E5">
      <w:pPr>
        <w:numPr>
          <w:ilvl w:val="0"/>
          <w:numId w:val="7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6A62E5">
      <w:pPr>
        <w:pStyle w:val="punkty"/>
        <w:numPr>
          <w:ilvl w:val="0"/>
          <w:numId w:val="5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6A62E5">
      <w:pPr>
        <w:pStyle w:val="punkty"/>
        <w:numPr>
          <w:ilvl w:val="0"/>
          <w:numId w:val="5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6A62E5">
      <w:pPr>
        <w:pStyle w:val="punkty"/>
        <w:numPr>
          <w:ilvl w:val="0"/>
          <w:numId w:val="5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6A62E5">
      <w:pPr>
        <w:pStyle w:val="punkty"/>
        <w:numPr>
          <w:ilvl w:val="0"/>
          <w:numId w:val="5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6A62E5">
      <w:pPr>
        <w:pStyle w:val="punkty"/>
        <w:numPr>
          <w:ilvl w:val="0"/>
          <w:numId w:val="5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6A62E5">
      <w:pPr>
        <w:pStyle w:val="punkty"/>
        <w:numPr>
          <w:ilvl w:val="0"/>
          <w:numId w:val="5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6A62E5">
      <w:pPr>
        <w:pStyle w:val="punkty"/>
        <w:numPr>
          <w:ilvl w:val="0"/>
          <w:numId w:val="5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6A62E5">
      <w:pPr>
        <w:pStyle w:val="punkty"/>
        <w:numPr>
          <w:ilvl w:val="0"/>
          <w:numId w:val="5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6A62E5">
      <w:pPr>
        <w:pStyle w:val="punkty"/>
        <w:numPr>
          <w:ilvl w:val="0"/>
          <w:numId w:val="5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6A62E5">
      <w:pPr>
        <w:pStyle w:val="punkty"/>
        <w:numPr>
          <w:ilvl w:val="0"/>
          <w:numId w:val="5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6A62E5">
      <w:pPr>
        <w:pStyle w:val="punkty"/>
        <w:numPr>
          <w:ilvl w:val="0"/>
          <w:numId w:val="5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6A62E5">
      <w:pPr>
        <w:pStyle w:val="punkty"/>
        <w:numPr>
          <w:ilvl w:val="0"/>
          <w:numId w:val="5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6A62E5">
      <w:pPr>
        <w:pStyle w:val="punkty"/>
        <w:numPr>
          <w:ilvl w:val="0"/>
          <w:numId w:val="5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6A62E5">
      <w:pPr>
        <w:pStyle w:val="punkty"/>
        <w:numPr>
          <w:ilvl w:val="0"/>
          <w:numId w:val="5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6A62E5">
      <w:pPr>
        <w:pStyle w:val="punkty"/>
        <w:numPr>
          <w:ilvl w:val="0"/>
          <w:numId w:val="5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sal.</w:t>
      </w:r>
    </w:p>
    <w:p w14:paraId="37E7E6A6" w14:textId="77777777" w:rsidR="00075D99" w:rsidRPr="008C23C8" w:rsidRDefault="009450CE" w:rsidP="006A62E5">
      <w:pPr>
        <w:pStyle w:val="punkty"/>
        <w:numPr>
          <w:ilvl w:val="0"/>
          <w:numId w:val="5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6A62E5">
      <w:pPr>
        <w:pStyle w:val="punkty"/>
        <w:numPr>
          <w:ilvl w:val="0"/>
          <w:numId w:val="5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6A62E5">
      <w:pPr>
        <w:pStyle w:val="punkty"/>
        <w:numPr>
          <w:ilvl w:val="0"/>
          <w:numId w:val="5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A62E5">
      <w:pPr>
        <w:pStyle w:val="punkty"/>
        <w:numPr>
          <w:ilvl w:val="0"/>
          <w:numId w:val="5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6A62E5">
      <w:pPr>
        <w:pStyle w:val="punkty"/>
        <w:numPr>
          <w:ilvl w:val="0"/>
          <w:numId w:val="5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6A62E5">
      <w:pPr>
        <w:pStyle w:val="punkty"/>
        <w:numPr>
          <w:ilvl w:val="0"/>
          <w:numId w:val="5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014FD1CE" w:rsidR="00075D99" w:rsidRDefault="00B91D8E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="00624ECA">
        <w:t>, m.in.:</w:t>
      </w:r>
    </w:p>
    <w:p w14:paraId="65224DD2" w14:textId="330DE565" w:rsidR="007D52D5" w:rsidRPr="00624ECA" w:rsidRDefault="00624ECA" w:rsidP="006A62E5">
      <w:pPr>
        <w:pStyle w:val="punkty"/>
        <w:numPr>
          <w:ilvl w:val="1"/>
          <w:numId w:val="11"/>
        </w:numPr>
        <w:spacing w:before="0" w:line="276" w:lineRule="auto"/>
      </w:pPr>
      <w:r>
        <w:t xml:space="preserve">Rozporządzenia </w:t>
      </w:r>
      <w:r w:rsidR="007D52D5" w:rsidRPr="00624ECA">
        <w:t>Rady Ministrów z dnia 6 maja 2021 r. w sprawie ustanowienia określonych ograniczeń, nakazów i zakazów w związku z wystąpieniem stanu epidemii (Dz. U. z 2021 r. poz. 861</w:t>
      </w:r>
      <w:r>
        <w:t>,</w:t>
      </w:r>
      <w:r w:rsidR="007D52D5" w:rsidRPr="00624ECA">
        <w:t xml:space="preserve"> ze zm.),</w:t>
      </w:r>
    </w:p>
    <w:p w14:paraId="5560DAD6" w14:textId="08FEE9EB" w:rsidR="007D52D5" w:rsidRPr="008C23C8" w:rsidRDefault="00624ECA" w:rsidP="006A62E5">
      <w:pPr>
        <w:pStyle w:val="punkty"/>
        <w:numPr>
          <w:ilvl w:val="1"/>
          <w:numId w:val="11"/>
        </w:numPr>
        <w:spacing w:before="0" w:line="276" w:lineRule="auto"/>
      </w:pPr>
      <w:r>
        <w:t xml:space="preserve"> Rozporządzenia</w:t>
      </w:r>
      <w:r w:rsidR="007D52D5" w:rsidRPr="00624ECA">
        <w:t xml:space="preserve"> Ministra Zdrowia z dnia 25 lutego 2021 r. w sprawie chorób zakaźnych powodujących powstanie obowiązku hospitalizacji, izolacji lub izolacji w warunkach domowych oraz obowiązku kwarantanny lub nadzoru epidemiologicznego (Dz. U. z 2021 r. poz. 351</w:t>
      </w:r>
      <w:r>
        <w:t xml:space="preserve">, ze zm.) wynikających ze </w:t>
      </w:r>
      <w:r w:rsidR="007D52D5" w:rsidRPr="00624ECA">
        <w:t>z</w:t>
      </w:r>
      <w:r>
        <w:t>mieniającej się sytuacji epidemiologicznej</w:t>
      </w:r>
      <w:r w:rsidR="007D52D5" w:rsidRPr="00624ECA">
        <w:t xml:space="preserve"> na danym terenie.</w:t>
      </w:r>
    </w:p>
    <w:p w14:paraId="78A2D698" w14:textId="77777777" w:rsidR="00775274" w:rsidRPr="008C23C8" w:rsidRDefault="00775274" w:rsidP="006A62E5">
      <w:pPr>
        <w:pStyle w:val="punkty"/>
        <w:numPr>
          <w:ilvl w:val="0"/>
          <w:numId w:val="5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koronawirusa +48 22 25 00 115 oraz numery alarmowe 999, 112. </w:t>
      </w:r>
    </w:p>
    <w:p w14:paraId="0D0B2764" w14:textId="5451D3B3" w:rsidR="00A4053D" w:rsidRPr="008C23C8" w:rsidRDefault="00A4053D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r w:rsidR="00AC5117" w:rsidRPr="008C23C8">
        <w:rPr>
          <w:lang w:bidi="pl-PL"/>
        </w:rPr>
        <w:t>sal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>Należy monitorować codzienne wietrzenie sal i korytarzy, ze szczególnym uwzględnieniem zapewnienia bezpieczeństwa uczniom w czasie, gdy okna są otwarte.</w:t>
      </w:r>
    </w:p>
    <w:p w14:paraId="049027B6" w14:textId="62336E77" w:rsidR="00A43D72" w:rsidRPr="008C23C8" w:rsidRDefault="00A43D72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lastRenderedPageBreak/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6A62E5">
      <w:pPr>
        <w:pStyle w:val="punkty"/>
        <w:numPr>
          <w:ilvl w:val="0"/>
          <w:numId w:val="8"/>
        </w:numPr>
        <w:rPr>
          <w:color w:val="000000"/>
          <w:lang w:bidi="pl-PL"/>
        </w:rPr>
      </w:pPr>
      <w:r w:rsidRPr="008C23C8">
        <w:rPr>
          <w:lang w:bidi="pl-PL"/>
        </w:rPr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6A62E5">
      <w:pPr>
        <w:pStyle w:val="punkty"/>
        <w:numPr>
          <w:ilvl w:val="0"/>
          <w:numId w:val="8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6A62E5">
      <w:pPr>
        <w:pStyle w:val="punkty"/>
        <w:numPr>
          <w:ilvl w:val="0"/>
          <w:numId w:val="8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59847C5" w:rsidR="00075D99" w:rsidRPr="008C23C8" w:rsidRDefault="00075D99" w:rsidP="006A62E5">
      <w:pPr>
        <w:pStyle w:val="wyliczenie"/>
        <w:numPr>
          <w:ilvl w:val="0"/>
          <w:numId w:val="9"/>
        </w:numPr>
      </w:pPr>
      <w:r w:rsidRPr="008C23C8">
        <w:lastRenderedPageBreak/>
        <w:t>Dzieci mogą spożywać posiłki i napoje przyniesione z domu. Posiłki mogą być przynoszone w pojemnikach prywatnych i w nich spożywane</w:t>
      </w:r>
      <w:r w:rsidR="002B3B9E">
        <w:t xml:space="preserve">, </w:t>
      </w:r>
      <w:bookmarkStart w:id="1" w:name="_Hlk96074075"/>
      <w:r w:rsidR="002B3B9E">
        <w:t xml:space="preserve">zgodnie z zasadami ustalonymi przez dyrektora </w:t>
      </w:r>
      <w:r w:rsidR="007D52D5">
        <w:t>szkoły</w:t>
      </w:r>
      <w:r w:rsidR="002B3B9E">
        <w:t>.</w:t>
      </w:r>
    </w:p>
    <w:bookmarkEnd w:id="1"/>
    <w:p w14:paraId="3B27E94A" w14:textId="77777777" w:rsidR="002332F6" w:rsidRPr="008C23C8" w:rsidRDefault="002332F6" w:rsidP="006A62E5">
      <w:pPr>
        <w:pStyle w:val="wyliczenie"/>
        <w:numPr>
          <w:ilvl w:val="0"/>
          <w:numId w:val="9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>, w których nie jest możliwe zapewnienie właściwych 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6A62E5">
      <w:pPr>
        <w:pStyle w:val="punkty"/>
        <w:numPr>
          <w:ilvl w:val="0"/>
          <w:numId w:val="9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08C4F34F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</w:t>
      </w:r>
      <w:r w:rsidR="00DC7C06">
        <w:rPr>
          <w:rFonts w:eastAsiaTheme="minorHAnsi"/>
          <w:color w:val="4DAE46"/>
        </w:rPr>
        <w:t xml:space="preserve"> wystąpienia objawów infekcji lub </w:t>
      </w:r>
      <w:r w:rsidRPr="00303AD7">
        <w:rPr>
          <w:rFonts w:eastAsiaTheme="minorHAnsi"/>
          <w:color w:val="4DAE46"/>
        </w:rPr>
        <w:t xml:space="preserve">podejrzenia </w:t>
      </w:r>
      <w:r w:rsidR="00DC7C06">
        <w:rPr>
          <w:rFonts w:eastAsiaTheme="minorHAnsi"/>
          <w:color w:val="4DAE46"/>
        </w:rPr>
        <w:t xml:space="preserve">choroby zakaźnej </w:t>
      </w:r>
      <w:r w:rsidRPr="00303AD7">
        <w:rPr>
          <w:rFonts w:eastAsiaTheme="minorHAnsi"/>
          <w:color w:val="4DAE46"/>
        </w:rPr>
        <w:t>u pracowników</w:t>
      </w:r>
      <w:r w:rsidR="00DC7C06">
        <w:rPr>
          <w:rFonts w:eastAsiaTheme="minorHAnsi"/>
          <w:color w:val="4DAE46"/>
        </w:rPr>
        <w:t>.</w:t>
      </w:r>
      <w:r w:rsidRPr="00303AD7">
        <w:rPr>
          <w:rFonts w:eastAsiaTheme="minorHAnsi"/>
          <w:color w:val="4DAE46"/>
        </w:rPr>
        <w:t xml:space="preserve"> </w:t>
      </w:r>
    </w:p>
    <w:p w14:paraId="73575C95" w14:textId="77777777" w:rsidR="00623A2E" w:rsidRPr="008C23C8" w:rsidRDefault="004D105E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A62E5">
      <w:pPr>
        <w:pStyle w:val="wyliczenie"/>
        <w:numPr>
          <w:ilvl w:val="0"/>
          <w:numId w:val="4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z której będą wynikały </w:t>
      </w:r>
      <w:r w:rsidR="00D2660E" w:rsidRPr="008C23C8">
        <w:rPr>
          <w:lang w:bidi="pl-PL"/>
        </w:rPr>
        <w:lastRenderedPageBreak/>
        <w:t>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A62E5">
      <w:pPr>
        <w:pStyle w:val="wyliczenie"/>
        <w:numPr>
          <w:ilvl w:val="0"/>
          <w:numId w:val="4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3E4DD75C" w14:textId="0B54C0D1" w:rsidR="00623A2E" w:rsidRPr="008C23C8" w:rsidRDefault="00623A2E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>objawami sugerującymi</w:t>
      </w:r>
      <w:r w:rsidR="00DB31CB">
        <w:rPr>
          <w:lang w:bidi="pl-PL"/>
        </w:rPr>
        <w:t xml:space="preserve"> infekcję lub chorobę zakaźną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7F4E3A42" w14:textId="77777777" w:rsidR="00623A2E" w:rsidRPr="00C3315B" w:rsidRDefault="00623A2E" w:rsidP="006A62E5">
      <w:pPr>
        <w:pStyle w:val="wyliczenie"/>
        <w:numPr>
          <w:ilvl w:val="0"/>
          <w:numId w:val="4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9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0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4146EA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1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4146EA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2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4146EA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3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4146EA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4146EA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5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4146EA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6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9F94F" w16cex:dateUtc="2022-02-18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E625C1" w16cid:durableId="25B9F9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F82A0" w14:textId="77777777" w:rsidR="004146EA" w:rsidRDefault="004146EA" w:rsidP="00143D7D">
      <w:pPr>
        <w:spacing w:after="0" w:line="240" w:lineRule="auto"/>
      </w:pPr>
      <w:r>
        <w:separator/>
      </w:r>
    </w:p>
  </w:endnote>
  <w:endnote w:type="continuationSeparator" w:id="0">
    <w:p w14:paraId="04272D19" w14:textId="77777777" w:rsidR="004146EA" w:rsidRDefault="004146EA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DC0EE29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4E">
          <w:rPr>
            <w:noProof/>
          </w:rPr>
          <w:t>1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65C8" w14:textId="77777777" w:rsidR="004146EA" w:rsidRDefault="004146EA" w:rsidP="00143D7D">
      <w:pPr>
        <w:spacing w:after="0" w:line="240" w:lineRule="auto"/>
      </w:pPr>
      <w:r>
        <w:separator/>
      </w:r>
    </w:p>
  </w:footnote>
  <w:footnote w:type="continuationSeparator" w:id="0">
    <w:p w14:paraId="5E03DC93" w14:textId="77777777" w:rsidR="004146EA" w:rsidRDefault="004146EA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8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76263D"/>
    <w:multiLevelType w:val="hybridMultilevel"/>
    <w:tmpl w:val="3342D4C4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D">
      <w:start w:val="1"/>
      <w:numFmt w:val="bullet"/>
      <w:lvlText w:val=""/>
      <w:lvlJc w:val="left"/>
      <w:pPr>
        <w:ind w:left="173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07F7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682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4608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3B9E"/>
    <w:rsid w:val="002B45B6"/>
    <w:rsid w:val="002C085E"/>
    <w:rsid w:val="002C267B"/>
    <w:rsid w:val="002C5C14"/>
    <w:rsid w:val="002C6688"/>
    <w:rsid w:val="002D08CC"/>
    <w:rsid w:val="002D4460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728F1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46EA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868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0253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24ECA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A62E5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B7EF4"/>
    <w:rsid w:val="007C34DA"/>
    <w:rsid w:val="007C424E"/>
    <w:rsid w:val="007C4579"/>
    <w:rsid w:val="007D0EFA"/>
    <w:rsid w:val="007D52D5"/>
    <w:rsid w:val="007F2A92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1AF0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4A4E"/>
    <w:rsid w:val="00A15255"/>
    <w:rsid w:val="00A2757B"/>
    <w:rsid w:val="00A31ABB"/>
    <w:rsid w:val="00A31D7E"/>
    <w:rsid w:val="00A33FAC"/>
    <w:rsid w:val="00A34C25"/>
    <w:rsid w:val="00A34EFB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154F"/>
    <w:rsid w:val="00B52158"/>
    <w:rsid w:val="00B56849"/>
    <w:rsid w:val="00B63C67"/>
    <w:rsid w:val="00B658AB"/>
    <w:rsid w:val="00B70282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26CB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4083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31CB"/>
    <w:rsid w:val="00DB4F32"/>
    <w:rsid w:val="00DB4FDB"/>
    <w:rsid w:val="00DB6511"/>
    <w:rsid w:val="00DC09C5"/>
    <w:rsid w:val="00DC362C"/>
    <w:rsid w:val="00DC7C06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gis.gov.pl/aktualnosci/jak-prawidlowo-nalozyc-i-zdjac-maseczk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gis.gov.pl/aktualnosci/jak-skutecznie-dezynfekowac-rece/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https://www.gov.pl/attachment/f08fa60b-ccd2-4666-b688-616c1f8368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is/jak-skutecznie-dezynfekowac-re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rpl.gov.pl/pl/biuletyny-i-wykazy/produkty-biob%C3%B3jcze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koronawirus-jak-prawidlowo-nalozyc-i-zdjac-rekawice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A850-4EE4-4BC6-81C0-828786B6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3612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Stanios-Korycka Ewelina</cp:lastModifiedBy>
  <cp:revision>2</cp:revision>
  <cp:lastPrinted>2021-08-02T07:39:00Z</cp:lastPrinted>
  <dcterms:created xsi:type="dcterms:W3CDTF">2022-02-22T15:46:00Z</dcterms:created>
  <dcterms:modified xsi:type="dcterms:W3CDTF">2022-02-22T15:46:00Z</dcterms:modified>
</cp:coreProperties>
</file>